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5D820" w14:textId="3680EC45" w:rsidR="00EA6745" w:rsidRPr="00EA6745" w:rsidRDefault="00EA6745" w:rsidP="00EA6745">
      <w:pPr>
        <w:spacing w:after="0" w:line="240" w:lineRule="auto"/>
        <w:rPr>
          <w:rFonts w:ascii="Verdana" w:hAnsi="Verdana"/>
          <w:b/>
          <w:bCs/>
        </w:rPr>
      </w:pPr>
      <w:r w:rsidRPr="00C6312E">
        <w:rPr>
          <w:rFonts w:ascii="Verdana" w:hAnsi="Verdana"/>
          <w:b/>
          <w:bCs/>
        </w:rPr>
        <w:t>CONVOCATORIAS</w:t>
      </w:r>
      <w:r w:rsidRPr="00C6312E">
        <w:rPr>
          <w:rFonts w:ascii="Verdana" w:hAnsi="Verdana"/>
          <w:b/>
          <w:bCs/>
          <w:spacing w:val="-20"/>
        </w:rPr>
        <w:t xml:space="preserve"> </w:t>
      </w:r>
      <w:r w:rsidRPr="00C6312E">
        <w:rPr>
          <w:rFonts w:ascii="Verdana" w:hAnsi="Verdana"/>
          <w:b/>
          <w:bCs/>
        </w:rPr>
        <w:t>LIMITADAS</w:t>
      </w:r>
      <w:r w:rsidRPr="00C6312E">
        <w:rPr>
          <w:rFonts w:ascii="Verdana" w:hAnsi="Verdana"/>
          <w:b/>
          <w:bCs/>
          <w:spacing w:val="-19"/>
        </w:rPr>
        <w:t xml:space="preserve"> </w:t>
      </w:r>
      <w:r w:rsidRPr="00C6312E">
        <w:rPr>
          <w:rFonts w:ascii="Verdana" w:hAnsi="Verdana"/>
          <w:b/>
          <w:bCs/>
        </w:rPr>
        <w:t>A</w:t>
      </w:r>
      <w:r w:rsidRPr="00C6312E">
        <w:rPr>
          <w:rFonts w:ascii="Verdana" w:hAnsi="Verdana"/>
          <w:b/>
          <w:bCs/>
          <w:spacing w:val="-19"/>
        </w:rPr>
        <w:t xml:space="preserve"> </w:t>
      </w:r>
      <w:r w:rsidRPr="00C6312E">
        <w:rPr>
          <w:rFonts w:ascii="Verdana" w:hAnsi="Verdana"/>
          <w:b/>
          <w:bCs/>
        </w:rPr>
        <w:t>MIPYMES NACIONALES – Requisitos</w:t>
      </w:r>
      <w:r>
        <w:rPr>
          <w:rFonts w:ascii="Verdana" w:hAnsi="Verdana"/>
          <w:b/>
          <w:bCs/>
        </w:rPr>
        <w:t xml:space="preserve"> – </w:t>
      </w:r>
      <w:r w:rsidRPr="00EA6745">
        <w:rPr>
          <w:rFonts w:ascii="Verdana" w:eastAsia="Calibri" w:hAnsi="Verdana" w:cs="Arial"/>
          <w:b/>
          <w:bCs/>
          <w:lang w:eastAsia="es-ES"/>
        </w:rPr>
        <w:t xml:space="preserve">Presupuestos mínimos </w:t>
      </w:r>
    </w:p>
    <w:p w14:paraId="6D80F573" w14:textId="77777777" w:rsidR="00EA6745" w:rsidRDefault="00EA6745" w:rsidP="00EA6745">
      <w:pPr>
        <w:spacing w:after="0" w:line="240" w:lineRule="auto"/>
        <w:jc w:val="both"/>
      </w:pPr>
    </w:p>
    <w:p w14:paraId="075534F7" w14:textId="77777777" w:rsidR="00EA6745" w:rsidRPr="00EA6745" w:rsidRDefault="00EA6745" w:rsidP="00EA6745">
      <w:pPr>
        <w:spacing w:after="0" w:line="276" w:lineRule="auto"/>
        <w:jc w:val="both"/>
        <w:rPr>
          <w:rFonts w:ascii="Verdana" w:eastAsia="Calibri" w:hAnsi="Verdana" w:cs="Arial"/>
          <w:color w:val="000000"/>
          <w:sz w:val="20"/>
          <w:szCs w:val="20"/>
          <w:lang w:val="es-ES" w:eastAsia="es-ES"/>
        </w:rPr>
      </w:pPr>
      <w:r w:rsidRPr="00EA6745">
        <w:rPr>
          <w:rFonts w:ascii="Verdana" w:eastAsia="Calibri" w:hAnsi="Verdana" w:cs="Arial"/>
          <w:color w:val="000000"/>
          <w:sz w:val="20"/>
          <w:szCs w:val="20"/>
          <w:lang w:val="es-ES" w:eastAsia="es-ES"/>
        </w:rPr>
        <w:t xml:space="preserve">[…] El artículo 2.2.1.2.4.2.2. del Decreto 1082 de 2015 -modificado por el Decreto 1860 de 2021- establece los requisitos que se deben acreditar en las “convocatorias limitadas a </w:t>
      </w:r>
      <w:proofErr w:type="spellStart"/>
      <w:r w:rsidRPr="00EA6745">
        <w:rPr>
          <w:rFonts w:ascii="Verdana" w:eastAsia="Calibri" w:hAnsi="Verdana" w:cs="Arial"/>
          <w:color w:val="000000"/>
          <w:sz w:val="20"/>
          <w:szCs w:val="20"/>
          <w:lang w:val="es-ES" w:eastAsia="es-ES"/>
        </w:rPr>
        <w:t>Mipymes</w:t>
      </w:r>
      <w:proofErr w:type="spellEnd"/>
      <w:r w:rsidRPr="00EA6745">
        <w:rPr>
          <w:rFonts w:ascii="Verdana" w:eastAsia="Calibri" w:hAnsi="Verdana" w:cs="Arial"/>
          <w:color w:val="000000"/>
          <w:sz w:val="20"/>
          <w:szCs w:val="20"/>
          <w:lang w:val="es-ES" w:eastAsia="es-ES"/>
        </w:rPr>
        <w:t xml:space="preserve">”. El inciso primero de la referida norma exige que las Entidades Estatales independientemente de su régimen de contratación, los patrimonios autónomos constituidos por Entidades Estatales y los particulares que ejecuten recursos públicos, limiten las convocatorias de los procesos de contratación a las </w:t>
      </w:r>
      <w:proofErr w:type="spellStart"/>
      <w:r w:rsidRPr="00EA6745">
        <w:rPr>
          <w:rFonts w:ascii="Verdana" w:eastAsia="Calibri" w:hAnsi="Verdana" w:cs="Arial"/>
          <w:color w:val="000000"/>
          <w:sz w:val="20"/>
          <w:szCs w:val="20"/>
          <w:lang w:val="es-ES" w:eastAsia="es-ES"/>
        </w:rPr>
        <w:t>Mipyme</w:t>
      </w:r>
      <w:proofErr w:type="spellEnd"/>
      <w:r w:rsidRPr="00EA6745">
        <w:rPr>
          <w:rFonts w:ascii="Verdana" w:eastAsia="Calibri" w:hAnsi="Verdana" w:cs="Arial"/>
          <w:color w:val="000000"/>
          <w:sz w:val="20"/>
          <w:szCs w:val="20"/>
          <w:lang w:val="es-ES" w:eastAsia="es-ES"/>
        </w:rPr>
        <w:t xml:space="preserve"> colombianas con mínimo un (1) año de existencia, siempre que se cumplan los requisitos señalados allí. […] </w:t>
      </w:r>
    </w:p>
    <w:p w14:paraId="51BA929D" w14:textId="77777777" w:rsidR="00BB7BFA" w:rsidRDefault="00BB7BFA" w:rsidP="00EA7F35">
      <w:pPr>
        <w:spacing w:after="0" w:line="240" w:lineRule="auto"/>
        <w:jc w:val="both"/>
        <w:rPr>
          <w:rFonts w:ascii="Verdana" w:hAnsi="Verdana"/>
        </w:rPr>
      </w:pPr>
    </w:p>
    <w:p w14:paraId="7B0F265B" w14:textId="77777777" w:rsidR="00972CF0" w:rsidRPr="005003AE" w:rsidRDefault="00972CF0" w:rsidP="00972CF0">
      <w:pPr>
        <w:spacing w:after="0" w:line="240" w:lineRule="auto"/>
        <w:jc w:val="both"/>
        <w:rPr>
          <w:rFonts w:ascii="Verdana" w:eastAsia="Calibri" w:hAnsi="Verdana" w:cs="Arial"/>
          <w:b/>
          <w:bCs/>
          <w:lang w:val="es-ES" w:eastAsia="es-ES"/>
        </w:rPr>
      </w:pPr>
      <w:r w:rsidRPr="005003AE">
        <w:rPr>
          <w:rFonts w:ascii="Verdana" w:hAnsi="Verdana"/>
          <w:b/>
          <w:bCs/>
        </w:rPr>
        <w:t>CONVOCATORIAS LIMITADAS A MIPYMES</w:t>
      </w:r>
      <w:r w:rsidRPr="005003AE">
        <w:rPr>
          <w:rFonts w:ascii="Verdana" w:hAnsi="Verdana"/>
          <w:b/>
          <w:bCs/>
          <w:spacing w:val="56"/>
        </w:rPr>
        <w:t xml:space="preserve"> </w:t>
      </w:r>
      <w:r w:rsidRPr="005003AE">
        <w:rPr>
          <w:rFonts w:ascii="Verdana" w:hAnsi="Verdana"/>
          <w:b/>
          <w:bCs/>
        </w:rPr>
        <w:t>EN</w:t>
      </w:r>
      <w:r w:rsidRPr="005003AE">
        <w:rPr>
          <w:rFonts w:ascii="Verdana" w:hAnsi="Verdana"/>
          <w:b/>
          <w:bCs/>
          <w:spacing w:val="55"/>
        </w:rPr>
        <w:t xml:space="preserve"> </w:t>
      </w:r>
      <w:r w:rsidRPr="005003AE">
        <w:rPr>
          <w:rFonts w:ascii="Verdana" w:hAnsi="Verdana"/>
          <w:b/>
          <w:bCs/>
        </w:rPr>
        <w:t>EL</w:t>
      </w:r>
      <w:r w:rsidRPr="005003AE">
        <w:rPr>
          <w:rFonts w:ascii="Verdana" w:hAnsi="Verdana"/>
          <w:b/>
          <w:bCs/>
          <w:spacing w:val="56"/>
        </w:rPr>
        <w:t xml:space="preserve"> </w:t>
      </w:r>
      <w:r w:rsidRPr="005003AE">
        <w:rPr>
          <w:rFonts w:ascii="Verdana" w:hAnsi="Verdana"/>
          <w:b/>
          <w:bCs/>
        </w:rPr>
        <w:t>ÁMBITO</w:t>
      </w:r>
      <w:r w:rsidRPr="005003AE">
        <w:rPr>
          <w:rFonts w:ascii="Verdana" w:hAnsi="Verdana"/>
          <w:b/>
          <w:bCs/>
          <w:spacing w:val="56"/>
        </w:rPr>
        <w:t xml:space="preserve"> </w:t>
      </w:r>
      <w:r w:rsidRPr="005003AE">
        <w:rPr>
          <w:rFonts w:ascii="Verdana" w:hAnsi="Verdana"/>
          <w:b/>
          <w:bCs/>
        </w:rPr>
        <w:t>TERRITORIAL</w:t>
      </w:r>
      <w:r w:rsidRPr="005003AE">
        <w:rPr>
          <w:rFonts w:ascii="Verdana" w:hAnsi="Verdana"/>
          <w:b/>
          <w:bCs/>
          <w:spacing w:val="58"/>
        </w:rPr>
        <w:t xml:space="preserve"> </w:t>
      </w:r>
      <w:r w:rsidRPr="005003AE">
        <w:rPr>
          <w:rFonts w:ascii="Verdana" w:hAnsi="Verdana"/>
          <w:b/>
          <w:bCs/>
        </w:rPr>
        <w:t>–</w:t>
      </w:r>
      <w:r w:rsidRPr="005003AE">
        <w:rPr>
          <w:rFonts w:ascii="Verdana" w:hAnsi="Verdana"/>
          <w:b/>
          <w:bCs/>
          <w:spacing w:val="55"/>
        </w:rPr>
        <w:t xml:space="preserve"> </w:t>
      </w:r>
      <w:r w:rsidRPr="005003AE">
        <w:rPr>
          <w:rFonts w:ascii="Verdana" w:hAnsi="Verdana"/>
          <w:b/>
          <w:bCs/>
          <w:spacing w:val="-2"/>
        </w:rPr>
        <w:t xml:space="preserve">Limitación </w:t>
      </w:r>
      <w:r w:rsidRPr="005003AE">
        <w:rPr>
          <w:rFonts w:ascii="Verdana" w:hAnsi="Verdana"/>
          <w:b/>
          <w:bCs/>
        </w:rPr>
        <w:t>territorial</w:t>
      </w:r>
      <w:r w:rsidRPr="005003AE">
        <w:rPr>
          <w:rFonts w:ascii="Verdana" w:hAnsi="Verdana"/>
          <w:b/>
          <w:bCs/>
          <w:spacing w:val="-11"/>
        </w:rPr>
        <w:t xml:space="preserve"> </w:t>
      </w:r>
      <w:r w:rsidRPr="005003AE">
        <w:rPr>
          <w:rFonts w:ascii="Verdana" w:hAnsi="Verdana"/>
          <w:b/>
          <w:bCs/>
        </w:rPr>
        <w:t>–</w:t>
      </w:r>
      <w:r w:rsidRPr="005003AE">
        <w:rPr>
          <w:rFonts w:ascii="Verdana" w:hAnsi="Verdana"/>
          <w:b/>
          <w:bCs/>
          <w:spacing w:val="-13"/>
        </w:rPr>
        <w:t xml:space="preserve"> </w:t>
      </w:r>
      <w:r w:rsidRPr="005003AE">
        <w:rPr>
          <w:rFonts w:ascii="Verdana" w:hAnsi="Verdana"/>
          <w:b/>
          <w:bCs/>
        </w:rPr>
        <w:t>Facultad</w:t>
      </w:r>
      <w:r w:rsidRPr="005003AE">
        <w:rPr>
          <w:rFonts w:ascii="Verdana" w:hAnsi="Verdana"/>
          <w:b/>
          <w:bCs/>
          <w:spacing w:val="-14"/>
        </w:rPr>
        <w:t xml:space="preserve"> </w:t>
      </w:r>
      <w:r w:rsidRPr="005003AE">
        <w:rPr>
          <w:rFonts w:ascii="Verdana" w:hAnsi="Verdana"/>
          <w:b/>
          <w:bCs/>
          <w:spacing w:val="-2"/>
        </w:rPr>
        <w:t>discrecional</w:t>
      </w:r>
    </w:p>
    <w:p w14:paraId="0F3F73A9" w14:textId="77777777" w:rsidR="00972CF0" w:rsidRDefault="00972CF0" w:rsidP="00972CF0">
      <w:pPr>
        <w:spacing w:after="0" w:line="240" w:lineRule="auto"/>
        <w:jc w:val="both"/>
        <w:rPr>
          <w:rFonts w:ascii="Verdana" w:eastAsia="Calibri" w:hAnsi="Verdana" w:cs="Arial"/>
          <w:lang w:val="es-ES" w:eastAsia="es-ES"/>
        </w:rPr>
      </w:pPr>
    </w:p>
    <w:p w14:paraId="1044E4F4" w14:textId="77777777" w:rsidR="00972CF0" w:rsidRPr="00972CF0" w:rsidRDefault="00972CF0" w:rsidP="00972CF0">
      <w:pPr>
        <w:spacing w:after="0" w:line="276" w:lineRule="auto"/>
        <w:jc w:val="both"/>
        <w:rPr>
          <w:rFonts w:ascii="Verdana" w:eastAsia="Calibri" w:hAnsi="Verdana" w:cs="Arial"/>
          <w:color w:val="000000"/>
          <w:sz w:val="20"/>
          <w:szCs w:val="20"/>
          <w:lang w:val="es-ES" w:eastAsia="es-ES"/>
        </w:rPr>
      </w:pPr>
      <w:r w:rsidRPr="00972CF0">
        <w:rPr>
          <w:rFonts w:ascii="Verdana" w:eastAsia="Calibri" w:hAnsi="Verdana" w:cs="Arial"/>
          <w:color w:val="000000"/>
          <w:sz w:val="20"/>
          <w:szCs w:val="20"/>
          <w:lang w:val="es-ES" w:eastAsia="es-ES"/>
        </w:rPr>
        <w:t xml:space="preserve">[…] Ahora bien, el parágrafo 1 del artículo 34 de la Ley 2069 de 2020 contempla la posibilidad de limitar convocatorias a </w:t>
      </w:r>
      <w:proofErr w:type="spellStart"/>
      <w:r w:rsidRPr="00972CF0">
        <w:rPr>
          <w:rFonts w:ascii="Verdana" w:eastAsia="Calibri" w:hAnsi="Verdana" w:cs="Arial"/>
          <w:color w:val="000000"/>
          <w:sz w:val="20"/>
          <w:szCs w:val="20"/>
          <w:lang w:val="es-ES" w:eastAsia="es-ES"/>
        </w:rPr>
        <w:t>Mipymes</w:t>
      </w:r>
      <w:proofErr w:type="spellEnd"/>
      <w:r w:rsidRPr="00972CF0">
        <w:rPr>
          <w:rFonts w:ascii="Verdana" w:eastAsia="Calibri" w:hAnsi="Verdana" w:cs="Arial"/>
          <w:color w:val="000000"/>
          <w:sz w:val="20"/>
          <w:szCs w:val="20"/>
          <w:lang w:val="es-ES" w:eastAsia="es-ES"/>
        </w:rPr>
        <w:t xml:space="preserve"> con domicilio en dos tipos de entidades territoriales. Según el referido artículo “En los procesos de selección que se desarrollen con base en el primer inciso, las entidades podrán realizar las convocatorias limitadas que beneficien a las MiPymes del ámbito municipal o departamental correspondiente al de la ejecución del contrato”. Respecto del domicilio de las </w:t>
      </w:r>
      <w:proofErr w:type="spellStart"/>
      <w:r w:rsidRPr="00972CF0">
        <w:rPr>
          <w:rFonts w:ascii="Verdana" w:eastAsia="Calibri" w:hAnsi="Verdana" w:cs="Arial"/>
          <w:color w:val="000000"/>
          <w:sz w:val="20"/>
          <w:szCs w:val="20"/>
          <w:lang w:val="es-ES" w:eastAsia="es-ES"/>
        </w:rPr>
        <w:t>Mipymes</w:t>
      </w:r>
      <w:proofErr w:type="spellEnd"/>
      <w:r w:rsidRPr="00972CF0">
        <w:rPr>
          <w:rFonts w:ascii="Verdana" w:eastAsia="Calibri" w:hAnsi="Verdana" w:cs="Arial"/>
          <w:color w:val="000000"/>
          <w:sz w:val="20"/>
          <w:szCs w:val="20"/>
          <w:lang w:val="es-ES" w:eastAsia="es-ES"/>
        </w:rPr>
        <w:t xml:space="preserve"> en el departamento o municipio donde se ejecuta el contrato […] </w:t>
      </w:r>
    </w:p>
    <w:p w14:paraId="3E100DDA" w14:textId="77777777" w:rsidR="00972CF0" w:rsidRPr="00972CF0" w:rsidRDefault="00972CF0" w:rsidP="00972CF0">
      <w:pPr>
        <w:spacing w:after="0" w:line="276" w:lineRule="auto"/>
        <w:jc w:val="both"/>
        <w:rPr>
          <w:rFonts w:ascii="Verdana" w:eastAsia="Calibri" w:hAnsi="Verdana" w:cs="Arial"/>
          <w:color w:val="000000"/>
          <w:sz w:val="20"/>
          <w:szCs w:val="20"/>
          <w:lang w:val="es-ES" w:eastAsia="es-ES"/>
        </w:rPr>
      </w:pPr>
    </w:p>
    <w:p w14:paraId="08F03A4B" w14:textId="77777777" w:rsidR="00972CF0" w:rsidRPr="00972CF0" w:rsidRDefault="00972CF0" w:rsidP="00972CF0">
      <w:pPr>
        <w:spacing w:after="120" w:line="276" w:lineRule="auto"/>
        <w:jc w:val="both"/>
        <w:rPr>
          <w:rFonts w:ascii="Verdana" w:eastAsia="Calibri" w:hAnsi="Verdana" w:cs="Arial"/>
          <w:color w:val="000000"/>
          <w:sz w:val="20"/>
          <w:szCs w:val="20"/>
          <w:lang w:val="es-ES" w:eastAsia="es-ES"/>
        </w:rPr>
      </w:pPr>
      <w:r w:rsidRPr="00972CF0">
        <w:rPr>
          <w:rFonts w:ascii="Verdana" w:eastAsia="Calibri" w:hAnsi="Verdana" w:cs="Arial"/>
          <w:color w:val="000000"/>
          <w:sz w:val="20"/>
          <w:szCs w:val="20"/>
          <w:lang w:val="es-ES" w:eastAsia="es-ES"/>
        </w:rPr>
        <w:t xml:space="preserve">[…]La norma reglamentaria coincide con la redacción del parágrafo 1º del artículo 34 de la Ley 2069 de 2020, según el cual sí es posible limitar convocatorias a la participación de </w:t>
      </w:r>
      <w:proofErr w:type="spellStart"/>
      <w:r w:rsidRPr="00972CF0">
        <w:rPr>
          <w:rFonts w:ascii="Verdana" w:eastAsia="Calibri" w:hAnsi="Verdana" w:cs="Arial"/>
          <w:color w:val="000000"/>
          <w:sz w:val="20"/>
          <w:szCs w:val="20"/>
          <w:lang w:val="es-ES" w:eastAsia="es-ES"/>
        </w:rPr>
        <w:t>Mipymes</w:t>
      </w:r>
      <w:proofErr w:type="spellEnd"/>
      <w:r w:rsidRPr="00972CF0">
        <w:rPr>
          <w:rFonts w:ascii="Verdana" w:eastAsia="Calibri" w:hAnsi="Verdana" w:cs="Arial"/>
          <w:color w:val="000000"/>
          <w:sz w:val="20"/>
          <w:szCs w:val="20"/>
          <w:lang w:val="es-ES" w:eastAsia="es-ES"/>
        </w:rPr>
        <w:t xml:space="preserve"> “(…) del ámbito municipal o departamental correspondiente al de la ejecución del contrato”. En tales términos, la norma citada sólo contempla la posibilidad de limitar convocatorias a </w:t>
      </w:r>
      <w:proofErr w:type="spellStart"/>
      <w:r w:rsidRPr="00972CF0">
        <w:rPr>
          <w:rFonts w:ascii="Verdana" w:eastAsia="Calibri" w:hAnsi="Verdana" w:cs="Arial"/>
          <w:color w:val="000000"/>
          <w:sz w:val="20"/>
          <w:szCs w:val="20"/>
          <w:lang w:val="es-ES" w:eastAsia="es-ES"/>
        </w:rPr>
        <w:t>Mipymes</w:t>
      </w:r>
      <w:proofErr w:type="spellEnd"/>
      <w:r w:rsidRPr="00972CF0">
        <w:rPr>
          <w:rFonts w:ascii="Verdana" w:eastAsia="Calibri" w:hAnsi="Verdana" w:cs="Arial"/>
          <w:color w:val="000000"/>
          <w:sz w:val="20"/>
          <w:szCs w:val="20"/>
          <w:lang w:val="es-ES" w:eastAsia="es-ES"/>
        </w:rPr>
        <w:t xml:space="preserve"> con domicilio en esos dos tipos de entidades territoriales.</w:t>
      </w:r>
    </w:p>
    <w:p w14:paraId="02F8F769" w14:textId="77777777" w:rsidR="00972CF0" w:rsidRPr="00972CF0" w:rsidRDefault="00972CF0" w:rsidP="00972CF0">
      <w:pPr>
        <w:spacing w:after="120" w:line="276" w:lineRule="auto"/>
        <w:jc w:val="both"/>
        <w:rPr>
          <w:rFonts w:ascii="Verdana" w:eastAsia="Calibri" w:hAnsi="Verdana" w:cs="Arial"/>
          <w:color w:val="000000"/>
          <w:sz w:val="20"/>
          <w:szCs w:val="20"/>
          <w:lang w:val="es-ES" w:eastAsia="es-ES"/>
        </w:rPr>
      </w:pPr>
      <w:r w:rsidRPr="00972CF0">
        <w:rPr>
          <w:rFonts w:ascii="Verdana" w:eastAsia="Calibri" w:hAnsi="Verdana" w:cs="Arial"/>
          <w:color w:val="000000"/>
          <w:sz w:val="20"/>
          <w:szCs w:val="20"/>
          <w:lang w:val="es-ES" w:eastAsia="es-ES"/>
        </w:rPr>
        <w:t>Ahora bien, el artículo 2.2.1.2.4.2.3. del Decreto 1082 de 2015, modificado por el artículo 5 del Decreto 1860 de 2021 se refiere a las “</w:t>
      </w:r>
      <w:proofErr w:type="spellStart"/>
      <w:r w:rsidRPr="00972CF0">
        <w:rPr>
          <w:rFonts w:ascii="Verdana" w:eastAsia="Calibri" w:hAnsi="Verdana" w:cs="Arial"/>
          <w:color w:val="000000"/>
          <w:sz w:val="20"/>
          <w:szCs w:val="20"/>
          <w:lang w:val="es-ES" w:eastAsia="es-ES"/>
        </w:rPr>
        <w:t>MiPyme</w:t>
      </w:r>
      <w:proofErr w:type="spellEnd"/>
      <w:r w:rsidRPr="00972CF0">
        <w:rPr>
          <w:rFonts w:ascii="Verdana" w:eastAsia="Calibri" w:hAnsi="Verdana" w:cs="Arial"/>
          <w:color w:val="000000"/>
          <w:sz w:val="20"/>
          <w:szCs w:val="20"/>
          <w:lang w:val="es-ES" w:eastAsia="es-ES"/>
        </w:rPr>
        <w:t xml:space="preserve"> colombianas que tengan domicilio en los departamentos o municipios en donde se va a ejecutar el contrato”. Esta precisión es importante, pues el incentivo previsto en la norma únicamente aplica en el lugar de ejecución del contrato en el que la </w:t>
      </w:r>
      <w:proofErr w:type="spellStart"/>
      <w:r w:rsidRPr="00972CF0">
        <w:rPr>
          <w:rFonts w:ascii="Verdana" w:eastAsia="Calibri" w:hAnsi="Verdana" w:cs="Arial"/>
          <w:color w:val="000000"/>
          <w:sz w:val="20"/>
          <w:szCs w:val="20"/>
          <w:lang w:val="es-ES" w:eastAsia="es-ES"/>
        </w:rPr>
        <w:t>Mipyme</w:t>
      </w:r>
      <w:proofErr w:type="spellEnd"/>
      <w:r w:rsidRPr="00972CF0">
        <w:rPr>
          <w:rFonts w:ascii="Verdana" w:eastAsia="Calibri" w:hAnsi="Verdana" w:cs="Arial"/>
          <w:color w:val="000000"/>
          <w:sz w:val="20"/>
          <w:szCs w:val="20"/>
          <w:lang w:val="es-ES" w:eastAsia="es-ES"/>
        </w:rPr>
        <w:t xml:space="preserve"> tiene su “domicilio” y no en donde tiene sucursales, agencias o establecimientos de comercio.</w:t>
      </w:r>
    </w:p>
    <w:p w14:paraId="7916CEF9" w14:textId="77777777" w:rsidR="00972CF0" w:rsidRPr="00972CF0" w:rsidRDefault="00972CF0" w:rsidP="00EA7F35">
      <w:pPr>
        <w:spacing w:after="0" w:line="240" w:lineRule="auto"/>
        <w:jc w:val="both"/>
        <w:rPr>
          <w:rFonts w:ascii="Verdana" w:hAnsi="Verdana"/>
          <w:lang w:val="es-ES"/>
        </w:rPr>
      </w:pPr>
    </w:p>
    <w:p w14:paraId="3B91298A" w14:textId="77777777" w:rsidR="00BB7BFA" w:rsidRDefault="00BB7BFA" w:rsidP="00EA7F35">
      <w:pPr>
        <w:spacing w:after="0" w:line="240" w:lineRule="auto"/>
        <w:jc w:val="both"/>
        <w:rPr>
          <w:rFonts w:ascii="Verdana" w:hAnsi="Verdana"/>
        </w:rPr>
      </w:pPr>
    </w:p>
    <w:p w14:paraId="0092FB65" w14:textId="77777777" w:rsidR="00BB7BFA" w:rsidRDefault="00BB7BFA" w:rsidP="00EA7F35">
      <w:pPr>
        <w:spacing w:after="0" w:line="240" w:lineRule="auto"/>
        <w:jc w:val="both"/>
        <w:rPr>
          <w:rFonts w:ascii="Verdana" w:hAnsi="Verdana"/>
        </w:rPr>
      </w:pPr>
    </w:p>
    <w:p w14:paraId="48C8C29A" w14:textId="723C5F97" w:rsidR="00BB7BFA" w:rsidRPr="00C265FB" w:rsidRDefault="00530BFE" w:rsidP="00EA7F35">
      <w:pPr>
        <w:spacing w:after="0" w:line="240" w:lineRule="auto"/>
        <w:jc w:val="both"/>
        <w:rPr>
          <w:rFonts w:ascii="Verdana" w:hAnsi="Verdana"/>
          <w:b/>
          <w:bCs/>
        </w:rPr>
      </w:pPr>
      <w:r w:rsidRPr="00C265FB">
        <w:rPr>
          <w:rFonts w:ascii="Verdana" w:eastAsia="Calibri" w:hAnsi="Verdana" w:cs="Arial"/>
          <w:b/>
          <w:bCs/>
          <w:lang w:eastAsia="es-ES"/>
        </w:rPr>
        <w:lastRenderedPageBreak/>
        <w:t>CONVOCATORIAS LIMITADAS A MIPYMES EN EL ÁMBITO TERRITORIAL – Domicilio en lugar de ejecución</w:t>
      </w:r>
    </w:p>
    <w:p w14:paraId="68AA8B65" w14:textId="77777777" w:rsidR="00BB7BFA" w:rsidRDefault="00BB7BFA" w:rsidP="00EA7F35">
      <w:pPr>
        <w:spacing w:after="0" w:line="240" w:lineRule="auto"/>
        <w:jc w:val="both"/>
        <w:rPr>
          <w:rFonts w:ascii="Verdana" w:hAnsi="Verdana"/>
        </w:rPr>
      </w:pPr>
    </w:p>
    <w:p w14:paraId="75F8A9EF" w14:textId="77777777" w:rsidR="000C5F0D" w:rsidRDefault="000C5F0D" w:rsidP="000C5F0D">
      <w:pPr>
        <w:spacing w:after="0" w:line="240" w:lineRule="auto"/>
        <w:jc w:val="both"/>
        <w:rPr>
          <w:rFonts w:ascii="Verdana" w:hAnsi="Verdana"/>
          <w:sz w:val="20"/>
          <w:szCs w:val="20"/>
        </w:rPr>
      </w:pPr>
      <w:r w:rsidRPr="000C5F0D">
        <w:rPr>
          <w:rFonts w:ascii="Verdana" w:hAnsi="Verdana"/>
          <w:sz w:val="20"/>
          <w:szCs w:val="20"/>
        </w:rPr>
        <w:t xml:space="preserve">De este modo, en el caso de un contrato que se va a ejecutar en su totalidad dentro del territorio de un municipio, la limitación territorial debe aplicarse en favor de las </w:t>
      </w:r>
      <w:proofErr w:type="spellStart"/>
      <w:r w:rsidRPr="000C5F0D">
        <w:rPr>
          <w:rFonts w:ascii="Verdana" w:hAnsi="Verdana"/>
          <w:sz w:val="20"/>
          <w:szCs w:val="20"/>
        </w:rPr>
        <w:t>Mipyme</w:t>
      </w:r>
      <w:proofErr w:type="spellEnd"/>
      <w:r w:rsidRPr="000C5F0D">
        <w:rPr>
          <w:rFonts w:ascii="Verdana" w:hAnsi="Verdana"/>
          <w:sz w:val="20"/>
          <w:szCs w:val="20"/>
        </w:rPr>
        <w:t xml:space="preserve"> que tengan su domicilio principal en dicha entidad territorial. En atención al mismo criterio, en el caso de un contrato cuya ejecución trasciende el ámbito municipal, extendiéndose a los diferentes municipios del departamento, resultará valido que la entidad que realiza la convocatoria la limite a las empresas que tengan su domicilio principal en alguno de los diferentes municipios que conforman el respectivo departamento, bajo el presupuesto de que estos se encuentran ubicados dentro del ámbito territorial en donde deberá cumplirse con el objeto contractual.</w:t>
      </w:r>
    </w:p>
    <w:p w14:paraId="5B960302" w14:textId="77777777" w:rsidR="000C5F0D" w:rsidRPr="006A4548" w:rsidRDefault="000C5F0D" w:rsidP="000C5F0D">
      <w:pPr>
        <w:spacing w:after="0" w:line="240" w:lineRule="auto"/>
        <w:jc w:val="both"/>
        <w:rPr>
          <w:rFonts w:ascii="Verdana" w:hAnsi="Verdana"/>
        </w:rPr>
      </w:pPr>
    </w:p>
    <w:p w14:paraId="5F9C22B2" w14:textId="77777777" w:rsidR="000C5F0D" w:rsidRPr="006A4548" w:rsidRDefault="000C5F0D" w:rsidP="000C5F0D">
      <w:pPr>
        <w:spacing w:after="0" w:line="240" w:lineRule="auto"/>
        <w:jc w:val="both"/>
        <w:rPr>
          <w:rFonts w:ascii="Verdana" w:hAnsi="Verdana"/>
          <w:sz w:val="20"/>
          <w:szCs w:val="20"/>
        </w:rPr>
      </w:pPr>
      <w:r w:rsidRPr="006A4548">
        <w:rPr>
          <w:rFonts w:ascii="Verdana" w:hAnsi="Verdana"/>
          <w:sz w:val="20"/>
          <w:szCs w:val="20"/>
        </w:rPr>
        <w:t xml:space="preserve">En este contexto, y de acuerdo con el objeto de la consulta, si bien la limitación territorial prevista en el artículo 2.2.1.2.4.2.3 del Decreto 1082 de 2015 faculta a las entidades estatales para limitar la convocatoria a las </w:t>
      </w:r>
      <w:proofErr w:type="spellStart"/>
      <w:r w:rsidRPr="006A4548">
        <w:rPr>
          <w:rFonts w:ascii="Verdana" w:hAnsi="Verdana"/>
          <w:sz w:val="20"/>
          <w:szCs w:val="20"/>
        </w:rPr>
        <w:t>Mipymes</w:t>
      </w:r>
      <w:proofErr w:type="spellEnd"/>
      <w:r w:rsidRPr="006A4548">
        <w:rPr>
          <w:rFonts w:ascii="Verdana" w:hAnsi="Verdana"/>
          <w:sz w:val="20"/>
          <w:szCs w:val="20"/>
        </w:rPr>
        <w:t xml:space="preserve"> domiciliadas en un determinado municipio o departamento, dicha potestad no puede interpretarse de manera discrecional. La habilitación normativa responde a un criterio objetivo y funcional relacionado con el lugar de ejecución del objeto contractual, de modo que la delimitación territorial debe guardar correspondencia directa con el ámbito geográfico en el que se desarrollará el contrato.</w:t>
      </w:r>
    </w:p>
    <w:p w14:paraId="64B48388" w14:textId="77777777" w:rsidR="00BB7BFA" w:rsidRDefault="00BB7BFA" w:rsidP="00EA7F35">
      <w:pPr>
        <w:spacing w:after="0" w:line="240" w:lineRule="auto"/>
        <w:jc w:val="both"/>
        <w:rPr>
          <w:rFonts w:ascii="Verdana" w:hAnsi="Verdana"/>
        </w:rPr>
      </w:pPr>
    </w:p>
    <w:p w14:paraId="7DCBCDF6" w14:textId="17338807" w:rsidR="00BB7BFA" w:rsidRPr="006E7439" w:rsidRDefault="006E7439" w:rsidP="006E7439">
      <w:pPr>
        <w:spacing w:line="276" w:lineRule="auto"/>
        <w:jc w:val="both"/>
        <w:rPr>
          <w:rFonts w:ascii="Verdana" w:eastAsia="Calibri" w:hAnsi="Verdana" w:cs="Arial"/>
          <w:b/>
          <w:bCs/>
          <w:lang w:eastAsia="es-ES"/>
        </w:rPr>
      </w:pPr>
      <w:r w:rsidRPr="006E7439">
        <w:rPr>
          <w:rFonts w:ascii="Verdana" w:eastAsia="Calibri" w:hAnsi="Verdana" w:cs="Arial"/>
          <w:b/>
          <w:bCs/>
          <w:lang w:eastAsia="es-ES"/>
        </w:rPr>
        <w:t xml:space="preserve">CONVOCATORIAS LIMITADAS A MIPYMES EN EL ÁMBITO TERRITORIAL – Circunscripciones municipal y departamental </w:t>
      </w:r>
    </w:p>
    <w:p w14:paraId="1CC33D71" w14:textId="77777777" w:rsidR="006E7439" w:rsidRPr="006E7439" w:rsidRDefault="006E7439" w:rsidP="006E7439">
      <w:pPr>
        <w:spacing w:after="0" w:line="240" w:lineRule="auto"/>
        <w:jc w:val="both"/>
        <w:rPr>
          <w:rFonts w:ascii="Verdana" w:hAnsi="Verdana"/>
          <w:sz w:val="20"/>
          <w:szCs w:val="20"/>
        </w:rPr>
      </w:pPr>
      <w:r w:rsidRPr="006E7439">
        <w:rPr>
          <w:rFonts w:ascii="Verdana" w:hAnsi="Verdana"/>
          <w:sz w:val="20"/>
          <w:szCs w:val="20"/>
        </w:rPr>
        <w:t xml:space="preserve">Debe resaltarse que el enfoque actual del marco normativo busca que las Entidades Estatales incorporen prácticas activas de planeación participativa e inclusiva que fortalezcan la participación de las </w:t>
      </w:r>
      <w:proofErr w:type="spellStart"/>
      <w:r w:rsidRPr="006E7439">
        <w:rPr>
          <w:rFonts w:ascii="Verdana" w:hAnsi="Verdana"/>
          <w:sz w:val="20"/>
          <w:szCs w:val="20"/>
        </w:rPr>
        <w:t>Mipymes</w:t>
      </w:r>
      <w:proofErr w:type="spellEnd"/>
      <w:r w:rsidRPr="006E7439">
        <w:rPr>
          <w:rFonts w:ascii="Verdana" w:hAnsi="Verdana"/>
          <w:sz w:val="20"/>
          <w:szCs w:val="20"/>
        </w:rPr>
        <w:t xml:space="preserve"> y de otras unidades económicas de menor escala y, orienten sus estrategias de contratación hacia el fortalecimiento de la economía local y regional, procurando que las oportunidades de contratación pública promuevan el desarrollo territorial. De esta manera, la limitación territorial se erige como una herramienta complementaria dentro de este ecosistema normativo, destinada a fomentar la vinculación de </w:t>
      </w:r>
      <w:proofErr w:type="spellStart"/>
      <w:r w:rsidRPr="006E7439">
        <w:rPr>
          <w:rFonts w:ascii="Verdana" w:hAnsi="Verdana"/>
          <w:sz w:val="20"/>
          <w:szCs w:val="20"/>
        </w:rPr>
        <w:t>Mipymes</w:t>
      </w:r>
      <w:proofErr w:type="spellEnd"/>
      <w:r w:rsidRPr="006E7439">
        <w:rPr>
          <w:rFonts w:ascii="Verdana" w:hAnsi="Verdana"/>
          <w:sz w:val="20"/>
          <w:szCs w:val="20"/>
        </w:rPr>
        <w:t xml:space="preserve"> domiciliadas en los territorios donde se ejecutan los contratos, generando encadenamientos productivos y fortalecimiento regional.</w:t>
      </w:r>
    </w:p>
    <w:p w14:paraId="4BEEA2CD" w14:textId="77777777" w:rsidR="006E7439" w:rsidRPr="006E7439" w:rsidRDefault="006E7439" w:rsidP="006E7439">
      <w:pPr>
        <w:spacing w:after="0" w:line="240" w:lineRule="auto"/>
        <w:jc w:val="both"/>
        <w:rPr>
          <w:rFonts w:ascii="Verdana" w:hAnsi="Verdana"/>
          <w:sz w:val="20"/>
          <w:szCs w:val="20"/>
        </w:rPr>
      </w:pPr>
    </w:p>
    <w:p w14:paraId="0918CC48" w14:textId="77777777" w:rsidR="006E7439" w:rsidRPr="006E7439" w:rsidRDefault="006E7439" w:rsidP="006E7439">
      <w:pPr>
        <w:spacing w:after="0" w:line="240" w:lineRule="auto"/>
        <w:jc w:val="both"/>
        <w:rPr>
          <w:rFonts w:ascii="Verdana" w:hAnsi="Verdana"/>
          <w:sz w:val="20"/>
          <w:szCs w:val="20"/>
        </w:rPr>
      </w:pPr>
      <w:r w:rsidRPr="006E7439">
        <w:rPr>
          <w:rFonts w:ascii="Verdana" w:hAnsi="Verdana"/>
          <w:sz w:val="20"/>
          <w:szCs w:val="20"/>
        </w:rPr>
        <w:t xml:space="preserve">Así las cosas, una decisión orientada a excluir un municipio en particular, pese a encontrarse comprendido dentro del ámbito territorial relacionado con la ejecución del objeto contractual, desbordaría la finalidad establecida en el artículo 2.2.1.2.4.2.3 del Decreto 1082 de 2015. Ello, por cuanto la determinación dejaría de sustentarse en el criterio principal previsto por la norma, esto es, el lugar de ejecución del contrato, para apoyarse en consideraciones ajenas a la finalidad de la medida, lo que podría comprometer la legalidad de la actuación administrativa y la validez de las reglas del proceso de selección. Por tanto, la decisión de aplicar una limitación territorial debe basarse en criterios técnicos que demuestren que tal medida contribuye efectivamente </w:t>
      </w:r>
      <w:r w:rsidRPr="006E7439">
        <w:rPr>
          <w:rFonts w:ascii="Verdana" w:hAnsi="Verdana"/>
          <w:sz w:val="20"/>
          <w:szCs w:val="20"/>
        </w:rPr>
        <w:lastRenderedPageBreak/>
        <w:t>a los fines de promoción empresarial y desarrollo regional previstos en el ordenamiento jurídicos.</w:t>
      </w:r>
    </w:p>
    <w:p w14:paraId="116AF0CA" w14:textId="77777777" w:rsidR="00BB7BFA" w:rsidRDefault="00BB7BFA" w:rsidP="00EA7F35">
      <w:pPr>
        <w:spacing w:after="0" w:line="240" w:lineRule="auto"/>
        <w:jc w:val="both"/>
        <w:rPr>
          <w:rFonts w:ascii="Verdana" w:hAnsi="Verdana"/>
        </w:rPr>
      </w:pPr>
    </w:p>
    <w:p w14:paraId="0BBA6659" w14:textId="77777777" w:rsidR="00BB7BFA" w:rsidRDefault="00BB7BFA" w:rsidP="00EA7F35">
      <w:pPr>
        <w:spacing w:after="0" w:line="240" w:lineRule="auto"/>
        <w:jc w:val="both"/>
        <w:rPr>
          <w:rFonts w:ascii="Verdana" w:hAnsi="Verdana"/>
        </w:rPr>
      </w:pPr>
    </w:p>
    <w:p w14:paraId="0BF050F7" w14:textId="77777777" w:rsidR="00BB7BFA" w:rsidRDefault="00BB7BFA" w:rsidP="00EA7F35">
      <w:pPr>
        <w:spacing w:after="0" w:line="240" w:lineRule="auto"/>
        <w:jc w:val="both"/>
        <w:rPr>
          <w:rFonts w:ascii="Verdana" w:hAnsi="Verdana"/>
        </w:rPr>
      </w:pPr>
    </w:p>
    <w:p w14:paraId="57CDD0C5" w14:textId="77777777" w:rsidR="00BB7BFA" w:rsidRDefault="00BB7BFA" w:rsidP="00EA7F35">
      <w:pPr>
        <w:spacing w:after="0" w:line="240" w:lineRule="auto"/>
        <w:jc w:val="both"/>
        <w:rPr>
          <w:rFonts w:ascii="Verdana" w:hAnsi="Verdana"/>
        </w:rPr>
      </w:pPr>
    </w:p>
    <w:p w14:paraId="58C8A32C" w14:textId="77777777" w:rsidR="00BB7BFA" w:rsidRDefault="00BB7BFA" w:rsidP="00EA7F35">
      <w:pPr>
        <w:spacing w:after="0" w:line="240" w:lineRule="auto"/>
        <w:jc w:val="both"/>
        <w:rPr>
          <w:rFonts w:ascii="Verdana" w:hAnsi="Verdana"/>
        </w:rPr>
      </w:pPr>
    </w:p>
    <w:p w14:paraId="4AA18D21" w14:textId="77777777" w:rsidR="00BB7BFA" w:rsidRDefault="00BB7BFA" w:rsidP="00EA7F35">
      <w:pPr>
        <w:spacing w:after="0" w:line="240" w:lineRule="auto"/>
        <w:jc w:val="both"/>
        <w:rPr>
          <w:rFonts w:ascii="Verdana" w:hAnsi="Verdana"/>
        </w:rPr>
      </w:pPr>
    </w:p>
    <w:p w14:paraId="26570372" w14:textId="77777777" w:rsidR="00BB7BFA" w:rsidRDefault="00BB7BFA" w:rsidP="00EA7F35">
      <w:pPr>
        <w:spacing w:after="0" w:line="240" w:lineRule="auto"/>
        <w:jc w:val="both"/>
        <w:rPr>
          <w:rFonts w:ascii="Verdana" w:hAnsi="Verdana"/>
        </w:rPr>
      </w:pPr>
    </w:p>
    <w:p w14:paraId="7AD07F18" w14:textId="77777777" w:rsidR="00BB7BFA" w:rsidRDefault="00BB7BFA" w:rsidP="00EA7F35">
      <w:pPr>
        <w:spacing w:after="0" w:line="240" w:lineRule="auto"/>
        <w:jc w:val="both"/>
        <w:rPr>
          <w:rFonts w:ascii="Verdana" w:hAnsi="Verdana"/>
        </w:rPr>
      </w:pPr>
    </w:p>
    <w:p w14:paraId="0052C01C" w14:textId="77777777" w:rsidR="00BB7BFA" w:rsidRDefault="00BB7BFA" w:rsidP="00EA7F35">
      <w:pPr>
        <w:spacing w:after="0" w:line="240" w:lineRule="auto"/>
        <w:jc w:val="both"/>
        <w:rPr>
          <w:rFonts w:ascii="Verdana" w:hAnsi="Verdana"/>
        </w:rPr>
      </w:pPr>
    </w:p>
    <w:p w14:paraId="0B923C63" w14:textId="77777777" w:rsidR="00BB7BFA" w:rsidRDefault="00BB7BFA" w:rsidP="00EA7F35">
      <w:pPr>
        <w:spacing w:after="0" w:line="240" w:lineRule="auto"/>
        <w:jc w:val="both"/>
        <w:rPr>
          <w:rFonts w:ascii="Verdana" w:hAnsi="Verdana"/>
        </w:rPr>
      </w:pPr>
    </w:p>
    <w:p w14:paraId="59E78ADF" w14:textId="77777777" w:rsidR="00BB7BFA" w:rsidRDefault="00BB7BFA" w:rsidP="00EA7F35">
      <w:pPr>
        <w:spacing w:after="0" w:line="240" w:lineRule="auto"/>
        <w:jc w:val="both"/>
        <w:rPr>
          <w:rFonts w:ascii="Verdana" w:hAnsi="Verdana"/>
        </w:rPr>
      </w:pPr>
    </w:p>
    <w:p w14:paraId="5AE07B67" w14:textId="77777777" w:rsidR="00BB7BFA" w:rsidRDefault="00BB7BFA" w:rsidP="00EA7F35">
      <w:pPr>
        <w:spacing w:after="0" w:line="240" w:lineRule="auto"/>
        <w:jc w:val="both"/>
        <w:rPr>
          <w:rFonts w:ascii="Verdana" w:hAnsi="Verdana"/>
        </w:rPr>
      </w:pPr>
    </w:p>
    <w:p w14:paraId="04818847" w14:textId="77777777" w:rsidR="00BB7BFA" w:rsidRDefault="00BB7BFA" w:rsidP="00EA7F35">
      <w:pPr>
        <w:spacing w:after="0" w:line="240" w:lineRule="auto"/>
        <w:jc w:val="both"/>
        <w:rPr>
          <w:rFonts w:ascii="Verdana" w:hAnsi="Verdana"/>
        </w:rPr>
      </w:pPr>
    </w:p>
    <w:p w14:paraId="0C470F5D" w14:textId="77777777" w:rsidR="00BB7BFA" w:rsidRDefault="00BB7BFA" w:rsidP="00EA7F35">
      <w:pPr>
        <w:spacing w:after="0" w:line="240" w:lineRule="auto"/>
        <w:jc w:val="both"/>
        <w:rPr>
          <w:rFonts w:ascii="Verdana" w:hAnsi="Verdana"/>
        </w:rPr>
      </w:pPr>
    </w:p>
    <w:p w14:paraId="32D3DA03" w14:textId="77777777" w:rsidR="00BB7BFA" w:rsidRDefault="00BB7BFA" w:rsidP="00EA7F35">
      <w:pPr>
        <w:spacing w:after="0" w:line="240" w:lineRule="auto"/>
        <w:jc w:val="both"/>
        <w:rPr>
          <w:rFonts w:ascii="Verdana" w:hAnsi="Verdana"/>
        </w:rPr>
      </w:pPr>
    </w:p>
    <w:p w14:paraId="5E8402E8" w14:textId="77777777" w:rsidR="00BB7BFA" w:rsidRDefault="00BB7BFA" w:rsidP="00EA7F35">
      <w:pPr>
        <w:spacing w:after="0" w:line="240" w:lineRule="auto"/>
        <w:jc w:val="both"/>
        <w:rPr>
          <w:rFonts w:ascii="Verdana" w:hAnsi="Verdana"/>
        </w:rPr>
      </w:pPr>
    </w:p>
    <w:p w14:paraId="3994C508" w14:textId="77777777" w:rsidR="00BB7BFA" w:rsidRDefault="00BB7BFA" w:rsidP="00EA7F35">
      <w:pPr>
        <w:spacing w:after="0" w:line="240" w:lineRule="auto"/>
        <w:jc w:val="both"/>
        <w:rPr>
          <w:rFonts w:ascii="Verdana" w:hAnsi="Verdana"/>
        </w:rPr>
      </w:pPr>
    </w:p>
    <w:p w14:paraId="0C59ADE8" w14:textId="77777777" w:rsidR="00BB7BFA" w:rsidRDefault="00BB7BFA" w:rsidP="00EA7F35">
      <w:pPr>
        <w:spacing w:after="0" w:line="240" w:lineRule="auto"/>
        <w:jc w:val="both"/>
        <w:rPr>
          <w:rFonts w:ascii="Verdana" w:hAnsi="Verdana"/>
        </w:rPr>
      </w:pPr>
    </w:p>
    <w:p w14:paraId="3661943C" w14:textId="77777777" w:rsidR="00BB7BFA" w:rsidRDefault="00BB7BFA" w:rsidP="00EA7F35">
      <w:pPr>
        <w:spacing w:after="0" w:line="240" w:lineRule="auto"/>
        <w:jc w:val="both"/>
        <w:rPr>
          <w:rFonts w:ascii="Verdana" w:hAnsi="Verdana"/>
        </w:rPr>
      </w:pPr>
    </w:p>
    <w:p w14:paraId="59020C55" w14:textId="77777777" w:rsidR="00BB7BFA" w:rsidRDefault="00BB7BFA" w:rsidP="00EA7F35">
      <w:pPr>
        <w:spacing w:after="0" w:line="240" w:lineRule="auto"/>
        <w:jc w:val="both"/>
        <w:rPr>
          <w:rFonts w:ascii="Verdana" w:hAnsi="Verdana"/>
        </w:rPr>
      </w:pPr>
    </w:p>
    <w:p w14:paraId="1D346038" w14:textId="77777777" w:rsidR="00BB7BFA" w:rsidRDefault="00BB7BFA" w:rsidP="00EA7F35">
      <w:pPr>
        <w:spacing w:after="0" w:line="240" w:lineRule="auto"/>
        <w:jc w:val="both"/>
        <w:rPr>
          <w:rFonts w:ascii="Verdana" w:hAnsi="Verdana"/>
        </w:rPr>
      </w:pPr>
    </w:p>
    <w:p w14:paraId="4F4CE1C9" w14:textId="77777777" w:rsidR="00BB7BFA" w:rsidRDefault="00BB7BFA" w:rsidP="00EA7F35">
      <w:pPr>
        <w:spacing w:after="0" w:line="240" w:lineRule="auto"/>
        <w:jc w:val="both"/>
        <w:rPr>
          <w:rFonts w:ascii="Verdana" w:hAnsi="Verdana"/>
        </w:rPr>
      </w:pPr>
    </w:p>
    <w:p w14:paraId="3DC61999" w14:textId="77777777" w:rsidR="00BB7BFA" w:rsidRDefault="00BB7BFA" w:rsidP="00EA7F35">
      <w:pPr>
        <w:spacing w:after="0" w:line="240" w:lineRule="auto"/>
        <w:jc w:val="both"/>
        <w:rPr>
          <w:rFonts w:ascii="Verdana" w:hAnsi="Verdana"/>
        </w:rPr>
      </w:pPr>
    </w:p>
    <w:p w14:paraId="2B7A5161" w14:textId="77777777" w:rsidR="00BB7BFA" w:rsidRDefault="00BB7BFA" w:rsidP="00EA7F35">
      <w:pPr>
        <w:spacing w:after="0" w:line="240" w:lineRule="auto"/>
        <w:jc w:val="both"/>
        <w:rPr>
          <w:rFonts w:ascii="Verdana" w:hAnsi="Verdana"/>
        </w:rPr>
      </w:pPr>
    </w:p>
    <w:p w14:paraId="60699087" w14:textId="77777777" w:rsidR="00BB7BFA" w:rsidRDefault="00BB7BFA" w:rsidP="00EA7F35">
      <w:pPr>
        <w:spacing w:after="0" w:line="240" w:lineRule="auto"/>
        <w:jc w:val="both"/>
        <w:rPr>
          <w:rFonts w:ascii="Verdana" w:hAnsi="Verdana"/>
        </w:rPr>
      </w:pPr>
    </w:p>
    <w:p w14:paraId="7459A15F" w14:textId="77777777" w:rsidR="00BB7BFA" w:rsidRDefault="00BB7BFA" w:rsidP="00EA7F35">
      <w:pPr>
        <w:spacing w:after="0" w:line="240" w:lineRule="auto"/>
        <w:jc w:val="both"/>
        <w:rPr>
          <w:rFonts w:ascii="Verdana" w:hAnsi="Verdana"/>
        </w:rPr>
      </w:pPr>
    </w:p>
    <w:p w14:paraId="20D31A07" w14:textId="77777777" w:rsidR="00BB7BFA" w:rsidRDefault="00BB7BFA" w:rsidP="00EA7F35">
      <w:pPr>
        <w:spacing w:after="0" w:line="240" w:lineRule="auto"/>
        <w:jc w:val="both"/>
        <w:rPr>
          <w:rFonts w:ascii="Verdana" w:hAnsi="Verdana"/>
        </w:rPr>
      </w:pPr>
    </w:p>
    <w:p w14:paraId="01C5413D" w14:textId="77777777" w:rsidR="00BB7BFA" w:rsidRDefault="00BB7BFA" w:rsidP="00EA7F35">
      <w:pPr>
        <w:spacing w:after="0" w:line="240" w:lineRule="auto"/>
        <w:jc w:val="both"/>
        <w:rPr>
          <w:rFonts w:ascii="Verdana" w:hAnsi="Verdana"/>
        </w:rPr>
      </w:pPr>
    </w:p>
    <w:p w14:paraId="34E6B6DD" w14:textId="77777777" w:rsidR="00BB7BFA" w:rsidRDefault="00BB7BFA" w:rsidP="00EA7F35">
      <w:pPr>
        <w:spacing w:after="0" w:line="240" w:lineRule="auto"/>
        <w:jc w:val="both"/>
        <w:rPr>
          <w:rFonts w:ascii="Verdana" w:hAnsi="Verdana"/>
        </w:rPr>
      </w:pPr>
    </w:p>
    <w:p w14:paraId="72C719F6" w14:textId="77777777" w:rsidR="00BB7BFA" w:rsidRDefault="00BB7BFA" w:rsidP="00EA7F35">
      <w:pPr>
        <w:spacing w:after="0" w:line="240" w:lineRule="auto"/>
        <w:jc w:val="both"/>
        <w:rPr>
          <w:rFonts w:ascii="Verdana" w:hAnsi="Verdana"/>
        </w:rPr>
      </w:pPr>
    </w:p>
    <w:p w14:paraId="23D763B5" w14:textId="77777777" w:rsidR="00BB7BFA" w:rsidRDefault="00BB7BFA" w:rsidP="00EA7F35">
      <w:pPr>
        <w:spacing w:after="0" w:line="240" w:lineRule="auto"/>
        <w:jc w:val="both"/>
        <w:rPr>
          <w:rFonts w:ascii="Verdana" w:hAnsi="Verdana"/>
        </w:rPr>
      </w:pPr>
    </w:p>
    <w:p w14:paraId="67EAA167" w14:textId="77777777" w:rsidR="00BB7BFA" w:rsidRDefault="00BB7BFA" w:rsidP="00EA7F35">
      <w:pPr>
        <w:spacing w:after="0" w:line="240" w:lineRule="auto"/>
        <w:jc w:val="both"/>
        <w:rPr>
          <w:rFonts w:ascii="Verdana" w:hAnsi="Verdana"/>
        </w:rPr>
      </w:pPr>
    </w:p>
    <w:p w14:paraId="1BA3C5F6" w14:textId="77777777" w:rsidR="00BB7BFA" w:rsidRDefault="00BB7BFA" w:rsidP="00EA7F35">
      <w:pPr>
        <w:spacing w:after="0" w:line="240" w:lineRule="auto"/>
        <w:jc w:val="both"/>
        <w:rPr>
          <w:rFonts w:ascii="Verdana" w:hAnsi="Verdana"/>
        </w:rPr>
      </w:pPr>
    </w:p>
    <w:p w14:paraId="72E21B9B" w14:textId="77777777" w:rsidR="00BB7BFA" w:rsidRDefault="00BB7BFA" w:rsidP="00EA7F35">
      <w:pPr>
        <w:spacing w:after="0" w:line="240" w:lineRule="auto"/>
        <w:jc w:val="both"/>
        <w:rPr>
          <w:rFonts w:ascii="Verdana" w:hAnsi="Verdana"/>
        </w:rPr>
      </w:pPr>
    </w:p>
    <w:p w14:paraId="1D7B826D" w14:textId="77777777" w:rsidR="00BB7BFA" w:rsidRDefault="00BB7BFA" w:rsidP="00EA7F35">
      <w:pPr>
        <w:spacing w:after="0" w:line="240" w:lineRule="auto"/>
        <w:jc w:val="both"/>
        <w:rPr>
          <w:rFonts w:ascii="Verdana" w:hAnsi="Verdana"/>
        </w:rPr>
      </w:pPr>
    </w:p>
    <w:p w14:paraId="7B7D6561" w14:textId="77777777" w:rsidR="006A4548" w:rsidRDefault="006A4548" w:rsidP="00EA7F35">
      <w:pPr>
        <w:spacing w:after="0" w:line="240" w:lineRule="auto"/>
        <w:jc w:val="both"/>
        <w:rPr>
          <w:rFonts w:ascii="Verdana" w:hAnsi="Verdana"/>
        </w:rPr>
      </w:pPr>
    </w:p>
    <w:p w14:paraId="1176FFA6" w14:textId="77777777" w:rsidR="006A4548" w:rsidRDefault="006A4548" w:rsidP="00EA7F35">
      <w:pPr>
        <w:spacing w:after="0" w:line="240" w:lineRule="auto"/>
        <w:jc w:val="both"/>
        <w:rPr>
          <w:rFonts w:ascii="Verdana" w:hAnsi="Verdana"/>
        </w:rPr>
      </w:pPr>
    </w:p>
    <w:p w14:paraId="5BE19902" w14:textId="77777777" w:rsidR="006A4548" w:rsidRDefault="006A4548" w:rsidP="00EA7F35">
      <w:pPr>
        <w:spacing w:after="0" w:line="240" w:lineRule="auto"/>
        <w:jc w:val="both"/>
        <w:rPr>
          <w:rFonts w:ascii="Verdana" w:hAnsi="Verdana"/>
        </w:rPr>
      </w:pPr>
    </w:p>
    <w:p w14:paraId="4080235A" w14:textId="77777777" w:rsidR="006A4548" w:rsidRDefault="006A4548" w:rsidP="00EA7F35">
      <w:pPr>
        <w:spacing w:after="0" w:line="240" w:lineRule="auto"/>
        <w:jc w:val="both"/>
        <w:rPr>
          <w:rFonts w:ascii="Verdana" w:hAnsi="Verdana"/>
        </w:rPr>
      </w:pPr>
    </w:p>
    <w:p w14:paraId="78D8E829" w14:textId="77777777" w:rsidR="000C04A5" w:rsidRDefault="000C04A5" w:rsidP="00494E8C">
      <w:pPr>
        <w:spacing w:after="0" w:line="240" w:lineRule="auto"/>
        <w:jc w:val="both"/>
        <w:rPr>
          <w:rFonts w:ascii="Verdana" w:hAnsi="Verdana"/>
        </w:rPr>
      </w:pPr>
    </w:p>
    <w:p w14:paraId="257E2603" w14:textId="53798B11" w:rsidR="00EA7F35" w:rsidRPr="008E4F36" w:rsidRDefault="00494E8C" w:rsidP="00494E8C">
      <w:pPr>
        <w:spacing w:after="0" w:line="240" w:lineRule="auto"/>
        <w:jc w:val="both"/>
        <w:rPr>
          <w:rFonts w:ascii="Verdana" w:hAnsi="Verdana"/>
        </w:rPr>
      </w:pPr>
      <w:r w:rsidRPr="00494E8C">
        <w:rPr>
          <w:rFonts w:ascii="Verdana" w:hAnsi="Verdana"/>
        </w:rPr>
        <w:t xml:space="preserve">Bogotá D.C., 09 </w:t>
      </w:r>
      <w:r w:rsidR="000C04A5" w:rsidRPr="00494E8C">
        <w:rPr>
          <w:rFonts w:ascii="Verdana" w:hAnsi="Verdana"/>
        </w:rPr>
        <w:t>septiembre</w:t>
      </w:r>
      <w:r w:rsidRPr="00494E8C">
        <w:rPr>
          <w:rFonts w:ascii="Verdana" w:hAnsi="Verdana"/>
        </w:rPr>
        <w:t xml:space="preserve"> 2026</w:t>
      </w:r>
    </w:p>
    <w:p w14:paraId="7384FF81" w14:textId="5DD9081A" w:rsidR="00EA7F35" w:rsidRPr="008E4F36" w:rsidRDefault="00B24558" w:rsidP="00EA7F35">
      <w:pPr>
        <w:spacing w:after="0" w:line="240" w:lineRule="auto"/>
        <w:jc w:val="both"/>
        <w:rPr>
          <w:rFonts w:ascii="Verdana" w:eastAsia="Calibri" w:hAnsi="Verdana" w:cs="Arial"/>
          <w:lang w:eastAsia="es-ES"/>
        </w:rPr>
      </w:pPr>
      <w:bookmarkStart w:id="0" w:name="_Hlk197462763"/>
      <w:bookmarkStart w:id="1" w:name="_Hlk197529996"/>
      <w:r w:rsidRPr="00B24558">
        <w:rPr>
          <w:rFonts w:ascii="Verdana" w:eastAsia="Calibri" w:hAnsi="Verdana" w:cs="Arial"/>
          <w:lang w:eastAsia="es-ES"/>
        </w:rPr>
        <w:drawing>
          <wp:anchor distT="0" distB="0" distL="114300" distR="114300" simplePos="0" relativeHeight="251658240" behindDoc="1" locked="0" layoutInCell="1" allowOverlap="1" wp14:anchorId="7C3925F6" wp14:editId="58A753E2">
            <wp:simplePos x="0" y="0"/>
            <wp:positionH relativeFrom="column">
              <wp:posOffset>3412686</wp:posOffset>
            </wp:positionH>
            <wp:positionV relativeFrom="paragraph">
              <wp:posOffset>22615</wp:posOffset>
            </wp:positionV>
            <wp:extent cx="2619375" cy="733425"/>
            <wp:effectExtent l="0" t="0" r="9525" b="9525"/>
            <wp:wrapTight wrapText="bothSides">
              <wp:wrapPolygon edited="0">
                <wp:start x="0" y="0"/>
                <wp:lineTo x="0" y="21319"/>
                <wp:lineTo x="21521" y="21319"/>
                <wp:lineTo x="21521" y="0"/>
                <wp:lineTo x="0" y="0"/>
              </wp:wrapPolygon>
            </wp:wrapTight>
            <wp:docPr id="7984383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38358" name=""/>
                    <pic:cNvPicPr/>
                  </pic:nvPicPr>
                  <pic:blipFill>
                    <a:blip r:embed="rId10">
                      <a:extLst>
                        <a:ext uri="{28A0092B-C50C-407E-A947-70E740481C1C}">
                          <a14:useLocalDpi xmlns:a14="http://schemas.microsoft.com/office/drawing/2010/main" val="0"/>
                        </a:ext>
                      </a:extLst>
                    </a:blip>
                    <a:stretch>
                      <a:fillRect/>
                    </a:stretch>
                  </pic:blipFill>
                  <pic:spPr>
                    <a:xfrm>
                      <a:off x="0" y="0"/>
                      <a:ext cx="2619375" cy="733425"/>
                    </a:xfrm>
                    <a:prstGeom prst="rect">
                      <a:avLst/>
                    </a:prstGeom>
                  </pic:spPr>
                </pic:pic>
              </a:graphicData>
            </a:graphic>
          </wp:anchor>
        </w:drawing>
      </w:r>
    </w:p>
    <w:p w14:paraId="504ADD77" w14:textId="6B740B0E" w:rsidR="00EA7F35" w:rsidRDefault="00EA7F35" w:rsidP="00EA7F35">
      <w:pPr>
        <w:spacing w:after="0" w:line="240" w:lineRule="auto"/>
        <w:jc w:val="both"/>
        <w:rPr>
          <w:rFonts w:ascii="Verdana" w:eastAsia="Calibri" w:hAnsi="Verdana" w:cs="Arial"/>
          <w:lang w:eastAsia="es-ES"/>
        </w:rPr>
      </w:pPr>
    </w:p>
    <w:p w14:paraId="631F03C2" w14:textId="72422DD9" w:rsidR="00EA7F35" w:rsidRDefault="00EA7F35" w:rsidP="00EA7F35">
      <w:pPr>
        <w:spacing w:after="0" w:line="240" w:lineRule="auto"/>
        <w:jc w:val="both"/>
        <w:rPr>
          <w:rFonts w:ascii="Verdana" w:eastAsia="Calibri" w:hAnsi="Verdana" w:cs="Arial"/>
          <w:lang w:eastAsia="es-ES"/>
        </w:rPr>
      </w:pPr>
      <w:r>
        <w:rPr>
          <w:rFonts w:ascii="Verdana" w:eastAsia="Calibri" w:hAnsi="Verdana" w:cs="Arial"/>
          <w:lang w:eastAsia="es-ES"/>
        </w:rPr>
        <w:t>Doctora</w:t>
      </w:r>
    </w:p>
    <w:p w14:paraId="37E00809" w14:textId="77777777" w:rsidR="00EA7F35" w:rsidRPr="008B65F8" w:rsidRDefault="00EA7F35" w:rsidP="00EA7F35">
      <w:pPr>
        <w:spacing w:after="0" w:line="240" w:lineRule="auto"/>
        <w:jc w:val="both"/>
        <w:rPr>
          <w:rFonts w:ascii="Verdana" w:eastAsia="Calibri" w:hAnsi="Verdana" w:cs="Arial"/>
          <w:b/>
          <w:bCs/>
          <w:lang w:eastAsia="es-ES"/>
        </w:rPr>
      </w:pPr>
      <w:r w:rsidRPr="00123D2C">
        <w:rPr>
          <w:rFonts w:ascii="Verdana" w:eastAsia="Calibri" w:hAnsi="Verdana" w:cs="Arial"/>
          <w:b/>
          <w:bCs/>
          <w:lang w:eastAsia="es-ES"/>
        </w:rPr>
        <w:t>Angela Patricia</w:t>
      </w:r>
      <w:r>
        <w:rPr>
          <w:rFonts w:ascii="Verdana" w:eastAsia="Calibri" w:hAnsi="Verdana" w:cs="Arial"/>
          <w:b/>
          <w:bCs/>
          <w:lang w:eastAsia="es-ES"/>
        </w:rPr>
        <w:t xml:space="preserve"> </w:t>
      </w:r>
      <w:r w:rsidRPr="00123D2C">
        <w:rPr>
          <w:rFonts w:ascii="Verdana" w:eastAsia="Calibri" w:hAnsi="Verdana" w:cs="Arial"/>
          <w:b/>
          <w:bCs/>
          <w:lang w:eastAsia="es-ES"/>
        </w:rPr>
        <w:t>García Mendieta</w:t>
      </w:r>
      <w:r>
        <w:rPr>
          <w:rFonts w:ascii="Verdana" w:eastAsia="Calibri" w:hAnsi="Verdana" w:cs="Arial"/>
          <w:b/>
          <w:bCs/>
          <w:lang w:eastAsia="es-ES"/>
        </w:rPr>
        <w:t xml:space="preserve"> </w:t>
      </w:r>
    </w:p>
    <w:p w14:paraId="28A123F4" w14:textId="77777777" w:rsidR="00EA7F35" w:rsidRPr="00941A3D" w:rsidRDefault="00EA7F35" w:rsidP="00EA7F35">
      <w:pPr>
        <w:spacing w:after="0" w:line="240" w:lineRule="auto"/>
        <w:jc w:val="both"/>
        <w:rPr>
          <w:rFonts w:ascii="Verdana" w:eastAsia="Calibri" w:hAnsi="Verdana" w:cs="Arial"/>
          <w:bCs/>
          <w:color w:val="000099"/>
          <w:lang w:eastAsia="es-ES_tradnl"/>
        </w:rPr>
      </w:pPr>
      <w:r w:rsidRPr="00CA7D4F">
        <w:rPr>
          <w:rFonts w:ascii="Verdana" w:eastAsia="Calibri" w:hAnsi="Verdana" w:cs="Arial"/>
          <w:bCs/>
          <w:color w:val="000099"/>
          <w:lang w:eastAsia="es-ES_tradnl"/>
        </w:rPr>
        <w:t>jefeoficinajuridica@crc.gov.co</w:t>
      </w:r>
      <w:r>
        <w:rPr>
          <w:rFonts w:ascii="Verdana" w:eastAsia="Calibri" w:hAnsi="Verdana" w:cs="Arial"/>
          <w:bCs/>
          <w:color w:val="000099"/>
          <w:lang w:eastAsia="es-ES_tradnl"/>
        </w:rPr>
        <w:t xml:space="preserve"> </w:t>
      </w:r>
    </w:p>
    <w:p w14:paraId="48ED0395" w14:textId="77777777" w:rsidR="00EA7F35" w:rsidRDefault="00EA7F35" w:rsidP="00EA7F35">
      <w:pPr>
        <w:spacing w:after="0" w:line="240" w:lineRule="auto"/>
        <w:jc w:val="both"/>
        <w:rPr>
          <w:rFonts w:ascii="Verdana" w:eastAsia="Calibri" w:hAnsi="Verdana" w:cs="Arial"/>
          <w:bCs/>
          <w:lang w:eastAsia="es-ES_tradnl"/>
        </w:rPr>
      </w:pPr>
      <w:r>
        <w:rPr>
          <w:rFonts w:ascii="Verdana" w:eastAsia="Calibri" w:hAnsi="Verdana" w:cs="Arial"/>
          <w:bCs/>
          <w:lang w:eastAsia="es-ES_tradnl"/>
        </w:rPr>
        <w:t>Ciudad</w:t>
      </w:r>
    </w:p>
    <w:p w14:paraId="47AF50F5" w14:textId="77777777" w:rsidR="00EA7F35" w:rsidRPr="004E1BE4" w:rsidRDefault="00EA7F35" w:rsidP="00EA7F35">
      <w:pPr>
        <w:spacing w:after="0" w:line="240" w:lineRule="auto"/>
        <w:jc w:val="both"/>
        <w:rPr>
          <w:rFonts w:ascii="Verdana" w:eastAsia="Calibri" w:hAnsi="Verdana" w:cs="Arial"/>
          <w:bCs/>
          <w:lang w:eastAsia="es-ES_tradnl"/>
        </w:rPr>
      </w:pPr>
    </w:p>
    <w:p w14:paraId="2BC19B13" w14:textId="77777777" w:rsidR="00EA7F35" w:rsidRPr="005B4C57" w:rsidRDefault="00EA7F35" w:rsidP="00EA7F35">
      <w:pPr>
        <w:spacing w:after="0" w:line="240" w:lineRule="auto"/>
        <w:jc w:val="both"/>
        <w:rPr>
          <w:rFonts w:ascii="Verdana" w:eastAsia="Calibri" w:hAnsi="Verdana" w:cs="Arial"/>
          <w:b/>
          <w:bCs/>
          <w:color w:val="000000"/>
          <w:lang w:val="it-CH"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5670"/>
      </w:tblGrid>
      <w:tr w:rsidR="00EA7F35" w:rsidRPr="002842E0" w14:paraId="09BEBFA2" w14:textId="77777777" w:rsidTr="00610124">
        <w:trPr>
          <w:trHeight w:val="162"/>
        </w:trPr>
        <w:tc>
          <w:tcPr>
            <w:tcW w:w="3119" w:type="dxa"/>
          </w:tcPr>
          <w:p w14:paraId="3D66FA19" w14:textId="77777777" w:rsidR="00EA7F35" w:rsidRPr="005B4C57" w:rsidRDefault="00EA7F35" w:rsidP="00610124">
            <w:pPr>
              <w:jc w:val="both"/>
              <w:rPr>
                <w:rFonts w:ascii="Verdana" w:eastAsia="Calibri" w:hAnsi="Verdana" w:cs="Arial"/>
                <w:b/>
                <w:bCs/>
                <w:color w:val="7030A0"/>
                <w:lang w:val="it-CH" w:eastAsia="es-ES_tradnl"/>
              </w:rPr>
            </w:pPr>
          </w:p>
        </w:tc>
        <w:tc>
          <w:tcPr>
            <w:tcW w:w="5670" w:type="dxa"/>
          </w:tcPr>
          <w:p w14:paraId="329574E3" w14:textId="77777777" w:rsidR="00EA7F35" w:rsidRPr="00801462" w:rsidRDefault="00EA7F35" w:rsidP="00610124">
            <w:pPr>
              <w:jc w:val="both"/>
              <w:rPr>
                <w:rFonts w:ascii="Verdana" w:eastAsia="Calibri" w:hAnsi="Verdana" w:cs="Arial"/>
                <w:b/>
                <w:bCs/>
                <w:lang w:eastAsia="es-ES"/>
              </w:rPr>
            </w:pPr>
            <w:r w:rsidRPr="00083AB6">
              <w:rPr>
                <w:rFonts w:ascii="Verdana" w:eastAsia="Calibri" w:hAnsi="Verdana" w:cs="Arial"/>
                <w:b/>
                <w:bCs/>
                <w:lang w:eastAsia="es-ES"/>
              </w:rPr>
              <w:t xml:space="preserve">Concepto C- </w:t>
            </w:r>
            <w:r>
              <w:rPr>
                <w:rFonts w:ascii="Verdana" w:eastAsia="Calibri" w:hAnsi="Verdana" w:cs="Arial"/>
                <w:b/>
                <w:bCs/>
                <w:lang w:eastAsia="es-ES"/>
              </w:rPr>
              <w:t>1204 de 2026</w:t>
            </w:r>
          </w:p>
          <w:p w14:paraId="2AB20035" w14:textId="77777777" w:rsidR="00EA7F35" w:rsidRPr="00801462" w:rsidRDefault="00EA7F35" w:rsidP="00610124">
            <w:pPr>
              <w:jc w:val="both"/>
              <w:rPr>
                <w:rFonts w:ascii="Verdana" w:eastAsia="Calibri" w:hAnsi="Verdana" w:cs="Arial"/>
                <w:b/>
                <w:bCs/>
                <w:color w:val="7030A0"/>
                <w:lang w:eastAsia="es-ES"/>
              </w:rPr>
            </w:pPr>
          </w:p>
        </w:tc>
      </w:tr>
      <w:tr w:rsidR="00EA7F35" w:rsidRPr="002842E0" w14:paraId="11AE0DEA" w14:textId="77777777" w:rsidTr="00610124">
        <w:trPr>
          <w:trHeight w:val="884"/>
        </w:trPr>
        <w:tc>
          <w:tcPr>
            <w:tcW w:w="3119" w:type="dxa"/>
          </w:tcPr>
          <w:p w14:paraId="75CA5D2D" w14:textId="77777777" w:rsidR="00EA7F35" w:rsidRPr="00801462" w:rsidRDefault="00EA7F35" w:rsidP="00610124">
            <w:pPr>
              <w:jc w:val="both"/>
              <w:rPr>
                <w:rFonts w:ascii="Verdana" w:eastAsia="Calibri" w:hAnsi="Verdana" w:cs="Arial"/>
                <w:color w:val="000000"/>
                <w:lang w:eastAsia="es-ES_tradnl"/>
              </w:rPr>
            </w:pPr>
            <w:r w:rsidRPr="00801462">
              <w:rPr>
                <w:rFonts w:ascii="Verdana" w:eastAsia="Calibri" w:hAnsi="Verdana" w:cs="Arial"/>
                <w:b/>
                <w:color w:val="000000"/>
                <w:lang w:eastAsia="es-ES_tradnl"/>
              </w:rPr>
              <w:t>Temas:</w:t>
            </w:r>
            <w:r w:rsidRPr="00801462">
              <w:rPr>
                <w:rFonts w:ascii="Verdana" w:eastAsia="Calibri" w:hAnsi="Verdana" w:cs="Arial"/>
                <w:color w:val="000000"/>
                <w:lang w:eastAsia="es-ES_tradnl"/>
              </w:rPr>
              <w:t xml:space="preserve">                   </w:t>
            </w:r>
          </w:p>
        </w:tc>
        <w:tc>
          <w:tcPr>
            <w:tcW w:w="5670" w:type="dxa"/>
          </w:tcPr>
          <w:p w14:paraId="6F657172" w14:textId="77777777" w:rsidR="00EA7F35" w:rsidRDefault="00EA7F35" w:rsidP="00610124">
            <w:pPr>
              <w:spacing w:line="276" w:lineRule="auto"/>
              <w:jc w:val="both"/>
              <w:rPr>
                <w:rFonts w:ascii="Verdana" w:eastAsia="Calibri" w:hAnsi="Verdana" w:cs="Arial"/>
                <w:lang w:eastAsia="es-ES"/>
              </w:rPr>
            </w:pPr>
            <w:r w:rsidRPr="00132CCC">
              <w:rPr>
                <w:rFonts w:ascii="Verdana" w:eastAsia="Calibri" w:hAnsi="Verdana" w:cs="Arial"/>
                <w:lang w:eastAsia="es-ES"/>
              </w:rPr>
              <w:t xml:space="preserve">CONVOCATORIAS LIMITADAS A MIPYMES NACIONALES – Requisitos – </w:t>
            </w:r>
            <w:r>
              <w:rPr>
                <w:rFonts w:ascii="Verdana" w:eastAsia="Calibri" w:hAnsi="Verdana" w:cs="Arial"/>
                <w:lang w:eastAsia="es-ES"/>
              </w:rPr>
              <w:t>P</w:t>
            </w:r>
            <w:r w:rsidRPr="00132CCC">
              <w:rPr>
                <w:rFonts w:ascii="Verdana" w:eastAsia="Calibri" w:hAnsi="Verdana" w:cs="Arial"/>
                <w:lang w:eastAsia="es-ES"/>
              </w:rPr>
              <w:t>resupuestos mínimos</w:t>
            </w:r>
            <w:r>
              <w:rPr>
                <w:rFonts w:ascii="Verdana" w:eastAsia="Calibri" w:hAnsi="Verdana" w:cs="Arial"/>
                <w:lang w:eastAsia="es-ES"/>
              </w:rPr>
              <w:t xml:space="preserve"> / </w:t>
            </w:r>
            <w:r w:rsidRPr="00132CCC">
              <w:rPr>
                <w:rFonts w:ascii="Verdana" w:eastAsia="Calibri" w:hAnsi="Verdana" w:cs="Arial"/>
                <w:lang w:eastAsia="es-ES"/>
              </w:rPr>
              <w:t>CONVOCATORIAS LIMITADAS A MIPYMES EN EL ÁMBITO TERRITORIAL – Limitación territorial – Facultad discrecional</w:t>
            </w:r>
            <w:r>
              <w:rPr>
                <w:rFonts w:ascii="Verdana" w:eastAsia="Calibri" w:hAnsi="Verdana" w:cs="Arial"/>
                <w:lang w:eastAsia="es-ES"/>
              </w:rPr>
              <w:t xml:space="preserve"> / </w:t>
            </w:r>
            <w:r w:rsidRPr="00D63FDA">
              <w:rPr>
                <w:rFonts w:ascii="Verdana" w:eastAsia="Calibri" w:hAnsi="Verdana" w:cs="Arial"/>
                <w:lang w:eastAsia="es-ES"/>
              </w:rPr>
              <w:t>CONVOCATORIAS LIMITADAS A MIPYMES EN EL ÁMBITO TERRITORIAL – Domicilio en lugar de ejecución</w:t>
            </w:r>
            <w:r>
              <w:rPr>
                <w:rFonts w:ascii="Verdana" w:eastAsia="Calibri" w:hAnsi="Verdana" w:cs="Arial"/>
                <w:lang w:eastAsia="es-ES"/>
              </w:rPr>
              <w:t xml:space="preserve"> / </w:t>
            </w:r>
            <w:r w:rsidRPr="00D63FDA">
              <w:rPr>
                <w:rFonts w:ascii="Verdana" w:eastAsia="Calibri" w:hAnsi="Verdana" w:cs="Arial"/>
                <w:lang w:eastAsia="es-ES"/>
              </w:rPr>
              <w:t>CONVOCATORIAS LIMITADAS A MIPYMES EN EL ÁMBITO TERRITORIAL –</w:t>
            </w:r>
            <w:r>
              <w:rPr>
                <w:rFonts w:ascii="Verdana" w:eastAsia="Calibri" w:hAnsi="Verdana" w:cs="Arial"/>
                <w:lang w:eastAsia="es-ES"/>
              </w:rPr>
              <w:t xml:space="preserve"> C</w:t>
            </w:r>
            <w:r w:rsidRPr="00D63FDA">
              <w:rPr>
                <w:rFonts w:ascii="Verdana" w:eastAsia="Calibri" w:hAnsi="Verdana" w:cs="Arial"/>
                <w:lang w:eastAsia="es-ES"/>
              </w:rPr>
              <w:t>ircunscripciones municipal y departamental</w:t>
            </w:r>
            <w:r>
              <w:rPr>
                <w:rFonts w:ascii="Verdana" w:eastAsia="Calibri" w:hAnsi="Verdana" w:cs="Arial"/>
                <w:lang w:eastAsia="es-ES"/>
              </w:rPr>
              <w:t xml:space="preserve"> </w:t>
            </w:r>
          </w:p>
          <w:p w14:paraId="21BE040C" w14:textId="77777777" w:rsidR="00EA7F35" w:rsidRPr="00E93CDA" w:rsidRDefault="00EA7F35" w:rsidP="00610124">
            <w:pPr>
              <w:jc w:val="both"/>
              <w:rPr>
                <w:rFonts w:ascii="Verdana" w:eastAsia="Calibri" w:hAnsi="Verdana" w:cs="Arial"/>
                <w:lang w:eastAsia="es-ES"/>
              </w:rPr>
            </w:pPr>
          </w:p>
        </w:tc>
      </w:tr>
      <w:tr w:rsidR="00EA7F35" w:rsidRPr="002842E0" w14:paraId="12313558" w14:textId="77777777" w:rsidTr="00610124">
        <w:tc>
          <w:tcPr>
            <w:tcW w:w="3119" w:type="dxa"/>
          </w:tcPr>
          <w:p w14:paraId="5D587D68" w14:textId="77777777" w:rsidR="00EA7F35" w:rsidRPr="00801462" w:rsidRDefault="00EA7F35" w:rsidP="00610124">
            <w:pPr>
              <w:jc w:val="both"/>
              <w:rPr>
                <w:rFonts w:ascii="Verdana" w:eastAsia="Calibri" w:hAnsi="Verdana" w:cs="Arial"/>
                <w:b/>
                <w:lang w:eastAsia="es-ES_tradnl"/>
              </w:rPr>
            </w:pPr>
            <w:r w:rsidRPr="00801462">
              <w:rPr>
                <w:rFonts w:ascii="Verdana" w:eastAsia="Calibri" w:hAnsi="Verdana" w:cs="Arial"/>
                <w:b/>
                <w:lang w:eastAsia="es-ES_tradnl"/>
              </w:rPr>
              <w:t>Radicación:</w:t>
            </w:r>
            <w:r w:rsidRPr="00801462">
              <w:rPr>
                <w:rFonts w:ascii="Verdana" w:eastAsia="Calibri" w:hAnsi="Verdana" w:cs="Arial"/>
                <w:lang w:eastAsia="es-ES_tradnl"/>
              </w:rPr>
              <w:t xml:space="preserve">               </w:t>
            </w:r>
          </w:p>
        </w:tc>
        <w:tc>
          <w:tcPr>
            <w:tcW w:w="5670" w:type="dxa"/>
          </w:tcPr>
          <w:p w14:paraId="26CFEFDA" w14:textId="77777777" w:rsidR="00EA7F35" w:rsidRPr="003561FE" w:rsidRDefault="00EA7F35" w:rsidP="00610124">
            <w:pPr>
              <w:jc w:val="both"/>
              <w:rPr>
                <w:rFonts w:ascii="Verdana" w:eastAsia="Calibri" w:hAnsi="Verdana" w:cs="Arial"/>
                <w:color w:val="000000" w:themeColor="text1"/>
                <w:lang w:eastAsia="es-ES_tradnl"/>
              </w:rPr>
            </w:pPr>
            <w:r w:rsidRPr="003561FE">
              <w:rPr>
                <w:rFonts w:ascii="Verdana" w:eastAsia="Calibri" w:hAnsi="Verdana" w:cs="Arial"/>
                <w:lang w:eastAsia="es-ES_tradnl"/>
              </w:rPr>
              <w:t xml:space="preserve">Respuesta a consulta con radicado </w:t>
            </w:r>
            <w:r w:rsidRPr="003561FE">
              <w:rPr>
                <w:rFonts w:ascii="Verdana" w:hAnsi="Verdana"/>
                <w:color w:val="242424"/>
              </w:rPr>
              <w:t>1_2026_07_30_010049</w:t>
            </w:r>
            <w:r w:rsidRPr="002C6D5B">
              <w:rPr>
                <w:rFonts w:ascii="Verdana" w:eastAsia="Calibri" w:hAnsi="Verdana" w:cs="Arial"/>
                <w:color w:val="000000" w:themeColor="text1"/>
                <w:lang w:eastAsia="es-ES_tradnl"/>
              </w:rPr>
              <w:t xml:space="preserve"> </w:t>
            </w:r>
          </w:p>
        </w:tc>
      </w:tr>
    </w:tbl>
    <w:p w14:paraId="04D83ED3" w14:textId="77777777" w:rsidR="00EA7F35" w:rsidRDefault="00EA7F35" w:rsidP="00EA7F35">
      <w:pPr>
        <w:spacing w:after="0" w:line="276" w:lineRule="auto"/>
        <w:jc w:val="both"/>
        <w:rPr>
          <w:rFonts w:ascii="Verdana" w:eastAsia="Calibri" w:hAnsi="Verdana" w:cs="Arial"/>
          <w:lang w:eastAsia="es-ES_tradnl"/>
        </w:rPr>
      </w:pPr>
    </w:p>
    <w:p w14:paraId="76EECD8F" w14:textId="77777777" w:rsidR="00EA7F35" w:rsidRPr="008E4F36" w:rsidRDefault="00EA7F35" w:rsidP="00EA7F35">
      <w:pPr>
        <w:spacing w:after="0" w:line="276" w:lineRule="auto"/>
        <w:jc w:val="both"/>
        <w:rPr>
          <w:rFonts w:ascii="Verdana" w:eastAsia="Calibri" w:hAnsi="Verdana" w:cs="Arial"/>
          <w:lang w:eastAsia="es-ES"/>
        </w:rPr>
      </w:pPr>
      <w:r w:rsidRPr="00083AB6">
        <w:rPr>
          <w:rFonts w:ascii="Verdana" w:eastAsia="Calibri" w:hAnsi="Verdana" w:cs="Arial"/>
          <w:lang w:eastAsia="es-ES"/>
        </w:rPr>
        <w:t>Estimad</w:t>
      </w:r>
      <w:r>
        <w:rPr>
          <w:rFonts w:ascii="Verdana" w:eastAsia="Calibri" w:hAnsi="Verdana" w:cs="Arial"/>
          <w:lang w:eastAsia="es-ES"/>
        </w:rPr>
        <w:t xml:space="preserve">a Dra. </w:t>
      </w:r>
      <w:proofErr w:type="spellStart"/>
      <w:r>
        <w:rPr>
          <w:rFonts w:ascii="Verdana" w:eastAsia="Calibri" w:hAnsi="Verdana" w:cs="Arial"/>
          <w:lang w:eastAsia="es-ES"/>
        </w:rPr>
        <w:t>Garcia</w:t>
      </w:r>
      <w:proofErr w:type="spellEnd"/>
      <w:r w:rsidRPr="00083AB6">
        <w:rPr>
          <w:rFonts w:ascii="Verdana" w:eastAsia="Calibri" w:hAnsi="Verdana" w:cs="Arial"/>
          <w:lang w:eastAsia="es-ES"/>
        </w:rPr>
        <w:t>:</w:t>
      </w:r>
      <w:r w:rsidRPr="008E4F36">
        <w:rPr>
          <w:rFonts w:ascii="Verdana" w:eastAsia="Calibri" w:hAnsi="Verdana" w:cs="Arial"/>
          <w:lang w:eastAsia="es-ES"/>
        </w:rPr>
        <w:t xml:space="preserve"> </w:t>
      </w:r>
    </w:p>
    <w:p w14:paraId="4250EDE5" w14:textId="77777777" w:rsidR="00EA7F35" w:rsidRDefault="00EA7F35" w:rsidP="00EA7F35">
      <w:pPr>
        <w:tabs>
          <w:tab w:val="left" w:pos="3768"/>
        </w:tabs>
        <w:spacing w:after="0" w:line="240" w:lineRule="auto"/>
        <w:jc w:val="both"/>
        <w:rPr>
          <w:rFonts w:ascii="Verdana" w:eastAsia="Calibri" w:hAnsi="Verdana" w:cs="Arial"/>
          <w:lang w:eastAsia="es-ES"/>
        </w:rPr>
      </w:pPr>
    </w:p>
    <w:p w14:paraId="35C34947" w14:textId="77777777" w:rsidR="00EA7F35" w:rsidRPr="008E4F36" w:rsidRDefault="00EA7F35" w:rsidP="00EA7F35">
      <w:pPr>
        <w:tabs>
          <w:tab w:val="left" w:pos="3768"/>
        </w:tabs>
        <w:spacing w:after="0" w:line="276" w:lineRule="auto"/>
        <w:jc w:val="both"/>
        <w:rPr>
          <w:rFonts w:ascii="Verdana" w:eastAsia="Calibri" w:hAnsi="Verdana" w:cs="Arial"/>
          <w:lang w:eastAsia="es-ES"/>
        </w:rPr>
      </w:pPr>
      <w:r w:rsidRPr="000F2158">
        <w:rPr>
          <w:rFonts w:ascii="Verdana" w:eastAsia="Calibri" w:hAnsi="Verdana" w:cs="Arial"/>
          <w:lang w:eastAsia="es-ES"/>
        </w:rPr>
        <w:t xml:space="preserve">En ejercicio de la competencia otorgada por los artículos 3, numeral 5º, y 11, numeral 8º, del Decreto Ley 4170 de 2011, así como lo establecido en la Resolución </w:t>
      </w:r>
      <w:r>
        <w:rPr>
          <w:rFonts w:ascii="Verdana" w:eastAsia="Calibri" w:hAnsi="Verdana" w:cs="Arial"/>
          <w:lang w:eastAsia="es-ES"/>
        </w:rPr>
        <w:t>469 de 2025</w:t>
      </w:r>
      <w:r w:rsidRPr="000F2158">
        <w:rPr>
          <w:rFonts w:ascii="Verdana" w:eastAsia="Calibri" w:hAnsi="Verdana" w:cs="Arial"/>
          <w:lang w:eastAsia="es-ES"/>
        </w:rPr>
        <w:t xml:space="preserve"> expedida por esta Entidad, la Agencia Nacional de Contratación Pública – Colombia Compra Eficiente– responde su solicitud de consulta de fecha </w:t>
      </w:r>
      <w:r>
        <w:rPr>
          <w:rFonts w:ascii="Verdana" w:eastAsia="Calibri" w:hAnsi="Verdana" w:cs="Arial"/>
          <w:lang w:eastAsia="es-ES"/>
        </w:rPr>
        <w:t>30</w:t>
      </w:r>
      <w:r w:rsidRPr="00AF6D58">
        <w:rPr>
          <w:rFonts w:ascii="Verdana" w:eastAsia="Calibri" w:hAnsi="Verdana" w:cs="Arial"/>
          <w:lang w:eastAsia="es-ES"/>
        </w:rPr>
        <w:t xml:space="preserve"> de </w:t>
      </w:r>
      <w:r>
        <w:rPr>
          <w:rFonts w:ascii="Verdana" w:eastAsia="Calibri" w:hAnsi="Verdana" w:cs="Arial"/>
          <w:lang w:eastAsia="es-ES"/>
        </w:rPr>
        <w:t>julio</w:t>
      </w:r>
      <w:r w:rsidRPr="00AF6D58">
        <w:rPr>
          <w:rFonts w:ascii="Verdana" w:eastAsia="Calibri" w:hAnsi="Verdana" w:cs="Arial"/>
          <w:lang w:eastAsia="es-ES"/>
        </w:rPr>
        <w:t xml:space="preserve"> de 202</w:t>
      </w:r>
      <w:r>
        <w:rPr>
          <w:rFonts w:ascii="Verdana" w:eastAsia="Calibri" w:hAnsi="Verdana" w:cs="Arial"/>
          <w:lang w:eastAsia="es-ES"/>
        </w:rPr>
        <w:t>6</w:t>
      </w:r>
      <w:r w:rsidRPr="00AF6D58">
        <w:rPr>
          <w:rFonts w:ascii="Verdana" w:eastAsia="Calibri" w:hAnsi="Verdana" w:cs="Arial"/>
          <w:lang w:eastAsia="es-ES"/>
        </w:rPr>
        <w:t>,</w:t>
      </w:r>
      <w:r w:rsidRPr="000F2158">
        <w:rPr>
          <w:rFonts w:ascii="Verdana" w:eastAsia="Calibri" w:hAnsi="Verdana" w:cs="Arial"/>
          <w:lang w:eastAsia="es-ES"/>
        </w:rPr>
        <w:t xml:space="preserve"> en la cual manifiesta lo siguiente:</w:t>
      </w:r>
    </w:p>
    <w:p w14:paraId="1FDEEF87" w14:textId="77777777" w:rsidR="00EA7F35" w:rsidRPr="008C54F3" w:rsidRDefault="00EA7F35" w:rsidP="00EA7F35">
      <w:pPr>
        <w:spacing w:line="240" w:lineRule="auto"/>
        <w:ind w:left="709" w:right="709"/>
        <w:jc w:val="both"/>
        <w:rPr>
          <w:rFonts w:ascii="Verdana" w:eastAsia="Calibri" w:hAnsi="Verdana" w:cs="Arial"/>
          <w:color w:val="000000" w:themeColor="text1"/>
          <w:sz w:val="20"/>
          <w:szCs w:val="20"/>
        </w:rPr>
      </w:pPr>
    </w:p>
    <w:p w14:paraId="4697D380" w14:textId="77777777" w:rsidR="00EA7F35" w:rsidRDefault="00EA7F35" w:rsidP="00EA7F35">
      <w:pPr>
        <w:spacing w:after="0" w:line="240" w:lineRule="auto"/>
        <w:ind w:left="709" w:right="709"/>
        <w:jc w:val="both"/>
        <w:rPr>
          <w:rFonts w:ascii="Verdana" w:eastAsia="Calibri" w:hAnsi="Verdana" w:cs="Arial"/>
          <w:i/>
          <w:iCs/>
          <w:color w:val="000000" w:themeColor="text1"/>
          <w:sz w:val="20"/>
          <w:szCs w:val="20"/>
        </w:rPr>
      </w:pPr>
      <w:bookmarkStart w:id="2" w:name="_Hlk192699624"/>
      <w:bookmarkStart w:id="3" w:name="_Hlk199394899"/>
      <w:r w:rsidRPr="008C54F3">
        <w:rPr>
          <w:rFonts w:ascii="Verdana" w:eastAsia="Calibri" w:hAnsi="Verdana" w:cs="Arial"/>
          <w:i/>
          <w:iCs/>
          <w:color w:val="000000" w:themeColor="text1"/>
          <w:sz w:val="20"/>
          <w:szCs w:val="20"/>
        </w:rPr>
        <w:t>“</w:t>
      </w:r>
      <w:bookmarkEnd w:id="2"/>
      <w:bookmarkEnd w:id="3"/>
      <w:r w:rsidRPr="003220CB">
        <w:rPr>
          <w:rFonts w:ascii="Verdana" w:eastAsia="Calibri" w:hAnsi="Verdana" w:cs="Arial"/>
          <w:i/>
          <w:iCs/>
          <w:color w:val="000000" w:themeColor="text1"/>
          <w:sz w:val="20"/>
          <w:szCs w:val="20"/>
        </w:rPr>
        <w:t xml:space="preserve">1. En un proceso de contratación cuya convocatoria haya sido limitada exclusivamente a MiPymes con domicilio en el municipio de Popayán, ¿puede considerarse habilitada para participar una persona jurídica cuyo domicilio principal se encuentra registrado en la ciudad de Bogotá D.C., </w:t>
      </w:r>
      <w:r w:rsidRPr="003220CB">
        <w:rPr>
          <w:rFonts w:ascii="Verdana" w:eastAsia="Calibri" w:hAnsi="Verdana" w:cs="Arial"/>
          <w:i/>
          <w:iCs/>
          <w:color w:val="000000" w:themeColor="text1"/>
          <w:sz w:val="20"/>
          <w:szCs w:val="20"/>
        </w:rPr>
        <w:lastRenderedPageBreak/>
        <w:t xml:space="preserve">según su Certificado de Existencia y Representación Legal, pero que es propietaria de un establecimiento de comercio formalmente matriculado en la Cámara de Comercio del Cauca y ubicado en el municipio de Popayán? </w:t>
      </w:r>
    </w:p>
    <w:p w14:paraId="4999BDF3" w14:textId="77777777" w:rsidR="00EA7F35" w:rsidRDefault="00EA7F35" w:rsidP="00EA7F35">
      <w:pPr>
        <w:spacing w:after="0" w:line="240" w:lineRule="auto"/>
        <w:ind w:left="709" w:right="709"/>
        <w:jc w:val="both"/>
        <w:rPr>
          <w:rFonts w:ascii="Verdana" w:eastAsia="Calibri" w:hAnsi="Verdana" w:cs="Arial"/>
          <w:i/>
          <w:iCs/>
          <w:color w:val="000000" w:themeColor="text1"/>
          <w:sz w:val="20"/>
          <w:szCs w:val="20"/>
        </w:rPr>
      </w:pPr>
    </w:p>
    <w:p w14:paraId="2A18F50F" w14:textId="77777777" w:rsidR="00EA7F35" w:rsidRDefault="00EA7F35" w:rsidP="00EA7F35">
      <w:pPr>
        <w:spacing w:after="0" w:line="240" w:lineRule="auto"/>
        <w:ind w:left="709" w:right="709"/>
        <w:jc w:val="both"/>
        <w:rPr>
          <w:rFonts w:ascii="Verdana" w:eastAsia="Calibri" w:hAnsi="Verdana" w:cs="Arial"/>
          <w:i/>
          <w:iCs/>
          <w:color w:val="000000" w:themeColor="text1"/>
          <w:sz w:val="20"/>
          <w:szCs w:val="20"/>
        </w:rPr>
      </w:pPr>
      <w:r w:rsidRPr="003220CB">
        <w:rPr>
          <w:rFonts w:ascii="Verdana" w:eastAsia="Calibri" w:hAnsi="Verdana" w:cs="Arial"/>
          <w:i/>
          <w:iCs/>
          <w:color w:val="000000" w:themeColor="text1"/>
          <w:sz w:val="20"/>
          <w:szCs w:val="20"/>
        </w:rPr>
        <w:t>2. Para efectos de acreditar la condición territorial exigida en una convocatoria limitada a MiPymes municipales, ¿el concepto de domicilio de la persona jurídica debe entenderse exclusivamente a partir del domicilio principal que figura registrado en su Certificado de Existencia y Representación Legal, o pueden ser valoradas otras circunstancias objetivas que demuestren una vinculación real y formal de la empresa con el municipio, como la existencia de un establecimiento de comercio propio, debidamente matriculado y ubicado en dicho territorio?</w:t>
      </w:r>
    </w:p>
    <w:p w14:paraId="1A7E1BDD" w14:textId="77777777" w:rsidR="00EA7F35" w:rsidRDefault="00EA7F35" w:rsidP="00EA7F35">
      <w:pPr>
        <w:spacing w:after="0" w:line="240" w:lineRule="auto"/>
        <w:ind w:left="709" w:right="709"/>
        <w:jc w:val="both"/>
        <w:rPr>
          <w:rFonts w:ascii="Verdana" w:eastAsia="Calibri" w:hAnsi="Verdana" w:cs="Arial"/>
          <w:i/>
          <w:iCs/>
          <w:color w:val="000000" w:themeColor="text1"/>
          <w:sz w:val="20"/>
          <w:szCs w:val="20"/>
        </w:rPr>
      </w:pPr>
    </w:p>
    <w:p w14:paraId="72FFB7D6" w14:textId="77777777" w:rsidR="00EA7F35" w:rsidRDefault="00EA7F35" w:rsidP="00EA7F35">
      <w:pPr>
        <w:spacing w:after="0" w:line="240" w:lineRule="auto"/>
        <w:ind w:left="709" w:right="709"/>
        <w:jc w:val="both"/>
        <w:rPr>
          <w:rFonts w:ascii="Verdana" w:eastAsia="Calibri" w:hAnsi="Verdana" w:cs="Arial"/>
          <w:i/>
          <w:iCs/>
          <w:color w:val="000000" w:themeColor="text1"/>
          <w:sz w:val="20"/>
          <w:szCs w:val="20"/>
        </w:rPr>
      </w:pPr>
      <w:r w:rsidRPr="003220CB">
        <w:rPr>
          <w:rFonts w:ascii="Verdana" w:eastAsia="Calibri" w:hAnsi="Verdana" w:cs="Arial"/>
          <w:i/>
          <w:iCs/>
          <w:color w:val="000000" w:themeColor="text1"/>
          <w:sz w:val="20"/>
          <w:szCs w:val="20"/>
        </w:rPr>
        <w:t xml:space="preserve">3. En particular, ¿la existencia de un establecimiento de comercio propio, formalmente matriculado ante la Cámara de Comercio correspondiente y ubicado en el municipio objeto de la convocatoria, puede ser valorada como elemento probatorio dentro del conjunto de circunstancias destinadas a acreditar la vinculación territorial exigida para participar como </w:t>
      </w:r>
      <w:proofErr w:type="spellStart"/>
      <w:r w:rsidRPr="003220CB">
        <w:rPr>
          <w:rFonts w:ascii="Verdana" w:eastAsia="Calibri" w:hAnsi="Verdana" w:cs="Arial"/>
          <w:i/>
          <w:iCs/>
          <w:color w:val="000000" w:themeColor="text1"/>
          <w:sz w:val="20"/>
          <w:szCs w:val="20"/>
        </w:rPr>
        <w:t>MiPyme</w:t>
      </w:r>
      <w:proofErr w:type="spellEnd"/>
      <w:r w:rsidRPr="003220CB">
        <w:rPr>
          <w:rFonts w:ascii="Verdana" w:eastAsia="Calibri" w:hAnsi="Verdana" w:cs="Arial"/>
          <w:i/>
          <w:iCs/>
          <w:color w:val="000000" w:themeColor="text1"/>
          <w:sz w:val="20"/>
          <w:szCs w:val="20"/>
        </w:rPr>
        <w:t xml:space="preserve"> en una convocatoria limitada </w:t>
      </w:r>
      <w:proofErr w:type="gramStart"/>
      <w:r w:rsidRPr="003220CB">
        <w:rPr>
          <w:rFonts w:ascii="Verdana" w:eastAsia="Calibri" w:hAnsi="Verdana" w:cs="Arial"/>
          <w:i/>
          <w:iCs/>
          <w:color w:val="000000" w:themeColor="text1"/>
          <w:sz w:val="20"/>
          <w:szCs w:val="20"/>
        </w:rPr>
        <w:t>territorialmente?</w:t>
      </w:r>
      <w:r w:rsidRPr="008B65F8">
        <w:rPr>
          <w:rFonts w:ascii="Verdana" w:eastAsia="Calibri" w:hAnsi="Verdana" w:cs="Arial"/>
          <w:i/>
          <w:iCs/>
          <w:color w:val="000000" w:themeColor="text1"/>
          <w:sz w:val="20"/>
          <w:szCs w:val="20"/>
        </w:rPr>
        <w:t>.</w:t>
      </w:r>
      <w:proofErr w:type="gramEnd"/>
      <w:r>
        <w:rPr>
          <w:rFonts w:ascii="Verdana" w:eastAsia="Calibri" w:hAnsi="Verdana" w:cs="Arial"/>
          <w:i/>
          <w:iCs/>
          <w:color w:val="000000" w:themeColor="text1"/>
          <w:sz w:val="20"/>
          <w:szCs w:val="20"/>
        </w:rPr>
        <w:t>”</w:t>
      </w:r>
    </w:p>
    <w:p w14:paraId="573C82AE" w14:textId="77777777" w:rsidR="00EA7F35" w:rsidRPr="00453E03" w:rsidRDefault="00EA7F35" w:rsidP="00EA7F35">
      <w:pPr>
        <w:spacing w:after="0" w:line="240" w:lineRule="auto"/>
        <w:ind w:left="709" w:right="709"/>
        <w:jc w:val="both"/>
        <w:rPr>
          <w:rFonts w:ascii="Verdana" w:eastAsia="Calibri" w:hAnsi="Verdana" w:cs="Arial"/>
          <w:i/>
          <w:iCs/>
          <w:color w:val="000000" w:themeColor="text1"/>
          <w:sz w:val="20"/>
          <w:szCs w:val="20"/>
        </w:rPr>
      </w:pPr>
    </w:p>
    <w:p w14:paraId="476E2374" w14:textId="77777777" w:rsidR="00EA7F35" w:rsidRDefault="00EA7F35" w:rsidP="00EA7F35">
      <w:pPr>
        <w:spacing w:after="12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6752F59A" w14:textId="77777777" w:rsidR="00EA7F35" w:rsidRPr="00054383" w:rsidRDefault="00EA7F35" w:rsidP="00EA7F35">
      <w:pPr>
        <w:spacing w:before="120" w:after="0" w:line="276" w:lineRule="auto"/>
        <w:ind w:firstLine="709"/>
        <w:jc w:val="both"/>
        <w:rPr>
          <w:rFonts w:ascii="Verdana" w:eastAsia="Calibri" w:hAnsi="Verdana" w:cs="Arial"/>
          <w:color w:val="000000"/>
          <w:szCs w:val="24"/>
          <w:lang w:eastAsia="es-ES_tradnl"/>
        </w:rPr>
      </w:pPr>
      <w:r w:rsidRPr="008E4F36">
        <w:rPr>
          <w:rFonts w:ascii="Verdana" w:eastAsia="Calibri" w:hAnsi="Verdana" w:cs="Arial"/>
          <w:color w:val="000000"/>
          <w:lang w:eastAsia="es-ES"/>
        </w:rPr>
        <w:t xml:space="preserve">Conforme lo expuesto, en aras de garantizar el derecho fundamental de petición, se resolverá su petición dentro de los límites de la referida competencia consultiva, esto es, haciendo abstracción del caso particular y concreto señalado en su petición, pero señalando algunas consideraciones sobre las normas generales relacionadas </w:t>
      </w:r>
      <w:r w:rsidRPr="002975A0">
        <w:rPr>
          <w:rFonts w:ascii="Verdana" w:eastAsia="Calibri" w:hAnsi="Verdana" w:cs="Arial"/>
          <w:color w:val="000000"/>
          <w:lang w:eastAsia="es-ES"/>
        </w:rPr>
        <w:t xml:space="preserve">con </w:t>
      </w:r>
      <w:r>
        <w:rPr>
          <w:rFonts w:ascii="Verdana" w:eastAsia="Calibri" w:hAnsi="Verdana" w:cs="Arial"/>
          <w:color w:val="000000"/>
          <w:lang w:eastAsia="es-ES"/>
        </w:rPr>
        <w:t xml:space="preserve">el </w:t>
      </w:r>
      <w:r w:rsidRPr="002975A0">
        <w:rPr>
          <w:rFonts w:ascii="Verdana" w:eastAsia="Calibri" w:hAnsi="Verdana" w:cs="Arial"/>
          <w:color w:val="000000"/>
          <w:lang w:eastAsia="es-ES"/>
        </w:rPr>
        <w:t>problema jurídico de su consulta.</w:t>
      </w:r>
      <w:r w:rsidRPr="008E4F36">
        <w:rPr>
          <w:rFonts w:ascii="Verdana" w:eastAsia="Calibri" w:hAnsi="Verdana" w:cs="Arial"/>
          <w:color w:val="000000"/>
          <w:lang w:eastAsia="es-ES"/>
        </w:rPr>
        <w:t xml:space="preserve">  </w:t>
      </w:r>
    </w:p>
    <w:p w14:paraId="74A4F453" w14:textId="77777777" w:rsidR="00EA7F35" w:rsidRPr="008E4F36" w:rsidRDefault="00EA7F35" w:rsidP="00EA7F35">
      <w:pPr>
        <w:spacing w:after="0"/>
        <w:ind w:firstLine="709"/>
        <w:jc w:val="both"/>
        <w:rPr>
          <w:rFonts w:ascii="Verdana" w:eastAsia="Calibri" w:hAnsi="Verdana" w:cs="Arial"/>
          <w:color w:val="000000"/>
          <w:lang w:eastAsia="es-ES"/>
        </w:rPr>
      </w:pPr>
    </w:p>
    <w:p w14:paraId="773E1D1E" w14:textId="77777777" w:rsidR="00EA7F35" w:rsidRDefault="00EA7F35" w:rsidP="00EA7F35">
      <w:pPr>
        <w:pStyle w:val="Prrafodelista"/>
        <w:numPr>
          <w:ilvl w:val="0"/>
          <w:numId w:val="1"/>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8E4F36">
        <w:rPr>
          <w:rFonts w:ascii="Verdana" w:eastAsia="Century Gothic" w:hAnsi="Verdana" w:cs="Century Gothic"/>
          <w:b/>
          <w:bCs/>
        </w:rPr>
        <w:t>Problema planteado:</w:t>
      </w:r>
    </w:p>
    <w:p w14:paraId="24F0099A" w14:textId="77777777" w:rsidR="00EA7F35" w:rsidRDefault="00EA7F35" w:rsidP="00EA7F35">
      <w:pPr>
        <w:spacing w:after="0" w:line="276" w:lineRule="auto"/>
        <w:jc w:val="both"/>
        <w:rPr>
          <w:rFonts w:ascii="Verdana" w:eastAsia="Calibri" w:hAnsi="Verdana" w:cs="Arial"/>
          <w:color w:val="000000"/>
          <w:highlight w:val="yellow"/>
          <w:lang w:eastAsia="es-ES"/>
        </w:rPr>
      </w:pPr>
    </w:p>
    <w:p w14:paraId="27AD1C9B" w14:textId="77777777" w:rsidR="00EA7F35" w:rsidRDefault="00EA7F35" w:rsidP="00EA7F35">
      <w:pPr>
        <w:spacing w:after="0" w:line="276" w:lineRule="auto"/>
        <w:jc w:val="both"/>
        <w:rPr>
          <w:rFonts w:ascii="Verdana" w:eastAsia="Calibri" w:hAnsi="Verdana" w:cs="Arial"/>
          <w:color w:val="000000"/>
          <w:lang w:eastAsia="es-ES"/>
        </w:rPr>
      </w:pPr>
      <w:r w:rsidRPr="00005FE3">
        <w:rPr>
          <w:rFonts w:ascii="Verdana" w:eastAsia="Calibri" w:hAnsi="Verdana" w:cs="Arial"/>
          <w:color w:val="000000"/>
          <w:lang w:eastAsia="es-ES"/>
        </w:rPr>
        <w:t xml:space="preserve">De acuerdo con el contenido de su solicitud, esta Agencia resolverá </w:t>
      </w:r>
      <w:r>
        <w:rPr>
          <w:rFonts w:ascii="Verdana" w:eastAsia="Calibri" w:hAnsi="Verdana" w:cs="Arial"/>
          <w:color w:val="000000"/>
          <w:lang w:eastAsia="es-ES"/>
        </w:rPr>
        <w:t>el siguiente</w:t>
      </w:r>
      <w:r w:rsidRPr="00005FE3">
        <w:rPr>
          <w:rFonts w:ascii="Verdana" w:eastAsia="Calibri" w:hAnsi="Verdana" w:cs="Arial"/>
          <w:color w:val="000000"/>
          <w:lang w:eastAsia="es-ES"/>
        </w:rPr>
        <w:t xml:space="preserve"> problema jurídico: </w:t>
      </w:r>
      <w:r>
        <w:rPr>
          <w:rFonts w:ascii="Verdana" w:eastAsia="Calibri" w:hAnsi="Verdana" w:cs="Arial"/>
          <w:color w:val="000000"/>
          <w:lang w:eastAsia="es-ES"/>
        </w:rPr>
        <w:t xml:space="preserve">¡) </w:t>
      </w:r>
      <w:r w:rsidRPr="0004750F">
        <w:rPr>
          <w:rFonts w:ascii="Verdana" w:eastAsia="Calibri" w:hAnsi="Verdana" w:cs="Arial"/>
          <w:color w:val="000000"/>
          <w:lang w:eastAsia="es-ES"/>
        </w:rPr>
        <w:t>¿Cuál es el alcance del requisito de domicilio territorial exigido para la participación de las MiPymes en procesos de contratación cuya convocatoria haya sido limitada a empresas con domicilio en un determinado municipio, y debe este acreditarse exclusivamente con base en el domicilio principal de la persona jurídica registrado en el Certificado de Existencia y Representación Legal?</w:t>
      </w:r>
      <w:r>
        <w:rPr>
          <w:rFonts w:ascii="Verdana" w:eastAsia="Calibri" w:hAnsi="Verdana" w:cs="Arial"/>
          <w:color w:val="000000"/>
          <w:lang w:eastAsia="es-ES"/>
        </w:rPr>
        <w:t xml:space="preserve"> </w:t>
      </w:r>
      <w:proofErr w:type="spellStart"/>
      <w:r w:rsidRPr="0004750F">
        <w:rPr>
          <w:rFonts w:ascii="Verdana" w:eastAsia="Calibri" w:hAnsi="Verdana" w:cs="Arial"/>
          <w:color w:val="000000"/>
          <w:lang w:eastAsia="es-ES"/>
        </w:rPr>
        <w:t>ii</w:t>
      </w:r>
      <w:proofErr w:type="spellEnd"/>
      <w:r w:rsidRPr="0004750F">
        <w:rPr>
          <w:rFonts w:ascii="Verdana" w:eastAsia="Calibri" w:hAnsi="Verdana" w:cs="Arial"/>
          <w:color w:val="000000"/>
          <w:lang w:eastAsia="es-ES"/>
        </w:rPr>
        <w:t>)</w:t>
      </w:r>
      <w:r w:rsidRPr="00B743FC">
        <w:t xml:space="preserve"> </w:t>
      </w:r>
      <w:r w:rsidRPr="00B743FC">
        <w:rPr>
          <w:rFonts w:ascii="Verdana" w:eastAsia="Calibri" w:hAnsi="Verdana" w:cs="Arial"/>
          <w:color w:val="000000"/>
          <w:lang w:eastAsia="es-ES"/>
        </w:rPr>
        <w:t>¿Puede la existencia de una sede, establecimiento de comercio, sucursal, agencia u otra forma de presencia empresarial formalmente registrada en el territorio donde se ejecutará el contrato ser valorada como elemento objetivo para acreditar la vinculación territorial de una persona jurídica, en el marco de procesos de contratación cuya convocatoria haya sido limitada territorialmente a MiPymes?</w:t>
      </w:r>
    </w:p>
    <w:p w14:paraId="372F40F9" w14:textId="77777777" w:rsidR="00EA7F35" w:rsidRPr="00B743FC" w:rsidRDefault="00EA7F35" w:rsidP="00EA7F35">
      <w:pPr>
        <w:spacing w:after="0" w:line="276" w:lineRule="auto"/>
        <w:jc w:val="both"/>
        <w:rPr>
          <w:rFonts w:ascii="Verdana" w:eastAsia="Calibri" w:hAnsi="Verdana" w:cs="Arial"/>
          <w:color w:val="000000"/>
          <w:lang w:eastAsia="es-ES"/>
        </w:rPr>
      </w:pPr>
    </w:p>
    <w:p w14:paraId="2ADC620E" w14:textId="77777777" w:rsidR="00EA7F35" w:rsidRPr="008E4F36" w:rsidRDefault="00EA7F35" w:rsidP="00EA7F35">
      <w:pPr>
        <w:spacing w:after="0" w:line="276" w:lineRule="auto"/>
        <w:jc w:val="both"/>
        <w:rPr>
          <w:rFonts w:ascii="Verdana" w:eastAsia="Century Gothic" w:hAnsi="Verdana" w:cs="Century Gothic"/>
          <w:b/>
          <w:bCs/>
        </w:rPr>
      </w:pPr>
      <w:r w:rsidRPr="008E4F36">
        <w:rPr>
          <w:rFonts w:ascii="Verdana" w:eastAsia="Century Gothic" w:hAnsi="Verdana" w:cs="Century Gothic"/>
          <w:b/>
          <w:bCs/>
        </w:rPr>
        <w:t>2. Respuesta:</w:t>
      </w:r>
    </w:p>
    <w:p w14:paraId="63AA8581" w14:textId="77777777" w:rsidR="00EA7F35" w:rsidRPr="008E4F36" w:rsidRDefault="00EA7F35" w:rsidP="00EA7F35">
      <w:pPr>
        <w:tabs>
          <w:tab w:val="left" w:pos="142"/>
          <w:tab w:val="left" w:pos="284"/>
        </w:tabs>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EA7F35" w:rsidRPr="008E4F36" w14:paraId="74160C19" w14:textId="77777777" w:rsidTr="00610124">
        <w:tc>
          <w:tcPr>
            <w:tcW w:w="8828" w:type="dxa"/>
          </w:tcPr>
          <w:p w14:paraId="1FD09E93" w14:textId="77777777" w:rsidR="00EA7F35" w:rsidRPr="00370D15" w:rsidRDefault="00EA7F35" w:rsidP="00610124">
            <w:pPr>
              <w:spacing w:after="120" w:line="276" w:lineRule="auto"/>
              <w:jc w:val="both"/>
              <w:rPr>
                <w:rFonts w:ascii="Verdana" w:eastAsia="Calibri" w:hAnsi="Verdana" w:cs="Arial"/>
                <w:color w:val="000000" w:themeColor="text1"/>
              </w:rPr>
            </w:pPr>
            <w:r w:rsidRPr="00370D15">
              <w:rPr>
                <w:rFonts w:ascii="Verdana" w:eastAsia="Calibri" w:hAnsi="Verdana" w:cs="Arial"/>
                <w:color w:val="000000" w:themeColor="text1"/>
              </w:rPr>
              <w:t>i. El requisito de domicilio territorial previsto en el artículo 2.2.1.2.4.2.3 del Decreto 1082 de 2015 debe interpretarse de manera sistemática con las reglas que regulan el domicilio de las personas jurídicas y con la finalidad de la limitación territorial de las convocatorias a MiPymes. En este sentido, cuando la entidad estatal decide limitar la convocatoria a las MiPymes domiciliadas en un determinado municipio</w:t>
            </w:r>
            <w:r>
              <w:rPr>
                <w:rFonts w:ascii="Verdana" w:eastAsia="Calibri" w:hAnsi="Verdana" w:cs="Arial"/>
                <w:color w:val="000000" w:themeColor="text1"/>
              </w:rPr>
              <w:t xml:space="preserve"> o departamento</w:t>
            </w:r>
            <w:r w:rsidRPr="00370D15">
              <w:rPr>
                <w:rFonts w:ascii="Verdana" w:eastAsia="Calibri" w:hAnsi="Verdana" w:cs="Arial"/>
                <w:color w:val="000000" w:themeColor="text1"/>
              </w:rPr>
              <w:t>, la condición territorial exige que el domicilio principal de la persona jurídica se encuentre ubicado en dicho municipio</w:t>
            </w:r>
            <w:r>
              <w:rPr>
                <w:rFonts w:ascii="Verdana" w:eastAsia="Calibri" w:hAnsi="Verdana" w:cs="Arial"/>
                <w:color w:val="000000" w:themeColor="text1"/>
              </w:rPr>
              <w:t xml:space="preserve"> o departamento</w:t>
            </w:r>
            <w:r w:rsidRPr="00370D15">
              <w:rPr>
                <w:rFonts w:ascii="Verdana" w:eastAsia="Calibri" w:hAnsi="Verdana" w:cs="Arial"/>
                <w:color w:val="000000" w:themeColor="text1"/>
              </w:rPr>
              <w:t>, pues es este el elemento jurídico que permite establecer su vinculación territorial. Tratándose de sociedades, el domicilio se acredita, para efectos de la contratación estatal, mediante el Certificado de Existencia y Representación Legal expedido por la Cámara de Comercio</w:t>
            </w:r>
            <w:r>
              <w:rPr>
                <w:rFonts w:ascii="Verdana" w:eastAsia="Calibri" w:hAnsi="Verdana" w:cs="Arial"/>
                <w:color w:val="000000" w:themeColor="text1"/>
              </w:rPr>
              <w:t xml:space="preserve"> o como medio supletivo en el Registro Único de Proponentes</w:t>
            </w:r>
            <w:r w:rsidRPr="00370D15">
              <w:rPr>
                <w:rFonts w:ascii="Verdana" w:eastAsia="Calibri" w:hAnsi="Verdana" w:cs="Arial"/>
                <w:color w:val="000000" w:themeColor="text1"/>
              </w:rPr>
              <w:t>. Por consiguiente, la verificación de este requisito debe efectuarse atendiendo al domicilio principal registrado y vigente al momento de la participación en el proceso de selección, sin que la entidad pueda sustituir dicho criterio por apreciaciones meramente materiales o comerciales sobre la presencia de la empresa en el territorio.</w:t>
            </w:r>
          </w:p>
          <w:p w14:paraId="216038C8" w14:textId="77777777" w:rsidR="00EA7F35" w:rsidRDefault="00EA7F35" w:rsidP="00610124">
            <w:pPr>
              <w:spacing w:line="276" w:lineRule="auto"/>
              <w:ind w:firstLine="709"/>
              <w:jc w:val="both"/>
              <w:rPr>
                <w:rFonts w:ascii="Verdana" w:eastAsia="Calibri" w:hAnsi="Verdana" w:cs="Arial"/>
                <w:color w:val="000000" w:themeColor="text1"/>
              </w:rPr>
            </w:pPr>
            <w:r w:rsidRPr="00370D15">
              <w:rPr>
                <w:rFonts w:ascii="Verdana" w:eastAsia="Calibri" w:hAnsi="Verdana" w:cs="Arial"/>
                <w:color w:val="000000" w:themeColor="text1"/>
              </w:rPr>
              <w:t xml:space="preserve">Lo anterior no significa que la persona jurídica no pueda desarrollar actividades económicas en un municipio distinto de aquel en el que tiene establecido su domicilio principal. Sin embargo, la existencia de una sucursal, </w:t>
            </w:r>
            <w:r w:rsidRPr="00370D15">
              <w:rPr>
                <w:rFonts w:ascii="Verdana" w:eastAsia="Calibri" w:hAnsi="Verdana" w:cs="Arial"/>
                <w:color w:val="000000" w:themeColor="text1"/>
              </w:rPr>
              <w:lastRenderedPageBreak/>
              <w:t xml:space="preserve">agencia, establecimiento de comercio, sede operativa o lugar de atención al público no comporta, por sí misma, el traslado del domicilio de la sociedad ni permite tener por acreditado el requisito territorial cuando la convocatoria exige expresamente que la </w:t>
            </w:r>
            <w:proofErr w:type="spellStart"/>
            <w:r w:rsidRPr="00370D15">
              <w:rPr>
                <w:rFonts w:ascii="Verdana" w:eastAsia="Calibri" w:hAnsi="Verdana" w:cs="Arial"/>
                <w:color w:val="000000" w:themeColor="text1"/>
              </w:rPr>
              <w:t>MiPyme</w:t>
            </w:r>
            <w:proofErr w:type="spellEnd"/>
            <w:r w:rsidRPr="00370D15">
              <w:rPr>
                <w:rFonts w:ascii="Verdana" w:eastAsia="Calibri" w:hAnsi="Verdana" w:cs="Arial"/>
                <w:color w:val="000000" w:themeColor="text1"/>
              </w:rPr>
              <w:t xml:space="preserve"> tenga su domicilio en </w:t>
            </w:r>
            <w:r>
              <w:rPr>
                <w:rFonts w:ascii="Verdana" w:eastAsia="Calibri" w:hAnsi="Verdana" w:cs="Arial"/>
                <w:color w:val="000000" w:themeColor="text1"/>
              </w:rPr>
              <w:t>el</w:t>
            </w:r>
            <w:r w:rsidRPr="00370D15">
              <w:rPr>
                <w:rFonts w:ascii="Verdana" w:eastAsia="Calibri" w:hAnsi="Verdana" w:cs="Arial"/>
                <w:color w:val="000000" w:themeColor="text1"/>
              </w:rPr>
              <w:t xml:space="preserve"> municipio</w:t>
            </w:r>
            <w:r>
              <w:rPr>
                <w:rFonts w:ascii="Verdana" w:eastAsia="Calibri" w:hAnsi="Verdana" w:cs="Arial"/>
                <w:color w:val="000000" w:themeColor="text1"/>
              </w:rPr>
              <w:t xml:space="preserve"> o departamento en el que se va a ejecutar el contrato</w:t>
            </w:r>
            <w:r w:rsidRPr="00370D15">
              <w:rPr>
                <w:rFonts w:ascii="Verdana" w:eastAsia="Calibri" w:hAnsi="Verdana" w:cs="Arial"/>
                <w:color w:val="000000" w:themeColor="text1"/>
              </w:rPr>
              <w:t>. En efecto, el ordenamiento jurídico diferencia el domicilio de la persona jurídica de los establecimientos mediante los cuales esta desarrolla sus actividades comerciales. Así, si una sociedad tiene su domicilio principal registrado en Bogotá D.C., pero cuenta con un establecimiento de comercio formalmente matriculado en el municipio donde se ejecutará el contrato, dicha circunstancia acredita su presencia comercial en ese territorio, pero no permite concluir que la sociedad tenga allí su domicilio principal para efectos de la limitación territorial prevista en el artículo 2.2.1.2.4.2.3 del Decreto 1082 de 2015. Por tanto, salvo que exista una modificación jurídicamente registrada de su domicilio principal, la acreditación del requisito territorial deberá establecerse con fundamento en este último.</w:t>
            </w:r>
          </w:p>
          <w:p w14:paraId="036F2029" w14:textId="77777777" w:rsidR="00EA7F35" w:rsidRPr="00370D15" w:rsidRDefault="00EA7F35" w:rsidP="00610124">
            <w:pPr>
              <w:spacing w:line="276" w:lineRule="auto"/>
              <w:ind w:firstLine="709"/>
              <w:jc w:val="both"/>
              <w:rPr>
                <w:rFonts w:ascii="Verdana" w:eastAsia="Calibri" w:hAnsi="Verdana" w:cs="Arial"/>
                <w:color w:val="000000" w:themeColor="text1"/>
              </w:rPr>
            </w:pPr>
          </w:p>
          <w:p w14:paraId="59316DA8" w14:textId="75E62F2C" w:rsidR="00EA7F35" w:rsidRDefault="00EA7F35" w:rsidP="00610124">
            <w:pPr>
              <w:spacing w:after="120" w:line="276" w:lineRule="auto"/>
              <w:jc w:val="both"/>
              <w:rPr>
                <w:rFonts w:ascii="Verdana" w:eastAsia="Calibri" w:hAnsi="Verdana" w:cs="Arial"/>
              </w:rPr>
            </w:pPr>
            <w:proofErr w:type="spellStart"/>
            <w:r w:rsidRPr="00AD7D0A">
              <w:rPr>
                <w:rFonts w:ascii="Verdana" w:eastAsia="Calibri" w:hAnsi="Verdana" w:cs="Arial"/>
              </w:rPr>
              <w:t>ii</w:t>
            </w:r>
            <w:proofErr w:type="spellEnd"/>
            <w:r w:rsidRPr="00AD7D0A">
              <w:rPr>
                <w:rFonts w:ascii="Verdana" w:eastAsia="Calibri" w:hAnsi="Verdana" w:cs="Arial"/>
              </w:rPr>
              <w:t xml:space="preserve">. El artículo 2.2.1.2.4.2.3 del Decreto 1082 de 2015 establece expresamente que la limitación territorial puede dirigirse a MiPymes que tengan domicilio en el municipio o departamento donde se ejecutará el contrato, y exige la acreditación de dicho domicilio. Por tanto, la presencia empresarial en el territorio no equivale necesariamente al domicilio principal, ni puede afirmarse de manera general que una sucursal, agencia o establecimiento de comercio sustituya este requisito. </w:t>
            </w:r>
            <w:r>
              <w:rPr>
                <w:rFonts w:ascii="Verdana" w:eastAsia="Calibri" w:hAnsi="Verdana" w:cs="Arial"/>
              </w:rPr>
              <w:t xml:space="preserve">Al respecto, esta Agencia </w:t>
            </w:r>
            <w:r w:rsidRPr="00AD7D0A">
              <w:rPr>
                <w:rFonts w:ascii="Verdana" w:eastAsia="Calibri" w:hAnsi="Verdana" w:cs="Arial"/>
              </w:rPr>
              <w:t>ha sostenido que</w:t>
            </w:r>
            <w:r>
              <w:rPr>
                <w:rFonts w:ascii="Verdana" w:eastAsia="Calibri" w:hAnsi="Verdana" w:cs="Arial"/>
              </w:rPr>
              <w:t>,</w:t>
            </w:r>
            <w:r w:rsidRPr="00AD7D0A">
              <w:rPr>
                <w:rFonts w:ascii="Verdana" w:eastAsia="Calibri" w:hAnsi="Verdana" w:cs="Arial"/>
              </w:rPr>
              <w:t xml:space="preserve"> el incentivo territorial se encuentra asociado al domicilio y no a las sucursales o establecimientos de comercio</w:t>
            </w:r>
            <w:r w:rsidR="00BE35B1">
              <w:rPr>
                <w:rFonts w:ascii="Verdana" w:eastAsia="Calibri" w:hAnsi="Verdana" w:cs="Arial"/>
              </w:rPr>
              <w:t>.</w:t>
            </w:r>
          </w:p>
          <w:p w14:paraId="584898AD" w14:textId="77777777" w:rsidR="00EA7F35" w:rsidRPr="00417FE9" w:rsidRDefault="00EA7F35" w:rsidP="00610124">
            <w:pPr>
              <w:spacing w:after="120" w:line="276" w:lineRule="auto"/>
              <w:ind w:firstLine="709"/>
              <w:jc w:val="both"/>
              <w:rPr>
                <w:rFonts w:ascii="Verdana" w:eastAsia="Calibri" w:hAnsi="Verdana" w:cs="Arial"/>
              </w:rPr>
            </w:pPr>
            <w:r w:rsidRPr="00417FE9">
              <w:rPr>
                <w:rFonts w:ascii="Verdana" w:eastAsia="Calibri" w:hAnsi="Verdana" w:cs="Arial"/>
              </w:rPr>
              <w:t>Finalmente, la entidad pública determinará en cada caso concreto la forma de aplicar y acreditar las condiciones objeto de análisis, atendiendo las particularidades del proceso y el marco jurídico aplicable. Colombia Compra Eficiente únicamente brinda orientaciones generales, sin que le corresponda establecer criterios universales ni validar las actuaciones particulares de las entidades estatales.</w:t>
            </w:r>
          </w:p>
        </w:tc>
      </w:tr>
    </w:tbl>
    <w:p w14:paraId="0CDB0077" w14:textId="77777777" w:rsidR="00EA7F35" w:rsidRDefault="00EA7F35" w:rsidP="00EA7F35">
      <w:pPr>
        <w:tabs>
          <w:tab w:val="left" w:pos="142"/>
          <w:tab w:val="left" w:pos="284"/>
        </w:tabs>
        <w:spacing w:after="0" w:line="276" w:lineRule="auto"/>
        <w:jc w:val="both"/>
        <w:rPr>
          <w:rFonts w:ascii="Verdana" w:eastAsia="Century Gothic" w:hAnsi="Verdana" w:cs="Century Gothic"/>
          <w:b/>
          <w:bCs/>
        </w:rPr>
      </w:pPr>
    </w:p>
    <w:p w14:paraId="48AD7F91" w14:textId="77777777" w:rsidR="00EA7F35" w:rsidRPr="008E4F36" w:rsidRDefault="00EA7F35" w:rsidP="00EA7F35">
      <w:pPr>
        <w:tabs>
          <w:tab w:val="left" w:pos="142"/>
          <w:tab w:val="left" w:pos="284"/>
        </w:tabs>
        <w:spacing w:after="0" w:line="276" w:lineRule="auto"/>
        <w:jc w:val="both"/>
        <w:rPr>
          <w:rFonts w:ascii="Verdana" w:eastAsia="Century Gothic" w:hAnsi="Verdana" w:cs="Century Gothic"/>
          <w:b/>
          <w:bCs/>
        </w:rPr>
      </w:pPr>
      <w:r w:rsidRPr="008E4F36">
        <w:rPr>
          <w:rFonts w:ascii="Verdana" w:eastAsia="Century Gothic" w:hAnsi="Verdana" w:cs="Century Gothic"/>
          <w:b/>
          <w:bCs/>
        </w:rPr>
        <w:t>3. Razones de la respuesta:</w:t>
      </w:r>
    </w:p>
    <w:p w14:paraId="4303A934" w14:textId="77777777" w:rsidR="00EA7F35" w:rsidRDefault="00EA7F35" w:rsidP="00EA7F35">
      <w:pPr>
        <w:pStyle w:val="Prrafodelista"/>
        <w:tabs>
          <w:tab w:val="left" w:pos="142"/>
          <w:tab w:val="left" w:pos="284"/>
        </w:tabs>
        <w:spacing w:after="0" w:line="276" w:lineRule="auto"/>
        <w:ind w:left="0"/>
        <w:contextualSpacing w:val="0"/>
        <w:jc w:val="both"/>
        <w:rPr>
          <w:rFonts w:ascii="Verdana" w:eastAsia="Calibri" w:hAnsi="Verdana" w:cs="Arial"/>
        </w:rPr>
      </w:pPr>
    </w:p>
    <w:p w14:paraId="7E7F0D53" w14:textId="77777777" w:rsidR="00EA7F35" w:rsidRDefault="00EA7F35" w:rsidP="00EA7F35">
      <w:pPr>
        <w:pStyle w:val="Prrafodelista"/>
        <w:tabs>
          <w:tab w:val="left" w:pos="142"/>
          <w:tab w:val="left" w:pos="284"/>
        </w:tabs>
        <w:spacing w:after="0" w:line="276" w:lineRule="auto"/>
        <w:ind w:left="0"/>
        <w:contextualSpacing w:val="0"/>
        <w:jc w:val="both"/>
        <w:rPr>
          <w:rFonts w:ascii="Verdana" w:eastAsia="Calibri" w:hAnsi="Verdana" w:cs="Arial"/>
        </w:rPr>
      </w:pPr>
      <w:r w:rsidRPr="008E4F36">
        <w:rPr>
          <w:rFonts w:ascii="Verdana" w:eastAsia="Calibri" w:hAnsi="Verdana" w:cs="Arial"/>
        </w:rPr>
        <w:lastRenderedPageBreak/>
        <w:t xml:space="preserve">Lo anterior se sustenta en las siguientes consideraciones: </w:t>
      </w:r>
    </w:p>
    <w:p w14:paraId="6B2F1665" w14:textId="77777777" w:rsidR="00EA7F35" w:rsidRDefault="00EA7F35" w:rsidP="00EA7F35">
      <w:pPr>
        <w:spacing w:after="0" w:line="276" w:lineRule="auto"/>
        <w:jc w:val="both"/>
        <w:rPr>
          <w:rFonts w:ascii="Verdana" w:eastAsia="Calibri" w:hAnsi="Verdana" w:cs="Arial"/>
          <w:color w:val="000000"/>
          <w:shd w:val="clear" w:color="auto" w:fill="FFFFFF"/>
          <w:lang w:val="es-ES"/>
        </w:rPr>
      </w:pPr>
    </w:p>
    <w:p w14:paraId="087B1A9A" w14:textId="77777777" w:rsidR="00EA7F35" w:rsidRPr="00C940A9" w:rsidRDefault="00EA7F35" w:rsidP="00EA7F35">
      <w:pPr>
        <w:spacing w:after="120" w:line="276" w:lineRule="auto"/>
        <w:jc w:val="both"/>
        <w:rPr>
          <w:rFonts w:ascii="Verdana" w:hAnsi="Verdana" w:cs="Arial"/>
          <w:bCs/>
          <w:lang w:eastAsia="es-ES"/>
        </w:rPr>
      </w:pPr>
      <w:bookmarkStart w:id="4" w:name="_Hlk204856061"/>
      <w:bookmarkStart w:id="5" w:name="_Hlk78820161"/>
      <w:bookmarkStart w:id="6" w:name="_Hlk204854194"/>
      <w:r>
        <w:rPr>
          <w:rFonts w:ascii="Verdana" w:hAnsi="Verdana" w:cs="Arial"/>
          <w:bCs/>
          <w:lang w:val="es-ES_tradnl" w:eastAsia="es-ES"/>
        </w:rPr>
        <w:t>E</w:t>
      </w:r>
      <w:r w:rsidRPr="00C940A9">
        <w:rPr>
          <w:rFonts w:ascii="Verdana" w:hAnsi="Verdana" w:cs="Arial"/>
          <w:bCs/>
          <w:lang w:val="es-ES_tradnl" w:eastAsia="es-ES"/>
        </w:rPr>
        <w:t xml:space="preserve">l artículo 5 del Decreto 1860 de 2021 modificó </w:t>
      </w:r>
      <w:r w:rsidRPr="00C940A9">
        <w:rPr>
          <w:rFonts w:ascii="Verdana" w:hAnsi="Verdana" w:cs="Arial"/>
          <w:bCs/>
          <w:lang w:eastAsia="es-ES"/>
        </w:rPr>
        <w:t xml:space="preserve">los artículos </w:t>
      </w:r>
      <w:bookmarkStart w:id="7" w:name="_Hlk194041112"/>
      <w:r w:rsidRPr="00C940A9">
        <w:rPr>
          <w:rFonts w:ascii="Verdana" w:hAnsi="Verdana" w:cs="Arial"/>
          <w:bCs/>
          <w:lang w:eastAsia="es-ES"/>
        </w:rPr>
        <w:t>2.2.1.2.4.2.2., 2.2.1.2.4.2.3. y 2.2.1.2.4.2.4</w:t>
      </w:r>
      <w:bookmarkEnd w:id="7"/>
      <w:r w:rsidRPr="00C940A9">
        <w:rPr>
          <w:rFonts w:ascii="Verdana" w:hAnsi="Verdana" w:cs="Arial"/>
          <w:bCs/>
          <w:lang w:eastAsia="es-ES"/>
        </w:rPr>
        <w:t>. de la Subsección 2 de la Sección 4 del Capítulo 2 del Título 1 de la Parte 2 del Libro 2 del Decreto 1082 de 2015, reglamentando</w:t>
      </w:r>
      <w:r w:rsidRPr="00C940A9">
        <w:rPr>
          <w:rFonts w:ascii="Verdana" w:hAnsi="Verdana" w:cs="Arial"/>
          <w:bCs/>
          <w:lang w:val="es-ES_tradnl" w:eastAsia="es-ES"/>
        </w:rPr>
        <w:t xml:space="preserve"> las convocatorias limitadas a </w:t>
      </w:r>
      <w:proofErr w:type="spellStart"/>
      <w:r w:rsidRPr="00C940A9">
        <w:rPr>
          <w:rFonts w:ascii="Verdana" w:hAnsi="Verdana" w:cs="Arial"/>
          <w:bCs/>
          <w:lang w:val="es-ES_tradnl" w:eastAsia="es-ES"/>
        </w:rPr>
        <w:t>Mipyme</w:t>
      </w:r>
      <w:proofErr w:type="spellEnd"/>
      <w:r w:rsidRPr="00C940A9">
        <w:rPr>
          <w:rFonts w:ascii="Verdana" w:hAnsi="Verdana" w:cs="Arial"/>
          <w:bCs/>
          <w:lang w:val="es-ES_tradnl" w:eastAsia="es-ES"/>
        </w:rPr>
        <w:t xml:space="preserve">, con fundamento en lo establecido en el artículo 34 de la Ley 2069 de 2020. Esta nueva </w:t>
      </w:r>
      <w:r>
        <w:rPr>
          <w:rFonts w:ascii="Verdana" w:hAnsi="Verdana" w:cs="Arial"/>
          <w:bCs/>
          <w:lang w:val="es-ES_tradnl" w:eastAsia="es-ES"/>
        </w:rPr>
        <w:t>reglamentación</w:t>
      </w:r>
      <w:r w:rsidRPr="00C940A9">
        <w:rPr>
          <w:rFonts w:ascii="Verdana" w:hAnsi="Verdana" w:cs="Arial"/>
          <w:bCs/>
          <w:lang w:val="es-ES_tradnl" w:eastAsia="es-ES"/>
        </w:rPr>
        <w:t xml:space="preserve"> </w:t>
      </w:r>
      <w:r>
        <w:rPr>
          <w:rFonts w:ascii="Verdana" w:hAnsi="Verdana" w:cs="Arial"/>
          <w:bCs/>
          <w:lang w:val="es-ES_tradnl" w:eastAsia="es-ES"/>
        </w:rPr>
        <w:t>desarrolla</w:t>
      </w:r>
      <w:r w:rsidRPr="00C940A9">
        <w:rPr>
          <w:rFonts w:ascii="Verdana" w:hAnsi="Verdana" w:cs="Arial"/>
          <w:bCs/>
          <w:lang w:val="es-ES_tradnl" w:eastAsia="es-ES"/>
        </w:rPr>
        <w:t xml:space="preserve"> </w:t>
      </w:r>
      <w:r>
        <w:rPr>
          <w:rFonts w:ascii="Verdana" w:hAnsi="Verdana" w:cs="Arial"/>
          <w:bCs/>
          <w:lang w:val="es-ES_tradnl" w:eastAsia="es-ES"/>
        </w:rPr>
        <w:t xml:space="preserve">tres </w:t>
      </w:r>
      <w:r w:rsidRPr="00C940A9">
        <w:rPr>
          <w:rFonts w:ascii="Verdana" w:hAnsi="Verdana" w:cs="Arial"/>
          <w:bCs/>
          <w:lang w:val="es-ES_tradnl" w:eastAsia="es-ES"/>
        </w:rPr>
        <w:t xml:space="preserve">aspectos: i) requisitos para limitar la convocatoria de los </w:t>
      </w:r>
      <w:r w:rsidRPr="00C940A9">
        <w:rPr>
          <w:rFonts w:ascii="Verdana" w:hAnsi="Verdana" w:cs="Arial"/>
          <w:bCs/>
          <w:lang w:eastAsia="es-ES"/>
        </w:rPr>
        <w:t>procesos de contratación con pluralidad de oferentes</w:t>
      </w:r>
      <w:r w:rsidRPr="00C940A9">
        <w:rPr>
          <w:rFonts w:ascii="Verdana" w:hAnsi="Verdana" w:cs="Arial"/>
          <w:bCs/>
          <w:lang w:val="es-ES_tradnl" w:eastAsia="es-ES"/>
        </w:rPr>
        <w:t xml:space="preserve"> a las </w:t>
      </w:r>
      <w:proofErr w:type="spellStart"/>
      <w:r w:rsidRPr="00C940A9">
        <w:rPr>
          <w:rFonts w:ascii="Verdana" w:hAnsi="Verdana" w:cs="Arial"/>
          <w:bCs/>
          <w:lang w:val="es-ES_tradnl" w:eastAsia="es-ES"/>
        </w:rPr>
        <w:t>Mipyme</w:t>
      </w:r>
      <w:proofErr w:type="spellEnd"/>
      <w:r w:rsidRPr="00C940A9">
        <w:rPr>
          <w:rFonts w:ascii="Verdana" w:hAnsi="Verdana" w:cs="Arial"/>
          <w:bCs/>
          <w:lang w:val="es-ES_tradnl" w:eastAsia="es-ES"/>
        </w:rPr>
        <w:t xml:space="preserve"> colombianas con mínimo un (1) año de existencia – artículo </w:t>
      </w:r>
      <w:r w:rsidRPr="00C940A9">
        <w:rPr>
          <w:rFonts w:ascii="Verdana" w:hAnsi="Verdana" w:cs="Arial"/>
          <w:bCs/>
          <w:lang w:eastAsia="es-ES"/>
        </w:rPr>
        <w:t>2.2.1.2.4.2.2-</w:t>
      </w:r>
      <w:r w:rsidRPr="00C940A9">
        <w:rPr>
          <w:rFonts w:ascii="Verdana" w:hAnsi="Verdana" w:cs="Arial"/>
          <w:bCs/>
          <w:lang w:val="es-ES_tradnl" w:eastAsia="es-ES"/>
        </w:rPr>
        <w:t xml:space="preserve"> , </w:t>
      </w:r>
      <w:proofErr w:type="spellStart"/>
      <w:r w:rsidRPr="00C940A9">
        <w:rPr>
          <w:rFonts w:ascii="Verdana" w:hAnsi="Verdana" w:cs="Arial"/>
          <w:bCs/>
          <w:lang w:val="es-ES_tradnl" w:eastAsia="es-ES"/>
        </w:rPr>
        <w:t>ii</w:t>
      </w:r>
      <w:proofErr w:type="spellEnd"/>
      <w:r w:rsidRPr="00C940A9">
        <w:rPr>
          <w:rFonts w:ascii="Verdana" w:hAnsi="Verdana" w:cs="Arial"/>
          <w:bCs/>
          <w:lang w:val="es-ES_tradnl" w:eastAsia="es-ES"/>
        </w:rPr>
        <w:t xml:space="preserve">) desarrolla las </w:t>
      </w:r>
      <w:r w:rsidRPr="00C940A9">
        <w:rPr>
          <w:rFonts w:ascii="Verdana" w:hAnsi="Verdana" w:cs="Arial"/>
          <w:bCs/>
          <w:lang w:eastAsia="es-ES"/>
        </w:rPr>
        <w:t xml:space="preserve">convocatorias limitadas a </w:t>
      </w:r>
      <w:proofErr w:type="spellStart"/>
      <w:r w:rsidRPr="00C940A9">
        <w:rPr>
          <w:rFonts w:ascii="Verdana" w:hAnsi="Verdana" w:cs="Arial"/>
          <w:bCs/>
          <w:lang w:eastAsia="es-ES"/>
        </w:rPr>
        <w:t>Mipyme</w:t>
      </w:r>
      <w:proofErr w:type="spellEnd"/>
      <w:r w:rsidRPr="00C940A9">
        <w:rPr>
          <w:rFonts w:ascii="Verdana" w:hAnsi="Verdana" w:cs="Arial"/>
          <w:bCs/>
          <w:lang w:eastAsia="es-ES"/>
        </w:rPr>
        <w:t xml:space="preserve"> colombianas que tengan domicilio en los departamentos o municipios en donde se va a ejecutar el contrato – artículo 2.2.1.2.4.2.3.,</w:t>
      </w:r>
      <w:r w:rsidRPr="00C940A9">
        <w:rPr>
          <w:rFonts w:ascii="Verdana" w:hAnsi="Verdana" w:cs="Arial"/>
          <w:bCs/>
          <w:lang w:val="es-ES_tradnl" w:eastAsia="es-ES"/>
        </w:rPr>
        <w:t xml:space="preserve"> y </w:t>
      </w:r>
      <w:proofErr w:type="spellStart"/>
      <w:r w:rsidRPr="00C940A9">
        <w:rPr>
          <w:rFonts w:ascii="Verdana" w:hAnsi="Verdana" w:cs="Arial"/>
          <w:bCs/>
          <w:lang w:val="es-ES_tradnl" w:eastAsia="es-ES"/>
        </w:rPr>
        <w:t>iii</w:t>
      </w:r>
      <w:proofErr w:type="spellEnd"/>
      <w:r w:rsidRPr="00C940A9">
        <w:rPr>
          <w:rFonts w:ascii="Verdana" w:hAnsi="Verdana" w:cs="Arial"/>
          <w:bCs/>
          <w:lang w:val="es-ES_tradnl" w:eastAsia="es-ES"/>
        </w:rPr>
        <w:t xml:space="preserve">) </w:t>
      </w:r>
      <w:r w:rsidRPr="00C940A9">
        <w:rPr>
          <w:rFonts w:ascii="Verdana" w:hAnsi="Verdana" w:cs="Arial"/>
          <w:bCs/>
          <w:lang w:eastAsia="es-ES"/>
        </w:rPr>
        <w:t>regula la acreditación de requisitos para participar en convocatorias limitadas – artículo 2.2.1.2.4.2.4-</w:t>
      </w:r>
      <w:r>
        <w:rPr>
          <w:rFonts w:ascii="Verdana" w:hAnsi="Verdana" w:cs="Arial"/>
          <w:bCs/>
          <w:lang w:eastAsia="es-ES"/>
        </w:rPr>
        <w:t>.</w:t>
      </w:r>
    </w:p>
    <w:p w14:paraId="75B84DCC" w14:textId="77777777" w:rsidR="00EA7F35" w:rsidRPr="00C940A9" w:rsidRDefault="00EA7F35" w:rsidP="00EA7F35">
      <w:pPr>
        <w:spacing w:after="120" w:line="276" w:lineRule="auto"/>
        <w:ind w:firstLine="709"/>
        <w:jc w:val="both"/>
        <w:rPr>
          <w:rFonts w:ascii="Verdana" w:hAnsi="Verdana" w:cs="Arial"/>
          <w:lang w:val="es-ES" w:eastAsia="es-ES"/>
        </w:rPr>
      </w:pPr>
      <w:r w:rsidRPr="00C940A9">
        <w:rPr>
          <w:rFonts w:ascii="Verdana" w:hAnsi="Verdana" w:cs="Arial"/>
          <w:lang w:val="es-ES" w:eastAsia="es-ES"/>
        </w:rPr>
        <w:t xml:space="preserve">De esta manera, el artículo 5 del Decreto 1860 de 2021, que modifica los artículos del Decreto 1082 de 2015 expuestos en el párrafo anterior, constituye la nueva reglamentación del artículo 34 de la Ley 2069 de 2020, al desarrollar las reglas aplicables a las convocatorias limitadas a </w:t>
      </w:r>
      <w:proofErr w:type="spellStart"/>
      <w:r w:rsidRPr="00C940A9">
        <w:rPr>
          <w:rFonts w:ascii="Verdana" w:hAnsi="Verdana" w:cs="Arial"/>
          <w:lang w:val="es-ES" w:eastAsia="es-ES"/>
        </w:rPr>
        <w:t>Mipyme</w:t>
      </w:r>
      <w:proofErr w:type="spellEnd"/>
      <w:r w:rsidRPr="00C940A9">
        <w:rPr>
          <w:rFonts w:ascii="Verdana" w:hAnsi="Verdana" w:cs="Arial"/>
          <w:lang w:val="es-ES" w:eastAsia="es-ES"/>
        </w:rPr>
        <w:t>,</w:t>
      </w:r>
      <w:r w:rsidRPr="00C940A9">
        <w:rPr>
          <w:rFonts w:ascii="Verdana" w:eastAsia="Calibri" w:hAnsi="Verdana" w:cs="Arial"/>
          <w:lang w:val="es-ES"/>
        </w:rPr>
        <w:t xml:space="preserve"> </w:t>
      </w:r>
      <w:r w:rsidRPr="00C940A9">
        <w:rPr>
          <w:rFonts w:ascii="Verdana" w:hAnsi="Verdana" w:cs="Arial"/>
          <w:lang w:val="es-ES" w:eastAsia="es-ES"/>
        </w:rPr>
        <w:t>disposición que entró a regir desde el 24 de marzo de 2022, pues</w:t>
      </w:r>
      <w:r>
        <w:rPr>
          <w:rFonts w:ascii="Verdana" w:hAnsi="Verdana" w:cs="Arial"/>
          <w:lang w:val="es-ES" w:eastAsia="es-ES"/>
        </w:rPr>
        <w:t xml:space="preserve"> </w:t>
      </w:r>
      <w:r w:rsidRPr="00C940A9">
        <w:rPr>
          <w:rFonts w:ascii="Verdana" w:eastAsia="Calibri" w:hAnsi="Verdana" w:cs="Arial"/>
          <w:lang w:val="es-ES"/>
        </w:rPr>
        <w:t xml:space="preserve">el artículo 8 de dicho decreto sometió su vigencia al transcurso del periodo de </w:t>
      </w:r>
      <w:r>
        <w:rPr>
          <w:rFonts w:ascii="Verdana" w:eastAsia="Calibri" w:hAnsi="Verdana" w:cs="Arial"/>
          <w:lang w:val="es-ES"/>
        </w:rPr>
        <w:t>tres (</w:t>
      </w:r>
      <w:r w:rsidRPr="00C940A9">
        <w:rPr>
          <w:rFonts w:ascii="Verdana" w:eastAsia="Calibri" w:hAnsi="Verdana" w:cs="Arial"/>
          <w:lang w:val="es-ES"/>
        </w:rPr>
        <w:t>3</w:t>
      </w:r>
      <w:r>
        <w:rPr>
          <w:rFonts w:ascii="Verdana" w:eastAsia="Calibri" w:hAnsi="Verdana" w:cs="Arial"/>
          <w:lang w:val="es-ES"/>
        </w:rPr>
        <w:t>)</w:t>
      </w:r>
      <w:r w:rsidRPr="00C940A9">
        <w:rPr>
          <w:rFonts w:ascii="Verdana" w:eastAsia="Calibri" w:hAnsi="Verdana" w:cs="Arial"/>
          <w:lang w:val="es-ES"/>
        </w:rPr>
        <w:t xml:space="preserve"> meses siguientes a su expedición.</w:t>
      </w:r>
    </w:p>
    <w:p w14:paraId="3A8D92BB" w14:textId="77777777" w:rsidR="00EA7F35" w:rsidRPr="00C940A9" w:rsidRDefault="00EA7F35" w:rsidP="00EA7F35">
      <w:pPr>
        <w:spacing w:after="0" w:line="276" w:lineRule="auto"/>
        <w:ind w:firstLine="709"/>
        <w:jc w:val="both"/>
        <w:rPr>
          <w:rFonts w:ascii="Verdana" w:eastAsia="Arial" w:hAnsi="Verdana" w:cs="Arial"/>
          <w:color w:val="000000"/>
        </w:rPr>
      </w:pPr>
      <w:r w:rsidRPr="00C940A9">
        <w:rPr>
          <w:rFonts w:ascii="Verdana" w:eastAsia="Arial" w:hAnsi="Verdana" w:cs="Arial"/>
          <w:color w:val="000000"/>
        </w:rPr>
        <w:t xml:space="preserve">En este contexto, el artículo 2.2.1.2.4.2.2. del Decreto 1082 de 2015 –modificado por el Decreto 1860 de 2021– establece los requisitos que se deben acreditar en las “convocatorias limitadas a </w:t>
      </w:r>
      <w:proofErr w:type="spellStart"/>
      <w:r w:rsidRPr="00C940A9">
        <w:rPr>
          <w:rFonts w:ascii="Verdana" w:eastAsia="Arial" w:hAnsi="Verdana" w:cs="Arial"/>
          <w:color w:val="000000"/>
        </w:rPr>
        <w:t>Mipymes</w:t>
      </w:r>
      <w:proofErr w:type="spellEnd"/>
      <w:r w:rsidRPr="00C940A9">
        <w:rPr>
          <w:rFonts w:ascii="Verdana" w:eastAsia="Arial" w:hAnsi="Verdana" w:cs="Arial"/>
          <w:color w:val="000000"/>
        </w:rPr>
        <w:t xml:space="preserve">”. El inciso primero de la referida norma exige que las entidades estatales independientemente de su régimen de contratación, los patrimonios autónomos constituidos por entidades estatales y los particulares que ejecuten recursos públicos, limiten las convocatorias de los procesos de contratación a las </w:t>
      </w:r>
      <w:proofErr w:type="spellStart"/>
      <w:r w:rsidRPr="00C940A9">
        <w:rPr>
          <w:rFonts w:ascii="Verdana" w:eastAsia="Arial" w:hAnsi="Verdana" w:cs="Arial"/>
          <w:color w:val="000000"/>
        </w:rPr>
        <w:t>Mipyme</w:t>
      </w:r>
      <w:proofErr w:type="spellEnd"/>
      <w:r w:rsidRPr="00C940A9">
        <w:rPr>
          <w:rFonts w:ascii="Verdana" w:eastAsia="Arial" w:hAnsi="Verdana" w:cs="Arial"/>
          <w:color w:val="000000"/>
        </w:rPr>
        <w:t xml:space="preserve"> colombianas con mínimo un (1) año de existencia, siempre que se cumplan los requisitos señalados allí. Al respecto indica lo siguiente: </w:t>
      </w:r>
    </w:p>
    <w:p w14:paraId="6442E114" w14:textId="77777777" w:rsidR="00EA7F35" w:rsidRDefault="00EA7F35" w:rsidP="00EA7F35">
      <w:pPr>
        <w:spacing w:after="0"/>
        <w:ind w:left="709" w:right="709"/>
        <w:jc w:val="both"/>
        <w:rPr>
          <w:rFonts w:ascii="Verdana" w:eastAsia="Calibri" w:hAnsi="Verdana" w:cs="Arial"/>
          <w:sz w:val="20"/>
          <w:szCs w:val="20"/>
          <w:lang w:val="es-ES"/>
        </w:rPr>
      </w:pPr>
    </w:p>
    <w:p w14:paraId="74C1B19A" w14:textId="77777777" w:rsidR="00EA7F35" w:rsidRPr="00C940A9" w:rsidRDefault="00EA7F35" w:rsidP="00EA7F35">
      <w:pPr>
        <w:spacing w:after="0" w:line="240" w:lineRule="auto"/>
        <w:ind w:left="709" w:right="709"/>
        <w:jc w:val="both"/>
        <w:rPr>
          <w:rFonts w:ascii="Verdana" w:eastAsia="Calibri" w:hAnsi="Verdana" w:cs="Arial"/>
          <w:sz w:val="20"/>
          <w:szCs w:val="20"/>
          <w:lang w:val="es-ES"/>
        </w:rPr>
      </w:pPr>
      <w:r>
        <w:rPr>
          <w:rFonts w:ascii="Verdana" w:eastAsia="Calibri" w:hAnsi="Verdana" w:cs="Arial"/>
          <w:sz w:val="20"/>
          <w:szCs w:val="20"/>
          <w:lang w:val="es-ES"/>
        </w:rPr>
        <w:t>“</w:t>
      </w:r>
      <w:r w:rsidRPr="00C940A9">
        <w:rPr>
          <w:rFonts w:ascii="Verdana" w:eastAsia="Calibri" w:hAnsi="Verdana" w:cs="Arial"/>
          <w:sz w:val="20"/>
          <w:szCs w:val="20"/>
          <w:lang w:val="es-ES"/>
        </w:rPr>
        <w:t xml:space="preserve">Artículo 2.2.1.2.4.2.2. Convocatorias Imitadas a </w:t>
      </w:r>
      <w:proofErr w:type="spellStart"/>
      <w:r w:rsidRPr="00C940A9">
        <w:rPr>
          <w:rFonts w:ascii="Verdana" w:eastAsia="Calibri" w:hAnsi="Verdana" w:cs="Arial"/>
          <w:sz w:val="20"/>
          <w:szCs w:val="20"/>
          <w:lang w:val="es-ES"/>
        </w:rPr>
        <w:t>Mipyme</w:t>
      </w:r>
      <w:proofErr w:type="spellEnd"/>
      <w:r w:rsidRPr="00C940A9">
        <w:rPr>
          <w:rFonts w:ascii="Verdana" w:eastAsia="Calibri" w:hAnsi="Verdana" w:cs="Arial"/>
          <w:sz w:val="20"/>
          <w:szCs w:val="20"/>
          <w:lang w:val="es-ES"/>
        </w:rPr>
        <w:t xml:space="preserve">. Las Entidades Estatales independientemente de su régimen de contratación, los patrimonios autónomos constituidos por Entidades Estatales y los particulares que ejecuten recursos públicos, deben limitar la convocatoria de los Procesos de Contratación con pluralidad de oferentes a las </w:t>
      </w:r>
      <w:proofErr w:type="spellStart"/>
      <w:r w:rsidRPr="00C940A9">
        <w:rPr>
          <w:rFonts w:ascii="Verdana" w:eastAsia="Calibri" w:hAnsi="Verdana" w:cs="Arial"/>
          <w:sz w:val="20"/>
          <w:szCs w:val="20"/>
          <w:lang w:val="es-ES"/>
        </w:rPr>
        <w:t>Mipyme</w:t>
      </w:r>
      <w:proofErr w:type="spellEnd"/>
      <w:r w:rsidRPr="00C940A9">
        <w:rPr>
          <w:rFonts w:ascii="Verdana" w:eastAsia="Calibri" w:hAnsi="Verdana" w:cs="Arial"/>
          <w:sz w:val="20"/>
          <w:szCs w:val="20"/>
          <w:lang w:val="es-ES"/>
        </w:rPr>
        <w:t xml:space="preserve"> </w:t>
      </w:r>
      <w:r w:rsidRPr="00C940A9">
        <w:rPr>
          <w:rFonts w:ascii="Verdana" w:eastAsia="Calibri" w:hAnsi="Verdana" w:cs="Arial"/>
          <w:sz w:val="20"/>
          <w:szCs w:val="20"/>
          <w:lang w:val="es-ES"/>
        </w:rPr>
        <w:lastRenderedPageBreak/>
        <w:t xml:space="preserve">colombianas con mínimo un (1) año de existencia, cuando concurran los siguientes requisitos: </w:t>
      </w:r>
    </w:p>
    <w:p w14:paraId="45C74C05" w14:textId="77777777" w:rsidR="00EA7F35" w:rsidRPr="00C940A9" w:rsidRDefault="00EA7F35" w:rsidP="00EA7F35">
      <w:pPr>
        <w:spacing w:after="0" w:line="240" w:lineRule="auto"/>
        <w:ind w:left="709" w:right="709"/>
        <w:jc w:val="both"/>
        <w:rPr>
          <w:rFonts w:ascii="Verdana" w:eastAsia="Calibri" w:hAnsi="Verdana" w:cs="Arial"/>
          <w:sz w:val="20"/>
          <w:szCs w:val="20"/>
          <w:lang w:val="es-ES"/>
        </w:rPr>
      </w:pPr>
    </w:p>
    <w:p w14:paraId="09BC2506" w14:textId="77777777" w:rsidR="00EA7F35" w:rsidRPr="00C940A9" w:rsidRDefault="00EA7F35" w:rsidP="00EA7F35">
      <w:pPr>
        <w:spacing w:after="0" w:line="240" w:lineRule="auto"/>
        <w:ind w:left="709" w:right="709"/>
        <w:jc w:val="both"/>
        <w:rPr>
          <w:rFonts w:ascii="Verdana" w:eastAsia="Calibri" w:hAnsi="Verdana" w:cs="Arial"/>
          <w:sz w:val="20"/>
          <w:szCs w:val="20"/>
          <w:lang w:val="es-ES_tradnl"/>
        </w:rPr>
      </w:pPr>
      <w:r w:rsidRPr="00C940A9">
        <w:rPr>
          <w:rFonts w:ascii="Verdana" w:eastAsia="Calibri" w:hAnsi="Verdana" w:cs="Arial"/>
          <w:sz w:val="20"/>
          <w:szCs w:val="20"/>
          <w:lang w:val="es-ES_tradnl"/>
        </w:rPr>
        <w:t>1. El valor del Proceso de Contratación sea menor a ciento veinticinco mil dólares de los Estados Unidos de América (US$125.000), liquidados con la tasa de cambio que para el efecto determina cada dos años el Ministerio de Comercio, Industria y Turismo.</w:t>
      </w:r>
    </w:p>
    <w:p w14:paraId="11E51C6B" w14:textId="77777777" w:rsidR="00EA7F35" w:rsidRDefault="00EA7F35" w:rsidP="00EA7F35">
      <w:pPr>
        <w:spacing w:after="0" w:line="240" w:lineRule="auto"/>
        <w:ind w:left="709" w:right="709"/>
        <w:jc w:val="both"/>
        <w:rPr>
          <w:rFonts w:ascii="Verdana" w:eastAsia="Calibri" w:hAnsi="Verdana" w:cs="Arial"/>
          <w:sz w:val="20"/>
          <w:szCs w:val="20"/>
          <w:lang w:val="es-ES"/>
        </w:rPr>
      </w:pPr>
    </w:p>
    <w:p w14:paraId="1D7FE20E" w14:textId="77777777" w:rsidR="00EA7F35" w:rsidRPr="00C940A9" w:rsidRDefault="00EA7F35" w:rsidP="00EA7F35">
      <w:pPr>
        <w:spacing w:after="0" w:line="240" w:lineRule="auto"/>
        <w:ind w:left="709" w:right="709"/>
        <w:jc w:val="both"/>
        <w:rPr>
          <w:rFonts w:ascii="Verdana" w:eastAsia="Calibri" w:hAnsi="Verdana" w:cs="Arial"/>
          <w:sz w:val="20"/>
          <w:szCs w:val="20"/>
          <w:lang w:val="es-ES"/>
        </w:rPr>
      </w:pPr>
      <w:r w:rsidRPr="00C940A9">
        <w:rPr>
          <w:rFonts w:ascii="Verdana" w:eastAsia="Calibri" w:hAnsi="Verdana" w:cs="Arial"/>
          <w:sz w:val="20"/>
          <w:szCs w:val="20"/>
          <w:lang w:val="es-ES"/>
        </w:rPr>
        <w:t xml:space="preserve">2. Se hayan recibido solicitudes de por lo menos dos (2) </w:t>
      </w:r>
      <w:proofErr w:type="spellStart"/>
      <w:r w:rsidRPr="00C940A9">
        <w:rPr>
          <w:rFonts w:ascii="Verdana" w:eastAsia="Calibri" w:hAnsi="Verdana" w:cs="Arial"/>
          <w:sz w:val="20"/>
          <w:szCs w:val="20"/>
          <w:lang w:val="es-ES"/>
        </w:rPr>
        <w:t>Mipyme</w:t>
      </w:r>
      <w:proofErr w:type="spellEnd"/>
      <w:r w:rsidRPr="00C940A9">
        <w:rPr>
          <w:rFonts w:ascii="Verdana" w:eastAsia="Calibri" w:hAnsi="Verdana" w:cs="Arial"/>
          <w:sz w:val="20"/>
          <w:szCs w:val="20"/>
          <w:lang w:val="es-ES"/>
        </w:rPr>
        <w:t xml:space="preserve"> colombianas para limitar la convocatoria a </w:t>
      </w:r>
      <w:proofErr w:type="spellStart"/>
      <w:r w:rsidRPr="00C940A9">
        <w:rPr>
          <w:rFonts w:ascii="Verdana" w:eastAsia="Calibri" w:hAnsi="Verdana" w:cs="Arial"/>
          <w:sz w:val="20"/>
          <w:szCs w:val="20"/>
          <w:lang w:val="es-ES"/>
        </w:rPr>
        <w:t>Mipyme</w:t>
      </w:r>
      <w:proofErr w:type="spellEnd"/>
      <w:r w:rsidRPr="00C940A9">
        <w:rPr>
          <w:rFonts w:ascii="Verdana" w:eastAsia="Calibri" w:hAnsi="Verdana" w:cs="Arial"/>
          <w:sz w:val="20"/>
          <w:szCs w:val="20"/>
          <w:lang w:val="es-ES"/>
        </w:rPr>
        <w:t xml:space="preserve"> colombianas. Las Entidades Estatales independientemente de su régimen de contratación, los patrimonios autónomos constituidos por Entidades Estatales y los particulares que ejecuten recursos públicos, deben recibir estas solicitudes por lo menos un (1) día hábil antes de la expedición del acto administrativo de apertura, o el que haga sus veces de acuerdo con la normativa aplicable a cada Proceso de Contratación. Tratándose de personas jurídicas, las solicitudes solo las podrán realizar </w:t>
      </w:r>
      <w:proofErr w:type="spellStart"/>
      <w:r w:rsidRPr="00C940A9">
        <w:rPr>
          <w:rFonts w:ascii="Verdana" w:eastAsia="Calibri" w:hAnsi="Verdana" w:cs="Arial"/>
          <w:sz w:val="20"/>
          <w:szCs w:val="20"/>
          <w:lang w:val="es-ES"/>
        </w:rPr>
        <w:t>Mipyme</w:t>
      </w:r>
      <w:proofErr w:type="spellEnd"/>
      <w:r w:rsidRPr="00C940A9">
        <w:rPr>
          <w:rFonts w:ascii="Verdana" w:eastAsia="Calibri" w:hAnsi="Verdana" w:cs="Arial"/>
          <w:sz w:val="20"/>
          <w:szCs w:val="20"/>
          <w:lang w:val="es-ES"/>
        </w:rPr>
        <w:t>, cuyo objeto social les permita ejecutar el contrato relacionado con el proceso contractual.</w:t>
      </w:r>
    </w:p>
    <w:p w14:paraId="4E0FFADE" w14:textId="77777777" w:rsidR="00EA7F35" w:rsidRPr="00C940A9" w:rsidRDefault="00EA7F35" w:rsidP="00EA7F35">
      <w:pPr>
        <w:spacing w:after="0" w:line="240" w:lineRule="auto"/>
        <w:ind w:left="709" w:right="709"/>
        <w:jc w:val="both"/>
        <w:rPr>
          <w:rFonts w:ascii="Verdana" w:eastAsia="Calibri" w:hAnsi="Verdana" w:cs="Arial"/>
          <w:sz w:val="20"/>
          <w:szCs w:val="20"/>
          <w:lang w:val="es-ES"/>
        </w:rPr>
      </w:pPr>
    </w:p>
    <w:p w14:paraId="5617F0F0" w14:textId="77777777" w:rsidR="00EA7F35" w:rsidRPr="00C940A9" w:rsidRDefault="00EA7F35" w:rsidP="00EA7F35">
      <w:pPr>
        <w:spacing w:after="0" w:line="240" w:lineRule="auto"/>
        <w:ind w:left="709" w:right="709"/>
        <w:jc w:val="both"/>
        <w:rPr>
          <w:rFonts w:ascii="Verdana" w:eastAsia="Calibri" w:hAnsi="Verdana" w:cs="Arial"/>
          <w:sz w:val="20"/>
          <w:szCs w:val="20"/>
          <w:lang w:val="es-ES"/>
        </w:rPr>
      </w:pPr>
      <w:r w:rsidRPr="00C940A9">
        <w:rPr>
          <w:rFonts w:ascii="Verdana" w:eastAsia="Calibri" w:hAnsi="Verdana" w:cs="Arial"/>
          <w:sz w:val="20"/>
          <w:szCs w:val="20"/>
          <w:lang w:val="es-ES"/>
        </w:rPr>
        <w:t xml:space="preserve">Parágrafo. Las cooperativas y demás entidades de economía solidaria, siempre que tengan la calidad de </w:t>
      </w:r>
      <w:proofErr w:type="spellStart"/>
      <w:r w:rsidRPr="00C940A9">
        <w:rPr>
          <w:rFonts w:ascii="Verdana" w:eastAsia="Calibri" w:hAnsi="Verdana" w:cs="Arial"/>
          <w:sz w:val="20"/>
          <w:szCs w:val="20"/>
          <w:lang w:val="es-ES"/>
        </w:rPr>
        <w:t>Mipyme</w:t>
      </w:r>
      <w:proofErr w:type="spellEnd"/>
      <w:r w:rsidRPr="00C940A9">
        <w:rPr>
          <w:rFonts w:ascii="Verdana" w:eastAsia="Calibri" w:hAnsi="Verdana" w:cs="Arial"/>
          <w:sz w:val="20"/>
          <w:szCs w:val="20"/>
          <w:lang w:val="es-ES"/>
        </w:rPr>
        <w:t>, podrán solicitar y participar en las convocatorias limitadas en las mismas condiciones dispuestas en el presente artículo</w:t>
      </w:r>
      <w:r>
        <w:rPr>
          <w:rFonts w:ascii="Verdana" w:eastAsia="Calibri" w:hAnsi="Verdana" w:cs="Arial"/>
          <w:sz w:val="20"/>
          <w:szCs w:val="20"/>
          <w:lang w:val="es-ES"/>
        </w:rPr>
        <w:t>”</w:t>
      </w:r>
      <w:r w:rsidRPr="00C940A9">
        <w:rPr>
          <w:rFonts w:ascii="Verdana" w:eastAsia="Calibri" w:hAnsi="Verdana" w:cs="Arial"/>
          <w:sz w:val="20"/>
          <w:szCs w:val="20"/>
          <w:lang w:val="es-ES"/>
        </w:rPr>
        <w:t>.</w:t>
      </w:r>
    </w:p>
    <w:p w14:paraId="6F82FC4E" w14:textId="77777777" w:rsidR="00EA7F35" w:rsidRPr="001D4AC1" w:rsidRDefault="00EA7F35" w:rsidP="00EA7F35">
      <w:pPr>
        <w:spacing w:after="0"/>
        <w:ind w:left="709" w:right="709"/>
        <w:jc w:val="both"/>
        <w:rPr>
          <w:rFonts w:ascii="Century Gothic" w:eastAsia="Arial" w:hAnsi="Century Gothic" w:cs="Arial"/>
          <w:color w:val="000000"/>
        </w:rPr>
      </w:pPr>
    </w:p>
    <w:p w14:paraId="0F16235E" w14:textId="77777777" w:rsidR="00EA7F35" w:rsidRPr="00C940A9" w:rsidRDefault="00EA7F35" w:rsidP="00EA7F35">
      <w:pPr>
        <w:spacing w:after="120" w:line="276" w:lineRule="auto"/>
        <w:ind w:firstLine="709"/>
        <w:jc w:val="both"/>
        <w:rPr>
          <w:rFonts w:ascii="Verdana" w:eastAsia="Arial" w:hAnsi="Verdana" w:cs="Arial"/>
          <w:color w:val="000000"/>
        </w:rPr>
      </w:pPr>
      <w:r w:rsidRPr="00C940A9">
        <w:rPr>
          <w:rFonts w:ascii="Verdana" w:eastAsia="Arial" w:hAnsi="Verdana" w:cs="Arial"/>
          <w:color w:val="000000"/>
        </w:rPr>
        <w:t xml:space="preserve">Según se evidencia, el numeral primero limita cuantitativamente los procesos contractuales en los que se puede hacer esa convocatoria limitada a </w:t>
      </w:r>
      <w:proofErr w:type="spellStart"/>
      <w:r w:rsidRPr="00C940A9">
        <w:rPr>
          <w:rFonts w:ascii="Verdana" w:eastAsia="Arial" w:hAnsi="Verdana" w:cs="Arial"/>
          <w:color w:val="000000"/>
        </w:rPr>
        <w:t>Mipyme</w:t>
      </w:r>
      <w:proofErr w:type="spellEnd"/>
      <w:r w:rsidRPr="00C940A9">
        <w:rPr>
          <w:rFonts w:ascii="Verdana" w:eastAsia="Arial" w:hAnsi="Verdana" w:cs="Arial"/>
          <w:color w:val="000000"/>
        </w:rPr>
        <w:t xml:space="preserve">, en la medida en que el valor del proceso de contratación tendrá que ser “menor a ciento veinticinco mil dólares de los Estados Unidos de América”. Esta limitante, valga la pena aclarar, es establecida de acuerdo con la tasa que, para el efecto, determine cada dos años el Ministerio de Comercio, Industria y Turismo. </w:t>
      </w:r>
    </w:p>
    <w:p w14:paraId="5F577755" w14:textId="77777777" w:rsidR="00EA7F35" w:rsidRPr="005B1F06" w:rsidRDefault="00EA7F35" w:rsidP="00EA7F35">
      <w:pPr>
        <w:spacing w:after="120" w:line="276" w:lineRule="auto"/>
        <w:ind w:firstLine="709"/>
        <w:jc w:val="both"/>
        <w:rPr>
          <w:rFonts w:ascii="Verdana" w:eastAsia="Arial" w:hAnsi="Verdana" w:cs="Arial"/>
          <w:color w:val="000000"/>
        </w:rPr>
      </w:pPr>
      <w:r w:rsidRPr="00C940A9">
        <w:rPr>
          <w:rFonts w:ascii="Verdana" w:eastAsia="Arial" w:hAnsi="Verdana" w:cs="Arial"/>
          <w:color w:val="000000"/>
        </w:rPr>
        <w:t xml:space="preserve">Por su parte, el numeral segundo establece dos exigencias: por un lado, que al menos dos (2) </w:t>
      </w:r>
      <w:proofErr w:type="spellStart"/>
      <w:r w:rsidRPr="00C940A9">
        <w:rPr>
          <w:rFonts w:ascii="Verdana" w:eastAsia="Arial" w:hAnsi="Verdana" w:cs="Arial"/>
          <w:color w:val="000000"/>
        </w:rPr>
        <w:t>Mipymes</w:t>
      </w:r>
      <w:proofErr w:type="spellEnd"/>
      <w:r w:rsidRPr="00C940A9">
        <w:rPr>
          <w:rFonts w:ascii="Verdana" w:eastAsia="Arial" w:hAnsi="Verdana" w:cs="Arial"/>
          <w:color w:val="000000"/>
        </w:rPr>
        <w:t xml:space="preserve"> colombianas presenten a la entidad la solicitud de limitar el proceso contractual y, por el otro, que hagan la solicitud por lo menos un día (1) hábil antes de la expedición del acto administrativo de apertura </w:t>
      </w:r>
      <w:r w:rsidRPr="00C940A9">
        <w:rPr>
          <w:rFonts w:ascii="Verdana" w:eastAsia="Arial" w:hAnsi="Verdana" w:cs="Arial"/>
          <w:color w:val="000000"/>
          <w:lang w:val="es-ES_tradnl"/>
        </w:rPr>
        <w:t xml:space="preserve">o el que haga </w:t>
      </w:r>
      <w:r w:rsidRPr="005B1F06">
        <w:rPr>
          <w:rFonts w:ascii="Verdana" w:eastAsia="Arial" w:hAnsi="Verdana" w:cs="Arial"/>
          <w:color w:val="000000"/>
          <w:lang w:val="es-ES_tradnl"/>
        </w:rPr>
        <w:t>sus veces de acuerdo con la normativa aplicable a cada proceso de contratación</w:t>
      </w:r>
      <w:r w:rsidRPr="005B1F06">
        <w:rPr>
          <w:rFonts w:ascii="Verdana" w:eastAsia="Arial" w:hAnsi="Verdana" w:cs="Arial"/>
          <w:color w:val="000000"/>
        </w:rPr>
        <w:t xml:space="preserve">. Además, la norma señala que, </w:t>
      </w:r>
      <w:r w:rsidRPr="005B1F06">
        <w:rPr>
          <w:rFonts w:ascii="Verdana" w:eastAsia="Arial" w:hAnsi="Verdana" w:cs="Arial"/>
          <w:color w:val="000000"/>
          <w:lang w:val="es-ES_tradnl"/>
        </w:rPr>
        <w:t xml:space="preserve">tratándose de personas jurídicas, las solicitudes solo las podrán realizar </w:t>
      </w:r>
      <w:proofErr w:type="spellStart"/>
      <w:r w:rsidRPr="005B1F06">
        <w:rPr>
          <w:rFonts w:ascii="Verdana" w:eastAsia="Arial" w:hAnsi="Verdana" w:cs="Arial"/>
          <w:color w:val="000000"/>
          <w:lang w:val="es-ES_tradnl"/>
        </w:rPr>
        <w:t>Mipymes</w:t>
      </w:r>
      <w:proofErr w:type="spellEnd"/>
      <w:r w:rsidRPr="005B1F06">
        <w:rPr>
          <w:rFonts w:ascii="Verdana" w:eastAsia="Arial" w:hAnsi="Verdana" w:cs="Arial"/>
          <w:color w:val="000000"/>
          <w:lang w:val="es-ES_tradnl"/>
        </w:rPr>
        <w:t xml:space="preserve">, cuyo objeto social les permita ejecutar el contrato relacionado con el proceso contractual. Asimismo, este artículo incluye a las cooperativas y demás entidades de economía solidaria </w:t>
      </w:r>
      <w:r w:rsidRPr="005B1F06">
        <w:rPr>
          <w:rFonts w:ascii="Verdana" w:eastAsia="Arial" w:hAnsi="Verdana" w:cs="Arial"/>
          <w:color w:val="000000"/>
          <w:lang w:val="es-ES_tradnl"/>
        </w:rPr>
        <w:lastRenderedPageBreak/>
        <w:t xml:space="preserve">dentro de los sujetos que pueden solicitar y participar en las convocatorias limitadas a </w:t>
      </w:r>
      <w:proofErr w:type="spellStart"/>
      <w:r w:rsidRPr="005B1F06">
        <w:rPr>
          <w:rFonts w:ascii="Verdana" w:eastAsia="Arial" w:hAnsi="Verdana" w:cs="Arial"/>
          <w:color w:val="000000"/>
          <w:lang w:val="es-ES_tradnl"/>
        </w:rPr>
        <w:t>Mipymes</w:t>
      </w:r>
      <w:proofErr w:type="spellEnd"/>
      <w:r w:rsidRPr="005B1F06">
        <w:rPr>
          <w:rFonts w:ascii="Verdana" w:eastAsia="Arial" w:hAnsi="Verdana" w:cs="Arial"/>
          <w:color w:val="000000"/>
          <w:lang w:val="es-ES_tradnl"/>
        </w:rPr>
        <w:t xml:space="preserve">, siempre que estas cumplan con las condiciones señaladas en el artículo. </w:t>
      </w:r>
    </w:p>
    <w:p w14:paraId="3989DBD5" w14:textId="77777777" w:rsidR="00EA7F35" w:rsidRPr="005B1F06" w:rsidRDefault="00EA7F35" w:rsidP="00EA7F35">
      <w:pPr>
        <w:spacing w:after="120" w:line="276" w:lineRule="auto"/>
        <w:ind w:firstLine="709"/>
        <w:jc w:val="both"/>
        <w:rPr>
          <w:rFonts w:ascii="Verdana" w:hAnsi="Verdana" w:cs="Arial"/>
          <w:lang w:val="es-ES" w:eastAsia="es-MX"/>
        </w:rPr>
      </w:pPr>
      <w:r w:rsidRPr="005B1F06">
        <w:rPr>
          <w:rFonts w:ascii="Verdana" w:eastAsia="Arial" w:hAnsi="Verdana" w:cs="Arial"/>
          <w:color w:val="000000"/>
          <w:lang w:val="es-ES_tradnl"/>
        </w:rPr>
        <w:t>Así las cosas,</w:t>
      </w:r>
      <w:r w:rsidRPr="005B1F06">
        <w:rPr>
          <w:rFonts w:ascii="Verdana" w:hAnsi="Verdana" w:cs="Arial"/>
          <w:lang w:val="es-ES" w:eastAsia="es-MX"/>
        </w:rPr>
        <w:t xml:space="preserve"> las entidades independientemente de su régimen de contratación, los patrimonios autónomos constituidos por entidades estatales y los particulares que ejecuten recursos públicos deben limitar la convocatoria de los procesos de contratación con pluralidad de oferentes a las </w:t>
      </w:r>
      <w:proofErr w:type="spellStart"/>
      <w:r w:rsidRPr="005B1F06">
        <w:rPr>
          <w:rFonts w:ascii="Verdana" w:hAnsi="Verdana" w:cs="Arial"/>
          <w:lang w:val="es-ES" w:eastAsia="es-MX"/>
        </w:rPr>
        <w:t>Mipymes</w:t>
      </w:r>
      <w:proofErr w:type="spellEnd"/>
      <w:r w:rsidRPr="005B1F06">
        <w:rPr>
          <w:rFonts w:ascii="Verdana" w:hAnsi="Verdana" w:cs="Arial"/>
          <w:lang w:val="es-ES" w:eastAsia="es-MX"/>
        </w:rPr>
        <w:t xml:space="preserve"> colombianas con mínimo un (1) año de existencia, cuando se cumplan los requisitos previstos en el artículo 2.2.1.2.4.2.2 del Decreto 1082 de 2015 anteriormente señalado.</w:t>
      </w:r>
    </w:p>
    <w:p w14:paraId="78C3600E" w14:textId="77777777" w:rsidR="00EA7F35" w:rsidRPr="005B1F06" w:rsidRDefault="00EA7F35" w:rsidP="00EA7F35">
      <w:pPr>
        <w:spacing w:after="120" w:line="276" w:lineRule="auto"/>
        <w:ind w:firstLine="708"/>
        <w:jc w:val="both"/>
        <w:rPr>
          <w:rFonts w:ascii="Verdana" w:eastAsia="Calibri" w:hAnsi="Verdana" w:cs="Arial"/>
          <w:lang w:val="es-ES"/>
        </w:rPr>
      </w:pPr>
      <w:r w:rsidRPr="706726C8">
        <w:rPr>
          <w:rFonts w:ascii="Verdana" w:eastAsia="Calibri" w:hAnsi="Verdana" w:cs="Arial"/>
          <w:lang w:val="es-ES"/>
        </w:rPr>
        <w:t xml:space="preserve">En relación con las limitaciones territoriales </w:t>
      </w:r>
      <w:r w:rsidRPr="706726C8">
        <w:rPr>
          <w:rFonts w:ascii="Verdana" w:hAnsi="Verdana" w:cs="Arial"/>
          <w:lang w:val="es-ES"/>
        </w:rPr>
        <w:t xml:space="preserve">de las convocatorias a </w:t>
      </w:r>
      <w:proofErr w:type="spellStart"/>
      <w:r w:rsidRPr="706726C8">
        <w:rPr>
          <w:rFonts w:ascii="Verdana" w:hAnsi="Verdana" w:cs="Arial"/>
          <w:lang w:val="es-ES"/>
        </w:rPr>
        <w:t>Mipymes</w:t>
      </w:r>
      <w:proofErr w:type="spellEnd"/>
      <w:r w:rsidRPr="706726C8">
        <w:rPr>
          <w:rFonts w:ascii="Verdana" w:eastAsia="Calibri" w:hAnsi="Verdana" w:cs="Arial"/>
          <w:lang w:val="es-ES"/>
        </w:rPr>
        <w:t xml:space="preserve"> el texto del actual </w:t>
      </w:r>
      <w:r>
        <w:rPr>
          <w:rFonts w:ascii="Verdana" w:eastAsia="Calibri" w:hAnsi="Verdana" w:cs="Arial"/>
          <w:lang w:val="es-ES"/>
        </w:rPr>
        <w:t xml:space="preserve">del </w:t>
      </w:r>
      <w:r w:rsidRPr="706726C8">
        <w:rPr>
          <w:rFonts w:ascii="Verdana" w:eastAsia="Calibri" w:hAnsi="Verdana" w:cs="Arial"/>
          <w:lang w:val="es-ES"/>
        </w:rPr>
        <w:t xml:space="preserve">artículo 2.2.1.2.4.2.3, modificado por el artículo 5 del Decreto 1860 de 2021, determina que toda empresa constituida bajo las leyes colombianas o que tenga su domicilio principal en el territorio colombiano y, además, cumpla los criterios previstos por la </w:t>
      </w:r>
      <w:bookmarkStart w:id="8" w:name="_Hlk194041590"/>
      <w:r w:rsidRPr="706726C8">
        <w:rPr>
          <w:rFonts w:ascii="Verdana" w:eastAsia="Calibri" w:hAnsi="Verdana" w:cs="Arial"/>
          <w:lang w:val="es-ES"/>
        </w:rPr>
        <w:t>Ley 590 de 2000 y el Decreto 957 de 2019</w:t>
      </w:r>
      <w:bookmarkEnd w:id="8"/>
      <w:r w:rsidRPr="706726C8">
        <w:rPr>
          <w:rFonts w:ascii="Verdana" w:eastAsia="Calibri" w:hAnsi="Verdana" w:cs="Arial"/>
          <w:lang w:val="es-ES"/>
        </w:rPr>
        <w:t xml:space="preserve">, será considerada </w:t>
      </w:r>
      <w:proofErr w:type="spellStart"/>
      <w:r w:rsidRPr="706726C8">
        <w:rPr>
          <w:rFonts w:ascii="Verdana" w:eastAsia="Calibri" w:hAnsi="Verdana" w:cs="Arial"/>
          <w:lang w:val="es-ES"/>
        </w:rPr>
        <w:t>Mipymes</w:t>
      </w:r>
      <w:proofErr w:type="spellEnd"/>
      <w:r w:rsidRPr="706726C8">
        <w:rPr>
          <w:rFonts w:ascii="Verdana" w:eastAsia="Calibri" w:hAnsi="Verdana" w:cs="Arial"/>
          <w:lang w:val="es-ES"/>
        </w:rPr>
        <w:t xml:space="preserve"> del orden nacional. Otra cosa es que las normas de contratación permitan que las MiPymes nacionales con “domicilio” en un municipio o departamento, puedan beneficiarse en la ejecución de un contrato dentro de la entidad territorial en la que tienen su “domicilio”. De todos modos, las </w:t>
      </w:r>
      <w:proofErr w:type="spellStart"/>
      <w:r w:rsidRPr="706726C8">
        <w:rPr>
          <w:rFonts w:ascii="Verdana" w:eastAsia="Calibri" w:hAnsi="Verdana" w:cs="Arial"/>
          <w:lang w:val="es-ES"/>
        </w:rPr>
        <w:t>Mipymes</w:t>
      </w:r>
      <w:proofErr w:type="spellEnd"/>
      <w:r w:rsidRPr="706726C8">
        <w:rPr>
          <w:rFonts w:ascii="Verdana" w:eastAsia="Calibri" w:hAnsi="Verdana" w:cs="Arial"/>
          <w:lang w:val="es-ES"/>
        </w:rPr>
        <w:t xml:space="preserve"> domiciliadas en un municipio o departamento son </w:t>
      </w:r>
      <w:proofErr w:type="spellStart"/>
      <w:r w:rsidRPr="706726C8">
        <w:rPr>
          <w:rFonts w:ascii="Verdana" w:eastAsia="Calibri" w:hAnsi="Verdana" w:cs="Arial"/>
          <w:lang w:val="es-ES"/>
        </w:rPr>
        <w:t>Mipymes</w:t>
      </w:r>
      <w:proofErr w:type="spellEnd"/>
      <w:r w:rsidRPr="706726C8">
        <w:rPr>
          <w:rFonts w:ascii="Verdana" w:eastAsia="Calibri" w:hAnsi="Verdana" w:cs="Arial"/>
          <w:lang w:val="es-ES"/>
        </w:rPr>
        <w:t xml:space="preserve"> nacionales. En consecuencia, no es procedente distinguir entre </w:t>
      </w:r>
      <w:proofErr w:type="spellStart"/>
      <w:r w:rsidRPr="706726C8">
        <w:rPr>
          <w:rFonts w:ascii="Verdana" w:eastAsia="Calibri" w:hAnsi="Verdana" w:cs="Arial"/>
          <w:lang w:val="es-ES"/>
        </w:rPr>
        <w:t>Mipymes</w:t>
      </w:r>
      <w:proofErr w:type="spellEnd"/>
      <w:r w:rsidRPr="706726C8">
        <w:rPr>
          <w:rFonts w:ascii="Verdana" w:eastAsia="Calibri" w:hAnsi="Verdana" w:cs="Arial"/>
          <w:lang w:val="es-ES"/>
        </w:rPr>
        <w:t xml:space="preserve"> nacionales y </w:t>
      </w:r>
      <w:proofErr w:type="spellStart"/>
      <w:r w:rsidRPr="706726C8">
        <w:rPr>
          <w:rFonts w:ascii="Verdana" w:eastAsia="Calibri" w:hAnsi="Verdana" w:cs="Arial"/>
          <w:lang w:val="es-ES"/>
        </w:rPr>
        <w:t>Mipymes</w:t>
      </w:r>
      <w:proofErr w:type="spellEnd"/>
      <w:r w:rsidRPr="706726C8">
        <w:rPr>
          <w:rFonts w:ascii="Verdana" w:eastAsia="Calibri" w:hAnsi="Verdana" w:cs="Arial"/>
          <w:lang w:val="es-ES"/>
        </w:rPr>
        <w:t xml:space="preserve"> municipales o departamentales, habida cuenta que estas últimas no existen como categoría dentro del ordenamiento normativo. </w:t>
      </w:r>
    </w:p>
    <w:p w14:paraId="7A48E594" w14:textId="77777777" w:rsidR="00EA7F35" w:rsidRPr="005B1F06" w:rsidRDefault="00EA7F35" w:rsidP="00EA7F35">
      <w:pPr>
        <w:spacing w:after="0" w:line="276" w:lineRule="auto"/>
        <w:ind w:firstLine="708"/>
        <w:jc w:val="both"/>
        <w:rPr>
          <w:rFonts w:ascii="Verdana" w:eastAsia="Calibri" w:hAnsi="Verdana" w:cs="Arial"/>
          <w:lang w:val="es-ES_tradnl"/>
        </w:rPr>
      </w:pPr>
      <w:r w:rsidRPr="005B1F06">
        <w:rPr>
          <w:rFonts w:ascii="Verdana" w:eastAsia="Calibri" w:hAnsi="Verdana" w:cs="Arial"/>
          <w:lang w:val="es-ES_tradnl"/>
        </w:rPr>
        <w:t xml:space="preserve">El texto normativo dispone lo siguiente:  </w:t>
      </w:r>
    </w:p>
    <w:p w14:paraId="599C5F91" w14:textId="77777777" w:rsidR="00EA7F35" w:rsidRDefault="00EA7F35" w:rsidP="00EA7F35">
      <w:pPr>
        <w:spacing w:after="0" w:line="276" w:lineRule="auto"/>
        <w:ind w:left="709" w:right="758" w:hanging="1"/>
        <w:jc w:val="both"/>
        <w:rPr>
          <w:rFonts w:ascii="Verdana" w:hAnsi="Verdana" w:cs="Arial"/>
          <w:sz w:val="20"/>
          <w:szCs w:val="20"/>
          <w:lang w:val="es-ES_tradnl"/>
        </w:rPr>
      </w:pPr>
    </w:p>
    <w:p w14:paraId="5F0B20CE" w14:textId="77777777" w:rsidR="00EA7F35" w:rsidRPr="005B1F06" w:rsidRDefault="00EA7F35" w:rsidP="00EA7F35">
      <w:pPr>
        <w:spacing w:after="0" w:line="240" w:lineRule="auto"/>
        <w:ind w:left="709" w:right="758" w:hanging="1"/>
        <w:jc w:val="both"/>
        <w:rPr>
          <w:rFonts w:ascii="Verdana" w:hAnsi="Verdana" w:cs="Arial"/>
          <w:sz w:val="20"/>
          <w:szCs w:val="20"/>
          <w:lang w:val="es-ES_tradnl"/>
        </w:rPr>
      </w:pPr>
      <w:r>
        <w:rPr>
          <w:rFonts w:ascii="Verdana" w:hAnsi="Verdana" w:cs="Arial"/>
          <w:sz w:val="20"/>
          <w:szCs w:val="20"/>
          <w:lang w:val="es-ES_tradnl"/>
        </w:rPr>
        <w:t>“</w:t>
      </w:r>
      <w:r w:rsidRPr="005B1F06">
        <w:rPr>
          <w:rFonts w:ascii="Verdana" w:hAnsi="Verdana" w:cs="Arial"/>
          <w:sz w:val="20"/>
          <w:szCs w:val="20"/>
          <w:lang w:val="es-ES_tradnl"/>
        </w:rPr>
        <w:t>ARTÍCULO  5. Modificaci</w:t>
      </w:r>
      <w:r w:rsidRPr="005B1F06">
        <w:rPr>
          <w:rFonts w:ascii="Verdana" w:hAnsi="Verdana" w:cs="Century Gothic"/>
          <w:sz w:val="20"/>
          <w:szCs w:val="20"/>
          <w:lang w:val="es-ES_tradnl"/>
        </w:rPr>
        <w:t>ó</w:t>
      </w:r>
      <w:r w:rsidRPr="005B1F06">
        <w:rPr>
          <w:rFonts w:ascii="Verdana" w:hAnsi="Verdana" w:cs="Arial"/>
          <w:sz w:val="20"/>
          <w:szCs w:val="20"/>
          <w:lang w:val="es-ES_tradnl"/>
        </w:rPr>
        <w:t>n de la Subsecci</w:t>
      </w:r>
      <w:r w:rsidRPr="005B1F06">
        <w:rPr>
          <w:rFonts w:ascii="Verdana" w:hAnsi="Verdana" w:cs="Century Gothic"/>
          <w:sz w:val="20"/>
          <w:szCs w:val="20"/>
          <w:lang w:val="es-ES_tradnl"/>
        </w:rPr>
        <w:t>ó</w:t>
      </w:r>
      <w:r w:rsidRPr="005B1F06">
        <w:rPr>
          <w:rFonts w:ascii="Verdana" w:hAnsi="Verdana" w:cs="Arial"/>
          <w:sz w:val="20"/>
          <w:szCs w:val="20"/>
          <w:lang w:val="es-ES_tradnl"/>
        </w:rPr>
        <w:t>n 2 de la Secci</w:t>
      </w:r>
      <w:r w:rsidRPr="005B1F06">
        <w:rPr>
          <w:rFonts w:ascii="Verdana" w:hAnsi="Verdana" w:cs="Century Gothic"/>
          <w:sz w:val="20"/>
          <w:szCs w:val="20"/>
          <w:lang w:val="es-ES_tradnl"/>
        </w:rPr>
        <w:t>ó</w:t>
      </w:r>
      <w:r w:rsidRPr="005B1F06">
        <w:rPr>
          <w:rFonts w:ascii="Verdana" w:hAnsi="Verdana" w:cs="Arial"/>
          <w:sz w:val="20"/>
          <w:szCs w:val="20"/>
          <w:lang w:val="es-ES_tradnl"/>
        </w:rPr>
        <w:t>n 4 del Cap</w:t>
      </w:r>
      <w:r w:rsidRPr="005B1F06">
        <w:rPr>
          <w:rFonts w:ascii="Verdana" w:hAnsi="Verdana" w:cs="Century Gothic"/>
          <w:sz w:val="20"/>
          <w:szCs w:val="20"/>
          <w:lang w:val="es-ES_tradnl"/>
        </w:rPr>
        <w:t>í</w:t>
      </w:r>
      <w:r w:rsidRPr="005B1F06">
        <w:rPr>
          <w:rFonts w:ascii="Verdana" w:hAnsi="Verdana" w:cs="Arial"/>
          <w:sz w:val="20"/>
          <w:szCs w:val="20"/>
          <w:lang w:val="es-ES_tradnl"/>
        </w:rPr>
        <w:t>tulo 2 del T</w:t>
      </w:r>
      <w:r w:rsidRPr="005B1F06">
        <w:rPr>
          <w:rFonts w:ascii="Verdana" w:hAnsi="Verdana" w:cs="Century Gothic"/>
          <w:sz w:val="20"/>
          <w:szCs w:val="20"/>
          <w:lang w:val="es-ES_tradnl"/>
        </w:rPr>
        <w:t>í</w:t>
      </w:r>
      <w:r w:rsidRPr="005B1F06">
        <w:rPr>
          <w:rFonts w:ascii="Verdana" w:hAnsi="Verdana" w:cs="Arial"/>
          <w:sz w:val="20"/>
          <w:szCs w:val="20"/>
          <w:lang w:val="es-ES_tradnl"/>
        </w:rPr>
        <w:t>tulo 1 de la Parte 2 del Libro 2 del Decreto 1082 de 2015. Modif</w:t>
      </w:r>
      <w:r w:rsidRPr="005B1F06">
        <w:rPr>
          <w:rFonts w:ascii="Verdana" w:hAnsi="Verdana" w:cs="Century Gothic"/>
          <w:sz w:val="20"/>
          <w:szCs w:val="20"/>
          <w:lang w:val="es-ES_tradnl"/>
        </w:rPr>
        <w:t>í</w:t>
      </w:r>
      <w:r w:rsidRPr="005B1F06">
        <w:rPr>
          <w:rFonts w:ascii="Verdana" w:hAnsi="Verdana" w:cs="Arial"/>
          <w:sz w:val="20"/>
          <w:szCs w:val="20"/>
          <w:lang w:val="es-ES_tradnl"/>
        </w:rPr>
        <w:t>quense los art</w:t>
      </w:r>
      <w:r w:rsidRPr="005B1F06">
        <w:rPr>
          <w:rFonts w:ascii="Verdana" w:hAnsi="Verdana" w:cs="Century Gothic"/>
          <w:sz w:val="20"/>
          <w:szCs w:val="20"/>
          <w:lang w:val="es-ES_tradnl"/>
        </w:rPr>
        <w:t>í</w:t>
      </w:r>
      <w:r w:rsidRPr="005B1F06">
        <w:rPr>
          <w:rFonts w:ascii="Verdana" w:hAnsi="Verdana" w:cs="Arial"/>
          <w:sz w:val="20"/>
          <w:szCs w:val="20"/>
          <w:lang w:val="es-ES_tradnl"/>
        </w:rPr>
        <w:t>culos 2.2.1.2.4.2.2., 2.2.1.2.4.2.3. y 2.2.1.2.4.2.4. de la Subsecci</w:t>
      </w:r>
      <w:r w:rsidRPr="005B1F06">
        <w:rPr>
          <w:rFonts w:ascii="Verdana" w:hAnsi="Verdana" w:cs="Century Gothic"/>
          <w:sz w:val="20"/>
          <w:szCs w:val="20"/>
          <w:lang w:val="es-ES_tradnl"/>
        </w:rPr>
        <w:t>ó</w:t>
      </w:r>
      <w:r w:rsidRPr="005B1F06">
        <w:rPr>
          <w:rFonts w:ascii="Verdana" w:hAnsi="Verdana" w:cs="Arial"/>
          <w:sz w:val="20"/>
          <w:szCs w:val="20"/>
          <w:lang w:val="es-ES_tradnl"/>
        </w:rPr>
        <w:t>n 2 de la Secci</w:t>
      </w:r>
      <w:r w:rsidRPr="005B1F06">
        <w:rPr>
          <w:rFonts w:ascii="Verdana" w:hAnsi="Verdana" w:cs="Century Gothic"/>
          <w:sz w:val="20"/>
          <w:szCs w:val="20"/>
          <w:lang w:val="es-ES_tradnl"/>
        </w:rPr>
        <w:t>ó</w:t>
      </w:r>
      <w:r w:rsidRPr="005B1F06">
        <w:rPr>
          <w:rFonts w:ascii="Verdana" w:hAnsi="Verdana" w:cs="Arial"/>
          <w:sz w:val="20"/>
          <w:szCs w:val="20"/>
          <w:lang w:val="es-ES_tradnl"/>
        </w:rPr>
        <w:t>n 4 del Cap</w:t>
      </w:r>
      <w:r w:rsidRPr="005B1F06">
        <w:rPr>
          <w:rFonts w:ascii="Verdana" w:hAnsi="Verdana" w:cs="Century Gothic"/>
          <w:sz w:val="20"/>
          <w:szCs w:val="20"/>
          <w:lang w:val="es-ES_tradnl"/>
        </w:rPr>
        <w:t>í</w:t>
      </w:r>
      <w:r w:rsidRPr="005B1F06">
        <w:rPr>
          <w:rFonts w:ascii="Verdana" w:hAnsi="Verdana" w:cs="Arial"/>
          <w:sz w:val="20"/>
          <w:szCs w:val="20"/>
          <w:lang w:val="es-ES_tradnl"/>
        </w:rPr>
        <w:t>tulo 2 del T</w:t>
      </w:r>
      <w:r w:rsidRPr="005B1F06">
        <w:rPr>
          <w:rFonts w:ascii="Verdana" w:hAnsi="Verdana" w:cs="Century Gothic"/>
          <w:sz w:val="20"/>
          <w:szCs w:val="20"/>
          <w:lang w:val="es-ES_tradnl"/>
        </w:rPr>
        <w:t>í</w:t>
      </w:r>
      <w:r w:rsidRPr="005B1F06">
        <w:rPr>
          <w:rFonts w:ascii="Verdana" w:hAnsi="Verdana" w:cs="Arial"/>
          <w:sz w:val="20"/>
          <w:szCs w:val="20"/>
          <w:lang w:val="es-ES_tradnl"/>
        </w:rPr>
        <w:t>tulo 1 de la Parte 2 del Libro 2 del Decreto 1082 de 2015, los cuales quedar</w:t>
      </w:r>
      <w:r w:rsidRPr="005B1F06">
        <w:rPr>
          <w:rFonts w:ascii="Verdana" w:hAnsi="Verdana" w:cs="Century Gothic"/>
          <w:sz w:val="20"/>
          <w:szCs w:val="20"/>
          <w:lang w:val="es-ES_tradnl"/>
        </w:rPr>
        <w:t>á</w:t>
      </w:r>
      <w:r w:rsidRPr="005B1F06">
        <w:rPr>
          <w:rFonts w:ascii="Verdana" w:hAnsi="Verdana" w:cs="Arial"/>
          <w:sz w:val="20"/>
          <w:szCs w:val="20"/>
          <w:lang w:val="es-ES_tradnl"/>
        </w:rPr>
        <w:t>n as</w:t>
      </w:r>
      <w:r w:rsidRPr="005B1F06">
        <w:rPr>
          <w:rFonts w:ascii="Verdana" w:hAnsi="Verdana" w:cs="Century Gothic"/>
          <w:sz w:val="20"/>
          <w:szCs w:val="20"/>
          <w:lang w:val="es-ES_tradnl"/>
        </w:rPr>
        <w:t>í</w:t>
      </w:r>
      <w:r w:rsidRPr="005B1F06">
        <w:rPr>
          <w:rFonts w:ascii="Verdana" w:hAnsi="Verdana" w:cs="Arial"/>
          <w:sz w:val="20"/>
          <w:szCs w:val="20"/>
          <w:lang w:val="es-ES_tradnl"/>
        </w:rPr>
        <w:t>:</w:t>
      </w:r>
    </w:p>
    <w:p w14:paraId="48F66497" w14:textId="77777777" w:rsidR="00EA7F35" w:rsidRPr="005B1F06" w:rsidRDefault="00EA7F35" w:rsidP="00EA7F35">
      <w:pPr>
        <w:spacing w:after="0" w:line="240" w:lineRule="auto"/>
        <w:ind w:left="709" w:right="758" w:hanging="1"/>
        <w:jc w:val="both"/>
        <w:rPr>
          <w:rFonts w:ascii="Verdana" w:hAnsi="Verdana" w:cs="Arial"/>
          <w:sz w:val="20"/>
          <w:szCs w:val="20"/>
          <w:lang w:val="es-ES_tradnl"/>
        </w:rPr>
      </w:pPr>
      <w:r w:rsidRPr="005B1F06">
        <w:rPr>
          <w:rFonts w:ascii="Verdana" w:hAnsi="Verdana" w:cs="Arial"/>
          <w:sz w:val="20"/>
          <w:szCs w:val="20"/>
          <w:lang w:val="es-ES_tradnl"/>
        </w:rPr>
        <w:t>[…]</w:t>
      </w:r>
    </w:p>
    <w:p w14:paraId="2F7DC1F5" w14:textId="77777777" w:rsidR="00EA7F35" w:rsidRDefault="00EA7F35" w:rsidP="00EA7F35">
      <w:pPr>
        <w:spacing w:after="0" w:line="240" w:lineRule="auto"/>
        <w:ind w:left="709" w:right="709"/>
        <w:jc w:val="both"/>
        <w:rPr>
          <w:rFonts w:ascii="Verdana" w:hAnsi="Verdana" w:cs="Arial"/>
          <w:sz w:val="20"/>
          <w:szCs w:val="20"/>
          <w:lang w:val="es-ES_tradnl"/>
        </w:rPr>
      </w:pPr>
      <w:r w:rsidRPr="005B1F06">
        <w:rPr>
          <w:rFonts w:ascii="Verdana" w:hAnsi="Verdana" w:cs="Arial"/>
          <w:sz w:val="20"/>
          <w:szCs w:val="20"/>
          <w:lang w:val="es-ES_tradnl"/>
        </w:rPr>
        <w:t>ARTÍCULO 2.2.1.2.4.2.3. Limitaciones territoriales. De conformidad con el par</w:t>
      </w:r>
      <w:r w:rsidRPr="005B1F06">
        <w:rPr>
          <w:rFonts w:ascii="Verdana" w:hAnsi="Verdana" w:cs="Century Gothic"/>
          <w:sz w:val="20"/>
          <w:szCs w:val="20"/>
          <w:lang w:val="es-ES_tradnl"/>
        </w:rPr>
        <w:t>á</w:t>
      </w:r>
      <w:r w:rsidRPr="005B1F06">
        <w:rPr>
          <w:rFonts w:ascii="Verdana" w:hAnsi="Verdana" w:cs="Arial"/>
          <w:sz w:val="20"/>
          <w:szCs w:val="20"/>
          <w:lang w:val="es-ES_tradnl"/>
        </w:rPr>
        <w:t>grafo 1 del art</w:t>
      </w:r>
      <w:r w:rsidRPr="005B1F06">
        <w:rPr>
          <w:rFonts w:ascii="Verdana" w:hAnsi="Verdana" w:cs="Century Gothic"/>
          <w:sz w:val="20"/>
          <w:szCs w:val="20"/>
          <w:lang w:val="es-ES_tradnl"/>
        </w:rPr>
        <w:t>í</w:t>
      </w:r>
      <w:r w:rsidRPr="005B1F06">
        <w:rPr>
          <w:rFonts w:ascii="Verdana" w:hAnsi="Verdana" w:cs="Arial"/>
          <w:sz w:val="20"/>
          <w:szCs w:val="20"/>
          <w:lang w:val="es-ES_tradnl"/>
        </w:rPr>
        <w:t>culo 12 de la Ley 1150 de 2007, las Entidades Estatales, independientemente de su r</w:t>
      </w:r>
      <w:r w:rsidRPr="005B1F06">
        <w:rPr>
          <w:rFonts w:ascii="Verdana" w:hAnsi="Verdana" w:cs="Century Gothic"/>
          <w:sz w:val="20"/>
          <w:szCs w:val="20"/>
          <w:lang w:val="es-ES_tradnl"/>
        </w:rPr>
        <w:t>é</w:t>
      </w:r>
      <w:r w:rsidRPr="005B1F06">
        <w:rPr>
          <w:rFonts w:ascii="Verdana" w:hAnsi="Verdana" w:cs="Arial"/>
          <w:sz w:val="20"/>
          <w:szCs w:val="20"/>
          <w:lang w:val="es-ES_tradnl"/>
        </w:rPr>
        <w:t>gimen de contrataci</w:t>
      </w:r>
      <w:r w:rsidRPr="005B1F06">
        <w:rPr>
          <w:rFonts w:ascii="Verdana" w:hAnsi="Verdana" w:cs="Century Gothic"/>
          <w:sz w:val="20"/>
          <w:szCs w:val="20"/>
          <w:lang w:val="es-ES_tradnl"/>
        </w:rPr>
        <w:t>ó</w:t>
      </w:r>
      <w:r w:rsidRPr="005B1F06">
        <w:rPr>
          <w:rFonts w:ascii="Verdana" w:hAnsi="Verdana" w:cs="Arial"/>
          <w:sz w:val="20"/>
          <w:szCs w:val="20"/>
          <w:lang w:val="es-ES_tradnl"/>
        </w:rPr>
        <w:t>n, los patrimonios aut</w:t>
      </w:r>
      <w:r w:rsidRPr="005B1F06">
        <w:rPr>
          <w:rFonts w:ascii="Verdana" w:hAnsi="Verdana" w:cs="Century Gothic"/>
          <w:sz w:val="20"/>
          <w:szCs w:val="20"/>
          <w:lang w:val="es-ES_tradnl"/>
        </w:rPr>
        <w:t>ó</w:t>
      </w:r>
      <w:r w:rsidRPr="005B1F06">
        <w:rPr>
          <w:rFonts w:ascii="Verdana" w:hAnsi="Verdana" w:cs="Arial"/>
          <w:sz w:val="20"/>
          <w:szCs w:val="20"/>
          <w:lang w:val="es-ES_tradnl"/>
        </w:rPr>
        <w:t>nomos constituidos por Entidades Estatales y los particulares que ejecuten recursos p</w:t>
      </w:r>
      <w:r w:rsidRPr="005B1F06">
        <w:rPr>
          <w:rFonts w:ascii="Verdana" w:hAnsi="Verdana" w:cs="Century Gothic"/>
          <w:sz w:val="20"/>
          <w:szCs w:val="20"/>
          <w:lang w:val="es-ES_tradnl"/>
        </w:rPr>
        <w:t>ú</w:t>
      </w:r>
      <w:r w:rsidRPr="005B1F06">
        <w:rPr>
          <w:rFonts w:ascii="Verdana" w:hAnsi="Verdana" w:cs="Arial"/>
          <w:sz w:val="20"/>
          <w:szCs w:val="20"/>
          <w:lang w:val="es-ES_tradnl"/>
        </w:rPr>
        <w:t xml:space="preserve">blicos, pueden realizar convocatorias limitadas a </w:t>
      </w:r>
      <w:r w:rsidRPr="005B1F06">
        <w:rPr>
          <w:rFonts w:ascii="Verdana" w:hAnsi="Verdana" w:cs="Arial"/>
          <w:sz w:val="20"/>
          <w:szCs w:val="20"/>
          <w:lang w:val="es-ES_tradnl"/>
        </w:rPr>
        <w:lastRenderedPageBreak/>
        <w:t>MiPymes colombianas que tengan domicilio en los departamentos o municipios en donde se va a ejecutar el contrato. Cada MiPymes deber</w:t>
      </w:r>
      <w:r w:rsidRPr="005B1F06">
        <w:rPr>
          <w:rFonts w:ascii="Verdana" w:hAnsi="Verdana" w:cs="Century Gothic"/>
          <w:sz w:val="20"/>
          <w:szCs w:val="20"/>
          <w:lang w:val="es-ES_tradnl"/>
        </w:rPr>
        <w:t>á</w:t>
      </w:r>
      <w:r w:rsidRPr="005B1F06">
        <w:rPr>
          <w:rFonts w:ascii="Verdana" w:hAnsi="Verdana" w:cs="Arial"/>
          <w:sz w:val="20"/>
          <w:szCs w:val="20"/>
          <w:lang w:val="es-ES_tradnl"/>
        </w:rPr>
        <w:t xml:space="preserve"> acreditar su domicilio con los documentos a los que se refiere el siguiente artículo</w:t>
      </w:r>
      <w:r>
        <w:rPr>
          <w:rFonts w:ascii="Verdana" w:hAnsi="Verdana" w:cs="Arial"/>
          <w:sz w:val="20"/>
          <w:szCs w:val="20"/>
          <w:lang w:val="es-ES_tradnl"/>
        </w:rPr>
        <w:t>”</w:t>
      </w:r>
      <w:r w:rsidRPr="005B1F06">
        <w:rPr>
          <w:rFonts w:ascii="Verdana" w:hAnsi="Verdana" w:cs="Arial"/>
          <w:sz w:val="20"/>
          <w:szCs w:val="20"/>
          <w:lang w:val="es-ES_tradnl"/>
        </w:rPr>
        <w:t xml:space="preserve">. </w:t>
      </w:r>
    </w:p>
    <w:p w14:paraId="0686AA53" w14:textId="77777777" w:rsidR="00EA7F35" w:rsidRPr="005A75AB" w:rsidRDefault="00EA7F35" w:rsidP="00EA7F35">
      <w:pPr>
        <w:spacing w:after="0" w:line="276" w:lineRule="auto"/>
        <w:ind w:left="709" w:right="709"/>
        <w:jc w:val="both"/>
        <w:rPr>
          <w:rFonts w:ascii="Verdana" w:eastAsia="Calibri" w:hAnsi="Verdana" w:cs="Arial"/>
          <w:lang w:val="es-ES_tradnl"/>
        </w:rPr>
      </w:pPr>
    </w:p>
    <w:p w14:paraId="7740EF37" w14:textId="77777777" w:rsidR="00EA7F35" w:rsidRPr="005B1F06" w:rsidRDefault="00EA7F35" w:rsidP="00EA7F35">
      <w:pPr>
        <w:spacing w:after="120" w:line="276" w:lineRule="auto"/>
        <w:ind w:firstLine="709"/>
        <w:jc w:val="both"/>
        <w:rPr>
          <w:rFonts w:ascii="Verdana" w:eastAsia="Calibri" w:hAnsi="Verdana" w:cs="Arial"/>
          <w:lang w:val="es-ES"/>
        </w:rPr>
      </w:pPr>
      <w:r w:rsidRPr="706726C8">
        <w:rPr>
          <w:rFonts w:ascii="Verdana" w:eastAsia="Calibri" w:hAnsi="Verdana" w:cs="Arial"/>
          <w:lang w:val="es-ES"/>
        </w:rPr>
        <w:t xml:space="preserve">La norma reglamentaria coincide con la redacción del parágrafo 1 del artículo 34 de la Ley 2069 de 2020, según el cual, solo es posible limitar convocatorias a la participación de </w:t>
      </w:r>
      <w:proofErr w:type="spellStart"/>
      <w:r w:rsidRPr="706726C8">
        <w:rPr>
          <w:rFonts w:ascii="Verdana" w:eastAsia="Calibri" w:hAnsi="Verdana" w:cs="Arial"/>
          <w:lang w:val="es-ES"/>
        </w:rPr>
        <w:t>Mipymes</w:t>
      </w:r>
      <w:proofErr w:type="spellEnd"/>
      <w:r w:rsidRPr="706726C8">
        <w:rPr>
          <w:rFonts w:ascii="Verdana" w:eastAsia="Calibri" w:hAnsi="Verdana" w:cs="Arial"/>
          <w:lang w:val="es-ES"/>
        </w:rPr>
        <w:t xml:space="preserve"> “[…] del ámbito municipal o departamental correspondiente al de la ejecución del contrato”. En tales términos, la norma citada solo contempla la posibilidad de limitar convocatorias a </w:t>
      </w:r>
      <w:proofErr w:type="spellStart"/>
      <w:r w:rsidRPr="706726C8">
        <w:rPr>
          <w:rFonts w:ascii="Verdana" w:eastAsia="Calibri" w:hAnsi="Verdana" w:cs="Arial"/>
          <w:lang w:val="es-ES"/>
        </w:rPr>
        <w:t>Mipymes</w:t>
      </w:r>
      <w:proofErr w:type="spellEnd"/>
      <w:r w:rsidRPr="706726C8">
        <w:rPr>
          <w:rFonts w:ascii="Verdana" w:eastAsia="Calibri" w:hAnsi="Verdana" w:cs="Arial"/>
          <w:lang w:val="es-ES"/>
        </w:rPr>
        <w:t xml:space="preserve"> con domicilio en esos dos tipos de entidades territoriales. </w:t>
      </w:r>
    </w:p>
    <w:p w14:paraId="1126129C" w14:textId="77777777" w:rsidR="00EA7F35" w:rsidRPr="005B1F06" w:rsidRDefault="00EA7F35" w:rsidP="00EA7F35">
      <w:pPr>
        <w:spacing w:after="120" w:line="276" w:lineRule="auto"/>
        <w:ind w:firstLine="709"/>
        <w:jc w:val="both"/>
        <w:rPr>
          <w:rFonts w:ascii="Verdana" w:eastAsia="Arial" w:hAnsi="Verdana" w:cs="Arial"/>
          <w:color w:val="000000"/>
          <w:lang w:val="es-ES"/>
        </w:rPr>
      </w:pPr>
      <w:r w:rsidRPr="005B1F06">
        <w:rPr>
          <w:rFonts w:ascii="Verdana" w:eastAsia="Arial" w:hAnsi="Verdana" w:cs="Arial"/>
          <w:color w:val="000000" w:themeColor="text1"/>
          <w:lang w:val="es-ES"/>
        </w:rPr>
        <w:t xml:space="preserve">En ese sentido, toda empresa constituida bajo las leyes colombianas o que tenga su domicilio principal en el territorio colombiano y, además, cumpla los criterios previstos por la Ley 590 de 2000 y el Decreto 957 de 2019, será considerada </w:t>
      </w:r>
      <w:proofErr w:type="spellStart"/>
      <w:r w:rsidRPr="005B1F06">
        <w:rPr>
          <w:rFonts w:ascii="Verdana" w:eastAsia="Arial" w:hAnsi="Verdana" w:cs="Arial"/>
          <w:color w:val="000000" w:themeColor="text1"/>
          <w:lang w:val="es-ES"/>
        </w:rPr>
        <w:t>Mipymes</w:t>
      </w:r>
      <w:proofErr w:type="spellEnd"/>
      <w:r w:rsidRPr="005B1F06">
        <w:rPr>
          <w:rFonts w:ascii="Verdana" w:eastAsia="Arial" w:hAnsi="Verdana" w:cs="Arial"/>
          <w:color w:val="000000" w:themeColor="text1"/>
          <w:lang w:val="es-ES"/>
        </w:rPr>
        <w:t xml:space="preserve"> nacional. Además, las normas de contratación permiten que las </w:t>
      </w:r>
      <w:proofErr w:type="spellStart"/>
      <w:r w:rsidRPr="005B1F06">
        <w:rPr>
          <w:rFonts w:ascii="Verdana" w:eastAsia="Arial" w:hAnsi="Verdana" w:cs="Arial"/>
          <w:color w:val="000000" w:themeColor="text1"/>
          <w:lang w:val="es-ES"/>
        </w:rPr>
        <w:t>Mipymes</w:t>
      </w:r>
      <w:proofErr w:type="spellEnd"/>
      <w:r w:rsidRPr="005B1F06">
        <w:rPr>
          <w:rFonts w:ascii="Verdana" w:eastAsia="Arial" w:hAnsi="Verdana" w:cs="Arial"/>
          <w:color w:val="000000" w:themeColor="text1"/>
          <w:lang w:val="es-ES"/>
        </w:rPr>
        <w:t xml:space="preserve"> nacionales puedan beneficiarse de la ejecución de un contrato dentro de la entidad territorial en la que tienen su “domicilio”. </w:t>
      </w:r>
    </w:p>
    <w:p w14:paraId="7CA4A76F" w14:textId="77777777" w:rsidR="00EA7F35" w:rsidRPr="005B1F06" w:rsidRDefault="00EA7F35" w:rsidP="00EA7F35">
      <w:pPr>
        <w:spacing w:after="120" w:line="276" w:lineRule="auto"/>
        <w:ind w:firstLine="709"/>
        <w:jc w:val="both"/>
        <w:rPr>
          <w:rFonts w:ascii="Verdana" w:eastAsia="Arial" w:hAnsi="Verdana" w:cs="Arial"/>
          <w:color w:val="000000"/>
          <w:lang w:val="es-ES"/>
        </w:rPr>
      </w:pPr>
      <w:r w:rsidRPr="706726C8">
        <w:rPr>
          <w:rFonts w:ascii="Verdana" w:eastAsia="Arial" w:hAnsi="Verdana" w:cs="Arial"/>
          <w:color w:val="000000" w:themeColor="text1"/>
          <w:lang w:val="es-ES"/>
        </w:rPr>
        <w:t>Ahora bien, el artículo 2.2.1.2.4.2.3. del Decreto 1082 de 2015, modificado por el artículo 5 del Decreto 1860 de 2021, se refiere a las “MiPymes colombianas que tengan domicilio en los departamentos o municipios en donde se va a ejecutar el contrato”. Esta precisión es importante, pues el incentivo previsto en la norma únicamente aplica en el lugar de ejecución del contrat</w:t>
      </w:r>
      <w:r>
        <w:rPr>
          <w:rFonts w:ascii="Verdana" w:eastAsia="Arial" w:hAnsi="Verdana" w:cs="Arial"/>
          <w:color w:val="000000" w:themeColor="text1"/>
          <w:lang w:val="es-ES"/>
        </w:rPr>
        <w:t>o</w:t>
      </w:r>
      <w:r w:rsidRPr="706726C8">
        <w:rPr>
          <w:rFonts w:ascii="Verdana" w:eastAsia="Arial" w:hAnsi="Verdana" w:cs="Arial"/>
          <w:color w:val="000000" w:themeColor="text1"/>
          <w:lang w:val="es-ES"/>
        </w:rPr>
        <w:t xml:space="preserve"> en el que la </w:t>
      </w:r>
      <w:proofErr w:type="spellStart"/>
      <w:r w:rsidRPr="706726C8">
        <w:rPr>
          <w:rFonts w:ascii="Verdana" w:eastAsia="Arial" w:hAnsi="Verdana" w:cs="Arial"/>
          <w:color w:val="000000" w:themeColor="text1"/>
          <w:lang w:val="es-ES"/>
        </w:rPr>
        <w:t>Mipymes</w:t>
      </w:r>
      <w:proofErr w:type="spellEnd"/>
      <w:r w:rsidRPr="706726C8">
        <w:rPr>
          <w:rFonts w:ascii="Verdana" w:eastAsia="Arial" w:hAnsi="Verdana" w:cs="Arial"/>
          <w:color w:val="000000" w:themeColor="text1"/>
          <w:lang w:val="es-ES"/>
        </w:rPr>
        <w:t xml:space="preserve"> tiene su “domicilio”, y no en donde tiene</w:t>
      </w:r>
      <w:r>
        <w:rPr>
          <w:rFonts w:ascii="Verdana" w:eastAsia="Arial" w:hAnsi="Verdana" w:cs="Arial"/>
          <w:color w:val="000000" w:themeColor="text1"/>
          <w:lang w:val="es-ES"/>
        </w:rPr>
        <w:t xml:space="preserve"> establecimientos de comercio o</w:t>
      </w:r>
      <w:r w:rsidRPr="706726C8">
        <w:rPr>
          <w:rFonts w:ascii="Verdana" w:eastAsia="Arial" w:hAnsi="Verdana" w:cs="Arial"/>
          <w:color w:val="000000" w:themeColor="text1"/>
          <w:lang w:val="es-ES"/>
        </w:rPr>
        <w:t xml:space="preserve"> sucursales. </w:t>
      </w:r>
    </w:p>
    <w:p w14:paraId="53B85970" w14:textId="77777777" w:rsidR="00EA7F35" w:rsidRDefault="00EA7F35" w:rsidP="00EA7F35">
      <w:pPr>
        <w:spacing w:after="120" w:line="276" w:lineRule="auto"/>
        <w:ind w:firstLine="709"/>
        <w:jc w:val="both"/>
        <w:rPr>
          <w:rFonts w:ascii="Verdana" w:eastAsia="Arial" w:hAnsi="Verdana" w:cs="Arial"/>
          <w:color w:val="000000" w:themeColor="text1"/>
          <w:lang w:val="es-ES"/>
        </w:rPr>
      </w:pPr>
      <w:r w:rsidRPr="005B1F06">
        <w:rPr>
          <w:rFonts w:ascii="Verdana" w:eastAsia="Arial" w:hAnsi="Verdana" w:cs="Arial"/>
          <w:color w:val="000000" w:themeColor="text1"/>
          <w:lang w:val="es-ES"/>
        </w:rPr>
        <w:t>El artículo 263 del Código de Comercio define las sucursales como “los establecimientos de comercio abiertos por una sociedad, dentro o fuera de su domicilio, para el desarrollo de los negocios sociales o parte de ellos, administrados por mandatarios con facultades para representar la sociedad”. Nótese que la norma se refiere a los conceptos de “sucursal” y “domicilio” de forma diferente, de lo que se deriva que las sociedades comerciales tienen un domicilio y pueden tener</w:t>
      </w:r>
      <w:r w:rsidRPr="7F14F77F">
        <w:rPr>
          <w:rFonts w:ascii="Century Gothic" w:eastAsia="Arial" w:hAnsi="Century Gothic" w:cs="Arial"/>
          <w:color w:val="000000" w:themeColor="text1"/>
          <w:lang w:val="es-ES"/>
        </w:rPr>
        <w:t xml:space="preserve"> </w:t>
      </w:r>
      <w:r w:rsidRPr="005B1F06">
        <w:rPr>
          <w:rFonts w:ascii="Verdana" w:eastAsia="Arial" w:hAnsi="Verdana" w:cs="Arial"/>
          <w:color w:val="000000" w:themeColor="text1"/>
          <w:lang w:val="es-ES"/>
        </w:rPr>
        <w:t xml:space="preserve">una o varias sucursales que son establecimientos de comercio, esto es, bienes mercantiles pertenecientes a la sociedad. </w:t>
      </w:r>
    </w:p>
    <w:p w14:paraId="624C114D" w14:textId="77777777" w:rsidR="00EA7F35" w:rsidRPr="005B1F06" w:rsidRDefault="00EA7F35" w:rsidP="00EA7F35">
      <w:pPr>
        <w:spacing w:after="120" w:line="276" w:lineRule="auto"/>
        <w:ind w:firstLine="709"/>
        <w:jc w:val="both"/>
        <w:rPr>
          <w:rFonts w:ascii="Verdana" w:eastAsia="Arial" w:hAnsi="Verdana" w:cs="Arial"/>
          <w:color w:val="000000"/>
          <w:lang w:val="es-ES"/>
        </w:rPr>
      </w:pPr>
      <w:r w:rsidRPr="005B1F06">
        <w:rPr>
          <w:rFonts w:ascii="Verdana" w:eastAsia="Arial" w:hAnsi="Verdana" w:cs="Arial"/>
          <w:color w:val="000000" w:themeColor="text1"/>
          <w:lang w:val="es-ES"/>
        </w:rPr>
        <w:t xml:space="preserve">En ese mismo sentido, los artículos 110 y 111 </w:t>
      </w:r>
      <w:proofErr w:type="spellStart"/>
      <w:r w:rsidRPr="005B1F06">
        <w:rPr>
          <w:rFonts w:ascii="Verdana" w:eastAsia="Arial" w:hAnsi="Verdana" w:cs="Arial"/>
          <w:i/>
          <w:color w:val="000000" w:themeColor="text1"/>
          <w:lang w:val="es-ES"/>
        </w:rPr>
        <w:t>ibídem</w:t>
      </w:r>
      <w:proofErr w:type="spellEnd"/>
      <w:r w:rsidRPr="005B1F06">
        <w:rPr>
          <w:rFonts w:ascii="Verdana" w:eastAsia="Arial" w:hAnsi="Verdana" w:cs="Arial"/>
          <w:color w:val="000000" w:themeColor="text1"/>
          <w:lang w:val="es-ES"/>
        </w:rPr>
        <w:t xml:space="preserve"> se refieren a tales conceptos de forma independiente. El uno para referirse a los requisitos de constitución de una sociedad comercial y el otro para determinar el lugar donde </w:t>
      </w:r>
      <w:r w:rsidRPr="005B1F06">
        <w:rPr>
          <w:rFonts w:ascii="Verdana" w:eastAsia="Arial" w:hAnsi="Verdana" w:cs="Arial"/>
          <w:color w:val="000000" w:themeColor="text1"/>
          <w:lang w:val="es-ES"/>
        </w:rPr>
        <w:lastRenderedPageBreak/>
        <w:t xml:space="preserve">se debe inscribir la escritura pública de constitución de la sociedad comercial. De acuerdo con lo anterior, si el legislador distinguió entre uno y otro y si el reglamento se refiere al “domicilio”, se entiende que no es procedente extender el beneficio contenido en el artículo 2.2.1.2.4.2.3. </w:t>
      </w:r>
      <w:proofErr w:type="spellStart"/>
      <w:r w:rsidRPr="005B1F06">
        <w:rPr>
          <w:rFonts w:ascii="Verdana" w:eastAsia="Arial" w:hAnsi="Verdana" w:cs="Arial"/>
          <w:i/>
          <w:color w:val="000000" w:themeColor="text1"/>
          <w:lang w:val="es-ES"/>
        </w:rPr>
        <w:t>ibídem</w:t>
      </w:r>
      <w:proofErr w:type="spellEnd"/>
      <w:r w:rsidRPr="005B1F06">
        <w:rPr>
          <w:rFonts w:ascii="Verdana" w:eastAsia="Arial" w:hAnsi="Verdana" w:cs="Arial"/>
          <w:i/>
          <w:color w:val="000000" w:themeColor="text1"/>
          <w:lang w:val="es-ES"/>
        </w:rPr>
        <w:t xml:space="preserve"> </w:t>
      </w:r>
      <w:r w:rsidRPr="005B1F06">
        <w:rPr>
          <w:rFonts w:ascii="Verdana" w:eastAsia="Arial" w:hAnsi="Verdana" w:cs="Arial"/>
          <w:color w:val="000000" w:themeColor="text1"/>
          <w:lang w:val="es-ES"/>
        </w:rPr>
        <w:t>a las entidades que tienen “sucursales” en el municipio o departamento en donde se va a ejecutar el contrato estatal.</w:t>
      </w:r>
    </w:p>
    <w:p w14:paraId="1B409B3B" w14:textId="77777777" w:rsidR="00EA7F35" w:rsidRPr="005B1F06" w:rsidRDefault="00EA7F35" w:rsidP="00EA7F35">
      <w:pPr>
        <w:spacing w:after="120" w:line="276" w:lineRule="auto"/>
        <w:ind w:firstLine="709"/>
        <w:jc w:val="both"/>
        <w:rPr>
          <w:rFonts w:ascii="Verdana" w:eastAsia="Arial" w:hAnsi="Verdana" w:cs="Arial"/>
          <w:color w:val="000000"/>
          <w:lang w:val="es-ES"/>
        </w:rPr>
      </w:pPr>
      <w:bookmarkStart w:id="9" w:name="_Hlk213767865"/>
      <w:r w:rsidRPr="706726C8">
        <w:rPr>
          <w:rFonts w:ascii="Verdana" w:eastAsia="Arial" w:hAnsi="Verdana" w:cs="Arial"/>
          <w:color w:val="000000"/>
          <w:lang w:val="es-ES"/>
        </w:rPr>
        <w:t xml:space="preserve">Sin perjuicio de lo anterior, no puede perderse de vista que la decisión de limitar “a MiPymes colombianas que tengan domicilio en los departamentos o municipios en donde se va a ejecutar el contrato”, aunque es facultativa de la entidad, está supeditada a que se verifiquen los requisitos establecidos en los numerales 1 y 2 del artículo 2.2.1.2.4.2.2. del Decreto 1082 de 2015, modificado por el Decreto 1860 de 2021. En ese sentido, si la entidad no recibió las solicitudes para limitar la convocatoria a </w:t>
      </w:r>
      <w:proofErr w:type="spellStart"/>
      <w:r w:rsidRPr="706726C8">
        <w:rPr>
          <w:rFonts w:ascii="Verdana" w:eastAsia="Arial" w:hAnsi="Verdana" w:cs="Arial"/>
          <w:color w:val="000000"/>
          <w:lang w:val="es-ES"/>
        </w:rPr>
        <w:t>Mipymes</w:t>
      </w:r>
      <w:proofErr w:type="spellEnd"/>
      <w:r w:rsidRPr="706726C8">
        <w:rPr>
          <w:rFonts w:ascii="Verdana" w:eastAsia="Arial" w:hAnsi="Verdana" w:cs="Arial"/>
          <w:color w:val="000000"/>
          <w:lang w:val="es-ES"/>
        </w:rPr>
        <w:t xml:space="preserve">, no puede </w:t>
      </w:r>
      <w:r w:rsidRPr="706726C8">
        <w:rPr>
          <w:rFonts w:ascii="Verdana" w:eastAsia="Arial" w:hAnsi="Verdana" w:cs="Arial"/>
          <w:i/>
          <w:color w:val="000000"/>
          <w:lang w:val="es-ES"/>
        </w:rPr>
        <w:t xml:space="preserve">motu proprio </w:t>
      </w:r>
      <w:r w:rsidRPr="706726C8">
        <w:rPr>
          <w:rFonts w:ascii="Verdana" w:eastAsia="Arial" w:hAnsi="Verdana" w:cs="Arial"/>
          <w:color w:val="000000"/>
          <w:lang w:val="es-ES"/>
        </w:rPr>
        <w:t>proceder con la “limitación territorial” de que trata el artículo 2.2.1.2.4.2.3. del Decreto 1082 de 2015. Esto debido a que el ejercicio de esta facultad solo puede darse ante la “limitación a MiPymes colombianas”, lo cual supone verificar los supuestos legales establecidos en los mencionados numerales.</w:t>
      </w:r>
    </w:p>
    <w:p w14:paraId="188FDB43" w14:textId="77777777" w:rsidR="00EA7F35" w:rsidRPr="005B1F06" w:rsidRDefault="00EA7F35" w:rsidP="00EA7F35">
      <w:pPr>
        <w:spacing w:after="120" w:line="276" w:lineRule="auto"/>
        <w:ind w:firstLine="708"/>
        <w:jc w:val="both"/>
        <w:rPr>
          <w:rFonts w:ascii="Verdana" w:hAnsi="Verdana" w:cs="Arial"/>
          <w:color w:val="000000" w:themeColor="text1"/>
        </w:rPr>
      </w:pPr>
      <w:r w:rsidRPr="005B1F06">
        <w:rPr>
          <w:rFonts w:ascii="Verdana" w:hAnsi="Verdana" w:cs="Arial"/>
          <w:color w:val="000000" w:themeColor="text1"/>
        </w:rPr>
        <w:t xml:space="preserve">Cumplidos los dos requisitos del artículo 2.2.1.2.4.2.2. </w:t>
      </w:r>
      <w:proofErr w:type="spellStart"/>
      <w:r w:rsidRPr="005B1F06">
        <w:rPr>
          <w:rFonts w:ascii="Verdana" w:hAnsi="Verdana" w:cs="Arial"/>
          <w:i/>
          <w:iCs/>
          <w:color w:val="000000" w:themeColor="text1"/>
        </w:rPr>
        <w:t>ibídem</w:t>
      </w:r>
      <w:proofErr w:type="spellEnd"/>
      <w:r w:rsidRPr="005B1F06">
        <w:rPr>
          <w:rFonts w:ascii="Verdana" w:hAnsi="Verdana" w:cs="Arial"/>
          <w:color w:val="000000" w:themeColor="text1"/>
        </w:rPr>
        <w:t xml:space="preserve">, la entidad estatal, independientemente de su régimen de contratación, los patrimonios autónomos constituidos por entidades estatales y los particulares que ejecuten recursos públicos, </w:t>
      </w:r>
      <w:r w:rsidRPr="00BF61EA">
        <w:rPr>
          <w:rFonts w:ascii="Verdana" w:hAnsi="Verdana" w:cs="Arial"/>
          <w:i/>
          <w:iCs/>
          <w:color w:val="000000" w:themeColor="text1"/>
        </w:rPr>
        <w:t>pueden</w:t>
      </w:r>
      <w:r w:rsidRPr="005B1F06">
        <w:rPr>
          <w:rFonts w:ascii="Verdana" w:hAnsi="Verdana" w:cs="Arial"/>
          <w:color w:val="000000" w:themeColor="text1"/>
        </w:rPr>
        <w:t xml:space="preserve"> ─no tienen que─ decidir si limitan la convocatoria a las </w:t>
      </w:r>
      <w:proofErr w:type="spellStart"/>
      <w:r w:rsidRPr="005B1F06">
        <w:rPr>
          <w:rFonts w:ascii="Verdana" w:hAnsi="Verdana" w:cs="Arial"/>
          <w:color w:val="000000" w:themeColor="text1"/>
        </w:rPr>
        <w:t>Mipymes</w:t>
      </w:r>
      <w:proofErr w:type="spellEnd"/>
      <w:r w:rsidRPr="005B1F06">
        <w:rPr>
          <w:rFonts w:ascii="Verdana" w:hAnsi="Verdana" w:cs="Arial"/>
          <w:color w:val="000000" w:themeColor="text1"/>
        </w:rPr>
        <w:t xml:space="preserve"> colombianas domiciliadas en el municipio o departamento en el que se</w:t>
      </w:r>
      <w:r w:rsidRPr="001D4AC1">
        <w:rPr>
          <w:rFonts w:ascii="Century Gothic" w:hAnsi="Century Gothic" w:cs="Arial"/>
          <w:color w:val="000000" w:themeColor="text1"/>
        </w:rPr>
        <w:t xml:space="preserve"> </w:t>
      </w:r>
      <w:r w:rsidRPr="005B1F06">
        <w:rPr>
          <w:rFonts w:ascii="Verdana" w:hAnsi="Verdana" w:cs="Arial"/>
          <w:color w:val="000000" w:themeColor="text1"/>
        </w:rPr>
        <w:t>ejecutará el contrato</w:t>
      </w:r>
      <w:r w:rsidRPr="005B1F06">
        <w:rPr>
          <w:rFonts w:ascii="Verdana" w:hAnsi="Verdana" w:cs="Arial"/>
          <w:color w:val="000000" w:themeColor="text1"/>
          <w:vertAlign w:val="superscript"/>
        </w:rPr>
        <w:footnoteReference w:id="1"/>
      </w:r>
      <w:r w:rsidRPr="005B1F06">
        <w:rPr>
          <w:rFonts w:ascii="Verdana" w:hAnsi="Verdana" w:cs="Arial"/>
          <w:color w:val="000000" w:themeColor="text1"/>
        </w:rPr>
        <w:t xml:space="preserve">. Esto de acuerdo con lo establecido en artículo 2.2.1.2.4.2.3. del Decreto 1082 de 2015 </w:t>
      </w:r>
      <w:r w:rsidRPr="005B1F06">
        <w:rPr>
          <w:rFonts w:ascii="Verdana" w:eastAsia="Arial" w:hAnsi="Verdana" w:cs="Arial"/>
          <w:color w:val="000000"/>
          <w:lang w:val="es-ES_tradnl"/>
        </w:rPr>
        <w:t>modificado por el Decreto 1860 de 2021</w:t>
      </w:r>
      <w:r w:rsidRPr="005B1F06">
        <w:rPr>
          <w:rFonts w:ascii="Verdana" w:hAnsi="Verdana" w:cs="Arial"/>
          <w:color w:val="000000" w:themeColor="text1"/>
        </w:rPr>
        <w:t xml:space="preserve">, norma que se refiere a la facultad de la administración con el verbo infinitivo “poder”, no “deber”. </w:t>
      </w:r>
    </w:p>
    <w:p w14:paraId="61DB4EFD" w14:textId="77777777" w:rsidR="00EA7F35" w:rsidRPr="005B1F06" w:rsidRDefault="00EA7F35" w:rsidP="00EA7F35">
      <w:pPr>
        <w:spacing w:after="120" w:line="276" w:lineRule="auto"/>
        <w:ind w:firstLine="709"/>
        <w:jc w:val="both"/>
        <w:rPr>
          <w:rFonts w:ascii="Verdana" w:eastAsia="Calibri" w:hAnsi="Verdana" w:cs="Arial"/>
          <w:color w:val="000000" w:themeColor="text1"/>
        </w:rPr>
      </w:pPr>
      <w:r w:rsidRPr="00C661E5">
        <w:rPr>
          <w:rFonts w:ascii="Verdana" w:eastAsia="Times New Roman" w:hAnsi="Verdana" w:cs="Arial"/>
          <w:lang w:eastAsia="es-CO"/>
        </w:rPr>
        <w:t>La Agencia Nacional de Contratación Pública – Colombia Compra Eficiente</w:t>
      </w:r>
      <w:r w:rsidRPr="00C661E5">
        <w:rPr>
          <w:rFonts w:ascii="Verdana" w:eastAsia="Calibri" w:hAnsi="Verdana" w:cs="Arial"/>
          <w:color w:val="000000" w:themeColor="text1"/>
        </w:rPr>
        <w:t xml:space="preserve"> </w:t>
      </w:r>
      <w:r w:rsidRPr="005B1F06">
        <w:rPr>
          <w:rFonts w:ascii="Verdana" w:eastAsia="Calibri" w:hAnsi="Verdana" w:cs="Arial"/>
          <w:color w:val="000000" w:themeColor="text1"/>
        </w:rPr>
        <w:t>ha sostenido que la decisión de limitar territorialmente un</w:t>
      </w:r>
      <w:r w:rsidRPr="005B1F06">
        <w:rPr>
          <w:rFonts w:ascii="Verdana" w:hAnsi="Verdana" w:cs="Arial"/>
          <w:color w:val="000000" w:themeColor="text1"/>
        </w:rPr>
        <w:t xml:space="preserve">a convocatoria a MiPymes </w:t>
      </w:r>
      <w:r w:rsidRPr="005B1F06">
        <w:rPr>
          <w:rFonts w:ascii="Verdana" w:eastAsia="Calibri" w:hAnsi="Verdana" w:cs="Arial"/>
          <w:color w:val="000000" w:themeColor="text1"/>
        </w:rPr>
        <w:t xml:space="preserve">es discrecional de la entidad, sin embargo, la decisión debe estar justificada en los correspondientes “estudios del sector”. Lo anterior por cuanto el </w:t>
      </w:r>
      <w:r w:rsidRPr="005B1F06">
        <w:rPr>
          <w:rFonts w:ascii="Verdana" w:hAnsi="Verdana" w:cs="Arial"/>
          <w:color w:val="000000" w:themeColor="text1"/>
        </w:rPr>
        <w:t xml:space="preserve">artículo 2.2.1.2.4.2.3. del Decreto 1082 de 2015, indicó que las </w:t>
      </w:r>
      <w:proofErr w:type="spellStart"/>
      <w:r w:rsidRPr="005B1F06">
        <w:rPr>
          <w:rFonts w:ascii="Verdana" w:hAnsi="Verdana" w:cs="Arial"/>
          <w:color w:val="000000" w:themeColor="text1"/>
        </w:rPr>
        <w:t>Mipymes</w:t>
      </w:r>
      <w:proofErr w:type="spellEnd"/>
      <w:r w:rsidRPr="005B1F06">
        <w:rPr>
          <w:rFonts w:ascii="Verdana" w:eastAsia="Calibri" w:hAnsi="Verdana" w:cs="Arial"/>
          <w:color w:val="000000" w:themeColor="text1"/>
        </w:rPr>
        <w:t xml:space="preserve"> </w:t>
      </w:r>
      <w:r w:rsidRPr="005B1F06">
        <w:rPr>
          <w:rFonts w:ascii="Verdana" w:eastAsia="Calibri" w:hAnsi="Verdana" w:cs="Arial"/>
          <w:color w:val="000000" w:themeColor="text1"/>
        </w:rPr>
        <w:lastRenderedPageBreak/>
        <w:t>beneficiadas deben tener su domicilio principal en el municipio o departamento donde se ejecutará el contrato para poder participar en una convocatoria limitada territorialmente.</w:t>
      </w:r>
      <w:r w:rsidRPr="005B1F06">
        <w:rPr>
          <w:rFonts w:ascii="Verdana" w:hAnsi="Verdana" w:cs="Arial"/>
          <w:color w:val="000000" w:themeColor="text1"/>
        </w:rPr>
        <w:t xml:space="preserve"> Esta tesis sigue vigente, puesto que el nuevo contenido del artículo 2.2.1.2.4.2.3. del Decreto 1082 de 2015, modificado por el artículo 5 del Decreto 1860 de 2021, mantiene la facultad de la Administración para limitar territorialmente la convocatoria teniendo en cuenta el domicilio de ejecución del contrato.</w:t>
      </w:r>
    </w:p>
    <w:p w14:paraId="35721BD9" w14:textId="77777777" w:rsidR="00EA7F35" w:rsidRPr="005B1F06" w:rsidRDefault="00EA7F35" w:rsidP="00EA7F35">
      <w:pPr>
        <w:spacing w:after="120" w:line="276" w:lineRule="auto"/>
        <w:ind w:firstLine="709"/>
        <w:jc w:val="both"/>
        <w:rPr>
          <w:rFonts w:ascii="Verdana" w:eastAsia="Calibri" w:hAnsi="Verdana" w:cs="Arial"/>
          <w:color w:val="000000" w:themeColor="text1"/>
        </w:rPr>
      </w:pPr>
      <w:r w:rsidRPr="005B1F06">
        <w:rPr>
          <w:rFonts w:ascii="Verdana" w:hAnsi="Verdana" w:cs="Arial"/>
          <w:color w:val="000000" w:themeColor="text1"/>
        </w:rPr>
        <w:t>En tal sentido, s</w:t>
      </w:r>
      <w:r w:rsidRPr="005B1F06">
        <w:rPr>
          <w:rFonts w:ascii="Verdana" w:eastAsia="Calibri" w:hAnsi="Verdana" w:cs="Arial"/>
          <w:color w:val="000000" w:themeColor="text1"/>
        </w:rPr>
        <w:t>e debe tener presente que lo que sucede de pleno derecho es la</w:t>
      </w:r>
      <w:r w:rsidRPr="005B1F06">
        <w:rPr>
          <w:rFonts w:ascii="Verdana" w:hAnsi="Verdana" w:cs="Arial"/>
          <w:color w:val="000000" w:themeColor="text1"/>
        </w:rPr>
        <w:t xml:space="preserve"> limitación a </w:t>
      </w:r>
      <w:proofErr w:type="spellStart"/>
      <w:r w:rsidRPr="005B1F06">
        <w:rPr>
          <w:rFonts w:ascii="Verdana" w:hAnsi="Verdana" w:cs="Arial"/>
          <w:color w:val="000000" w:themeColor="text1"/>
        </w:rPr>
        <w:t>Mipymes</w:t>
      </w:r>
      <w:proofErr w:type="spellEnd"/>
      <w:r w:rsidRPr="005B1F06">
        <w:rPr>
          <w:rFonts w:ascii="Verdana" w:hAnsi="Verdana" w:cs="Arial"/>
          <w:color w:val="000000" w:themeColor="text1"/>
        </w:rPr>
        <w:t xml:space="preserve"> colombianas</w:t>
      </w:r>
      <w:r w:rsidRPr="005B1F06">
        <w:rPr>
          <w:rFonts w:ascii="Verdana" w:eastAsia="Calibri" w:hAnsi="Verdana" w:cs="Arial"/>
          <w:color w:val="000000" w:themeColor="text1"/>
        </w:rPr>
        <w:t xml:space="preserve"> a la que se refiere el artículo 2.2.1.2.4.2.2. del Decreto 1082 de 2015, pero no la “limitación territorial” referida en el artículo 2.2.1.2.4.2.3. </w:t>
      </w:r>
      <w:proofErr w:type="spellStart"/>
      <w:r w:rsidRPr="005B1F06">
        <w:rPr>
          <w:rFonts w:ascii="Verdana" w:eastAsia="Calibri" w:hAnsi="Verdana" w:cs="Arial"/>
          <w:i/>
          <w:iCs/>
          <w:color w:val="000000" w:themeColor="text1"/>
        </w:rPr>
        <w:t>ibídem</w:t>
      </w:r>
      <w:proofErr w:type="spellEnd"/>
      <w:r w:rsidRPr="005B1F06">
        <w:rPr>
          <w:rFonts w:ascii="Verdana" w:eastAsia="Calibri" w:hAnsi="Verdana" w:cs="Arial"/>
          <w:color w:val="000000" w:themeColor="text1"/>
        </w:rPr>
        <w:t>, pues esta, como ya se dijo, es facultativa para la entidad. Las únicas exigencias son: i) que la convocatoria esté l</w:t>
      </w:r>
      <w:r w:rsidRPr="005B1F06">
        <w:rPr>
          <w:rFonts w:ascii="Verdana" w:hAnsi="Verdana" w:cs="Arial"/>
          <w:color w:val="000000" w:themeColor="text1"/>
        </w:rPr>
        <w:t xml:space="preserve">imitada a las </w:t>
      </w:r>
      <w:proofErr w:type="spellStart"/>
      <w:r w:rsidRPr="005B1F06">
        <w:rPr>
          <w:rFonts w:ascii="Verdana" w:hAnsi="Verdana" w:cs="Arial"/>
          <w:color w:val="000000" w:themeColor="text1"/>
        </w:rPr>
        <w:t>Mipymes</w:t>
      </w:r>
      <w:proofErr w:type="spellEnd"/>
      <w:r w:rsidRPr="005B1F06">
        <w:rPr>
          <w:rFonts w:ascii="Verdana" w:hAnsi="Verdana" w:cs="Arial"/>
          <w:color w:val="000000" w:themeColor="text1"/>
        </w:rPr>
        <w:t xml:space="preserve"> colombianas</w:t>
      </w:r>
      <w:r w:rsidRPr="005B1F06">
        <w:rPr>
          <w:rFonts w:ascii="Verdana" w:eastAsia="Calibri" w:hAnsi="Verdana" w:cs="Arial"/>
          <w:color w:val="000000" w:themeColor="text1"/>
        </w:rPr>
        <w:t xml:space="preserve"> “domiciliadas en los departamentos o municipios en donde se va a ejecutar el contrato” y </w:t>
      </w:r>
      <w:proofErr w:type="spellStart"/>
      <w:r w:rsidRPr="005B1F06">
        <w:rPr>
          <w:rFonts w:ascii="Verdana" w:eastAsia="Calibri" w:hAnsi="Verdana" w:cs="Arial"/>
          <w:color w:val="000000" w:themeColor="text1"/>
        </w:rPr>
        <w:t>ii</w:t>
      </w:r>
      <w:proofErr w:type="spellEnd"/>
      <w:r w:rsidRPr="005B1F06">
        <w:rPr>
          <w:rFonts w:ascii="Verdana" w:eastAsia="Calibri" w:hAnsi="Verdana" w:cs="Arial"/>
          <w:color w:val="000000" w:themeColor="text1"/>
        </w:rPr>
        <w:t xml:space="preserve">) que la entidad justifique su decisión en los “estudios del sector”. No es procedente, entonces, que sean las </w:t>
      </w:r>
      <w:proofErr w:type="spellStart"/>
      <w:r w:rsidRPr="005B1F06">
        <w:rPr>
          <w:rFonts w:ascii="Verdana" w:eastAsia="Calibri" w:hAnsi="Verdana" w:cs="Arial"/>
          <w:color w:val="000000" w:themeColor="text1"/>
        </w:rPr>
        <w:t>Mipymes</w:t>
      </w:r>
      <w:proofErr w:type="spellEnd"/>
      <w:r w:rsidRPr="005B1F06">
        <w:rPr>
          <w:rFonts w:ascii="Verdana" w:eastAsia="Calibri" w:hAnsi="Verdana" w:cs="Arial"/>
          <w:color w:val="000000" w:themeColor="text1"/>
        </w:rPr>
        <w:t xml:space="preserve"> las que soliciten la “limitación territorial” a la que se refiere el artículo 2.2.1.2.4.2.3. del Decreto 1082 de 2015. </w:t>
      </w:r>
    </w:p>
    <w:bookmarkEnd w:id="9"/>
    <w:p w14:paraId="75A328CC" w14:textId="77777777" w:rsidR="00EA7F35" w:rsidRPr="00F12F94" w:rsidRDefault="00EA7F35" w:rsidP="00EA7F35">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De esta forma</w:t>
      </w:r>
      <w:r w:rsidRPr="005B1F06">
        <w:rPr>
          <w:rFonts w:ascii="Verdana" w:eastAsia="Calibri" w:hAnsi="Verdana" w:cs="Arial"/>
          <w:color w:val="000000" w:themeColor="text1"/>
        </w:rPr>
        <w:t>, se debe reite</w:t>
      </w:r>
      <w:r w:rsidRPr="005B1F06">
        <w:rPr>
          <w:rFonts w:ascii="Verdana" w:hAnsi="Verdana" w:cs="Arial"/>
          <w:color w:val="000000" w:themeColor="text1"/>
        </w:rPr>
        <w:t xml:space="preserve">rar que el origen de las </w:t>
      </w:r>
      <w:proofErr w:type="spellStart"/>
      <w:r w:rsidRPr="005B1F06">
        <w:rPr>
          <w:rFonts w:ascii="Verdana" w:hAnsi="Verdana" w:cs="Arial"/>
          <w:color w:val="000000" w:themeColor="text1"/>
        </w:rPr>
        <w:t>Mipymes</w:t>
      </w:r>
      <w:proofErr w:type="spellEnd"/>
      <w:r w:rsidRPr="005B1F06">
        <w:rPr>
          <w:rFonts w:ascii="Verdana" w:eastAsia="Calibri" w:hAnsi="Verdana" w:cs="Arial"/>
          <w:color w:val="000000" w:themeColor="text1"/>
        </w:rPr>
        <w:t xml:space="preserve"> que solicitan la “limitación territorial” no es relevante frente a dicha decisión, por dos razo</w:t>
      </w:r>
      <w:r w:rsidRPr="005B1F06">
        <w:rPr>
          <w:rFonts w:ascii="Verdana" w:hAnsi="Verdana" w:cs="Arial"/>
          <w:color w:val="000000" w:themeColor="text1"/>
        </w:rPr>
        <w:t>nes: primero, porque las MiPymes</w:t>
      </w:r>
      <w:r w:rsidRPr="005B1F06">
        <w:rPr>
          <w:rFonts w:ascii="Verdana" w:eastAsia="Calibri" w:hAnsi="Verdana" w:cs="Arial"/>
          <w:color w:val="000000" w:themeColor="text1"/>
        </w:rPr>
        <w:t xml:space="preserve"> no están habilitadas para pedir la “limitación territorial”, lo están para pedir la “convocatoria limitada a MiPymes”, y, segundo, porque el </w:t>
      </w:r>
      <w:r w:rsidRPr="004147BC">
        <w:rPr>
          <w:rFonts w:ascii="Verdana" w:eastAsia="Calibri" w:hAnsi="Verdana" w:cs="Arial"/>
          <w:i/>
          <w:iCs/>
          <w:color w:val="000000" w:themeColor="text1"/>
        </w:rPr>
        <w:t>único criterio</w:t>
      </w:r>
      <w:r w:rsidRPr="005B1F06">
        <w:rPr>
          <w:rFonts w:ascii="Verdana" w:eastAsia="Calibri" w:hAnsi="Verdana" w:cs="Arial"/>
          <w:color w:val="000000" w:themeColor="text1"/>
        </w:rPr>
        <w:t xml:space="preserve"> a tener en cuenta, una vez se ha decidido</w:t>
      </w:r>
      <w:r>
        <w:rPr>
          <w:rFonts w:ascii="Verdana" w:eastAsia="Calibri" w:hAnsi="Verdana" w:cs="Arial"/>
          <w:color w:val="000000" w:themeColor="text1"/>
        </w:rPr>
        <w:t xml:space="preserve"> de manera justificada</w:t>
      </w:r>
      <w:r w:rsidRPr="001D4AC1">
        <w:rPr>
          <w:rFonts w:ascii="Century Gothic" w:eastAsia="Calibri" w:hAnsi="Century Gothic" w:cs="Arial"/>
          <w:color w:val="000000" w:themeColor="text1"/>
        </w:rPr>
        <w:t xml:space="preserve"> </w:t>
      </w:r>
      <w:r w:rsidRPr="00A4749D">
        <w:rPr>
          <w:rFonts w:ascii="Verdana" w:eastAsia="Calibri" w:hAnsi="Verdana" w:cs="Arial"/>
          <w:color w:val="000000" w:themeColor="text1"/>
        </w:rPr>
        <w:t>limitar territorialmente la convocatori</w:t>
      </w:r>
      <w:r w:rsidRPr="00A4749D">
        <w:rPr>
          <w:rFonts w:ascii="Verdana" w:hAnsi="Verdana" w:cs="Arial"/>
          <w:color w:val="000000" w:themeColor="text1"/>
        </w:rPr>
        <w:t xml:space="preserve">a previamente limitada a </w:t>
      </w:r>
      <w:proofErr w:type="spellStart"/>
      <w:r w:rsidRPr="00A4749D">
        <w:rPr>
          <w:rFonts w:ascii="Verdana" w:hAnsi="Verdana" w:cs="Arial"/>
          <w:color w:val="000000" w:themeColor="text1"/>
        </w:rPr>
        <w:t>Mipymes</w:t>
      </w:r>
      <w:proofErr w:type="spellEnd"/>
      <w:r w:rsidRPr="00A4749D">
        <w:rPr>
          <w:rFonts w:ascii="Verdana" w:eastAsia="Calibri" w:hAnsi="Verdana" w:cs="Arial"/>
          <w:color w:val="000000" w:themeColor="text1"/>
        </w:rPr>
        <w:t xml:space="preserve">, </w:t>
      </w:r>
      <w:r w:rsidRPr="004147BC">
        <w:rPr>
          <w:rFonts w:ascii="Verdana" w:eastAsia="Calibri" w:hAnsi="Verdana" w:cs="Arial"/>
          <w:i/>
          <w:iCs/>
          <w:color w:val="000000" w:themeColor="text1"/>
        </w:rPr>
        <w:t>es el lugar donde se va a ejecutar el contrato.</w:t>
      </w:r>
    </w:p>
    <w:p w14:paraId="0F611991" w14:textId="77777777" w:rsidR="00EA7F35" w:rsidRPr="005A75AB" w:rsidRDefault="00EA7F35" w:rsidP="00EA7F35">
      <w:pPr>
        <w:spacing w:after="120" w:line="276" w:lineRule="auto"/>
        <w:ind w:firstLine="708"/>
        <w:jc w:val="both"/>
        <w:rPr>
          <w:rFonts w:ascii="Verdana" w:eastAsia="Calibri" w:hAnsi="Verdana" w:cs="Arial"/>
          <w:lang w:val="es-ES"/>
        </w:rPr>
      </w:pPr>
      <w:r>
        <w:rPr>
          <w:rFonts w:ascii="Verdana" w:eastAsia="Calibri" w:hAnsi="Verdana" w:cs="Arial"/>
          <w:lang w:val="es-ES"/>
        </w:rPr>
        <w:t xml:space="preserve">Al respecto, </w:t>
      </w:r>
      <w:r w:rsidRPr="005A75AB">
        <w:rPr>
          <w:rFonts w:ascii="Verdana" w:eastAsia="Calibri" w:hAnsi="Verdana" w:cs="Arial"/>
          <w:lang w:val="es-ES"/>
        </w:rPr>
        <w:t xml:space="preserve">es preciso advertir que, el ejercicio de la facultad discrecional en orden de aplicar la limitación territorial en favor de las </w:t>
      </w:r>
      <w:proofErr w:type="spellStart"/>
      <w:r w:rsidRPr="005A75AB">
        <w:rPr>
          <w:rFonts w:ascii="Verdana" w:eastAsia="Calibri" w:hAnsi="Verdana" w:cs="Arial"/>
          <w:lang w:val="es-ES"/>
        </w:rPr>
        <w:t>Mipymes</w:t>
      </w:r>
      <w:proofErr w:type="spellEnd"/>
      <w:r w:rsidRPr="005A75AB">
        <w:rPr>
          <w:rFonts w:ascii="Verdana" w:eastAsia="Calibri" w:hAnsi="Verdana" w:cs="Arial"/>
          <w:lang w:val="es-ES"/>
        </w:rPr>
        <w:t xml:space="preserve"> con domicilio en un municipio </w:t>
      </w:r>
      <w:r>
        <w:rPr>
          <w:rFonts w:ascii="Verdana" w:eastAsia="Calibri" w:hAnsi="Verdana" w:cs="Arial"/>
          <w:lang w:val="es-ES"/>
        </w:rPr>
        <w:t xml:space="preserve">o </w:t>
      </w:r>
      <w:r w:rsidRPr="005A75AB">
        <w:rPr>
          <w:rFonts w:ascii="Verdana" w:eastAsia="Calibri" w:hAnsi="Verdana" w:cs="Arial"/>
          <w:lang w:val="es-ES"/>
        </w:rPr>
        <w:t xml:space="preserve">en un departamento específico debe hacerse dentro del marco de lo regulado por el artículo 2.2.1.2.4.2.3 </w:t>
      </w:r>
      <w:proofErr w:type="spellStart"/>
      <w:r w:rsidRPr="005A75AB">
        <w:rPr>
          <w:rFonts w:ascii="Verdana" w:eastAsia="Calibri" w:hAnsi="Verdana" w:cs="Arial"/>
          <w:i/>
          <w:iCs/>
          <w:lang w:val="es-ES"/>
        </w:rPr>
        <w:t>ejusdem</w:t>
      </w:r>
      <w:proofErr w:type="spellEnd"/>
      <w:r w:rsidRPr="005A75AB">
        <w:rPr>
          <w:rFonts w:ascii="Verdana" w:eastAsia="Calibri" w:hAnsi="Verdana" w:cs="Arial"/>
          <w:lang w:val="es-ES"/>
        </w:rPr>
        <w:t xml:space="preserve">, el cual establece como presupuesto que las </w:t>
      </w:r>
      <w:proofErr w:type="spellStart"/>
      <w:r w:rsidRPr="005A75AB">
        <w:rPr>
          <w:rFonts w:ascii="Verdana" w:eastAsia="Calibri" w:hAnsi="Verdana" w:cs="Arial"/>
          <w:lang w:val="es-ES"/>
        </w:rPr>
        <w:t>Mipymes</w:t>
      </w:r>
      <w:proofErr w:type="spellEnd"/>
      <w:r w:rsidRPr="005A75AB">
        <w:rPr>
          <w:rFonts w:ascii="Verdana" w:eastAsia="Calibri" w:hAnsi="Verdana" w:cs="Arial"/>
          <w:lang w:val="es-ES"/>
        </w:rPr>
        <w:t xml:space="preserve"> tengan su domicilio en el lugar en donde se va a ejecutar el contrato. Esto significa que, en el marco de estas convocatorias, la exigibilidad de que el domicilio de las </w:t>
      </w:r>
      <w:proofErr w:type="spellStart"/>
      <w:r w:rsidRPr="005A75AB">
        <w:rPr>
          <w:rFonts w:ascii="Verdana" w:eastAsia="Calibri" w:hAnsi="Verdana" w:cs="Arial"/>
          <w:lang w:val="es-ES"/>
        </w:rPr>
        <w:t>Mipymes</w:t>
      </w:r>
      <w:proofErr w:type="spellEnd"/>
      <w:r w:rsidRPr="005A75AB">
        <w:rPr>
          <w:rFonts w:ascii="Verdana" w:eastAsia="Calibri" w:hAnsi="Verdana" w:cs="Arial"/>
          <w:lang w:val="es-ES"/>
        </w:rPr>
        <w:t xml:space="preserve"> se ubique en un único municipio en particular o en alguno de los municipios que conforman un departamento en concreto, está ligada al ámbito territorial en el que se va a desarrollar el objeto contractual. </w:t>
      </w:r>
    </w:p>
    <w:p w14:paraId="1B1E821B" w14:textId="77777777" w:rsidR="00EA7F35" w:rsidRDefault="00EA7F35" w:rsidP="00EA7F35">
      <w:pPr>
        <w:spacing w:after="120" w:line="276" w:lineRule="auto"/>
        <w:ind w:firstLine="708"/>
        <w:jc w:val="both"/>
        <w:rPr>
          <w:rFonts w:ascii="Verdana" w:eastAsia="Calibri" w:hAnsi="Verdana" w:cs="Arial"/>
          <w:lang w:val="es-ES"/>
        </w:rPr>
      </w:pPr>
      <w:r w:rsidRPr="005A75AB">
        <w:rPr>
          <w:rFonts w:ascii="Verdana" w:eastAsia="Calibri" w:hAnsi="Verdana" w:cs="Arial"/>
          <w:lang w:val="es-ES"/>
        </w:rPr>
        <w:lastRenderedPageBreak/>
        <w:t xml:space="preserve">De este modo, en el caso de un contrato que se va a ejecutar en su totalidad dentro del territorio de un municipio, la limitación territorial debe aplicarse en favor de las </w:t>
      </w:r>
      <w:proofErr w:type="spellStart"/>
      <w:r w:rsidRPr="005A75AB">
        <w:rPr>
          <w:rFonts w:ascii="Verdana" w:eastAsia="Calibri" w:hAnsi="Verdana" w:cs="Arial"/>
          <w:lang w:val="es-ES"/>
        </w:rPr>
        <w:t>Mipyme</w:t>
      </w:r>
      <w:proofErr w:type="spellEnd"/>
      <w:r w:rsidRPr="005A75AB">
        <w:rPr>
          <w:rFonts w:ascii="Verdana" w:eastAsia="Calibri" w:hAnsi="Verdana" w:cs="Arial"/>
          <w:lang w:val="es-ES"/>
        </w:rPr>
        <w:t xml:space="preserve"> que tengan su domicilio principal en dicha entidad territorial. En atención al mismo criterio, en el caso de un contrato cuya ejecución trasciende el ámbito municipal, extendiéndose a los diferentes municipios del departamento, resultará valido que la entidad que realiza la convocatoria la limite a las empresas que tengan su domicilio principal en alguno de los diferentes municipios que conforman el respectivo departamento, bajo el presupuesto de que estos se encuentran ubicados dentro del ámbito territorial en donde deberá cumplirse con el objeto contractual.   </w:t>
      </w:r>
    </w:p>
    <w:p w14:paraId="7C7202A6" w14:textId="77777777" w:rsidR="00EA7F35" w:rsidRDefault="00EA7F35" w:rsidP="00EA7F35">
      <w:pPr>
        <w:spacing w:after="120" w:line="276" w:lineRule="auto"/>
        <w:ind w:firstLine="708"/>
        <w:jc w:val="both"/>
        <w:rPr>
          <w:rFonts w:ascii="Verdana" w:eastAsia="Calibri" w:hAnsi="Verdana" w:cs="Arial"/>
          <w:lang w:val="es-ES"/>
        </w:rPr>
      </w:pPr>
      <w:r>
        <w:rPr>
          <w:rFonts w:ascii="Verdana" w:eastAsia="Calibri" w:hAnsi="Verdana" w:cs="Arial"/>
          <w:lang w:val="es-MX"/>
        </w:rPr>
        <w:t>Así las cosas, esta</w:t>
      </w:r>
      <w:r>
        <w:rPr>
          <w:rFonts w:ascii="Verdana" w:eastAsia="Calibri" w:hAnsi="Verdana" w:cs="Arial"/>
        </w:rPr>
        <w:t xml:space="preserve"> Agencia considera que lo recomendable es que las entidades establezcan </w:t>
      </w:r>
      <w:r>
        <w:rPr>
          <w:rFonts w:ascii="Verdana" w:eastAsia="Calibri" w:hAnsi="Verdana" w:cs="Arial"/>
          <w:i/>
          <w:iCs/>
        </w:rPr>
        <w:t>ex ante</w:t>
      </w:r>
      <w:r>
        <w:rPr>
          <w:rFonts w:ascii="Verdana" w:eastAsia="Calibri" w:hAnsi="Verdana" w:cs="Arial"/>
        </w:rPr>
        <w:t xml:space="preserve"> las condiciones en las que, eventualmente, harían la “limitación territorial”. Para tales fines, en los documentos del proceso podrían establecer claramente los términos de dicha limitación, los supuestos que darían lugar a su aplicación y, sobre todo, la forma como procedería la entidad si decide optar por limitar territorialmente la convocatoria en que se cumplan los presupuestos para ser limitada a </w:t>
      </w:r>
      <w:proofErr w:type="spellStart"/>
      <w:r>
        <w:rPr>
          <w:rFonts w:ascii="Verdana" w:eastAsia="Calibri" w:hAnsi="Verdana" w:cs="Arial"/>
        </w:rPr>
        <w:t>Mipymes</w:t>
      </w:r>
      <w:proofErr w:type="spellEnd"/>
      <w:r>
        <w:rPr>
          <w:rFonts w:ascii="Verdana" w:eastAsia="Calibri" w:hAnsi="Verdana" w:cs="Arial"/>
        </w:rPr>
        <w:t>, por ejemplo, en relación con cuál o cuáles municipios o departamentos harían la limitación territorial de que trata el artículo 2.2.1.2.4.2.3. del Decreto 1082 de 2015.</w:t>
      </w:r>
    </w:p>
    <w:p w14:paraId="3CDC8707" w14:textId="77777777" w:rsidR="00EA7F35" w:rsidRPr="004147BC" w:rsidRDefault="00EA7F35" w:rsidP="00EA7F35">
      <w:pPr>
        <w:spacing w:after="120" w:line="276" w:lineRule="auto"/>
        <w:ind w:firstLine="708"/>
        <w:jc w:val="both"/>
        <w:rPr>
          <w:rFonts w:ascii="Verdana" w:eastAsia="Calibri" w:hAnsi="Verdana" w:cs="Arial"/>
          <w:lang w:val="es-ES"/>
        </w:rPr>
      </w:pPr>
      <w:r w:rsidRPr="004147BC">
        <w:rPr>
          <w:rFonts w:ascii="Verdana" w:eastAsia="Calibri" w:hAnsi="Verdana" w:cs="Arial"/>
          <w:lang w:val="es-ES"/>
        </w:rPr>
        <w:t xml:space="preserve">En este contexto, y de acuerdo con el objeto de la consulta, si bien la limitación territorial prevista en el artículo 2.2.1.2.4.2.3 del Decreto 1082 de 2015 faculta a las entidades estatales para </w:t>
      </w:r>
      <w:r>
        <w:rPr>
          <w:rFonts w:ascii="Verdana" w:eastAsia="Calibri" w:hAnsi="Verdana" w:cs="Arial"/>
          <w:lang w:val="es-ES"/>
        </w:rPr>
        <w:t>limitar</w:t>
      </w:r>
      <w:r w:rsidRPr="004147BC">
        <w:rPr>
          <w:rFonts w:ascii="Verdana" w:eastAsia="Calibri" w:hAnsi="Verdana" w:cs="Arial"/>
          <w:lang w:val="es-ES"/>
        </w:rPr>
        <w:t xml:space="preserve"> la convocatoria a</w:t>
      </w:r>
      <w:r>
        <w:rPr>
          <w:rFonts w:ascii="Verdana" w:eastAsia="Calibri" w:hAnsi="Verdana" w:cs="Arial"/>
          <w:lang w:val="es-ES"/>
        </w:rPr>
        <w:t xml:space="preserve"> las</w:t>
      </w:r>
      <w:r w:rsidRPr="004147BC">
        <w:rPr>
          <w:rFonts w:ascii="Verdana" w:eastAsia="Calibri" w:hAnsi="Verdana" w:cs="Arial"/>
          <w:lang w:val="es-ES"/>
        </w:rPr>
        <w:t xml:space="preserve"> </w:t>
      </w:r>
      <w:proofErr w:type="spellStart"/>
      <w:r>
        <w:rPr>
          <w:rFonts w:ascii="Verdana" w:eastAsia="Calibri" w:hAnsi="Verdana" w:cs="Arial"/>
          <w:lang w:val="es-ES"/>
        </w:rPr>
        <w:t>M</w:t>
      </w:r>
      <w:r w:rsidRPr="004147BC">
        <w:rPr>
          <w:rFonts w:ascii="Verdana" w:eastAsia="Calibri" w:hAnsi="Verdana" w:cs="Arial"/>
          <w:lang w:val="es-ES"/>
        </w:rPr>
        <w:t>ipyme</w:t>
      </w:r>
      <w:r>
        <w:rPr>
          <w:rFonts w:ascii="Verdana" w:eastAsia="Calibri" w:hAnsi="Verdana" w:cs="Arial"/>
          <w:lang w:val="es-ES"/>
        </w:rPr>
        <w:t>s</w:t>
      </w:r>
      <w:proofErr w:type="spellEnd"/>
      <w:r w:rsidRPr="004147BC">
        <w:rPr>
          <w:rFonts w:ascii="Verdana" w:eastAsia="Calibri" w:hAnsi="Verdana" w:cs="Arial"/>
          <w:lang w:val="es-ES"/>
        </w:rPr>
        <w:t xml:space="preserve"> domiciliadas en un determinado municipio o departamento, dicha potestad no puede interpretarse de manera discrecional. La habilitación normativa responde a un criterio objetivo y funcional relacionado con el lugar de ejecución del objeto contractual, de modo que la delimitación territorial debe guardar correspondencia directa con el ámbito geográfico en el que se desarrollará el contrato.</w:t>
      </w:r>
    </w:p>
    <w:p w14:paraId="7334E098" w14:textId="77777777" w:rsidR="00EA7F35" w:rsidRDefault="00EA7F35" w:rsidP="00EA7F35">
      <w:pPr>
        <w:spacing w:after="120" w:line="276" w:lineRule="auto"/>
        <w:ind w:firstLine="709"/>
        <w:jc w:val="both"/>
        <w:rPr>
          <w:rFonts w:ascii="Verdana" w:eastAsia="Calibri" w:hAnsi="Verdana" w:cs="Arial"/>
          <w:color w:val="000000" w:themeColor="text1"/>
          <w:lang w:val="es-ES"/>
        </w:rPr>
      </w:pPr>
      <w:r>
        <w:rPr>
          <w:rFonts w:ascii="Verdana" w:eastAsia="Calibri" w:hAnsi="Verdana" w:cs="Arial"/>
          <w:color w:val="000000" w:themeColor="text1"/>
          <w:lang w:val="es-ES"/>
        </w:rPr>
        <w:t xml:space="preserve">Al </w:t>
      </w:r>
      <w:r>
        <w:rPr>
          <w:rFonts w:ascii="Verdana" w:hAnsi="Verdana" w:cs="Arial"/>
          <w:lang w:val="es-ES_tradnl" w:eastAsia="es-ES"/>
        </w:rPr>
        <w:t xml:space="preserve">margen de la explicación precedente debe advertirse que el análisis requerido para resolver problemas específicos debe realizarse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w:t>
      </w:r>
      <w:r>
        <w:rPr>
          <w:rFonts w:ascii="Verdana" w:hAnsi="Verdana" w:cs="Arial"/>
          <w:lang w:val="es-ES_tradnl" w:eastAsia="es-ES"/>
        </w:rPr>
        <w:lastRenderedPageBreak/>
        <w:t>asesores, la solución de situaciones particulares corresponde a los interesados adoptar la decisión correspondiente y, en caso de conflicto, a las autoridades judiciales, fiscales y disciplinarias.</w:t>
      </w:r>
    </w:p>
    <w:p w14:paraId="4E992B3E" w14:textId="77777777" w:rsidR="00EA7F35" w:rsidRPr="008C35F0" w:rsidRDefault="00EA7F35" w:rsidP="00EA7F35">
      <w:pPr>
        <w:spacing w:after="0" w:line="276" w:lineRule="auto"/>
        <w:ind w:firstLine="709"/>
        <w:jc w:val="both"/>
        <w:rPr>
          <w:rFonts w:ascii="Verdana" w:hAnsi="Verdana" w:cs="Arial"/>
          <w:lang w:val="es-ES" w:eastAsia="es-ES"/>
        </w:rPr>
      </w:pPr>
      <w:r>
        <w:rPr>
          <w:rFonts w:ascii="Verdana" w:hAnsi="Verdana" w:cs="Arial"/>
          <w:lang w:val="es-ES" w:eastAsia="es-ES"/>
        </w:rPr>
        <w:t>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651CC575" w14:textId="77777777" w:rsidR="00EA7F35" w:rsidRPr="0037575A" w:rsidRDefault="00EA7F35" w:rsidP="00EA7F35">
      <w:pPr>
        <w:widowControl w:val="0"/>
        <w:autoSpaceDE w:val="0"/>
        <w:autoSpaceDN w:val="0"/>
        <w:spacing w:after="0" w:line="276" w:lineRule="auto"/>
        <w:jc w:val="both"/>
        <w:rPr>
          <w:rFonts w:ascii="Verdana" w:hAnsi="Verdana" w:cs="Arial"/>
          <w:lang w:eastAsia="es-ES"/>
        </w:rPr>
      </w:pPr>
    </w:p>
    <w:bookmarkEnd w:id="4"/>
    <w:bookmarkEnd w:id="5"/>
    <w:p w14:paraId="1BD014D7" w14:textId="77777777" w:rsidR="00EA7F35" w:rsidRPr="0037575A" w:rsidRDefault="00EA7F35" w:rsidP="00EA7F35">
      <w:pPr>
        <w:tabs>
          <w:tab w:val="left" w:pos="142"/>
          <w:tab w:val="left" w:pos="284"/>
        </w:tabs>
        <w:spacing w:after="0" w:line="276" w:lineRule="auto"/>
        <w:rPr>
          <w:rFonts w:ascii="Verdana" w:eastAsia="Century Gothic" w:hAnsi="Verdana" w:cs="Century Gothic"/>
          <w:b/>
          <w:bCs/>
        </w:rPr>
      </w:pPr>
      <w:r w:rsidRPr="0037575A">
        <w:rPr>
          <w:rFonts w:ascii="Verdana" w:eastAsia="Century Gothic" w:hAnsi="Verdana" w:cs="Century Gothic"/>
          <w:b/>
          <w:bCs/>
        </w:rPr>
        <w:t>4. Referencias normativas:</w:t>
      </w:r>
    </w:p>
    <w:bookmarkEnd w:id="6"/>
    <w:p w14:paraId="18BC2ED6" w14:textId="77777777" w:rsidR="00EA7F35" w:rsidRPr="0037575A" w:rsidRDefault="00EA7F35" w:rsidP="00EA7F35">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EA7F35" w:rsidRPr="0037575A" w14:paraId="22763C41" w14:textId="77777777" w:rsidTr="00610124">
        <w:trPr>
          <w:trHeight w:val="870"/>
          <w:jc w:val="center"/>
        </w:trPr>
        <w:tc>
          <w:tcPr>
            <w:tcW w:w="8647" w:type="dxa"/>
          </w:tcPr>
          <w:p w14:paraId="065D7A19" w14:textId="77777777" w:rsidR="00EA7F35" w:rsidRPr="0037575A" w:rsidRDefault="00EA7F35" w:rsidP="00EA7F35">
            <w:pPr>
              <w:pStyle w:val="Prrafodelista"/>
              <w:numPr>
                <w:ilvl w:val="0"/>
                <w:numId w:val="2"/>
              </w:numPr>
              <w:spacing w:line="276" w:lineRule="auto"/>
              <w:contextualSpacing w:val="0"/>
              <w:jc w:val="both"/>
              <w:rPr>
                <w:rFonts w:ascii="Verdana" w:eastAsia="Calibri" w:hAnsi="Verdana" w:cs="Arial"/>
              </w:rPr>
            </w:pPr>
            <w:r w:rsidRPr="0037575A">
              <w:rPr>
                <w:rFonts w:ascii="Verdana" w:eastAsia="Calibri" w:hAnsi="Verdana" w:cs="Arial"/>
              </w:rPr>
              <w:t xml:space="preserve">Código de Comercio, artículo 263. </w:t>
            </w:r>
          </w:p>
          <w:p w14:paraId="4B21C6F5" w14:textId="77777777" w:rsidR="00EA7F35" w:rsidRPr="0037575A" w:rsidRDefault="00EA7F35" w:rsidP="00EA7F35">
            <w:pPr>
              <w:pStyle w:val="Prrafodelista"/>
              <w:numPr>
                <w:ilvl w:val="0"/>
                <w:numId w:val="2"/>
              </w:numPr>
              <w:spacing w:line="276" w:lineRule="auto"/>
              <w:contextualSpacing w:val="0"/>
              <w:jc w:val="both"/>
              <w:rPr>
                <w:rFonts w:ascii="Verdana" w:eastAsia="Calibri" w:hAnsi="Verdana" w:cs="Arial"/>
              </w:rPr>
            </w:pPr>
            <w:r w:rsidRPr="0037575A">
              <w:rPr>
                <w:rFonts w:ascii="Verdana" w:eastAsia="Calibri" w:hAnsi="Verdana" w:cs="Arial"/>
              </w:rPr>
              <w:t xml:space="preserve">Ley 1150 de 2007. Artículo 6 y 12. </w:t>
            </w:r>
          </w:p>
          <w:p w14:paraId="69DA6F7B" w14:textId="77777777" w:rsidR="00EA7F35" w:rsidRPr="0037575A" w:rsidRDefault="00EA7F35" w:rsidP="00EA7F35">
            <w:pPr>
              <w:pStyle w:val="Prrafodelista"/>
              <w:numPr>
                <w:ilvl w:val="0"/>
                <w:numId w:val="2"/>
              </w:numPr>
              <w:spacing w:line="276" w:lineRule="auto"/>
              <w:contextualSpacing w:val="0"/>
              <w:jc w:val="both"/>
              <w:rPr>
                <w:rFonts w:ascii="Verdana" w:eastAsia="Calibri" w:hAnsi="Verdana" w:cs="Arial"/>
              </w:rPr>
            </w:pPr>
            <w:r w:rsidRPr="0037575A">
              <w:rPr>
                <w:rFonts w:ascii="Verdana" w:eastAsia="Calibri" w:hAnsi="Verdana" w:cs="Arial"/>
              </w:rPr>
              <w:t>Ley 2069 de 2020, artículo 33 y 34.</w:t>
            </w:r>
          </w:p>
          <w:p w14:paraId="7BF3B0A6" w14:textId="77777777" w:rsidR="00EA7F35" w:rsidRPr="0037575A" w:rsidRDefault="00EA7F35" w:rsidP="00EA7F35">
            <w:pPr>
              <w:pStyle w:val="Prrafodelista"/>
              <w:numPr>
                <w:ilvl w:val="0"/>
                <w:numId w:val="2"/>
              </w:numPr>
              <w:spacing w:line="276" w:lineRule="auto"/>
              <w:contextualSpacing w:val="0"/>
              <w:jc w:val="both"/>
              <w:rPr>
                <w:rFonts w:ascii="Verdana" w:eastAsia="Calibri" w:hAnsi="Verdana" w:cs="Arial"/>
              </w:rPr>
            </w:pPr>
            <w:r w:rsidRPr="0037575A">
              <w:rPr>
                <w:rFonts w:ascii="Verdana" w:eastAsia="Calibri" w:hAnsi="Verdana" w:cs="Arial"/>
              </w:rPr>
              <w:t xml:space="preserve">Decreto 1082 de 2015, artículos 2.2.1.2.4.2.2., 2.2.1.2.4.2.3. y 2.2.1.2.4.2.4. </w:t>
            </w:r>
          </w:p>
          <w:p w14:paraId="4ECCD0E2" w14:textId="77777777" w:rsidR="00EA7F35" w:rsidRPr="00C577B0" w:rsidRDefault="00EA7F35" w:rsidP="00610124">
            <w:pPr>
              <w:pStyle w:val="Prrafodelista"/>
              <w:spacing w:line="276" w:lineRule="auto"/>
              <w:contextualSpacing w:val="0"/>
              <w:rPr>
                <w:rFonts w:ascii="Verdana" w:hAnsi="Verdana"/>
                <w:color w:val="000000" w:themeColor="text1"/>
                <w:lang w:val="es-ES"/>
              </w:rPr>
            </w:pPr>
            <w:r w:rsidRPr="0037575A">
              <w:rPr>
                <w:rFonts w:ascii="Verdana" w:eastAsia="Calibri" w:hAnsi="Verdana" w:cs="Arial"/>
                <w:lang w:val="es-ES"/>
              </w:rPr>
              <w:t xml:space="preserve">Decreto 1860 de 2021, artículo 5. </w:t>
            </w:r>
          </w:p>
        </w:tc>
      </w:tr>
    </w:tbl>
    <w:p w14:paraId="2CF24E66" w14:textId="77777777" w:rsidR="00EA7F35" w:rsidRPr="0037575A" w:rsidRDefault="00EA7F35" w:rsidP="00EA7F35">
      <w:pPr>
        <w:widowControl w:val="0"/>
        <w:autoSpaceDE w:val="0"/>
        <w:autoSpaceDN w:val="0"/>
        <w:spacing w:after="0" w:line="276" w:lineRule="auto"/>
        <w:jc w:val="both"/>
        <w:rPr>
          <w:rFonts w:ascii="Verdana" w:hAnsi="Verdana" w:cs="Arial"/>
        </w:rPr>
      </w:pPr>
    </w:p>
    <w:p w14:paraId="66B66F27" w14:textId="77777777" w:rsidR="00EA7F35" w:rsidRPr="0037575A" w:rsidRDefault="00EA7F35" w:rsidP="00EA7F35">
      <w:pPr>
        <w:tabs>
          <w:tab w:val="left" w:pos="142"/>
          <w:tab w:val="left" w:pos="284"/>
        </w:tabs>
        <w:spacing w:after="0" w:line="276" w:lineRule="auto"/>
        <w:jc w:val="both"/>
        <w:rPr>
          <w:rFonts w:ascii="Verdana" w:eastAsia="Century Gothic" w:hAnsi="Verdana" w:cs="Century Gothic"/>
          <w:b/>
          <w:bCs/>
        </w:rPr>
      </w:pPr>
      <w:r w:rsidRPr="0037575A">
        <w:rPr>
          <w:rFonts w:ascii="Verdana" w:eastAsia="Century Gothic" w:hAnsi="Verdana" w:cs="Century Gothic"/>
          <w:b/>
          <w:bCs/>
        </w:rPr>
        <w:t>5. Doctrina de la Agencia Nacional de Contratación Pública:</w:t>
      </w:r>
    </w:p>
    <w:p w14:paraId="7FD30BAC" w14:textId="77777777" w:rsidR="00EA7F35" w:rsidRPr="0037575A" w:rsidRDefault="00EA7F35" w:rsidP="00EA7F35">
      <w:pPr>
        <w:widowControl w:val="0"/>
        <w:autoSpaceDE w:val="0"/>
        <w:autoSpaceDN w:val="0"/>
        <w:spacing w:after="0" w:line="276" w:lineRule="auto"/>
        <w:jc w:val="both"/>
        <w:rPr>
          <w:rStyle w:val="normaltextrun"/>
          <w:rFonts w:ascii="Verdana" w:hAnsi="Verdana" w:cs="Arial"/>
          <w:highlight w:val="yellow"/>
          <w:shd w:val="clear" w:color="auto" w:fill="FFFFFF"/>
          <w:lang w:val="es-ES"/>
        </w:rPr>
      </w:pPr>
    </w:p>
    <w:p w14:paraId="5E73C3E3" w14:textId="77777777" w:rsidR="00EA7F35" w:rsidRPr="0037575A" w:rsidRDefault="00EA7F35" w:rsidP="00EA7F35">
      <w:pPr>
        <w:widowControl w:val="0"/>
        <w:autoSpaceDE w:val="0"/>
        <w:autoSpaceDN w:val="0"/>
        <w:spacing w:after="0" w:line="276" w:lineRule="auto"/>
        <w:jc w:val="both"/>
        <w:rPr>
          <w:rFonts w:ascii="Verdana" w:eastAsia="Times New Roman" w:hAnsi="Verdana" w:cs="Arial"/>
          <w:shd w:val="clear" w:color="auto" w:fill="FFFFFF"/>
          <w:lang w:val="es-ES"/>
        </w:rPr>
      </w:pPr>
      <w:r w:rsidRPr="0037575A">
        <w:rPr>
          <w:rFonts w:ascii="Verdana" w:hAnsi="Verdana"/>
        </w:rPr>
        <w:t xml:space="preserve">En lo relacionado con el ámbito de la consulta, esta Subdirección se ha pronunciado </w:t>
      </w:r>
      <w:r w:rsidRPr="0037575A">
        <w:rPr>
          <w:rFonts w:ascii="Verdana" w:hAnsi="Verdana" w:cs="Arial"/>
        </w:rPr>
        <w:t>sobre las convocatorias limitadas a MiPymes, sus requisitos y características, en los Conceptos Nro. C − 366 del 8 de</w:t>
      </w:r>
      <w:r w:rsidRPr="0037575A">
        <w:rPr>
          <w:rFonts w:ascii="Verdana" w:hAnsi="Verdana"/>
        </w:rPr>
        <w:t xml:space="preserve"> septiembre de 2023 C-436 del 24 de octubre de 2023, C-279 del 31 de octubre de 2023, C-048 del 23 de abril de 2024, C-084 del 30 de mayo de 2024, C-165 del 22 de julio de 2024, C-569 del 21 de octubre del 2024, C-532 del 10 de octubre de 2024, C-586 del 22 de octubre del 2024, C-623 del 30 de octubre del 2024, C-752 del 28 de noviembre del 2024, C-829 del 03 de diciembre del 2024, C-100 del 25 de febrero de 2025, C -263 del 7 de abril de 2025 y el C -542 del 16 de junio 2025, C-559 del 18 de junio de 2025, C-590 del 25 de junio de 2025, C-715 del 14 de julio de 2025, C-1434 del 12 de noviembre de 2025, C-723 de 9 de junio de </w:t>
      </w:r>
      <w:r w:rsidRPr="0037575A">
        <w:rPr>
          <w:rFonts w:ascii="Verdana" w:hAnsi="Verdana"/>
        </w:rPr>
        <w:lastRenderedPageBreak/>
        <w:t>2026, entre otros</w:t>
      </w:r>
      <w:r w:rsidRPr="0037575A">
        <w:rPr>
          <w:rFonts w:ascii="Verdana" w:hAnsi="Verdana" w:cs="Arial"/>
          <w:shd w:val="clear" w:color="auto" w:fill="FFFFFF"/>
          <w:lang w:val="es-ES"/>
        </w:rPr>
        <w:t xml:space="preserve">. </w:t>
      </w:r>
      <w:r w:rsidRPr="0037575A">
        <w:rPr>
          <w:rFonts w:ascii="Verdana" w:eastAsia="Calibri" w:hAnsi="Verdana" w:cs="Arial"/>
          <w:color w:val="000000"/>
          <w:shd w:val="clear" w:color="auto" w:fill="FFFFFF"/>
        </w:rPr>
        <w:t xml:space="preserve">Los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1" w:history="1">
        <w:r w:rsidRPr="0037575A">
          <w:rPr>
            <w:rFonts w:ascii="Verdana" w:eastAsia="Aptos" w:hAnsi="Verdana" w:cs="Arial"/>
            <w:color w:val="0000FF"/>
            <w:kern w:val="2"/>
            <w:u w:val="single"/>
            <w:shd w:val="clear" w:color="auto" w:fill="FFFFFF"/>
            <w14:ligatures w14:val="standardContextual"/>
          </w:rPr>
          <w:t>https://relatoria.colombiacompra.gov.co/busqueda/conceptos</w:t>
        </w:r>
      </w:hyperlink>
      <w:r w:rsidRPr="0037575A">
        <w:rPr>
          <w:rFonts w:ascii="Verdana" w:eastAsia="Aptos" w:hAnsi="Verdana" w:cs="Arial"/>
          <w:kern w:val="2"/>
          <w:shd w:val="clear" w:color="auto" w:fill="FFFFFF"/>
          <w14:ligatures w14:val="standardContextual"/>
        </w:rPr>
        <w:t xml:space="preserve">. </w:t>
      </w:r>
      <w:r w:rsidRPr="0037575A">
        <w:rPr>
          <w:rFonts w:ascii="Verdana" w:eastAsia="Aptos" w:hAnsi="Verdana" w:cs="Arial"/>
          <w:color w:val="FF0000"/>
          <w:kern w:val="2"/>
          <w:shd w:val="clear" w:color="auto" w:fill="FFFFFF"/>
          <w:lang w:val="es-ES"/>
          <w14:ligatures w14:val="standardContextual"/>
        </w:rPr>
        <w:t xml:space="preserve">  </w:t>
      </w:r>
    </w:p>
    <w:p w14:paraId="1A2EC5CA" w14:textId="77777777" w:rsidR="00EA7F35" w:rsidRPr="0037575A" w:rsidRDefault="00EA7F35" w:rsidP="00EA7F35">
      <w:pPr>
        <w:widowControl w:val="0"/>
        <w:autoSpaceDE w:val="0"/>
        <w:autoSpaceDN w:val="0"/>
        <w:spacing w:after="0" w:line="276" w:lineRule="auto"/>
        <w:jc w:val="both"/>
        <w:rPr>
          <w:rFonts w:ascii="Verdana" w:eastAsia="Calibri" w:hAnsi="Verdana" w:cs="Arial"/>
          <w:color w:val="000000" w:themeColor="text1"/>
          <w:lang w:eastAsia="es-ES_tradnl"/>
        </w:rPr>
      </w:pPr>
    </w:p>
    <w:p w14:paraId="0F66A68F" w14:textId="77777777" w:rsidR="00EA7F35" w:rsidRPr="0037575A" w:rsidRDefault="00EA7F35" w:rsidP="00EA7F35">
      <w:pPr>
        <w:spacing w:after="0" w:line="276" w:lineRule="auto"/>
        <w:jc w:val="both"/>
        <w:rPr>
          <w:rFonts w:ascii="Verdana" w:eastAsia="Times New Roman" w:hAnsi="Verdana" w:cs="Arial"/>
          <w:lang w:eastAsia="es-MX"/>
        </w:rPr>
      </w:pPr>
      <w:r w:rsidRPr="0037575A">
        <w:rPr>
          <w:rFonts w:ascii="Verdana" w:eastAsia="Times New Roman" w:hAnsi="Verdana" w:cs="Arial"/>
          <w:lang w:eastAsia="es-MX"/>
        </w:rPr>
        <w:t xml:space="preserve">La sostenibilidad no es una opción, es una obligación. Por ello, la Agencia Nacional de Contratación Pública –Colombia Compra Eficiente– te invita a realizar el </w:t>
      </w:r>
      <w:r w:rsidRPr="0037575A">
        <w:rPr>
          <w:rFonts w:ascii="Verdana" w:eastAsia="Times New Roman" w:hAnsi="Verdana" w:cs="Arial"/>
          <w:b/>
          <w:bCs/>
          <w:lang w:eastAsia="es-MX"/>
        </w:rPr>
        <w:t>Curso de Contratación Pública Sostenible y Socialmente Responsable</w:t>
      </w:r>
      <w:r w:rsidRPr="0037575A">
        <w:rPr>
          <w:rFonts w:ascii="Verdana" w:eastAsia="Times New Roman" w:hAnsi="Verdana" w:cs="Arial"/>
          <w:lang w:eastAsia="es-MX"/>
        </w:rPr>
        <w:t>, una herramienta clave para fortalecer las capacidades de todos los compradores públicos, proveedores, servidores públicos y para generar mayor valor público. Accede al curso y aprende como implementar criterios sociales y ambientales en las diferentes etapas del proceso de contratación:</w:t>
      </w:r>
      <w:r w:rsidRPr="0037575A">
        <w:rPr>
          <w:rFonts w:ascii="Verdana" w:eastAsia="Times New Roman" w:hAnsi="Verdana" w:cs="Arial"/>
          <w:lang w:eastAsia="es-MX"/>
        </w:rPr>
        <w:br/>
      </w:r>
      <w:hyperlink r:id="rId12" w:tgtFrame="_new" w:history="1">
        <w:r w:rsidRPr="0037575A">
          <w:rPr>
            <w:rFonts w:ascii="Verdana" w:eastAsia="Times New Roman" w:hAnsi="Verdana" w:cs="Arial"/>
            <w:color w:val="0000FF"/>
            <w:u w:val="single"/>
            <w:lang w:eastAsia="es-MX"/>
          </w:rPr>
          <w:t>https://formacionvirtual.colombiacompra.gov.co/mod/page/view.php?id=3718</w:t>
        </w:r>
      </w:hyperlink>
    </w:p>
    <w:p w14:paraId="70107D0F" w14:textId="77777777" w:rsidR="00EA7F35" w:rsidRPr="0037575A" w:rsidRDefault="00EA7F35" w:rsidP="00EA7F35">
      <w:pPr>
        <w:spacing w:after="0" w:line="276" w:lineRule="auto"/>
        <w:jc w:val="both"/>
        <w:rPr>
          <w:rFonts w:ascii="Verdana" w:eastAsia="Times New Roman" w:hAnsi="Verdana" w:cs="Arial"/>
          <w:lang w:eastAsia="es-MX"/>
        </w:rPr>
      </w:pPr>
    </w:p>
    <w:p w14:paraId="439AA2BB" w14:textId="77777777" w:rsidR="00EA7F35" w:rsidRPr="0037575A" w:rsidRDefault="00EA7F35" w:rsidP="00EA7F35">
      <w:pPr>
        <w:spacing w:after="0" w:line="276" w:lineRule="auto"/>
        <w:jc w:val="both"/>
        <w:rPr>
          <w:rFonts w:ascii="Verdana" w:eastAsia="Times New Roman" w:hAnsi="Verdana" w:cs="Arial"/>
          <w:lang w:eastAsia="es-MX"/>
        </w:rPr>
      </w:pPr>
      <w:r w:rsidRPr="0037575A">
        <w:rPr>
          <w:rFonts w:ascii="Verdana" w:eastAsia="Times New Roman" w:hAnsi="Verdana" w:cs="Arial"/>
          <w:lang w:eastAsia="es-MX"/>
        </w:rPr>
        <w:t xml:space="preserve">De otro lado, te contamos que esta Agencia ha da un paso decisivo en la estandarización y modernización del </w:t>
      </w:r>
      <w:r w:rsidRPr="0037575A">
        <w:rPr>
          <w:rFonts w:ascii="Verdana" w:eastAsia="Times New Roman" w:hAnsi="Verdana" w:cs="Arial"/>
          <w:b/>
          <w:bCs/>
          <w:lang w:eastAsia="es-MX"/>
        </w:rPr>
        <w:t>sector  social</w:t>
      </w:r>
      <w:r w:rsidRPr="0037575A">
        <w:rPr>
          <w:rFonts w:ascii="Verdana" w:eastAsia="Times New Roman" w:hAnsi="Verdana" w:cs="Arial"/>
          <w:lang w:eastAsia="es-MX"/>
        </w:rPr>
        <w:t xml:space="preserve"> con la expedición de las </w:t>
      </w:r>
      <w:r w:rsidRPr="0037575A">
        <w:rPr>
          <w:rFonts w:ascii="Verdana" w:eastAsia="Times New Roman" w:hAnsi="Verdana" w:cs="Arial"/>
          <w:b/>
          <w:bCs/>
          <w:lang w:eastAsia="es-MX"/>
        </w:rPr>
        <w:t>Resoluciones 539, 540, 541, 952 y 953 de 2025</w:t>
      </w:r>
      <w:r w:rsidRPr="0037575A">
        <w:rPr>
          <w:rFonts w:ascii="Verdana" w:eastAsia="Times New Roman" w:hAnsi="Verdana" w:cs="Arial"/>
          <w:lang w:eastAsia="es-MX"/>
        </w:rPr>
        <w:t xml:space="preserve">, </w:t>
      </w:r>
      <w:r w:rsidRPr="0037575A">
        <w:rPr>
          <w:rFonts w:ascii="Verdana" w:eastAsia="Times New Roman" w:hAnsi="Verdana" w:cs="Arial"/>
          <w:b/>
          <w:bCs/>
          <w:lang w:eastAsia="es-MX"/>
        </w:rPr>
        <w:t>mediante las cuales adoptó Documentos Tipo</w:t>
      </w:r>
      <w:r w:rsidRPr="0037575A">
        <w:rPr>
          <w:rFonts w:ascii="Verdana" w:eastAsia="Times New Roman" w:hAnsi="Verdana" w:cs="Arial"/>
          <w:lang w:eastAsia="es-MX"/>
        </w:rPr>
        <w:t xml:space="preserve"> para las modalidades de selección de</w:t>
      </w:r>
      <w:r w:rsidRPr="0037575A">
        <w:rPr>
          <w:rFonts w:ascii="Verdana" w:eastAsia="Times New Roman" w:hAnsi="Verdana" w:cs="Arial"/>
          <w:b/>
          <w:bCs/>
          <w:lang w:eastAsia="es-MX"/>
        </w:rPr>
        <w:t xml:space="preserve"> licitación pública (versión 2), selección abreviada de menor cuantía, mínima cuantía, consultoría e interventoría</w:t>
      </w:r>
      <w:r w:rsidRPr="0037575A">
        <w:rPr>
          <w:rFonts w:ascii="Verdana" w:eastAsia="Times New Roman" w:hAnsi="Verdana" w:cs="Arial"/>
          <w:lang w:eastAsia="es-MX"/>
        </w:rPr>
        <w:t xml:space="preserve">, promoviendo procesos más transparentes, eficientes  competitivos y sostenibles en sectores estratégicos como educación, salud, cultura, recreación, deporte, institucional y vivienda. Consulta y descarga los documentos aquí: </w:t>
      </w:r>
      <w:hyperlink r:id="rId13" w:tgtFrame="_new" w:history="1">
        <w:r w:rsidRPr="0037575A">
          <w:rPr>
            <w:rFonts w:ascii="Verdana" w:eastAsia="Times New Roman" w:hAnsi="Verdana" w:cs="Arial"/>
            <w:color w:val="0000FF"/>
            <w:u w:val="single"/>
            <w:lang w:eastAsia="es-MX"/>
          </w:rPr>
          <w:t>https://www.colombiacompra.gov.co/normativa-y-relatoria/documentos-tipo</w:t>
        </w:r>
      </w:hyperlink>
    </w:p>
    <w:p w14:paraId="1E61CA8F" w14:textId="77777777" w:rsidR="00EA7F35" w:rsidRPr="0037575A" w:rsidRDefault="00EA7F35" w:rsidP="00EA7F35">
      <w:pPr>
        <w:spacing w:after="0" w:line="276" w:lineRule="auto"/>
        <w:jc w:val="both"/>
        <w:rPr>
          <w:rFonts w:ascii="Verdana" w:eastAsia="Times New Roman" w:hAnsi="Verdana" w:cs="Arial"/>
          <w:lang w:eastAsia="es-MX"/>
        </w:rPr>
      </w:pPr>
    </w:p>
    <w:p w14:paraId="28A495A2" w14:textId="77777777" w:rsidR="00EA7F35" w:rsidRPr="0037575A" w:rsidRDefault="00EA7F35" w:rsidP="00EA7F35">
      <w:pPr>
        <w:spacing w:after="0" w:line="276" w:lineRule="auto"/>
        <w:jc w:val="both"/>
        <w:rPr>
          <w:rFonts w:ascii="Verdana" w:eastAsia="Times New Roman" w:hAnsi="Verdana" w:cs="Arial"/>
          <w:lang w:eastAsia="es-MX"/>
        </w:rPr>
      </w:pPr>
      <w:r w:rsidRPr="0037575A">
        <w:rPr>
          <w:rFonts w:ascii="Verdana" w:eastAsia="Times New Roman" w:hAnsi="Verdana" w:cs="Arial"/>
          <w:lang w:eastAsia="es-MX"/>
        </w:rPr>
        <w:t xml:space="preserve">Si quieres conocer más sobre la aplicación de Documentos Tipo puedes consultar la última versión de la </w:t>
      </w:r>
      <w:r w:rsidRPr="0037575A">
        <w:rPr>
          <w:rFonts w:ascii="Verdana" w:eastAsia="Times New Roman" w:hAnsi="Verdana" w:cs="Arial"/>
          <w:b/>
          <w:bCs/>
          <w:lang w:eastAsia="es-MX"/>
        </w:rPr>
        <w:t>Guía para la comprensión e implementación de los Documentos Tipo de obra pública de infraestructura de transporte</w:t>
      </w:r>
      <w:r w:rsidRPr="0037575A">
        <w:rPr>
          <w:rFonts w:ascii="Verdana" w:eastAsia="Times New Roman" w:hAnsi="Verdana" w:cs="Arial"/>
          <w:lang w:eastAsia="es-MX"/>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37575A">
        <w:rPr>
          <w:rFonts w:ascii="Verdana" w:eastAsia="Times New Roman" w:hAnsi="Verdana" w:cs="Arial"/>
          <w:lang w:eastAsia="es-MX"/>
        </w:rPr>
        <w:br/>
      </w:r>
      <w:hyperlink r:id="rId14" w:tgtFrame="_new" w:history="1">
        <w:r w:rsidRPr="0037575A">
          <w:rPr>
            <w:rFonts w:ascii="Verdana" w:eastAsia="Times New Roman" w:hAnsi="Verdana" w:cs="Arial"/>
            <w:color w:val="0000FF"/>
            <w:u w:val="single"/>
            <w:lang w:eastAsia="es-MX"/>
          </w:rPr>
          <w:t>https://www.colombiacompra.gov.co/archivos/manual/guia-para-la-comprension-e-implementacion-de-los-documentos-tipo-de-obra-publica-de-infraestructura-de-transporte-bajo-las-diferentes-modalidades-de-contratacion-vigentes</w:t>
        </w:r>
      </w:hyperlink>
    </w:p>
    <w:p w14:paraId="4D0D3ED8" w14:textId="77777777" w:rsidR="00EA7F35" w:rsidRPr="0037575A" w:rsidRDefault="00EA7F35" w:rsidP="00EA7F35">
      <w:pPr>
        <w:spacing w:after="0" w:line="276" w:lineRule="auto"/>
        <w:jc w:val="both"/>
        <w:rPr>
          <w:rFonts w:ascii="Verdana" w:hAnsi="Verdana"/>
        </w:rPr>
      </w:pPr>
    </w:p>
    <w:p w14:paraId="1030B9E4" w14:textId="77777777" w:rsidR="00EA7F35" w:rsidRPr="0037575A" w:rsidRDefault="00EA7F35" w:rsidP="00EA7F35">
      <w:pPr>
        <w:spacing w:after="0" w:line="276" w:lineRule="auto"/>
        <w:jc w:val="both"/>
        <w:rPr>
          <w:rFonts w:ascii="Verdana" w:eastAsia="Calibri" w:hAnsi="Verdana" w:cs="Times New Roman"/>
        </w:rPr>
      </w:pPr>
      <w:r w:rsidRPr="0037575A">
        <w:rPr>
          <w:rFonts w:ascii="Verdana" w:hAnsi="Verdana"/>
        </w:rPr>
        <w:t xml:space="preserve">Aprovechamos la oportunidad para manifestar la entera disposición de la Agencia Nacional de Contratación Pública –Colombia Compra Eficiente– para atender las peticiones o solicitudes, así como para brindar el apoyo que se requiera en el marco de nuestras funciones a través de nuestros diferentes canales de atención: </w:t>
      </w:r>
    </w:p>
    <w:p w14:paraId="38581601" w14:textId="77777777" w:rsidR="00EA7F35" w:rsidRPr="0037575A" w:rsidRDefault="00EA7F35" w:rsidP="00EA7F35">
      <w:pPr>
        <w:pStyle w:val="Prrafodelista"/>
        <w:numPr>
          <w:ilvl w:val="0"/>
          <w:numId w:val="3"/>
        </w:numPr>
        <w:spacing w:after="0" w:line="276" w:lineRule="auto"/>
        <w:contextualSpacing w:val="0"/>
        <w:jc w:val="both"/>
        <w:rPr>
          <w:rFonts w:ascii="Verdana" w:hAnsi="Verdana"/>
        </w:rPr>
      </w:pPr>
      <w:r w:rsidRPr="0037575A">
        <w:rPr>
          <w:rFonts w:ascii="Verdana" w:hAnsi="Verdana"/>
        </w:rPr>
        <w:t>Línea nacional gratuita o servicio a la ciudadanía: 01800 0520808</w:t>
      </w:r>
    </w:p>
    <w:p w14:paraId="2650E45B" w14:textId="77777777" w:rsidR="00EA7F35" w:rsidRPr="0037575A" w:rsidRDefault="00EA7F35" w:rsidP="00EA7F35">
      <w:pPr>
        <w:pStyle w:val="Prrafodelista"/>
        <w:numPr>
          <w:ilvl w:val="0"/>
          <w:numId w:val="3"/>
        </w:numPr>
        <w:spacing w:after="0" w:line="276" w:lineRule="auto"/>
        <w:contextualSpacing w:val="0"/>
        <w:jc w:val="both"/>
        <w:rPr>
          <w:rFonts w:ascii="Verdana" w:hAnsi="Verdana"/>
        </w:rPr>
      </w:pPr>
      <w:r w:rsidRPr="0037575A">
        <w:rPr>
          <w:rFonts w:ascii="Verdana" w:hAnsi="Verdana"/>
        </w:rPr>
        <w:t>Línea en Bogotá (Mesa de servicio): +57 601 7456788</w:t>
      </w:r>
    </w:p>
    <w:p w14:paraId="08552F2F" w14:textId="77777777" w:rsidR="00EA7F35" w:rsidRPr="0037575A" w:rsidRDefault="00EA7F35" w:rsidP="00EA7F35">
      <w:pPr>
        <w:pStyle w:val="Prrafodelista"/>
        <w:numPr>
          <w:ilvl w:val="0"/>
          <w:numId w:val="3"/>
        </w:numPr>
        <w:spacing w:after="0" w:line="276" w:lineRule="auto"/>
        <w:contextualSpacing w:val="0"/>
        <w:jc w:val="both"/>
        <w:rPr>
          <w:rFonts w:ascii="Verdana" w:hAnsi="Verdana"/>
        </w:rPr>
      </w:pPr>
      <w:r w:rsidRPr="0037575A">
        <w:rPr>
          <w:rFonts w:ascii="Verdana" w:hAnsi="Verdana"/>
        </w:rPr>
        <w:t>Línea de servicio y atención al ciudadano: +57 601 7956600</w:t>
      </w:r>
    </w:p>
    <w:p w14:paraId="46FFD36C" w14:textId="77777777" w:rsidR="00EA7F35" w:rsidRPr="0037575A" w:rsidRDefault="00EA7F35" w:rsidP="00EA7F35">
      <w:pPr>
        <w:pStyle w:val="Prrafodelista"/>
        <w:numPr>
          <w:ilvl w:val="0"/>
          <w:numId w:val="3"/>
        </w:numPr>
        <w:spacing w:after="0" w:line="276" w:lineRule="auto"/>
        <w:contextualSpacing w:val="0"/>
        <w:jc w:val="both"/>
        <w:rPr>
          <w:rFonts w:ascii="Verdana" w:hAnsi="Verdana"/>
        </w:rPr>
      </w:pPr>
      <w:r w:rsidRPr="0037575A">
        <w:rPr>
          <w:rFonts w:ascii="Verdana" w:hAnsi="Verdana"/>
        </w:rPr>
        <w:t xml:space="preserve">Página web: </w:t>
      </w:r>
      <w:hyperlink r:id="rId15" w:history="1">
        <w:r w:rsidRPr="0037575A">
          <w:rPr>
            <w:rStyle w:val="Hipervnculo"/>
            <w:rFonts w:ascii="Verdana" w:hAnsi="Verdana"/>
          </w:rPr>
          <w:t>www.colombiacompra.gov.co</w:t>
        </w:r>
      </w:hyperlink>
    </w:p>
    <w:p w14:paraId="5F5EBCA9" w14:textId="77777777" w:rsidR="00EA7F35" w:rsidRPr="0037575A" w:rsidRDefault="00EA7F35" w:rsidP="00EA7F35">
      <w:pPr>
        <w:spacing w:after="0" w:line="276" w:lineRule="auto"/>
        <w:jc w:val="both"/>
        <w:rPr>
          <w:rFonts w:ascii="Verdana" w:hAnsi="Verdana"/>
        </w:rPr>
      </w:pPr>
      <w:r w:rsidRPr="0037575A">
        <w:rPr>
          <w:rFonts w:ascii="Verdana" w:hAnsi="Verdana"/>
        </w:rPr>
        <w:t xml:space="preserve">Por último, lo invitamos a seguirnos en las redes sociales en las cuales se difunde información institucional: </w:t>
      </w:r>
    </w:p>
    <w:p w14:paraId="507884D9" w14:textId="77777777" w:rsidR="00EA7F35" w:rsidRPr="0037575A" w:rsidRDefault="00EA7F35" w:rsidP="00EA7F35">
      <w:pPr>
        <w:spacing w:after="0" w:line="276" w:lineRule="auto"/>
        <w:jc w:val="both"/>
        <w:rPr>
          <w:rFonts w:ascii="Verdana" w:hAnsi="Verdana"/>
        </w:rPr>
      </w:pPr>
    </w:p>
    <w:p w14:paraId="3A8D506D" w14:textId="77777777" w:rsidR="00EA7F35" w:rsidRPr="0037575A" w:rsidRDefault="00EA7F35" w:rsidP="00EA7F35">
      <w:pPr>
        <w:spacing w:after="0" w:line="276" w:lineRule="auto"/>
        <w:jc w:val="both"/>
        <w:rPr>
          <w:rFonts w:ascii="Verdana" w:hAnsi="Verdana"/>
        </w:rPr>
      </w:pPr>
      <w:r w:rsidRPr="0037575A">
        <w:rPr>
          <w:rFonts w:ascii="Verdana" w:hAnsi="Verdana"/>
        </w:rPr>
        <w:t xml:space="preserve">Twitter: </w:t>
      </w:r>
      <w:r w:rsidRPr="0037575A">
        <w:rPr>
          <w:rStyle w:val="Hipervnculo"/>
          <w:rFonts w:ascii="Verdana" w:hAnsi="Verdana"/>
        </w:rPr>
        <w:t>@colombiacompra</w:t>
      </w:r>
      <w:r w:rsidRPr="0037575A">
        <w:rPr>
          <w:rFonts w:ascii="Verdana" w:hAnsi="Verdana"/>
        </w:rPr>
        <w:t xml:space="preserve"> </w:t>
      </w:r>
    </w:p>
    <w:p w14:paraId="5A532609" w14:textId="77777777" w:rsidR="00EA7F35" w:rsidRPr="0037575A" w:rsidRDefault="00EA7F35" w:rsidP="00EA7F35">
      <w:pPr>
        <w:spacing w:after="0" w:line="276" w:lineRule="auto"/>
        <w:jc w:val="both"/>
        <w:rPr>
          <w:rFonts w:ascii="Verdana" w:hAnsi="Verdana"/>
        </w:rPr>
      </w:pPr>
      <w:r w:rsidRPr="0037575A">
        <w:rPr>
          <w:rFonts w:ascii="Verdana" w:hAnsi="Verdana"/>
        </w:rPr>
        <w:t xml:space="preserve">Facebook: </w:t>
      </w:r>
      <w:proofErr w:type="spellStart"/>
      <w:r w:rsidRPr="0037575A">
        <w:rPr>
          <w:rStyle w:val="Hipervnculo"/>
          <w:rFonts w:ascii="Verdana" w:hAnsi="Verdana"/>
        </w:rPr>
        <w:t>ColombiaCompraEficiente</w:t>
      </w:r>
      <w:proofErr w:type="spellEnd"/>
    </w:p>
    <w:p w14:paraId="42E70933" w14:textId="77777777" w:rsidR="00EA7F35" w:rsidRPr="0037575A" w:rsidRDefault="00EA7F35" w:rsidP="00EA7F35">
      <w:pPr>
        <w:spacing w:after="0" w:line="276" w:lineRule="auto"/>
        <w:jc w:val="both"/>
        <w:rPr>
          <w:rFonts w:ascii="Verdana" w:hAnsi="Verdana"/>
        </w:rPr>
      </w:pPr>
      <w:r w:rsidRPr="0037575A">
        <w:rPr>
          <w:rFonts w:ascii="Verdana" w:hAnsi="Verdana"/>
        </w:rPr>
        <w:t xml:space="preserve">LinkedIn: </w:t>
      </w:r>
      <w:r w:rsidRPr="0037575A">
        <w:rPr>
          <w:rStyle w:val="Hipervnculo"/>
          <w:rFonts w:ascii="Verdana" w:hAnsi="Verdana"/>
        </w:rPr>
        <w:t>Agencia Nacional de Contratación Pública - Colombia Compra Eficiente</w:t>
      </w:r>
      <w:r w:rsidRPr="0037575A">
        <w:rPr>
          <w:rFonts w:ascii="Verdana" w:hAnsi="Verdana"/>
        </w:rPr>
        <w:t xml:space="preserve"> Instagram: </w:t>
      </w:r>
      <w:r w:rsidRPr="0037575A">
        <w:rPr>
          <w:rStyle w:val="Hipervnculo"/>
          <w:rFonts w:ascii="Verdana" w:hAnsi="Verdana"/>
        </w:rPr>
        <w:t>@colombiacompraeficiente_cce</w:t>
      </w:r>
    </w:p>
    <w:p w14:paraId="3458D2E1" w14:textId="77777777" w:rsidR="00EA7F35" w:rsidRPr="0037575A" w:rsidRDefault="00EA7F35" w:rsidP="00EA7F35">
      <w:pPr>
        <w:spacing w:after="0" w:line="276" w:lineRule="auto"/>
        <w:jc w:val="both"/>
        <w:rPr>
          <w:rFonts w:ascii="Verdana" w:hAnsi="Verdana"/>
        </w:rPr>
      </w:pPr>
    </w:p>
    <w:p w14:paraId="4E9EC40D" w14:textId="77777777" w:rsidR="00EA7F35" w:rsidRPr="0037575A" w:rsidRDefault="00EA7F35" w:rsidP="00EA7F35">
      <w:pPr>
        <w:spacing w:after="0" w:line="276" w:lineRule="auto"/>
        <w:jc w:val="both"/>
        <w:rPr>
          <w:rFonts w:ascii="Verdana" w:hAnsi="Verdana"/>
        </w:rPr>
      </w:pPr>
      <w:r w:rsidRPr="0037575A">
        <w:rPr>
          <w:rFonts w:ascii="Verdana" w:hAnsi="Verdana"/>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3BD3F70C" w14:textId="77777777" w:rsidR="00EA7F35" w:rsidRPr="0037575A" w:rsidRDefault="00EA7F35" w:rsidP="00EA7F35">
      <w:pPr>
        <w:spacing w:after="0" w:line="276" w:lineRule="auto"/>
        <w:jc w:val="both"/>
        <w:rPr>
          <w:rFonts w:ascii="Verdana" w:eastAsia="Calibri" w:hAnsi="Verdana" w:cs="Times New Roman"/>
        </w:rPr>
      </w:pPr>
    </w:p>
    <w:p w14:paraId="782F0932" w14:textId="609BA122" w:rsidR="00EA7F35" w:rsidRPr="000C04A5" w:rsidRDefault="00EA7F35" w:rsidP="000C04A5">
      <w:pPr>
        <w:spacing w:after="0" w:line="276" w:lineRule="auto"/>
        <w:jc w:val="both"/>
        <w:rPr>
          <w:noProof/>
        </w:rPr>
      </w:pPr>
      <w:r w:rsidRPr="0037575A">
        <w:rPr>
          <w:rFonts w:ascii="Verdana" w:eastAsia="Calibri" w:hAnsi="Verdana" w:cs="Times New Roman"/>
        </w:rPr>
        <w:t>Atentamente,</w:t>
      </w:r>
      <w:bookmarkEnd w:id="0"/>
      <w:bookmarkEnd w:id="1"/>
    </w:p>
    <w:p w14:paraId="3F80C2B1" w14:textId="03A9EF70" w:rsidR="00EA7F35" w:rsidRDefault="000C04A5" w:rsidP="000C04A5">
      <w:pPr>
        <w:spacing w:after="0"/>
        <w:jc w:val="center"/>
        <w:rPr>
          <w:rFonts w:ascii="Verdana" w:hAnsi="Verdana"/>
        </w:rPr>
      </w:pPr>
      <w:r w:rsidRPr="002C3AD6">
        <w:rPr>
          <w:rFonts w:ascii="Century Gothic" w:hAnsi="Century Gothic"/>
          <w:noProof/>
        </w:rPr>
        <w:drawing>
          <wp:inline distT="0" distB="0" distL="0" distR="0" wp14:anchorId="295340DB" wp14:editId="79EBC8A1">
            <wp:extent cx="3772426" cy="1400370"/>
            <wp:effectExtent l="0" t="0" r="0" b="9525"/>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6"/>
                    <a:stretch>
                      <a:fillRect/>
                    </a:stretch>
                  </pic:blipFill>
                  <pic:spPr>
                    <a:xfrm>
                      <a:off x="0" y="0"/>
                      <a:ext cx="3772426" cy="1400370"/>
                    </a:xfrm>
                    <a:prstGeom prst="rect">
                      <a:avLst/>
                    </a:prstGeom>
                  </pic:spPr>
                </pic:pic>
              </a:graphicData>
            </a:graphic>
          </wp:inline>
        </w:drawing>
      </w:r>
    </w:p>
    <w:p w14:paraId="49B9E022" w14:textId="77777777" w:rsidR="00EA7F35" w:rsidRDefault="00EA7F35" w:rsidP="00EA7F35">
      <w:pPr>
        <w:spacing w:after="0"/>
        <w:rPr>
          <w:rFonts w:ascii="Verdana" w:hAnsi="Verdana"/>
        </w:rPr>
      </w:pPr>
    </w:p>
    <w:p w14:paraId="7AD85E67" w14:textId="77777777" w:rsidR="00EA7F35" w:rsidRDefault="00EA7F35" w:rsidP="00EA7F35">
      <w:pPr>
        <w:spacing w:after="0"/>
        <w:rPr>
          <w:rFonts w:ascii="Verdana" w:hAnsi="Verdana"/>
        </w:rPr>
      </w:pPr>
    </w:p>
    <w:p w14:paraId="59AA7E64" w14:textId="77777777" w:rsidR="00EA7F35" w:rsidRDefault="00EA7F35" w:rsidP="00EA7F35">
      <w:pPr>
        <w:spacing w:after="0"/>
        <w:rPr>
          <w:rFonts w:ascii="Verdana" w:hAnsi="Verdana"/>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EA7F35" w:rsidRPr="002423D6" w14:paraId="5EB2F252" w14:textId="77777777" w:rsidTr="00610124">
        <w:trPr>
          <w:trHeight w:val="315"/>
        </w:trPr>
        <w:tc>
          <w:tcPr>
            <w:tcW w:w="893" w:type="dxa"/>
            <w:vAlign w:val="center"/>
            <w:hideMark/>
          </w:tcPr>
          <w:p w14:paraId="7CBFAE99" w14:textId="77777777" w:rsidR="00EA7F35" w:rsidRPr="002423D6" w:rsidRDefault="00EA7F35" w:rsidP="00610124">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609A0F7A" w14:textId="77777777" w:rsidR="00EA7F35" w:rsidRPr="002423D6" w:rsidRDefault="00EA7F35" w:rsidP="00610124">
            <w:pPr>
              <w:contextualSpacing/>
              <w:rPr>
                <w:rFonts w:ascii="Verdana" w:eastAsia="Arial" w:hAnsi="Verdana" w:cs="Arial"/>
                <w:color w:val="000000" w:themeColor="text1"/>
                <w:sz w:val="16"/>
                <w:szCs w:val="16"/>
              </w:rPr>
            </w:pPr>
            <w:r w:rsidRPr="002423D6">
              <w:rPr>
                <w:rFonts w:ascii="Verdana" w:eastAsia="Arial" w:hAnsi="Verdana" w:cs="Arial"/>
                <w:color w:val="000000" w:themeColor="text1"/>
                <w:sz w:val="16"/>
                <w:szCs w:val="16"/>
              </w:rPr>
              <w:t>An</w:t>
            </w:r>
            <w:r>
              <w:rPr>
                <w:rFonts w:ascii="Verdana" w:eastAsia="Arial" w:hAnsi="Verdana" w:cs="Arial"/>
                <w:color w:val="000000" w:themeColor="text1"/>
                <w:sz w:val="16"/>
                <w:szCs w:val="16"/>
              </w:rPr>
              <w:t>dreina Cerpa Muñoz</w:t>
            </w:r>
          </w:p>
          <w:p w14:paraId="1150AABE" w14:textId="77777777" w:rsidR="00EA7F35" w:rsidRPr="002423D6" w:rsidRDefault="00EA7F35" w:rsidP="00610124">
            <w:pPr>
              <w:contextualSpacing/>
              <w:rPr>
                <w:rFonts w:ascii="Verdana" w:eastAsia="Arial" w:hAnsi="Verdana" w:cs="Arial"/>
                <w:color w:val="000000" w:themeColor="text1"/>
                <w:sz w:val="16"/>
                <w:szCs w:val="16"/>
              </w:rPr>
            </w:pPr>
            <w:r w:rsidRPr="002423D6">
              <w:rPr>
                <w:rStyle w:val="normaltextrun"/>
                <w:rFonts w:ascii="Verdana" w:eastAsia="Arial" w:hAnsi="Verdana" w:cs="Arial"/>
                <w:color w:val="000000" w:themeColor="text1"/>
                <w:sz w:val="16"/>
                <w:szCs w:val="16"/>
              </w:rPr>
              <w:t>Analista T2-02 de la Subdirección de Gestión Contractual</w:t>
            </w:r>
          </w:p>
        </w:tc>
      </w:tr>
      <w:tr w:rsidR="00EA7F35" w:rsidRPr="002423D6" w14:paraId="50696D04" w14:textId="77777777" w:rsidTr="00610124">
        <w:trPr>
          <w:trHeight w:val="330"/>
        </w:trPr>
        <w:tc>
          <w:tcPr>
            <w:tcW w:w="893" w:type="dxa"/>
            <w:vAlign w:val="center"/>
            <w:hideMark/>
          </w:tcPr>
          <w:p w14:paraId="12070F94" w14:textId="77777777" w:rsidR="00EA7F35" w:rsidRPr="002423D6" w:rsidRDefault="00EA7F35" w:rsidP="00610124">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33ED67CC" w14:textId="77777777" w:rsidR="00EA7F35" w:rsidRPr="00A11861" w:rsidRDefault="00EA7F35" w:rsidP="00610124">
            <w:pPr>
              <w:contextualSpacing/>
              <w:rPr>
                <w:rFonts w:ascii="Verdana" w:eastAsia="Arial" w:hAnsi="Verdana" w:cs="Arial"/>
                <w:color w:val="000000" w:themeColor="text1"/>
                <w:sz w:val="16"/>
                <w:szCs w:val="16"/>
              </w:rPr>
            </w:pPr>
            <w:r>
              <w:rPr>
                <w:rFonts w:ascii="Verdana" w:eastAsia="Arial" w:hAnsi="Verdana" w:cs="Arial"/>
                <w:color w:val="000000" w:themeColor="text1"/>
                <w:sz w:val="16"/>
                <w:szCs w:val="16"/>
              </w:rPr>
              <w:t xml:space="preserve">Diana Lucía Saavedra </w:t>
            </w:r>
          </w:p>
          <w:p w14:paraId="35B3DE71" w14:textId="77777777" w:rsidR="00EA7F35" w:rsidRPr="002423D6" w:rsidRDefault="00EA7F35" w:rsidP="00610124">
            <w:pPr>
              <w:pStyle w:val="paragraph"/>
              <w:spacing w:before="0" w:beforeAutospacing="0" w:after="0" w:afterAutospacing="0"/>
              <w:contextualSpacing/>
              <w:textAlignment w:val="baseline"/>
              <w:rPr>
                <w:rFonts w:ascii="Verdana" w:hAnsi="Verdana" w:cs="Segoe UI"/>
                <w:color w:val="000000" w:themeColor="text1"/>
                <w:sz w:val="16"/>
                <w:szCs w:val="16"/>
              </w:rPr>
            </w:pPr>
            <w:r w:rsidRPr="002423D6">
              <w:rPr>
                <w:rStyle w:val="normaltextrun"/>
                <w:rFonts w:ascii="Verdana" w:hAnsi="Verdana" w:cs="Arial"/>
                <w:color w:val="000000" w:themeColor="text1"/>
                <w:sz w:val="16"/>
                <w:szCs w:val="16"/>
                <w:lang w:val="es-ES"/>
              </w:rPr>
              <w:t>Contratista de la Subdirección de Gestión Contractual</w:t>
            </w:r>
            <w:r w:rsidRPr="002423D6">
              <w:rPr>
                <w:rStyle w:val="eop"/>
                <w:rFonts w:ascii="Verdana" w:hAnsi="Verdana" w:cs="Arial"/>
                <w:color w:val="000000" w:themeColor="text1"/>
                <w:sz w:val="16"/>
                <w:szCs w:val="16"/>
              </w:rPr>
              <w:t> </w:t>
            </w:r>
          </w:p>
        </w:tc>
      </w:tr>
      <w:tr w:rsidR="00EA7F35" w:rsidRPr="002423D6" w14:paraId="3AD08A9D" w14:textId="77777777" w:rsidTr="00610124">
        <w:trPr>
          <w:trHeight w:val="300"/>
        </w:trPr>
        <w:tc>
          <w:tcPr>
            <w:tcW w:w="893" w:type="dxa"/>
            <w:vAlign w:val="center"/>
          </w:tcPr>
          <w:p w14:paraId="778815BB" w14:textId="77777777" w:rsidR="00EA7F35" w:rsidRPr="002423D6" w:rsidRDefault="00EA7F35" w:rsidP="00610124">
            <w:pPr>
              <w:contextualSpacing/>
              <w:rPr>
                <w:rFonts w:ascii="Verdana" w:hAnsi="Verdana" w:cs="Arial"/>
                <w:color w:val="000000" w:themeColor="text1"/>
                <w:sz w:val="16"/>
                <w:szCs w:val="16"/>
                <w:lang w:val="es-ES" w:eastAsia="es-ES"/>
              </w:rPr>
            </w:pPr>
            <w:r w:rsidRPr="002423D6">
              <w:rPr>
                <w:rFonts w:ascii="Verdana" w:hAnsi="Verdana" w:cs="Arial"/>
                <w:color w:val="000000" w:themeColor="text1"/>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3AB69AA0" w14:textId="77777777" w:rsidR="00EA7F35" w:rsidRPr="002423D6" w:rsidRDefault="00EA7F35" w:rsidP="00610124">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val="pt-BR" w:eastAsia="es-ES"/>
              </w:rPr>
              <w:t xml:space="preserve">Carolina Quintero </w:t>
            </w:r>
            <w:proofErr w:type="spellStart"/>
            <w:r w:rsidRPr="002423D6">
              <w:rPr>
                <w:rFonts w:ascii="Verdana" w:eastAsia="Calibri" w:hAnsi="Verdana" w:cs="Arial"/>
                <w:color w:val="000000" w:themeColor="text1"/>
                <w:sz w:val="16"/>
                <w:szCs w:val="16"/>
                <w:lang w:val="pt-BR" w:eastAsia="es-ES"/>
              </w:rPr>
              <w:t>Gacharná</w:t>
            </w:r>
            <w:proofErr w:type="spellEnd"/>
          </w:p>
          <w:p w14:paraId="0A56B0FD" w14:textId="77777777" w:rsidR="00EA7F35" w:rsidRPr="002423D6" w:rsidRDefault="00EA7F35" w:rsidP="00610124">
            <w:pPr>
              <w:contextualSpacing/>
              <w:rPr>
                <w:rFonts w:ascii="Verdana" w:eastAsia="Calibri" w:hAnsi="Verdana" w:cs="Arial"/>
                <w:color w:val="000000" w:themeColor="text1"/>
                <w:sz w:val="16"/>
                <w:szCs w:val="16"/>
                <w:lang w:val="pt-BR" w:eastAsia="es-ES"/>
              </w:rPr>
            </w:pPr>
            <w:r w:rsidRPr="002423D6">
              <w:rPr>
                <w:rFonts w:ascii="Verdana" w:eastAsia="Calibri" w:hAnsi="Verdana" w:cs="Arial"/>
                <w:color w:val="000000" w:themeColor="text1"/>
                <w:sz w:val="16"/>
                <w:szCs w:val="16"/>
                <w:lang w:eastAsia="es-ES"/>
              </w:rPr>
              <w:t>Subdirectora</w:t>
            </w:r>
            <w:r w:rsidRPr="002423D6">
              <w:rPr>
                <w:rFonts w:ascii="Verdana" w:eastAsia="Calibri" w:hAnsi="Verdana" w:cs="Arial"/>
                <w:color w:val="000000" w:themeColor="text1"/>
                <w:sz w:val="16"/>
                <w:szCs w:val="16"/>
                <w:lang w:val="pt-BR" w:eastAsia="es-ES"/>
              </w:rPr>
              <w:t xml:space="preserve"> de Gestión </w:t>
            </w:r>
            <w:proofErr w:type="spellStart"/>
            <w:r w:rsidRPr="002423D6">
              <w:rPr>
                <w:rFonts w:ascii="Verdana" w:eastAsia="Calibri" w:hAnsi="Verdana" w:cs="Arial"/>
                <w:color w:val="000000" w:themeColor="text1"/>
                <w:sz w:val="16"/>
                <w:szCs w:val="16"/>
                <w:lang w:val="pt-BR" w:eastAsia="es-ES"/>
              </w:rPr>
              <w:t>Contractual</w:t>
            </w:r>
            <w:proofErr w:type="spellEnd"/>
            <w:r w:rsidRPr="002423D6">
              <w:rPr>
                <w:rFonts w:ascii="Verdana" w:eastAsia="Calibri" w:hAnsi="Verdana" w:cs="Arial"/>
                <w:color w:val="000000" w:themeColor="text1"/>
                <w:sz w:val="16"/>
                <w:szCs w:val="16"/>
                <w:lang w:val="pt-BR" w:eastAsia="es-ES"/>
              </w:rPr>
              <w:t xml:space="preserve"> ANCP – CCE</w:t>
            </w:r>
          </w:p>
        </w:tc>
      </w:tr>
    </w:tbl>
    <w:p w14:paraId="6D62856B" w14:textId="77777777" w:rsidR="00EA7F35" w:rsidRDefault="00EA7F35" w:rsidP="00EA7F35"/>
    <w:p w14:paraId="77A558A6" w14:textId="152C3B48" w:rsidR="00EA7F35" w:rsidRPr="00235A08" w:rsidRDefault="00EA7F35" w:rsidP="00EA7F35"/>
    <w:p w14:paraId="395ED6D0" w14:textId="25540FF4" w:rsidR="000F5A42" w:rsidRPr="00EA7F35" w:rsidRDefault="000F5A42" w:rsidP="00EA7F35"/>
    <w:sectPr w:rsidR="000F5A42" w:rsidRPr="00EA7F35" w:rsidSect="00734434">
      <w:headerReference w:type="default" r:id="rId17"/>
      <w:footerReference w:type="default" r:id="rId18"/>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94C2D" w14:textId="77777777" w:rsidR="00666BB9" w:rsidRDefault="00666BB9">
      <w:pPr>
        <w:spacing w:after="0" w:line="240" w:lineRule="auto"/>
      </w:pPr>
      <w:r>
        <w:separator/>
      </w:r>
    </w:p>
  </w:endnote>
  <w:endnote w:type="continuationSeparator" w:id="0">
    <w:p w14:paraId="072C30BD" w14:textId="77777777" w:rsidR="00666BB9" w:rsidRDefault="00666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F789" w14:textId="77777777" w:rsidR="00734434" w:rsidRDefault="00734434">
    <w:pPr>
      <w:spacing w:after="0"/>
      <w:rPr>
        <w:rFonts w:ascii="Verdana" w:hAnsi="Verdana"/>
        <w:b/>
        <w:bCs/>
        <w:sz w:val="20"/>
        <w:szCs w:val="20"/>
      </w:rPr>
    </w:pPr>
  </w:p>
  <w:p w14:paraId="6D532A9E" w14:textId="77777777" w:rsidR="00734434" w:rsidRPr="00174B77" w:rsidRDefault="00734434">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2A96E650" w14:textId="77777777" w:rsidR="00734434" w:rsidRDefault="00734434">
    <w:pPr>
      <w:spacing w:after="0"/>
      <w:jc w:val="both"/>
      <w:rPr>
        <w:rFonts w:ascii="Verdana" w:hAnsi="Verdana"/>
        <w:sz w:val="18"/>
        <w:szCs w:val="18"/>
      </w:rPr>
    </w:pPr>
    <w:r w:rsidRPr="00E41027">
      <w:rPr>
        <w:rFonts w:ascii="Verdana" w:hAnsi="Verdana"/>
        <w:sz w:val="18"/>
        <w:szCs w:val="18"/>
      </w:rPr>
      <w:t>Dirección: Carrera 7 # 26 – 20 - Bogotá, Colombia</w:t>
    </w:r>
  </w:p>
  <w:p w14:paraId="7A0E48BA" w14:textId="77777777" w:rsidR="00734434" w:rsidRPr="00E41027" w:rsidRDefault="00734434">
    <w:pPr>
      <w:spacing w:after="0"/>
      <w:jc w:val="both"/>
      <w:rPr>
        <w:rFonts w:ascii="Verdana" w:hAnsi="Verdana"/>
        <w:sz w:val="18"/>
        <w:szCs w:val="18"/>
      </w:rPr>
    </w:pPr>
    <w:r w:rsidRPr="00E41027">
      <w:rPr>
        <w:rFonts w:ascii="Verdana" w:hAnsi="Verdana"/>
        <w:sz w:val="18"/>
        <w:szCs w:val="18"/>
      </w:rPr>
      <w:t>Mesa de servicio: (+57) 601 7456788</w:t>
    </w:r>
  </w:p>
  <w:p w14:paraId="1108F438" w14:textId="77777777" w:rsidR="00734434" w:rsidRDefault="00734434">
    <w:pPr>
      <w:pStyle w:val="Piedepgina"/>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Pr>
        <w:rFonts w:ascii="Century Gothic" w:hAnsi="Century Gothic"/>
        <w:sz w:val="18"/>
        <w:szCs w:val="18"/>
      </w:rPr>
      <w:t>Código: CCE-DES-FM-17 Versión: 4</w:t>
    </w:r>
    <w:r w:rsidRPr="0086556C">
      <w:rPr>
        <w:rFonts w:ascii="Century Gothic" w:hAnsi="Century Gothic"/>
        <w:sz w:val="18"/>
        <w:szCs w:val="18"/>
      </w:rPr>
      <w:t xml:space="preserve"> </w:t>
    </w:r>
    <w:r>
      <w:rPr>
        <w:rFonts w:ascii="Century Gothic" w:hAnsi="Century Gothic"/>
        <w:sz w:val="18"/>
        <w:szCs w:val="18"/>
      </w:rPr>
      <w:t>Fecha: 13-12-2023</w:t>
    </w:r>
  </w:p>
  <w:p w14:paraId="1F8DCA82" w14:textId="77777777" w:rsidR="00734434" w:rsidRPr="007D04B2" w:rsidRDefault="00734434">
    <w:pPr>
      <w:pStyle w:val="Piedepgina"/>
    </w:pPr>
  </w:p>
  <w:p w14:paraId="1D9E9F9E" w14:textId="77777777" w:rsidR="00734434" w:rsidRPr="000849D5" w:rsidRDefault="007344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17F2F" w14:textId="77777777" w:rsidR="00666BB9" w:rsidRDefault="00666BB9">
      <w:pPr>
        <w:spacing w:after="0" w:line="240" w:lineRule="auto"/>
      </w:pPr>
      <w:r>
        <w:separator/>
      </w:r>
    </w:p>
  </w:footnote>
  <w:footnote w:type="continuationSeparator" w:id="0">
    <w:p w14:paraId="51B8A6E2" w14:textId="77777777" w:rsidR="00666BB9" w:rsidRDefault="00666BB9">
      <w:pPr>
        <w:spacing w:after="0" w:line="240" w:lineRule="auto"/>
      </w:pPr>
      <w:r>
        <w:continuationSeparator/>
      </w:r>
    </w:p>
  </w:footnote>
  <w:footnote w:id="1">
    <w:p w14:paraId="3F35A593" w14:textId="77777777" w:rsidR="00EA7F35" w:rsidRPr="00415B3A" w:rsidRDefault="00EA7F35" w:rsidP="00EA7F35">
      <w:pPr>
        <w:pStyle w:val="Textonotapie"/>
        <w:jc w:val="both"/>
        <w:rPr>
          <w:rFonts w:ascii="Verdana" w:hAnsi="Verdana" w:cs="Arial"/>
          <w:color w:val="000000" w:themeColor="text1"/>
          <w:sz w:val="14"/>
          <w:szCs w:val="14"/>
        </w:rPr>
      </w:pPr>
    </w:p>
    <w:p w14:paraId="081DD88A" w14:textId="77777777" w:rsidR="00EA7F35" w:rsidRPr="00415B3A" w:rsidRDefault="00EA7F35" w:rsidP="00EA7F35">
      <w:pPr>
        <w:pStyle w:val="Textonotapie"/>
        <w:ind w:firstLine="708"/>
        <w:jc w:val="both"/>
        <w:rPr>
          <w:rFonts w:ascii="Verdana" w:hAnsi="Verdana" w:cs="Arial"/>
          <w:color w:val="000000" w:themeColor="text1"/>
          <w:sz w:val="14"/>
          <w:szCs w:val="14"/>
        </w:rPr>
      </w:pPr>
      <w:r w:rsidRPr="00415B3A">
        <w:rPr>
          <w:rStyle w:val="Refdenotaalpie"/>
          <w:rFonts w:ascii="Verdana" w:hAnsi="Verdana" w:cs="Arial"/>
          <w:color w:val="000000" w:themeColor="text1"/>
          <w:sz w:val="14"/>
          <w:szCs w:val="14"/>
        </w:rPr>
        <w:footnoteRef/>
      </w:r>
      <w:r w:rsidRPr="00415B3A">
        <w:rPr>
          <w:rFonts w:ascii="Verdana" w:hAnsi="Verdana" w:cs="Arial"/>
          <w:color w:val="000000" w:themeColor="text1"/>
          <w:sz w:val="14"/>
          <w:szCs w:val="14"/>
        </w:rPr>
        <w:t>Ley 1150 de 2007. Artículo 12 modificado por el artículo 34 de la Ley 2069 de 2020. “Parágrafo 1°: En los procesos de selección que se desarrollen con base en el primer inciso, las entidades podrán realizar las convocatorias limitadas que beneficien a las Mipymes del ámbito municipal o departamental correspondiente al de la ejecución del contrato”.</w:t>
      </w:r>
    </w:p>
    <w:p w14:paraId="7C08DB54" w14:textId="77777777" w:rsidR="00EA7F35" w:rsidRPr="00415B3A" w:rsidRDefault="00EA7F35" w:rsidP="00EA7F35">
      <w:pPr>
        <w:pStyle w:val="Textonotapie"/>
        <w:ind w:firstLine="708"/>
        <w:jc w:val="both"/>
        <w:rPr>
          <w:rFonts w:ascii="Verdana" w:hAnsi="Verdana" w:cs="Arial"/>
          <w:color w:val="000000" w:themeColor="text1"/>
          <w:sz w:val="14"/>
          <w:szCs w:val="1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0533" w14:textId="77777777" w:rsidR="00734434" w:rsidRDefault="00734434">
    <w:pPr>
      <w:pStyle w:val="Encabezado"/>
    </w:pPr>
    <w:r>
      <w:rPr>
        <w:rFonts w:ascii="Geomanist Bold" w:hAnsi="Geomanist Bold"/>
        <w:b/>
        <w:bCs/>
        <w:noProof/>
        <w:color w:val="002060"/>
        <w:sz w:val="24"/>
        <w:szCs w:val="24"/>
      </w:rPr>
      <w:drawing>
        <wp:anchor distT="0" distB="0" distL="114300" distR="114300" simplePos="0" relativeHeight="251660288" behindDoc="1" locked="0" layoutInCell="1" allowOverlap="1" wp14:anchorId="58EE4F11" wp14:editId="495C1891">
          <wp:simplePos x="0" y="0"/>
          <wp:positionH relativeFrom="margin">
            <wp:align>center</wp:align>
          </wp:positionH>
          <wp:positionV relativeFrom="paragraph">
            <wp:posOffset>-325755</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6D2740E6" wp14:editId="15F1A9A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descr="Imagen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49914" name="Imagen 962149914" descr="Imagen en blanco y negro&#10;&#10;Descripción generada automáticamente con confianza media"/>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4C8C78E0" w14:textId="77777777" w:rsidR="00734434" w:rsidRDefault="00734434">
    <w:pPr>
      <w:pStyle w:val="Encabezado"/>
    </w:pPr>
  </w:p>
  <w:p w14:paraId="44061340" w14:textId="77777777" w:rsidR="00734434" w:rsidRDefault="00734434">
    <w:pPr>
      <w:pStyle w:val="Encabezado"/>
    </w:pPr>
  </w:p>
  <w:p w14:paraId="381D4AFA" w14:textId="77777777" w:rsidR="00734434" w:rsidRPr="00515FB5" w:rsidRDefault="0073443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11.1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41274352">
    <w:abstractNumId w:val="0"/>
  </w:num>
  <w:num w:numId="2" w16cid:durableId="679089576">
    <w:abstractNumId w:val="1"/>
  </w:num>
  <w:num w:numId="3" w16cid:durableId="390349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434"/>
    <w:rsid w:val="00035938"/>
    <w:rsid w:val="0004750F"/>
    <w:rsid w:val="00093339"/>
    <w:rsid w:val="000C04A5"/>
    <w:rsid w:val="000C5F0D"/>
    <w:rsid w:val="000E4F23"/>
    <w:rsid w:val="000F5A42"/>
    <w:rsid w:val="00123D2C"/>
    <w:rsid w:val="001C2105"/>
    <w:rsid w:val="003220CB"/>
    <w:rsid w:val="00337867"/>
    <w:rsid w:val="003561FE"/>
    <w:rsid w:val="00370D15"/>
    <w:rsid w:val="003842D7"/>
    <w:rsid w:val="003C0F1A"/>
    <w:rsid w:val="00417FE9"/>
    <w:rsid w:val="00494E8C"/>
    <w:rsid w:val="00530BFE"/>
    <w:rsid w:val="005662E0"/>
    <w:rsid w:val="00570377"/>
    <w:rsid w:val="00582D7D"/>
    <w:rsid w:val="00666BB9"/>
    <w:rsid w:val="006778D5"/>
    <w:rsid w:val="00680679"/>
    <w:rsid w:val="006A4548"/>
    <w:rsid w:val="006E7439"/>
    <w:rsid w:val="00734434"/>
    <w:rsid w:val="007B4999"/>
    <w:rsid w:val="007F5D95"/>
    <w:rsid w:val="008C2D33"/>
    <w:rsid w:val="008D6B20"/>
    <w:rsid w:val="00905EFE"/>
    <w:rsid w:val="00913D3E"/>
    <w:rsid w:val="009478CD"/>
    <w:rsid w:val="00956636"/>
    <w:rsid w:val="00972CF0"/>
    <w:rsid w:val="009D745C"/>
    <w:rsid w:val="00A12218"/>
    <w:rsid w:val="00A1737C"/>
    <w:rsid w:val="00A617ED"/>
    <w:rsid w:val="00A90678"/>
    <w:rsid w:val="00AC4E1F"/>
    <w:rsid w:val="00AD7D0A"/>
    <w:rsid w:val="00B24558"/>
    <w:rsid w:val="00B743FC"/>
    <w:rsid w:val="00B82A71"/>
    <w:rsid w:val="00BA1A63"/>
    <w:rsid w:val="00BB2979"/>
    <w:rsid w:val="00BB715C"/>
    <w:rsid w:val="00BB7BFA"/>
    <w:rsid w:val="00BE35B1"/>
    <w:rsid w:val="00BF6F4F"/>
    <w:rsid w:val="00C265FB"/>
    <w:rsid w:val="00C619BA"/>
    <w:rsid w:val="00C629C6"/>
    <w:rsid w:val="00C74BD7"/>
    <w:rsid w:val="00CA7D4F"/>
    <w:rsid w:val="00D73BB2"/>
    <w:rsid w:val="00DD0436"/>
    <w:rsid w:val="00E83E01"/>
    <w:rsid w:val="00E93CDA"/>
    <w:rsid w:val="00EA6745"/>
    <w:rsid w:val="00EA7F35"/>
    <w:rsid w:val="00EB7F60"/>
    <w:rsid w:val="00FB2B31"/>
    <w:rsid w:val="00FB66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DE1CB"/>
  <w15:chartTrackingRefBased/>
  <w15:docId w15:val="{15432E80-0AD9-4DE2-9E3C-E4873FAC7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439"/>
    <w:rPr>
      <w:kern w:val="0"/>
      <w14:ligatures w14:val="none"/>
    </w:rPr>
  </w:style>
  <w:style w:type="paragraph" w:styleId="Ttulo1">
    <w:name w:val="heading 1"/>
    <w:basedOn w:val="Normal"/>
    <w:next w:val="Normal"/>
    <w:link w:val="Ttulo1Car"/>
    <w:uiPriority w:val="9"/>
    <w:qFormat/>
    <w:rsid w:val="00734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34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3443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443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443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443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443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443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443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443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3443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3443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3443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3443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3443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3443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3443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34434"/>
    <w:rPr>
      <w:rFonts w:eastAsiaTheme="majorEastAsia" w:cstheme="majorBidi"/>
      <w:color w:val="272727" w:themeColor="text1" w:themeTint="D8"/>
    </w:rPr>
  </w:style>
  <w:style w:type="paragraph" w:styleId="Ttulo">
    <w:name w:val="Title"/>
    <w:basedOn w:val="Normal"/>
    <w:next w:val="Normal"/>
    <w:link w:val="TtuloCar"/>
    <w:uiPriority w:val="10"/>
    <w:qFormat/>
    <w:rsid w:val="00734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443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3443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443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34434"/>
    <w:pPr>
      <w:spacing w:before="160"/>
      <w:jc w:val="center"/>
    </w:pPr>
    <w:rPr>
      <w:i/>
      <w:iCs/>
      <w:color w:val="404040" w:themeColor="text1" w:themeTint="BF"/>
    </w:rPr>
  </w:style>
  <w:style w:type="character" w:customStyle="1" w:styleId="CitaCar">
    <w:name w:val="Cita Car"/>
    <w:basedOn w:val="Fuentedeprrafopredeter"/>
    <w:link w:val="Cita"/>
    <w:uiPriority w:val="29"/>
    <w:rsid w:val="00734434"/>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734434"/>
    <w:pPr>
      <w:ind w:left="720"/>
      <w:contextualSpacing/>
    </w:pPr>
  </w:style>
  <w:style w:type="character" w:styleId="nfasisintenso">
    <w:name w:val="Intense Emphasis"/>
    <w:basedOn w:val="Fuentedeprrafopredeter"/>
    <w:uiPriority w:val="21"/>
    <w:qFormat/>
    <w:rsid w:val="00734434"/>
    <w:rPr>
      <w:i/>
      <w:iCs/>
      <w:color w:val="0F4761" w:themeColor="accent1" w:themeShade="BF"/>
    </w:rPr>
  </w:style>
  <w:style w:type="paragraph" w:styleId="Citadestacada">
    <w:name w:val="Intense Quote"/>
    <w:basedOn w:val="Normal"/>
    <w:next w:val="Normal"/>
    <w:link w:val="CitadestacadaCar"/>
    <w:uiPriority w:val="30"/>
    <w:qFormat/>
    <w:rsid w:val="00734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4434"/>
    <w:rPr>
      <w:i/>
      <w:iCs/>
      <w:color w:val="0F4761" w:themeColor="accent1" w:themeShade="BF"/>
    </w:rPr>
  </w:style>
  <w:style w:type="character" w:styleId="Referenciaintensa">
    <w:name w:val="Intense Reference"/>
    <w:basedOn w:val="Fuentedeprrafopredeter"/>
    <w:uiPriority w:val="32"/>
    <w:qFormat/>
    <w:rsid w:val="00734434"/>
    <w:rPr>
      <w:b/>
      <w:bCs/>
      <w:smallCaps/>
      <w:color w:val="0F4761" w:themeColor="accent1" w:themeShade="BF"/>
      <w:spacing w:val="5"/>
    </w:rPr>
  </w:style>
  <w:style w:type="paragraph" w:styleId="Encabezado">
    <w:name w:val="header"/>
    <w:basedOn w:val="Normal"/>
    <w:link w:val="EncabezadoCar"/>
    <w:uiPriority w:val="99"/>
    <w:unhideWhenUsed/>
    <w:rsid w:val="007344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4434"/>
    <w:rPr>
      <w:kern w:val="0"/>
      <w14:ligatures w14:val="none"/>
    </w:rPr>
  </w:style>
  <w:style w:type="paragraph" w:styleId="Piedepgina">
    <w:name w:val="footer"/>
    <w:basedOn w:val="Normal"/>
    <w:link w:val="PiedepginaCar"/>
    <w:uiPriority w:val="99"/>
    <w:unhideWhenUsed/>
    <w:rsid w:val="007344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4434"/>
    <w:rPr>
      <w:kern w:val="0"/>
      <w14:ligatures w14:val="none"/>
    </w:rPr>
  </w:style>
  <w:style w:type="table" w:styleId="Tablaconcuadrcula">
    <w:name w:val="Table Grid"/>
    <w:basedOn w:val="Tablanormal"/>
    <w:uiPriority w:val="39"/>
    <w:qFormat/>
    <w:rsid w:val="0073443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34434"/>
    <w:rPr>
      <w:color w:val="467886" w:themeColor="hyperlink"/>
      <w:u w:val="single"/>
    </w:rPr>
  </w:style>
  <w:style w:type="character" w:customStyle="1" w:styleId="normaltextrun">
    <w:name w:val="normaltextrun"/>
    <w:basedOn w:val="Fuentedeprrafopredeter"/>
    <w:rsid w:val="00734434"/>
  </w:style>
  <w:style w:type="character" w:customStyle="1" w:styleId="eop">
    <w:name w:val="eop"/>
    <w:basedOn w:val="Fuentedeprrafopredeter"/>
    <w:rsid w:val="00734434"/>
  </w:style>
  <w:style w:type="paragraph" w:customStyle="1" w:styleId="paragraph">
    <w:name w:val="paragraph"/>
    <w:basedOn w:val="Normal"/>
    <w:rsid w:val="0073443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34434"/>
  </w:style>
  <w:style w:type="paragraph" w:styleId="NormalWeb">
    <w:name w:val="Normal (Web)"/>
    <w:basedOn w:val="Normal"/>
    <w:link w:val="NormalWebCar"/>
    <w:uiPriority w:val="99"/>
    <w:unhideWhenUsed/>
    <w:rsid w:val="0073443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WebCar">
    <w:name w:val="Normal (Web) Car"/>
    <w:link w:val="NormalWeb"/>
    <w:uiPriority w:val="99"/>
    <w:locked/>
    <w:rsid w:val="00734434"/>
    <w:rPr>
      <w:rFonts w:ascii="Times New Roman" w:eastAsia="Times New Roman" w:hAnsi="Times New Roman" w:cs="Times New Roman"/>
      <w:kern w:val="0"/>
      <w:sz w:val="24"/>
      <w:szCs w:val="24"/>
      <w:lang w:eastAsia="es-CO"/>
      <w14:ligatures w14:val="none"/>
    </w:rPr>
  </w:style>
  <w:style w:type="character" w:styleId="Mencinsinresolver">
    <w:name w:val="Unresolved Mention"/>
    <w:basedOn w:val="Fuentedeprrafopredeter"/>
    <w:uiPriority w:val="99"/>
    <w:semiHidden/>
    <w:unhideWhenUsed/>
    <w:rsid w:val="00CA7D4F"/>
    <w:rPr>
      <w:color w:val="605E5C"/>
      <w:shd w:val="clear" w:color="auto" w:fill="E1DFDD"/>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BB2979"/>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BB2979"/>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BB2979"/>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BB2979"/>
    <w:rPr>
      <w:vertAlign w:val="superscript"/>
    </w:rPr>
  </w:style>
  <w:style w:type="paragraph" w:customStyle="1" w:styleId="Appelnotedebasde">
    <w:name w:val="Appel note de bas de..."/>
    <w:basedOn w:val="Normal"/>
    <w:link w:val="Refdenotaalpie"/>
    <w:uiPriority w:val="99"/>
    <w:rsid w:val="00BB2979"/>
    <w:pPr>
      <w:spacing w:line="240" w:lineRule="exact"/>
    </w:pPr>
    <w:rPr>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documentos-tipo"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acionvirtual.colombiacompra.gov.co/mod/page/view.php?id=371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yperlink" Target="http://www.colombiacompra.gov.co"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87CA5-1967-4BD2-8439-71A1D6C7AAC5}">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E6C61DB4-1ECC-4A19-B350-349E0E5CCC56}">
  <ds:schemaRefs>
    <ds:schemaRef ds:uri="http://schemas.microsoft.com/sharepoint/v3/contenttype/forms"/>
  </ds:schemaRefs>
</ds:datastoreItem>
</file>

<file path=customXml/itemProps3.xml><?xml version="1.0" encoding="utf-8"?>
<ds:datastoreItem xmlns:ds="http://schemas.openxmlformats.org/officeDocument/2006/customXml" ds:itemID="{50C5C650-4281-4C62-87ED-3B8E47109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523</TotalTime>
  <Pages>18</Pages>
  <Words>5773</Words>
  <Characters>31756</Characters>
  <Application>Microsoft Office Word</Application>
  <DocSecurity>0</DocSecurity>
  <Lines>264</Lines>
  <Paragraphs>74</Paragraphs>
  <ScaleCrop>false</ScaleCrop>
  <Company/>
  <LinksUpToDate>false</LinksUpToDate>
  <CharactersWithSpaces>37455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Andreina Cerpa Muñoz</dc:creator>
  <cp:keywords/>
  <dc:description/>
  <cp:lastModifiedBy>Andreina Cerpa Muñoz</cp:lastModifiedBy>
  <cp:revision>53</cp:revision>
  <dcterms:created xsi:type="dcterms:W3CDTF">2026-08-19T19:30:00Z</dcterms:created>
  <dcterms:modified xsi:type="dcterms:W3CDTF">2026-09-09T15:28:00Z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