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E49A"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ANTICIPO – Naturaleza jurídica – Titularidad de los recursos</w:t>
      </w:r>
    </w:p>
    <w:p w14:paraId="798BC5D4" w14:textId="77777777" w:rsidR="004A0841" w:rsidRDefault="004A0841" w:rsidP="00751DE8">
      <w:pPr>
        <w:spacing w:after="0" w:line="240" w:lineRule="auto"/>
        <w:jc w:val="both"/>
        <w:rPr>
          <w:rFonts w:ascii="Verdana" w:hAnsi="Verdana" w:cs="Arial"/>
          <w:b/>
          <w:bCs/>
          <w:color w:val="000000"/>
          <w:lang w:val="es-ES"/>
        </w:rPr>
      </w:pPr>
    </w:p>
    <w:p w14:paraId="023146B6"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anticipo es la suma que la entidad estatal entrega al contratista para apalancarlo financieramente y solventar los costos iniciales de la ejecución del contrato. Se imputa al precio, pues su monto se descuenta del valor a pagar a medida que se amortiza conforme al avance de la ejecución, pero no constituye pago mientras esa amortización no se produce: no retribuye prestación ejecutada alguna. De ahí la consecuencia que define la figura: el monto entregado a título de anticipo no ingresa al patrimonio del contratista sino cuando ha sido debidamente amortizado y, mientras tanto, permanece afectado a la ejecución del contrato y sujeto a las cargas de destinación, legalización y amortización que de esa afectación se derivan.</w:t>
      </w:r>
    </w:p>
    <w:p w14:paraId="37726EC9" w14:textId="77777777" w:rsidR="004A0841" w:rsidRDefault="004A0841" w:rsidP="00751DE8">
      <w:pPr>
        <w:spacing w:after="0" w:line="240" w:lineRule="auto"/>
        <w:jc w:val="both"/>
        <w:rPr>
          <w:rFonts w:ascii="Verdana" w:hAnsi="Verdana" w:cs="Arial"/>
          <w:b/>
          <w:bCs/>
          <w:color w:val="000000"/>
          <w:lang w:val="es-ES"/>
        </w:rPr>
      </w:pPr>
    </w:p>
    <w:p w14:paraId="3C10F77A"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PAGO – Contraprestación – Traslación de la titularidad</w:t>
      </w:r>
    </w:p>
    <w:p w14:paraId="71F2E7B9" w14:textId="77777777" w:rsidR="004A0841" w:rsidRDefault="004A0841" w:rsidP="00751DE8">
      <w:pPr>
        <w:spacing w:after="0" w:line="240" w:lineRule="auto"/>
        <w:jc w:val="both"/>
        <w:rPr>
          <w:rFonts w:ascii="Verdana" w:hAnsi="Verdana" w:cs="Arial"/>
          <w:b/>
          <w:bCs/>
          <w:color w:val="000000"/>
          <w:lang w:val="es-ES"/>
        </w:rPr>
      </w:pPr>
    </w:p>
    <w:p w14:paraId="0EB08D56"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pago es la prestación de lo que se debe y, en el contrato estatal, retribuye prestaciones efectivamente ejecutadas y recibidas. Extingue, total o parcialmente, la obligación de remuneración a cargo de la entidad y traslada al contratista la titularidad del dinero, que queda sujeto a su libre disposición, sin afectación a una destinación específica ni cargas de amortización o legalización. La denominación con que se documente —honorarios, actas parciales de ejecución o acta de recibo final o a satisfacción— no altera esa naturaleza. La traslación de la titularidad se produce sin perjuicio de las restituciones que puedan ordenarse por declaratoria de nulidad del contrato, por pago de lo no debido o como resultado de la liquidación.</w:t>
      </w:r>
    </w:p>
    <w:p w14:paraId="262AC9BA" w14:textId="77777777" w:rsidR="004A0841" w:rsidRDefault="004A0841" w:rsidP="00751DE8">
      <w:pPr>
        <w:spacing w:after="0" w:line="240" w:lineRule="auto"/>
        <w:jc w:val="both"/>
        <w:rPr>
          <w:rFonts w:ascii="Verdana" w:hAnsi="Verdana" w:cs="Arial"/>
          <w:b/>
          <w:bCs/>
          <w:color w:val="000000"/>
          <w:lang w:val="es-ES"/>
        </w:rPr>
      </w:pPr>
    </w:p>
    <w:p w14:paraId="5289A1DC"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PAGO ANTICIPADO – Definición – Confirmación normativa de la distinción</w:t>
      </w:r>
    </w:p>
    <w:p w14:paraId="05136518" w14:textId="77777777" w:rsidR="004A0841" w:rsidRDefault="004A0841" w:rsidP="00751DE8">
      <w:pPr>
        <w:spacing w:after="0" w:line="240" w:lineRule="auto"/>
        <w:jc w:val="both"/>
        <w:rPr>
          <w:rFonts w:ascii="Verdana" w:hAnsi="Verdana" w:cs="Arial"/>
          <w:b/>
          <w:bCs/>
          <w:color w:val="000000"/>
          <w:lang w:val="es-ES"/>
        </w:rPr>
      </w:pPr>
    </w:p>
    <w:p w14:paraId="5419F9F9"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pago anticipado hace parte del precio y su entrega comporta la extinción parcial de la obligación de remuneración, adelantada a la ejecución o como primer contado; sale de la esfera de la entidad y entra al patrimonio del contratista. Su existencia confirma que el criterio de distinción no es el momento de la entrega —anticipo y pago anticipado son ambos anteriores a la ejecución— sino el título en cuya virtud se entrega. El artículo 2.2.1.2.3.1.7 del Decreto 1082 de 2015 recoge esa distinción al prever amparos separados y excluyentes: el de buen manejo y correcta inversión del anticipo –numeral 1– y el de devolución del pago anticipado –numeral 2–.</w:t>
      </w:r>
    </w:p>
    <w:p w14:paraId="03979E67" w14:textId="77777777" w:rsidR="004A0841" w:rsidRDefault="004A0841" w:rsidP="00751DE8">
      <w:pPr>
        <w:spacing w:after="0" w:line="240" w:lineRule="auto"/>
        <w:jc w:val="both"/>
        <w:rPr>
          <w:rFonts w:ascii="Verdana" w:hAnsi="Verdana" w:cs="Arial"/>
          <w:b/>
          <w:bCs/>
          <w:color w:val="000000"/>
          <w:lang w:val="es-ES"/>
        </w:rPr>
      </w:pPr>
    </w:p>
    <w:p w14:paraId="6AA479D5"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PRECIOS UNITARIOS – Determinación del valor – Cantidades ejecutadas</w:t>
      </w:r>
    </w:p>
    <w:p w14:paraId="42E2C4DC" w14:textId="77777777" w:rsidR="004A0841" w:rsidRDefault="004A0841" w:rsidP="00751DE8">
      <w:pPr>
        <w:spacing w:after="0" w:line="240" w:lineRule="auto"/>
        <w:jc w:val="both"/>
        <w:rPr>
          <w:rFonts w:ascii="Verdana" w:hAnsi="Verdana" w:cs="Arial"/>
          <w:b/>
          <w:bCs/>
          <w:color w:val="000000"/>
          <w:lang w:val="es-ES"/>
        </w:rPr>
      </w:pPr>
    </w:p>
    <w:p w14:paraId="10A6F5A8"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En los contratos cuyo precio se estructura por el sistema de precios unitarios, el valor definitivo corresponde al resultado de multiplicar las cantidades realmente ejecutadas por los precios unitarios pactados; el valor inicialmente expresado tiene carácter estimativo, referencial y operativo. De ello se sigue que el hecho que causa el derecho al pago es la ejecución de la cantidad de obra o actividad en las condiciones convenidas, y no la erogación en que el contratista haya incurrido para ejecutarla. Cuando, además, </w:t>
      </w:r>
      <w:r>
        <w:rPr>
          <w:rFonts w:ascii="Verdana" w:hAnsi="Verdana" w:cs="Arial"/>
          <w:bCs/>
          <w:color w:val="000000"/>
          <w:sz w:val="20"/>
          <w:lang w:val="es-ES"/>
        </w:rPr>
        <w:lastRenderedPageBreak/>
        <w:t>los precios unitarios se pactan como fijos, el contratista asume el álea ordinaria de la variación de sus costos y, correlativamente, hace suya la diferencia cuando el costo real resulta inferior al previsto.</w:t>
      </w:r>
    </w:p>
    <w:p w14:paraId="702AD750" w14:textId="77777777" w:rsidR="004A0841" w:rsidRDefault="004A0841" w:rsidP="00751DE8">
      <w:pPr>
        <w:spacing w:after="0" w:line="240" w:lineRule="auto"/>
        <w:jc w:val="both"/>
        <w:rPr>
          <w:rFonts w:ascii="Verdana" w:hAnsi="Verdana" w:cs="Arial"/>
          <w:b/>
          <w:bCs/>
          <w:color w:val="000000"/>
          <w:lang w:val="es-ES"/>
        </w:rPr>
      </w:pPr>
    </w:p>
    <w:p w14:paraId="36931B7D"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PRECIOS UNITARIOS – Acreditación del pago – Análisis de precios unitarios</w:t>
      </w:r>
    </w:p>
    <w:p w14:paraId="449254D0" w14:textId="77777777" w:rsidR="004A0841" w:rsidRDefault="004A0841" w:rsidP="00751DE8">
      <w:pPr>
        <w:spacing w:after="0" w:line="240" w:lineRule="auto"/>
        <w:jc w:val="both"/>
        <w:rPr>
          <w:rFonts w:ascii="Verdana" w:hAnsi="Verdana" w:cs="Arial"/>
          <w:b/>
          <w:bCs/>
          <w:color w:val="000000"/>
          <w:lang w:val="es-ES"/>
        </w:rPr>
      </w:pPr>
    </w:p>
    <w:p w14:paraId="3CCC9790"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análisis de precios unitarios –APU– es un instrumento de estructuración y evaluación del precio, mediante el cual se discriminan los costos directos, que se separan de los costos indirectos usualmente abreviados en el acrónimo AIU. No es un mecanismo de reembolso de gastos ni de legalización de erogaciones. En consecuencia, lo que el contratista debe acreditar para que proceda el pago es la ejecución de las cantidades y la satisfacción de las condiciones contractuales, junto con los soportes que la ley o el contrato exijan. Que el legislador haya condicionado expresamente cada pago a la acreditación de los aportes al Sistema de Seguridad Social Integral confirma que las condiciones de pago no exigidas por la ley solo son oponibles al contratista si fueron pactadas.</w:t>
      </w:r>
    </w:p>
    <w:p w14:paraId="0FDF4DA7" w14:textId="77777777" w:rsidR="004A0841" w:rsidRDefault="004A0841" w:rsidP="00751DE8">
      <w:pPr>
        <w:spacing w:after="0" w:line="240" w:lineRule="auto"/>
        <w:jc w:val="both"/>
        <w:rPr>
          <w:rFonts w:ascii="Verdana" w:hAnsi="Verdana" w:cs="Arial"/>
          <w:b/>
          <w:bCs/>
          <w:color w:val="000000"/>
          <w:lang w:val="es-ES"/>
        </w:rPr>
      </w:pPr>
    </w:p>
    <w:p w14:paraId="04B2A716"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ANÁLISIS DE COSTOS – Supuestos de pertinencia – Ítems no previstos – Equilibrio económico</w:t>
      </w:r>
    </w:p>
    <w:p w14:paraId="54C098EF" w14:textId="77777777" w:rsidR="004A0841" w:rsidRDefault="004A0841" w:rsidP="00751DE8">
      <w:pPr>
        <w:spacing w:after="0" w:line="240" w:lineRule="auto"/>
        <w:jc w:val="both"/>
        <w:rPr>
          <w:rFonts w:ascii="Verdana" w:hAnsi="Verdana" w:cs="Arial"/>
          <w:b/>
          <w:bCs/>
          <w:color w:val="000000"/>
          <w:lang w:val="es-ES"/>
        </w:rPr>
      </w:pPr>
    </w:p>
    <w:p w14:paraId="7BB7ED86"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improcedencia de exigir el detalle de los gastos como condición del pago ordinario no excluye los supuestos en que el análisis de costos sí resulta pertinente. Lo es cuando deben convenirse precios unitarios para ítems o actividades no previstos en el contrato inicial, pues allí la fijación del nuevo precio supone precisamente su análisis. Y lo es cuando se invoca la ruptura de la ecuación contractual, caso en el cual corresponde a quien alega el desequilibrio acreditar la mayor onerosidad sobrevenida, para lo cual la información de costos es el soporte natural.</w:t>
      </w:r>
    </w:p>
    <w:p w14:paraId="5A2032AD" w14:textId="77777777" w:rsidR="004A0841" w:rsidRDefault="004A0841" w:rsidP="00751DE8">
      <w:pPr>
        <w:spacing w:after="0" w:line="240" w:lineRule="auto"/>
        <w:jc w:val="both"/>
        <w:rPr>
          <w:rFonts w:ascii="Verdana" w:hAnsi="Verdana" w:cs="Arial"/>
          <w:b/>
          <w:bCs/>
          <w:color w:val="000000"/>
          <w:lang w:val="es-ES"/>
        </w:rPr>
      </w:pPr>
    </w:p>
    <w:p w14:paraId="20450093"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SUPERVISIÓN E INTERVENTORÍA – Facultades – Límite funcional</w:t>
      </w:r>
    </w:p>
    <w:p w14:paraId="1233C632" w14:textId="77777777" w:rsidR="004A0841" w:rsidRDefault="004A0841" w:rsidP="00751DE8">
      <w:pPr>
        <w:spacing w:after="0" w:line="240" w:lineRule="auto"/>
        <w:jc w:val="both"/>
        <w:rPr>
          <w:rFonts w:ascii="Verdana" w:hAnsi="Verdana" w:cs="Arial"/>
          <w:b/>
          <w:bCs/>
          <w:color w:val="000000"/>
          <w:lang w:val="es-ES"/>
        </w:rPr>
      </w:pPr>
    </w:p>
    <w:p w14:paraId="674727E1"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supervisores e interventores están facultados para solicitar informes, aclaraciones y explicaciones sobre el desarrollo de la ejecución contractual. Se trata, sin embargo, de una facultad instrumental al control del cumplimiento obligacional: su intervención se limita a constatar que las obligaciones se cumplan en la forma, tiempo y condiciones convenidas. Por tanto, no habilita a auditar la estructura de costos ni la utilidad del contratista, ni a condicionar el pago de una prestación ejecutada y recibida a soportes que el contrato no previó.</w:t>
      </w:r>
    </w:p>
    <w:p w14:paraId="2FD1DA07" w14:textId="77777777" w:rsidR="004A0841" w:rsidRDefault="004A0841" w:rsidP="00751DE8">
      <w:pPr>
        <w:spacing w:after="0" w:line="240" w:lineRule="auto"/>
        <w:jc w:val="both"/>
        <w:rPr>
          <w:rFonts w:ascii="Verdana" w:hAnsi="Verdana" w:cs="Arial"/>
          <w:b/>
          <w:bCs/>
          <w:color w:val="000000"/>
          <w:lang w:val="es-ES"/>
        </w:rPr>
      </w:pPr>
    </w:p>
    <w:p w14:paraId="20A5F89D" w14:textId="77777777" w:rsidR="00E1449C" w:rsidRDefault="00E1449C" w:rsidP="00662087">
      <w:pPr>
        <w:spacing w:after="0" w:line="240" w:lineRule="auto"/>
        <w:rPr>
          <w:rFonts w:ascii="Verdana" w:eastAsia="Verdana" w:hAnsi="Verdana" w:cs="Verdana"/>
        </w:rPr>
      </w:pPr>
    </w:p>
    <w:p w14:paraId="1A3F701C" w14:textId="77777777" w:rsidR="00E1449C" w:rsidRDefault="00E1449C" w:rsidP="00662087">
      <w:pPr>
        <w:spacing w:after="0" w:line="240" w:lineRule="auto"/>
        <w:rPr>
          <w:rFonts w:ascii="Verdana" w:eastAsia="Verdana" w:hAnsi="Verdana" w:cs="Verdana"/>
        </w:rPr>
      </w:pPr>
    </w:p>
    <w:p w14:paraId="0EBCAA2E" w14:textId="77777777" w:rsidR="00E1449C" w:rsidRDefault="00E1449C" w:rsidP="00662087">
      <w:pPr>
        <w:spacing w:after="0" w:line="240" w:lineRule="auto"/>
        <w:rPr>
          <w:rFonts w:ascii="Verdana" w:eastAsia="Verdana" w:hAnsi="Verdana" w:cs="Verdana"/>
        </w:rPr>
      </w:pPr>
    </w:p>
    <w:p w14:paraId="4D732955" w14:textId="77777777" w:rsidR="00751DE8" w:rsidRDefault="00751DE8" w:rsidP="00662087">
      <w:pPr>
        <w:spacing w:after="0" w:line="240" w:lineRule="auto"/>
        <w:rPr>
          <w:rFonts w:ascii="Verdana" w:eastAsia="Verdana" w:hAnsi="Verdana" w:cs="Verdana"/>
        </w:rPr>
      </w:pPr>
    </w:p>
    <w:p w14:paraId="056BD513" w14:textId="266D4EA0" w:rsidR="00DC1EFB" w:rsidRDefault="005D3921" w:rsidP="002D3BFB">
      <w:pPr>
        <w:spacing w:after="0" w:line="240" w:lineRule="auto"/>
        <w:jc w:val="both"/>
        <w:rPr>
          <w:rFonts w:ascii="Verdana" w:eastAsia="Geomanist Light" w:hAnsi="Verdana" w:cs="Arial"/>
          <w:color w:val="000000" w:themeColor="text1"/>
          <w:lang w:val="es-MX"/>
        </w:rPr>
      </w:pPr>
      <w:r w:rsidRPr="00BF7921">
        <w:rPr>
          <w:rFonts w:ascii="Verdana" w:eastAsia="Geomanist Light" w:hAnsi="Verdana" w:cs="Arial"/>
          <w:color w:val="000000" w:themeColor="text1"/>
          <w:lang w:val="es-MX"/>
        </w:rPr>
        <w:lastRenderedPageBreak/>
        <w:t xml:space="preserve">Bogotá D.C., </w:t>
      </w:r>
      <w:r w:rsidR="002D3BFB">
        <w:rPr>
          <w:rFonts w:ascii="Verdana" w:eastAsia="Geomanist Light" w:hAnsi="Verdana" w:cs="Arial"/>
          <w:color w:val="000000" w:themeColor="text1"/>
          <w:lang w:val="es-MX"/>
        </w:rPr>
        <w:t>10</w:t>
      </w:r>
      <w:r w:rsidRPr="00BF7921">
        <w:rPr>
          <w:rFonts w:ascii="Verdana" w:eastAsia="Geomanist Light" w:hAnsi="Verdana" w:cs="Arial"/>
          <w:color w:val="000000" w:themeColor="text1"/>
          <w:lang w:val="es-MX"/>
        </w:rPr>
        <w:t xml:space="preserve"> de </w:t>
      </w:r>
      <w:r w:rsidR="002D3BFB">
        <w:rPr>
          <w:rFonts w:ascii="Verdana" w:eastAsia="Geomanist Light" w:hAnsi="Verdana" w:cs="Arial"/>
          <w:color w:val="000000" w:themeColor="text1"/>
          <w:lang w:val="es-MX"/>
        </w:rPr>
        <w:t xml:space="preserve">septiembre </w:t>
      </w:r>
      <w:r w:rsidRPr="00BF7921">
        <w:rPr>
          <w:rFonts w:ascii="Verdana" w:eastAsia="Geomanist Light" w:hAnsi="Verdana" w:cs="Arial"/>
          <w:color w:val="000000" w:themeColor="text1"/>
          <w:lang w:val="es-MX"/>
        </w:rPr>
        <w:t xml:space="preserve">de </w:t>
      </w:r>
      <w:r w:rsidR="002D3BFB">
        <w:rPr>
          <w:rFonts w:ascii="Verdana" w:eastAsia="Geomanist Light" w:hAnsi="Verdana" w:cs="Arial"/>
          <w:color w:val="000000" w:themeColor="text1"/>
          <w:lang w:val="es-MX"/>
        </w:rPr>
        <w:t xml:space="preserve">2026 </w:t>
      </w:r>
    </w:p>
    <w:p w14:paraId="549A24F5" w14:textId="6807987A" w:rsidR="002D3BFB" w:rsidRPr="002D3BFB" w:rsidRDefault="002D3BFB" w:rsidP="002D3BFB">
      <w:pPr>
        <w:spacing w:after="0" w:line="240" w:lineRule="auto"/>
        <w:jc w:val="both"/>
        <w:rPr>
          <w:rFonts w:ascii="Verdana" w:eastAsia="Calibri" w:hAnsi="Verdana" w:cs="Arial"/>
          <w:color w:val="000000"/>
          <w:lang w:val="es-ES"/>
        </w:rPr>
      </w:pPr>
    </w:p>
    <w:p w14:paraId="14DA0030" w14:textId="5C7172EE" w:rsidR="00662087" w:rsidRDefault="00662087" w:rsidP="002D3BFB">
      <w:pPr>
        <w:spacing w:after="0" w:line="240" w:lineRule="auto"/>
        <w:jc w:val="right"/>
        <w:rPr>
          <w:rFonts w:ascii="Verdana" w:hAnsi="Verdana"/>
        </w:rPr>
      </w:pPr>
    </w:p>
    <w:p w14:paraId="05E19AAA" w14:textId="77777777" w:rsidR="00670CC4" w:rsidRDefault="00670CC4" w:rsidP="00662087">
      <w:pPr>
        <w:spacing w:after="0" w:line="240" w:lineRule="auto"/>
        <w:rPr>
          <w:rFonts w:ascii="Verdana" w:eastAsia="Calibri" w:hAnsi="Verdana" w:cs="Times New Roman"/>
          <w:lang w:val="es-MX"/>
        </w:rPr>
      </w:pPr>
    </w:p>
    <w:p w14:paraId="0A45F374" w14:textId="31C24BC5" w:rsidR="00662087" w:rsidRPr="00524422" w:rsidRDefault="00670CC4" w:rsidP="00662087">
      <w:pPr>
        <w:spacing w:after="0" w:line="240" w:lineRule="auto"/>
        <w:rPr>
          <w:rFonts w:ascii="Verdana" w:eastAsia="Calibri" w:hAnsi="Verdana" w:cs="Times New Roman"/>
          <w:lang w:val="es-MX"/>
        </w:rPr>
      </w:pPr>
      <w:r w:rsidRPr="002D3BFB">
        <w:rPr>
          <w:rFonts w:ascii="Verdana" w:hAnsi="Verdana"/>
          <w:noProof/>
        </w:rPr>
        <w:drawing>
          <wp:anchor distT="0" distB="0" distL="114300" distR="114300" simplePos="0" relativeHeight="251658240" behindDoc="0" locked="0" layoutInCell="1" allowOverlap="1" wp14:anchorId="2228C253" wp14:editId="45D905DA">
            <wp:simplePos x="0" y="0"/>
            <wp:positionH relativeFrom="margin">
              <wp:align>right</wp:align>
            </wp:positionH>
            <wp:positionV relativeFrom="paragraph">
              <wp:posOffset>10160</wp:posOffset>
            </wp:positionV>
            <wp:extent cx="2308225" cy="834390"/>
            <wp:effectExtent l="0" t="0" r="0" b="3810"/>
            <wp:wrapSquare wrapText="bothSides"/>
            <wp:docPr id="15196474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47470" name=""/>
                    <pic:cNvPicPr/>
                  </pic:nvPicPr>
                  <pic:blipFill>
                    <a:blip r:embed="rId11">
                      <a:extLst>
                        <a:ext uri="{28A0092B-C50C-407E-A947-70E740481C1C}">
                          <a14:useLocalDpi xmlns:a14="http://schemas.microsoft.com/office/drawing/2010/main" val="0"/>
                        </a:ext>
                      </a:extLst>
                    </a:blip>
                    <a:stretch>
                      <a:fillRect/>
                    </a:stretch>
                  </pic:blipFill>
                  <pic:spPr>
                    <a:xfrm>
                      <a:off x="0" y="0"/>
                      <a:ext cx="2308225" cy="834390"/>
                    </a:xfrm>
                    <a:prstGeom prst="rect">
                      <a:avLst/>
                    </a:prstGeom>
                  </pic:spPr>
                </pic:pic>
              </a:graphicData>
            </a:graphic>
            <wp14:sizeRelH relativeFrom="margin">
              <wp14:pctWidth>0</wp14:pctWidth>
            </wp14:sizeRelH>
            <wp14:sizeRelV relativeFrom="margin">
              <wp14:pctHeight>0</wp14:pctHeight>
            </wp14:sizeRelV>
          </wp:anchor>
        </w:drawing>
      </w:r>
      <w:r w:rsidR="00662087" w:rsidRPr="00524422">
        <w:rPr>
          <w:rFonts w:ascii="Verdana" w:eastAsia="Calibri" w:hAnsi="Verdana" w:cs="Times New Roman"/>
          <w:lang w:val="es-MX"/>
        </w:rPr>
        <w:t>Señor</w:t>
      </w:r>
    </w:p>
    <w:p w14:paraId="38995D97" w14:textId="77777777" w:rsidR="00662087" w:rsidRPr="005D3921" w:rsidRDefault="00662087" w:rsidP="00662087">
      <w:pPr>
        <w:spacing w:after="0" w:line="240" w:lineRule="auto"/>
        <w:rPr>
          <w:rFonts w:ascii="Verdana" w:eastAsia="Calibri" w:hAnsi="Verdana" w:cs="Times New Roman"/>
          <w:b/>
          <w:bCs/>
          <w:lang w:val="es-MX"/>
        </w:rPr>
      </w:pPr>
      <w:r w:rsidRPr="005D3921">
        <w:rPr>
          <w:rFonts w:ascii="Verdana" w:eastAsia="Calibri" w:hAnsi="Verdana" w:cs="Times New Roman"/>
          <w:b/>
          <w:bCs/>
          <w:lang w:val="es-MX"/>
        </w:rPr>
        <w:t>EDGAR DANIEL MANTILLA BLANCO</w:t>
      </w:r>
    </w:p>
    <w:p w14:paraId="6EA84963"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emantilla9@gmail.com</w:t>
      </w:r>
    </w:p>
    <w:p w14:paraId="49144B82" w14:textId="77777777" w:rsidR="00662087"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Valledupar, Cesar</w:t>
      </w:r>
    </w:p>
    <w:p w14:paraId="57EBB079" w14:textId="77777777" w:rsidR="002D3BFB" w:rsidRPr="00524422" w:rsidRDefault="002D3BFB" w:rsidP="00662087">
      <w:pPr>
        <w:spacing w:after="0" w:line="240" w:lineRule="auto"/>
        <w:rPr>
          <w:rFonts w:ascii="Verdana" w:eastAsia="Calibri" w:hAnsi="Verdana" w:cs="Times New Roman"/>
          <w:lang w:val="es-MX"/>
        </w:rPr>
      </w:pPr>
    </w:p>
    <w:p w14:paraId="12B76D7D" w14:textId="77777777" w:rsidR="00662087" w:rsidRPr="002B4BE9" w:rsidRDefault="00662087" w:rsidP="00662087">
      <w:pPr>
        <w:spacing w:after="0" w:line="240" w:lineRule="auto"/>
        <w:rPr>
          <w:rFonts w:ascii="Verdana" w:eastAsia="Calibri" w:hAnsi="Verdana" w:cs="Times New Roman"/>
        </w:rPr>
      </w:pPr>
    </w:p>
    <w:p w14:paraId="21F02110" w14:textId="33C405FF" w:rsidR="00662087" w:rsidRDefault="00662087" w:rsidP="00662087">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670CC4">
        <w:rPr>
          <w:rFonts w:ascii="Verdana" w:eastAsia="Calibri" w:hAnsi="Verdana" w:cs="Times New Roman"/>
          <w:b/>
          <w:bCs/>
          <w:lang w:val="es-ES"/>
        </w:rPr>
        <w:t>-</w:t>
      </w:r>
      <w:r w:rsidR="005D3921">
        <w:rPr>
          <w:rFonts w:ascii="Verdana" w:eastAsia="Calibri" w:hAnsi="Verdana" w:cs="Times New Roman"/>
          <w:b/>
          <w:bCs/>
          <w:lang w:val="es-ES"/>
        </w:rPr>
        <w:t>1205</w:t>
      </w:r>
      <w:r>
        <w:rPr>
          <w:rFonts w:ascii="Verdana" w:eastAsia="Calibri" w:hAnsi="Verdana" w:cs="Times New Roman"/>
          <w:b/>
          <w:bCs/>
          <w:lang w:val="es-ES"/>
        </w:rPr>
        <w:t xml:space="preserve"> de 2026</w:t>
      </w:r>
    </w:p>
    <w:p w14:paraId="6ACDBEB2" w14:textId="77777777" w:rsidR="002D3BFB" w:rsidRPr="002B4BE9" w:rsidRDefault="002D3BFB" w:rsidP="00662087">
      <w:pPr>
        <w:spacing w:after="0" w:line="240" w:lineRule="auto"/>
        <w:rPr>
          <w:rFonts w:ascii="Verdana" w:eastAsia="Calibri" w:hAnsi="Verdana" w:cs="Times New Roman"/>
          <w:b/>
          <w:bCs/>
          <w:lang w:val="es-ES"/>
        </w:rPr>
      </w:pPr>
    </w:p>
    <w:p w14:paraId="143135B0" w14:textId="77777777" w:rsidR="00662087" w:rsidRPr="002B4BE9" w:rsidRDefault="00662087" w:rsidP="0066208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62087" w:rsidRPr="002B4BE9" w14:paraId="13DFC6CD" w14:textId="77777777" w:rsidTr="002A4618">
        <w:trPr>
          <w:trHeight w:val="645"/>
        </w:trPr>
        <w:tc>
          <w:tcPr>
            <w:tcW w:w="2685" w:type="dxa"/>
            <w:hideMark/>
          </w:tcPr>
          <w:p w14:paraId="3EE5505E" w14:textId="77777777" w:rsidR="00662087" w:rsidRPr="00403388" w:rsidRDefault="00662087" w:rsidP="002A4618">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7E48FF29" w14:textId="77777777" w:rsidR="00662087" w:rsidRPr="00403388" w:rsidRDefault="00662087" w:rsidP="002A4618">
            <w:pPr>
              <w:spacing w:line="276" w:lineRule="auto"/>
              <w:jc w:val="both"/>
              <w:rPr>
                <w:rFonts w:ascii="Verdana" w:hAnsi="Verdana" w:cs="Arial"/>
                <w:lang w:val="es-ES" w:eastAsia="es-ES"/>
              </w:rPr>
            </w:pPr>
            <w:r w:rsidRPr="001B49B3">
              <w:rPr>
                <w:rFonts w:ascii="Verdana" w:hAnsi="Verdana" w:cs="Arial"/>
                <w:bCs/>
                <w:color w:val="000000"/>
                <w:lang w:val="es-ES"/>
              </w:rPr>
              <w:t>ANTICIPO – Naturaleza jurídica – Titularidad de los recursos / PAGO – Contraprestación – Traslación de la titularidad / PAGO ANTICIPADO – Definición – Confirmación normativa de la distinción / PRECIOS UNITARIOS – Determinación del valor – Cantidades ejecutadas / PRECIOS UNITARIOS – Acreditación del pago – Análisis de precios unitarios / ANÁLISIS DE COSTOS – Supuestos de pertinencia – Ítems no previstos – Equilibrio económico / SUPERVISIÓN E INTERVENTORÍA – Facultades – Límite funcional</w:t>
            </w:r>
          </w:p>
        </w:tc>
        <w:tc>
          <w:tcPr>
            <w:tcW w:w="6237" w:type="dxa"/>
          </w:tcPr>
          <w:p w14:paraId="5171C001" w14:textId="77777777" w:rsidR="00662087" w:rsidRPr="002B4BE9" w:rsidRDefault="00662087" w:rsidP="002A4618">
            <w:pPr>
              <w:rPr>
                <w:rFonts w:ascii="Verdana" w:hAnsi="Verdana"/>
                <w:lang w:val="es-ES"/>
              </w:rPr>
            </w:pPr>
          </w:p>
        </w:tc>
      </w:tr>
      <w:tr w:rsidR="00662087" w:rsidRPr="002B4BE9" w14:paraId="02FD1AEC" w14:textId="77777777" w:rsidTr="002A4618">
        <w:tc>
          <w:tcPr>
            <w:tcW w:w="2685" w:type="dxa"/>
          </w:tcPr>
          <w:p w14:paraId="0ADA512F" w14:textId="77777777" w:rsidR="00662087" w:rsidRPr="002B4BE9" w:rsidRDefault="00662087" w:rsidP="002A4618">
            <w:pPr>
              <w:rPr>
                <w:rFonts w:ascii="Verdana" w:hAnsi="Verdana"/>
                <w:b/>
                <w:bCs/>
                <w:lang w:val="es-ES_tradnl"/>
              </w:rPr>
            </w:pPr>
          </w:p>
          <w:p w14:paraId="5F099F28" w14:textId="77777777" w:rsidR="002D3BFB" w:rsidRDefault="002D3BFB" w:rsidP="002A4618">
            <w:pPr>
              <w:rPr>
                <w:rFonts w:ascii="Verdana" w:hAnsi="Verdana"/>
                <w:b/>
                <w:bCs/>
                <w:lang w:val="es-ES_tradnl"/>
              </w:rPr>
            </w:pPr>
          </w:p>
          <w:p w14:paraId="74694014" w14:textId="7219B38A" w:rsidR="00662087" w:rsidRPr="00995618" w:rsidRDefault="00662087" w:rsidP="002A4618">
            <w:pPr>
              <w:rPr>
                <w:rFonts w:ascii="Verdana" w:hAnsi="Verdana"/>
                <w:b/>
                <w:bCs/>
                <w:lang w:val="es-ES_tradnl"/>
              </w:rPr>
            </w:pPr>
            <w:r w:rsidRPr="002B4BE9">
              <w:rPr>
                <w:rFonts w:ascii="Verdana" w:hAnsi="Verdana"/>
                <w:b/>
                <w:bCs/>
                <w:lang w:val="es-ES_tradnl"/>
              </w:rPr>
              <w:t xml:space="preserve">Radicación:              </w:t>
            </w:r>
          </w:p>
        </w:tc>
        <w:tc>
          <w:tcPr>
            <w:tcW w:w="6241" w:type="dxa"/>
          </w:tcPr>
          <w:p w14:paraId="04CC2E77" w14:textId="77777777" w:rsidR="00662087" w:rsidRPr="002B4BE9" w:rsidRDefault="00662087" w:rsidP="002A4618">
            <w:pPr>
              <w:spacing w:line="276" w:lineRule="auto"/>
              <w:jc w:val="both"/>
              <w:rPr>
                <w:rFonts w:ascii="Verdana" w:hAnsi="Verdana"/>
                <w:lang w:val="es-ES_tradnl"/>
              </w:rPr>
            </w:pPr>
          </w:p>
          <w:p w14:paraId="40484265" w14:textId="77777777" w:rsidR="00662087" w:rsidRDefault="00662087" w:rsidP="002A4618">
            <w:pPr>
              <w:spacing w:line="276" w:lineRule="auto"/>
              <w:jc w:val="both"/>
              <w:rPr>
                <w:rFonts w:ascii="Verdana" w:hAnsi="Verdana"/>
                <w:lang w:val="es-ES_tradnl"/>
              </w:rPr>
            </w:pPr>
            <w:r w:rsidRPr="002B4BE9">
              <w:rPr>
                <w:rFonts w:ascii="Verdana" w:hAnsi="Verdana"/>
                <w:lang w:val="es-ES_tradnl"/>
              </w:rPr>
              <w:t>Respuesta a consulta con radicado No. 1_2026_07_30_010050</w:t>
            </w:r>
          </w:p>
          <w:p w14:paraId="1716DBA2" w14:textId="77777777" w:rsidR="002D3BFB" w:rsidRDefault="002D3BFB" w:rsidP="002A4618">
            <w:pPr>
              <w:spacing w:line="276" w:lineRule="auto"/>
              <w:jc w:val="both"/>
              <w:rPr>
                <w:rFonts w:ascii="Verdana" w:hAnsi="Verdana"/>
                <w:lang w:val="es-ES_tradnl"/>
              </w:rPr>
            </w:pPr>
          </w:p>
          <w:p w14:paraId="281F2DA0" w14:textId="77777777" w:rsidR="002D3BFB" w:rsidRPr="002B4BE9" w:rsidRDefault="002D3BFB" w:rsidP="002A4618">
            <w:pPr>
              <w:spacing w:line="276" w:lineRule="auto"/>
              <w:jc w:val="both"/>
              <w:rPr>
                <w:rFonts w:ascii="Verdana" w:hAnsi="Verdana"/>
                <w:lang w:val="es-ES_tradnl"/>
              </w:rPr>
            </w:pPr>
          </w:p>
        </w:tc>
        <w:tc>
          <w:tcPr>
            <w:tcW w:w="6237" w:type="dxa"/>
          </w:tcPr>
          <w:p w14:paraId="4F2614E9" w14:textId="77777777" w:rsidR="00662087" w:rsidRPr="002B4BE9" w:rsidRDefault="00662087" w:rsidP="002A4618">
            <w:pPr>
              <w:rPr>
                <w:rFonts w:ascii="Verdana" w:hAnsi="Verdana"/>
              </w:rPr>
            </w:pPr>
          </w:p>
        </w:tc>
      </w:tr>
    </w:tbl>
    <w:p w14:paraId="42FE6EE8" w14:textId="77777777" w:rsidR="00662087" w:rsidRPr="009037F6" w:rsidRDefault="00662087" w:rsidP="00662087">
      <w:pPr>
        <w:spacing w:after="0" w:line="256" w:lineRule="auto"/>
        <w:rPr>
          <w:rFonts w:ascii="Verdana" w:eastAsia="Calibri" w:hAnsi="Verdana" w:cs="Times New Roman"/>
          <w:lang w:val="es-ES"/>
        </w:rPr>
      </w:pPr>
      <w:r>
        <w:rPr>
          <w:rFonts w:ascii="Verdana" w:eastAsia="Calibri" w:hAnsi="Verdana" w:cs="Times New Roman"/>
          <w:lang w:val="es-ES"/>
        </w:rPr>
        <w:t>Estimado señor Mantilla:</w:t>
      </w:r>
    </w:p>
    <w:p w14:paraId="0A266CA1" w14:textId="77777777" w:rsidR="002D3BFB" w:rsidRDefault="002D3BFB" w:rsidP="00662087">
      <w:pPr>
        <w:spacing w:after="0" w:line="276" w:lineRule="auto"/>
        <w:rPr>
          <w:rFonts w:ascii="Verdana" w:eastAsia="Calibri" w:hAnsi="Verdana" w:cs="Times New Roman"/>
          <w:lang w:val="es-ES"/>
        </w:rPr>
      </w:pPr>
    </w:p>
    <w:p w14:paraId="5E4A3EE3" w14:textId="77777777" w:rsidR="002D3BFB" w:rsidRPr="009037F6" w:rsidRDefault="002D3BFB" w:rsidP="00662087">
      <w:pPr>
        <w:spacing w:after="0" w:line="276" w:lineRule="auto"/>
        <w:rPr>
          <w:rFonts w:ascii="Verdana" w:eastAsia="Calibri" w:hAnsi="Verdana" w:cs="Times New Roman"/>
          <w:lang w:val="es-ES"/>
        </w:rPr>
      </w:pPr>
    </w:p>
    <w:p w14:paraId="0D486EE9" w14:textId="5EDD0D54" w:rsidR="003A26B0" w:rsidRDefault="00662087" w:rsidP="003A26B0">
      <w:pPr>
        <w:spacing w:after="12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en la Resolución 469 de 2025 </w:t>
      </w:r>
      <w:r w:rsidR="00207FFE">
        <w:rPr>
          <w:rFonts w:ascii="Verdana" w:eastAsia="Calibri" w:hAnsi="Verdana" w:cs="Times New Roman"/>
          <w:bCs/>
          <w:lang w:bidi="es-ES"/>
        </w:rPr>
        <w:t xml:space="preserve">y </w:t>
      </w:r>
      <w:r w:rsidR="00207FFE" w:rsidRPr="009037F6">
        <w:rPr>
          <w:rFonts w:ascii="Verdana" w:eastAsia="Calibri" w:hAnsi="Verdana" w:cs="Times New Roman"/>
          <w:bCs/>
          <w:lang w:bidi="es-ES"/>
        </w:rPr>
        <w:t>1822 de 2019</w:t>
      </w:r>
      <w:r w:rsidR="00207FFE">
        <w:rPr>
          <w:rFonts w:ascii="Verdana" w:eastAsia="Calibri" w:hAnsi="Verdana" w:cs="Times New Roman"/>
          <w:bCs/>
          <w:lang w:bidi="es-ES"/>
        </w:rPr>
        <w:t xml:space="preserve"> </w:t>
      </w:r>
      <w:r w:rsidR="00207FFE" w:rsidRPr="009037F6">
        <w:rPr>
          <w:rFonts w:ascii="Verdana" w:eastAsia="Calibri" w:hAnsi="Verdana" w:cs="Times New Roman"/>
          <w:bCs/>
          <w:lang w:bidi="es-ES"/>
        </w:rPr>
        <w:t>expedida</w:t>
      </w:r>
      <w:r w:rsidR="00207FFE">
        <w:rPr>
          <w:rFonts w:ascii="Verdana" w:eastAsia="Calibri" w:hAnsi="Verdana" w:cs="Times New Roman"/>
          <w:bCs/>
          <w:lang w:bidi="es-ES"/>
        </w:rPr>
        <w:t>s</w:t>
      </w:r>
      <w:r w:rsidR="00207FFE" w:rsidRPr="009037F6">
        <w:rPr>
          <w:rFonts w:ascii="Verdana" w:eastAsia="Calibri" w:hAnsi="Verdana" w:cs="Times New Roman"/>
          <w:bCs/>
          <w:lang w:bidi="es-ES"/>
        </w:rPr>
        <w:t xml:space="preserve"> por esta Entidad</w:t>
      </w:r>
      <w:r w:rsidRPr="009037F6">
        <w:rPr>
          <w:rFonts w:ascii="Verdana" w:eastAsia="Calibri" w:hAnsi="Verdana" w:cs="Times New Roman"/>
          <w:bCs/>
          <w:lang w:bidi="es-ES"/>
        </w:rPr>
        <w:t>, responde su solicitud del 30 de julio de 2026, en la que formula tres interrogantes que se transcriben:</w:t>
      </w:r>
    </w:p>
    <w:p w14:paraId="0D31B2D6" w14:textId="77777777" w:rsidR="002D3BFB" w:rsidRDefault="002D3BFB" w:rsidP="003A26B0">
      <w:pPr>
        <w:spacing w:after="120" w:line="276" w:lineRule="auto"/>
        <w:jc w:val="both"/>
        <w:rPr>
          <w:rFonts w:ascii="Verdana" w:eastAsia="Calibri" w:hAnsi="Verdana" w:cs="Times New Roman"/>
          <w:bCs/>
          <w:lang w:val="es-ES" w:bidi="es-ES"/>
        </w:rPr>
      </w:pPr>
    </w:p>
    <w:p w14:paraId="2ED38D01"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“1. Si en un contrato estatal no se le entrega un anticipo al contratista, ¿es procedente considerar los dineros entregados a este contratista por concepto de pagos de honorarios, actas parciales de ejecución, actas de recibo final o a satisfacción como recursos públicos?</w:t>
      </w:r>
    </w:p>
    <w:p w14:paraId="04D52739"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2. ¿Cuál es la diferencia entre un dinero entregado como anticipo en un contrato estatal y un dinero entregado como pago por el cumplimiento de las obligaciones contractuales?</w:t>
      </w:r>
    </w:p>
    <w:p w14:paraId="004E709B"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3. En un contrato cuyo valor está pactado por el sistema de precios unitarios fijos, ¿es procedente solicitar gastos detallados por actividades cuando no hay recursos de anticipos entregados al contratista?”</w:t>
      </w:r>
    </w:p>
    <w:p w14:paraId="78B25846" w14:textId="77777777" w:rsidR="002D3BFB" w:rsidRDefault="002D3BFB" w:rsidP="005648EC">
      <w:pPr>
        <w:tabs>
          <w:tab w:val="left" w:pos="709"/>
        </w:tabs>
        <w:spacing w:after="120" w:line="240" w:lineRule="auto"/>
        <w:ind w:left="709" w:right="709"/>
        <w:jc w:val="both"/>
        <w:rPr>
          <w:rFonts w:ascii="Verdana" w:hAnsi="Verdana" w:cs="Arial"/>
          <w:sz w:val="21"/>
          <w:szCs w:val="21"/>
          <w:lang w:val="es-ES" w:eastAsia="es-ES"/>
        </w:rPr>
      </w:pPr>
    </w:p>
    <w:p w14:paraId="6153038C" w14:textId="77777777" w:rsidR="00207FFE" w:rsidRPr="009037F6" w:rsidRDefault="00207FFE" w:rsidP="00207FFE">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8BBEC99" w14:textId="77777777" w:rsidR="00207FFE" w:rsidRPr="009037F6" w:rsidRDefault="00207FFE" w:rsidP="00207FF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246547C6" w14:textId="77777777" w:rsidR="00662087" w:rsidRDefault="00662087" w:rsidP="00662087">
      <w:pPr>
        <w:spacing w:after="0" w:line="276" w:lineRule="auto"/>
        <w:rPr>
          <w:rFonts w:ascii="Verdana" w:eastAsia="Calibri" w:hAnsi="Verdana" w:cs="Times New Roman"/>
          <w:lang w:val="es-ES"/>
        </w:rPr>
      </w:pPr>
    </w:p>
    <w:p w14:paraId="3EA378C0" w14:textId="77777777" w:rsidR="002D3BFB" w:rsidRPr="009037F6" w:rsidRDefault="002D3BFB" w:rsidP="00662087">
      <w:pPr>
        <w:spacing w:after="0" w:line="276" w:lineRule="auto"/>
        <w:rPr>
          <w:rFonts w:ascii="Verdana" w:eastAsia="Calibri" w:hAnsi="Verdana" w:cs="Times New Roman"/>
          <w:lang w:val="es-ES"/>
        </w:rPr>
      </w:pPr>
    </w:p>
    <w:p w14:paraId="5C7F2FB9" w14:textId="77777777" w:rsidR="00662087"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lastRenderedPageBreak/>
        <w:t>Problemas planteados:</w:t>
      </w:r>
    </w:p>
    <w:p w14:paraId="044C2FD9" w14:textId="77777777" w:rsidR="002D3BFB" w:rsidRPr="009037F6" w:rsidRDefault="002D3BFB" w:rsidP="002D3BFB">
      <w:pPr>
        <w:spacing w:after="0" w:line="276" w:lineRule="auto"/>
        <w:ind w:left="1080"/>
        <w:rPr>
          <w:rFonts w:ascii="Verdana" w:eastAsia="Calibri" w:hAnsi="Verdana" w:cs="Times New Roman"/>
          <w:b/>
          <w:bCs/>
          <w:lang w:val="es-ES"/>
        </w:rPr>
      </w:pPr>
    </w:p>
    <w:p w14:paraId="1656C046" w14:textId="77777777" w:rsidR="00662087" w:rsidRPr="009037F6" w:rsidRDefault="00662087" w:rsidP="00662087">
      <w:pPr>
        <w:spacing w:after="0" w:line="276" w:lineRule="auto"/>
        <w:rPr>
          <w:rFonts w:ascii="Verdana" w:eastAsia="Calibri" w:hAnsi="Verdana" w:cs="Times New Roman"/>
        </w:rPr>
      </w:pPr>
    </w:p>
    <w:p w14:paraId="191AFEC5" w14:textId="77777777" w:rsidR="00662087" w:rsidRDefault="00662087" w:rsidP="00662087">
      <w:pPr>
        <w:spacing w:after="0" w:line="276" w:lineRule="auto"/>
        <w:jc w:val="both"/>
        <w:rPr>
          <w:rFonts w:ascii="Verdana" w:eastAsia="Calibri" w:hAnsi="Verdana" w:cs="Times New Roman"/>
        </w:rPr>
      </w:pPr>
      <w:r w:rsidRPr="009037F6">
        <w:rPr>
          <w:rFonts w:ascii="Verdana" w:eastAsia="Calibri" w:hAnsi="Verdana" w:cs="Times New Roman"/>
        </w:rPr>
        <w:t>De acuerdo con el contenido de su solicitud, y sintetizando los interrogantes primero y segundo, que abordan la misma cuestión desde perspectivas complementarias, la Agencia procede a resolver los siguientes problemas jurídicos: i) ¿Qué distingue el anticipo del pago en el contrato estatal y qué efectos produce esa distinción sobre la titularidad de los recursos que la entidad entrega al contratista y sobre las cargas de destinación, amortización y legalización que pueden imponérsele? ii) En un contrato cuyo precio se estructura por el sistema de precios unitarios fijos, ¿qué debe acreditar el contratista para que proceda el pago y puede la entidad exigirle la discriminación de los gastos en que incurrió por cada actividad cuando no se pactó anticipo?</w:t>
      </w:r>
    </w:p>
    <w:p w14:paraId="0D3D887D" w14:textId="77777777" w:rsidR="002D3BFB" w:rsidRPr="00D1210B" w:rsidRDefault="002D3BFB" w:rsidP="00662087">
      <w:pPr>
        <w:spacing w:after="0" w:line="276" w:lineRule="auto"/>
        <w:jc w:val="both"/>
        <w:rPr>
          <w:rFonts w:ascii="Verdana" w:eastAsia="Calibri" w:hAnsi="Verdana" w:cs="Times New Roman"/>
        </w:rPr>
      </w:pPr>
    </w:p>
    <w:p w14:paraId="3BAC8E07" w14:textId="77777777" w:rsidR="00662087" w:rsidRPr="00E27EDD" w:rsidRDefault="00662087" w:rsidP="00662087">
      <w:pPr>
        <w:spacing w:after="0" w:line="276" w:lineRule="auto"/>
        <w:jc w:val="both"/>
        <w:rPr>
          <w:rFonts w:ascii="Verdana" w:eastAsia="Calibri" w:hAnsi="Verdana" w:cs="Times New Roman"/>
          <w:i/>
          <w:iCs/>
        </w:rPr>
      </w:pPr>
    </w:p>
    <w:p w14:paraId="65D180CD" w14:textId="77777777" w:rsidR="00662087"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697D8174" w14:textId="77777777" w:rsidR="002D3BFB" w:rsidRPr="009037F6" w:rsidRDefault="002D3BFB" w:rsidP="002D3BFB">
      <w:pPr>
        <w:spacing w:after="0" w:line="276" w:lineRule="auto"/>
        <w:ind w:left="1080"/>
        <w:rPr>
          <w:rFonts w:ascii="Verdana" w:eastAsia="Calibri" w:hAnsi="Verdana" w:cs="Times New Roman"/>
          <w:b/>
          <w:bCs/>
          <w:lang w:val="es-ES"/>
        </w:rPr>
      </w:pPr>
    </w:p>
    <w:p w14:paraId="314725A5" w14:textId="77777777" w:rsidR="00662087" w:rsidRPr="009037F6" w:rsidRDefault="00662087" w:rsidP="0066208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62087" w:rsidRPr="009037F6" w14:paraId="7046AFC3" w14:textId="77777777" w:rsidTr="002A4618">
        <w:trPr>
          <w:trHeight w:val="345"/>
          <w:jc w:val="center"/>
        </w:trPr>
        <w:tc>
          <w:tcPr>
            <w:tcW w:w="8784" w:type="dxa"/>
            <w:tcBorders>
              <w:bottom w:val="single" w:sz="4" w:space="0" w:color="auto"/>
            </w:tcBorders>
          </w:tcPr>
          <w:p w14:paraId="117BF75F" w14:textId="77777777" w:rsidR="008A2B6F" w:rsidRPr="004F3256" w:rsidRDefault="008A2B6F" w:rsidP="0094710A">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Pr="00D811C4">
              <w:rPr>
                <w:rFonts w:ascii="Verdana" w:eastAsia="Times New Roman" w:hAnsi="Verdana" w:cs="Arial"/>
                <w:bCs/>
                <w:color w:val="000000" w:themeColor="text1"/>
                <w:lang w:val="es-ES" w:eastAsia="es-ES"/>
              </w:rPr>
              <w:t>Lo que distingue al anticipo del pago no es el momento de la entrega, sino el título en cuya virtud se entrega.</w:t>
            </w:r>
            <w:r w:rsidRPr="004F3256">
              <w:rPr>
                <w:rFonts w:ascii="Verdana" w:eastAsia="Times New Roman" w:hAnsi="Verdana" w:cs="Arial"/>
                <w:color w:val="000000" w:themeColor="text1"/>
                <w:lang w:val="es-ES" w:eastAsia="es-ES"/>
              </w:rPr>
              <w:t xml:space="preserve"> </w:t>
            </w:r>
            <w:r w:rsidRPr="00D811C4">
              <w:rPr>
                <w:rFonts w:ascii="Verdana" w:eastAsia="Times New Roman" w:hAnsi="Verdana" w:cs="Arial"/>
                <w:color w:val="000000" w:themeColor="text1"/>
                <w:lang w:val="es-ES" w:eastAsia="es-ES"/>
              </w:rPr>
              <w:t>El anticipo</w:t>
            </w:r>
            <w:r w:rsidRPr="004F3256">
              <w:rPr>
                <w:rFonts w:ascii="Verdana" w:eastAsia="Times New Roman" w:hAnsi="Verdana" w:cs="Arial"/>
                <w:color w:val="000000" w:themeColor="text1"/>
                <w:lang w:val="es-ES" w:eastAsia="es-ES"/>
              </w:rPr>
              <w:t xml:space="preserve"> es la suma que la entidad entrega para apalancar financieramente al contratista y solventar los costos iniciales de la ejecución: se imputa al precio, pero no retribuye prestación ejecutada alguna y debe amortizarse conforme al avance del contrato. El </w:t>
            </w:r>
            <w:r w:rsidRPr="00D811C4">
              <w:rPr>
                <w:rFonts w:ascii="Verdana" w:eastAsia="Times New Roman" w:hAnsi="Verdana" w:cs="Arial"/>
                <w:bCs/>
                <w:color w:val="000000" w:themeColor="text1"/>
                <w:lang w:val="es-ES" w:eastAsia="es-ES"/>
              </w:rPr>
              <w:t>pago</w:t>
            </w:r>
            <w:r w:rsidRPr="004F3256">
              <w:rPr>
                <w:rFonts w:ascii="Verdana" w:eastAsia="Times New Roman" w:hAnsi="Verdana" w:cs="Arial"/>
                <w:color w:val="000000" w:themeColor="text1"/>
                <w:lang w:val="es-ES" w:eastAsia="es-ES"/>
              </w:rPr>
              <w:t xml:space="preserve"> es la prestación de lo que se debe: retribuye prestaciones efectivamente ejecutadas y recibidas y extingue, total o parcialmente, la obligación de remuneración a cargo de la entidad</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5BCDB57A" w14:textId="759EABE9" w:rsidR="008A2B6F" w:rsidRPr="004F3256" w:rsidRDefault="008A2B6F" w:rsidP="00D811C4">
            <w:pPr>
              <w:spacing w:after="120" w:line="276" w:lineRule="auto"/>
              <w:ind w:firstLine="599"/>
              <w:jc w:val="both"/>
              <w:rPr>
                <w:rFonts w:ascii="Verdana" w:hAnsi="Verdana" w:cs="Arial"/>
                <w:lang w:val="es-ES" w:eastAsia="es-ES"/>
              </w:rPr>
            </w:pPr>
            <w:r w:rsidRPr="00D811C4">
              <w:rPr>
                <w:rFonts w:ascii="Verdana" w:eastAsia="Times New Roman" w:hAnsi="Verdana" w:cs="Arial"/>
                <w:bCs/>
                <w:color w:val="000000" w:themeColor="text1"/>
                <w:lang w:val="es-ES" w:eastAsia="es-ES"/>
              </w:rPr>
              <w:t>De ese título depende la titularidad de los recursos. El</w:t>
            </w:r>
            <w:r w:rsidRPr="004F3256">
              <w:rPr>
                <w:rFonts w:ascii="Verdana" w:eastAsia="Times New Roman" w:hAnsi="Verdana" w:cs="Arial"/>
                <w:color w:val="000000" w:themeColor="text1"/>
                <w:lang w:val="es-ES" w:eastAsia="es-ES"/>
              </w:rPr>
              <w:t xml:space="preserve"> monto entregado como anticipo no ingresa al patrimonio del contratista sino en la medida en que ha sido debidamente amortizado; hasta entonces permanece afectado a la ejecución del contrato, razón por la cual el ordenamiento impone las cargas de destinación específica, legalización y amortización, exige el amparo de </w:t>
            </w:r>
            <w:r w:rsidRPr="004F3256">
              <w:rPr>
                <w:rFonts w:ascii="Verdana" w:eastAsia="Times New Roman" w:hAnsi="Verdana" w:cs="Arial"/>
                <w:color w:val="000000" w:themeColor="text1"/>
                <w:lang w:val="es-ES" w:eastAsia="es-ES"/>
              </w:rPr>
              <w:lastRenderedPageBreak/>
              <w:t>buen manejo y correcta inversión y, en los supuestos del artículo 91 de la Ley 1474 de 2011, el manejo en fiducia o patrimonio autónomo irrevocable. El pago, en cambio, traslada al contratista la titularidad del dinero, que queda sujeto a su libre disposición y no soporta ninguna de esas cargas</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7DB7EB79" w14:textId="64BF1A85" w:rsidR="008A2B6F" w:rsidRPr="004F3256" w:rsidRDefault="008A2B6F" w:rsidP="00D811C4">
            <w:pPr>
              <w:spacing w:after="120" w:line="276" w:lineRule="auto"/>
              <w:ind w:firstLine="599"/>
              <w:jc w:val="both"/>
              <w:rPr>
                <w:rFonts w:ascii="Verdana" w:hAnsi="Verdana" w:cs="Arial"/>
                <w:lang w:val="es-ES" w:eastAsia="es-ES"/>
              </w:rPr>
            </w:pPr>
            <w:r w:rsidRPr="00D811C4">
              <w:rPr>
                <w:rFonts w:ascii="Verdana" w:eastAsia="Times New Roman" w:hAnsi="Verdana" w:cs="Arial"/>
                <w:bCs/>
                <w:color w:val="000000" w:themeColor="text1"/>
                <w:lang w:val="es-ES" w:eastAsia="es-ES"/>
              </w:rPr>
              <w:t xml:space="preserve">El </w:t>
            </w:r>
            <w:r w:rsidRPr="004F3256">
              <w:rPr>
                <w:rFonts w:ascii="Verdana" w:eastAsia="Times New Roman" w:hAnsi="Verdana" w:cs="Arial"/>
                <w:color w:val="000000" w:themeColor="text1"/>
                <w:lang w:val="es-ES" w:eastAsia="es-ES"/>
              </w:rPr>
              <w:t>artículo 2.2.1.2.3.1.7 del Decreto 1082 de 2015 prevé para una y otra figura amparos separados y excluyentes: el de buen manejo y correcta inversión del anticipo, que cubre la no inversión, el uso indebido y la apropiación indebida de los recursos, y el de devolución del pago anticipado, que cubre la no devolución del dinero entregado. Si ambas figuras produjeran el mismo efecto sobre la titularidad, esa doble previsión carecería de efecto útil</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13D17F37" w14:textId="6451A09F" w:rsidR="008A2B6F" w:rsidRPr="004F3256" w:rsidRDefault="008A2B6F" w:rsidP="00D811C4">
            <w:pPr>
              <w:spacing w:after="120" w:line="276" w:lineRule="auto"/>
              <w:ind w:firstLine="599"/>
              <w:jc w:val="both"/>
              <w:rPr>
                <w:rFonts w:ascii="Verdana" w:hAnsi="Verdana" w:cs="Arial"/>
                <w:lang w:val="es-ES" w:eastAsia="es-ES"/>
              </w:rPr>
            </w:pPr>
            <w:r w:rsidRPr="00D811C4">
              <w:rPr>
                <w:rFonts w:ascii="Verdana" w:eastAsia="Times New Roman" w:hAnsi="Verdana" w:cs="Arial"/>
                <w:bCs/>
                <w:color w:val="000000" w:themeColor="text1"/>
                <w:lang w:val="es-ES" w:eastAsia="es-ES"/>
              </w:rPr>
              <w:t>En consecuencia, cuando no se pacta anticipo, los dineros que la entidad entrega por honorarios o con ocasión de actas parciales de ejecución o de recibo final o a satisfacción tienen naturaleza de pago</w:t>
            </w:r>
            <w:r w:rsidRPr="004F3256">
              <w:rPr>
                <w:rFonts w:ascii="Verdana" w:eastAsia="Times New Roman" w:hAnsi="Verdana" w:cs="Arial"/>
                <w:color w:val="000000" w:themeColor="text1"/>
                <w:lang w:val="es-ES" w:eastAsia="es-ES"/>
              </w:rPr>
              <w:t xml:space="preserve"> y, como tales, ingresan al patrimonio del contratista, que no queda obligado a justificar ante la entidad el empleo que les dé ni a legalizarlos o amortizarlos, salvo estipulación contractual en contrario. Conviene precisar que el acta de recibo final o a satisfacción no es, en rigor, un título de entrega distinto: es el documento en el que consta la verificación del cumplimiento y que habilita el pago</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670A1700" w14:textId="21341206" w:rsidR="008A2B6F" w:rsidRDefault="008A2B6F" w:rsidP="00D811C4">
            <w:pPr>
              <w:spacing w:after="120" w:line="276" w:lineRule="auto"/>
              <w:ind w:firstLine="599"/>
              <w:jc w:val="both"/>
              <w:rPr>
                <w:rFonts w:ascii="Verdana" w:eastAsia="Times New Roman" w:hAnsi="Verdana" w:cs="Arial"/>
                <w:color w:val="000000" w:themeColor="text1"/>
                <w:lang w:val="es-ES" w:eastAsia="es-ES"/>
              </w:rPr>
            </w:pPr>
            <w:r w:rsidRPr="00D811C4">
              <w:rPr>
                <w:rFonts w:ascii="Verdana" w:eastAsia="Times New Roman" w:hAnsi="Verdana" w:cs="Arial"/>
                <w:bCs/>
                <w:color w:val="000000" w:themeColor="text1"/>
                <w:lang w:val="es-ES" w:eastAsia="es-ES"/>
              </w:rPr>
              <w:lastRenderedPageBreak/>
              <w:t>Esa traslación de la titularidad no es irreversible ni sustrae la operación al control.</w:t>
            </w:r>
            <w:r w:rsidRPr="004F3256">
              <w:rPr>
                <w:rFonts w:ascii="Verdana" w:eastAsia="Times New Roman" w:hAnsi="Verdana" w:cs="Arial"/>
                <w:color w:val="000000" w:themeColor="text1"/>
                <w:lang w:val="es-ES" w:eastAsia="es-ES"/>
              </w:rPr>
              <w:t xml:space="preserve"> El pago puede quedar sujeto a restitución si se declara la nulidad del contrato, en los términos y con los límites del artículo 48 de la Ley 80 de 1993, si se configura un pago de lo no debido, o como resultado del ajuste de cuentas propio de la liquidación. Y el egreso con el que se atiende el pago sigue siendo un acto de ejecución presupuestal sometido a los controles que el ordenamiento establece. </w:t>
            </w:r>
            <w:r w:rsidR="00D811C4">
              <w:rPr>
                <w:rFonts w:ascii="Verdana" w:eastAsia="Times New Roman" w:hAnsi="Verdana" w:cs="Arial"/>
                <w:color w:val="000000" w:themeColor="text1"/>
                <w:lang w:val="es-ES" w:eastAsia="es-ES"/>
              </w:rPr>
              <w:t>S</w:t>
            </w:r>
            <w:r w:rsidRPr="004F3256">
              <w:rPr>
                <w:rFonts w:ascii="Verdana" w:eastAsia="Times New Roman" w:hAnsi="Verdana" w:cs="Arial"/>
                <w:color w:val="000000" w:themeColor="text1"/>
                <w:lang w:val="es-ES" w:eastAsia="es-ES"/>
              </w:rPr>
              <w:t xml:space="preserve">atisfecha la prestación y pagada, el contratista no soporta las cargas de destinación que el ordenamiento reserva al anticipo. </w:t>
            </w:r>
          </w:p>
          <w:p w14:paraId="675FDA06" w14:textId="77777777" w:rsidR="00D811C4" w:rsidRPr="00301564" w:rsidRDefault="00D811C4" w:rsidP="00D811C4">
            <w:pPr>
              <w:spacing w:after="120" w:line="276" w:lineRule="auto"/>
              <w:ind w:firstLine="599"/>
              <w:jc w:val="both"/>
              <w:rPr>
                <w:rFonts w:ascii="Verdana" w:hAnsi="Verdana" w:cs="Arial"/>
                <w:lang w:val="es-ES" w:eastAsia="es-ES"/>
              </w:rPr>
            </w:pPr>
          </w:p>
          <w:p w14:paraId="0ECD7386" w14:textId="77777777" w:rsidR="00301564" w:rsidRDefault="00301564" w:rsidP="0094710A">
            <w:pPr>
              <w:spacing w:after="120" w:line="276" w:lineRule="auto"/>
              <w:jc w:val="both"/>
              <w:rPr>
                <w:rFonts w:ascii="Verdana" w:hAnsi="Verdana" w:cs="Arial"/>
                <w:lang w:val="es-ES" w:eastAsia="es-ES"/>
              </w:rPr>
            </w:pPr>
            <w:r w:rsidRPr="00301564">
              <w:rPr>
                <w:rFonts w:ascii="Verdana" w:eastAsia="Times New Roman" w:hAnsi="Verdana" w:cs="Arial"/>
                <w:color w:val="000000" w:themeColor="text1"/>
                <w:lang w:val="es-ES" w:eastAsia="es-ES"/>
              </w:rPr>
              <w:t>ii</w:t>
            </w:r>
            <w:r w:rsidR="008A2B6F" w:rsidRPr="00301564">
              <w:rPr>
                <w:rFonts w:ascii="Verdana" w:eastAsia="Times New Roman" w:hAnsi="Verdana" w:cs="Arial"/>
                <w:color w:val="000000" w:themeColor="text1"/>
                <w:lang w:val="es-ES" w:eastAsia="es-ES"/>
              </w:rPr>
              <w:t>) En los contratos pactados por precios unitarios, el hecho que causa el derecho al pago es la ejecución de la cantidad, no la erogación. El</w:t>
            </w:r>
            <w:r w:rsidR="008A2B6F" w:rsidRPr="004F3256">
              <w:rPr>
                <w:rFonts w:ascii="Verdana" w:eastAsia="Times New Roman" w:hAnsi="Verdana" w:cs="Arial"/>
                <w:color w:val="000000" w:themeColor="text1"/>
                <w:lang w:val="es-ES" w:eastAsia="es-ES"/>
              </w:rPr>
              <w:t xml:space="preserve"> valor definitivo corresponde al resultado de multiplicar las cantidades realmente ejecutadas por los precios unitarios pactados, de modo que el valor inicialmente expresado tiene carácter estimativo y referencial. Si además los precios se pactan como </w:t>
            </w:r>
            <w:r w:rsidR="008A2B6F" w:rsidRPr="00301564">
              <w:rPr>
                <w:rFonts w:ascii="Verdana" w:eastAsia="Times New Roman" w:hAnsi="Verdana" w:cs="Arial"/>
                <w:bCs/>
                <w:color w:val="000000" w:themeColor="text1"/>
                <w:lang w:val="es-ES" w:eastAsia="es-ES"/>
              </w:rPr>
              <w:t>fijos,</w:t>
            </w:r>
            <w:r w:rsidR="008A2B6F" w:rsidRPr="004F3256">
              <w:rPr>
                <w:rFonts w:ascii="Verdana" w:eastAsia="Times New Roman" w:hAnsi="Verdana" w:cs="Arial"/>
                <w:color w:val="000000" w:themeColor="text1"/>
                <w:lang w:val="es-ES" w:eastAsia="es-ES"/>
              </w:rPr>
              <w:t xml:space="preserve"> el contratista asume el álea ordinaria de la variación de sus costos y, por la misma razón, hace suya la diferencia cuando el costo real resulta inferior al previsto. Lo que debe acreditar para que proceda el pago es, entonces, la ejecución de las cantidades y su conformidad con lo pactado</w:t>
            </w:r>
            <w:r w:rsidR="008A2B6F" w:rsidRPr="004F3256">
              <w:rPr>
                <w:rStyle w:val="Refdenotaalpie"/>
                <w:rFonts w:ascii="Verdana" w:hAnsi="Verdana"/>
                <w:sz w:val="20"/>
              </w:rPr>
              <w:footnoteReference w:id="5"/>
            </w:r>
            <w:r w:rsidR="008A2B6F" w:rsidRPr="004F3256">
              <w:rPr>
                <w:rFonts w:ascii="Verdana" w:eastAsia="Times New Roman" w:hAnsi="Verdana" w:cs="Arial"/>
                <w:color w:val="000000" w:themeColor="text1"/>
                <w:lang w:val="es-ES" w:eastAsia="es-ES"/>
              </w:rPr>
              <w:t>.</w:t>
            </w:r>
          </w:p>
          <w:p w14:paraId="66929580" w14:textId="77777777" w:rsidR="00301564" w:rsidRDefault="008A2B6F" w:rsidP="00301564">
            <w:pPr>
              <w:spacing w:after="120" w:line="276" w:lineRule="auto"/>
              <w:ind w:firstLine="599"/>
              <w:jc w:val="both"/>
              <w:rPr>
                <w:rFonts w:ascii="Verdana" w:hAnsi="Verdana" w:cs="Arial"/>
                <w:lang w:val="es-ES" w:eastAsia="es-ES"/>
              </w:rPr>
            </w:pPr>
            <w:r w:rsidRPr="00301564">
              <w:rPr>
                <w:rFonts w:ascii="Verdana" w:eastAsia="Times New Roman" w:hAnsi="Verdana" w:cs="Arial"/>
                <w:bCs/>
                <w:color w:val="000000" w:themeColor="text1"/>
                <w:lang w:val="es-ES" w:eastAsia="es-ES"/>
              </w:rPr>
              <w:t>No es procedente exigir la discriminación de los gastos por actividad como condición del pago cuando no se pactó anticipo y el contrato no impuso esa carga. La</w:t>
            </w:r>
            <w:r w:rsidRPr="004F3256">
              <w:rPr>
                <w:rFonts w:ascii="Verdana" w:eastAsia="Times New Roman" w:hAnsi="Verdana" w:cs="Arial"/>
                <w:color w:val="000000" w:themeColor="text1"/>
                <w:lang w:val="es-ES" w:eastAsia="es-ES"/>
              </w:rPr>
              <w:t xml:space="preserve"> obligación de justificar la destinación de los dineros es propia del anticipo, precisamente porque allí los recursos permanecen afectados a la ejecución. El análisis de precios unitarios —APU— es un instrumento de estructuración y evaluación del precio, no un mecanismo de reembolso de costos. A ello se añade un argumento </w:t>
            </w:r>
            <w:r w:rsidR="00301564">
              <w:rPr>
                <w:rFonts w:ascii="Verdana" w:eastAsia="Times New Roman" w:hAnsi="Verdana" w:cs="Arial"/>
                <w:color w:val="000000" w:themeColor="text1"/>
                <w:lang w:val="es-ES" w:eastAsia="es-ES"/>
              </w:rPr>
              <w:t>adicional</w:t>
            </w:r>
            <w:r w:rsidRPr="004F3256">
              <w:rPr>
                <w:rFonts w:ascii="Verdana" w:eastAsia="Times New Roman" w:hAnsi="Verdana" w:cs="Arial"/>
                <w:color w:val="000000" w:themeColor="text1"/>
                <w:lang w:val="es-ES" w:eastAsia="es-ES"/>
              </w:rPr>
              <w:t xml:space="preserve">: cuando el legislador quiso condicionar el pago a una acreditación determinada lo dijo expresamente, como ocurre con los aportes al Sistema de Seguridad Social Integral, que </w:t>
            </w:r>
            <w:r w:rsidRPr="004F3256">
              <w:rPr>
                <w:rFonts w:ascii="Verdana" w:eastAsia="Times New Roman" w:hAnsi="Verdana" w:cs="Arial"/>
                <w:color w:val="000000" w:themeColor="text1"/>
                <w:lang w:val="es-ES" w:eastAsia="es-ES"/>
              </w:rPr>
              <w:lastRenderedPageBreak/>
              <w:t>“deberá acreditarse para la realización de cada pago derivado del contrato estatal”</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01ECB0C9" w14:textId="31B7555E" w:rsidR="008A2B6F" w:rsidRPr="004F3256" w:rsidRDefault="008A2B6F" w:rsidP="00301564">
            <w:pPr>
              <w:spacing w:after="120" w:line="276" w:lineRule="auto"/>
              <w:ind w:firstLine="599"/>
              <w:jc w:val="both"/>
              <w:rPr>
                <w:rFonts w:ascii="Verdana" w:hAnsi="Verdana" w:cs="Arial"/>
                <w:lang w:val="es-ES" w:eastAsia="es-ES"/>
              </w:rPr>
            </w:pPr>
            <w:r w:rsidRPr="00301564">
              <w:rPr>
                <w:rFonts w:ascii="Verdana" w:eastAsia="Times New Roman" w:hAnsi="Verdana" w:cs="Arial"/>
                <w:bCs/>
                <w:color w:val="000000" w:themeColor="text1"/>
                <w:lang w:val="es-ES" w:eastAsia="es-ES"/>
              </w:rPr>
              <w:t>Lo anterior no priva a la entidad de sus facultades de vigilancia ni excluye los supuestos en que el análisis de costos sí es pertinente.</w:t>
            </w:r>
            <w:r w:rsidRPr="004F3256">
              <w:rPr>
                <w:rFonts w:ascii="Verdana" w:eastAsia="Times New Roman" w:hAnsi="Verdana" w:cs="Arial"/>
                <w:color w:val="000000" w:themeColor="text1"/>
                <w:lang w:val="es-ES" w:eastAsia="es-ES"/>
              </w:rPr>
              <w:t xml:space="preserve"> Los supervisores e interventores están facultados para solicitar informes, aclaraciones y explicaciones sobre la ejecución, facultad instrumental al control del cumplimiento obligacional que no habilita a auditar la estructura de costos o la utilidad del contratista. </w:t>
            </w:r>
          </w:p>
        </w:tc>
      </w:tr>
    </w:tbl>
    <w:p w14:paraId="62D1B424" w14:textId="77777777" w:rsidR="00662087" w:rsidRDefault="00662087" w:rsidP="00662087">
      <w:pPr>
        <w:spacing w:after="0" w:line="276" w:lineRule="auto"/>
        <w:jc w:val="both"/>
        <w:rPr>
          <w:rFonts w:ascii="Verdana" w:eastAsia="Calibri" w:hAnsi="Verdana" w:cs="Arial"/>
          <w:bCs/>
          <w:color w:val="000000" w:themeColor="text1"/>
        </w:rPr>
      </w:pPr>
      <w:bookmarkStart w:id="0" w:name="_Hlk37703813"/>
    </w:p>
    <w:p w14:paraId="7F6ADF16" w14:textId="77777777" w:rsidR="002D3BFB" w:rsidRPr="00B57A1B" w:rsidRDefault="002D3BFB" w:rsidP="00662087">
      <w:pPr>
        <w:spacing w:after="0" w:line="276" w:lineRule="auto"/>
        <w:jc w:val="both"/>
        <w:rPr>
          <w:rFonts w:ascii="Verdana" w:eastAsia="Calibri" w:hAnsi="Verdana" w:cs="Arial"/>
          <w:bCs/>
          <w:color w:val="000000" w:themeColor="text1"/>
        </w:rPr>
      </w:pPr>
    </w:p>
    <w:p w14:paraId="21F8B3DA" w14:textId="77777777" w:rsidR="00662087" w:rsidRDefault="00662087" w:rsidP="00662087">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2CBD2F62" w14:textId="77777777" w:rsidR="002D3BFB" w:rsidRPr="00B57A1B" w:rsidRDefault="002D3BFB" w:rsidP="002D3BFB">
      <w:pPr>
        <w:tabs>
          <w:tab w:val="left" w:pos="2268"/>
        </w:tabs>
        <w:spacing w:after="0" w:line="276" w:lineRule="auto"/>
        <w:ind w:left="1080"/>
        <w:rPr>
          <w:rFonts w:ascii="Verdana" w:eastAsia="Calibri" w:hAnsi="Verdana" w:cs="Times New Roman"/>
          <w:b/>
          <w:bCs/>
          <w:lang w:val="es-ES"/>
        </w:rPr>
      </w:pPr>
    </w:p>
    <w:p w14:paraId="5D1885D0" w14:textId="77777777" w:rsidR="00662087" w:rsidRPr="003C0ED7" w:rsidRDefault="00662087" w:rsidP="00662087">
      <w:pPr>
        <w:spacing w:after="0" w:line="276" w:lineRule="auto"/>
        <w:jc w:val="both"/>
        <w:rPr>
          <w:rFonts w:ascii="Verdana" w:eastAsia="Calibri" w:hAnsi="Verdana" w:cs="Arial"/>
          <w:lang w:val="es-ES"/>
        </w:rPr>
      </w:pPr>
    </w:p>
    <w:p w14:paraId="10D271AE" w14:textId="77777777" w:rsidR="00662087" w:rsidRPr="00A0389A" w:rsidRDefault="00662087" w:rsidP="00662087">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745FD003" w14:textId="77777777" w:rsidR="004A0841" w:rsidRDefault="004A0841" w:rsidP="00751DE8">
      <w:pPr>
        <w:spacing w:after="0" w:line="240" w:lineRule="auto"/>
        <w:jc w:val="both"/>
        <w:rPr>
          <w:rFonts w:ascii="Verdana" w:hAnsi="Verdana" w:cs="Arial"/>
          <w:b/>
          <w:bCs/>
          <w:color w:val="000000"/>
          <w:lang w:val="es-ES"/>
        </w:rPr>
      </w:pPr>
    </w:p>
    <w:p w14:paraId="39306D7F" w14:textId="77777777" w:rsidR="004A0841" w:rsidRDefault="004A0841" w:rsidP="00751DE8">
      <w:pPr>
        <w:spacing w:after="0" w:line="240" w:lineRule="auto"/>
        <w:jc w:val="both"/>
        <w:rPr>
          <w:rFonts w:ascii="Verdana" w:hAnsi="Verdana" w:cs="Arial"/>
          <w:b/>
          <w:bCs/>
          <w:color w:val="000000"/>
          <w:lang w:val="es-ES"/>
        </w:rPr>
      </w:pPr>
    </w:p>
    <w:p w14:paraId="11E563FA" w14:textId="4B7508F8" w:rsidR="00662087" w:rsidRPr="00A0389A" w:rsidRDefault="00DB5C07"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00867E8A">
        <w:rPr>
          <w:rFonts w:ascii="Verdana" w:hAnsi="Verdana" w:cs="Arial"/>
          <w:bCs/>
          <w:szCs w:val="24"/>
          <w:lang w:val="es-ES_tradnl" w:eastAsia="es-ES_tradnl"/>
        </w:rPr>
        <w:t>En materia de contratación pública la figura del anticipo está prevista en dos preceptos. El primero es el inciso primero del parágrafo del artículo 40 de la Ley 80 de 1993, conforme al cual “En los contratos que celebren las entidades estatales se podrá pactar el pago anticipado y la entrega de anticipos, pero su monto no podrá exceder del cincuenta por ciento (50%) del valor del respectivo contrato”. El segundo es el artículo 91 de la Ley 1474 de 2011, según el cual en los contratos de obra, concesión, salud, o los que se realicen por licitación pública, el contratista debe constituir una fiducia o un patrimonio autónomo irrevocable para el manejo de los recursos que reciba a título de anticipo, con el fin de garantizar que se apliquen exclusivamente a la ejecución del contrato, salvo que este sea de menor o mínima cuantía</w:t>
      </w:r>
      <w:r w:rsidR="00867E8A">
        <w:rPr>
          <w:rStyle w:val="Refdenotaalpie"/>
          <w:rFonts w:ascii="Verdana" w:hAnsi="Verdana"/>
          <w:sz w:val="20"/>
        </w:rPr>
        <w:footnoteReference w:id="7"/>
      </w:r>
      <w:r w:rsidR="00867E8A">
        <w:rPr>
          <w:rFonts w:ascii="Verdana" w:hAnsi="Verdana" w:cs="Arial"/>
          <w:bCs/>
          <w:szCs w:val="24"/>
          <w:lang w:val="es-ES_tradnl" w:eastAsia="es-ES_tradnl"/>
        </w:rPr>
        <w:t>.</w:t>
      </w:r>
    </w:p>
    <w:p w14:paraId="28392232" w14:textId="77777777" w:rsidR="004A0841" w:rsidRDefault="004A0841" w:rsidP="00751DE8">
      <w:pPr>
        <w:spacing w:after="0" w:line="240" w:lineRule="auto"/>
        <w:jc w:val="both"/>
        <w:rPr>
          <w:rFonts w:ascii="Verdana" w:hAnsi="Verdana" w:cs="Arial"/>
          <w:b/>
          <w:bCs/>
          <w:color w:val="000000"/>
          <w:lang w:val="es-ES"/>
        </w:rPr>
      </w:pPr>
    </w:p>
    <w:p w14:paraId="32E1B0BB"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De esas dos disposiciones se extraen ya dos datos decisivos. El primero es que la ley menciona dos figuras diferenciadas —el pago anticipado y la entrega de anticipos— sometidas a un límite cuantitativo común, lo que supone que se trata de instituciones distintas y no de denominaciones intercambiables. El segundo es que el legislador estimó necesario establecer, solo respecto del anticipo, un régimen reforzado de manejo dirigido a asegurar que los recursos se apliquen exclusivamente a la ejecución del contrato. Ese régimen carecería de sentido si los dineros hubieran ingresado ya al patrimonio del contratista y quedado sujetos a su libre disposición.</w:t>
      </w:r>
    </w:p>
    <w:p w14:paraId="1745C43D" w14:textId="77777777" w:rsidR="004A0841" w:rsidRDefault="004A0841" w:rsidP="00751DE8">
      <w:pPr>
        <w:spacing w:after="0" w:line="240" w:lineRule="auto"/>
        <w:jc w:val="both"/>
        <w:rPr>
          <w:rFonts w:ascii="Verdana" w:hAnsi="Verdana" w:cs="Arial"/>
          <w:b/>
          <w:bCs/>
          <w:color w:val="000000"/>
          <w:lang w:val="es-ES"/>
        </w:rPr>
      </w:pPr>
    </w:p>
    <w:p w14:paraId="6A860484"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jurisprudencia del Consejo de Estado ha precisado la naturaleza de la figura en términos que esta Subdirección ha reiterado. El anticipo es:</w:t>
      </w:r>
    </w:p>
    <w:p w14:paraId="32682A2C" w14:textId="77777777" w:rsidR="004A0841" w:rsidRDefault="004A0841" w:rsidP="00751DE8">
      <w:pPr>
        <w:spacing w:after="0" w:line="240" w:lineRule="auto"/>
        <w:jc w:val="both"/>
        <w:rPr>
          <w:rFonts w:ascii="Verdana" w:hAnsi="Verdana" w:cs="Arial"/>
          <w:b/>
          <w:bCs/>
          <w:color w:val="000000"/>
          <w:lang w:val="es-ES"/>
        </w:rPr>
      </w:pPr>
    </w:p>
    <w:p w14:paraId="6126BB3D" w14:textId="77777777" w:rsidR="00662087" w:rsidRPr="00A0389A" w:rsidRDefault="00662087" w:rsidP="00662087">
      <w:pPr>
        <w:tabs>
          <w:tab w:val="left" w:pos="709"/>
        </w:tabs>
        <w:spacing w:after="120" w:line="240" w:lineRule="auto"/>
        <w:ind w:left="709" w:right="709"/>
        <w:jc w:val="both"/>
        <w:rPr>
          <w:rFonts w:ascii="Verdana" w:hAnsi="Verdana" w:cs="Arial"/>
          <w:sz w:val="21"/>
          <w:szCs w:val="21"/>
          <w:lang w:val="es-ES" w:eastAsia="es-ES"/>
        </w:rPr>
      </w:pPr>
      <w:r w:rsidRPr="00A0389A">
        <w:rPr>
          <w:rFonts w:ascii="Verdana" w:hAnsi="Verdana" w:cs="Arial"/>
          <w:sz w:val="21"/>
          <w:szCs w:val="21"/>
          <w:lang w:val="es-ES" w:eastAsia="es-ES"/>
        </w:rPr>
        <w:t>“[…]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A0389A">
        <w:rPr>
          <w:rStyle w:val="Refdenotaalpie"/>
          <w:rFonts w:ascii="Verdana" w:hAnsi="Verdana"/>
          <w:sz w:val="20"/>
        </w:rPr>
        <w:footnoteReference w:id="8"/>
      </w:r>
      <w:r w:rsidRPr="00A0389A">
        <w:rPr>
          <w:rFonts w:ascii="Verdana" w:hAnsi="Verdana" w:cs="Arial"/>
          <w:sz w:val="21"/>
          <w:szCs w:val="21"/>
          <w:lang w:val="es-ES" w:eastAsia="es-ES"/>
        </w:rPr>
        <w:t>.</w:t>
      </w:r>
    </w:p>
    <w:p w14:paraId="25EA0A86" w14:textId="77777777" w:rsidR="004A0841" w:rsidRDefault="004A0841" w:rsidP="00751DE8">
      <w:pPr>
        <w:spacing w:after="0" w:line="240" w:lineRule="auto"/>
        <w:jc w:val="both"/>
        <w:rPr>
          <w:rFonts w:ascii="Verdana" w:hAnsi="Verdana" w:cs="Arial"/>
          <w:b/>
          <w:bCs/>
          <w:color w:val="000000"/>
          <w:lang w:val="es-ES"/>
        </w:rPr>
      </w:pPr>
    </w:p>
    <w:p w14:paraId="1EA277B8"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Conviene despejar una posible ambigüedad de esa definición. Cuando alude a una suma “pactada como contraprestación” no está diciendo que el anticipo retribuya una prestación ya ejecutada —cosa que por definición no ocurre, pues se entrega antes de la ejecución—, sino que su monto se imputa al precio del contrato: por eso el límite del cincuenta por ciento se calcula sobre “el valor del respectivo contrato” y por eso el anticipo se amortiza descontándolo de los pagos sucesivos. La distinción correcta, por tanto, no es que el anticipo quede fuera del precio, sino que </w:t>
      </w:r>
      <w:r>
        <w:rPr>
          <w:rFonts w:ascii="Verdana" w:hAnsi="Verdana" w:cs="Arial"/>
          <w:bCs/>
          <w:i/>
          <w:szCs w:val="24"/>
          <w:lang w:val="es-ES_tradnl" w:eastAsia="es-ES_tradnl"/>
        </w:rPr>
        <w:t>no constituye pago</w:t>
      </w:r>
      <w:r>
        <w:rPr>
          <w:rFonts w:ascii="Verdana" w:hAnsi="Verdana" w:cs="Arial"/>
          <w:bCs/>
          <w:szCs w:val="24"/>
          <w:lang w:val="es-ES_tradnl" w:eastAsia="es-ES_tradnl"/>
        </w:rPr>
        <w:t xml:space="preserve"> mientras no se amortice.</w:t>
      </w:r>
    </w:p>
    <w:p w14:paraId="59D79ACB" w14:textId="77777777" w:rsidR="004A0841" w:rsidRDefault="004A0841" w:rsidP="00751DE8">
      <w:pPr>
        <w:spacing w:after="0" w:line="240" w:lineRule="auto"/>
        <w:jc w:val="both"/>
        <w:rPr>
          <w:rFonts w:ascii="Verdana" w:hAnsi="Verdana" w:cs="Arial"/>
          <w:b/>
          <w:bCs/>
          <w:color w:val="000000"/>
          <w:lang w:val="es-ES"/>
        </w:rPr>
      </w:pPr>
    </w:p>
    <w:p w14:paraId="3F5A4C7E"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La finalidad de la figura es de apalancamiento financiero: se entrega para solventar los costos iniciales de la ejecución y debe amortizarse conforme al avance de la obra o del servicio. De ahí la consecuencia que interesa a la </w:t>
      </w:r>
      <w:r>
        <w:rPr>
          <w:rFonts w:ascii="Verdana" w:hAnsi="Verdana" w:cs="Arial"/>
          <w:bCs/>
          <w:szCs w:val="24"/>
          <w:lang w:val="es-ES_tradnl" w:eastAsia="es-ES_tradnl"/>
        </w:rPr>
        <w:lastRenderedPageBreak/>
        <w:t>consulta: los recursos entregados a título de anticipo permanecen afectados a la ejecución del contrato mientras no se amorticen, razón por la cual corresponde a la entidad adoptar las medidas necesarias y razonables para asegurar su correcta inversión, las cuales deben reflejarse en el contrato celebrado</w:t>
      </w:r>
      <w:r>
        <w:rPr>
          <w:rStyle w:val="Refdenotaalpie"/>
          <w:rFonts w:ascii="Verdana" w:hAnsi="Verdana"/>
          <w:sz w:val="20"/>
        </w:rPr>
        <w:footnoteReference w:id="9"/>
      </w:r>
      <w:r>
        <w:rPr>
          <w:rFonts w:ascii="Verdana" w:hAnsi="Verdana" w:cs="Arial"/>
          <w:bCs/>
          <w:szCs w:val="24"/>
          <w:lang w:val="es-ES_tradnl" w:eastAsia="es-ES_tradnl"/>
        </w:rPr>
        <w:t>.</w:t>
      </w:r>
    </w:p>
    <w:p w14:paraId="06354316" w14:textId="77777777" w:rsidR="004A0841" w:rsidRDefault="004A0841" w:rsidP="00751DE8">
      <w:pPr>
        <w:spacing w:after="0" w:line="240" w:lineRule="auto"/>
        <w:jc w:val="both"/>
        <w:rPr>
          <w:rFonts w:ascii="Verdana" w:hAnsi="Verdana" w:cs="Arial"/>
          <w:b/>
          <w:bCs/>
          <w:color w:val="000000"/>
          <w:lang w:val="es-ES"/>
        </w:rPr>
      </w:pPr>
    </w:p>
    <w:p w14:paraId="445B5724"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Esas medidas son de tres órdenes. Primero, el patrimonio autónomo irrevocable en los supuestos del artículo 91 de la Ley 1474 de 2011, que permite el reintegro de los recursos a la entidad cuando se declara la caducidad, el incumplimiento o la terminación del contrato, o cuando sobreviene su nulidad. Segundo, el plan de inversión del anticipo, herramienta preventiva que la entidad puede incorporar al clausulado para hacer seguimiento del destino de los recursos. Tercero, el amparo de buen manejo y correcta inversión del anticipo, de función correctiva y resarcitoria, que cubre tres eventos: la no inversión del anticipo, su uso indebido y la apropiación indebida de los recursos recibidos a ese título</w:t>
      </w:r>
      <w:r>
        <w:rPr>
          <w:rStyle w:val="Refdenotaalpie"/>
          <w:rFonts w:ascii="Verdana" w:hAnsi="Verdana"/>
          <w:sz w:val="20"/>
        </w:rPr>
        <w:footnoteReference w:id="10"/>
      </w:r>
      <w:r>
        <w:rPr>
          <w:rFonts w:ascii="Verdana" w:hAnsi="Verdana" w:cs="Arial"/>
          <w:bCs/>
          <w:szCs w:val="24"/>
          <w:lang w:val="es-ES_tradnl" w:eastAsia="es-ES_tradnl"/>
        </w:rPr>
        <w:t>.</w:t>
      </w:r>
    </w:p>
    <w:p w14:paraId="7F2AEA19" w14:textId="77777777" w:rsidR="004A0841" w:rsidRDefault="004A0841" w:rsidP="00751DE8">
      <w:pPr>
        <w:spacing w:after="0" w:line="240" w:lineRule="auto"/>
        <w:jc w:val="both"/>
        <w:rPr>
          <w:rFonts w:ascii="Verdana" w:hAnsi="Verdana" w:cs="Arial"/>
          <w:b/>
          <w:bCs/>
          <w:color w:val="000000"/>
          <w:lang w:val="es-ES"/>
        </w:rPr>
      </w:pPr>
    </w:p>
    <w:p w14:paraId="2C63C21C" w14:textId="77777777" w:rsidR="00662087" w:rsidRPr="00A0389A" w:rsidRDefault="00867E8A" w:rsidP="00DB5C0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Del segundo de esos mecanismos conviene retener un dato, porque anticipa la respuesta al tercer interrogante: la exigencia del plan de inversión del anticipo no constituye una obligación legal expresa, sino una medida de control que debe estar incorporada al contrato. Cuando no se pactó en el clausulado, la entidad queda limitada frente a la posibilidad de derivar de su incumplimiento consecuencias sancionatorias, porque la carga no forma parte del alcance obligacional del contrato. Si esto vale para el anticipo —donde los recursos sí están afectados—, con mayor razón vale cuando no se pactó anticipo alguno</w:t>
      </w:r>
      <w:r>
        <w:rPr>
          <w:rStyle w:val="Refdenotaalpie"/>
          <w:rFonts w:ascii="Verdana" w:hAnsi="Verdana"/>
          <w:sz w:val="20"/>
        </w:rPr>
        <w:footnoteReference w:id="11"/>
      </w:r>
      <w:r>
        <w:rPr>
          <w:rFonts w:ascii="Verdana" w:hAnsi="Verdana" w:cs="Arial"/>
          <w:bCs/>
          <w:szCs w:val="24"/>
          <w:lang w:val="es-ES_tradnl" w:eastAsia="es-ES_tradnl"/>
        </w:rPr>
        <w:t>.</w:t>
      </w:r>
    </w:p>
    <w:p w14:paraId="02937C43" w14:textId="77777777" w:rsidR="004A0841" w:rsidRDefault="004A0841" w:rsidP="00751DE8">
      <w:pPr>
        <w:spacing w:after="0" w:line="240" w:lineRule="auto"/>
        <w:jc w:val="both"/>
        <w:rPr>
          <w:rFonts w:ascii="Verdana" w:hAnsi="Verdana" w:cs="Arial"/>
          <w:b/>
          <w:bCs/>
          <w:color w:val="000000"/>
          <w:lang w:val="es-ES"/>
        </w:rPr>
      </w:pPr>
    </w:p>
    <w:p w14:paraId="333F8CDA" w14:textId="77777777" w:rsidR="00DB5C07" w:rsidRDefault="00DB5C07" w:rsidP="00751DE8">
      <w:pPr>
        <w:spacing w:after="0" w:line="240" w:lineRule="auto"/>
        <w:jc w:val="both"/>
        <w:rPr>
          <w:rFonts w:ascii="Verdana" w:hAnsi="Verdana" w:cs="Arial"/>
          <w:b/>
          <w:bCs/>
          <w:color w:val="000000"/>
          <w:lang w:val="es-ES"/>
        </w:rPr>
      </w:pPr>
    </w:p>
    <w:p w14:paraId="6F12BB5A" w14:textId="4A511F0B" w:rsidR="00662087" w:rsidRPr="00A0389A" w:rsidRDefault="00DB5C07"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 xml:space="preserve">ii) </w:t>
      </w:r>
      <w:r w:rsidR="00867E8A">
        <w:rPr>
          <w:rFonts w:ascii="Verdana" w:hAnsi="Verdana" w:cs="Arial"/>
          <w:bCs/>
          <w:szCs w:val="24"/>
          <w:lang w:val="es-ES_tradnl" w:eastAsia="es-ES_tradnl"/>
        </w:rPr>
        <w:t>El pago es, conforme al Código Civil, la prestación de lo que se debe, y debe hacerse en conformidad al tenor de la obligación. En el contrato estatal constituye el cumplimiento de la obligación correlativa de la entidad en un negocio conmutativo y satisface el derecho del contratista a recibir oportunamente la remuneración pactada. Por definición extingue la obligación en la medida en que se paga y, con ello, el dinero deja de pertenecer a la entidad y pasa al contratista</w:t>
      </w:r>
      <w:r w:rsidR="00867E8A">
        <w:rPr>
          <w:rStyle w:val="Refdenotaalpie"/>
          <w:rFonts w:ascii="Verdana" w:hAnsi="Verdana"/>
          <w:sz w:val="20"/>
        </w:rPr>
        <w:footnoteReference w:id="12"/>
      </w:r>
      <w:r w:rsidR="00867E8A">
        <w:rPr>
          <w:rFonts w:ascii="Verdana" w:hAnsi="Verdana" w:cs="Arial"/>
          <w:bCs/>
          <w:szCs w:val="24"/>
          <w:lang w:val="es-ES_tradnl" w:eastAsia="es-ES_tradnl"/>
        </w:rPr>
        <w:t>.</w:t>
      </w:r>
    </w:p>
    <w:p w14:paraId="3CAA618F" w14:textId="77777777" w:rsidR="004A0841" w:rsidRDefault="004A0841" w:rsidP="00751DE8">
      <w:pPr>
        <w:spacing w:after="0" w:line="240" w:lineRule="auto"/>
        <w:jc w:val="both"/>
        <w:rPr>
          <w:rFonts w:ascii="Verdana" w:hAnsi="Verdana" w:cs="Arial"/>
          <w:b/>
          <w:bCs/>
          <w:color w:val="000000"/>
          <w:lang w:val="es-ES"/>
        </w:rPr>
      </w:pPr>
    </w:p>
    <w:p w14:paraId="6F6D9113"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denominación con que se documente el pago no altera esa naturaleza. Los honorarios, las actas parciales de ejecución y el acta de recibo final o a satisfacción que menciona la consulta no son títulos distintos de entrega: en todos esos casos se retribuye una prestación ejecutada. Debe precisarse, además, que el acta de recibo a satisfacción no es propiamente un título de pago, sino el documento en el que consta la verificación del cumplimiento por parte de la supervisión o la interventoría y que, por ello, habilita el pago</w:t>
      </w:r>
      <w:r>
        <w:rPr>
          <w:rStyle w:val="Refdenotaalpie"/>
          <w:rFonts w:ascii="Verdana" w:hAnsi="Verdana"/>
          <w:sz w:val="20"/>
        </w:rPr>
        <w:footnoteReference w:id="13"/>
      </w:r>
      <w:r>
        <w:rPr>
          <w:rFonts w:ascii="Verdana" w:hAnsi="Verdana" w:cs="Arial"/>
          <w:bCs/>
          <w:szCs w:val="24"/>
          <w:lang w:val="es-ES_tradnl" w:eastAsia="es-ES_tradnl"/>
        </w:rPr>
        <w:t>.</w:t>
      </w:r>
    </w:p>
    <w:p w14:paraId="596375D8" w14:textId="77777777" w:rsidR="004A0841" w:rsidRDefault="004A0841" w:rsidP="00751DE8">
      <w:pPr>
        <w:spacing w:after="0" w:line="240" w:lineRule="auto"/>
        <w:jc w:val="both"/>
        <w:rPr>
          <w:rFonts w:ascii="Verdana" w:hAnsi="Verdana" w:cs="Arial"/>
          <w:b/>
          <w:bCs/>
          <w:color w:val="000000"/>
          <w:lang w:val="es-ES"/>
        </w:rPr>
      </w:pPr>
    </w:p>
    <w:p w14:paraId="1A7004CD" w14:textId="77777777" w:rsidR="004A0841" w:rsidRDefault="004A0841" w:rsidP="00751DE8">
      <w:pPr>
        <w:spacing w:after="0" w:line="240" w:lineRule="auto"/>
        <w:jc w:val="both"/>
        <w:rPr>
          <w:rFonts w:ascii="Verdana" w:hAnsi="Verdana" w:cs="Arial"/>
          <w:b/>
          <w:bCs/>
          <w:color w:val="000000"/>
          <w:lang w:val="es-ES"/>
        </w:rPr>
      </w:pPr>
    </w:p>
    <w:p w14:paraId="5674F620" w14:textId="1CF97EE6" w:rsidR="00662087" w:rsidRPr="00A0389A" w:rsidRDefault="009D7ECC"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iii) </w:t>
      </w:r>
      <w:r w:rsidR="00867E8A">
        <w:rPr>
          <w:rFonts w:ascii="Verdana" w:hAnsi="Verdana" w:cs="Arial"/>
          <w:bCs/>
          <w:szCs w:val="24"/>
          <w:lang w:val="es-ES_tradnl" w:eastAsia="es-ES_tradnl"/>
        </w:rPr>
        <w:t>La existencia de una tercera figura confirma que el criterio de distinción no puede ser el momento de la entrega. El pago anticipado se concibe como la retribución parcial que el contratista recibe: hace parte del precio y su entrega comporta la extinción parcial de la obligación de remuneración a cargo de la entidad, solo que adelantada a la realización del contrato o como primer contado. En palabras de esta Subdirección, se trata de una forma en que la entidad entrega anticipadamente un pago parcial, “es decir, sale de la esfera de la entidad y entra al patrimonio del contratista, sin que tenga una destinación diferente a la que este lo use, en el marco de su libertad y autonomía”</w:t>
      </w:r>
      <w:r w:rsidR="00867E8A">
        <w:rPr>
          <w:rStyle w:val="Refdenotaalpie"/>
          <w:rFonts w:ascii="Verdana" w:hAnsi="Verdana"/>
          <w:sz w:val="20"/>
        </w:rPr>
        <w:footnoteReference w:id="14"/>
      </w:r>
      <w:r w:rsidR="00867E8A">
        <w:rPr>
          <w:rFonts w:ascii="Verdana" w:hAnsi="Verdana" w:cs="Arial"/>
          <w:bCs/>
          <w:szCs w:val="24"/>
          <w:lang w:val="es-ES_tradnl" w:eastAsia="es-ES_tradnl"/>
        </w:rPr>
        <w:t>.</w:t>
      </w:r>
    </w:p>
    <w:p w14:paraId="601318AB" w14:textId="77777777" w:rsidR="004A0841" w:rsidRDefault="004A0841" w:rsidP="00751DE8">
      <w:pPr>
        <w:spacing w:after="0" w:line="240" w:lineRule="auto"/>
        <w:jc w:val="both"/>
        <w:rPr>
          <w:rFonts w:ascii="Verdana" w:hAnsi="Verdana" w:cs="Arial"/>
          <w:b/>
          <w:bCs/>
          <w:color w:val="000000"/>
          <w:lang w:val="es-ES"/>
        </w:rPr>
      </w:pPr>
    </w:p>
    <w:p w14:paraId="57A6394D" w14:textId="77777777"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Anticipo y pago anticipado se entregan ambos antes de la ejecución; sin embargo, producen efectos opuestos sobre la titularidad de los recursos. Lo que </w:t>
      </w:r>
      <w:r>
        <w:rPr>
          <w:rFonts w:ascii="Verdana" w:hAnsi="Verdana" w:cs="Arial"/>
          <w:bCs/>
          <w:szCs w:val="24"/>
          <w:lang w:val="es-ES_tradnl" w:eastAsia="es-ES_tradnl"/>
        </w:rPr>
        <w:lastRenderedPageBreak/>
        <w:t>los separa no es la oportunidad sino el título: financiación afectada a una destinación, en el primero; retribución del precio, en el segundo.</w:t>
      </w:r>
    </w:p>
    <w:p w14:paraId="1EF12F5E" w14:textId="77777777" w:rsidR="004A0841" w:rsidRDefault="004A0841" w:rsidP="00751DE8">
      <w:pPr>
        <w:spacing w:after="0" w:line="240" w:lineRule="auto"/>
        <w:jc w:val="both"/>
        <w:rPr>
          <w:rFonts w:ascii="Verdana" w:hAnsi="Verdana" w:cs="Arial"/>
          <w:b/>
          <w:bCs/>
          <w:color w:val="000000"/>
          <w:lang w:val="es-ES"/>
        </w:rPr>
      </w:pPr>
    </w:p>
    <w:p w14:paraId="25B2EE4F" w14:textId="77777777"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derecho positivo recoge esa diferencia de manera inequívoca. El artículo 2.2.1.2.3.1.7 del Decreto 1082 de 2015 enumera los amparos que debe cubrir la garantía de cumplimiento y prevé, como amparos separados, el de “buen manejo y correcta inversión del anticipo” —numeral 1— y el de “devolución del pago anticipado” —numeral 2—. Los amparos, además, “deben ser independientes unos de otros respecto de sus Riesgos y de sus valores asegurados”, son excluyentes y no se pueden acumular</w:t>
      </w:r>
      <w:r>
        <w:rPr>
          <w:rStyle w:val="Refdenotaalpie"/>
          <w:rFonts w:ascii="Verdana" w:hAnsi="Verdana"/>
          <w:sz w:val="20"/>
        </w:rPr>
        <w:footnoteReference w:id="15"/>
      </w:r>
      <w:r>
        <w:rPr>
          <w:rFonts w:ascii="Verdana" w:hAnsi="Verdana" w:cs="Arial"/>
          <w:bCs/>
          <w:szCs w:val="24"/>
          <w:lang w:val="es-ES_tradnl" w:eastAsia="es-ES_tradnl"/>
        </w:rPr>
        <w:t>.</w:t>
      </w:r>
    </w:p>
    <w:p w14:paraId="5C6D1946" w14:textId="77777777" w:rsidR="004A0841" w:rsidRDefault="004A0841" w:rsidP="00751DE8">
      <w:pPr>
        <w:spacing w:after="0" w:line="240" w:lineRule="auto"/>
        <w:jc w:val="both"/>
        <w:rPr>
          <w:rFonts w:ascii="Verdana" w:hAnsi="Verdana" w:cs="Arial"/>
          <w:b/>
          <w:bCs/>
          <w:color w:val="000000"/>
          <w:lang w:val="es-ES"/>
        </w:rPr>
      </w:pPr>
    </w:p>
    <w:p w14:paraId="606F84B2" w14:textId="2A8607CF"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del anticipo cubre la no inversión, el uso indebido y la apropiación indebida de los recursos: presupone que el dinero está afectado a una destinación y que su desviación causa un perjuicio a la entidad. El del pago anticipado cubre la no devolución total o parcial del dinero entregado: presupone que el dinero ya es del contratista y que, si el contrato no se ejecuta, nace para él una obligación restitutoria. La misma lógica explica que la suficiencia de la primera garantía se extienda “hasta la liquidación del contrato o hasta la amortización del anticipo”, mientras que la de la segunda lo haga hasta que la entidad verifique el cumplimiento de las actividades o la entrega de los bienes o servicios asociados al pago anticipado</w:t>
      </w:r>
      <w:r>
        <w:rPr>
          <w:rStyle w:val="Refdenotaalpie"/>
          <w:rFonts w:ascii="Verdana" w:hAnsi="Verdana"/>
          <w:sz w:val="20"/>
        </w:rPr>
        <w:footnoteReference w:id="16"/>
      </w:r>
      <w:r>
        <w:rPr>
          <w:rFonts w:ascii="Verdana" w:hAnsi="Verdana" w:cs="Arial"/>
          <w:bCs/>
          <w:szCs w:val="24"/>
          <w:lang w:val="es-ES_tradnl" w:eastAsia="es-ES_tradnl"/>
        </w:rPr>
        <w:t>.</w:t>
      </w:r>
    </w:p>
    <w:p w14:paraId="31427A94" w14:textId="77777777" w:rsidR="004A0841" w:rsidRDefault="004A0841" w:rsidP="00751DE8">
      <w:pPr>
        <w:spacing w:after="0" w:line="240" w:lineRule="auto"/>
        <w:jc w:val="both"/>
        <w:rPr>
          <w:rFonts w:ascii="Verdana" w:hAnsi="Verdana" w:cs="Arial"/>
          <w:b/>
          <w:bCs/>
          <w:color w:val="000000"/>
          <w:lang w:val="es-ES"/>
        </w:rPr>
      </w:pPr>
    </w:p>
    <w:p w14:paraId="5E655867" w14:textId="77777777"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Una interpretación que atribuyera a los dineros pagados el mismo régimen de afectación del anticipo privaría de efecto útil a esa doble previsión reglamentaria y haría inexplicable que el legislador hubiera reservado al anticipo el manejo fiduciario del artículo 91 de la Ley 1474 de 2011.</w:t>
      </w:r>
    </w:p>
    <w:p w14:paraId="70FD630C" w14:textId="77777777" w:rsidR="004A0841" w:rsidRDefault="004A0841" w:rsidP="00751DE8">
      <w:pPr>
        <w:spacing w:after="0" w:line="240" w:lineRule="auto"/>
        <w:jc w:val="both"/>
        <w:rPr>
          <w:rFonts w:ascii="Verdana" w:hAnsi="Verdana" w:cs="Arial"/>
          <w:b/>
          <w:bCs/>
          <w:color w:val="000000"/>
          <w:lang w:val="es-ES"/>
        </w:rPr>
      </w:pPr>
    </w:p>
    <w:p w14:paraId="46251075" w14:textId="77777777" w:rsidR="004A0841" w:rsidRDefault="004A0841" w:rsidP="00751DE8">
      <w:pPr>
        <w:spacing w:after="0" w:line="240" w:lineRule="auto"/>
        <w:jc w:val="both"/>
        <w:rPr>
          <w:rFonts w:ascii="Verdana" w:hAnsi="Verdana" w:cs="Arial"/>
          <w:b/>
          <w:bCs/>
          <w:color w:val="000000"/>
          <w:lang w:val="es-ES"/>
        </w:rPr>
      </w:pPr>
    </w:p>
    <w:p w14:paraId="16F53D36" w14:textId="4719FB55" w:rsidR="00662087" w:rsidRPr="00A0389A" w:rsidRDefault="00586278"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 xml:space="preserve">De lo expuesto se sigue la respuesta, en el plano contractual, al primer interrogante. Cuando en un contrato estatal no se pacta anticipo, los dineros que la entidad entrega al contratista por concepto de honorarios o con ocasión de actas parciales de ejecución o de recibo final o a satisfacción tienen naturaleza de pago: retribuyen prestaciones ejecutadas, extinguen la obligación de </w:t>
      </w:r>
      <w:r w:rsidR="00867E8A">
        <w:rPr>
          <w:rFonts w:ascii="Verdana" w:hAnsi="Verdana" w:cs="Arial"/>
          <w:bCs/>
          <w:szCs w:val="24"/>
          <w:lang w:val="es-ES_tradnl" w:eastAsia="es-ES_tradnl"/>
        </w:rPr>
        <w:lastRenderedPageBreak/>
        <w:t>remuneración y trasladan al contratista la titularidad del dinero, sin quedar sujetos a destinación específica, amortización o legalización.</w:t>
      </w:r>
    </w:p>
    <w:p w14:paraId="5939F8E3" w14:textId="77777777" w:rsidR="004A0841" w:rsidRDefault="004A0841" w:rsidP="00751DE8">
      <w:pPr>
        <w:spacing w:after="0" w:line="240" w:lineRule="auto"/>
        <w:jc w:val="both"/>
        <w:rPr>
          <w:rFonts w:ascii="Verdana" w:hAnsi="Verdana" w:cs="Arial"/>
          <w:b/>
          <w:bCs/>
          <w:color w:val="000000"/>
          <w:lang w:val="es-ES"/>
        </w:rPr>
      </w:pPr>
    </w:p>
    <w:p w14:paraId="200E061E" w14:textId="5335A656"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pago puede quedar sujeto a restitución si se declara la nulidad del contrato —caso en el cual el artículo 48 de la Ley 80 de 1993 regula el reconocimiento de las prestaciones ejecutadas y sus límites—, si se configura un pago de lo no debido, o como resultado del ajuste de cuentas propio de la liquidación, que es el escenario natural para establecer si hubo pagos en exceso o defecto</w:t>
      </w:r>
      <w:r>
        <w:rPr>
          <w:rStyle w:val="Refdenotaalpie"/>
          <w:rFonts w:ascii="Verdana" w:hAnsi="Verdana"/>
          <w:sz w:val="20"/>
        </w:rPr>
        <w:footnoteReference w:id="17"/>
      </w:r>
      <w:r>
        <w:rPr>
          <w:rFonts w:ascii="Verdana" w:hAnsi="Verdana" w:cs="Arial"/>
          <w:bCs/>
          <w:szCs w:val="24"/>
          <w:lang w:val="es-ES_tradnl" w:eastAsia="es-ES_tradnl"/>
        </w:rPr>
        <w:t>.</w:t>
      </w:r>
    </w:p>
    <w:p w14:paraId="550D64B8" w14:textId="77777777" w:rsidR="004A0841" w:rsidRDefault="004A0841" w:rsidP="00751DE8">
      <w:pPr>
        <w:spacing w:after="0" w:line="240" w:lineRule="auto"/>
        <w:jc w:val="both"/>
        <w:rPr>
          <w:rFonts w:ascii="Verdana" w:hAnsi="Verdana" w:cs="Arial"/>
          <w:b/>
          <w:bCs/>
          <w:color w:val="000000"/>
          <w:lang w:val="es-ES"/>
        </w:rPr>
      </w:pPr>
    </w:p>
    <w:p w14:paraId="2E7A4859" w14:textId="77777777" w:rsidR="004A0841" w:rsidRDefault="004A0841" w:rsidP="00751DE8">
      <w:pPr>
        <w:spacing w:after="0" w:line="240" w:lineRule="auto"/>
        <w:jc w:val="both"/>
        <w:rPr>
          <w:rFonts w:ascii="Verdana" w:hAnsi="Verdana" w:cs="Arial"/>
          <w:b/>
          <w:bCs/>
          <w:color w:val="000000"/>
          <w:lang w:val="es-ES"/>
        </w:rPr>
      </w:pPr>
    </w:p>
    <w:p w14:paraId="24364059" w14:textId="4ACBD4A1" w:rsidR="00662087" w:rsidRPr="00A0389A" w:rsidRDefault="00586278"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iv) </w:t>
      </w:r>
      <w:r w:rsidR="00867E8A">
        <w:rPr>
          <w:rFonts w:ascii="Verdana" w:hAnsi="Verdana" w:cs="Arial"/>
          <w:bCs/>
          <w:szCs w:val="24"/>
          <w:lang w:val="es-ES_tradnl" w:eastAsia="es-ES_tradnl"/>
        </w:rPr>
        <w:t>El sistema de precios unitarios no está regulado en el Estatuto General de Contratación de la Administración Pública: proviene de la práctica de los negocios y su adopción es fruto de la autonomía de la entidad para configurar el precio y el sistema de pago más apropiado, dentro de los límites del ordenamiento y como resultado de los estudios previos y del análisis del sector</w:t>
      </w:r>
      <w:r w:rsidR="00867E8A">
        <w:rPr>
          <w:rStyle w:val="Refdenotaalpie"/>
          <w:rFonts w:ascii="Verdana" w:hAnsi="Verdana"/>
          <w:sz w:val="20"/>
        </w:rPr>
        <w:footnoteReference w:id="18"/>
      </w:r>
      <w:r w:rsidR="00867E8A">
        <w:rPr>
          <w:rFonts w:ascii="Verdana" w:hAnsi="Verdana" w:cs="Arial"/>
          <w:bCs/>
          <w:szCs w:val="24"/>
          <w:lang w:val="es-ES_tradnl" w:eastAsia="es-ES_tradnl"/>
        </w:rPr>
        <w:t>.</w:t>
      </w:r>
    </w:p>
    <w:p w14:paraId="504F4AC8" w14:textId="77777777" w:rsidR="004A0841" w:rsidRDefault="004A0841" w:rsidP="00751DE8">
      <w:pPr>
        <w:spacing w:after="0" w:line="240" w:lineRule="auto"/>
        <w:jc w:val="both"/>
        <w:rPr>
          <w:rFonts w:ascii="Verdana" w:hAnsi="Verdana" w:cs="Arial"/>
          <w:b/>
          <w:bCs/>
          <w:color w:val="000000"/>
          <w:lang w:val="es-ES"/>
        </w:rPr>
      </w:pPr>
    </w:p>
    <w:p w14:paraId="0CF4BA31" w14:textId="77777777"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Su rasgo definitorio es que, ante la imposibilidad de establecer con exactitud los montos totales que resultarán de ejecutar el objeto, la entidad estima previamente las cantidades o unidades de obra y el proponente ofrece un valor unitario por cada una. De allí la distinción entre el valor estimado del contrato y su valor real o ejecutado. Como lo ha precisado la Sección Tercera del Consejo de Estado y lo ha reiterado esta Subdirección, en estos contratos “el valor contractual definitivo corresponde al resultado de multiplicar las cantidades de obra realmente ejecutadas por los precios unitarios establecidos en el contrato”, de modo que el valor inicialmente expresado tiene “un carácter meramente referencial y operativo”</w:t>
      </w:r>
      <w:r>
        <w:rPr>
          <w:rStyle w:val="Refdenotaalpie"/>
          <w:rFonts w:ascii="Verdana" w:hAnsi="Verdana"/>
          <w:sz w:val="20"/>
        </w:rPr>
        <w:footnoteReference w:id="19"/>
      </w:r>
      <w:r>
        <w:rPr>
          <w:rFonts w:ascii="Verdana" w:hAnsi="Verdana" w:cs="Arial"/>
          <w:bCs/>
          <w:szCs w:val="24"/>
          <w:lang w:val="es-ES_tradnl" w:eastAsia="es-ES_tradnl"/>
        </w:rPr>
        <w:t>.</w:t>
      </w:r>
    </w:p>
    <w:p w14:paraId="2397B3FB" w14:textId="77777777" w:rsidR="004A0841" w:rsidRDefault="004A0841" w:rsidP="00751DE8">
      <w:pPr>
        <w:spacing w:after="0" w:line="240" w:lineRule="auto"/>
        <w:jc w:val="both"/>
        <w:rPr>
          <w:rFonts w:ascii="Verdana" w:hAnsi="Verdana" w:cs="Arial"/>
          <w:b/>
          <w:bCs/>
          <w:color w:val="000000"/>
          <w:lang w:val="es-ES"/>
        </w:rPr>
      </w:pPr>
    </w:p>
    <w:p w14:paraId="0DE07748" w14:textId="0FEE3E0F"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 xml:space="preserve">La consecuencia jurídica es directa y resuelve el tercer interrogante </w:t>
      </w:r>
      <w:r w:rsidR="00586278">
        <w:rPr>
          <w:rFonts w:ascii="Verdana" w:hAnsi="Verdana" w:cs="Arial"/>
          <w:bCs/>
          <w:szCs w:val="24"/>
          <w:lang w:val="es-ES_tradnl" w:eastAsia="es-ES_tradnl"/>
        </w:rPr>
        <w:t xml:space="preserve">del peticionario </w:t>
      </w:r>
      <w:r>
        <w:rPr>
          <w:rFonts w:ascii="Verdana" w:hAnsi="Verdana" w:cs="Arial"/>
          <w:bCs/>
          <w:szCs w:val="24"/>
          <w:lang w:val="es-ES_tradnl" w:eastAsia="es-ES_tradnl"/>
        </w:rPr>
        <w:t xml:space="preserve">en su núcleo: el hecho que causa el derecho al pago es la </w:t>
      </w:r>
      <w:r>
        <w:rPr>
          <w:rFonts w:ascii="Verdana" w:hAnsi="Verdana" w:cs="Arial"/>
          <w:bCs/>
          <w:i/>
          <w:szCs w:val="24"/>
          <w:lang w:val="es-ES_tradnl" w:eastAsia="es-ES_tradnl"/>
        </w:rPr>
        <w:t>ejecución de la cantidad</w:t>
      </w:r>
      <w:r>
        <w:rPr>
          <w:rFonts w:ascii="Verdana" w:hAnsi="Verdana" w:cs="Arial"/>
          <w:bCs/>
          <w:szCs w:val="24"/>
          <w:lang w:val="es-ES_tradnl" w:eastAsia="es-ES_tradnl"/>
        </w:rPr>
        <w:t xml:space="preserve"> en las condiciones convenidas, no la </w:t>
      </w:r>
      <w:r>
        <w:rPr>
          <w:rFonts w:ascii="Verdana" w:hAnsi="Verdana" w:cs="Arial"/>
          <w:bCs/>
          <w:i/>
          <w:szCs w:val="24"/>
          <w:lang w:val="es-ES_tradnl" w:eastAsia="es-ES_tradnl"/>
        </w:rPr>
        <w:t>erogación</w:t>
      </w:r>
      <w:r>
        <w:rPr>
          <w:rFonts w:ascii="Verdana" w:hAnsi="Verdana" w:cs="Arial"/>
          <w:bCs/>
          <w:szCs w:val="24"/>
          <w:lang w:val="es-ES_tradnl" w:eastAsia="es-ES_tradnl"/>
        </w:rPr>
        <w:t xml:space="preserve"> en que el contratista haya incurrido para ejecutarla. Verificada la cantidad ejecutada y su conformidad con lo pactado, el precio unitario se aplica sin más, cualquiera que haya sido el costo real asumido por el contratista.</w:t>
      </w:r>
    </w:p>
    <w:p w14:paraId="774CC97D" w14:textId="77777777" w:rsidR="004A0841" w:rsidRDefault="004A0841" w:rsidP="00751DE8">
      <w:pPr>
        <w:spacing w:after="0" w:line="240" w:lineRule="auto"/>
        <w:jc w:val="both"/>
        <w:rPr>
          <w:rFonts w:ascii="Verdana" w:hAnsi="Verdana" w:cs="Arial"/>
          <w:b/>
          <w:bCs/>
          <w:color w:val="000000"/>
          <w:lang w:val="es-ES"/>
        </w:rPr>
      </w:pPr>
    </w:p>
    <w:p w14:paraId="57DAB36D" w14:textId="77777777" w:rsidR="00662087" w:rsidRPr="00A0389A" w:rsidRDefault="00867E8A" w:rsidP="00586278">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El carácter </w:t>
      </w:r>
      <w:r>
        <w:rPr>
          <w:rFonts w:ascii="Verdana" w:hAnsi="Verdana" w:cs="Arial"/>
          <w:bCs/>
          <w:i/>
          <w:szCs w:val="24"/>
          <w:lang w:val="es-ES_tradnl" w:eastAsia="es-ES_tradnl"/>
        </w:rPr>
        <w:t>fijo</w:t>
      </w:r>
      <w:r>
        <w:rPr>
          <w:rFonts w:ascii="Verdana" w:hAnsi="Verdana" w:cs="Arial"/>
          <w:bCs/>
          <w:szCs w:val="24"/>
          <w:lang w:val="es-ES_tradnl" w:eastAsia="es-ES_tradnl"/>
        </w:rPr>
        <w:t xml:space="preserve"> de los precios unitarios, que la consulta destaca, refuerza esa conclusión. Que el precio sea fijo significa que no está sometido a fórmula de reajuste durante la ejecución, de manera que el contratista asume el álea ordinaria de la variación de sus costos. Esa asignación de riesgo tiene una contrapartida necesaria: si el costo real resulta inferior al previsto, la diferencia le pertenece. Un sistema en el que el contratista soportara los sobrecostos pero debiera justificar los ahorros sería internamente incoherente</w:t>
      </w:r>
      <w:r>
        <w:rPr>
          <w:rStyle w:val="Refdenotaalpie"/>
          <w:rFonts w:ascii="Verdana" w:hAnsi="Verdana"/>
          <w:sz w:val="20"/>
        </w:rPr>
        <w:footnoteReference w:id="20"/>
      </w:r>
      <w:r>
        <w:rPr>
          <w:rFonts w:ascii="Verdana" w:hAnsi="Verdana" w:cs="Arial"/>
          <w:bCs/>
          <w:szCs w:val="24"/>
          <w:lang w:val="es-ES_tradnl" w:eastAsia="es-ES_tradnl"/>
        </w:rPr>
        <w:t>.</w:t>
      </w:r>
    </w:p>
    <w:p w14:paraId="7C222F8A" w14:textId="77777777" w:rsidR="004A0841" w:rsidRDefault="004A0841" w:rsidP="00751DE8">
      <w:pPr>
        <w:spacing w:after="0" w:line="240" w:lineRule="auto"/>
        <w:jc w:val="both"/>
        <w:rPr>
          <w:rFonts w:ascii="Verdana" w:hAnsi="Verdana" w:cs="Arial"/>
          <w:b/>
          <w:bCs/>
          <w:color w:val="000000"/>
          <w:lang w:val="es-ES"/>
        </w:rPr>
      </w:pPr>
    </w:p>
    <w:p w14:paraId="3B23ECDF" w14:textId="77777777" w:rsidR="004A0841" w:rsidRDefault="004A0841" w:rsidP="00751DE8">
      <w:pPr>
        <w:spacing w:after="0" w:line="240" w:lineRule="auto"/>
        <w:jc w:val="both"/>
        <w:rPr>
          <w:rFonts w:ascii="Verdana" w:hAnsi="Verdana" w:cs="Arial"/>
          <w:b/>
          <w:bCs/>
          <w:color w:val="000000"/>
          <w:lang w:val="es-ES"/>
        </w:rPr>
      </w:pPr>
    </w:p>
    <w:p w14:paraId="6C42F921" w14:textId="08A8FBC9" w:rsidR="00662087" w:rsidRPr="00A0389A" w:rsidRDefault="00586278"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v) </w:t>
      </w:r>
      <w:r w:rsidR="00867E8A">
        <w:rPr>
          <w:rFonts w:ascii="Verdana" w:hAnsi="Verdana" w:cs="Arial"/>
          <w:bCs/>
          <w:szCs w:val="24"/>
          <w:lang w:val="es-ES_tradnl" w:eastAsia="es-ES_tradnl"/>
        </w:rPr>
        <w:t>En los contratos estructurados por precios unitarios es práctica frecuente que la entidad solicite al proponente separar los costos directos —los directamente implicados en la ejecución del objeto— de los costos indirectos —los que no se vinculan de manera inmediata con la ejecución pero integran el precio, bien por constituir erogaciones administrativas o contingentes, bien por dirigirse a salvaguardar su ganancia—. Los primeros se evidencian en el análisis de precios unitarios —APU—; los segundos suelen abreviarse en el acrónimo AIU —Administración, Imprevistos y Utilidad—</w:t>
      </w:r>
      <w:r w:rsidR="00867E8A">
        <w:rPr>
          <w:rStyle w:val="Refdenotaalpie"/>
          <w:rFonts w:ascii="Verdana" w:hAnsi="Verdana"/>
          <w:sz w:val="20"/>
        </w:rPr>
        <w:footnoteReference w:id="21"/>
      </w:r>
      <w:r w:rsidR="00867E8A">
        <w:rPr>
          <w:rFonts w:ascii="Verdana" w:hAnsi="Verdana" w:cs="Arial"/>
          <w:bCs/>
          <w:szCs w:val="24"/>
          <w:lang w:val="es-ES_tradnl" w:eastAsia="es-ES_tradnl"/>
        </w:rPr>
        <w:t>.</w:t>
      </w:r>
    </w:p>
    <w:p w14:paraId="605C6A30" w14:textId="77777777" w:rsidR="004A0841" w:rsidRDefault="004A0841" w:rsidP="00751DE8">
      <w:pPr>
        <w:spacing w:after="0" w:line="240" w:lineRule="auto"/>
        <w:jc w:val="both"/>
        <w:rPr>
          <w:rFonts w:ascii="Verdana" w:hAnsi="Verdana" w:cs="Arial"/>
          <w:b/>
          <w:bCs/>
          <w:color w:val="000000"/>
          <w:lang w:val="es-ES"/>
        </w:rPr>
      </w:pPr>
    </w:p>
    <w:p w14:paraId="54628F60"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función de esos instrumentos es de estructuración y evaluación: sirven para conformar el presupuesto oficial, para que el proponente formule su oferta económica y para que la entidad compare las propuestas. No son un mecanismo de reembolso de costos ni de legalización de erogaciones. Confundir ambos planos supone transformar un contrato de precio cierto en uno de administración delegada o de reembolso de gastos, que responde a una lógica distinta y que las partes no pactaron.</w:t>
      </w:r>
    </w:p>
    <w:p w14:paraId="64232AD8" w14:textId="77777777" w:rsidR="004A0841" w:rsidRDefault="004A0841" w:rsidP="00751DE8">
      <w:pPr>
        <w:spacing w:after="0" w:line="240" w:lineRule="auto"/>
        <w:jc w:val="both"/>
        <w:rPr>
          <w:rFonts w:ascii="Verdana" w:hAnsi="Verdana" w:cs="Arial"/>
          <w:b/>
          <w:bCs/>
          <w:color w:val="000000"/>
          <w:lang w:val="es-ES"/>
        </w:rPr>
      </w:pPr>
    </w:p>
    <w:p w14:paraId="342F798F" w14:textId="006F8BCB"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 ello se añade un argumento</w:t>
      </w:r>
      <w:r w:rsidR="00586278">
        <w:rPr>
          <w:rFonts w:ascii="Verdana" w:hAnsi="Verdana" w:cs="Arial"/>
          <w:bCs/>
          <w:szCs w:val="24"/>
          <w:lang w:val="es-ES_tradnl" w:eastAsia="es-ES_tradnl"/>
        </w:rPr>
        <w:t xml:space="preserve"> adicional:c</w:t>
      </w:r>
      <w:r>
        <w:rPr>
          <w:rFonts w:ascii="Verdana" w:hAnsi="Verdana" w:cs="Arial"/>
          <w:bCs/>
          <w:szCs w:val="24"/>
          <w:lang w:val="es-ES_tradnl" w:eastAsia="es-ES_tradnl"/>
        </w:rPr>
        <w:t>uando el legislador quiso condicionar el pago a una acreditación determinada, lo dijo de manera expresa: el parágrafo 1 del artículo 41 de la Ley 80 de 1993, en la redacción que le dio el artículo 23 de la Ley 1150 de 2007, dispone que la acreditación del pago de los aportes al Sistema de Seguridad Social Integral y parafiscales “deberá acreditarse para la realización de cada pago derivado del contrato estatal”, y añade que el servidor público que sin justa causa no verifique ese pago incurre en causal de mala conducta. La existencia de esa previsión singular confirma que las condiciones de pago que la ley no impone solo son oponibles al contratista si fueron pactadas</w:t>
      </w:r>
      <w:r>
        <w:rPr>
          <w:rStyle w:val="Refdenotaalpie"/>
          <w:rFonts w:ascii="Verdana" w:hAnsi="Verdana"/>
          <w:sz w:val="20"/>
        </w:rPr>
        <w:footnoteReference w:id="22"/>
      </w:r>
      <w:r>
        <w:rPr>
          <w:rFonts w:ascii="Verdana" w:hAnsi="Verdana" w:cs="Arial"/>
          <w:bCs/>
          <w:szCs w:val="24"/>
          <w:lang w:val="es-ES_tradnl" w:eastAsia="es-ES_tradnl"/>
        </w:rPr>
        <w:t>.</w:t>
      </w:r>
    </w:p>
    <w:p w14:paraId="1C573BAB" w14:textId="77777777" w:rsidR="004A0841" w:rsidRDefault="004A0841" w:rsidP="00751DE8">
      <w:pPr>
        <w:spacing w:after="0" w:line="240" w:lineRule="auto"/>
        <w:jc w:val="both"/>
        <w:rPr>
          <w:rFonts w:ascii="Verdana" w:hAnsi="Verdana" w:cs="Arial"/>
          <w:b/>
          <w:bCs/>
          <w:color w:val="000000"/>
          <w:lang w:val="es-ES"/>
        </w:rPr>
      </w:pPr>
    </w:p>
    <w:p w14:paraId="5998C4FE"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Por eso la carga de justificar el destino de los dineros es característica del anticipo y no del pago: allí los recursos permanecen afectados a la ejecución del contrato, de manera que la legalización y la amortización son la contrapartida natural de esa afectación. Cuando no se ha pactado anticipo, esa premisa desaparece y, con ella, el fundamento de la exigencia.</w:t>
      </w:r>
    </w:p>
    <w:p w14:paraId="54CA351D" w14:textId="77777777" w:rsidR="004A0841" w:rsidRDefault="004A0841" w:rsidP="00751DE8">
      <w:pPr>
        <w:spacing w:after="0" w:line="240" w:lineRule="auto"/>
        <w:jc w:val="both"/>
        <w:rPr>
          <w:rFonts w:ascii="Verdana" w:hAnsi="Verdana" w:cs="Arial"/>
          <w:b/>
          <w:bCs/>
          <w:color w:val="000000"/>
          <w:lang w:val="es-ES"/>
        </w:rPr>
      </w:pPr>
    </w:p>
    <w:p w14:paraId="67D59713" w14:textId="77777777" w:rsidR="004A0841" w:rsidRDefault="004A0841" w:rsidP="00751DE8">
      <w:pPr>
        <w:spacing w:after="0" w:line="240" w:lineRule="auto"/>
        <w:jc w:val="both"/>
        <w:rPr>
          <w:rFonts w:ascii="Verdana" w:hAnsi="Verdana" w:cs="Arial"/>
          <w:b/>
          <w:bCs/>
          <w:color w:val="000000"/>
          <w:lang w:val="es-ES"/>
        </w:rPr>
      </w:pPr>
    </w:p>
    <w:p w14:paraId="0811A86B" w14:textId="42E641AC" w:rsidR="00662087" w:rsidRPr="00A0389A" w:rsidRDefault="00586278"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vi) </w:t>
      </w:r>
      <w:r w:rsidR="00867E8A">
        <w:rPr>
          <w:rFonts w:ascii="Verdana" w:hAnsi="Verdana" w:cs="Arial"/>
          <w:bCs/>
          <w:szCs w:val="24"/>
          <w:lang w:val="es-ES_tradnl" w:eastAsia="es-ES_tradnl"/>
        </w:rPr>
        <w:t>La conclusión anterior no debe llevarse más allá de lo que sostiene. La entidad conserva íntegras sus facultades de dirección y vigilancia. En primer lugar, puede y debe verificar, a través de la supervisión o de la interventoría, que las cantidades facturadas correspondan a las efectivamente ejecutadas y que estas se ajusten a las especificaciones técnicas y de calidad convenidas; esa verificación es, precisamente, el presupuesto del pago</w:t>
      </w:r>
      <w:r w:rsidR="00867E8A">
        <w:rPr>
          <w:rStyle w:val="Refdenotaalpie"/>
          <w:rFonts w:ascii="Verdana" w:hAnsi="Verdana"/>
          <w:sz w:val="20"/>
        </w:rPr>
        <w:footnoteReference w:id="23"/>
      </w:r>
      <w:r w:rsidR="00867E8A">
        <w:rPr>
          <w:rFonts w:ascii="Verdana" w:hAnsi="Verdana" w:cs="Arial"/>
          <w:bCs/>
          <w:szCs w:val="24"/>
          <w:lang w:val="es-ES_tradnl" w:eastAsia="es-ES_tradnl"/>
        </w:rPr>
        <w:t>.</w:t>
      </w:r>
    </w:p>
    <w:p w14:paraId="2876D5A8" w14:textId="77777777" w:rsidR="004A0841" w:rsidRDefault="004A0841" w:rsidP="00751DE8">
      <w:pPr>
        <w:spacing w:after="0" w:line="240" w:lineRule="auto"/>
        <w:jc w:val="both"/>
        <w:rPr>
          <w:rFonts w:ascii="Verdana" w:hAnsi="Verdana" w:cs="Arial"/>
          <w:b/>
          <w:bCs/>
          <w:color w:val="000000"/>
          <w:lang w:val="es-ES"/>
        </w:rPr>
      </w:pPr>
    </w:p>
    <w:p w14:paraId="71EF5E20"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En segundo lugar, los supervisores e interventores “están facultados para solicitar informes, aclaraciones y explicaciones sobre el desarrollo de la ejecución contractual”. Se trata de una facultad amplia, pero funcionalmente delimitada: la supervisión y la interventoría son expresiones del ejercicio de una función pública orientada al control del cumplimiento obligacional, de modo que su intervención “se limita a constatar que las obligaciones se cumplan en la forma, tiempo y condiciones convenidas, a identificar riesgos y desviaciones, y a </w:t>
      </w:r>
      <w:r>
        <w:rPr>
          <w:rFonts w:ascii="Verdana" w:hAnsi="Verdana" w:cs="Arial"/>
          <w:bCs/>
          <w:szCs w:val="24"/>
          <w:lang w:val="es-ES_tradnl" w:eastAsia="es-ES_tradnl"/>
        </w:rPr>
        <w:lastRenderedPageBreak/>
        <w:t>adoptar las medidas de control que resulten procedentes”. La facultad de pedir explicaciones es, entonces, instrumental respecto de esa finalidad y no un título para auditar la contabilidad interna o la utilidad del contratista</w:t>
      </w:r>
      <w:r>
        <w:rPr>
          <w:rStyle w:val="Refdenotaalpie"/>
          <w:rFonts w:ascii="Verdana" w:hAnsi="Verdana"/>
          <w:sz w:val="20"/>
        </w:rPr>
        <w:footnoteReference w:id="24"/>
      </w:r>
      <w:r>
        <w:rPr>
          <w:rFonts w:ascii="Verdana" w:hAnsi="Verdana" w:cs="Arial"/>
          <w:bCs/>
          <w:szCs w:val="24"/>
          <w:lang w:val="es-ES_tradnl" w:eastAsia="es-ES_tradnl"/>
        </w:rPr>
        <w:t>.</w:t>
      </w:r>
    </w:p>
    <w:p w14:paraId="06FAF880" w14:textId="77777777" w:rsidR="004A0841" w:rsidRDefault="004A0841" w:rsidP="00751DE8">
      <w:pPr>
        <w:spacing w:after="0" w:line="240" w:lineRule="auto"/>
        <w:jc w:val="both"/>
        <w:rPr>
          <w:rFonts w:ascii="Verdana" w:hAnsi="Verdana" w:cs="Arial"/>
          <w:b/>
          <w:bCs/>
          <w:color w:val="000000"/>
          <w:lang w:val="es-ES"/>
        </w:rPr>
      </w:pPr>
    </w:p>
    <w:p w14:paraId="651BF82D"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tercer lugar, subsisten las exigencias que la ley impone como requisito del pago con independencia de lo pactado, señaladamente la acreditación de los aportes al Sistema de Seguridad Social Integral y parafiscales, que el supervisor o interventor debe verificar antes de cada desembolso</w:t>
      </w:r>
      <w:r>
        <w:rPr>
          <w:rStyle w:val="Refdenotaalpie"/>
          <w:rFonts w:ascii="Verdana" w:hAnsi="Verdana"/>
          <w:sz w:val="20"/>
        </w:rPr>
        <w:footnoteReference w:id="25"/>
      </w:r>
      <w:r>
        <w:rPr>
          <w:rFonts w:ascii="Verdana" w:hAnsi="Verdana" w:cs="Arial"/>
          <w:bCs/>
          <w:szCs w:val="24"/>
          <w:lang w:val="es-ES_tradnl" w:eastAsia="es-ES_tradnl"/>
        </w:rPr>
        <w:t>.</w:t>
      </w:r>
    </w:p>
    <w:p w14:paraId="7D0CC098" w14:textId="77777777" w:rsidR="004A0841" w:rsidRDefault="004A0841" w:rsidP="00751DE8">
      <w:pPr>
        <w:spacing w:after="0" w:line="240" w:lineRule="auto"/>
        <w:jc w:val="both"/>
        <w:rPr>
          <w:rFonts w:ascii="Verdana" w:hAnsi="Verdana" w:cs="Arial"/>
          <w:b/>
          <w:bCs/>
          <w:color w:val="000000"/>
          <w:lang w:val="es-ES"/>
        </w:rPr>
      </w:pPr>
    </w:p>
    <w:p w14:paraId="6D4576C9"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En cuarto lugar —y esta precisión completa la respuesta—, hay dos supuestos en los que el análisis de costos sí resulta pertinente en un contrato pactado por precios unitarios. El primero es la aparición de </w:t>
      </w:r>
      <w:r>
        <w:rPr>
          <w:rFonts w:ascii="Verdana" w:hAnsi="Verdana" w:cs="Arial"/>
          <w:b/>
          <w:bCs/>
          <w:szCs w:val="24"/>
          <w:lang w:val="es-ES_tradnl" w:eastAsia="es-ES_tradnl"/>
        </w:rPr>
        <w:t>ítems o actividades no previstos</w:t>
      </w:r>
      <w:r>
        <w:rPr>
          <w:rFonts w:ascii="Verdana" w:hAnsi="Verdana" w:cs="Arial"/>
          <w:bCs/>
          <w:szCs w:val="24"/>
          <w:lang w:val="es-ES_tradnl" w:eastAsia="es-ES_tradnl"/>
        </w:rPr>
        <w:t xml:space="preserve"> en el contrato inicial: como no existe precio unitario convenido para ellos, las partes deben acordarlo, y esa fijación supone precisamente el análisis de los costos que lo integran. Ello no equivale a legalizar gastos ya ejecutados de los ítems pactados; opera hacia el futuro y respecto de prestaciones nuevas</w:t>
      </w:r>
      <w:r>
        <w:rPr>
          <w:rStyle w:val="Refdenotaalpie"/>
          <w:rFonts w:ascii="Verdana" w:hAnsi="Verdana"/>
          <w:sz w:val="20"/>
        </w:rPr>
        <w:footnoteReference w:id="26"/>
      </w:r>
      <w:r>
        <w:rPr>
          <w:rFonts w:ascii="Verdana" w:hAnsi="Verdana" w:cs="Arial"/>
          <w:bCs/>
          <w:szCs w:val="24"/>
          <w:lang w:val="es-ES_tradnl" w:eastAsia="es-ES_tradnl"/>
        </w:rPr>
        <w:t>.</w:t>
      </w:r>
    </w:p>
    <w:p w14:paraId="1CEAE8B2" w14:textId="77777777" w:rsidR="004A0841" w:rsidRDefault="004A0841" w:rsidP="00751DE8">
      <w:pPr>
        <w:spacing w:after="0" w:line="240" w:lineRule="auto"/>
        <w:jc w:val="both"/>
        <w:rPr>
          <w:rFonts w:ascii="Verdana" w:hAnsi="Verdana" w:cs="Arial"/>
          <w:b/>
          <w:bCs/>
          <w:color w:val="000000"/>
          <w:lang w:val="es-ES"/>
        </w:rPr>
      </w:pPr>
    </w:p>
    <w:p w14:paraId="7AEDA8E3"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segundo supuesto es la invocación de la </w:t>
      </w:r>
      <w:r>
        <w:rPr>
          <w:rFonts w:ascii="Verdana" w:hAnsi="Verdana" w:cs="Arial"/>
          <w:b/>
          <w:bCs/>
          <w:szCs w:val="24"/>
          <w:lang w:val="es-ES_tradnl" w:eastAsia="es-ES_tradnl"/>
        </w:rPr>
        <w:t>ruptura de la ecuación contractual</w:t>
      </w:r>
      <w:r>
        <w:rPr>
          <w:rFonts w:ascii="Verdana" w:hAnsi="Verdana" w:cs="Arial"/>
          <w:bCs/>
          <w:szCs w:val="24"/>
          <w:lang w:val="es-ES_tradnl" w:eastAsia="es-ES_tradnl"/>
        </w:rPr>
        <w:t>. Si el contratista pretende el restablecimiento del equilibrio económico por causas no imputables a él y ajenas al riesgo que asumió, es él quien debe acreditar la mayor onerosidad sobrevenida, y para ello la información de costos es el soporte natural. La carga es, en este punto, simétrica: quien invoca en su favor el álea extraordinaria debe probarla, del mismo modo que la entidad no puede escrutar los costos cuando nada de ello se discute</w:t>
      </w:r>
      <w:r>
        <w:rPr>
          <w:rStyle w:val="Refdenotaalpie"/>
          <w:rFonts w:ascii="Verdana" w:hAnsi="Verdana"/>
          <w:sz w:val="20"/>
        </w:rPr>
        <w:footnoteReference w:id="27"/>
      </w:r>
      <w:r>
        <w:rPr>
          <w:rFonts w:ascii="Verdana" w:hAnsi="Verdana" w:cs="Arial"/>
          <w:bCs/>
          <w:szCs w:val="24"/>
          <w:lang w:val="es-ES_tradnl" w:eastAsia="es-ES_tradnl"/>
        </w:rPr>
        <w:t>.</w:t>
      </w:r>
    </w:p>
    <w:p w14:paraId="0A74FD76" w14:textId="77777777" w:rsidR="004A0841" w:rsidRDefault="004A0841" w:rsidP="00751DE8">
      <w:pPr>
        <w:spacing w:after="0" w:line="240" w:lineRule="auto"/>
        <w:jc w:val="both"/>
        <w:rPr>
          <w:rFonts w:ascii="Verdana" w:hAnsi="Verdana" w:cs="Arial"/>
          <w:b/>
          <w:bCs/>
          <w:color w:val="000000"/>
          <w:lang w:val="es-ES"/>
        </w:rPr>
      </w:pPr>
    </w:p>
    <w:p w14:paraId="452C480C"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Y en quinto lugar, si el contrato o los documentos del proceso previeron expresamente la obligación de presentar determinados soportes —informes de costos, relaciones de personal, certificaciones de proveedores u otros—, esa obligación es exigible en sus propios términos, porque el contrato válidamente celebrado es ley para las partes. La autonomía de la voluntad permite a la entidad configurar esas cargas en la etapa de planeación; lo que no permite el ordenamiento es imponerlas sobrevinientemente, por vía de la supervisión, como condición de un pago ya causado</w:t>
      </w:r>
      <w:r>
        <w:rPr>
          <w:rStyle w:val="Refdenotaalpie"/>
          <w:rFonts w:ascii="Verdana" w:hAnsi="Verdana"/>
          <w:sz w:val="20"/>
        </w:rPr>
        <w:footnoteReference w:id="28"/>
      </w:r>
      <w:r>
        <w:rPr>
          <w:rFonts w:ascii="Verdana" w:hAnsi="Verdana" w:cs="Arial"/>
          <w:bCs/>
          <w:szCs w:val="24"/>
          <w:lang w:val="es-ES_tradnl" w:eastAsia="es-ES_tradnl"/>
        </w:rPr>
        <w:t>.</w:t>
      </w:r>
    </w:p>
    <w:p w14:paraId="4ED4C655" w14:textId="77777777" w:rsidR="004A0841" w:rsidRDefault="004A0841" w:rsidP="00751DE8">
      <w:pPr>
        <w:spacing w:after="0" w:line="240" w:lineRule="auto"/>
        <w:jc w:val="both"/>
        <w:rPr>
          <w:rFonts w:ascii="Verdana" w:hAnsi="Verdana" w:cs="Arial"/>
          <w:b/>
          <w:bCs/>
          <w:color w:val="000000"/>
          <w:lang w:val="es-ES"/>
        </w:rPr>
      </w:pPr>
    </w:p>
    <w:p w14:paraId="53C979C7"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Esta última precisión ordena adecuadamente el problema. La pregunta no es si la entidad puede pedir información —puede—, sino si puede condicionar el pago a una acreditación que el contrato no contempló y que el sistema de precio pactado no presupone. La respuesta a esto último es negativa: retener el pago de una prestación ejecutada y recibida, con fundamento en la falta de soportes de gasto no exigidos, desconoce el derecho del contratista a recibir oportunamente la remuneración pactada y el deber de la entidad de mantener las condiciones económicas del contrato</w:t>
      </w:r>
      <w:r>
        <w:rPr>
          <w:rStyle w:val="Refdenotaalpie"/>
          <w:rFonts w:ascii="Verdana" w:hAnsi="Verdana"/>
          <w:sz w:val="20"/>
        </w:rPr>
        <w:footnoteReference w:id="29"/>
      </w:r>
      <w:r>
        <w:rPr>
          <w:rFonts w:ascii="Verdana" w:hAnsi="Verdana" w:cs="Arial"/>
          <w:bCs/>
          <w:szCs w:val="24"/>
          <w:lang w:val="es-ES_tradnl" w:eastAsia="es-ES_tradnl"/>
        </w:rPr>
        <w:t>.</w:t>
      </w:r>
    </w:p>
    <w:p w14:paraId="7351AB65" w14:textId="77777777" w:rsidR="004A0841" w:rsidRDefault="004A0841" w:rsidP="00751DE8">
      <w:pPr>
        <w:spacing w:after="0" w:line="240" w:lineRule="auto"/>
        <w:jc w:val="both"/>
        <w:rPr>
          <w:rFonts w:ascii="Verdana" w:hAnsi="Verdana" w:cs="Arial"/>
          <w:b/>
          <w:bCs/>
          <w:color w:val="000000"/>
          <w:lang w:val="es-ES"/>
        </w:rPr>
      </w:pPr>
    </w:p>
    <w:p w14:paraId="1F29354F"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
          <w:bCs/>
          <w:szCs w:val="24"/>
          <w:lang w:val="es-ES_tradnl" w:eastAsia="es-ES_tradnl"/>
        </w:rPr>
        <w:t>8. Síntesis</w:t>
      </w:r>
    </w:p>
    <w:p w14:paraId="0AEED5AB" w14:textId="77777777" w:rsidR="004A0841" w:rsidRDefault="004A0841" w:rsidP="00751DE8">
      <w:pPr>
        <w:spacing w:after="0" w:line="240" w:lineRule="auto"/>
        <w:jc w:val="both"/>
        <w:rPr>
          <w:rFonts w:ascii="Verdana" w:hAnsi="Verdana" w:cs="Arial"/>
          <w:b/>
          <w:bCs/>
          <w:color w:val="000000"/>
          <w:lang w:val="es-ES"/>
        </w:rPr>
      </w:pPr>
    </w:p>
    <w:p w14:paraId="0787BCEB"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En suma: el criterio que gobierna la materia es el título de la entrega, no su oportunidad. Si la entidad entrega dinero para financiar la ejecución, con destinación específica y sujeto a amortización, hay anticipo, y los recursos permanecen afectados al contrato mientras no se amorticen. Si la entidad entrega dinero como retribución del precio —de manera adelantada o una vez ejecutadas las prestaciones—, hay pago anticipado o pago, y la titularidad se traslada al contratista, sin perjuicio de las restituciones que puedan proceder. En los contratos por precios unitarios fijos, el pago se causa por la ejecución de las cantidades a los precios convenidos y se acredita con la verificación de esa ejecución y con los soportes que la ley o el contrato exijan; no es procedente exigir la discriminación de los gastos internos por actividad cuando ni se pactó </w:t>
      </w:r>
      <w:r>
        <w:rPr>
          <w:rFonts w:ascii="Verdana" w:hAnsi="Verdana" w:cs="Arial"/>
          <w:bCs/>
          <w:szCs w:val="24"/>
          <w:lang w:val="es-ES_tradnl" w:eastAsia="es-ES_tradnl"/>
        </w:rPr>
        <w:lastRenderedPageBreak/>
        <w:t>anticipo ni el contrato impuso esa carga, salvo en los supuestos de fijación de precios para ítems no previstos y de reclamación por ruptura de la ecuación contractual.</w:t>
      </w:r>
    </w:p>
    <w:p w14:paraId="5EDE0F16" w14:textId="77777777" w:rsidR="00207FFE" w:rsidRPr="00A0389A" w:rsidRDefault="00207FFE" w:rsidP="00662087">
      <w:pPr>
        <w:spacing w:after="0" w:line="276" w:lineRule="auto"/>
        <w:jc w:val="both"/>
        <w:rPr>
          <w:rFonts w:ascii="Verdana" w:hAnsi="Verdana" w:cs="Arial"/>
          <w:bCs/>
          <w:szCs w:val="24"/>
          <w:lang w:val="es-ES_tradnl" w:eastAsia="es-ES_tradnl"/>
        </w:rPr>
      </w:pPr>
    </w:p>
    <w:bookmarkEnd w:id="0"/>
    <w:p w14:paraId="7D6734E5"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7B6537DD" w14:textId="77777777" w:rsidR="00662087" w:rsidRPr="009037F6" w:rsidRDefault="00662087" w:rsidP="0066208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2087" w:rsidRPr="009037F6" w14:paraId="3695962B" w14:textId="77777777" w:rsidTr="002A4618">
        <w:trPr>
          <w:trHeight w:val="487"/>
          <w:jc w:val="center"/>
        </w:trPr>
        <w:tc>
          <w:tcPr>
            <w:tcW w:w="8647" w:type="dxa"/>
          </w:tcPr>
          <w:p w14:paraId="751D1118"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209 y 267. Código Civil, artículos 1602, 1626, 1627 y 2313. Ley 80 de 1993, artículos 4 —numerales 1, 4 y 8—, 5 —numeral 1—, 25 —numeral 12, modificado por el artículo 87 de la Ley 1474 de 2011—, 27, 28, 40 —inciso segundo y parágrafo—, 41 —parágrafo 1, modificado por el artículo 23 de la Ley 1150 de 2007—, 48 y 60 —modificado por el artículo 217 del Decreto Ley 019 de 2012—. Ley 610 de 2000, artículos 1, 3 y 6. Ley 789 de 2002, artículo 50. Ley 1150 de 2007, artículos 4, 11 y 23. Ley 1437 de 2011, artículo 28, sustituido por el artículo 1 de la Ley 1755 de 2015. Ley 1474 de 2011, artículos 83, 84, 87 y 91. Decreto Ley 4170 de 2011, artículos 3, numeral 5, y 11, numeral 8. Decreto 1082 de 2015, artículos 2.2.1.1.1.6.1; 2.2.1.1.2.1.1; 2.2.1.2.3.1.7 —numerales 1 y 2—; 2.2.1.2.3.1.10; 2.2.1.2.3.1.11 y 2.2.1.2.3.2.1. Resolución 469 de 2025 de la ANCP-CCE.</w:t>
            </w:r>
          </w:p>
          <w:p w14:paraId="7725B0A3"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Jurisprudencia: CONSEJO DE ESTADO. Sección Tercera. Definición del anticipo y determinación del valor en los contratos pactados por precios unitarios, en los términos recogidos por los conceptos de esta Subdirección que se relacionan a continuación.</w:t>
            </w:r>
          </w:p>
          <w:p w14:paraId="7BF66535"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C-766 de 2025, C-1229 del 7 de octubre de 2025, C-1634 de 2025, C-603 del 25 de mayo de 2026, C-812 del 5 de junio de 2026, C-915 de 2026, C-1025 de 2026 y C-1177 de 2026.</w:t>
            </w:r>
          </w:p>
        </w:tc>
      </w:tr>
    </w:tbl>
    <w:p w14:paraId="23AEC976" w14:textId="77777777" w:rsidR="00662087" w:rsidRPr="009037F6" w:rsidRDefault="00662087" w:rsidP="00662087">
      <w:pPr>
        <w:widowControl w:val="0"/>
        <w:autoSpaceDE w:val="0"/>
        <w:autoSpaceDN w:val="0"/>
        <w:spacing w:after="0" w:line="276" w:lineRule="auto"/>
        <w:jc w:val="both"/>
        <w:rPr>
          <w:rFonts w:ascii="Verdana" w:hAnsi="Verdana" w:cs="Arial"/>
        </w:rPr>
      </w:pPr>
    </w:p>
    <w:p w14:paraId="0373858B"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01D6D887" w14:textId="77777777" w:rsidR="00662087" w:rsidRPr="009037F6" w:rsidRDefault="00662087" w:rsidP="00662087">
      <w:pPr>
        <w:widowControl w:val="0"/>
        <w:autoSpaceDE w:val="0"/>
        <w:autoSpaceDN w:val="0"/>
        <w:spacing w:after="0" w:line="276" w:lineRule="auto"/>
        <w:jc w:val="both"/>
        <w:rPr>
          <w:rFonts w:ascii="Verdana" w:hAnsi="Verdana" w:cs="Arial"/>
        </w:rPr>
      </w:pPr>
    </w:p>
    <w:p w14:paraId="2A3D5AE8" w14:textId="77777777" w:rsidR="001B24C7" w:rsidRDefault="00662087" w:rsidP="00662087">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se ha pronunciado sobre la regulación, la naturaleza y los mecanismos de control del anticipo en los Conceptos C-812 del 5 de junio de 2026 y C-603 del 25 de mayo de 2026; sobre la definición del pago anticipado </w:t>
      </w:r>
      <w:r>
        <w:rPr>
          <w:rFonts w:ascii="Verdana" w:hAnsi="Verdana" w:cs="Arial"/>
          <w:shd w:val="clear" w:color="auto" w:fill="FFFFFF"/>
        </w:rPr>
        <w:lastRenderedPageBreak/>
        <w:t>y su diferencia con el anticipo, en el Concepto C-1634 de 2025; sobre la determinación del valor en los contratos pactados por precios unitarios y la distinción entre mayores cantidades de obra e ítems no previstos, en el Concepto C-915 de 2026; sobre el análisis de precios unitarios y el AIU, en el Concepto C-1025 de 2026; y sobre las facultades y los límites de la supervisión y la interventoría, en el Concepto C-1177 de 2026. Los conceptos emitidos por la Agencia pueden consultarse en el siguiente enlace:</w:t>
      </w:r>
    </w:p>
    <w:p w14:paraId="0ED5420A" w14:textId="77777777" w:rsidR="001B24C7" w:rsidRDefault="001B24C7" w:rsidP="00662087">
      <w:pPr>
        <w:widowControl w:val="0"/>
        <w:autoSpaceDE w:val="0"/>
        <w:autoSpaceDN w:val="0"/>
        <w:spacing w:after="0" w:line="276" w:lineRule="auto"/>
        <w:jc w:val="both"/>
        <w:rPr>
          <w:rStyle w:val="normaltextrun"/>
          <w:rFonts w:ascii="Verdana" w:hAnsi="Verdana" w:cs="Arial"/>
          <w:shd w:val="clear" w:color="auto" w:fill="FFFFFF"/>
        </w:rPr>
      </w:pPr>
    </w:p>
    <w:p w14:paraId="26533640" w14:textId="77777777" w:rsidR="00662087" w:rsidRPr="009037F6" w:rsidRDefault="00662087" w:rsidP="00662087">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61550D10" w14:textId="77777777" w:rsidR="00662087" w:rsidRPr="009037F6" w:rsidRDefault="00662087" w:rsidP="00662087">
      <w:pPr>
        <w:spacing w:after="0"/>
        <w:jc w:val="both"/>
        <w:rPr>
          <w:rFonts w:ascii="Verdana" w:hAnsi="Verdana"/>
        </w:rPr>
      </w:pPr>
    </w:p>
    <w:p w14:paraId="16E31A86" w14:textId="77777777" w:rsidR="00662087" w:rsidRDefault="00662087" w:rsidP="00662087">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217D35E3" w14:textId="77777777" w:rsidR="00662087" w:rsidRPr="009A385A" w:rsidRDefault="00662087" w:rsidP="00662087">
      <w:pPr>
        <w:spacing w:after="0"/>
        <w:jc w:val="both"/>
        <w:rPr>
          <w:rFonts w:ascii="Verdana" w:hAnsi="Verdana"/>
        </w:rPr>
      </w:pPr>
    </w:p>
    <w:p w14:paraId="5B890993" w14:textId="77777777" w:rsidR="00662087" w:rsidRDefault="00662087" w:rsidP="00662087">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33412A83" w14:textId="77777777" w:rsidR="00662087" w:rsidRDefault="00662087" w:rsidP="00662087">
      <w:pPr>
        <w:spacing w:after="0"/>
        <w:jc w:val="both"/>
        <w:rPr>
          <w:rFonts w:ascii="Verdana" w:hAnsi="Verdana"/>
        </w:rPr>
      </w:pPr>
    </w:p>
    <w:p w14:paraId="6608C2D2" w14:textId="77777777" w:rsidR="00662087" w:rsidRPr="008E1CD7" w:rsidRDefault="00662087" w:rsidP="00662087">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w:t>
      </w:r>
      <w:r w:rsidRPr="00797327">
        <w:rPr>
          <w:rFonts w:ascii="Verdana" w:hAnsi="Verdana"/>
        </w:rPr>
        <w:lastRenderedPageBreak/>
        <w:t xml:space="preserve">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926ED51" w14:textId="77777777" w:rsidR="00662087" w:rsidRDefault="00662087" w:rsidP="00662087">
      <w:pPr>
        <w:shd w:val="clear" w:color="auto" w:fill="FFFFFF"/>
        <w:spacing w:after="0" w:line="276" w:lineRule="auto"/>
        <w:jc w:val="both"/>
        <w:rPr>
          <w:rFonts w:ascii="Verdana" w:hAnsi="Verdana"/>
          <w:color w:val="000000"/>
          <w:u w:val="single"/>
        </w:rPr>
      </w:pPr>
    </w:p>
    <w:p w14:paraId="656B465E" w14:textId="77777777" w:rsidR="00662087" w:rsidRPr="0038088D" w:rsidRDefault="00662087" w:rsidP="00662087">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5F776D6C" w14:textId="77777777" w:rsidR="00662087" w:rsidRPr="0038088D" w:rsidRDefault="00662087" w:rsidP="00662087">
      <w:pPr>
        <w:spacing w:after="0"/>
        <w:jc w:val="both"/>
        <w:rPr>
          <w:rFonts w:ascii="Verdana" w:hAnsi="Verdana"/>
        </w:rPr>
      </w:pPr>
    </w:p>
    <w:p w14:paraId="03ADA9F2" w14:textId="77777777" w:rsidR="00662087" w:rsidRPr="0038088D" w:rsidRDefault="00662087" w:rsidP="00662087">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385D56FF" w14:textId="77777777" w:rsidR="00662087" w:rsidRPr="0038088D" w:rsidRDefault="00662087" w:rsidP="00662087">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6FDF434F"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63262343"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49239B07" w14:textId="77777777" w:rsidR="00662087" w:rsidRPr="0038088D" w:rsidRDefault="00662087" w:rsidP="00662087">
      <w:pPr>
        <w:spacing w:after="0" w:line="240" w:lineRule="auto"/>
        <w:ind w:left="720"/>
        <w:jc w:val="both"/>
        <w:rPr>
          <w:rFonts w:ascii="Verdana" w:hAnsi="Verdana"/>
        </w:rPr>
      </w:pPr>
    </w:p>
    <w:p w14:paraId="75FF45A3" w14:textId="77777777" w:rsidR="00662087" w:rsidRPr="0038088D" w:rsidRDefault="00662087" w:rsidP="00662087">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D1F8635" w14:textId="77777777" w:rsidR="00662087" w:rsidRPr="0038088D" w:rsidRDefault="00662087" w:rsidP="00662087">
      <w:pPr>
        <w:spacing w:after="0" w:line="240" w:lineRule="auto"/>
        <w:rPr>
          <w:rFonts w:ascii="Verdana" w:hAnsi="Verdana"/>
        </w:rPr>
      </w:pPr>
    </w:p>
    <w:p w14:paraId="1D6C932C" w14:textId="77777777" w:rsidR="00662087" w:rsidRPr="0038088D" w:rsidRDefault="00662087" w:rsidP="00662087">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6956B262" w14:textId="77777777" w:rsidR="00662087" w:rsidRPr="00116940" w:rsidRDefault="00662087" w:rsidP="00662087">
      <w:pPr>
        <w:spacing w:after="0" w:line="240" w:lineRule="auto"/>
        <w:jc w:val="both"/>
        <w:rPr>
          <w:rFonts w:ascii="Verdana" w:hAnsi="Verdana"/>
        </w:rPr>
      </w:pPr>
    </w:p>
    <w:p w14:paraId="3E064AAB"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26B5FA2"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3C4097B4" w14:textId="77777777" w:rsidR="00662087" w:rsidRPr="00E22E6E" w:rsidRDefault="00662087" w:rsidP="0066208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508A3AB" w14:textId="77777777" w:rsidR="00662087" w:rsidRPr="009C4035" w:rsidRDefault="00662087" w:rsidP="00662087">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77B9158" w14:textId="77777777" w:rsidR="00662087" w:rsidRPr="00593A5F" w:rsidRDefault="00662087" w:rsidP="0066208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2A83959E" w14:textId="77777777" w:rsidR="00662087" w:rsidRDefault="00662087" w:rsidP="00662087">
      <w:pPr>
        <w:widowControl w:val="0"/>
        <w:autoSpaceDE w:val="0"/>
        <w:autoSpaceDN w:val="0"/>
        <w:spacing w:after="0" w:line="276" w:lineRule="auto"/>
        <w:jc w:val="both"/>
        <w:rPr>
          <w:rFonts w:ascii="Verdana" w:hAnsi="Verdana" w:cs="Arial"/>
        </w:rPr>
      </w:pPr>
    </w:p>
    <w:p w14:paraId="47DA8E09" w14:textId="7581AE8A" w:rsidR="008D539F" w:rsidRPr="002D3BFB" w:rsidRDefault="008D539F" w:rsidP="002D3BFB">
      <w:pPr>
        <w:spacing w:after="0" w:line="276" w:lineRule="auto"/>
        <w:rPr>
          <w:rFonts w:ascii="Verdana" w:eastAsia="Calibri" w:hAnsi="Verdana" w:cs="Arial"/>
          <w:noProof/>
          <w:sz w:val="20"/>
          <w:szCs w:val="20"/>
        </w:rPr>
      </w:pPr>
      <w:r w:rsidRPr="008D539F">
        <w:rPr>
          <w:rFonts w:ascii="Verdana" w:eastAsia="Times New Roman" w:hAnsi="Verdana" w:cs="Arial"/>
          <w:lang w:val="es-ES" w:eastAsia="es-CO"/>
        </w:rPr>
        <w:lastRenderedPageBreak/>
        <w:t>Atentamente,</w:t>
      </w:r>
    </w:p>
    <w:p w14:paraId="7AD6F979" w14:textId="6E999289" w:rsidR="002D3BFB" w:rsidRDefault="002D3BFB" w:rsidP="008D539F">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149771D5" wp14:editId="4BEFD4FB">
            <wp:extent cx="2594708" cy="963187"/>
            <wp:effectExtent l="0" t="0" r="0"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2991240" cy="1110385"/>
                    </a:xfrm>
                    <a:prstGeom prst="rect">
                      <a:avLst/>
                    </a:prstGeom>
                  </pic:spPr>
                </pic:pic>
              </a:graphicData>
            </a:graphic>
          </wp:inline>
        </w:drawing>
      </w:r>
    </w:p>
    <w:p w14:paraId="0EEF868E" w14:textId="77777777" w:rsidR="002D3BFB" w:rsidRPr="008D539F" w:rsidRDefault="002D3BFB" w:rsidP="008D539F">
      <w:pPr>
        <w:spacing w:after="0" w:line="254" w:lineRule="auto"/>
        <w:jc w:val="center"/>
        <w:rPr>
          <w:rFonts w:ascii="Verdana" w:eastAsia="Times New Roman" w:hAnsi="Verdana" w:cs="Arial"/>
          <w:lang w:eastAsia="es-ES"/>
        </w:rPr>
      </w:pPr>
    </w:p>
    <w:p w14:paraId="2687D074" w14:textId="77777777" w:rsidR="008D539F" w:rsidRPr="008D539F" w:rsidRDefault="008D539F" w:rsidP="008D539F">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D539F" w:rsidRPr="008D539F" w14:paraId="122C34B9" w14:textId="77777777">
        <w:trPr>
          <w:trHeight w:val="322"/>
        </w:trPr>
        <w:tc>
          <w:tcPr>
            <w:tcW w:w="733" w:type="dxa"/>
            <w:tcBorders>
              <w:top w:val="nil"/>
              <w:left w:val="nil"/>
              <w:bottom w:val="nil"/>
              <w:right w:val="nil"/>
            </w:tcBorders>
            <w:vAlign w:val="center"/>
            <w:hideMark/>
          </w:tcPr>
          <w:p w14:paraId="4354BC2B"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4C3A925" w14:textId="77777777" w:rsidR="008D539F" w:rsidRPr="008D539F" w:rsidRDefault="008D539F" w:rsidP="008D539F">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Camilo José Martínez Martínez</w:t>
            </w:r>
          </w:p>
          <w:p w14:paraId="013CBD06" w14:textId="6AD8AF8B" w:rsidR="008D539F" w:rsidRPr="008D539F" w:rsidRDefault="00AA5BAC" w:rsidP="008D539F">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Contratista de la Subdirección</w:t>
            </w:r>
            <w:r w:rsidRPr="008D539F">
              <w:rPr>
                <w:rFonts w:ascii="Verdana" w:eastAsia="Times New Roman" w:hAnsi="Verdana" w:cs="Arial"/>
                <w:sz w:val="16"/>
                <w:szCs w:val="16"/>
                <w:lang w:eastAsia="es-ES"/>
              </w:rPr>
              <w:t xml:space="preserve"> de Gestión Contractual</w:t>
            </w:r>
          </w:p>
        </w:tc>
      </w:tr>
      <w:tr w:rsidR="008D539F" w:rsidRPr="008D539F" w14:paraId="7CA5C55F" w14:textId="77777777">
        <w:trPr>
          <w:trHeight w:val="322"/>
        </w:trPr>
        <w:tc>
          <w:tcPr>
            <w:tcW w:w="733" w:type="dxa"/>
            <w:tcBorders>
              <w:top w:val="nil"/>
              <w:left w:val="nil"/>
              <w:bottom w:val="nil"/>
              <w:right w:val="nil"/>
            </w:tcBorders>
            <w:vAlign w:val="center"/>
            <w:hideMark/>
          </w:tcPr>
          <w:p w14:paraId="44EF50C2"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BFA069F" w14:textId="7C66A4C6" w:rsidR="008D539F" w:rsidRPr="008D539F" w:rsidRDefault="00207FFE" w:rsidP="008D539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Adriana López </w:t>
            </w:r>
          </w:p>
          <w:p w14:paraId="31DCBF5B"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8D539F" w:rsidRPr="008D539F" w14:paraId="762EB2B7" w14:textId="77777777">
        <w:trPr>
          <w:trHeight w:val="307"/>
        </w:trPr>
        <w:tc>
          <w:tcPr>
            <w:tcW w:w="733" w:type="dxa"/>
            <w:tcBorders>
              <w:top w:val="nil"/>
              <w:left w:val="nil"/>
              <w:bottom w:val="nil"/>
              <w:right w:val="nil"/>
            </w:tcBorders>
            <w:vAlign w:val="center"/>
            <w:hideMark/>
          </w:tcPr>
          <w:p w14:paraId="7E91BA01"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799B92A"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1F616364"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788B09F1" w14:textId="77777777" w:rsidR="008D539F" w:rsidRPr="008D539F" w:rsidRDefault="008D539F" w:rsidP="008D539F">
      <w:pPr>
        <w:autoSpaceDE w:val="0"/>
        <w:autoSpaceDN w:val="0"/>
        <w:adjustRightInd w:val="0"/>
        <w:spacing w:after="0" w:line="276" w:lineRule="auto"/>
        <w:jc w:val="center"/>
        <w:rPr>
          <w:rFonts w:ascii="Verdana" w:eastAsia="Calibri" w:hAnsi="Verdana" w:cs="Arial"/>
        </w:rPr>
      </w:pPr>
    </w:p>
    <w:p w14:paraId="09095F4F" w14:textId="58F5B28A" w:rsidR="008D539F" w:rsidRPr="00593A5F" w:rsidRDefault="008D539F" w:rsidP="00662087">
      <w:pPr>
        <w:widowControl w:val="0"/>
        <w:autoSpaceDE w:val="0"/>
        <w:autoSpaceDN w:val="0"/>
        <w:spacing w:after="0" w:line="276" w:lineRule="auto"/>
        <w:jc w:val="both"/>
        <w:rPr>
          <w:rFonts w:ascii="Verdana" w:hAnsi="Verdana" w:cs="Arial"/>
        </w:rPr>
      </w:pPr>
    </w:p>
    <w:sectPr w:rsidR="008D539F" w:rsidRPr="00593A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AC5A1" w14:textId="77777777" w:rsidR="003242EA" w:rsidRDefault="003242EA" w:rsidP="004A1847">
      <w:pPr>
        <w:spacing w:after="0" w:line="240" w:lineRule="auto"/>
      </w:pPr>
      <w:r>
        <w:separator/>
      </w:r>
    </w:p>
  </w:endnote>
  <w:endnote w:type="continuationSeparator" w:id="0">
    <w:p w14:paraId="0C47B376" w14:textId="77777777" w:rsidR="003242EA" w:rsidRDefault="003242E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8440" w14:textId="77777777" w:rsidR="003332A8" w:rsidRDefault="003332A8">
    <w:pPr>
      <w:pStyle w:val="Piedepgina"/>
    </w:pPr>
  </w:p>
  <w:p w14:paraId="1CB9676A"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FC1110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CB6B98A"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08F8E357"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4DEA4" w14:textId="77777777" w:rsidR="003242EA" w:rsidRDefault="003242EA" w:rsidP="004A1847">
      <w:pPr>
        <w:spacing w:after="0" w:line="240" w:lineRule="auto"/>
      </w:pPr>
      <w:r>
        <w:separator/>
      </w:r>
    </w:p>
  </w:footnote>
  <w:footnote w:type="continuationSeparator" w:id="0">
    <w:p w14:paraId="033DC9C4" w14:textId="77777777" w:rsidR="003242EA" w:rsidRDefault="003242EA" w:rsidP="004A1847">
      <w:pPr>
        <w:spacing w:after="0" w:line="240" w:lineRule="auto"/>
      </w:pPr>
      <w:r>
        <w:continuationSeparator/>
      </w:r>
    </w:p>
  </w:footnote>
  <w:footnote w:id="1">
    <w:p w14:paraId="4ACD462C"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40, parágrafo, inciso primero; Código Civil, artículos 1626 y 1627. AGENCIA NACIONAL DE CONTRATACIÓN PÚBLICA – COLOMBIA COMPRA EFICIENTE. Subdirección de Gestión Contractual. Conceptos C-812 del 5 de junio de 2026 y C-1634 de 2025.</w:t>
      </w:r>
    </w:p>
  </w:footnote>
  <w:footnote w:id="2">
    <w:p w14:paraId="4009D230"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Definición reiterada por esta Subdirección: el anticipo es “un recurso o suma correspondiente a un porcentaje del valor total del contrato […] de suerte que el monto entregado como anticipo no ingresa al patrimonio del contratista sino cuando ha sido debidamente amortizado”, citada en AGENCIA NACIONAL DE CONTRATACIÓN PÚBLICA – COLOMBIA COMPRA EFICIENTE. Subdirección de Gestión Contractual. Conceptos C-812 del 5 de junio de 2026, C-1229 del 7 de octubre de 2025 y C-766 de 2025. Ley 1474 de 2011, artículo 91; Decreto 1082 de 2015, artículo 2.2.1.2.3.1.7, numeral 1.</w:t>
      </w:r>
    </w:p>
  </w:footnote>
  <w:footnote w:id="3">
    <w:p w14:paraId="53D14ADC"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2.2.1.2.3.1.7, numerales 1 y 2; 2.2.1.2.3.1.10; 2.2.1.2.3.1.11 y 2.2.1.2.3.2.1. AGENCIA NACIONAL DE CONTRATACIÓN PÚBLICA – COLOMBIA COMPRA EFICIENTE. Subdirección de Gestión Contractual. Concepto C-1634 de 2025.</w:t>
      </w:r>
    </w:p>
  </w:footnote>
  <w:footnote w:id="4">
    <w:p w14:paraId="1F31C872"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5, numeral 1, conforme al cual el contratista tiene derecho a recibir oportunamente la remuneración pactada; artículo 28, sobre el equilibrio entre prestaciones y derechos propio de los contratos conmutativos. AGENCIA NACIONAL DE CONTRATACIÓN PÚBLICA – COLOMBIA COMPRA EFICIENTE. Subdirección de Gestión Contractual. Concepto C-1634 de 2025.</w:t>
      </w:r>
    </w:p>
  </w:footnote>
  <w:footnote w:id="5">
    <w:p w14:paraId="56F8D1CD"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C-915 de 2026, que recoge la jurisprudencia de la Sección Tercera del Consejo de Estado sobre la determinación del valor en los contratos pactados por precios unitarios.</w:t>
      </w:r>
    </w:p>
  </w:footnote>
  <w:footnote w:id="6">
    <w:p w14:paraId="22958E60"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41, parágrafo 1, modificado por el artículo 23 de la Ley 1150 de 2007; Ley 789 de 2002, artículo 50. AGENCIA NACIONAL DE CONTRATACIÓN PÚBLICA – COLOMBIA COMPRA EFICIENTE. Subdirección de Gestión Contractual. Concepto C-1025 de 2026, sobre la función del APU y del AIU en la estructuración del precio.</w:t>
      </w:r>
    </w:p>
  </w:footnote>
  <w:footnote w:id="7">
    <w:p w14:paraId="7E2CB6B5"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40, parágrafo, inciso primero; Ley 1474 de 2011, artículo 91. AGENCIA NACIONAL DE CONTRATACIÓN PÚBLICA – COLOMBIA COMPRA EFICIENTE. Subdirección de Gestión Contractual. Concepto C-812 del 5 de junio de 2026.</w:t>
      </w:r>
    </w:p>
  </w:footnote>
  <w:footnote w:id="8">
    <w:p w14:paraId="146A30EC"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definición citada en AGENCIA NACIONAL DE CONTRATACIÓN PÚBLICA – COLOMBIA COMPRA EFICIENTE. Subdirección de Gestión Contractual. Conceptos C-812 del 5 de junio de 2026 y C-1229 del 7 de octubre de 2025.</w:t>
      </w:r>
    </w:p>
  </w:footnote>
  <w:footnote w:id="9">
    <w:p w14:paraId="48E38841"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C-812 del 5 de junio de 2026.</w:t>
      </w:r>
    </w:p>
  </w:footnote>
  <w:footnote w:id="10">
    <w:p w14:paraId="5BEEFA22"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91; Decreto 1082 de 2015, artículos 2.2.1.2.3.1.7, numeral 1, y 2.2.1.2.3.1.10. AGENCIA NACIONAL DE CONTRATACIÓN PÚBLICA – COLOMBIA COMPRA EFICIENTE. Subdirección de Gestión Contractual. Conceptos C-812 del 5 de junio de 2026 y C-603 del 25 de mayo de 2026.</w:t>
      </w:r>
    </w:p>
  </w:footnote>
  <w:footnote w:id="11">
    <w:p w14:paraId="79FEBFFE"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C-603 del 25 de mayo de 2026 y C-1634 de 2025.</w:t>
      </w:r>
    </w:p>
  </w:footnote>
  <w:footnote w:id="12">
    <w:p w14:paraId="3D1864B7"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Civil, artículos 1626 y 1627; Ley 80 de 1993, artículo 5, numeral 1, y artículo 28, que ordena atender al “equilibrio entre prestaciones y derechos que caracteriza a los contratos conmutativos”.</w:t>
      </w:r>
    </w:p>
  </w:footnote>
  <w:footnote w:id="13">
    <w:p w14:paraId="6BDC9A78"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sobre la supervisión y la interventoría como seguimiento al cumplimiento del objeto contractual.</w:t>
      </w:r>
    </w:p>
  </w:footnote>
  <w:footnote w:id="14">
    <w:p w14:paraId="091ECD35"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C-1634 de 2025.</w:t>
      </w:r>
    </w:p>
  </w:footnote>
  <w:footnote w:id="15">
    <w:p w14:paraId="7DB31509"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2.2.1.2.3.1.7, numerales 1 y 2, y 2.2.1.2.3.2.1.</w:t>
      </w:r>
    </w:p>
  </w:footnote>
  <w:footnote w:id="16">
    <w:p w14:paraId="5A3AEF9B"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2.2.1.2.3.1.10 y 2.2.1.2.3.1.11.</w:t>
      </w:r>
    </w:p>
  </w:footnote>
  <w:footnote w:id="17">
    <w:p w14:paraId="2206F862"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48 y 60, este último modificado por el artículo 217 del Decreto Ley 019 de 2012, y artículo 11 de la Ley 1150 de 2007; Código Civil, artículos 2313 y siguientes.</w:t>
      </w:r>
    </w:p>
  </w:footnote>
  <w:footnote w:id="18">
    <w:p w14:paraId="6C843A8F"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C-1025 de 2026. Decreto 1082 de 2015, artículos 2.2.1.1.1.6.1 y 2.2.1.1.2.1.1.</w:t>
      </w:r>
    </w:p>
  </w:footnote>
  <w:footnote w:id="19">
    <w:p w14:paraId="27C77DFB"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C-915 de 2026, que recoge la jurisprudencia de la Sección Tercera del Consejo de Estado.</w:t>
      </w:r>
    </w:p>
  </w:footnote>
  <w:footnote w:id="20">
    <w:p w14:paraId="2B38D921"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4, numeral 8, 5, numeral 1, y 27, sobre el mantenimiento de las condiciones económicas y la ecuación contractual.</w:t>
      </w:r>
    </w:p>
  </w:footnote>
  <w:footnote w:id="21">
    <w:p w14:paraId="3EEEA3C0"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C-1025 de 2026.</w:t>
      </w:r>
    </w:p>
  </w:footnote>
  <w:footnote w:id="22">
    <w:p w14:paraId="640CD1A4"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41, parágrafo 1, modificado por el artículo 23 de la Ley 1150 de 2007; Ley 789 de 2002, artículo 50.</w:t>
      </w:r>
    </w:p>
  </w:footnote>
  <w:footnote w:id="23">
    <w:p w14:paraId="5AD37910"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83; Ley 80 de 1993, artículo 4, numerales 1 y 4.</w:t>
      </w:r>
    </w:p>
  </w:footnote>
  <w:footnote w:id="24">
    <w:p w14:paraId="7DD837A5"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1474 de 2011, artículo 84. AGENCIA NACIONAL DE CONTRATACIÓN PÚBLICA – COLOMBIA COMPRA EFICIENTE. Subdirección de Gestión Contractual. Concepto C-1177 de 2026.</w:t>
      </w:r>
    </w:p>
  </w:footnote>
  <w:footnote w:id="25">
    <w:p w14:paraId="6ADBB72A"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41, parágrafo 1, modificado por el artículo 23 de la Ley 1150 de 2007; Ley 789 de 2002, artículo 50.</w:t>
      </w:r>
    </w:p>
  </w:footnote>
  <w:footnote w:id="26">
    <w:p w14:paraId="0A0EBAA0"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C-915 de 2026 y C-1025 de 2026, sobre la distinción entre mayores cantidades de obra e ítems no previstos y sobre la estructuración del precio unitario.</w:t>
      </w:r>
    </w:p>
  </w:footnote>
  <w:footnote w:id="27">
    <w:p w14:paraId="721A430B"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4, numeral 8, 5, numeral 1, y 27; Ley 1150 de 2007, artículo 4, sobre la distribución de riesgos previsibles.</w:t>
      </w:r>
    </w:p>
  </w:footnote>
  <w:footnote w:id="28">
    <w:p w14:paraId="748B02AA"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Civil, artículo 1602; Ley 80 de 1993, artículos 25, numeral 12, modificado por el artículo 87 de la Ley 1474 de 2011, y 40, inciso segundo. AGENCIA NACIONAL DE CONTRATACIÓN PÚBLICA – COLOMBIA COMPRA EFICIENTE. Subdirección de Gestión Contractual. Conceptos C-603 del 25 de mayo de 2026 y C-1634 de 2025.</w:t>
      </w:r>
    </w:p>
  </w:footnote>
  <w:footnote w:id="29">
    <w:p w14:paraId="13F235C3" w14:textId="77777777" w:rsidR="00234089"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4, numeral 8, 5, numeral 1, y 27, inciso primero.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8D59"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CA34595" w14:textId="77777777" w:rsidR="003332A8" w:rsidRDefault="003332A8">
    <w:pPr>
      <w:pStyle w:val="Encabezado"/>
    </w:pPr>
  </w:p>
  <w:p w14:paraId="5EB12C16" w14:textId="77777777" w:rsidR="003332A8" w:rsidRPr="004A305D" w:rsidRDefault="003332A8" w:rsidP="00B01B1A">
    <w:pPr>
      <w:spacing w:after="0" w:line="120" w:lineRule="auto"/>
      <w:rPr>
        <w:rFonts w:ascii="Century Gothic" w:eastAsia="Geo" w:hAnsi="Century Gothic" w:cs="Geo"/>
        <w:sz w:val="16"/>
        <w:szCs w:val="16"/>
        <w:lang w:eastAsia="es-CO"/>
      </w:rPr>
    </w:pPr>
  </w:p>
  <w:p w14:paraId="4DF5225B" w14:textId="77777777" w:rsidR="003332A8" w:rsidRDefault="003332A8" w:rsidP="00844AE9">
    <w:pPr>
      <w:spacing w:after="0" w:line="240" w:lineRule="auto"/>
      <w:rPr>
        <w:rFonts w:ascii="Verdana" w:hAnsi="Verdana"/>
        <w:sz w:val="24"/>
        <w:szCs w:val="24"/>
      </w:rPr>
    </w:pPr>
  </w:p>
  <w:p w14:paraId="5033D925" w14:textId="77777777" w:rsidR="003332A8" w:rsidRPr="00C925AC" w:rsidRDefault="003332A8" w:rsidP="00844AE9">
    <w:pPr>
      <w:spacing w:after="0" w:line="240" w:lineRule="auto"/>
      <w:rPr>
        <w:rFonts w:ascii="Verdana" w:hAnsi="Verdana"/>
        <w:sz w:val="24"/>
        <w:szCs w:val="24"/>
      </w:rPr>
    </w:pPr>
  </w:p>
  <w:p w14:paraId="701E4358"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multilevel"/>
    <w:tmpl w:val="E3A4A698"/>
    <w:lvl w:ilvl="0">
      <w:start w:val="1"/>
      <w:numFmt w:val="decimal"/>
      <w:lvlText w:val="%1."/>
      <w:lvlJc w:val="left"/>
      <w:pPr>
        <w:ind w:left="360" w:hanging="360"/>
      </w:pPr>
      <w:rPr>
        <w:rFonts w:hint="default"/>
        <w:lang w:val="es-C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4197"/>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07FFE"/>
    <w:rsid w:val="00211A12"/>
    <w:rsid w:val="00211E12"/>
    <w:rsid w:val="00212AD1"/>
    <w:rsid w:val="00216E4C"/>
    <w:rsid w:val="00217FCA"/>
    <w:rsid w:val="002209DE"/>
    <w:rsid w:val="0022400B"/>
    <w:rsid w:val="00234089"/>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D3BFB"/>
    <w:rsid w:val="002E05EF"/>
    <w:rsid w:val="002E2BF8"/>
    <w:rsid w:val="002E4FD9"/>
    <w:rsid w:val="002F0847"/>
    <w:rsid w:val="002F2B42"/>
    <w:rsid w:val="00301564"/>
    <w:rsid w:val="0030657A"/>
    <w:rsid w:val="00311FF5"/>
    <w:rsid w:val="003136DC"/>
    <w:rsid w:val="003156BF"/>
    <w:rsid w:val="00316053"/>
    <w:rsid w:val="00322A85"/>
    <w:rsid w:val="00322C00"/>
    <w:rsid w:val="00322D77"/>
    <w:rsid w:val="00324168"/>
    <w:rsid w:val="003242EA"/>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267"/>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86278"/>
    <w:rsid w:val="00587DA4"/>
    <w:rsid w:val="00591460"/>
    <w:rsid w:val="00592C94"/>
    <w:rsid w:val="005A2CAB"/>
    <w:rsid w:val="005A4AF9"/>
    <w:rsid w:val="005A5114"/>
    <w:rsid w:val="005A52A7"/>
    <w:rsid w:val="005A57A5"/>
    <w:rsid w:val="005A65E0"/>
    <w:rsid w:val="005C0881"/>
    <w:rsid w:val="005C3777"/>
    <w:rsid w:val="005C5CDC"/>
    <w:rsid w:val="005D2566"/>
    <w:rsid w:val="005D3921"/>
    <w:rsid w:val="005D476C"/>
    <w:rsid w:val="005D7628"/>
    <w:rsid w:val="005F20A4"/>
    <w:rsid w:val="00600D92"/>
    <w:rsid w:val="00603C5B"/>
    <w:rsid w:val="00611CE6"/>
    <w:rsid w:val="006137E1"/>
    <w:rsid w:val="00615105"/>
    <w:rsid w:val="00617200"/>
    <w:rsid w:val="00617E91"/>
    <w:rsid w:val="006200BF"/>
    <w:rsid w:val="0062143E"/>
    <w:rsid w:val="006219F8"/>
    <w:rsid w:val="00624A89"/>
    <w:rsid w:val="00624EEC"/>
    <w:rsid w:val="006302F7"/>
    <w:rsid w:val="00640441"/>
    <w:rsid w:val="00646B9F"/>
    <w:rsid w:val="00646F24"/>
    <w:rsid w:val="006547C3"/>
    <w:rsid w:val="00660C46"/>
    <w:rsid w:val="00662087"/>
    <w:rsid w:val="00663A04"/>
    <w:rsid w:val="00665D70"/>
    <w:rsid w:val="00670CC4"/>
    <w:rsid w:val="00672499"/>
    <w:rsid w:val="00684F67"/>
    <w:rsid w:val="0068758B"/>
    <w:rsid w:val="006900D9"/>
    <w:rsid w:val="00696960"/>
    <w:rsid w:val="0069741A"/>
    <w:rsid w:val="006A2BE4"/>
    <w:rsid w:val="006A6BF4"/>
    <w:rsid w:val="006B4707"/>
    <w:rsid w:val="006C38A9"/>
    <w:rsid w:val="006D13BA"/>
    <w:rsid w:val="006D1D21"/>
    <w:rsid w:val="006D2B34"/>
    <w:rsid w:val="006D591D"/>
    <w:rsid w:val="006D64EE"/>
    <w:rsid w:val="006E3854"/>
    <w:rsid w:val="006F2238"/>
    <w:rsid w:val="006F2B23"/>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D7ECC"/>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3C78"/>
    <w:rsid w:val="00A42320"/>
    <w:rsid w:val="00A53338"/>
    <w:rsid w:val="00A53EB1"/>
    <w:rsid w:val="00A54DC9"/>
    <w:rsid w:val="00A61436"/>
    <w:rsid w:val="00A73F45"/>
    <w:rsid w:val="00A8776C"/>
    <w:rsid w:val="00AA1511"/>
    <w:rsid w:val="00AA1E47"/>
    <w:rsid w:val="00AA5BAC"/>
    <w:rsid w:val="00AB0ADB"/>
    <w:rsid w:val="00AB436E"/>
    <w:rsid w:val="00AD173A"/>
    <w:rsid w:val="00AD6FC3"/>
    <w:rsid w:val="00AD7D5F"/>
    <w:rsid w:val="00AE0641"/>
    <w:rsid w:val="00AE1F6E"/>
    <w:rsid w:val="00AE3513"/>
    <w:rsid w:val="00AE5023"/>
    <w:rsid w:val="00AE5DD2"/>
    <w:rsid w:val="00AF5A10"/>
    <w:rsid w:val="00B00C0E"/>
    <w:rsid w:val="00B01B1A"/>
    <w:rsid w:val="00B04DA1"/>
    <w:rsid w:val="00B07F89"/>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5C08"/>
    <w:rsid w:val="00BF7425"/>
    <w:rsid w:val="00C04FB3"/>
    <w:rsid w:val="00C11D8B"/>
    <w:rsid w:val="00C1215D"/>
    <w:rsid w:val="00C1350D"/>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5ED6"/>
    <w:rsid w:val="00D06146"/>
    <w:rsid w:val="00D0699E"/>
    <w:rsid w:val="00D1210B"/>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11C4"/>
    <w:rsid w:val="00D82A30"/>
    <w:rsid w:val="00D85F06"/>
    <w:rsid w:val="00D936A2"/>
    <w:rsid w:val="00DA1F04"/>
    <w:rsid w:val="00DA231B"/>
    <w:rsid w:val="00DB13F4"/>
    <w:rsid w:val="00DB55DA"/>
    <w:rsid w:val="00DB5C07"/>
    <w:rsid w:val="00DB6DDE"/>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D1DDC"/>
    <w:rsid w:val="00FD2D1F"/>
    <w:rsid w:val="00FD3AD2"/>
    <w:rsid w:val="00FD4AD8"/>
    <w:rsid w:val="00FD59D3"/>
    <w:rsid w:val="00FE3151"/>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93599"/>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6071</Words>
  <Characters>33391</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2026-09-09T02:13:00Z</dcterms:created>
  <dcterms:modified xsi:type="dcterms:W3CDTF">2026-09-16T22:17:00Z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