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AF6D7" w14:textId="77777777" w:rsidR="000B1A69" w:rsidRPr="00B93CEC" w:rsidRDefault="00207C7C" w:rsidP="00EB33BF">
      <w:pPr>
        <w:spacing w:after="0" w:line="240" w:lineRule="auto"/>
        <w:jc w:val="both"/>
        <w:rPr>
          <w:rFonts w:ascii="Verdana" w:eastAsia="Calibri" w:hAnsi="Verdana" w:cs="Arial"/>
          <w:b/>
          <w:bCs/>
          <w:lang w:val="es-ES" w:eastAsia="es-ES"/>
        </w:rPr>
      </w:pPr>
      <w:bookmarkStart w:id="0" w:name="_Hlk143780582"/>
      <w:r w:rsidRPr="00B93CEC">
        <w:rPr>
          <w:rFonts w:ascii="Verdana" w:eastAsia="Calibri" w:hAnsi="Verdana" w:cs="Arial"/>
          <w:b/>
          <w:bCs/>
          <w:lang w:val="es-ES" w:eastAsia="es-ES"/>
        </w:rPr>
        <w:t>CESIÓN DEL CONTRATO ESTATAL – Noción</w:t>
      </w:r>
    </w:p>
    <w:p w14:paraId="5F3BBDE4" w14:textId="77777777" w:rsidR="009709E8" w:rsidRDefault="009709E8" w:rsidP="00EB33BF">
      <w:pPr>
        <w:spacing w:after="0" w:line="240" w:lineRule="auto"/>
        <w:jc w:val="both"/>
        <w:rPr>
          <w:rFonts w:ascii="Verdana" w:eastAsia="Calibri" w:hAnsi="Verdana" w:cs="Arial"/>
          <w:sz w:val="20"/>
          <w:szCs w:val="20"/>
          <w:lang w:eastAsia="es-ES"/>
        </w:rPr>
      </w:pPr>
    </w:p>
    <w:p w14:paraId="0C0E54E0" w14:textId="0105EBB7" w:rsidR="000B1A69" w:rsidRPr="009709E8" w:rsidRDefault="009709E8" w:rsidP="00EB33BF">
      <w:pPr>
        <w:spacing w:after="0" w:line="240" w:lineRule="auto"/>
        <w:jc w:val="both"/>
        <w:rPr>
          <w:rFonts w:ascii="Verdana" w:eastAsia="Calibri" w:hAnsi="Verdana" w:cs="Arial"/>
          <w:sz w:val="20"/>
          <w:szCs w:val="20"/>
          <w:lang w:val="es-ES" w:eastAsia="es-ES"/>
        </w:rPr>
      </w:pPr>
      <w:r w:rsidRPr="009709E8">
        <w:rPr>
          <w:rFonts w:ascii="Verdana" w:eastAsia="Calibri" w:hAnsi="Verdana" w:cs="Arial"/>
          <w:sz w:val="20"/>
          <w:szCs w:val="20"/>
          <w:lang w:eastAsia="es-ES"/>
        </w:rPr>
        <w:t xml:space="preserve">La cesión de la posición contractual puede entenderse como un acto y como un efecto. Por un lado, “[…] es el contrato con el cual el cedente, parte de otro contrato ya en curso con otro sujeto (cedido), transfiere la relativa posición contractual (en sus componentes activos y pasivos) al cesionario, el cual le </w:t>
      </w:r>
      <w:proofErr w:type="spellStart"/>
      <w:r w:rsidRPr="009709E8">
        <w:rPr>
          <w:rFonts w:ascii="Verdana" w:eastAsia="Calibri" w:hAnsi="Verdana" w:cs="Arial"/>
          <w:sz w:val="20"/>
          <w:szCs w:val="20"/>
          <w:lang w:eastAsia="es-ES"/>
        </w:rPr>
        <w:t>subentra</w:t>
      </w:r>
      <w:proofErr w:type="spellEnd"/>
      <w:r w:rsidRPr="009709E8">
        <w:rPr>
          <w:rFonts w:ascii="Verdana" w:eastAsia="Calibri" w:hAnsi="Verdana" w:cs="Arial"/>
          <w:sz w:val="20"/>
          <w:szCs w:val="20"/>
          <w:lang w:eastAsia="es-ES"/>
        </w:rPr>
        <w:t xml:space="preserve"> en la relación con el cedido […]”. Por otro, “[…] es la transferencia de la posición contractual de un contratante a otro sujeto, que le </w:t>
      </w:r>
      <w:proofErr w:type="spellStart"/>
      <w:r w:rsidRPr="009709E8">
        <w:rPr>
          <w:rFonts w:ascii="Verdana" w:eastAsia="Calibri" w:hAnsi="Verdana" w:cs="Arial"/>
          <w:sz w:val="20"/>
          <w:szCs w:val="20"/>
          <w:lang w:eastAsia="es-ES"/>
        </w:rPr>
        <w:t>subentra</w:t>
      </w:r>
      <w:proofErr w:type="spellEnd"/>
      <w:r w:rsidRPr="009709E8">
        <w:rPr>
          <w:rFonts w:ascii="Verdana" w:eastAsia="Calibri" w:hAnsi="Verdana" w:cs="Arial"/>
          <w:sz w:val="20"/>
          <w:szCs w:val="20"/>
          <w:lang w:eastAsia="es-ES"/>
        </w:rPr>
        <w:t xml:space="preserve"> en la relación con la contraparte […]”. De esta manera, concurren tres (3) sujetos: i) el cedente, esto es, el contratista inicial; </w:t>
      </w:r>
      <w:proofErr w:type="spellStart"/>
      <w:r w:rsidRPr="009709E8">
        <w:rPr>
          <w:rFonts w:ascii="Verdana" w:eastAsia="Calibri" w:hAnsi="Verdana" w:cs="Arial"/>
          <w:sz w:val="20"/>
          <w:szCs w:val="20"/>
          <w:lang w:eastAsia="es-ES"/>
        </w:rPr>
        <w:t>ii</w:t>
      </w:r>
      <w:proofErr w:type="spellEnd"/>
      <w:r w:rsidRPr="009709E8">
        <w:rPr>
          <w:rFonts w:ascii="Verdana" w:eastAsia="Calibri" w:hAnsi="Verdana" w:cs="Arial"/>
          <w:sz w:val="20"/>
          <w:szCs w:val="20"/>
          <w:lang w:eastAsia="es-ES"/>
        </w:rPr>
        <w:t xml:space="preserve">) el cesionario, es decir, quien asume total o parcialmente los derechos y obligaciones de este último; y </w:t>
      </w:r>
      <w:proofErr w:type="spellStart"/>
      <w:r w:rsidRPr="009709E8">
        <w:rPr>
          <w:rFonts w:ascii="Verdana" w:eastAsia="Calibri" w:hAnsi="Verdana" w:cs="Arial"/>
          <w:sz w:val="20"/>
          <w:szCs w:val="20"/>
          <w:lang w:eastAsia="es-ES"/>
        </w:rPr>
        <w:t>iii</w:t>
      </w:r>
      <w:proofErr w:type="spellEnd"/>
      <w:r w:rsidRPr="009709E8">
        <w:rPr>
          <w:rFonts w:ascii="Verdana" w:eastAsia="Calibri" w:hAnsi="Verdana" w:cs="Arial"/>
          <w:sz w:val="20"/>
          <w:szCs w:val="20"/>
          <w:lang w:eastAsia="es-ES"/>
        </w:rPr>
        <w:t>) el cedido que, en el caso de los contratos estatales, sería la entidad que suscribió el contrato. Por tanto, la cesión de contrato es una figura jurídica por la que terceros ajenos a los contratantes iniciales participan en negocios que están ejecutando cuando no se hayan cumplido la totalidad de las obligaciones, permitiendo que sean éstos quienes realicen las prestaciones faltantes.</w:t>
      </w:r>
    </w:p>
    <w:p w14:paraId="2E387E3E" w14:textId="77777777" w:rsidR="009709E8" w:rsidRPr="00B93CEC" w:rsidRDefault="009709E8" w:rsidP="00EB33BF">
      <w:pPr>
        <w:spacing w:after="0" w:line="240" w:lineRule="auto"/>
        <w:jc w:val="both"/>
        <w:rPr>
          <w:rFonts w:ascii="Verdana" w:eastAsia="Calibri" w:hAnsi="Verdana" w:cs="Arial"/>
          <w:b/>
          <w:bCs/>
          <w:lang w:val="es-ES" w:eastAsia="es-ES"/>
        </w:rPr>
      </w:pPr>
    </w:p>
    <w:p w14:paraId="3E354835" w14:textId="77777777" w:rsidR="000B1A69" w:rsidRPr="00B93CEC" w:rsidRDefault="00207C7C" w:rsidP="00EB33BF">
      <w:pPr>
        <w:spacing w:after="0" w:line="240" w:lineRule="auto"/>
        <w:jc w:val="both"/>
        <w:rPr>
          <w:rFonts w:ascii="Verdana" w:eastAsia="Calibri" w:hAnsi="Verdana" w:cs="Arial"/>
          <w:b/>
          <w:bCs/>
          <w:lang w:val="es-ES" w:eastAsia="es-ES"/>
        </w:rPr>
      </w:pPr>
      <w:r w:rsidRPr="00B93CEC">
        <w:rPr>
          <w:rFonts w:ascii="Verdana" w:eastAsia="Calibri" w:hAnsi="Verdana" w:cs="Arial"/>
          <w:b/>
          <w:bCs/>
          <w:lang w:val="es-ES" w:eastAsia="es-ES"/>
        </w:rPr>
        <w:t>CESIÓN DEL CONTRATO ESTATAL – Régimen jurídico aplicable – EGCAP – Código de comercio</w:t>
      </w:r>
    </w:p>
    <w:p w14:paraId="6AAA14D3" w14:textId="77777777" w:rsidR="000B1A69" w:rsidRDefault="000B1A69" w:rsidP="00EB33BF">
      <w:pPr>
        <w:spacing w:after="0" w:line="240" w:lineRule="auto"/>
        <w:jc w:val="both"/>
        <w:rPr>
          <w:rFonts w:ascii="Verdana" w:eastAsia="Calibri" w:hAnsi="Verdana" w:cs="Arial"/>
          <w:b/>
          <w:bCs/>
          <w:lang w:val="es-ES" w:eastAsia="es-ES"/>
        </w:rPr>
      </w:pPr>
    </w:p>
    <w:p w14:paraId="1FD32FB0" w14:textId="044ED6A1" w:rsidR="0096506A" w:rsidRPr="0096506A" w:rsidRDefault="0096506A" w:rsidP="00EB33BF">
      <w:pPr>
        <w:spacing w:after="0" w:line="240" w:lineRule="auto"/>
        <w:jc w:val="both"/>
        <w:rPr>
          <w:rFonts w:ascii="Verdana" w:eastAsia="Calibri" w:hAnsi="Verdana" w:cs="Arial"/>
          <w:color w:val="000000" w:themeColor="text1"/>
          <w:sz w:val="20"/>
          <w:szCs w:val="20"/>
        </w:rPr>
      </w:pPr>
      <w:r w:rsidRPr="0096506A">
        <w:rPr>
          <w:rFonts w:ascii="Verdana" w:eastAsia="Calibri" w:hAnsi="Verdana" w:cs="Arial"/>
          <w:color w:val="000000" w:themeColor="text1"/>
          <w:sz w:val="20"/>
          <w:szCs w:val="20"/>
        </w:rPr>
        <w:t xml:space="preserve">Tratándose de la cesión de contratos estatales, conforme a la regulación del EGCAP, confluyen una mixtura entre el derecho público y privado en su regulación. En efecto, i) los contratos estatales se regirán por las normas comerciales y civiles pertinentes, salvo en lo concerniente a las materias particularmente reguladas en dicha ley, de acuerdo con lo prescrito en el inciso primero del artículo 13 de la Ley 80 de 1993, por lo que deben observarse en primer término las disposiciones establecidas en el EGCAP; </w:t>
      </w:r>
      <w:proofErr w:type="spellStart"/>
      <w:r w:rsidRPr="0096506A">
        <w:rPr>
          <w:rFonts w:ascii="Verdana" w:eastAsia="Calibri" w:hAnsi="Verdana" w:cs="Arial"/>
          <w:color w:val="000000" w:themeColor="text1"/>
          <w:sz w:val="20"/>
          <w:szCs w:val="20"/>
        </w:rPr>
        <w:t>ii</w:t>
      </w:r>
      <w:proofErr w:type="spellEnd"/>
      <w:r w:rsidRPr="0096506A">
        <w:rPr>
          <w:rFonts w:ascii="Verdana" w:eastAsia="Calibri" w:hAnsi="Verdana" w:cs="Arial"/>
          <w:color w:val="000000" w:themeColor="text1"/>
          <w:sz w:val="20"/>
          <w:szCs w:val="20"/>
        </w:rPr>
        <w:t xml:space="preserve">) corresponderán como actos jurídicos bilaterales generadores de obligaciones, entre otros, a los previstos en el derecho privado, en los términos del artículo 32 </w:t>
      </w:r>
      <w:r w:rsidRPr="0096506A">
        <w:rPr>
          <w:rFonts w:ascii="Verdana" w:eastAsia="Calibri" w:hAnsi="Verdana" w:cs="Arial"/>
          <w:i/>
          <w:iCs/>
          <w:color w:val="000000" w:themeColor="text1"/>
          <w:sz w:val="20"/>
          <w:szCs w:val="20"/>
        </w:rPr>
        <w:t>ibidem</w:t>
      </w:r>
      <w:r w:rsidRPr="0096506A">
        <w:rPr>
          <w:rFonts w:ascii="Verdana" w:eastAsia="Calibri" w:hAnsi="Verdana" w:cs="Arial"/>
          <w:color w:val="000000" w:themeColor="text1"/>
          <w:sz w:val="20"/>
          <w:szCs w:val="20"/>
        </w:rPr>
        <w:t xml:space="preserve">; y </w:t>
      </w:r>
      <w:proofErr w:type="spellStart"/>
      <w:r w:rsidRPr="0096506A">
        <w:rPr>
          <w:rFonts w:ascii="Verdana" w:eastAsia="Calibri" w:hAnsi="Verdana" w:cs="Arial"/>
          <w:color w:val="000000" w:themeColor="text1"/>
          <w:sz w:val="20"/>
          <w:szCs w:val="20"/>
        </w:rPr>
        <w:t>iii</w:t>
      </w:r>
      <w:proofErr w:type="spellEnd"/>
      <w:r w:rsidRPr="0096506A">
        <w:rPr>
          <w:rFonts w:ascii="Verdana" w:eastAsia="Calibri" w:hAnsi="Verdana" w:cs="Arial"/>
          <w:color w:val="000000" w:themeColor="text1"/>
          <w:sz w:val="20"/>
          <w:szCs w:val="20"/>
        </w:rPr>
        <w:t xml:space="preserve">) contendrán las estipulaciones que, de acuerdo con las normas civiles, comerciales y las previstas en esta ley, correspondan a su esencia y naturaleza, conforme a lo dispuesto por el artículo 40 </w:t>
      </w:r>
      <w:r w:rsidRPr="0096506A">
        <w:rPr>
          <w:rFonts w:ascii="Verdana" w:eastAsia="Calibri" w:hAnsi="Verdana" w:cs="Arial"/>
          <w:i/>
          <w:iCs/>
          <w:color w:val="000000" w:themeColor="text1"/>
          <w:sz w:val="20"/>
          <w:szCs w:val="20"/>
        </w:rPr>
        <w:t>ibidem</w:t>
      </w:r>
      <w:r w:rsidRPr="0096506A">
        <w:rPr>
          <w:rFonts w:ascii="Verdana" w:eastAsia="Calibri" w:hAnsi="Verdana" w:cs="Arial"/>
          <w:color w:val="000000" w:themeColor="text1"/>
          <w:sz w:val="20"/>
          <w:szCs w:val="20"/>
        </w:rPr>
        <w:t xml:space="preserve">. </w:t>
      </w:r>
    </w:p>
    <w:p w14:paraId="3D5F3437" w14:textId="77777777" w:rsidR="0096506A" w:rsidRPr="0096506A" w:rsidRDefault="0096506A" w:rsidP="00EB33BF">
      <w:pPr>
        <w:spacing w:after="0" w:line="240" w:lineRule="auto"/>
        <w:jc w:val="both"/>
        <w:rPr>
          <w:rFonts w:ascii="Verdana" w:eastAsia="Calibri" w:hAnsi="Verdana" w:cs="Arial"/>
          <w:b/>
          <w:bCs/>
          <w:lang w:eastAsia="es-ES"/>
        </w:rPr>
      </w:pPr>
    </w:p>
    <w:p w14:paraId="1F5205DC" w14:textId="77777777" w:rsidR="000B1A69" w:rsidRPr="00B93CEC" w:rsidRDefault="00207C7C" w:rsidP="00EB33BF">
      <w:pPr>
        <w:spacing w:after="0" w:line="240" w:lineRule="auto"/>
        <w:jc w:val="both"/>
        <w:rPr>
          <w:rFonts w:ascii="Verdana" w:eastAsia="Calibri" w:hAnsi="Verdana" w:cs="Arial"/>
          <w:b/>
          <w:bCs/>
          <w:lang w:val="es-ES" w:eastAsia="es-ES"/>
        </w:rPr>
      </w:pPr>
      <w:r w:rsidRPr="00B93CEC">
        <w:rPr>
          <w:rFonts w:ascii="Verdana" w:eastAsia="Calibri" w:hAnsi="Verdana" w:cs="Arial"/>
          <w:b/>
          <w:bCs/>
          <w:lang w:val="es-ES" w:eastAsia="es-ES"/>
        </w:rPr>
        <w:t xml:space="preserve">CESIÓN DEL CONTRATO ESTATAL – Requisitos – Restricciones </w:t>
      </w:r>
    </w:p>
    <w:p w14:paraId="26CC7172" w14:textId="77777777" w:rsidR="000B1A69" w:rsidRPr="00927BE4" w:rsidRDefault="000B1A69" w:rsidP="00EB33BF">
      <w:pPr>
        <w:spacing w:after="0" w:line="240" w:lineRule="auto"/>
        <w:jc w:val="both"/>
        <w:rPr>
          <w:rFonts w:ascii="Verdana" w:eastAsia="Calibri" w:hAnsi="Verdana" w:cs="Arial"/>
          <w:sz w:val="20"/>
          <w:szCs w:val="20"/>
          <w:lang w:val="es-ES" w:eastAsia="es-ES"/>
        </w:rPr>
      </w:pPr>
    </w:p>
    <w:p w14:paraId="780706CC" w14:textId="6E8A7802" w:rsidR="00927BE4" w:rsidRPr="00927BE4" w:rsidRDefault="00927BE4" w:rsidP="00EB33BF">
      <w:pPr>
        <w:spacing w:after="0" w:line="240" w:lineRule="auto"/>
        <w:jc w:val="both"/>
        <w:rPr>
          <w:rFonts w:ascii="Verdana" w:eastAsia="Calibri" w:hAnsi="Verdana" w:cs="Arial"/>
          <w:sz w:val="20"/>
          <w:szCs w:val="20"/>
          <w:lang w:eastAsia="es-ES"/>
        </w:rPr>
      </w:pPr>
      <w:r w:rsidRPr="00927BE4">
        <w:rPr>
          <w:rFonts w:ascii="Verdana" w:eastAsia="Calibri" w:hAnsi="Verdana" w:cs="Arial"/>
          <w:sz w:val="20"/>
          <w:szCs w:val="20"/>
          <w:lang w:eastAsia="es-ES"/>
        </w:rPr>
        <w:t xml:space="preserve">Por lo demás, el Consejo de Estado ha precisado como requisitos de la cesión del contrato estatal los siguientes: i) debe recaer en un tercero; </w:t>
      </w:r>
      <w:proofErr w:type="spellStart"/>
      <w:r w:rsidRPr="00927BE4">
        <w:rPr>
          <w:rFonts w:ascii="Verdana" w:eastAsia="Calibri" w:hAnsi="Verdana" w:cs="Arial"/>
          <w:sz w:val="20"/>
          <w:szCs w:val="20"/>
          <w:lang w:eastAsia="es-ES"/>
        </w:rPr>
        <w:t>ii</w:t>
      </w:r>
      <w:proofErr w:type="spellEnd"/>
      <w:r w:rsidRPr="00927BE4">
        <w:rPr>
          <w:rFonts w:ascii="Verdana" w:eastAsia="Calibri" w:hAnsi="Verdana" w:cs="Arial"/>
          <w:sz w:val="20"/>
          <w:szCs w:val="20"/>
          <w:lang w:eastAsia="es-ES"/>
        </w:rPr>
        <w:t xml:space="preserve">) el cesionario debe tener capacidad jurídica para continuar con la ejecución del objeto contractual y no estar incurso en causales de inhabilidad e incompatibilidad para contratar; y </w:t>
      </w:r>
      <w:proofErr w:type="spellStart"/>
      <w:r w:rsidRPr="00927BE4">
        <w:rPr>
          <w:rFonts w:ascii="Verdana" w:eastAsia="Calibri" w:hAnsi="Verdana" w:cs="Arial"/>
          <w:sz w:val="20"/>
          <w:szCs w:val="20"/>
          <w:lang w:eastAsia="es-ES"/>
        </w:rPr>
        <w:t>iii</w:t>
      </w:r>
      <w:proofErr w:type="spellEnd"/>
      <w:r w:rsidRPr="00927BE4">
        <w:rPr>
          <w:rFonts w:ascii="Verdana" w:eastAsia="Calibri" w:hAnsi="Verdana" w:cs="Arial"/>
          <w:sz w:val="20"/>
          <w:szCs w:val="20"/>
          <w:lang w:eastAsia="es-ES"/>
        </w:rPr>
        <w:t xml:space="preserve">) el cesionario debe contar con capacidad técnica, económica y financiera suficientes para el cumplimiento de las obligaciones emanadas del contrato cedido. Al respecto, la Sección Tercera del Consejo de Estado ha explicado que, en la medida que el tercero cesionario asume la posición contractual del contratista cedente, las disposiciones, los pliegos de condiciones y el contrato mismo serán aplicables a quien asuma la nueva posición contractual. De esta manera, la capacidad jurídica, económica y técnica del contratista cedente se exigirá también al cesionario, ya que “[…] el proceso cesión del contrato y las exigencias que se le impongan al tercero, no pueden alterar ni burlar los procedimientos de selección del </w:t>
      </w:r>
      <w:r w:rsidRPr="00927BE4">
        <w:rPr>
          <w:rFonts w:ascii="Verdana" w:eastAsia="Calibri" w:hAnsi="Verdana" w:cs="Arial"/>
          <w:sz w:val="20"/>
          <w:szCs w:val="20"/>
          <w:lang w:eastAsia="es-ES"/>
        </w:rPr>
        <w:lastRenderedPageBreak/>
        <w:t>contratista, en otras palabras, la figura de la cesión de contrato no puede servir como instrumento para desviar las obligaciones que tiene la entidad contratante de cumplimiento de los parámetros de la selección objetiva”.</w:t>
      </w:r>
    </w:p>
    <w:p w14:paraId="38A2ECB1" w14:textId="77777777" w:rsidR="00927BE4" w:rsidRPr="00927BE4" w:rsidRDefault="00927BE4" w:rsidP="00EB33BF">
      <w:pPr>
        <w:spacing w:after="0" w:line="240" w:lineRule="auto"/>
        <w:jc w:val="both"/>
        <w:rPr>
          <w:rFonts w:ascii="Verdana" w:eastAsia="Calibri" w:hAnsi="Verdana" w:cs="Arial"/>
          <w:b/>
          <w:bCs/>
          <w:lang w:eastAsia="es-ES"/>
        </w:rPr>
      </w:pPr>
    </w:p>
    <w:p w14:paraId="467CB4E3" w14:textId="77777777" w:rsidR="000B1A69" w:rsidRPr="00B93CEC" w:rsidRDefault="00207C7C" w:rsidP="00EB33BF">
      <w:pPr>
        <w:spacing w:after="0" w:line="240" w:lineRule="auto"/>
        <w:jc w:val="both"/>
        <w:rPr>
          <w:rFonts w:ascii="Verdana" w:eastAsia="Calibri" w:hAnsi="Verdana" w:cs="Arial"/>
          <w:b/>
          <w:bCs/>
          <w:lang w:val="es-ES_tradnl" w:eastAsia="es-ES"/>
        </w:rPr>
      </w:pPr>
      <w:r w:rsidRPr="00B93CEC">
        <w:rPr>
          <w:rFonts w:ascii="Verdana" w:eastAsia="Calibri" w:hAnsi="Verdana" w:cs="Arial"/>
          <w:b/>
          <w:bCs/>
          <w:lang w:val="es-ES_tradnl" w:eastAsia="es-ES"/>
        </w:rPr>
        <w:t xml:space="preserve">PROPONENTE PLURAL ‒ Consorcio ‒ Unión temporal ‒ Concepto – Diferencias </w:t>
      </w:r>
    </w:p>
    <w:p w14:paraId="269B2818" w14:textId="77777777" w:rsidR="000B1A69" w:rsidRPr="00AE41AA" w:rsidRDefault="000B1A69" w:rsidP="00EB33BF">
      <w:pPr>
        <w:spacing w:after="0" w:line="240" w:lineRule="auto"/>
        <w:jc w:val="both"/>
        <w:rPr>
          <w:rFonts w:ascii="Verdana" w:eastAsia="Calibri" w:hAnsi="Verdana" w:cs="Arial"/>
          <w:sz w:val="20"/>
          <w:szCs w:val="20"/>
          <w:lang w:val="es-ES_tradnl" w:eastAsia="es-ES"/>
        </w:rPr>
      </w:pPr>
    </w:p>
    <w:p w14:paraId="19E7A33D" w14:textId="77777777" w:rsidR="00AE41AA" w:rsidRPr="00AE41AA" w:rsidRDefault="00AE41AA" w:rsidP="00EB33BF">
      <w:pPr>
        <w:spacing w:after="0" w:line="240" w:lineRule="auto"/>
        <w:jc w:val="both"/>
        <w:rPr>
          <w:rFonts w:ascii="Verdana" w:eastAsia="Calibri" w:hAnsi="Verdana" w:cs="Arial"/>
          <w:sz w:val="20"/>
          <w:szCs w:val="20"/>
          <w:lang w:eastAsia="es-ES"/>
        </w:rPr>
      </w:pPr>
      <w:r w:rsidRPr="00AE41AA">
        <w:rPr>
          <w:rFonts w:ascii="Verdana" w:eastAsia="Calibri" w:hAnsi="Verdana" w:cs="Arial"/>
          <w:sz w:val="20"/>
          <w:szCs w:val="20"/>
          <w:lang w:val="es-ES" w:eastAsia="es-ES"/>
        </w:rPr>
        <w:t>Como se observa, el artículo citado señala que el consorcio o la unión temporal se da “Cuando dos o más personas en forma conjunta presentan una misma propuesta para la adjudicación, celebración y ejecución de un contrato, respondiendo solidariamente de todas y cada una de las obligaciones derivadas de la propuesta y del contrato […]”.</w:t>
      </w:r>
      <w:r w:rsidRPr="00AE41AA">
        <w:rPr>
          <w:rFonts w:ascii="Verdana" w:eastAsia="Calibri" w:hAnsi="Verdana" w:cs="Arial"/>
          <w:sz w:val="20"/>
          <w:szCs w:val="20"/>
          <w:lang w:eastAsia="es-ES"/>
        </w:rPr>
        <w:t xml:space="preserve"> Desde esta perspectiva, su capacidad para participar en la adjudicación, celebración y ejecución de los contratos estatales depende de que los integrantes de la estructura plural adopten la decisión conjunta de presentar una misma propuesta al proceso de selección. Como existe una relación de medio – fin, sin la entrega de la oferta no surge la habilitación legal para todo lo demás.  </w:t>
      </w:r>
    </w:p>
    <w:p w14:paraId="1B6DE4E8" w14:textId="77777777" w:rsidR="00AE41AA" w:rsidRDefault="00AE41AA" w:rsidP="00EB33BF">
      <w:pPr>
        <w:spacing w:after="0" w:line="240" w:lineRule="auto"/>
        <w:jc w:val="both"/>
        <w:rPr>
          <w:rFonts w:ascii="Verdana" w:eastAsia="Calibri" w:hAnsi="Verdana" w:cs="Arial"/>
          <w:sz w:val="20"/>
          <w:szCs w:val="20"/>
          <w:lang w:eastAsia="es-ES"/>
        </w:rPr>
      </w:pPr>
    </w:p>
    <w:p w14:paraId="666E13BB" w14:textId="22A12750" w:rsidR="00AE41AA" w:rsidRPr="00AE41AA" w:rsidRDefault="00AE41AA" w:rsidP="00EB33BF">
      <w:pPr>
        <w:spacing w:after="0" w:line="240" w:lineRule="auto"/>
        <w:jc w:val="both"/>
        <w:rPr>
          <w:rFonts w:ascii="Verdana" w:eastAsia="Calibri" w:hAnsi="Verdana" w:cs="Arial"/>
          <w:sz w:val="20"/>
          <w:szCs w:val="20"/>
          <w:lang w:eastAsia="es-ES"/>
        </w:rPr>
      </w:pPr>
      <w:r w:rsidRPr="00AE41AA">
        <w:rPr>
          <w:rFonts w:ascii="Verdana" w:eastAsia="Calibri" w:hAnsi="Verdana" w:cs="Arial"/>
          <w:sz w:val="20"/>
          <w:szCs w:val="20"/>
          <w:lang w:eastAsia="es-ES"/>
        </w:rPr>
        <w:t xml:space="preserve">De esta manera, los consorcios o uniones temporales son convenios de asociación provenientes de la colaboración empresarial, mediante los cuales sus integrantes se unen y se organizan mancomunadamente para lograr con mayor eficacia un fin común de contenido patrimonial y lucrativo, como lo es la obtención del derecho a ser adjudicatarios de un contrato estatal, compartiendo recursos, de toda índole, para su ejecución, así como las utilidades y los riesgos. La diferencia radica en la responsabilidad frente a las eventuales sanciones por el incumplimiento de las obligaciones, toda vez que tratándose de una unión temporal, estas se individualizan según la participación de sus miembros, mientras que en el consorcio los miembros responden solidariamente, con independencia de este aspecto. </w:t>
      </w:r>
    </w:p>
    <w:p w14:paraId="1231B65A" w14:textId="77777777" w:rsidR="000B1A69" w:rsidRPr="00AE41AA" w:rsidRDefault="000B1A69" w:rsidP="00EB33BF">
      <w:pPr>
        <w:spacing w:after="0" w:line="240" w:lineRule="auto"/>
        <w:jc w:val="both"/>
        <w:rPr>
          <w:rFonts w:ascii="Verdana" w:eastAsia="Calibri" w:hAnsi="Verdana" w:cs="Arial"/>
          <w:b/>
          <w:bCs/>
          <w:lang w:eastAsia="es-ES"/>
        </w:rPr>
      </w:pPr>
    </w:p>
    <w:p w14:paraId="781DB5F6" w14:textId="77777777" w:rsidR="000B1A69" w:rsidRPr="00B93CEC" w:rsidRDefault="00207C7C" w:rsidP="00EB33BF">
      <w:pPr>
        <w:spacing w:after="0" w:line="240" w:lineRule="auto"/>
        <w:jc w:val="both"/>
        <w:rPr>
          <w:rFonts w:ascii="Verdana" w:eastAsia="Calibri" w:hAnsi="Verdana" w:cs="Arial"/>
          <w:b/>
          <w:bCs/>
          <w:lang w:val="es-ES_tradnl" w:eastAsia="es-ES"/>
        </w:rPr>
      </w:pPr>
      <w:r w:rsidRPr="00B93CEC">
        <w:rPr>
          <w:rFonts w:ascii="Verdana" w:eastAsia="Calibri" w:hAnsi="Verdana" w:cs="Arial"/>
          <w:b/>
          <w:bCs/>
          <w:lang w:val="es-ES_tradnl" w:eastAsia="es-ES"/>
        </w:rPr>
        <w:t xml:space="preserve">CONSORCIOS Y UNIONES TEMPORALES – Ausencia de personería jurídica – Falta de capacidad como cesionarios </w:t>
      </w:r>
    </w:p>
    <w:p w14:paraId="2814060D" w14:textId="77777777" w:rsidR="000B1A69" w:rsidRDefault="000B1A69" w:rsidP="00EB33BF">
      <w:pPr>
        <w:spacing w:after="0" w:line="240" w:lineRule="auto"/>
        <w:jc w:val="both"/>
        <w:rPr>
          <w:rFonts w:ascii="Verdana" w:eastAsia="Calibri" w:hAnsi="Verdana" w:cs="Arial"/>
          <w:b/>
          <w:bCs/>
          <w:lang w:val="es-ES_tradnl" w:eastAsia="es-ES"/>
        </w:rPr>
      </w:pPr>
    </w:p>
    <w:p w14:paraId="650B4292" w14:textId="77777777" w:rsidR="00841485" w:rsidRPr="00841485" w:rsidRDefault="00841485" w:rsidP="00EB33BF">
      <w:pPr>
        <w:spacing w:after="0" w:line="240" w:lineRule="auto"/>
        <w:jc w:val="both"/>
        <w:rPr>
          <w:rFonts w:ascii="Verdana" w:eastAsia="Calibri" w:hAnsi="Verdana" w:cs="Arial"/>
          <w:sz w:val="20"/>
          <w:szCs w:val="20"/>
          <w:lang w:eastAsia="es-ES"/>
        </w:rPr>
      </w:pPr>
      <w:r w:rsidRPr="00841485">
        <w:rPr>
          <w:rFonts w:ascii="Verdana" w:eastAsia="Calibri" w:hAnsi="Verdana" w:cs="Arial"/>
          <w:sz w:val="20"/>
          <w:szCs w:val="20"/>
          <w:lang w:eastAsia="es-ES"/>
        </w:rPr>
        <w:t xml:space="preserve">De acuerdo con el inciso primero del artículo 73 del Código Civil las personas son naturales o jurídicas. Conforme al artículo 74 </w:t>
      </w:r>
      <w:r w:rsidRPr="00841485">
        <w:rPr>
          <w:rFonts w:ascii="Verdana" w:eastAsia="Calibri" w:hAnsi="Verdana" w:cs="Arial"/>
          <w:i/>
          <w:iCs/>
          <w:sz w:val="20"/>
          <w:szCs w:val="20"/>
          <w:lang w:eastAsia="es-ES"/>
        </w:rPr>
        <w:t>ibidem</w:t>
      </w:r>
      <w:r w:rsidRPr="00841485">
        <w:rPr>
          <w:rFonts w:ascii="Verdana" w:eastAsia="Calibri" w:hAnsi="Verdana" w:cs="Arial"/>
          <w:sz w:val="20"/>
          <w:szCs w:val="20"/>
          <w:lang w:eastAsia="es-ES"/>
        </w:rPr>
        <w:t xml:space="preserve">, las primeras corresponden a “[…] todos los individuos de la especie humana, cualquiera que sea su edad, sexo, estirpe o condición”. En contraste, con fundamento en el inciso primero artículo 633 </w:t>
      </w:r>
      <w:r w:rsidRPr="00841485">
        <w:rPr>
          <w:rFonts w:ascii="Verdana" w:eastAsia="Calibri" w:hAnsi="Verdana" w:cs="Arial"/>
          <w:i/>
          <w:iCs/>
          <w:sz w:val="20"/>
          <w:szCs w:val="20"/>
          <w:lang w:eastAsia="es-ES"/>
        </w:rPr>
        <w:t>ibidem</w:t>
      </w:r>
      <w:r w:rsidRPr="00841485">
        <w:rPr>
          <w:rFonts w:ascii="Verdana" w:eastAsia="Calibri" w:hAnsi="Verdana" w:cs="Arial"/>
          <w:sz w:val="20"/>
          <w:szCs w:val="20"/>
          <w:lang w:eastAsia="es-ES"/>
        </w:rPr>
        <w:t xml:space="preserve">, las segundas son “[…] una persona ficticia, capaz de ejercer derechos y contraer obligaciones civiles, y de ser representada judicial y extrajudicialmente”. Como se explicó </w:t>
      </w:r>
      <w:r w:rsidRPr="00841485">
        <w:rPr>
          <w:rFonts w:ascii="Verdana" w:eastAsia="Calibri" w:hAnsi="Verdana" w:cs="Arial"/>
          <w:i/>
          <w:iCs/>
          <w:sz w:val="20"/>
          <w:szCs w:val="20"/>
          <w:lang w:eastAsia="es-ES"/>
        </w:rPr>
        <w:t>ut supra</w:t>
      </w:r>
      <w:r w:rsidRPr="00841485">
        <w:rPr>
          <w:rFonts w:ascii="Verdana" w:eastAsia="Calibri" w:hAnsi="Verdana" w:cs="Arial"/>
          <w:sz w:val="20"/>
          <w:szCs w:val="20"/>
          <w:lang w:eastAsia="es-ES"/>
        </w:rPr>
        <w:t>, los consorcios y las uniones temporales carecen de esta naturaleza. Asimismo, los numerales 6 y 7 del artículo 7 de la Ley 80 de 1993 tampoco otorgan capacidad a los proponentes plurales para ser cesionarios; por lo que al no existir una habilitación legal para que los contratistas cedan su posición contractual a los consorcios o uniones temporales.</w:t>
      </w:r>
    </w:p>
    <w:p w14:paraId="2A4809AD" w14:textId="77777777" w:rsidR="00841485" w:rsidRDefault="00841485" w:rsidP="00EB33BF">
      <w:pPr>
        <w:spacing w:line="240" w:lineRule="auto"/>
        <w:jc w:val="both"/>
        <w:rPr>
          <w:rFonts w:ascii="Verdana" w:eastAsia="Calibri" w:hAnsi="Verdana" w:cs="Arial"/>
          <w:sz w:val="20"/>
          <w:szCs w:val="20"/>
          <w:lang w:eastAsia="es-ES"/>
        </w:rPr>
      </w:pPr>
    </w:p>
    <w:p w14:paraId="7C05BEC4" w14:textId="3F5B3D36" w:rsidR="00841485" w:rsidRDefault="00841485" w:rsidP="00EB33BF">
      <w:pPr>
        <w:spacing w:line="240" w:lineRule="auto"/>
        <w:jc w:val="both"/>
        <w:rPr>
          <w:rFonts w:ascii="Verdana" w:eastAsia="Calibri" w:hAnsi="Verdana" w:cs="Arial"/>
          <w:sz w:val="20"/>
          <w:szCs w:val="20"/>
          <w:lang w:eastAsia="es-ES"/>
        </w:rPr>
      </w:pPr>
      <w:r w:rsidRPr="00841485">
        <w:rPr>
          <w:rFonts w:ascii="Verdana" w:eastAsia="Calibri" w:hAnsi="Verdana" w:cs="Arial"/>
          <w:sz w:val="20"/>
          <w:szCs w:val="20"/>
          <w:lang w:eastAsia="es-ES"/>
        </w:rPr>
        <w:lastRenderedPageBreak/>
        <w:t>Esta postura se encuentra sostenida en el Concepto C</w:t>
      </w:r>
      <w:r w:rsidRPr="00841485">
        <w:rPr>
          <w:rFonts w:ascii="Verdana" w:eastAsia="Calibri" w:hAnsi="Verdana" w:cs="Arial"/>
          <w:sz w:val="20"/>
          <w:szCs w:val="20"/>
          <w:lang w:eastAsia="es-ES"/>
        </w:rPr>
        <w:noBreakHyphen/>
        <w:t xml:space="preserve">100 del 12 de junio de 2024, la cual establece que no resulta procedente que un consorcio contratista ceda el contrato a otro consorcio. Ello obedece a que la capacidad contractual reconocida a los consorcios y uniones temporales se circunscribe a la posibilidad de suscribir contratos estatales, mas no a la celebración de contratos de cesión, los cuales se configuran como negocios jurídicos entre particulares, sujetos a la condición de aprobación por parte de la entidad pública contratante. En este sentido, la cesión de un contrato estatal no puede entenderse como una extensión automática de la capacidad contractual de los consorcios para tener relaciones con particulares. Por ello, la discusión sobre obligaciones accesorias como la inscripción en el Registro Único Tributario (RUT) o la obtención del Número de Identificación Tributaria (NIT) carece de relevancia en este escenario, pues por sustracción de materia no es procedente aludir al Consorcio cesionario. </w:t>
      </w:r>
    </w:p>
    <w:p w14:paraId="4CA80C3A" w14:textId="77777777" w:rsidR="00841485" w:rsidRPr="00841485" w:rsidRDefault="00841485" w:rsidP="00EB33BF">
      <w:pPr>
        <w:spacing w:after="0" w:line="240" w:lineRule="auto"/>
        <w:jc w:val="both"/>
        <w:rPr>
          <w:rFonts w:ascii="Verdana" w:eastAsia="Calibri" w:hAnsi="Verdana" w:cs="Arial"/>
          <w:sz w:val="20"/>
          <w:szCs w:val="20"/>
          <w:lang w:eastAsia="es-ES"/>
        </w:rPr>
      </w:pPr>
    </w:p>
    <w:p w14:paraId="03745C58" w14:textId="77777777" w:rsidR="00841485" w:rsidRPr="00841485" w:rsidRDefault="00841485" w:rsidP="00EB33BF">
      <w:pPr>
        <w:spacing w:after="0" w:line="240" w:lineRule="auto"/>
        <w:jc w:val="both"/>
        <w:rPr>
          <w:rFonts w:ascii="Verdana" w:eastAsia="Calibri" w:hAnsi="Verdana" w:cs="Arial"/>
          <w:sz w:val="20"/>
          <w:szCs w:val="20"/>
          <w:lang w:eastAsia="es-ES"/>
        </w:rPr>
      </w:pPr>
      <w:r w:rsidRPr="00841485">
        <w:rPr>
          <w:rFonts w:ascii="Verdana" w:eastAsia="Calibri" w:hAnsi="Verdana" w:cs="Arial"/>
          <w:sz w:val="20"/>
          <w:szCs w:val="20"/>
          <w:lang w:eastAsia="es-ES"/>
        </w:rPr>
        <w:t>Sin embargo, dicha postura no puede confundirse con la posibilidad de ceder la participación de un consorcio por parte de uno de los miembros, con base en el artículo 9 de la Ley 80 de 1993, el cual dispone: “[…] En ningún caso, podrá haber cesión del contrato entre quienes integran el consorcio o unión temporal”, pues en esta hipótesis no existe un tercero como requisito de la cesión. De esta manera, si está prohibida la cesión entre quienes integren el proponente plural, significa que está permitida la cesión de sus integrantes a un tercero distinto a los miembros del consorcio o la unión temporal. Por tanto, si dicho tercero cumple los requisitos de capacidad jurídica, no está incurso en causales de inhabilidad o incompatibilidad y, de acuerdo con los criterios previstos en el pliego de condiciones, es idóneo desde el punto de vista técnico, económico y financiero para cumplir con las obligaciones, la entidad podrá analizar la posibilidad de autorizar la cesión.</w:t>
      </w:r>
    </w:p>
    <w:p w14:paraId="72669912" w14:textId="77777777" w:rsidR="00841485" w:rsidRPr="00841485" w:rsidRDefault="00841485" w:rsidP="00EB33BF">
      <w:pPr>
        <w:spacing w:after="0" w:line="240" w:lineRule="auto"/>
        <w:jc w:val="both"/>
        <w:rPr>
          <w:rFonts w:ascii="Verdana" w:eastAsia="Calibri" w:hAnsi="Verdana" w:cs="Arial"/>
          <w:sz w:val="20"/>
          <w:szCs w:val="20"/>
          <w:lang w:eastAsia="es-ES"/>
        </w:rPr>
      </w:pPr>
    </w:p>
    <w:p w14:paraId="46415849" w14:textId="77777777" w:rsidR="000B1A69" w:rsidRPr="00B93CEC" w:rsidRDefault="00207C7C" w:rsidP="00EB33BF">
      <w:pPr>
        <w:spacing w:after="0" w:line="240" w:lineRule="auto"/>
        <w:jc w:val="both"/>
        <w:rPr>
          <w:rFonts w:ascii="Verdana" w:eastAsia="Calibri" w:hAnsi="Verdana" w:cs="Arial"/>
          <w:b/>
          <w:bCs/>
          <w:lang w:val="es-ES_tradnl" w:eastAsia="es-ES"/>
        </w:rPr>
      </w:pPr>
      <w:r w:rsidRPr="00B93CEC">
        <w:rPr>
          <w:rFonts w:ascii="Verdana" w:eastAsia="Calibri" w:hAnsi="Verdana" w:cs="Arial"/>
          <w:b/>
          <w:bCs/>
          <w:lang w:val="es-ES_tradnl" w:eastAsia="es-ES"/>
        </w:rPr>
        <w:t xml:space="preserve">GARANTÍAS – Finalidad </w:t>
      </w:r>
    </w:p>
    <w:p w14:paraId="0EB5B985" w14:textId="77777777" w:rsidR="00165831" w:rsidRPr="00165831" w:rsidRDefault="00165831" w:rsidP="00EB33BF">
      <w:pPr>
        <w:spacing w:after="0" w:line="240" w:lineRule="auto"/>
        <w:jc w:val="both"/>
        <w:rPr>
          <w:rFonts w:ascii="Verdana" w:eastAsia="Calibri" w:hAnsi="Verdana" w:cs="Arial"/>
          <w:sz w:val="20"/>
          <w:szCs w:val="20"/>
          <w:lang w:val="es-ES_tradnl" w:eastAsia="es-ES"/>
        </w:rPr>
      </w:pPr>
    </w:p>
    <w:p w14:paraId="0D1B2F8B" w14:textId="51CC86B6" w:rsidR="00165831" w:rsidRDefault="00165831" w:rsidP="00EB33BF">
      <w:pPr>
        <w:spacing w:after="0" w:line="240" w:lineRule="auto"/>
        <w:jc w:val="both"/>
        <w:rPr>
          <w:rFonts w:ascii="Verdana" w:eastAsia="Calibri" w:hAnsi="Verdana" w:cs="Arial"/>
          <w:sz w:val="20"/>
          <w:szCs w:val="20"/>
          <w:lang w:val="es-ES_tradnl" w:eastAsia="es-ES"/>
        </w:rPr>
      </w:pPr>
      <w:r w:rsidRPr="00165831">
        <w:rPr>
          <w:rFonts w:ascii="Verdana" w:eastAsia="Calibri" w:hAnsi="Verdana" w:cs="Arial"/>
          <w:sz w:val="20"/>
          <w:szCs w:val="20"/>
          <w:lang w:val="es-ES_tradnl" w:eastAsia="es-ES"/>
        </w:rPr>
        <w:t xml:space="preserve">El Estatuto General de Contratación de la Administración Pública exige, por regla general, en los procesos de contratación pública </w:t>
      </w:r>
      <w:r w:rsidRPr="00165831">
        <w:rPr>
          <w:rFonts w:ascii="Verdana" w:eastAsia="Calibri" w:hAnsi="Verdana" w:cs="Arial"/>
          <w:sz w:val="20"/>
          <w:szCs w:val="20"/>
          <w:lang w:val="es-ES" w:eastAsia="es-ES"/>
        </w:rPr>
        <w:t xml:space="preserve">la constitución de garantías ya sea en la etapa precontractual, contractual o </w:t>
      </w:r>
      <w:proofErr w:type="spellStart"/>
      <w:r w:rsidRPr="00165831">
        <w:rPr>
          <w:rFonts w:ascii="Verdana" w:eastAsia="Calibri" w:hAnsi="Verdana" w:cs="Arial"/>
          <w:sz w:val="20"/>
          <w:szCs w:val="20"/>
          <w:lang w:val="es-ES" w:eastAsia="es-ES"/>
        </w:rPr>
        <w:t>postcontractual</w:t>
      </w:r>
      <w:proofErr w:type="spellEnd"/>
      <w:r w:rsidRPr="00165831">
        <w:rPr>
          <w:rFonts w:ascii="Verdana" w:eastAsia="Calibri" w:hAnsi="Verdana" w:cs="Arial"/>
          <w:sz w:val="20"/>
          <w:szCs w:val="20"/>
          <w:lang w:val="es-ES" w:eastAsia="es-ES"/>
        </w:rPr>
        <w:t>, con el fin de evitar o mitigar posibles riesgos</w:t>
      </w:r>
      <w:r w:rsidRPr="00165831">
        <w:rPr>
          <w:rFonts w:ascii="Verdana" w:eastAsia="Calibri" w:hAnsi="Verdana" w:cs="Arial"/>
          <w:sz w:val="20"/>
          <w:szCs w:val="20"/>
          <w:lang w:val="es-ES_tradnl" w:eastAsia="es-ES"/>
        </w:rPr>
        <w:t>. En esa orientación, el artículo 7 de la Ley 1150 de 2007 dispone que los contratistas tienen la obligación de constituir garantías para el cumplimiento de las obligaciones surgidas del contrato, y los proponentes por el ofrecimiento realizado, pudiendo consistir en pólizas expedidas por compañías aseguradoras, garantías bancarias u otros mecanismos permitidos por la ley y el reglamento</w:t>
      </w:r>
      <w:r>
        <w:rPr>
          <w:rFonts w:ascii="Verdana" w:eastAsia="Calibri" w:hAnsi="Verdana" w:cs="Arial"/>
          <w:sz w:val="20"/>
          <w:szCs w:val="20"/>
          <w:lang w:val="es-ES_tradnl" w:eastAsia="es-ES"/>
        </w:rPr>
        <w:t>.</w:t>
      </w:r>
    </w:p>
    <w:p w14:paraId="1EBFAEBD" w14:textId="77777777" w:rsidR="00165831" w:rsidRPr="00165831" w:rsidRDefault="00165831" w:rsidP="00EB33BF">
      <w:pPr>
        <w:spacing w:after="0" w:line="240" w:lineRule="auto"/>
        <w:jc w:val="both"/>
        <w:rPr>
          <w:rFonts w:ascii="Verdana" w:eastAsia="Calibri" w:hAnsi="Verdana" w:cs="Arial"/>
          <w:sz w:val="20"/>
          <w:szCs w:val="20"/>
          <w:lang w:val="es-ES_tradnl" w:eastAsia="es-ES"/>
        </w:rPr>
      </w:pPr>
    </w:p>
    <w:p w14:paraId="4ABA206A" w14:textId="77777777" w:rsidR="000B1A69" w:rsidRPr="00B93CEC" w:rsidRDefault="00207C7C" w:rsidP="00EB33BF">
      <w:pPr>
        <w:spacing w:after="0" w:line="240" w:lineRule="auto"/>
        <w:jc w:val="both"/>
        <w:rPr>
          <w:rFonts w:ascii="Verdana" w:eastAsia="Calibri" w:hAnsi="Verdana" w:cs="Arial"/>
          <w:b/>
          <w:bCs/>
          <w:lang w:val="es-ES_tradnl" w:eastAsia="es-ES"/>
        </w:rPr>
      </w:pPr>
      <w:r w:rsidRPr="00B93CEC">
        <w:rPr>
          <w:rFonts w:ascii="Verdana" w:eastAsia="Calibri" w:hAnsi="Verdana" w:cs="Arial"/>
          <w:b/>
          <w:bCs/>
          <w:lang w:val="es-ES_tradnl" w:eastAsia="es-ES"/>
        </w:rPr>
        <w:t xml:space="preserve">GARANTÍAS – Tipos </w:t>
      </w:r>
    </w:p>
    <w:p w14:paraId="2EC82D69" w14:textId="77777777" w:rsidR="000B1A69" w:rsidRPr="00165831" w:rsidRDefault="000B1A69" w:rsidP="00EB33BF">
      <w:pPr>
        <w:spacing w:after="0" w:line="240" w:lineRule="auto"/>
        <w:jc w:val="both"/>
        <w:rPr>
          <w:rFonts w:ascii="Verdana" w:eastAsia="Calibri" w:hAnsi="Verdana" w:cs="Arial"/>
          <w:sz w:val="20"/>
          <w:szCs w:val="20"/>
          <w:lang w:val="es-ES_tradnl" w:eastAsia="es-ES"/>
        </w:rPr>
      </w:pPr>
    </w:p>
    <w:p w14:paraId="4CC7CD16" w14:textId="2F855B7A" w:rsidR="00B93CEC" w:rsidRDefault="00165831" w:rsidP="00EB33BF">
      <w:pPr>
        <w:spacing w:after="0" w:line="240" w:lineRule="auto"/>
        <w:jc w:val="both"/>
        <w:rPr>
          <w:rFonts w:ascii="Verdana" w:eastAsia="Calibri" w:hAnsi="Verdana" w:cs="Arial"/>
          <w:sz w:val="20"/>
          <w:szCs w:val="20"/>
          <w:lang w:eastAsia="es-ES"/>
        </w:rPr>
      </w:pPr>
      <w:r w:rsidRPr="00165831">
        <w:rPr>
          <w:rFonts w:ascii="Verdana" w:eastAsia="Calibri" w:hAnsi="Verdana" w:cs="Arial"/>
          <w:sz w:val="20"/>
          <w:szCs w:val="20"/>
          <w:lang w:val="es-ES_tradnl" w:eastAsia="es-ES"/>
        </w:rPr>
        <w:t>De acuerdo a lo expresado anteriormente, l</w:t>
      </w:r>
      <w:r w:rsidRPr="00165831">
        <w:rPr>
          <w:rFonts w:ascii="Verdana" w:eastAsia="Calibri" w:hAnsi="Verdana" w:cs="Arial"/>
          <w:sz w:val="20"/>
          <w:szCs w:val="20"/>
          <w:lang w:eastAsia="es-ES"/>
        </w:rPr>
        <w:t xml:space="preserve">os proponentes o contratistas, para garantizar el cumplimiento de sus obligaciones frente a entidades estatales en materia contractual, pueden otorgar, a su elección, las garantías mediante los siguientes mecanismos de cobertura de los riesgos: i) contratos de seguro, que por su esencia, es el medio más usado para amparar los riesgos contractuales; </w:t>
      </w:r>
      <w:proofErr w:type="spellStart"/>
      <w:r w:rsidRPr="00165831">
        <w:rPr>
          <w:rFonts w:ascii="Verdana" w:eastAsia="Calibri" w:hAnsi="Verdana" w:cs="Arial"/>
          <w:sz w:val="20"/>
          <w:szCs w:val="20"/>
          <w:lang w:eastAsia="es-ES"/>
        </w:rPr>
        <w:t>ii</w:t>
      </w:r>
      <w:proofErr w:type="spellEnd"/>
      <w:r w:rsidRPr="00165831">
        <w:rPr>
          <w:rFonts w:ascii="Verdana" w:eastAsia="Calibri" w:hAnsi="Verdana" w:cs="Arial"/>
          <w:sz w:val="20"/>
          <w:szCs w:val="20"/>
          <w:lang w:eastAsia="es-ES"/>
        </w:rPr>
        <w:t xml:space="preserve">) fiducia mercantil de garantía, que es un contrato que suscribe el oferente, contratista o un tercero como </w:t>
      </w:r>
      <w:r w:rsidRPr="00165831">
        <w:rPr>
          <w:rFonts w:ascii="Verdana" w:eastAsia="Calibri" w:hAnsi="Verdana" w:cs="Arial"/>
          <w:sz w:val="20"/>
          <w:szCs w:val="20"/>
          <w:lang w:eastAsia="es-ES"/>
        </w:rPr>
        <w:lastRenderedPageBreak/>
        <w:t xml:space="preserve">fideicomitente con una sociedad fiduciaria para transferir la propiedad de uno o más bienes o derechos con los cuales se integra un patrimonio autónomo, con el fin de salvaguardar con ellos o con su producido las obligaciones del oferente o contratista con la entidad estatal beneficiaria;  </w:t>
      </w:r>
      <w:proofErr w:type="spellStart"/>
      <w:r w:rsidRPr="00165831">
        <w:rPr>
          <w:rFonts w:ascii="Verdana" w:eastAsia="Calibri" w:hAnsi="Verdana" w:cs="Arial"/>
          <w:sz w:val="20"/>
          <w:szCs w:val="20"/>
          <w:lang w:eastAsia="es-ES"/>
        </w:rPr>
        <w:t>iii</w:t>
      </w:r>
      <w:proofErr w:type="spellEnd"/>
      <w:r w:rsidRPr="00165831">
        <w:rPr>
          <w:rFonts w:ascii="Verdana" w:eastAsia="Calibri" w:hAnsi="Verdana" w:cs="Arial"/>
          <w:sz w:val="20"/>
          <w:szCs w:val="20"/>
          <w:lang w:eastAsia="es-ES"/>
        </w:rPr>
        <w:t xml:space="preserve">) garantías bancarias o cartas de crédito </w:t>
      </w:r>
      <w:r w:rsidRPr="00165831">
        <w:rPr>
          <w:rFonts w:ascii="Verdana" w:eastAsia="Calibri" w:hAnsi="Verdana" w:cs="Arial"/>
          <w:i/>
          <w:iCs/>
          <w:sz w:val="20"/>
          <w:szCs w:val="20"/>
          <w:lang w:eastAsia="es-ES"/>
        </w:rPr>
        <w:t>stand</w:t>
      </w:r>
      <w:r w:rsidRPr="00165831">
        <w:rPr>
          <w:rFonts w:ascii="Verdana" w:eastAsia="Calibri" w:hAnsi="Verdana" w:cs="Arial"/>
          <w:sz w:val="20"/>
          <w:szCs w:val="20"/>
          <w:lang w:eastAsia="es-ES"/>
        </w:rPr>
        <w:t xml:space="preserve"> </w:t>
      </w:r>
      <w:proofErr w:type="spellStart"/>
      <w:r w:rsidRPr="00165831">
        <w:rPr>
          <w:rFonts w:ascii="Verdana" w:eastAsia="Calibri" w:hAnsi="Verdana" w:cs="Arial"/>
          <w:i/>
          <w:iCs/>
          <w:sz w:val="20"/>
          <w:szCs w:val="20"/>
          <w:lang w:eastAsia="es-ES"/>
        </w:rPr>
        <w:t>by</w:t>
      </w:r>
      <w:proofErr w:type="spellEnd"/>
      <w:r w:rsidRPr="00165831">
        <w:rPr>
          <w:rFonts w:ascii="Verdana" w:eastAsia="Calibri" w:hAnsi="Verdana" w:cs="Arial"/>
          <w:sz w:val="20"/>
          <w:szCs w:val="20"/>
          <w:lang w:eastAsia="es-ES"/>
        </w:rPr>
        <w:t>, que consisten en compromisos irrevocables o incondicionales asumidos por una entidad financiera de pagar una suma determinada de dinero. La suficiencia y la vigencia de las garantías deben ser las reguladas en los artículos 2.2.1.2.3.1.9 a 2.2.1.2.3.1.16 del Decreto 1082 de 2015.</w:t>
      </w:r>
    </w:p>
    <w:p w14:paraId="09D9A95A" w14:textId="77777777" w:rsidR="00165831" w:rsidRPr="00165831" w:rsidRDefault="00165831" w:rsidP="00EB33BF">
      <w:pPr>
        <w:spacing w:after="0" w:line="240" w:lineRule="auto"/>
        <w:jc w:val="both"/>
        <w:rPr>
          <w:rFonts w:ascii="Verdana" w:eastAsia="Calibri" w:hAnsi="Verdana" w:cs="Arial"/>
          <w:sz w:val="20"/>
          <w:szCs w:val="20"/>
          <w:lang w:val="es-ES_tradnl" w:eastAsia="es-ES"/>
        </w:rPr>
      </w:pPr>
    </w:p>
    <w:p w14:paraId="6522B7AD" w14:textId="768917B0" w:rsidR="00207C7C" w:rsidRPr="00B93CEC" w:rsidRDefault="00207C7C" w:rsidP="00EB33BF">
      <w:pPr>
        <w:spacing w:after="0" w:line="240" w:lineRule="auto"/>
        <w:jc w:val="both"/>
        <w:rPr>
          <w:rFonts w:ascii="Verdana" w:eastAsia="Calibri" w:hAnsi="Verdana" w:cs="Arial"/>
          <w:b/>
          <w:bCs/>
          <w:lang w:val="es-ES_tradnl" w:eastAsia="es-ES"/>
        </w:rPr>
      </w:pPr>
      <w:r w:rsidRPr="00B93CEC">
        <w:rPr>
          <w:rFonts w:ascii="Verdana" w:eastAsia="Calibri" w:hAnsi="Verdana" w:cs="Arial"/>
          <w:b/>
          <w:bCs/>
          <w:lang w:val="es-ES_tradnl" w:eastAsia="es-ES"/>
        </w:rPr>
        <w:t xml:space="preserve">GARANTÍAS – Deber – Respaldo del Contrato </w:t>
      </w:r>
      <w:r w:rsidR="002B4092" w:rsidRPr="002B4092">
        <w:rPr>
          <w:rFonts w:ascii="Verdana" w:eastAsia="Calibri" w:hAnsi="Verdana" w:cs="Arial"/>
          <w:b/>
          <w:bCs/>
          <w:lang w:val="es-ES" w:eastAsia="es-ES"/>
        </w:rPr>
        <w:t>–</w:t>
      </w:r>
      <w:r w:rsidRPr="00B93CEC">
        <w:rPr>
          <w:rFonts w:ascii="Verdana" w:eastAsia="Calibri" w:hAnsi="Verdana" w:cs="Arial"/>
          <w:b/>
          <w:bCs/>
          <w:lang w:val="es-ES_tradnl" w:eastAsia="es-ES"/>
        </w:rPr>
        <w:t xml:space="preserve"> </w:t>
      </w:r>
      <w:r w:rsidRPr="00B93CEC">
        <w:rPr>
          <w:rFonts w:ascii="Verdana" w:hAnsi="Verdana" w:cs="Arial"/>
          <w:b/>
          <w:bCs/>
          <w:lang w:eastAsia="es-ES" w:bidi="es-ES"/>
        </w:rPr>
        <w:t>Cesión del Contrato – Escenario</w:t>
      </w:r>
    </w:p>
    <w:p w14:paraId="32540E13" w14:textId="77777777" w:rsidR="00207C7C" w:rsidRPr="00EB33BF" w:rsidRDefault="00207C7C" w:rsidP="00EB33BF">
      <w:pPr>
        <w:spacing w:after="0" w:line="240" w:lineRule="auto"/>
        <w:jc w:val="both"/>
        <w:rPr>
          <w:rFonts w:ascii="Verdana" w:eastAsia="Verdana" w:hAnsi="Verdana" w:cs="Verdana"/>
          <w:b/>
          <w:bCs/>
          <w:sz w:val="20"/>
          <w:szCs w:val="20"/>
        </w:rPr>
      </w:pPr>
    </w:p>
    <w:p w14:paraId="34B8EDA9" w14:textId="77777777" w:rsidR="00EB33BF" w:rsidRPr="00EB33BF" w:rsidRDefault="00EB33BF" w:rsidP="00EB33BF">
      <w:pPr>
        <w:spacing w:after="0" w:line="240" w:lineRule="auto"/>
        <w:jc w:val="both"/>
        <w:rPr>
          <w:rFonts w:ascii="Verdana" w:eastAsia="Verdana" w:hAnsi="Verdana" w:cs="Verdana"/>
          <w:sz w:val="20"/>
          <w:szCs w:val="20"/>
        </w:rPr>
      </w:pPr>
      <w:r w:rsidRPr="00EB33BF">
        <w:rPr>
          <w:rFonts w:ascii="Verdana" w:eastAsia="Verdana" w:hAnsi="Verdana" w:cs="Verdana"/>
          <w:sz w:val="20"/>
          <w:szCs w:val="20"/>
        </w:rPr>
        <w:t>Debe tenerse presente que, en el evento en que el cesionario —quien no puede ser un consorcio, como se explicó ut supra— pretenda asumir la garantía inicial constituida por el contratista cedente, ello no lo exonera de su deber de que existan garantías para el contrato. La obligación de mantener vigentes las garantías recae directamente sobre el contratista, quien debe gestionar la expedición de una nueva póliza o la sustitución de la garantía, asegurando la cobertura de los riesgos derivados de la ejecución contractual. La cesión del contrato no puede convertirse en un mecanismo para evadir esta obligación, pues la garantía es un instrumento esencial de protección del interés público.</w:t>
      </w:r>
    </w:p>
    <w:p w14:paraId="35823839" w14:textId="77777777" w:rsidR="00EB33BF" w:rsidRPr="00EB33BF" w:rsidRDefault="00EB33BF" w:rsidP="00EB33BF">
      <w:pPr>
        <w:spacing w:after="0" w:line="240" w:lineRule="auto"/>
        <w:jc w:val="both"/>
        <w:rPr>
          <w:rFonts w:ascii="Verdana" w:eastAsia="Verdana" w:hAnsi="Verdana" w:cs="Verdana"/>
          <w:sz w:val="20"/>
          <w:szCs w:val="20"/>
        </w:rPr>
      </w:pPr>
      <w:r w:rsidRPr="00EB33BF">
        <w:rPr>
          <w:rFonts w:ascii="Verdana" w:eastAsia="Verdana" w:hAnsi="Verdana" w:cs="Verdana"/>
          <w:sz w:val="20"/>
          <w:szCs w:val="20"/>
        </w:rPr>
        <w:t>En el caso de una negativa expresa de la aseguradora de ajustar o expedir una nueva póliza, el contratista no queda liberado de su deber de mantener vigente la garantía. La responsabilidad de asegurar la continuidad de la cobertura es indelegable y constituye un requisito indispensable para la validez de la relación contractual. La Administración, en ejercicio de sus potestades de control, debe exigir al contratista la constitución de una nueva garantía, evitando que la ausencia de cobertura comprometa la ejecución del contrato y los fines de la contratación estatal.</w:t>
      </w:r>
    </w:p>
    <w:p w14:paraId="16EC36B4" w14:textId="77777777" w:rsidR="00EB33BF" w:rsidRPr="00EB33BF" w:rsidRDefault="00EB33BF" w:rsidP="00EB33BF">
      <w:pPr>
        <w:spacing w:after="0" w:line="240" w:lineRule="auto"/>
        <w:jc w:val="both"/>
        <w:rPr>
          <w:rFonts w:ascii="Verdana" w:eastAsia="Verdana" w:hAnsi="Verdana" w:cs="Verdana"/>
          <w:sz w:val="20"/>
          <w:szCs w:val="20"/>
        </w:rPr>
      </w:pPr>
    </w:p>
    <w:p w14:paraId="5FB3B5A7" w14:textId="77777777" w:rsidR="00EB33BF" w:rsidRPr="00EB33BF" w:rsidRDefault="00EB33BF" w:rsidP="00EB33BF">
      <w:pPr>
        <w:spacing w:after="0" w:line="240" w:lineRule="auto"/>
        <w:jc w:val="both"/>
        <w:rPr>
          <w:rFonts w:ascii="Verdana" w:eastAsia="Verdana" w:hAnsi="Verdana" w:cs="Verdana"/>
          <w:sz w:val="20"/>
          <w:szCs w:val="20"/>
        </w:rPr>
      </w:pPr>
      <w:r w:rsidRPr="00EB33BF">
        <w:rPr>
          <w:rFonts w:ascii="Verdana" w:eastAsia="Verdana" w:hAnsi="Verdana" w:cs="Verdana"/>
          <w:sz w:val="20"/>
          <w:szCs w:val="20"/>
        </w:rPr>
        <w:t>El sistema de compras públicas ofrece mecanismos alternativos para cumplir con esta obligación. Además del contrato de seguro, el artículo 7 de la Ley 1150 de 2007 admite la constitución de garantías mediante garantía bancaria o patrimonio autónomo conformado a través de fiducia mercantil. En consecuencia, la negativa de una compañía aseguradora, por sí sola, no acredita la imposibilidad de obtener la cobertura exigida. Ante tal escenario, el cesionario puede acudir a otra aseguradora o a cualquiera de los mecanismos alternativos previstos en la ley, y la entidad contratante debe requerirlo formalmente, garantizando que la ejecución contractual se mantenga bajo parámetros de legalidad, eficacia y protección del interés público.</w:t>
      </w:r>
    </w:p>
    <w:p w14:paraId="0C4CA46F" w14:textId="77777777" w:rsidR="00EB33BF" w:rsidRPr="00EB33BF" w:rsidRDefault="00EB33BF" w:rsidP="00EB33BF">
      <w:pPr>
        <w:spacing w:after="0"/>
        <w:rPr>
          <w:rFonts w:ascii="Verdana" w:eastAsia="Verdana" w:hAnsi="Verdana" w:cs="Verdana"/>
        </w:rPr>
      </w:pPr>
    </w:p>
    <w:p w14:paraId="46BDE84B" w14:textId="77777777" w:rsidR="00207C7C" w:rsidRDefault="00207C7C" w:rsidP="00716424">
      <w:pPr>
        <w:spacing w:after="0"/>
        <w:rPr>
          <w:rFonts w:ascii="Verdana" w:eastAsia="Verdana" w:hAnsi="Verdana" w:cs="Verdana"/>
        </w:rPr>
      </w:pPr>
    </w:p>
    <w:p w14:paraId="5D334573" w14:textId="77777777" w:rsidR="00207C7C" w:rsidRDefault="00207C7C" w:rsidP="00716424">
      <w:pPr>
        <w:spacing w:after="0"/>
        <w:rPr>
          <w:rFonts w:ascii="Verdana" w:eastAsia="Verdana" w:hAnsi="Verdana" w:cs="Verdana"/>
        </w:rPr>
      </w:pPr>
    </w:p>
    <w:p w14:paraId="19363CA2" w14:textId="77777777" w:rsidR="00EB33BF" w:rsidRDefault="00EB33BF" w:rsidP="00716424">
      <w:pPr>
        <w:spacing w:after="0"/>
        <w:rPr>
          <w:rFonts w:ascii="Verdana" w:eastAsia="Verdana" w:hAnsi="Verdana" w:cs="Verdana"/>
        </w:rPr>
      </w:pPr>
    </w:p>
    <w:p w14:paraId="1198F2C1" w14:textId="77777777" w:rsidR="00EB33BF" w:rsidRDefault="00EB33BF" w:rsidP="00716424">
      <w:pPr>
        <w:spacing w:after="0"/>
        <w:rPr>
          <w:rFonts w:ascii="Verdana" w:eastAsia="Verdana" w:hAnsi="Verdana" w:cs="Verdana"/>
        </w:rPr>
      </w:pPr>
    </w:p>
    <w:p w14:paraId="73CC92CC" w14:textId="77777777" w:rsidR="00EB33BF" w:rsidRDefault="00EB33BF" w:rsidP="00716424">
      <w:pPr>
        <w:spacing w:after="0"/>
        <w:rPr>
          <w:rFonts w:ascii="Verdana" w:eastAsia="Verdana" w:hAnsi="Verdana" w:cs="Verdana"/>
        </w:rPr>
      </w:pPr>
    </w:p>
    <w:p w14:paraId="5004DD36" w14:textId="77777777" w:rsidR="00EB33BF" w:rsidRDefault="00EB33BF" w:rsidP="00716424">
      <w:pPr>
        <w:spacing w:after="0"/>
        <w:rPr>
          <w:rFonts w:ascii="Verdana" w:eastAsia="Verdana" w:hAnsi="Verdana" w:cs="Verdana"/>
        </w:rPr>
      </w:pPr>
    </w:p>
    <w:p w14:paraId="56E7C415" w14:textId="6BBCEB38" w:rsidR="00716424" w:rsidRDefault="00ED77B8" w:rsidP="00716424">
      <w:pPr>
        <w:spacing w:after="0"/>
      </w:pPr>
      <w:r w:rsidRPr="00ED77B8">
        <w:rPr>
          <w:noProof/>
        </w:rPr>
        <w:lastRenderedPageBreak/>
        <w:drawing>
          <wp:anchor distT="0" distB="0" distL="114300" distR="114300" simplePos="0" relativeHeight="251658240" behindDoc="0" locked="0" layoutInCell="1" allowOverlap="1" wp14:anchorId="09BA87C3" wp14:editId="4998AF04">
            <wp:simplePos x="0" y="0"/>
            <wp:positionH relativeFrom="margin">
              <wp:align>right</wp:align>
            </wp:positionH>
            <wp:positionV relativeFrom="paragraph">
              <wp:posOffset>226729</wp:posOffset>
            </wp:positionV>
            <wp:extent cx="2700655" cy="748665"/>
            <wp:effectExtent l="0" t="0" r="4445" b="0"/>
            <wp:wrapSquare wrapText="bothSides"/>
            <wp:docPr id="142289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0655" cy="748665"/>
                    </a:xfrm>
                    <a:prstGeom prst="rect">
                      <a:avLst/>
                    </a:prstGeom>
                    <a:noFill/>
                    <a:ln>
                      <a:noFill/>
                    </a:ln>
                  </pic:spPr>
                </pic:pic>
              </a:graphicData>
            </a:graphic>
          </wp:anchor>
        </w:drawing>
      </w:r>
      <w:r w:rsidR="00716424" w:rsidRPr="30821638">
        <w:rPr>
          <w:rFonts w:ascii="Verdana" w:eastAsia="Verdana" w:hAnsi="Verdana" w:cs="Verdana"/>
        </w:rPr>
        <w:t xml:space="preserve">Bogotá D.C., </w:t>
      </w:r>
      <w:r w:rsidR="002E5BB5">
        <w:rPr>
          <w:rFonts w:ascii="Verdana" w:eastAsia="Verdana" w:hAnsi="Verdana" w:cs="Verdana"/>
        </w:rPr>
        <w:t>1</w:t>
      </w:r>
      <w:r w:rsidR="00D25016">
        <w:rPr>
          <w:rFonts w:ascii="Verdana" w:eastAsia="Verdana" w:hAnsi="Verdana" w:cs="Verdana"/>
        </w:rPr>
        <w:t>0</w:t>
      </w:r>
      <w:r w:rsidR="002E5BB5">
        <w:rPr>
          <w:rFonts w:ascii="Verdana" w:eastAsia="Verdana" w:hAnsi="Verdana" w:cs="Verdana"/>
        </w:rPr>
        <w:t xml:space="preserve"> de septiembre de 2026</w:t>
      </w:r>
      <w:r w:rsidR="00716424">
        <w:tab/>
      </w:r>
      <w:r w:rsidR="00716424">
        <w:br/>
      </w:r>
    </w:p>
    <w:p w14:paraId="145A3891" w14:textId="77777777" w:rsidR="00716424" w:rsidRPr="00915645" w:rsidRDefault="00716424" w:rsidP="00716424">
      <w:pPr>
        <w:spacing w:after="0"/>
        <w:rPr>
          <w:rFonts w:ascii="Verdana" w:hAnsi="Verdana" w:cs="Arial"/>
          <w:bCs/>
          <w:lang w:eastAsia="es-ES" w:bidi="es-ES"/>
        </w:rPr>
      </w:pPr>
    </w:p>
    <w:p w14:paraId="6438CB78" w14:textId="77777777" w:rsidR="00716424" w:rsidRPr="00915645" w:rsidRDefault="00716424" w:rsidP="00716424">
      <w:pPr>
        <w:spacing w:after="0" w:line="240" w:lineRule="auto"/>
        <w:jc w:val="both"/>
        <w:rPr>
          <w:rFonts w:ascii="Verdana" w:hAnsi="Verdana" w:cs="Arial"/>
          <w:bCs/>
          <w:lang w:eastAsia="es-ES" w:bidi="es-ES"/>
        </w:rPr>
      </w:pPr>
      <w:r w:rsidRPr="00915645">
        <w:rPr>
          <w:rFonts w:ascii="Verdana" w:hAnsi="Verdana" w:cs="Arial"/>
          <w:bCs/>
          <w:lang w:eastAsia="es-ES" w:bidi="es-ES"/>
        </w:rPr>
        <w:t>Señor</w:t>
      </w:r>
    </w:p>
    <w:p w14:paraId="71E2AEA8" w14:textId="77777777" w:rsidR="00716424" w:rsidRPr="00915645" w:rsidRDefault="00716424" w:rsidP="00716424">
      <w:pPr>
        <w:spacing w:after="0" w:line="240" w:lineRule="auto"/>
        <w:jc w:val="both"/>
        <w:rPr>
          <w:rFonts w:ascii="Verdana" w:hAnsi="Verdana" w:cs="Arial"/>
          <w:b/>
          <w:bCs/>
          <w:lang w:eastAsia="es-ES" w:bidi="es-ES"/>
        </w:rPr>
      </w:pPr>
      <w:r w:rsidRPr="00915645">
        <w:rPr>
          <w:rFonts w:ascii="Verdana" w:hAnsi="Verdana" w:cs="Arial"/>
          <w:b/>
          <w:bCs/>
          <w:lang w:eastAsia="es-ES" w:bidi="es-ES"/>
        </w:rPr>
        <w:t>Juan Francisco Suárez López</w:t>
      </w:r>
    </w:p>
    <w:p w14:paraId="20534ABC" w14:textId="77777777" w:rsidR="00716424" w:rsidRPr="00915645" w:rsidRDefault="00716424" w:rsidP="00716424">
      <w:pPr>
        <w:spacing w:after="0" w:line="240" w:lineRule="auto"/>
        <w:jc w:val="both"/>
        <w:rPr>
          <w:rFonts w:ascii="Verdana" w:hAnsi="Verdana"/>
        </w:rPr>
      </w:pPr>
      <w:hyperlink r:id="rId12" w:history="1">
        <w:r w:rsidRPr="007729B9">
          <w:rPr>
            <w:rStyle w:val="Hipervnculo"/>
            <w:rFonts w:ascii="Verdana" w:hAnsi="Verdana"/>
          </w:rPr>
          <w:t>juanchosuarez16@yahoo.com</w:t>
        </w:r>
      </w:hyperlink>
      <w:r>
        <w:rPr>
          <w:rFonts w:ascii="Verdana" w:hAnsi="Verdana"/>
        </w:rPr>
        <w:t xml:space="preserve"> </w:t>
      </w:r>
    </w:p>
    <w:p w14:paraId="3666D0C2" w14:textId="77777777" w:rsidR="00716424" w:rsidRPr="00B10792" w:rsidRDefault="00716424" w:rsidP="00716424">
      <w:pPr>
        <w:spacing w:after="0" w:line="240" w:lineRule="auto"/>
        <w:jc w:val="both"/>
        <w:rPr>
          <w:rFonts w:ascii="Verdana" w:hAnsi="Verdana" w:cs="Arial"/>
          <w:bCs/>
          <w:lang w:eastAsia="es-ES" w:bidi="es-ES"/>
        </w:rPr>
      </w:pPr>
      <w:r w:rsidRPr="00B10792">
        <w:rPr>
          <w:rFonts w:ascii="Verdana" w:hAnsi="Verdana" w:cs="Arial"/>
          <w:bCs/>
          <w:lang w:eastAsia="es-ES" w:bidi="es-ES"/>
        </w:rPr>
        <w:t>Bogotá D.C.</w:t>
      </w:r>
    </w:p>
    <w:p w14:paraId="216380BD" w14:textId="77777777" w:rsidR="00716424" w:rsidRPr="00B10792" w:rsidRDefault="00716424" w:rsidP="00716424">
      <w:pPr>
        <w:spacing w:after="0" w:line="240" w:lineRule="auto"/>
        <w:jc w:val="both"/>
        <w:rPr>
          <w:rFonts w:ascii="Verdana" w:hAnsi="Verdana" w:cs="Arial"/>
          <w:b/>
          <w:bCs/>
          <w:lang w:eastAsia="es-ES" w:bidi="es-ES"/>
        </w:rPr>
      </w:pPr>
    </w:p>
    <w:p w14:paraId="014E9979" w14:textId="77777777" w:rsidR="00716424" w:rsidRPr="00B10792" w:rsidRDefault="00716424" w:rsidP="00716424">
      <w:pPr>
        <w:tabs>
          <w:tab w:val="left" w:pos="7184"/>
        </w:tabs>
        <w:spacing w:after="0" w:line="240" w:lineRule="auto"/>
        <w:jc w:val="both"/>
        <w:rPr>
          <w:rFonts w:ascii="Verdana" w:hAnsi="Verdana" w:cs="Arial"/>
          <w:b/>
          <w:bCs/>
          <w:lang w:eastAsia="es-ES" w:bidi="es-ES"/>
        </w:rPr>
      </w:pPr>
      <w:r w:rsidRPr="00B10792">
        <w:rPr>
          <w:rFonts w:ascii="Verdana" w:hAnsi="Verdana" w:cs="Arial"/>
          <w:b/>
          <w:bCs/>
          <w:lang w:eastAsia="es-ES" w:bidi="es-ES"/>
        </w:rPr>
        <w:tab/>
      </w:r>
    </w:p>
    <w:tbl>
      <w:tblPr>
        <w:tblStyle w:val="Tablaconcuadrcula11"/>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242"/>
      </w:tblGrid>
      <w:tr w:rsidR="00716424" w:rsidRPr="003E4CC9" w14:paraId="1718BFB0" w14:textId="77777777" w:rsidTr="001339DC">
        <w:trPr>
          <w:trHeight w:val="312"/>
        </w:trPr>
        <w:tc>
          <w:tcPr>
            <w:tcW w:w="2689" w:type="dxa"/>
          </w:tcPr>
          <w:p w14:paraId="3F625D05" w14:textId="77777777" w:rsidR="00716424" w:rsidRPr="00B10792" w:rsidRDefault="00716424" w:rsidP="001339DC">
            <w:pPr>
              <w:jc w:val="both"/>
              <w:rPr>
                <w:rFonts w:ascii="Verdana" w:hAnsi="Verdana" w:cs="Arial"/>
                <w:b/>
                <w:bCs/>
                <w:lang w:eastAsia="es-ES" w:bidi="es-ES"/>
              </w:rPr>
            </w:pPr>
          </w:p>
        </w:tc>
        <w:tc>
          <w:tcPr>
            <w:tcW w:w="6242" w:type="dxa"/>
          </w:tcPr>
          <w:p w14:paraId="3B976D26" w14:textId="77777777" w:rsidR="00716424" w:rsidRPr="003E4CC9" w:rsidRDefault="00716424" w:rsidP="001339DC">
            <w:pPr>
              <w:tabs>
                <w:tab w:val="right" w:pos="6242"/>
              </w:tabs>
              <w:jc w:val="both"/>
              <w:rPr>
                <w:rFonts w:ascii="Verdana" w:hAnsi="Verdana" w:cs="Arial"/>
                <w:b/>
                <w:bCs/>
                <w:lang w:val="es-MX" w:eastAsia="es-ES" w:bidi="es-ES"/>
              </w:rPr>
            </w:pPr>
            <w:r w:rsidRPr="003E4CC9">
              <w:rPr>
                <w:rFonts w:ascii="Verdana" w:hAnsi="Verdana" w:cs="Arial"/>
                <w:b/>
                <w:bCs/>
                <w:lang w:val="es-MX" w:eastAsia="es-ES" w:bidi="es-ES"/>
              </w:rPr>
              <w:t>Concepto C-</w:t>
            </w:r>
            <w:r>
              <w:rPr>
                <w:rFonts w:ascii="Verdana" w:hAnsi="Verdana" w:cs="Arial"/>
                <w:b/>
                <w:bCs/>
                <w:lang w:val="es-MX" w:eastAsia="es-ES" w:bidi="es-ES"/>
              </w:rPr>
              <w:t>1206 de 2026</w:t>
            </w:r>
            <w:r w:rsidRPr="003E4CC9">
              <w:rPr>
                <w:rFonts w:ascii="Verdana" w:hAnsi="Verdana" w:cs="Arial"/>
                <w:b/>
                <w:bCs/>
                <w:lang w:val="es-MX" w:eastAsia="es-ES" w:bidi="es-ES"/>
              </w:rPr>
              <w:tab/>
            </w:r>
          </w:p>
          <w:p w14:paraId="3B431210" w14:textId="77777777" w:rsidR="00716424" w:rsidRPr="003E4CC9" w:rsidRDefault="00716424" w:rsidP="001339DC">
            <w:pPr>
              <w:jc w:val="both"/>
              <w:rPr>
                <w:rFonts w:ascii="Verdana" w:hAnsi="Verdana" w:cs="Arial"/>
                <w:b/>
                <w:bCs/>
                <w:lang w:val="es-MX" w:eastAsia="es-ES" w:bidi="es-ES"/>
              </w:rPr>
            </w:pPr>
          </w:p>
        </w:tc>
      </w:tr>
      <w:tr w:rsidR="00716424" w:rsidRPr="00A654FC" w14:paraId="771754C0" w14:textId="77777777" w:rsidTr="001339DC">
        <w:trPr>
          <w:trHeight w:val="884"/>
        </w:trPr>
        <w:tc>
          <w:tcPr>
            <w:tcW w:w="2689" w:type="dxa"/>
          </w:tcPr>
          <w:p w14:paraId="2B7E8E8B" w14:textId="77777777" w:rsidR="00716424" w:rsidRPr="00BF58C7" w:rsidRDefault="00716424" w:rsidP="001339DC">
            <w:pPr>
              <w:jc w:val="both"/>
              <w:rPr>
                <w:rFonts w:ascii="Verdana" w:hAnsi="Verdana" w:cs="Arial"/>
                <w:b/>
                <w:lang w:val="es-MX" w:eastAsia="es-ES" w:bidi="es-ES"/>
              </w:rPr>
            </w:pPr>
            <w:r w:rsidRPr="00BF58C7">
              <w:rPr>
                <w:rFonts w:ascii="Verdana" w:hAnsi="Verdana" w:cs="Arial"/>
                <w:b/>
                <w:lang w:val="es-MX" w:eastAsia="es-ES" w:bidi="es-ES"/>
              </w:rPr>
              <w:t xml:space="preserve">Temas:                   </w:t>
            </w:r>
          </w:p>
        </w:tc>
        <w:tc>
          <w:tcPr>
            <w:tcW w:w="6242" w:type="dxa"/>
          </w:tcPr>
          <w:p w14:paraId="312F288A" w14:textId="77777777" w:rsidR="00716424" w:rsidRPr="008C1C73" w:rsidRDefault="00716424" w:rsidP="001339DC">
            <w:pPr>
              <w:spacing w:line="276" w:lineRule="auto"/>
              <w:jc w:val="both"/>
              <w:rPr>
                <w:rFonts w:ascii="Verdana" w:eastAsia="Calibri" w:hAnsi="Verdana" w:cs="Arial"/>
                <w:bCs/>
                <w:lang w:val="es-ES_tradnl" w:eastAsia="es-ES"/>
              </w:rPr>
            </w:pPr>
            <w:r w:rsidRPr="00DD7928">
              <w:rPr>
                <w:rFonts w:ascii="Verdana" w:eastAsia="Calibri" w:hAnsi="Verdana" w:cs="Arial"/>
                <w:lang w:val="es-ES" w:eastAsia="es-ES"/>
              </w:rPr>
              <w:t>CESIÓN DEL CONTRATO ESTATAL – Noción / CESIÓN DEL CONTRATO ESTATAL – Régimen jurídico aplicable – EGCAP – Código de comercio / CESIÓN DEL CONTRATO ESTATAL – Requisitos – Restricciones</w:t>
            </w:r>
            <w:r>
              <w:rPr>
                <w:rFonts w:ascii="Verdana" w:eastAsia="Calibri" w:hAnsi="Verdana" w:cs="Arial"/>
                <w:lang w:val="es-ES" w:eastAsia="es-ES"/>
              </w:rPr>
              <w:t xml:space="preserve"> / </w:t>
            </w:r>
            <w:r w:rsidRPr="00C1619C">
              <w:rPr>
                <w:rFonts w:ascii="Verdana" w:eastAsia="Calibri" w:hAnsi="Verdana" w:cs="Arial"/>
                <w:bCs/>
                <w:lang w:val="es-ES_tradnl" w:eastAsia="es-ES"/>
              </w:rPr>
              <w:t xml:space="preserve">PROPONENTE PLURAL ‒ Consorcio ‒ Unión temporal ‒ Concepto – Diferencias / CONSORCIOS Y UNIONES TEMPORALES – Ausencia de personería jurídica – </w:t>
            </w:r>
            <w:r>
              <w:rPr>
                <w:rFonts w:ascii="Verdana" w:eastAsia="Calibri" w:hAnsi="Verdana" w:cs="Arial"/>
                <w:bCs/>
                <w:lang w:val="es-ES_tradnl" w:eastAsia="es-ES"/>
              </w:rPr>
              <w:t>F</w:t>
            </w:r>
            <w:r w:rsidRPr="00C1619C">
              <w:rPr>
                <w:rFonts w:ascii="Verdana" w:eastAsia="Calibri" w:hAnsi="Verdana" w:cs="Arial"/>
                <w:bCs/>
                <w:lang w:val="es-ES_tradnl" w:eastAsia="es-ES"/>
              </w:rPr>
              <w:t>alta de capacidad como cesionarios</w:t>
            </w:r>
            <w:r>
              <w:rPr>
                <w:rFonts w:ascii="Verdana" w:eastAsia="Calibri" w:hAnsi="Verdana" w:cs="Arial"/>
                <w:bCs/>
                <w:lang w:val="es-ES_tradnl" w:eastAsia="es-ES"/>
              </w:rPr>
              <w:t xml:space="preserve"> / GARANTÍAS – Finalidad / GARANTÍAS – Tipos / GARANTÍAS – Deber – Respaldo del Contrato - </w:t>
            </w:r>
          </w:p>
          <w:p w14:paraId="7932F8E4" w14:textId="0DA43695" w:rsidR="00716424" w:rsidRDefault="00716424" w:rsidP="001339DC">
            <w:pPr>
              <w:spacing w:line="276" w:lineRule="auto"/>
              <w:jc w:val="both"/>
              <w:rPr>
                <w:rFonts w:ascii="Verdana" w:hAnsi="Verdana" w:cs="Arial"/>
                <w:bCs/>
                <w:lang w:eastAsia="es-ES" w:bidi="es-ES"/>
              </w:rPr>
            </w:pPr>
            <w:r>
              <w:rPr>
                <w:rFonts w:ascii="Verdana" w:hAnsi="Verdana" w:cs="Arial"/>
                <w:bCs/>
                <w:lang w:eastAsia="es-ES" w:bidi="es-ES"/>
              </w:rPr>
              <w:t>Cesión del Contrato – Escenario</w:t>
            </w:r>
          </w:p>
          <w:p w14:paraId="33833CF6" w14:textId="77777777" w:rsidR="00716424" w:rsidRPr="00A654FC" w:rsidRDefault="00716424" w:rsidP="001339DC">
            <w:pPr>
              <w:spacing w:line="276" w:lineRule="auto"/>
              <w:jc w:val="both"/>
              <w:rPr>
                <w:rFonts w:ascii="Verdana" w:hAnsi="Verdana" w:cs="Arial"/>
                <w:highlight w:val="yellow"/>
                <w:lang w:val="es-ES" w:eastAsia="es-ES" w:bidi="es-ES"/>
              </w:rPr>
            </w:pPr>
          </w:p>
          <w:p w14:paraId="4CC68634" w14:textId="77777777" w:rsidR="00716424" w:rsidRPr="003E4CC9" w:rsidRDefault="00716424" w:rsidP="001339DC">
            <w:pPr>
              <w:spacing w:line="276" w:lineRule="auto"/>
              <w:jc w:val="both"/>
              <w:rPr>
                <w:rFonts w:ascii="Verdana" w:hAnsi="Verdana" w:cs="Arial"/>
                <w:bCs/>
                <w:highlight w:val="yellow"/>
                <w:lang w:val="es-MX" w:eastAsia="es-ES" w:bidi="es-ES"/>
              </w:rPr>
            </w:pPr>
          </w:p>
        </w:tc>
      </w:tr>
      <w:tr w:rsidR="00716424" w:rsidRPr="003E4CC9" w14:paraId="1AC53739" w14:textId="77777777" w:rsidTr="001339DC">
        <w:tc>
          <w:tcPr>
            <w:tcW w:w="2689" w:type="dxa"/>
          </w:tcPr>
          <w:p w14:paraId="551B3E1D" w14:textId="77777777" w:rsidR="00716424" w:rsidRPr="00BF58C7" w:rsidRDefault="00716424" w:rsidP="001339DC">
            <w:pPr>
              <w:jc w:val="both"/>
              <w:rPr>
                <w:rFonts w:ascii="Verdana" w:hAnsi="Verdana" w:cs="Arial"/>
                <w:b/>
                <w:lang w:val="es-MX" w:eastAsia="es-ES" w:bidi="es-ES"/>
              </w:rPr>
            </w:pPr>
            <w:r w:rsidRPr="00BF58C7">
              <w:rPr>
                <w:rFonts w:ascii="Verdana" w:hAnsi="Verdana" w:cs="Arial"/>
                <w:b/>
                <w:lang w:val="es-MX" w:eastAsia="es-ES" w:bidi="es-ES"/>
              </w:rPr>
              <w:t xml:space="preserve">Radicación:               </w:t>
            </w:r>
          </w:p>
        </w:tc>
        <w:tc>
          <w:tcPr>
            <w:tcW w:w="6242" w:type="dxa"/>
          </w:tcPr>
          <w:p w14:paraId="112ABBD3" w14:textId="77777777" w:rsidR="00716424" w:rsidRPr="003C6DC8" w:rsidRDefault="00716424" w:rsidP="001339DC">
            <w:pPr>
              <w:jc w:val="both"/>
              <w:rPr>
                <w:rFonts w:ascii="Verdana" w:hAnsi="Verdana" w:cs="Arial"/>
                <w:bCs/>
                <w:lang w:eastAsia="es-ES" w:bidi="es-ES"/>
              </w:rPr>
            </w:pPr>
            <w:r w:rsidRPr="003E4CC9">
              <w:rPr>
                <w:rFonts w:ascii="Verdana" w:hAnsi="Verdana" w:cs="Arial"/>
                <w:bCs/>
                <w:lang w:val="es-MX" w:eastAsia="es-ES" w:bidi="es-ES"/>
              </w:rPr>
              <w:t xml:space="preserve">Respuesta a consulta con radicado No. </w:t>
            </w:r>
            <w:r w:rsidRPr="009A3880">
              <w:rPr>
                <w:rFonts w:ascii="Verdana" w:hAnsi="Verdana" w:cs="Arial"/>
                <w:lang w:eastAsia="es-ES" w:bidi="es-ES"/>
              </w:rPr>
              <w:t>1_2026_07_30_010053</w:t>
            </w:r>
          </w:p>
          <w:p w14:paraId="2F744699" w14:textId="77777777" w:rsidR="00716424" w:rsidRPr="00BF58C7" w:rsidRDefault="00716424" w:rsidP="001339DC">
            <w:pPr>
              <w:jc w:val="both"/>
              <w:rPr>
                <w:rFonts w:ascii="Verdana" w:hAnsi="Verdana" w:cs="Arial"/>
                <w:bCs/>
                <w:lang w:eastAsia="es-ES" w:bidi="es-ES"/>
              </w:rPr>
            </w:pPr>
          </w:p>
        </w:tc>
      </w:tr>
    </w:tbl>
    <w:p w14:paraId="1AE43ECE" w14:textId="77777777" w:rsidR="00716424" w:rsidRPr="003E4CC9" w:rsidRDefault="00716424" w:rsidP="00716424">
      <w:pPr>
        <w:spacing w:after="0" w:line="240" w:lineRule="auto"/>
        <w:jc w:val="both"/>
        <w:rPr>
          <w:rFonts w:ascii="Verdana" w:hAnsi="Verdana" w:cs="Arial"/>
          <w:bCs/>
          <w:lang w:val="es-ES_tradnl" w:eastAsia="es-ES" w:bidi="es-ES"/>
        </w:rPr>
      </w:pPr>
    </w:p>
    <w:p w14:paraId="414A280C" w14:textId="77777777" w:rsidR="00716424" w:rsidRPr="003E4CC9" w:rsidRDefault="00716424" w:rsidP="00716424">
      <w:pPr>
        <w:spacing w:after="0" w:line="276" w:lineRule="auto"/>
        <w:jc w:val="both"/>
        <w:rPr>
          <w:rFonts w:ascii="Verdana" w:hAnsi="Verdana" w:cs="Arial"/>
          <w:bCs/>
          <w:lang w:val="es-MX" w:eastAsia="es-ES" w:bidi="es-ES"/>
        </w:rPr>
      </w:pPr>
      <w:r w:rsidRPr="003E4CC9">
        <w:rPr>
          <w:rFonts w:ascii="Verdana" w:hAnsi="Verdana" w:cs="Arial"/>
          <w:bCs/>
          <w:lang w:val="es-MX" w:eastAsia="es-ES" w:bidi="es-ES"/>
        </w:rPr>
        <w:t xml:space="preserve">Estimado </w:t>
      </w:r>
      <w:r>
        <w:rPr>
          <w:rFonts w:ascii="Verdana" w:hAnsi="Verdana" w:cs="Arial"/>
          <w:bCs/>
          <w:lang w:val="es-MX" w:eastAsia="es-ES" w:bidi="es-ES"/>
        </w:rPr>
        <w:t>Señor López</w:t>
      </w:r>
      <w:r w:rsidRPr="003E4CC9">
        <w:rPr>
          <w:rFonts w:ascii="Verdana" w:hAnsi="Verdana" w:cs="Arial"/>
          <w:bCs/>
          <w:lang w:val="es-MX" w:eastAsia="es-ES" w:bidi="es-ES"/>
        </w:rPr>
        <w:t>:</w:t>
      </w:r>
    </w:p>
    <w:p w14:paraId="54EF2B93" w14:textId="77777777" w:rsidR="00716424" w:rsidRPr="003E4CC9" w:rsidRDefault="00716424" w:rsidP="00716424">
      <w:pPr>
        <w:spacing w:after="0" w:line="276" w:lineRule="auto"/>
        <w:jc w:val="both"/>
        <w:rPr>
          <w:rFonts w:ascii="Verdana" w:hAnsi="Verdana" w:cs="Arial"/>
          <w:bCs/>
          <w:lang w:val="es-ES" w:eastAsia="es-ES" w:bidi="es-ES"/>
        </w:rPr>
      </w:pPr>
      <w:r w:rsidRPr="003E4CC9">
        <w:rPr>
          <w:rFonts w:ascii="Verdana" w:hAnsi="Verdana" w:cs="Arial"/>
          <w:bCs/>
          <w:lang w:val="es-ES" w:eastAsia="es-ES" w:bidi="es-ES"/>
        </w:rPr>
        <w:tab/>
      </w:r>
    </w:p>
    <w:p w14:paraId="766790B9" w14:textId="77777777" w:rsidR="00716424" w:rsidRPr="003E4CC9" w:rsidRDefault="00716424" w:rsidP="00716424">
      <w:pPr>
        <w:spacing w:after="0" w:line="276" w:lineRule="auto"/>
        <w:jc w:val="both"/>
        <w:rPr>
          <w:rFonts w:ascii="Verdana" w:hAnsi="Verdana" w:cs="Arial"/>
          <w:bCs/>
          <w:lang w:val="es-ES" w:eastAsia="es-ES" w:bidi="es-ES"/>
        </w:rPr>
      </w:pPr>
      <w:r w:rsidRPr="003E4CC9">
        <w:rPr>
          <w:rFonts w:ascii="Verdana" w:hAnsi="Verdana" w:cs="Arial"/>
          <w:bCs/>
          <w:lang w:val="es-ES" w:eastAsia="es-ES" w:bidi="es-ES"/>
        </w:rPr>
        <w:t xml:space="preserve">En ejercicio de la competencia otorgada por los artículos 3, numeral 5º, y 11, numeral 8º, del Decreto Ley 4170 de 2011, </w:t>
      </w:r>
      <w:r w:rsidRPr="003E4CC9">
        <w:rPr>
          <w:rFonts w:ascii="Verdana" w:hAnsi="Verdana" w:cs="Arial"/>
          <w:lang w:val="es-ES_tradnl"/>
        </w:rPr>
        <w:t>así como lo establecido en</w:t>
      </w:r>
      <w:r w:rsidRPr="003E4CC9">
        <w:rPr>
          <w:rFonts w:ascii="Verdana" w:hAnsi="Verdana" w:cs="Arial"/>
        </w:rPr>
        <w:t xml:space="preserve"> la Resolución 469 de 2025 expedida por esta Entidad</w:t>
      </w:r>
      <w:r w:rsidRPr="003E4CC9">
        <w:rPr>
          <w:rFonts w:ascii="Verdana" w:hAnsi="Verdana" w:cs="Arial"/>
          <w:bCs/>
          <w:lang w:eastAsia="es-ES" w:bidi="es-ES"/>
        </w:rPr>
        <w:t xml:space="preserve">, </w:t>
      </w:r>
      <w:r w:rsidRPr="003E4CC9">
        <w:rPr>
          <w:rFonts w:ascii="Verdana" w:hAnsi="Verdana" w:cs="Arial"/>
          <w:bCs/>
          <w:lang w:val="es-ES" w:eastAsia="es-ES" w:bidi="es-ES"/>
        </w:rPr>
        <w:t>la Agencia Nacional de Contratación Pública – Colombia Compra Eficiente– responde su solicitud de consulta de</w:t>
      </w:r>
      <w:r>
        <w:rPr>
          <w:rFonts w:ascii="Verdana" w:hAnsi="Verdana" w:cs="Arial"/>
          <w:bCs/>
          <w:lang w:val="es-ES" w:eastAsia="es-ES" w:bidi="es-ES"/>
        </w:rPr>
        <w:t>l 30 de julio de 2026</w:t>
      </w:r>
      <w:r w:rsidRPr="003E4CC9">
        <w:rPr>
          <w:rFonts w:ascii="Verdana" w:hAnsi="Verdana" w:cs="Arial"/>
          <w:bCs/>
          <w:lang w:val="es-ES" w:eastAsia="es-ES" w:bidi="es-ES"/>
        </w:rPr>
        <w:t xml:space="preserve">, en la cual manifiesta: </w:t>
      </w:r>
    </w:p>
    <w:p w14:paraId="7E27FFBD" w14:textId="77777777" w:rsidR="00716424" w:rsidRPr="003E4CC9" w:rsidRDefault="00716424" w:rsidP="00716424">
      <w:pPr>
        <w:spacing w:after="0" w:line="276" w:lineRule="auto"/>
        <w:jc w:val="both"/>
        <w:rPr>
          <w:rFonts w:ascii="Verdana" w:hAnsi="Verdana" w:cs="Arial"/>
          <w:bCs/>
          <w:lang w:eastAsia="es-ES" w:bidi="es-ES"/>
        </w:rPr>
      </w:pPr>
    </w:p>
    <w:p w14:paraId="5F8B03A6" w14:textId="77777777" w:rsidR="00716424" w:rsidRPr="004A4147" w:rsidRDefault="00716424" w:rsidP="00716424">
      <w:pPr>
        <w:pStyle w:val="Prrafodelista"/>
        <w:numPr>
          <w:ilvl w:val="0"/>
          <w:numId w:val="19"/>
        </w:numPr>
        <w:spacing w:after="0" w:line="240" w:lineRule="auto"/>
        <w:ind w:left="1066" w:right="709" w:hanging="357"/>
        <w:contextualSpacing w:val="0"/>
        <w:jc w:val="both"/>
        <w:rPr>
          <w:rFonts w:ascii="Verdana" w:eastAsia="Calibri" w:hAnsi="Verdana" w:cs="Times New Roman"/>
          <w:sz w:val="20"/>
          <w:szCs w:val="20"/>
        </w:rPr>
      </w:pPr>
      <w:r w:rsidRPr="004A4147">
        <w:rPr>
          <w:rFonts w:ascii="Verdana" w:eastAsia="Calibri" w:hAnsi="Verdana" w:cs="Times New Roman"/>
          <w:sz w:val="20"/>
          <w:szCs w:val="20"/>
        </w:rPr>
        <w:t>¿</w:t>
      </w:r>
      <w:r w:rsidRPr="004A4147">
        <w:rPr>
          <w:rFonts w:ascii="Verdana" w:eastAsia="Calibri" w:hAnsi="Verdana" w:cs="Times New Roman"/>
          <w:b/>
          <w:bCs/>
          <w:sz w:val="20"/>
          <w:szCs w:val="20"/>
        </w:rPr>
        <w:t>Resulta jurídicamente viable</w:t>
      </w:r>
      <w:r w:rsidRPr="004A4147">
        <w:rPr>
          <w:rFonts w:ascii="Verdana" w:eastAsia="Calibri" w:hAnsi="Verdana" w:cs="Times New Roman"/>
          <w:sz w:val="20"/>
          <w:szCs w:val="20"/>
        </w:rPr>
        <w:t xml:space="preserve"> que un Ente Territorial autorice la </w:t>
      </w:r>
      <w:r w:rsidRPr="004A4147">
        <w:rPr>
          <w:rFonts w:ascii="Verdana" w:eastAsia="Calibri" w:hAnsi="Verdana" w:cs="Times New Roman"/>
          <w:b/>
          <w:bCs/>
          <w:sz w:val="20"/>
          <w:szCs w:val="20"/>
        </w:rPr>
        <w:t>Cesión de Contrato de Obra Pública</w:t>
      </w:r>
      <w:r w:rsidRPr="004A4147">
        <w:rPr>
          <w:rFonts w:ascii="Verdana" w:eastAsia="Calibri" w:hAnsi="Verdana" w:cs="Times New Roman"/>
          <w:sz w:val="20"/>
          <w:szCs w:val="20"/>
        </w:rPr>
        <w:t xml:space="preserve"> (derivado de una Licitación Pública), cuando el </w:t>
      </w:r>
      <w:r w:rsidRPr="004A4147">
        <w:rPr>
          <w:rFonts w:ascii="Verdana" w:eastAsia="Calibri" w:hAnsi="Verdana" w:cs="Times New Roman"/>
          <w:b/>
          <w:bCs/>
          <w:sz w:val="20"/>
          <w:szCs w:val="20"/>
        </w:rPr>
        <w:t>CEDENTE</w:t>
      </w:r>
      <w:r w:rsidRPr="004A4147">
        <w:rPr>
          <w:rFonts w:ascii="Verdana" w:eastAsia="Calibri" w:hAnsi="Verdana" w:cs="Times New Roman"/>
          <w:sz w:val="20"/>
          <w:szCs w:val="20"/>
        </w:rPr>
        <w:t xml:space="preserve"> es el </w:t>
      </w:r>
      <w:r w:rsidRPr="004A4147">
        <w:rPr>
          <w:rFonts w:ascii="Verdana" w:eastAsia="Calibri" w:hAnsi="Verdana" w:cs="Times New Roman"/>
          <w:b/>
          <w:bCs/>
          <w:sz w:val="20"/>
          <w:szCs w:val="20"/>
        </w:rPr>
        <w:t>Consorcio Adjudicatario</w:t>
      </w:r>
      <w:r w:rsidRPr="004A4147">
        <w:rPr>
          <w:rFonts w:ascii="Verdana" w:eastAsia="Calibri" w:hAnsi="Verdana" w:cs="Times New Roman"/>
          <w:sz w:val="20"/>
          <w:szCs w:val="20"/>
        </w:rPr>
        <w:t xml:space="preserve"> y el </w:t>
      </w:r>
      <w:r w:rsidRPr="004A4147">
        <w:rPr>
          <w:rFonts w:ascii="Verdana" w:eastAsia="Calibri" w:hAnsi="Verdana" w:cs="Times New Roman"/>
          <w:b/>
          <w:bCs/>
          <w:sz w:val="20"/>
          <w:szCs w:val="20"/>
        </w:rPr>
        <w:t>CESIONARIO</w:t>
      </w:r>
      <w:r w:rsidRPr="004A4147">
        <w:rPr>
          <w:rFonts w:ascii="Verdana" w:eastAsia="Calibri" w:hAnsi="Verdana" w:cs="Times New Roman"/>
          <w:sz w:val="20"/>
          <w:szCs w:val="20"/>
        </w:rPr>
        <w:t xml:space="preserve"> es un </w:t>
      </w:r>
      <w:r w:rsidRPr="004A4147">
        <w:rPr>
          <w:rFonts w:ascii="Verdana" w:eastAsia="Calibri" w:hAnsi="Verdana" w:cs="Times New Roman"/>
          <w:b/>
          <w:bCs/>
          <w:sz w:val="20"/>
          <w:szCs w:val="20"/>
        </w:rPr>
        <w:t>Consorcio totalmente nuevo</w:t>
      </w:r>
      <w:r w:rsidRPr="004A4147">
        <w:rPr>
          <w:rFonts w:ascii="Verdana" w:eastAsia="Calibri" w:hAnsi="Verdana" w:cs="Times New Roman"/>
          <w:sz w:val="20"/>
          <w:szCs w:val="20"/>
        </w:rPr>
        <w:t xml:space="preserve"> y sobreviniente, </w:t>
      </w:r>
      <w:r w:rsidRPr="004A4147">
        <w:rPr>
          <w:rFonts w:ascii="Verdana" w:eastAsia="Calibri" w:hAnsi="Verdana" w:cs="Times New Roman"/>
          <w:sz w:val="20"/>
          <w:szCs w:val="20"/>
        </w:rPr>
        <w:lastRenderedPageBreak/>
        <w:t>conformado con posterioridad a la firma del contrato y durante su etapa de ejecución?</w:t>
      </w:r>
    </w:p>
    <w:p w14:paraId="7317D93C" w14:textId="77777777" w:rsidR="00716424" w:rsidRPr="004A4147" w:rsidRDefault="00716424" w:rsidP="00716424">
      <w:pPr>
        <w:pStyle w:val="Prrafodelista"/>
        <w:numPr>
          <w:ilvl w:val="0"/>
          <w:numId w:val="19"/>
        </w:numPr>
        <w:spacing w:after="0" w:line="240" w:lineRule="auto"/>
        <w:ind w:left="1066" w:right="709" w:hanging="357"/>
        <w:contextualSpacing w:val="0"/>
        <w:jc w:val="both"/>
        <w:rPr>
          <w:rFonts w:ascii="Verdana" w:eastAsia="Calibri" w:hAnsi="Verdana" w:cs="Times New Roman"/>
          <w:b/>
          <w:bCs/>
          <w:sz w:val="20"/>
          <w:szCs w:val="20"/>
        </w:rPr>
      </w:pPr>
      <w:r w:rsidRPr="004A4147">
        <w:rPr>
          <w:rFonts w:ascii="Verdana" w:eastAsia="Calibri" w:hAnsi="Verdana" w:cs="Times New Roman"/>
          <w:sz w:val="20"/>
          <w:szCs w:val="20"/>
        </w:rPr>
        <w:t xml:space="preserve">Atendiendo a la naturaleza jurídica de las estructuras plurales y su carencia de </w:t>
      </w:r>
      <w:r w:rsidRPr="004A4147">
        <w:rPr>
          <w:rFonts w:ascii="Verdana" w:eastAsia="Calibri" w:hAnsi="Verdana" w:cs="Times New Roman"/>
          <w:b/>
          <w:bCs/>
          <w:sz w:val="20"/>
          <w:szCs w:val="20"/>
        </w:rPr>
        <w:t>Personería Jurídica</w:t>
      </w:r>
      <w:r w:rsidRPr="004A4147">
        <w:rPr>
          <w:rFonts w:ascii="Verdana" w:eastAsia="Calibri" w:hAnsi="Verdana" w:cs="Times New Roman"/>
          <w:sz w:val="20"/>
          <w:szCs w:val="20"/>
        </w:rPr>
        <w:t xml:space="preserve"> (artículo 7 de la Ley 80 de 1993), </w:t>
      </w:r>
      <w:r w:rsidRPr="004A4147">
        <w:rPr>
          <w:rFonts w:ascii="Verdana" w:eastAsia="Calibri" w:hAnsi="Verdana" w:cs="Times New Roman"/>
          <w:b/>
          <w:bCs/>
          <w:sz w:val="20"/>
          <w:szCs w:val="20"/>
        </w:rPr>
        <w:t>¿puede un Consorcio en sí mismo considerando, fungir como “Parte Cedente” o “Parte Cesionaria” de un Contrato Estatal, ¿o dicha condición de negocio de cesión debe ser otorgada e individualizada obligatoriamente respecto de cada uno de los miembros naturales o jurídicos que integran dichas figuras?</w:t>
      </w:r>
    </w:p>
    <w:p w14:paraId="74F5BC25" w14:textId="77777777" w:rsidR="00716424" w:rsidRPr="00CF67CB" w:rsidRDefault="00716424" w:rsidP="00716424">
      <w:pPr>
        <w:pStyle w:val="Prrafodelista"/>
        <w:numPr>
          <w:ilvl w:val="0"/>
          <w:numId w:val="19"/>
        </w:numPr>
        <w:spacing w:after="0" w:line="240" w:lineRule="auto"/>
        <w:ind w:left="1066" w:right="709" w:hanging="357"/>
        <w:contextualSpacing w:val="0"/>
        <w:jc w:val="both"/>
        <w:rPr>
          <w:rFonts w:ascii="Verdana" w:eastAsia="Calibri" w:hAnsi="Verdana" w:cs="Times New Roman"/>
          <w:sz w:val="20"/>
          <w:szCs w:val="20"/>
        </w:rPr>
      </w:pPr>
      <w:r w:rsidRPr="004A4147">
        <w:rPr>
          <w:rFonts w:ascii="Verdana" w:eastAsia="Calibri" w:hAnsi="Verdana" w:cs="Times New Roman"/>
          <w:sz w:val="20"/>
          <w:szCs w:val="20"/>
        </w:rPr>
        <w:t xml:space="preserve">El hecho de ceder un Contrato Estatal a un Consorcio sobreviniente cuyos miembros no fueron sometidos a la ponderación y verificación de requisitos habilitantes (capacidad jurídica, experiencia, capacidad financiera y organizacional) dentro del proceso de selección originario sino posterior, </w:t>
      </w:r>
      <w:r w:rsidRPr="004A4147">
        <w:rPr>
          <w:rFonts w:ascii="Verdana" w:eastAsia="Calibri" w:hAnsi="Verdana" w:cs="Times New Roman"/>
          <w:b/>
          <w:bCs/>
          <w:sz w:val="20"/>
          <w:szCs w:val="20"/>
        </w:rPr>
        <w:t>¿configura una transgresión a los principios de selección objetiva, igualdad, transparencia y libre concurrencia?</w:t>
      </w:r>
    </w:p>
    <w:p w14:paraId="123FC045" w14:textId="77777777" w:rsidR="00716424" w:rsidRPr="00CF67CB" w:rsidRDefault="00716424" w:rsidP="00716424">
      <w:pPr>
        <w:pStyle w:val="Prrafodelista"/>
        <w:numPr>
          <w:ilvl w:val="0"/>
          <w:numId w:val="19"/>
        </w:numPr>
        <w:spacing w:after="0" w:line="240" w:lineRule="auto"/>
        <w:ind w:left="1066" w:right="709" w:hanging="357"/>
        <w:contextualSpacing w:val="0"/>
        <w:jc w:val="both"/>
        <w:rPr>
          <w:rFonts w:ascii="Verdana" w:eastAsia="Calibri" w:hAnsi="Verdana" w:cs="Times New Roman"/>
          <w:sz w:val="20"/>
          <w:szCs w:val="20"/>
        </w:rPr>
      </w:pPr>
      <w:r w:rsidRPr="00CF67CB">
        <w:rPr>
          <w:rFonts w:ascii="Verdana" w:eastAsia="Calibri" w:hAnsi="Verdana" w:cs="Times New Roman"/>
          <w:sz w:val="20"/>
          <w:szCs w:val="20"/>
        </w:rPr>
        <w:t xml:space="preserve">Frente a los trámites de Registro Tributario, </w:t>
      </w:r>
      <w:r w:rsidRPr="00CF67CB">
        <w:rPr>
          <w:rFonts w:ascii="Verdana" w:eastAsia="Calibri" w:hAnsi="Verdana" w:cs="Times New Roman"/>
          <w:b/>
          <w:bCs/>
          <w:sz w:val="20"/>
          <w:szCs w:val="20"/>
        </w:rPr>
        <w:t>¿qué lectura jurídica u operativa debe darse al hecho de la DIAN presente demoras sustanciales o la imposibilidad de expedir el NIT al consorcio cesionario sobreviniente</w:t>
      </w:r>
      <w:r w:rsidRPr="00CF67CB">
        <w:rPr>
          <w:rFonts w:ascii="Verdana" w:eastAsia="Calibri" w:hAnsi="Verdana" w:cs="Times New Roman"/>
          <w:sz w:val="20"/>
          <w:szCs w:val="20"/>
        </w:rPr>
        <w:t xml:space="preserve"> por no derivar este de una adjudicación estatal? </w:t>
      </w:r>
      <w:r w:rsidRPr="00CF67CB">
        <w:rPr>
          <w:rFonts w:ascii="Verdana" w:eastAsia="Calibri" w:hAnsi="Verdana" w:cs="Times New Roman"/>
          <w:b/>
          <w:bCs/>
          <w:sz w:val="20"/>
          <w:szCs w:val="20"/>
        </w:rPr>
        <w:t>¿Se puede interpretar esta limitación técnica como un vicio material derivado de la improcedencia de la cesión</w:t>
      </w:r>
      <w:r w:rsidRPr="00CF67CB">
        <w:rPr>
          <w:rFonts w:ascii="Verdana" w:eastAsia="Calibri" w:hAnsi="Verdana" w:cs="Times New Roman"/>
          <w:sz w:val="20"/>
          <w:szCs w:val="20"/>
        </w:rPr>
        <w:t xml:space="preserve"> que induce al error a la administración pública?</w:t>
      </w:r>
    </w:p>
    <w:p w14:paraId="32BFCF0A" w14:textId="77777777" w:rsidR="00716424" w:rsidRPr="00CF67CB" w:rsidRDefault="00716424" w:rsidP="00716424">
      <w:pPr>
        <w:pStyle w:val="Prrafodelista"/>
        <w:numPr>
          <w:ilvl w:val="0"/>
          <w:numId w:val="19"/>
        </w:numPr>
        <w:spacing w:after="0" w:line="240" w:lineRule="auto"/>
        <w:ind w:left="1066" w:right="709" w:hanging="357"/>
        <w:contextualSpacing w:val="0"/>
        <w:jc w:val="both"/>
        <w:rPr>
          <w:rFonts w:ascii="Verdana" w:eastAsia="Calibri" w:hAnsi="Verdana" w:cs="Times New Roman"/>
          <w:sz w:val="20"/>
          <w:szCs w:val="20"/>
        </w:rPr>
      </w:pPr>
      <w:r w:rsidRPr="00CF67CB">
        <w:rPr>
          <w:rFonts w:ascii="Verdana" w:eastAsia="Calibri" w:hAnsi="Verdana" w:cs="Times New Roman"/>
          <w:sz w:val="20"/>
          <w:szCs w:val="20"/>
        </w:rPr>
        <w:t xml:space="preserve">En materia del régimen de garantías del Decreto 1082 de 2015, si la </w:t>
      </w:r>
      <w:r w:rsidRPr="00CF67CB">
        <w:rPr>
          <w:rFonts w:ascii="Verdana" w:eastAsia="Calibri" w:hAnsi="Verdana" w:cs="Times New Roman"/>
          <w:b/>
          <w:bCs/>
          <w:sz w:val="20"/>
          <w:szCs w:val="20"/>
        </w:rPr>
        <w:t>Compañía Aseguradora</w:t>
      </w:r>
      <w:r w:rsidRPr="00CF67CB">
        <w:rPr>
          <w:rFonts w:ascii="Verdana" w:eastAsia="Calibri" w:hAnsi="Verdana" w:cs="Times New Roman"/>
          <w:sz w:val="20"/>
          <w:szCs w:val="20"/>
        </w:rPr>
        <w:t xml:space="preserve"> inicial no dispone el reemplazo de </w:t>
      </w:r>
      <w:r w:rsidRPr="00CF67CB">
        <w:rPr>
          <w:rFonts w:ascii="Verdana" w:eastAsia="Calibri" w:hAnsi="Verdana" w:cs="Times New Roman"/>
          <w:b/>
          <w:bCs/>
          <w:sz w:val="20"/>
          <w:szCs w:val="20"/>
        </w:rPr>
        <w:t>EL CONTRATISTA</w:t>
      </w:r>
      <w:r w:rsidRPr="00CF67CB">
        <w:rPr>
          <w:rFonts w:ascii="Verdana" w:eastAsia="Calibri" w:hAnsi="Verdana" w:cs="Times New Roman"/>
          <w:sz w:val="20"/>
          <w:szCs w:val="20"/>
        </w:rPr>
        <w:t xml:space="preserve"> como </w:t>
      </w:r>
      <w:r w:rsidRPr="00CF67CB">
        <w:rPr>
          <w:rFonts w:ascii="Verdana" w:eastAsia="Calibri" w:hAnsi="Verdana" w:cs="Times New Roman"/>
          <w:b/>
          <w:bCs/>
          <w:sz w:val="20"/>
          <w:szCs w:val="20"/>
        </w:rPr>
        <w:t>Nuevo Tomador, ¿es legalmente viable que la Entidad Territorial acepta la expedición de una “nueva garantías” con una Compañía de Seguros totalmente diferente?</w:t>
      </w:r>
      <w:r w:rsidRPr="00CF67CB">
        <w:rPr>
          <w:rFonts w:ascii="Verdana" w:eastAsia="Calibri" w:hAnsi="Verdana" w:cs="Times New Roman"/>
          <w:sz w:val="20"/>
          <w:szCs w:val="20"/>
        </w:rPr>
        <w:t xml:space="preserve"> ¿Afecta esto al principio de continuidad e inmutabilidad del riesgo amparado?</w:t>
      </w:r>
    </w:p>
    <w:p w14:paraId="0376806A" w14:textId="77777777" w:rsidR="00716424" w:rsidRDefault="00716424" w:rsidP="00716424">
      <w:pPr>
        <w:pStyle w:val="Prrafodelista"/>
        <w:numPr>
          <w:ilvl w:val="0"/>
          <w:numId w:val="19"/>
        </w:numPr>
        <w:spacing w:after="0" w:line="240" w:lineRule="auto"/>
        <w:ind w:left="1066" w:right="709" w:hanging="357"/>
        <w:contextualSpacing w:val="0"/>
        <w:jc w:val="both"/>
        <w:rPr>
          <w:rFonts w:ascii="Verdana" w:eastAsia="Calibri" w:hAnsi="Verdana" w:cs="Times New Roman"/>
          <w:sz w:val="20"/>
          <w:szCs w:val="20"/>
        </w:rPr>
      </w:pPr>
      <w:r w:rsidRPr="00CF67CB">
        <w:rPr>
          <w:rFonts w:ascii="Verdana" w:eastAsia="Calibri" w:hAnsi="Verdana" w:cs="Times New Roman"/>
          <w:sz w:val="20"/>
          <w:szCs w:val="20"/>
        </w:rPr>
        <w:t xml:space="preserve">Desde la órbita de las competencias de esta Agencia y en armonía con el régimen de la Función Pública, </w:t>
      </w:r>
      <w:r w:rsidRPr="00CF67CB">
        <w:rPr>
          <w:rFonts w:ascii="Verdana" w:eastAsia="Calibri" w:hAnsi="Verdana" w:cs="Times New Roman"/>
          <w:b/>
          <w:bCs/>
          <w:sz w:val="20"/>
          <w:szCs w:val="20"/>
        </w:rPr>
        <w:t>¿cuál es la tipicidad disciplinaria (faltas gravísimas)</w:t>
      </w:r>
      <w:r w:rsidRPr="00CF67CB">
        <w:rPr>
          <w:rFonts w:ascii="Verdana" w:eastAsia="Calibri" w:hAnsi="Verdana" w:cs="Times New Roman"/>
          <w:sz w:val="20"/>
          <w:szCs w:val="20"/>
        </w:rPr>
        <w:t xml:space="preserve"> en la que encuadra la conducta de un </w:t>
      </w:r>
      <w:proofErr w:type="gramStart"/>
      <w:r w:rsidRPr="00CF67CB">
        <w:rPr>
          <w:rFonts w:ascii="Verdana" w:eastAsia="Calibri" w:hAnsi="Verdana" w:cs="Times New Roman"/>
          <w:sz w:val="20"/>
          <w:szCs w:val="20"/>
        </w:rPr>
        <w:t>Alcalde</w:t>
      </w:r>
      <w:proofErr w:type="gramEnd"/>
      <w:r w:rsidRPr="00CF67CB">
        <w:rPr>
          <w:rFonts w:ascii="Verdana" w:eastAsia="Calibri" w:hAnsi="Verdana" w:cs="Times New Roman"/>
          <w:sz w:val="20"/>
          <w:szCs w:val="20"/>
        </w:rPr>
        <w:t xml:space="preserve"> Municipal que suscribe o autoriza una cesión contractual con las irregularidades y vicios aquí descritos y a la Dirección de Impuestos y Aduanas Nacionales (DIAN), de conformidad con las faltas contra la Contratación Pública previstas en la Ley 1952 de 2019 (Código G</w:t>
      </w:r>
      <w:r>
        <w:rPr>
          <w:rFonts w:ascii="Verdana" w:eastAsia="Calibri" w:hAnsi="Verdana" w:cs="Times New Roman"/>
          <w:sz w:val="20"/>
          <w:szCs w:val="20"/>
        </w:rPr>
        <w:t>e</w:t>
      </w:r>
      <w:r w:rsidRPr="00CF67CB">
        <w:rPr>
          <w:rFonts w:ascii="Verdana" w:eastAsia="Calibri" w:hAnsi="Verdana" w:cs="Times New Roman"/>
          <w:sz w:val="20"/>
          <w:szCs w:val="20"/>
        </w:rPr>
        <w:t>neral Disciplinario)?</w:t>
      </w:r>
      <w:r>
        <w:rPr>
          <w:rFonts w:ascii="Verdana" w:eastAsia="Calibri" w:hAnsi="Verdana" w:cs="Times New Roman"/>
          <w:sz w:val="20"/>
          <w:szCs w:val="20"/>
        </w:rPr>
        <w:t xml:space="preserve"> (énfasis dentro del texto)</w:t>
      </w:r>
    </w:p>
    <w:p w14:paraId="74290473" w14:textId="77777777" w:rsidR="00716424" w:rsidRPr="00CF67CB" w:rsidRDefault="00716424" w:rsidP="00716424">
      <w:pPr>
        <w:pStyle w:val="Prrafodelista"/>
        <w:spacing w:after="0" w:line="240" w:lineRule="auto"/>
        <w:ind w:left="1066" w:right="709"/>
        <w:contextualSpacing w:val="0"/>
        <w:jc w:val="both"/>
        <w:rPr>
          <w:rFonts w:ascii="Verdana" w:eastAsia="Calibri" w:hAnsi="Verdana" w:cs="Times New Roman"/>
          <w:sz w:val="20"/>
          <w:szCs w:val="20"/>
        </w:rPr>
      </w:pPr>
    </w:p>
    <w:p w14:paraId="649C947B" w14:textId="77777777" w:rsidR="00716424" w:rsidRPr="003E4CC9" w:rsidRDefault="00716424" w:rsidP="00716424">
      <w:pPr>
        <w:spacing w:after="120" w:line="276" w:lineRule="auto"/>
        <w:ind w:firstLine="709"/>
        <w:jc w:val="both"/>
        <w:rPr>
          <w:rFonts w:ascii="Verdana" w:eastAsia="Calibri" w:hAnsi="Verdana" w:cs="Times New Roman"/>
          <w:lang w:val="es-ES"/>
        </w:rPr>
      </w:pPr>
      <w:r w:rsidRPr="003E4CC9">
        <w:rPr>
          <w:rFonts w:ascii="Verdana" w:eastAsia="Calibri" w:hAnsi="Verdana" w:cs="Times New Roman"/>
          <w:lang w:val="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w:t>
      </w:r>
      <w:r w:rsidRPr="003E4CC9">
        <w:rPr>
          <w:rFonts w:ascii="Verdana" w:eastAsia="Calibri" w:hAnsi="Verdana" w:cs="Times New Roman"/>
          <w:lang w:val="es-ES"/>
        </w:rPr>
        <w:lastRenderedPageBreak/>
        <w:t>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ni a determinar grados de responsabilidad por las actuaciones de los diferentes participes del sistema de compra pública.</w:t>
      </w:r>
    </w:p>
    <w:p w14:paraId="65F91151" w14:textId="77777777" w:rsidR="00716424" w:rsidRPr="003E4CC9" w:rsidRDefault="00716424" w:rsidP="00716424">
      <w:pPr>
        <w:spacing w:after="0" w:line="276" w:lineRule="auto"/>
        <w:ind w:firstLine="708"/>
        <w:jc w:val="both"/>
        <w:rPr>
          <w:rFonts w:ascii="Verdana" w:eastAsia="Calibri" w:hAnsi="Verdana" w:cs="Times New Roman"/>
          <w:lang w:val="es-ES"/>
        </w:rPr>
      </w:pPr>
      <w:r w:rsidRPr="003E4CC9">
        <w:rPr>
          <w:rFonts w:ascii="Verdana" w:eastAsia="Calibri" w:hAnsi="Verdana" w:cs="Times New Roman"/>
          <w:lang w:val="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señalando algunas consideraciones sobre las normas generales relacionadas con </w:t>
      </w:r>
      <w:r>
        <w:rPr>
          <w:rFonts w:ascii="Verdana" w:eastAsia="Calibri" w:hAnsi="Verdana" w:cs="Times New Roman"/>
          <w:lang w:val="es-ES"/>
        </w:rPr>
        <w:t xml:space="preserve">los problemas jurídicos </w:t>
      </w:r>
      <w:r w:rsidRPr="003E4CC9">
        <w:rPr>
          <w:rFonts w:ascii="Verdana" w:eastAsia="Calibri" w:hAnsi="Verdana" w:cs="Times New Roman"/>
          <w:lang w:val="es-ES"/>
        </w:rPr>
        <w:t>de su consulta.</w:t>
      </w:r>
    </w:p>
    <w:p w14:paraId="1F1A3A14" w14:textId="77777777" w:rsidR="00716424" w:rsidRPr="003E4CC9" w:rsidRDefault="00716424" w:rsidP="00716424">
      <w:pPr>
        <w:spacing w:after="0" w:line="256" w:lineRule="auto"/>
        <w:rPr>
          <w:rFonts w:ascii="Verdana" w:eastAsia="Calibri" w:hAnsi="Verdana" w:cs="Times New Roman"/>
          <w:lang w:val="es-ES"/>
        </w:rPr>
      </w:pPr>
    </w:p>
    <w:p w14:paraId="4C32C916" w14:textId="77777777" w:rsidR="00716424" w:rsidRDefault="00716424" w:rsidP="00716424">
      <w:pPr>
        <w:numPr>
          <w:ilvl w:val="0"/>
          <w:numId w:val="16"/>
        </w:numPr>
        <w:spacing w:after="0" w:line="256" w:lineRule="auto"/>
        <w:contextualSpacing/>
        <w:rPr>
          <w:rFonts w:ascii="Verdana" w:eastAsia="Calibri" w:hAnsi="Verdana" w:cs="Times New Roman"/>
          <w:b/>
          <w:bCs/>
          <w:lang w:val="es-ES"/>
        </w:rPr>
      </w:pPr>
      <w:r w:rsidRPr="003E4CC9">
        <w:rPr>
          <w:rFonts w:ascii="Verdana" w:eastAsia="Calibri" w:hAnsi="Verdana" w:cs="Times New Roman"/>
          <w:b/>
          <w:bCs/>
          <w:lang w:val="es-ES"/>
        </w:rPr>
        <w:t>Problema planteado:</w:t>
      </w:r>
    </w:p>
    <w:p w14:paraId="53593732" w14:textId="77777777" w:rsidR="00716424" w:rsidRPr="00C370BD" w:rsidRDefault="00716424" w:rsidP="00716424">
      <w:pPr>
        <w:spacing w:after="0" w:line="256" w:lineRule="auto"/>
        <w:contextualSpacing/>
        <w:rPr>
          <w:rFonts w:ascii="Verdana" w:eastAsia="Calibri" w:hAnsi="Verdana" w:cs="Times New Roman"/>
          <w:b/>
          <w:bCs/>
        </w:rPr>
      </w:pPr>
    </w:p>
    <w:p w14:paraId="20A749B7" w14:textId="77777777" w:rsidR="00716424" w:rsidRPr="00C370BD" w:rsidRDefault="00716424" w:rsidP="00716424">
      <w:pPr>
        <w:spacing w:after="0" w:line="256" w:lineRule="auto"/>
        <w:contextualSpacing/>
        <w:jc w:val="both"/>
        <w:rPr>
          <w:rFonts w:ascii="Verdana" w:eastAsia="Calibri" w:hAnsi="Verdana" w:cs="Times New Roman"/>
        </w:rPr>
      </w:pPr>
      <w:r w:rsidRPr="00C370BD">
        <w:rPr>
          <w:rFonts w:ascii="Verdana" w:eastAsia="Calibri" w:hAnsi="Verdana" w:cs="Times New Roman"/>
        </w:rPr>
        <w:t>De acuerdo con el contenido de su solicitud, se resolverán los siguientes problemas jurídicos: i</w:t>
      </w:r>
      <w:r>
        <w:rPr>
          <w:rFonts w:ascii="Verdana" w:eastAsia="Calibri" w:hAnsi="Verdana" w:cs="Times New Roman"/>
        </w:rPr>
        <w:t xml:space="preserve">) </w:t>
      </w:r>
      <w:r w:rsidRPr="58942917">
        <w:rPr>
          <w:rFonts w:ascii="Verdana" w:eastAsia="Calibri" w:hAnsi="Verdana" w:cs="Times New Roman"/>
        </w:rPr>
        <w:t>¿</w:t>
      </w:r>
      <w:r w:rsidRPr="000B5B0B">
        <w:rPr>
          <w:rFonts w:ascii="Verdana" w:eastAsia="Calibri" w:hAnsi="Verdana" w:cs="Times New Roman"/>
        </w:rPr>
        <w:t>Es procedente la cesión de un contrato estatal de obra pública adjudicado a un consorcio, cuando se pretende transferirlo a un consorcio nuevo conformado durante la ejecución, teniendo en cuenta la naturaleza jurídica de las estructuras plurales sin personería jurídica, la exigencia de capacidad contractual del cesionario y las limitaciones técnicas derivadas de la imposibilidad o demora sustancial de la DIAN en expedir el NIT, todo ello en el marco de los principios de selección objetiva, igualdad, transparencia y libre concurrencia?</w:t>
      </w:r>
      <w:r>
        <w:rPr>
          <w:rFonts w:ascii="Verdana" w:eastAsia="Calibri" w:hAnsi="Verdana" w:cs="Times New Roman"/>
        </w:rPr>
        <w:t xml:space="preserve">; </w:t>
      </w:r>
      <w:proofErr w:type="spellStart"/>
      <w:r>
        <w:rPr>
          <w:rFonts w:ascii="Verdana" w:eastAsia="Calibri" w:hAnsi="Verdana" w:cs="Times New Roman"/>
        </w:rPr>
        <w:t>ii</w:t>
      </w:r>
      <w:proofErr w:type="spellEnd"/>
      <w:r>
        <w:rPr>
          <w:rFonts w:ascii="Verdana" w:eastAsia="Calibri" w:hAnsi="Verdana" w:cs="Times New Roman"/>
        </w:rPr>
        <w:t xml:space="preserve">) </w:t>
      </w:r>
      <w:r w:rsidRPr="00852BAA">
        <w:rPr>
          <w:rFonts w:ascii="Verdana" w:eastAsia="Calibri" w:hAnsi="Verdana" w:cs="Times New Roman"/>
        </w:rPr>
        <w:t>¿Es procedente que, en el marco del régimen de garantías previsto en el Decreto 1082 de 2015, una Entidad Territorial acepte la expedición de una nueva garantía por parte de una aseguradora distinta a la inicial, cuando esta no sustituye al contratista como nuevo tomador, y dicha sustitución compromete o no el principio de continuidad e inmutabilidad del riesgo amparado?</w:t>
      </w:r>
    </w:p>
    <w:p w14:paraId="4CC3AF12" w14:textId="77777777" w:rsidR="00716424" w:rsidRPr="00C370BD" w:rsidRDefault="00716424" w:rsidP="00716424">
      <w:pPr>
        <w:spacing w:after="0" w:line="256" w:lineRule="auto"/>
        <w:contextualSpacing/>
        <w:rPr>
          <w:rFonts w:ascii="Verdana" w:eastAsia="Calibri" w:hAnsi="Verdana" w:cs="Times New Roman"/>
          <w:b/>
          <w:bCs/>
        </w:rPr>
      </w:pPr>
    </w:p>
    <w:p w14:paraId="0A202B38" w14:textId="77777777" w:rsidR="00716424" w:rsidRPr="003E4CC9" w:rsidRDefault="00716424" w:rsidP="00716424">
      <w:pPr>
        <w:numPr>
          <w:ilvl w:val="0"/>
          <w:numId w:val="16"/>
        </w:numPr>
        <w:spacing w:after="0" w:line="256" w:lineRule="auto"/>
        <w:contextualSpacing/>
        <w:rPr>
          <w:rFonts w:ascii="Verdana" w:eastAsia="Calibri" w:hAnsi="Verdana" w:cs="Times New Roman"/>
          <w:b/>
          <w:bCs/>
          <w:lang w:val="es-ES"/>
        </w:rPr>
      </w:pPr>
      <w:r w:rsidRPr="003E4CC9">
        <w:rPr>
          <w:rFonts w:ascii="Verdana" w:eastAsia="Calibri" w:hAnsi="Verdana" w:cs="Times New Roman"/>
          <w:b/>
          <w:bCs/>
          <w:lang w:val="es-ES"/>
        </w:rPr>
        <w:t>Respuesta:</w:t>
      </w:r>
    </w:p>
    <w:p w14:paraId="0F26C97B" w14:textId="77777777" w:rsidR="00716424" w:rsidRPr="003E4CC9" w:rsidRDefault="00716424" w:rsidP="00716424">
      <w:pPr>
        <w:spacing w:after="0" w:line="240" w:lineRule="auto"/>
        <w:jc w:val="both"/>
        <w:rPr>
          <w:rFonts w:ascii="Verdana" w:hAnsi="Verdana" w:cs="Arial"/>
          <w:bCs/>
          <w:lang w:val="es-ES" w:eastAsia="es-ES" w:bidi="es-ES"/>
        </w:rPr>
      </w:pPr>
    </w:p>
    <w:tbl>
      <w:tblPr>
        <w:tblStyle w:val="Tablaconcuadrcula11"/>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716424" w:rsidRPr="003E4CC9" w14:paraId="4C30A401" w14:textId="77777777" w:rsidTr="001339DC">
        <w:trPr>
          <w:trHeight w:val="870"/>
          <w:jc w:val="center"/>
        </w:trPr>
        <w:tc>
          <w:tcPr>
            <w:tcW w:w="8647" w:type="dxa"/>
          </w:tcPr>
          <w:p w14:paraId="5E0C27C2" w14:textId="77777777" w:rsidR="00716424" w:rsidRDefault="00716424" w:rsidP="001339DC">
            <w:pPr>
              <w:widowControl w:val="0"/>
              <w:autoSpaceDE w:val="0"/>
              <w:autoSpaceDN w:val="0"/>
              <w:spacing w:line="276" w:lineRule="auto"/>
              <w:jc w:val="both"/>
              <w:rPr>
                <w:rFonts w:ascii="Verdana" w:hAnsi="Verdana" w:cs="Arial"/>
                <w:color w:val="000000" w:themeColor="text1"/>
              </w:rPr>
            </w:pPr>
            <w:r>
              <w:rPr>
                <w:rFonts w:ascii="Verdana" w:hAnsi="Verdana" w:cs="Arial"/>
                <w:color w:val="000000" w:themeColor="text1"/>
              </w:rPr>
              <w:lastRenderedPageBreak/>
              <w:t>En relación con los problemas jurídicos derivados de su consulta, se expresa:</w:t>
            </w:r>
          </w:p>
          <w:p w14:paraId="135E2089" w14:textId="77777777" w:rsidR="00716424" w:rsidRDefault="00716424" w:rsidP="001339DC">
            <w:pPr>
              <w:widowControl w:val="0"/>
              <w:autoSpaceDE w:val="0"/>
              <w:autoSpaceDN w:val="0"/>
              <w:spacing w:line="276" w:lineRule="auto"/>
              <w:jc w:val="both"/>
              <w:rPr>
                <w:rFonts w:ascii="Verdana" w:hAnsi="Verdana" w:cs="Arial"/>
                <w:color w:val="000000" w:themeColor="text1"/>
              </w:rPr>
            </w:pPr>
          </w:p>
          <w:p w14:paraId="1D12E031" w14:textId="77777777" w:rsidR="00716424" w:rsidRPr="004D7CE4" w:rsidRDefault="00716424" w:rsidP="001339DC">
            <w:pPr>
              <w:widowControl w:val="0"/>
              <w:autoSpaceDE w:val="0"/>
              <w:autoSpaceDN w:val="0"/>
              <w:spacing w:after="120" w:line="276" w:lineRule="auto"/>
              <w:jc w:val="both"/>
              <w:rPr>
                <w:rFonts w:ascii="Verdana" w:hAnsi="Verdana" w:cs="Arial"/>
                <w:color w:val="000000" w:themeColor="text1"/>
              </w:rPr>
            </w:pPr>
            <w:r>
              <w:rPr>
                <w:rFonts w:ascii="Verdana" w:hAnsi="Verdana" w:cs="Arial"/>
                <w:color w:val="000000" w:themeColor="text1"/>
              </w:rPr>
              <w:t>i) En torno al primer problema jurídico de su consulta, l</w:t>
            </w:r>
            <w:r w:rsidRPr="004D7CE4">
              <w:rPr>
                <w:rFonts w:ascii="Verdana" w:hAnsi="Verdana" w:cs="Arial"/>
                <w:color w:val="000000" w:themeColor="text1"/>
              </w:rPr>
              <w:t xml:space="preserve">os consorcios y las uniones temporales constituyen formas de asociación provenientes de la colaboración empresarial, cuyo propósito es unir esfuerzos y recursos para participar en procesos de contratación estatal. Aunque carecen de personería jurídica, la ley les reconoce capacidad para suscribir contratos con entidades públicas, compartiendo utilidades y riesgos derivados de la ejecución. </w:t>
            </w:r>
            <w:r>
              <w:rPr>
                <w:rFonts w:ascii="Verdana" w:hAnsi="Verdana" w:cs="Arial"/>
                <w:color w:val="000000" w:themeColor="text1"/>
              </w:rPr>
              <w:t>En este sentido, l</w:t>
            </w:r>
            <w:r w:rsidRPr="004D7CE4">
              <w:rPr>
                <w:rFonts w:ascii="Verdana" w:hAnsi="Verdana" w:cs="Arial"/>
                <w:color w:val="000000" w:themeColor="text1"/>
              </w:rPr>
              <w:t>a capacidad jurídica de los proponentes plurales se limita estrictamente al ámbito de la contratación estatal regulada por la Ley 80 de 1993 y sus normas complementarias. En consecuencia, dicha habilitación no se extiende a las relaciones entre particulares, como ocurre en el contrato de cesión celebrado entre cedente y cesionario. Dado que el cesionario debe ser un tercero, resulta indispensable que cuente con personalidad jurídica propia, requisito que los consorcios y uniones temporales no cumplen, pues carecen de la naturaleza de persona jurídica conforme al Código Civil.</w:t>
            </w:r>
          </w:p>
          <w:p w14:paraId="782F8905" w14:textId="77777777" w:rsidR="00716424" w:rsidRPr="004D7CE4" w:rsidRDefault="00716424" w:rsidP="001339DC">
            <w:pPr>
              <w:widowControl w:val="0"/>
              <w:autoSpaceDE w:val="0"/>
              <w:autoSpaceDN w:val="0"/>
              <w:spacing w:after="120" w:line="276" w:lineRule="auto"/>
              <w:ind w:firstLine="709"/>
              <w:jc w:val="both"/>
              <w:rPr>
                <w:rFonts w:ascii="Verdana" w:hAnsi="Verdana" w:cs="Arial"/>
                <w:color w:val="000000" w:themeColor="text1"/>
              </w:rPr>
            </w:pPr>
            <w:r w:rsidRPr="004D7CE4">
              <w:rPr>
                <w:rFonts w:ascii="Verdana" w:hAnsi="Verdana" w:cs="Arial"/>
                <w:color w:val="000000" w:themeColor="text1"/>
              </w:rPr>
              <w:t>La doctrina ha precisado que el concepto de “tercero” puede entenderse en dos sentidos: subjetivo, como cualquier persona distinta al contratista, sus integrantes y la entidad estatal contratante; y objetivo, como cualquier persona ajena al contratista y sus integrantes, siempre que no exista vínculo de dependencia o subordinación con ellos. Bajo cualquiera de estas acepciones, el cesionario debe ser una persona natural o jurídica con capacidad plena para asumir derechos y obligaciones, lo que excluye a los consorcios y uniones temporales de la posibilidad de ser cesionarios en contratos estatales.</w:t>
            </w:r>
          </w:p>
          <w:p w14:paraId="52A8811F" w14:textId="77777777" w:rsidR="00716424" w:rsidRDefault="00716424" w:rsidP="001339DC">
            <w:pPr>
              <w:widowControl w:val="0"/>
              <w:autoSpaceDE w:val="0"/>
              <w:autoSpaceDN w:val="0"/>
              <w:spacing w:after="120" w:line="276" w:lineRule="auto"/>
              <w:ind w:firstLine="709"/>
              <w:jc w:val="both"/>
              <w:rPr>
                <w:rFonts w:ascii="Verdana" w:hAnsi="Verdana" w:cs="Arial"/>
                <w:color w:val="000000" w:themeColor="text1"/>
              </w:rPr>
            </w:pPr>
            <w:r w:rsidRPr="004D7CE4">
              <w:rPr>
                <w:rFonts w:ascii="Verdana" w:hAnsi="Verdana" w:cs="Arial"/>
                <w:color w:val="000000" w:themeColor="text1"/>
              </w:rPr>
              <w:t xml:space="preserve">Esta postura </w:t>
            </w:r>
            <w:r>
              <w:rPr>
                <w:rFonts w:ascii="Verdana" w:hAnsi="Verdana" w:cs="Arial"/>
                <w:color w:val="000000" w:themeColor="text1"/>
              </w:rPr>
              <w:t xml:space="preserve">se sustenta </w:t>
            </w:r>
            <w:r w:rsidRPr="004D7CE4">
              <w:rPr>
                <w:rFonts w:ascii="Verdana" w:hAnsi="Verdana" w:cs="Arial"/>
                <w:color w:val="000000" w:themeColor="text1"/>
              </w:rPr>
              <w:t>en el Concepto C</w:t>
            </w:r>
            <w:r>
              <w:noBreakHyphen/>
            </w:r>
            <w:r w:rsidRPr="004D7CE4">
              <w:rPr>
                <w:rFonts w:ascii="Verdana" w:hAnsi="Verdana" w:cs="Arial"/>
                <w:color w:val="000000" w:themeColor="text1"/>
              </w:rPr>
              <w:t xml:space="preserve">100 del 12 de junio de 2024, en el cual se concluye que no resulta procedente </w:t>
            </w:r>
            <w:r>
              <w:rPr>
                <w:rFonts w:ascii="Verdana" w:hAnsi="Verdana" w:cs="Arial"/>
                <w:color w:val="000000" w:themeColor="text1"/>
              </w:rPr>
              <w:t xml:space="preserve">ceder </w:t>
            </w:r>
            <w:r w:rsidRPr="004D7CE4">
              <w:rPr>
                <w:rFonts w:ascii="Verdana" w:hAnsi="Verdana" w:cs="Arial"/>
                <w:color w:val="000000" w:themeColor="text1"/>
              </w:rPr>
              <w:t xml:space="preserve">el contrato a </w:t>
            </w:r>
            <w:r>
              <w:rPr>
                <w:rFonts w:ascii="Verdana" w:hAnsi="Verdana" w:cs="Arial"/>
                <w:color w:val="000000" w:themeColor="text1"/>
              </w:rPr>
              <w:t xml:space="preserve">un </w:t>
            </w:r>
            <w:r w:rsidRPr="004D7CE4">
              <w:rPr>
                <w:rFonts w:ascii="Verdana" w:hAnsi="Verdana" w:cs="Arial"/>
                <w:color w:val="000000" w:themeColor="text1"/>
              </w:rPr>
              <w:t>consorcio. La razón es que la capacidad contractual reconocida a estas estructuras plurales se circunscribe a la suscripción de contratos estatales, mas no a la celebración de contratos de cesión, que son negocios jurídicos entre particulares sujetos a la aprobación de la entidad contratante. Por ello, debates accesorios como la inscripción en el RUT o la obtención del NIT carecen de relevancia, pues por sustracción de materia no es procedente exigir tales requisitos a un consorcio cesionario que, en estricto sentido, no puede existir jurídicamente en esa calidad</w:t>
            </w:r>
            <w:r>
              <w:rPr>
                <w:rFonts w:ascii="Verdana" w:hAnsi="Verdana" w:cs="Arial"/>
                <w:color w:val="000000" w:themeColor="text1"/>
              </w:rPr>
              <w:t xml:space="preserve">. </w:t>
            </w:r>
          </w:p>
          <w:p w14:paraId="256E694A" w14:textId="77777777" w:rsidR="00716424" w:rsidRDefault="00716424" w:rsidP="001339DC">
            <w:pPr>
              <w:widowControl w:val="0"/>
              <w:autoSpaceDE w:val="0"/>
              <w:autoSpaceDN w:val="0"/>
              <w:spacing w:after="120" w:line="276" w:lineRule="auto"/>
              <w:ind w:firstLine="709"/>
              <w:jc w:val="both"/>
              <w:rPr>
                <w:rFonts w:ascii="Verdana" w:hAnsi="Verdana" w:cs="Arial"/>
                <w:color w:val="000000" w:themeColor="text1"/>
              </w:rPr>
            </w:pPr>
            <w:r>
              <w:rPr>
                <w:rFonts w:ascii="Verdana" w:hAnsi="Verdana" w:cs="Arial"/>
                <w:color w:val="000000" w:themeColor="text1"/>
              </w:rPr>
              <w:lastRenderedPageBreak/>
              <w:t xml:space="preserve">Sin embargo, dicha postura no puede confundirse con la posibilidad de ceder la participación de un consorcio por parte de uno de los miembros, con base en </w:t>
            </w:r>
            <w:r w:rsidRPr="001549CD">
              <w:rPr>
                <w:rFonts w:ascii="Verdana" w:hAnsi="Verdana" w:cs="Arial"/>
                <w:color w:val="000000" w:themeColor="text1"/>
              </w:rPr>
              <w:t>el artículo 9 de la Ley 80 de 1993</w:t>
            </w:r>
            <w:r>
              <w:rPr>
                <w:rFonts w:ascii="Verdana" w:hAnsi="Verdana" w:cs="Arial"/>
                <w:color w:val="000000" w:themeColor="text1"/>
              </w:rPr>
              <w:t xml:space="preserve">, el cual dispone: </w:t>
            </w:r>
            <w:r w:rsidRPr="001549CD">
              <w:rPr>
                <w:rFonts w:ascii="Verdana" w:hAnsi="Verdana" w:cs="Arial"/>
                <w:color w:val="000000" w:themeColor="text1"/>
              </w:rPr>
              <w:t>“[…] En</w:t>
            </w:r>
            <w:r>
              <w:rPr>
                <w:rFonts w:ascii="Verdana" w:hAnsi="Verdana" w:cs="Arial"/>
                <w:color w:val="000000" w:themeColor="text1"/>
              </w:rPr>
              <w:t xml:space="preserve"> </w:t>
            </w:r>
            <w:r w:rsidRPr="001549CD">
              <w:rPr>
                <w:rFonts w:ascii="Verdana" w:hAnsi="Verdana" w:cs="Arial"/>
                <w:color w:val="000000" w:themeColor="text1"/>
              </w:rPr>
              <w:t>ningún caso, podrá haber cesión del contrato entre quienes integran el</w:t>
            </w:r>
            <w:r>
              <w:rPr>
                <w:rFonts w:ascii="Verdana" w:hAnsi="Verdana" w:cs="Arial"/>
                <w:color w:val="000000" w:themeColor="text1"/>
              </w:rPr>
              <w:t xml:space="preserve"> </w:t>
            </w:r>
            <w:r w:rsidRPr="001549CD">
              <w:rPr>
                <w:rFonts w:ascii="Verdana" w:hAnsi="Verdana" w:cs="Arial"/>
                <w:color w:val="000000" w:themeColor="text1"/>
              </w:rPr>
              <w:t>consorcio o unión temporal”, pues en esta hipótesis no existe un tercero como</w:t>
            </w:r>
            <w:r>
              <w:rPr>
                <w:rFonts w:ascii="Verdana" w:hAnsi="Verdana" w:cs="Arial"/>
                <w:color w:val="000000" w:themeColor="text1"/>
              </w:rPr>
              <w:t xml:space="preserve"> </w:t>
            </w:r>
            <w:r w:rsidRPr="001549CD">
              <w:rPr>
                <w:rFonts w:ascii="Verdana" w:hAnsi="Verdana" w:cs="Arial"/>
                <w:color w:val="000000" w:themeColor="text1"/>
              </w:rPr>
              <w:t>requisito de la cesión. De esta manera, si está prohibida la cesión entre</w:t>
            </w:r>
            <w:r>
              <w:rPr>
                <w:rFonts w:ascii="Verdana" w:hAnsi="Verdana" w:cs="Arial"/>
                <w:color w:val="000000" w:themeColor="text1"/>
              </w:rPr>
              <w:t xml:space="preserve"> </w:t>
            </w:r>
            <w:r w:rsidRPr="001549CD">
              <w:rPr>
                <w:rFonts w:ascii="Verdana" w:hAnsi="Verdana" w:cs="Arial"/>
                <w:color w:val="000000" w:themeColor="text1"/>
              </w:rPr>
              <w:t>quienes integren el proponente plural, significa que está permitida la cesión</w:t>
            </w:r>
            <w:r>
              <w:rPr>
                <w:rFonts w:ascii="Verdana" w:hAnsi="Verdana" w:cs="Arial"/>
                <w:color w:val="000000" w:themeColor="text1"/>
              </w:rPr>
              <w:t xml:space="preserve"> </w:t>
            </w:r>
            <w:r w:rsidRPr="001549CD">
              <w:rPr>
                <w:rFonts w:ascii="Verdana" w:hAnsi="Verdana" w:cs="Arial"/>
                <w:color w:val="000000" w:themeColor="text1"/>
              </w:rPr>
              <w:t>de sus integrantes a un tercero distinto a los miembros del consorcio o la unión</w:t>
            </w:r>
            <w:r>
              <w:rPr>
                <w:rFonts w:ascii="Verdana" w:hAnsi="Verdana" w:cs="Arial"/>
                <w:color w:val="000000" w:themeColor="text1"/>
              </w:rPr>
              <w:t xml:space="preserve"> </w:t>
            </w:r>
            <w:r w:rsidRPr="001549CD">
              <w:rPr>
                <w:rFonts w:ascii="Verdana" w:hAnsi="Verdana" w:cs="Arial"/>
                <w:color w:val="000000" w:themeColor="text1"/>
              </w:rPr>
              <w:t>temporal. Por tanto, si dicho tercero cumple los requisitos de capacidad</w:t>
            </w:r>
            <w:r>
              <w:rPr>
                <w:rFonts w:ascii="Verdana" w:hAnsi="Verdana" w:cs="Arial"/>
                <w:color w:val="000000" w:themeColor="text1"/>
              </w:rPr>
              <w:t xml:space="preserve"> </w:t>
            </w:r>
            <w:r w:rsidRPr="001549CD">
              <w:rPr>
                <w:rFonts w:ascii="Verdana" w:hAnsi="Verdana" w:cs="Arial"/>
                <w:color w:val="000000" w:themeColor="text1"/>
              </w:rPr>
              <w:t>jurídica, no está incurso en causales de inhabilidad o incompatibilidad y, de</w:t>
            </w:r>
            <w:r>
              <w:rPr>
                <w:rFonts w:ascii="Verdana" w:hAnsi="Verdana" w:cs="Arial"/>
                <w:color w:val="000000" w:themeColor="text1"/>
              </w:rPr>
              <w:t xml:space="preserve"> </w:t>
            </w:r>
            <w:r w:rsidRPr="001549CD">
              <w:rPr>
                <w:rFonts w:ascii="Verdana" w:hAnsi="Verdana" w:cs="Arial"/>
                <w:color w:val="000000" w:themeColor="text1"/>
              </w:rPr>
              <w:t>acuerdo con los criterios previstos en el pliego de condiciones, es idóneo desde</w:t>
            </w:r>
            <w:r>
              <w:rPr>
                <w:rFonts w:ascii="Verdana" w:hAnsi="Verdana" w:cs="Arial"/>
                <w:color w:val="000000" w:themeColor="text1"/>
              </w:rPr>
              <w:t xml:space="preserve"> </w:t>
            </w:r>
            <w:r w:rsidRPr="001549CD">
              <w:rPr>
                <w:rFonts w:ascii="Verdana" w:hAnsi="Verdana" w:cs="Arial"/>
                <w:color w:val="000000" w:themeColor="text1"/>
              </w:rPr>
              <w:t>el punto de vista técnico, económico y financiero para cumplir con las</w:t>
            </w:r>
            <w:r>
              <w:rPr>
                <w:rFonts w:ascii="Verdana" w:hAnsi="Verdana" w:cs="Arial"/>
                <w:color w:val="000000" w:themeColor="text1"/>
              </w:rPr>
              <w:t xml:space="preserve"> </w:t>
            </w:r>
            <w:r w:rsidRPr="001549CD">
              <w:rPr>
                <w:rFonts w:ascii="Verdana" w:hAnsi="Verdana" w:cs="Arial"/>
                <w:color w:val="000000" w:themeColor="text1"/>
              </w:rPr>
              <w:t>obligaciones, la entidad podrá analizar la posibilidad de autorizar la cesión.</w:t>
            </w:r>
          </w:p>
          <w:p w14:paraId="17CA0C5C" w14:textId="77777777" w:rsidR="00716424" w:rsidRDefault="00716424" w:rsidP="001339DC">
            <w:pPr>
              <w:widowControl w:val="0"/>
              <w:autoSpaceDE w:val="0"/>
              <w:autoSpaceDN w:val="0"/>
              <w:spacing w:after="120" w:line="276" w:lineRule="auto"/>
              <w:ind w:firstLine="709"/>
              <w:jc w:val="both"/>
              <w:rPr>
                <w:rFonts w:ascii="Verdana" w:hAnsi="Verdana" w:cs="Arial"/>
                <w:color w:val="000000" w:themeColor="text1"/>
              </w:rPr>
            </w:pPr>
            <w:r>
              <w:rPr>
                <w:rFonts w:ascii="Verdana" w:hAnsi="Verdana" w:cs="Arial"/>
                <w:color w:val="000000" w:themeColor="text1"/>
              </w:rPr>
              <w:t xml:space="preserve">A partir de lo expuesto, </w:t>
            </w:r>
            <w:r w:rsidRPr="009C6AFC">
              <w:rPr>
                <w:rFonts w:ascii="Verdana" w:hAnsi="Verdana" w:cs="Arial"/>
                <w:color w:val="000000" w:themeColor="text1"/>
              </w:rPr>
              <w:t>la cesión contractual a favor de un consorcio no resulta procedente, y su suscripción implicaría responsabilidad para los servidores públicos que en ella intervengan. Tal responsabilidad encuentra fundamento en el artículo 51 de la Ley 80 de 1993, el cual establece que el servidor público responderá disciplinaria, civil y penalmente por sus acciones u omisiones en la actuación contractual, conforme a la Constitución y la ley. De esta manera, cualquier actuación que contravenga las disposiciones sobre capacidad contractual y cesión de contratos estatales compromete directamente la responsabilidad personal de los funcionarios intervinientes.</w:t>
            </w:r>
            <w:r>
              <w:rPr>
                <w:rFonts w:ascii="Verdana" w:hAnsi="Verdana" w:cs="Arial"/>
                <w:color w:val="000000" w:themeColor="text1"/>
              </w:rPr>
              <w:t xml:space="preserve"> En todo caso, esta Agencia no le corresponde determinar la responsabilidad por las actuaciones de los servidores, sino que su función es brindar orientaciones sobre el alcance de disposiciones generales del Sistema de Compras Públicas. En tal sentido, sólo los órganos de control tienen la competencia para calificar la responsabilidad de los servidores (Respuestas a Preguntas 1 a 4 y 6).  </w:t>
            </w:r>
          </w:p>
          <w:p w14:paraId="3D48DC0C" w14:textId="77777777" w:rsidR="00716424" w:rsidRDefault="00716424" w:rsidP="001339DC">
            <w:pPr>
              <w:widowControl w:val="0"/>
              <w:autoSpaceDE w:val="0"/>
              <w:autoSpaceDN w:val="0"/>
              <w:spacing w:line="276" w:lineRule="auto"/>
              <w:ind w:firstLine="709"/>
              <w:jc w:val="both"/>
              <w:rPr>
                <w:rFonts w:ascii="Verdana" w:hAnsi="Verdana" w:cs="Arial"/>
                <w:color w:val="000000" w:themeColor="text1"/>
              </w:rPr>
            </w:pPr>
          </w:p>
          <w:p w14:paraId="2F2E7BCC" w14:textId="77777777" w:rsidR="00716424" w:rsidRPr="00E57478" w:rsidRDefault="00716424" w:rsidP="001339DC">
            <w:pPr>
              <w:spacing w:after="120" w:line="276" w:lineRule="auto"/>
              <w:jc w:val="both"/>
              <w:textAlignment w:val="baseline"/>
              <w:rPr>
                <w:rFonts w:ascii="Verdana" w:eastAsia="Verdana" w:hAnsi="Verdana" w:cs="Verdana"/>
              </w:rPr>
            </w:pPr>
            <w:proofErr w:type="spellStart"/>
            <w:r>
              <w:rPr>
                <w:rFonts w:ascii="Verdana" w:hAnsi="Verdana" w:cs="Arial"/>
                <w:color w:val="000000" w:themeColor="text1"/>
              </w:rPr>
              <w:t>ii</w:t>
            </w:r>
            <w:proofErr w:type="spellEnd"/>
            <w:r>
              <w:rPr>
                <w:rFonts w:ascii="Verdana" w:hAnsi="Verdana" w:cs="Arial"/>
                <w:color w:val="000000" w:themeColor="text1"/>
              </w:rPr>
              <w:t>.</w:t>
            </w:r>
            <w:r w:rsidRPr="003E4CC9">
              <w:rPr>
                <w:rFonts w:ascii="Verdana" w:hAnsi="Verdana" w:cs="Arial"/>
                <w:color w:val="000000" w:themeColor="text1"/>
              </w:rPr>
              <w:t xml:space="preserve"> </w:t>
            </w:r>
            <w:r>
              <w:rPr>
                <w:rFonts w:ascii="Verdana" w:hAnsi="Verdana" w:cs="Arial"/>
                <w:color w:val="000000" w:themeColor="text1"/>
              </w:rPr>
              <w:t xml:space="preserve">En torno al segundo problema jurídico, debe </w:t>
            </w:r>
            <w:r w:rsidRPr="00E57478">
              <w:rPr>
                <w:rFonts w:ascii="Verdana" w:eastAsia="Verdana" w:hAnsi="Verdana" w:cs="Verdana"/>
              </w:rPr>
              <w:t>tenerse presente que, en el evento en que el cesionario —quien no puede ser un consorcio, como se explicó</w:t>
            </w:r>
            <w:r>
              <w:rPr>
                <w:rFonts w:ascii="Verdana" w:eastAsia="Verdana" w:hAnsi="Verdana" w:cs="Verdana"/>
              </w:rPr>
              <w:t xml:space="preserve"> en las consideraciones y razones de la respuesta</w:t>
            </w:r>
            <w:r w:rsidRPr="00E57478">
              <w:rPr>
                <w:rFonts w:ascii="Verdana" w:eastAsia="Verdana" w:hAnsi="Verdana" w:cs="Verdana"/>
              </w:rPr>
              <w:t xml:space="preserve">— pretenda asumir la garantía inicial constituida por el contratista cedente, ello no lo exonera de su deber de </w:t>
            </w:r>
            <w:r>
              <w:rPr>
                <w:rFonts w:ascii="Verdana" w:eastAsia="Verdana" w:hAnsi="Verdana" w:cs="Verdana"/>
              </w:rPr>
              <w:t xml:space="preserve">que existan garantías para el contrato. </w:t>
            </w:r>
            <w:r w:rsidRPr="00E57478">
              <w:rPr>
                <w:rFonts w:ascii="Verdana" w:eastAsia="Verdana" w:hAnsi="Verdana" w:cs="Verdana"/>
              </w:rPr>
              <w:t xml:space="preserve">La obligación de mantener vigentes las garantías recae directamente sobre el contratista, </w:t>
            </w:r>
            <w:r w:rsidRPr="00E57478">
              <w:rPr>
                <w:rFonts w:ascii="Verdana" w:eastAsia="Verdana" w:hAnsi="Verdana" w:cs="Verdana"/>
              </w:rPr>
              <w:lastRenderedPageBreak/>
              <w:t>quien debe gestionar la expedición de una nueva póliza o la sustitución de la garantía, asegurando la cobertura de los riesgos derivados de la ejecución contractual. La cesión del contrato no puede convertirse en un mecanismo para evadir esta obligación, pues la garantía es un instrumento esencial de protección del interés público.</w:t>
            </w:r>
          </w:p>
          <w:p w14:paraId="255006DF" w14:textId="77777777" w:rsidR="00716424" w:rsidRPr="00E57478" w:rsidRDefault="00716424" w:rsidP="001339DC">
            <w:pPr>
              <w:spacing w:after="120" w:line="276" w:lineRule="auto"/>
              <w:ind w:firstLine="709"/>
              <w:jc w:val="both"/>
              <w:textAlignment w:val="baseline"/>
              <w:rPr>
                <w:rFonts w:ascii="Verdana" w:eastAsia="Verdana" w:hAnsi="Verdana" w:cs="Verdana"/>
              </w:rPr>
            </w:pPr>
            <w:r w:rsidRPr="00E57478">
              <w:rPr>
                <w:rFonts w:ascii="Verdana" w:eastAsia="Verdana" w:hAnsi="Verdana" w:cs="Verdana"/>
              </w:rPr>
              <w:t xml:space="preserve">En el caso de una negativa expresa de la aseguradora </w:t>
            </w:r>
            <w:r>
              <w:rPr>
                <w:rFonts w:ascii="Verdana" w:eastAsia="Verdana" w:hAnsi="Verdana" w:cs="Verdana"/>
              </w:rPr>
              <w:t xml:space="preserve">de ajustar o </w:t>
            </w:r>
            <w:r w:rsidRPr="00E57478">
              <w:rPr>
                <w:rFonts w:ascii="Verdana" w:eastAsia="Verdana" w:hAnsi="Verdana" w:cs="Verdana"/>
              </w:rPr>
              <w:t>expedir una nueva póliza, el contratista no queda liberado de su deber de mantener vigente la garantía. La responsabilidad de asegurar la continuidad de la cobertura es indelegable y constituye un requisito indispensable para la validez de la relación contractual. La Administración, en ejercicio de sus potestades de</w:t>
            </w:r>
            <w:r>
              <w:rPr>
                <w:rFonts w:ascii="Verdana" w:eastAsia="Verdana" w:hAnsi="Verdana" w:cs="Verdana"/>
              </w:rPr>
              <w:t xml:space="preserve"> dirección y</w:t>
            </w:r>
            <w:r w:rsidRPr="00E57478">
              <w:rPr>
                <w:rFonts w:ascii="Verdana" w:eastAsia="Verdana" w:hAnsi="Verdana" w:cs="Verdana"/>
              </w:rPr>
              <w:t xml:space="preserve"> control, debe exigir al contratista la constitución de una nueva garantía, evitando que la ausencia de cobertura comprometa la ejecución del contrato</w:t>
            </w:r>
            <w:r>
              <w:rPr>
                <w:rFonts w:ascii="Verdana" w:eastAsia="Verdana" w:hAnsi="Verdana" w:cs="Verdana"/>
              </w:rPr>
              <w:t xml:space="preserve">. </w:t>
            </w:r>
          </w:p>
          <w:p w14:paraId="0A24509D" w14:textId="77777777" w:rsidR="00716424" w:rsidRDefault="00716424" w:rsidP="001339DC">
            <w:pPr>
              <w:spacing w:after="120" w:line="276" w:lineRule="auto"/>
              <w:ind w:firstLine="709"/>
              <w:jc w:val="both"/>
              <w:textAlignment w:val="baseline"/>
              <w:rPr>
                <w:rFonts w:ascii="Verdana" w:eastAsia="Verdana" w:hAnsi="Verdana" w:cs="Verdana"/>
              </w:rPr>
            </w:pPr>
            <w:r w:rsidRPr="00E57478">
              <w:rPr>
                <w:rFonts w:ascii="Verdana" w:eastAsia="Verdana" w:hAnsi="Verdana" w:cs="Verdana"/>
              </w:rPr>
              <w:t>E</w:t>
            </w:r>
            <w:r>
              <w:rPr>
                <w:rFonts w:ascii="Verdana" w:eastAsia="Verdana" w:hAnsi="Verdana" w:cs="Verdana"/>
              </w:rPr>
              <w:t>n este escenario, el</w:t>
            </w:r>
            <w:r w:rsidRPr="00E57478">
              <w:rPr>
                <w:rFonts w:ascii="Verdana" w:eastAsia="Verdana" w:hAnsi="Verdana" w:cs="Verdana"/>
              </w:rPr>
              <w:t xml:space="preserve"> </w:t>
            </w:r>
            <w:r>
              <w:rPr>
                <w:rFonts w:ascii="Verdana" w:eastAsia="Verdana" w:hAnsi="Verdana" w:cs="Verdana"/>
              </w:rPr>
              <w:t>sistema de compras públicas</w:t>
            </w:r>
            <w:r w:rsidRPr="00E57478">
              <w:rPr>
                <w:rFonts w:ascii="Verdana" w:eastAsia="Verdana" w:hAnsi="Verdana" w:cs="Verdana"/>
              </w:rPr>
              <w:t xml:space="preserve"> ofrece mecanismos alternativos para cumplir con esta obligación. Además del contrato de seguro, el artículo 7 de la Ley 1150 de 2007 admite la constitución de garantías mediante </w:t>
            </w:r>
            <w:r>
              <w:rPr>
                <w:rFonts w:ascii="Verdana" w:eastAsia="Verdana" w:hAnsi="Verdana" w:cs="Verdana"/>
              </w:rPr>
              <w:t xml:space="preserve">garantía bancaria </w:t>
            </w:r>
            <w:r w:rsidRPr="00E57478">
              <w:rPr>
                <w:rFonts w:ascii="Verdana" w:eastAsia="Verdana" w:hAnsi="Verdana" w:cs="Verdana"/>
              </w:rPr>
              <w:t>o patrimonio autónomo conformado a través de fiducia mercantil. En consecuencia, la negativa de una compañía aseguradora, por sí sola, no acredita la imposibilidad de obtener la cobertura exigida.</w:t>
            </w:r>
            <w:r>
              <w:rPr>
                <w:rFonts w:ascii="Verdana" w:eastAsia="Verdana" w:hAnsi="Verdana" w:cs="Verdana"/>
              </w:rPr>
              <w:t xml:space="preserve"> En este contexto</w:t>
            </w:r>
            <w:r w:rsidRPr="00E57478">
              <w:rPr>
                <w:rFonts w:ascii="Verdana" w:eastAsia="Verdana" w:hAnsi="Verdana" w:cs="Verdana"/>
              </w:rPr>
              <w:t>, el cesionario puede acudir a otra aseguradora o a cualquiera de los mecanismos alternativos previstos en la ley, y la entidad contratante debe requerirlo, garantizando que la ejecución contractual se mantenga bajo parámetros de legalidad</w:t>
            </w:r>
            <w:r>
              <w:rPr>
                <w:rFonts w:ascii="Verdana" w:eastAsia="Verdana" w:hAnsi="Verdana" w:cs="Verdana"/>
              </w:rPr>
              <w:t xml:space="preserve"> </w:t>
            </w:r>
            <w:r w:rsidRPr="00E57478">
              <w:rPr>
                <w:rFonts w:ascii="Verdana" w:eastAsia="Verdana" w:hAnsi="Verdana" w:cs="Verdana"/>
              </w:rPr>
              <w:t>y protección del interés público.</w:t>
            </w:r>
          </w:p>
          <w:p w14:paraId="2E3541F8" w14:textId="77777777" w:rsidR="00716424" w:rsidRPr="00FF118A" w:rsidRDefault="00716424" w:rsidP="001339DC">
            <w:pPr>
              <w:widowControl w:val="0"/>
              <w:autoSpaceDE w:val="0"/>
              <w:autoSpaceDN w:val="0"/>
              <w:spacing w:line="276" w:lineRule="auto"/>
              <w:ind w:firstLine="709"/>
              <w:jc w:val="both"/>
              <w:rPr>
                <w:rFonts w:ascii="Verdana" w:eastAsia="Calibri" w:hAnsi="Verdana" w:cs="Arial"/>
                <w:bCs/>
                <w:lang w:val="es-MX" w:eastAsia="es-ES_tradnl"/>
              </w:rPr>
            </w:pPr>
            <w:r w:rsidRPr="003E4CC9">
              <w:rPr>
                <w:rFonts w:ascii="Verdana" w:hAnsi="Verdana" w:cs="Arial"/>
                <w:color w:val="000000" w:themeColor="text1"/>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Por tanto, cada entidad definirá la forma de adelantar su gestión contractual, sin que sea atribución de Colombia Compra Eficiente validar sus actuaciones.</w:t>
            </w:r>
          </w:p>
        </w:tc>
      </w:tr>
    </w:tbl>
    <w:p w14:paraId="01109D33" w14:textId="77777777" w:rsidR="00716424" w:rsidRPr="003E4CC9" w:rsidRDefault="00716424" w:rsidP="00716424">
      <w:pPr>
        <w:spacing w:after="0" w:line="276" w:lineRule="auto"/>
        <w:jc w:val="both"/>
        <w:rPr>
          <w:rFonts w:ascii="Verdana" w:eastAsia="Calibri" w:hAnsi="Verdana" w:cs="Arial"/>
          <w:bCs/>
          <w:color w:val="000000" w:themeColor="text1"/>
        </w:rPr>
      </w:pPr>
    </w:p>
    <w:p w14:paraId="756B510A" w14:textId="77777777" w:rsidR="00716424" w:rsidRPr="003E4CC9" w:rsidRDefault="00716424" w:rsidP="00716424">
      <w:pPr>
        <w:numPr>
          <w:ilvl w:val="0"/>
          <w:numId w:val="16"/>
        </w:numPr>
        <w:spacing w:after="0" w:line="276" w:lineRule="auto"/>
        <w:rPr>
          <w:rFonts w:ascii="Verdana" w:eastAsia="Calibri" w:hAnsi="Verdana" w:cs="Times New Roman"/>
          <w:b/>
          <w:bCs/>
          <w:lang w:val="es-ES"/>
        </w:rPr>
      </w:pPr>
      <w:r w:rsidRPr="003E4CC9">
        <w:rPr>
          <w:rFonts w:ascii="Verdana" w:eastAsia="Calibri" w:hAnsi="Verdana" w:cs="Times New Roman"/>
          <w:b/>
          <w:bCs/>
          <w:lang w:val="es-ES"/>
        </w:rPr>
        <w:t>Razones de la respuesta:</w:t>
      </w:r>
    </w:p>
    <w:p w14:paraId="3110F095" w14:textId="77777777" w:rsidR="00716424" w:rsidRPr="003E4CC9" w:rsidRDefault="00716424" w:rsidP="00716424">
      <w:pPr>
        <w:spacing w:after="0" w:line="276" w:lineRule="auto"/>
        <w:rPr>
          <w:rFonts w:ascii="Verdana" w:eastAsia="Calibri" w:hAnsi="Verdana" w:cs="Times New Roman"/>
          <w:b/>
          <w:bCs/>
          <w:lang w:val="es-ES"/>
        </w:rPr>
      </w:pPr>
    </w:p>
    <w:p w14:paraId="71EA648F" w14:textId="77777777" w:rsidR="00716424" w:rsidRPr="003E4CC9" w:rsidRDefault="00716424" w:rsidP="00716424">
      <w:pPr>
        <w:spacing w:after="0" w:line="276" w:lineRule="auto"/>
        <w:jc w:val="both"/>
        <w:rPr>
          <w:rFonts w:ascii="Verdana" w:eastAsia="Calibri" w:hAnsi="Verdana" w:cs="Arial"/>
          <w:lang w:val="es-ES"/>
        </w:rPr>
      </w:pPr>
      <w:r w:rsidRPr="003E4CC9">
        <w:rPr>
          <w:rFonts w:ascii="Verdana" w:eastAsia="Calibri" w:hAnsi="Verdana" w:cs="Arial"/>
          <w:lang w:val="es-ES"/>
        </w:rPr>
        <w:lastRenderedPageBreak/>
        <w:t xml:space="preserve">Lo anterior se sustenta en las siguientes consideraciones: </w:t>
      </w:r>
    </w:p>
    <w:p w14:paraId="4820B962" w14:textId="77777777" w:rsidR="00716424" w:rsidRDefault="00716424" w:rsidP="00716424">
      <w:pPr>
        <w:spacing w:after="0" w:line="276" w:lineRule="auto"/>
        <w:jc w:val="both"/>
        <w:rPr>
          <w:rFonts w:ascii="Verdana" w:hAnsi="Verdana" w:cs="Arial"/>
          <w:bCs/>
          <w:lang w:val="es-ES" w:eastAsia="es-ES" w:bidi="es-ES"/>
        </w:rPr>
      </w:pPr>
    </w:p>
    <w:p w14:paraId="2A74D31F" w14:textId="77777777" w:rsidR="00716424" w:rsidRPr="004C544B" w:rsidRDefault="00716424" w:rsidP="00716424">
      <w:pPr>
        <w:spacing w:after="0" w:line="276" w:lineRule="auto"/>
        <w:jc w:val="both"/>
        <w:rPr>
          <w:rFonts w:ascii="Verdana" w:hAnsi="Verdana" w:cs="Arial"/>
        </w:rPr>
      </w:pPr>
      <w:r>
        <w:rPr>
          <w:rFonts w:ascii="Verdana" w:hAnsi="Verdana"/>
          <w:lang w:val="es-ES" w:eastAsia="es-ES"/>
        </w:rPr>
        <w:t xml:space="preserve">i. </w:t>
      </w:r>
      <w:r w:rsidRPr="004C544B">
        <w:rPr>
          <w:rFonts w:ascii="Verdana" w:eastAsia="Calibri" w:hAnsi="Verdana" w:cs="Arial"/>
          <w:bCs/>
          <w:color w:val="000000" w:themeColor="text1"/>
        </w:rPr>
        <w:t>Conforme a los artículos 887 y siguientes del Código de Comercio, la cesión de los contratos juega un papel importante en la gestión de los intereses patrimoniales de los sujetos de derecho privado, ya que –a diferencia de la regulada en los artículos 1959 y siguientes del Código Civil– facilita el tráfico jurídico tanto de los derechos como de las obligaciones surgidos con ocasión del acuerdo de voluntades, lo que permite su transferencia total o parcial a terceros como negocio generador de riqueza</w:t>
      </w:r>
      <w:r w:rsidRPr="004C544B">
        <w:rPr>
          <w:rStyle w:val="Refdenotaalpie"/>
          <w:rFonts w:ascii="Verdana" w:eastAsia="Calibri" w:hAnsi="Verdana" w:cs="Arial"/>
          <w:bCs/>
          <w:color w:val="000000" w:themeColor="text1"/>
        </w:rPr>
        <w:footnoteReference w:id="1"/>
      </w:r>
      <w:r w:rsidRPr="004C544B">
        <w:rPr>
          <w:rFonts w:ascii="Verdana" w:eastAsia="Calibri" w:hAnsi="Verdana" w:cs="Arial"/>
          <w:bCs/>
          <w:color w:val="000000" w:themeColor="text1"/>
        </w:rPr>
        <w:t>.</w:t>
      </w:r>
      <w:r w:rsidRPr="004C544B">
        <w:rPr>
          <w:rFonts w:ascii="Verdana" w:eastAsia="Calibri" w:hAnsi="Verdana" w:cs="Arial"/>
          <w:color w:val="000000" w:themeColor="text1"/>
        </w:rPr>
        <w:t xml:space="preserve"> </w:t>
      </w:r>
      <w:r w:rsidRPr="004C544B">
        <w:rPr>
          <w:rFonts w:ascii="Verdana" w:hAnsi="Verdana" w:cs="Arial"/>
        </w:rPr>
        <w:t>Para la doctrina:</w:t>
      </w:r>
    </w:p>
    <w:p w14:paraId="5ED42307" w14:textId="77777777" w:rsidR="00716424" w:rsidRPr="004C544B" w:rsidRDefault="00716424" w:rsidP="00716424">
      <w:pPr>
        <w:spacing w:after="0" w:line="276" w:lineRule="auto"/>
        <w:ind w:firstLine="708"/>
        <w:jc w:val="both"/>
        <w:rPr>
          <w:rFonts w:ascii="Verdana" w:hAnsi="Verdana" w:cs="Arial"/>
        </w:rPr>
      </w:pPr>
    </w:p>
    <w:p w14:paraId="0B50AA6C" w14:textId="77777777" w:rsidR="00716424" w:rsidRPr="004C4E62" w:rsidRDefault="00716424" w:rsidP="00716424">
      <w:pPr>
        <w:spacing w:after="120" w:line="240" w:lineRule="auto"/>
        <w:ind w:left="709" w:right="709"/>
        <w:jc w:val="both"/>
        <w:rPr>
          <w:rFonts w:ascii="Verdana" w:eastAsia="Calibri" w:hAnsi="Verdana" w:cs="Arial"/>
          <w:color w:val="000000" w:themeColor="text1"/>
          <w:sz w:val="20"/>
          <w:szCs w:val="20"/>
        </w:rPr>
      </w:pPr>
      <w:r w:rsidRPr="004C4E62">
        <w:rPr>
          <w:rFonts w:ascii="Verdana" w:hAnsi="Verdana" w:cs="Arial"/>
          <w:sz w:val="20"/>
          <w:szCs w:val="20"/>
        </w:rPr>
        <w:t xml:space="preserve">“La cesión de contrato (presupuesto éste último como </w:t>
      </w:r>
      <w:r w:rsidRPr="004C4E62">
        <w:rPr>
          <w:rFonts w:ascii="Verdana" w:hAnsi="Verdana" w:cs="Arial"/>
          <w:i/>
          <w:iCs/>
          <w:sz w:val="20"/>
          <w:szCs w:val="20"/>
        </w:rPr>
        <w:t>bilateral</w:t>
      </w:r>
      <w:r w:rsidRPr="004C4E62">
        <w:rPr>
          <w:rFonts w:ascii="Verdana" w:hAnsi="Verdana" w:cs="Arial"/>
          <w:sz w:val="20"/>
          <w:szCs w:val="20"/>
        </w:rPr>
        <w:t xml:space="preserve">, al menos en la configuración típica de la institución) es el instrumento que permite realizar la llamada </w:t>
      </w:r>
      <w:r w:rsidRPr="004C4E62">
        <w:rPr>
          <w:rFonts w:ascii="Verdana" w:hAnsi="Verdana" w:cs="Arial"/>
          <w:i/>
          <w:iCs/>
          <w:sz w:val="20"/>
          <w:szCs w:val="20"/>
        </w:rPr>
        <w:t>circulación del contrato</w:t>
      </w:r>
      <w:r w:rsidRPr="004C4E62">
        <w:rPr>
          <w:rFonts w:ascii="Verdana" w:hAnsi="Verdana" w:cs="Arial"/>
          <w:sz w:val="20"/>
          <w:szCs w:val="20"/>
        </w:rPr>
        <w:t xml:space="preserve">, es decir, la transferencia negocial a un tercero (llamado </w:t>
      </w:r>
      <w:r w:rsidRPr="004C4E62">
        <w:rPr>
          <w:rFonts w:ascii="Verdana" w:hAnsi="Verdana" w:cs="Arial"/>
          <w:i/>
          <w:iCs/>
          <w:sz w:val="20"/>
          <w:szCs w:val="20"/>
        </w:rPr>
        <w:t>cesionario</w:t>
      </w:r>
      <w:r w:rsidRPr="004C4E62">
        <w:rPr>
          <w:rFonts w:ascii="Verdana" w:hAnsi="Verdana" w:cs="Arial"/>
          <w:sz w:val="20"/>
          <w:szCs w:val="20"/>
        </w:rPr>
        <w:t xml:space="preserve">) del conjunto de posiciones contractuales (entendido como resultante unitario de derechos y obligaciones orgánicamente interdependientes), constituida en la persona de uno de los originarios contratantes (llamado </w:t>
      </w:r>
      <w:r w:rsidRPr="004C4E62">
        <w:rPr>
          <w:rFonts w:ascii="Verdana" w:hAnsi="Verdana" w:cs="Arial"/>
          <w:i/>
          <w:iCs/>
          <w:sz w:val="20"/>
          <w:szCs w:val="20"/>
        </w:rPr>
        <w:t>cedente</w:t>
      </w:r>
      <w:r w:rsidRPr="004C4E62">
        <w:rPr>
          <w:rFonts w:ascii="Verdana" w:hAnsi="Verdana" w:cs="Arial"/>
          <w:sz w:val="20"/>
          <w:szCs w:val="20"/>
        </w:rPr>
        <w:t xml:space="preserve">); de tal forma que, a través de esa sustitución </w:t>
      </w:r>
      <w:r w:rsidRPr="004C4E62">
        <w:rPr>
          <w:rFonts w:ascii="Verdana" w:hAnsi="Verdana" w:cs="Arial"/>
          <w:i/>
          <w:iCs/>
          <w:sz w:val="20"/>
          <w:szCs w:val="20"/>
        </w:rPr>
        <w:t>negocial</w:t>
      </w:r>
      <w:r w:rsidRPr="004C4E62">
        <w:rPr>
          <w:rFonts w:ascii="Verdana" w:hAnsi="Verdana" w:cs="Arial"/>
          <w:sz w:val="20"/>
          <w:szCs w:val="20"/>
        </w:rPr>
        <w:t xml:space="preserve"> del tercero en la posición de ‘parte’ del contrato, en lugar del cedente, dicho tercero </w:t>
      </w:r>
      <w:proofErr w:type="spellStart"/>
      <w:r w:rsidRPr="004C4E62">
        <w:rPr>
          <w:rFonts w:ascii="Verdana" w:hAnsi="Verdana" w:cs="Arial"/>
          <w:sz w:val="20"/>
          <w:szCs w:val="20"/>
        </w:rPr>
        <w:t>subentra</w:t>
      </w:r>
      <w:proofErr w:type="spellEnd"/>
      <w:r w:rsidRPr="004C4E62">
        <w:rPr>
          <w:rFonts w:ascii="Verdana" w:hAnsi="Verdana" w:cs="Arial"/>
          <w:sz w:val="20"/>
          <w:szCs w:val="20"/>
        </w:rPr>
        <w:t xml:space="preserve"> en la totalidad de los derechos y obligaciones que en su orgánica interdependencia se derivan del contrato estipulado por el cedente.</w:t>
      </w:r>
    </w:p>
    <w:p w14:paraId="30A6B3C6" w14:textId="77777777" w:rsidR="00716424" w:rsidRPr="004C544B" w:rsidRDefault="00716424" w:rsidP="00716424">
      <w:pPr>
        <w:spacing w:after="0" w:line="240" w:lineRule="auto"/>
        <w:ind w:left="709" w:right="709"/>
        <w:jc w:val="both"/>
        <w:rPr>
          <w:rFonts w:ascii="Verdana" w:hAnsi="Verdana" w:cs="Arial"/>
          <w:sz w:val="21"/>
          <w:szCs w:val="21"/>
        </w:rPr>
      </w:pPr>
      <w:r w:rsidRPr="004C4E62">
        <w:rPr>
          <w:rFonts w:ascii="Verdana" w:hAnsi="Verdana" w:cs="Arial"/>
          <w:sz w:val="20"/>
          <w:szCs w:val="20"/>
        </w:rPr>
        <w:t xml:space="preserve">A este respecto justamente se ha notado que el tráfico considera aquí los contratos sobre todo como </w:t>
      </w:r>
      <w:r w:rsidRPr="004C4E62">
        <w:rPr>
          <w:rFonts w:ascii="Verdana" w:hAnsi="Verdana" w:cs="Arial"/>
          <w:i/>
          <w:iCs/>
          <w:sz w:val="20"/>
          <w:szCs w:val="20"/>
        </w:rPr>
        <w:t>valores económicos</w:t>
      </w:r>
      <w:r w:rsidRPr="004C4E62">
        <w:rPr>
          <w:rFonts w:ascii="Verdana" w:hAnsi="Verdana" w:cs="Arial"/>
          <w:sz w:val="20"/>
          <w:szCs w:val="20"/>
        </w:rPr>
        <w:t xml:space="preserve">, idóneos como tales para una determinada forma de circulación: en consideración a la utilidad futura a que el contrato está encaminado a procurar, la práctica atribuye al mismo contrato un valor económico actual, considerándolo, por tanto, como un bien capaz de circular. Ahora bien; el Derecho apresta, precisamente, el instrumento para tal circulación en cuanto admite que uno de los originarios contratantes pueda transferir a un tercero, con el consentimiento imprescindible del otro contratante original (llamado </w:t>
      </w:r>
      <w:r w:rsidRPr="004C4E62">
        <w:rPr>
          <w:rFonts w:ascii="Verdana" w:hAnsi="Verdana" w:cs="Arial"/>
          <w:i/>
          <w:iCs/>
          <w:sz w:val="20"/>
          <w:szCs w:val="20"/>
        </w:rPr>
        <w:t>contratante cedido</w:t>
      </w:r>
      <w:r w:rsidRPr="004C4E62">
        <w:rPr>
          <w:rFonts w:ascii="Verdana" w:hAnsi="Verdana" w:cs="Arial"/>
          <w:sz w:val="20"/>
          <w:szCs w:val="20"/>
        </w:rPr>
        <w:t xml:space="preserve">), la relación contractual entera, como conjunto de </w:t>
      </w:r>
      <w:r w:rsidRPr="004C4E62">
        <w:rPr>
          <w:rFonts w:ascii="Verdana" w:hAnsi="Verdana" w:cs="Arial"/>
          <w:sz w:val="20"/>
          <w:szCs w:val="20"/>
        </w:rPr>
        <w:lastRenderedPageBreak/>
        <w:t>derecho y obligaciones, como única resultante de elementos activos y pasivos […]”</w:t>
      </w:r>
      <w:r w:rsidRPr="004C4E62">
        <w:rPr>
          <w:rStyle w:val="Refdenotaalpie"/>
          <w:rFonts w:ascii="Verdana" w:hAnsi="Verdana" w:cs="Arial"/>
          <w:color w:val="000000" w:themeColor="text1"/>
          <w:sz w:val="20"/>
          <w:szCs w:val="20"/>
        </w:rPr>
        <w:footnoteReference w:id="2"/>
      </w:r>
      <w:r w:rsidRPr="004C4E62">
        <w:rPr>
          <w:rFonts w:ascii="Verdana" w:hAnsi="Verdana" w:cs="Arial"/>
          <w:sz w:val="20"/>
          <w:szCs w:val="20"/>
        </w:rPr>
        <w:t>.</w:t>
      </w:r>
    </w:p>
    <w:p w14:paraId="064B71CC" w14:textId="77777777" w:rsidR="00716424" w:rsidRPr="004C544B" w:rsidRDefault="00716424" w:rsidP="00716424">
      <w:pPr>
        <w:spacing w:after="0" w:line="276" w:lineRule="auto"/>
        <w:ind w:left="709" w:right="709"/>
        <w:jc w:val="both"/>
        <w:rPr>
          <w:rFonts w:ascii="Verdana" w:eastAsia="Calibri" w:hAnsi="Verdana" w:cs="Arial"/>
          <w:color w:val="000000" w:themeColor="text1"/>
        </w:rPr>
      </w:pPr>
    </w:p>
    <w:p w14:paraId="175961CC" w14:textId="77777777" w:rsidR="00716424" w:rsidRPr="004C544B" w:rsidRDefault="00716424" w:rsidP="00716424">
      <w:pPr>
        <w:spacing w:after="0" w:line="276" w:lineRule="auto"/>
        <w:ind w:firstLine="708"/>
        <w:jc w:val="both"/>
        <w:rPr>
          <w:rFonts w:ascii="Verdana" w:eastAsia="Calibri" w:hAnsi="Verdana" w:cs="Arial"/>
          <w:color w:val="000000" w:themeColor="text1"/>
        </w:rPr>
      </w:pPr>
      <w:r w:rsidRPr="004C544B">
        <w:rPr>
          <w:rFonts w:ascii="Verdana" w:eastAsia="Calibri" w:hAnsi="Verdana" w:cs="Arial"/>
          <w:color w:val="000000" w:themeColor="text1"/>
        </w:rPr>
        <w:t xml:space="preserve">La cesión de la posición contractual puede entenderse como un acto y como un efecto. Por un lado, “[…] es el contrato con el cual el cedente, parte de otro contrato ya en curso con otro sujeto (cedido), transfiere la relativa posición contractual (en sus componentes activos y pasivos) al cesionario, el cual le </w:t>
      </w:r>
      <w:proofErr w:type="spellStart"/>
      <w:r w:rsidRPr="004C544B">
        <w:rPr>
          <w:rFonts w:ascii="Verdana" w:eastAsia="Calibri" w:hAnsi="Verdana" w:cs="Arial"/>
          <w:color w:val="000000" w:themeColor="text1"/>
        </w:rPr>
        <w:t>subentra</w:t>
      </w:r>
      <w:proofErr w:type="spellEnd"/>
      <w:r w:rsidRPr="004C544B">
        <w:rPr>
          <w:rFonts w:ascii="Verdana" w:eastAsia="Calibri" w:hAnsi="Verdana" w:cs="Arial"/>
          <w:color w:val="000000" w:themeColor="text1"/>
        </w:rPr>
        <w:t xml:space="preserve"> en la relación con el cedido […]”</w:t>
      </w:r>
      <w:r w:rsidRPr="004C544B">
        <w:rPr>
          <w:rStyle w:val="Refdenotaalpie"/>
          <w:rFonts w:ascii="Verdana" w:eastAsia="Calibri" w:hAnsi="Verdana" w:cs="Arial"/>
          <w:color w:val="000000" w:themeColor="text1"/>
        </w:rPr>
        <w:footnoteReference w:id="3"/>
      </w:r>
      <w:r w:rsidRPr="004C544B">
        <w:rPr>
          <w:rFonts w:ascii="Verdana" w:eastAsia="Calibri" w:hAnsi="Verdana" w:cs="Arial"/>
          <w:color w:val="000000" w:themeColor="text1"/>
        </w:rPr>
        <w:t xml:space="preserve">. Por otro, “[…] es la transferencia de la posición contractual de un contratante a otro sujeto, que le </w:t>
      </w:r>
      <w:proofErr w:type="spellStart"/>
      <w:r w:rsidRPr="004C544B">
        <w:rPr>
          <w:rFonts w:ascii="Verdana" w:eastAsia="Calibri" w:hAnsi="Verdana" w:cs="Arial"/>
          <w:color w:val="000000" w:themeColor="text1"/>
        </w:rPr>
        <w:t>subentra</w:t>
      </w:r>
      <w:proofErr w:type="spellEnd"/>
      <w:r w:rsidRPr="004C544B">
        <w:rPr>
          <w:rFonts w:ascii="Verdana" w:eastAsia="Calibri" w:hAnsi="Verdana" w:cs="Arial"/>
          <w:color w:val="000000" w:themeColor="text1"/>
        </w:rPr>
        <w:t xml:space="preserve"> en la relación con la contraparte […]”</w:t>
      </w:r>
      <w:r w:rsidRPr="004C544B">
        <w:rPr>
          <w:rStyle w:val="Refdenotaalpie"/>
          <w:rFonts w:ascii="Verdana" w:eastAsia="Calibri" w:hAnsi="Verdana" w:cs="Arial"/>
          <w:color w:val="000000" w:themeColor="text1"/>
        </w:rPr>
        <w:footnoteReference w:id="4"/>
      </w:r>
      <w:r w:rsidRPr="004C544B">
        <w:rPr>
          <w:rFonts w:ascii="Verdana" w:eastAsia="Calibri" w:hAnsi="Verdana" w:cs="Arial"/>
          <w:color w:val="000000" w:themeColor="text1"/>
        </w:rPr>
        <w:t xml:space="preserve">. De esta manera, </w:t>
      </w:r>
      <w:r w:rsidRPr="004C544B">
        <w:rPr>
          <w:rFonts w:ascii="Verdana" w:hAnsi="Verdana" w:cs="Arial"/>
          <w:color w:val="000000" w:themeColor="text1"/>
        </w:rPr>
        <w:t xml:space="preserve">concurren tres (3) sujetos: i) el cedente, esto es, el contratista inicial; </w:t>
      </w:r>
      <w:proofErr w:type="spellStart"/>
      <w:r w:rsidRPr="004C544B">
        <w:rPr>
          <w:rFonts w:ascii="Verdana" w:hAnsi="Verdana" w:cs="Arial"/>
          <w:color w:val="000000" w:themeColor="text1"/>
        </w:rPr>
        <w:t>ii</w:t>
      </w:r>
      <w:proofErr w:type="spellEnd"/>
      <w:r w:rsidRPr="004C544B">
        <w:rPr>
          <w:rFonts w:ascii="Verdana" w:hAnsi="Verdana" w:cs="Arial"/>
          <w:color w:val="000000" w:themeColor="text1"/>
        </w:rPr>
        <w:t xml:space="preserve">) el cesionario, es decir, quien asume total o parcialmente los derechos y obligaciones de este último; y </w:t>
      </w:r>
      <w:proofErr w:type="spellStart"/>
      <w:r w:rsidRPr="004C544B">
        <w:rPr>
          <w:rFonts w:ascii="Verdana" w:hAnsi="Verdana" w:cs="Arial"/>
          <w:color w:val="000000" w:themeColor="text1"/>
        </w:rPr>
        <w:t>iii</w:t>
      </w:r>
      <w:proofErr w:type="spellEnd"/>
      <w:r w:rsidRPr="004C544B">
        <w:rPr>
          <w:rFonts w:ascii="Verdana" w:hAnsi="Verdana" w:cs="Arial"/>
          <w:color w:val="000000" w:themeColor="text1"/>
        </w:rPr>
        <w:t xml:space="preserve">) el cedido que, en el caso de los contratos estatales, sería la entidad que suscribió el contrato. </w:t>
      </w:r>
      <w:r w:rsidRPr="004C544B">
        <w:rPr>
          <w:rFonts w:ascii="Verdana" w:eastAsia="Calibri" w:hAnsi="Verdana" w:cs="Arial"/>
          <w:color w:val="000000" w:themeColor="text1"/>
        </w:rPr>
        <w:t>Por tanto, la cesión de contrato es una figura jurídica por la que terceros ajenos a los contratantes iniciales participan en negocios que están ejecutando cuando no se hayan cumplido la totalidad de las obligaciones, permitiendo que sean éstos quienes realicen las prestaciones faltantes. En efecto:</w:t>
      </w:r>
    </w:p>
    <w:p w14:paraId="5B099BE9" w14:textId="77777777" w:rsidR="00716424" w:rsidRPr="004C544B" w:rsidRDefault="00716424" w:rsidP="00716424">
      <w:pPr>
        <w:spacing w:after="0" w:line="276" w:lineRule="auto"/>
        <w:ind w:firstLine="708"/>
        <w:jc w:val="both"/>
        <w:rPr>
          <w:rFonts w:ascii="Verdana" w:hAnsi="Verdana" w:cs="Arial"/>
          <w:color w:val="000000" w:themeColor="text1"/>
        </w:rPr>
      </w:pPr>
    </w:p>
    <w:p w14:paraId="1AAF1A74" w14:textId="77777777" w:rsidR="00716424" w:rsidRPr="004C4E62" w:rsidRDefault="00716424" w:rsidP="00716424">
      <w:pPr>
        <w:tabs>
          <w:tab w:val="left" w:pos="709"/>
        </w:tabs>
        <w:spacing w:after="0" w:line="240" w:lineRule="auto"/>
        <w:ind w:left="709" w:right="709"/>
        <w:jc w:val="both"/>
        <w:rPr>
          <w:rFonts w:ascii="Verdana" w:eastAsia="Calibri" w:hAnsi="Verdana" w:cs="Arial"/>
          <w:color w:val="000000" w:themeColor="text1"/>
          <w:sz w:val="20"/>
          <w:szCs w:val="20"/>
        </w:rPr>
      </w:pPr>
      <w:r w:rsidRPr="004C4E62">
        <w:rPr>
          <w:rFonts w:ascii="Verdana" w:eastAsia="Calibri" w:hAnsi="Verdana" w:cs="Arial"/>
          <w:color w:val="000000" w:themeColor="text1"/>
          <w:sz w:val="20"/>
          <w:szCs w:val="20"/>
        </w:rPr>
        <w:t>“[…] cuando lo que se cede (o asume) es un contrato, el punto de partida es la presencia de uno o varios créditos y otras tantas obligaciones, entrelazadas en términos de correlatividad y consideradas, tratadas y dispuestas como una unidad, o sea: el objeto de la operación es el traspaso simultáneo de unos créditos y de las obligaciones recíprocas, surgidos a una de un mismo contrato, por parte de uno de los contratantes a un tercero, esto es, en últimas, la transferencia de una posición o relación contractual, cuyo resultado es la sustitución de una de las partes (acreedora-deudora) […]”</w:t>
      </w:r>
      <w:r w:rsidRPr="004C4E62">
        <w:rPr>
          <w:rStyle w:val="Refdenotaalpie"/>
          <w:rFonts w:ascii="Verdana" w:eastAsia="Calibri" w:hAnsi="Verdana" w:cs="Arial"/>
          <w:color w:val="000000" w:themeColor="text1"/>
          <w:sz w:val="20"/>
          <w:szCs w:val="20"/>
        </w:rPr>
        <w:footnoteReference w:id="5"/>
      </w:r>
      <w:r w:rsidRPr="004C4E62">
        <w:rPr>
          <w:rFonts w:ascii="Verdana" w:eastAsia="Calibri" w:hAnsi="Verdana" w:cs="Arial"/>
          <w:color w:val="000000" w:themeColor="text1"/>
          <w:sz w:val="20"/>
          <w:szCs w:val="20"/>
        </w:rPr>
        <w:t>.</w:t>
      </w:r>
    </w:p>
    <w:p w14:paraId="4A96A1B1" w14:textId="77777777" w:rsidR="00716424" w:rsidRPr="004C544B" w:rsidRDefault="00716424" w:rsidP="00716424">
      <w:pPr>
        <w:tabs>
          <w:tab w:val="left" w:pos="709"/>
        </w:tabs>
        <w:spacing w:after="0" w:line="276" w:lineRule="auto"/>
        <w:ind w:left="709" w:right="709"/>
        <w:jc w:val="both"/>
        <w:rPr>
          <w:rFonts w:ascii="Verdana" w:eastAsia="Calibri" w:hAnsi="Verdana" w:cs="Arial"/>
          <w:color w:val="000000" w:themeColor="text1"/>
        </w:rPr>
      </w:pPr>
    </w:p>
    <w:p w14:paraId="0FC5DD11" w14:textId="77777777" w:rsidR="00716424" w:rsidRPr="004C544B" w:rsidRDefault="00716424" w:rsidP="00716424">
      <w:pPr>
        <w:spacing w:after="120" w:line="276" w:lineRule="auto"/>
        <w:ind w:firstLine="708"/>
        <w:jc w:val="both"/>
        <w:rPr>
          <w:rFonts w:ascii="Verdana" w:eastAsia="Calibri" w:hAnsi="Verdana" w:cs="Arial"/>
          <w:color w:val="000000" w:themeColor="text1"/>
        </w:rPr>
      </w:pPr>
      <w:r w:rsidRPr="004C544B">
        <w:rPr>
          <w:rFonts w:ascii="Verdana" w:eastAsia="Calibri" w:hAnsi="Verdana" w:cs="Arial"/>
          <w:color w:val="000000" w:themeColor="text1"/>
        </w:rPr>
        <w:t xml:space="preserve">Tratándose de la cesión de contratos estatales, conforme a la regulación del EGCAP, confluyen una mixtura entre el derecho público y privado en su regulación. En efecto, i) los contratos estatales se regirán por las normas comerciales y civiles pertinentes, salvo en lo concerniente a las materias particularmente reguladas en dicha ley, de acuerdo con lo prescrito en el inciso primero del artículo 13 de la Ley 80 de 1993, por lo que deben observarse en primer término las disposiciones establecidas en el EGCAP; </w:t>
      </w:r>
      <w:proofErr w:type="spellStart"/>
      <w:r w:rsidRPr="004C544B">
        <w:rPr>
          <w:rFonts w:ascii="Verdana" w:eastAsia="Calibri" w:hAnsi="Verdana" w:cs="Arial"/>
          <w:color w:val="000000" w:themeColor="text1"/>
        </w:rPr>
        <w:t>ii</w:t>
      </w:r>
      <w:proofErr w:type="spellEnd"/>
      <w:r w:rsidRPr="004C544B">
        <w:rPr>
          <w:rFonts w:ascii="Verdana" w:eastAsia="Calibri" w:hAnsi="Verdana" w:cs="Arial"/>
          <w:color w:val="000000" w:themeColor="text1"/>
        </w:rPr>
        <w:t xml:space="preserve">) corresponderán como actos jurídicos bilaterales generadores de obligaciones, entre otros, a los previstos en el derecho privado, en los términos del artículo 32 </w:t>
      </w:r>
      <w:r w:rsidRPr="004C544B">
        <w:rPr>
          <w:rFonts w:ascii="Verdana" w:eastAsia="Calibri" w:hAnsi="Verdana" w:cs="Arial"/>
          <w:i/>
          <w:iCs/>
          <w:color w:val="000000" w:themeColor="text1"/>
        </w:rPr>
        <w:t>ibidem</w:t>
      </w:r>
      <w:r w:rsidRPr="004C544B">
        <w:rPr>
          <w:rFonts w:ascii="Verdana" w:eastAsia="Calibri" w:hAnsi="Verdana" w:cs="Arial"/>
          <w:color w:val="000000" w:themeColor="text1"/>
        </w:rPr>
        <w:t xml:space="preserve">; y </w:t>
      </w:r>
      <w:proofErr w:type="spellStart"/>
      <w:r w:rsidRPr="004C544B">
        <w:rPr>
          <w:rFonts w:ascii="Verdana" w:eastAsia="Calibri" w:hAnsi="Verdana" w:cs="Arial"/>
          <w:color w:val="000000" w:themeColor="text1"/>
        </w:rPr>
        <w:t>iii</w:t>
      </w:r>
      <w:proofErr w:type="spellEnd"/>
      <w:r w:rsidRPr="004C544B">
        <w:rPr>
          <w:rFonts w:ascii="Verdana" w:eastAsia="Calibri" w:hAnsi="Verdana" w:cs="Arial"/>
          <w:color w:val="000000" w:themeColor="text1"/>
        </w:rPr>
        <w:t xml:space="preserve">) contendrán las estipulaciones que, de acuerdo con las normas civiles, comerciales y las previstas en esta ley, correspondan a su esencia y naturaleza, conforme a lo dispuesto por el artículo 40 </w:t>
      </w:r>
      <w:r w:rsidRPr="004C544B">
        <w:rPr>
          <w:rFonts w:ascii="Verdana" w:eastAsia="Calibri" w:hAnsi="Verdana" w:cs="Arial"/>
          <w:i/>
          <w:iCs/>
          <w:color w:val="000000" w:themeColor="text1"/>
        </w:rPr>
        <w:t>ibidem</w:t>
      </w:r>
      <w:r w:rsidRPr="004C544B">
        <w:rPr>
          <w:rFonts w:ascii="Verdana" w:eastAsia="Calibri" w:hAnsi="Verdana" w:cs="Arial"/>
          <w:color w:val="000000" w:themeColor="text1"/>
        </w:rPr>
        <w:t xml:space="preserve">. </w:t>
      </w:r>
    </w:p>
    <w:p w14:paraId="34BE9FE1" w14:textId="77777777" w:rsidR="00716424" w:rsidRPr="004C544B" w:rsidRDefault="00716424" w:rsidP="00716424">
      <w:pPr>
        <w:spacing w:after="120" w:line="276" w:lineRule="auto"/>
        <w:ind w:firstLine="708"/>
        <w:jc w:val="both"/>
        <w:rPr>
          <w:rFonts w:ascii="Verdana" w:eastAsia="Calibri" w:hAnsi="Verdana" w:cs="Arial"/>
          <w:color w:val="000000" w:themeColor="text1"/>
        </w:rPr>
      </w:pPr>
      <w:r w:rsidRPr="004C544B">
        <w:rPr>
          <w:rFonts w:ascii="Verdana" w:eastAsia="Calibri" w:hAnsi="Verdana" w:cs="Arial"/>
          <w:color w:val="000000" w:themeColor="text1"/>
        </w:rPr>
        <w:t>En este sentido, el Estatuto General de Contratación de la Administración Pública establece disposiciones específicas relativas a la figura de la cesión contractual. En principio, si bien rigen las normas relativas a la cesión del contrato contenidas en sus artículos 887 y siguientes del Código de Comercio, su aplicación procede ante la ausencia de norma que de manera particular regule el asunto frente a la categoría especial del contrato estatal.</w:t>
      </w:r>
    </w:p>
    <w:p w14:paraId="10085841" w14:textId="77777777" w:rsidR="00716424" w:rsidRPr="004C544B" w:rsidRDefault="00716424" w:rsidP="00716424">
      <w:pPr>
        <w:tabs>
          <w:tab w:val="left" w:pos="709"/>
        </w:tabs>
        <w:spacing w:after="120" w:line="276" w:lineRule="auto"/>
        <w:jc w:val="both"/>
        <w:rPr>
          <w:rFonts w:ascii="Verdana" w:eastAsia="Calibri" w:hAnsi="Verdana" w:cs="Arial"/>
          <w:color w:val="000000" w:themeColor="text1"/>
        </w:rPr>
      </w:pPr>
      <w:r w:rsidRPr="004C544B">
        <w:rPr>
          <w:rFonts w:ascii="Verdana" w:eastAsia="Calibri" w:hAnsi="Verdana" w:cs="Arial"/>
          <w:color w:val="000000" w:themeColor="text1"/>
        </w:rPr>
        <w:tab/>
        <w:t>Por ello, es pertinente indicar que el Decreto Ley 410 de 1971 contempla ciertas disposiciones que no se encuentran en la Ley 80 de 1993, lo que conlleva su aplicación en materia de contratos estatales. Por ejemplo, el artículo 890 establece lo relativo a la responsabilidad del cedente frente al cesionario y en torno a la existencia, validez y garantías del contrato cedido</w:t>
      </w:r>
      <w:r w:rsidRPr="004C544B">
        <w:rPr>
          <w:rStyle w:val="Refdenotaalpie"/>
          <w:rFonts w:ascii="Verdana" w:eastAsia="Calibri" w:hAnsi="Verdana" w:cs="Arial"/>
          <w:color w:val="000000" w:themeColor="text1"/>
        </w:rPr>
        <w:footnoteReference w:id="6"/>
      </w:r>
      <w:r w:rsidRPr="004C544B">
        <w:rPr>
          <w:rFonts w:ascii="Verdana" w:eastAsia="Calibri" w:hAnsi="Verdana" w:cs="Arial"/>
          <w:color w:val="000000" w:themeColor="text1"/>
        </w:rPr>
        <w:t>. Por otra parte, el artículo 891 obliga al cesionario a avisar al cedente de la mora o el incumplimiento dentro de los 10 días siguientes, siempre y cuando este se haya obligado a garantizar el cumplimiento por parte del contratante cedido</w:t>
      </w:r>
      <w:r w:rsidRPr="004C544B">
        <w:rPr>
          <w:rStyle w:val="Refdenotaalpie"/>
          <w:rFonts w:ascii="Verdana" w:eastAsia="Calibri" w:hAnsi="Verdana" w:cs="Arial"/>
          <w:color w:val="000000" w:themeColor="text1"/>
        </w:rPr>
        <w:footnoteReference w:id="7"/>
      </w:r>
      <w:r w:rsidRPr="004C544B">
        <w:rPr>
          <w:rFonts w:ascii="Verdana" w:eastAsia="Calibri" w:hAnsi="Verdana" w:cs="Arial"/>
          <w:color w:val="000000" w:themeColor="text1"/>
        </w:rPr>
        <w:t xml:space="preserve">. Asimismo, los artículos 895 y 896 disponen que la cesión de un contrato implica la transferencia de las acciones, privilegios y beneficios legales inherentes a la naturaleza y condiciones del contrato, excluyendo a aquellas que sean extrañas al mismo o que se funden en el estado o calidad particular de las partes, </w:t>
      </w:r>
      <w:r w:rsidRPr="004C544B">
        <w:rPr>
          <w:rFonts w:ascii="Verdana" w:eastAsia="Calibri" w:hAnsi="Verdana" w:cs="Arial"/>
          <w:color w:val="000000" w:themeColor="text1"/>
        </w:rPr>
        <w:lastRenderedPageBreak/>
        <w:t>pudiendo, el contratante cedido, oponer contra el cesionario todas las excepciones que se deriven del contrato</w:t>
      </w:r>
      <w:r w:rsidRPr="004C544B">
        <w:rPr>
          <w:rStyle w:val="Refdenotaalpie"/>
          <w:rFonts w:ascii="Verdana" w:eastAsia="Calibri" w:hAnsi="Verdana" w:cs="Arial"/>
          <w:color w:val="000000" w:themeColor="text1"/>
        </w:rPr>
        <w:footnoteReference w:id="8"/>
      </w:r>
      <w:r w:rsidRPr="004C544B">
        <w:rPr>
          <w:rFonts w:ascii="Verdana" w:eastAsia="Calibri" w:hAnsi="Verdana" w:cs="Arial"/>
          <w:color w:val="000000" w:themeColor="text1"/>
        </w:rPr>
        <w:t xml:space="preserve">. </w:t>
      </w:r>
    </w:p>
    <w:p w14:paraId="2B2E5D1A" w14:textId="77777777" w:rsidR="00716424" w:rsidRPr="004C544B" w:rsidRDefault="00716424" w:rsidP="00716424">
      <w:pPr>
        <w:tabs>
          <w:tab w:val="left" w:pos="709"/>
        </w:tabs>
        <w:spacing w:after="120" w:line="276" w:lineRule="auto"/>
        <w:jc w:val="both"/>
        <w:rPr>
          <w:rFonts w:ascii="Verdana" w:eastAsia="Calibri" w:hAnsi="Verdana" w:cs="Arial"/>
          <w:color w:val="000000" w:themeColor="text1"/>
        </w:rPr>
      </w:pPr>
      <w:r w:rsidRPr="004C544B">
        <w:rPr>
          <w:rFonts w:ascii="Verdana" w:eastAsia="Calibri" w:hAnsi="Verdana" w:cs="Arial"/>
          <w:color w:val="000000" w:themeColor="text1"/>
        </w:rPr>
        <w:tab/>
        <w:t xml:space="preserve">Al margen de estas y otras disposiciones que de manera particular consagra el Código de Comercio sobre la cesión del contrato, esta figura cuenta con algunas normas especiales en la Ley 80 de 1993. Por ejemplo, el artículo 41, inciso tercero, del EGCAP prescribe que “Los contratos estatales son </w:t>
      </w:r>
      <w:r w:rsidRPr="004C544B">
        <w:rPr>
          <w:rFonts w:ascii="Verdana" w:eastAsia="Calibri" w:hAnsi="Verdana" w:cs="Arial"/>
          <w:i/>
          <w:iCs/>
          <w:color w:val="000000" w:themeColor="text1"/>
        </w:rPr>
        <w:t xml:space="preserve">intuito </w:t>
      </w:r>
      <w:proofErr w:type="spellStart"/>
      <w:r w:rsidRPr="004C544B">
        <w:rPr>
          <w:rFonts w:ascii="Verdana" w:eastAsia="Calibri" w:hAnsi="Verdana" w:cs="Arial"/>
          <w:i/>
          <w:iCs/>
          <w:color w:val="000000" w:themeColor="text1"/>
        </w:rPr>
        <w:t>personae</w:t>
      </w:r>
      <w:proofErr w:type="spellEnd"/>
      <w:r w:rsidRPr="004C544B">
        <w:rPr>
          <w:rFonts w:ascii="Verdana" w:eastAsia="Calibri" w:hAnsi="Verdana" w:cs="Arial"/>
          <w:color w:val="000000" w:themeColor="text1"/>
        </w:rPr>
        <w:t xml:space="preserve"> y, en consecuencia, una vez celebrados no podrán cederse sin previa autorización escrita de la entidad contratante”. Esta norma contiene una prohibición general –</w:t>
      </w:r>
      <w:r w:rsidRPr="004C544B">
        <w:rPr>
          <w:rFonts w:ascii="Verdana" w:eastAsia="Calibri" w:hAnsi="Verdana" w:cs="Arial"/>
          <w:i/>
          <w:iCs/>
          <w:color w:val="000000" w:themeColor="text1"/>
        </w:rPr>
        <w:t>faceta negativa</w:t>
      </w:r>
      <w:r w:rsidRPr="004C544B">
        <w:rPr>
          <w:rFonts w:ascii="Verdana" w:eastAsia="Calibri" w:hAnsi="Verdana" w:cs="Arial"/>
          <w:color w:val="000000" w:themeColor="text1"/>
        </w:rPr>
        <w:t>– y una autorización excepcional –</w:t>
      </w:r>
      <w:r w:rsidRPr="004C544B">
        <w:rPr>
          <w:rFonts w:ascii="Verdana" w:eastAsia="Calibri" w:hAnsi="Verdana" w:cs="Arial"/>
          <w:i/>
          <w:iCs/>
          <w:color w:val="000000" w:themeColor="text1"/>
        </w:rPr>
        <w:t>faceta positiva</w:t>
      </w:r>
      <w:r w:rsidRPr="004C544B">
        <w:rPr>
          <w:rFonts w:ascii="Verdana" w:eastAsia="Calibri" w:hAnsi="Verdana" w:cs="Arial"/>
          <w:color w:val="000000" w:themeColor="text1"/>
        </w:rPr>
        <w:t>–.</w:t>
      </w:r>
    </w:p>
    <w:p w14:paraId="2CB67DB9" w14:textId="77777777" w:rsidR="00716424" w:rsidRPr="004C544B" w:rsidRDefault="00716424" w:rsidP="00716424">
      <w:pPr>
        <w:tabs>
          <w:tab w:val="left" w:pos="709"/>
        </w:tabs>
        <w:spacing w:after="120" w:line="276" w:lineRule="auto"/>
        <w:jc w:val="both"/>
        <w:rPr>
          <w:rFonts w:ascii="Verdana" w:eastAsia="Calibri" w:hAnsi="Verdana" w:cs="Arial"/>
          <w:bCs/>
          <w:color w:val="000000" w:themeColor="text1"/>
        </w:rPr>
      </w:pPr>
      <w:r w:rsidRPr="004C544B">
        <w:rPr>
          <w:rFonts w:ascii="Verdana" w:eastAsia="Calibri" w:hAnsi="Verdana" w:cs="Arial"/>
          <w:bCs/>
          <w:color w:val="000000" w:themeColor="text1"/>
        </w:rPr>
        <w:tab/>
        <w:t xml:space="preserve">En lo que respecta a la </w:t>
      </w:r>
      <w:r w:rsidRPr="004C544B">
        <w:rPr>
          <w:rFonts w:ascii="Verdana" w:eastAsia="Calibri" w:hAnsi="Verdana" w:cs="Arial"/>
          <w:bCs/>
          <w:i/>
          <w:iCs/>
          <w:color w:val="000000" w:themeColor="text1"/>
        </w:rPr>
        <w:t>faceta negativa</w:t>
      </w:r>
      <w:r w:rsidRPr="004C544B">
        <w:rPr>
          <w:rFonts w:ascii="Verdana" w:eastAsia="Calibri" w:hAnsi="Verdana" w:cs="Arial"/>
          <w:bCs/>
          <w:color w:val="000000" w:themeColor="text1"/>
        </w:rPr>
        <w:t xml:space="preserve">, el artículo 41 del Estatuto General ordena que el contrato se ejecute con quien inicialmente se celebró el acuerdo de voluntades, pues es la persona que –de acuerdo con los criterios definidos por la entidad para la selección del contratista– resulta idónea para cumplir con las obligaciones. De esta manera, la prohibición contenida en la norma citada es uno de los elementos de la naturaleza del contrato estatal, pues –conforme a lo previsto en el artículo 1501 del Código Civil– es de aquellos “[…] </w:t>
      </w:r>
      <w:proofErr w:type="gramStart"/>
      <w:r w:rsidRPr="004C544B">
        <w:rPr>
          <w:rFonts w:ascii="Verdana" w:eastAsia="Calibri" w:hAnsi="Verdana" w:cs="Arial"/>
          <w:bCs/>
          <w:color w:val="000000" w:themeColor="text1"/>
        </w:rPr>
        <w:t>que</w:t>
      </w:r>
      <w:proofErr w:type="gramEnd"/>
      <w:r w:rsidRPr="004C544B">
        <w:rPr>
          <w:rFonts w:ascii="Verdana" w:eastAsia="Calibri" w:hAnsi="Verdana" w:cs="Arial"/>
          <w:bCs/>
          <w:color w:val="000000" w:themeColor="text1"/>
        </w:rPr>
        <w:t xml:space="preserve"> no siendo esenciales en él, se entienden pertenecerle, sin necesidad de una cláusula especial […]”</w:t>
      </w:r>
      <w:r w:rsidRPr="004C544B">
        <w:rPr>
          <w:rStyle w:val="Refdenotaalpie"/>
          <w:rFonts w:ascii="Verdana" w:eastAsia="Calibri" w:hAnsi="Verdana" w:cs="Arial"/>
          <w:bCs/>
          <w:color w:val="000000" w:themeColor="text1"/>
        </w:rPr>
        <w:footnoteReference w:id="9"/>
      </w:r>
      <w:r w:rsidRPr="004C544B">
        <w:rPr>
          <w:rFonts w:ascii="Verdana" w:eastAsia="Calibri" w:hAnsi="Verdana" w:cs="Arial"/>
          <w:bCs/>
          <w:color w:val="000000" w:themeColor="text1"/>
        </w:rPr>
        <w:t xml:space="preserve">.  </w:t>
      </w:r>
    </w:p>
    <w:p w14:paraId="7001DC6C" w14:textId="77777777" w:rsidR="00716424" w:rsidRPr="004C544B" w:rsidRDefault="00716424" w:rsidP="00716424">
      <w:pPr>
        <w:spacing w:after="0" w:line="276" w:lineRule="auto"/>
        <w:ind w:firstLine="708"/>
        <w:jc w:val="both"/>
        <w:rPr>
          <w:rFonts w:ascii="Verdana" w:eastAsia="Calibri" w:hAnsi="Verdana" w:cs="Arial"/>
          <w:bCs/>
          <w:color w:val="000000" w:themeColor="text1"/>
        </w:rPr>
      </w:pPr>
      <w:r w:rsidRPr="004C544B">
        <w:rPr>
          <w:rFonts w:ascii="Verdana" w:eastAsia="Calibri" w:hAnsi="Verdana" w:cs="Arial"/>
          <w:bCs/>
          <w:color w:val="000000" w:themeColor="text1"/>
        </w:rPr>
        <w:t xml:space="preserve">En su </w:t>
      </w:r>
      <w:r w:rsidRPr="004C544B">
        <w:rPr>
          <w:rFonts w:ascii="Verdana" w:eastAsia="Calibri" w:hAnsi="Verdana" w:cs="Arial"/>
          <w:bCs/>
          <w:i/>
          <w:iCs/>
          <w:color w:val="000000" w:themeColor="text1"/>
        </w:rPr>
        <w:t>faceta positiva</w:t>
      </w:r>
      <w:r w:rsidRPr="004C544B">
        <w:rPr>
          <w:rFonts w:ascii="Verdana" w:eastAsia="Calibri" w:hAnsi="Verdana" w:cs="Arial"/>
          <w:bCs/>
          <w:color w:val="000000" w:themeColor="text1"/>
        </w:rPr>
        <w:t xml:space="preserve">, la Ley 80 de 1993 permite excepcionalmente la cesión del contrato estatal siempre que exista autorización previa escrita de la entidad contratante. Por ello, “[…] El cocontratante que </w:t>
      </w:r>
      <w:r w:rsidRPr="00DE5DE4">
        <w:rPr>
          <w:rFonts w:ascii="Verdana" w:eastAsia="Calibri" w:hAnsi="Verdana" w:cs="Arial"/>
          <w:bCs/>
          <w:color w:val="000000" w:themeColor="text1"/>
          <w:sz w:val="24"/>
          <w:szCs w:val="24"/>
        </w:rPr>
        <w:t>‘</w:t>
      </w:r>
      <w:r w:rsidRPr="004C544B">
        <w:rPr>
          <w:rFonts w:ascii="Verdana" w:eastAsia="Calibri" w:hAnsi="Verdana" w:cs="Arial"/>
          <w:bCs/>
          <w:i/>
          <w:iCs/>
          <w:color w:val="000000" w:themeColor="text1"/>
        </w:rPr>
        <w:t>ceda</w:t>
      </w:r>
      <w:r w:rsidRPr="00DE5DE4">
        <w:rPr>
          <w:rFonts w:ascii="Verdana" w:eastAsia="Calibri" w:hAnsi="Verdana" w:cs="Arial"/>
          <w:bCs/>
          <w:color w:val="000000" w:themeColor="text1"/>
        </w:rPr>
        <w:t>’</w:t>
      </w:r>
      <w:r w:rsidRPr="004C544B">
        <w:rPr>
          <w:rFonts w:ascii="Verdana" w:eastAsia="Calibri" w:hAnsi="Verdana" w:cs="Arial"/>
          <w:bCs/>
          <w:color w:val="000000" w:themeColor="text1"/>
        </w:rPr>
        <w:t xml:space="preserve"> el contrato sin estar autorizado para ello incurre en grave responsabilidad: su actitud implica </w:t>
      </w:r>
      <w:r>
        <w:rPr>
          <w:rFonts w:ascii="Verdana" w:eastAsia="Calibri" w:hAnsi="Verdana" w:cs="Arial"/>
          <w:bCs/>
          <w:color w:val="000000" w:themeColor="text1"/>
        </w:rPr>
        <w:t>‘</w:t>
      </w:r>
      <w:r w:rsidRPr="004C544B">
        <w:rPr>
          <w:rFonts w:ascii="Verdana" w:eastAsia="Calibri" w:hAnsi="Verdana" w:cs="Arial"/>
          <w:bCs/>
          <w:i/>
          <w:iCs/>
          <w:color w:val="000000" w:themeColor="text1"/>
        </w:rPr>
        <w:t>incumplimiento</w:t>
      </w:r>
      <w:r>
        <w:rPr>
          <w:rFonts w:ascii="Verdana" w:eastAsia="Calibri" w:hAnsi="Verdana" w:cs="Arial"/>
          <w:bCs/>
          <w:color w:val="000000" w:themeColor="text1"/>
        </w:rPr>
        <w:t>’</w:t>
      </w:r>
      <w:r w:rsidRPr="004C544B">
        <w:rPr>
          <w:rFonts w:ascii="Verdana" w:eastAsia="Calibri" w:hAnsi="Verdana" w:cs="Arial"/>
          <w:bCs/>
          <w:color w:val="000000" w:themeColor="text1"/>
        </w:rPr>
        <w:t xml:space="preserve"> del contrato; de ahí que esa cesión ilícita no resulte oponible a </w:t>
      </w:r>
      <w:r w:rsidRPr="004C544B">
        <w:rPr>
          <w:rFonts w:ascii="Verdana" w:eastAsia="Calibri" w:hAnsi="Verdana" w:cs="Arial"/>
          <w:bCs/>
          <w:color w:val="000000" w:themeColor="text1"/>
        </w:rPr>
        <w:lastRenderedPageBreak/>
        <w:t>la Administración Pública […]”</w:t>
      </w:r>
      <w:r w:rsidRPr="004C544B">
        <w:rPr>
          <w:rStyle w:val="Refdenotaalpie"/>
          <w:rFonts w:ascii="Verdana" w:eastAsia="Calibri" w:hAnsi="Verdana" w:cs="Arial"/>
          <w:bCs/>
          <w:color w:val="000000" w:themeColor="text1"/>
        </w:rPr>
        <w:footnoteReference w:id="10"/>
      </w:r>
      <w:r w:rsidRPr="004C544B">
        <w:rPr>
          <w:rFonts w:ascii="Verdana" w:eastAsia="Calibri" w:hAnsi="Verdana" w:cs="Arial"/>
          <w:bCs/>
          <w:color w:val="000000" w:themeColor="text1"/>
        </w:rPr>
        <w:t xml:space="preserve">. Este requisito introduce un elemento especial que no está previsto en el Código de Comercio, pues en el derecho privado –salvo las excepciones previstas en la ley– la cesión requiere el acuerdo de voluntades entre el cedente y el cesionario, sin que medie la aceptación del contratante cedido. </w:t>
      </w:r>
      <w:r w:rsidRPr="004C544B">
        <w:rPr>
          <w:rFonts w:ascii="Verdana" w:eastAsia="Calibri" w:hAnsi="Verdana" w:cs="Arial"/>
          <w:color w:val="000000" w:themeColor="text1"/>
        </w:rPr>
        <w:t>En relación con lo anterior la doctrina define la cesión en los contratos estatales de la siguiente manera:</w:t>
      </w:r>
    </w:p>
    <w:p w14:paraId="1272209C" w14:textId="77777777" w:rsidR="00716424" w:rsidRPr="004C544B" w:rsidRDefault="00716424" w:rsidP="00716424">
      <w:pPr>
        <w:spacing w:after="0" w:line="276" w:lineRule="auto"/>
        <w:ind w:firstLine="708"/>
        <w:jc w:val="both"/>
        <w:rPr>
          <w:rFonts w:ascii="Verdana" w:eastAsia="Calibri" w:hAnsi="Verdana" w:cs="Arial"/>
          <w:color w:val="000000" w:themeColor="text1"/>
        </w:rPr>
      </w:pPr>
      <w:r w:rsidRPr="004C544B">
        <w:rPr>
          <w:rFonts w:ascii="Verdana" w:eastAsia="Calibri" w:hAnsi="Verdana" w:cs="Arial"/>
          <w:color w:val="000000" w:themeColor="text1"/>
        </w:rPr>
        <w:t xml:space="preserve"> </w:t>
      </w:r>
    </w:p>
    <w:p w14:paraId="3F59C070" w14:textId="77777777" w:rsidR="00716424" w:rsidRPr="004C4E62" w:rsidRDefault="00716424" w:rsidP="00716424">
      <w:pPr>
        <w:spacing w:after="0" w:line="240" w:lineRule="auto"/>
        <w:ind w:left="709" w:right="709"/>
        <w:jc w:val="both"/>
        <w:rPr>
          <w:rFonts w:ascii="Verdana" w:eastAsia="Calibri" w:hAnsi="Verdana" w:cs="Arial"/>
          <w:color w:val="000000" w:themeColor="text1"/>
          <w:sz w:val="20"/>
          <w:szCs w:val="20"/>
        </w:rPr>
      </w:pPr>
      <w:r w:rsidRPr="004C4E62">
        <w:rPr>
          <w:rFonts w:ascii="Verdana" w:eastAsia="Calibri" w:hAnsi="Verdana" w:cs="Arial"/>
          <w:color w:val="000000" w:themeColor="text1"/>
          <w:sz w:val="20"/>
          <w:szCs w:val="20"/>
        </w:rPr>
        <w:t xml:space="preserve">“La cesión en la contratación estatal supone, previa autorización de la entidad contratante, la sustitución </w:t>
      </w:r>
      <w:r w:rsidRPr="004C4E62">
        <w:rPr>
          <w:rFonts w:ascii="Verdana" w:eastAsia="Calibri" w:hAnsi="Verdana" w:cs="Arial"/>
          <w:i/>
          <w:iCs/>
          <w:color w:val="000000" w:themeColor="text1"/>
          <w:sz w:val="20"/>
          <w:szCs w:val="20"/>
        </w:rPr>
        <w:t>in genere</w:t>
      </w:r>
      <w:r w:rsidRPr="004C4E62">
        <w:rPr>
          <w:rFonts w:ascii="Verdana" w:eastAsia="Calibri" w:hAnsi="Verdana" w:cs="Arial"/>
          <w:color w:val="000000" w:themeColor="text1"/>
          <w:sz w:val="20"/>
          <w:szCs w:val="20"/>
        </w:rPr>
        <w:t>, total o parcial, de una de las partes de la relación jurídica (contratante o contratista) por un tercero, que se subroga en los derechos y obligaciones de aquella, por medio de la modificación del contrato estatal originario. La cesión posibilita el reemplazo total o parcial de una parte en su posición contractual originaria, sin que sea precisa la transferencia individual de cuantos derechos y obligaciones conforman la universalidad jurídica a ceder […]”</w:t>
      </w:r>
      <w:r w:rsidRPr="004C4E62">
        <w:rPr>
          <w:rStyle w:val="Refdenotaalpie"/>
          <w:rFonts w:ascii="Verdana" w:hAnsi="Verdana" w:cs="Arial"/>
          <w:color w:val="000000" w:themeColor="text1"/>
          <w:sz w:val="20"/>
          <w:szCs w:val="20"/>
        </w:rPr>
        <w:footnoteReference w:id="11"/>
      </w:r>
      <w:r w:rsidRPr="004C4E62">
        <w:rPr>
          <w:rFonts w:ascii="Verdana" w:eastAsia="Calibri" w:hAnsi="Verdana" w:cs="Arial"/>
          <w:color w:val="000000" w:themeColor="text1"/>
          <w:sz w:val="20"/>
          <w:szCs w:val="20"/>
        </w:rPr>
        <w:t>.</w:t>
      </w:r>
    </w:p>
    <w:p w14:paraId="71385244" w14:textId="77777777" w:rsidR="00716424" w:rsidRPr="004C544B" w:rsidRDefault="00716424" w:rsidP="00716424">
      <w:pPr>
        <w:spacing w:after="0" w:line="276" w:lineRule="auto"/>
        <w:jc w:val="both"/>
        <w:rPr>
          <w:rFonts w:ascii="Verdana" w:eastAsia="Calibri" w:hAnsi="Verdana" w:cs="Arial"/>
          <w:color w:val="000000" w:themeColor="text1"/>
        </w:rPr>
      </w:pPr>
    </w:p>
    <w:p w14:paraId="18B8E2C8" w14:textId="77777777" w:rsidR="00716424" w:rsidRPr="004C544B" w:rsidRDefault="00716424" w:rsidP="00716424">
      <w:pPr>
        <w:spacing w:after="120" w:line="276" w:lineRule="auto"/>
        <w:ind w:firstLine="709"/>
        <w:jc w:val="both"/>
        <w:rPr>
          <w:rFonts w:ascii="Verdana" w:eastAsia="Calibri" w:hAnsi="Verdana" w:cs="Arial"/>
          <w:bCs/>
          <w:color w:val="000000" w:themeColor="text1"/>
        </w:rPr>
      </w:pPr>
      <w:r w:rsidRPr="004C544B">
        <w:rPr>
          <w:rFonts w:ascii="Verdana" w:eastAsia="Calibri" w:hAnsi="Verdana" w:cs="Arial"/>
          <w:bCs/>
          <w:color w:val="000000" w:themeColor="text1"/>
        </w:rPr>
        <w:t>Autorizada previamente por la entidad cedida, esta forma de cesión requiere la suscripción de un contrato entre el cedente y el cesionario, por lo que es bilateral en la medida en que requiere un acuerdo voluntades. Con fundamento en el mismo, el cesionario reemplaza –en todo o en parte– al contratista cedente en la ejecución del contrato estatal, respondiendo por el cumplimiento de las obligaciones frente a la Administración.</w:t>
      </w:r>
      <w:r w:rsidRPr="004C544B">
        <w:rPr>
          <w:rFonts w:ascii="Verdana" w:hAnsi="Verdana"/>
        </w:rPr>
        <w:t xml:space="preserve"> </w:t>
      </w:r>
      <w:r w:rsidRPr="004C544B">
        <w:rPr>
          <w:rFonts w:ascii="Verdana" w:eastAsia="Calibri" w:hAnsi="Verdana" w:cs="Arial"/>
          <w:bCs/>
          <w:color w:val="000000" w:themeColor="text1"/>
        </w:rPr>
        <w:t>El inciso primero del artículo 888 del Código de Comercio señala que “La sustitución podrá hacerse por escrito o verbalmente, según que el contrato conste o no por escrito”. Como el contrato estatal es solemne en los términos de los artículos 39 y 41 de la Ley 80 de 1993, se impone la forma escrita para cederlo</w:t>
      </w:r>
      <w:r w:rsidRPr="004C544B">
        <w:rPr>
          <w:rFonts w:ascii="Verdana" w:eastAsia="Calibri" w:hAnsi="Verdana" w:cs="Arial"/>
          <w:color w:val="000000" w:themeColor="text1"/>
        </w:rPr>
        <w:t xml:space="preserve">. </w:t>
      </w:r>
    </w:p>
    <w:p w14:paraId="07E0D1AD" w14:textId="77777777" w:rsidR="00716424" w:rsidRDefault="00716424" w:rsidP="00716424">
      <w:pPr>
        <w:tabs>
          <w:tab w:val="left" w:pos="709"/>
        </w:tabs>
        <w:spacing w:after="120" w:line="276" w:lineRule="auto"/>
        <w:jc w:val="both"/>
        <w:rPr>
          <w:rFonts w:ascii="Verdana" w:eastAsia="Calibri" w:hAnsi="Verdana" w:cs="Arial"/>
          <w:color w:val="000000" w:themeColor="text1"/>
        </w:rPr>
      </w:pPr>
      <w:r w:rsidRPr="004C544B">
        <w:rPr>
          <w:rFonts w:ascii="Verdana" w:eastAsia="Calibri" w:hAnsi="Verdana" w:cs="Arial"/>
          <w:color w:val="000000" w:themeColor="text1"/>
        </w:rPr>
        <w:tab/>
        <w:t xml:space="preserve">Por lo demás, el Consejo de Estado ha precisado como requisitos de la cesión del contrato estatal los siguientes: i) debe recaer en un tercero; </w:t>
      </w:r>
      <w:proofErr w:type="spellStart"/>
      <w:r w:rsidRPr="004C544B">
        <w:rPr>
          <w:rFonts w:ascii="Verdana" w:eastAsia="Calibri" w:hAnsi="Verdana" w:cs="Arial"/>
          <w:color w:val="000000" w:themeColor="text1"/>
        </w:rPr>
        <w:t>ii</w:t>
      </w:r>
      <w:proofErr w:type="spellEnd"/>
      <w:r w:rsidRPr="004C544B">
        <w:rPr>
          <w:rFonts w:ascii="Verdana" w:eastAsia="Calibri" w:hAnsi="Verdana" w:cs="Arial"/>
          <w:color w:val="000000" w:themeColor="text1"/>
        </w:rPr>
        <w:t xml:space="preserve">) el cesionario debe tener capacidad jurídica para continuar con la ejecución del objeto contractual y no estar incurso en causales de inhabilidad e incompatibilidad para contratar; y </w:t>
      </w:r>
      <w:proofErr w:type="spellStart"/>
      <w:r w:rsidRPr="004C544B">
        <w:rPr>
          <w:rFonts w:ascii="Verdana" w:eastAsia="Calibri" w:hAnsi="Verdana" w:cs="Arial"/>
          <w:color w:val="000000" w:themeColor="text1"/>
        </w:rPr>
        <w:t>iii</w:t>
      </w:r>
      <w:proofErr w:type="spellEnd"/>
      <w:r w:rsidRPr="004C544B">
        <w:rPr>
          <w:rFonts w:ascii="Verdana" w:eastAsia="Calibri" w:hAnsi="Verdana" w:cs="Arial"/>
          <w:color w:val="000000" w:themeColor="text1"/>
        </w:rPr>
        <w:t xml:space="preserve">) el cesionario debe contar con capacidad técnica, económica y financiera suficientes para el cumplimiento de las obligaciones emanadas del contrato cedido. Al respecto, la Sección Tercera del Consejo de Estado ha explicado que, en la medida que el tercero cesionario </w:t>
      </w:r>
      <w:r w:rsidRPr="004C544B">
        <w:rPr>
          <w:rFonts w:ascii="Verdana" w:eastAsia="Calibri" w:hAnsi="Verdana" w:cs="Arial"/>
          <w:color w:val="000000" w:themeColor="text1"/>
        </w:rPr>
        <w:lastRenderedPageBreak/>
        <w:t>asume la posición contractual del contratista cedente, las disposiciones, los pliegos de condiciones y el contrato mismo serán aplicables a quien asuma la nueva posición contractual. De esta manera, la capacidad jurídica, económica y técnica del contratista cedente se exigirá también al cesionario, ya que “[…] el proceso cesión del contrato y las exigencias que se le impongan al tercero, no pueden alterar ni burlar los procedimientos de selección del contratista, en otras palabras, la figura de la cesión de contrato no puede servir como instrumento para desviar las obligaciones que tiene la entidad contratante de cumplimiento de los parámetros de la selección objetiva”</w:t>
      </w:r>
      <w:r w:rsidRPr="004C544B">
        <w:rPr>
          <w:rStyle w:val="Refdenotaalpie"/>
          <w:rFonts w:ascii="Verdana" w:eastAsia="Calibri" w:hAnsi="Verdana" w:cs="Arial"/>
          <w:color w:val="000000" w:themeColor="text1"/>
        </w:rPr>
        <w:footnoteReference w:id="12"/>
      </w:r>
      <w:r w:rsidRPr="004C544B">
        <w:rPr>
          <w:rFonts w:ascii="Verdana" w:eastAsia="Calibri" w:hAnsi="Verdana" w:cs="Arial"/>
          <w:color w:val="000000" w:themeColor="text1"/>
        </w:rPr>
        <w:t>.</w:t>
      </w:r>
    </w:p>
    <w:p w14:paraId="56D8841B" w14:textId="77777777" w:rsidR="00716424" w:rsidRDefault="00716424" w:rsidP="00716424">
      <w:pPr>
        <w:tabs>
          <w:tab w:val="left" w:pos="709"/>
        </w:tabs>
        <w:spacing w:after="120" w:line="276" w:lineRule="auto"/>
        <w:jc w:val="both"/>
        <w:rPr>
          <w:rFonts w:ascii="Verdana" w:eastAsia="Calibri" w:hAnsi="Verdana" w:cs="Arial"/>
          <w:color w:val="000000" w:themeColor="text1"/>
        </w:rPr>
      </w:pPr>
      <w:r>
        <w:rPr>
          <w:rFonts w:ascii="Verdana" w:eastAsia="Calibri" w:hAnsi="Verdana" w:cs="Arial"/>
          <w:color w:val="000000" w:themeColor="text1"/>
        </w:rPr>
        <w:tab/>
        <w:t>En este contexto, al igual que el cedente al momento de firmar el contrato con la entidad estatal, el cesionario debe estar libre de inhabilidades e incompatibilidades para reemplazar al primero en la ejecución de las obligaciones. Como la cesión implica una subrogación personal del contratista en los negocios que este último suscriba con el Estado, el cesionario que asume dicho rol estando inhabilitado es destinatario del literal b) del artículo 8.1 de la Ley 80 de 1993, en la medida que “</w:t>
      </w:r>
      <w:r w:rsidRPr="00EA7347">
        <w:rPr>
          <w:rFonts w:ascii="Verdana" w:eastAsia="Calibri" w:hAnsi="Verdana" w:cs="Arial"/>
          <w:color w:val="000000" w:themeColor="text1"/>
        </w:rPr>
        <w:t xml:space="preserve">Quienes </w:t>
      </w:r>
      <w:r>
        <w:rPr>
          <w:rFonts w:ascii="Verdana" w:eastAsia="Calibri" w:hAnsi="Verdana" w:cs="Arial"/>
          <w:color w:val="000000" w:themeColor="text1"/>
        </w:rPr>
        <w:t>[…]</w:t>
      </w:r>
      <w:r w:rsidRPr="00EA7347">
        <w:rPr>
          <w:rFonts w:ascii="Verdana" w:eastAsia="Calibri" w:hAnsi="Verdana" w:cs="Arial"/>
          <w:color w:val="000000" w:themeColor="text1"/>
        </w:rPr>
        <w:t xml:space="preserve"> celebraron los contratos </w:t>
      </w:r>
      <w:r>
        <w:rPr>
          <w:rFonts w:ascii="Verdana" w:eastAsia="Calibri" w:hAnsi="Verdana" w:cs="Arial"/>
          <w:color w:val="000000" w:themeColor="text1"/>
        </w:rPr>
        <w:t>[…]</w:t>
      </w:r>
      <w:r w:rsidRPr="00EA7347">
        <w:rPr>
          <w:rFonts w:ascii="Verdana" w:eastAsia="Calibri" w:hAnsi="Verdana" w:cs="Arial"/>
          <w:color w:val="000000" w:themeColor="text1"/>
        </w:rPr>
        <w:t xml:space="preserve"> estando inhabilitados</w:t>
      </w:r>
      <w:r>
        <w:rPr>
          <w:rFonts w:ascii="Verdana" w:eastAsia="Calibri" w:hAnsi="Verdana" w:cs="Arial"/>
          <w:color w:val="000000" w:themeColor="text1"/>
        </w:rPr>
        <w:t>” tienen una restricción de cinco (5) años para participar en procesos de selección o suscribir contratos.</w:t>
      </w:r>
    </w:p>
    <w:p w14:paraId="4B50EABB" w14:textId="77777777" w:rsidR="00716424" w:rsidRPr="004C544B" w:rsidRDefault="00716424" w:rsidP="00716424">
      <w:pPr>
        <w:tabs>
          <w:tab w:val="left" w:pos="709"/>
        </w:tabs>
        <w:spacing w:after="120" w:line="276" w:lineRule="auto"/>
        <w:jc w:val="both"/>
        <w:rPr>
          <w:rFonts w:ascii="Verdana" w:eastAsia="Calibri" w:hAnsi="Verdana" w:cs="Arial"/>
          <w:color w:val="000000" w:themeColor="text1"/>
        </w:rPr>
      </w:pPr>
      <w:r>
        <w:rPr>
          <w:rFonts w:ascii="Verdana" w:eastAsia="Calibri" w:hAnsi="Verdana" w:cs="Arial"/>
          <w:color w:val="000000" w:themeColor="text1"/>
        </w:rPr>
        <w:tab/>
        <w:t>Ello significa que, a la inhabilidad que tenía el cesionario antes de la cesión, se suma una nueva por subrogarse en la posición del cedente, pues aquel carece de la capacidad jurídica para suscribir contratos estatales</w:t>
      </w:r>
      <w:r w:rsidRPr="00A01000">
        <w:rPr>
          <w:rFonts w:ascii="Verdana" w:eastAsia="Calibri" w:hAnsi="Verdana" w:cs="Arial"/>
          <w:color w:val="000000" w:themeColor="text1"/>
        </w:rPr>
        <w:t xml:space="preserve"> </w:t>
      </w:r>
      <w:r>
        <w:rPr>
          <w:rFonts w:ascii="Verdana" w:eastAsia="Calibri" w:hAnsi="Verdana" w:cs="Arial"/>
          <w:color w:val="000000" w:themeColor="text1"/>
        </w:rPr>
        <w:t xml:space="preserve">frente a la entidad cedida. Lo anterior sin perjuicio de la responsabilidad personal de quien autorice la cesión en esta circunstancia, por falta la de la diligencia debida en la verificación de las calidades del cesionario.     </w:t>
      </w:r>
    </w:p>
    <w:p w14:paraId="7A49E97D" w14:textId="77777777" w:rsidR="00716424" w:rsidRPr="004C544B" w:rsidRDefault="00716424" w:rsidP="00716424">
      <w:pPr>
        <w:tabs>
          <w:tab w:val="left" w:pos="709"/>
        </w:tabs>
        <w:spacing w:after="120" w:line="276" w:lineRule="auto"/>
        <w:ind w:firstLine="709"/>
        <w:jc w:val="both"/>
        <w:rPr>
          <w:rFonts w:ascii="Verdana" w:eastAsia="Calibri" w:hAnsi="Verdana" w:cs="Arial"/>
          <w:color w:val="000000" w:themeColor="text1"/>
        </w:rPr>
      </w:pPr>
      <w:r w:rsidRPr="004C544B">
        <w:rPr>
          <w:rFonts w:ascii="Verdana" w:eastAsia="Calibri" w:hAnsi="Verdana" w:cs="Arial"/>
          <w:color w:val="000000" w:themeColor="text1"/>
        </w:rPr>
        <w:t>Por lo tanto, la entidad estatal en el trámite de autorización de una cesión de posición contractual está obligada a respetar y dar cabal cumplimiento a los principios y normas rectoras de la contratación pública que resulten aplicables al proceso de contratación, entre otros, los principios de transparencia, selección objetiva e igualdad. En otros términos, so pretexto de una cesión contractual, no pueden vulnerarse las reglas y principios de la contratación estatal.</w:t>
      </w:r>
    </w:p>
    <w:p w14:paraId="008F4D49" w14:textId="77777777" w:rsidR="00716424" w:rsidRDefault="00716424" w:rsidP="00716424">
      <w:pPr>
        <w:tabs>
          <w:tab w:val="left" w:pos="709"/>
        </w:tabs>
        <w:spacing w:after="0" w:line="276" w:lineRule="auto"/>
        <w:ind w:firstLine="709"/>
        <w:jc w:val="both"/>
        <w:rPr>
          <w:rFonts w:ascii="Verdana" w:eastAsia="Calibri" w:hAnsi="Verdana" w:cs="Arial"/>
          <w:color w:val="000000" w:themeColor="text1"/>
        </w:rPr>
      </w:pPr>
      <w:r w:rsidRPr="004C544B">
        <w:rPr>
          <w:rFonts w:ascii="Verdana" w:eastAsia="Calibri" w:hAnsi="Verdana" w:cs="Arial"/>
          <w:color w:val="000000" w:themeColor="text1"/>
        </w:rPr>
        <w:t xml:space="preserve">Además, el inciso primero del artículo 9 de la Ley 80 de 1993, establece una importante previsión en materia de cesión del contrato estatal, conforme a </w:t>
      </w:r>
      <w:r w:rsidRPr="004C544B">
        <w:rPr>
          <w:rFonts w:ascii="Verdana" w:eastAsia="Calibri" w:hAnsi="Verdana" w:cs="Arial"/>
          <w:color w:val="000000" w:themeColor="text1"/>
        </w:rPr>
        <w:lastRenderedPageBreak/>
        <w:t>la cual “Si llegare a sobrevenir inhabilidad o incompatibilidad en el contratista, este cederá el contrato previa autorización escrita de la entidad contratante o, si ello no fuere posible, renunciará a su ejecución”. Además, en el inciso tercero del artículo citado impone una limitación a la cesión dentro del contrato estatal, que consiste en que, si la inhabilidad o incompatibilidad sobreviene a uno de los miembros del consorcio o unión temporal, “[…] este cederá su participación a un tercero previa autorización escrita de la entidad contratante […]”, y establece que “[…] En ningún caso, podrá haber cesión del contrato entre quienes integran el consorcio o unión temporal”.</w:t>
      </w:r>
    </w:p>
    <w:p w14:paraId="14949A27" w14:textId="77777777" w:rsidR="00716424" w:rsidRDefault="00716424" w:rsidP="00716424">
      <w:pPr>
        <w:spacing w:after="0" w:line="276" w:lineRule="auto"/>
        <w:jc w:val="both"/>
        <w:rPr>
          <w:rFonts w:ascii="Verdana" w:hAnsi="Verdana"/>
          <w:lang w:val="es-ES" w:eastAsia="es-ES"/>
        </w:rPr>
      </w:pPr>
    </w:p>
    <w:p w14:paraId="23EA793A" w14:textId="77777777" w:rsidR="00716424" w:rsidRPr="008A4AEC" w:rsidRDefault="00716424" w:rsidP="00716424">
      <w:pPr>
        <w:spacing w:after="120" w:line="276" w:lineRule="auto"/>
        <w:jc w:val="both"/>
        <w:rPr>
          <w:rFonts w:ascii="Verdana" w:eastAsia="Calibri" w:hAnsi="Verdana" w:cs="Arial"/>
          <w:lang w:val="es-MX"/>
        </w:rPr>
      </w:pPr>
      <w:proofErr w:type="spellStart"/>
      <w:r>
        <w:rPr>
          <w:rFonts w:ascii="Verdana" w:hAnsi="Verdana" w:cs="Arial"/>
          <w:lang w:val="es-ES_tradnl"/>
        </w:rPr>
        <w:t>ii</w:t>
      </w:r>
      <w:proofErr w:type="spellEnd"/>
      <w:r>
        <w:rPr>
          <w:rFonts w:ascii="Verdana" w:hAnsi="Verdana" w:cs="Arial"/>
          <w:lang w:val="es-ES_tradnl"/>
        </w:rPr>
        <w:t xml:space="preserve">. </w:t>
      </w:r>
      <w:r w:rsidRPr="008A4AEC">
        <w:rPr>
          <w:rFonts w:ascii="Verdana" w:hAnsi="Verdana" w:cs="Arial"/>
          <w:lang w:val="es-ES_tradnl"/>
        </w:rPr>
        <w:t xml:space="preserve">Si bien las personas pueden presentarse individualmente a los procesos de selección, también pueden hacerlo en forma plural a través de consorcios o uniones temporales. En efecto, </w:t>
      </w:r>
      <w:r w:rsidRPr="008A4AEC">
        <w:rPr>
          <w:rFonts w:ascii="Verdana" w:eastAsia="Calibri" w:hAnsi="Verdana" w:cs="Arial"/>
          <w:lang w:val="es-MX"/>
        </w:rPr>
        <w:t>de acuerdo con el Código Civil, la capacidad se refiere a la facultad que la ley le confiere a la persona para ejercer derechos y contraer obligaciones. Esta norma parte del supuesto de que todas las personas naturales mayores de edad son capaces, con excepción de aquellas que la ley expresamente excluye de esta presunción –artículos 1502, 1503 y 1504–, y de que la capacidad de las personas jurídicas se circunscribe a su objeto social –artículo 99 del Código de Comercio–. Al respecto, el artículo 6 de la Ley 80 de 1993 –modificado por el artículo 1 de la Ley 2160 de 2021– dispone que: “Pueden celebrar contratos con las entidades estatales las personas consideradas legalmente capaces en las disposiciones vigentes. También podrán celebrar contratos con las entidades estatales […] los consorcios y uniones temporales”.</w:t>
      </w:r>
    </w:p>
    <w:p w14:paraId="753967BE" w14:textId="77777777" w:rsidR="00716424" w:rsidRPr="008A4AEC" w:rsidRDefault="00716424" w:rsidP="00716424">
      <w:pPr>
        <w:spacing w:after="0" w:line="276" w:lineRule="auto"/>
        <w:ind w:firstLine="720"/>
        <w:jc w:val="both"/>
        <w:rPr>
          <w:rFonts w:ascii="Verdana" w:eastAsia="Calibri" w:hAnsi="Verdana" w:cs="Arial"/>
          <w:bCs/>
          <w:color w:val="000000" w:themeColor="text1"/>
          <w:lang w:val="es-ES"/>
        </w:rPr>
      </w:pPr>
      <w:r w:rsidRPr="008A4AEC">
        <w:rPr>
          <w:rFonts w:ascii="Verdana" w:eastAsia="Calibri" w:hAnsi="Verdana" w:cs="Arial"/>
          <w:bCs/>
          <w:color w:val="000000" w:themeColor="text1"/>
          <w:lang w:val="es-ES"/>
        </w:rPr>
        <w:t>La capacidad para contratar, e incluso la de realizar actos jurídicamente vinculantes como la presentación de una oferta en un procedimiento de selección de contratistas, se consideró por mucho tiempo uno de los atributos de la personalidad reservado, en tanto tal, a las personas jurídicas y naturales. No obstante, el progreso en las formas negociales y asociativas hizo necesario reconocer nuevas estructuras plurales y otorgarles ciertos atributos que tradicionalmente habían estado reservados a las personas jurídicas. Tal es precisamente el caso de la capacidad para contratar otorgada a los consorcios y uniones temporales. En este sentido, la Corte Constitucional ha sostenido:</w:t>
      </w:r>
    </w:p>
    <w:p w14:paraId="364DD906" w14:textId="77777777" w:rsidR="00716424" w:rsidRPr="008A4AEC" w:rsidRDefault="00716424" w:rsidP="00716424">
      <w:pPr>
        <w:spacing w:after="0" w:line="276" w:lineRule="auto"/>
        <w:jc w:val="both"/>
        <w:rPr>
          <w:rFonts w:ascii="Verdana" w:eastAsia="Calibri" w:hAnsi="Verdana" w:cs="Arial"/>
          <w:bCs/>
          <w:color w:val="000000" w:themeColor="text1"/>
          <w:lang w:val="es-ES"/>
        </w:rPr>
      </w:pPr>
    </w:p>
    <w:p w14:paraId="638B9A1D" w14:textId="77777777" w:rsidR="00716424" w:rsidRPr="006635B1" w:rsidRDefault="00716424" w:rsidP="00716424">
      <w:pPr>
        <w:spacing w:after="0" w:line="240" w:lineRule="auto"/>
        <w:ind w:left="709" w:right="709"/>
        <w:jc w:val="both"/>
        <w:rPr>
          <w:rFonts w:ascii="Verdana" w:eastAsia="Calibri" w:hAnsi="Verdana" w:cs="Arial"/>
          <w:bCs/>
          <w:color w:val="000000" w:themeColor="text1"/>
          <w:sz w:val="20"/>
          <w:szCs w:val="20"/>
        </w:rPr>
      </w:pPr>
      <w:r w:rsidRPr="006635B1">
        <w:rPr>
          <w:rFonts w:ascii="Verdana" w:eastAsia="Calibri" w:hAnsi="Verdana" w:cs="Arial"/>
          <w:bCs/>
          <w:color w:val="000000" w:themeColor="text1"/>
          <w:sz w:val="20"/>
          <w:szCs w:val="20"/>
        </w:rPr>
        <w:t xml:space="preserve">“Respecto de la capacidad legal para contratar y la personalidad jurídica señala, que la Ley 80 de 1993 al crear las figuras de los consorcios y </w:t>
      </w:r>
      <w:r w:rsidRPr="006635B1">
        <w:rPr>
          <w:rFonts w:ascii="Verdana" w:eastAsia="Calibri" w:hAnsi="Verdana" w:cs="Arial"/>
          <w:bCs/>
          <w:color w:val="000000" w:themeColor="text1"/>
          <w:sz w:val="20"/>
          <w:szCs w:val="20"/>
        </w:rPr>
        <w:lastRenderedPageBreak/>
        <w:t>uniones temporales, y construirlas como sujetos de la contratación administrativa, reconoce una realidad del mundo negocial: la necesidad de los contratos de colaboración económica para la efectiva realización de proyectos de contratación pública, altamente especializados e intensivos en capital y, así mismo, indispensables para que el Estado Social de Derecho, cumpla los cometidos para los cuales fue instituido- Preámbulo, artículos 1 y 2 de la Carta Política.</w:t>
      </w:r>
    </w:p>
    <w:p w14:paraId="7DA429B1" w14:textId="77777777" w:rsidR="00716424" w:rsidRPr="006635B1" w:rsidRDefault="00716424" w:rsidP="00716424">
      <w:pPr>
        <w:spacing w:after="120" w:line="240" w:lineRule="auto"/>
        <w:ind w:left="709" w:right="709"/>
        <w:jc w:val="both"/>
        <w:rPr>
          <w:rFonts w:ascii="Verdana" w:eastAsia="Calibri" w:hAnsi="Verdana" w:cs="Arial"/>
          <w:bCs/>
          <w:color w:val="000000" w:themeColor="text1"/>
          <w:sz w:val="20"/>
          <w:szCs w:val="20"/>
        </w:rPr>
      </w:pPr>
      <w:r w:rsidRPr="006635B1">
        <w:rPr>
          <w:rFonts w:ascii="Verdana" w:eastAsia="Calibri" w:hAnsi="Verdana" w:cs="Arial"/>
          <w:bCs/>
          <w:color w:val="000000" w:themeColor="text1"/>
          <w:sz w:val="20"/>
          <w:szCs w:val="20"/>
        </w:rPr>
        <w:t>[…]</w:t>
      </w:r>
    </w:p>
    <w:p w14:paraId="1DE05F5E" w14:textId="77777777" w:rsidR="00716424" w:rsidRPr="008A4AEC" w:rsidRDefault="00716424" w:rsidP="00716424">
      <w:pPr>
        <w:spacing w:after="0" w:line="240" w:lineRule="auto"/>
        <w:ind w:left="709" w:right="709"/>
        <w:jc w:val="both"/>
        <w:rPr>
          <w:rFonts w:ascii="Verdana" w:eastAsia="Calibri" w:hAnsi="Verdana" w:cs="Arial"/>
          <w:bCs/>
          <w:color w:val="000000" w:themeColor="text1"/>
          <w:sz w:val="21"/>
          <w:szCs w:val="21"/>
        </w:rPr>
      </w:pPr>
      <w:r w:rsidRPr="006635B1">
        <w:rPr>
          <w:rFonts w:ascii="Verdana" w:eastAsia="Calibri" w:hAnsi="Verdana" w:cs="Arial"/>
          <w:bCs/>
          <w:color w:val="000000" w:themeColor="text1"/>
          <w:sz w:val="20"/>
          <w:szCs w:val="20"/>
        </w:rPr>
        <w:t>En torno a la capacidad contractual de los consorcios y uniones temporales la jurisprudencia constitucional ha expresado que el Estatuto de contratación les reconoce este atributo sin exigirles como condición de su ejercicio la de ser personas morales. También ha dicho que el consorcio es un convenio de asociación, o mejor, un sistema de mediación que permite a sus miembros organizarse mancomunadamente para la celebración y ejecución de un contrato con el Estado, sin que por ello pierdan su individualidad jurídica, pero asumiendo un grado de responsabilidad solidaria en el cumplimiento de las obligaciones contractuales”</w:t>
      </w:r>
      <w:r w:rsidRPr="006635B1">
        <w:rPr>
          <w:rStyle w:val="Refdenotaalpie"/>
          <w:rFonts w:ascii="Verdana" w:eastAsia="Calibri" w:hAnsi="Verdana" w:cs="Arial"/>
          <w:bCs/>
          <w:color w:val="000000" w:themeColor="text1"/>
          <w:sz w:val="20"/>
          <w:szCs w:val="20"/>
        </w:rPr>
        <w:footnoteReference w:id="13"/>
      </w:r>
      <w:r w:rsidRPr="006635B1">
        <w:rPr>
          <w:rFonts w:ascii="Verdana" w:eastAsia="Calibri" w:hAnsi="Verdana" w:cs="Arial"/>
          <w:bCs/>
          <w:color w:val="000000" w:themeColor="text1"/>
          <w:sz w:val="20"/>
          <w:szCs w:val="20"/>
        </w:rPr>
        <w:t>.</w:t>
      </w:r>
    </w:p>
    <w:p w14:paraId="43B75A90" w14:textId="77777777" w:rsidR="00716424" w:rsidRPr="008A4AEC" w:rsidRDefault="00716424" w:rsidP="00716424">
      <w:pPr>
        <w:spacing w:after="0"/>
        <w:ind w:left="720" w:right="730"/>
        <w:jc w:val="both"/>
        <w:rPr>
          <w:rFonts w:ascii="Verdana" w:eastAsia="Calibri" w:hAnsi="Verdana" w:cs="Arial"/>
          <w:bCs/>
          <w:color w:val="000000" w:themeColor="text1"/>
          <w:sz w:val="21"/>
          <w:szCs w:val="21"/>
        </w:rPr>
      </w:pPr>
    </w:p>
    <w:p w14:paraId="6C1A0FBD" w14:textId="77777777" w:rsidR="00716424" w:rsidRPr="008A4AEC" w:rsidRDefault="00716424" w:rsidP="00716424">
      <w:pPr>
        <w:spacing w:after="120" w:line="276" w:lineRule="auto"/>
        <w:ind w:firstLine="720"/>
        <w:jc w:val="both"/>
        <w:rPr>
          <w:rFonts w:ascii="Verdana" w:eastAsia="Calibri" w:hAnsi="Verdana" w:cs="Arial"/>
          <w:bCs/>
          <w:color w:val="000000" w:themeColor="text1"/>
          <w:lang w:val="es-ES"/>
        </w:rPr>
      </w:pPr>
      <w:bookmarkStart w:id="1" w:name="_Hlk135067740"/>
      <w:r w:rsidRPr="008A4AEC">
        <w:rPr>
          <w:rFonts w:ascii="Verdana" w:eastAsia="Calibri" w:hAnsi="Verdana" w:cs="Arial"/>
          <w:bCs/>
          <w:color w:val="000000" w:themeColor="text1"/>
          <w:lang w:val="es-ES"/>
        </w:rPr>
        <w:t>La Corte Constitucional destaca, de un lado, que las estructuras plurales son el reconocimiento de una realidad negocial en materia de contratación estatal, y del otro, que esta colaboración económica entre sujetos de derecho permite la materialización de los fines del estado, al facilitar la efectiva ejecución de los contratos. Adicionalmente, puntualiza que la capacidad contractual de los consorcios y uniones temporales se reconoce sin necesidad de exigirles como condición de su ejercicio que sean personas morales lo que, hasta cierto punto, podría considerarse una evolución en la teoría de la personalidad jurídica.</w:t>
      </w:r>
    </w:p>
    <w:bookmarkEnd w:id="1"/>
    <w:p w14:paraId="3EDAC62A" w14:textId="77777777" w:rsidR="00716424" w:rsidRPr="008A4AEC" w:rsidRDefault="00716424" w:rsidP="00716424">
      <w:pPr>
        <w:spacing w:after="0" w:line="276" w:lineRule="auto"/>
        <w:ind w:firstLine="709"/>
        <w:jc w:val="both"/>
        <w:rPr>
          <w:rFonts w:ascii="Verdana" w:hAnsi="Verdana" w:cs="Arial"/>
        </w:rPr>
      </w:pPr>
      <w:r w:rsidRPr="008A4AEC">
        <w:rPr>
          <w:rFonts w:ascii="Verdana" w:hAnsi="Verdana" w:cs="Arial"/>
        </w:rPr>
        <w:t>Debido a que los consorcios y las uniones temporales no son personas jurídicas, su creación depende de un acuerdo en el que concurre la voluntad de sus integrantes para regular su objeto, la participación de los miembros, las obligaciones frente al proyecto, su responsabilidad, la forma en que regirán sus relaciones internas y el relacionamiento con la entidad contratante, mediante la designación de un representante, de conformidad con el parágrafo 1 del artículo 7 de la Ley 80 de 1993. En lo pertinente, la norma precitada dispone que:</w:t>
      </w:r>
    </w:p>
    <w:p w14:paraId="69F10083" w14:textId="77777777" w:rsidR="00716424" w:rsidRPr="008A4AEC" w:rsidRDefault="00716424" w:rsidP="00716424">
      <w:pPr>
        <w:spacing w:after="0" w:line="276" w:lineRule="auto"/>
        <w:ind w:firstLine="709"/>
        <w:jc w:val="both"/>
        <w:rPr>
          <w:rFonts w:ascii="Verdana" w:eastAsia="Calibri" w:hAnsi="Verdana" w:cs="Arial"/>
          <w:bCs/>
          <w:color w:val="000000" w:themeColor="text1"/>
          <w:lang w:val="es-ES"/>
        </w:rPr>
      </w:pPr>
    </w:p>
    <w:p w14:paraId="5DAD97D3" w14:textId="77777777" w:rsidR="00716424" w:rsidRPr="00E22306" w:rsidRDefault="00716424" w:rsidP="00716424">
      <w:pPr>
        <w:spacing w:after="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t>“Artículo 7º.- ENTIDADES A CONTRATAR. Artículo modificado por el artículo 3 de la Ley 2160 de 2021. Para los efectos de esta Ley se entiende por:</w:t>
      </w:r>
    </w:p>
    <w:p w14:paraId="67A66B9E" w14:textId="77777777" w:rsidR="00716424" w:rsidRPr="00E22306" w:rsidRDefault="00716424" w:rsidP="00716424">
      <w:pPr>
        <w:spacing w:after="12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lastRenderedPageBreak/>
        <w:t>[…]</w:t>
      </w:r>
    </w:p>
    <w:p w14:paraId="767B70CD" w14:textId="77777777" w:rsidR="00716424" w:rsidRPr="00E22306" w:rsidRDefault="00716424" w:rsidP="00716424">
      <w:pPr>
        <w:spacing w:after="12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t>6. Consorcio: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p w14:paraId="78A35198" w14:textId="77777777" w:rsidR="00716424" w:rsidRPr="00E22306" w:rsidRDefault="00716424" w:rsidP="00716424">
      <w:pPr>
        <w:spacing w:after="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t>7. 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 </w:t>
      </w:r>
    </w:p>
    <w:p w14:paraId="2C7E2E6E" w14:textId="77777777" w:rsidR="00716424" w:rsidRPr="00E22306" w:rsidRDefault="00716424" w:rsidP="00716424">
      <w:pPr>
        <w:spacing w:after="12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t>[…]</w:t>
      </w:r>
    </w:p>
    <w:p w14:paraId="7FC7EF53" w14:textId="77777777" w:rsidR="00716424" w:rsidRPr="00E22306" w:rsidRDefault="00716424" w:rsidP="00716424">
      <w:pPr>
        <w:spacing w:after="12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t>Parágrafo 1º.-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34353A4A" w14:textId="77777777" w:rsidR="00716424" w:rsidRPr="00E22306" w:rsidRDefault="00716424" w:rsidP="00716424">
      <w:pPr>
        <w:spacing w:after="0" w:line="240" w:lineRule="auto"/>
        <w:ind w:left="709" w:right="709"/>
        <w:jc w:val="both"/>
        <w:rPr>
          <w:rFonts w:ascii="Verdana" w:eastAsia="Calibri" w:hAnsi="Verdana" w:cs="Arial"/>
          <w:bCs/>
          <w:color w:val="000000" w:themeColor="text1"/>
          <w:sz w:val="20"/>
          <w:szCs w:val="20"/>
          <w:lang w:val="es-ES"/>
        </w:rPr>
      </w:pPr>
      <w:r w:rsidRPr="00E22306">
        <w:rPr>
          <w:rFonts w:ascii="Verdana" w:eastAsia="Calibri" w:hAnsi="Verdana" w:cs="Arial"/>
          <w:bCs/>
          <w:color w:val="000000" w:themeColor="text1"/>
          <w:sz w:val="20"/>
          <w:szCs w:val="20"/>
          <w:lang w:val="es-ES"/>
        </w:rPr>
        <w:t>Los miembros del consorcio y de la unión temporal deberán designar la persona que, para todos los efectos, representará al consorcio o unión temporal y señalarán las reglas básicas que regulen las relaciones entre ellos y su responsabilidad.</w:t>
      </w:r>
    </w:p>
    <w:p w14:paraId="7909FB87" w14:textId="77777777" w:rsidR="00716424" w:rsidRPr="008A4AEC" w:rsidRDefault="00716424" w:rsidP="00716424">
      <w:pPr>
        <w:spacing w:after="0" w:line="240" w:lineRule="auto"/>
        <w:ind w:left="709" w:right="709"/>
        <w:jc w:val="both"/>
        <w:rPr>
          <w:rFonts w:ascii="Verdana" w:eastAsia="Calibri" w:hAnsi="Verdana" w:cs="Arial"/>
          <w:bCs/>
          <w:color w:val="000000" w:themeColor="text1"/>
          <w:sz w:val="21"/>
          <w:lang w:val="es-ES"/>
        </w:rPr>
      </w:pPr>
      <w:r w:rsidRPr="00E22306">
        <w:rPr>
          <w:rFonts w:ascii="Verdana" w:eastAsia="Calibri" w:hAnsi="Verdana" w:cs="Arial"/>
          <w:bCs/>
          <w:color w:val="000000" w:themeColor="text1"/>
          <w:sz w:val="20"/>
          <w:szCs w:val="20"/>
          <w:lang w:val="es-ES"/>
        </w:rPr>
        <w:t>[…]”.</w:t>
      </w:r>
    </w:p>
    <w:p w14:paraId="0F03514C" w14:textId="77777777" w:rsidR="00716424" w:rsidRPr="008A4AEC" w:rsidRDefault="00716424" w:rsidP="00716424">
      <w:pPr>
        <w:spacing w:after="0" w:line="276" w:lineRule="auto"/>
        <w:ind w:left="720" w:right="731"/>
        <w:jc w:val="both"/>
        <w:rPr>
          <w:rFonts w:ascii="Verdana" w:eastAsia="Calibri" w:hAnsi="Verdana" w:cs="Arial"/>
          <w:bCs/>
          <w:color w:val="000000" w:themeColor="text1"/>
          <w:lang w:val="es-ES"/>
        </w:rPr>
      </w:pPr>
    </w:p>
    <w:p w14:paraId="0D528FC7" w14:textId="77777777" w:rsidR="00716424" w:rsidRPr="00B10792" w:rsidRDefault="00716424" w:rsidP="00716424">
      <w:pPr>
        <w:spacing w:after="120" w:line="276" w:lineRule="auto"/>
        <w:jc w:val="both"/>
        <w:rPr>
          <w:rFonts w:ascii="Verdana" w:hAnsi="Verdana" w:cs="Arial"/>
          <w:color w:val="000000" w:themeColor="text1"/>
        </w:rPr>
      </w:pPr>
      <w:r w:rsidRPr="00B10792">
        <w:rPr>
          <w:rFonts w:ascii="Verdana" w:eastAsia="Calibri" w:hAnsi="Verdana" w:cs="Arial"/>
          <w:bCs/>
          <w:color w:val="000000" w:themeColor="text1"/>
          <w:lang w:val="es-ES"/>
        </w:rPr>
        <w:tab/>
        <w:t>Como se observa, el artículo citado señala que el consorcio o la unión temporal se da “Cuando dos o más personas en forma conjunta presentan una misma propuesta para la adjudicación, celebración y ejecución de un contrato, respondiendo solidariamente de todas y cada una de las obligaciones derivadas de la propuesta y del contrato […]”.</w:t>
      </w:r>
      <w:r w:rsidRPr="00B10792">
        <w:rPr>
          <w:rFonts w:ascii="Verdana" w:hAnsi="Verdana" w:cs="Arial"/>
          <w:color w:val="000000" w:themeColor="text1"/>
        </w:rPr>
        <w:t xml:space="preserve"> Desde esta perspectiva, su capacidad para participar en la adjudicación, celebración y ejecución de los contratos estatales depende de que los integrantes de la estructura plural adopten la decisión conjunta de presentar una misma propuesta al proceso de selección. Como existe una relación de medio – fin, sin la entrega de la oferta no surge la habilitación legal para todo lo demás.  </w:t>
      </w:r>
    </w:p>
    <w:p w14:paraId="33627D7E" w14:textId="77777777" w:rsidR="00716424" w:rsidRPr="00B10792" w:rsidRDefault="00716424" w:rsidP="00716424">
      <w:pPr>
        <w:spacing w:after="120" w:line="276" w:lineRule="auto"/>
        <w:jc w:val="both"/>
        <w:rPr>
          <w:rFonts w:ascii="Verdana" w:hAnsi="Verdana" w:cs="Arial"/>
          <w:color w:val="000000" w:themeColor="text1"/>
        </w:rPr>
      </w:pPr>
      <w:r w:rsidRPr="00B10792">
        <w:rPr>
          <w:rFonts w:ascii="Verdana" w:hAnsi="Verdana" w:cs="Arial"/>
          <w:color w:val="000000" w:themeColor="text1"/>
        </w:rPr>
        <w:tab/>
        <w:t xml:space="preserve">De esta manera, los consorcios o uniones temporales son convenios de asociación provenientes de la colaboración empresarial, mediante los cuales sus integrantes se unen y se organizan mancomunadamente para lograr con mayor </w:t>
      </w:r>
      <w:r w:rsidRPr="00B10792">
        <w:rPr>
          <w:rFonts w:ascii="Verdana" w:hAnsi="Verdana" w:cs="Arial"/>
          <w:color w:val="000000" w:themeColor="text1"/>
        </w:rPr>
        <w:lastRenderedPageBreak/>
        <w:t xml:space="preserve">eficacia un fin común de contenido patrimonial y lucrativo, como lo es la obtención del derecho a ser adjudicatarios de un contrato estatal, compartiendo recursos, de toda índole, para su ejecución, así como las utilidades y los riesgos. La diferencia radica en la responsabilidad frente a las eventuales sanciones por el incumplimiento de las obligaciones, toda vez que tratándose de una unión temporal, estas se individualizan según la participación de sus miembros, mientras que en el consorcio los miembros responden solidariamente, con independencia de este aspecto. </w:t>
      </w:r>
    </w:p>
    <w:p w14:paraId="64750717" w14:textId="77777777" w:rsidR="00716424" w:rsidRPr="00B10792" w:rsidRDefault="00716424" w:rsidP="00716424">
      <w:pPr>
        <w:spacing w:after="0" w:line="276" w:lineRule="auto"/>
        <w:jc w:val="both"/>
        <w:rPr>
          <w:rFonts w:ascii="Verdana" w:hAnsi="Verdana" w:cs="Arial"/>
          <w:color w:val="000000" w:themeColor="text1"/>
        </w:rPr>
      </w:pPr>
      <w:r w:rsidRPr="00B10792">
        <w:rPr>
          <w:rFonts w:ascii="Verdana" w:hAnsi="Verdana" w:cs="Arial"/>
          <w:color w:val="000000" w:themeColor="text1"/>
        </w:rPr>
        <w:tab/>
        <w:t xml:space="preserve"> La capacidad jurídica de </w:t>
      </w:r>
      <w:proofErr w:type="spellStart"/>
      <w:r w:rsidRPr="00B10792">
        <w:rPr>
          <w:rFonts w:ascii="Verdana" w:hAnsi="Verdana" w:cs="Arial"/>
          <w:color w:val="000000" w:themeColor="text1"/>
        </w:rPr>
        <w:t>lo</w:t>
      </w:r>
      <w:proofErr w:type="spellEnd"/>
      <w:r w:rsidRPr="00B10792">
        <w:rPr>
          <w:rFonts w:ascii="Verdana" w:hAnsi="Verdana" w:cs="Arial"/>
          <w:color w:val="000000" w:themeColor="text1"/>
        </w:rPr>
        <w:t xml:space="preserve"> proponentes plurales se limita al campo de la contratación estatal de las entidades sometidas al EGCAP, es decir, a las relaciones en consorcios y las uniones temporales con las entidades estatales del artículo 2 de la Ley 80 de 1993. Esta precisión es importante, porque la habilitación de los numerales 6 y 7 del artículo 7 </w:t>
      </w:r>
      <w:r w:rsidRPr="00B10792">
        <w:rPr>
          <w:rFonts w:ascii="Verdana" w:hAnsi="Verdana" w:cs="Arial"/>
          <w:i/>
          <w:iCs/>
          <w:color w:val="000000" w:themeColor="text1"/>
        </w:rPr>
        <w:t>ibidem</w:t>
      </w:r>
      <w:r w:rsidRPr="00B10792">
        <w:rPr>
          <w:rFonts w:ascii="Verdana" w:hAnsi="Verdana" w:cs="Arial"/>
          <w:color w:val="000000" w:themeColor="text1"/>
        </w:rPr>
        <w:t xml:space="preserve"> no les otorgan capacidad respecto a las relaciones entre particulares, como las que surgen entre el cedente y el cesionario del contrato. Como este último debe ser un tercero, es indispensable la personalidad jurídica. Como explica la doctrina, </w:t>
      </w:r>
    </w:p>
    <w:p w14:paraId="789DDFA9" w14:textId="77777777" w:rsidR="00716424" w:rsidRPr="00B10792" w:rsidRDefault="00716424" w:rsidP="00716424">
      <w:pPr>
        <w:spacing w:after="0" w:line="276" w:lineRule="auto"/>
        <w:jc w:val="both"/>
        <w:rPr>
          <w:rFonts w:ascii="Verdana" w:hAnsi="Verdana" w:cs="Arial"/>
          <w:color w:val="000000" w:themeColor="text1"/>
        </w:rPr>
      </w:pPr>
    </w:p>
    <w:p w14:paraId="5B9A3C39" w14:textId="77777777" w:rsidR="00716424" w:rsidRPr="00B10792" w:rsidRDefault="00716424" w:rsidP="00716424">
      <w:pPr>
        <w:spacing w:after="0" w:line="240" w:lineRule="auto"/>
        <w:ind w:left="709" w:right="709"/>
        <w:jc w:val="both"/>
        <w:rPr>
          <w:rFonts w:ascii="Verdana" w:hAnsi="Verdana" w:cs="Arial"/>
          <w:color w:val="000000" w:themeColor="text1"/>
          <w:sz w:val="20"/>
          <w:szCs w:val="20"/>
        </w:rPr>
      </w:pPr>
      <w:r w:rsidRPr="00B10792">
        <w:rPr>
          <w:rFonts w:ascii="Verdana" w:hAnsi="Verdana" w:cs="Arial"/>
          <w:color w:val="000000" w:themeColor="text1"/>
          <w:sz w:val="20"/>
          <w:szCs w:val="20"/>
        </w:rPr>
        <w:t xml:space="preserve">“El concepto de ‘tercero’, respecto de la condición que debe reunir el cesionario, puede tener dos sentidos: uno </w:t>
      </w:r>
      <w:r w:rsidRPr="00B10792">
        <w:rPr>
          <w:rFonts w:ascii="Verdana" w:hAnsi="Verdana" w:cs="Arial"/>
          <w:i/>
          <w:iCs/>
          <w:color w:val="000000" w:themeColor="text1"/>
          <w:sz w:val="20"/>
          <w:szCs w:val="20"/>
        </w:rPr>
        <w:t>subjetivo</w:t>
      </w:r>
      <w:r w:rsidRPr="00B10792">
        <w:rPr>
          <w:rFonts w:ascii="Verdana" w:hAnsi="Verdana" w:cs="Arial"/>
          <w:color w:val="000000" w:themeColor="text1"/>
          <w:sz w:val="20"/>
          <w:szCs w:val="20"/>
        </w:rPr>
        <w:t xml:space="preserve">, en virtud del cual tiene tal cualidad cualquier </w:t>
      </w:r>
      <w:r w:rsidRPr="00B10792">
        <w:rPr>
          <w:rFonts w:ascii="Verdana" w:hAnsi="Verdana" w:cs="Arial"/>
          <w:b/>
          <w:bCs/>
          <w:color w:val="000000" w:themeColor="text1"/>
          <w:sz w:val="20"/>
          <w:szCs w:val="20"/>
        </w:rPr>
        <w:t>persona</w:t>
      </w:r>
      <w:r w:rsidRPr="00B10792">
        <w:rPr>
          <w:rFonts w:ascii="Verdana" w:hAnsi="Verdana" w:cs="Arial"/>
          <w:color w:val="000000" w:themeColor="text1"/>
          <w:sz w:val="20"/>
          <w:szCs w:val="20"/>
        </w:rPr>
        <w:t xml:space="preserve"> distinta al contratista o a los integrantes del consorcio o unión temporal y a la entidad estatal contratante. Otro </w:t>
      </w:r>
      <w:r w:rsidRPr="00B10792">
        <w:rPr>
          <w:rFonts w:ascii="Verdana" w:hAnsi="Verdana" w:cs="Arial"/>
          <w:i/>
          <w:iCs/>
          <w:color w:val="000000" w:themeColor="text1"/>
          <w:sz w:val="20"/>
          <w:szCs w:val="20"/>
        </w:rPr>
        <w:t>objetivo</w:t>
      </w:r>
      <w:r w:rsidRPr="00B10792">
        <w:rPr>
          <w:rFonts w:ascii="Verdana" w:hAnsi="Verdana" w:cs="Arial"/>
          <w:color w:val="000000" w:themeColor="text1"/>
          <w:sz w:val="20"/>
          <w:szCs w:val="20"/>
        </w:rPr>
        <w:t xml:space="preserve">, según el cual tiene tal calidad cualquier </w:t>
      </w:r>
      <w:r w:rsidRPr="00B10792">
        <w:rPr>
          <w:rFonts w:ascii="Verdana" w:hAnsi="Verdana" w:cs="Arial"/>
          <w:b/>
          <w:bCs/>
          <w:color w:val="000000" w:themeColor="text1"/>
          <w:sz w:val="20"/>
          <w:szCs w:val="20"/>
        </w:rPr>
        <w:t>persona</w:t>
      </w:r>
      <w:r w:rsidRPr="00B10792">
        <w:rPr>
          <w:rFonts w:ascii="Verdana" w:hAnsi="Verdana" w:cs="Arial"/>
          <w:color w:val="000000" w:themeColor="text1"/>
          <w:sz w:val="20"/>
          <w:szCs w:val="20"/>
        </w:rPr>
        <w:t xml:space="preserve"> distinta al contratista a los integrantes del consorcio o unión temporal y a la entidad estatal contratante, siempre y cuando tal </w:t>
      </w:r>
      <w:r w:rsidRPr="00B10792">
        <w:rPr>
          <w:rFonts w:ascii="Verdana" w:hAnsi="Verdana" w:cs="Arial"/>
          <w:b/>
          <w:bCs/>
          <w:color w:val="000000" w:themeColor="text1"/>
          <w:sz w:val="20"/>
          <w:szCs w:val="20"/>
        </w:rPr>
        <w:t>persona</w:t>
      </w:r>
      <w:r w:rsidRPr="00B10792">
        <w:rPr>
          <w:rFonts w:ascii="Verdana" w:hAnsi="Verdana" w:cs="Arial"/>
          <w:color w:val="000000" w:themeColor="text1"/>
          <w:sz w:val="20"/>
          <w:szCs w:val="20"/>
        </w:rPr>
        <w:t xml:space="preserve"> no tenga un vínculo de dependencia o de subordinación con el contratista o los integrantes del consorcio o la unión temporal (futuros cedentes)”</w:t>
      </w:r>
      <w:r w:rsidRPr="00B10792">
        <w:rPr>
          <w:rStyle w:val="Refdenotaalpie"/>
          <w:rFonts w:ascii="Verdana" w:hAnsi="Verdana" w:cs="Arial"/>
          <w:color w:val="000000" w:themeColor="text1"/>
          <w:sz w:val="20"/>
          <w:szCs w:val="20"/>
        </w:rPr>
        <w:footnoteReference w:id="14"/>
      </w:r>
      <w:r w:rsidRPr="00B10792">
        <w:rPr>
          <w:rFonts w:ascii="Verdana" w:hAnsi="Verdana" w:cs="Arial"/>
          <w:color w:val="000000" w:themeColor="text1"/>
          <w:sz w:val="20"/>
          <w:szCs w:val="20"/>
        </w:rPr>
        <w:t xml:space="preserve">. (Negrillas fuera de texto) </w:t>
      </w:r>
    </w:p>
    <w:p w14:paraId="47052ADA" w14:textId="77777777" w:rsidR="00716424" w:rsidRPr="00B10792" w:rsidRDefault="00716424" w:rsidP="00716424">
      <w:pPr>
        <w:spacing w:after="0" w:line="276" w:lineRule="auto"/>
        <w:jc w:val="both"/>
        <w:rPr>
          <w:rFonts w:ascii="Verdana" w:hAnsi="Verdana" w:cs="Arial"/>
          <w:color w:val="000000" w:themeColor="text1"/>
        </w:rPr>
      </w:pPr>
    </w:p>
    <w:p w14:paraId="2C49C65D" w14:textId="77777777" w:rsidR="00716424" w:rsidRDefault="00716424" w:rsidP="00716424">
      <w:pPr>
        <w:spacing w:after="120" w:line="276" w:lineRule="auto"/>
        <w:jc w:val="both"/>
        <w:rPr>
          <w:rFonts w:ascii="Verdana" w:hAnsi="Verdana" w:cs="Arial"/>
          <w:color w:val="000000" w:themeColor="text1"/>
        </w:rPr>
      </w:pPr>
      <w:r w:rsidRPr="00B10792">
        <w:rPr>
          <w:rFonts w:ascii="Verdana" w:hAnsi="Verdana" w:cs="Arial"/>
          <w:color w:val="000000" w:themeColor="text1"/>
        </w:rPr>
        <w:tab/>
        <w:t xml:space="preserve">De acuerdo con el inciso primero del artículo 73 del Código Civil las personas son naturales o jurídicas. Conforme al artículo 74 </w:t>
      </w:r>
      <w:r w:rsidRPr="00B10792">
        <w:rPr>
          <w:rFonts w:ascii="Verdana" w:hAnsi="Verdana" w:cs="Arial"/>
          <w:i/>
          <w:iCs/>
          <w:color w:val="000000" w:themeColor="text1"/>
        </w:rPr>
        <w:t>ibidem</w:t>
      </w:r>
      <w:r w:rsidRPr="00B10792">
        <w:rPr>
          <w:rFonts w:ascii="Verdana" w:hAnsi="Verdana" w:cs="Arial"/>
          <w:color w:val="000000" w:themeColor="text1"/>
        </w:rPr>
        <w:t xml:space="preserve">, las primeras corresponden a “[…] todos los individuos de la especie humana, cualquiera que sea su edad, sexo, estirpe o condición”. En contraste, con fundamento en el inciso primero artículo 633 </w:t>
      </w:r>
      <w:r w:rsidRPr="00B10792">
        <w:rPr>
          <w:rFonts w:ascii="Verdana" w:hAnsi="Verdana" w:cs="Arial"/>
          <w:i/>
          <w:iCs/>
          <w:color w:val="000000" w:themeColor="text1"/>
        </w:rPr>
        <w:t>ibidem</w:t>
      </w:r>
      <w:r w:rsidRPr="00B10792">
        <w:rPr>
          <w:rFonts w:ascii="Verdana" w:hAnsi="Verdana" w:cs="Arial"/>
          <w:color w:val="000000" w:themeColor="text1"/>
        </w:rPr>
        <w:t xml:space="preserve">, las segundas son “[…] una persona ficticia, capaz de ejercer derechos y contraer obligaciones civiles, y de ser representada judicial y extrajudicialmente”. Como se explicó </w:t>
      </w:r>
      <w:r w:rsidRPr="00B10792">
        <w:rPr>
          <w:rFonts w:ascii="Verdana" w:hAnsi="Verdana" w:cs="Arial"/>
          <w:i/>
          <w:iCs/>
          <w:color w:val="000000" w:themeColor="text1"/>
        </w:rPr>
        <w:t>ut supra</w:t>
      </w:r>
      <w:r w:rsidRPr="00B10792">
        <w:rPr>
          <w:rFonts w:ascii="Verdana" w:hAnsi="Verdana" w:cs="Arial"/>
          <w:color w:val="000000" w:themeColor="text1"/>
        </w:rPr>
        <w:t xml:space="preserve">, los consorcios y las uniones temporales carecen de esta naturaleza. Asimismo, los numerales 6 y 7 </w:t>
      </w:r>
      <w:r w:rsidRPr="00B10792">
        <w:rPr>
          <w:rFonts w:ascii="Verdana" w:hAnsi="Verdana" w:cs="Arial"/>
          <w:color w:val="000000" w:themeColor="text1"/>
        </w:rPr>
        <w:lastRenderedPageBreak/>
        <w:t>del artículo 7 de la Ley 80 de 1993 tampoco otorgan capacidad a los proponentes plurales para ser cesionarios; por lo que al no existir una habilitación legal para que los contratistas cedan su posición contractual a los consorcios o uniones temporales.</w:t>
      </w:r>
    </w:p>
    <w:p w14:paraId="254B971B" w14:textId="77777777" w:rsidR="00716424" w:rsidRDefault="00716424" w:rsidP="00716424">
      <w:pPr>
        <w:spacing w:after="120" w:line="276" w:lineRule="auto"/>
        <w:jc w:val="both"/>
        <w:rPr>
          <w:rFonts w:ascii="Verdana" w:hAnsi="Verdana" w:cs="Arial"/>
          <w:color w:val="000000" w:themeColor="text1"/>
        </w:rPr>
      </w:pPr>
      <w:r>
        <w:rPr>
          <w:rFonts w:ascii="Verdana" w:hAnsi="Verdana" w:cs="Arial"/>
          <w:color w:val="000000" w:themeColor="text1"/>
        </w:rPr>
        <w:tab/>
        <w:t>Esta</w:t>
      </w:r>
      <w:r w:rsidRPr="00B100EB">
        <w:rPr>
          <w:rFonts w:ascii="Verdana" w:hAnsi="Verdana" w:cs="Arial"/>
          <w:color w:val="000000" w:themeColor="text1"/>
        </w:rPr>
        <w:t xml:space="preserve"> postura</w:t>
      </w:r>
      <w:r>
        <w:rPr>
          <w:rFonts w:ascii="Verdana" w:hAnsi="Verdana" w:cs="Arial"/>
          <w:color w:val="000000" w:themeColor="text1"/>
        </w:rPr>
        <w:t xml:space="preserve"> se encuentra</w:t>
      </w:r>
      <w:r w:rsidRPr="00B100EB">
        <w:rPr>
          <w:rFonts w:ascii="Verdana" w:hAnsi="Verdana" w:cs="Arial"/>
          <w:color w:val="000000" w:themeColor="text1"/>
        </w:rPr>
        <w:t xml:space="preserve"> sostenida en el Concepto C</w:t>
      </w:r>
      <w:r w:rsidRPr="00B100EB">
        <w:rPr>
          <w:rFonts w:ascii="Verdana" w:hAnsi="Verdana" w:cs="Arial"/>
          <w:color w:val="000000" w:themeColor="text1"/>
        </w:rPr>
        <w:noBreakHyphen/>
        <w:t>100 del 12 de junio de 2024</w:t>
      </w:r>
      <w:r>
        <w:rPr>
          <w:rFonts w:ascii="Verdana" w:hAnsi="Verdana" w:cs="Arial"/>
          <w:color w:val="000000" w:themeColor="text1"/>
        </w:rPr>
        <w:t>, la cual</w:t>
      </w:r>
      <w:r w:rsidRPr="00B100EB">
        <w:rPr>
          <w:rFonts w:ascii="Verdana" w:hAnsi="Verdana" w:cs="Arial"/>
          <w:color w:val="000000" w:themeColor="text1"/>
        </w:rPr>
        <w:t xml:space="preserve"> establece que no resulta </w:t>
      </w:r>
      <w:r>
        <w:rPr>
          <w:rFonts w:ascii="Verdana" w:hAnsi="Verdana" w:cs="Arial"/>
          <w:color w:val="000000" w:themeColor="text1"/>
        </w:rPr>
        <w:t xml:space="preserve">procedente </w:t>
      </w:r>
      <w:r w:rsidRPr="00B100EB">
        <w:rPr>
          <w:rFonts w:ascii="Verdana" w:hAnsi="Verdana" w:cs="Arial"/>
          <w:color w:val="000000" w:themeColor="text1"/>
        </w:rPr>
        <w:t xml:space="preserve">que un consorcio contratista ceda el contrato a otro consorcio. Ello obedece a que la capacidad contractual reconocida a los consorcios y uniones temporales se circunscribe a la posibilidad de suscribir contratos estatales, mas no a la celebración de contratos de cesión, los cuales se configuran como </w:t>
      </w:r>
      <w:r>
        <w:rPr>
          <w:rFonts w:ascii="Verdana" w:hAnsi="Verdana" w:cs="Arial"/>
          <w:color w:val="000000" w:themeColor="text1"/>
        </w:rPr>
        <w:t xml:space="preserve">negocios jurídicos </w:t>
      </w:r>
      <w:r w:rsidRPr="00B100EB">
        <w:rPr>
          <w:rFonts w:ascii="Verdana" w:hAnsi="Verdana" w:cs="Arial"/>
          <w:color w:val="000000" w:themeColor="text1"/>
        </w:rPr>
        <w:t>entre particulares, sujetos a la condición de aprobación por parte de la entidad pública contratante.</w:t>
      </w:r>
      <w:r>
        <w:rPr>
          <w:rFonts w:ascii="Verdana" w:hAnsi="Verdana" w:cs="Arial"/>
          <w:color w:val="000000" w:themeColor="text1"/>
        </w:rPr>
        <w:t xml:space="preserve"> </w:t>
      </w:r>
      <w:r w:rsidRPr="00B100EB">
        <w:rPr>
          <w:rFonts w:ascii="Verdana" w:hAnsi="Verdana" w:cs="Arial"/>
          <w:color w:val="000000" w:themeColor="text1"/>
        </w:rPr>
        <w:t>En este sentido, la cesión de un contrato estatal no puede entenderse como una extensión automática de la capacidad contractual de los consorcios</w:t>
      </w:r>
      <w:r>
        <w:rPr>
          <w:rFonts w:ascii="Verdana" w:hAnsi="Verdana" w:cs="Arial"/>
          <w:color w:val="000000" w:themeColor="text1"/>
        </w:rPr>
        <w:t xml:space="preserve"> para tener relaciones con particulares</w:t>
      </w:r>
      <w:r w:rsidRPr="00B100EB">
        <w:rPr>
          <w:rFonts w:ascii="Verdana" w:hAnsi="Verdana" w:cs="Arial"/>
          <w:color w:val="000000" w:themeColor="text1"/>
        </w:rPr>
        <w:t xml:space="preserve">. Por ello, la discusión sobre obligaciones accesorias como la inscripción en el Registro Único Tributario (RUT) o la obtención del Número de Identificación Tributaria (NIT) carece de relevancia en este escenario, pues por sustracción de materia no </w:t>
      </w:r>
      <w:r>
        <w:rPr>
          <w:rFonts w:ascii="Verdana" w:hAnsi="Verdana" w:cs="Arial"/>
          <w:color w:val="000000" w:themeColor="text1"/>
        </w:rPr>
        <w:t xml:space="preserve">es procedente aludir al Consorcio cesionario. </w:t>
      </w:r>
    </w:p>
    <w:p w14:paraId="5FF0BEEC" w14:textId="77777777" w:rsidR="00716424" w:rsidRDefault="00716424" w:rsidP="00716424">
      <w:pPr>
        <w:widowControl w:val="0"/>
        <w:autoSpaceDE w:val="0"/>
        <w:autoSpaceDN w:val="0"/>
        <w:spacing w:after="120" w:line="276" w:lineRule="auto"/>
        <w:ind w:firstLine="709"/>
        <w:jc w:val="both"/>
        <w:rPr>
          <w:rFonts w:ascii="Verdana" w:hAnsi="Verdana" w:cs="Arial"/>
          <w:color w:val="000000" w:themeColor="text1"/>
        </w:rPr>
      </w:pPr>
      <w:r>
        <w:rPr>
          <w:rFonts w:ascii="Verdana" w:hAnsi="Verdana" w:cs="Arial"/>
          <w:color w:val="000000" w:themeColor="text1"/>
        </w:rPr>
        <w:t xml:space="preserve">Sin embargo, dicha postura no puede confundirse con la posibilidad de ceder la participación de un consorcio por parte de uno de los miembros, con base en </w:t>
      </w:r>
      <w:r w:rsidRPr="001549CD">
        <w:rPr>
          <w:rFonts w:ascii="Verdana" w:hAnsi="Verdana" w:cs="Arial"/>
          <w:color w:val="000000" w:themeColor="text1"/>
        </w:rPr>
        <w:t>el artículo 9 de la Ley 80 de 1993</w:t>
      </w:r>
      <w:r>
        <w:rPr>
          <w:rFonts w:ascii="Verdana" w:hAnsi="Verdana" w:cs="Arial"/>
          <w:color w:val="000000" w:themeColor="text1"/>
        </w:rPr>
        <w:t xml:space="preserve">, el cual dispone: </w:t>
      </w:r>
      <w:r w:rsidRPr="001549CD">
        <w:rPr>
          <w:rFonts w:ascii="Verdana" w:hAnsi="Verdana" w:cs="Arial"/>
          <w:color w:val="000000" w:themeColor="text1"/>
        </w:rPr>
        <w:t>“[…] En</w:t>
      </w:r>
      <w:r>
        <w:rPr>
          <w:rFonts w:ascii="Verdana" w:hAnsi="Verdana" w:cs="Arial"/>
          <w:color w:val="000000" w:themeColor="text1"/>
        </w:rPr>
        <w:t xml:space="preserve"> </w:t>
      </w:r>
      <w:r w:rsidRPr="001549CD">
        <w:rPr>
          <w:rFonts w:ascii="Verdana" w:hAnsi="Verdana" w:cs="Arial"/>
          <w:color w:val="000000" w:themeColor="text1"/>
        </w:rPr>
        <w:t>ningún caso, podrá haber cesión del contrato entre quienes integran el</w:t>
      </w:r>
      <w:r>
        <w:rPr>
          <w:rFonts w:ascii="Verdana" w:hAnsi="Verdana" w:cs="Arial"/>
          <w:color w:val="000000" w:themeColor="text1"/>
        </w:rPr>
        <w:t xml:space="preserve"> </w:t>
      </w:r>
      <w:r w:rsidRPr="001549CD">
        <w:rPr>
          <w:rFonts w:ascii="Verdana" w:hAnsi="Verdana" w:cs="Arial"/>
          <w:color w:val="000000" w:themeColor="text1"/>
        </w:rPr>
        <w:t>consorcio o unión temporal”, pues en esta hipótesis no existe un tercero como</w:t>
      </w:r>
      <w:r>
        <w:rPr>
          <w:rFonts w:ascii="Verdana" w:hAnsi="Verdana" w:cs="Arial"/>
          <w:color w:val="000000" w:themeColor="text1"/>
        </w:rPr>
        <w:t xml:space="preserve"> </w:t>
      </w:r>
      <w:r w:rsidRPr="001549CD">
        <w:rPr>
          <w:rFonts w:ascii="Verdana" w:hAnsi="Verdana" w:cs="Arial"/>
          <w:color w:val="000000" w:themeColor="text1"/>
        </w:rPr>
        <w:t>requisito de la cesión. De esta manera, si está prohibida la cesión entre</w:t>
      </w:r>
      <w:r>
        <w:rPr>
          <w:rFonts w:ascii="Verdana" w:hAnsi="Verdana" w:cs="Arial"/>
          <w:color w:val="000000" w:themeColor="text1"/>
        </w:rPr>
        <w:t xml:space="preserve"> </w:t>
      </w:r>
      <w:r w:rsidRPr="001549CD">
        <w:rPr>
          <w:rFonts w:ascii="Verdana" w:hAnsi="Verdana" w:cs="Arial"/>
          <w:color w:val="000000" w:themeColor="text1"/>
        </w:rPr>
        <w:t>quienes integren el proponente plural, significa que está permitida la cesión</w:t>
      </w:r>
      <w:r>
        <w:rPr>
          <w:rFonts w:ascii="Verdana" w:hAnsi="Verdana" w:cs="Arial"/>
          <w:color w:val="000000" w:themeColor="text1"/>
        </w:rPr>
        <w:t xml:space="preserve"> </w:t>
      </w:r>
      <w:r w:rsidRPr="001549CD">
        <w:rPr>
          <w:rFonts w:ascii="Verdana" w:hAnsi="Verdana" w:cs="Arial"/>
          <w:color w:val="000000" w:themeColor="text1"/>
        </w:rPr>
        <w:t>de sus integrantes a un tercero distinto a los miembros del consorcio o la unión</w:t>
      </w:r>
      <w:r>
        <w:rPr>
          <w:rFonts w:ascii="Verdana" w:hAnsi="Verdana" w:cs="Arial"/>
          <w:color w:val="000000" w:themeColor="text1"/>
        </w:rPr>
        <w:t xml:space="preserve"> </w:t>
      </w:r>
      <w:r w:rsidRPr="001549CD">
        <w:rPr>
          <w:rFonts w:ascii="Verdana" w:hAnsi="Verdana" w:cs="Arial"/>
          <w:color w:val="000000" w:themeColor="text1"/>
        </w:rPr>
        <w:t>temporal. Por tanto, si dicho tercero cumple los requisitos de capacidad</w:t>
      </w:r>
      <w:r>
        <w:rPr>
          <w:rFonts w:ascii="Verdana" w:hAnsi="Verdana" w:cs="Arial"/>
          <w:color w:val="000000" w:themeColor="text1"/>
        </w:rPr>
        <w:t xml:space="preserve"> </w:t>
      </w:r>
      <w:r w:rsidRPr="001549CD">
        <w:rPr>
          <w:rFonts w:ascii="Verdana" w:hAnsi="Verdana" w:cs="Arial"/>
          <w:color w:val="000000" w:themeColor="text1"/>
        </w:rPr>
        <w:t>jurídica, no está incurso en causales de inhabilidad o incompatibilidad y, de</w:t>
      </w:r>
      <w:r>
        <w:rPr>
          <w:rFonts w:ascii="Verdana" w:hAnsi="Verdana" w:cs="Arial"/>
          <w:color w:val="000000" w:themeColor="text1"/>
        </w:rPr>
        <w:t xml:space="preserve"> </w:t>
      </w:r>
      <w:r w:rsidRPr="001549CD">
        <w:rPr>
          <w:rFonts w:ascii="Verdana" w:hAnsi="Verdana" w:cs="Arial"/>
          <w:color w:val="000000" w:themeColor="text1"/>
        </w:rPr>
        <w:t>acuerdo con los criterios previstos en el pliego de condiciones, es idóneo desde</w:t>
      </w:r>
      <w:r>
        <w:rPr>
          <w:rFonts w:ascii="Verdana" w:hAnsi="Verdana" w:cs="Arial"/>
          <w:color w:val="000000" w:themeColor="text1"/>
        </w:rPr>
        <w:t xml:space="preserve"> </w:t>
      </w:r>
      <w:r w:rsidRPr="001549CD">
        <w:rPr>
          <w:rFonts w:ascii="Verdana" w:hAnsi="Verdana" w:cs="Arial"/>
          <w:color w:val="000000" w:themeColor="text1"/>
        </w:rPr>
        <w:t>el punto de vista técnico, económico y financiero para cumplir con las</w:t>
      </w:r>
      <w:r>
        <w:rPr>
          <w:rFonts w:ascii="Verdana" w:hAnsi="Verdana" w:cs="Arial"/>
          <w:color w:val="000000" w:themeColor="text1"/>
        </w:rPr>
        <w:t xml:space="preserve"> </w:t>
      </w:r>
      <w:r w:rsidRPr="001549CD">
        <w:rPr>
          <w:rFonts w:ascii="Verdana" w:hAnsi="Verdana" w:cs="Arial"/>
          <w:color w:val="000000" w:themeColor="text1"/>
        </w:rPr>
        <w:t>obligaciones, la entidad podrá analizar la posibilidad de autorizar la cesión.</w:t>
      </w:r>
    </w:p>
    <w:p w14:paraId="31D954F4" w14:textId="77777777" w:rsidR="00716424" w:rsidRPr="00FD1AA1" w:rsidRDefault="00716424" w:rsidP="00716424">
      <w:pPr>
        <w:widowControl w:val="0"/>
        <w:autoSpaceDE w:val="0"/>
        <w:autoSpaceDN w:val="0"/>
        <w:spacing w:after="120" w:line="276" w:lineRule="auto"/>
        <w:ind w:firstLine="709"/>
        <w:jc w:val="both"/>
        <w:rPr>
          <w:rFonts w:ascii="Verdana" w:hAnsi="Verdana" w:cs="Arial"/>
          <w:color w:val="000000" w:themeColor="text1"/>
        </w:rPr>
      </w:pPr>
      <w:r w:rsidRPr="00FD1AA1">
        <w:rPr>
          <w:rFonts w:ascii="Verdana" w:eastAsia="Calibri" w:hAnsi="Verdana" w:cs="Calibri"/>
          <w:lang w:eastAsia="es-ES_tradnl"/>
        </w:rPr>
        <w:t>En este contexto, la modificación de la participación de uno de los</w:t>
      </w:r>
      <w:r>
        <w:rPr>
          <w:rFonts w:ascii="Verdana" w:hAnsi="Verdana" w:cs="Arial"/>
          <w:color w:val="000000" w:themeColor="text1"/>
        </w:rPr>
        <w:t xml:space="preserve"> </w:t>
      </w:r>
      <w:r w:rsidRPr="00FD1AA1">
        <w:rPr>
          <w:rFonts w:ascii="Verdana" w:eastAsia="Calibri" w:hAnsi="Verdana" w:cs="Calibri"/>
          <w:lang w:eastAsia="es-ES_tradnl"/>
        </w:rPr>
        <w:t>integrantes durante la ejecución contractual no puede efectuarse</w:t>
      </w:r>
      <w:r>
        <w:rPr>
          <w:rFonts w:ascii="Verdana" w:hAnsi="Verdana" w:cs="Arial"/>
          <w:color w:val="000000" w:themeColor="text1"/>
        </w:rPr>
        <w:t xml:space="preserve"> </w:t>
      </w:r>
      <w:r w:rsidRPr="00FD1AA1">
        <w:rPr>
          <w:rFonts w:ascii="Verdana" w:eastAsia="Calibri" w:hAnsi="Verdana" w:cs="Calibri"/>
          <w:lang w:eastAsia="es-ES_tradnl"/>
        </w:rPr>
        <w:t>unilateralmente ni producirse por el simple acuerdo entre los miembros del</w:t>
      </w:r>
      <w:r>
        <w:rPr>
          <w:rFonts w:ascii="Verdana" w:hAnsi="Verdana" w:cs="Arial"/>
          <w:color w:val="000000" w:themeColor="text1"/>
        </w:rPr>
        <w:t xml:space="preserve"> </w:t>
      </w:r>
      <w:r w:rsidRPr="00FD1AA1">
        <w:rPr>
          <w:rFonts w:ascii="Verdana" w:eastAsia="Calibri" w:hAnsi="Verdana" w:cs="Calibri"/>
          <w:lang w:eastAsia="es-ES_tradnl"/>
        </w:rPr>
        <w:t>proponente plural. La entidad debe autorizar previamente la modificación y</w:t>
      </w:r>
      <w:r>
        <w:rPr>
          <w:rFonts w:ascii="Verdana" w:hAnsi="Verdana" w:cs="Arial"/>
          <w:color w:val="000000" w:themeColor="text1"/>
        </w:rPr>
        <w:t xml:space="preserve"> </w:t>
      </w:r>
      <w:r w:rsidRPr="00FD1AA1">
        <w:rPr>
          <w:rFonts w:ascii="Verdana" w:eastAsia="Calibri" w:hAnsi="Verdana" w:cs="Calibri"/>
          <w:lang w:eastAsia="es-ES_tradnl"/>
        </w:rPr>
        <w:lastRenderedPageBreak/>
        <w:t>verificar que esta no desconozca las condiciones que determinaron la</w:t>
      </w:r>
      <w:r>
        <w:rPr>
          <w:rFonts w:ascii="Verdana" w:hAnsi="Verdana" w:cs="Arial"/>
          <w:color w:val="000000" w:themeColor="text1"/>
        </w:rPr>
        <w:t xml:space="preserve"> </w:t>
      </w:r>
      <w:r w:rsidRPr="00FD1AA1">
        <w:rPr>
          <w:rFonts w:ascii="Verdana" w:eastAsia="Calibri" w:hAnsi="Verdana" w:cs="Calibri"/>
          <w:lang w:eastAsia="es-ES_tradnl"/>
        </w:rPr>
        <w:t>adjudicación, de manera que no sea utilizada para alterar las reglas bajo las</w:t>
      </w:r>
      <w:r>
        <w:rPr>
          <w:rFonts w:ascii="Verdana" w:hAnsi="Verdana" w:cs="Arial"/>
          <w:color w:val="000000" w:themeColor="text1"/>
        </w:rPr>
        <w:t xml:space="preserve"> </w:t>
      </w:r>
      <w:r w:rsidRPr="00FD1AA1">
        <w:rPr>
          <w:rFonts w:ascii="Verdana" w:eastAsia="Calibri" w:hAnsi="Verdana" w:cs="Calibri"/>
          <w:lang w:eastAsia="es-ES_tradnl"/>
        </w:rPr>
        <w:t>cuales se seleccionó al contratista ni para incorporar un integrante que no</w:t>
      </w:r>
      <w:r>
        <w:rPr>
          <w:rFonts w:ascii="Verdana" w:hAnsi="Verdana" w:cs="Arial"/>
          <w:color w:val="000000" w:themeColor="text1"/>
        </w:rPr>
        <w:t xml:space="preserve"> </w:t>
      </w:r>
      <w:r w:rsidRPr="00FD1AA1">
        <w:rPr>
          <w:rFonts w:ascii="Verdana" w:eastAsia="Calibri" w:hAnsi="Verdana" w:cs="Calibri"/>
          <w:lang w:eastAsia="es-ES_tradnl"/>
        </w:rPr>
        <w:t xml:space="preserve">reúna las condiciones necesarias para ejecutar el objeto contractual.   </w:t>
      </w:r>
    </w:p>
    <w:p w14:paraId="799CD9B9" w14:textId="77777777" w:rsidR="00716424" w:rsidRDefault="00716424" w:rsidP="00716424">
      <w:pPr>
        <w:spacing w:after="120" w:line="276" w:lineRule="auto"/>
        <w:jc w:val="both"/>
        <w:rPr>
          <w:rFonts w:ascii="Verdana" w:hAnsi="Verdana" w:cs="Arial"/>
          <w:color w:val="000000" w:themeColor="text1"/>
        </w:rPr>
      </w:pPr>
      <w:r>
        <w:rPr>
          <w:rFonts w:ascii="Verdana" w:hAnsi="Verdana" w:cs="Arial"/>
          <w:color w:val="000000" w:themeColor="text1"/>
        </w:rPr>
        <w:tab/>
      </w:r>
      <w:r w:rsidRPr="00D41FF6">
        <w:rPr>
          <w:rFonts w:ascii="Verdana" w:hAnsi="Verdana" w:cs="Arial"/>
          <w:color w:val="000000" w:themeColor="text1"/>
        </w:rPr>
        <w:t>En este marco, la cesión contractual a favor de un consorcio no resulta procedente, y su suscripción implicaría responsabilidad para los servidores públicos que en ella intervengan. Tal responsabilidad encuentra fundamento en el artículo 51 de la Ley 80 de 1993, el cual establece que el servidor público responderá disciplinaria, civil y penalmente por sus acciones u omisiones en la actuación contractual, conforme a la Constitución y la ley. De esta manera, cualquier actuación que contravenga las disposiciones sobre capacidad contractual y cesión de contratos estatales compromete directamente la responsabilidad personal de los funcionarios intervinientes.</w:t>
      </w:r>
    </w:p>
    <w:p w14:paraId="11597A2F" w14:textId="77777777" w:rsidR="00716424" w:rsidRPr="00D41FF6" w:rsidRDefault="00716424" w:rsidP="00716424">
      <w:pPr>
        <w:spacing w:after="0" w:line="276" w:lineRule="auto"/>
        <w:ind w:firstLine="708"/>
        <w:jc w:val="both"/>
        <w:rPr>
          <w:rFonts w:ascii="Verdana" w:hAnsi="Verdana" w:cs="Arial"/>
          <w:color w:val="000000" w:themeColor="text1"/>
        </w:rPr>
      </w:pPr>
      <w:r w:rsidRPr="00D41FF6">
        <w:rPr>
          <w:rFonts w:ascii="Verdana" w:hAnsi="Verdana" w:cs="Arial"/>
          <w:color w:val="000000" w:themeColor="text1"/>
        </w:rPr>
        <w:t>En todo caso, debe resaltarse que la función de esta Agencia no consiste en determinar la responsabilidad individual de los servidores públicos por sus actuaciones contractuales. Tal competencia corresponde a las autoridades disciplinarias, fiscales y judiciales, según el ámbito de responsabilidad comprometido. La Agencia, en cambio, cumple un rol orientador, consistente en brindar lineamientos sobre el alcance de las disposiciones generales del Sistema de Compras Públicas, con el fin de garantizar la correcta aplicación de la normativa y prevenir actuaciones contrarias al ordenamiento jurídico.</w:t>
      </w:r>
    </w:p>
    <w:p w14:paraId="30B106CF" w14:textId="77777777" w:rsidR="00716424" w:rsidRDefault="00716424" w:rsidP="00716424">
      <w:pPr>
        <w:spacing w:after="0" w:line="276" w:lineRule="auto"/>
        <w:jc w:val="both"/>
        <w:textAlignment w:val="baseline"/>
        <w:rPr>
          <w:rFonts w:ascii="Verdana" w:eastAsia="Verdana" w:hAnsi="Verdana" w:cs="Verdana"/>
        </w:rPr>
      </w:pPr>
    </w:p>
    <w:p w14:paraId="125F13B6" w14:textId="77777777" w:rsidR="00716424" w:rsidRPr="009037F6" w:rsidRDefault="00716424" w:rsidP="00716424">
      <w:pPr>
        <w:spacing w:after="120" w:line="276" w:lineRule="auto"/>
        <w:jc w:val="both"/>
        <w:rPr>
          <w:rFonts w:ascii="Verdana" w:eastAsia="Calibri" w:hAnsi="Verdana" w:cs="Arial"/>
          <w:lang w:val="es-ES_tradnl"/>
        </w:rPr>
      </w:pPr>
      <w:proofErr w:type="spellStart"/>
      <w:r>
        <w:rPr>
          <w:rFonts w:ascii="Verdana" w:eastAsia="Verdana" w:hAnsi="Verdana" w:cs="Verdana"/>
        </w:rPr>
        <w:t>iii</w:t>
      </w:r>
      <w:proofErr w:type="spellEnd"/>
      <w:r>
        <w:rPr>
          <w:rFonts w:ascii="Verdana" w:eastAsia="Verdana" w:hAnsi="Verdana" w:cs="Verdana"/>
        </w:rPr>
        <w:t xml:space="preserve">. </w:t>
      </w:r>
      <w:r w:rsidRPr="009037F6">
        <w:rPr>
          <w:rFonts w:ascii="Verdana" w:eastAsia="Calibri" w:hAnsi="Verdana" w:cs="Arial"/>
          <w:lang w:val="es-ES_tradnl"/>
        </w:rPr>
        <w:t xml:space="preserve">El Estatuto General de Contratación de la Administración Pública exige, por regla general, en los procesos de contratación pública </w:t>
      </w:r>
      <w:r w:rsidRPr="009037F6">
        <w:rPr>
          <w:rFonts w:ascii="Verdana" w:eastAsia="Calibri" w:hAnsi="Verdana" w:cs="Arial"/>
          <w:lang w:val="es-ES"/>
        </w:rPr>
        <w:t xml:space="preserve">la constitución de garantías ya sea en la etapa precontractual, contractual o </w:t>
      </w:r>
      <w:proofErr w:type="spellStart"/>
      <w:r w:rsidRPr="009037F6">
        <w:rPr>
          <w:rFonts w:ascii="Verdana" w:eastAsia="Calibri" w:hAnsi="Verdana" w:cs="Arial"/>
          <w:lang w:val="es-ES"/>
        </w:rPr>
        <w:t>postcontractual</w:t>
      </w:r>
      <w:proofErr w:type="spellEnd"/>
      <w:r w:rsidRPr="009037F6">
        <w:rPr>
          <w:rFonts w:ascii="Verdana" w:eastAsia="Calibri" w:hAnsi="Verdana" w:cs="Arial"/>
          <w:lang w:val="es-ES"/>
        </w:rPr>
        <w:t>, con el fin de evitar o mitigar posibles riesgos</w:t>
      </w:r>
      <w:r w:rsidRPr="009037F6">
        <w:rPr>
          <w:rFonts w:ascii="Verdana" w:eastAsia="Calibri" w:hAnsi="Verdana" w:cs="Arial"/>
          <w:lang w:val="es-ES_tradnl"/>
        </w:rPr>
        <w:t>. En esa orientación, el artículo 7 de la Ley 1150 de 2007 dispone que los contratistas tienen la obligación de constituir garantías para el cumplimiento de las obligaciones surgidas del contrato, y los proponentes por el ofrecimiento realizado, pudiendo consistir en pólizas expedidas por compañías aseguradoras, garantías bancarias u otros mecanismos permitidos por la ley y el reglamento. La precitada norma dispone:</w:t>
      </w:r>
    </w:p>
    <w:p w14:paraId="6483DECB"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p>
    <w:p w14:paraId="3206FBFF"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r w:rsidRPr="009037F6">
        <w:rPr>
          <w:rFonts w:ascii="Verdana" w:eastAsia="Calibri" w:hAnsi="Verdana" w:cs="Arial"/>
          <w:sz w:val="20"/>
          <w:szCs w:val="20"/>
          <w:lang w:val="es-ES_tradnl"/>
        </w:rPr>
        <w:t xml:space="preserve">Los contratistas prestarán garantía única para el cumplimiento de las obligaciones surgidas del contrato. Los proponentes prestarán garantía de seriedad de los ofrecimientos hechos. </w:t>
      </w:r>
    </w:p>
    <w:p w14:paraId="50FE2ED7"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p>
    <w:p w14:paraId="4257D9B4"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r w:rsidRPr="009037F6">
        <w:rPr>
          <w:rFonts w:ascii="Verdana" w:eastAsia="Calibri" w:hAnsi="Verdana" w:cs="Arial"/>
          <w:sz w:val="20"/>
          <w:szCs w:val="20"/>
          <w:lang w:val="es-ES_tradnl"/>
        </w:rPr>
        <w:lastRenderedPageBreak/>
        <w:t xml:space="preserve">Las garantías consistirán en pólizas expedidas por compañías de seguros legalmente autorizadas para funcionar en Colombia, en garantías bancarias y en general, en los demás mecanismos de cobertura del riesgo autorizados por el reglamento para el efecto. Tratándose de pólizas, las mismas no expirarán por falta de pago de la prima o por revocatoria unilateral. El Gobierno Nacional señalará las condiciones generales que deberán ser incluidas en las pólizas de cumplimiento de los contratos estatales. </w:t>
      </w:r>
    </w:p>
    <w:p w14:paraId="3F47A1F0"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p>
    <w:p w14:paraId="3A1C3BF8" w14:textId="77777777" w:rsidR="00716424" w:rsidRPr="009037F6" w:rsidRDefault="00716424" w:rsidP="00716424">
      <w:pPr>
        <w:spacing w:after="0" w:line="240" w:lineRule="auto"/>
        <w:ind w:left="709" w:right="709"/>
        <w:jc w:val="both"/>
        <w:rPr>
          <w:rFonts w:ascii="Verdana" w:eastAsia="Calibri" w:hAnsi="Verdana" w:cs="Arial"/>
          <w:sz w:val="20"/>
          <w:szCs w:val="20"/>
          <w:lang w:val="es-ES"/>
        </w:rPr>
      </w:pPr>
      <w:r w:rsidRPr="009037F6">
        <w:rPr>
          <w:rFonts w:ascii="Verdana" w:eastAsia="Calibri" w:hAnsi="Verdana" w:cs="Arial"/>
          <w:sz w:val="20"/>
          <w:szCs w:val="20"/>
          <w:lang w:val="es-ES"/>
        </w:rPr>
        <w:t xml:space="preserve">El Gobierno Nacional señalará los criterios que seguirán las entidades para la exigencia de garantías, las clases y niveles de amparo de los riesgos de los contratos, así como los casos en </w:t>
      </w:r>
      <w:proofErr w:type="gramStart"/>
      <w:r w:rsidRPr="009037F6">
        <w:rPr>
          <w:rFonts w:ascii="Verdana" w:eastAsia="Calibri" w:hAnsi="Verdana" w:cs="Arial"/>
          <w:sz w:val="20"/>
          <w:szCs w:val="20"/>
          <w:lang w:val="es-ES"/>
        </w:rPr>
        <w:t>que</w:t>
      </w:r>
      <w:proofErr w:type="gramEnd"/>
      <w:r w:rsidRPr="009037F6">
        <w:rPr>
          <w:rFonts w:ascii="Verdana" w:eastAsia="Calibri" w:hAnsi="Verdana" w:cs="Arial"/>
          <w:sz w:val="20"/>
          <w:szCs w:val="20"/>
          <w:lang w:val="es-ES"/>
        </w:rPr>
        <w:t xml:space="preserve"> por las características y complejidad del contrato a celebrar, la garantía pueda ser dividida teniendo en cuenta las etapas o riesgos relativos a la ejecución del respectivo contrato. </w:t>
      </w:r>
    </w:p>
    <w:p w14:paraId="68357361"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p>
    <w:p w14:paraId="65984BB8"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r w:rsidRPr="009037F6">
        <w:rPr>
          <w:rFonts w:ascii="Verdana" w:eastAsia="Calibri" w:hAnsi="Verdana" w:cs="Arial"/>
          <w:sz w:val="20"/>
          <w:szCs w:val="20"/>
          <w:lang w:val="es-ES_tradnl"/>
        </w:rPr>
        <w:t>El acaecimiento del siniestro que amparan las garantías será comunicado por la entidad pública al respectivo asegurador mediante la notificación del acto administrativo que así lo declare.</w:t>
      </w:r>
    </w:p>
    <w:p w14:paraId="1E9DB8DF"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r w:rsidRPr="009037F6">
        <w:rPr>
          <w:rFonts w:ascii="Verdana" w:eastAsia="Calibri" w:hAnsi="Verdana" w:cs="Arial"/>
          <w:sz w:val="20"/>
          <w:szCs w:val="20"/>
          <w:lang w:val="es-ES_tradnl"/>
        </w:rPr>
        <w:t xml:space="preserve"> </w:t>
      </w:r>
    </w:p>
    <w:p w14:paraId="23CA137D" w14:textId="77777777" w:rsidR="00716424" w:rsidRPr="009037F6" w:rsidRDefault="00716424" w:rsidP="00716424">
      <w:pPr>
        <w:spacing w:after="0" w:line="240" w:lineRule="auto"/>
        <w:ind w:left="709" w:right="709"/>
        <w:jc w:val="both"/>
        <w:rPr>
          <w:rFonts w:ascii="Verdana" w:eastAsia="Calibri" w:hAnsi="Verdana" w:cs="Arial"/>
          <w:sz w:val="20"/>
          <w:szCs w:val="20"/>
          <w:lang w:val="es-ES"/>
        </w:rPr>
      </w:pPr>
      <w:r w:rsidRPr="00C186A0">
        <w:rPr>
          <w:rFonts w:ascii="Verdana" w:eastAsia="Calibri" w:hAnsi="Verdana" w:cs="Arial"/>
          <w:sz w:val="20"/>
          <w:szCs w:val="20"/>
          <w:lang w:val="es-ES"/>
        </w:rPr>
        <w:t>Las garantías no serán obligatorias en los contratos de empréstito, en los interadministrativos, en los de seguro 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w:t>
      </w:r>
    </w:p>
    <w:p w14:paraId="1A5A5909" w14:textId="77777777" w:rsidR="00716424" w:rsidRPr="009037F6" w:rsidRDefault="00716424" w:rsidP="00716424">
      <w:pPr>
        <w:spacing w:after="0" w:line="240" w:lineRule="auto"/>
        <w:ind w:left="709" w:right="709"/>
        <w:jc w:val="both"/>
        <w:rPr>
          <w:rFonts w:ascii="Verdana" w:eastAsia="Calibri" w:hAnsi="Verdana" w:cs="Arial"/>
          <w:sz w:val="20"/>
          <w:szCs w:val="20"/>
          <w:lang w:val="es-ES_tradnl"/>
        </w:rPr>
      </w:pPr>
    </w:p>
    <w:p w14:paraId="171671B5" w14:textId="77777777" w:rsidR="00716424" w:rsidRPr="009037F6" w:rsidRDefault="00716424" w:rsidP="00716424">
      <w:pPr>
        <w:spacing w:after="120" w:line="276" w:lineRule="auto"/>
        <w:ind w:firstLine="709"/>
        <w:jc w:val="both"/>
        <w:rPr>
          <w:rFonts w:ascii="Verdana" w:eastAsia="Calibri" w:hAnsi="Verdana" w:cs="Arial"/>
          <w:color w:val="000000" w:themeColor="text1"/>
          <w:lang w:val="es-ES_tradnl"/>
        </w:rPr>
      </w:pPr>
      <w:r w:rsidRPr="009037F6">
        <w:rPr>
          <w:rFonts w:ascii="Verdana" w:eastAsia="Calibri" w:hAnsi="Verdana" w:cs="Arial"/>
          <w:color w:val="000000" w:themeColor="text1"/>
          <w:lang w:val="es-ES_tradnl"/>
        </w:rPr>
        <w:t xml:space="preserve">Las condiciones para el cumplimiento de estas obligaciones fueron reglamentadas por el Decreto 1082 de 2015, el cual prescribe en los artículos 2.2.1.2.3.1.1. a 2.2.1.2.3.1.19 las clases de garantías permitidas; la indivisibilidad, por regla general, de las mismas; los riesgos objeto de cobertura; la vigencia y valores mínimos, entre otros aspectos que deben cumplir las garantías constituidas, ya sea mediante pólizas de seguro, garantías bancarias o patrimonios autónomos. Este último tipo de garantía fue establecida por el reglamento, previa autorización del artículo 7° de la Ley 1150 de 2007. </w:t>
      </w:r>
    </w:p>
    <w:p w14:paraId="5314F283" w14:textId="77777777" w:rsidR="00716424" w:rsidRPr="009037F6" w:rsidRDefault="00716424" w:rsidP="00716424">
      <w:pPr>
        <w:spacing w:after="120" w:line="276" w:lineRule="auto"/>
        <w:ind w:firstLine="709"/>
        <w:jc w:val="both"/>
        <w:rPr>
          <w:rFonts w:ascii="Verdana" w:hAnsi="Verdana" w:cs="Arial"/>
          <w:color w:val="000000" w:themeColor="text1"/>
        </w:rPr>
      </w:pPr>
      <w:r w:rsidRPr="009037F6">
        <w:rPr>
          <w:rFonts w:ascii="Verdana" w:eastAsia="Calibri" w:hAnsi="Verdana" w:cs="Arial"/>
          <w:color w:val="000000" w:themeColor="text1"/>
          <w:lang w:val="es-ES_tradnl"/>
        </w:rPr>
        <w:t>De acuerdo a lo expresado anteriormente, l</w:t>
      </w:r>
      <w:r w:rsidRPr="009037F6">
        <w:rPr>
          <w:rFonts w:ascii="Verdana" w:hAnsi="Verdana" w:cs="Arial"/>
          <w:color w:val="000000" w:themeColor="text1"/>
        </w:rPr>
        <w:t xml:space="preserve">os proponentes o contratistas, para garantizar el cumplimiento de sus obligaciones frente a entidades estatales en materia contractual, pueden otorgar, a su elección, las garantías mediante los siguientes mecanismos de cobertura de los riesgos: i) contratos de seguro, que por su esencia, es el medio más usado </w:t>
      </w:r>
      <w:r w:rsidRPr="009037F6">
        <w:rPr>
          <w:rFonts w:ascii="Verdana" w:eastAsia="Calibri" w:hAnsi="Verdana" w:cs="Arial"/>
          <w:color w:val="000000" w:themeColor="text1"/>
        </w:rPr>
        <w:t xml:space="preserve">para amparar los riesgos contractuales; </w:t>
      </w:r>
      <w:proofErr w:type="spellStart"/>
      <w:r w:rsidRPr="009037F6">
        <w:rPr>
          <w:rFonts w:ascii="Verdana" w:hAnsi="Verdana" w:cs="Arial"/>
          <w:color w:val="000000" w:themeColor="text1"/>
        </w:rPr>
        <w:t>ii</w:t>
      </w:r>
      <w:proofErr w:type="spellEnd"/>
      <w:r w:rsidRPr="009037F6">
        <w:rPr>
          <w:rFonts w:ascii="Verdana" w:hAnsi="Verdana" w:cs="Arial"/>
          <w:color w:val="000000" w:themeColor="text1"/>
        </w:rPr>
        <w:t xml:space="preserve">) fiducia mercantil de garantía, que es un contrato que suscribe </w:t>
      </w:r>
      <w:r w:rsidRPr="009037F6">
        <w:rPr>
          <w:rFonts w:ascii="Verdana" w:hAnsi="Verdana" w:cs="Arial"/>
          <w:color w:val="000000" w:themeColor="text1"/>
        </w:rPr>
        <w:lastRenderedPageBreak/>
        <w:t xml:space="preserve">el oferente, contratista o un tercero como fideicomitente con una sociedad fiduciaria para transferir la propiedad de uno o más bienes o derechos con los cuales se integra un patrimonio autónomo, con el fin de salvaguardar con ellos o con su producido las obligaciones del oferente o contratista con la entidad estatal beneficiaria;  </w:t>
      </w:r>
      <w:proofErr w:type="spellStart"/>
      <w:r w:rsidRPr="009037F6">
        <w:rPr>
          <w:rFonts w:ascii="Verdana" w:hAnsi="Verdana" w:cs="Arial"/>
          <w:color w:val="000000" w:themeColor="text1"/>
        </w:rPr>
        <w:t>iii</w:t>
      </w:r>
      <w:proofErr w:type="spellEnd"/>
      <w:r w:rsidRPr="009037F6">
        <w:rPr>
          <w:rFonts w:ascii="Verdana" w:hAnsi="Verdana" w:cs="Arial"/>
          <w:color w:val="000000" w:themeColor="text1"/>
        </w:rPr>
        <w:t xml:space="preserve">) garantías bancarias o cartas de crédito </w:t>
      </w:r>
      <w:r w:rsidRPr="009037F6">
        <w:rPr>
          <w:rFonts w:ascii="Verdana" w:hAnsi="Verdana" w:cs="Arial"/>
          <w:i/>
          <w:iCs/>
          <w:color w:val="000000" w:themeColor="text1"/>
        </w:rPr>
        <w:t>stand</w:t>
      </w:r>
      <w:r w:rsidRPr="009037F6">
        <w:rPr>
          <w:rFonts w:ascii="Verdana" w:hAnsi="Verdana" w:cs="Arial"/>
          <w:color w:val="000000" w:themeColor="text1"/>
        </w:rPr>
        <w:t xml:space="preserve"> </w:t>
      </w:r>
      <w:proofErr w:type="spellStart"/>
      <w:r w:rsidRPr="009037F6">
        <w:rPr>
          <w:rFonts w:ascii="Verdana" w:hAnsi="Verdana" w:cs="Arial"/>
          <w:i/>
          <w:iCs/>
          <w:color w:val="000000" w:themeColor="text1"/>
        </w:rPr>
        <w:t>by</w:t>
      </w:r>
      <w:proofErr w:type="spellEnd"/>
      <w:r w:rsidRPr="009037F6">
        <w:rPr>
          <w:rFonts w:ascii="Verdana" w:hAnsi="Verdana" w:cs="Arial"/>
          <w:color w:val="000000" w:themeColor="text1"/>
        </w:rPr>
        <w:t xml:space="preserve">, que consisten en compromisos irrevocables o incondicionales asumidos por una entidad financiera de pagar una suma determinada de dinero. La suficiencia y la vigencia de las garantías deben ser las reguladas en los artículos 2.2.1.2.3.1.9 a 2.2.1.2.3.1.16 del Decreto 1082 de 2015. </w:t>
      </w:r>
    </w:p>
    <w:p w14:paraId="65A8698C" w14:textId="77777777" w:rsidR="00716424" w:rsidRPr="009037F6" w:rsidRDefault="00716424" w:rsidP="00716424">
      <w:pPr>
        <w:spacing w:after="120" w:line="276" w:lineRule="auto"/>
        <w:ind w:firstLine="709"/>
        <w:jc w:val="both"/>
        <w:rPr>
          <w:rFonts w:ascii="Verdana" w:hAnsi="Verdana" w:cs="Arial"/>
          <w:color w:val="000000" w:themeColor="text1"/>
        </w:rPr>
      </w:pPr>
      <w:r w:rsidRPr="009037F6">
        <w:rPr>
          <w:rFonts w:ascii="Verdana" w:hAnsi="Verdana" w:cs="Arial"/>
          <w:color w:val="000000" w:themeColor="text1"/>
        </w:rPr>
        <w:t>Ahora bien, las garantías cubren ciertos riesgos identificados por las entidades estatales. Por ejemplo, en las modalidades de selección de contratación directa y mínima cuantía, así como en la contratación de seguros, la entidad estatal debe justificar la necesidad de exigir la constitución de garantías. Con respecto a las demás modalidades de selección, en principio, son obligatorias las garantías de seriedad de la oferta y de cumplimiento, y la garantía de responsabilidad civil extracontractual es obligatoria en los contratos de obra y en aquellos en que por su objeto o naturaleza la entidad estatal lo considere necesario.</w:t>
      </w:r>
    </w:p>
    <w:p w14:paraId="08E61786" w14:textId="77777777" w:rsidR="00716424" w:rsidRPr="009037F6" w:rsidRDefault="00716424" w:rsidP="00716424">
      <w:pPr>
        <w:spacing w:after="120" w:line="276" w:lineRule="auto"/>
        <w:ind w:firstLine="708"/>
        <w:jc w:val="both"/>
        <w:rPr>
          <w:rFonts w:ascii="Verdana" w:eastAsia="Times New Roman" w:hAnsi="Verdana" w:cs="Arial"/>
          <w:color w:val="000000" w:themeColor="text1"/>
          <w:lang w:val="es-ES"/>
        </w:rPr>
      </w:pPr>
      <w:r w:rsidRPr="009037F6">
        <w:rPr>
          <w:rFonts w:ascii="Verdana" w:eastAsia="Times New Roman" w:hAnsi="Verdana" w:cs="Arial"/>
          <w:color w:val="000000" w:themeColor="text1"/>
          <w:lang w:val="es-ES"/>
        </w:rPr>
        <w:t xml:space="preserve">En particular, mediante </w:t>
      </w:r>
      <w:r w:rsidRPr="009037F6">
        <w:rPr>
          <w:rFonts w:ascii="Verdana" w:eastAsia="Calibri" w:hAnsi="Verdana" w:cs="Arial"/>
          <w:color w:val="000000" w:themeColor="text1"/>
          <w:lang w:val="es-ES"/>
        </w:rPr>
        <w:t xml:space="preserve">la </w:t>
      </w:r>
      <w:r w:rsidRPr="009037F6">
        <w:rPr>
          <w:rFonts w:ascii="Verdana" w:eastAsia="Calibri" w:hAnsi="Verdana" w:cs="Arial"/>
          <w:i/>
          <w:iCs/>
          <w:color w:val="000000" w:themeColor="text1"/>
          <w:lang w:val="es-ES"/>
        </w:rPr>
        <w:t>garantía única de cumplimiento</w:t>
      </w:r>
      <w:r w:rsidRPr="009037F6">
        <w:rPr>
          <w:rFonts w:ascii="Verdana" w:eastAsia="Calibri" w:hAnsi="Verdana" w:cs="Arial"/>
          <w:color w:val="000000" w:themeColor="text1"/>
          <w:lang w:val="es-ES"/>
        </w:rPr>
        <w:t>, el contratista debe amparar los perjuicios que le pueda generar a la entidad el incumplimiento de las obligaciones derivadas del contrato por conductas que le sean atribuibles</w:t>
      </w:r>
      <w:r w:rsidRPr="009037F6">
        <w:rPr>
          <w:rFonts w:ascii="Verdana" w:eastAsia="Calibri" w:hAnsi="Verdana" w:cs="Arial"/>
          <w:color w:val="000000" w:themeColor="text1"/>
          <w:vertAlign w:val="superscript"/>
          <w:lang w:val="es-ES"/>
        </w:rPr>
        <w:footnoteReference w:id="15"/>
      </w:r>
      <w:r w:rsidRPr="009037F6">
        <w:rPr>
          <w:rFonts w:ascii="Verdana" w:eastAsia="Calibri" w:hAnsi="Verdana" w:cs="Arial"/>
          <w:color w:val="000000" w:themeColor="text1"/>
          <w:lang w:val="es-ES"/>
        </w:rPr>
        <w:t xml:space="preserve">. </w:t>
      </w:r>
      <w:r w:rsidRPr="009037F6">
        <w:rPr>
          <w:rFonts w:ascii="Verdana" w:eastAsia="Times New Roman" w:hAnsi="Verdana" w:cs="Arial"/>
          <w:color w:val="000000" w:themeColor="text1"/>
          <w:lang w:val="es-ES"/>
        </w:rPr>
        <w:t>Para estos efectos es única, ya que “[…] La prioridad […] es que no haya garantías separadas para los diferentes riesgos, aunque existan varias garantías para diferentes proporciones del interés asegurado […]”</w:t>
      </w:r>
      <w:r w:rsidRPr="009037F6">
        <w:rPr>
          <w:rFonts w:ascii="Verdana" w:eastAsia="Times New Roman" w:hAnsi="Verdana" w:cs="Arial"/>
          <w:color w:val="000000" w:themeColor="text1"/>
          <w:vertAlign w:val="superscript"/>
          <w:lang w:val="es-ES"/>
        </w:rPr>
        <w:footnoteReference w:id="16"/>
      </w:r>
      <w:r w:rsidRPr="009037F6">
        <w:rPr>
          <w:rFonts w:ascii="Verdana" w:eastAsia="Times New Roman" w:hAnsi="Verdana" w:cs="Arial"/>
          <w:color w:val="000000" w:themeColor="text1"/>
          <w:lang w:val="es-ES"/>
        </w:rPr>
        <w:t xml:space="preserve">.    </w:t>
      </w:r>
    </w:p>
    <w:p w14:paraId="7E212639" w14:textId="77777777" w:rsidR="00716424" w:rsidRDefault="00716424" w:rsidP="00716424">
      <w:pPr>
        <w:spacing w:after="120" w:line="276" w:lineRule="auto"/>
        <w:ind w:firstLine="708"/>
        <w:jc w:val="both"/>
        <w:rPr>
          <w:rFonts w:ascii="Verdana" w:eastAsia="Times New Roman" w:hAnsi="Verdana" w:cs="Arial"/>
          <w:color w:val="000000" w:themeColor="text1"/>
          <w:lang w:val="es-ES" w:eastAsia="es-CO"/>
        </w:rPr>
      </w:pPr>
      <w:r w:rsidRPr="009037F6">
        <w:rPr>
          <w:rFonts w:ascii="Verdana" w:eastAsia="Times New Roman" w:hAnsi="Verdana" w:cs="Arial"/>
          <w:color w:val="000000" w:themeColor="text1"/>
          <w:lang w:val="es-ES"/>
        </w:rPr>
        <w:t xml:space="preserve">El artículo 2.2.1.3.1.7 del Decreto 1082 de 2015 señala que </w:t>
      </w:r>
      <w:r w:rsidRPr="009037F6">
        <w:rPr>
          <w:rFonts w:ascii="Verdana" w:eastAsia="Times New Roman" w:hAnsi="Verdana" w:cs="Arial"/>
          <w:i/>
          <w:iCs/>
          <w:color w:val="000000" w:themeColor="text1"/>
          <w:lang w:val="es-ES"/>
        </w:rPr>
        <w:t>la garantía de cumplimiento</w:t>
      </w:r>
      <w:r w:rsidRPr="009037F6">
        <w:rPr>
          <w:rFonts w:ascii="Verdana" w:eastAsia="Times New Roman" w:hAnsi="Verdana" w:cs="Arial"/>
          <w:color w:val="000000" w:themeColor="text1"/>
          <w:lang w:val="es-ES"/>
        </w:rPr>
        <w:t xml:space="preserve"> </w:t>
      </w:r>
      <w:r w:rsidRPr="009037F6">
        <w:rPr>
          <w:rFonts w:ascii="Verdana" w:eastAsia="Calibri" w:hAnsi="Verdana" w:cs="Arial"/>
          <w:bCs/>
          <w:color w:val="000000" w:themeColor="text1"/>
          <w:lang w:val="es-ES"/>
        </w:rPr>
        <w:t xml:space="preserve">cuenta con varios </w:t>
      </w:r>
      <w:r w:rsidRPr="009037F6">
        <w:rPr>
          <w:rFonts w:ascii="Verdana" w:eastAsia="Calibri" w:hAnsi="Verdana" w:cs="Arial"/>
          <w:bCs/>
          <w:i/>
          <w:iCs/>
          <w:color w:val="000000" w:themeColor="text1"/>
          <w:lang w:val="es-ES"/>
        </w:rPr>
        <w:t>amparos</w:t>
      </w:r>
      <w:r w:rsidRPr="009037F6">
        <w:rPr>
          <w:rFonts w:ascii="Verdana" w:eastAsia="Calibri" w:hAnsi="Verdana" w:cs="Arial"/>
          <w:bCs/>
          <w:color w:val="000000" w:themeColor="text1"/>
          <w:lang w:val="es-ES"/>
        </w:rPr>
        <w:t xml:space="preserve"> que cubren: el buen manejo y correcta inversión del anticipo; la devolución del pago anticipado; el amparo de cumplimiento del contrato; la garantía de pago de salarios, prestaciones sociales </w:t>
      </w:r>
      <w:r w:rsidRPr="009037F6">
        <w:rPr>
          <w:rFonts w:ascii="Verdana" w:eastAsia="Calibri" w:hAnsi="Verdana" w:cs="Arial"/>
          <w:bCs/>
          <w:color w:val="000000" w:themeColor="text1"/>
          <w:lang w:val="es-ES"/>
        </w:rPr>
        <w:lastRenderedPageBreak/>
        <w:t xml:space="preserve">legales e indemnizaciones laborales; la estabilidad y calidad de la obra, y </w:t>
      </w:r>
      <w:r w:rsidRPr="009037F6">
        <w:rPr>
          <w:rFonts w:ascii="Verdana" w:eastAsia="Times New Roman" w:hAnsi="Verdana" w:cs="Arial"/>
          <w:color w:val="000000" w:themeColor="text1"/>
          <w:lang w:val="es-ES" w:eastAsia="es-CO"/>
        </w:rPr>
        <w:t>los demás incumplimientos de las obligaciones que la Entidad Estatal considere deben ser amparados. Esto, además de la póliza de responsabilidad civil extracontractual que es procedente en los contratos de obra, así como en aquellos en que por su objeto o naturaleza se considere necesario con ocasión de los riesgos previstos en el negocio, de acuerdo con el artículo 2.2.1.2.3.1.8</w:t>
      </w:r>
      <w:r w:rsidRPr="009037F6">
        <w:rPr>
          <w:rFonts w:ascii="Verdana" w:eastAsia="Times New Roman" w:hAnsi="Verdana" w:cs="Arial"/>
          <w:i/>
          <w:iCs/>
          <w:color w:val="000000" w:themeColor="text1"/>
          <w:lang w:val="es-ES" w:eastAsia="es-CO"/>
        </w:rPr>
        <w:t xml:space="preserve"> </w:t>
      </w:r>
      <w:r w:rsidRPr="009037F6">
        <w:rPr>
          <w:rFonts w:ascii="Verdana" w:eastAsia="Times New Roman" w:hAnsi="Verdana" w:cs="Arial"/>
          <w:color w:val="000000" w:themeColor="text1"/>
          <w:lang w:val="es-ES" w:eastAsia="es-CO"/>
        </w:rPr>
        <w:t>del Decreto 1082 de 2015.</w:t>
      </w:r>
    </w:p>
    <w:p w14:paraId="58C461E6" w14:textId="77777777" w:rsidR="00716424" w:rsidRPr="00E57478" w:rsidRDefault="00716424" w:rsidP="00716424">
      <w:pPr>
        <w:spacing w:after="120" w:line="276" w:lineRule="auto"/>
        <w:ind w:firstLine="709"/>
        <w:jc w:val="both"/>
        <w:textAlignment w:val="baseline"/>
        <w:rPr>
          <w:rFonts w:ascii="Verdana" w:eastAsia="Verdana" w:hAnsi="Verdana" w:cs="Verdana"/>
        </w:rPr>
      </w:pPr>
      <w:r w:rsidRPr="00E57478">
        <w:rPr>
          <w:rFonts w:ascii="Verdana" w:eastAsia="Verdana" w:hAnsi="Verdana" w:cs="Verdana"/>
        </w:rPr>
        <w:t xml:space="preserve">Debe tenerse presente que, en el evento en que el cesionario —quien no puede ser un consorcio, como se explicó ut supra— pretenda asumir la garantía inicial constituida por el contratista cedente, ello no lo exonera de su deber de </w:t>
      </w:r>
      <w:r>
        <w:rPr>
          <w:rFonts w:ascii="Verdana" w:eastAsia="Verdana" w:hAnsi="Verdana" w:cs="Verdana"/>
        </w:rPr>
        <w:t xml:space="preserve">que existan garantías para el contrato. </w:t>
      </w:r>
      <w:r w:rsidRPr="00E57478">
        <w:rPr>
          <w:rFonts w:ascii="Verdana" w:eastAsia="Verdana" w:hAnsi="Verdana" w:cs="Verdana"/>
        </w:rPr>
        <w:t>La obligación de mantener vigentes las garantías recae directamente sobre el contratista, quien debe gestionar la expedición de una nueva póliza o la sustitución de la garantía, asegurando la cobertura de los riesgos derivados de la ejecución contractual. La cesión del contrato no puede convertirse en un mecanismo para evadir esta obligación, pues la garantía es un instrumento esencial de protección del interés público.</w:t>
      </w:r>
    </w:p>
    <w:p w14:paraId="00ECA4E0" w14:textId="77777777" w:rsidR="00716424" w:rsidRPr="00E57478" w:rsidRDefault="00716424" w:rsidP="00716424">
      <w:pPr>
        <w:spacing w:after="120" w:line="276" w:lineRule="auto"/>
        <w:ind w:firstLine="709"/>
        <w:jc w:val="both"/>
        <w:textAlignment w:val="baseline"/>
        <w:rPr>
          <w:rFonts w:ascii="Verdana" w:eastAsia="Verdana" w:hAnsi="Verdana" w:cs="Verdana"/>
        </w:rPr>
      </w:pPr>
      <w:r w:rsidRPr="00E57478">
        <w:rPr>
          <w:rFonts w:ascii="Verdana" w:eastAsia="Verdana" w:hAnsi="Verdana" w:cs="Verdana"/>
        </w:rPr>
        <w:t xml:space="preserve">En el caso de una negativa expresa de la aseguradora </w:t>
      </w:r>
      <w:r>
        <w:rPr>
          <w:rFonts w:ascii="Verdana" w:eastAsia="Verdana" w:hAnsi="Verdana" w:cs="Verdana"/>
        </w:rPr>
        <w:t xml:space="preserve">de ajustar o </w:t>
      </w:r>
      <w:r w:rsidRPr="00E57478">
        <w:rPr>
          <w:rFonts w:ascii="Verdana" w:eastAsia="Verdana" w:hAnsi="Verdana" w:cs="Verdana"/>
        </w:rPr>
        <w:t>expedir una nueva póliza, el contratista no queda liberado de su deber de mantener vigente la garantía. La responsabilidad de asegurar la continuidad de la cobertura es indelegable y constituye un requisito indispensable para la validez de la relación contractual. La Administración, en ejercicio de sus potestades de control, debe exigir al contratista la constitución de una nueva garantía, evitando que la ausencia de cobertura comprometa la ejecución del contrato y los fines de la contratación estatal.</w:t>
      </w:r>
    </w:p>
    <w:p w14:paraId="117DE392" w14:textId="77777777" w:rsidR="00716424" w:rsidRPr="00E57478" w:rsidRDefault="00716424" w:rsidP="00716424">
      <w:pPr>
        <w:spacing w:after="120" w:line="276" w:lineRule="auto"/>
        <w:ind w:firstLine="709"/>
        <w:jc w:val="both"/>
        <w:textAlignment w:val="baseline"/>
        <w:rPr>
          <w:rFonts w:ascii="Verdana" w:eastAsia="Verdana" w:hAnsi="Verdana" w:cs="Verdana"/>
        </w:rPr>
      </w:pPr>
      <w:r w:rsidRPr="00E57478">
        <w:rPr>
          <w:rFonts w:ascii="Verdana" w:eastAsia="Verdana" w:hAnsi="Verdana" w:cs="Verdana"/>
        </w:rPr>
        <w:t xml:space="preserve">El </w:t>
      </w:r>
      <w:r>
        <w:rPr>
          <w:rFonts w:ascii="Verdana" w:eastAsia="Verdana" w:hAnsi="Verdana" w:cs="Verdana"/>
        </w:rPr>
        <w:t>sistema de compras públicas</w:t>
      </w:r>
      <w:r w:rsidRPr="00E57478">
        <w:rPr>
          <w:rFonts w:ascii="Verdana" w:eastAsia="Verdana" w:hAnsi="Verdana" w:cs="Verdana"/>
        </w:rPr>
        <w:t xml:space="preserve"> ofrece mecanismos alternativos para cumplir con esta obligación. Además del contrato de seguro, el artículo 7 de la Ley 1150 de 2007 admite la constitución de garantías mediante </w:t>
      </w:r>
      <w:r>
        <w:rPr>
          <w:rFonts w:ascii="Verdana" w:eastAsia="Verdana" w:hAnsi="Verdana" w:cs="Verdana"/>
        </w:rPr>
        <w:t xml:space="preserve">garantía bancaria </w:t>
      </w:r>
      <w:r w:rsidRPr="00E57478">
        <w:rPr>
          <w:rFonts w:ascii="Verdana" w:eastAsia="Verdana" w:hAnsi="Verdana" w:cs="Verdana"/>
        </w:rPr>
        <w:t>o patrimonio autónomo conformado a través de fiducia mercantil. En consecuencia, la negativa de una compañía aseguradora, por sí sola, no acredita la imposibilidad de obtener la cobertura exigida. Ante tal escenario, el cesionario puede acudir a otra aseguradora o a cualquiera de los mecanismos alternativos previstos en la ley, y la entidad contratante debe requerirlo formalmente, garantizando que la ejecución contractual se mantenga bajo parámetros de legalidad, eficacia y protección del interés público.</w:t>
      </w:r>
    </w:p>
    <w:p w14:paraId="25900260" w14:textId="77777777" w:rsidR="00716424" w:rsidRPr="002D5853" w:rsidRDefault="00716424" w:rsidP="00716424">
      <w:pPr>
        <w:spacing w:after="0" w:line="276" w:lineRule="auto"/>
        <w:ind w:right="51"/>
        <w:jc w:val="both"/>
        <w:rPr>
          <w:rFonts w:ascii="Verdana" w:eastAsia="Calibri" w:hAnsi="Verdana" w:cs="Arial"/>
          <w:color w:val="000000" w:themeColor="text1"/>
        </w:rPr>
      </w:pPr>
    </w:p>
    <w:p w14:paraId="20B7F3E8" w14:textId="14A006F5" w:rsidR="00716424" w:rsidRPr="003E4CC9" w:rsidRDefault="00716424" w:rsidP="00716424">
      <w:pPr>
        <w:widowControl w:val="0"/>
        <w:autoSpaceDE w:val="0"/>
        <w:autoSpaceDN w:val="0"/>
        <w:spacing w:after="120" w:line="276" w:lineRule="auto"/>
        <w:jc w:val="both"/>
        <w:rPr>
          <w:rFonts w:ascii="Verdana" w:hAnsi="Verdana" w:cs="Arial"/>
          <w:color w:val="000000" w:themeColor="text1"/>
        </w:rPr>
      </w:pPr>
      <w:proofErr w:type="spellStart"/>
      <w:r>
        <w:rPr>
          <w:rFonts w:ascii="Verdana" w:hAnsi="Verdana"/>
        </w:rPr>
        <w:lastRenderedPageBreak/>
        <w:t>i</w:t>
      </w:r>
      <w:r w:rsidR="004F66DB">
        <w:rPr>
          <w:rFonts w:ascii="Verdana" w:hAnsi="Verdana"/>
        </w:rPr>
        <w:t>v</w:t>
      </w:r>
      <w:proofErr w:type="spellEnd"/>
      <w:r>
        <w:rPr>
          <w:rFonts w:ascii="Verdana" w:hAnsi="Verdana"/>
        </w:rPr>
        <w:t xml:space="preserve">. </w:t>
      </w:r>
      <w:r w:rsidRPr="003E4CC9">
        <w:rPr>
          <w:rFonts w:ascii="Verdana" w:eastAsia="Calibri" w:hAnsi="Verdana"/>
          <w:lang w:val="es-ES"/>
        </w:rPr>
        <w:t xml:space="preserve">Finalmente debe advertirse, que el análisis para resolver problemas específicos en torno a </w:t>
      </w:r>
      <w:r>
        <w:rPr>
          <w:rFonts w:ascii="Verdana" w:eastAsia="Calibri" w:hAnsi="Verdana"/>
          <w:lang w:val="es-ES"/>
        </w:rPr>
        <w:t xml:space="preserve">las cesiones contractuales </w:t>
      </w:r>
      <w:r w:rsidRPr="003E4CC9">
        <w:rPr>
          <w:rFonts w:ascii="Verdana" w:eastAsia="Calibri" w:hAnsi="Verdana"/>
          <w:lang w:val="es-ES"/>
        </w:rPr>
        <w:t>debe ser realizado por quienes tengan interés en ello</w:t>
      </w:r>
      <w:r w:rsidRPr="003E4CC9">
        <w:rPr>
          <w:rFonts w:ascii="Verdana" w:hAnsi="Verdana" w:cs="Arial"/>
          <w:color w:val="000000" w:themeColor="text1"/>
        </w:rPr>
        <w:t>. De esta forma, las afirmaciones aquí realizadas no pueden ser interpretadas como juicios de valor sobre circunstancias concretas relacionadas con los hechos que motivan la consulta. Por lo anterior, previo concepto de sus asesores, la solución de situaciones particulares corresponderá a los interesados de adoptar la decisión y, en caso de conflicto, a las autoridades judiciales, fiscales y disciplinarias.</w:t>
      </w:r>
    </w:p>
    <w:p w14:paraId="4C14D100" w14:textId="77777777" w:rsidR="00716424" w:rsidRPr="003E4CC9" w:rsidRDefault="00716424" w:rsidP="00716424">
      <w:pPr>
        <w:widowControl w:val="0"/>
        <w:autoSpaceDE w:val="0"/>
        <w:autoSpaceDN w:val="0"/>
        <w:spacing w:after="0" w:line="276" w:lineRule="auto"/>
        <w:ind w:firstLine="709"/>
        <w:jc w:val="both"/>
        <w:rPr>
          <w:rFonts w:ascii="Verdana" w:eastAsia="Calibri" w:hAnsi="Verdana" w:cs="Arial"/>
          <w:bCs/>
          <w:lang w:val="es-MX" w:eastAsia="es-ES_tradnl"/>
        </w:rPr>
      </w:pPr>
      <w:r w:rsidRPr="003E4CC9">
        <w:rPr>
          <w:rFonts w:ascii="Verdana" w:hAnsi="Verdana" w:cs="Arial"/>
          <w:color w:val="000000" w:themeColor="text1"/>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Por tanto, cada entidad definirá la forma de adelantar su gestión contractual, sin que sea atribución de Colombia Compra Eficiente validar sus actuaciones.</w:t>
      </w:r>
    </w:p>
    <w:p w14:paraId="55A2DAA8" w14:textId="77777777" w:rsidR="00716424" w:rsidRPr="003E4CC9" w:rsidRDefault="00716424" w:rsidP="00716424">
      <w:pPr>
        <w:spacing w:after="0" w:line="276" w:lineRule="auto"/>
        <w:jc w:val="both"/>
        <w:rPr>
          <w:rFonts w:ascii="Verdana" w:eastAsia="Calibri" w:hAnsi="Verdana" w:cs="Arial"/>
          <w:lang w:val="es-ES_tradnl" w:eastAsia="es-ES_tradnl"/>
        </w:rPr>
      </w:pPr>
    </w:p>
    <w:p w14:paraId="63AB4588" w14:textId="77777777" w:rsidR="00716424" w:rsidRPr="003E4CC9" w:rsidRDefault="00716424" w:rsidP="00716424">
      <w:pPr>
        <w:numPr>
          <w:ilvl w:val="0"/>
          <w:numId w:val="16"/>
        </w:numPr>
        <w:spacing w:after="0" w:line="276" w:lineRule="auto"/>
        <w:rPr>
          <w:rFonts w:ascii="Verdana" w:eastAsia="Calibri" w:hAnsi="Verdana" w:cs="Times New Roman"/>
          <w:b/>
          <w:bCs/>
          <w:lang w:val="es-ES"/>
        </w:rPr>
      </w:pPr>
      <w:r w:rsidRPr="003E4CC9">
        <w:rPr>
          <w:rFonts w:ascii="Verdana" w:eastAsia="Calibri" w:hAnsi="Verdana" w:cs="Times New Roman"/>
          <w:b/>
          <w:bCs/>
          <w:lang w:val="es-ES"/>
        </w:rPr>
        <w:t>Referencias normativas:</w:t>
      </w:r>
    </w:p>
    <w:p w14:paraId="3C975ED4" w14:textId="77777777" w:rsidR="00716424" w:rsidRPr="003E4CC9" w:rsidRDefault="00716424" w:rsidP="00716424">
      <w:pPr>
        <w:widowControl w:val="0"/>
        <w:autoSpaceDE w:val="0"/>
        <w:autoSpaceDN w:val="0"/>
        <w:spacing w:after="0" w:line="276" w:lineRule="auto"/>
        <w:jc w:val="both"/>
        <w:rPr>
          <w:rFonts w:ascii="Verdana" w:hAnsi="Verdana" w:cs="Arial"/>
        </w:rPr>
      </w:pPr>
    </w:p>
    <w:tbl>
      <w:tblPr>
        <w:tblStyle w:val="Tablaconcuadrcula11"/>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716424" w:rsidRPr="003E4CC9" w14:paraId="1161D0DB" w14:textId="77777777" w:rsidTr="001339DC">
        <w:trPr>
          <w:trHeight w:val="501"/>
          <w:jc w:val="center"/>
        </w:trPr>
        <w:tc>
          <w:tcPr>
            <w:tcW w:w="8647" w:type="dxa"/>
          </w:tcPr>
          <w:p w14:paraId="161DBE7D" w14:textId="079398B8" w:rsidR="00716424" w:rsidRDefault="00716424" w:rsidP="001339DC">
            <w:pPr>
              <w:widowControl w:val="0"/>
              <w:numPr>
                <w:ilvl w:val="0"/>
                <w:numId w:val="17"/>
              </w:numPr>
              <w:autoSpaceDE w:val="0"/>
              <w:autoSpaceDN w:val="0"/>
              <w:spacing w:before="120" w:after="120" w:line="276" w:lineRule="auto"/>
              <w:jc w:val="both"/>
              <w:rPr>
                <w:rFonts w:ascii="Verdana" w:hAnsi="Verdana" w:cs="Arial"/>
                <w:color w:val="000000" w:themeColor="text1"/>
                <w:lang w:val="es-ES"/>
              </w:rPr>
            </w:pPr>
            <w:r w:rsidRPr="006242DF">
              <w:rPr>
                <w:rFonts w:ascii="Verdana" w:hAnsi="Verdana" w:cs="Arial"/>
                <w:color w:val="000000" w:themeColor="text1"/>
                <w:lang w:val="es-ES"/>
              </w:rPr>
              <w:t xml:space="preserve">Ley 80 de 1993, artículos </w:t>
            </w:r>
            <w:r>
              <w:rPr>
                <w:rFonts w:ascii="Verdana" w:hAnsi="Verdana" w:cs="Arial"/>
                <w:color w:val="000000" w:themeColor="text1"/>
                <w:lang w:val="es-ES"/>
              </w:rPr>
              <w:t xml:space="preserve">2,6, 7, </w:t>
            </w:r>
            <w:r w:rsidRPr="006242DF">
              <w:rPr>
                <w:rFonts w:ascii="Verdana" w:hAnsi="Verdana" w:cs="Arial"/>
                <w:color w:val="000000" w:themeColor="text1"/>
                <w:lang w:val="es-ES"/>
              </w:rPr>
              <w:t xml:space="preserve">8, </w:t>
            </w:r>
            <w:r w:rsidR="00805C55">
              <w:rPr>
                <w:rFonts w:ascii="Verdana" w:hAnsi="Verdana" w:cs="Arial"/>
                <w:color w:val="000000" w:themeColor="text1"/>
                <w:lang w:val="es-ES"/>
              </w:rPr>
              <w:t xml:space="preserve">9, </w:t>
            </w:r>
            <w:r w:rsidRPr="006242DF">
              <w:rPr>
                <w:rFonts w:ascii="Verdana" w:hAnsi="Verdana" w:cs="Arial"/>
                <w:color w:val="000000" w:themeColor="text1"/>
                <w:lang w:val="es-ES"/>
              </w:rPr>
              <w:t>13, 32, 40</w:t>
            </w:r>
            <w:r>
              <w:rPr>
                <w:rFonts w:ascii="Verdana" w:hAnsi="Verdana" w:cs="Arial"/>
                <w:color w:val="000000" w:themeColor="text1"/>
                <w:lang w:val="es-ES"/>
              </w:rPr>
              <w:t xml:space="preserve">, </w:t>
            </w:r>
            <w:r w:rsidRPr="006242DF">
              <w:rPr>
                <w:rFonts w:ascii="Verdana" w:hAnsi="Verdana" w:cs="Arial"/>
                <w:color w:val="000000" w:themeColor="text1"/>
                <w:lang w:val="es-ES"/>
              </w:rPr>
              <w:t>41</w:t>
            </w:r>
            <w:r>
              <w:rPr>
                <w:rFonts w:ascii="Verdana" w:hAnsi="Verdana" w:cs="Arial"/>
                <w:color w:val="000000" w:themeColor="text1"/>
                <w:lang w:val="es-ES"/>
              </w:rPr>
              <w:t xml:space="preserve"> y 51.</w:t>
            </w:r>
          </w:p>
          <w:p w14:paraId="0E21823A" w14:textId="77777777" w:rsidR="00716424" w:rsidRPr="006242DF" w:rsidRDefault="00716424" w:rsidP="001339DC">
            <w:pPr>
              <w:widowControl w:val="0"/>
              <w:numPr>
                <w:ilvl w:val="0"/>
                <w:numId w:val="17"/>
              </w:numPr>
              <w:autoSpaceDE w:val="0"/>
              <w:autoSpaceDN w:val="0"/>
              <w:spacing w:before="120" w:after="120" w:line="276" w:lineRule="auto"/>
              <w:jc w:val="both"/>
              <w:rPr>
                <w:rFonts w:ascii="Verdana" w:hAnsi="Verdana" w:cs="Arial"/>
                <w:color w:val="000000" w:themeColor="text1"/>
                <w:lang w:val="es-ES"/>
              </w:rPr>
            </w:pPr>
            <w:r>
              <w:rPr>
                <w:rFonts w:ascii="Verdana" w:hAnsi="Verdana" w:cs="Arial"/>
                <w:color w:val="000000" w:themeColor="text1"/>
                <w:lang w:val="es-ES"/>
              </w:rPr>
              <w:t xml:space="preserve">Ley 1150 de 2007, artículo 7. </w:t>
            </w:r>
          </w:p>
          <w:p w14:paraId="368DA31E" w14:textId="77777777" w:rsidR="00716424" w:rsidRPr="006242DF" w:rsidRDefault="00716424" w:rsidP="001339DC">
            <w:pPr>
              <w:widowControl w:val="0"/>
              <w:numPr>
                <w:ilvl w:val="0"/>
                <w:numId w:val="17"/>
              </w:numPr>
              <w:autoSpaceDE w:val="0"/>
              <w:autoSpaceDN w:val="0"/>
              <w:spacing w:before="120" w:after="120" w:line="276" w:lineRule="auto"/>
              <w:jc w:val="both"/>
              <w:rPr>
                <w:rFonts w:ascii="Verdana" w:hAnsi="Verdana" w:cs="Arial"/>
                <w:color w:val="000000" w:themeColor="text1"/>
                <w:lang w:val="es-ES"/>
              </w:rPr>
            </w:pPr>
            <w:r w:rsidRPr="006242DF">
              <w:rPr>
                <w:rFonts w:ascii="Verdana" w:hAnsi="Verdana" w:cs="Arial"/>
                <w:color w:val="000000" w:themeColor="text1"/>
                <w:lang w:val="es-ES"/>
              </w:rPr>
              <w:t xml:space="preserve">Código Civil, artículos </w:t>
            </w:r>
            <w:r>
              <w:rPr>
                <w:rFonts w:ascii="Verdana" w:hAnsi="Verdana" w:cs="Arial"/>
                <w:color w:val="000000" w:themeColor="text1"/>
                <w:lang w:val="es-ES"/>
              </w:rPr>
              <w:t xml:space="preserve">73, 74, </w:t>
            </w:r>
            <w:r w:rsidRPr="006242DF">
              <w:rPr>
                <w:rFonts w:ascii="Verdana" w:hAnsi="Verdana" w:cs="Arial"/>
                <w:color w:val="000000" w:themeColor="text1"/>
                <w:lang w:val="es-ES"/>
              </w:rPr>
              <w:t>1501, 1959 y ss.</w:t>
            </w:r>
          </w:p>
          <w:p w14:paraId="72B78AA4" w14:textId="77777777" w:rsidR="00716424" w:rsidRDefault="00716424" w:rsidP="001339DC">
            <w:pPr>
              <w:widowControl w:val="0"/>
              <w:numPr>
                <w:ilvl w:val="0"/>
                <w:numId w:val="17"/>
              </w:numPr>
              <w:autoSpaceDE w:val="0"/>
              <w:autoSpaceDN w:val="0"/>
              <w:spacing w:before="120" w:after="120" w:line="276" w:lineRule="auto"/>
              <w:jc w:val="both"/>
              <w:rPr>
                <w:rFonts w:ascii="Verdana" w:hAnsi="Verdana" w:cs="Arial"/>
                <w:color w:val="000000" w:themeColor="text1"/>
                <w:lang w:val="es-ES"/>
              </w:rPr>
            </w:pPr>
            <w:r w:rsidRPr="006242DF">
              <w:rPr>
                <w:rFonts w:ascii="Verdana" w:hAnsi="Verdana" w:cs="Arial"/>
                <w:color w:val="000000" w:themeColor="text1"/>
                <w:lang w:val="es-ES"/>
              </w:rPr>
              <w:t>Código de Comercio, artículos 887 y ss.</w:t>
            </w:r>
          </w:p>
          <w:p w14:paraId="064EA021" w14:textId="77777777" w:rsidR="00716424" w:rsidRPr="00874B89" w:rsidRDefault="00716424" w:rsidP="001339DC">
            <w:pPr>
              <w:widowControl w:val="0"/>
              <w:numPr>
                <w:ilvl w:val="0"/>
                <w:numId w:val="17"/>
              </w:numPr>
              <w:autoSpaceDE w:val="0"/>
              <w:autoSpaceDN w:val="0"/>
              <w:spacing w:before="120" w:after="120" w:line="276" w:lineRule="auto"/>
              <w:jc w:val="both"/>
              <w:rPr>
                <w:rFonts w:ascii="Verdana" w:hAnsi="Verdana" w:cs="Arial"/>
                <w:color w:val="000000" w:themeColor="text1"/>
                <w:lang w:val="es-ES"/>
              </w:rPr>
            </w:pPr>
            <w:r w:rsidRPr="00373BA5">
              <w:rPr>
                <w:rFonts w:ascii="Verdana" w:eastAsia="Arial MT" w:hAnsi="Verdana" w:cs="Arial"/>
                <w:lang w:val="es-ES" w:eastAsia="es-ES" w:bidi="es-ES"/>
              </w:rPr>
              <w:t>Decreto 1082 de 2015, artículos 2.2.1.1.1.6.1, 2.2.1.1.2.1.1 y 2.2.1.1.2.1.3 y 2.2.1.2.3.1.1 a 2.2.1.2.3.1.19.</w:t>
            </w:r>
            <w:r w:rsidRPr="009037F6">
              <w:rPr>
                <w:rFonts w:ascii="Verdana" w:eastAsia="Arial MT" w:hAnsi="Verdana" w:cs="Arial"/>
                <w:lang w:val="es-ES" w:eastAsia="es-ES" w:bidi="es-ES"/>
              </w:rPr>
              <w:t xml:space="preserve">  </w:t>
            </w:r>
            <w:r w:rsidRPr="004F3BC3">
              <w:rPr>
                <w:rFonts w:ascii="Verdana" w:eastAsia="Arial MT" w:hAnsi="Verdana" w:cs="Arial"/>
                <w:lang w:val="es-ES" w:eastAsia="es-ES" w:bidi="es-ES"/>
              </w:rPr>
              <w:t xml:space="preserve"> </w:t>
            </w:r>
          </w:p>
        </w:tc>
      </w:tr>
    </w:tbl>
    <w:p w14:paraId="7096243E" w14:textId="77777777" w:rsidR="00716424" w:rsidRPr="003E4CC9" w:rsidRDefault="00716424" w:rsidP="00716424">
      <w:pPr>
        <w:spacing w:after="0" w:line="276" w:lineRule="auto"/>
        <w:ind w:right="709"/>
        <w:jc w:val="both"/>
        <w:rPr>
          <w:rFonts w:ascii="Verdana" w:hAnsi="Verdana" w:cs="Arial"/>
          <w:color w:val="000000" w:themeColor="text1"/>
          <w:lang w:val="es-ES_tradnl"/>
        </w:rPr>
      </w:pPr>
    </w:p>
    <w:p w14:paraId="4AF951B0" w14:textId="77777777" w:rsidR="00716424" w:rsidRPr="003E4CC9" w:rsidRDefault="00716424" w:rsidP="00716424">
      <w:pPr>
        <w:numPr>
          <w:ilvl w:val="0"/>
          <w:numId w:val="16"/>
        </w:numPr>
        <w:spacing w:after="0" w:line="276" w:lineRule="auto"/>
        <w:rPr>
          <w:rFonts w:ascii="Verdana" w:eastAsia="Calibri" w:hAnsi="Verdana" w:cs="Times New Roman"/>
          <w:b/>
          <w:bCs/>
          <w:lang w:val="es-ES"/>
        </w:rPr>
      </w:pPr>
      <w:r w:rsidRPr="003E4CC9">
        <w:rPr>
          <w:rFonts w:ascii="Verdana" w:eastAsia="Calibri" w:hAnsi="Verdana" w:cs="Times New Roman"/>
          <w:b/>
          <w:bCs/>
          <w:lang w:val="es-ES"/>
        </w:rPr>
        <w:t>Doctrina de la Agencia Nacional de Contratación Pública:</w:t>
      </w:r>
    </w:p>
    <w:p w14:paraId="59BFADD2" w14:textId="77777777" w:rsidR="00716424" w:rsidRPr="003E4CC9" w:rsidRDefault="00716424" w:rsidP="00716424">
      <w:pPr>
        <w:widowControl w:val="0"/>
        <w:autoSpaceDE w:val="0"/>
        <w:autoSpaceDN w:val="0"/>
        <w:spacing w:after="0" w:line="276" w:lineRule="auto"/>
        <w:jc w:val="both"/>
        <w:rPr>
          <w:rFonts w:ascii="Verdana" w:hAnsi="Verdana" w:cs="Arial"/>
          <w:bCs/>
          <w:shd w:val="clear" w:color="auto" w:fill="FFFFFF"/>
        </w:rPr>
      </w:pPr>
    </w:p>
    <w:p w14:paraId="297C25CF" w14:textId="77777777" w:rsidR="00716424" w:rsidRPr="00CB524C" w:rsidRDefault="00716424" w:rsidP="00716424">
      <w:pPr>
        <w:widowControl w:val="0"/>
        <w:autoSpaceDE w:val="0"/>
        <w:autoSpaceDN w:val="0"/>
        <w:spacing w:after="0" w:line="276" w:lineRule="auto"/>
        <w:jc w:val="both"/>
        <w:rPr>
          <w:rFonts w:ascii="Verdana" w:hAnsi="Verdana" w:cs="Arial"/>
          <w:bCs/>
          <w:shd w:val="clear" w:color="auto" w:fill="FFFFFF"/>
        </w:rPr>
      </w:pPr>
      <w:r w:rsidRPr="00856826">
        <w:rPr>
          <w:rFonts w:ascii="Verdana" w:eastAsia="Calibri" w:hAnsi="Verdana" w:cs="Arial"/>
          <w:color w:val="000000" w:themeColor="text1"/>
          <w:lang w:val="es-ES" w:eastAsia="es-ES_tradnl"/>
        </w:rPr>
        <w:t xml:space="preserve">La Agencia Nacional de Contratación Pública – Colombia Compra Eficiente </w:t>
      </w:r>
      <w:r w:rsidRPr="00D56495">
        <w:rPr>
          <w:rFonts w:ascii="Verdana" w:eastAsia="Calibri" w:hAnsi="Verdana" w:cs="Arial"/>
          <w:color w:val="000000" w:themeColor="text1"/>
          <w:lang w:eastAsia="es-ES_tradnl"/>
        </w:rPr>
        <w:t xml:space="preserve">se ha pronunciado sobre los consorcios y las uniones temporales en los Conceptos 4201912000006909 del 28 de octubre de 2029, 4201913000007643 del 26 de diciembre de 2019, C-343 del 17 de junio de 2020, C-518 del 9 de septiembre </w:t>
      </w:r>
      <w:r w:rsidRPr="00D56495">
        <w:rPr>
          <w:rFonts w:ascii="Verdana" w:eastAsia="Calibri" w:hAnsi="Verdana" w:cs="Arial"/>
          <w:color w:val="000000" w:themeColor="text1"/>
          <w:lang w:eastAsia="es-ES_tradnl"/>
        </w:rPr>
        <w:lastRenderedPageBreak/>
        <w:t>de 2020, C-614 del 5 de octubre de 2022, C-882 del 21 de diciembre de 2022, C-172 del 6 de junio de 2023, C-032 del 16 de abril de 2024, C-050 del 18 de julio de 2024, C-100 del 12 de junio de 2024, 727 del 28 de octubre de 2024, C-894 del 11 de diciembre de 2024, C-936 del 18 de diciembre de 2024, C-016 del 11 de febrero de 2025 y C-226 del 26 de marzo de 2025,</w:t>
      </w:r>
      <w:r>
        <w:rPr>
          <w:rFonts w:ascii="Verdana" w:eastAsia="Calibri" w:hAnsi="Verdana" w:cs="Arial"/>
          <w:color w:val="000000" w:themeColor="text1"/>
          <w:lang w:eastAsia="es-ES_tradnl"/>
        </w:rPr>
        <w:t xml:space="preserve"> C-934 del 21 de julio de 2026, C-995 del 14 de agosto de 2026,</w:t>
      </w:r>
      <w:r w:rsidRPr="00D56495">
        <w:rPr>
          <w:rFonts w:ascii="Verdana" w:eastAsia="Calibri" w:hAnsi="Verdana" w:cs="Arial"/>
          <w:color w:val="000000" w:themeColor="text1"/>
          <w:lang w:eastAsia="es-ES_tradnl"/>
        </w:rPr>
        <w:t xml:space="preserve"> entre otros.</w:t>
      </w:r>
      <w:r>
        <w:rPr>
          <w:rStyle w:val="normaltextrun"/>
          <w:rFonts w:ascii="Verdana" w:hAnsi="Verdana" w:cs="Arial"/>
          <w:color w:val="000000" w:themeColor="text1"/>
          <w:shd w:val="clear" w:color="auto" w:fill="FFFFFF"/>
          <w:lang w:val="es-ES"/>
        </w:rPr>
        <w:t xml:space="preserve"> En torno a la cesión de contratos, se han expedido los siguientes conceptos: </w:t>
      </w:r>
      <w:r w:rsidRPr="00390DBB">
        <w:rPr>
          <w:rFonts w:ascii="Verdana" w:hAnsi="Verdana" w:cs="Arial"/>
          <w:color w:val="000000" w:themeColor="text1"/>
          <w:shd w:val="clear" w:color="auto" w:fill="FFFFFF"/>
        </w:rPr>
        <w:t>Conceptos 4201913000007643 y 4201913000007669 del 26 de diciembre de 2019, así como en los Conceptos C-551 del 24 de septiembre de 2020, C-572 del 27 de agosto de 2020, C-582 del 28 de agosto de 2020, C-385 del 20 de agosto de 2021, C-069 del 24 de abril de 2023, C-868 del 20 de diciembre de 2024, C-880 del 30 de diciembre de 2024, C-214 del 25 de marzo de 2025</w:t>
      </w:r>
      <w:r>
        <w:rPr>
          <w:rFonts w:ascii="Verdana" w:hAnsi="Verdana" w:cs="Arial"/>
          <w:color w:val="000000" w:themeColor="text1"/>
          <w:shd w:val="clear" w:color="auto" w:fill="FFFFFF"/>
        </w:rPr>
        <w:t xml:space="preserve">, </w:t>
      </w:r>
      <w:r w:rsidRPr="00390DBB">
        <w:rPr>
          <w:rFonts w:ascii="Verdana" w:hAnsi="Verdana" w:cs="Arial"/>
          <w:color w:val="000000" w:themeColor="text1"/>
          <w:shd w:val="clear" w:color="auto" w:fill="FFFFFF"/>
        </w:rPr>
        <w:t>C-675 del 4 de junio de 2025</w:t>
      </w:r>
      <w:r>
        <w:rPr>
          <w:rFonts w:ascii="Verdana" w:hAnsi="Verdana" w:cs="Arial"/>
          <w:color w:val="000000" w:themeColor="text1"/>
          <w:shd w:val="clear" w:color="auto" w:fill="FFFFFF"/>
        </w:rPr>
        <w:t xml:space="preserve">, C-1051 del 15 de julio de 2026, entre otros. </w:t>
      </w:r>
      <w:r w:rsidRPr="003E4CC9">
        <w:rPr>
          <w:rFonts w:ascii="Verdana" w:eastAsia="Calibri" w:hAnsi="Verdana" w:cs="Times New Roman"/>
        </w:rPr>
        <w:t>Estos y otros conceptos se encuentran disponibles para consulta en el Sistema de Relatoría de la Agencia, en el cual también podrás encontrar jurisprudencia del Consejo de Estado, laudos arbitrales y la normativa de la contratación concordada con la doctrina de la Subdirección de Gestión Contractual, accede a través del siguiente enlace:</w:t>
      </w:r>
      <w:r w:rsidRPr="003E4CC9">
        <w:rPr>
          <w:rFonts w:ascii="Verdana" w:hAnsi="Verdana" w:cs="Arial"/>
          <w:bCs/>
          <w:shd w:val="clear" w:color="auto" w:fill="FFFFFF"/>
        </w:rPr>
        <w:t xml:space="preserve"> </w:t>
      </w:r>
      <w:hyperlink r:id="rId13" w:history="1">
        <w:r w:rsidRPr="003E4CC9">
          <w:rPr>
            <w:rFonts w:ascii="Verdana" w:eastAsia="Calibri" w:hAnsi="Verdana" w:cs="Times New Roman"/>
            <w:color w:val="0000FF"/>
            <w:u w:val="single"/>
            <w:lang w:val="es-ES"/>
          </w:rPr>
          <w:t>https://relatoria.colombiacompra.gov.co/busqueda/conceptos</w:t>
        </w:r>
      </w:hyperlink>
      <w:r w:rsidRPr="003E4CC9">
        <w:rPr>
          <w:rFonts w:ascii="Verdana" w:eastAsia="Calibri" w:hAnsi="Verdana" w:cs="Times New Roman"/>
        </w:rPr>
        <w:t xml:space="preserve">. </w:t>
      </w:r>
    </w:p>
    <w:p w14:paraId="1AC34BD8" w14:textId="77777777" w:rsidR="00716424" w:rsidRDefault="00716424" w:rsidP="00716424">
      <w:pPr>
        <w:widowControl w:val="0"/>
        <w:autoSpaceDE w:val="0"/>
        <w:autoSpaceDN w:val="0"/>
        <w:spacing w:after="0" w:line="276" w:lineRule="auto"/>
        <w:jc w:val="both"/>
        <w:rPr>
          <w:rFonts w:ascii="Verdana" w:eastAsia="Calibri" w:hAnsi="Verdana" w:cs="Times New Roman"/>
        </w:rPr>
      </w:pPr>
    </w:p>
    <w:p w14:paraId="5141688C" w14:textId="77777777" w:rsidR="00716424" w:rsidRPr="003D5C91" w:rsidRDefault="00716424" w:rsidP="00716424">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3D5C91">
        <w:rPr>
          <w:rFonts w:ascii="Verdana" w:eastAsia="Calibri" w:hAnsi="Verdana" w:cs="Arial"/>
          <w:b/>
          <w:bCs/>
          <w:color w:val="000000"/>
          <w:lang w:eastAsia="es-ES_tradnl"/>
        </w:rPr>
        <w:t>Guía para la Exigencia y Constitución de Garantías en los Procesos de Contratación</w:t>
      </w:r>
      <w:r w:rsidRPr="003D5C91">
        <w:rPr>
          <w:rFonts w:ascii="Verdana" w:eastAsia="Calibri" w:hAnsi="Verdana" w:cs="Arial"/>
          <w:color w:val="000000"/>
          <w:lang w:eastAsia="es-ES_tradnl"/>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4" w:tgtFrame="_blank" w:tooltip="https://www.colombiacompra.gov.co/archivos/manual/guia-de-garantias-en-procesos-de-contratacion" w:history="1">
        <w:r w:rsidRPr="003D5C91">
          <w:rPr>
            <w:rStyle w:val="Hipervnculo"/>
            <w:rFonts w:ascii="Verdana" w:eastAsia="Calibri" w:hAnsi="Verdana" w:cs="Arial"/>
            <w:lang w:eastAsia="es-ES_tradnl"/>
          </w:rPr>
          <w:t>https://www.colombiacompra.gov.co/archivos/manual/guia-de-garantias-en-procesos-de-contratacion</w:t>
        </w:r>
      </w:hyperlink>
    </w:p>
    <w:p w14:paraId="55549CD9" w14:textId="77777777" w:rsidR="00716424" w:rsidRDefault="00716424" w:rsidP="00716424">
      <w:pPr>
        <w:spacing w:after="0" w:line="276" w:lineRule="auto"/>
        <w:jc w:val="both"/>
        <w:rPr>
          <w:rFonts w:ascii="Verdana" w:eastAsia="Calibri" w:hAnsi="Verdana" w:cs="Arial"/>
          <w:color w:val="000000"/>
          <w:lang w:eastAsia="es-ES_tradnl"/>
        </w:rPr>
      </w:pPr>
    </w:p>
    <w:p w14:paraId="2A121071" w14:textId="77777777" w:rsidR="00716424" w:rsidRPr="003D5C91" w:rsidRDefault="00716424" w:rsidP="00716424">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De otro lado, te contamos que el Decreto 287 del 19 de marzo de 2026 sustituyó los artículos 2.2.1.2.4.2.6., 2.2.1.2.4.2.7. y 2.2.1.2.4.2.8. del Decreto 1082 de 2015 y estructuró el </w:t>
      </w:r>
      <w:r w:rsidRPr="003D5C91">
        <w:rPr>
          <w:rFonts w:ascii="Verdana" w:eastAsia="Calibri" w:hAnsi="Verdana" w:cs="Arial"/>
          <w:b/>
          <w:bCs/>
          <w:color w:val="000000"/>
          <w:lang w:eastAsia="es-ES_tradnl"/>
        </w:rPr>
        <w:t>Sistema Integral de Preferencias en favor de las personas con discapacidad</w:t>
      </w:r>
      <w:r w:rsidRPr="003D5C91">
        <w:rPr>
          <w:rFonts w:ascii="Verdana" w:eastAsia="Calibri" w:hAnsi="Verdana" w:cs="Arial"/>
          <w:color w:val="000000"/>
          <w:lang w:eastAsia="es-ES_tradnl"/>
        </w:rPr>
        <w:t xml:space="preserve">, en cumplimiento del artículo 13 de la Ley Estatutaria 1618 de 2013. Para orientar su aplicación, esta Agencia expidió </w:t>
      </w:r>
      <w:r w:rsidRPr="003D5C91">
        <w:rPr>
          <w:rFonts w:ascii="Verdana" w:eastAsia="Calibri" w:hAnsi="Verdana" w:cs="Arial"/>
          <w:color w:val="000000"/>
          <w:lang w:eastAsia="es-ES_tradnl"/>
        </w:rPr>
        <w:lastRenderedPageBreak/>
        <w:t>la </w:t>
      </w:r>
      <w:r w:rsidRPr="003D5C91">
        <w:rPr>
          <w:rFonts w:ascii="Verdana" w:eastAsia="Calibri" w:hAnsi="Verdana" w:cs="Arial"/>
          <w:b/>
          <w:bCs/>
          <w:color w:val="000000"/>
          <w:lang w:eastAsia="es-ES_tradnl"/>
        </w:rPr>
        <w:t>Circular Externa 003 del 12 de mayo de 2026, </w:t>
      </w:r>
      <w:r w:rsidRPr="003D5C91">
        <w:rPr>
          <w:rFonts w:ascii="Verdana" w:eastAsia="Calibri" w:hAnsi="Verdana" w:cs="Arial"/>
          <w:color w:val="000000"/>
          <w:lang w:eastAsia="es-ES_tradnl"/>
        </w:rPr>
        <w:t>en la que precisa quiénes son los beneficiarios, las cinco medidas que integran el sistema y su obligatoriedad según la modalidad de selección, y el régimen de transición aplicable a los procesos en curso. Consúltala aquí: </w:t>
      </w:r>
      <w:hyperlink r:id="rId15" w:tgtFrame="_blank" w:tooltip="https://www.colombiacompra.gov.co/archivos/circular/circular-externa-003-de-2026" w:history="1">
        <w:r w:rsidRPr="003D5C91">
          <w:rPr>
            <w:rStyle w:val="Hipervnculo"/>
            <w:rFonts w:ascii="Verdana" w:eastAsia="Calibri" w:hAnsi="Verdana" w:cs="Arial"/>
            <w:lang w:eastAsia="es-ES_tradnl"/>
          </w:rPr>
          <w:t>https://www.colombiacompra.gov.co/archivos/circular/circular-externa-003-de-2026</w:t>
        </w:r>
      </w:hyperlink>
    </w:p>
    <w:p w14:paraId="120D9034" w14:textId="77777777" w:rsidR="00716424" w:rsidRDefault="00716424" w:rsidP="00716424">
      <w:pPr>
        <w:spacing w:after="0" w:line="276" w:lineRule="auto"/>
        <w:jc w:val="both"/>
        <w:rPr>
          <w:rFonts w:ascii="Verdana" w:eastAsia="Calibri" w:hAnsi="Verdana" w:cs="Arial"/>
          <w:color w:val="000000"/>
          <w:lang w:eastAsia="es-ES_tradnl"/>
        </w:rPr>
      </w:pPr>
    </w:p>
    <w:p w14:paraId="2D61C381" w14:textId="77777777" w:rsidR="00716424" w:rsidRDefault="00716424" w:rsidP="00716424">
      <w:pPr>
        <w:spacing w:after="0" w:line="276" w:lineRule="auto"/>
        <w:jc w:val="both"/>
      </w:pPr>
      <w:r w:rsidRPr="003D5C91">
        <w:rPr>
          <w:rFonts w:ascii="Verdana" w:eastAsia="Calibri" w:hAnsi="Verdana" w:cs="Arial"/>
          <w:color w:val="000000"/>
          <w:lang w:eastAsia="es-ES_tradnl"/>
        </w:rPr>
        <w:t>Recuerda también que la</w:t>
      </w:r>
      <w:r w:rsidRPr="003D5C91">
        <w:rPr>
          <w:rFonts w:ascii="Verdana" w:eastAsia="Calibri" w:hAnsi="Verdana" w:cs="Arial"/>
          <w:b/>
          <w:bCs/>
          <w:color w:val="000000"/>
          <w:lang w:eastAsia="es-ES_tradnl"/>
        </w:rPr>
        <w:t> información sobre sanciones e inhabilidades </w:t>
      </w:r>
      <w:r w:rsidRPr="003D5C91">
        <w:rPr>
          <w:rFonts w:ascii="Verdana" w:eastAsia="Calibri" w:hAnsi="Verdana" w:cs="Arial"/>
          <w:color w:val="000000"/>
          <w:lang w:eastAsia="es-ES_tradnl"/>
        </w:rPr>
        <w:t>solo cumple su función preventiva si llega oportunamente a los registros públicos. Sobre este deber, esta Agencia expidió la </w:t>
      </w:r>
      <w:r w:rsidRPr="003D5C91">
        <w:rPr>
          <w:rFonts w:ascii="Verdana" w:eastAsia="Calibri" w:hAnsi="Verdana" w:cs="Arial"/>
          <w:b/>
          <w:bCs/>
          <w:color w:val="000000"/>
          <w:lang w:eastAsia="es-ES_tradnl"/>
        </w:rPr>
        <w:t>Circular Externa 002 del 5 de mayo de 2026,</w:t>
      </w:r>
      <w:r w:rsidRPr="003D5C91">
        <w:rPr>
          <w:rFonts w:ascii="Verdana" w:eastAsia="Calibri" w:hAnsi="Verdana" w:cs="Arial"/>
          <w:color w:val="000000"/>
          <w:lang w:eastAsia="es-ES_tradnl"/>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6" w:tgtFrame="_blank" w:tooltip="https://www.colombiacompra.gov.co/archivos/circular/circular-externa-002-de-2026" w:history="1">
        <w:r w:rsidRPr="003D5C91">
          <w:rPr>
            <w:rStyle w:val="Hipervnculo"/>
            <w:rFonts w:ascii="Verdana" w:eastAsia="Calibri" w:hAnsi="Verdana" w:cs="Arial"/>
            <w:lang w:eastAsia="es-ES_tradnl"/>
          </w:rPr>
          <w:t>https://www.colombiacompra.gov.co/archivos/circular/circular-externa-002-de-2026</w:t>
        </w:r>
      </w:hyperlink>
    </w:p>
    <w:p w14:paraId="1A95F093" w14:textId="77777777" w:rsidR="00716424" w:rsidRPr="003D5C91" w:rsidRDefault="00716424" w:rsidP="00716424">
      <w:pPr>
        <w:spacing w:after="0" w:line="276" w:lineRule="auto"/>
        <w:jc w:val="both"/>
        <w:rPr>
          <w:rFonts w:ascii="Verdana" w:eastAsia="Calibri" w:hAnsi="Verdana" w:cs="Arial"/>
          <w:color w:val="000000"/>
          <w:lang w:eastAsia="es-ES_tradnl"/>
        </w:rPr>
      </w:pPr>
    </w:p>
    <w:p w14:paraId="053B0089" w14:textId="77777777" w:rsidR="00716424" w:rsidRPr="003D5C91" w:rsidRDefault="00716424" w:rsidP="00716424">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Finalmente, si quieres seguir de cerca la actividad de la Agencia, la tercera edición de 2026 del</w:t>
      </w:r>
      <w:r w:rsidRPr="003D5C91">
        <w:rPr>
          <w:rFonts w:ascii="Verdana" w:eastAsia="Calibri" w:hAnsi="Verdana" w:cs="Arial"/>
          <w:b/>
          <w:bCs/>
          <w:color w:val="000000"/>
          <w:lang w:eastAsia="es-ES_tradnl"/>
        </w:rPr>
        <w:t> Radar de la Compra Pública</w:t>
      </w:r>
      <w:r w:rsidRPr="003D5C91">
        <w:rPr>
          <w:rFonts w:ascii="Verdana" w:eastAsia="Calibri" w:hAnsi="Verdana" w:cs="Arial"/>
          <w:color w:val="000000"/>
          <w:lang w:eastAsia="es-ES_tradnl"/>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17" w:tgtFrame="_blank" w:tooltip="https://www.colombiacompra.gov.co/archivos/boletin/boletin-edicion-n-3-de-2026-radar-de-la-compra-publica" w:history="1">
        <w:r w:rsidRPr="003D5C91">
          <w:rPr>
            <w:rStyle w:val="Hipervnculo"/>
            <w:rFonts w:ascii="Verdana" w:eastAsia="Calibri" w:hAnsi="Verdana" w:cs="Arial"/>
            <w:lang w:eastAsia="es-ES_tradnl"/>
          </w:rPr>
          <w:t>https://www.colombiacompra.gov.co/archivos/boletin/boletin-edicion-n-3-de-2026-radar-de-la-compra-publica</w:t>
        </w:r>
      </w:hyperlink>
    </w:p>
    <w:p w14:paraId="43904609" w14:textId="77777777" w:rsidR="00716424" w:rsidRDefault="00716424" w:rsidP="00716424">
      <w:pPr>
        <w:spacing w:after="0"/>
        <w:jc w:val="both"/>
        <w:rPr>
          <w:rFonts w:ascii="Verdana" w:hAnsi="Verdana"/>
        </w:rPr>
      </w:pPr>
    </w:p>
    <w:p w14:paraId="10DB9EF0" w14:textId="77777777" w:rsidR="00716424" w:rsidRPr="00116940" w:rsidRDefault="00716424" w:rsidP="00716424">
      <w:pPr>
        <w:spacing w:after="0"/>
        <w:jc w:val="both"/>
        <w:rPr>
          <w:rFonts w:ascii="Verdana" w:hAnsi="Verdana"/>
        </w:rPr>
      </w:pPr>
      <w:r w:rsidRPr="00E02524">
        <w:rPr>
          <w:rFonts w:ascii="Verdana" w:hAnsi="Verdana"/>
        </w:rPr>
        <w:t xml:space="preserve">Por último, aprovechamos la oportunidad de manifestar la entera disposición de la </w:t>
      </w:r>
      <w:r w:rsidRPr="00116940">
        <w:rPr>
          <w:rFonts w:ascii="Verdana" w:hAnsi="Verdana"/>
        </w:rPr>
        <w:t xml:space="preserve">Agencia Nacional de Contratación Pública –Colombia Compra Eficiente– para atender las peticiones o solicitudes, así como para brindar el apoyo que se requiera en el marco de nuestras funciones a través de nuestros diferentes canales de atención: </w:t>
      </w:r>
    </w:p>
    <w:p w14:paraId="546D2498" w14:textId="77777777" w:rsidR="00716424" w:rsidRPr="00116940" w:rsidRDefault="00716424" w:rsidP="00716424">
      <w:pPr>
        <w:spacing w:after="0"/>
        <w:jc w:val="both"/>
        <w:rPr>
          <w:rFonts w:ascii="Verdana" w:hAnsi="Verdana"/>
        </w:rPr>
      </w:pPr>
    </w:p>
    <w:p w14:paraId="7A21B907" w14:textId="77777777" w:rsidR="00716424" w:rsidRPr="00116940" w:rsidRDefault="00716424" w:rsidP="00716424">
      <w:pPr>
        <w:pStyle w:val="Prrafodelista"/>
        <w:numPr>
          <w:ilvl w:val="0"/>
          <w:numId w:val="15"/>
        </w:numPr>
        <w:spacing w:after="0" w:line="240" w:lineRule="auto"/>
        <w:jc w:val="both"/>
        <w:rPr>
          <w:rFonts w:ascii="Verdana" w:eastAsia="Verdana" w:hAnsi="Verdana" w:cs="Verdana"/>
          <w:color w:val="4472C4" w:themeColor="accent1"/>
          <w:u w:val="single"/>
          <w:lang w:val="es-MX"/>
        </w:rPr>
      </w:pPr>
      <w:r w:rsidRPr="00116940">
        <w:rPr>
          <w:rFonts w:ascii="Verdana" w:eastAsia="Verdana" w:hAnsi="Verdana" w:cs="Verdana"/>
          <w:lang w:val="es-MX"/>
        </w:rPr>
        <w:t xml:space="preserve">Línea nacional gratuita o servicio a la ciudadanía (Mesa de servicio): </w:t>
      </w:r>
      <w:r w:rsidRPr="00116940">
        <w:rPr>
          <w:rStyle w:val="Hipervnculo"/>
          <w:rFonts w:ascii="Verdana" w:hAnsi="Verdana"/>
        </w:rPr>
        <w:t>01800 0520808</w:t>
      </w:r>
    </w:p>
    <w:p w14:paraId="7AC42B43" w14:textId="77777777" w:rsidR="00716424" w:rsidRPr="00116940" w:rsidRDefault="00716424" w:rsidP="00716424">
      <w:pPr>
        <w:pStyle w:val="Prrafodelista"/>
        <w:numPr>
          <w:ilvl w:val="0"/>
          <w:numId w:val="15"/>
        </w:numPr>
        <w:spacing w:after="0"/>
        <w:rPr>
          <w:rFonts w:ascii="Verdana" w:eastAsia="Verdana" w:hAnsi="Verdana" w:cs="Verdana"/>
          <w:color w:val="4472C4" w:themeColor="accent1"/>
          <w:u w:val="single"/>
          <w:lang w:val="es-MX"/>
        </w:rPr>
      </w:pPr>
      <w:r w:rsidRPr="00116940">
        <w:rPr>
          <w:rFonts w:ascii="Verdana" w:eastAsia="Verdana" w:hAnsi="Verdana" w:cs="Verdana"/>
          <w:lang w:val="es-MX"/>
        </w:rPr>
        <w:t>Línea en Bogotá (Mesa de servicio</w:t>
      </w:r>
      <w:proofErr w:type="gramStart"/>
      <w:r w:rsidRPr="00116940">
        <w:rPr>
          <w:rFonts w:ascii="Verdana" w:eastAsia="Verdana" w:hAnsi="Verdana" w:cs="Verdana"/>
          <w:lang w:val="es-MX"/>
        </w:rPr>
        <w:t>):</w:t>
      </w:r>
      <w:r w:rsidRPr="00116940">
        <w:rPr>
          <w:rStyle w:val="Hipervnculo"/>
          <w:rFonts w:ascii="Verdana" w:hAnsi="Verdana"/>
        </w:rPr>
        <w:t>+</w:t>
      </w:r>
      <w:proofErr w:type="gramEnd"/>
      <w:r w:rsidRPr="00116940">
        <w:rPr>
          <w:rStyle w:val="Hipervnculo"/>
          <w:rFonts w:ascii="Verdana" w:hAnsi="Verdana"/>
        </w:rPr>
        <w:t>57 601 7456788</w:t>
      </w:r>
    </w:p>
    <w:p w14:paraId="52BCB4EE" w14:textId="77777777" w:rsidR="00716424" w:rsidRPr="00116940" w:rsidRDefault="00716424" w:rsidP="00716424">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lang w:val="es-MX"/>
        </w:rPr>
        <w:lastRenderedPageBreak/>
        <w:t xml:space="preserve">Correo de radicación de correspondencia: </w:t>
      </w:r>
      <w:hyperlink r:id="rId18">
        <w:r w:rsidRPr="00116940">
          <w:rPr>
            <w:rStyle w:val="Hipervnculo"/>
            <w:rFonts w:ascii="Verdana" w:eastAsia="Verdana" w:hAnsi="Verdana" w:cs="Verdana"/>
            <w:lang w:val="es-MX"/>
          </w:rPr>
          <w:t>ventanilladeradicacion@colombiacompra.gov.co</w:t>
        </w:r>
      </w:hyperlink>
    </w:p>
    <w:p w14:paraId="2C75F796" w14:textId="77777777" w:rsidR="00716424" w:rsidRPr="00116940" w:rsidRDefault="00716424" w:rsidP="00716424">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rPr>
        <w:t>Formulario web para</w:t>
      </w:r>
      <w:r w:rsidRPr="00116940">
        <w:rPr>
          <w:rFonts w:ascii="Verdana" w:eastAsia="Verdana" w:hAnsi="Verdana" w:cs="Verdana"/>
          <w:lang w:val="es"/>
        </w:rPr>
        <w:t xml:space="preserve"> PQRSD: </w:t>
      </w:r>
      <w:hyperlink r:id="rId19">
        <w:r w:rsidRPr="00116940">
          <w:rPr>
            <w:rStyle w:val="Hipervnculo"/>
            <w:rFonts w:ascii="Verdana" w:eastAsia="Verdana" w:hAnsi="Verdana" w:cs="Verdana"/>
            <w:lang w:val="es-MX"/>
          </w:rPr>
          <w:t>https://www.colombiacompra.gov.co/pqrsd/informacion-importante-antes-de-formular-una-pqrsd</w:t>
        </w:r>
      </w:hyperlink>
    </w:p>
    <w:p w14:paraId="44A80943" w14:textId="77777777" w:rsidR="00716424" w:rsidRPr="00116940" w:rsidRDefault="00716424" w:rsidP="00716424">
      <w:pPr>
        <w:spacing w:after="0" w:line="240" w:lineRule="auto"/>
        <w:ind w:left="720"/>
        <w:jc w:val="both"/>
        <w:rPr>
          <w:rFonts w:ascii="Verdana" w:hAnsi="Verdana"/>
        </w:rPr>
      </w:pPr>
    </w:p>
    <w:p w14:paraId="7D782C06" w14:textId="77777777" w:rsidR="00716424" w:rsidRPr="00116940" w:rsidRDefault="00716424" w:rsidP="00716424">
      <w:pPr>
        <w:spacing w:after="0" w:line="240" w:lineRule="auto"/>
        <w:rPr>
          <w:rFonts w:ascii="Verdana" w:hAnsi="Verdana"/>
        </w:rPr>
      </w:pPr>
      <w:r w:rsidRPr="00116940">
        <w:rPr>
          <w:rFonts w:ascii="Verdana" w:hAnsi="Verdana"/>
        </w:rPr>
        <w:t xml:space="preserve">Evalúa el servicio que ofrece la Agencia por el canal de atención de PQRSD en el siguiente </w:t>
      </w:r>
      <w:proofErr w:type="gramStart"/>
      <w:r w:rsidRPr="00116940">
        <w:rPr>
          <w:rFonts w:ascii="Verdana" w:hAnsi="Verdana"/>
        </w:rPr>
        <w:t>enlace :</w:t>
      </w:r>
      <w:proofErr w:type="gramEnd"/>
      <w:hyperlink r:id="rId20" w:tgtFrame="_blank" w:tooltip="https://forms.office.com/r/pphywvs2sz" w:history="1">
        <w:r w:rsidRPr="00116940">
          <w:rPr>
            <w:rStyle w:val="Hipervnculo"/>
            <w:rFonts w:ascii="Verdana" w:hAnsi="Verdana"/>
          </w:rPr>
          <w:t>https://forms.office.com/r/pPHyWVs2SZ</w:t>
        </w:r>
      </w:hyperlink>
      <w:r w:rsidRPr="00116940">
        <w:rPr>
          <w:rFonts w:ascii="Verdana" w:hAnsi="Verdana"/>
        </w:rPr>
        <w:t xml:space="preserve"> .¡Ayúdanos a mejorar porque el compromiso es de todos!</w:t>
      </w:r>
    </w:p>
    <w:p w14:paraId="063DD679" w14:textId="77777777" w:rsidR="00716424" w:rsidRPr="00116940" w:rsidRDefault="00716424" w:rsidP="00716424">
      <w:pPr>
        <w:spacing w:after="0" w:line="240" w:lineRule="auto"/>
        <w:rPr>
          <w:rFonts w:ascii="Verdana" w:hAnsi="Verdana"/>
        </w:rPr>
      </w:pPr>
    </w:p>
    <w:p w14:paraId="0D598FD7" w14:textId="77777777" w:rsidR="00716424" w:rsidRPr="00116940" w:rsidRDefault="00716424" w:rsidP="00716424">
      <w:pPr>
        <w:spacing w:after="0" w:line="240" w:lineRule="auto"/>
        <w:jc w:val="both"/>
        <w:rPr>
          <w:rFonts w:ascii="Verdana" w:hAnsi="Verdana"/>
        </w:rPr>
      </w:pPr>
      <w:r w:rsidRPr="00116940">
        <w:rPr>
          <w:rFonts w:ascii="Verdana" w:hAnsi="Verdana"/>
        </w:rPr>
        <w:t xml:space="preserve">Por último, lo invitamos a seguirnos en las redes sociales en las cuales se difunde información institucional: </w:t>
      </w:r>
    </w:p>
    <w:p w14:paraId="3FEFE134" w14:textId="77777777" w:rsidR="00716424" w:rsidRPr="00116940" w:rsidRDefault="00716424" w:rsidP="00716424">
      <w:pPr>
        <w:spacing w:after="0" w:line="240" w:lineRule="auto"/>
        <w:jc w:val="both"/>
        <w:rPr>
          <w:rFonts w:ascii="Verdana" w:hAnsi="Verdana"/>
        </w:rPr>
      </w:pPr>
    </w:p>
    <w:p w14:paraId="709F6746" w14:textId="77777777" w:rsidR="00716424" w:rsidRPr="00116940" w:rsidRDefault="00716424" w:rsidP="00716424">
      <w:pPr>
        <w:spacing w:after="0" w:line="240" w:lineRule="auto"/>
        <w:jc w:val="both"/>
        <w:rPr>
          <w:rFonts w:ascii="Verdana" w:hAnsi="Verdana"/>
        </w:rPr>
      </w:pPr>
      <w:r w:rsidRPr="00116940">
        <w:rPr>
          <w:rFonts w:ascii="Verdana" w:hAnsi="Verdana"/>
        </w:rPr>
        <w:t xml:space="preserve">Twitter: </w:t>
      </w:r>
      <w:r w:rsidRPr="00116940">
        <w:rPr>
          <w:rStyle w:val="Hipervnculo"/>
          <w:rFonts w:ascii="Verdana" w:hAnsi="Verdana"/>
        </w:rPr>
        <w:t>@colombiacompra</w:t>
      </w:r>
      <w:r w:rsidRPr="00116940">
        <w:rPr>
          <w:rFonts w:ascii="Verdana" w:hAnsi="Verdana"/>
        </w:rPr>
        <w:t xml:space="preserve"> </w:t>
      </w:r>
    </w:p>
    <w:p w14:paraId="2E49CB09" w14:textId="77777777" w:rsidR="00716424" w:rsidRPr="00116940" w:rsidRDefault="00716424" w:rsidP="00716424">
      <w:pPr>
        <w:spacing w:after="0" w:line="240" w:lineRule="auto"/>
        <w:jc w:val="both"/>
        <w:rPr>
          <w:rFonts w:ascii="Verdana" w:hAnsi="Verdana"/>
        </w:rPr>
      </w:pPr>
      <w:r w:rsidRPr="00116940">
        <w:rPr>
          <w:rFonts w:ascii="Verdana" w:hAnsi="Verdana"/>
        </w:rPr>
        <w:t xml:space="preserve">Facebook: </w:t>
      </w:r>
      <w:proofErr w:type="spellStart"/>
      <w:r w:rsidRPr="00116940">
        <w:rPr>
          <w:rStyle w:val="Hipervnculo"/>
          <w:rFonts w:ascii="Verdana" w:hAnsi="Verdana"/>
        </w:rPr>
        <w:t>ColombiaCompraEficiente</w:t>
      </w:r>
      <w:proofErr w:type="spellEnd"/>
    </w:p>
    <w:p w14:paraId="5FFEF39B" w14:textId="77777777" w:rsidR="00716424" w:rsidRPr="00116940" w:rsidRDefault="00716424" w:rsidP="00716424">
      <w:pPr>
        <w:spacing w:after="0" w:line="240" w:lineRule="auto"/>
        <w:jc w:val="both"/>
        <w:rPr>
          <w:rFonts w:ascii="Verdana" w:hAnsi="Verdana"/>
        </w:rPr>
      </w:pPr>
      <w:r w:rsidRPr="00116940">
        <w:rPr>
          <w:rFonts w:ascii="Verdana" w:hAnsi="Verdana"/>
        </w:rPr>
        <w:t xml:space="preserve">LinkedIn: </w:t>
      </w:r>
      <w:r w:rsidRPr="00116940">
        <w:rPr>
          <w:rStyle w:val="Hipervnculo"/>
          <w:rFonts w:ascii="Verdana" w:hAnsi="Verdana"/>
        </w:rPr>
        <w:t>Agencia Nacional de Contratación Pública - Colombia Compra Eficiente</w:t>
      </w:r>
      <w:r w:rsidRPr="00116940">
        <w:rPr>
          <w:rFonts w:ascii="Verdana" w:hAnsi="Verdana"/>
        </w:rPr>
        <w:t xml:space="preserve"> Instagram: </w:t>
      </w:r>
      <w:r w:rsidRPr="00116940">
        <w:rPr>
          <w:rStyle w:val="Hipervnculo"/>
          <w:rFonts w:ascii="Verdana" w:hAnsi="Verdana"/>
        </w:rPr>
        <w:t>@colombiacompraeficiente_cce</w:t>
      </w:r>
    </w:p>
    <w:p w14:paraId="52D46B42" w14:textId="77777777" w:rsidR="00716424" w:rsidRPr="00116940" w:rsidRDefault="00716424" w:rsidP="00716424">
      <w:pPr>
        <w:spacing w:after="0" w:line="240" w:lineRule="auto"/>
        <w:jc w:val="both"/>
        <w:rPr>
          <w:rFonts w:ascii="Verdana" w:hAnsi="Verdana"/>
        </w:rPr>
      </w:pPr>
    </w:p>
    <w:p w14:paraId="3A2396AC" w14:textId="77777777" w:rsidR="00716424" w:rsidRPr="009037F6" w:rsidRDefault="00716424" w:rsidP="00716424">
      <w:pPr>
        <w:spacing w:after="0" w:line="256" w:lineRule="auto"/>
        <w:jc w:val="both"/>
        <w:rPr>
          <w:rFonts w:ascii="Verdana" w:eastAsia="Calibri" w:hAnsi="Verdana" w:cs="Times New Roman"/>
          <w:bCs/>
          <w:lang w:val="es-ES_tradnl"/>
        </w:rPr>
      </w:pPr>
      <w:r w:rsidRPr="009037F6">
        <w:rPr>
          <w:rFonts w:ascii="Verdana" w:eastAsia="Calibri" w:hAnsi="Verdana" w:cs="Times New Roman"/>
          <w:lang w:val="es-ES_tradnl"/>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02581A35" w14:textId="77777777" w:rsidR="00716424" w:rsidRPr="00492C4A" w:rsidRDefault="00716424" w:rsidP="00716424">
      <w:pPr>
        <w:spacing w:after="0" w:line="256" w:lineRule="auto"/>
        <w:jc w:val="both"/>
        <w:rPr>
          <w:rFonts w:ascii="Verdana" w:eastAsia="Calibri" w:hAnsi="Verdana" w:cs="Times New Roman"/>
          <w:lang w:val="es-ES_tradnl"/>
        </w:rPr>
      </w:pPr>
    </w:p>
    <w:p w14:paraId="08F20EF1" w14:textId="77777777" w:rsidR="00716424" w:rsidRPr="00B513EA" w:rsidRDefault="00716424" w:rsidP="00716424">
      <w:pPr>
        <w:spacing w:after="0" w:line="256" w:lineRule="auto"/>
        <w:jc w:val="both"/>
        <w:rPr>
          <w:rFonts w:ascii="Verdana" w:eastAsia="Calibri" w:hAnsi="Verdana" w:cs="Times New Roman"/>
        </w:rPr>
      </w:pPr>
      <w:r w:rsidRPr="009037F6">
        <w:rPr>
          <w:rFonts w:ascii="Verdana" w:eastAsia="Calibri" w:hAnsi="Verdana" w:cs="Times New Roman"/>
        </w:rPr>
        <w:t>Atentamente,</w:t>
      </w:r>
    </w:p>
    <w:p w14:paraId="4933E30F" w14:textId="77777777" w:rsidR="00716424" w:rsidRDefault="00716424" w:rsidP="00716424">
      <w:pPr>
        <w:spacing w:after="0" w:line="256" w:lineRule="auto"/>
        <w:jc w:val="center"/>
        <w:rPr>
          <w:rFonts w:ascii="Century Gothic" w:hAnsi="Century Gothic"/>
          <w:noProof/>
          <w:sz w:val="16"/>
          <w:szCs w:val="16"/>
          <w:lang w:val="en-US"/>
        </w:rPr>
      </w:pPr>
    </w:p>
    <w:p w14:paraId="669A8710" w14:textId="15D3F321" w:rsidR="00716424" w:rsidRDefault="000B1A69" w:rsidP="00716424">
      <w:pPr>
        <w:spacing w:after="0" w:line="256" w:lineRule="auto"/>
        <w:jc w:val="center"/>
        <w:rPr>
          <w:rFonts w:ascii="Century Gothic" w:hAnsi="Century Gothic"/>
          <w:noProof/>
          <w:sz w:val="16"/>
          <w:szCs w:val="16"/>
          <w:lang w:val="en-US"/>
        </w:rPr>
      </w:pPr>
      <w:r w:rsidRPr="002C3AD6">
        <w:rPr>
          <w:rFonts w:ascii="Century Gothic" w:hAnsi="Century Gothic"/>
          <w:noProof/>
          <w:lang w:val="en-US"/>
        </w:rPr>
        <w:drawing>
          <wp:inline distT="0" distB="0" distL="0" distR="0" wp14:anchorId="7F22FA0F" wp14:editId="7BE01B6D">
            <wp:extent cx="3279697" cy="1217463"/>
            <wp:effectExtent l="0" t="0" r="0" b="1905"/>
            <wp:docPr id="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77293" name="Imagen 1" descr="Texto&#10;&#10;Descripción generada automáticamente"/>
                    <pic:cNvPicPr/>
                  </pic:nvPicPr>
                  <pic:blipFill>
                    <a:blip r:embed="rId21"/>
                    <a:stretch>
                      <a:fillRect/>
                    </a:stretch>
                  </pic:blipFill>
                  <pic:spPr>
                    <a:xfrm>
                      <a:off x="0" y="0"/>
                      <a:ext cx="3312722" cy="1229722"/>
                    </a:xfrm>
                    <a:prstGeom prst="rect">
                      <a:avLst/>
                    </a:prstGeom>
                  </pic:spPr>
                </pic:pic>
              </a:graphicData>
            </a:graphic>
          </wp:inline>
        </w:drawing>
      </w:r>
    </w:p>
    <w:p w14:paraId="513C4C73" w14:textId="77777777" w:rsidR="00716424" w:rsidRPr="002961A6" w:rsidRDefault="00716424" w:rsidP="00716424">
      <w:pPr>
        <w:spacing w:after="0" w:line="256" w:lineRule="auto"/>
        <w:jc w:val="center"/>
        <w:rPr>
          <w:rFonts w:ascii="Century Gothic" w:hAnsi="Century Gothic"/>
          <w:noProof/>
          <w:sz w:val="16"/>
          <w:szCs w:val="16"/>
          <w:lang w:val="en-US"/>
        </w:rPr>
      </w:pPr>
    </w:p>
    <w:tbl>
      <w:tblPr>
        <w:tblW w:w="57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
        <w:gridCol w:w="4937"/>
      </w:tblGrid>
      <w:tr w:rsidR="00716424" w:rsidRPr="00D56F8A" w14:paraId="240AA2E5" w14:textId="77777777" w:rsidTr="001339DC">
        <w:trPr>
          <w:trHeight w:val="409"/>
        </w:trPr>
        <w:tc>
          <w:tcPr>
            <w:tcW w:w="817" w:type="dxa"/>
            <w:tcBorders>
              <w:top w:val="nil"/>
              <w:left w:val="nil"/>
              <w:bottom w:val="nil"/>
              <w:right w:val="nil"/>
            </w:tcBorders>
            <w:vAlign w:val="center"/>
            <w:hideMark/>
          </w:tcPr>
          <w:p w14:paraId="114DB73D"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Elaboró: </w:t>
            </w:r>
          </w:p>
        </w:tc>
        <w:tc>
          <w:tcPr>
            <w:tcW w:w="4937" w:type="dxa"/>
            <w:tcBorders>
              <w:top w:val="nil"/>
              <w:left w:val="nil"/>
              <w:bottom w:val="dotted" w:sz="6" w:space="0" w:color="7F7F7F" w:themeColor="text1" w:themeTint="80"/>
              <w:right w:val="nil"/>
            </w:tcBorders>
            <w:vAlign w:val="center"/>
            <w:hideMark/>
          </w:tcPr>
          <w:p w14:paraId="6D7B625E"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José Luis Sánchez Cardona</w:t>
            </w:r>
          </w:p>
          <w:p w14:paraId="3179ADBB"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Contratista de la Subdirección de Gestión Contractual</w:t>
            </w:r>
          </w:p>
        </w:tc>
      </w:tr>
      <w:tr w:rsidR="00716424" w:rsidRPr="00D56F8A" w14:paraId="59B72A99" w14:textId="77777777" w:rsidTr="001339DC">
        <w:trPr>
          <w:trHeight w:val="409"/>
        </w:trPr>
        <w:tc>
          <w:tcPr>
            <w:tcW w:w="817" w:type="dxa"/>
            <w:tcBorders>
              <w:top w:val="nil"/>
              <w:left w:val="nil"/>
              <w:bottom w:val="nil"/>
              <w:right w:val="nil"/>
            </w:tcBorders>
            <w:vAlign w:val="center"/>
            <w:hideMark/>
          </w:tcPr>
          <w:p w14:paraId="4717FB5D"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Revisó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7E130642"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Alejandro R. Sarmiento Cantillo</w:t>
            </w:r>
          </w:p>
          <w:p w14:paraId="3AE40C43"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Gestor T1-15 de la Subdirección de Gestión Contractual </w:t>
            </w:r>
          </w:p>
        </w:tc>
      </w:tr>
      <w:tr w:rsidR="00716424" w:rsidRPr="00D56F8A" w14:paraId="118FEBFC" w14:textId="77777777" w:rsidTr="001339DC">
        <w:trPr>
          <w:trHeight w:val="389"/>
        </w:trPr>
        <w:tc>
          <w:tcPr>
            <w:tcW w:w="817" w:type="dxa"/>
            <w:tcBorders>
              <w:top w:val="nil"/>
              <w:left w:val="nil"/>
              <w:bottom w:val="nil"/>
              <w:right w:val="nil"/>
            </w:tcBorders>
            <w:vAlign w:val="center"/>
            <w:hideMark/>
          </w:tcPr>
          <w:p w14:paraId="62EA1BA0"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Aprobó: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4A32C67B"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Carolina Quintero Gacharná</w:t>
            </w:r>
          </w:p>
          <w:p w14:paraId="18F5321B" w14:textId="77777777" w:rsidR="00716424" w:rsidRPr="00D56F8A" w:rsidRDefault="00716424" w:rsidP="001339DC">
            <w:pPr>
              <w:spacing w:after="0" w:line="256" w:lineRule="auto"/>
              <w:rPr>
                <w:rFonts w:ascii="Verdana" w:eastAsia="Calibri" w:hAnsi="Verdana" w:cs="Times New Roman"/>
                <w:sz w:val="16"/>
                <w:szCs w:val="16"/>
              </w:rPr>
            </w:pPr>
            <w:r w:rsidRPr="00D56F8A">
              <w:rPr>
                <w:rFonts w:ascii="Verdana" w:eastAsia="Calibri" w:hAnsi="Verdana" w:cs="Times New Roman"/>
                <w:sz w:val="16"/>
                <w:szCs w:val="16"/>
              </w:rPr>
              <w:t>Subdirectora de Gestión Contractual ANCP – CCE</w:t>
            </w:r>
          </w:p>
        </w:tc>
      </w:tr>
    </w:tbl>
    <w:p w14:paraId="5B6B8041" w14:textId="13E59348" w:rsidR="00716424" w:rsidRPr="000E2B93" w:rsidRDefault="00716424" w:rsidP="00716424">
      <w:pPr>
        <w:spacing w:after="0" w:line="240" w:lineRule="auto"/>
        <w:textAlignment w:val="baseline"/>
        <w:rPr>
          <w:rFonts w:ascii="Verdana" w:eastAsia="Verdana" w:hAnsi="Verdana" w:cs="Verdana"/>
          <w:lang w:eastAsia="es-CO"/>
        </w:rPr>
      </w:pPr>
      <w:r w:rsidRPr="30821638">
        <w:rPr>
          <w:rFonts w:ascii="Verdana" w:eastAsia="Verdana" w:hAnsi="Verdana" w:cs="Verdana"/>
          <w:lang w:eastAsia="es-CO"/>
        </w:rPr>
        <w:t> </w:t>
      </w:r>
      <w:bookmarkEnd w:id="0"/>
    </w:p>
    <w:p w14:paraId="0EE85FDE" w14:textId="77777777" w:rsidR="00C60D32" w:rsidRPr="00716424" w:rsidRDefault="00C60D32" w:rsidP="00716424"/>
    <w:sectPr w:rsidR="00C60D32" w:rsidRPr="00716424" w:rsidSect="007C0C0F">
      <w:headerReference w:type="default" r:id="rId22"/>
      <w:footerReference w:type="default" r:id="rId23"/>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420B0" w14:textId="77777777" w:rsidR="00981EA2" w:rsidRDefault="00981EA2" w:rsidP="004A1847">
      <w:pPr>
        <w:spacing w:after="0" w:line="240" w:lineRule="auto"/>
      </w:pPr>
      <w:r>
        <w:separator/>
      </w:r>
    </w:p>
  </w:endnote>
  <w:endnote w:type="continuationSeparator" w:id="0">
    <w:p w14:paraId="5B935E10" w14:textId="77777777" w:rsidR="00981EA2" w:rsidRDefault="00981EA2"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BE429B" w:rsidRDefault="00BE429B">
    <w:pPr>
      <w:pStyle w:val="Piedepgina"/>
    </w:pPr>
  </w:p>
  <w:p w14:paraId="594D6D9F" w14:textId="4827F3E8" w:rsidR="00BE429B" w:rsidRPr="00174B77" w:rsidRDefault="00BE429B"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sidR="00D8371D" w:rsidRPr="00D8371D">
      <w:rPr>
        <w:rFonts w:ascii="Verdana" w:eastAsiaTheme="minorEastAsia" w:hAnsi="Verdana"/>
        <w:b/>
        <w:bCs/>
        <w:noProof/>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0A735DD5" w14:textId="77777777" w:rsidR="00BE429B" w:rsidRDefault="00BE429B"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06E36B88" w14:textId="77777777" w:rsidR="00BE429B" w:rsidRPr="00E41027" w:rsidRDefault="00BE429B" w:rsidP="00D520D8">
    <w:pPr>
      <w:spacing w:after="0"/>
      <w:jc w:val="both"/>
      <w:rPr>
        <w:rFonts w:ascii="Verdana" w:hAnsi="Verdana"/>
        <w:sz w:val="18"/>
        <w:szCs w:val="18"/>
      </w:rPr>
    </w:pPr>
    <w:r w:rsidRPr="00E41027">
      <w:rPr>
        <w:rFonts w:ascii="Verdana" w:hAnsi="Verdana"/>
        <w:sz w:val="18"/>
        <w:szCs w:val="18"/>
      </w:rPr>
      <w:t>Mesa de servicio: (+57) 601 7456788</w:t>
    </w:r>
  </w:p>
  <w:p w14:paraId="744661F5" w14:textId="46D7CAE9" w:rsidR="00BE429B" w:rsidRDefault="00BE429B" w:rsidP="0025796E">
    <w:pPr>
      <w:pBdr>
        <w:top w:val="nil"/>
        <w:left w:val="nil"/>
        <w:bottom w:val="nil"/>
        <w:right w:val="nil"/>
        <w:between w:val="nil"/>
      </w:pBdr>
      <w:tabs>
        <w:tab w:val="center" w:pos="4419"/>
        <w:tab w:val="right" w:pos="8838"/>
        <w:tab w:val="center" w:pos="5400"/>
      </w:tabs>
      <w:spacing w:after="0"/>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Pr="004A305D">
      <w:rPr>
        <w:rFonts w:ascii="Century Gothic" w:eastAsia="Geo" w:hAnsi="Century Gothic" w:cs="Geo"/>
        <w:b/>
        <w:color w:val="000000"/>
        <w:sz w:val="16"/>
        <w:szCs w:val="16"/>
        <w:lang w:eastAsia="es-CO"/>
      </w:rPr>
      <w:t xml:space="preserve">Código: </w:t>
    </w:r>
    <w:r w:rsidRPr="004A305D">
      <w:rPr>
        <w:rFonts w:ascii="Century Gothic" w:eastAsia="Geo" w:hAnsi="Century Gothic" w:cs="Geo"/>
        <w:bCs/>
        <w:color w:val="000000"/>
        <w:sz w:val="16"/>
        <w:szCs w:val="16"/>
        <w:lang w:eastAsia="es-CO"/>
      </w:rPr>
      <w:t>CCE-</w:t>
    </w:r>
    <w:r>
      <w:rPr>
        <w:rFonts w:ascii="Century Gothic" w:eastAsia="Geo" w:hAnsi="Century Gothic" w:cs="Geo"/>
        <w:bCs/>
        <w:color w:val="000000"/>
        <w:sz w:val="16"/>
        <w:szCs w:val="16"/>
        <w:lang w:eastAsia="es-CO"/>
      </w:rPr>
      <w:t>REC</w:t>
    </w:r>
    <w:r w:rsidRPr="004A305D">
      <w:rPr>
        <w:rFonts w:ascii="Century Gothic" w:eastAsia="Geo" w:hAnsi="Century Gothic" w:cs="Geo"/>
        <w:bCs/>
        <w:color w:val="000000"/>
        <w:sz w:val="16"/>
        <w:szCs w:val="16"/>
        <w:lang w:eastAsia="es-CO"/>
      </w:rPr>
      <w:t>-FM-</w:t>
    </w:r>
    <w:r>
      <w:rPr>
        <w:rFonts w:ascii="Century Gothic" w:eastAsia="Geo" w:hAnsi="Century Gothic" w:cs="Geo"/>
        <w:bCs/>
        <w:color w:val="000000"/>
        <w:sz w:val="16"/>
        <w:szCs w:val="16"/>
        <w:lang w:eastAsia="es-CO"/>
      </w:rPr>
      <w:t xml:space="preserve">17 </w:t>
    </w:r>
    <w:r w:rsidRPr="004A305D">
      <w:rPr>
        <w:rFonts w:ascii="Century Gothic" w:eastAsia="Geo" w:hAnsi="Century Gothic" w:cs="Geo"/>
        <w:b/>
        <w:color w:val="000000"/>
        <w:sz w:val="16"/>
        <w:szCs w:val="16"/>
        <w:lang w:eastAsia="es-CO"/>
      </w:rPr>
      <w:t>V</w:t>
    </w:r>
    <w:r w:rsidRPr="004A305D">
      <w:rPr>
        <w:rFonts w:ascii="Century Gothic" w:eastAsia="Arial Nova" w:hAnsi="Century Gothic" w:cs="Arial Nova"/>
        <w:b/>
        <w:color w:val="000000"/>
        <w:sz w:val="16"/>
        <w:szCs w:val="16"/>
        <w:lang w:eastAsia="es-CO"/>
      </w:rPr>
      <w:t xml:space="preserve">: </w:t>
    </w:r>
    <w:r w:rsidRPr="004A305D">
      <w:rPr>
        <w:rFonts w:ascii="Century Gothic" w:eastAsia="Geo" w:hAnsi="Century Gothic" w:cs="Geo"/>
        <w:sz w:val="16"/>
        <w:szCs w:val="16"/>
        <w:lang w:eastAsia="es-CO"/>
      </w:rPr>
      <w:t>0</w:t>
    </w:r>
    <w:r>
      <w:rPr>
        <w:rFonts w:ascii="Century Gothic" w:eastAsia="Geo" w:hAnsi="Century Gothic" w:cs="Geo"/>
        <w:sz w:val="16"/>
        <w:szCs w:val="16"/>
        <w:lang w:eastAsia="es-CO"/>
      </w:rPr>
      <w:t>3</w:t>
    </w:r>
    <w:r w:rsidRPr="004A305D">
      <w:rPr>
        <w:rFonts w:ascii="Century Gothic" w:eastAsia="Geo" w:hAnsi="Century Gothic" w:cs="Geo"/>
        <w:sz w:val="16"/>
        <w:szCs w:val="16"/>
        <w:lang w:eastAsia="es-CO"/>
      </w:rPr>
      <w:t xml:space="preserve"> </w:t>
    </w:r>
    <w:r>
      <w:rPr>
        <w:rFonts w:ascii="Century Gothic" w:eastAsia="Geo" w:hAnsi="Century Gothic" w:cs="Geo"/>
        <w:sz w:val="16"/>
        <w:szCs w:val="16"/>
        <w:lang w:eastAsia="es-CO"/>
      </w:rPr>
      <w:t>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2BCC8" w14:textId="77777777" w:rsidR="00981EA2" w:rsidRDefault="00981EA2" w:rsidP="004A1847">
      <w:pPr>
        <w:spacing w:after="0" w:line="240" w:lineRule="auto"/>
      </w:pPr>
      <w:r>
        <w:separator/>
      </w:r>
    </w:p>
  </w:footnote>
  <w:footnote w:type="continuationSeparator" w:id="0">
    <w:p w14:paraId="1C8A33F8" w14:textId="77777777" w:rsidR="00981EA2" w:rsidRDefault="00981EA2" w:rsidP="004A1847">
      <w:pPr>
        <w:spacing w:after="0" w:line="240" w:lineRule="auto"/>
      </w:pPr>
      <w:r>
        <w:continuationSeparator/>
      </w:r>
    </w:p>
  </w:footnote>
  <w:footnote w:id="1">
    <w:p w14:paraId="1775E85F" w14:textId="77777777" w:rsidR="00716424" w:rsidRPr="00E663C5" w:rsidRDefault="00716424" w:rsidP="00716424">
      <w:pPr>
        <w:pStyle w:val="Textonotapie"/>
        <w:ind w:firstLine="708"/>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Al respecto, el artículo 887 del Código de Comercio dispone lo siguiente: “En los contratos mercantiles de ejecución periódica o sucesiva cada una de las partes podrá hacerse sustituir por un tercero, en la totalidad o en parte de las relaciones derivadas del contrato, sin necesidad de aceptación expresa del contratante cedido, si por la ley o por estipulación de las mismas partes no se ha prohibido o limitado dicha sustitución.</w:t>
      </w:r>
    </w:p>
    <w:p w14:paraId="216037FD" w14:textId="77777777" w:rsidR="00716424" w:rsidRPr="00E663C5" w:rsidRDefault="00716424" w:rsidP="00716424">
      <w:pPr>
        <w:pStyle w:val="Textonotapie"/>
        <w:ind w:firstLine="708"/>
        <w:jc w:val="both"/>
        <w:rPr>
          <w:rFonts w:ascii="Verdana" w:hAnsi="Verdana" w:cs="Arial"/>
          <w:sz w:val="15"/>
          <w:szCs w:val="15"/>
        </w:rPr>
      </w:pPr>
      <w:r w:rsidRPr="00E663C5">
        <w:rPr>
          <w:rFonts w:ascii="Verdana" w:hAnsi="Verdana" w:cs="Arial"/>
          <w:sz w:val="15"/>
          <w:szCs w:val="15"/>
        </w:rPr>
        <w:t xml:space="preserve">La misma sustitución podrá hacerse en los contratos mercantiles de ejecución instantánea que aún no hayan sido cumplidos en todo o en parte, y en los celebrados </w:t>
      </w:r>
      <w:r w:rsidRPr="00E663C5">
        <w:rPr>
          <w:rFonts w:ascii="Verdana" w:hAnsi="Verdana" w:cs="Arial"/>
          <w:i/>
          <w:iCs/>
          <w:sz w:val="15"/>
          <w:szCs w:val="15"/>
        </w:rPr>
        <w:t>intuitu personae</w:t>
      </w:r>
      <w:r w:rsidRPr="00E663C5">
        <w:rPr>
          <w:rFonts w:ascii="Verdana" w:hAnsi="Verdana" w:cs="Arial"/>
          <w:sz w:val="15"/>
          <w:szCs w:val="15"/>
        </w:rPr>
        <w:t>, pero en estos casos será necesaria la aceptación del contratante cedido”.</w:t>
      </w:r>
    </w:p>
    <w:p w14:paraId="0350B696" w14:textId="77777777" w:rsidR="00716424" w:rsidRPr="00E663C5" w:rsidRDefault="00716424" w:rsidP="00716424">
      <w:pPr>
        <w:pStyle w:val="Textonotapie"/>
        <w:ind w:firstLine="708"/>
        <w:jc w:val="both"/>
        <w:rPr>
          <w:rFonts w:ascii="Verdana" w:hAnsi="Verdana" w:cs="Arial"/>
          <w:sz w:val="15"/>
          <w:szCs w:val="15"/>
        </w:rPr>
      </w:pPr>
      <w:r w:rsidRPr="00E663C5">
        <w:rPr>
          <w:rFonts w:ascii="Verdana" w:hAnsi="Verdana" w:cs="Arial"/>
          <w:sz w:val="15"/>
          <w:szCs w:val="15"/>
        </w:rPr>
        <w:t>En contraste, el artículo 1959 del Código Civil prescribe que “La cesión de un crédito, a cualquier título que se haga, no tendrá efecto entre el cedente y el cesionario sino en virtud de la entrega del título. Pero si el crédito que se cede no consta en documento, la cesión puede hacerse otorgándose uno por el cedente al cesionario, y en este caso la notificación de que trata el artículo 1961 debe hacerse con exhibición de dicho documento”.</w:t>
      </w:r>
    </w:p>
  </w:footnote>
  <w:footnote w:id="2">
    <w:p w14:paraId="4A794B85" w14:textId="77777777" w:rsidR="00716424" w:rsidRPr="00E663C5" w:rsidRDefault="00716424" w:rsidP="00716424">
      <w:pPr>
        <w:pStyle w:val="Textonotapie"/>
        <w:ind w:firstLine="708"/>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ANDREOLI, </w:t>
      </w:r>
      <w:r w:rsidRPr="00E663C5">
        <w:rPr>
          <w:rFonts w:ascii="Verdana" w:hAnsi="Verdana" w:cs="Arial"/>
          <w:sz w:val="15"/>
          <w:szCs w:val="15"/>
        </w:rPr>
        <w:t xml:space="preserve">Marcello. La cesión del contrato. Santiago: Ediciones Olejnik, 2019. p. 12. Énfasis dentro del texto. En este contexto, “La cesión del contrato sirve para hacer posible la </w:t>
      </w:r>
      <w:r w:rsidRPr="00E663C5">
        <w:rPr>
          <w:rFonts w:ascii="Verdana" w:hAnsi="Verdana" w:cs="Arial"/>
          <w:i/>
          <w:iCs/>
          <w:sz w:val="15"/>
          <w:szCs w:val="15"/>
        </w:rPr>
        <w:t>circulación del contrato en su integridad</w:t>
      </w:r>
      <w:r w:rsidRPr="00E663C5">
        <w:rPr>
          <w:rFonts w:ascii="Verdana" w:hAnsi="Verdana" w:cs="Arial"/>
          <w:sz w:val="15"/>
          <w:szCs w:val="15"/>
        </w:rPr>
        <w:t xml:space="preserve">, es decir, para hacer </w:t>
      </w:r>
      <w:r w:rsidRPr="00E663C5">
        <w:rPr>
          <w:rFonts w:ascii="Verdana" w:hAnsi="Verdana" w:cs="Arial"/>
          <w:i/>
          <w:iCs/>
          <w:sz w:val="15"/>
          <w:szCs w:val="15"/>
        </w:rPr>
        <w:t>subintrar</w:t>
      </w:r>
      <w:r w:rsidRPr="00E663C5">
        <w:rPr>
          <w:rFonts w:ascii="Verdana" w:hAnsi="Verdana" w:cs="Arial"/>
          <w:sz w:val="15"/>
          <w:szCs w:val="15"/>
        </w:rPr>
        <w:t xml:space="preserve"> un extraño en la categoría de </w:t>
      </w:r>
      <w:r w:rsidRPr="00E663C5">
        <w:rPr>
          <w:rFonts w:ascii="Verdana" w:hAnsi="Verdana" w:cs="Arial"/>
          <w:i/>
          <w:iCs/>
          <w:sz w:val="15"/>
          <w:szCs w:val="15"/>
        </w:rPr>
        <w:t>parte</w:t>
      </w:r>
      <w:r w:rsidRPr="00E663C5">
        <w:rPr>
          <w:rFonts w:ascii="Verdana" w:hAnsi="Verdana" w:cs="Arial"/>
          <w:sz w:val="15"/>
          <w:szCs w:val="15"/>
        </w:rPr>
        <w:t xml:space="preserve"> contractual, </w:t>
      </w:r>
      <w:r w:rsidRPr="00E663C5">
        <w:rPr>
          <w:rFonts w:ascii="Verdana" w:hAnsi="Verdana" w:cs="Arial"/>
          <w:i/>
          <w:iCs/>
          <w:sz w:val="15"/>
          <w:szCs w:val="15"/>
        </w:rPr>
        <w:t>en lugar</w:t>
      </w:r>
      <w:r w:rsidRPr="00E663C5">
        <w:rPr>
          <w:rFonts w:ascii="Verdana" w:hAnsi="Verdana" w:cs="Arial"/>
          <w:sz w:val="15"/>
          <w:szCs w:val="15"/>
        </w:rPr>
        <w:t xml:space="preserve"> de uno de los contratantes originarios” (MESSINEO, Francesco. Doctrina general del contrato. Santiago: Olejnik, 2018. p. 633. Énfasis dentro del texto).</w:t>
      </w:r>
    </w:p>
  </w:footnote>
  <w:footnote w:id="3">
    <w:p w14:paraId="2A52FB8C" w14:textId="77777777" w:rsidR="00716424" w:rsidRPr="00E663C5" w:rsidRDefault="00716424" w:rsidP="00716424">
      <w:pPr>
        <w:pStyle w:val="Textonotapie"/>
        <w:ind w:firstLine="709"/>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ROPPO, Vincenzo. El contrato. Lima: Gaceta Jurídica, 2009. p. 547.</w:t>
      </w:r>
    </w:p>
  </w:footnote>
  <w:footnote w:id="4">
    <w:p w14:paraId="4C88E640" w14:textId="77777777" w:rsidR="00716424" w:rsidRPr="00E663C5" w:rsidRDefault="00716424" w:rsidP="00716424">
      <w:pPr>
        <w:pStyle w:val="Textonotapie"/>
        <w:ind w:firstLine="709"/>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w:t>
      </w:r>
      <w:r w:rsidRPr="00E663C5">
        <w:rPr>
          <w:rFonts w:ascii="Verdana" w:hAnsi="Verdana" w:cs="Arial"/>
          <w:i/>
          <w:iCs/>
          <w:sz w:val="15"/>
          <w:szCs w:val="15"/>
        </w:rPr>
        <w:t>Ibidem</w:t>
      </w:r>
      <w:r w:rsidRPr="00E663C5">
        <w:rPr>
          <w:rFonts w:ascii="Verdana" w:hAnsi="Verdana" w:cs="Arial"/>
          <w:sz w:val="15"/>
          <w:szCs w:val="15"/>
        </w:rPr>
        <w:t>.</w:t>
      </w:r>
    </w:p>
  </w:footnote>
  <w:footnote w:id="5">
    <w:p w14:paraId="3AF60E86" w14:textId="77777777" w:rsidR="00716424" w:rsidRPr="00E663C5" w:rsidRDefault="00716424" w:rsidP="00716424">
      <w:pPr>
        <w:pStyle w:val="Textonotapie"/>
        <w:ind w:firstLine="709"/>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HINESTROSA, Fernando. Tratado de las obligaciones: concepto, estructura y vicisitudes. Tercera Edición. Bogotá: Universidad Externado de Colombia, 2007. Libro en formato EPUB. En contraste con la cesión de créditos, “La cesión de contrato […] al permitir la sustitución de una de las partes en el contrato que se ejecuta, valida al tercero cesionario para que adquiera los derechos y las obligaciones que correspondían al contratante cedente como efectos del contrato. Es decir, lo que en realidad se cede, es mucho más que las posiciones o lados activos de las relaciones obligacionales. se cede también el lado pasivo, pues del contrato surgen como efecto obligaciones y derechos para las partes y la cesión de la posición contractual de una de ellas coloca al tercero cesionario en su lugar, en las mismas circunstancias frente al otro contratante” (ARRUBLA PAUCAR, Jaime Alberto. Contratos mercantiles: teoría general del negocio mercantil. Decimocuarta Edición. Bogotá: Legis, 2021. p. 251).   </w:t>
      </w:r>
    </w:p>
  </w:footnote>
  <w:footnote w:id="6">
    <w:p w14:paraId="0C980C64" w14:textId="77777777" w:rsidR="00716424" w:rsidRPr="00E663C5" w:rsidRDefault="00716424" w:rsidP="00716424">
      <w:pPr>
        <w:pStyle w:val="Textonotapie"/>
        <w:ind w:firstLine="709"/>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Código de Comercio: “Artículo 890. El que cede un contrato se obliga a responder de la existencia y validez </w:t>
      </w:r>
      <w:r w:rsidRPr="00E663C5">
        <w:rPr>
          <w:rFonts w:ascii="Verdana" w:hAnsi="Verdana" w:cs="Arial"/>
          <w:sz w:val="15"/>
          <w:szCs w:val="15"/>
        </w:rPr>
        <w:t>del mismo y de sus garantías, pero, salvo estipulación expresa en contrario, no responderá de su cumplimiento por parte del otro contratante y de los garantes”.</w:t>
      </w:r>
    </w:p>
  </w:footnote>
  <w:footnote w:id="7">
    <w:p w14:paraId="40200669" w14:textId="77777777" w:rsidR="00716424" w:rsidRPr="00E663C5" w:rsidRDefault="00716424" w:rsidP="00716424">
      <w:pPr>
        <w:pStyle w:val="Textonotapie"/>
        <w:ind w:firstLine="709"/>
        <w:jc w:val="both"/>
        <w:rPr>
          <w:rFonts w:ascii="Verdana" w:hAnsi="Verdana" w:cs="Arial"/>
          <w:sz w:val="15"/>
          <w:szCs w:val="15"/>
          <w:lang w:val="es-CO"/>
        </w:rPr>
      </w:pPr>
      <w:r w:rsidRPr="00E663C5">
        <w:rPr>
          <w:rStyle w:val="Refdenotaalpie"/>
          <w:rFonts w:ascii="Verdana" w:hAnsi="Verdana" w:cs="Arial"/>
          <w:sz w:val="15"/>
          <w:szCs w:val="15"/>
        </w:rPr>
        <w:footnoteRef/>
      </w:r>
      <w:r w:rsidRPr="00E663C5">
        <w:rPr>
          <w:rFonts w:ascii="Verdana" w:hAnsi="Verdana" w:cs="Arial"/>
          <w:sz w:val="15"/>
          <w:szCs w:val="15"/>
        </w:rPr>
        <w:t xml:space="preserve"> Código de Comercio: “Artículo 891: Cuando el cedente se obliga a responder del cumplimiento del contrato por parte del contratante cedido, el cesionario deberá darle aviso dentro de los diez días siguientes a la mora o al incumplimiento, so pena de ser exonerado el cedente de la obligación de la garantía contraída con el cesionario”.</w:t>
      </w:r>
    </w:p>
  </w:footnote>
  <w:footnote w:id="8">
    <w:p w14:paraId="27A2B8D2" w14:textId="77777777" w:rsidR="00716424" w:rsidRPr="00E663C5" w:rsidRDefault="00716424" w:rsidP="00716424">
      <w:pPr>
        <w:pStyle w:val="Textonotapie"/>
        <w:ind w:firstLine="709"/>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Código de Comercio: “Artículo 895. La cesión de un contrato implica la de las acciones, privilegios y beneficios legales inherentes a la naturaleza y condiciones del contrato; pero no transfiere los que se funden en causas ajenas al mismo, o en la calidad o estado de la persona de los contratantes”.</w:t>
      </w:r>
    </w:p>
    <w:p w14:paraId="28991F7D" w14:textId="77777777" w:rsidR="00716424" w:rsidRPr="00E663C5" w:rsidRDefault="00716424" w:rsidP="00716424">
      <w:pPr>
        <w:pStyle w:val="Textonotapie"/>
        <w:ind w:firstLine="709"/>
        <w:jc w:val="both"/>
        <w:rPr>
          <w:rFonts w:ascii="Verdana" w:hAnsi="Verdana" w:cs="Arial"/>
          <w:sz w:val="15"/>
          <w:szCs w:val="15"/>
        </w:rPr>
      </w:pPr>
      <w:r w:rsidRPr="00E663C5">
        <w:rPr>
          <w:rFonts w:ascii="Verdana" w:hAnsi="Verdana" w:cs="Arial"/>
          <w:sz w:val="15"/>
          <w:szCs w:val="15"/>
        </w:rPr>
        <w:t>“Artículo 896. El contratante cedido podrá oponer al cesionario todas las excepciones que se deriven del contrato. Podrá también oponer aquellas que se funden sobre otras relaciones con el cedente, respecto de las cuales haya hecho expresa reserva al momento de notificársele o aceptar la cesión”.</w:t>
      </w:r>
    </w:p>
  </w:footnote>
  <w:footnote w:id="9">
    <w:p w14:paraId="1559D807" w14:textId="77777777" w:rsidR="00716424" w:rsidRPr="00E663C5" w:rsidRDefault="00716424" w:rsidP="00716424">
      <w:pPr>
        <w:pStyle w:val="Textonotapie"/>
        <w:ind w:firstLine="708"/>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No en vano, “Quien contrata con la administración debe reunir condiciones previas, acreditadas por muy distintos medios, relativas a su capacidad técnica, financiera e incluso moral. De esas personas se ha seleccionado aquella que resulta la más conveniente para el caso, y esa persona no puede ser reemplazada por otra, por la sola decisión de ese cocontratante.</w:t>
      </w:r>
    </w:p>
    <w:p w14:paraId="32C14150" w14:textId="77777777" w:rsidR="00716424" w:rsidRPr="00E663C5" w:rsidRDefault="00716424" w:rsidP="00716424">
      <w:pPr>
        <w:pStyle w:val="Textonotapie"/>
        <w:ind w:firstLine="708"/>
        <w:jc w:val="both"/>
        <w:rPr>
          <w:rFonts w:ascii="Verdana" w:hAnsi="Verdana" w:cs="Arial"/>
          <w:sz w:val="15"/>
          <w:szCs w:val="15"/>
        </w:rPr>
      </w:pPr>
      <w:r w:rsidRPr="00E663C5">
        <w:rPr>
          <w:rFonts w:ascii="Verdana" w:hAnsi="Verdana" w:cs="Arial"/>
          <w:sz w:val="15"/>
          <w:szCs w:val="15"/>
        </w:rPr>
        <w:t>De ahí que el principio del cumplimiento personal de sus obligaciones por el cocontratante particular es una exigencia del contrato administrativo que resulta de su naturaleza, por lo que su aplicación es ineludible, aun en los casos en que no existen cláusulas expresas que impongan esa prestación personal o que prohíban la cesión o trasferencia del contrato o la subcontratación” (ESCOLA, Jorge. Tratado integral de los contratos administrativos. Volumen I. Buenos Aires: Depalma, 2012. p. 424).</w:t>
      </w:r>
    </w:p>
  </w:footnote>
  <w:footnote w:id="10">
    <w:p w14:paraId="3AF35974" w14:textId="77777777" w:rsidR="00716424" w:rsidRPr="00E663C5" w:rsidRDefault="00716424" w:rsidP="00716424">
      <w:pPr>
        <w:pStyle w:val="Textonotapie"/>
        <w:ind w:firstLine="708"/>
        <w:jc w:val="both"/>
        <w:rPr>
          <w:rFonts w:ascii="Verdana" w:hAnsi="Verdana" w:cs="Arial"/>
          <w:sz w:val="15"/>
          <w:szCs w:val="15"/>
          <w:lang w:val="es-ES"/>
        </w:rPr>
      </w:pPr>
      <w:r w:rsidRPr="00E663C5">
        <w:rPr>
          <w:rStyle w:val="Refdenotaalpie"/>
          <w:rFonts w:ascii="Verdana" w:hAnsi="Verdana" w:cs="Arial"/>
          <w:sz w:val="15"/>
          <w:szCs w:val="15"/>
        </w:rPr>
        <w:footnoteRef/>
      </w:r>
      <w:r w:rsidRPr="00E663C5">
        <w:rPr>
          <w:rFonts w:ascii="Verdana" w:hAnsi="Verdana" w:cs="Arial"/>
          <w:sz w:val="15"/>
          <w:szCs w:val="15"/>
        </w:rPr>
        <w:t xml:space="preserve"> MARIENHOFF, Miguel S. Tratado de derecho administrativo. Tomo IIIA. Cuarta Edición. Buenos Aires: Abeledo Perrot, 1998. p. 318. Énfasis dentro del texto.</w:t>
      </w:r>
    </w:p>
  </w:footnote>
  <w:footnote w:id="11">
    <w:p w14:paraId="24BB843E" w14:textId="77777777" w:rsidR="00716424" w:rsidRPr="00E663C5" w:rsidRDefault="00716424" w:rsidP="00716424">
      <w:pPr>
        <w:pStyle w:val="Textonotapie"/>
        <w:ind w:firstLine="708"/>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RAMÍREZ GRISALES, Richard. La cesión. Serie: Las cláusulas del contrato estatal. Medellín: Centro de Estudios de Derecho Administrativo –CEDA– y Librería Jurídica Sánchez R., 2014. pp. 71-72.</w:t>
      </w:r>
    </w:p>
  </w:footnote>
  <w:footnote w:id="12">
    <w:p w14:paraId="48CD14D7" w14:textId="77777777" w:rsidR="00716424" w:rsidRPr="00E663C5" w:rsidRDefault="00716424" w:rsidP="00716424">
      <w:pPr>
        <w:pStyle w:val="Textonotapie"/>
        <w:ind w:firstLine="709"/>
        <w:jc w:val="both"/>
        <w:rPr>
          <w:rFonts w:ascii="Verdana" w:hAnsi="Verdana" w:cs="Arial"/>
          <w:sz w:val="15"/>
          <w:szCs w:val="15"/>
          <w:lang w:val="es-ES"/>
        </w:rPr>
      </w:pPr>
      <w:r w:rsidRPr="00E663C5">
        <w:rPr>
          <w:rStyle w:val="Refdenotaalpie"/>
          <w:rFonts w:ascii="Verdana" w:hAnsi="Verdana" w:cs="Arial"/>
          <w:sz w:val="15"/>
          <w:szCs w:val="15"/>
        </w:rPr>
        <w:footnoteRef/>
      </w:r>
      <w:r w:rsidRPr="00E663C5">
        <w:rPr>
          <w:rFonts w:ascii="Verdana" w:hAnsi="Verdana" w:cs="Arial"/>
          <w:sz w:val="15"/>
          <w:szCs w:val="15"/>
        </w:rPr>
        <w:t xml:space="preserve"> </w:t>
      </w:r>
      <w:r w:rsidRPr="00E663C5">
        <w:rPr>
          <w:rFonts w:ascii="Verdana" w:hAnsi="Verdana" w:cs="Arial"/>
          <w:sz w:val="15"/>
          <w:szCs w:val="15"/>
          <w:lang w:val="es-ES"/>
        </w:rPr>
        <w:t>CONSEJO DE ESTADO. Sección Tercera. Sentencia del 16 de marzo de 2015. Rad. 1999-03028, M.P. Jaime Orlando Santofimio Gamboa.</w:t>
      </w:r>
    </w:p>
  </w:footnote>
  <w:footnote w:id="13">
    <w:p w14:paraId="7EA55F88" w14:textId="77777777" w:rsidR="00716424" w:rsidRPr="00E663C5" w:rsidRDefault="00716424" w:rsidP="00716424">
      <w:pPr>
        <w:pStyle w:val="Textonotapie"/>
        <w:ind w:firstLine="720"/>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CORTE CONSTITUCIONAL. Sentencia C-949 del 5 de septiembre de 2001. M.P. Clara Inés Vargas Hernández.  </w:t>
      </w:r>
    </w:p>
  </w:footnote>
  <w:footnote w:id="14">
    <w:p w14:paraId="294EE609" w14:textId="77777777" w:rsidR="00716424" w:rsidRPr="00E663C5" w:rsidRDefault="00716424" w:rsidP="00716424">
      <w:pPr>
        <w:pStyle w:val="Textonotapie"/>
        <w:ind w:firstLine="708"/>
        <w:jc w:val="both"/>
        <w:rPr>
          <w:rFonts w:ascii="Verdana" w:hAnsi="Verdana" w:cs="Arial"/>
          <w:sz w:val="15"/>
          <w:szCs w:val="15"/>
        </w:rPr>
      </w:pPr>
      <w:r w:rsidRPr="00E663C5">
        <w:rPr>
          <w:rStyle w:val="Refdenotaalpie"/>
          <w:rFonts w:ascii="Verdana" w:hAnsi="Verdana"/>
          <w:sz w:val="15"/>
          <w:szCs w:val="15"/>
        </w:rPr>
        <w:footnoteRef/>
      </w:r>
      <w:r w:rsidRPr="00E663C5">
        <w:rPr>
          <w:rFonts w:ascii="Verdana" w:hAnsi="Verdana"/>
          <w:sz w:val="15"/>
          <w:szCs w:val="15"/>
        </w:rPr>
        <w:t xml:space="preserve"> </w:t>
      </w:r>
      <w:r w:rsidRPr="00E663C5">
        <w:rPr>
          <w:rFonts w:ascii="Verdana" w:hAnsi="Verdana" w:cs="Arial"/>
          <w:sz w:val="15"/>
          <w:szCs w:val="15"/>
        </w:rPr>
        <w:t xml:space="preserve">RAMÍREZ GRISALES, La cesión… </w:t>
      </w:r>
      <w:r w:rsidRPr="00E663C5">
        <w:rPr>
          <w:rFonts w:ascii="Verdana" w:hAnsi="Verdana" w:cs="Arial"/>
          <w:sz w:val="15"/>
          <w:szCs w:val="15"/>
        </w:rPr>
        <w:t xml:space="preserve">Op. cit., pp.159-160. </w:t>
      </w:r>
    </w:p>
  </w:footnote>
  <w:footnote w:id="15">
    <w:p w14:paraId="52DBA409" w14:textId="77777777" w:rsidR="00716424" w:rsidRPr="00E663C5" w:rsidRDefault="00716424" w:rsidP="00716424">
      <w:pPr>
        <w:pStyle w:val="Textonotapie"/>
        <w:snapToGrid w:val="0"/>
        <w:ind w:firstLine="708"/>
        <w:contextualSpacing/>
        <w:jc w:val="both"/>
        <w:rPr>
          <w:rFonts w:ascii="Verdana" w:hAnsi="Verdana" w:cs="Arial"/>
          <w:sz w:val="15"/>
          <w:szCs w:val="15"/>
        </w:rPr>
      </w:pPr>
      <w:r w:rsidRPr="00E663C5">
        <w:rPr>
          <w:rStyle w:val="Refdenotaalpie"/>
          <w:rFonts w:ascii="Verdana" w:hAnsi="Verdana" w:cs="Arial"/>
          <w:sz w:val="15"/>
          <w:szCs w:val="15"/>
        </w:rPr>
        <w:footnoteRef/>
      </w:r>
      <w:r w:rsidRPr="00E663C5">
        <w:rPr>
          <w:rFonts w:ascii="Verdana" w:hAnsi="Verdana" w:cs="Arial"/>
          <w:sz w:val="15"/>
          <w:szCs w:val="15"/>
        </w:rPr>
        <w:t xml:space="preserve"> Para la jurisprudencia, “[…] los seguros de cumplimiento, específicamente, el de contratos estatales, son aquellos que garantizan al acreedor (entidad estatal) que serán resarcidos los daños que pueda provocar el incumplimiento de las obligaciones del deudor (contratista) dentro del marco de una relación contractual. Así, pues, el riesgo asegurado en esta categoría de seguros, visto de manera general, lo constituye el incumplimiento de las obligaciones contractuales a cargo del deudor (contratista), quien a su vez es el tomador de la póliza, de modo que el objeto de las obligaciones garantizadas es lo que determina o particulariza el riesgo asegurado” (CONSEJO DE ESTADO. Sección Tercera. Subsección A. Sentencia del 12 de febrero de 2015. </w:t>
      </w:r>
      <w:r w:rsidRPr="00E663C5">
        <w:rPr>
          <w:rFonts w:ascii="Verdana" w:hAnsi="Verdana" w:cs="Arial"/>
          <w:sz w:val="15"/>
          <w:szCs w:val="15"/>
        </w:rPr>
        <w:t>Exp.  28278. C.P. Carlos Alberto Zambrano Barrera).</w:t>
      </w:r>
    </w:p>
  </w:footnote>
  <w:footnote w:id="16">
    <w:p w14:paraId="4F30D306" w14:textId="77777777" w:rsidR="00716424" w:rsidRPr="00E663C5" w:rsidRDefault="00716424" w:rsidP="00716424">
      <w:pPr>
        <w:pStyle w:val="Textonotapie"/>
        <w:snapToGrid w:val="0"/>
        <w:ind w:firstLine="709"/>
        <w:contextualSpacing/>
        <w:jc w:val="both"/>
        <w:rPr>
          <w:rFonts w:ascii="Verdana" w:hAnsi="Verdana" w:cs="Arial"/>
          <w:color w:val="000000" w:themeColor="text1"/>
          <w:sz w:val="15"/>
          <w:szCs w:val="15"/>
        </w:rPr>
      </w:pPr>
      <w:r w:rsidRPr="00E663C5">
        <w:rPr>
          <w:rStyle w:val="Refdenotaalpie"/>
          <w:rFonts w:ascii="Verdana" w:hAnsi="Verdana" w:cs="Arial"/>
          <w:color w:val="000000" w:themeColor="text1"/>
          <w:sz w:val="15"/>
          <w:szCs w:val="15"/>
        </w:rPr>
        <w:footnoteRef/>
      </w:r>
      <w:r w:rsidRPr="00E663C5">
        <w:rPr>
          <w:rFonts w:ascii="Verdana" w:hAnsi="Verdana" w:cs="Arial"/>
          <w:color w:val="000000" w:themeColor="text1"/>
          <w:sz w:val="15"/>
          <w:szCs w:val="15"/>
        </w:rPr>
        <w:t xml:space="preserve"> ORDÓÑEZ </w:t>
      </w:r>
      <w:r w:rsidRPr="00E663C5">
        <w:rPr>
          <w:rFonts w:ascii="Verdana" w:hAnsi="Verdana" w:cs="Arial"/>
          <w:color w:val="000000" w:themeColor="text1"/>
          <w:sz w:val="15"/>
          <w:szCs w:val="15"/>
        </w:rPr>
        <w:t>ORDÓÑEZ, Andrés E. Seguro de cumplimiento de los contratos estatales en Colombia. Bogotá: Universidad Externado de Colombia, 2011. p.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BE429B" w:rsidRDefault="00BE429B" w:rsidP="00844AE9">
    <w:pPr>
      <w:pStyle w:val="Encabezado"/>
      <w:spacing w:line="120" w:lineRule="auto"/>
    </w:pPr>
    <w:r>
      <w:rPr>
        <w:rFonts w:ascii="Geomanist Bold" w:hAnsi="Geomanist Bold"/>
        <w:b/>
        <w:bCs/>
        <w:noProof/>
        <w:color w:val="002060"/>
        <w:sz w:val="24"/>
        <w:szCs w:val="24"/>
        <w:lang w:val="en-US"/>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lang w:val="en-US"/>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BE429B" w:rsidRDefault="00BE429B">
    <w:pPr>
      <w:pStyle w:val="Encabezado"/>
    </w:pPr>
  </w:p>
  <w:p w14:paraId="5E18350A" w14:textId="705F7B76" w:rsidR="00BE429B" w:rsidRPr="004A305D" w:rsidRDefault="00BE429B" w:rsidP="00B01B1A">
    <w:pPr>
      <w:spacing w:after="0" w:line="120" w:lineRule="auto"/>
      <w:rPr>
        <w:rFonts w:ascii="Century Gothic" w:eastAsia="Geo" w:hAnsi="Century Gothic" w:cs="Geo"/>
        <w:sz w:val="16"/>
        <w:szCs w:val="16"/>
        <w:lang w:eastAsia="es-CO"/>
      </w:rPr>
    </w:pPr>
  </w:p>
  <w:p w14:paraId="211B7F5D" w14:textId="77777777" w:rsidR="00BE429B" w:rsidRDefault="00BE429B" w:rsidP="00844AE9">
    <w:pPr>
      <w:spacing w:after="0" w:line="240" w:lineRule="auto"/>
      <w:rPr>
        <w:rFonts w:ascii="Verdana" w:hAnsi="Verdana"/>
        <w:sz w:val="24"/>
        <w:szCs w:val="24"/>
      </w:rPr>
    </w:pPr>
  </w:p>
  <w:p w14:paraId="5A0054B1" w14:textId="77777777" w:rsidR="00BE429B" w:rsidRPr="00C925AC" w:rsidRDefault="00BE429B" w:rsidP="00844AE9">
    <w:pPr>
      <w:spacing w:after="0" w:line="240" w:lineRule="auto"/>
      <w:rPr>
        <w:rFonts w:ascii="Verdana" w:hAnsi="Verdana"/>
        <w:sz w:val="24"/>
        <w:szCs w:val="24"/>
      </w:rPr>
    </w:pPr>
  </w:p>
  <w:p w14:paraId="1FD1C243" w14:textId="37C5500A" w:rsidR="00BE429B" w:rsidRPr="00C925AC" w:rsidRDefault="00BE429B" w:rsidP="000D5DA7">
    <w:pPr>
      <w:spacing w:after="0" w:line="480" w:lineRule="auto"/>
      <w:rPr>
        <w:rFonts w:ascii="Verdana" w:hAnsi="Verdana"/>
        <w:b/>
        <w:bCs/>
        <w:sz w:val="24"/>
        <w:szCs w:val="24"/>
      </w:rPr>
    </w:pPr>
    <w:r w:rsidRPr="00C925AC">
      <w:rPr>
        <w:rFonts w:ascii="Verdana" w:hAnsi="Verdana"/>
        <w:b/>
        <w:bCs/>
        <w:sz w:val="24"/>
        <w:szCs w:val="24"/>
      </w:rPr>
      <w:t>FORMATO</w:t>
    </w:r>
    <w:r>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0.6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5425A2"/>
    <w:multiLevelType w:val="hybridMultilevel"/>
    <w:tmpl w:val="405C6ADC"/>
    <w:lvl w:ilvl="0" w:tplc="E4762024">
      <w:start w:val="1"/>
      <w:numFmt w:val="upp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5169703D"/>
    <w:multiLevelType w:val="hybridMultilevel"/>
    <w:tmpl w:val="21A6239E"/>
    <w:lvl w:ilvl="0" w:tplc="374A5AA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2"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0C755D"/>
    <w:multiLevelType w:val="hybridMultilevel"/>
    <w:tmpl w:val="EEC215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468161">
    <w:abstractNumId w:val="6"/>
  </w:num>
  <w:num w:numId="2" w16cid:durableId="374351543">
    <w:abstractNumId w:val="1"/>
  </w:num>
  <w:num w:numId="3" w16cid:durableId="1152529079">
    <w:abstractNumId w:val="4"/>
  </w:num>
  <w:num w:numId="4" w16cid:durableId="16604289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556058">
    <w:abstractNumId w:val="1"/>
  </w:num>
  <w:num w:numId="6" w16cid:durableId="1124035714">
    <w:abstractNumId w:val="14"/>
  </w:num>
  <w:num w:numId="7" w16cid:durableId="382825845">
    <w:abstractNumId w:val="5"/>
  </w:num>
  <w:num w:numId="8" w16cid:durableId="1947342167">
    <w:abstractNumId w:val="13"/>
  </w:num>
  <w:num w:numId="9" w16cid:durableId="2096123706">
    <w:abstractNumId w:val="7"/>
  </w:num>
  <w:num w:numId="10" w16cid:durableId="24258392">
    <w:abstractNumId w:val="12"/>
  </w:num>
  <w:num w:numId="11" w16cid:durableId="1664354151">
    <w:abstractNumId w:val="8"/>
  </w:num>
  <w:num w:numId="12" w16cid:durableId="1521818467">
    <w:abstractNumId w:val="0"/>
  </w:num>
  <w:num w:numId="13" w16cid:durableId="742069231">
    <w:abstractNumId w:val="2"/>
  </w:num>
  <w:num w:numId="14" w16cid:durableId="1786463676">
    <w:abstractNumId w:val="15"/>
  </w:num>
  <w:num w:numId="15" w16cid:durableId="515383840">
    <w:abstractNumId w:val="11"/>
  </w:num>
  <w:num w:numId="16" w16cid:durableId="74788305">
    <w:abstractNumId w:val="3"/>
  </w:num>
  <w:num w:numId="17" w16cid:durableId="1309940973">
    <w:abstractNumId w:val="9"/>
  </w:num>
  <w:num w:numId="18" w16cid:durableId="49884031">
    <w:abstractNumId w:val="16"/>
  </w:num>
  <w:num w:numId="19" w16cid:durableId="8464018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847"/>
    <w:rsid w:val="00000C60"/>
    <w:rsid w:val="00003F14"/>
    <w:rsid w:val="000113C3"/>
    <w:rsid w:val="000130CF"/>
    <w:rsid w:val="000161AD"/>
    <w:rsid w:val="00016F78"/>
    <w:rsid w:val="0002023E"/>
    <w:rsid w:val="00026780"/>
    <w:rsid w:val="000273A9"/>
    <w:rsid w:val="00033998"/>
    <w:rsid w:val="00034914"/>
    <w:rsid w:val="000368DC"/>
    <w:rsid w:val="000442AD"/>
    <w:rsid w:val="000447FC"/>
    <w:rsid w:val="000460C4"/>
    <w:rsid w:val="00046945"/>
    <w:rsid w:val="0005430F"/>
    <w:rsid w:val="00055945"/>
    <w:rsid w:val="00057408"/>
    <w:rsid w:val="000578E0"/>
    <w:rsid w:val="00061B2A"/>
    <w:rsid w:val="00081989"/>
    <w:rsid w:val="00082362"/>
    <w:rsid w:val="000A04B5"/>
    <w:rsid w:val="000A683E"/>
    <w:rsid w:val="000B19B9"/>
    <w:rsid w:val="000B1A69"/>
    <w:rsid w:val="000B5B0B"/>
    <w:rsid w:val="000C3965"/>
    <w:rsid w:val="000C7D33"/>
    <w:rsid w:val="000D0334"/>
    <w:rsid w:val="000D3658"/>
    <w:rsid w:val="000D5DA7"/>
    <w:rsid w:val="000E1EED"/>
    <w:rsid w:val="000F1875"/>
    <w:rsid w:val="000F1F13"/>
    <w:rsid w:val="000F39AC"/>
    <w:rsid w:val="000F5D82"/>
    <w:rsid w:val="000F6486"/>
    <w:rsid w:val="000F7341"/>
    <w:rsid w:val="00103A9A"/>
    <w:rsid w:val="00106A94"/>
    <w:rsid w:val="00107BC7"/>
    <w:rsid w:val="00116940"/>
    <w:rsid w:val="001219AD"/>
    <w:rsid w:val="00125105"/>
    <w:rsid w:val="00127233"/>
    <w:rsid w:val="00130B38"/>
    <w:rsid w:val="00133E3A"/>
    <w:rsid w:val="00141925"/>
    <w:rsid w:val="0015699B"/>
    <w:rsid w:val="00157BD5"/>
    <w:rsid w:val="00162EFF"/>
    <w:rsid w:val="00165831"/>
    <w:rsid w:val="001743CA"/>
    <w:rsid w:val="00175D6F"/>
    <w:rsid w:val="00176ECC"/>
    <w:rsid w:val="001A33BF"/>
    <w:rsid w:val="001A37CC"/>
    <w:rsid w:val="001B28A3"/>
    <w:rsid w:val="001B2DC7"/>
    <w:rsid w:val="001C343D"/>
    <w:rsid w:val="001C4BDC"/>
    <w:rsid w:val="001C663A"/>
    <w:rsid w:val="001C7340"/>
    <w:rsid w:val="001E4177"/>
    <w:rsid w:val="001E6731"/>
    <w:rsid w:val="001E6FA3"/>
    <w:rsid w:val="001E7185"/>
    <w:rsid w:val="001F0B24"/>
    <w:rsid w:val="001F7A3C"/>
    <w:rsid w:val="001F7DC6"/>
    <w:rsid w:val="002055CF"/>
    <w:rsid w:val="002057CF"/>
    <w:rsid w:val="00207C7C"/>
    <w:rsid w:val="00211230"/>
    <w:rsid w:val="00214AFE"/>
    <w:rsid w:val="002153D5"/>
    <w:rsid w:val="002155C2"/>
    <w:rsid w:val="0022400B"/>
    <w:rsid w:val="00226271"/>
    <w:rsid w:val="00233081"/>
    <w:rsid w:val="00234866"/>
    <w:rsid w:val="002405A2"/>
    <w:rsid w:val="002421BB"/>
    <w:rsid w:val="00246CBB"/>
    <w:rsid w:val="00252059"/>
    <w:rsid w:val="0025796E"/>
    <w:rsid w:val="002608FC"/>
    <w:rsid w:val="002707A2"/>
    <w:rsid w:val="002747D2"/>
    <w:rsid w:val="00275BF6"/>
    <w:rsid w:val="00280012"/>
    <w:rsid w:val="00287D7A"/>
    <w:rsid w:val="00290AF1"/>
    <w:rsid w:val="00290CE5"/>
    <w:rsid w:val="002951A0"/>
    <w:rsid w:val="002962BC"/>
    <w:rsid w:val="002A093D"/>
    <w:rsid w:val="002A0DD0"/>
    <w:rsid w:val="002A0E38"/>
    <w:rsid w:val="002A49AC"/>
    <w:rsid w:val="002A58CD"/>
    <w:rsid w:val="002A64FD"/>
    <w:rsid w:val="002B135F"/>
    <w:rsid w:val="002B1EC4"/>
    <w:rsid w:val="002B4092"/>
    <w:rsid w:val="002B730F"/>
    <w:rsid w:val="002C157D"/>
    <w:rsid w:val="002C1E3E"/>
    <w:rsid w:val="002C7A84"/>
    <w:rsid w:val="002D0C72"/>
    <w:rsid w:val="002D5853"/>
    <w:rsid w:val="002E1A60"/>
    <w:rsid w:val="002E2BF8"/>
    <w:rsid w:val="002E418D"/>
    <w:rsid w:val="002E4FD9"/>
    <w:rsid w:val="002E5BB5"/>
    <w:rsid w:val="002E63DF"/>
    <w:rsid w:val="003004D2"/>
    <w:rsid w:val="00305B4B"/>
    <w:rsid w:val="0030657A"/>
    <w:rsid w:val="00312162"/>
    <w:rsid w:val="00322A85"/>
    <w:rsid w:val="00324168"/>
    <w:rsid w:val="00325055"/>
    <w:rsid w:val="00330834"/>
    <w:rsid w:val="003320D2"/>
    <w:rsid w:val="00337EF1"/>
    <w:rsid w:val="003448F4"/>
    <w:rsid w:val="0036053B"/>
    <w:rsid w:val="0037015E"/>
    <w:rsid w:val="003722BA"/>
    <w:rsid w:val="00374F5E"/>
    <w:rsid w:val="0037718F"/>
    <w:rsid w:val="00377E3E"/>
    <w:rsid w:val="00390DBB"/>
    <w:rsid w:val="003A779E"/>
    <w:rsid w:val="003B0869"/>
    <w:rsid w:val="003B7C11"/>
    <w:rsid w:val="003C3551"/>
    <w:rsid w:val="003C4535"/>
    <w:rsid w:val="003C4F7D"/>
    <w:rsid w:val="003C5FD9"/>
    <w:rsid w:val="003D05DE"/>
    <w:rsid w:val="003D0F4D"/>
    <w:rsid w:val="003D11EF"/>
    <w:rsid w:val="003D5B0D"/>
    <w:rsid w:val="003D74F8"/>
    <w:rsid w:val="003E0499"/>
    <w:rsid w:val="003E4F80"/>
    <w:rsid w:val="003E6439"/>
    <w:rsid w:val="003F17DF"/>
    <w:rsid w:val="003F3941"/>
    <w:rsid w:val="00401B7A"/>
    <w:rsid w:val="00406575"/>
    <w:rsid w:val="00414C74"/>
    <w:rsid w:val="00416B6E"/>
    <w:rsid w:val="00420744"/>
    <w:rsid w:val="00421A4D"/>
    <w:rsid w:val="00426385"/>
    <w:rsid w:val="0042722E"/>
    <w:rsid w:val="00442203"/>
    <w:rsid w:val="004441F6"/>
    <w:rsid w:val="0044528D"/>
    <w:rsid w:val="00456405"/>
    <w:rsid w:val="00466E39"/>
    <w:rsid w:val="00470178"/>
    <w:rsid w:val="00474655"/>
    <w:rsid w:val="00483DDE"/>
    <w:rsid w:val="00491B59"/>
    <w:rsid w:val="00494521"/>
    <w:rsid w:val="004A1847"/>
    <w:rsid w:val="004A305D"/>
    <w:rsid w:val="004A4147"/>
    <w:rsid w:val="004C05C2"/>
    <w:rsid w:val="004C6F45"/>
    <w:rsid w:val="004D060F"/>
    <w:rsid w:val="004D5C33"/>
    <w:rsid w:val="004D7CE4"/>
    <w:rsid w:val="004E2B29"/>
    <w:rsid w:val="004F21C4"/>
    <w:rsid w:val="004F66DB"/>
    <w:rsid w:val="004F685F"/>
    <w:rsid w:val="005038FC"/>
    <w:rsid w:val="0051191E"/>
    <w:rsid w:val="00516B1D"/>
    <w:rsid w:val="00525C65"/>
    <w:rsid w:val="00530299"/>
    <w:rsid w:val="005378B3"/>
    <w:rsid w:val="005409B8"/>
    <w:rsid w:val="00555B5B"/>
    <w:rsid w:val="005566E8"/>
    <w:rsid w:val="00560ECB"/>
    <w:rsid w:val="0056334A"/>
    <w:rsid w:val="00566A12"/>
    <w:rsid w:val="0057054E"/>
    <w:rsid w:val="00574867"/>
    <w:rsid w:val="00574977"/>
    <w:rsid w:val="00586DA9"/>
    <w:rsid w:val="00591460"/>
    <w:rsid w:val="00592EF7"/>
    <w:rsid w:val="00597FE6"/>
    <w:rsid w:val="005A307B"/>
    <w:rsid w:val="005A65E0"/>
    <w:rsid w:val="005B2DB5"/>
    <w:rsid w:val="005C3777"/>
    <w:rsid w:val="005C47DD"/>
    <w:rsid w:val="005C5CDC"/>
    <w:rsid w:val="005D476C"/>
    <w:rsid w:val="005D4EE3"/>
    <w:rsid w:val="005E2250"/>
    <w:rsid w:val="005E6317"/>
    <w:rsid w:val="005E7C99"/>
    <w:rsid w:val="005F1A8F"/>
    <w:rsid w:val="005F21A9"/>
    <w:rsid w:val="005F5261"/>
    <w:rsid w:val="005F5524"/>
    <w:rsid w:val="00600B4F"/>
    <w:rsid w:val="00602CB7"/>
    <w:rsid w:val="00603964"/>
    <w:rsid w:val="0060671F"/>
    <w:rsid w:val="00616784"/>
    <w:rsid w:val="006200BF"/>
    <w:rsid w:val="0062122C"/>
    <w:rsid w:val="006219F8"/>
    <w:rsid w:val="006242DF"/>
    <w:rsid w:val="006302F7"/>
    <w:rsid w:val="0063316D"/>
    <w:rsid w:val="006364C0"/>
    <w:rsid w:val="0064394E"/>
    <w:rsid w:val="00646B9F"/>
    <w:rsid w:val="00647CF0"/>
    <w:rsid w:val="006506D8"/>
    <w:rsid w:val="006571B8"/>
    <w:rsid w:val="0066562A"/>
    <w:rsid w:val="00665D70"/>
    <w:rsid w:val="006670DD"/>
    <w:rsid w:val="0067199F"/>
    <w:rsid w:val="00672D08"/>
    <w:rsid w:val="00674441"/>
    <w:rsid w:val="0067473C"/>
    <w:rsid w:val="006826BE"/>
    <w:rsid w:val="00683BDA"/>
    <w:rsid w:val="006900D9"/>
    <w:rsid w:val="006936D1"/>
    <w:rsid w:val="006947BA"/>
    <w:rsid w:val="006A3775"/>
    <w:rsid w:val="006D5AB8"/>
    <w:rsid w:val="006E3934"/>
    <w:rsid w:val="006F43FA"/>
    <w:rsid w:val="006F58E3"/>
    <w:rsid w:val="00706C16"/>
    <w:rsid w:val="00713D02"/>
    <w:rsid w:val="0071632A"/>
    <w:rsid w:val="00716424"/>
    <w:rsid w:val="00717414"/>
    <w:rsid w:val="00720735"/>
    <w:rsid w:val="00723650"/>
    <w:rsid w:val="007340C3"/>
    <w:rsid w:val="0073523A"/>
    <w:rsid w:val="00735746"/>
    <w:rsid w:val="00744089"/>
    <w:rsid w:val="00747A86"/>
    <w:rsid w:val="007502F9"/>
    <w:rsid w:val="0075235A"/>
    <w:rsid w:val="00756841"/>
    <w:rsid w:val="007649AB"/>
    <w:rsid w:val="00765627"/>
    <w:rsid w:val="00767D3C"/>
    <w:rsid w:val="00767D5B"/>
    <w:rsid w:val="00771D0C"/>
    <w:rsid w:val="00776559"/>
    <w:rsid w:val="007833AC"/>
    <w:rsid w:val="00784E8D"/>
    <w:rsid w:val="0078698D"/>
    <w:rsid w:val="007977D5"/>
    <w:rsid w:val="007A1830"/>
    <w:rsid w:val="007A594E"/>
    <w:rsid w:val="007A7588"/>
    <w:rsid w:val="007B268C"/>
    <w:rsid w:val="007B7171"/>
    <w:rsid w:val="007C012B"/>
    <w:rsid w:val="007C0C0F"/>
    <w:rsid w:val="007C3DC2"/>
    <w:rsid w:val="007C63D6"/>
    <w:rsid w:val="007D021B"/>
    <w:rsid w:val="007D1AA3"/>
    <w:rsid w:val="007D3F41"/>
    <w:rsid w:val="007E4424"/>
    <w:rsid w:val="007E5497"/>
    <w:rsid w:val="007F5D78"/>
    <w:rsid w:val="00800E0E"/>
    <w:rsid w:val="00802077"/>
    <w:rsid w:val="00802BE2"/>
    <w:rsid w:val="00803856"/>
    <w:rsid w:val="00805C55"/>
    <w:rsid w:val="00806F5F"/>
    <w:rsid w:val="00807533"/>
    <w:rsid w:val="00820278"/>
    <w:rsid w:val="00821D00"/>
    <w:rsid w:val="008220C0"/>
    <w:rsid w:val="008258C9"/>
    <w:rsid w:val="008316FF"/>
    <w:rsid w:val="00841485"/>
    <w:rsid w:val="00841828"/>
    <w:rsid w:val="008420AB"/>
    <w:rsid w:val="00844AE9"/>
    <w:rsid w:val="00850330"/>
    <w:rsid w:val="00852BAA"/>
    <w:rsid w:val="008608A1"/>
    <w:rsid w:val="0086317A"/>
    <w:rsid w:val="00867F95"/>
    <w:rsid w:val="00872231"/>
    <w:rsid w:val="008749D3"/>
    <w:rsid w:val="00874B89"/>
    <w:rsid w:val="00882271"/>
    <w:rsid w:val="008843B6"/>
    <w:rsid w:val="008849FF"/>
    <w:rsid w:val="008853C8"/>
    <w:rsid w:val="00887584"/>
    <w:rsid w:val="00891928"/>
    <w:rsid w:val="0089255E"/>
    <w:rsid w:val="00894EDE"/>
    <w:rsid w:val="00897EEB"/>
    <w:rsid w:val="008A3E33"/>
    <w:rsid w:val="008A446D"/>
    <w:rsid w:val="008B1E57"/>
    <w:rsid w:val="008B25F1"/>
    <w:rsid w:val="008C1C73"/>
    <w:rsid w:val="008C3EB2"/>
    <w:rsid w:val="008C5CDE"/>
    <w:rsid w:val="008D1369"/>
    <w:rsid w:val="008D180B"/>
    <w:rsid w:val="008D1E85"/>
    <w:rsid w:val="008F0EA7"/>
    <w:rsid w:val="00900C01"/>
    <w:rsid w:val="00912625"/>
    <w:rsid w:val="00912AAC"/>
    <w:rsid w:val="00915645"/>
    <w:rsid w:val="00923EEF"/>
    <w:rsid w:val="00927BE4"/>
    <w:rsid w:val="009419F9"/>
    <w:rsid w:val="00945E3D"/>
    <w:rsid w:val="00953643"/>
    <w:rsid w:val="0095685E"/>
    <w:rsid w:val="00961B09"/>
    <w:rsid w:val="0096285F"/>
    <w:rsid w:val="0096506A"/>
    <w:rsid w:val="00965334"/>
    <w:rsid w:val="0097093E"/>
    <w:rsid w:val="009709E8"/>
    <w:rsid w:val="0097282B"/>
    <w:rsid w:val="00981EA2"/>
    <w:rsid w:val="00982C6E"/>
    <w:rsid w:val="00984AFF"/>
    <w:rsid w:val="009A0DFA"/>
    <w:rsid w:val="009A3880"/>
    <w:rsid w:val="009A53EE"/>
    <w:rsid w:val="009B27CB"/>
    <w:rsid w:val="009B2D26"/>
    <w:rsid w:val="009B6A49"/>
    <w:rsid w:val="009C6AFC"/>
    <w:rsid w:val="009C71FA"/>
    <w:rsid w:val="009C72E7"/>
    <w:rsid w:val="009C7F7E"/>
    <w:rsid w:val="009D2DCA"/>
    <w:rsid w:val="009D3058"/>
    <w:rsid w:val="009D53A2"/>
    <w:rsid w:val="009D75D4"/>
    <w:rsid w:val="009F3A13"/>
    <w:rsid w:val="009F4D9D"/>
    <w:rsid w:val="00A02AB0"/>
    <w:rsid w:val="00A03ACE"/>
    <w:rsid w:val="00A122D3"/>
    <w:rsid w:val="00A14468"/>
    <w:rsid w:val="00A17F13"/>
    <w:rsid w:val="00A17FDE"/>
    <w:rsid w:val="00A20739"/>
    <w:rsid w:val="00A21219"/>
    <w:rsid w:val="00A23AF9"/>
    <w:rsid w:val="00A26AB0"/>
    <w:rsid w:val="00A3078F"/>
    <w:rsid w:val="00A328EC"/>
    <w:rsid w:val="00A3295B"/>
    <w:rsid w:val="00A33C78"/>
    <w:rsid w:val="00A37C7D"/>
    <w:rsid w:val="00A50F0E"/>
    <w:rsid w:val="00A7153D"/>
    <w:rsid w:val="00A93531"/>
    <w:rsid w:val="00A96668"/>
    <w:rsid w:val="00AA1AD4"/>
    <w:rsid w:val="00AA64AB"/>
    <w:rsid w:val="00AB0ADB"/>
    <w:rsid w:val="00AB1C11"/>
    <w:rsid w:val="00AE41AA"/>
    <w:rsid w:val="00AE50E6"/>
    <w:rsid w:val="00AE65D9"/>
    <w:rsid w:val="00AF7A0F"/>
    <w:rsid w:val="00B00412"/>
    <w:rsid w:val="00B00C0E"/>
    <w:rsid w:val="00B01B1A"/>
    <w:rsid w:val="00B0798D"/>
    <w:rsid w:val="00B100EB"/>
    <w:rsid w:val="00B10792"/>
    <w:rsid w:val="00B170E4"/>
    <w:rsid w:val="00B174A5"/>
    <w:rsid w:val="00B2048D"/>
    <w:rsid w:val="00B37449"/>
    <w:rsid w:val="00B442B3"/>
    <w:rsid w:val="00B44A47"/>
    <w:rsid w:val="00B47E28"/>
    <w:rsid w:val="00B62BB5"/>
    <w:rsid w:val="00B64455"/>
    <w:rsid w:val="00B71040"/>
    <w:rsid w:val="00B72CD3"/>
    <w:rsid w:val="00B72FFF"/>
    <w:rsid w:val="00B77287"/>
    <w:rsid w:val="00B82627"/>
    <w:rsid w:val="00B87FFD"/>
    <w:rsid w:val="00B9098F"/>
    <w:rsid w:val="00B93CEC"/>
    <w:rsid w:val="00BB0DD5"/>
    <w:rsid w:val="00BC3D36"/>
    <w:rsid w:val="00BD32A7"/>
    <w:rsid w:val="00BD423F"/>
    <w:rsid w:val="00BD54A6"/>
    <w:rsid w:val="00BD7F72"/>
    <w:rsid w:val="00BE1501"/>
    <w:rsid w:val="00BE429B"/>
    <w:rsid w:val="00BE6091"/>
    <w:rsid w:val="00BF54F9"/>
    <w:rsid w:val="00BF58C7"/>
    <w:rsid w:val="00BF7425"/>
    <w:rsid w:val="00C04FB3"/>
    <w:rsid w:val="00C11D8B"/>
    <w:rsid w:val="00C1619C"/>
    <w:rsid w:val="00C16B06"/>
    <w:rsid w:val="00C330EB"/>
    <w:rsid w:val="00C370BD"/>
    <w:rsid w:val="00C50D69"/>
    <w:rsid w:val="00C51837"/>
    <w:rsid w:val="00C5365C"/>
    <w:rsid w:val="00C545CC"/>
    <w:rsid w:val="00C60D32"/>
    <w:rsid w:val="00C66228"/>
    <w:rsid w:val="00C754BE"/>
    <w:rsid w:val="00C76B1C"/>
    <w:rsid w:val="00C925AC"/>
    <w:rsid w:val="00C93BD2"/>
    <w:rsid w:val="00CA2AFE"/>
    <w:rsid w:val="00CA4635"/>
    <w:rsid w:val="00CB2543"/>
    <w:rsid w:val="00CB402F"/>
    <w:rsid w:val="00CB524C"/>
    <w:rsid w:val="00CB6357"/>
    <w:rsid w:val="00CB6ED9"/>
    <w:rsid w:val="00CC1B26"/>
    <w:rsid w:val="00CC2A4D"/>
    <w:rsid w:val="00CD053C"/>
    <w:rsid w:val="00CD7287"/>
    <w:rsid w:val="00CE2098"/>
    <w:rsid w:val="00CE6D68"/>
    <w:rsid w:val="00CF67CB"/>
    <w:rsid w:val="00D01973"/>
    <w:rsid w:val="00D0290F"/>
    <w:rsid w:val="00D0716E"/>
    <w:rsid w:val="00D17040"/>
    <w:rsid w:val="00D21ABC"/>
    <w:rsid w:val="00D22F1F"/>
    <w:rsid w:val="00D24E1B"/>
    <w:rsid w:val="00D25016"/>
    <w:rsid w:val="00D27A91"/>
    <w:rsid w:val="00D314C4"/>
    <w:rsid w:val="00D361FD"/>
    <w:rsid w:val="00D41FF6"/>
    <w:rsid w:val="00D423A2"/>
    <w:rsid w:val="00D44E26"/>
    <w:rsid w:val="00D520D8"/>
    <w:rsid w:val="00D532F2"/>
    <w:rsid w:val="00D57AF0"/>
    <w:rsid w:val="00D63AC2"/>
    <w:rsid w:val="00D73595"/>
    <w:rsid w:val="00D7383B"/>
    <w:rsid w:val="00D75D9B"/>
    <w:rsid w:val="00D7788A"/>
    <w:rsid w:val="00D8371D"/>
    <w:rsid w:val="00D84EBD"/>
    <w:rsid w:val="00D86877"/>
    <w:rsid w:val="00D908AF"/>
    <w:rsid w:val="00D9672D"/>
    <w:rsid w:val="00D975F9"/>
    <w:rsid w:val="00DA01E5"/>
    <w:rsid w:val="00DA231B"/>
    <w:rsid w:val="00DA350C"/>
    <w:rsid w:val="00DA574C"/>
    <w:rsid w:val="00DA656F"/>
    <w:rsid w:val="00DB1225"/>
    <w:rsid w:val="00DB5F83"/>
    <w:rsid w:val="00DB5F84"/>
    <w:rsid w:val="00DB7832"/>
    <w:rsid w:val="00DC39FC"/>
    <w:rsid w:val="00DC5F62"/>
    <w:rsid w:val="00DC77B5"/>
    <w:rsid w:val="00DE6B6B"/>
    <w:rsid w:val="00DF312D"/>
    <w:rsid w:val="00DF3306"/>
    <w:rsid w:val="00DF5254"/>
    <w:rsid w:val="00E02524"/>
    <w:rsid w:val="00E04B99"/>
    <w:rsid w:val="00E07CEC"/>
    <w:rsid w:val="00E1439B"/>
    <w:rsid w:val="00E16408"/>
    <w:rsid w:val="00E20894"/>
    <w:rsid w:val="00E245AB"/>
    <w:rsid w:val="00E2764C"/>
    <w:rsid w:val="00E27F2E"/>
    <w:rsid w:val="00E40E6A"/>
    <w:rsid w:val="00E50AFE"/>
    <w:rsid w:val="00E53D89"/>
    <w:rsid w:val="00E55087"/>
    <w:rsid w:val="00E57478"/>
    <w:rsid w:val="00E634C6"/>
    <w:rsid w:val="00E63923"/>
    <w:rsid w:val="00E711F5"/>
    <w:rsid w:val="00E75775"/>
    <w:rsid w:val="00E75C92"/>
    <w:rsid w:val="00E76C8B"/>
    <w:rsid w:val="00E76D22"/>
    <w:rsid w:val="00E771DC"/>
    <w:rsid w:val="00E80A44"/>
    <w:rsid w:val="00E872C8"/>
    <w:rsid w:val="00E8772A"/>
    <w:rsid w:val="00E90F6B"/>
    <w:rsid w:val="00E92C27"/>
    <w:rsid w:val="00E937AA"/>
    <w:rsid w:val="00E94822"/>
    <w:rsid w:val="00E94B76"/>
    <w:rsid w:val="00E95A46"/>
    <w:rsid w:val="00EA0E3D"/>
    <w:rsid w:val="00EA2EAC"/>
    <w:rsid w:val="00EA3621"/>
    <w:rsid w:val="00EB33BF"/>
    <w:rsid w:val="00EC38A7"/>
    <w:rsid w:val="00EC69FA"/>
    <w:rsid w:val="00ED0AD9"/>
    <w:rsid w:val="00ED2DA4"/>
    <w:rsid w:val="00ED3727"/>
    <w:rsid w:val="00ED5375"/>
    <w:rsid w:val="00ED77B8"/>
    <w:rsid w:val="00EE0750"/>
    <w:rsid w:val="00EE1089"/>
    <w:rsid w:val="00EE1AA8"/>
    <w:rsid w:val="00EE2FD0"/>
    <w:rsid w:val="00EE64C5"/>
    <w:rsid w:val="00EF3A43"/>
    <w:rsid w:val="00F00B5C"/>
    <w:rsid w:val="00F04861"/>
    <w:rsid w:val="00F23FEA"/>
    <w:rsid w:val="00F27B7B"/>
    <w:rsid w:val="00F31EDC"/>
    <w:rsid w:val="00F36B8C"/>
    <w:rsid w:val="00F462B3"/>
    <w:rsid w:val="00F50670"/>
    <w:rsid w:val="00F5664F"/>
    <w:rsid w:val="00F666C4"/>
    <w:rsid w:val="00F7089A"/>
    <w:rsid w:val="00F74495"/>
    <w:rsid w:val="00F7501A"/>
    <w:rsid w:val="00F76AFC"/>
    <w:rsid w:val="00F7742E"/>
    <w:rsid w:val="00F82B72"/>
    <w:rsid w:val="00F91B6A"/>
    <w:rsid w:val="00F9416F"/>
    <w:rsid w:val="00FA2DA7"/>
    <w:rsid w:val="00FA4768"/>
    <w:rsid w:val="00FA47C0"/>
    <w:rsid w:val="00FB22A5"/>
    <w:rsid w:val="00FB448C"/>
    <w:rsid w:val="00FB5DD1"/>
    <w:rsid w:val="00FC2B5D"/>
    <w:rsid w:val="00FD2581"/>
    <w:rsid w:val="00FD2DCE"/>
    <w:rsid w:val="00FD635A"/>
    <w:rsid w:val="00FD7439"/>
    <w:rsid w:val="00FE3B38"/>
    <w:rsid w:val="00FE6048"/>
    <w:rsid w:val="00FF000B"/>
    <w:rsid w:val="00FF118A"/>
    <w:rsid w:val="00FF1449"/>
    <w:rsid w:val="00FF3D97"/>
    <w:rsid w:val="00FF3FDA"/>
    <w:rsid w:val="00FF7963"/>
    <w:rsid w:val="09908A09"/>
    <w:rsid w:val="19A2EC2C"/>
    <w:rsid w:val="2859CA1B"/>
    <w:rsid w:val="69614A15"/>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1AA"/>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customStyle="1" w:styleId="Mencinsinresolver1">
    <w:name w:val="Mención sin resolver1"/>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table" w:customStyle="1" w:styleId="Tablaconcuadrcula1">
    <w:name w:val="Tabla con cuadrícula1"/>
    <w:basedOn w:val="Tablanormal"/>
    <w:next w:val="Tablaconcuadrcula"/>
    <w:uiPriority w:val="39"/>
    <w:qFormat/>
    <w:rsid w:val="007A183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7A1830"/>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FF3D97"/>
    <w:rPr>
      <w:rFonts w:ascii="Geomanist Light" w:hAnsi="Geomanist Light"/>
      <w:lang w:val="es-ES"/>
    </w:rPr>
  </w:style>
  <w:style w:type="character" w:customStyle="1" w:styleId="NormalWebCar">
    <w:name w:val="Normal (Web) Car"/>
    <w:link w:val="NormalWeb"/>
    <w:uiPriority w:val="99"/>
    <w:locked/>
    <w:rsid w:val="00A7153D"/>
    <w:rPr>
      <w:rFonts w:ascii="Times New Roman" w:eastAsia="Times New Roman" w:hAnsi="Times New Roman" w:cs="Times New Roman"/>
      <w:sz w:val="24"/>
      <w:szCs w:val="24"/>
      <w:lang w:eastAsia="es-CO"/>
    </w:rPr>
  </w:style>
  <w:style w:type="character" w:customStyle="1" w:styleId="baj">
    <w:name w:val="b_aj"/>
    <w:basedOn w:val="Fuentedeprrafopredeter"/>
    <w:rsid w:val="00A7153D"/>
  </w:style>
  <w:style w:type="character" w:styleId="Refdecomentario">
    <w:name w:val="annotation reference"/>
    <w:basedOn w:val="Fuentedeprrafopredeter"/>
    <w:uiPriority w:val="99"/>
    <w:semiHidden/>
    <w:unhideWhenUsed/>
    <w:rsid w:val="009B27CB"/>
    <w:rPr>
      <w:sz w:val="16"/>
      <w:szCs w:val="16"/>
    </w:rPr>
  </w:style>
  <w:style w:type="paragraph" w:styleId="Textocomentario">
    <w:name w:val="annotation text"/>
    <w:basedOn w:val="Normal"/>
    <w:link w:val="TextocomentarioCar"/>
    <w:uiPriority w:val="99"/>
    <w:unhideWhenUsed/>
    <w:rsid w:val="009B27CB"/>
    <w:pPr>
      <w:spacing w:line="240" w:lineRule="auto"/>
    </w:pPr>
    <w:rPr>
      <w:sz w:val="20"/>
      <w:szCs w:val="20"/>
    </w:rPr>
  </w:style>
  <w:style w:type="character" w:customStyle="1" w:styleId="TextocomentarioCar">
    <w:name w:val="Texto comentario Car"/>
    <w:basedOn w:val="Fuentedeprrafopredeter"/>
    <w:link w:val="Textocomentario"/>
    <w:uiPriority w:val="99"/>
    <w:rsid w:val="009B27CB"/>
    <w:rPr>
      <w:sz w:val="20"/>
      <w:szCs w:val="20"/>
    </w:rPr>
  </w:style>
  <w:style w:type="table" w:customStyle="1" w:styleId="Tablaconcuadrcula11">
    <w:name w:val="Tabla con cuadrícula11"/>
    <w:basedOn w:val="Tablanormal"/>
    <w:next w:val="Tablaconcuadrcula"/>
    <w:uiPriority w:val="39"/>
    <w:qFormat/>
    <w:rsid w:val="009B2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8371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71D"/>
    <w:rPr>
      <w:rFonts w:ascii="Segoe UI" w:hAnsi="Segoe UI" w:cs="Segoe UI"/>
      <w:sz w:val="18"/>
      <w:szCs w:val="18"/>
    </w:rPr>
  </w:style>
  <w:style w:type="character" w:styleId="Mencinsinresolver">
    <w:name w:val="Unresolved Mention"/>
    <w:basedOn w:val="Fuentedeprrafopredeter"/>
    <w:uiPriority w:val="99"/>
    <w:semiHidden/>
    <w:unhideWhenUsed/>
    <w:rsid w:val="00B87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7703">
      <w:bodyDiv w:val="1"/>
      <w:marLeft w:val="0"/>
      <w:marRight w:val="0"/>
      <w:marTop w:val="0"/>
      <w:marBottom w:val="0"/>
      <w:divBdr>
        <w:top w:val="none" w:sz="0" w:space="0" w:color="auto"/>
        <w:left w:val="none" w:sz="0" w:space="0" w:color="auto"/>
        <w:bottom w:val="none" w:sz="0" w:space="0" w:color="auto"/>
        <w:right w:val="none" w:sz="0" w:space="0" w:color="auto"/>
      </w:divBdr>
    </w:div>
    <w:div w:id="362830511">
      <w:bodyDiv w:val="1"/>
      <w:marLeft w:val="0"/>
      <w:marRight w:val="0"/>
      <w:marTop w:val="0"/>
      <w:marBottom w:val="0"/>
      <w:divBdr>
        <w:top w:val="none" w:sz="0" w:space="0" w:color="auto"/>
        <w:left w:val="none" w:sz="0" w:space="0" w:color="auto"/>
        <w:bottom w:val="none" w:sz="0" w:space="0" w:color="auto"/>
        <w:right w:val="none" w:sz="0" w:space="0" w:color="auto"/>
      </w:divBdr>
    </w:div>
    <w:div w:id="364061825">
      <w:bodyDiv w:val="1"/>
      <w:marLeft w:val="0"/>
      <w:marRight w:val="0"/>
      <w:marTop w:val="0"/>
      <w:marBottom w:val="0"/>
      <w:divBdr>
        <w:top w:val="none" w:sz="0" w:space="0" w:color="auto"/>
        <w:left w:val="none" w:sz="0" w:space="0" w:color="auto"/>
        <w:bottom w:val="none" w:sz="0" w:space="0" w:color="auto"/>
        <w:right w:val="none" w:sz="0" w:space="0" w:color="auto"/>
      </w:divBdr>
    </w:div>
    <w:div w:id="555898339">
      <w:bodyDiv w:val="1"/>
      <w:marLeft w:val="0"/>
      <w:marRight w:val="0"/>
      <w:marTop w:val="0"/>
      <w:marBottom w:val="0"/>
      <w:divBdr>
        <w:top w:val="none" w:sz="0" w:space="0" w:color="auto"/>
        <w:left w:val="none" w:sz="0" w:space="0" w:color="auto"/>
        <w:bottom w:val="none" w:sz="0" w:space="0" w:color="auto"/>
        <w:right w:val="none" w:sz="0" w:space="0" w:color="auto"/>
      </w:divBdr>
    </w:div>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1941713527">
      <w:bodyDiv w:val="1"/>
      <w:marLeft w:val="0"/>
      <w:marRight w:val="0"/>
      <w:marTop w:val="0"/>
      <w:marBottom w:val="0"/>
      <w:divBdr>
        <w:top w:val="none" w:sz="0" w:space="0" w:color="auto"/>
        <w:left w:val="none" w:sz="0" w:space="0" w:color="auto"/>
        <w:bottom w:val="none" w:sz="0" w:space="0" w:color="auto"/>
        <w:right w:val="none" w:sz="0" w:space="0" w:color="auto"/>
      </w:divBdr>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latoria.colombiacompra.gov.co/busqueda/conceptos" TargetMode="External"/><Relationship Id="rId18" Type="http://schemas.openxmlformats.org/officeDocument/2006/relationships/hyperlink" Target="mailto:ventanilladeradicacion@colombiacompra.gov.co"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juanchosuarez16@yahoo.com" TargetMode="External"/><Relationship Id="rId17" Type="http://schemas.openxmlformats.org/officeDocument/2006/relationships/hyperlink" Target="https://www.colombiacompra.gov.co/archivos/boletin/boletin-edicion-n-3-de-2026-radar-de-la-compra-public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archivos/circular/circular-externa-002-de-2026" TargetMode="External"/><Relationship Id="rId20" Type="http://schemas.openxmlformats.org/officeDocument/2006/relationships/hyperlink" Target="https://forms.office.com/r/pPHyWVs2S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archivos/circular/circular-externa-003-de-2026"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olombiacompra.gov.co/pqrsd/informacion-importante-antes-de-formular-una-pqrs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archivos/manual/guia-de-garantias-en-procesos-de-contratac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6cb9e4b-f1d1-4245-83ec-6cad768d538a" xsi:nil="true"/>
    <lcf76f155ced4ddcb4097134ff3c332f xmlns="9d85dbaf-23eb-4e57-a637-93dcacc8b1a1">
      <Terms xmlns="http://schemas.microsoft.com/office/infopath/2007/PartnerControls"/>
    </lcf76f155ced4ddcb4097134ff3c332f>
    <No xmlns="9d85dbaf-23eb-4e57-a637-93dcacc8b1a1" xsi:nil="true"/>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1DC843E3-D620-4881-8440-74CA2CD00A2E}">
  <ds:schemaRefs>
    <ds:schemaRef ds:uri="http://schemas.openxmlformats.org/officeDocument/2006/bibliography"/>
  </ds:schemaRefs>
</ds:datastoreItem>
</file>

<file path=customXml/itemProps3.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4.xml><?xml version="1.0" encoding="utf-8"?>
<ds:datastoreItem xmlns:ds="http://schemas.openxmlformats.org/officeDocument/2006/customXml" ds:itemID="{18602A10-C573-4EEF-A110-D45C4A953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10619</Words>
  <Characters>58410</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3</cp:revision>
  <cp:lastPrinted>2023-01-10T21:18:00Z</cp:lastPrinted>
  <dcterms:created xsi:type="dcterms:W3CDTF">2026-09-11T07:15:00Z</dcterms:created>
  <dcterms:modified xsi:type="dcterms:W3CDTF">2026-09-11T16:36:00Z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