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7C322" w14:textId="77777777" w:rsidR="00890EE3" w:rsidRDefault="00890EE3" w:rsidP="00890EE3">
      <w:pPr>
        <w:spacing w:after="0" w:line="240" w:lineRule="auto"/>
        <w:contextualSpacing/>
        <w:jc w:val="both"/>
        <w:rPr>
          <w:rFonts w:ascii="Verdana" w:eastAsia="Calibri" w:hAnsi="Verdana" w:cs="Arial"/>
          <w:b/>
          <w:bCs/>
          <w:lang w:eastAsia="es-ES"/>
        </w:rPr>
      </w:pPr>
      <w:bookmarkStart w:id="0" w:name="_Hlk143780582"/>
      <w:r>
        <w:rPr>
          <w:rFonts w:ascii="Verdana" w:eastAsia="Calibri" w:hAnsi="Verdana" w:cs="Arial"/>
          <w:b/>
          <w:bCs/>
          <w:lang w:eastAsia="es-ES"/>
        </w:rPr>
        <w:t>INSTITUCIONES EDUCATIVAS OFICIALES ‒ Naturaleza jurídica ‒ Capacidad para contratar ‒ Régimen contractual</w:t>
      </w:r>
    </w:p>
    <w:p w14:paraId="6765D6AD" w14:textId="77777777" w:rsidR="00890EE3" w:rsidRDefault="00890EE3" w:rsidP="00890EE3">
      <w:pPr>
        <w:spacing w:after="0" w:line="240" w:lineRule="auto"/>
        <w:contextualSpacing/>
        <w:jc w:val="both"/>
        <w:rPr>
          <w:rFonts w:ascii="Verdana" w:eastAsia="Calibri" w:hAnsi="Verdana" w:cs="Arial"/>
          <w:b/>
          <w:bCs/>
          <w:lang w:eastAsia="es-ES"/>
        </w:rPr>
      </w:pPr>
    </w:p>
    <w:p w14:paraId="48E99732" w14:textId="3BF04D61" w:rsidR="00890EE3" w:rsidRDefault="00890EE3" w:rsidP="00890EE3">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 xml:space="preserve">Las instituciones educativas pertenecen a la entidad territorial que haya efectuado su reconocimiento de carácter oficial. No obstante, carecen de personería jurídica, pero tienen capacidad para contratar, la cual se concreta en la competencia que les otorgó el legislador en la Ley 715 de 2001 para administrar los fondos de servicios educativos, siendo </w:t>
      </w:r>
      <w:r w:rsidR="00222EC1">
        <w:rPr>
          <w:rFonts w:ascii="Verdana" w:eastAsia="Calibri" w:hAnsi="Verdana" w:cs="Arial"/>
          <w:sz w:val="20"/>
          <w:szCs w:val="20"/>
          <w:lang w:eastAsia="es-ES"/>
        </w:rPr>
        <w:t>estas cuentas contables</w:t>
      </w:r>
      <w:r>
        <w:rPr>
          <w:rFonts w:ascii="Verdana" w:eastAsia="Calibri" w:hAnsi="Verdana" w:cs="Arial"/>
          <w:sz w:val="20"/>
          <w:szCs w:val="20"/>
          <w:lang w:eastAsia="es-ES"/>
        </w:rPr>
        <w:t xml:space="preserve"> que les permiten realizar la gestión y ejecución presupuestal de los recursos que reciben los establecimientos educativos.</w:t>
      </w:r>
    </w:p>
    <w:p w14:paraId="445A25AA" w14:textId="77777777" w:rsidR="00890EE3" w:rsidRDefault="00890EE3" w:rsidP="00890EE3">
      <w:pPr>
        <w:spacing w:after="0" w:line="240" w:lineRule="auto"/>
        <w:contextualSpacing/>
        <w:jc w:val="both"/>
        <w:rPr>
          <w:rFonts w:ascii="Verdana" w:eastAsia="Calibri" w:hAnsi="Verdana" w:cs="Arial"/>
          <w:b/>
          <w:bCs/>
          <w:lang w:eastAsia="es-ES"/>
        </w:rPr>
      </w:pPr>
    </w:p>
    <w:p w14:paraId="5163D60E" w14:textId="77777777" w:rsidR="00890EE3" w:rsidRDefault="00890EE3" w:rsidP="00890EE3">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FONDOS DE SERVICIOS EDUCATIVOS ‒ Reglamento del Consejo Directivo ‒ Cuantía inferior a veinte (20) SMMLV</w:t>
      </w:r>
    </w:p>
    <w:p w14:paraId="7E17B51E" w14:textId="77777777" w:rsidR="00890EE3" w:rsidRDefault="00890EE3" w:rsidP="00890EE3">
      <w:pPr>
        <w:spacing w:after="0" w:line="240" w:lineRule="auto"/>
        <w:contextualSpacing/>
        <w:jc w:val="both"/>
        <w:rPr>
          <w:rFonts w:ascii="Verdana" w:eastAsia="Calibri" w:hAnsi="Verdana" w:cs="Arial"/>
          <w:b/>
          <w:bCs/>
          <w:lang w:eastAsia="es-ES"/>
        </w:rPr>
      </w:pPr>
    </w:p>
    <w:p w14:paraId="6E8C3E86" w14:textId="77777777" w:rsidR="00890EE3" w:rsidRDefault="00890EE3" w:rsidP="00890EE3">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La contratación que realicen las instituciones educativas, siempre que se ubique por debajo del referido umbral, no aplicará las reglas del EGCAP, sino las determinadas por el reglamento expedido por el consejo directivo de la institución educativa conforme al artículo 13 de la Ley 715 de 2001, lo que implica que tales reglamentos se expidan de conformidad con los principios de igualdad, moralidad, imparcialidad y publicidad, así como de acuerdo con la experiencia y el análisis concreto de las necesidades del establecimiento, determinando los trámites, garantías y constancias que deben cumplirse para que el rector o director celebre cualquier acto o contrato que cree, extinga o modifique obligaciones con cargo al respectivo fondo de servicios educativos.</w:t>
      </w:r>
    </w:p>
    <w:p w14:paraId="154799FC" w14:textId="77777777" w:rsidR="00890EE3" w:rsidRDefault="00890EE3" w:rsidP="00890EE3">
      <w:pPr>
        <w:spacing w:after="0" w:line="240" w:lineRule="auto"/>
        <w:contextualSpacing/>
        <w:jc w:val="both"/>
        <w:rPr>
          <w:rFonts w:ascii="Verdana" w:eastAsia="Calibri" w:hAnsi="Verdana" w:cs="Arial"/>
          <w:b/>
          <w:bCs/>
          <w:lang w:eastAsia="es-ES"/>
        </w:rPr>
      </w:pPr>
    </w:p>
    <w:p w14:paraId="76EB2366" w14:textId="77777777" w:rsidR="00890EE3" w:rsidRDefault="00890EE3" w:rsidP="00890EE3">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RIESGOS ‒ Normativa ‒ Artículo 4 de la Ley 1150 de 2007 ‒ Ámbito de aplicación</w:t>
      </w:r>
    </w:p>
    <w:p w14:paraId="35B9EB81" w14:textId="77777777" w:rsidR="00890EE3" w:rsidRDefault="00890EE3" w:rsidP="00890EE3">
      <w:pPr>
        <w:spacing w:after="0" w:line="240" w:lineRule="auto"/>
        <w:contextualSpacing/>
        <w:jc w:val="both"/>
        <w:rPr>
          <w:rFonts w:ascii="Verdana" w:eastAsia="Calibri" w:hAnsi="Verdana" w:cs="Arial"/>
          <w:b/>
          <w:bCs/>
          <w:lang w:eastAsia="es-ES"/>
        </w:rPr>
      </w:pPr>
    </w:p>
    <w:p w14:paraId="388C799F" w14:textId="77777777" w:rsidR="00890EE3" w:rsidRDefault="00890EE3" w:rsidP="00890EE3">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El artículo 4 de la Ley 1150 de 2007 obliga a las entidades estatales a estimar, tipificar y asignar los riesgos previsibles involucrados en la contratación dentro de los pliegos de condiciones o sus equivalentes, y el numeral 6 del artículo 2.2.1.1.2.1.1 del Decreto 1082 de 2015 exige incluir en los estudios y documentos previos el análisis de riesgo y la forma de mitigarlo. Estas disposiciones integran el régimen del Estatuto General de Contratación de la Administración Pública, de modo que su exigibilidad como tal se predica de los procesos sometidos a dicho estatuto.</w:t>
      </w:r>
    </w:p>
    <w:p w14:paraId="0022A6BA" w14:textId="77777777" w:rsidR="00890EE3" w:rsidRDefault="00890EE3" w:rsidP="00890EE3">
      <w:pPr>
        <w:spacing w:after="0" w:line="240" w:lineRule="auto"/>
        <w:contextualSpacing/>
        <w:jc w:val="both"/>
        <w:rPr>
          <w:rFonts w:ascii="Verdana" w:eastAsia="Calibri" w:hAnsi="Verdana" w:cs="Arial"/>
          <w:b/>
          <w:bCs/>
          <w:lang w:eastAsia="es-ES"/>
        </w:rPr>
      </w:pPr>
    </w:p>
    <w:p w14:paraId="4C62D881" w14:textId="77777777" w:rsidR="00890EE3" w:rsidRDefault="00890EE3" w:rsidP="00890EE3">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MATRIZ DE RIESGOS ‒ Instituciones educativas oficiales ‒ Contratación inferior a veinte (20) SMMLV ‒ Análisis de riesgos en los estudios previos</w:t>
      </w:r>
    </w:p>
    <w:p w14:paraId="0718A9C8" w14:textId="77777777" w:rsidR="00890EE3" w:rsidRDefault="00890EE3" w:rsidP="00890EE3">
      <w:pPr>
        <w:spacing w:after="0" w:line="240" w:lineRule="auto"/>
        <w:contextualSpacing/>
        <w:jc w:val="both"/>
        <w:rPr>
          <w:rFonts w:ascii="Verdana" w:eastAsia="Calibri" w:hAnsi="Verdana" w:cs="Arial"/>
          <w:b/>
          <w:bCs/>
          <w:lang w:eastAsia="es-ES"/>
        </w:rPr>
      </w:pPr>
    </w:p>
    <w:p w14:paraId="58360225" w14:textId="77777777" w:rsidR="00890EE3" w:rsidRDefault="00890EE3" w:rsidP="00890EE3">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 xml:space="preserve">En la contratación de las instituciones educativas oficiales cuya cuantía no supera los veinte (20) SMMLV no resultan exigibles, como tales, el artículo 4 de la Ley 1150 de 2007 ni el numeral 6 del artículo 2.2.1.1.2.1.1 del Decreto 1082 de 2015, por lo que no existe una obligación legal de elaborar una matriz formal de riesgos con fundamento en dichas normas. No obstante, en virtud del artículo 13 de la Ley 1150 de 2007 y del artículo 13 de la Ley 715 de 2001, la actividad contractual de estas instituciones se rige </w:t>
      </w:r>
      <w:r>
        <w:rPr>
          <w:rFonts w:ascii="Verdana" w:eastAsia="Calibri" w:hAnsi="Verdana" w:cs="Arial"/>
          <w:sz w:val="20"/>
          <w:szCs w:val="20"/>
          <w:lang w:eastAsia="es-ES"/>
        </w:rPr>
        <w:lastRenderedPageBreak/>
        <w:t>por los principios de la función administrativa y de la gestión fiscal y por los principios de igualdad, moralidad, imparcialidad, publicidad, eficacia, celeridad y economía, de manera que el análisis y tratamiento de los riesgos debe estar presente en la planeación del respectivo proceso, en la forma y con el instrumento que determine el reglamento expedido por el consejo directivo.</w:t>
      </w:r>
    </w:p>
    <w:p w14:paraId="2AFD30E4" w14:textId="77777777" w:rsidR="00890EE3" w:rsidRDefault="00890EE3" w:rsidP="00890EE3">
      <w:pPr>
        <w:spacing w:after="0" w:line="240" w:lineRule="auto"/>
        <w:contextualSpacing/>
        <w:jc w:val="both"/>
        <w:rPr>
          <w:rFonts w:ascii="Verdana" w:eastAsia="Calibri" w:hAnsi="Verdana" w:cs="Arial"/>
          <w:b/>
          <w:bCs/>
          <w:lang w:eastAsia="es-ES"/>
        </w:rPr>
      </w:pPr>
    </w:p>
    <w:p w14:paraId="4E496070" w14:textId="77777777" w:rsidR="00890EE3" w:rsidRDefault="00890EE3" w:rsidP="00890EE3">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MANUAL PARA LA IDENTIFICACIÓN Y COBERTURA DEL RIESGO EN LOS PROCESOS DE CONTRATACIÓN ‒ No obligatoriedad</w:t>
      </w:r>
    </w:p>
    <w:p w14:paraId="700578B5" w14:textId="77777777" w:rsidR="00890EE3" w:rsidRDefault="00890EE3" w:rsidP="00890EE3">
      <w:pPr>
        <w:spacing w:after="0" w:line="240" w:lineRule="auto"/>
        <w:contextualSpacing/>
        <w:jc w:val="both"/>
        <w:rPr>
          <w:rFonts w:ascii="Verdana" w:eastAsia="Calibri" w:hAnsi="Verdana" w:cs="Arial"/>
          <w:b/>
          <w:bCs/>
          <w:lang w:eastAsia="es-ES"/>
        </w:rPr>
      </w:pPr>
    </w:p>
    <w:p w14:paraId="1CF4B7A9" w14:textId="77777777" w:rsidR="00890EE3" w:rsidRDefault="00890EE3" w:rsidP="00890EE3">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Una vez declarada la nulidad del literal a) del numeral 2 del artículo 159 del Decreto 1510 de 2013, el Consejo de Estado determinó que las guías o manuales que expida Colombia Compra Eficiente, en relación con la identificación y cobertura de riesgos, no son vinculantes para las entidades, quienes podrán, de manera facultativa, acudir a ellas como una guía para llevar a cabo la estimación, tipificación, asignación y cobertura de riesgos en cada proceso de contratación particular.</w:t>
      </w:r>
    </w:p>
    <w:p w14:paraId="73368444" w14:textId="77777777" w:rsidR="00890EE3" w:rsidRDefault="00890EE3" w:rsidP="00890EE3">
      <w:pPr>
        <w:spacing w:after="0" w:line="240" w:lineRule="auto"/>
        <w:contextualSpacing/>
        <w:jc w:val="both"/>
        <w:rPr>
          <w:rFonts w:ascii="Verdana" w:eastAsia="Calibri" w:hAnsi="Verdana" w:cs="Arial"/>
          <w:b/>
          <w:bCs/>
          <w:lang w:eastAsia="es-ES"/>
        </w:rPr>
      </w:pPr>
    </w:p>
    <w:p w14:paraId="0D7D158C" w14:textId="77777777" w:rsidR="00890EE3" w:rsidRPr="005544FB" w:rsidRDefault="00890EE3" w:rsidP="00890EE3">
      <w:pPr>
        <w:spacing w:after="0" w:line="240" w:lineRule="auto"/>
        <w:contextualSpacing/>
        <w:jc w:val="both"/>
        <w:rPr>
          <w:rFonts w:ascii="Verdana" w:eastAsia="Calibri" w:hAnsi="Verdana" w:cs="Arial"/>
          <w:sz w:val="20"/>
          <w:szCs w:val="20"/>
          <w:lang w:eastAsia="es-ES"/>
        </w:rPr>
      </w:pPr>
    </w:p>
    <w:p w14:paraId="12B0649E"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1410C330"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621CCE58"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0624F1DF"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525F9AB4"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38BEC90D"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0A33D383"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01460FA0"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77D22817"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5458F8AF"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74494064"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39382EF8"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3B6EB6A3"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21615D30"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2F40C957"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6378CC58"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2C443F96"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51481B62"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564F59CA"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3D347665"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20AEDCA1"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6F52E174"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59A01E98" w14:textId="77777777" w:rsidR="00890EE3" w:rsidRDefault="00890EE3" w:rsidP="00890EE3">
      <w:pPr>
        <w:spacing w:after="0" w:line="240" w:lineRule="auto"/>
        <w:contextualSpacing/>
        <w:jc w:val="both"/>
        <w:rPr>
          <w:rFonts w:ascii="Verdana" w:eastAsia="Calibri" w:hAnsi="Verdana" w:cs="Arial"/>
          <w:sz w:val="20"/>
          <w:szCs w:val="20"/>
          <w:lang w:eastAsia="es-ES"/>
        </w:rPr>
      </w:pPr>
    </w:p>
    <w:p w14:paraId="6EC28602" w14:textId="77777777" w:rsidR="00890EE3" w:rsidRPr="00206556" w:rsidRDefault="00890EE3" w:rsidP="00890EE3">
      <w:pPr>
        <w:spacing w:after="0" w:line="240" w:lineRule="auto"/>
        <w:contextualSpacing/>
        <w:jc w:val="both"/>
        <w:rPr>
          <w:rFonts w:ascii="Verdana" w:eastAsia="Calibri" w:hAnsi="Verdana" w:cs="Arial"/>
          <w:sz w:val="20"/>
          <w:szCs w:val="20"/>
          <w:lang w:val="es-ES" w:eastAsia="es-ES"/>
        </w:rPr>
      </w:pPr>
    </w:p>
    <w:p w14:paraId="379BDDEF" w14:textId="77777777" w:rsidR="00890EE3" w:rsidRPr="00206556" w:rsidRDefault="00890EE3" w:rsidP="00890EE3">
      <w:pPr>
        <w:spacing w:after="0" w:line="240" w:lineRule="auto"/>
        <w:contextualSpacing/>
        <w:jc w:val="both"/>
        <w:rPr>
          <w:rFonts w:ascii="Verdana" w:eastAsia="Calibri" w:hAnsi="Verdana" w:cs="Arial"/>
          <w:sz w:val="20"/>
          <w:szCs w:val="20"/>
          <w:lang w:val="es-ES" w:eastAsia="es-ES"/>
        </w:rPr>
      </w:pPr>
    </w:p>
    <w:p w14:paraId="719DE02E" w14:textId="77777777" w:rsidR="00890EE3" w:rsidRPr="00206556" w:rsidRDefault="00890EE3" w:rsidP="00890EE3">
      <w:pPr>
        <w:spacing w:after="0" w:line="240" w:lineRule="auto"/>
        <w:contextualSpacing/>
        <w:jc w:val="both"/>
        <w:rPr>
          <w:rFonts w:ascii="Verdana" w:eastAsia="Calibri" w:hAnsi="Verdana" w:cs="Arial"/>
          <w:b/>
          <w:bCs/>
          <w:color w:val="ED7D31" w:themeColor="accent2"/>
          <w:sz w:val="20"/>
          <w:szCs w:val="20"/>
          <w:lang w:val="es-ES" w:eastAsia="es-ES"/>
        </w:rPr>
      </w:pPr>
    </w:p>
    <w:p w14:paraId="50AE340E" w14:textId="77777777" w:rsidR="00890EE3" w:rsidRDefault="00890EE3" w:rsidP="00890EE3">
      <w:pPr>
        <w:spacing w:after="0"/>
        <w:rPr>
          <w:rFonts w:ascii="Verdana" w:hAnsi="Verdana"/>
          <w:lang w:val="es-ES_tradnl"/>
        </w:rPr>
      </w:pPr>
    </w:p>
    <w:p w14:paraId="460FD3EE" w14:textId="77777777" w:rsidR="00890EE3" w:rsidRDefault="00890EE3" w:rsidP="00890EE3">
      <w:pPr>
        <w:spacing w:after="0"/>
        <w:rPr>
          <w:rFonts w:ascii="Verdana" w:hAnsi="Verdana"/>
          <w:lang w:val="es-ES_tradnl"/>
        </w:rPr>
      </w:pPr>
    </w:p>
    <w:p w14:paraId="35BA7A6D" w14:textId="6CADE5CD" w:rsidR="00890EE3" w:rsidRDefault="00D210DB" w:rsidP="00890EE3">
      <w:pPr>
        <w:spacing w:after="0" w:line="240" w:lineRule="auto"/>
        <w:rPr>
          <w:rFonts w:ascii="Verdana" w:hAnsi="Verdana"/>
        </w:rPr>
      </w:pPr>
      <w:r w:rsidRPr="00D210DB">
        <w:rPr>
          <w:rFonts w:ascii="Verdana" w:hAnsi="Verdana"/>
        </w:rPr>
        <w:lastRenderedPageBreak/>
        <w:t xml:space="preserve">Bogotá D.C., 09 de </w:t>
      </w:r>
      <w:r w:rsidR="00222EC1" w:rsidRPr="00D210DB">
        <w:rPr>
          <w:rFonts w:ascii="Verdana" w:hAnsi="Verdana"/>
        </w:rPr>
        <w:t>septiembre</w:t>
      </w:r>
      <w:r w:rsidRPr="00D210DB">
        <w:rPr>
          <w:rFonts w:ascii="Verdana" w:hAnsi="Verdana"/>
        </w:rPr>
        <w:t xml:space="preserve"> de 2026</w:t>
      </w:r>
    </w:p>
    <w:p w14:paraId="4DF78628" w14:textId="1258E26F" w:rsidR="00890EE3" w:rsidRPr="00777292" w:rsidRDefault="00D210DB" w:rsidP="00890EE3">
      <w:pPr>
        <w:spacing w:after="0" w:line="240" w:lineRule="auto"/>
        <w:rPr>
          <w:rFonts w:ascii="Verdana" w:hAnsi="Verdana"/>
          <w:lang w:val="es-ES_tradnl"/>
        </w:rPr>
      </w:pPr>
      <w:r w:rsidRPr="00D210DB">
        <w:rPr>
          <w:rFonts w:ascii="Verdana" w:eastAsia="Calibri" w:hAnsi="Verdana" w:cs="Arial"/>
          <w:noProof/>
          <w:lang w:val="es-ES" w:eastAsia="es-ES"/>
        </w:rPr>
        <w:drawing>
          <wp:anchor distT="0" distB="0" distL="114300" distR="114300" simplePos="0" relativeHeight="251658240" behindDoc="1" locked="0" layoutInCell="1" allowOverlap="1" wp14:anchorId="1B7811B0" wp14:editId="4812FD38">
            <wp:simplePos x="0" y="0"/>
            <wp:positionH relativeFrom="column">
              <wp:posOffset>3332480</wp:posOffset>
            </wp:positionH>
            <wp:positionV relativeFrom="paragraph">
              <wp:posOffset>125730</wp:posOffset>
            </wp:positionV>
            <wp:extent cx="2583815" cy="897890"/>
            <wp:effectExtent l="0" t="0" r="6985" b="0"/>
            <wp:wrapSquare wrapText="bothSides"/>
            <wp:docPr id="1345375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7573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3815" cy="897890"/>
                    </a:xfrm>
                    <a:prstGeom prst="rect">
                      <a:avLst/>
                    </a:prstGeom>
                  </pic:spPr>
                </pic:pic>
              </a:graphicData>
            </a:graphic>
            <wp14:sizeRelH relativeFrom="page">
              <wp14:pctWidth>0</wp14:pctWidth>
            </wp14:sizeRelH>
            <wp14:sizeRelV relativeFrom="page">
              <wp14:pctHeight>0</wp14:pctHeight>
            </wp14:sizeRelV>
          </wp:anchor>
        </w:drawing>
      </w:r>
    </w:p>
    <w:p w14:paraId="2BE28F37" w14:textId="704B3728" w:rsidR="00890EE3" w:rsidRDefault="00890EE3" w:rsidP="00890EE3">
      <w:pPr>
        <w:spacing w:after="0" w:line="240" w:lineRule="auto"/>
        <w:rPr>
          <w:rFonts w:ascii="Verdana" w:hAnsi="Verdana"/>
          <w:lang w:val="es-ES"/>
        </w:rPr>
      </w:pPr>
      <w:r>
        <w:rPr>
          <w:rFonts w:ascii="Verdana" w:eastAsia="Calibri" w:hAnsi="Verdana" w:cs="Arial"/>
          <w:lang w:val="es-ES" w:eastAsia="es-ES"/>
        </w:rPr>
        <w:t>Señora</w:t>
      </w:r>
    </w:p>
    <w:p w14:paraId="2D9CECED" w14:textId="4E0A1F2D" w:rsidR="00890EE3" w:rsidRPr="00DD0FDA" w:rsidRDefault="00890EE3" w:rsidP="00890EE3">
      <w:pPr>
        <w:spacing w:after="0" w:line="240" w:lineRule="auto"/>
        <w:rPr>
          <w:rFonts w:ascii="Verdana" w:hAnsi="Verdana"/>
          <w:b/>
          <w:bCs/>
          <w:lang w:val="es-ES"/>
        </w:rPr>
      </w:pPr>
      <w:r w:rsidRPr="00DD0FDA">
        <w:rPr>
          <w:rFonts w:ascii="Verdana" w:eastAsia="Calibri" w:hAnsi="Verdana" w:cs="Arial"/>
          <w:b/>
          <w:bCs/>
          <w:lang w:val="es-ES" w:eastAsia="es-ES"/>
        </w:rPr>
        <w:t>Gladys Vaca Ruiz</w:t>
      </w:r>
    </w:p>
    <w:p w14:paraId="7839FF8F" w14:textId="50B6DD69" w:rsidR="00890EE3" w:rsidRDefault="00890EE3" w:rsidP="00890EE3">
      <w:pPr>
        <w:spacing w:after="0" w:line="240" w:lineRule="auto"/>
        <w:rPr>
          <w:rFonts w:ascii="Verdana" w:hAnsi="Verdana"/>
          <w:lang w:val="es-ES"/>
        </w:rPr>
      </w:pPr>
      <w:r>
        <w:rPr>
          <w:rFonts w:ascii="Verdana" w:eastAsia="Calibri" w:hAnsi="Verdana" w:cs="Arial"/>
          <w:lang w:val="es-ES" w:eastAsia="es-ES"/>
        </w:rPr>
        <w:t>Rectora – Institución Educativa Jorge Eliécer Gaitán Ayala</w:t>
      </w:r>
    </w:p>
    <w:p w14:paraId="640E0B61" w14:textId="77777777" w:rsidR="00890EE3" w:rsidRDefault="00890EE3" w:rsidP="00890EE3">
      <w:pPr>
        <w:spacing w:after="0" w:line="240" w:lineRule="auto"/>
        <w:rPr>
          <w:rFonts w:ascii="Verdana" w:hAnsi="Verdana"/>
          <w:lang w:val="es-ES"/>
        </w:rPr>
      </w:pPr>
      <w:r>
        <w:rPr>
          <w:rFonts w:ascii="Verdana" w:eastAsia="Calibri" w:hAnsi="Verdana" w:cs="Arial"/>
          <w:lang w:val="es-ES" w:eastAsia="es-ES"/>
        </w:rPr>
        <w:t>glavaru@gmail.com</w:t>
      </w:r>
    </w:p>
    <w:p w14:paraId="09D780F4" w14:textId="77777777" w:rsidR="00890EE3" w:rsidRDefault="00890EE3" w:rsidP="00890EE3">
      <w:pPr>
        <w:spacing w:after="0" w:line="240" w:lineRule="auto"/>
        <w:rPr>
          <w:rFonts w:ascii="Verdana" w:hAnsi="Verdana"/>
          <w:lang w:val="es-ES"/>
        </w:rPr>
      </w:pPr>
      <w:r>
        <w:rPr>
          <w:rFonts w:ascii="Verdana" w:eastAsia="Calibri" w:hAnsi="Verdana" w:cs="Arial"/>
          <w:lang w:val="es-ES" w:eastAsia="es-ES"/>
        </w:rPr>
        <w:t>Villavicencio, Meta</w:t>
      </w:r>
    </w:p>
    <w:p w14:paraId="2B7AB5A8" w14:textId="77777777" w:rsidR="00890EE3" w:rsidRPr="00966744" w:rsidRDefault="00890EE3" w:rsidP="00890EE3">
      <w:pPr>
        <w:spacing w:after="0" w:line="240" w:lineRule="auto"/>
        <w:rPr>
          <w:rFonts w:ascii="Verdana" w:eastAsia="Calibri" w:hAnsi="Verdana" w:cs="Arial"/>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90EE3" w:rsidRPr="00777292" w14:paraId="1B551BD6" w14:textId="77777777" w:rsidTr="00821A52">
        <w:trPr>
          <w:trHeight w:val="190"/>
        </w:trPr>
        <w:tc>
          <w:tcPr>
            <w:tcW w:w="2689" w:type="dxa"/>
          </w:tcPr>
          <w:p w14:paraId="1D97BD88" w14:textId="77777777" w:rsidR="00890EE3" w:rsidRDefault="00890EE3" w:rsidP="00821A52">
            <w:pPr>
              <w:jc w:val="both"/>
              <w:rPr>
                <w:rFonts w:ascii="Verdana" w:eastAsia="Calibri" w:hAnsi="Verdana" w:cs="Arial"/>
                <w:b/>
                <w:bCs/>
                <w:lang w:eastAsia="es-ES_tradnl"/>
              </w:rPr>
            </w:pPr>
          </w:p>
          <w:p w14:paraId="614ED987" w14:textId="77777777" w:rsidR="00890EE3" w:rsidRPr="00777292" w:rsidRDefault="00890EE3" w:rsidP="00821A52">
            <w:pPr>
              <w:jc w:val="both"/>
              <w:rPr>
                <w:rFonts w:ascii="Verdana" w:eastAsia="Calibri" w:hAnsi="Verdana" w:cs="Arial"/>
                <w:b/>
                <w:bCs/>
                <w:lang w:eastAsia="es-ES_tradnl"/>
              </w:rPr>
            </w:pPr>
          </w:p>
        </w:tc>
        <w:tc>
          <w:tcPr>
            <w:tcW w:w="6100" w:type="dxa"/>
          </w:tcPr>
          <w:p w14:paraId="28FC090E" w14:textId="77777777" w:rsidR="00890EE3" w:rsidRPr="00777292" w:rsidRDefault="00890EE3" w:rsidP="00821A52">
            <w:pPr>
              <w:jc w:val="both"/>
              <w:rPr>
                <w:rFonts w:ascii="Verdana" w:eastAsia="Calibri" w:hAnsi="Verdana" w:cs="Arial"/>
                <w:b/>
                <w:bCs/>
                <w:lang w:eastAsia="es-ES"/>
              </w:rPr>
            </w:pPr>
            <w:r>
              <w:rPr>
                <w:rFonts w:ascii="Verdana" w:eastAsia="Calibri" w:hAnsi="Verdana" w:cs="Arial"/>
                <w:b/>
                <w:bCs/>
                <w:lang w:eastAsia="es-ES"/>
              </w:rPr>
              <w:t>Concepto C- 1208 de 2026</w:t>
            </w:r>
          </w:p>
          <w:p w14:paraId="67F41EF9" w14:textId="77777777" w:rsidR="00890EE3" w:rsidRPr="00777292" w:rsidRDefault="00890EE3" w:rsidP="00821A52">
            <w:pPr>
              <w:jc w:val="both"/>
              <w:rPr>
                <w:rFonts w:ascii="Verdana" w:eastAsia="Calibri" w:hAnsi="Verdana" w:cs="Arial"/>
                <w:b/>
                <w:bCs/>
                <w:lang w:eastAsia="es-ES"/>
              </w:rPr>
            </w:pPr>
          </w:p>
        </w:tc>
      </w:tr>
      <w:tr w:rsidR="00890EE3" w:rsidRPr="00777292" w14:paraId="4E1E2C4F" w14:textId="77777777" w:rsidTr="00821A52">
        <w:trPr>
          <w:trHeight w:val="884"/>
        </w:trPr>
        <w:tc>
          <w:tcPr>
            <w:tcW w:w="2689" w:type="dxa"/>
          </w:tcPr>
          <w:p w14:paraId="2B19B15E" w14:textId="77777777" w:rsidR="00890EE3" w:rsidRPr="00777292" w:rsidRDefault="00890EE3" w:rsidP="00821A52">
            <w:pPr>
              <w:jc w:val="both"/>
              <w:rPr>
                <w:rFonts w:ascii="Verdana" w:eastAsia="Calibri" w:hAnsi="Verdana" w:cs="Arial"/>
                <w:lang w:eastAsia="es-ES_tradnl"/>
              </w:rPr>
            </w:pPr>
            <w:r>
              <w:rPr>
                <w:rFonts w:ascii="Verdana" w:eastAsia="Calibri" w:hAnsi="Verdana" w:cs="Arial"/>
                <w:b/>
                <w:lang w:eastAsia="es-ES_tradnl"/>
              </w:rPr>
              <w:t>Tema:</w:t>
            </w:r>
            <w:r>
              <w:rPr>
                <w:rFonts w:ascii="Verdana" w:eastAsia="Calibri" w:hAnsi="Verdana" w:cs="Arial"/>
                <w:lang w:eastAsia="es-ES_tradnl"/>
              </w:rPr>
              <w:t xml:space="preserve">                   </w:t>
            </w:r>
          </w:p>
        </w:tc>
        <w:tc>
          <w:tcPr>
            <w:tcW w:w="6100" w:type="dxa"/>
          </w:tcPr>
          <w:p w14:paraId="5070A8F5" w14:textId="77777777" w:rsidR="00890EE3" w:rsidRDefault="00890EE3" w:rsidP="00821A52">
            <w:pPr>
              <w:contextualSpacing/>
              <w:jc w:val="both"/>
              <w:rPr>
                <w:rFonts w:ascii="Verdana" w:eastAsia="Calibri" w:hAnsi="Verdana" w:cs="Arial"/>
                <w:lang w:eastAsia="es-ES"/>
              </w:rPr>
            </w:pPr>
            <w:r>
              <w:rPr>
                <w:rFonts w:ascii="Verdana" w:eastAsia="Calibri" w:hAnsi="Verdana" w:cs="Arial"/>
                <w:lang w:eastAsia="es-ES"/>
              </w:rPr>
              <w:t>INSTITUCIONES EDUCATIVAS OFICIALES ‒ Naturaleza jurídica ‒ Capacidad para contratar ‒ Régimen contractual / FONDOS DE SERVICIOS EDUCATIVOS ‒ Reglamento del Consejo Directivo ‒ Cuantía inferior a veinte (20) SMMLV / RIESGOS ‒ Normativa ‒ Artículo 4 de la Ley 1150 de 2007 ‒ Ámbito de aplicación / MATRIZ DE RIESGOS ‒ Instituciones educativas oficiales ‒ Contratación inferior a veinte (20) SMMLV ‒ Análisis de riesgos en los estudios previos / MANUAL PARA LA IDENTIFICACIÓN Y COBERTURA DEL RIESGO EN LOS PROCESOS DE CONTRATACIÓN ‒ No obligatoriedad</w:t>
            </w:r>
          </w:p>
          <w:p w14:paraId="13B627B6" w14:textId="1211D04C" w:rsidR="00890EE3" w:rsidRPr="00777292" w:rsidRDefault="00890EE3" w:rsidP="00821A52">
            <w:pPr>
              <w:contextualSpacing/>
              <w:jc w:val="both"/>
              <w:rPr>
                <w:rFonts w:ascii="Verdana" w:eastAsia="Calibri" w:hAnsi="Verdana" w:cs="Arial"/>
                <w:lang w:eastAsia="es-ES"/>
              </w:rPr>
            </w:pPr>
          </w:p>
        </w:tc>
      </w:tr>
      <w:tr w:rsidR="00890EE3" w:rsidRPr="00777292" w14:paraId="0656F775" w14:textId="77777777" w:rsidTr="00821A52">
        <w:tc>
          <w:tcPr>
            <w:tcW w:w="2689" w:type="dxa"/>
          </w:tcPr>
          <w:p w14:paraId="7696BF91" w14:textId="77777777" w:rsidR="00890EE3" w:rsidRPr="00777292" w:rsidRDefault="00890EE3" w:rsidP="00821A52">
            <w:pPr>
              <w:jc w:val="both"/>
              <w:rPr>
                <w:rFonts w:ascii="Verdana" w:eastAsia="Calibri" w:hAnsi="Verdana" w:cs="Arial"/>
                <w:b/>
                <w:lang w:eastAsia="es-ES_tradnl"/>
              </w:rPr>
            </w:pPr>
            <w:r>
              <w:rPr>
                <w:rFonts w:ascii="Verdana" w:eastAsia="Calibri" w:hAnsi="Verdana" w:cs="Arial"/>
                <w:b/>
                <w:lang w:eastAsia="es-ES_tradnl"/>
              </w:rPr>
              <w:t>Radicación:</w:t>
            </w:r>
            <w:r>
              <w:rPr>
                <w:rFonts w:ascii="Verdana" w:eastAsia="Calibri" w:hAnsi="Verdana" w:cs="Arial"/>
                <w:lang w:eastAsia="es-ES_tradnl"/>
              </w:rPr>
              <w:t xml:space="preserve">               </w:t>
            </w:r>
          </w:p>
        </w:tc>
        <w:tc>
          <w:tcPr>
            <w:tcW w:w="6100" w:type="dxa"/>
          </w:tcPr>
          <w:p w14:paraId="10401AF6" w14:textId="77777777" w:rsidR="00890EE3" w:rsidRPr="00777292" w:rsidRDefault="00890EE3" w:rsidP="00821A52">
            <w:pPr>
              <w:jc w:val="both"/>
              <w:rPr>
                <w:rFonts w:ascii="Verdana" w:eastAsia="Calibri" w:hAnsi="Verdana" w:cs="Arial"/>
                <w:lang w:eastAsia="es-ES_tradnl"/>
              </w:rPr>
            </w:pPr>
            <w:r>
              <w:rPr>
                <w:rFonts w:ascii="Verdana" w:eastAsia="Calibri" w:hAnsi="Verdana" w:cs="Arial"/>
                <w:lang w:eastAsia="es-ES_tradnl"/>
              </w:rPr>
              <w:t>Respuesta a consulta con radicado No.</w:t>
            </w:r>
            <w:r>
              <w:rPr>
                <w:rFonts w:ascii="Roboto" w:hAnsi="Roboto"/>
                <w:color w:val="242424"/>
                <w:sz w:val="27"/>
                <w:szCs w:val="27"/>
                <w:shd w:val="clear" w:color="auto" w:fill="FFFFFF"/>
              </w:rPr>
              <w:t xml:space="preserve"> </w:t>
            </w:r>
            <w:r>
              <w:rPr>
                <w:rFonts w:ascii="Verdana" w:hAnsi="Verdana"/>
                <w:color w:val="242424"/>
                <w:shd w:val="clear" w:color="auto" w:fill="FFFFFF"/>
              </w:rPr>
              <w:t>1_2026_07_30_010087</w:t>
            </w:r>
          </w:p>
        </w:tc>
      </w:tr>
    </w:tbl>
    <w:p w14:paraId="515FFDCC" w14:textId="77777777" w:rsidR="00890EE3" w:rsidRPr="00206556" w:rsidRDefault="00890EE3" w:rsidP="00890EE3">
      <w:pPr>
        <w:tabs>
          <w:tab w:val="left" w:pos="1520"/>
        </w:tabs>
        <w:spacing w:after="0" w:line="276" w:lineRule="auto"/>
        <w:jc w:val="both"/>
        <w:rPr>
          <w:rFonts w:ascii="Verdana" w:eastAsia="Calibri" w:hAnsi="Verdana" w:cs="Arial"/>
          <w:color w:val="ED7D31" w:themeColor="accent2"/>
          <w:sz w:val="20"/>
          <w:szCs w:val="20"/>
          <w:lang w:val="es-ES" w:eastAsia="es-ES"/>
        </w:rPr>
      </w:pPr>
    </w:p>
    <w:p w14:paraId="6A986116" w14:textId="77777777" w:rsidR="00890EE3" w:rsidRPr="00206556" w:rsidRDefault="00890EE3" w:rsidP="00890EE3">
      <w:pPr>
        <w:spacing w:after="0" w:line="276" w:lineRule="auto"/>
        <w:jc w:val="both"/>
        <w:rPr>
          <w:rFonts w:ascii="Verdana" w:eastAsia="Calibri" w:hAnsi="Verdana" w:cs="Arial"/>
          <w:color w:val="ED7D31" w:themeColor="accent2"/>
          <w:lang w:val="es-ES" w:eastAsia="es-ES"/>
        </w:rPr>
      </w:pPr>
    </w:p>
    <w:p w14:paraId="72D16AFF" w14:textId="77777777" w:rsidR="00890EE3" w:rsidRPr="00206556" w:rsidRDefault="00890EE3" w:rsidP="00890EE3">
      <w:pPr>
        <w:spacing w:after="0" w:line="276" w:lineRule="auto"/>
        <w:jc w:val="both"/>
        <w:rPr>
          <w:rFonts w:ascii="Verdana" w:eastAsia="Calibri" w:hAnsi="Verdana" w:cs="Arial"/>
          <w:lang w:val="es-ES" w:eastAsia="es-ES"/>
        </w:rPr>
      </w:pPr>
      <w:r>
        <w:rPr>
          <w:rFonts w:ascii="Verdana" w:eastAsia="Calibri" w:hAnsi="Verdana" w:cs="Arial"/>
          <w:lang w:val="es-ES" w:eastAsia="es-ES"/>
        </w:rPr>
        <w:t>Estimada señora Vaca:</w:t>
      </w:r>
    </w:p>
    <w:p w14:paraId="6702A8F4" w14:textId="77777777" w:rsidR="00890EE3" w:rsidRPr="00206556" w:rsidRDefault="00890EE3" w:rsidP="00890EE3">
      <w:pPr>
        <w:tabs>
          <w:tab w:val="left" w:pos="3768"/>
        </w:tabs>
        <w:spacing w:after="0" w:line="276" w:lineRule="auto"/>
        <w:jc w:val="both"/>
        <w:rPr>
          <w:rFonts w:ascii="Verdana" w:eastAsia="Calibri" w:hAnsi="Verdana" w:cs="Arial"/>
          <w:lang w:val="es-ES" w:eastAsia="es-ES"/>
        </w:rPr>
      </w:pPr>
      <w:r>
        <w:rPr>
          <w:rFonts w:ascii="Verdana" w:eastAsia="Calibri" w:hAnsi="Verdana" w:cs="Arial"/>
          <w:lang w:val="es-ES" w:eastAsia="es-ES"/>
        </w:rPr>
        <w:tab/>
      </w:r>
    </w:p>
    <w:p w14:paraId="6C187D44" w14:textId="77777777" w:rsidR="00890EE3" w:rsidRPr="00206556" w:rsidRDefault="00890EE3" w:rsidP="00890EE3">
      <w:pPr>
        <w:spacing w:after="0" w:line="276" w:lineRule="auto"/>
        <w:jc w:val="both"/>
        <w:rPr>
          <w:rFonts w:ascii="Verdana" w:eastAsia="Calibri" w:hAnsi="Verdana" w:cs="Arial"/>
          <w:lang w:val="es-ES" w:eastAsia="es-ES"/>
        </w:rPr>
      </w:pPr>
      <w:r>
        <w:rPr>
          <w:rFonts w:ascii="Verdana" w:eastAsia="Calibri" w:hAnsi="Verdana" w:cs="Arial"/>
          <w:lang w:val="es-ES" w:eastAsia="es-ES"/>
        </w:rPr>
        <w:t>En ejercicio de la competencia otorgada por los artículos 3, numeral 5º, y 11, numeral 8º, del Decreto Ley 4170 de 2011,</w:t>
      </w:r>
      <w:r>
        <w:rPr>
          <w:rFonts w:ascii="Verdana" w:eastAsia="Arial MT" w:hAnsi="Verdana" w:cs="Arial MT"/>
          <w:lang w:val="es-ES" w:eastAsia="es-ES"/>
        </w:rPr>
        <w:t xml:space="preserve"> </w:t>
      </w:r>
      <w:r>
        <w:rPr>
          <w:rFonts w:ascii="Verdana" w:hAnsi="Verdana" w:cs="Arial"/>
          <w:lang w:val="es-ES"/>
        </w:rPr>
        <w:t xml:space="preserve">así como lo establecido en la Resolución 469 de 2025 expedida por esta Entidad, </w:t>
      </w:r>
      <w:r>
        <w:rPr>
          <w:rFonts w:ascii="Verdana" w:eastAsia="Calibri" w:hAnsi="Verdana" w:cs="Arial"/>
          <w:lang w:val="es-ES" w:eastAsia="es-ES"/>
        </w:rPr>
        <w:t xml:space="preserve">la Agencia Nacional de Contratación Pública – Colombia Compra Eficiente– responde su solicitud de consulta del 30 de julio de 2026, en la cual manifiesta lo siguiente: </w:t>
      </w:r>
    </w:p>
    <w:p w14:paraId="028A97BD" w14:textId="77777777" w:rsidR="00890EE3" w:rsidRPr="006A0794" w:rsidRDefault="00890EE3" w:rsidP="00890EE3">
      <w:pPr>
        <w:spacing w:after="0" w:line="276" w:lineRule="auto"/>
        <w:ind w:right="709"/>
        <w:jc w:val="both"/>
        <w:rPr>
          <w:rFonts w:ascii="Verdana" w:eastAsia="Century Gothic" w:hAnsi="Verdana" w:cs="Century Gothic"/>
          <w:i/>
          <w:iCs/>
          <w:sz w:val="20"/>
          <w:szCs w:val="20"/>
          <w:lang w:val="es-ES"/>
        </w:rPr>
      </w:pPr>
    </w:p>
    <w:p w14:paraId="19EBCEDB" w14:textId="0A1C2A78" w:rsidR="00890EE3" w:rsidRDefault="00890EE3" w:rsidP="00890EE3">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 xml:space="preserve">“[…] De conformidad con lo dispuesto en la Ley 715 de 2001 y el Decreto 1075 de 2015 (compila el Decreto 4791 de 2008), las instituciones educativas oficiales pertenecen al régimen especial de contratación, en consideración que cuando su contratación no supera una cuantía superior a 20smmlv, la modalidad de contratación es directa, y su procedimiento </w:t>
      </w:r>
      <w:r>
        <w:rPr>
          <w:rFonts w:ascii="Verdana" w:eastAsia="Century Gothic" w:hAnsi="Verdana" w:cs="Century Gothic"/>
          <w:sz w:val="20"/>
          <w:szCs w:val="20"/>
        </w:rPr>
        <w:lastRenderedPageBreak/>
        <w:t>es el establecido en el manual interno de contratación y el Decreto 1075 de 2015. […]</w:t>
      </w:r>
    </w:p>
    <w:p w14:paraId="7595FA22" w14:textId="77777777" w:rsidR="00CA5690" w:rsidRDefault="00CA5690" w:rsidP="00890EE3">
      <w:pPr>
        <w:spacing w:after="0" w:line="240" w:lineRule="auto"/>
        <w:ind w:left="708" w:right="709"/>
        <w:jc w:val="both"/>
        <w:rPr>
          <w:rFonts w:ascii="Verdana" w:eastAsia="Century Gothic" w:hAnsi="Verdana" w:cs="Century Gothic"/>
          <w:sz w:val="20"/>
          <w:szCs w:val="20"/>
        </w:rPr>
      </w:pPr>
    </w:p>
    <w:p w14:paraId="066B6CF3" w14:textId="77777777" w:rsidR="00890EE3" w:rsidRDefault="00890EE3" w:rsidP="00890EE3">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A pesar de ello, actualmente se pretende imponer a las instituciones educativas oficiales de Villavicencio, la carga de diligenciar y presentar una matriz de riesgo a la luz de lo dispuesto en la Ley 1150 de 2007 […]</w:t>
      </w:r>
    </w:p>
    <w:p w14:paraId="313F2ADA" w14:textId="77777777" w:rsidR="00CA5690" w:rsidRDefault="00CA5690" w:rsidP="00890EE3">
      <w:pPr>
        <w:spacing w:after="0" w:line="240" w:lineRule="auto"/>
        <w:ind w:left="708" w:right="709"/>
        <w:jc w:val="both"/>
        <w:rPr>
          <w:rFonts w:ascii="Verdana" w:eastAsia="Century Gothic" w:hAnsi="Verdana" w:cs="Century Gothic"/>
          <w:sz w:val="20"/>
          <w:szCs w:val="20"/>
        </w:rPr>
      </w:pPr>
    </w:p>
    <w:p w14:paraId="623F5209" w14:textId="15A9E191" w:rsidR="00890EE3" w:rsidRDefault="00890EE3" w:rsidP="00890EE3">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Surge entonces la pregunta:</w:t>
      </w:r>
    </w:p>
    <w:p w14:paraId="5F4891EE" w14:textId="77777777" w:rsidR="00CA5690" w:rsidRDefault="00CA5690" w:rsidP="00890EE3">
      <w:pPr>
        <w:spacing w:after="0" w:line="240" w:lineRule="auto"/>
        <w:ind w:left="708" w:right="709"/>
        <w:jc w:val="both"/>
        <w:rPr>
          <w:rFonts w:ascii="Verdana" w:eastAsia="Century Gothic" w:hAnsi="Verdana" w:cs="Century Gothic"/>
          <w:sz w:val="20"/>
          <w:szCs w:val="20"/>
        </w:rPr>
      </w:pPr>
    </w:p>
    <w:p w14:paraId="323B001B" w14:textId="5F5BC95B" w:rsidR="00890EE3" w:rsidRDefault="00890EE3" w:rsidP="00890EE3">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¿Están obligadas las instituciones educativas oficiales a elaborar matriz de riesgo bajo las orientaciones de la Ley 1150 de 2007 y el Decreto 1082 de 2015, o están sujetas a lo que dispongan los estudios previos en su contenido de análisis del riesgo, sin que haya obligación de manejar un instrumento tan técnico como la matriz de riesgo, que imposibilita que un funcionario del orden administrativo “auxiliar” lo lleve a cabo?”</w:t>
      </w:r>
    </w:p>
    <w:p w14:paraId="1C7FE7AC" w14:textId="77777777" w:rsidR="00890EE3" w:rsidRPr="003248CC" w:rsidRDefault="00890EE3" w:rsidP="00890EE3">
      <w:pPr>
        <w:spacing w:before="120" w:after="120" w:line="276" w:lineRule="auto"/>
        <w:ind w:left="709" w:right="709"/>
        <w:contextualSpacing/>
        <w:rPr>
          <w:rFonts w:ascii="Verdana" w:eastAsia="Century Gothic" w:hAnsi="Verdana" w:cs="Century Gothic"/>
          <w:lang w:val="es-ES"/>
        </w:rPr>
      </w:pPr>
    </w:p>
    <w:p w14:paraId="71E77F7B" w14:textId="77777777" w:rsidR="00890EE3" w:rsidRPr="00206556" w:rsidRDefault="00890EE3" w:rsidP="00890EE3">
      <w:pPr>
        <w:spacing w:after="120" w:line="276" w:lineRule="auto"/>
        <w:ind w:firstLine="708"/>
        <w:jc w:val="both"/>
        <w:rPr>
          <w:rFonts w:ascii="Verdana" w:eastAsia="Calibri" w:hAnsi="Verdana" w:cs="Arial"/>
          <w:lang w:val="es-ES" w:eastAsia="es-ES"/>
        </w:rPr>
      </w:pPr>
      <w:r>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al </w:t>
      </w:r>
      <w:r>
        <w:rPr>
          <w:rFonts w:ascii="Verdana" w:hAnsi="Verdana"/>
        </w:rPr>
        <w:t>Estatuto General de Contratación Pública</w:t>
      </w:r>
      <w:r>
        <w:rPr>
          <w:rFonts w:ascii="Verdana" w:eastAsia="Calibri" w:hAnsi="Verdana" w:cs="Arial"/>
          <w:lang w:val="es-ES" w:eastAsia="es-ES"/>
        </w:rPr>
        <w:t xml:space="preserve"> o de los demás participantes de la contratación pública. Esta competencia de interpretación de normas generales, por definición, no puede extenderse a la resolución de controversias, ni a brindar asesorías sobre casos puntuales.  </w:t>
      </w:r>
      <w:r>
        <w:rPr>
          <w:rFonts w:ascii="Verdana" w:hAnsi="Verdana"/>
          <w:lang w:val="es-ES"/>
        </w:rPr>
        <w:tab/>
      </w:r>
    </w:p>
    <w:p w14:paraId="59129542" w14:textId="77777777" w:rsidR="00890EE3" w:rsidRPr="00206556" w:rsidRDefault="00890EE3" w:rsidP="00890EE3">
      <w:pPr>
        <w:spacing w:after="0" w:line="276" w:lineRule="auto"/>
        <w:ind w:firstLine="709"/>
        <w:jc w:val="both"/>
        <w:rPr>
          <w:rFonts w:ascii="Verdana" w:eastAsia="Calibri" w:hAnsi="Verdana" w:cs="Arial"/>
          <w:lang w:val="es-ES" w:eastAsia="es-ES"/>
        </w:rPr>
      </w:pPr>
      <w:r>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38F4DD51" w14:textId="77777777" w:rsidR="00890EE3" w:rsidRPr="00206556" w:rsidRDefault="00890EE3" w:rsidP="00890EE3">
      <w:pPr>
        <w:spacing w:after="0" w:line="276" w:lineRule="auto"/>
        <w:ind w:firstLine="709"/>
        <w:jc w:val="both"/>
        <w:rPr>
          <w:rFonts w:ascii="Verdana" w:eastAsia="Calibri" w:hAnsi="Verdana" w:cs="Arial"/>
          <w:lang w:val="es-ES" w:eastAsia="es-ES"/>
        </w:rPr>
      </w:pPr>
    </w:p>
    <w:p w14:paraId="24DB4C30" w14:textId="77777777" w:rsidR="00890EE3" w:rsidRPr="00206556" w:rsidRDefault="00890EE3" w:rsidP="00890EE3">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1. Problema planteado:</w:t>
      </w:r>
    </w:p>
    <w:p w14:paraId="42FB99E2" w14:textId="77777777" w:rsidR="00890EE3" w:rsidRPr="00206556" w:rsidRDefault="00890EE3" w:rsidP="00314D07">
      <w:pPr>
        <w:widowControl w:val="0"/>
        <w:autoSpaceDE w:val="0"/>
        <w:autoSpaceDN w:val="0"/>
        <w:spacing w:after="0" w:line="276" w:lineRule="auto"/>
        <w:jc w:val="both"/>
        <w:rPr>
          <w:rFonts w:ascii="Verdana" w:eastAsia="Century Gothic" w:hAnsi="Verdana" w:cs="Century Gothic"/>
          <w:color w:val="ED7D31" w:themeColor="accent2"/>
          <w:lang w:val="es-ES"/>
        </w:rPr>
      </w:pPr>
    </w:p>
    <w:p w14:paraId="715599A0" w14:textId="7C7F8418" w:rsidR="00890EE3" w:rsidRDefault="00890EE3" w:rsidP="00314D07">
      <w:pPr>
        <w:widowControl w:val="0"/>
        <w:autoSpaceDE w:val="0"/>
        <w:autoSpaceDN w:val="0"/>
        <w:spacing w:after="0" w:line="276" w:lineRule="auto"/>
        <w:jc w:val="both"/>
        <w:rPr>
          <w:rFonts w:ascii="Verdana" w:hAnsi="Verdana"/>
        </w:rPr>
      </w:pPr>
      <w:r>
        <w:rPr>
          <w:rFonts w:ascii="Verdana" w:eastAsia="Times New Roman" w:hAnsi="Verdana" w:cs="Times New Roman"/>
        </w:rPr>
        <w:t xml:space="preserve">De acuerdo con el contenido de su solicitud, esta Agencia resolverá el siguiente problema jurídico: ¿Las instituciones educativas oficiales sometidas a régimen </w:t>
      </w:r>
      <w:r>
        <w:rPr>
          <w:rFonts w:ascii="Verdana" w:eastAsia="Times New Roman" w:hAnsi="Verdana" w:cs="Times New Roman"/>
        </w:rPr>
        <w:lastRenderedPageBreak/>
        <w:t>especial de contratación están obligadas a elaborar una matriz formal de riesgos en los procesos cuya cuantía no supera los veinte (20) SMMLV, o es suficiente incorporar el análisis y tratamiento de riesgos en los estudios previos conforme a su manual de contratación?</w:t>
      </w:r>
    </w:p>
    <w:p w14:paraId="7BF37AF2" w14:textId="77777777" w:rsidR="00890EE3" w:rsidRPr="00206556" w:rsidRDefault="00890EE3" w:rsidP="00890EE3">
      <w:pPr>
        <w:spacing w:after="0" w:line="276" w:lineRule="auto"/>
        <w:jc w:val="both"/>
        <w:rPr>
          <w:rFonts w:ascii="Verdana" w:eastAsia="Century Gothic" w:hAnsi="Verdana" w:cs="Century Gothic"/>
          <w:color w:val="ED7D31" w:themeColor="accent2"/>
        </w:rPr>
      </w:pPr>
    </w:p>
    <w:p w14:paraId="46C07E70" w14:textId="77777777" w:rsidR="00890EE3" w:rsidRDefault="00890EE3" w:rsidP="00890EE3">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2. Respuesta:</w:t>
      </w:r>
    </w:p>
    <w:p w14:paraId="61BF7783" w14:textId="77777777" w:rsidR="00890EE3" w:rsidRPr="00A4789E" w:rsidRDefault="00890EE3" w:rsidP="00890EE3">
      <w:pPr>
        <w:tabs>
          <w:tab w:val="left" w:pos="142"/>
          <w:tab w:val="left" w:pos="284"/>
        </w:tabs>
        <w:spacing w:after="0" w:line="276" w:lineRule="auto"/>
        <w:jc w:val="both"/>
        <w:rPr>
          <w:rFonts w:ascii="Verdana" w:eastAsia="Century Gothic" w:hAnsi="Verdana" w:cs="Century Gothic"/>
          <w:b/>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90EE3" w:rsidRPr="00206556" w14:paraId="046945C1" w14:textId="77777777" w:rsidTr="00821A52">
        <w:tc>
          <w:tcPr>
            <w:tcW w:w="8828" w:type="dxa"/>
          </w:tcPr>
          <w:p w14:paraId="2C050401" w14:textId="0B16ADFC" w:rsidR="00890EE3" w:rsidRDefault="00890EE3" w:rsidP="00314D07">
            <w:pPr>
              <w:spacing w:after="120" w:line="276" w:lineRule="auto"/>
              <w:jc w:val="both"/>
              <w:rPr>
                <w:rFonts w:ascii="Verdana" w:eastAsia="Calibri" w:hAnsi="Verdana" w:cs="Arial"/>
              </w:rPr>
            </w:pPr>
            <w:r>
              <w:rPr>
                <w:rFonts w:ascii="Verdana" w:eastAsia="Calibri" w:hAnsi="Verdana" w:cs="Arial"/>
              </w:rPr>
              <w:t>En atención al problema jurídico planteado, es necesario precisar que las instituciones educativas oficiales carecen de personería jurídica, pero tienen capacidad para contratar, la cual se concreta en la competencia que les otorgó el artículo 13 de la Ley 715 de 2001 para administrar los fondos de servicios educativos. Conforme a esa disposición, los actos y contratos de cuantía superior a veinte (20) salarios mínimos mensuales legales vigentes se rigen por las reglas de la contratación estatal, mientras que aquellos cuya cuantía no exceda dicho umbral se sujetan a las condiciones previstas en el reglamento de contratación que expida el consejo directivo de la institución.</w:t>
            </w:r>
          </w:p>
          <w:p w14:paraId="577766CA" w14:textId="6CA9840A" w:rsidR="00890EE3" w:rsidRDefault="00890EE3" w:rsidP="00B56E2C">
            <w:pPr>
              <w:spacing w:after="120" w:line="276" w:lineRule="auto"/>
              <w:ind w:firstLine="709"/>
              <w:jc w:val="both"/>
              <w:rPr>
                <w:rFonts w:ascii="Verdana" w:eastAsia="Calibri" w:hAnsi="Verdana" w:cs="Arial"/>
              </w:rPr>
            </w:pPr>
            <w:r>
              <w:rPr>
                <w:rFonts w:ascii="Verdana" w:eastAsia="Calibri" w:hAnsi="Verdana" w:cs="Arial"/>
              </w:rPr>
              <w:t>Por consiguiente, en la contratación que no supera los veinte (20) SMMLV no resultan aplicables las reglas del Estatuto General de Contratación de la Administración Pública</w:t>
            </w:r>
            <w:r w:rsidR="00782A97">
              <w:rPr>
                <w:rFonts w:ascii="Verdana" w:eastAsia="Calibri" w:hAnsi="Verdana" w:cs="Arial"/>
              </w:rPr>
              <w:t xml:space="preserve"> – en adelante EGCAP –</w:t>
            </w:r>
            <w:r>
              <w:rPr>
                <w:rFonts w:ascii="Verdana" w:eastAsia="Calibri" w:hAnsi="Verdana" w:cs="Arial"/>
              </w:rPr>
              <w:t xml:space="preserve">, dentro de las cuales se encuentran el artículo 4 de la Ley 1150 de 2007, que ordena incluir en los pliegos de condiciones o sus equivalentes la estimación, tipificación y asignación de los riesgos previsibles, y el numeral 6 del artículo 2.2.1.1.2.1.1 del Decreto 1082 de 2015, que exige incorporar en los estudios y documentos previos el análisis de riesgo y la forma de mitigarlo. En consecuencia, en ese ámbito no existe una obligación legal de elaborar una matriz formal de riesgos con fundamento en dichas disposiciones. A ello se agrega que, según lo determinó el Consejo de Estado al declarar la nulidad del literal a) del numeral 2 del artículo 159 del Decreto 1510 de 2013, las guías o manuales que expida </w:t>
            </w:r>
            <w:r w:rsidR="00C51BFF">
              <w:rPr>
                <w:rFonts w:ascii="Verdana" w:eastAsia="Calibri" w:hAnsi="Verdana" w:cs="Arial"/>
              </w:rPr>
              <w:t xml:space="preserve">la Agencia Nacional de Contratación Pública – </w:t>
            </w:r>
            <w:r>
              <w:rPr>
                <w:rFonts w:ascii="Verdana" w:eastAsia="Calibri" w:hAnsi="Verdana" w:cs="Arial"/>
              </w:rPr>
              <w:t>Colombia Compra Eficiente en relación con la identificación y cobertura de riesgos, entre ellos el Manual para la Identificación y Cobertura del Riesgo en los Procesos de Contratación, del cual proviene el modelo de matriz, no son vinculantes ni siquiera para las entidades sometidas al EGCAP, que pueden acudir a ellos de manera facultativa.</w:t>
            </w:r>
          </w:p>
          <w:p w14:paraId="4EF92346" w14:textId="4364142D" w:rsidR="00890EE3" w:rsidRDefault="00890EE3" w:rsidP="00B56E2C">
            <w:pPr>
              <w:spacing w:after="120" w:line="276" w:lineRule="auto"/>
              <w:ind w:firstLine="709"/>
              <w:jc w:val="both"/>
              <w:rPr>
                <w:rFonts w:ascii="Verdana" w:eastAsia="Calibri" w:hAnsi="Verdana" w:cs="Arial"/>
              </w:rPr>
            </w:pPr>
            <w:r>
              <w:rPr>
                <w:rFonts w:ascii="Verdana" w:eastAsia="Calibri" w:hAnsi="Verdana" w:cs="Arial"/>
              </w:rPr>
              <w:lastRenderedPageBreak/>
              <w:t>Lo anterior no significa que la gestión de los riesgos sea ajena a estas instituciones. El artículo 13 de la Ley 1150 de 2007 dispone que las entidades con régimen contractual excepcional aplican, en desarrollo de su actividad contractual, los principios de la función administrativa y de la gestión fiscal de que tratan los artículos 209 y 267 de la Constitución Política, y están sometidas al régimen de inhabilidades e incompatibilidades; a su vez, el artículo 13 de la Ley 715 de 2001 exige que los actos y contratos de los fondos de servicios educativos respeten los principios de igualdad, moralidad, imparcialidad y publicidad, aplicados en forma razonable a las circunstancias concretas, con el propósito de conseguir eficacia y celeridad en la atención del servicio educativo y economía en el uso de los recursos públicos. De estos principios se desprende que el análisis y tratamiento de los riesgos previsibles debe estar presente en la planeación del respectivo proceso, pues constituye una manifestación de la planeación, la eficacia y la economía; pero la forma, el nivel de detalle y el instrumento en que dicho análisis se documente corresponde definirlos al reglamento expedido por el consejo directivo, conforme a la experiencia y al análisis concreto de las necesidades del establecimiento.</w:t>
            </w:r>
          </w:p>
          <w:p w14:paraId="76A48219" w14:textId="70AABB03" w:rsidR="00890EE3" w:rsidRDefault="00890EE3" w:rsidP="00B56E2C">
            <w:pPr>
              <w:spacing w:after="120" w:line="276" w:lineRule="auto"/>
              <w:ind w:firstLine="709"/>
              <w:jc w:val="both"/>
              <w:rPr>
                <w:rFonts w:ascii="Verdana" w:eastAsia="Calibri" w:hAnsi="Verdana" w:cs="Arial"/>
              </w:rPr>
            </w:pPr>
            <w:r>
              <w:rPr>
                <w:rFonts w:ascii="Verdana" w:eastAsia="Calibri" w:hAnsi="Verdana" w:cs="Arial"/>
              </w:rPr>
              <w:t xml:space="preserve">En ese orden, es suficiente que el análisis y tratamiento de los riesgos se incorpore en los estudios previos, con el alcance y en el formato que prevea el reglamento del consejo directivo, sin que sea exigible una matriz de riesgos elaborada bajo las orientaciones de la Ley 1150 de 2007, el Decreto 1082 de 2015 o el manual de esta Agencia, salvo que el propio reglamento así lo disponga o que la cuantía del contrato supere los veinte (20) SMMLV, evento en el cual resulta plenamente aplicable el </w:t>
            </w:r>
            <w:r w:rsidR="007C39A3">
              <w:rPr>
                <w:rFonts w:ascii="Verdana" w:eastAsia="Calibri" w:hAnsi="Verdana" w:cs="Arial"/>
              </w:rPr>
              <w:t>EGCAP</w:t>
            </w:r>
            <w:r>
              <w:rPr>
                <w:rFonts w:ascii="Verdana" w:eastAsia="Calibri" w:hAnsi="Verdana" w:cs="Arial"/>
              </w:rPr>
              <w:t xml:space="preserve"> y, con él, el deber de estimar, tipificar y asignar los riesgos previsibles en los términos del artículo 4 de la Ley 1150 de 2007.</w:t>
            </w:r>
          </w:p>
          <w:p w14:paraId="201FF0E5" w14:textId="77777777" w:rsidR="00890EE3" w:rsidRDefault="00890EE3" w:rsidP="00B56E2C">
            <w:pPr>
              <w:spacing w:after="120" w:line="276" w:lineRule="auto"/>
              <w:ind w:firstLine="709"/>
              <w:jc w:val="both"/>
              <w:rPr>
                <w:rFonts w:ascii="Verdana" w:eastAsia="Calibri" w:hAnsi="Verdana" w:cs="Arial"/>
              </w:rPr>
            </w:pPr>
            <w:r>
              <w:rPr>
                <w:rFonts w:ascii="Verdana" w:eastAsia="Calibri" w:hAnsi="Verdana" w:cs="Arial"/>
              </w:rPr>
              <w:t>Dentro de este marco, la entidad contratante definirá en cada caso concreto lo relacionado con el tema objeto de consulta. Al tratarse de un análisis que debe realizarse en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establecerá la forma de adelantar su gestión contractual, sin que sea atribución de la Agencia Nacional de Contratación Pública - Colombia Compra Eficiente validarla.</w:t>
            </w:r>
          </w:p>
        </w:tc>
      </w:tr>
    </w:tbl>
    <w:p w14:paraId="55A5B84E" w14:textId="77777777" w:rsidR="00890EE3" w:rsidRPr="00206556" w:rsidRDefault="00890EE3" w:rsidP="00890EE3">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519C7535" w14:textId="77777777" w:rsidR="00890EE3" w:rsidRPr="00206556" w:rsidRDefault="00890EE3" w:rsidP="00890EE3">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3. Razones de la respuesta:</w:t>
      </w:r>
    </w:p>
    <w:p w14:paraId="7A49492B" w14:textId="77777777" w:rsidR="00890EE3" w:rsidRPr="00206556" w:rsidRDefault="00890EE3" w:rsidP="00890EE3">
      <w:pPr>
        <w:tabs>
          <w:tab w:val="left" w:pos="142"/>
          <w:tab w:val="left" w:pos="284"/>
        </w:tabs>
        <w:spacing w:after="0" w:line="276" w:lineRule="auto"/>
        <w:jc w:val="both"/>
        <w:rPr>
          <w:rFonts w:ascii="Verdana" w:eastAsia="Century Gothic" w:hAnsi="Verdana" w:cs="Century Gothic"/>
          <w:b/>
          <w:color w:val="ED7D31" w:themeColor="accent2"/>
          <w:lang w:val="es-ES"/>
        </w:rPr>
      </w:pPr>
    </w:p>
    <w:p w14:paraId="6888EB6F" w14:textId="77777777" w:rsidR="00890EE3" w:rsidRPr="00206556" w:rsidRDefault="00890EE3" w:rsidP="00890EE3">
      <w:pPr>
        <w:spacing w:after="0" w:line="276" w:lineRule="auto"/>
        <w:jc w:val="both"/>
        <w:rPr>
          <w:rFonts w:ascii="Verdana" w:eastAsia="Calibri" w:hAnsi="Verdana" w:cs="Arial"/>
          <w:lang w:val="es-ES"/>
        </w:rPr>
      </w:pPr>
      <w:r>
        <w:rPr>
          <w:rFonts w:ascii="Verdana" w:eastAsia="Calibri" w:hAnsi="Verdana" w:cs="Arial"/>
          <w:lang w:val="es-ES"/>
        </w:rPr>
        <w:t>Lo anterior se sustenta en las siguientes consideraciones:</w:t>
      </w:r>
    </w:p>
    <w:p w14:paraId="3396DA35" w14:textId="77777777" w:rsidR="00890EE3" w:rsidRPr="00206556" w:rsidRDefault="00890EE3" w:rsidP="00314D07">
      <w:pPr>
        <w:widowControl w:val="0"/>
        <w:autoSpaceDE w:val="0"/>
        <w:autoSpaceDN w:val="0"/>
        <w:spacing w:after="0" w:line="276" w:lineRule="auto"/>
        <w:jc w:val="both"/>
        <w:rPr>
          <w:rFonts w:ascii="Verdana" w:eastAsia="Calibri" w:hAnsi="Verdana" w:cs="Arial"/>
          <w:lang w:val="es-ES"/>
        </w:rPr>
      </w:pPr>
    </w:p>
    <w:p w14:paraId="54392008" w14:textId="1C458F4A" w:rsidR="00890EE3" w:rsidRDefault="00890EE3" w:rsidP="00B56E2C">
      <w:pPr>
        <w:widowControl w:val="0"/>
        <w:autoSpaceDE w:val="0"/>
        <w:autoSpaceDN w:val="0"/>
        <w:spacing w:after="120" w:line="276" w:lineRule="auto"/>
        <w:jc w:val="both"/>
        <w:rPr>
          <w:rFonts w:ascii="Verdana" w:hAnsi="Verdana"/>
        </w:rPr>
      </w:pPr>
      <w:r>
        <w:rPr>
          <w:rFonts w:ascii="Verdana" w:eastAsia="Times New Roman" w:hAnsi="Verdana" w:cs="Times New Roman"/>
        </w:rPr>
        <w:t>(i) Para resolver el problema jurídico planteado, esta Agencia considera necesario partir de la naturaleza jurídica de las instituciones educativas oficiales y del régimen aplicable a su actividad contractual. Las Leyes 60 de 1993 y 715 de 2001 descentralizaron el sistema educativo en Colombia, asignando a los departamentos, distritos y municipios las competencias y los recursos para dirigir las instituciones educativas. Conforme a lo anterior, las instituciones educativas pertenecen a la entidad territorial que haya efectuado su reconocimiento de carácter oficial; no obstante, carecen de personería jurídica, pero tienen capacidad para contratar, la cual se concreta en la competencia que les otorgó el legislador en la Ley 715 de 2001 para administrar los fondos de servicios educativos, siendo estos cuentas contables que les permiten realizar la gestión y ejecución presupuestal de los recursos que reciben los establecimientos educativos</w:t>
      </w:r>
      <w:r>
        <w:rPr>
          <w:rStyle w:val="Refdenotaalpie"/>
          <w:rFonts w:ascii="Verdana" w:eastAsia="Times New Roman" w:hAnsi="Verdana" w:cs="Times New Roman"/>
        </w:rPr>
        <w:footnoteReference w:id="2"/>
      </w:r>
      <w:r>
        <w:rPr>
          <w:rFonts w:ascii="Verdana" w:eastAsia="Times New Roman" w:hAnsi="Verdana" w:cs="Times New Roman"/>
        </w:rPr>
        <w:t>. Los fondos de servicios educativos tampoco cuentan con personería jurídica, según el artículo 2.3.1.6.3.4 del Decreto 1075 de 2015, conforme al cual el rector o director rural es el ordenador del gasto del Fondo de Servicios Educativos y su ejercicio no implica representación legal</w:t>
      </w:r>
      <w:r>
        <w:rPr>
          <w:rStyle w:val="Refdenotaalpie"/>
          <w:rFonts w:ascii="Verdana" w:eastAsia="Times New Roman" w:hAnsi="Verdana" w:cs="Times New Roman"/>
        </w:rPr>
        <w:footnoteReference w:id="3"/>
      </w:r>
      <w:r>
        <w:rPr>
          <w:rFonts w:ascii="Verdana" w:eastAsia="Times New Roman" w:hAnsi="Verdana" w:cs="Times New Roman"/>
        </w:rPr>
        <w:t>.</w:t>
      </w:r>
    </w:p>
    <w:p w14:paraId="2E8EB0CB" w14:textId="77777777" w:rsidR="00890EE3" w:rsidRDefault="00890EE3" w:rsidP="00890EE3">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Respecto de la capacidad para contratar con la que cuentan las instituciones educativas por medio de los fondos de servicios educativos, hay que precisar que cuando se trata de actos y contratos cuya cuantía no exceda los veinte (20) salarios mínimos mensuales legales vigentes, estos se sujetarán a las condiciones previstas en el reglamento de contratación que expida el consejo directivo de la institución, de conformidad con lo dispuesto en el artículo 13 de la Ley 715 de 2001</w:t>
      </w:r>
      <w:r>
        <w:rPr>
          <w:rStyle w:val="Refdenotaalpie"/>
          <w:rFonts w:ascii="Verdana" w:eastAsia="Times New Roman" w:hAnsi="Verdana" w:cs="Times New Roman"/>
        </w:rPr>
        <w:footnoteReference w:id="4"/>
      </w:r>
      <w:r>
        <w:rPr>
          <w:rFonts w:ascii="Verdana" w:eastAsia="Times New Roman" w:hAnsi="Verdana" w:cs="Times New Roman"/>
        </w:rPr>
        <w:t xml:space="preserve">. Esto significa que la contratación que realicen las </w:t>
      </w:r>
      <w:r>
        <w:rPr>
          <w:rFonts w:ascii="Verdana" w:eastAsia="Times New Roman" w:hAnsi="Verdana" w:cs="Times New Roman"/>
        </w:rPr>
        <w:lastRenderedPageBreak/>
        <w:t>instituciones educativas, siempre que se ubique por debajo del referido umbral, no aplicará las reglas del EGCAP, sino las determinadas por el reglamento expedido por el consejo directivo conforme a la citada norma, que implica que tales reglamentos se expidan de conformidad con los principios de igualdad, moralidad, imparcialidad y publicidad, así como de acuerdo con la experiencia y el análisis concreto de las necesidades del establecimiento, determinando los trámites, garantías y constancias que deben cumplirse para que el rector o director celebre cualquier acto o contrato que cree, extinga o modifique obligaciones con cargo al respectivo fondo. Por el contrario, cuando la celebración de contratos con recursos del fondo supere dicha cuantía, debe hacerse con estricta sujeción a lo dispuesto en la Ley 80 de 1993, procediendo la aplicación de las modalidades de selección definidas en la Ley 1150 de 2007 y de los requisitos y formalidades establecidos en el Decreto 1082 de 2015.</w:t>
      </w:r>
    </w:p>
    <w:p w14:paraId="33212613" w14:textId="77777777" w:rsidR="00890EE3" w:rsidRDefault="00890EE3" w:rsidP="00890EE3">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w:t>
      </w:r>
      <w:proofErr w:type="spellStart"/>
      <w:r>
        <w:rPr>
          <w:rFonts w:ascii="Verdana" w:eastAsia="Times New Roman" w:hAnsi="Verdana" w:cs="Times New Roman"/>
        </w:rPr>
        <w:t>ii</w:t>
      </w:r>
      <w:proofErr w:type="spellEnd"/>
      <w:r>
        <w:rPr>
          <w:rFonts w:ascii="Verdana" w:eastAsia="Times New Roman" w:hAnsi="Verdana" w:cs="Times New Roman"/>
        </w:rPr>
        <w:t xml:space="preserve">) Precisado lo anterior, corresponde examinar el régimen de los riesgos en la contratación estatal y su ámbito de aplicación. Con la expedición de la Ley 1150 de 2007 se propendió porque, durante la planeación de los procesos de contratación, las entidades estatales estimaran de forma anticipada las posibles eventualidades que puedan generarse durante la ejecución del contrato. Así, el artículo 4 de dicha ley obliga a las entidades estatales a estimar, tipificar y asignar los riesgos previsibles involucrados en la contratación dentro de los pliegos de condiciones o sus equivalentes, y a señalar, en las licitaciones públicas, el momento en el que, con anterioridad a la presentación de las ofertas, los oferentes y la entidad revisarán la asignación de riesgos con el fin de establecer su distribución definitiva. Por su parte, el numeral 6 del artículo 2.2.1.1.2.1.1 del Decreto 1082 de 2015 reiteró esta obligación al exigir que los estudios y documentos previos contengan el análisis de riesgo y la forma de mitigarlo. En el mismo sentido, los documentos CONPES 3107 y 3714 de 2011 </w:t>
      </w:r>
      <w:r>
        <w:rPr>
          <w:rFonts w:ascii="Verdana" w:eastAsia="Times New Roman" w:hAnsi="Verdana" w:cs="Times New Roman"/>
        </w:rPr>
        <w:lastRenderedPageBreak/>
        <w:t>fijaron lineamientos sobre la política de manejo del riesgo contractual y sobre el entendimiento del concepto de riesgo previsible en el marco de los procesos de selección sometidos al Estatuto General de Contratación de la Administración Pública.</w:t>
      </w:r>
    </w:p>
    <w:p w14:paraId="19BE87F0" w14:textId="0D934AE1" w:rsidR="00890EE3" w:rsidRDefault="00890EE3" w:rsidP="00890EE3">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 xml:space="preserve">De la lectura de estas disposiciones se advierte que ellas integran el régimen del </w:t>
      </w:r>
      <w:r w:rsidR="002F2886">
        <w:rPr>
          <w:rFonts w:ascii="Verdana" w:eastAsia="Times New Roman" w:hAnsi="Verdana" w:cs="Times New Roman"/>
        </w:rPr>
        <w:t>EGCAP</w:t>
      </w:r>
      <w:r>
        <w:rPr>
          <w:rFonts w:ascii="Verdana" w:eastAsia="Times New Roman" w:hAnsi="Verdana" w:cs="Times New Roman"/>
        </w:rPr>
        <w:t>: el artículo 4 de la Ley 1150 de 2007 se refiere a los pliegos de condiciones o sus equivalentes de los procesos de selección regidos por dicho estatuto, y el artículo 2.2.1.1.2.1.1 del Decreto 1082 de 2015 regula los estudios y documentos previos exigidos para las modalidades de selección allí reguladas. En consecuencia, su exigibilidad, como tal, se predica de los procesos sometidos al EGCAP. Trasladadas estas premisas al problema planteado, en la contratación de las instituciones educativas oficiales cuya cuantía no supera los veinte (20) SMMLV —que, como se explicó, no se rige por el EGCAP sino por el reglamento del consejo directivo— no resultan aplicables dichas normas y, por tanto, no existe una obligación legal de elaborar una matriz formal de riesgos con fundamento en ellas.</w:t>
      </w:r>
    </w:p>
    <w:p w14:paraId="3D71BE48" w14:textId="77777777" w:rsidR="00890EE3" w:rsidRDefault="00890EE3" w:rsidP="00890EE3">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A la misma conclusión conduce el análisis del instrumento del cual proviene el modelo de matriz. Frente a los manuales y guías para la identificación y cobertura del riesgo, el Consejo de Estado concluyó que, a la luz del artículo 4 de la Ley 1150 de 2007, son las entidades contratantes las obligadas a incluir en los pliegos de condiciones la estimación, tipificación y asignación del riesgo previsible en cada proceso de contratación, y que, frente a la cobertura de ese riesgo, el artículo 7 de la misma ley determinó que era el Gobierno Nacional quien debía fijar los criterios para la exigencia de garantías y los niveles de amparo. Por ello, una vez declarada la nulidad del literal a) del numeral 2 del artículo 159 del Decreto 1510 de 2013, se determinó que las guías o manuales que expida Colombia Compra Eficiente, en relación con la identificación y cobertura de riesgos, no son vinculantes para las entidades, quienes podrán, de manera facultativa, acudir a ellas como una guía para llevar a cabo la estimación, tipificación, asignación y cobertura de riesgos en cada proceso de contratación particular. Si el Manual para la Identificación y Cobertura del Riesgo en los Procesos de Contratación —que contiene la matriz sugerida— no es vinculante para las entidades sometidas al EGCAP, con mayor razón no puede imponerse como obligatorio a las instituciones educativas oficiales en la contratación regida por su reglamento interno.</w:t>
      </w:r>
    </w:p>
    <w:p w14:paraId="4F9D9D8E" w14:textId="66AC4079" w:rsidR="00890EE3" w:rsidRDefault="00890EE3" w:rsidP="00890EE3">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lastRenderedPageBreak/>
        <w:t>(</w:t>
      </w:r>
      <w:proofErr w:type="spellStart"/>
      <w:r>
        <w:rPr>
          <w:rFonts w:ascii="Verdana" w:eastAsia="Times New Roman" w:hAnsi="Verdana" w:cs="Times New Roman"/>
        </w:rPr>
        <w:t>iii</w:t>
      </w:r>
      <w:proofErr w:type="spellEnd"/>
      <w:r>
        <w:rPr>
          <w:rFonts w:ascii="Verdana" w:eastAsia="Times New Roman" w:hAnsi="Verdana" w:cs="Times New Roman"/>
        </w:rPr>
        <w:t xml:space="preserve">) Ahora bien, lo expuesto no significa que la gestión de los riesgos sea ajena a estas instituciones ni que su contratación carezca de reglas. En efecto, el artículo 13 de la Ley 1150 de 2007 dispone que las entidades estatales que por disposición legal cuenten con un régimen contractual excepcional al del </w:t>
      </w:r>
      <w:r w:rsidR="002F2886">
        <w:rPr>
          <w:rFonts w:ascii="Verdana" w:eastAsia="Times New Roman" w:hAnsi="Verdana" w:cs="Times New Roman"/>
        </w:rPr>
        <w:t>EGCAP</w:t>
      </w:r>
      <w:r>
        <w:rPr>
          <w:rFonts w:ascii="Verdana" w:eastAsia="Times New Roman" w:hAnsi="Verdana" w:cs="Times New Roman"/>
        </w:rPr>
        <w:t xml:space="preserve"> aplicarán, en desarrollo de su actividad contractual, los principios de la función administrativa y de la gestión fiscal de que tratan los artículos 209 y 267 de la Constitución Política, y estarán sometidas al régimen de inhabilidades e incompatibilidades previsto legalmente para la contratación estatal</w:t>
      </w:r>
      <w:r>
        <w:rPr>
          <w:rStyle w:val="Refdenotaalpie"/>
          <w:rFonts w:ascii="Verdana" w:eastAsia="Times New Roman" w:hAnsi="Verdana" w:cs="Times New Roman"/>
        </w:rPr>
        <w:footnoteReference w:id="5"/>
      </w:r>
      <w:r>
        <w:rPr>
          <w:rFonts w:ascii="Verdana" w:eastAsia="Times New Roman" w:hAnsi="Verdana" w:cs="Times New Roman"/>
        </w:rPr>
        <w:t>. A su vez, el artículo 13 de la Ley 715 de 2001 exige que todos los actos y contratos que hayan de registrarse en la contabilidad de los fondos de servicios educativos se realicen respetando los principios de igualdad, moralidad, imparcialidad y publicidad, aplicados en forma razonable a las circunstancias concretas en las que hayan de celebrarse, con el propósito fundamental de proteger los derechos de los niños y de los jóvenes y de conseguir eficacia y celeridad en la atención del servicio educativo y economía en el uso de los recursos públicos.</w:t>
      </w:r>
    </w:p>
    <w:p w14:paraId="6CB242C6" w14:textId="77777777" w:rsidR="00890EE3" w:rsidRDefault="00890EE3" w:rsidP="00890EE3">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De dichos principios —en particular, de la planeación, la eficacia y la economía en el uso de los recursos públicos— se desprende que el análisis de los riesgos previsibles del respectivo proceso y la previsión de su tratamiento deben estar presentes en la etapa de planeación, como sucede, por lo demás, con la práctica descrita en su consulta, consistente en atacar el riesgo de pérdida de recursos mediante la prohibición de anticipos y el pago contra el recibo a satisfacción de los bienes o servicios. Ahora bien, la forma, el nivel de detalle y el instrumento en que ese análisis se documente corresponde definirlos al consejo directivo en el reglamento de contratación, pues es este órgano el que, conforme al artículo 13 de la Ley 715 de 2001 y al numeral 6 del artículo 2.3.1.6.3.5 del Decreto 1075 de 2015, tiene la competencia para reglamentar mediante acuerdo los procedimientos, formalidades y garantías para toda contratación que no supere los veinte (20) SMMLV, con base en la experiencia y en el análisis concreto de las necesidades del establecimiento.</w:t>
      </w:r>
    </w:p>
    <w:p w14:paraId="0DB89F3E" w14:textId="77777777" w:rsidR="00890EE3" w:rsidRDefault="00890EE3" w:rsidP="00890EE3">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 xml:space="preserve">En consecuencia, es suficiente que el análisis y el tratamiento de los riesgos se incorporen en los estudios previos, con el alcance y en el formato que </w:t>
      </w:r>
      <w:r>
        <w:rPr>
          <w:rFonts w:ascii="Verdana" w:eastAsia="Times New Roman" w:hAnsi="Verdana" w:cs="Times New Roman"/>
        </w:rPr>
        <w:lastRenderedPageBreak/>
        <w:t>prevea el reglamento del consejo directivo, sin que resulte exigible una matriz de riesgos elaborada bajo las orientaciones de la Ley 1150 de 2007, del Decreto 1082 de 2015 o del manual expedido por esta Agencia, salvo que el propio reglamento así lo disponga. Naturalmente, la conclusión es la contraria cuando la cuantía del contrato supera los veinte (20) SMMLV, evento en el cual resulta plenamente aplicable el Estatuto General de Contratación de la Administración Pública y, con él, el deber de estimar, tipificar y asignar los riesgos previsibles en los pliegos de condiciones o documentos equivalentes, en los términos del artículo 4 de la Ley 1150 de 2007 y del numeral 6 del artículo 2.2.1.1.2.1.1 del Decreto 1082 de 2015. Conviene precisar, además, que corresponde a cada entidad, en cada procedimiento de selección sometido al EGCAP, establecer la tipificación, estimación y asignación definitiva de los riesgos previsibles, siendo ella quien adopta la decisión final sobre su contenido</w:t>
      </w:r>
      <w:r>
        <w:rPr>
          <w:rStyle w:val="Refdenotaalpie"/>
          <w:rFonts w:ascii="Verdana" w:eastAsia="Times New Roman" w:hAnsi="Verdana" w:cs="Times New Roman"/>
        </w:rPr>
        <w:footnoteReference w:id="6"/>
      </w:r>
      <w:r>
        <w:rPr>
          <w:rFonts w:ascii="Verdana" w:eastAsia="Times New Roman" w:hAnsi="Verdana" w:cs="Times New Roman"/>
        </w:rPr>
        <w:t>.</w:t>
      </w:r>
    </w:p>
    <w:p w14:paraId="7EC1C3FE" w14:textId="77777777" w:rsidR="00890EE3" w:rsidRDefault="00890EE3" w:rsidP="00314D07">
      <w:pPr>
        <w:widowControl w:val="0"/>
        <w:autoSpaceDE w:val="0"/>
        <w:autoSpaceDN w:val="0"/>
        <w:spacing w:after="0" w:line="276" w:lineRule="auto"/>
        <w:ind w:firstLine="708"/>
        <w:jc w:val="both"/>
        <w:rPr>
          <w:rFonts w:ascii="Verdana" w:hAnsi="Verdana"/>
        </w:rPr>
      </w:pPr>
      <w:r>
        <w:rPr>
          <w:rFonts w:ascii="Verdana" w:eastAsia="Times New Roman" w:hAnsi="Verdana" w:cs="Times New Roman"/>
        </w:rPr>
        <w:t>Finalmente, debe advertirse que el análisis requerido para resolver situaciones concretas relacionadas con la contratación de las entidades estatales corresponde a quienes tengan interés en ello, de modo que las afirmaciones aquí realizadas no pueden interpretarse como juicios de valor sobre circunstancias particulares. Al tratarse de reglas que deben definirse en el marco de un procedimiento contractual específico, esta Agencia no puede fijar un criterio universal y absoluto por vía consultiva, sino brindar elementos de carácter general para que los partícipes del sistema de compras y contratación pública adopten la decisión que corresponda, conforme al principio de juridicidad. Así, cada entidad definirá, en ejercicio de su competencia y previa valoración de los elementos fácticos y jurídicos de su proceso, la forma de adelantar su gestión contractual, sin que sea atribución de Colombia Compra Eficiente validar sus actuaciones.</w:t>
      </w:r>
    </w:p>
    <w:p w14:paraId="6A88E97F" w14:textId="77777777" w:rsidR="00890EE3" w:rsidRPr="00EE1130" w:rsidRDefault="00890EE3" w:rsidP="00890EE3">
      <w:pPr>
        <w:spacing w:after="0" w:line="276" w:lineRule="auto"/>
        <w:jc w:val="both"/>
        <w:rPr>
          <w:rFonts w:ascii="Verdana" w:eastAsia="Calibri" w:hAnsi="Verdana" w:cs="Arial"/>
        </w:rPr>
      </w:pPr>
    </w:p>
    <w:p w14:paraId="2172A1A7" w14:textId="77777777" w:rsidR="00890EE3" w:rsidRDefault="00890EE3" w:rsidP="00890EE3">
      <w:pPr>
        <w:spacing w:after="0" w:line="276" w:lineRule="auto"/>
        <w:jc w:val="both"/>
        <w:rPr>
          <w:rFonts w:ascii="Verdana" w:eastAsia="Century Gothic" w:hAnsi="Verdana" w:cs="Century Gothic"/>
          <w:b/>
          <w:lang w:val="es-ES"/>
        </w:rPr>
      </w:pPr>
      <w:r>
        <w:rPr>
          <w:rFonts w:ascii="Verdana" w:eastAsia="Century Gothic" w:hAnsi="Verdana" w:cs="Century Gothic"/>
          <w:b/>
          <w:lang w:val="es-ES"/>
        </w:rPr>
        <w:t>4. Referencias normativas, jurisprudenciales y otras fuentes:</w:t>
      </w:r>
    </w:p>
    <w:p w14:paraId="45B04874" w14:textId="77777777" w:rsidR="00890EE3" w:rsidRPr="00EE1130" w:rsidRDefault="00890EE3" w:rsidP="00890EE3">
      <w:pPr>
        <w:spacing w:after="0" w:line="276" w:lineRule="auto"/>
        <w:jc w:val="both"/>
        <w:rPr>
          <w:rFonts w:ascii="Verdana" w:eastAsia="Century Gothic" w:hAnsi="Verdana" w:cs="Century Gothic"/>
          <w:b/>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90EE3" w:rsidRPr="00EE1130" w14:paraId="28A50C4B" w14:textId="77777777" w:rsidTr="00821A52">
        <w:trPr>
          <w:trHeight w:val="297"/>
        </w:trPr>
        <w:tc>
          <w:tcPr>
            <w:tcW w:w="8647" w:type="dxa"/>
          </w:tcPr>
          <w:p w14:paraId="16D85A3E"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Constitución Política de Colombia. Artículos 209 y 267.</w:t>
            </w:r>
          </w:p>
          <w:p w14:paraId="050AB6AC"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Ley 80 de 1993. Artículos 4, 5, 13, 25, 32 y 40.</w:t>
            </w:r>
          </w:p>
          <w:p w14:paraId="070E962A"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lastRenderedPageBreak/>
              <w:t>Ley 715 de 2001. Artículo 13.</w:t>
            </w:r>
          </w:p>
          <w:p w14:paraId="55A38D24"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Ley 1150 de 2007. Artículos 4, 7 y 13.</w:t>
            </w:r>
          </w:p>
          <w:p w14:paraId="7E6A8DA5"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Decreto Ley 4170 de 2011. Artículo 3, numeral 5, y artículo 11, numeral 8.</w:t>
            </w:r>
          </w:p>
          <w:p w14:paraId="58C8DE8A"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Decreto 4791 de 2008. Artículos 2, 3, 5 y 9.</w:t>
            </w:r>
          </w:p>
          <w:p w14:paraId="2D0E27AE"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Decreto 1082 de 2015. Artículo 2.2.1.1.2.1.1.</w:t>
            </w:r>
          </w:p>
          <w:p w14:paraId="131505FF"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Decreto 1075 de 2015. Artículos 2.3.1.6.3.2, 2.3.1.6.3.3, 2.3.1.6.3.4, 2.3.1.6.3.5 y 2.3.1.6.3.17.</w:t>
            </w:r>
          </w:p>
          <w:p w14:paraId="2893BB90"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Documento CONPES 3107 de 2011.</w:t>
            </w:r>
          </w:p>
          <w:p w14:paraId="468F586E"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Documento CONPES 3714 de 2011.</w:t>
            </w:r>
          </w:p>
          <w:p w14:paraId="04405AFE"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Agencia Nacional de Contratación Pública – Colombia Compra Eficiente. Resolución 469 de 2025.</w:t>
            </w:r>
          </w:p>
          <w:p w14:paraId="33EF6C62"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 xml:space="preserve">Consejo de Estado. Sala de lo Contencioso Administrativo. Sección Tercera. Subsección A. Sentencia del 11 de abril de 2019. </w:t>
            </w:r>
            <w:proofErr w:type="spellStart"/>
            <w:r>
              <w:rPr>
                <w:rFonts w:ascii="Verdana" w:eastAsia="Arial MT" w:hAnsi="Verdana" w:cs="Arial"/>
                <w:lang w:eastAsia="es-ES" w:bidi="es-ES"/>
              </w:rPr>
              <w:t>Exp</w:t>
            </w:r>
            <w:proofErr w:type="spellEnd"/>
            <w:r>
              <w:rPr>
                <w:rFonts w:ascii="Verdana" w:eastAsia="Arial MT" w:hAnsi="Verdana" w:cs="Arial"/>
                <w:lang w:eastAsia="es-ES" w:bidi="es-ES"/>
              </w:rPr>
              <w:t>. 52.055. C.P. María Adriana Marín.</w:t>
            </w:r>
          </w:p>
          <w:p w14:paraId="031DC897" w14:textId="77777777" w:rsidR="00890EE3" w:rsidRDefault="00890EE3" w:rsidP="00821A5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Agencia Nacional de Contratación Pública – Colombia Compra Eficiente. Manual para la Identificación y Cobertura del Riesgo en los Procesos de Contratación.</w:t>
            </w:r>
          </w:p>
        </w:tc>
      </w:tr>
    </w:tbl>
    <w:p w14:paraId="5ED55F01" w14:textId="77777777" w:rsidR="00890EE3" w:rsidRPr="00EE1130" w:rsidRDefault="00890EE3" w:rsidP="00890EE3">
      <w:pPr>
        <w:widowControl w:val="0"/>
        <w:autoSpaceDE w:val="0"/>
        <w:autoSpaceDN w:val="0"/>
        <w:spacing w:after="0" w:line="276" w:lineRule="auto"/>
        <w:jc w:val="both"/>
        <w:rPr>
          <w:rFonts w:ascii="Verdana" w:hAnsi="Verdana" w:cs="Arial"/>
          <w:color w:val="ED7D31" w:themeColor="accent2"/>
          <w:lang w:val="es-ES"/>
        </w:rPr>
      </w:pPr>
    </w:p>
    <w:p w14:paraId="3AAA9E54" w14:textId="77777777" w:rsidR="00890EE3" w:rsidRPr="00EE1130" w:rsidRDefault="00890EE3" w:rsidP="00890EE3">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5. Doctrina de la Agencia Nacional de Contratación Pública:</w:t>
      </w:r>
    </w:p>
    <w:p w14:paraId="3E88C4BF" w14:textId="77777777" w:rsidR="00890EE3" w:rsidRPr="001B3CBA" w:rsidRDefault="00890EE3" w:rsidP="00890EE3">
      <w:pPr>
        <w:tabs>
          <w:tab w:val="left" w:pos="142"/>
          <w:tab w:val="left" w:pos="284"/>
        </w:tabs>
        <w:spacing w:after="0" w:line="276" w:lineRule="auto"/>
        <w:jc w:val="both"/>
        <w:rPr>
          <w:rFonts w:ascii="Verdana" w:eastAsia="Century Gothic" w:hAnsi="Verdana" w:cs="Century Gothic"/>
          <w:b/>
          <w:lang w:val="es-ES"/>
        </w:rPr>
      </w:pPr>
    </w:p>
    <w:p w14:paraId="1FF0B120" w14:textId="15070D2C" w:rsidR="00890EE3" w:rsidRDefault="00890EE3" w:rsidP="00314D07">
      <w:pPr>
        <w:spacing w:after="0" w:line="276" w:lineRule="auto"/>
        <w:jc w:val="both"/>
        <w:rPr>
          <w:rFonts w:ascii="Verdana" w:hAnsi="Verdana"/>
        </w:rPr>
      </w:pPr>
      <w:r>
        <w:rPr>
          <w:rFonts w:ascii="Verdana" w:hAnsi="Verdana"/>
        </w:rPr>
        <w:t xml:space="preserve">Sobre el régimen de contratación de las instituciones educativas oficiales y los fondos de servicios educativos, esta Subdirección se pronunció en el Concepto C-273 del 2 de abril de 2026; y sobre la identificación y cobertura del riesgo y el carácter no vinculante del manual expedido por esta Agencia, en el Concepto C-288 del 16 de agosto de 2024, entre otros. Estos y otros conceptos se encuentran disponibles para consulta en el Sistema de relatoría de la Agencia, al cual se puede acceder a través del siguiente enlace: </w:t>
      </w:r>
      <w:hyperlink r:id="rId12" w:history="1">
        <w:r w:rsidR="00506385" w:rsidRPr="00314D07">
          <w:rPr>
            <w:rStyle w:val="Hipervnculo"/>
          </w:rPr>
          <w:t>https://relatoria.colombiacompra.gov.co/busqueda/conceptos</w:t>
        </w:r>
      </w:hyperlink>
      <w:r w:rsidR="00506385">
        <w:rPr>
          <w:rFonts w:ascii="Verdana" w:hAnsi="Verdana"/>
        </w:rPr>
        <w:t xml:space="preserve"> </w:t>
      </w:r>
    </w:p>
    <w:p w14:paraId="6FC7D504" w14:textId="77777777" w:rsidR="00890EE3" w:rsidRPr="00EE1130" w:rsidRDefault="00890EE3" w:rsidP="00890EE3">
      <w:pPr>
        <w:spacing w:after="0" w:line="276" w:lineRule="auto"/>
        <w:jc w:val="both"/>
        <w:rPr>
          <w:rFonts w:ascii="Verdana" w:hAnsi="Verdana" w:cs="Arial"/>
          <w:color w:val="ED7D31" w:themeColor="accent2"/>
          <w:shd w:val="clear" w:color="auto" w:fill="FFFFFF"/>
          <w:lang w:val="es-ES"/>
        </w:rPr>
      </w:pPr>
    </w:p>
    <w:p w14:paraId="6043E3BA" w14:textId="77777777" w:rsidR="00890EE3" w:rsidRPr="00EE1130" w:rsidRDefault="00890EE3" w:rsidP="00890EE3">
      <w:pPr>
        <w:spacing w:after="0" w:line="276" w:lineRule="auto"/>
        <w:jc w:val="both"/>
        <w:rPr>
          <w:rFonts w:ascii="Verdana" w:hAnsi="Verdana" w:cs="Arial"/>
          <w:shd w:val="clear" w:color="auto" w:fill="FFFFFF"/>
        </w:rPr>
      </w:pPr>
      <w:r>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w:t>
      </w:r>
      <w:r>
        <w:rPr>
          <w:rFonts w:ascii="Verdana" w:hAnsi="Verdana" w:cs="Arial"/>
          <w:shd w:val="clear" w:color="auto" w:fill="FFFFFF"/>
        </w:rPr>
        <w:lastRenderedPageBreak/>
        <w:t xml:space="preserve">las diferentes etapas del proceso de contratación: </w:t>
      </w:r>
      <w:hyperlink r:id="rId13" w:history="1">
        <w:r w:rsidRPr="002F2886">
          <w:rPr>
            <w:rStyle w:val="Hipervnculo"/>
            <w:rFonts w:ascii="Verdana" w:hAnsi="Verdana" w:cs="Arial"/>
            <w:shd w:val="clear" w:color="auto" w:fill="FFFFFF"/>
          </w:rPr>
          <w:t>https://formacionvirtual.colombiacompra.gov.co/mod/page/view.php?id=3718</w:t>
        </w:r>
      </w:hyperlink>
      <w:r>
        <w:rPr>
          <w:rFonts w:ascii="Verdana" w:hAnsi="Verdana" w:cs="Arial"/>
          <w:shd w:val="clear" w:color="auto" w:fill="FFFFFF"/>
        </w:rPr>
        <w:t xml:space="preserve"> </w:t>
      </w:r>
    </w:p>
    <w:p w14:paraId="2784385B" w14:textId="77777777" w:rsidR="00890EE3" w:rsidRPr="001B3CBA" w:rsidRDefault="00890EE3" w:rsidP="00890EE3">
      <w:pPr>
        <w:spacing w:after="0" w:line="276" w:lineRule="auto"/>
        <w:jc w:val="both"/>
        <w:rPr>
          <w:rFonts w:ascii="Verdana" w:hAnsi="Verdana" w:cs="Arial"/>
          <w:shd w:val="clear" w:color="auto" w:fill="FFFFFF"/>
        </w:rPr>
      </w:pPr>
    </w:p>
    <w:p w14:paraId="1672B01C" w14:textId="77777777" w:rsidR="00890EE3" w:rsidRPr="00EE1130" w:rsidRDefault="00890EE3" w:rsidP="00890EE3">
      <w:pPr>
        <w:spacing w:after="0" w:line="276" w:lineRule="auto"/>
        <w:jc w:val="both"/>
        <w:rPr>
          <w:rFonts w:ascii="Verdana" w:hAnsi="Verdana" w:cs="Arial"/>
          <w:shd w:val="clear" w:color="auto" w:fill="FFFFFF"/>
        </w:rPr>
      </w:pPr>
      <w:r>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w:t>
      </w:r>
      <w:r w:rsidRPr="002F2886">
        <w:rPr>
          <w:rFonts w:ascii="Verdana" w:hAnsi="Verdana" w:cs="Arial"/>
          <w:shd w:val="clear" w:color="auto" w:fill="FFFFFF"/>
        </w:rPr>
        <w:t xml:space="preserve">Consulta y descarga los documentos aquí: </w:t>
      </w:r>
      <w:hyperlink r:id="rId14" w:history="1">
        <w:r w:rsidRPr="002F2886">
          <w:rPr>
            <w:rStyle w:val="Hipervnculo"/>
            <w:rFonts w:ascii="Verdana" w:hAnsi="Verdana" w:cs="Arial"/>
            <w:shd w:val="clear" w:color="auto" w:fill="FFFFFF"/>
          </w:rPr>
          <w:t>https://www.colombiacompra.gov.co/normativa-y-relatoria/documentos-tipo</w:t>
        </w:r>
      </w:hyperlink>
    </w:p>
    <w:p w14:paraId="48DAECBA" w14:textId="77777777" w:rsidR="00890EE3" w:rsidRPr="00EE1130" w:rsidRDefault="00890EE3" w:rsidP="00890EE3">
      <w:pPr>
        <w:spacing w:after="0" w:line="276" w:lineRule="auto"/>
        <w:jc w:val="both"/>
        <w:rPr>
          <w:rFonts w:ascii="Verdana" w:hAnsi="Verdana" w:cs="Arial"/>
          <w:shd w:val="clear" w:color="auto" w:fill="FFFFFF"/>
        </w:rPr>
      </w:pPr>
    </w:p>
    <w:p w14:paraId="11B86B26" w14:textId="6ED11AA2" w:rsidR="00890EE3" w:rsidRPr="00EE1130" w:rsidRDefault="00890EE3" w:rsidP="00890EE3">
      <w:pPr>
        <w:spacing w:after="0" w:line="276" w:lineRule="auto"/>
        <w:jc w:val="both"/>
        <w:rPr>
          <w:rFonts w:ascii="Verdana" w:hAnsi="Verdana" w:cs="Arial"/>
          <w:shd w:val="clear" w:color="auto" w:fill="FFFFFF"/>
        </w:rPr>
      </w:pPr>
      <w:r>
        <w:rPr>
          <w:rFonts w:ascii="Verdana" w:hAnsi="Verdana" w:cs="Arial"/>
          <w:shd w:val="clear" w:color="auto" w:fill="FFFFFF"/>
        </w:rPr>
        <w:t xml:space="preserve">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w:t>
      </w:r>
      <w:r w:rsidRPr="002F2886">
        <w:rPr>
          <w:rFonts w:ascii="Verdana" w:hAnsi="Verdana" w:cs="Arial"/>
          <w:shd w:val="clear" w:color="auto" w:fill="FFFFFF"/>
        </w:rPr>
        <w:t xml:space="preserve">Además se incluyeron lineamientos que orientan la implementación de los criterios ambientales y sociales incluidos en los documentos tipo: Consulta la guía aquí: </w:t>
      </w:r>
      <w:hyperlink r:id="rId15" w:history="1">
        <w:r w:rsidR="00506385" w:rsidRPr="00314D07">
          <w:rPr>
            <w:rStyle w:val="Hipervnculo"/>
          </w:rPr>
          <w:t>https://www.colombiacompra.gov.co/archivos/manual/guia-para-la-comprension-e-implementacion-de-los-documentos-tipo-de-obra-publica-de-infraestructura-de-transporte-bajo-las-diferentes-modalidades-de-contratacion-vigentes</w:t>
        </w:r>
      </w:hyperlink>
      <w:r w:rsidR="00506385">
        <w:rPr>
          <w:rFonts w:ascii="Verdana" w:hAnsi="Verdana" w:cs="Arial"/>
          <w:shd w:val="clear" w:color="auto" w:fill="FFFFFF"/>
        </w:rPr>
        <w:t xml:space="preserve"> </w:t>
      </w:r>
    </w:p>
    <w:p w14:paraId="6AF34088" w14:textId="77777777" w:rsidR="00890EE3" w:rsidRPr="00EE1130" w:rsidRDefault="00890EE3" w:rsidP="00890EE3">
      <w:pPr>
        <w:spacing w:after="0" w:line="276" w:lineRule="auto"/>
        <w:jc w:val="both"/>
        <w:rPr>
          <w:rFonts w:ascii="Verdana" w:hAnsi="Verdana" w:cs="Arial"/>
          <w:color w:val="ED7D31" w:themeColor="accent2"/>
          <w:shd w:val="clear" w:color="auto" w:fill="FFFFFF"/>
        </w:rPr>
      </w:pPr>
    </w:p>
    <w:p w14:paraId="10FF964C" w14:textId="77777777" w:rsidR="00890EE3" w:rsidRPr="00EE1130" w:rsidRDefault="00890EE3" w:rsidP="00890EE3">
      <w:pPr>
        <w:spacing w:after="0" w:line="276" w:lineRule="auto"/>
        <w:jc w:val="both"/>
        <w:rPr>
          <w:rFonts w:ascii="Verdana" w:hAnsi="Verdana" w:cs="Arial"/>
          <w:shd w:val="clear" w:color="auto" w:fill="FFFFFF"/>
        </w:rPr>
      </w:pPr>
      <w:r>
        <w:rPr>
          <w:rFonts w:ascii="Verdana" w:hAnsi="Verdana" w:cs="Arial"/>
          <w:shd w:val="clear" w:color="auto" w:fill="FFFFFF"/>
        </w:rPr>
        <w:t xml:space="preserve">Por último, lo invitamos a seguirnos en las redes sociales en las cuales se difunde información institucional: </w:t>
      </w:r>
    </w:p>
    <w:p w14:paraId="3835A2DF" w14:textId="77777777" w:rsidR="00890EE3" w:rsidRPr="00EE1130" w:rsidRDefault="00890EE3" w:rsidP="00890EE3">
      <w:pPr>
        <w:spacing w:after="0" w:line="276" w:lineRule="auto"/>
        <w:jc w:val="both"/>
        <w:rPr>
          <w:rFonts w:ascii="Verdana" w:hAnsi="Verdana" w:cs="Arial"/>
          <w:shd w:val="clear" w:color="auto" w:fill="FFFFFF"/>
        </w:rPr>
      </w:pPr>
    </w:p>
    <w:p w14:paraId="7CB626DD" w14:textId="77777777" w:rsidR="00890EE3" w:rsidRPr="00EE1130" w:rsidRDefault="00890EE3" w:rsidP="00890EE3">
      <w:pPr>
        <w:spacing w:after="0" w:line="276" w:lineRule="auto"/>
        <w:jc w:val="both"/>
        <w:rPr>
          <w:rFonts w:ascii="Verdana" w:hAnsi="Verdana" w:cs="Arial"/>
          <w:shd w:val="clear" w:color="auto" w:fill="FFFFFF"/>
        </w:rPr>
      </w:pPr>
      <w:r>
        <w:rPr>
          <w:rFonts w:ascii="Verdana" w:hAnsi="Verdana" w:cs="Arial"/>
          <w:shd w:val="clear" w:color="auto" w:fill="FFFFFF"/>
        </w:rPr>
        <w:t xml:space="preserve">Twitter: </w:t>
      </w:r>
      <w:r>
        <w:rPr>
          <w:rStyle w:val="Hipervnculo"/>
          <w:rFonts w:ascii="Verdana" w:hAnsi="Verdana"/>
          <w:lang w:val="es-ES"/>
        </w:rPr>
        <w:t>@colombiacompra</w:t>
      </w:r>
      <w:r>
        <w:rPr>
          <w:rStyle w:val="Hipervnculo"/>
          <w:rFonts w:ascii="Verdana" w:hAnsi="Verdana"/>
          <w:color w:val="auto"/>
          <w:lang w:val="es-ES"/>
        </w:rPr>
        <w:t xml:space="preserve"> </w:t>
      </w:r>
    </w:p>
    <w:p w14:paraId="72FDF507" w14:textId="77777777" w:rsidR="00890EE3" w:rsidRPr="00EE1130" w:rsidRDefault="00890EE3" w:rsidP="00890EE3">
      <w:pPr>
        <w:spacing w:after="0" w:line="276" w:lineRule="auto"/>
        <w:jc w:val="both"/>
        <w:rPr>
          <w:rFonts w:ascii="Verdana" w:hAnsi="Verdana" w:cs="Arial"/>
          <w:shd w:val="clear" w:color="auto" w:fill="FFFFFF"/>
        </w:rPr>
      </w:pPr>
      <w:r>
        <w:rPr>
          <w:rFonts w:ascii="Verdana" w:hAnsi="Verdana" w:cs="Arial"/>
          <w:shd w:val="clear" w:color="auto" w:fill="FFFFFF"/>
        </w:rPr>
        <w:t>Facebook:</w:t>
      </w:r>
      <w:r>
        <w:rPr>
          <w:rStyle w:val="Hipervnculo"/>
          <w:rFonts w:ascii="Verdana" w:hAnsi="Verdana"/>
          <w:lang w:val="es-ES"/>
        </w:rPr>
        <w:t xml:space="preserve"> </w:t>
      </w:r>
      <w:proofErr w:type="spellStart"/>
      <w:r>
        <w:rPr>
          <w:rStyle w:val="Hipervnculo"/>
          <w:rFonts w:ascii="Verdana" w:hAnsi="Verdana"/>
          <w:lang w:val="es-ES"/>
        </w:rPr>
        <w:t>ColombiaCompraEficiente</w:t>
      </w:r>
      <w:proofErr w:type="spellEnd"/>
    </w:p>
    <w:p w14:paraId="13ADFA6B" w14:textId="77777777" w:rsidR="00890EE3" w:rsidRPr="00EE1130" w:rsidRDefault="00890EE3" w:rsidP="00890EE3">
      <w:pPr>
        <w:spacing w:after="0" w:line="276" w:lineRule="auto"/>
        <w:jc w:val="both"/>
        <w:rPr>
          <w:rFonts w:ascii="Verdana" w:hAnsi="Verdana" w:cs="Arial"/>
          <w:shd w:val="clear" w:color="auto" w:fill="FFFFFF"/>
        </w:rPr>
      </w:pPr>
      <w:r>
        <w:rPr>
          <w:rFonts w:ascii="Verdana" w:hAnsi="Verdana" w:cs="Arial"/>
          <w:shd w:val="clear" w:color="auto" w:fill="FFFFFF"/>
        </w:rPr>
        <w:t xml:space="preserve">LinkedIn: </w:t>
      </w:r>
      <w:r>
        <w:rPr>
          <w:rStyle w:val="Hipervnculo"/>
          <w:rFonts w:ascii="Verdana" w:hAnsi="Verdana"/>
          <w:lang w:val="es-ES"/>
        </w:rPr>
        <w:t>Agencia Nacional de Contratación Pública - Colombia Compra Eficiente</w:t>
      </w:r>
      <w:r>
        <w:rPr>
          <w:rFonts w:ascii="Verdana" w:hAnsi="Verdana" w:cs="Arial"/>
          <w:color w:val="0000FF"/>
          <w:shd w:val="clear" w:color="auto" w:fill="FFFFFF"/>
        </w:rPr>
        <w:t xml:space="preserve"> </w:t>
      </w:r>
    </w:p>
    <w:p w14:paraId="146C8B81" w14:textId="77777777" w:rsidR="00890EE3" w:rsidRPr="00EE1130" w:rsidRDefault="00890EE3" w:rsidP="00890EE3">
      <w:pPr>
        <w:spacing w:after="0" w:line="276" w:lineRule="auto"/>
        <w:jc w:val="both"/>
        <w:rPr>
          <w:rFonts w:ascii="Verdana" w:hAnsi="Verdana" w:cs="Arial"/>
          <w:shd w:val="clear" w:color="auto" w:fill="FFFFFF"/>
        </w:rPr>
      </w:pPr>
      <w:r>
        <w:rPr>
          <w:rFonts w:ascii="Verdana" w:hAnsi="Verdana" w:cs="Arial"/>
          <w:shd w:val="clear" w:color="auto" w:fill="FFFFFF"/>
        </w:rPr>
        <w:t xml:space="preserve">Instagram: </w:t>
      </w:r>
      <w:r>
        <w:rPr>
          <w:rStyle w:val="Hipervnculo"/>
          <w:rFonts w:ascii="Verdana" w:hAnsi="Verdana"/>
          <w:lang w:val="es-ES"/>
        </w:rPr>
        <w:t>@colombiacompraeficiente_cce</w:t>
      </w:r>
    </w:p>
    <w:p w14:paraId="233082EC" w14:textId="77777777" w:rsidR="00890EE3" w:rsidRPr="00EE1130" w:rsidRDefault="00890EE3" w:rsidP="00890EE3">
      <w:pPr>
        <w:widowControl w:val="0"/>
        <w:autoSpaceDE w:val="0"/>
        <w:autoSpaceDN w:val="0"/>
        <w:spacing w:after="0" w:line="276" w:lineRule="auto"/>
        <w:jc w:val="both"/>
        <w:rPr>
          <w:rFonts w:ascii="Verdana" w:hAnsi="Verdana" w:cs="Arial"/>
          <w:color w:val="ED7D31" w:themeColor="accent2"/>
          <w:lang w:val="es-ES"/>
        </w:rPr>
      </w:pPr>
    </w:p>
    <w:p w14:paraId="171B4DE9" w14:textId="77777777" w:rsidR="00890EE3" w:rsidRPr="00EE1130" w:rsidRDefault="00890EE3" w:rsidP="00890EE3">
      <w:pPr>
        <w:widowControl w:val="0"/>
        <w:autoSpaceDE w:val="0"/>
        <w:autoSpaceDN w:val="0"/>
        <w:spacing w:after="0" w:line="276" w:lineRule="auto"/>
        <w:jc w:val="both"/>
        <w:rPr>
          <w:rFonts w:ascii="Verdana" w:hAnsi="Verdana" w:cs="Arial"/>
          <w:lang w:val="es-ES"/>
        </w:rPr>
      </w:pPr>
      <w:r>
        <w:rPr>
          <w:rFonts w:ascii="Verdana" w:hAnsi="Verdana" w:cs="Arial"/>
          <w:lang w:val="es-ES"/>
        </w:rPr>
        <w:t xml:space="preserve">Este concepto tiene el alcance previsto en el artículo 28 del Código de </w:t>
      </w:r>
      <w:r>
        <w:rPr>
          <w:rFonts w:ascii="Verdana" w:hAnsi="Verdana" w:cs="Arial"/>
          <w:lang w:val="es-ES"/>
        </w:rPr>
        <w:lastRenderedPageBreak/>
        <w:t>Procedimiento Administrativo y de lo Contencioso Administrativo y las expresiones aquí utilizadas con mayúscula inicial deben ser entendidas con el significado que les otorga el artículo 2.2.1.1.1.3.1. del Decreto 1082 de 2015.</w:t>
      </w:r>
    </w:p>
    <w:p w14:paraId="0D88A3A3" w14:textId="77777777" w:rsidR="00890EE3" w:rsidRPr="00EE1130" w:rsidRDefault="00890EE3" w:rsidP="00890EE3">
      <w:pPr>
        <w:widowControl w:val="0"/>
        <w:autoSpaceDE w:val="0"/>
        <w:autoSpaceDN w:val="0"/>
        <w:spacing w:after="0" w:line="276" w:lineRule="auto"/>
        <w:jc w:val="both"/>
        <w:rPr>
          <w:rFonts w:ascii="Verdana" w:hAnsi="Verdana" w:cs="Arial"/>
          <w:lang w:val="es-ES"/>
        </w:rPr>
      </w:pPr>
    </w:p>
    <w:p w14:paraId="4DFA5C56" w14:textId="77777777" w:rsidR="00890EE3" w:rsidRPr="00EE1130" w:rsidRDefault="00890EE3" w:rsidP="00890EE3">
      <w:pPr>
        <w:spacing w:after="0" w:line="276" w:lineRule="auto"/>
        <w:rPr>
          <w:rFonts w:ascii="Verdana" w:hAnsi="Verdana" w:cs="Arial"/>
          <w:lang w:val="es-ES" w:eastAsia="es-CO"/>
        </w:rPr>
      </w:pPr>
      <w:r>
        <w:rPr>
          <w:rFonts w:ascii="Verdana" w:eastAsia="Times New Roman" w:hAnsi="Verdana" w:cs="Arial"/>
          <w:lang w:val="es-ES" w:eastAsia="es-CO"/>
        </w:rPr>
        <w:t>Atentamente,</w:t>
      </w:r>
      <w:r>
        <w:rPr>
          <w:rFonts w:ascii="Verdana" w:hAnsi="Verdana" w:cs="Arial"/>
          <w:lang w:val="es-ES" w:eastAsia="es-CO"/>
        </w:rPr>
        <w:t xml:space="preserve"> </w:t>
      </w:r>
    </w:p>
    <w:p w14:paraId="18B52AF5" w14:textId="6D198F00" w:rsidR="00890EE3" w:rsidRPr="00206556" w:rsidRDefault="00D210DB" w:rsidP="00890EE3">
      <w:pPr>
        <w:spacing w:after="0" w:line="256" w:lineRule="auto"/>
        <w:jc w:val="center"/>
        <w:rPr>
          <w:rFonts w:ascii="Verdana" w:eastAsia="Times New Roman" w:hAnsi="Verdana" w:cs="Arial"/>
          <w:lang w:eastAsia="es-ES"/>
        </w:rPr>
      </w:pPr>
      <w:r>
        <w:rPr>
          <w:rFonts w:ascii="Verdana" w:eastAsia="Times New Roman" w:hAnsi="Verdana" w:cs="Arial"/>
          <w:noProof/>
          <w:lang w:eastAsia="es-ES"/>
        </w:rPr>
        <w:drawing>
          <wp:inline distT="0" distB="0" distL="0" distR="0" wp14:anchorId="088FEE00" wp14:editId="5D17953C">
            <wp:extent cx="3639058" cy="1343212"/>
            <wp:effectExtent l="0" t="0" r="0" b="0"/>
            <wp:docPr id="1067911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911231" name="Imagen 1067911231"/>
                    <pic:cNvPicPr/>
                  </pic:nvPicPr>
                  <pic:blipFill>
                    <a:blip r:embed="rId16">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793DB910" w14:textId="77777777" w:rsidR="00890EE3" w:rsidRPr="00206556" w:rsidRDefault="00890EE3" w:rsidP="00890EE3">
      <w:pPr>
        <w:spacing w:after="0" w:line="240" w:lineRule="auto"/>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890EE3" w:rsidRPr="00206556" w14:paraId="770DC5E3" w14:textId="77777777" w:rsidTr="00821A52">
        <w:trPr>
          <w:trHeight w:val="322"/>
        </w:trPr>
        <w:tc>
          <w:tcPr>
            <w:tcW w:w="733" w:type="dxa"/>
            <w:tcBorders>
              <w:top w:val="nil"/>
              <w:left w:val="nil"/>
              <w:bottom w:val="nil"/>
              <w:right w:val="nil"/>
            </w:tcBorders>
            <w:vAlign w:val="center"/>
            <w:hideMark/>
          </w:tcPr>
          <w:p w14:paraId="4FF1A6A1" w14:textId="77777777" w:rsidR="00890EE3" w:rsidRPr="00206556" w:rsidRDefault="00890EE3" w:rsidP="00821A52">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Elaboró:         </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492463C" w14:textId="77777777" w:rsidR="00890EE3" w:rsidRPr="00206556" w:rsidRDefault="00890EE3" w:rsidP="00821A52">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Gloria Elizabeth Arango Builes</w:t>
            </w:r>
          </w:p>
          <w:p w14:paraId="7A9D13CE" w14:textId="77777777" w:rsidR="00890EE3" w:rsidRPr="00206556" w:rsidRDefault="00890EE3" w:rsidP="00821A52">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eastAsia="es-ES"/>
              </w:rPr>
              <w:t xml:space="preserve">Contratista </w:t>
            </w:r>
            <w:r>
              <w:rPr>
                <w:rFonts w:ascii="Verdana" w:eastAsia="Times New Roman" w:hAnsi="Verdana" w:cs="Times New Roman"/>
                <w:sz w:val="16"/>
                <w:szCs w:val="16"/>
                <w:lang w:eastAsia="es-CO"/>
              </w:rPr>
              <w:t>de la Subdirección de Gestión Contractual</w:t>
            </w:r>
          </w:p>
        </w:tc>
      </w:tr>
      <w:tr w:rsidR="00890EE3" w:rsidRPr="00206556" w14:paraId="77D20E37" w14:textId="77777777" w:rsidTr="00821A52">
        <w:trPr>
          <w:trHeight w:val="322"/>
        </w:trPr>
        <w:tc>
          <w:tcPr>
            <w:tcW w:w="733" w:type="dxa"/>
            <w:tcBorders>
              <w:top w:val="nil"/>
              <w:left w:val="nil"/>
              <w:bottom w:val="nil"/>
              <w:right w:val="nil"/>
            </w:tcBorders>
            <w:vAlign w:val="center"/>
            <w:hideMark/>
          </w:tcPr>
          <w:p w14:paraId="666D7FA3" w14:textId="77777777" w:rsidR="00890EE3" w:rsidRPr="00206556" w:rsidRDefault="00890EE3" w:rsidP="00821A52">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Revisó:</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11C678E5" w14:textId="77777777" w:rsidR="00890EE3" w:rsidRPr="00206556" w:rsidRDefault="00890EE3" w:rsidP="00821A52">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Diana Lucía Saavedra Castañeda</w:t>
            </w:r>
          </w:p>
          <w:p w14:paraId="06189328" w14:textId="77777777" w:rsidR="00890EE3" w:rsidRPr="00206556" w:rsidRDefault="00890EE3" w:rsidP="00821A52">
            <w:pPr>
              <w:autoSpaceDE w:val="0"/>
              <w:autoSpaceDN w:val="0"/>
              <w:adjustRightInd w:val="0"/>
              <w:spacing w:after="0" w:line="276" w:lineRule="auto"/>
              <w:rPr>
                <w:rFonts w:ascii="Verdana" w:eastAsia="Times New Roman" w:hAnsi="Verdana" w:cs="Times New Roman"/>
                <w:sz w:val="16"/>
                <w:szCs w:val="16"/>
                <w:lang w:eastAsia="es-CO"/>
              </w:rPr>
            </w:pPr>
            <w:r>
              <w:rPr>
                <w:rFonts w:ascii="Verdana" w:eastAsia="Times New Roman" w:hAnsi="Verdana" w:cs="Arial"/>
                <w:sz w:val="16"/>
                <w:szCs w:val="16"/>
                <w:lang w:eastAsia="es-ES"/>
              </w:rPr>
              <w:t>Contratista de la Subdirección de Gestión Contractual</w:t>
            </w:r>
          </w:p>
        </w:tc>
      </w:tr>
      <w:tr w:rsidR="00890EE3" w:rsidRPr="00206556" w14:paraId="6E3E35F9" w14:textId="77777777" w:rsidTr="00821A52">
        <w:trPr>
          <w:trHeight w:val="307"/>
        </w:trPr>
        <w:tc>
          <w:tcPr>
            <w:tcW w:w="733" w:type="dxa"/>
            <w:tcBorders>
              <w:top w:val="nil"/>
              <w:left w:val="nil"/>
              <w:bottom w:val="nil"/>
              <w:right w:val="nil"/>
            </w:tcBorders>
            <w:vAlign w:val="center"/>
            <w:hideMark/>
          </w:tcPr>
          <w:p w14:paraId="50784605" w14:textId="77777777" w:rsidR="00890EE3" w:rsidRPr="00206556" w:rsidRDefault="00890EE3" w:rsidP="00821A52">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Aprobó:</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31231957" w14:textId="77777777" w:rsidR="00890EE3" w:rsidRPr="00206556" w:rsidRDefault="00890EE3" w:rsidP="00821A52">
            <w:pPr>
              <w:spacing w:after="0" w:line="256" w:lineRule="auto"/>
              <w:rPr>
                <w:rFonts w:ascii="Verdana" w:eastAsia="Times New Roman" w:hAnsi="Verdana" w:cs="Arial"/>
                <w:sz w:val="16"/>
                <w:szCs w:val="16"/>
                <w:lang w:eastAsia="es-ES"/>
              </w:rPr>
            </w:pPr>
            <w:r>
              <w:rPr>
                <w:rFonts w:ascii="Verdana" w:eastAsia="Times New Roman" w:hAnsi="Verdana" w:cs="Arial"/>
                <w:sz w:val="16"/>
                <w:szCs w:val="16"/>
                <w:lang w:eastAsia="es-ES"/>
              </w:rPr>
              <w:t>Carolina Quintero Gacharná</w:t>
            </w:r>
          </w:p>
          <w:p w14:paraId="2A8FEB2F" w14:textId="77777777" w:rsidR="00890EE3" w:rsidRPr="00206556" w:rsidRDefault="00890EE3" w:rsidP="00821A52">
            <w:pPr>
              <w:spacing w:after="0" w:line="256" w:lineRule="auto"/>
              <w:rPr>
                <w:rFonts w:ascii="Verdana" w:eastAsia="Times New Roman" w:hAnsi="Verdana" w:cs="Arial"/>
                <w:sz w:val="16"/>
                <w:szCs w:val="16"/>
                <w:lang w:eastAsia="es-ES"/>
              </w:rPr>
            </w:pPr>
            <w:r>
              <w:rPr>
                <w:rFonts w:ascii="Verdana" w:eastAsia="Times New Roman" w:hAnsi="Verdana" w:cs="Arial"/>
                <w:sz w:val="16"/>
                <w:szCs w:val="16"/>
                <w:lang w:eastAsia="es-ES"/>
              </w:rPr>
              <w:t>Subdirectora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643F0025"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26A0CB84" w14:textId="77777777" w:rsidR="002E2BF8" w:rsidRPr="00E02524" w:rsidRDefault="002E2BF8" w:rsidP="30821638">
      <w:pPr>
        <w:spacing w:after="0"/>
        <w:jc w:val="both"/>
        <w:rPr>
          <w:rFonts w:ascii="Verdana" w:eastAsia="Verdana" w:hAnsi="Verdana" w:cs="Verdana"/>
          <w:lang w:val="es-ES"/>
        </w:rPr>
      </w:pPr>
    </w:p>
    <w:p w14:paraId="493E8921" w14:textId="77777777" w:rsidR="002E2BF8" w:rsidRPr="00E02524" w:rsidRDefault="002E2BF8" w:rsidP="30821638">
      <w:pPr>
        <w:spacing w:after="0"/>
        <w:jc w:val="both"/>
        <w:rPr>
          <w:rFonts w:ascii="Verdana" w:eastAsia="Verdana" w:hAnsi="Verdana" w:cs="Verdana"/>
          <w:lang w:val="es-ES"/>
        </w:rPr>
      </w:pPr>
    </w:p>
    <w:bookmarkEnd w:id="0"/>
    <w:p w14:paraId="0F293BF4" w14:textId="3810F5E8" w:rsidR="00127233" w:rsidRPr="0015699B" w:rsidRDefault="00127233" w:rsidP="00890EE3">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E0CD6" w14:textId="77777777" w:rsidR="00D22B82" w:rsidRDefault="00D22B82" w:rsidP="004A1847">
      <w:pPr>
        <w:spacing w:after="0" w:line="240" w:lineRule="auto"/>
      </w:pPr>
      <w:r>
        <w:separator/>
      </w:r>
    </w:p>
  </w:endnote>
  <w:endnote w:type="continuationSeparator" w:id="0">
    <w:p w14:paraId="1E220EDF" w14:textId="77777777" w:rsidR="00D22B82" w:rsidRDefault="00D22B82" w:rsidP="004A1847">
      <w:pPr>
        <w:spacing w:after="0" w:line="240" w:lineRule="auto"/>
      </w:pPr>
      <w:r>
        <w:continuationSeparator/>
      </w:r>
    </w:p>
  </w:endnote>
  <w:endnote w:type="continuationNotice" w:id="1">
    <w:p w14:paraId="16A04075" w14:textId="77777777" w:rsidR="00D22B82" w:rsidRDefault="00D22B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BCC3D" w14:textId="77777777" w:rsidR="00D22B82" w:rsidRDefault="00D22B82" w:rsidP="004A1847">
      <w:pPr>
        <w:spacing w:after="0" w:line="240" w:lineRule="auto"/>
      </w:pPr>
      <w:r>
        <w:separator/>
      </w:r>
    </w:p>
  </w:footnote>
  <w:footnote w:type="continuationSeparator" w:id="0">
    <w:p w14:paraId="3B34EA87" w14:textId="77777777" w:rsidR="00D22B82" w:rsidRDefault="00D22B82" w:rsidP="004A1847">
      <w:pPr>
        <w:spacing w:after="0" w:line="240" w:lineRule="auto"/>
      </w:pPr>
      <w:r>
        <w:continuationSeparator/>
      </w:r>
    </w:p>
  </w:footnote>
  <w:footnote w:type="continuationNotice" w:id="1">
    <w:p w14:paraId="00A422DC" w14:textId="77777777" w:rsidR="00D22B82" w:rsidRDefault="00D22B82">
      <w:pPr>
        <w:spacing w:after="0" w:line="240" w:lineRule="auto"/>
      </w:pPr>
    </w:p>
  </w:footnote>
  <w:footnote w:id="2">
    <w:p w14:paraId="72806351" w14:textId="77777777" w:rsidR="00890EE3" w:rsidRDefault="00890EE3" w:rsidP="00314D07">
      <w:pPr>
        <w:pStyle w:val="Textonotapie"/>
        <w:ind w:firstLine="709"/>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Decreto 4791 de 2008, artículo 2: los fondos de servicios educativos son cuentas contables creadas por la ley como un mecanismo de gestión presupuestal y de ejecución de los recursos de los establecimientos educativos estatales para la adecuada administración de sus ingresos y para atender sus gastos de funcionamiento e inversión distintos a los de personal. Compilado mediante el Decreto Único Reglamentario del Sector Educación No. 1075 de 2015, artículo 2.3.1.6.3.2.</w:t>
      </w:r>
    </w:p>
  </w:footnote>
  <w:footnote w:id="3">
    <w:p w14:paraId="426F18FB" w14:textId="77777777" w:rsidR="00890EE3" w:rsidRDefault="00890EE3" w:rsidP="00314D07">
      <w:pPr>
        <w:pStyle w:val="Textonotapie"/>
        <w:ind w:firstLine="709"/>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Decreto 1075 de 2015: “Artículo 2.3.1.6.3.4. Ordenación del gasto. Los fondos de servicios educativos carecen de personería jurídica. El rector o director rural es el ordenador del gasto del Fondo de Servicios Educativos y su ejercicio no implica representación legal”.</w:t>
      </w:r>
    </w:p>
  </w:footnote>
  <w:footnote w:id="4">
    <w:p w14:paraId="3B1E2715" w14:textId="77777777" w:rsidR="00890EE3" w:rsidRDefault="00890EE3" w:rsidP="00314D07">
      <w:pPr>
        <w:pStyle w:val="Textonotapie"/>
        <w:ind w:firstLine="709"/>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Ley 715 de 2001: “Artículo 13. Procedimientos de contratación de los fondos de servicios educativos. Todos los actos y contratos que tengan por objeto bienes y obligaciones que hayan de registrarse en la contabilidad de los Fondos de servicios educativos […] se harán respetando los principios de igualdad, moralidad, imparcialidad y publicidad, aplicados en forma razonable a las circunstancias concretas en las que hayan de celebrarse. Se harán con el propósito fundamental de proteger los derechos de los niños y de los jóvenes, y de conseguir eficacia y celeridad en la atención del servicio educativo, y economía en el uso de los recursos públicos. Los actos y contratos de cuantía superior a veinte (20) salarios mínimos mensuales se regirán por las reglas de la contratación estatal […] el Consejo Directivo de cada establecimiento podrá señalar, con base en la experiencia y en el análisis concreto de las necesidades del establecimiento, los trámites, garantías y constancias que deben cumplirse para que el rector o director celebre cualquier acto o contrato […] cuya cuantía sea inferior a veinte (20) salarios mínimos mensuales”. En concordancia, Decreto 1075 de 2015: “Artículo 2.3.1.6.3.5. Funciones del Consejo Directivo. (…) 6. Reglamentar mediante acuerdo los procedimientos, formalidades y garantías para toda contratación que no supere los veinte (20) salarios mínimos legales mensuales vigentes (SMLMV)”.</w:t>
      </w:r>
    </w:p>
  </w:footnote>
  <w:footnote w:id="5">
    <w:p w14:paraId="0ECE1890" w14:textId="77777777" w:rsidR="00890EE3" w:rsidRDefault="00890EE3" w:rsidP="00314D07">
      <w:pPr>
        <w:pStyle w:val="Textonotapie"/>
        <w:ind w:firstLine="709"/>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La norma citada dispone que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footnote>
  <w:footnote w:id="6">
    <w:p w14:paraId="13910E2D" w14:textId="77777777" w:rsidR="00890EE3" w:rsidRDefault="00890EE3" w:rsidP="00314D07">
      <w:pPr>
        <w:pStyle w:val="Textonotapie"/>
        <w:ind w:firstLine="709"/>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 resulta que son las entidades públicas sujetas al Estatuto General de Contratación Pública, en cada caso concreto, las encargadas de definir en sus pliegos de condiciones los riesgos relacionados con su actividad contractual, y sólo estarán obligadas a ajustarse a lo que se defina en la ley sobre el particular y a las políticas generales que defina el presidente de la República, en ejercicio de su función reglamentaria" (Consejo de Estado. Sección Tercera. Subsección A. Sentencia del 11 de abril de 2019. </w:t>
      </w:r>
      <w:proofErr w:type="spellStart"/>
      <w:r>
        <w:rPr>
          <w:rFonts w:ascii="Verdana" w:hAnsi="Verdana"/>
          <w:sz w:val="16"/>
          <w:szCs w:val="16"/>
        </w:rPr>
        <w:t>Exp</w:t>
      </w:r>
      <w:proofErr w:type="spellEnd"/>
      <w:r>
        <w:rPr>
          <w:rFonts w:ascii="Verdana" w:hAnsi="Verdana"/>
          <w:sz w:val="16"/>
          <w:szCs w:val="16"/>
        </w:rPr>
        <w:t>. 52.055. C.P. María Adriana Marín).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2"/>
  </w:num>
  <w:num w:numId="7" w16cid:durableId="1946422806">
    <w:abstractNumId w:val="5"/>
  </w:num>
  <w:num w:numId="8" w16cid:durableId="152644682">
    <w:abstractNumId w:val="11"/>
  </w:num>
  <w:num w:numId="9" w16cid:durableId="1317221377">
    <w:abstractNumId w:val="7"/>
  </w:num>
  <w:num w:numId="10" w16cid:durableId="1471245386">
    <w:abstractNumId w:val="10"/>
  </w:num>
  <w:num w:numId="11" w16cid:durableId="289172385">
    <w:abstractNumId w:val="8"/>
  </w:num>
  <w:num w:numId="12" w16cid:durableId="1470781324">
    <w:abstractNumId w:val="0"/>
  </w:num>
  <w:num w:numId="13" w16cid:durableId="1512908409">
    <w:abstractNumId w:val="3"/>
  </w:num>
  <w:num w:numId="14" w16cid:durableId="895897244">
    <w:abstractNumId w:val="13"/>
  </w:num>
  <w:num w:numId="15" w16cid:durableId="390349800">
    <w:abstractNumId w:val="9"/>
  </w:num>
  <w:num w:numId="16" w16cid:durableId="195001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16B0"/>
    <w:rsid w:val="00125105"/>
    <w:rsid w:val="00127233"/>
    <w:rsid w:val="0015699B"/>
    <w:rsid w:val="001A33BF"/>
    <w:rsid w:val="001B5609"/>
    <w:rsid w:val="001E4177"/>
    <w:rsid w:val="001F0B24"/>
    <w:rsid w:val="001F7DC6"/>
    <w:rsid w:val="00222EC1"/>
    <w:rsid w:val="0022400B"/>
    <w:rsid w:val="002421BB"/>
    <w:rsid w:val="0025796E"/>
    <w:rsid w:val="002707A2"/>
    <w:rsid w:val="002951A0"/>
    <w:rsid w:val="002962BC"/>
    <w:rsid w:val="002A093D"/>
    <w:rsid w:val="002A0DD0"/>
    <w:rsid w:val="002A49AC"/>
    <w:rsid w:val="002A64FD"/>
    <w:rsid w:val="002C7A84"/>
    <w:rsid w:val="002E2BF8"/>
    <w:rsid w:val="002E4FD9"/>
    <w:rsid w:val="002F1A11"/>
    <w:rsid w:val="002F2886"/>
    <w:rsid w:val="0030657A"/>
    <w:rsid w:val="003144F2"/>
    <w:rsid w:val="00314D07"/>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5584"/>
    <w:rsid w:val="00466E39"/>
    <w:rsid w:val="004A1847"/>
    <w:rsid w:val="004A305D"/>
    <w:rsid w:val="004F21C4"/>
    <w:rsid w:val="004F685F"/>
    <w:rsid w:val="00506385"/>
    <w:rsid w:val="005566E8"/>
    <w:rsid w:val="00574867"/>
    <w:rsid w:val="00591460"/>
    <w:rsid w:val="0059419C"/>
    <w:rsid w:val="005A65E0"/>
    <w:rsid w:val="005C3777"/>
    <w:rsid w:val="005C5CDC"/>
    <w:rsid w:val="005D476C"/>
    <w:rsid w:val="006200BF"/>
    <w:rsid w:val="006219F8"/>
    <w:rsid w:val="006302F7"/>
    <w:rsid w:val="00646B9F"/>
    <w:rsid w:val="00665D70"/>
    <w:rsid w:val="006821DA"/>
    <w:rsid w:val="006900D9"/>
    <w:rsid w:val="006A4D04"/>
    <w:rsid w:val="00706C16"/>
    <w:rsid w:val="007233BA"/>
    <w:rsid w:val="007340C3"/>
    <w:rsid w:val="0075235A"/>
    <w:rsid w:val="00756841"/>
    <w:rsid w:val="007649AB"/>
    <w:rsid w:val="00771D0C"/>
    <w:rsid w:val="00782A97"/>
    <w:rsid w:val="007833AC"/>
    <w:rsid w:val="007B268C"/>
    <w:rsid w:val="007B7171"/>
    <w:rsid w:val="007C0C0F"/>
    <w:rsid w:val="007C39A3"/>
    <w:rsid w:val="007C3DC2"/>
    <w:rsid w:val="007E5497"/>
    <w:rsid w:val="00806F5F"/>
    <w:rsid w:val="00820278"/>
    <w:rsid w:val="008258C9"/>
    <w:rsid w:val="00844AE9"/>
    <w:rsid w:val="00867F95"/>
    <w:rsid w:val="008843B6"/>
    <w:rsid w:val="00890EE3"/>
    <w:rsid w:val="00891928"/>
    <w:rsid w:val="0089500F"/>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409F3"/>
    <w:rsid w:val="00AB0ADB"/>
    <w:rsid w:val="00B00C0E"/>
    <w:rsid w:val="00B01B1A"/>
    <w:rsid w:val="00B0381D"/>
    <w:rsid w:val="00B41120"/>
    <w:rsid w:val="00B44A47"/>
    <w:rsid w:val="00B56E2C"/>
    <w:rsid w:val="00B72CD3"/>
    <w:rsid w:val="00B72FFF"/>
    <w:rsid w:val="00BC3D36"/>
    <w:rsid w:val="00BD54A6"/>
    <w:rsid w:val="00BD7F72"/>
    <w:rsid w:val="00BF7425"/>
    <w:rsid w:val="00C04FB3"/>
    <w:rsid w:val="00C11D8B"/>
    <w:rsid w:val="00C15139"/>
    <w:rsid w:val="00C330EB"/>
    <w:rsid w:val="00C50D69"/>
    <w:rsid w:val="00C51BFF"/>
    <w:rsid w:val="00C5365C"/>
    <w:rsid w:val="00C754BE"/>
    <w:rsid w:val="00C76B1C"/>
    <w:rsid w:val="00C925AC"/>
    <w:rsid w:val="00CA5690"/>
    <w:rsid w:val="00CB6357"/>
    <w:rsid w:val="00CC1B26"/>
    <w:rsid w:val="00D210DB"/>
    <w:rsid w:val="00D22B82"/>
    <w:rsid w:val="00D361FD"/>
    <w:rsid w:val="00D423A2"/>
    <w:rsid w:val="00D44E26"/>
    <w:rsid w:val="00D520D8"/>
    <w:rsid w:val="00D63AC2"/>
    <w:rsid w:val="00D7383B"/>
    <w:rsid w:val="00D7788A"/>
    <w:rsid w:val="00DA231B"/>
    <w:rsid w:val="00DC39FC"/>
    <w:rsid w:val="00DF17C9"/>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8281B"/>
    <w:rsid w:val="00FA47C0"/>
    <w:rsid w:val="00FB5DD1"/>
    <w:rsid w:val="00FC2B5D"/>
    <w:rsid w:val="00FD7C8F"/>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890EE3"/>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3010AE-0902-4D03-BE09-C20AFF0E9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06140301-0167-4B5F-BBE6-568B747F6CFD}">
  <ds:schemaRefs>
    <ds:schemaRef ds:uri="http://schemas.openxmlformats.org/officeDocument/2006/bibliography"/>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14</Pages>
  <Words>4412</Words>
  <Characters>24266</Characters>
  <Application>Microsoft Office Word</Application>
  <DocSecurity>0</DocSecurity>
  <Lines>202</Lines>
  <Paragraphs>57</Paragraphs>
  <ScaleCrop>false</ScaleCrop>
  <Company/>
  <LinksUpToDate>false</LinksUpToDate>
  <CharactersWithSpaces>28621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2026-09-15T15:57:00Z</dcterms:created>
  <dcterms:modified xsi:type="dcterms:W3CDTF">2026-09-15T16:48:00Z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