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91EA9" w14:textId="77777777" w:rsidR="004D45D2" w:rsidRPr="00F169C2" w:rsidRDefault="004D45D2" w:rsidP="004D45D2">
      <w:pPr>
        <w:spacing w:after="0" w:line="240" w:lineRule="auto"/>
        <w:jc w:val="both"/>
        <w:rPr>
          <w:rFonts w:ascii="Verdana" w:eastAsia="Calibri" w:hAnsi="Verdana" w:cs="Arial"/>
          <w:b/>
          <w:bCs/>
          <w:color w:val="000000" w:themeColor="text1"/>
          <w:lang w:val="es-ES"/>
        </w:rPr>
      </w:pPr>
      <w:bookmarkStart w:id="0" w:name="_Hlk143780582"/>
      <w:r w:rsidRPr="00F169C2">
        <w:rPr>
          <w:rFonts w:ascii="Verdana" w:eastAsia="Calibri" w:hAnsi="Verdana" w:cs="Arial"/>
          <w:b/>
          <w:bCs/>
          <w:color w:val="000000" w:themeColor="text1"/>
          <w:lang w:val="es-ES"/>
        </w:rPr>
        <w:t>ACUERDOS DE NIVELES DE SERVICIO – Definición – Naturaleza Jurídica – Atipicidad</w:t>
      </w:r>
    </w:p>
    <w:p w14:paraId="14EA18B5" w14:textId="77777777" w:rsidR="004D45D2" w:rsidRPr="00B2449A" w:rsidRDefault="004D45D2" w:rsidP="004D45D2">
      <w:pPr>
        <w:spacing w:after="0" w:line="240" w:lineRule="auto"/>
        <w:jc w:val="both"/>
        <w:rPr>
          <w:rFonts w:ascii="Verdana" w:eastAsia="Calibri" w:hAnsi="Verdana" w:cs="Arial"/>
          <w:color w:val="000000" w:themeColor="text1"/>
          <w:sz w:val="20"/>
          <w:szCs w:val="20"/>
          <w:lang w:val="es-ES"/>
        </w:rPr>
      </w:pPr>
    </w:p>
    <w:p w14:paraId="73C28D06" w14:textId="0578FA19" w:rsidR="004D45D2" w:rsidRPr="00B2449A" w:rsidRDefault="004D45D2" w:rsidP="004D45D2">
      <w:pPr>
        <w:spacing w:after="0" w:line="240" w:lineRule="auto"/>
        <w:jc w:val="both"/>
        <w:rPr>
          <w:rFonts w:ascii="Verdana" w:eastAsia="Calibri" w:hAnsi="Verdana" w:cs="Arial"/>
          <w:color w:val="000000" w:themeColor="text1"/>
          <w:sz w:val="20"/>
          <w:szCs w:val="20"/>
          <w:lang w:val="es-ES"/>
        </w:rPr>
      </w:pPr>
      <w:r w:rsidRPr="00B2449A">
        <w:rPr>
          <w:rFonts w:ascii="Verdana" w:eastAsia="Calibri" w:hAnsi="Verdana" w:cs="Arial"/>
          <w:color w:val="000000" w:themeColor="text1"/>
          <w:sz w:val="20"/>
          <w:szCs w:val="20"/>
          <w:lang w:val="es-ES"/>
        </w:rPr>
        <w:t xml:space="preserve">Los acuerdos de niveles de servicio –ANS–, también conocidos como Service Level </w:t>
      </w:r>
      <w:proofErr w:type="spellStart"/>
      <w:r w:rsidR="00F169C2" w:rsidRPr="00B2449A">
        <w:rPr>
          <w:rFonts w:ascii="Verdana" w:eastAsia="Calibri" w:hAnsi="Verdana" w:cs="Arial"/>
          <w:color w:val="000000" w:themeColor="text1"/>
          <w:sz w:val="20"/>
          <w:szCs w:val="20"/>
          <w:lang w:val="es-ES"/>
        </w:rPr>
        <w:t>Agreements</w:t>
      </w:r>
      <w:proofErr w:type="spellEnd"/>
      <w:r w:rsidR="00F169C2" w:rsidRPr="00B2449A">
        <w:rPr>
          <w:rFonts w:ascii="Verdana" w:eastAsia="Calibri" w:hAnsi="Verdana" w:cs="Arial"/>
          <w:color w:val="000000" w:themeColor="text1"/>
          <w:sz w:val="20"/>
          <w:szCs w:val="20"/>
          <w:lang w:val="es-ES"/>
        </w:rPr>
        <w:t xml:space="preserve"> –</w:t>
      </w:r>
      <w:r w:rsidRPr="00B2449A">
        <w:rPr>
          <w:rFonts w:ascii="Verdana" w:eastAsia="Calibri" w:hAnsi="Verdana" w:cs="Arial"/>
          <w:color w:val="000000" w:themeColor="text1"/>
          <w:sz w:val="20"/>
          <w:szCs w:val="20"/>
          <w:lang w:val="es-ES"/>
        </w:rPr>
        <w:t>SLA– en inglés, son contratos o acuerdos que se establecen para definir los niveles de calidad y desempeño del servicio que una de las partes se compromete a ofrecer a la otra, y a la vez, es considerado en la doctrina internacional como acuerdos que permiten regular el «incumplimiento tolerado» de algunas obligaciones asumidas por una de las partes en la prestación de un servicio.</w:t>
      </w:r>
    </w:p>
    <w:p w14:paraId="09A92501" w14:textId="77777777" w:rsidR="004D45D2" w:rsidRPr="00B2449A" w:rsidRDefault="004D45D2" w:rsidP="004D45D2">
      <w:pPr>
        <w:spacing w:after="0" w:line="240" w:lineRule="auto"/>
        <w:jc w:val="both"/>
        <w:rPr>
          <w:rFonts w:ascii="Verdana" w:eastAsia="Times New Roman" w:hAnsi="Verdana" w:cs="Arial"/>
          <w:iCs/>
          <w:color w:val="000000"/>
          <w:sz w:val="20"/>
          <w:szCs w:val="20"/>
          <w:lang w:eastAsia="es-ES_tradnl"/>
        </w:rPr>
      </w:pPr>
    </w:p>
    <w:p w14:paraId="38FD5AB9" w14:textId="77777777" w:rsidR="004D45D2" w:rsidRPr="00B2449A" w:rsidRDefault="004D45D2" w:rsidP="004D45D2">
      <w:pPr>
        <w:spacing w:after="120" w:line="240" w:lineRule="auto"/>
        <w:jc w:val="both"/>
        <w:rPr>
          <w:rFonts w:ascii="Verdana" w:eastAsia="Times New Roman" w:hAnsi="Verdana" w:cs="Arial"/>
          <w:iCs/>
          <w:color w:val="000000"/>
          <w:sz w:val="20"/>
          <w:szCs w:val="20"/>
          <w:highlight w:val="yellow"/>
          <w:lang w:eastAsia="es-ES_tradnl"/>
        </w:rPr>
      </w:pPr>
      <w:r w:rsidRPr="00B2449A">
        <w:rPr>
          <w:rFonts w:ascii="Verdana" w:eastAsia="Calibri" w:hAnsi="Verdana" w:cs="Arial"/>
          <w:color w:val="000000"/>
          <w:lang w:val="es-ES_tradnl" w:eastAsia="es-ES_tradnl"/>
        </w:rPr>
        <w:t>[…]</w:t>
      </w:r>
      <w:r w:rsidRPr="00B2449A">
        <w:rPr>
          <w:rFonts w:ascii="Verdana" w:eastAsia="Times New Roman" w:hAnsi="Verdana" w:cs="Arial"/>
          <w:iCs/>
          <w:color w:val="000000"/>
          <w:sz w:val="20"/>
          <w:szCs w:val="20"/>
          <w:lang w:eastAsia="es-ES_tradnl"/>
        </w:rPr>
        <w:t xml:space="preserve">puede considerarse que los ANS son acuerdos accesorios, innominados, onerosos y conmutativos, porque; i) accesorios: su objeto es la regulación del cumplimiento de un servicio como derivado de un negocio principal; </w:t>
      </w:r>
      <w:proofErr w:type="spellStart"/>
      <w:r w:rsidRPr="00B2449A">
        <w:rPr>
          <w:rFonts w:ascii="Verdana" w:eastAsia="Times New Roman" w:hAnsi="Verdana" w:cs="Arial"/>
          <w:iCs/>
          <w:color w:val="000000"/>
          <w:sz w:val="20"/>
          <w:szCs w:val="20"/>
          <w:lang w:eastAsia="es-ES_tradnl"/>
        </w:rPr>
        <w:t>ii</w:t>
      </w:r>
      <w:proofErr w:type="spellEnd"/>
      <w:r w:rsidRPr="00B2449A">
        <w:rPr>
          <w:rFonts w:ascii="Verdana" w:eastAsia="Times New Roman" w:hAnsi="Verdana" w:cs="Arial"/>
          <w:iCs/>
          <w:color w:val="000000"/>
          <w:sz w:val="20"/>
          <w:szCs w:val="20"/>
          <w:lang w:eastAsia="es-ES_tradnl"/>
        </w:rPr>
        <w:t xml:space="preserve">) Innominado: dado que no se encuentra previsto expresamente en nuestra legislación y, debido a sus particulares características, tampoco existe un contrato análogo al cual recurrir para su interpretación; </w:t>
      </w:r>
      <w:proofErr w:type="spellStart"/>
      <w:r w:rsidRPr="00B2449A">
        <w:rPr>
          <w:rFonts w:ascii="Verdana" w:eastAsia="Times New Roman" w:hAnsi="Verdana" w:cs="Arial"/>
          <w:iCs/>
          <w:color w:val="000000"/>
          <w:sz w:val="20"/>
          <w:szCs w:val="20"/>
          <w:lang w:eastAsia="es-ES_tradnl"/>
        </w:rPr>
        <w:t>iii</w:t>
      </w:r>
      <w:proofErr w:type="spellEnd"/>
      <w:r w:rsidRPr="00B2449A">
        <w:rPr>
          <w:rFonts w:ascii="Verdana" w:eastAsia="Times New Roman" w:hAnsi="Verdana" w:cs="Arial"/>
          <w:iCs/>
          <w:color w:val="000000"/>
          <w:sz w:val="20"/>
          <w:szCs w:val="20"/>
          <w:lang w:eastAsia="es-ES_tradnl"/>
        </w:rPr>
        <w:t xml:space="preserve">) Oneroso: dado a que su pacto comúnmente busca ambas partes obtengan ventajas con un correlativo sacrificio ;y, </w:t>
      </w:r>
      <w:proofErr w:type="spellStart"/>
      <w:r w:rsidRPr="00B2449A">
        <w:rPr>
          <w:rFonts w:ascii="Verdana" w:eastAsia="Times New Roman" w:hAnsi="Verdana" w:cs="Arial"/>
          <w:iCs/>
          <w:color w:val="000000"/>
          <w:sz w:val="20"/>
          <w:szCs w:val="20"/>
          <w:lang w:eastAsia="es-ES_tradnl"/>
        </w:rPr>
        <w:t>iv</w:t>
      </w:r>
      <w:proofErr w:type="spellEnd"/>
      <w:r w:rsidRPr="00B2449A">
        <w:rPr>
          <w:rFonts w:ascii="Verdana" w:eastAsia="Times New Roman" w:hAnsi="Verdana" w:cs="Arial"/>
          <w:iCs/>
          <w:color w:val="000000"/>
          <w:sz w:val="20"/>
          <w:szCs w:val="20"/>
          <w:lang w:eastAsia="es-ES_tradnl"/>
        </w:rPr>
        <w:t>) Conmutativo: existencia de ventajas y sacrificios correlativos entre las partes.</w:t>
      </w:r>
    </w:p>
    <w:p w14:paraId="6A8E505C" w14:textId="77777777" w:rsidR="004D45D2" w:rsidRPr="00B2449A" w:rsidRDefault="004D45D2" w:rsidP="004D45D2">
      <w:pPr>
        <w:spacing w:after="0" w:line="240" w:lineRule="auto"/>
        <w:jc w:val="both"/>
        <w:rPr>
          <w:rFonts w:ascii="Verdana" w:eastAsia="Calibri" w:hAnsi="Verdana" w:cs="Arial"/>
          <w:color w:val="000000" w:themeColor="text1"/>
          <w:sz w:val="20"/>
          <w:szCs w:val="20"/>
          <w:lang w:val="es-ES"/>
        </w:rPr>
      </w:pPr>
    </w:p>
    <w:p w14:paraId="70ADBB80" w14:textId="77777777" w:rsidR="004D45D2" w:rsidRPr="00F169C2" w:rsidRDefault="004D45D2" w:rsidP="004D45D2">
      <w:pPr>
        <w:spacing w:after="0" w:line="240" w:lineRule="auto"/>
        <w:jc w:val="both"/>
        <w:rPr>
          <w:rFonts w:ascii="Verdana" w:eastAsia="Calibri" w:hAnsi="Verdana" w:cs="Arial"/>
          <w:b/>
          <w:bCs/>
          <w:color w:val="000000" w:themeColor="text1"/>
          <w:lang w:val="es-ES"/>
        </w:rPr>
      </w:pPr>
      <w:r w:rsidRPr="00F169C2">
        <w:rPr>
          <w:rFonts w:ascii="Verdana" w:eastAsia="Calibri" w:hAnsi="Verdana" w:cs="Arial"/>
          <w:b/>
          <w:bCs/>
          <w:color w:val="000000" w:themeColor="text1"/>
          <w:lang w:val="es-ES"/>
        </w:rPr>
        <w:t xml:space="preserve">ACUERDOS DE NIVELES DE SERVICIO – Autonomía de la voluntad </w:t>
      </w:r>
    </w:p>
    <w:p w14:paraId="53FF14C9" w14:textId="77777777" w:rsidR="004D45D2" w:rsidRPr="00B2449A" w:rsidRDefault="004D45D2" w:rsidP="004D45D2">
      <w:pPr>
        <w:spacing w:after="0" w:line="240" w:lineRule="auto"/>
        <w:jc w:val="both"/>
        <w:rPr>
          <w:rFonts w:ascii="Verdana" w:eastAsia="Calibri" w:hAnsi="Verdana" w:cs="Arial"/>
          <w:color w:val="000000"/>
          <w:sz w:val="20"/>
          <w:szCs w:val="20"/>
          <w:lang w:val="es-ES_tradnl" w:eastAsia="es-ES_tradnl"/>
        </w:rPr>
      </w:pPr>
    </w:p>
    <w:p w14:paraId="7BCD4373" w14:textId="77777777" w:rsidR="004D45D2" w:rsidRPr="00B2449A" w:rsidRDefault="004D45D2" w:rsidP="004D45D2">
      <w:pPr>
        <w:spacing w:after="0" w:line="240" w:lineRule="auto"/>
        <w:jc w:val="both"/>
        <w:rPr>
          <w:rFonts w:ascii="Verdana" w:eastAsia="Calibri" w:hAnsi="Verdana" w:cs="Arial"/>
          <w:color w:val="000000" w:themeColor="text1"/>
          <w:sz w:val="20"/>
          <w:szCs w:val="20"/>
          <w:lang w:val="es-ES"/>
        </w:rPr>
      </w:pPr>
      <w:r w:rsidRPr="00B2449A">
        <w:rPr>
          <w:rFonts w:ascii="Verdana" w:eastAsia="Calibri" w:hAnsi="Verdana" w:cs="Arial"/>
          <w:color w:val="000000"/>
          <w:lang w:val="es-ES_tradnl" w:eastAsia="es-ES_tradnl"/>
        </w:rPr>
        <w:t>[</w:t>
      </w:r>
      <w:r w:rsidRPr="00B2449A">
        <w:rPr>
          <w:rFonts w:ascii="Verdana" w:eastAsia="Calibri" w:hAnsi="Verdana" w:cs="Arial"/>
          <w:color w:val="000000"/>
          <w:sz w:val="20"/>
          <w:szCs w:val="20"/>
          <w:lang w:val="es-ES_tradnl" w:eastAsia="es-ES_tradnl"/>
        </w:rPr>
        <w:t>e</w:t>
      </w:r>
      <w:r w:rsidRPr="00B2449A">
        <w:rPr>
          <w:rFonts w:ascii="Verdana" w:eastAsia="Calibri" w:hAnsi="Verdana" w:cs="Arial"/>
          <w:color w:val="000000"/>
          <w:lang w:val="es-ES_tradnl" w:eastAsia="es-ES_tradnl"/>
        </w:rPr>
        <w:t>]</w:t>
      </w:r>
      <w:r w:rsidRPr="00B2449A">
        <w:rPr>
          <w:rFonts w:ascii="Verdana" w:eastAsia="Calibri" w:hAnsi="Verdana" w:cs="Arial"/>
          <w:color w:val="000000"/>
          <w:sz w:val="20"/>
          <w:szCs w:val="20"/>
          <w:lang w:val="es-ES_tradnl" w:eastAsia="es-ES_tradnl"/>
        </w:rPr>
        <w:t>l segundo inciso del artículo 40 de la Ley 80 de 1993 dispone que «Las entidades podrán celebrar los contratos y acuerdos que permitan la autonomía de la voluntad y requieran el cumplimiento de los fines estatales». Esto significa que las entidades pueden acordar con el contratista incluir estipulaciones que propendan por el cumplimiento efectivo del objeto contractual, siempre que estas cláusulas sean acordes con los límites consagrados en las normas de orden público, es decir, que no incurran en causales de nulidad. Por ende, nada obsta para que, dentro de estas estipulaciones, las partes, por ejemplo, acuerden estándares o hitos de cumplimiento a través de ANS, más aún, cuando el artículo 17 de la Ley 1150 de 2007, permite pactar multas y cláusulas penales pecuniarias y faculta a las entidades estatales para hacerlas efectivas unilateralmente</w:t>
      </w:r>
    </w:p>
    <w:p w14:paraId="0CA18A37" w14:textId="77777777" w:rsidR="004D45D2" w:rsidRDefault="004D45D2" w:rsidP="004D45D2">
      <w:pPr>
        <w:spacing w:after="0" w:line="240" w:lineRule="auto"/>
        <w:jc w:val="both"/>
        <w:rPr>
          <w:rFonts w:ascii="Verdana" w:eastAsia="Calibri" w:hAnsi="Verdana" w:cs="Arial"/>
          <w:b/>
          <w:bCs/>
          <w:color w:val="000000" w:themeColor="text1"/>
          <w:lang w:val="es-ES"/>
        </w:rPr>
      </w:pPr>
    </w:p>
    <w:p w14:paraId="2C402823" w14:textId="77777777" w:rsidR="004D45D2" w:rsidRPr="00CF049C" w:rsidRDefault="004D45D2" w:rsidP="004D45D2">
      <w:pPr>
        <w:spacing w:after="0" w:line="240" w:lineRule="auto"/>
        <w:jc w:val="both"/>
        <w:rPr>
          <w:rFonts w:ascii="Verdana" w:eastAsia="Calibri" w:hAnsi="Verdana" w:cs="Arial"/>
          <w:b/>
          <w:bCs/>
          <w:color w:val="000000" w:themeColor="text1"/>
          <w:sz w:val="20"/>
          <w:szCs w:val="20"/>
        </w:rPr>
      </w:pPr>
      <w:r w:rsidRPr="00CF049C">
        <w:rPr>
          <w:rFonts w:ascii="Verdana" w:eastAsia="Calibri" w:hAnsi="Verdana" w:cs="Arial"/>
          <w:b/>
          <w:bCs/>
          <w:color w:val="000000" w:themeColor="text1"/>
          <w:lang w:val="es-ES"/>
        </w:rPr>
        <w:t>ACUERDOS DE NIVELES DE SERVICIO – Sanciones – Procedimiento – Aplicación – Debido proceso</w:t>
      </w:r>
    </w:p>
    <w:p w14:paraId="34509D7C" w14:textId="77777777" w:rsidR="004D45D2" w:rsidRDefault="004D45D2" w:rsidP="004D45D2">
      <w:pPr>
        <w:spacing w:after="0" w:line="240" w:lineRule="auto"/>
        <w:rPr>
          <w:rFonts w:ascii="Verdana" w:eastAsia="Geomanist Light" w:hAnsi="Verdana" w:cs="Arial"/>
          <w:color w:val="000000" w:themeColor="text1"/>
        </w:rPr>
      </w:pPr>
    </w:p>
    <w:p w14:paraId="13B65E90" w14:textId="77777777" w:rsidR="004D45D2"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r>
        <w:rPr>
          <w:rFonts w:ascii="Verdana" w:eastAsia="Calibri" w:hAnsi="Verdana" w:cs="Arial"/>
          <w:color w:val="000000"/>
          <w:sz w:val="20"/>
          <w:szCs w:val="20"/>
          <w:lang w:val="es-ES_tradnl" w:eastAsia="es-ES_tradnl"/>
        </w:rPr>
        <w:t>E</w:t>
      </w:r>
      <w:r w:rsidRPr="00C7143B">
        <w:rPr>
          <w:rFonts w:ascii="Verdana" w:eastAsia="Calibri" w:hAnsi="Verdana" w:cs="Arial"/>
          <w:color w:val="000000"/>
          <w:sz w:val="20"/>
          <w:szCs w:val="20"/>
          <w:lang w:val="es-ES_tradnl" w:eastAsia="es-ES_tradnl"/>
        </w:rPr>
        <w:t xml:space="preserve">l segundo inciso del artículo 40 de la Ley 80 de 1993 dispone que “Las entidades podrán celebrar los contratos y acuerdos que permitan la autonomía de la voluntad y requieran el cumplimiento de los fines estatales”. Esto significa que las entidades pueden acordar con el contratista incluir estipulaciones que propendan por el cumplimiento efectivo del objeto contractual, siempre que estas cláusulas sean acordes con los límites consagrados en las normas de orden público, es decir, que no incurran en causales de nulidad. Por ende, nada obsta para que, dentro de estas estipulaciones, las partes, por ejemplo, acuerden estándares o hitos de cumplimiento. Más aún, el artículo 17 de la Ley 1150 de 2007, como se indicó, permite pactar multas </w:t>
      </w:r>
      <w:r w:rsidRPr="00C7143B">
        <w:rPr>
          <w:rFonts w:ascii="Verdana" w:eastAsia="Calibri" w:hAnsi="Verdana" w:cs="Arial"/>
          <w:color w:val="000000"/>
          <w:sz w:val="20"/>
          <w:szCs w:val="20"/>
          <w:lang w:val="es-ES_tradnl" w:eastAsia="es-ES_tradnl"/>
        </w:rPr>
        <w:lastRenderedPageBreak/>
        <w:t>y cláusulas penales pecuniarias y faculta a las entidades estatales para hacerlas efectivas unilateralmente.</w:t>
      </w:r>
    </w:p>
    <w:p w14:paraId="56567CD9" w14:textId="77777777" w:rsidR="004D45D2" w:rsidRPr="00C7143B"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p>
    <w:p w14:paraId="4F00760F" w14:textId="77777777" w:rsidR="004D45D2" w:rsidRPr="00C7143B"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r w:rsidRPr="00C7143B">
        <w:rPr>
          <w:rFonts w:ascii="Verdana" w:eastAsia="Calibri" w:hAnsi="Verdana" w:cs="Arial"/>
          <w:color w:val="000000"/>
          <w:sz w:val="20"/>
          <w:szCs w:val="20"/>
          <w:lang w:val="es-ES_tradnl" w:eastAsia="es-ES_tradnl"/>
        </w:rPr>
        <w:t xml:space="preserve">De esta forma, debido a que estos acuerdos no se encuentran regulados en el Estatuto General de Contratación de la Administración Pública, ni en sus normas complementarias y reglamentarias, sino solo para los contratos de APP, la determinación de su naturaleza y de si estos son de carácter sancionatorio o no, depende de la forma como las partes hayan pactado dichos </w:t>
      </w:r>
      <w:r w:rsidRPr="00C7143B">
        <w:rPr>
          <w:rFonts w:ascii="Verdana" w:eastAsia="Calibri" w:hAnsi="Verdana" w:cs="Arial"/>
          <w:i/>
          <w:iCs/>
          <w:color w:val="000000"/>
          <w:sz w:val="20"/>
          <w:szCs w:val="20"/>
          <w:lang w:val="es-ES_tradnl" w:eastAsia="es-ES_tradnl"/>
        </w:rPr>
        <w:t>acuerdos</w:t>
      </w:r>
      <w:r w:rsidRPr="00C7143B">
        <w:rPr>
          <w:rFonts w:ascii="Verdana" w:eastAsia="Calibri" w:hAnsi="Verdana" w:cs="Arial"/>
          <w:color w:val="000000"/>
          <w:sz w:val="20"/>
          <w:szCs w:val="20"/>
          <w:lang w:val="es-ES_tradnl" w:eastAsia="es-ES_tradnl"/>
        </w:rPr>
        <w:t xml:space="preserve"> en el contrato en cada caso. La costumbre negocial refleja que, usualmente, estos </w:t>
      </w:r>
      <w:r w:rsidRPr="00C7143B">
        <w:rPr>
          <w:rFonts w:ascii="Verdana" w:eastAsia="Calibri" w:hAnsi="Verdana" w:cs="Arial"/>
          <w:i/>
          <w:iCs/>
          <w:color w:val="000000"/>
          <w:sz w:val="20"/>
          <w:szCs w:val="20"/>
          <w:lang w:val="es-ES_tradnl" w:eastAsia="es-ES_tradnl"/>
        </w:rPr>
        <w:t>acuerdos</w:t>
      </w:r>
      <w:r w:rsidRPr="00C7143B">
        <w:rPr>
          <w:rFonts w:ascii="Verdana" w:eastAsia="Calibri" w:hAnsi="Verdana" w:cs="Arial"/>
          <w:color w:val="000000"/>
          <w:sz w:val="20"/>
          <w:szCs w:val="20"/>
          <w:lang w:val="es-ES_tradnl" w:eastAsia="es-ES_tradnl"/>
        </w:rPr>
        <w:t xml:space="preserve"> son estipulaciones mediante las cuales el contratista se compromete a ejecutar sus obligaciones con un determinado grado de calidad o eficiencia, para, en caso de no cumplir con tal nivel de satisfacción, ver disminuida en parte su remuneración en virtud del descuento que le realiza el contratante.</w:t>
      </w:r>
    </w:p>
    <w:p w14:paraId="5FBE067F" w14:textId="77777777" w:rsidR="004D45D2" w:rsidRDefault="004D45D2" w:rsidP="004D45D2">
      <w:pPr>
        <w:spacing w:after="0" w:line="240" w:lineRule="auto"/>
        <w:rPr>
          <w:rFonts w:ascii="Verdana" w:eastAsia="Geomanist Light" w:hAnsi="Verdana" w:cs="Arial"/>
          <w:color w:val="000000" w:themeColor="text1"/>
          <w:lang w:val="es-MX"/>
        </w:rPr>
      </w:pPr>
    </w:p>
    <w:p w14:paraId="180C294E" w14:textId="77777777" w:rsidR="004D45D2" w:rsidRPr="00B2449A" w:rsidRDefault="004D45D2" w:rsidP="004D45D2">
      <w:pPr>
        <w:spacing w:after="0" w:line="240" w:lineRule="auto"/>
        <w:jc w:val="both"/>
        <w:rPr>
          <w:rFonts w:ascii="Verdana" w:eastAsia="Geomanist Light" w:hAnsi="Verdana" w:cs="Arial"/>
          <w:b/>
          <w:bCs/>
          <w:color w:val="000000" w:themeColor="text1"/>
          <w:lang w:val="es-MX"/>
        </w:rPr>
      </w:pPr>
      <w:r w:rsidRPr="00B2449A">
        <w:rPr>
          <w:rFonts w:ascii="Verdana" w:eastAsia="Calibri" w:hAnsi="Verdana" w:cs="Arial"/>
          <w:b/>
          <w:bCs/>
          <w:color w:val="000000" w:themeColor="text1"/>
          <w:lang w:val="es-ES"/>
        </w:rPr>
        <w:t>GUÍA PARA ADELANTAR EL PROCESO SANCIONATORIO ADMINISTRATIVO CONTRACTUAL – Descuentos – Sanción</w:t>
      </w:r>
    </w:p>
    <w:p w14:paraId="25994FC8" w14:textId="77777777" w:rsidR="004D45D2" w:rsidRDefault="004D45D2" w:rsidP="004D45D2">
      <w:pPr>
        <w:spacing w:after="0" w:line="240" w:lineRule="auto"/>
        <w:rPr>
          <w:rFonts w:ascii="Verdana" w:eastAsia="Geomanist Light" w:hAnsi="Verdana" w:cs="Arial"/>
          <w:color w:val="000000" w:themeColor="text1"/>
          <w:lang w:val="es-MX"/>
        </w:rPr>
      </w:pPr>
    </w:p>
    <w:p w14:paraId="05967936" w14:textId="77777777" w:rsidR="004D45D2"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r>
        <w:rPr>
          <w:rFonts w:ascii="Verdana" w:eastAsia="Geomanist Light" w:hAnsi="Verdana" w:cs="Arial"/>
          <w:color w:val="000000" w:themeColor="text1"/>
          <w:sz w:val="20"/>
          <w:szCs w:val="20"/>
          <w:lang w:val="es-MX"/>
        </w:rPr>
        <w:t>Esta</w:t>
      </w:r>
      <w:r w:rsidRPr="00B11ACB">
        <w:rPr>
          <w:rFonts w:ascii="Verdana" w:eastAsia="Calibri" w:hAnsi="Verdana" w:cs="Arial"/>
          <w:color w:val="000000"/>
          <w:sz w:val="20"/>
          <w:szCs w:val="20"/>
          <w:lang w:val="es-ES_tradnl" w:eastAsia="es-ES_tradnl"/>
        </w:rPr>
        <w:t xml:space="preserve"> Agencia expidió la “Guía para Adelantar el Proceso Sancionatorio Administrativo Contractual” con la finalidad de fortalecer las capacidades de las Entidades Estatales en la adecuada aplicación de la potestad sancionatoria de la administración, brindando criterios jurídicos, procedimentales y prácticos que permitan adelantar dicho proceso con plena observancia de las garantías que le asisten a los contratistas y las compañías de seguros, cuando aplique. Esta Guía se configura como un instrumento de buenas prácticas orientado a las Entidades Estatales sometidas al Estatuto General de Contratación de la Administración </w:t>
      </w:r>
      <w:proofErr w:type="gramStart"/>
      <w:r w:rsidRPr="00B11ACB">
        <w:rPr>
          <w:rFonts w:ascii="Verdana" w:eastAsia="Calibri" w:hAnsi="Verdana" w:cs="Arial"/>
          <w:color w:val="000000"/>
          <w:sz w:val="20"/>
          <w:szCs w:val="20"/>
          <w:lang w:val="es-ES_tradnl" w:eastAsia="es-ES_tradnl"/>
        </w:rPr>
        <w:t>Pública</w:t>
      </w:r>
      <w:proofErr w:type="gramEnd"/>
      <w:r w:rsidRPr="00B11ACB">
        <w:rPr>
          <w:rFonts w:ascii="Verdana" w:eastAsia="Calibri" w:hAnsi="Verdana" w:cs="Arial"/>
          <w:color w:val="000000"/>
          <w:sz w:val="20"/>
          <w:szCs w:val="20"/>
          <w:lang w:val="es-ES_tradnl" w:eastAsia="es-ES_tradnl"/>
        </w:rPr>
        <w:t xml:space="preserve"> así como a las entidades con regímenes de contratación exceptuado.</w:t>
      </w:r>
    </w:p>
    <w:p w14:paraId="78B4C004" w14:textId="77777777" w:rsidR="004D45D2" w:rsidRPr="00B11ACB"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p>
    <w:p w14:paraId="49374A85" w14:textId="77777777" w:rsidR="004D45D2" w:rsidRPr="00B11ACB"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r w:rsidRPr="00B11ACB">
        <w:rPr>
          <w:rFonts w:ascii="Verdana" w:eastAsia="Calibri" w:hAnsi="Verdana" w:cs="Arial"/>
          <w:color w:val="000000"/>
          <w:sz w:val="20"/>
          <w:szCs w:val="20"/>
          <w:lang w:val="es-ES_tradnl" w:eastAsia="es-ES_tradnl"/>
        </w:rPr>
        <w:t xml:space="preserve">Particularmente, el numeral 7.8 de la Guía desarrolla la aplicación del procedimiento sancionatorio contractual frente a los Acuerdos de Nivel de Servicio (ANS). En este marco, se definen los ANS como “mecanismos contractuales mediante los cuales las partes establecen estándares de calidad, niveles de desempeño, indicadores de servicio o métricas de cumplimiento asociadas a la ejecución del objeto contractual. Su incorporación encuentra fundamento en la autonomía de la voluntad prevista en el artículo 40 de la Ley 80 de 1993 y en la facultad de las partes para pactar estipulaciones orientadas al cumplimiento efectivo de las obligaciones contractuales”. </w:t>
      </w:r>
    </w:p>
    <w:p w14:paraId="6932ADE6" w14:textId="77777777" w:rsidR="004D45D2"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r w:rsidRPr="00B11ACB">
        <w:rPr>
          <w:rFonts w:ascii="Verdana" w:eastAsia="Calibri" w:hAnsi="Verdana" w:cs="Arial"/>
          <w:color w:val="000000"/>
          <w:sz w:val="20"/>
          <w:szCs w:val="20"/>
          <w:lang w:val="es-ES_tradnl" w:eastAsia="es-ES_tradnl"/>
        </w:rPr>
        <w:t>En este contexto, se establece que cuando los ANS se estructuran como mecanismos para medir objetivamente el desempeño del contratista y establecen ajustes económicos, tales como descuentos, compensaciones o reducciones de la remuneración, en función del nivel de servicio efectivamente prestado, la entidad puede aplicar directamente estas consecuencias, sin necesidad de declarar un incumplimiento o imponer una multa. Para ello, el contrato debe establecer claramente las condiciones que hacen procedente el ajuste, la metodología para medir el nivel de servicio y los criterios para determinar el valor del descuento o reducción.</w:t>
      </w:r>
    </w:p>
    <w:p w14:paraId="58464BBC" w14:textId="77777777" w:rsidR="004D45D2" w:rsidRPr="00B11ACB"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p>
    <w:p w14:paraId="1BD45CD1" w14:textId="77777777" w:rsidR="004D45D2" w:rsidRPr="00B11ACB"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r w:rsidRPr="00B11ACB">
        <w:rPr>
          <w:rFonts w:ascii="Verdana" w:eastAsia="Calibri" w:hAnsi="Verdana" w:cs="Arial"/>
          <w:color w:val="000000"/>
          <w:sz w:val="20"/>
          <w:szCs w:val="20"/>
          <w:lang w:val="es-ES_tradnl" w:eastAsia="es-ES_tradnl"/>
        </w:rPr>
        <w:lastRenderedPageBreak/>
        <w:t>Por otro lado, si los ANS se vinculan a efectos sancionatorios, como la declaratoria de incumplimiento, la imposición de multas, la efectividad de la cláusula penal o la afectación de garantías, la aplicación de la metodología debe estar precedida por la garantía del debido proceso y por el procedimiento previsto en el artículo 86 de la Ley 1474 de 2011.</w:t>
      </w:r>
    </w:p>
    <w:p w14:paraId="3CF97885" w14:textId="77777777" w:rsidR="004D45D2" w:rsidRPr="00B11ACB"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p>
    <w:p w14:paraId="499161CE" w14:textId="77777777" w:rsidR="004D45D2" w:rsidRPr="00B11ACB"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p>
    <w:p w14:paraId="6961ED5B" w14:textId="77777777" w:rsidR="004D45D2" w:rsidRPr="00B11ACB"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p>
    <w:p w14:paraId="6CDBADDF" w14:textId="77777777" w:rsidR="004D45D2" w:rsidRPr="00B11ACB" w:rsidRDefault="004D45D2" w:rsidP="004D45D2">
      <w:pPr>
        <w:tabs>
          <w:tab w:val="left" w:pos="0"/>
        </w:tabs>
        <w:spacing w:after="0" w:line="240" w:lineRule="auto"/>
        <w:ind w:right="193"/>
        <w:jc w:val="both"/>
        <w:rPr>
          <w:rFonts w:ascii="Verdana" w:eastAsia="Calibri" w:hAnsi="Verdana" w:cs="Arial"/>
          <w:color w:val="000000"/>
          <w:sz w:val="20"/>
          <w:szCs w:val="20"/>
          <w:lang w:val="es-ES_tradnl" w:eastAsia="es-ES_tradnl"/>
        </w:rPr>
      </w:pPr>
    </w:p>
    <w:p w14:paraId="42AA40D8" w14:textId="77777777" w:rsidR="004D45D2" w:rsidRDefault="004D45D2" w:rsidP="004D45D2">
      <w:pPr>
        <w:spacing w:after="0" w:line="240" w:lineRule="auto"/>
        <w:rPr>
          <w:rFonts w:ascii="Verdana" w:eastAsia="Geomanist Light" w:hAnsi="Verdana" w:cs="Arial"/>
          <w:color w:val="000000" w:themeColor="text1"/>
          <w:lang w:val="es-MX"/>
        </w:rPr>
      </w:pPr>
    </w:p>
    <w:p w14:paraId="188669A0" w14:textId="77777777" w:rsidR="004D45D2" w:rsidRDefault="004D45D2" w:rsidP="004D45D2">
      <w:pPr>
        <w:spacing w:after="0" w:line="240" w:lineRule="auto"/>
        <w:rPr>
          <w:rFonts w:ascii="Verdana" w:eastAsia="Geomanist Light" w:hAnsi="Verdana" w:cs="Arial"/>
          <w:color w:val="000000" w:themeColor="text1"/>
          <w:lang w:val="es-MX"/>
        </w:rPr>
      </w:pPr>
    </w:p>
    <w:p w14:paraId="778ED9B7" w14:textId="77777777" w:rsidR="004D45D2" w:rsidRDefault="004D45D2" w:rsidP="004D45D2">
      <w:pPr>
        <w:spacing w:after="0" w:line="240" w:lineRule="auto"/>
        <w:rPr>
          <w:rFonts w:ascii="Verdana" w:eastAsia="Geomanist Light" w:hAnsi="Verdana" w:cs="Arial"/>
          <w:color w:val="000000" w:themeColor="text1"/>
          <w:lang w:val="es-MX"/>
        </w:rPr>
      </w:pPr>
    </w:p>
    <w:p w14:paraId="3E434355" w14:textId="77777777" w:rsidR="004D45D2" w:rsidRDefault="004D45D2" w:rsidP="004D45D2">
      <w:pPr>
        <w:spacing w:after="0" w:line="240" w:lineRule="auto"/>
        <w:rPr>
          <w:rFonts w:ascii="Verdana" w:eastAsia="Geomanist Light" w:hAnsi="Verdana" w:cs="Arial"/>
          <w:color w:val="000000" w:themeColor="text1"/>
          <w:lang w:val="es-MX"/>
        </w:rPr>
      </w:pPr>
    </w:p>
    <w:p w14:paraId="357AE57A" w14:textId="77777777" w:rsidR="004D45D2" w:rsidRDefault="004D45D2" w:rsidP="004D45D2">
      <w:pPr>
        <w:spacing w:after="0" w:line="240" w:lineRule="auto"/>
        <w:rPr>
          <w:rFonts w:ascii="Verdana" w:eastAsia="Geomanist Light" w:hAnsi="Verdana" w:cs="Arial"/>
          <w:color w:val="000000" w:themeColor="text1"/>
          <w:lang w:val="es-MX"/>
        </w:rPr>
      </w:pPr>
    </w:p>
    <w:p w14:paraId="46C24BBE" w14:textId="77777777" w:rsidR="004D45D2" w:rsidRDefault="004D45D2" w:rsidP="004D45D2">
      <w:pPr>
        <w:spacing w:after="0" w:line="240" w:lineRule="auto"/>
        <w:rPr>
          <w:rFonts w:ascii="Verdana" w:eastAsia="Geomanist Light" w:hAnsi="Verdana" w:cs="Arial"/>
          <w:color w:val="000000" w:themeColor="text1"/>
          <w:lang w:val="es-MX"/>
        </w:rPr>
      </w:pPr>
    </w:p>
    <w:p w14:paraId="26E08A5F" w14:textId="77777777" w:rsidR="004D45D2" w:rsidRDefault="004D45D2" w:rsidP="004D45D2">
      <w:pPr>
        <w:spacing w:after="0" w:line="240" w:lineRule="auto"/>
        <w:rPr>
          <w:rFonts w:ascii="Verdana" w:eastAsia="Geomanist Light" w:hAnsi="Verdana" w:cs="Arial"/>
          <w:color w:val="000000" w:themeColor="text1"/>
          <w:lang w:val="es-MX"/>
        </w:rPr>
      </w:pPr>
    </w:p>
    <w:p w14:paraId="0F2929E5" w14:textId="77777777" w:rsidR="004D45D2" w:rsidRDefault="004D45D2" w:rsidP="004D45D2">
      <w:pPr>
        <w:spacing w:after="0" w:line="240" w:lineRule="auto"/>
        <w:rPr>
          <w:rFonts w:ascii="Verdana" w:eastAsia="Geomanist Light" w:hAnsi="Verdana" w:cs="Arial"/>
          <w:color w:val="000000" w:themeColor="text1"/>
          <w:lang w:val="es-MX"/>
        </w:rPr>
      </w:pPr>
    </w:p>
    <w:p w14:paraId="3938DF54" w14:textId="77777777" w:rsidR="004D45D2" w:rsidRDefault="004D45D2" w:rsidP="004D45D2">
      <w:pPr>
        <w:spacing w:after="0" w:line="240" w:lineRule="auto"/>
        <w:rPr>
          <w:rFonts w:ascii="Verdana" w:eastAsia="Geomanist Light" w:hAnsi="Verdana" w:cs="Arial"/>
          <w:color w:val="000000" w:themeColor="text1"/>
          <w:lang w:val="es-MX"/>
        </w:rPr>
      </w:pPr>
    </w:p>
    <w:p w14:paraId="55DC68A4" w14:textId="77777777" w:rsidR="004D45D2" w:rsidRDefault="004D45D2" w:rsidP="004D45D2">
      <w:pPr>
        <w:spacing w:after="0" w:line="240" w:lineRule="auto"/>
        <w:rPr>
          <w:rFonts w:ascii="Verdana" w:eastAsia="Geomanist Light" w:hAnsi="Verdana" w:cs="Arial"/>
          <w:color w:val="000000" w:themeColor="text1"/>
          <w:lang w:val="es-MX"/>
        </w:rPr>
      </w:pPr>
    </w:p>
    <w:p w14:paraId="03A72E3A" w14:textId="77777777" w:rsidR="004D45D2" w:rsidRDefault="004D45D2" w:rsidP="004D45D2">
      <w:pPr>
        <w:spacing w:after="0" w:line="240" w:lineRule="auto"/>
        <w:rPr>
          <w:rFonts w:ascii="Verdana" w:eastAsia="Geomanist Light" w:hAnsi="Verdana" w:cs="Arial"/>
          <w:color w:val="000000" w:themeColor="text1"/>
          <w:lang w:val="es-MX"/>
        </w:rPr>
      </w:pPr>
    </w:p>
    <w:p w14:paraId="3FA527F5" w14:textId="77777777" w:rsidR="004D45D2" w:rsidRDefault="004D45D2" w:rsidP="004D45D2">
      <w:pPr>
        <w:spacing w:after="0" w:line="240" w:lineRule="auto"/>
        <w:rPr>
          <w:rFonts w:ascii="Verdana" w:eastAsia="Geomanist Light" w:hAnsi="Verdana" w:cs="Arial"/>
          <w:color w:val="000000" w:themeColor="text1"/>
          <w:lang w:val="es-MX"/>
        </w:rPr>
      </w:pPr>
    </w:p>
    <w:p w14:paraId="3DFAC762" w14:textId="77777777" w:rsidR="004D45D2" w:rsidRDefault="004D45D2" w:rsidP="004D45D2">
      <w:pPr>
        <w:spacing w:after="0" w:line="240" w:lineRule="auto"/>
        <w:rPr>
          <w:rFonts w:ascii="Verdana" w:eastAsia="Geomanist Light" w:hAnsi="Verdana" w:cs="Arial"/>
          <w:color w:val="000000" w:themeColor="text1"/>
          <w:lang w:val="es-MX"/>
        </w:rPr>
      </w:pPr>
    </w:p>
    <w:p w14:paraId="58BFCB39" w14:textId="77777777" w:rsidR="004D45D2" w:rsidRDefault="004D45D2" w:rsidP="004D45D2">
      <w:pPr>
        <w:spacing w:after="0" w:line="240" w:lineRule="auto"/>
        <w:rPr>
          <w:rFonts w:ascii="Verdana" w:eastAsia="Geomanist Light" w:hAnsi="Verdana" w:cs="Arial"/>
          <w:color w:val="000000" w:themeColor="text1"/>
          <w:lang w:val="es-MX"/>
        </w:rPr>
      </w:pPr>
    </w:p>
    <w:p w14:paraId="50E434A1" w14:textId="77777777" w:rsidR="004D45D2" w:rsidRDefault="004D45D2" w:rsidP="004D45D2">
      <w:pPr>
        <w:spacing w:after="0" w:line="240" w:lineRule="auto"/>
        <w:rPr>
          <w:rFonts w:ascii="Verdana" w:eastAsia="Geomanist Light" w:hAnsi="Verdana" w:cs="Arial"/>
          <w:color w:val="000000" w:themeColor="text1"/>
          <w:lang w:val="es-MX"/>
        </w:rPr>
      </w:pPr>
    </w:p>
    <w:p w14:paraId="5DC3E60B" w14:textId="77777777" w:rsidR="004D45D2" w:rsidRDefault="004D45D2" w:rsidP="004D45D2">
      <w:pPr>
        <w:spacing w:after="0" w:line="240" w:lineRule="auto"/>
        <w:rPr>
          <w:rFonts w:ascii="Verdana" w:eastAsia="Geomanist Light" w:hAnsi="Verdana" w:cs="Arial"/>
          <w:color w:val="000000" w:themeColor="text1"/>
          <w:lang w:val="es-MX"/>
        </w:rPr>
      </w:pPr>
    </w:p>
    <w:p w14:paraId="3F5D20DE" w14:textId="77777777" w:rsidR="004D45D2" w:rsidRDefault="004D45D2" w:rsidP="004D45D2">
      <w:pPr>
        <w:spacing w:after="0" w:line="240" w:lineRule="auto"/>
        <w:rPr>
          <w:rFonts w:ascii="Verdana" w:eastAsia="Geomanist Light" w:hAnsi="Verdana" w:cs="Arial"/>
          <w:color w:val="000000" w:themeColor="text1"/>
          <w:lang w:val="es-MX"/>
        </w:rPr>
      </w:pPr>
    </w:p>
    <w:p w14:paraId="72C2BB90" w14:textId="77777777" w:rsidR="004D45D2" w:rsidRDefault="004D45D2" w:rsidP="004D45D2">
      <w:pPr>
        <w:spacing w:after="0" w:line="240" w:lineRule="auto"/>
        <w:rPr>
          <w:rFonts w:ascii="Verdana" w:eastAsia="Geomanist Light" w:hAnsi="Verdana" w:cs="Arial"/>
          <w:color w:val="000000" w:themeColor="text1"/>
          <w:lang w:val="es-MX"/>
        </w:rPr>
      </w:pPr>
    </w:p>
    <w:p w14:paraId="33A27820" w14:textId="77777777" w:rsidR="004D45D2" w:rsidRDefault="004D45D2" w:rsidP="004D45D2">
      <w:pPr>
        <w:spacing w:after="0" w:line="240" w:lineRule="auto"/>
        <w:rPr>
          <w:rFonts w:ascii="Verdana" w:eastAsia="Geomanist Light" w:hAnsi="Verdana" w:cs="Arial"/>
          <w:color w:val="000000" w:themeColor="text1"/>
          <w:lang w:val="es-MX"/>
        </w:rPr>
      </w:pPr>
    </w:p>
    <w:p w14:paraId="7AE7445B" w14:textId="77777777" w:rsidR="004D45D2" w:rsidRDefault="004D45D2" w:rsidP="004D45D2">
      <w:pPr>
        <w:spacing w:after="0" w:line="240" w:lineRule="auto"/>
        <w:rPr>
          <w:rFonts w:ascii="Verdana" w:eastAsia="Geomanist Light" w:hAnsi="Verdana" w:cs="Arial"/>
          <w:color w:val="000000" w:themeColor="text1"/>
          <w:lang w:val="es-MX"/>
        </w:rPr>
      </w:pPr>
    </w:p>
    <w:p w14:paraId="15364402" w14:textId="77777777" w:rsidR="004D45D2" w:rsidRDefault="004D45D2" w:rsidP="004D45D2">
      <w:pPr>
        <w:spacing w:after="0" w:line="240" w:lineRule="auto"/>
        <w:rPr>
          <w:rFonts w:ascii="Verdana" w:eastAsia="Geomanist Light" w:hAnsi="Verdana" w:cs="Arial"/>
          <w:color w:val="000000" w:themeColor="text1"/>
          <w:lang w:val="es-MX"/>
        </w:rPr>
      </w:pPr>
    </w:p>
    <w:p w14:paraId="5DDBB866" w14:textId="77777777" w:rsidR="004D45D2" w:rsidRDefault="004D45D2" w:rsidP="004D45D2">
      <w:pPr>
        <w:spacing w:after="0" w:line="240" w:lineRule="auto"/>
        <w:rPr>
          <w:rFonts w:ascii="Verdana" w:eastAsia="Geomanist Light" w:hAnsi="Verdana" w:cs="Arial"/>
          <w:color w:val="000000" w:themeColor="text1"/>
          <w:lang w:val="es-MX"/>
        </w:rPr>
      </w:pPr>
    </w:p>
    <w:p w14:paraId="513DF952" w14:textId="77777777" w:rsidR="004D45D2" w:rsidRDefault="004D45D2" w:rsidP="004D45D2">
      <w:pPr>
        <w:spacing w:after="0" w:line="240" w:lineRule="auto"/>
        <w:rPr>
          <w:rFonts w:ascii="Verdana" w:eastAsia="Geomanist Light" w:hAnsi="Verdana" w:cs="Arial"/>
          <w:color w:val="000000" w:themeColor="text1"/>
          <w:lang w:val="es-MX"/>
        </w:rPr>
      </w:pPr>
    </w:p>
    <w:p w14:paraId="51929794" w14:textId="77777777" w:rsidR="004D45D2" w:rsidRDefault="004D45D2" w:rsidP="004D45D2">
      <w:pPr>
        <w:spacing w:after="0" w:line="240" w:lineRule="auto"/>
        <w:rPr>
          <w:rFonts w:ascii="Verdana" w:eastAsia="Geomanist Light" w:hAnsi="Verdana" w:cs="Arial"/>
          <w:color w:val="000000" w:themeColor="text1"/>
          <w:lang w:val="es-MX"/>
        </w:rPr>
      </w:pPr>
    </w:p>
    <w:p w14:paraId="7FCDEBF8" w14:textId="77777777" w:rsidR="004D45D2" w:rsidRDefault="004D45D2" w:rsidP="004D45D2">
      <w:pPr>
        <w:spacing w:after="0" w:line="240" w:lineRule="auto"/>
        <w:rPr>
          <w:rFonts w:ascii="Verdana" w:eastAsia="Geomanist Light" w:hAnsi="Verdana" w:cs="Arial"/>
          <w:color w:val="000000" w:themeColor="text1"/>
          <w:lang w:val="es-MX"/>
        </w:rPr>
      </w:pPr>
    </w:p>
    <w:p w14:paraId="19E275D1" w14:textId="77777777" w:rsidR="004D45D2" w:rsidRDefault="004D45D2" w:rsidP="004D45D2">
      <w:pPr>
        <w:spacing w:after="0" w:line="240" w:lineRule="auto"/>
        <w:rPr>
          <w:rFonts w:ascii="Verdana" w:eastAsia="Geomanist Light" w:hAnsi="Verdana" w:cs="Arial"/>
          <w:color w:val="000000" w:themeColor="text1"/>
          <w:lang w:val="es-MX"/>
        </w:rPr>
      </w:pPr>
    </w:p>
    <w:p w14:paraId="1FCE9BFC" w14:textId="77777777" w:rsidR="004D45D2" w:rsidRDefault="004D45D2" w:rsidP="004D45D2">
      <w:pPr>
        <w:spacing w:after="0" w:line="240" w:lineRule="auto"/>
        <w:rPr>
          <w:rFonts w:ascii="Verdana" w:eastAsia="Geomanist Light" w:hAnsi="Verdana" w:cs="Arial"/>
          <w:color w:val="000000" w:themeColor="text1"/>
          <w:lang w:val="es-MX"/>
        </w:rPr>
      </w:pPr>
    </w:p>
    <w:p w14:paraId="5442C9D8" w14:textId="77777777" w:rsidR="004D45D2" w:rsidRDefault="004D45D2" w:rsidP="004D45D2">
      <w:pPr>
        <w:spacing w:after="0" w:line="240" w:lineRule="auto"/>
        <w:rPr>
          <w:rFonts w:ascii="Verdana" w:eastAsia="Geomanist Light" w:hAnsi="Verdana" w:cs="Arial"/>
          <w:color w:val="000000" w:themeColor="text1"/>
          <w:lang w:val="es-MX"/>
        </w:rPr>
      </w:pPr>
    </w:p>
    <w:p w14:paraId="21463F42" w14:textId="77777777" w:rsidR="004D45D2" w:rsidRDefault="004D45D2" w:rsidP="004D45D2">
      <w:pPr>
        <w:spacing w:after="0" w:line="240" w:lineRule="auto"/>
        <w:rPr>
          <w:rFonts w:ascii="Verdana" w:eastAsia="Geomanist Light" w:hAnsi="Verdana" w:cs="Arial"/>
          <w:color w:val="000000" w:themeColor="text1"/>
          <w:lang w:val="es-MX"/>
        </w:rPr>
      </w:pPr>
    </w:p>
    <w:p w14:paraId="1EF58E03" w14:textId="77777777" w:rsidR="004D45D2" w:rsidRDefault="004D45D2" w:rsidP="004D45D2">
      <w:pPr>
        <w:spacing w:after="0" w:line="240" w:lineRule="auto"/>
        <w:rPr>
          <w:rFonts w:ascii="Verdana" w:eastAsia="Geomanist Light" w:hAnsi="Verdana" w:cs="Arial"/>
          <w:color w:val="000000" w:themeColor="text1"/>
          <w:lang w:val="es-MX"/>
        </w:rPr>
      </w:pPr>
    </w:p>
    <w:p w14:paraId="4D55C40F" w14:textId="77777777" w:rsidR="004D45D2" w:rsidRDefault="004D45D2" w:rsidP="004D45D2">
      <w:pPr>
        <w:spacing w:after="0" w:line="240" w:lineRule="auto"/>
        <w:rPr>
          <w:rFonts w:ascii="Verdana" w:eastAsia="Geomanist Light" w:hAnsi="Verdana" w:cs="Arial"/>
          <w:color w:val="000000" w:themeColor="text1"/>
          <w:lang w:val="es-MX"/>
        </w:rPr>
      </w:pPr>
    </w:p>
    <w:p w14:paraId="6E4F4B6A" w14:textId="77777777" w:rsidR="004D45D2" w:rsidRDefault="004D45D2" w:rsidP="004D45D2">
      <w:pPr>
        <w:spacing w:after="0" w:line="240" w:lineRule="auto"/>
        <w:rPr>
          <w:rFonts w:ascii="Verdana" w:eastAsia="Geomanist Light" w:hAnsi="Verdana" w:cs="Arial"/>
          <w:color w:val="000000" w:themeColor="text1"/>
          <w:lang w:val="es-MX"/>
        </w:rPr>
      </w:pPr>
    </w:p>
    <w:p w14:paraId="730D04C9" w14:textId="77777777" w:rsidR="004D45D2" w:rsidRDefault="004D45D2" w:rsidP="004D45D2">
      <w:pPr>
        <w:spacing w:after="0" w:line="240" w:lineRule="auto"/>
        <w:rPr>
          <w:rFonts w:ascii="Verdana" w:eastAsia="Geomanist Light" w:hAnsi="Verdana" w:cs="Arial"/>
          <w:color w:val="000000" w:themeColor="text1"/>
          <w:lang w:val="es-MX"/>
        </w:rPr>
      </w:pPr>
    </w:p>
    <w:p w14:paraId="557D86C8" w14:textId="5CE8DF23" w:rsidR="004D45D2" w:rsidRDefault="004D45D2" w:rsidP="004D45D2">
      <w:pPr>
        <w:spacing w:after="0" w:line="240" w:lineRule="auto"/>
        <w:rPr>
          <w:rFonts w:ascii="Verdana" w:eastAsia="Geomanist Light" w:hAnsi="Verdana" w:cs="Arial"/>
          <w:color w:val="000000" w:themeColor="text1"/>
          <w:lang w:val="es-MX"/>
        </w:rPr>
      </w:pPr>
      <w:r w:rsidRPr="00593A5F">
        <w:rPr>
          <w:rFonts w:ascii="Verdana" w:eastAsia="Geomanist Light" w:hAnsi="Verdana" w:cs="Arial"/>
          <w:color w:val="000000" w:themeColor="text1"/>
          <w:lang w:val="es-MX"/>
        </w:rPr>
        <w:lastRenderedPageBreak/>
        <w:t>Bogotá D.C., </w:t>
      </w:r>
      <w:r w:rsidR="000B2C22">
        <w:rPr>
          <w:rFonts w:ascii="Verdana" w:eastAsia="Geomanist Light" w:hAnsi="Verdana" w:cs="Arial"/>
          <w:color w:val="000000" w:themeColor="text1"/>
          <w:lang w:val="es-MX"/>
        </w:rPr>
        <w:t>9 de septiembre de 2026</w:t>
      </w:r>
    </w:p>
    <w:p w14:paraId="50A97CE8" w14:textId="77777777" w:rsidR="000B2C22" w:rsidRPr="00593A5F" w:rsidRDefault="000B2C22" w:rsidP="004D45D2">
      <w:pPr>
        <w:spacing w:after="0" w:line="240" w:lineRule="auto"/>
        <w:rPr>
          <w:rFonts w:ascii="Verdana" w:eastAsia="Geomanist Light" w:hAnsi="Verdana" w:cs="Arial"/>
          <w:color w:val="201F1E"/>
          <w:lang w:val="es-MX"/>
        </w:rPr>
      </w:pPr>
    </w:p>
    <w:p w14:paraId="1DFF6FA7" w14:textId="0C841787" w:rsidR="004D45D2" w:rsidRPr="00593A5F" w:rsidRDefault="000B2C22" w:rsidP="003E3DE8">
      <w:pPr>
        <w:spacing w:after="0" w:line="240" w:lineRule="auto"/>
        <w:jc w:val="right"/>
        <w:rPr>
          <w:rFonts w:ascii="Verdana" w:eastAsia="Calibri" w:hAnsi="Verdana" w:cs="Arial"/>
          <w:color w:val="000000"/>
          <w:lang w:val="es-ES"/>
        </w:rPr>
      </w:pPr>
      <w:r w:rsidRPr="000B2C22">
        <w:rPr>
          <w:rFonts w:ascii="Verdana" w:eastAsia="Calibri" w:hAnsi="Verdana" w:cs="Arial"/>
          <w:noProof/>
          <w:color w:val="000000"/>
          <w:lang w:val="es-ES"/>
        </w:rPr>
        <w:drawing>
          <wp:anchor distT="0" distB="0" distL="114300" distR="114300" simplePos="0" relativeHeight="251658240" behindDoc="0" locked="0" layoutInCell="1" allowOverlap="1" wp14:anchorId="31AD1CE2" wp14:editId="2792C44E">
            <wp:simplePos x="0" y="0"/>
            <wp:positionH relativeFrom="column">
              <wp:posOffset>3316605</wp:posOffset>
            </wp:positionH>
            <wp:positionV relativeFrom="paragraph">
              <wp:posOffset>3175</wp:posOffset>
            </wp:positionV>
            <wp:extent cx="2293620" cy="815340"/>
            <wp:effectExtent l="0" t="0" r="0" b="3810"/>
            <wp:wrapSquare wrapText="bothSides"/>
            <wp:docPr id="571199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3620" cy="815340"/>
                    </a:xfrm>
                    <a:prstGeom prst="rect">
                      <a:avLst/>
                    </a:prstGeom>
                    <a:noFill/>
                    <a:ln>
                      <a:noFill/>
                    </a:ln>
                  </pic:spPr>
                </pic:pic>
              </a:graphicData>
            </a:graphic>
          </wp:anchor>
        </w:drawing>
      </w:r>
    </w:p>
    <w:p w14:paraId="6B6B0BF1" w14:textId="77777777" w:rsidR="004D45D2" w:rsidRPr="00B96799" w:rsidRDefault="004D45D2" w:rsidP="004D45D2">
      <w:pPr>
        <w:spacing w:after="0" w:line="240" w:lineRule="auto"/>
        <w:jc w:val="both"/>
        <w:rPr>
          <w:rFonts w:ascii="Verdana" w:eastAsia="Calibri" w:hAnsi="Verdana" w:cs="Arial"/>
          <w:lang w:val="es-ES" w:eastAsia="es-ES"/>
        </w:rPr>
      </w:pPr>
      <w:r w:rsidRPr="00B96799">
        <w:rPr>
          <w:rFonts w:ascii="Verdana" w:eastAsia="Calibri" w:hAnsi="Verdana" w:cs="Arial"/>
          <w:lang w:val="es-ES" w:eastAsia="es-ES"/>
        </w:rPr>
        <w:t>Señor</w:t>
      </w:r>
    </w:p>
    <w:p w14:paraId="04B61830" w14:textId="77777777" w:rsidR="004D45D2" w:rsidRDefault="004D45D2" w:rsidP="004D45D2">
      <w:pPr>
        <w:spacing w:after="0" w:line="240" w:lineRule="auto"/>
        <w:rPr>
          <w:rFonts w:ascii="Verdana" w:eastAsia="Calibri" w:hAnsi="Verdana" w:cs="Arial"/>
          <w:b/>
          <w:lang w:val="es-ES_tradnl" w:eastAsia="es-ES_tradnl"/>
        </w:rPr>
      </w:pPr>
      <w:r w:rsidRPr="00BB581A">
        <w:rPr>
          <w:rFonts w:ascii="Verdana" w:eastAsia="Calibri" w:hAnsi="Verdana" w:cs="Arial"/>
          <w:b/>
          <w:lang w:val="es-ES_tradnl" w:eastAsia="es-ES_tradnl"/>
        </w:rPr>
        <w:t xml:space="preserve">Diego Fernando Ramírez Acuña </w:t>
      </w:r>
    </w:p>
    <w:p w14:paraId="58CA91D3" w14:textId="77777777" w:rsidR="004D45D2" w:rsidRPr="00BA1AFB" w:rsidRDefault="004D45D2" w:rsidP="004D45D2">
      <w:pPr>
        <w:spacing w:after="0" w:line="240" w:lineRule="auto"/>
        <w:rPr>
          <w:rFonts w:ascii="Verdana" w:eastAsia="Calibri" w:hAnsi="Verdana" w:cs="Arial"/>
          <w:bCs/>
          <w:lang w:val="es-ES_tradnl" w:eastAsia="es-ES_tradnl"/>
        </w:rPr>
      </w:pPr>
      <w:hyperlink r:id="rId12" w:history="1">
        <w:r w:rsidRPr="00BA1AFB">
          <w:rPr>
            <w:rStyle w:val="Hipervnculo"/>
            <w:rFonts w:ascii="Verdana" w:eastAsia="Calibri" w:hAnsi="Verdana" w:cs="Arial"/>
            <w:bCs/>
            <w:lang w:val="es-ES_tradnl" w:eastAsia="es-ES_tradnl"/>
          </w:rPr>
          <w:t>didiego1981@yahoo.com</w:t>
        </w:r>
      </w:hyperlink>
      <w:r w:rsidRPr="00BA1AFB">
        <w:rPr>
          <w:rFonts w:ascii="Verdana" w:eastAsia="Calibri" w:hAnsi="Verdana" w:cs="Arial"/>
          <w:bCs/>
          <w:lang w:val="es-ES_tradnl" w:eastAsia="es-ES_tradnl"/>
        </w:rPr>
        <w:t xml:space="preserve"> </w:t>
      </w:r>
    </w:p>
    <w:p w14:paraId="6E4921D1" w14:textId="77777777" w:rsidR="004D45D2" w:rsidRDefault="004D45D2" w:rsidP="004D45D2">
      <w:pPr>
        <w:spacing w:after="0" w:line="240" w:lineRule="auto"/>
        <w:rPr>
          <w:rFonts w:ascii="Verdana" w:eastAsia="Calibri" w:hAnsi="Verdana" w:cs="Arial"/>
          <w:lang w:val="es-ES" w:eastAsia="es-ES"/>
        </w:rPr>
      </w:pPr>
      <w:r>
        <w:rPr>
          <w:rFonts w:ascii="Verdana" w:eastAsia="Geomanist Light" w:hAnsi="Verdana" w:cs="Arial"/>
          <w:color w:val="000000" w:themeColor="text1"/>
          <w:lang w:val="es-MX"/>
        </w:rPr>
        <w:t>Bogotá D.C</w:t>
      </w:r>
    </w:p>
    <w:p w14:paraId="06A34AC9" w14:textId="77777777" w:rsidR="004D45D2" w:rsidRPr="00593A5F" w:rsidRDefault="004D45D2" w:rsidP="004D45D2">
      <w:pPr>
        <w:spacing w:after="0" w:line="240" w:lineRule="auto"/>
        <w:rPr>
          <w:rFonts w:ascii="Verdana" w:eastAsia="Calibri" w:hAnsi="Verdana" w:cs="Arial"/>
          <w:b/>
          <w:bCs/>
          <w:color w:val="000000"/>
          <w:lang w:val="es-ES_tradnl" w:eastAsia="es-ES_tradnl"/>
        </w:rPr>
      </w:pPr>
    </w:p>
    <w:p w14:paraId="4178BE3C" w14:textId="77777777" w:rsidR="004D45D2" w:rsidRPr="00593A5F" w:rsidRDefault="004D45D2" w:rsidP="004D45D2">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4D45D2" w:rsidRPr="00593A5F" w14:paraId="4FF9B471" w14:textId="77777777" w:rsidTr="0006173A">
        <w:trPr>
          <w:trHeight w:val="884"/>
        </w:trPr>
        <w:tc>
          <w:tcPr>
            <w:tcW w:w="2689" w:type="dxa"/>
          </w:tcPr>
          <w:p w14:paraId="5026ECFF" w14:textId="77777777" w:rsidR="004D45D2" w:rsidRPr="00C00976" w:rsidRDefault="004D45D2" w:rsidP="0006173A">
            <w:pPr>
              <w:jc w:val="both"/>
              <w:rPr>
                <w:rFonts w:ascii="Verdana" w:eastAsia="Calibri" w:hAnsi="Verdana" w:cs="Arial"/>
                <w:b/>
                <w:bCs/>
                <w:color w:val="7030A0"/>
                <w:lang w:val="es-ES_tradnl" w:eastAsia="es-ES_tradnl"/>
              </w:rPr>
            </w:pPr>
          </w:p>
        </w:tc>
        <w:tc>
          <w:tcPr>
            <w:tcW w:w="6100" w:type="dxa"/>
          </w:tcPr>
          <w:p w14:paraId="005ECD61" w14:textId="13E41CE9" w:rsidR="004D45D2" w:rsidRPr="00C00976" w:rsidRDefault="004D45D2" w:rsidP="0006173A">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F169C2">
              <w:rPr>
                <w:rFonts w:ascii="Verdana" w:eastAsia="Calibri" w:hAnsi="Verdana" w:cs="Arial"/>
                <w:b/>
                <w:bCs/>
                <w:lang w:val="es-ES" w:eastAsia="es-ES"/>
              </w:rPr>
              <w:t>-</w:t>
            </w:r>
            <w:r>
              <w:rPr>
                <w:rFonts w:ascii="Verdana" w:eastAsia="Calibri" w:hAnsi="Verdana" w:cs="Arial"/>
                <w:b/>
                <w:bCs/>
                <w:lang w:val="es-ES" w:eastAsia="es-ES"/>
              </w:rPr>
              <w:t>1209</w:t>
            </w:r>
            <w:r w:rsidRPr="008E6AD9">
              <w:rPr>
                <w:rFonts w:ascii="Verdana" w:eastAsia="Calibri" w:hAnsi="Verdana" w:cs="Arial"/>
                <w:b/>
                <w:bCs/>
                <w:lang w:val="es-ES" w:eastAsia="es-ES"/>
              </w:rPr>
              <w:t xml:space="preserve"> de 202</w:t>
            </w:r>
            <w:r>
              <w:rPr>
                <w:rFonts w:ascii="Verdana" w:eastAsia="Calibri" w:hAnsi="Verdana" w:cs="Arial"/>
                <w:b/>
                <w:bCs/>
                <w:lang w:val="es-ES" w:eastAsia="es-ES"/>
              </w:rPr>
              <w:t>6</w:t>
            </w:r>
          </w:p>
        </w:tc>
      </w:tr>
      <w:tr w:rsidR="004D45D2" w:rsidRPr="00593A5F" w14:paraId="61CF67D5" w14:textId="77777777" w:rsidTr="0006173A">
        <w:trPr>
          <w:trHeight w:val="884"/>
        </w:trPr>
        <w:tc>
          <w:tcPr>
            <w:tcW w:w="2689" w:type="dxa"/>
          </w:tcPr>
          <w:p w14:paraId="398C215A" w14:textId="77777777" w:rsidR="004D45D2" w:rsidRPr="00593A5F" w:rsidRDefault="004D45D2" w:rsidP="0006173A">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4FE85ACD" w14:textId="77777777" w:rsidR="004D45D2" w:rsidRPr="00F91090" w:rsidRDefault="004D45D2" w:rsidP="0006173A">
            <w:pPr>
              <w:spacing w:line="276" w:lineRule="auto"/>
              <w:jc w:val="both"/>
              <w:rPr>
                <w:rFonts w:ascii="Verdana" w:eastAsia="Calibri" w:hAnsi="Verdana" w:cs="Arial"/>
                <w:color w:val="000000" w:themeColor="text1"/>
                <w:lang w:val="es-ES"/>
              </w:rPr>
            </w:pPr>
            <w:r w:rsidRPr="00A046DB">
              <w:rPr>
                <w:rFonts w:ascii="Verdana" w:eastAsia="Calibri" w:hAnsi="Verdana" w:cs="Arial"/>
                <w:lang w:val="es-ES" w:eastAsia="es-ES"/>
              </w:rPr>
              <w:t xml:space="preserve">ACUERDOS DE NIVELES DE SERVICIO – Definición – Naturaleza Jurídica– Atipicidad – Autonomía de la voluntad </w:t>
            </w:r>
            <w:r>
              <w:rPr>
                <w:rFonts w:ascii="Verdana" w:eastAsia="Calibri" w:hAnsi="Verdana" w:cs="Arial"/>
                <w:lang w:val="es-ES" w:eastAsia="es-ES"/>
              </w:rPr>
              <w:t xml:space="preserve">/ </w:t>
            </w:r>
            <w:r w:rsidRPr="00CF049C">
              <w:rPr>
                <w:rFonts w:ascii="Verdana" w:eastAsia="Calibri" w:hAnsi="Verdana" w:cs="Arial"/>
                <w:color w:val="000000" w:themeColor="text1"/>
                <w:lang w:val="es-ES"/>
              </w:rPr>
              <w:t>ACUERDOS DE NIVELES DE SERVICIO – Sanciones – Procedimiento – Aplicación – Debido proceso</w:t>
            </w:r>
            <w:r>
              <w:rPr>
                <w:rFonts w:ascii="Verdana" w:eastAsia="Calibri" w:hAnsi="Verdana" w:cs="Arial"/>
                <w:color w:val="000000" w:themeColor="text1"/>
                <w:lang w:val="es-ES"/>
              </w:rPr>
              <w:t xml:space="preserve"> / </w:t>
            </w:r>
            <w:r w:rsidRPr="00F91090">
              <w:rPr>
                <w:rFonts w:ascii="Verdana" w:eastAsia="Calibri" w:hAnsi="Verdana" w:cs="Arial"/>
                <w:color w:val="000000" w:themeColor="text1"/>
                <w:lang w:val="es-ES"/>
              </w:rPr>
              <w:t>GUÍA PARA ADELANTAR</w:t>
            </w:r>
            <w:r>
              <w:rPr>
                <w:rFonts w:ascii="Verdana" w:eastAsia="Calibri" w:hAnsi="Verdana" w:cs="Arial"/>
                <w:color w:val="000000" w:themeColor="text1"/>
                <w:lang w:val="es-ES"/>
              </w:rPr>
              <w:t xml:space="preserve"> </w:t>
            </w:r>
            <w:r w:rsidRPr="00F91090">
              <w:rPr>
                <w:rFonts w:ascii="Verdana" w:eastAsia="Calibri" w:hAnsi="Verdana" w:cs="Arial"/>
                <w:color w:val="000000" w:themeColor="text1"/>
                <w:lang w:val="es-ES"/>
              </w:rPr>
              <w:t>EL PROCESO SANCIONATORIO</w:t>
            </w:r>
            <w:r>
              <w:rPr>
                <w:rFonts w:ascii="Verdana" w:eastAsia="Calibri" w:hAnsi="Verdana" w:cs="Arial"/>
                <w:color w:val="000000" w:themeColor="text1"/>
                <w:lang w:val="es-ES"/>
              </w:rPr>
              <w:t xml:space="preserve"> </w:t>
            </w:r>
            <w:r w:rsidRPr="00F91090">
              <w:rPr>
                <w:rFonts w:ascii="Verdana" w:eastAsia="Calibri" w:hAnsi="Verdana" w:cs="Arial"/>
                <w:color w:val="000000" w:themeColor="text1"/>
                <w:lang w:val="es-ES"/>
              </w:rPr>
              <w:t>ADMINISTRATIVO CONTRACTUAL</w:t>
            </w:r>
            <w:r>
              <w:rPr>
                <w:rFonts w:ascii="Verdana" w:eastAsia="Calibri" w:hAnsi="Verdana" w:cs="Arial"/>
                <w:color w:val="000000" w:themeColor="text1"/>
                <w:lang w:val="es-ES"/>
              </w:rPr>
              <w:t xml:space="preserve"> </w:t>
            </w:r>
            <w:r w:rsidRPr="00CF049C">
              <w:rPr>
                <w:rFonts w:ascii="Verdana" w:eastAsia="Calibri" w:hAnsi="Verdana" w:cs="Arial"/>
                <w:color w:val="000000" w:themeColor="text1"/>
                <w:lang w:val="es-ES"/>
              </w:rPr>
              <w:t>–</w:t>
            </w:r>
            <w:r>
              <w:rPr>
                <w:rFonts w:ascii="Verdana" w:eastAsia="Calibri" w:hAnsi="Verdana" w:cs="Arial"/>
                <w:color w:val="000000" w:themeColor="text1"/>
                <w:lang w:val="es-ES"/>
              </w:rPr>
              <w:t xml:space="preserve"> Descuentos </w:t>
            </w:r>
            <w:r w:rsidRPr="00CF049C">
              <w:rPr>
                <w:rFonts w:ascii="Verdana" w:eastAsia="Calibri" w:hAnsi="Verdana" w:cs="Arial"/>
                <w:color w:val="000000" w:themeColor="text1"/>
                <w:lang w:val="es-ES"/>
              </w:rPr>
              <w:t>–</w:t>
            </w:r>
            <w:r>
              <w:rPr>
                <w:rFonts w:ascii="Verdana" w:eastAsia="Calibri" w:hAnsi="Verdana" w:cs="Arial"/>
                <w:color w:val="000000" w:themeColor="text1"/>
                <w:lang w:val="es-ES"/>
              </w:rPr>
              <w:t xml:space="preserve"> Sanción </w:t>
            </w:r>
          </w:p>
          <w:p w14:paraId="1FF053E6" w14:textId="77777777" w:rsidR="004D45D2" w:rsidRPr="00593A5F" w:rsidRDefault="004D45D2" w:rsidP="0006173A">
            <w:pPr>
              <w:spacing w:line="276" w:lineRule="auto"/>
              <w:jc w:val="both"/>
              <w:rPr>
                <w:rFonts w:ascii="Verdana" w:eastAsia="Calibri" w:hAnsi="Verdana" w:cs="Arial"/>
                <w:lang w:val="es-ES" w:eastAsia="es-ES"/>
              </w:rPr>
            </w:pPr>
          </w:p>
        </w:tc>
      </w:tr>
      <w:tr w:rsidR="004D45D2" w:rsidRPr="008E6AD9" w14:paraId="73A740C2" w14:textId="77777777" w:rsidTr="0006173A">
        <w:tc>
          <w:tcPr>
            <w:tcW w:w="2689" w:type="dxa"/>
          </w:tcPr>
          <w:p w14:paraId="6CCF48F1" w14:textId="77777777" w:rsidR="004D45D2" w:rsidRPr="008E6AD9" w:rsidRDefault="004D45D2" w:rsidP="0006173A">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672E3B56" w14:textId="77777777" w:rsidR="004D45D2" w:rsidRPr="008E6AD9" w:rsidRDefault="004D45D2" w:rsidP="0006173A">
            <w:pPr>
              <w:jc w:val="both"/>
              <w:rPr>
                <w:rFonts w:ascii="Verdana" w:eastAsia="Calibri" w:hAnsi="Verdana" w:cs="Arial"/>
                <w:lang w:eastAsia="es-ES_tradnl"/>
              </w:rPr>
            </w:pPr>
            <w:r w:rsidRPr="008E6AD9">
              <w:rPr>
                <w:rFonts w:ascii="Verdana" w:eastAsia="Calibri" w:hAnsi="Verdana" w:cs="Arial"/>
                <w:lang w:val="es-ES_tradnl" w:eastAsia="es-ES_tradnl"/>
              </w:rPr>
              <w:t xml:space="preserve">Respuesta a consulta con radicado No. </w:t>
            </w:r>
            <w:r w:rsidRPr="00BB581A">
              <w:rPr>
                <w:rFonts w:ascii="Verdana" w:eastAsia="Calibri" w:hAnsi="Verdana" w:cs="Arial"/>
                <w:lang w:val="es-ES_tradnl" w:eastAsia="es-ES_tradnl"/>
              </w:rPr>
              <w:t>1_2026_07_30_010084</w:t>
            </w:r>
            <w:r>
              <w:rPr>
                <w:rFonts w:ascii="Verdana" w:eastAsia="Calibri" w:hAnsi="Verdana" w:cs="Arial"/>
                <w:lang w:val="es-ES_tradnl" w:eastAsia="es-ES_tradnl"/>
              </w:rPr>
              <w:t xml:space="preserve"> </w:t>
            </w:r>
          </w:p>
        </w:tc>
      </w:tr>
    </w:tbl>
    <w:p w14:paraId="726C4F9B" w14:textId="77777777" w:rsidR="004D45D2" w:rsidRPr="00593A5F" w:rsidRDefault="004D45D2" w:rsidP="004D45D2">
      <w:pPr>
        <w:spacing w:after="0" w:line="240" w:lineRule="auto"/>
        <w:jc w:val="both"/>
        <w:rPr>
          <w:rFonts w:ascii="Verdana" w:eastAsia="Calibri" w:hAnsi="Verdana" w:cs="Arial"/>
          <w:color w:val="000000"/>
          <w:lang w:val="es-ES_tradnl" w:eastAsia="es-ES_tradnl"/>
        </w:rPr>
      </w:pPr>
    </w:p>
    <w:p w14:paraId="4036D456" w14:textId="77777777" w:rsidR="004D45D2" w:rsidRPr="00593A5F" w:rsidRDefault="004D45D2" w:rsidP="004D45D2">
      <w:pPr>
        <w:spacing w:after="0" w:line="240" w:lineRule="auto"/>
        <w:jc w:val="both"/>
        <w:rPr>
          <w:rFonts w:ascii="Verdana" w:eastAsia="Calibri" w:hAnsi="Verdana" w:cs="Arial"/>
          <w:color w:val="000000"/>
          <w:lang w:val="es-ES_tradnl" w:eastAsia="es-ES_tradnl"/>
        </w:rPr>
      </w:pPr>
    </w:p>
    <w:p w14:paraId="127CB7CB" w14:textId="77777777" w:rsidR="004D45D2" w:rsidRPr="008E6AD9" w:rsidRDefault="004D45D2" w:rsidP="004D45D2">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señor</w:t>
      </w:r>
      <w:r>
        <w:rPr>
          <w:rFonts w:ascii="Verdana" w:eastAsia="Calibri" w:hAnsi="Verdana" w:cs="Arial"/>
          <w:lang w:val="es-ES" w:eastAsia="es-ES"/>
        </w:rPr>
        <w:t xml:space="preserve"> Ramírez</w:t>
      </w:r>
      <w:r w:rsidRPr="008E6AD9">
        <w:rPr>
          <w:rFonts w:ascii="Verdana" w:eastAsia="Calibri" w:hAnsi="Verdana" w:cs="Arial"/>
          <w:lang w:val="es-ES" w:eastAsia="es-ES"/>
        </w:rPr>
        <w:t xml:space="preserve">: </w:t>
      </w:r>
    </w:p>
    <w:p w14:paraId="55A3A456" w14:textId="77777777" w:rsidR="004D45D2" w:rsidRDefault="004D45D2" w:rsidP="004D45D2">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01E45CED" w14:textId="77777777" w:rsidR="004D45D2" w:rsidRPr="00593A5F" w:rsidRDefault="004D45D2" w:rsidP="004D45D2">
      <w:pPr>
        <w:spacing w:after="0" w:line="276" w:lineRule="auto"/>
        <w:jc w:val="both"/>
        <w:rPr>
          <w:rFonts w:ascii="Verdana" w:eastAsia="Calibri" w:hAnsi="Verdana" w:cs="Arial"/>
          <w:color w:val="7030A0"/>
          <w:lang w:val="es-ES" w:eastAsia="es-ES"/>
        </w:rPr>
      </w:pPr>
      <w:r w:rsidRPr="00C705FB">
        <w:rPr>
          <w:rFonts w:ascii="Verdana" w:eastAsia="Calibri" w:hAnsi="Verdana" w:cs="Arial"/>
          <w:color w:val="000000" w:themeColor="text1"/>
          <w:lang w:val="es-ES" w:eastAsia="es-ES"/>
        </w:rPr>
        <w:t>En ejercicio de la competencia otorgada</w:t>
      </w:r>
      <w:r w:rsidRPr="00593A5F">
        <w:rPr>
          <w:rFonts w:ascii="Verdana" w:eastAsia="Calibri" w:hAnsi="Verdana" w:cs="Arial"/>
          <w:color w:val="000000" w:themeColor="text1"/>
          <w:lang w:val="es-ES" w:eastAsia="es-ES"/>
        </w:rPr>
        <w:t xml:space="preserve"> por los artículos 3, numeral 5º, y 11, numeral 8º, del Decreto Ley 4170 de 2011,</w:t>
      </w:r>
      <w:r w:rsidRPr="00593A5F">
        <w:rPr>
          <w:rFonts w:ascii="Verdana" w:eastAsia="Arial MT" w:hAnsi="Verdana" w:cs="Arial MT"/>
          <w:lang w:val="es-ES" w:eastAsia="es-ES"/>
        </w:rPr>
        <w:t xml:space="preserve"> </w:t>
      </w:r>
      <w:r w:rsidRPr="00FF469C">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 xml:space="preserve">fecha </w:t>
      </w:r>
      <w:r>
        <w:rPr>
          <w:rFonts w:ascii="Verdana" w:eastAsia="Calibri" w:hAnsi="Verdana" w:cs="Arial"/>
          <w:lang w:val="es-ES" w:eastAsia="es-ES"/>
        </w:rPr>
        <w:t>30 de julio de 2026</w:t>
      </w:r>
      <w:r w:rsidRPr="008E6AD9">
        <w:rPr>
          <w:rFonts w:ascii="Verdana" w:eastAsia="Calibri" w:hAnsi="Verdana" w:cs="Arial"/>
          <w:lang w:val="es-ES" w:eastAsia="es-ES"/>
        </w:rPr>
        <w:t>, en la cua</w:t>
      </w:r>
      <w:r>
        <w:rPr>
          <w:rFonts w:ascii="Verdana" w:eastAsia="Calibri" w:hAnsi="Verdana" w:cs="Arial"/>
          <w:lang w:val="es-ES" w:eastAsia="es-ES"/>
        </w:rPr>
        <w:t>l realiza las siguientes preguntas</w:t>
      </w:r>
      <w:r w:rsidRPr="008E6AD9">
        <w:rPr>
          <w:rFonts w:ascii="Verdana" w:eastAsia="Calibri" w:hAnsi="Verdana" w:cs="Arial"/>
          <w:lang w:val="es-ES" w:eastAsia="es-ES"/>
        </w:rPr>
        <w:t xml:space="preserve">: </w:t>
      </w:r>
    </w:p>
    <w:p w14:paraId="30CD8FDE" w14:textId="77777777" w:rsidR="004D45D2" w:rsidRPr="00272A7B" w:rsidRDefault="004D45D2" w:rsidP="004D45D2">
      <w:pPr>
        <w:pStyle w:val="Prrafodelista"/>
        <w:tabs>
          <w:tab w:val="left" w:pos="142"/>
          <w:tab w:val="left" w:pos="284"/>
        </w:tabs>
        <w:spacing w:after="0" w:line="276" w:lineRule="auto"/>
        <w:ind w:left="0"/>
        <w:jc w:val="both"/>
        <w:rPr>
          <w:rFonts w:ascii="Verdana" w:eastAsia="Century Gothic" w:hAnsi="Verdana" w:cs="Century Gothic"/>
          <w:b/>
          <w:bCs/>
        </w:rPr>
      </w:pPr>
    </w:p>
    <w:p w14:paraId="59151217" w14:textId="77777777" w:rsidR="004D45D2" w:rsidRPr="00EE55AA" w:rsidRDefault="004D45D2" w:rsidP="004D45D2">
      <w:pPr>
        <w:spacing w:after="120" w:line="240" w:lineRule="auto"/>
        <w:ind w:left="709" w:right="709"/>
        <w:jc w:val="both"/>
        <w:rPr>
          <w:rFonts w:ascii="Verdana" w:eastAsia="Century Gothic" w:hAnsi="Verdana" w:cs="Century Gothic"/>
          <w:sz w:val="20"/>
          <w:szCs w:val="20"/>
          <w:lang w:val="es-ES"/>
        </w:rPr>
      </w:pPr>
      <w:bookmarkStart w:id="1" w:name="_Hlk95313578"/>
      <w:r w:rsidRPr="00EE55AA">
        <w:rPr>
          <w:rFonts w:ascii="Verdana" w:eastAsia="Century Gothic" w:hAnsi="Verdana" w:cs="Century Gothic"/>
          <w:sz w:val="20"/>
          <w:szCs w:val="20"/>
          <w:lang w:val="es-ES"/>
        </w:rPr>
        <w:t>“</w:t>
      </w:r>
      <w:bookmarkEnd w:id="1"/>
      <w:r w:rsidRPr="00166E46">
        <w:rPr>
          <w:rFonts w:ascii="Verdana" w:hAnsi="Verdana" w:cs="Arial"/>
          <w:bCs/>
          <w:lang w:val="es-ES_tradnl"/>
        </w:rPr>
        <w:t>[…]</w:t>
      </w:r>
    </w:p>
    <w:p w14:paraId="1863D00E" w14:textId="77777777" w:rsidR="004D45D2" w:rsidRDefault="004D45D2" w:rsidP="004D45D2">
      <w:pPr>
        <w:spacing w:after="120" w:line="240" w:lineRule="auto"/>
        <w:ind w:left="709" w:right="709"/>
        <w:jc w:val="both"/>
        <w:rPr>
          <w:rFonts w:ascii="Verdana" w:hAnsi="Verdana"/>
          <w:sz w:val="20"/>
          <w:szCs w:val="20"/>
        </w:rPr>
      </w:pPr>
      <w:r w:rsidRPr="0027339D">
        <w:rPr>
          <w:rFonts w:ascii="Verdana" w:hAnsi="Verdana"/>
          <w:sz w:val="20"/>
          <w:szCs w:val="20"/>
        </w:rPr>
        <w:t xml:space="preserve">• ¿Cuál es el fundamento jurídico sobre el cual se puede dar aplicación a los acuerdos de niveles de servicio en la contratación para la prestación de servicios de consultoría? ¿Conoce la agencia sí existe jurisprudencia que dé fundamento a los acuerdos de niveles de servicio en el marco de la contratación estatal? </w:t>
      </w:r>
    </w:p>
    <w:p w14:paraId="48315871" w14:textId="77777777" w:rsidR="004D45D2" w:rsidRDefault="004D45D2" w:rsidP="004D45D2">
      <w:pPr>
        <w:spacing w:after="120" w:line="240" w:lineRule="auto"/>
        <w:ind w:left="709" w:right="709"/>
        <w:jc w:val="both"/>
        <w:rPr>
          <w:rFonts w:ascii="Verdana" w:hAnsi="Verdana"/>
          <w:sz w:val="20"/>
          <w:szCs w:val="20"/>
        </w:rPr>
      </w:pPr>
      <w:r w:rsidRPr="0027339D">
        <w:rPr>
          <w:rFonts w:ascii="Verdana" w:hAnsi="Verdana"/>
          <w:sz w:val="20"/>
          <w:szCs w:val="20"/>
        </w:rPr>
        <w:lastRenderedPageBreak/>
        <w:t xml:space="preserve">• Si bien es cierto este tipo de acuerdos nacieron en el marco de las APP y paulatinamente se han ido aplicando a otros ámbitos de la contratación pública como lo son los contratos de tecnología ¿Estos puede ser aplicables en la contratación para la prestación de servicios de consultoría, cuando estos se desarrollan por concurso de méritos? </w:t>
      </w:r>
    </w:p>
    <w:p w14:paraId="281AB919" w14:textId="77777777" w:rsidR="004D45D2" w:rsidRDefault="004D45D2" w:rsidP="004D45D2">
      <w:pPr>
        <w:spacing w:after="120" w:line="240" w:lineRule="auto"/>
        <w:ind w:left="709" w:right="709"/>
        <w:jc w:val="both"/>
        <w:rPr>
          <w:rFonts w:ascii="Verdana" w:hAnsi="Verdana"/>
          <w:sz w:val="20"/>
          <w:szCs w:val="20"/>
        </w:rPr>
      </w:pPr>
      <w:r w:rsidRPr="0027339D">
        <w:rPr>
          <w:rFonts w:ascii="Verdana" w:hAnsi="Verdana"/>
          <w:sz w:val="20"/>
          <w:szCs w:val="20"/>
        </w:rPr>
        <w:t xml:space="preserve">• La contratación pública establece dentro de su normatividad la posibilidad de imponer multas, sanciones y declaratorias de incumplimiento (artículo 86 de la Ley 1474 de 2011), ¿Son compatibles los acuerdos de niveles de servicio con el régimen sancionatorio aplicable en la contratación pública? </w:t>
      </w:r>
    </w:p>
    <w:p w14:paraId="243BC9F4" w14:textId="77777777" w:rsidR="004D45D2" w:rsidRDefault="004D45D2" w:rsidP="004D45D2">
      <w:pPr>
        <w:spacing w:after="120" w:line="240" w:lineRule="auto"/>
        <w:ind w:left="709" w:right="709"/>
        <w:jc w:val="both"/>
        <w:rPr>
          <w:rFonts w:ascii="Verdana" w:hAnsi="Verdana"/>
          <w:sz w:val="20"/>
          <w:szCs w:val="20"/>
        </w:rPr>
      </w:pPr>
      <w:r w:rsidRPr="0027339D">
        <w:rPr>
          <w:rFonts w:ascii="Verdana" w:hAnsi="Verdana"/>
          <w:sz w:val="20"/>
          <w:szCs w:val="20"/>
        </w:rPr>
        <w:t xml:space="preserve">• ¿Se pueden incluir acuerdos de niveles de servicio en los contratos estatales de prestación de servicios de consultoría para tener claridad sobre los productos a entregar, los estándares o indicadores de calidad esperados, los tiempos para la modificación de los productos, entre otros aspectos que buscan que el contrato se desarrolle en el marco de unos criterios de calidad, desempeño y oportunidad, que propendan por el cabal cumplimiento del contrato? </w:t>
      </w:r>
    </w:p>
    <w:p w14:paraId="24BF4F43" w14:textId="77777777" w:rsidR="004D45D2" w:rsidRDefault="004D45D2" w:rsidP="004D45D2">
      <w:pPr>
        <w:spacing w:after="120" w:line="240" w:lineRule="auto"/>
        <w:ind w:left="709" w:right="709"/>
        <w:jc w:val="both"/>
        <w:rPr>
          <w:rFonts w:ascii="Verdana" w:hAnsi="Verdana"/>
          <w:sz w:val="20"/>
          <w:szCs w:val="20"/>
        </w:rPr>
      </w:pPr>
      <w:r w:rsidRPr="0027339D">
        <w:rPr>
          <w:rFonts w:ascii="Verdana" w:hAnsi="Verdana"/>
          <w:sz w:val="20"/>
          <w:szCs w:val="20"/>
        </w:rPr>
        <w:t xml:space="preserve">• ¿Cuenta la agencia con un procedimiento para aplicar y/o estructurar y aplicar acuerdos de niveles de servicio o es potestativo de la entidad estatal el contar con un manual para la estructuración y aplicación de los acuerdos de niveles de servicio?; de contar la agencia con este procedimiento, ¿dónde se puede consultar?, de ser potestativo de la entidad ¿Cuáles son los criterios mínimos que debe tener este manual? </w:t>
      </w:r>
    </w:p>
    <w:p w14:paraId="5A508AF7" w14:textId="77777777" w:rsidR="004D45D2" w:rsidRPr="00EE55AA" w:rsidRDefault="004D45D2" w:rsidP="004D45D2">
      <w:pPr>
        <w:spacing w:after="120" w:line="240" w:lineRule="auto"/>
        <w:ind w:left="709" w:right="709"/>
        <w:jc w:val="both"/>
        <w:rPr>
          <w:rFonts w:ascii="Verdana" w:eastAsia="Century Gothic" w:hAnsi="Verdana" w:cs="Century Gothic"/>
          <w:sz w:val="20"/>
          <w:szCs w:val="20"/>
          <w:lang w:val="es-ES"/>
        </w:rPr>
      </w:pPr>
      <w:r w:rsidRPr="0027339D">
        <w:rPr>
          <w:rFonts w:ascii="Verdana" w:hAnsi="Verdana"/>
          <w:sz w:val="20"/>
          <w:szCs w:val="20"/>
        </w:rPr>
        <w:t>• ¿Tiene la agencia alguna medición del uso que se viene haciendo de los acuerdos de niveles de servicio por parte de las entidades estatales? ¿Cuáles son las entidades estatales que mayormente incluyen dentro de sus procesos de contratación los acuerdos de niveles de servicio?</w:t>
      </w:r>
      <w:r w:rsidRPr="00EE55AA">
        <w:rPr>
          <w:rFonts w:ascii="Verdana" w:hAnsi="Verdana"/>
          <w:sz w:val="20"/>
          <w:szCs w:val="20"/>
        </w:rPr>
        <w:t>”</w:t>
      </w:r>
    </w:p>
    <w:p w14:paraId="5EF00676" w14:textId="77777777" w:rsidR="004D45D2" w:rsidRPr="008E6AD9" w:rsidRDefault="004D45D2" w:rsidP="004D45D2">
      <w:pPr>
        <w:pStyle w:val="Prrafodelista"/>
        <w:tabs>
          <w:tab w:val="left" w:pos="142"/>
          <w:tab w:val="left" w:pos="284"/>
        </w:tabs>
        <w:spacing w:after="0" w:line="276" w:lineRule="auto"/>
        <w:ind w:left="0"/>
        <w:jc w:val="both"/>
        <w:rPr>
          <w:rFonts w:ascii="Verdana" w:eastAsia="Century Gothic" w:hAnsi="Verdana" w:cs="Century Gothic"/>
          <w:b/>
          <w:bCs/>
        </w:rPr>
      </w:pPr>
    </w:p>
    <w:p w14:paraId="3934C9D0" w14:textId="77777777" w:rsidR="004D45D2" w:rsidRPr="00A652FF" w:rsidRDefault="004D45D2" w:rsidP="004D45D2">
      <w:pPr>
        <w:spacing w:after="12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392F0E73" w14:textId="77777777" w:rsidR="004D45D2" w:rsidRDefault="004D45D2" w:rsidP="004D45D2">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lastRenderedPageBreak/>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particular</w:t>
      </w:r>
      <w:r>
        <w:rPr>
          <w:rFonts w:ascii="Verdana" w:eastAsia="Calibri" w:hAnsi="Verdana" w:cs="Arial"/>
          <w:color w:val="000000"/>
          <w:lang w:val="es-ES" w:eastAsia="es-ES"/>
        </w:rPr>
        <w:t>es</w:t>
      </w:r>
      <w:r w:rsidRPr="00593A5F">
        <w:rPr>
          <w:rFonts w:ascii="Verdana" w:eastAsia="Calibri" w:hAnsi="Verdana" w:cs="Arial"/>
          <w:color w:val="000000"/>
          <w:lang w:val="es-ES" w:eastAsia="es-ES"/>
        </w:rPr>
        <w:t xml:space="preserve"> y concreta</w:t>
      </w:r>
      <w:r>
        <w:rPr>
          <w:rFonts w:ascii="Verdana" w:eastAsia="Calibri" w:hAnsi="Verdana" w:cs="Arial"/>
          <w:color w:val="000000"/>
          <w:lang w:val="es-ES" w:eastAsia="es-ES"/>
        </w:rPr>
        <w:t>s</w:t>
      </w:r>
      <w:r w:rsidRPr="00593A5F">
        <w:rPr>
          <w:rFonts w:ascii="Verdana" w:eastAsia="Calibri" w:hAnsi="Verdana" w:cs="Arial"/>
          <w:color w:val="000000"/>
          <w:lang w:val="es-ES" w:eastAsia="es-ES"/>
        </w:rPr>
        <w:t xml:space="preserve"> mencionada</w:t>
      </w:r>
      <w:r>
        <w:rPr>
          <w:rFonts w:ascii="Verdana" w:eastAsia="Calibri" w:hAnsi="Verdana" w:cs="Arial"/>
          <w:color w:val="000000"/>
          <w:lang w:val="es-ES" w:eastAsia="es-ES"/>
        </w:rPr>
        <w:t>s</w:t>
      </w:r>
      <w:r w:rsidRPr="00593A5F">
        <w:rPr>
          <w:rFonts w:ascii="Verdana" w:eastAsia="Calibri" w:hAnsi="Verdana" w:cs="Arial"/>
          <w:color w:val="000000"/>
          <w:lang w:val="es-ES" w:eastAsia="es-ES"/>
        </w:rPr>
        <w:t xml:space="preserve"> en su petición,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 </w:t>
      </w:r>
    </w:p>
    <w:p w14:paraId="5D4A1C1B" w14:textId="77777777" w:rsidR="004D45D2" w:rsidRPr="00593A5F" w:rsidRDefault="004D45D2" w:rsidP="004D45D2">
      <w:pPr>
        <w:spacing w:after="0" w:line="276" w:lineRule="auto"/>
        <w:ind w:firstLine="709"/>
        <w:jc w:val="both"/>
        <w:rPr>
          <w:rFonts w:ascii="Verdana" w:eastAsia="Calibri" w:hAnsi="Verdana" w:cs="Arial"/>
          <w:color w:val="000000"/>
          <w:lang w:val="es-ES" w:eastAsia="es-ES"/>
        </w:rPr>
      </w:pPr>
    </w:p>
    <w:p w14:paraId="7F2518D6" w14:textId="77777777" w:rsidR="004D45D2" w:rsidRPr="00593A5F" w:rsidRDefault="004D45D2" w:rsidP="004D45D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4D36D290" w14:textId="77777777" w:rsidR="004D45D2" w:rsidRPr="00593A5F" w:rsidRDefault="004D45D2" w:rsidP="004D45D2">
      <w:pPr>
        <w:tabs>
          <w:tab w:val="left" w:pos="426"/>
        </w:tabs>
        <w:spacing w:after="0" w:line="276" w:lineRule="auto"/>
        <w:jc w:val="both"/>
        <w:rPr>
          <w:rFonts w:ascii="Verdana" w:eastAsia="Century Gothic" w:hAnsi="Verdana" w:cs="Century Gothic"/>
          <w:lang w:val="es-ES"/>
        </w:rPr>
      </w:pPr>
    </w:p>
    <w:p w14:paraId="4B38ABDD" w14:textId="77777777" w:rsidR="004D45D2" w:rsidRPr="00593A5F" w:rsidRDefault="004D45D2" w:rsidP="004D45D2">
      <w:pPr>
        <w:spacing w:after="0" w:line="276" w:lineRule="auto"/>
        <w:jc w:val="both"/>
        <w:rPr>
          <w:rFonts w:ascii="Verdana" w:eastAsia="Century Gothic" w:hAnsi="Verdana" w:cs="Century Gothic"/>
        </w:rPr>
      </w:pPr>
      <w:r>
        <w:rPr>
          <w:rFonts w:ascii="Verdana" w:eastAsia="Century Gothic" w:hAnsi="Verdana" w:cs="Century Gothic"/>
        </w:rPr>
        <w:t xml:space="preserve">De acuerdo con el contenido de </w:t>
      </w:r>
      <w:r w:rsidRPr="00593A5F">
        <w:rPr>
          <w:rFonts w:ascii="Verdana" w:eastAsia="Century Gothic" w:hAnsi="Verdana" w:cs="Century Gothic"/>
        </w:rPr>
        <w:t xml:space="preserve">su solicitud, esta Agencia resolverá </w:t>
      </w:r>
      <w:r>
        <w:rPr>
          <w:rFonts w:ascii="Verdana" w:eastAsia="Century Gothic" w:hAnsi="Verdana" w:cs="Century Gothic"/>
        </w:rPr>
        <w:t>los</w:t>
      </w:r>
      <w:r w:rsidRPr="00593A5F">
        <w:rPr>
          <w:rFonts w:ascii="Verdana" w:eastAsia="Century Gothic" w:hAnsi="Verdana" w:cs="Century Gothic"/>
        </w:rPr>
        <w:t xml:space="preserve"> siguiente</w:t>
      </w:r>
      <w:r>
        <w:rPr>
          <w:rFonts w:ascii="Verdana" w:eastAsia="Century Gothic" w:hAnsi="Verdana" w:cs="Century Gothic"/>
        </w:rPr>
        <w:t>s</w:t>
      </w:r>
      <w:r w:rsidRPr="00593A5F">
        <w:rPr>
          <w:rFonts w:ascii="Verdana" w:eastAsia="Century Gothic" w:hAnsi="Verdana" w:cs="Century Gothic"/>
        </w:rPr>
        <w:t xml:space="preserve"> problema</w:t>
      </w:r>
      <w:r>
        <w:rPr>
          <w:rFonts w:ascii="Verdana" w:eastAsia="Century Gothic" w:hAnsi="Verdana" w:cs="Century Gothic"/>
        </w:rPr>
        <w:t>s</w:t>
      </w:r>
      <w:r w:rsidRPr="00593A5F">
        <w:rPr>
          <w:rFonts w:ascii="Verdana" w:eastAsia="Century Gothic" w:hAnsi="Verdana" w:cs="Century Gothic"/>
        </w:rPr>
        <w:t xml:space="preserve"> jurídico</w:t>
      </w:r>
      <w:r>
        <w:rPr>
          <w:rFonts w:ascii="Verdana" w:eastAsia="Century Gothic" w:hAnsi="Verdana" w:cs="Century Gothic"/>
        </w:rPr>
        <w:t>s</w:t>
      </w:r>
      <w:r w:rsidRPr="00593A5F">
        <w:rPr>
          <w:rFonts w:ascii="Verdana" w:eastAsia="Century Gothic" w:hAnsi="Verdana" w:cs="Century Gothic"/>
        </w:rPr>
        <w:t xml:space="preserve">: </w:t>
      </w:r>
      <w:r>
        <w:rPr>
          <w:rFonts w:ascii="Verdana" w:eastAsia="Century Gothic" w:hAnsi="Verdana" w:cs="Century Gothic"/>
        </w:rPr>
        <w:t xml:space="preserve">i) </w:t>
      </w:r>
      <w:r w:rsidRPr="002779B7">
        <w:rPr>
          <w:rFonts w:ascii="Verdana" w:eastAsia="Century Gothic" w:hAnsi="Verdana" w:cs="Century Gothic"/>
        </w:rPr>
        <w:t>¿</w:t>
      </w:r>
      <w:r>
        <w:rPr>
          <w:rFonts w:ascii="Verdana" w:eastAsia="Century Gothic" w:hAnsi="Verdana" w:cs="Century Gothic"/>
        </w:rPr>
        <w:t>C</w:t>
      </w:r>
      <w:r w:rsidRPr="002779B7">
        <w:rPr>
          <w:rFonts w:ascii="Verdana" w:eastAsia="Century Gothic" w:hAnsi="Verdana" w:cs="Century Gothic"/>
        </w:rPr>
        <w:t>uál</w:t>
      </w:r>
      <w:r>
        <w:rPr>
          <w:rFonts w:ascii="Verdana" w:eastAsia="Century Gothic" w:hAnsi="Verdana" w:cs="Century Gothic"/>
        </w:rPr>
        <w:t xml:space="preserve"> es la naturaleza jurídica de los Acuerdo de Niveles de Servicio – ANS- en la contratación estatal</w:t>
      </w:r>
      <w:r w:rsidRPr="002779B7">
        <w:rPr>
          <w:rFonts w:ascii="Verdana" w:eastAsia="Century Gothic" w:hAnsi="Verdana" w:cs="Century Gothic"/>
        </w:rPr>
        <w:t>?</w:t>
      </w:r>
      <w:r>
        <w:rPr>
          <w:rFonts w:ascii="Verdana" w:eastAsia="Century Gothic" w:hAnsi="Verdana" w:cs="Century Gothic"/>
        </w:rPr>
        <w:t xml:space="preserve"> y </w:t>
      </w:r>
      <w:proofErr w:type="spellStart"/>
      <w:r>
        <w:rPr>
          <w:rFonts w:ascii="Verdana" w:eastAsia="Century Gothic" w:hAnsi="Verdana" w:cs="Century Gothic"/>
        </w:rPr>
        <w:t>ii</w:t>
      </w:r>
      <w:proofErr w:type="spellEnd"/>
      <w:r>
        <w:rPr>
          <w:rFonts w:ascii="Verdana" w:eastAsia="Century Gothic" w:hAnsi="Verdana" w:cs="Century Gothic"/>
        </w:rPr>
        <w:t>) ¿Se pueden aplicar Acuerdos de Niveles de Servicios – ANS -en los contratos de consultoría?</w:t>
      </w:r>
    </w:p>
    <w:p w14:paraId="5826170C" w14:textId="77777777" w:rsidR="004D45D2" w:rsidRPr="00593A5F" w:rsidRDefault="004D45D2" w:rsidP="004D45D2">
      <w:pPr>
        <w:spacing w:after="0" w:line="276" w:lineRule="auto"/>
        <w:jc w:val="both"/>
        <w:rPr>
          <w:rFonts w:ascii="Verdana" w:eastAsia="Calibri" w:hAnsi="Verdana" w:cs="Arial"/>
          <w:color w:val="7030A0"/>
          <w:lang w:val="es-ES"/>
        </w:rPr>
      </w:pPr>
    </w:p>
    <w:p w14:paraId="484F186D" w14:textId="77777777" w:rsidR="004D45D2" w:rsidRPr="00593A5F" w:rsidRDefault="004D45D2" w:rsidP="004D45D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1D68EB1C" w14:textId="77777777" w:rsidR="004D45D2" w:rsidRPr="00593A5F" w:rsidRDefault="004D45D2" w:rsidP="004D45D2">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882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D45D2" w:rsidRPr="00593A5F" w14:paraId="57E4A150" w14:textId="77777777" w:rsidTr="0006173A">
        <w:trPr>
          <w:jc w:val="center"/>
        </w:trPr>
        <w:tc>
          <w:tcPr>
            <w:tcW w:w="8828" w:type="dxa"/>
          </w:tcPr>
          <w:p w14:paraId="5D105F05" w14:textId="77777777" w:rsidR="004D45D2" w:rsidRPr="00833454" w:rsidRDefault="004D45D2" w:rsidP="0006173A">
            <w:pPr>
              <w:tabs>
                <w:tab w:val="left" w:pos="0"/>
              </w:tabs>
              <w:spacing w:after="120" w:line="276" w:lineRule="auto"/>
              <w:jc w:val="both"/>
              <w:rPr>
                <w:rFonts w:ascii="Verdana" w:eastAsia="Calibri" w:hAnsi="Verdana" w:cs="Arial"/>
                <w:lang w:val="es-ES"/>
              </w:rPr>
            </w:pPr>
            <w:r>
              <w:rPr>
                <w:rFonts w:ascii="Verdana" w:eastAsia="Calibri" w:hAnsi="Verdana" w:cs="Arial"/>
                <w:lang w:val="es-ES"/>
              </w:rPr>
              <w:t>i. L</w:t>
            </w:r>
            <w:r w:rsidRPr="00B42653">
              <w:rPr>
                <w:rFonts w:ascii="Verdana" w:eastAsia="Calibri" w:hAnsi="Verdana" w:cs="Arial"/>
                <w:lang w:val="es-ES"/>
              </w:rPr>
              <w:t xml:space="preserve">os Acuerdos de Niveles de Servicio </w:t>
            </w:r>
            <w:r>
              <w:rPr>
                <w:rFonts w:ascii="Verdana" w:eastAsia="Calibri" w:hAnsi="Verdana" w:cs="Arial"/>
                <w:lang w:val="es-ES"/>
              </w:rPr>
              <w:t>-</w:t>
            </w:r>
            <w:r w:rsidRPr="00B42653">
              <w:rPr>
                <w:rFonts w:ascii="Verdana" w:eastAsia="Calibri" w:hAnsi="Verdana" w:cs="Arial"/>
                <w:lang w:val="es-ES"/>
              </w:rPr>
              <w:t>ANS</w:t>
            </w:r>
            <w:r>
              <w:rPr>
                <w:rFonts w:ascii="Verdana" w:eastAsia="Calibri" w:hAnsi="Verdana" w:cs="Arial"/>
                <w:lang w:val="es-ES"/>
              </w:rPr>
              <w:t xml:space="preserve">- son </w:t>
            </w:r>
            <w:r w:rsidRPr="00833454">
              <w:rPr>
                <w:rFonts w:ascii="Verdana" w:eastAsia="Calibri" w:hAnsi="Verdana" w:cs="Arial"/>
                <w:lang w:val="es-ES"/>
              </w:rPr>
              <w:t xml:space="preserve">mecanismos contractuales mediante los cuales las partes establecen estándares de calidad, niveles de desempeño, indicadores de servicio o métricas de cumplimiento asociadas a la ejecución del objeto contractual. Su incorporación encuentra fundamento en la autonomía de la voluntad prevista en el artículo 40 de la Ley 80 de 1993 y en la facultad de las partes para pactar estipulaciones orientadas al cumplimiento efectivo de las obligaciones contractuales. </w:t>
            </w:r>
          </w:p>
          <w:p w14:paraId="581A3874" w14:textId="77777777" w:rsidR="004D45D2" w:rsidRDefault="004D45D2" w:rsidP="0006173A">
            <w:pPr>
              <w:spacing w:after="120" w:line="276" w:lineRule="auto"/>
              <w:ind w:firstLine="709"/>
              <w:jc w:val="both"/>
              <w:rPr>
                <w:rFonts w:ascii="Verdana" w:eastAsia="Times New Roman" w:hAnsi="Verdana" w:cs="Arial"/>
                <w:iCs/>
                <w:color w:val="000000"/>
                <w:szCs w:val="24"/>
                <w:lang w:eastAsia="es-ES_tradnl"/>
              </w:rPr>
            </w:pPr>
            <w:r w:rsidRPr="00B42653">
              <w:rPr>
                <w:rFonts w:ascii="Verdana" w:eastAsia="Calibri" w:hAnsi="Verdana" w:cs="Arial"/>
                <w:lang w:val="es-ES"/>
              </w:rPr>
              <w:t>Desde esta perspectiva, los ANS pueden caracterizarse como</w:t>
            </w:r>
            <w:r w:rsidRPr="005E1806">
              <w:rPr>
                <w:rFonts w:ascii="Verdana" w:eastAsia="Times New Roman" w:hAnsi="Verdana" w:cs="Arial"/>
                <w:iCs/>
                <w:color w:val="000000"/>
                <w:szCs w:val="24"/>
                <w:lang w:eastAsia="es-ES_tradnl"/>
              </w:rPr>
              <w:t xml:space="preserve"> acuerdos accesorios, innominados, onerosos y conmutativos, porque; i) accesorios: su objeto es la regulación del cumplimiento de un servicio como derivado de un negocio principal; </w:t>
            </w:r>
            <w:proofErr w:type="spellStart"/>
            <w:r w:rsidRPr="005E1806">
              <w:rPr>
                <w:rFonts w:ascii="Verdana" w:eastAsia="Times New Roman" w:hAnsi="Verdana" w:cs="Arial"/>
                <w:iCs/>
                <w:color w:val="000000"/>
                <w:szCs w:val="24"/>
                <w:lang w:eastAsia="es-ES_tradnl"/>
              </w:rPr>
              <w:t>ii</w:t>
            </w:r>
            <w:proofErr w:type="spellEnd"/>
            <w:r w:rsidRPr="005E1806">
              <w:rPr>
                <w:rFonts w:ascii="Verdana" w:eastAsia="Times New Roman" w:hAnsi="Verdana" w:cs="Arial"/>
                <w:iCs/>
                <w:color w:val="000000"/>
                <w:szCs w:val="24"/>
                <w:lang w:eastAsia="es-ES_tradnl"/>
              </w:rPr>
              <w:t xml:space="preserve">) Innominado: dado que no se encuentra previsto expresamente en nuestra legislación y, debido a sus particulares características, tampoco existe un contrato análogo al cual recurrir para su interpretación; </w:t>
            </w:r>
            <w:proofErr w:type="spellStart"/>
            <w:r w:rsidRPr="005E1806">
              <w:rPr>
                <w:rFonts w:ascii="Verdana" w:eastAsia="Times New Roman" w:hAnsi="Verdana" w:cs="Arial"/>
                <w:iCs/>
                <w:color w:val="000000"/>
                <w:szCs w:val="24"/>
                <w:lang w:eastAsia="es-ES_tradnl"/>
              </w:rPr>
              <w:t>iii</w:t>
            </w:r>
            <w:proofErr w:type="spellEnd"/>
            <w:r w:rsidRPr="005E1806">
              <w:rPr>
                <w:rFonts w:ascii="Verdana" w:eastAsia="Times New Roman" w:hAnsi="Verdana" w:cs="Arial"/>
                <w:iCs/>
                <w:color w:val="000000"/>
                <w:szCs w:val="24"/>
                <w:lang w:eastAsia="es-ES_tradnl"/>
              </w:rPr>
              <w:t xml:space="preserve">) Oneroso: dado a que su pacto comúnmente busca ambas partes obtengan ventajas con un correlativo sacrificio ;y, </w:t>
            </w:r>
            <w:proofErr w:type="spellStart"/>
            <w:r w:rsidRPr="005E1806">
              <w:rPr>
                <w:rFonts w:ascii="Verdana" w:eastAsia="Times New Roman" w:hAnsi="Verdana" w:cs="Arial"/>
                <w:iCs/>
                <w:color w:val="000000"/>
                <w:szCs w:val="24"/>
                <w:lang w:eastAsia="es-ES_tradnl"/>
              </w:rPr>
              <w:t>iv</w:t>
            </w:r>
            <w:proofErr w:type="spellEnd"/>
            <w:r w:rsidRPr="005E1806">
              <w:rPr>
                <w:rFonts w:ascii="Verdana" w:eastAsia="Times New Roman" w:hAnsi="Verdana" w:cs="Arial"/>
                <w:iCs/>
                <w:color w:val="000000"/>
                <w:szCs w:val="24"/>
                <w:lang w:eastAsia="es-ES_tradnl"/>
              </w:rPr>
              <w:t>) Conmutativo: existencia de ventajas y sacrificios correlativos entre las partes.</w:t>
            </w:r>
          </w:p>
          <w:p w14:paraId="00F49ABA" w14:textId="77777777" w:rsidR="004D45D2" w:rsidRDefault="004D45D2" w:rsidP="0006173A">
            <w:pPr>
              <w:tabs>
                <w:tab w:val="left" w:pos="0"/>
              </w:tabs>
              <w:spacing w:after="120" w:line="276" w:lineRule="auto"/>
              <w:ind w:firstLine="709"/>
              <w:jc w:val="both"/>
              <w:rPr>
                <w:rFonts w:ascii="Verdana" w:eastAsia="Calibri" w:hAnsi="Verdana" w:cs="Arial"/>
                <w:color w:val="000000"/>
                <w:lang w:val="es-ES_tradnl" w:eastAsia="es-ES_tradnl"/>
              </w:rPr>
            </w:pPr>
            <w:r>
              <w:rPr>
                <w:rFonts w:ascii="Verdana" w:eastAsia="Calibri" w:hAnsi="Verdana" w:cs="Arial"/>
                <w:color w:val="000000"/>
                <w:lang w:val="es-ES_tradnl" w:eastAsia="es-ES_tradnl"/>
              </w:rPr>
              <w:t xml:space="preserve">Pueden pactarse </w:t>
            </w:r>
            <w:r w:rsidRPr="00133ADB">
              <w:rPr>
                <w:rFonts w:ascii="Verdana" w:eastAsia="Calibri" w:hAnsi="Verdana" w:cs="Arial"/>
                <w:color w:val="000000"/>
                <w:lang w:val="es-ES_tradnl" w:eastAsia="es-ES_tradnl"/>
              </w:rPr>
              <w:t xml:space="preserve">como un mecanismo de compensación o ajuste económico, relacionado con el nivel de servicio efectivamente prestado, o como una medida de naturaleza sancionatoria, cuando se vincula al incumplimiento contractual y a la imposición de multas, cláusula penal o </w:t>
            </w:r>
            <w:r w:rsidRPr="00133ADB">
              <w:rPr>
                <w:rFonts w:ascii="Verdana" w:eastAsia="Calibri" w:hAnsi="Verdana" w:cs="Arial"/>
                <w:color w:val="000000"/>
                <w:lang w:val="es-ES_tradnl" w:eastAsia="es-ES_tradnl"/>
              </w:rPr>
              <w:lastRenderedPageBreak/>
              <w:t>demás consecuencias propias de la potestad sancionatoria. En el primer caso, podrán aplicarse las consecuencias económicas conforme a las reglas previamente establecidas en el contrato</w:t>
            </w:r>
            <w:r>
              <w:rPr>
                <w:rFonts w:ascii="Verdana" w:eastAsia="Calibri" w:hAnsi="Verdana" w:cs="Arial"/>
                <w:color w:val="000000"/>
                <w:lang w:val="es-ES_tradnl" w:eastAsia="es-ES_tradnl"/>
              </w:rPr>
              <w:t xml:space="preserve"> y</w:t>
            </w:r>
            <w:r w:rsidRPr="00133ADB">
              <w:rPr>
                <w:rFonts w:ascii="Verdana" w:eastAsia="Calibri" w:hAnsi="Verdana" w:cs="Arial"/>
                <w:color w:val="000000"/>
                <w:lang w:val="es-ES_tradnl" w:eastAsia="es-ES_tradnl"/>
              </w:rPr>
              <w:t xml:space="preserve"> en el segundo, deberá garantizarse el debido proceso y agotarse el procedimiento administrativo correspondiente.</w:t>
            </w:r>
          </w:p>
          <w:p w14:paraId="42E08A37" w14:textId="77777777" w:rsidR="004D45D2" w:rsidRPr="00B301C4" w:rsidRDefault="004D45D2" w:rsidP="0006173A">
            <w:pPr>
              <w:tabs>
                <w:tab w:val="left" w:pos="0"/>
              </w:tabs>
              <w:spacing w:after="120" w:line="276" w:lineRule="auto"/>
              <w:ind w:firstLine="709"/>
              <w:jc w:val="both"/>
              <w:rPr>
                <w:rFonts w:ascii="Verdana" w:eastAsia="Calibri" w:hAnsi="Verdana" w:cs="Arial"/>
                <w:color w:val="000000"/>
                <w:lang w:val="es-ES_tradnl" w:eastAsia="es-ES_tradnl"/>
              </w:rPr>
            </w:pPr>
            <w:r w:rsidRPr="00566698">
              <w:rPr>
                <w:rFonts w:ascii="Verdana" w:eastAsia="Calibri" w:hAnsi="Verdana" w:cs="Arial"/>
                <w:color w:val="000000"/>
                <w:lang w:val="es-ES_tradnl" w:eastAsia="es-ES_tradnl"/>
              </w:rPr>
              <w:t>En todo caso, cualquiera que sea la naturaleza de los ANS que se pacten en el contrato, los descuentos que se apliquen deben observar criterios de proporcionalidad y razonabilidad, de manera que su aplicación no puede traducirse en una carga desmedida o desproporcionada para el contratista, sino que debe guardar una relación adecuada con el nivel de prestación del servicio.</w:t>
            </w:r>
          </w:p>
          <w:p w14:paraId="3B23461C" w14:textId="77777777" w:rsidR="004D45D2" w:rsidRDefault="004D45D2" w:rsidP="0006173A">
            <w:pPr>
              <w:spacing w:after="120" w:line="276" w:lineRule="auto"/>
              <w:ind w:firstLine="743"/>
              <w:jc w:val="both"/>
              <w:rPr>
                <w:rFonts w:ascii="Verdana" w:eastAsia="Calibri" w:hAnsi="Verdana" w:cs="Arial"/>
                <w:lang w:val="es-ES"/>
              </w:rPr>
            </w:pPr>
            <w:r w:rsidRPr="00B42653">
              <w:rPr>
                <w:rFonts w:ascii="Verdana" w:eastAsia="Calibri" w:hAnsi="Verdana" w:cs="Arial"/>
                <w:lang w:val="es-ES"/>
              </w:rPr>
              <w:t>En consecuencia, los ANS encuentran fundamento en la autonomía de la voluntad contractual, siempre que las estipulaciones pactadas sean compatibles con las normas de orden público y con los principios que rigen la contratación estatal. Su finalidad es permitir una medición objetiva de la calidad y desempeño de la prestación y, dependiendo de la forma en que sean estructurados, pueden operar como mecanismos de ajuste o compensación económica o vincularse a consecuencias de naturaleza sancionatoria, caso en el cual deberán observarse las garantías y el procedimiento correspondiente.</w:t>
            </w:r>
          </w:p>
          <w:p w14:paraId="53457537" w14:textId="77777777" w:rsidR="004D45D2" w:rsidRDefault="004D45D2" w:rsidP="0006173A">
            <w:pPr>
              <w:spacing w:after="120" w:line="276" w:lineRule="auto"/>
              <w:jc w:val="both"/>
              <w:rPr>
                <w:rFonts w:ascii="Verdana" w:eastAsia="Calibri" w:hAnsi="Verdana" w:cs="Arial"/>
                <w:color w:val="000000"/>
                <w:lang w:val="es-ES" w:eastAsia="es-ES_tradnl"/>
              </w:rPr>
            </w:pPr>
            <w:proofErr w:type="spellStart"/>
            <w:r>
              <w:rPr>
                <w:rFonts w:ascii="Verdana" w:eastAsia="Calibri" w:hAnsi="Verdana" w:cs="Arial"/>
                <w:lang w:val="es-ES"/>
              </w:rPr>
              <w:t>ii</w:t>
            </w:r>
            <w:proofErr w:type="spellEnd"/>
            <w:r>
              <w:rPr>
                <w:rFonts w:ascii="Verdana" w:eastAsia="Calibri" w:hAnsi="Verdana" w:cs="Arial"/>
                <w:lang w:val="es-ES"/>
              </w:rPr>
              <w:t xml:space="preserve">. </w:t>
            </w:r>
            <w:r w:rsidRPr="00566698">
              <w:rPr>
                <w:rFonts w:ascii="Verdana" w:eastAsia="Calibri" w:hAnsi="Verdana" w:cs="Arial"/>
                <w:lang w:val="es-ES"/>
              </w:rPr>
              <w:t xml:space="preserve">Sí. </w:t>
            </w:r>
            <w:r>
              <w:rPr>
                <w:rFonts w:ascii="Verdana" w:eastAsia="Calibri" w:hAnsi="Verdana" w:cs="Arial"/>
                <w:color w:val="000000" w:themeColor="text1"/>
                <w:lang w:val="es-ES"/>
              </w:rPr>
              <w:t xml:space="preserve">De conformidad con lo expuesto en este concepto, es claro que en virtud del </w:t>
            </w:r>
            <w:r>
              <w:rPr>
                <w:rFonts w:ascii="Verdana" w:eastAsia="Calibri" w:hAnsi="Verdana" w:cs="Arial"/>
                <w:color w:val="000000"/>
                <w:lang w:val="es-ES" w:eastAsia="es-ES_tradnl"/>
              </w:rPr>
              <w:t xml:space="preserve">segundo inciso del artículo 40 de la Ley 80 de 1993, las entidades pueden acordar con el contratista incluir estipulaciones que propendan por el cumplimiento efectivo del objeto contractual, como lo son los ANS como estándares o niveles de calidad y/o servicio. </w:t>
            </w:r>
            <w:r>
              <w:rPr>
                <w:rFonts w:ascii="Verdana" w:eastAsia="Calibri" w:hAnsi="Verdana" w:cs="Arial"/>
                <w:color w:val="000000" w:themeColor="text1"/>
                <w:lang w:val="es-ES"/>
              </w:rPr>
              <w:t xml:space="preserve">Debido a que estos acuerdos no se encuentran regulados en el EGCAP ni en sus normas complementarias y reglamentarias, la determinación de su naturaleza, incluyendo si tienen o no carácter sancionatorio, depende de la forma como las partes los hayan pactado en cada caso; </w:t>
            </w:r>
            <w:r>
              <w:rPr>
                <w:rFonts w:ascii="Verdana" w:eastAsia="Calibri" w:hAnsi="Verdana" w:cs="Arial"/>
                <w:color w:val="000000"/>
                <w:lang w:val="es-ES" w:eastAsia="es-ES_tradnl"/>
              </w:rPr>
              <w:t>su aplicabilidad y procedimiento dependerá del contenido de las obligaciones que en los ANS se incorpore por las partes.</w:t>
            </w:r>
          </w:p>
          <w:p w14:paraId="2AAE9F0A" w14:textId="77777777" w:rsidR="004D45D2" w:rsidRPr="00AD1528" w:rsidRDefault="004D45D2" w:rsidP="0006173A">
            <w:pPr>
              <w:spacing w:after="120" w:line="276" w:lineRule="auto"/>
              <w:ind w:firstLine="601"/>
              <w:jc w:val="both"/>
              <w:rPr>
                <w:rFonts w:ascii="Verdana" w:eastAsia="Calibri" w:hAnsi="Verdana" w:cs="Arial"/>
                <w:color w:val="000000" w:themeColor="text1"/>
                <w:lang w:val="es-ES"/>
              </w:rPr>
            </w:pPr>
            <w:r>
              <w:rPr>
                <w:rFonts w:ascii="Verdana" w:eastAsia="Calibri" w:hAnsi="Verdana" w:cs="Arial"/>
                <w:color w:val="000000"/>
                <w:lang w:val="es-ES" w:eastAsia="es-ES_tradnl"/>
              </w:rPr>
              <w:t xml:space="preserve">En este sentido, </w:t>
            </w:r>
            <w:r w:rsidRPr="00566698">
              <w:rPr>
                <w:rFonts w:ascii="Verdana" w:eastAsia="Calibri" w:hAnsi="Verdana" w:cs="Arial"/>
                <w:lang w:val="es-ES"/>
              </w:rPr>
              <w:t xml:space="preserve">las entidades estatales pueden pactar Acuerdos de Niveles de Servicio </w:t>
            </w:r>
            <w:r>
              <w:rPr>
                <w:rFonts w:ascii="Verdana" w:eastAsia="Calibri" w:hAnsi="Verdana" w:cs="Arial"/>
                <w:lang w:val="es-ES"/>
              </w:rPr>
              <w:t>-</w:t>
            </w:r>
            <w:r w:rsidRPr="00566698">
              <w:rPr>
                <w:rFonts w:ascii="Verdana" w:eastAsia="Calibri" w:hAnsi="Verdana" w:cs="Arial"/>
                <w:lang w:val="es-ES"/>
              </w:rPr>
              <w:t>ANS</w:t>
            </w:r>
            <w:r>
              <w:rPr>
                <w:rFonts w:ascii="Verdana" w:eastAsia="Calibri" w:hAnsi="Verdana" w:cs="Arial"/>
                <w:lang w:val="es-ES"/>
              </w:rPr>
              <w:t>-</w:t>
            </w:r>
            <w:r w:rsidRPr="00566698">
              <w:rPr>
                <w:rFonts w:ascii="Verdana" w:eastAsia="Calibri" w:hAnsi="Verdana" w:cs="Arial"/>
                <w:lang w:val="es-ES"/>
              </w:rPr>
              <w:t xml:space="preserve"> en los contratos de consultoría, siempre que estos respondan a las características y necesidades concretas del objeto contractual y permitan establecer, de manera objetiva y verificable, parámetros de calidad, oportunidad, disponibilidad o desempeño del servicio.</w:t>
            </w:r>
          </w:p>
          <w:p w14:paraId="0818173B" w14:textId="77777777" w:rsidR="004D45D2" w:rsidRDefault="004D45D2" w:rsidP="0006173A">
            <w:pPr>
              <w:spacing w:after="120" w:line="276" w:lineRule="auto"/>
              <w:ind w:firstLine="743"/>
              <w:jc w:val="both"/>
              <w:rPr>
                <w:rFonts w:ascii="Verdana" w:eastAsia="Calibri" w:hAnsi="Verdana" w:cs="Arial"/>
                <w:lang w:val="es-ES"/>
              </w:rPr>
            </w:pPr>
            <w:r w:rsidRPr="00566698">
              <w:rPr>
                <w:rFonts w:ascii="Verdana" w:eastAsia="Calibri" w:hAnsi="Verdana" w:cs="Arial"/>
                <w:lang w:val="es-ES"/>
              </w:rPr>
              <w:lastRenderedPageBreak/>
              <w:t>Así, por ejemplo, en una consultoría que comprenda actividades de ingeniería de detalle, tales como diagnóstico y levantamiento de información, estudios de prefactibilidad y factibilidad, estudios y diseños básicos y de detalle, elaboración de memorias de cálculo o programación de obra, pueden establecerse ANS asociados al cumplimiento de hitos y entregables, tiempos de respuesta, estándares de calidad y condiciones técnicas previamente definidos. Para ello, la entidad debe identificar los aspectos susceptibles de medición objetiva, establecer la metodología de evaluación, los niveles de servicio exigibles y las consecuencias asociadas a cada resultado.</w:t>
            </w:r>
          </w:p>
          <w:p w14:paraId="1F3FE8AF" w14:textId="77777777" w:rsidR="004D45D2" w:rsidRPr="00F71E9A" w:rsidRDefault="004D45D2" w:rsidP="0006173A">
            <w:pPr>
              <w:spacing w:after="120" w:line="276" w:lineRule="auto"/>
              <w:ind w:firstLine="743"/>
              <w:jc w:val="both"/>
              <w:rPr>
                <w:rFonts w:ascii="Verdana" w:eastAsia="Calibri" w:hAnsi="Verdana" w:cs="Arial"/>
                <w:lang w:val="es-ES"/>
              </w:rPr>
            </w:pPr>
            <w:r w:rsidRPr="00566698">
              <w:rPr>
                <w:rFonts w:ascii="Verdana" w:eastAsia="Calibri" w:hAnsi="Verdana" w:cs="Arial"/>
                <w:lang w:val="es-ES"/>
              </w:rPr>
              <w:t xml:space="preserve">En todo caso, los ANS </w:t>
            </w:r>
            <w:r>
              <w:rPr>
                <w:rFonts w:ascii="Verdana" w:eastAsia="Calibri" w:hAnsi="Verdana" w:cs="Arial"/>
                <w:color w:val="000000" w:themeColor="text1"/>
                <w:lang w:val="es-ES"/>
              </w:rPr>
              <w:t>La facultad de pactar ANS no es ilimitada. Cualquiera que sea la naturaleza que las partes les atribuyan, los descuentos deben corresponder estrictamente a lo pactado, por lo que resulta indispensable que las situaciones o eventos que puedan dar lugar a su aplicación se encuentren claramente definidos, delimitados y tipificados en los documentos contractuales, y que tales condiciones sean conocidas por el contratista desde la etapa precontractual, de manera que pueda evaluar adecuadamente los riesgos asociados, incorporarlos en su propuesta y asumirlos durante la ejecución. De lo contrario, su aplicación podría resultar desproporcionada y afectar la ecuación económica del contrato, en la medida en que se introducirían aspectos no previstos al momento de estructurar la oferta económica.</w:t>
            </w:r>
          </w:p>
          <w:p w14:paraId="71CE4887" w14:textId="77777777" w:rsidR="004D45D2" w:rsidRPr="00F71E9A" w:rsidRDefault="004D45D2" w:rsidP="0006173A">
            <w:pPr>
              <w:spacing w:after="120" w:line="276" w:lineRule="auto"/>
              <w:ind w:firstLine="739"/>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En ese marco, constituyen límites de la autonomía de la voluntad los siguientes: i) las entidades no pueden pactar ANS de forma que encubran la imposición unilateral de sanciones, multas o cláusula penal sin el cumplimiento del debido proceso; </w:t>
            </w:r>
            <w:proofErr w:type="spellStart"/>
            <w:r>
              <w:rPr>
                <w:rFonts w:ascii="Verdana" w:eastAsia="Calibri" w:hAnsi="Verdana" w:cs="Arial"/>
                <w:color w:val="000000" w:themeColor="text1"/>
                <w:lang w:val="es-ES"/>
              </w:rPr>
              <w:t>ii</w:t>
            </w:r>
            <w:proofErr w:type="spellEnd"/>
            <w:r>
              <w:rPr>
                <w:rFonts w:ascii="Verdana" w:eastAsia="Calibri" w:hAnsi="Verdana" w:cs="Arial"/>
                <w:color w:val="000000" w:themeColor="text1"/>
                <w:lang w:val="es-ES"/>
              </w:rPr>
              <w:t xml:space="preserve">) en ningún caso la aplicación de los descuentos pactados puede desconocer el artículo 29 de la Constitución Política; </w:t>
            </w:r>
            <w:proofErr w:type="spellStart"/>
            <w:r>
              <w:rPr>
                <w:rFonts w:ascii="Verdana" w:eastAsia="Calibri" w:hAnsi="Verdana" w:cs="Arial"/>
                <w:color w:val="000000" w:themeColor="text1"/>
                <w:lang w:val="es-ES"/>
              </w:rPr>
              <w:t>iii</w:t>
            </w:r>
            <w:proofErr w:type="spellEnd"/>
            <w:r>
              <w:rPr>
                <w:rFonts w:ascii="Verdana" w:eastAsia="Calibri" w:hAnsi="Verdana" w:cs="Arial"/>
                <w:color w:val="000000" w:themeColor="text1"/>
                <w:lang w:val="es-ES"/>
              </w:rPr>
              <w:t xml:space="preserve">) los términos en que se pacte el ANS no pueden ser abusivos ni desproporcionados, de modo que deben atender criterios de razonabilidad y proporcionalidad, guardando una relación adecuada con el nivel de prestación del servicio; </w:t>
            </w:r>
            <w:proofErr w:type="spellStart"/>
            <w:r>
              <w:rPr>
                <w:rFonts w:ascii="Verdana" w:eastAsia="Calibri" w:hAnsi="Verdana" w:cs="Arial"/>
                <w:color w:val="000000" w:themeColor="text1"/>
                <w:lang w:val="es-ES"/>
              </w:rPr>
              <w:t>iv</w:t>
            </w:r>
            <w:proofErr w:type="spellEnd"/>
            <w:r>
              <w:rPr>
                <w:rFonts w:ascii="Verdana" w:eastAsia="Calibri" w:hAnsi="Verdana" w:cs="Arial"/>
                <w:color w:val="000000" w:themeColor="text1"/>
                <w:lang w:val="es-ES"/>
              </w:rPr>
              <w:t>) su aplicación no puede vaciar el derecho al pago de lo efectivamente ejecutado; y v) las estipulaciones no pueden incurrir en las causales de nulidad previstas en el artículo 44 de la Ley 80 de 1993.</w:t>
            </w:r>
          </w:p>
          <w:p w14:paraId="11C163C6" w14:textId="77777777" w:rsidR="004D45D2" w:rsidRDefault="004D45D2" w:rsidP="0006173A">
            <w:pPr>
              <w:spacing w:after="120" w:line="276" w:lineRule="auto"/>
              <w:ind w:firstLine="743"/>
              <w:jc w:val="both"/>
              <w:rPr>
                <w:rFonts w:ascii="Verdana" w:hAnsi="Verdana"/>
              </w:rPr>
            </w:pPr>
            <w:r>
              <w:rPr>
                <w:rFonts w:ascii="Verdana" w:eastAsia="Calibri" w:hAnsi="Verdana" w:cs="Arial"/>
                <w:color w:val="000000"/>
                <w:lang w:val="es-ES_tradnl" w:eastAsia="es-ES_tradnl"/>
              </w:rPr>
              <w:t>Sobre el particular, vale la pena destacar que esta Agencia expidió la “</w:t>
            </w:r>
            <w:r w:rsidRPr="00873DA1">
              <w:rPr>
                <w:rFonts w:ascii="Verdana" w:eastAsia="Calibri" w:hAnsi="Verdana" w:cs="Arial"/>
                <w:color w:val="000000"/>
                <w:lang w:val="es-ES_tradnl" w:eastAsia="es-ES_tradnl"/>
              </w:rPr>
              <w:t>Guía para Adelantar</w:t>
            </w:r>
            <w:r>
              <w:rPr>
                <w:rFonts w:ascii="Verdana" w:eastAsia="Calibri" w:hAnsi="Verdana" w:cs="Arial"/>
                <w:color w:val="000000"/>
                <w:lang w:val="es-ES_tradnl" w:eastAsia="es-ES_tradnl"/>
              </w:rPr>
              <w:t xml:space="preserve"> </w:t>
            </w:r>
            <w:r w:rsidRPr="00873DA1">
              <w:rPr>
                <w:rFonts w:ascii="Verdana" w:eastAsia="Calibri" w:hAnsi="Verdana" w:cs="Arial"/>
                <w:color w:val="000000"/>
                <w:lang w:val="es-ES_tradnl" w:eastAsia="es-ES_tradnl"/>
              </w:rPr>
              <w:t>el Proceso Sancionatorio</w:t>
            </w:r>
            <w:r>
              <w:rPr>
                <w:rFonts w:ascii="Verdana" w:eastAsia="Calibri" w:hAnsi="Verdana" w:cs="Arial"/>
                <w:color w:val="000000"/>
                <w:lang w:val="es-ES_tradnl" w:eastAsia="es-ES_tradnl"/>
              </w:rPr>
              <w:t xml:space="preserve"> </w:t>
            </w:r>
            <w:r w:rsidRPr="00873DA1">
              <w:rPr>
                <w:rFonts w:ascii="Verdana" w:eastAsia="Calibri" w:hAnsi="Verdana" w:cs="Arial"/>
                <w:color w:val="000000"/>
                <w:lang w:val="es-ES_tradnl" w:eastAsia="es-ES_tradnl"/>
              </w:rPr>
              <w:t>Administrativo Contractual</w:t>
            </w:r>
            <w:r>
              <w:rPr>
                <w:rFonts w:ascii="Verdana" w:eastAsia="Calibri" w:hAnsi="Verdana" w:cs="Arial"/>
                <w:color w:val="000000"/>
                <w:lang w:val="es-ES_tradnl" w:eastAsia="es-ES_tradnl"/>
              </w:rPr>
              <w:t>”</w:t>
            </w:r>
            <w:r w:rsidRPr="009067EF">
              <w:t xml:space="preserve"> </w:t>
            </w:r>
            <w:r w:rsidRPr="009067EF">
              <w:rPr>
                <w:rFonts w:ascii="Verdana" w:eastAsia="Calibri" w:hAnsi="Verdana" w:cs="Arial"/>
                <w:color w:val="000000"/>
                <w:lang w:eastAsia="es-ES_tradnl"/>
              </w:rPr>
              <w:t xml:space="preserve">con la finalidad de fortalecer las capacidades de las Entidades Estatales en la </w:t>
            </w:r>
            <w:r w:rsidRPr="009067EF">
              <w:rPr>
                <w:rFonts w:ascii="Verdana" w:eastAsia="Calibri" w:hAnsi="Verdana" w:cs="Arial"/>
                <w:color w:val="000000"/>
                <w:lang w:eastAsia="es-ES_tradnl"/>
              </w:rPr>
              <w:lastRenderedPageBreak/>
              <w:t>adecuada aplicación de la potestad sancionatoria de la administración, brindando criterios jurídicos, procedimentales y prácticos que permitan adelantar dicho proceso con plena observancia de las garantías que le asisten a los contratistas y las compañías de seguros, cuando aplique</w:t>
            </w:r>
            <w:r>
              <w:rPr>
                <w:rFonts w:ascii="Verdana" w:eastAsia="Calibri" w:hAnsi="Verdana" w:cs="Arial"/>
                <w:color w:val="000000"/>
                <w:lang w:eastAsia="es-ES_tradnl"/>
              </w:rPr>
              <w:t xml:space="preserve">. </w:t>
            </w:r>
            <w:r w:rsidRPr="00B726AE">
              <w:rPr>
                <w:rFonts w:ascii="Verdana" w:hAnsi="Verdana"/>
              </w:rPr>
              <w:t xml:space="preserve">Esta Guía se configura como un instrumento de buenas prácticas orientado a las Entidades Estatales sometidas al Estatuto General de Contratación de la Administración </w:t>
            </w:r>
            <w:proofErr w:type="gramStart"/>
            <w:r w:rsidRPr="00B726AE">
              <w:rPr>
                <w:rFonts w:ascii="Verdana" w:hAnsi="Verdana"/>
              </w:rPr>
              <w:t>Pública</w:t>
            </w:r>
            <w:proofErr w:type="gramEnd"/>
            <w:r w:rsidRPr="00B726AE">
              <w:rPr>
                <w:rFonts w:ascii="Verdana" w:hAnsi="Verdana"/>
              </w:rPr>
              <w:t xml:space="preserve"> así como a las entidades con regímenes de contratación exceptuado</w:t>
            </w:r>
            <w:r>
              <w:rPr>
                <w:rFonts w:ascii="Verdana" w:hAnsi="Verdana"/>
              </w:rPr>
              <w:t>.</w:t>
            </w:r>
          </w:p>
          <w:p w14:paraId="431D58CE" w14:textId="77777777" w:rsidR="004D45D2" w:rsidRPr="00BF3226" w:rsidRDefault="004D45D2" w:rsidP="0006173A">
            <w:pPr>
              <w:tabs>
                <w:tab w:val="left" w:pos="0"/>
              </w:tabs>
              <w:spacing w:after="120" w:line="276" w:lineRule="auto"/>
              <w:ind w:right="193" w:firstLine="709"/>
              <w:jc w:val="both"/>
              <w:rPr>
                <w:rFonts w:ascii="Verdana" w:eastAsia="Calibri" w:hAnsi="Verdana" w:cs="Arial"/>
                <w:color w:val="000000"/>
                <w:lang w:val="es-ES_tradnl" w:eastAsia="es-ES_tradnl"/>
              </w:rPr>
            </w:pPr>
            <w:r>
              <w:rPr>
                <w:rFonts w:ascii="Verdana" w:eastAsia="Calibri" w:hAnsi="Verdana" w:cs="Arial"/>
                <w:color w:val="000000"/>
                <w:lang w:val="es-ES_tradnl" w:eastAsia="es-ES_tradnl"/>
              </w:rPr>
              <w:t>Particularmente, el numeral 7.8 de la</w:t>
            </w:r>
            <w:r w:rsidRPr="00133ADB">
              <w:rPr>
                <w:rFonts w:ascii="Verdana" w:eastAsia="Calibri" w:hAnsi="Verdana" w:cs="Arial"/>
                <w:color w:val="000000"/>
                <w:lang w:val="es-ES_tradnl" w:eastAsia="es-ES_tradnl"/>
              </w:rPr>
              <w:t xml:space="preserve"> </w:t>
            </w:r>
            <w:r>
              <w:rPr>
                <w:rFonts w:ascii="Verdana" w:eastAsia="Calibri" w:hAnsi="Verdana" w:cs="Arial"/>
                <w:color w:val="000000"/>
                <w:lang w:val="es-ES_tradnl" w:eastAsia="es-ES_tradnl"/>
              </w:rPr>
              <w:t>G</w:t>
            </w:r>
            <w:r w:rsidRPr="00133ADB">
              <w:rPr>
                <w:rFonts w:ascii="Verdana" w:eastAsia="Calibri" w:hAnsi="Verdana" w:cs="Arial"/>
                <w:color w:val="000000"/>
                <w:lang w:val="es-ES_tradnl" w:eastAsia="es-ES_tradnl"/>
              </w:rPr>
              <w:t>uía desarrolla los ANS desde dos formas de pacto: como un mecanismo de compensación o ajuste económico, relacionado con el nivel de servicio efectivamente prestado, o como una medida de naturaleza sancionatoria, cuando se vincula al incumplimiento contractual y a la imposición de multas, cláusula penal o demás consecuencias propias de la potestad sancionatoria. En el primer caso, podrán aplicarse las consecuencias económicas conforme a las reglas previamente establecidas en el contrato</w:t>
            </w:r>
            <w:r>
              <w:rPr>
                <w:rFonts w:ascii="Verdana" w:eastAsia="Calibri" w:hAnsi="Verdana" w:cs="Arial"/>
                <w:color w:val="000000"/>
                <w:lang w:val="es-ES_tradnl" w:eastAsia="es-ES_tradnl"/>
              </w:rPr>
              <w:t xml:space="preserve"> y</w:t>
            </w:r>
            <w:r w:rsidRPr="00133ADB">
              <w:rPr>
                <w:rFonts w:ascii="Verdana" w:eastAsia="Calibri" w:hAnsi="Verdana" w:cs="Arial"/>
                <w:color w:val="000000"/>
                <w:lang w:val="es-ES_tradnl" w:eastAsia="es-ES_tradnl"/>
              </w:rPr>
              <w:t xml:space="preserve"> en el segundo, deberá garantizarse el debido proceso y agotarse el procedimiento administrativo correspondiente.</w:t>
            </w:r>
          </w:p>
        </w:tc>
      </w:tr>
    </w:tbl>
    <w:p w14:paraId="790D6907" w14:textId="77777777" w:rsidR="004D45D2" w:rsidRPr="00593A5F" w:rsidRDefault="004D45D2" w:rsidP="004D45D2">
      <w:pPr>
        <w:tabs>
          <w:tab w:val="left" w:pos="142"/>
          <w:tab w:val="left" w:pos="284"/>
        </w:tabs>
        <w:spacing w:after="0" w:line="276" w:lineRule="auto"/>
        <w:jc w:val="both"/>
        <w:rPr>
          <w:rFonts w:ascii="Verdana" w:eastAsia="Century Gothic" w:hAnsi="Verdana" w:cs="Century Gothic"/>
          <w:b/>
          <w:bCs/>
          <w:lang w:val="es-ES"/>
        </w:rPr>
      </w:pPr>
    </w:p>
    <w:p w14:paraId="1283321F" w14:textId="77777777" w:rsidR="004D45D2" w:rsidRPr="00593A5F" w:rsidRDefault="004D45D2" w:rsidP="004D45D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4E269D69" w14:textId="77777777" w:rsidR="004D45D2" w:rsidRPr="00593A5F" w:rsidRDefault="004D45D2" w:rsidP="004D45D2">
      <w:pPr>
        <w:spacing w:after="0" w:line="276" w:lineRule="auto"/>
        <w:jc w:val="both"/>
        <w:rPr>
          <w:rFonts w:ascii="Verdana" w:eastAsia="Calibri" w:hAnsi="Verdana" w:cs="Arial"/>
          <w:color w:val="7030A0"/>
          <w:lang w:val="es-ES"/>
        </w:rPr>
      </w:pPr>
    </w:p>
    <w:p w14:paraId="3A71B04B" w14:textId="77777777" w:rsidR="004D45D2" w:rsidRPr="00B96799" w:rsidRDefault="004D45D2" w:rsidP="004D45D2">
      <w:pPr>
        <w:spacing w:after="0" w:line="276" w:lineRule="auto"/>
        <w:jc w:val="both"/>
        <w:rPr>
          <w:rFonts w:ascii="Verdana" w:eastAsia="Calibri" w:hAnsi="Verdana" w:cs="Arial"/>
          <w:lang w:val="es-ES"/>
        </w:rPr>
      </w:pPr>
      <w:r w:rsidRPr="00B96799">
        <w:rPr>
          <w:rFonts w:ascii="Verdana" w:eastAsia="Calibri" w:hAnsi="Verdana" w:cs="Arial"/>
          <w:lang w:val="es-ES"/>
        </w:rPr>
        <w:t xml:space="preserve">Lo anterior se sustenta en las siguientes consideraciones: </w:t>
      </w:r>
    </w:p>
    <w:p w14:paraId="3684FD58" w14:textId="77777777" w:rsidR="004D45D2" w:rsidRPr="00593A5F" w:rsidRDefault="004D45D2" w:rsidP="004D45D2">
      <w:pPr>
        <w:spacing w:after="0" w:line="276" w:lineRule="auto"/>
        <w:jc w:val="both"/>
        <w:rPr>
          <w:rFonts w:ascii="Verdana" w:eastAsia="Calibri" w:hAnsi="Verdana" w:cs="Arial"/>
          <w:color w:val="7030A0"/>
          <w:lang w:val="es-ES"/>
        </w:rPr>
      </w:pPr>
    </w:p>
    <w:p w14:paraId="26F7F97A" w14:textId="77777777" w:rsidR="004D45D2" w:rsidRPr="005E1806" w:rsidRDefault="004D45D2" w:rsidP="004D45D2">
      <w:pPr>
        <w:spacing w:after="120" w:line="276" w:lineRule="auto"/>
        <w:jc w:val="both"/>
        <w:rPr>
          <w:rFonts w:ascii="Verdana" w:eastAsia="Calibri" w:hAnsi="Verdana" w:cs="Arial"/>
          <w:color w:val="000000"/>
          <w:szCs w:val="24"/>
          <w:lang w:eastAsia="es-ES_tradnl"/>
        </w:rPr>
      </w:pPr>
      <w:bookmarkStart w:id="2" w:name="_Hlk170989338"/>
      <w:r>
        <w:rPr>
          <w:rFonts w:ascii="Verdana" w:hAnsi="Verdana" w:cs="Arial"/>
          <w:iCs/>
          <w:color w:val="000000" w:themeColor="text1"/>
        </w:rPr>
        <w:t xml:space="preserve">i. </w:t>
      </w:r>
      <w:bookmarkStart w:id="3" w:name="_Hlk131402394"/>
      <w:r w:rsidRPr="005E1806">
        <w:rPr>
          <w:rFonts w:ascii="Verdana" w:eastAsia="Calibri" w:hAnsi="Verdana" w:cs="Arial"/>
          <w:color w:val="000000"/>
          <w:szCs w:val="24"/>
          <w:lang w:eastAsia="es-ES_tradnl"/>
        </w:rPr>
        <w:t xml:space="preserve">Los acuerdos de niveles de servicio –ANS–, también conocidos como </w:t>
      </w:r>
      <w:r w:rsidRPr="005E1806">
        <w:rPr>
          <w:rFonts w:ascii="Verdana" w:eastAsia="Calibri" w:hAnsi="Verdana" w:cs="Arial"/>
          <w:i/>
          <w:iCs/>
          <w:color w:val="000000"/>
          <w:szCs w:val="24"/>
          <w:lang w:eastAsia="es-ES_tradnl"/>
        </w:rPr>
        <w:t xml:space="preserve">Service Level </w:t>
      </w:r>
      <w:proofErr w:type="spellStart"/>
      <w:r w:rsidRPr="005E1806">
        <w:rPr>
          <w:rFonts w:ascii="Verdana" w:eastAsia="Calibri" w:hAnsi="Verdana" w:cs="Arial"/>
          <w:i/>
          <w:iCs/>
          <w:color w:val="000000"/>
          <w:szCs w:val="24"/>
          <w:lang w:eastAsia="es-ES_tradnl"/>
        </w:rPr>
        <w:t>Agreements</w:t>
      </w:r>
      <w:proofErr w:type="spellEnd"/>
      <w:r w:rsidRPr="005E1806">
        <w:rPr>
          <w:rFonts w:ascii="Verdana" w:eastAsia="Calibri" w:hAnsi="Verdana" w:cs="Arial"/>
          <w:color w:val="000000"/>
          <w:szCs w:val="24"/>
          <w:vertAlign w:val="superscript"/>
          <w:lang w:eastAsia="es-ES_tradnl"/>
        </w:rPr>
        <w:footnoteReference w:id="1"/>
      </w:r>
      <w:r w:rsidRPr="005E1806">
        <w:rPr>
          <w:rFonts w:ascii="Verdana" w:eastAsia="Calibri" w:hAnsi="Verdana" w:cs="Arial"/>
          <w:color w:val="000000"/>
          <w:szCs w:val="24"/>
          <w:lang w:eastAsia="es-ES_tradnl"/>
        </w:rPr>
        <w:t xml:space="preserve"> –SLA– en inglés, son contratos o acuerdos que se establecen para definir los niveles de calidad y desempeño del servicio que una de las partes se compromete a ofrecer a la otra, y a la vez, es considerado en la doctrina internacional como acuerdos que permiten regular </w:t>
      </w:r>
      <w:r>
        <w:rPr>
          <w:rFonts w:ascii="Verdana" w:eastAsia="Calibri" w:hAnsi="Verdana" w:cs="Arial"/>
          <w:color w:val="000000"/>
          <w:szCs w:val="24"/>
          <w:lang w:eastAsia="es-ES_tradnl"/>
        </w:rPr>
        <w:t>“</w:t>
      </w:r>
      <w:r w:rsidRPr="005E1806">
        <w:rPr>
          <w:rFonts w:ascii="Verdana" w:eastAsia="Calibri" w:hAnsi="Verdana" w:cs="Arial"/>
          <w:color w:val="000000"/>
          <w:szCs w:val="24"/>
          <w:lang w:eastAsia="es-ES_tradnl"/>
        </w:rPr>
        <w:t xml:space="preserve">el </w:t>
      </w:r>
      <w:r w:rsidRPr="005E1806">
        <w:rPr>
          <w:rFonts w:ascii="Verdana" w:eastAsia="Calibri" w:hAnsi="Verdana" w:cs="Arial"/>
          <w:color w:val="000000" w:themeColor="text1"/>
          <w:lang w:val="es-ES_tradnl"/>
        </w:rPr>
        <w:t>incumplimiento tolerado</w:t>
      </w:r>
      <w:r>
        <w:rPr>
          <w:rFonts w:ascii="Verdana" w:eastAsia="Calibri" w:hAnsi="Verdana" w:cs="Arial"/>
          <w:color w:val="000000" w:themeColor="text1"/>
          <w:lang w:val="es-ES_tradnl"/>
        </w:rPr>
        <w:t>”</w:t>
      </w:r>
      <w:r w:rsidRPr="005E1806">
        <w:rPr>
          <w:rFonts w:ascii="Verdana" w:eastAsia="Calibri" w:hAnsi="Verdana" w:cs="Arial"/>
          <w:color w:val="000000" w:themeColor="text1"/>
          <w:lang w:val="es-ES_tradnl"/>
        </w:rPr>
        <w:t xml:space="preserve"> de algunas obligaciones asumidas por una de las partes en la prestación de un servicio</w:t>
      </w:r>
      <w:r w:rsidRPr="005E1806">
        <w:rPr>
          <w:rFonts w:ascii="Verdana" w:eastAsia="Calibri" w:hAnsi="Verdana" w:cs="Arial"/>
          <w:color w:val="000000" w:themeColor="text1"/>
          <w:vertAlign w:val="superscript"/>
          <w:lang w:val="es-ES_tradnl"/>
        </w:rPr>
        <w:footnoteReference w:id="2"/>
      </w:r>
      <w:r w:rsidRPr="005E1806">
        <w:rPr>
          <w:rFonts w:ascii="Verdana" w:eastAsia="Calibri" w:hAnsi="Verdana" w:cs="Arial"/>
          <w:color w:val="000000" w:themeColor="text1"/>
          <w:lang w:val="es-ES_tradnl"/>
        </w:rPr>
        <w:t>.</w:t>
      </w:r>
    </w:p>
    <w:p w14:paraId="122A955D" w14:textId="77777777" w:rsidR="004D45D2" w:rsidRPr="005E1806" w:rsidRDefault="004D45D2" w:rsidP="004D45D2">
      <w:pPr>
        <w:spacing w:after="120" w:line="276" w:lineRule="auto"/>
        <w:ind w:firstLine="709"/>
        <w:jc w:val="both"/>
        <w:rPr>
          <w:rFonts w:ascii="Verdana" w:eastAsia="Calibri" w:hAnsi="Verdana" w:cs="Arial"/>
          <w:color w:val="000000"/>
          <w:szCs w:val="24"/>
          <w:lang w:eastAsia="es-ES_tradnl"/>
        </w:rPr>
      </w:pPr>
      <w:r w:rsidRPr="005E1806">
        <w:rPr>
          <w:rFonts w:ascii="Verdana" w:eastAsia="Calibri" w:hAnsi="Verdana" w:cs="Arial"/>
          <w:color w:val="000000"/>
          <w:szCs w:val="24"/>
          <w:lang w:eastAsia="es-ES_tradnl"/>
        </w:rPr>
        <w:t>Comúnmente l</w:t>
      </w:r>
      <w:r>
        <w:rPr>
          <w:rFonts w:ascii="Verdana" w:eastAsia="Calibri" w:hAnsi="Verdana" w:cs="Arial"/>
          <w:color w:val="000000"/>
          <w:szCs w:val="24"/>
          <w:lang w:eastAsia="es-ES_tradnl"/>
        </w:rPr>
        <w:t>o</w:t>
      </w:r>
      <w:r w:rsidRPr="005E1806">
        <w:rPr>
          <w:rFonts w:ascii="Verdana" w:eastAsia="Calibri" w:hAnsi="Verdana" w:cs="Arial"/>
          <w:color w:val="000000"/>
          <w:szCs w:val="24"/>
          <w:lang w:eastAsia="es-ES_tradnl"/>
        </w:rPr>
        <w:t xml:space="preserve">s ANS se pactan en la prestación de servicios complejos los cuales por su contenido técnico exigen que todos los aspectos relevantes del servicio sean incluidos sobre la base de un acuerdo, que permitan ser ajustados </w:t>
      </w:r>
      <w:r w:rsidRPr="005E1806">
        <w:rPr>
          <w:rFonts w:ascii="Verdana" w:eastAsia="Calibri" w:hAnsi="Verdana" w:cs="Arial"/>
          <w:color w:val="000000"/>
          <w:szCs w:val="24"/>
          <w:lang w:eastAsia="es-ES_tradnl"/>
        </w:rPr>
        <w:lastRenderedPageBreak/>
        <w:t>a cualquier clase de negocio, independientemente de la naturaleza del mismo y, por lo tanto, del servicio contratado</w:t>
      </w:r>
      <w:bookmarkEnd w:id="3"/>
      <w:r w:rsidRPr="005E1806">
        <w:rPr>
          <w:rFonts w:ascii="Verdana" w:eastAsia="Calibri" w:hAnsi="Verdana" w:cs="Arial"/>
          <w:color w:val="000000"/>
          <w:szCs w:val="24"/>
          <w:lang w:eastAsia="es-ES_tradnl"/>
        </w:rPr>
        <w:t>.</w:t>
      </w:r>
      <w:r w:rsidRPr="005E1806">
        <w:rPr>
          <w:rFonts w:ascii="Verdana" w:eastAsia="Calibri" w:hAnsi="Verdana" w:cs="Arial"/>
          <w:color w:val="000000"/>
          <w:szCs w:val="24"/>
          <w:vertAlign w:val="superscript"/>
          <w:lang w:eastAsia="es-ES_tradnl"/>
        </w:rPr>
        <w:footnoteReference w:id="3"/>
      </w:r>
      <w:r w:rsidRPr="005E1806">
        <w:rPr>
          <w:rFonts w:ascii="Verdana" w:eastAsia="Calibri" w:hAnsi="Verdana" w:cs="Arial"/>
          <w:color w:val="000000"/>
          <w:szCs w:val="24"/>
          <w:lang w:eastAsia="es-ES_tradnl"/>
        </w:rPr>
        <w:t xml:space="preserve"> Los ANS son comunes en el ámbito de la tecnología de la información –TI–, donde se utilizan para definir los niveles de servicio que se compromete a ofrecer un proveedor de servicios de TI, pero en los últimos años se ha aplicado en otros sectores y áreas de negocios.</w:t>
      </w:r>
    </w:p>
    <w:p w14:paraId="06B0D4AD" w14:textId="77777777" w:rsidR="004D45D2" w:rsidRPr="005E1806" w:rsidRDefault="004D45D2" w:rsidP="004D45D2">
      <w:pPr>
        <w:spacing w:after="120" w:line="276" w:lineRule="auto"/>
        <w:ind w:firstLine="709"/>
        <w:jc w:val="both"/>
        <w:rPr>
          <w:rFonts w:ascii="Verdana" w:eastAsia="Calibri" w:hAnsi="Verdana" w:cs="Arial"/>
          <w:color w:val="000000"/>
          <w:szCs w:val="24"/>
          <w:lang w:eastAsia="es-ES_tradnl"/>
        </w:rPr>
      </w:pPr>
      <w:r w:rsidRPr="005E1806">
        <w:rPr>
          <w:rFonts w:ascii="Verdana" w:eastAsia="Calibri" w:hAnsi="Verdana" w:cs="Arial"/>
          <w:color w:val="000000"/>
          <w:szCs w:val="24"/>
          <w:lang w:eastAsia="es-ES_tradnl"/>
        </w:rPr>
        <w:t>Con respecto a la importancia de las ANS, existen autores que consideran que su valor radica en la función que cumple en el aseguramiento, desde la entrega de la totalidad del valor del servicio hasta el cumplimiento de estándares de calidad. Más aún cuando en la actualidad se exigen servicios que garanticen niveles de rendimiento específicos</w:t>
      </w:r>
      <w:r w:rsidRPr="005E1806">
        <w:rPr>
          <w:rFonts w:ascii="Verdana" w:eastAsia="Calibri" w:hAnsi="Verdana" w:cs="Arial"/>
          <w:color w:val="000000"/>
          <w:szCs w:val="24"/>
          <w:vertAlign w:val="superscript"/>
          <w:lang w:eastAsia="es-ES_tradnl"/>
        </w:rPr>
        <w:footnoteReference w:id="4"/>
      </w:r>
      <w:r w:rsidRPr="005E1806">
        <w:rPr>
          <w:rFonts w:ascii="Verdana" w:eastAsia="Calibri" w:hAnsi="Verdana" w:cs="Arial"/>
          <w:color w:val="000000"/>
          <w:szCs w:val="24"/>
          <w:lang w:eastAsia="es-ES_tradnl"/>
        </w:rPr>
        <w:t>. En ese sentido, los ANS son una herramienta utilizada para medir y controlar la calidad de los servicios prestados por el contratista, y se establecen en el contrato como una forma de garantizar que el contratista cumpla con las expectativas del contratante.</w:t>
      </w:r>
    </w:p>
    <w:p w14:paraId="48DB93B0" w14:textId="77777777" w:rsidR="004D45D2" w:rsidRPr="005E1806" w:rsidRDefault="004D45D2" w:rsidP="004D45D2">
      <w:pPr>
        <w:spacing w:after="120" w:line="276" w:lineRule="auto"/>
        <w:ind w:firstLine="709"/>
        <w:jc w:val="both"/>
        <w:rPr>
          <w:rFonts w:ascii="Verdana" w:eastAsia="Times New Roman" w:hAnsi="Verdana" w:cs="Arial"/>
          <w:iCs/>
          <w:color w:val="000000"/>
          <w:szCs w:val="24"/>
          <w:highlight w:val="yellow"/>
          <w:lang w:eastAsia="es-ES_tradnl"/>
        </w:rPr>
      </w:pPr>
      <w:r>
        <w:rPr>
          <w:rFonts w:ascii="Verdana" w:eastAsia="Times New Roman" w:hAnsi="Verdana" w:cs="Arial"/>
          <w:iCs/>
          <w:color w:val="000000"/>
          <w:szCs w:val="24"/>
          <w:lang w:eastAsia="es-ES_tradnl"/>
        </w:rPr>
        <w:t>En este marco</w:t>
      </w:r>
      <w:r w:rsidRPr="005E1806">
        <w:rPr>
          <w:rFonts w:ascii="Verdana" w:eastAsia="Times New Roman" w:hAnsi="Verdana" w:cs="Arial"/>
          <w:iCs/>
          <w:color w:val="000000"/>
          <w:szCs w:val="24"/>
          <w:lang w:eastAsia="es-ES_tradnl"/>
        </w:rPr>
        <w:t xml:space="preserve">, </w:t>
      </w:r>
      <w:bookmarkStart w:id="4" w:name="_Hlk131402485"/>
      <w:r w:rsidRPr="005E1806">
        <w:rPr>
          <w:rFonts w:ascii="Verdana" w:eastAsia="Times New Roman" w:hAnsi="Verdana" w:cs="Arial"/>
          <w:iCs/>
          <w:color w:val="000000"/>
          <w:szCs w:val="24"/>
          <w:lang w:eastAsia="es-ES_tradnl"/>
        </w:rPr>
        <w:t xml:space="preserve">los ANS son acuerdos accesorios, innominados, onerosos y conmutativos; i) accesorios: su objeto es la regulación del cumplimiento de un servicio como derivado de un negocio principal; </w:t>
      </w:r>
      <w:proofErr w:type="spellStart"/>
      <w:r w:rsidRPr="005E1806">
        <w:rPr>
          <w:rFonts w:ascii="Verdana" w:eastAsia="Times New Roman" w:hAnsi="Verdana" w:cs="Arial"/>
          <w:iCs/>
          <w:color w:val="000000"/>
          <w:szCs w:val="24"/>
          <w:lang w:eastAsia="es-ES_tradnl"/>
        </w:rPr>
        <w:t>ii</w:t>
      </w:r>
      <w:proofErr w:type="spellEnd"/>
      <w:r w:rsidRPr="005E1806">
        <w:rPr>
          <w:rFonts w:ascii="Verdana" w:eastAsia="Times New Roman" w:hAnsi="Verdana" w:cs="Arial"/>
          <w:iCs/>
          <w:color w:val="000000"/>
          <w:szCs w:val="24"/>
          <w:lang w:eastAsia="es-ES_tradnl"/>
        </w:rPr>
        <w:t xml:space="preserve">) Innominado: dado que no se encuentra previsto expresamente en nuestra legislación y, debido a sus particulares características, tampoco existe un contrato análogo al cual recurrir para su interpretación; </w:t>
      </w:r>
      <w:proofErr w:type="spellStart"/>
      <w:r w:rsidRPr="005E1806">
        <w:rPr>
          <w:rFonts w:ascii="Verdana" w:eastAsia="Times New Roman" w:hAnsi="Verdana" w:cs="Arial"/>
          <w:iCs/>
          <w:color w:val="000000"/>
          <w:szCs w:val="24"/>
          <w:lang w:eastAsia="es-ES_tradnl"/>
        </w:rPr>
        <w:t>iii</w:t>
      </w:r>
      <w:proofErr w:type="spellEnd"/>
      <w:r w:rsidRPr="005E1806">
        <w:rPr>
          <w:rFonts w:ascii="Verdana" w:eastAsia="Times New Roman" w:hAnsi="Verdana" w:cs="Arial"/>
          <w:iCs/>
          <w:color w:val="000000"/>
          <w:szCs w:val="24"/>
          <w:lang w:eastAsia="es-ES_tradnl"/>
        </w:rPr>
        <w:t xml:space="preserve">) Oneroso: dado a que su pacto comúnmente busca ambas partes obtengan ventajas con un correlativo sacrificio ;y, </w:t>
      </w:r>
      <w:proofErr w:type="spellStart"/>
      <w:r w:rsidRPr="005E1806">
        <w:rPr>
          <w:rFonts w:ascii="Verdana" w:eastAsia="Times New Roman" w:hAnsi="Verdana" w:cs="Arial"/>
          <w:iCs/>
          <w:color w:val="000000"/>
          <w:szCs w:val="24"/>
          <w:lang w:eastAsia="es-ES_tradnl"/>
        </w:rPr>
        <w:t>iv</w:t>
      </w:r>
      <w:proofErr w:type="spellEnd"/>
      <w:r w:rsidRPr="005E1806">
        <w:rPr>
          <w:rFonts w:ascii="Verdana" w:eastAsia="Times New Roman" w:hAnsi="Verdana" w:cs="Arial"/>
          <w:iCs/>
          <w:color w:val="000000"/>
          <w:szCs w:val="24"/>
          <w:lang w:eastAsia="es-ES_tradnl"/>
        </w:rPr>
        <w:t>) Conmutativo: existencia de ventajas y sacrificios correlativos entre las partes.</w:t>
      </w:r>
    </w:p>
    <w:bookmarkEnd w:id="4"/>
    <w:p w14:paraId="2ABDB289" w14:textId="77777777" w:rsidR="004D45D2" w:rsidRPr="005E1806" w:rsidRDefault="004D45D2" w:rsidP="004D45D2">
      <w:pPr>
        <w:spacing w:after="120" w:line="276" w:lineRule="auto"/>
        <w:ind w:firstLine="709"/>
        <w:jc w:val="both"/>
        <w:rPr>
          <w:rFonts w:ascii="Verdana" w:eastAsia="Times New Roman" w:hAnsi="Verdana" w:cs="Arial"/>
          <w:iCs/>
          <w:color w:val="000000"/>
          <w:szCs w:val="24"/>
          <w:lang w:eastAsia="es-ES_tradnl"/>
        </w:rPr>
      </w:pPr>
      <w:r w:rsidRPr="005E1806">
        <w:rPr>
          <w:rFonts w:ascii="Verdana" w:eastAsia="Calibri" w:hAnsi="Verdana" w:cs="Arial"/>
          <w:color w:val="000000"/>
          <w:szCs w:val="24"/>
          <w:lang w:eastAsia="es-ES_tradnl"/>
        </w:rPr>
        <w:t>En cuanto a la naturaleza jurídica de las obligaciones contraídas en los ANS, dependerá del acuerdo de voluntad de las partes, pues bien pueden pactarse como una obligación contractual de medios, es decir, una obligación de hacer todo lo necesario para cumplir con los niveles de servicio acordados.</w:t>
      </w:r>
      <w:r w:rsidRPr="005E1806">
        <w:rPr>
          <w:rFonts w:ascii="Verdana" w:eastAsia="Times New Roman" w:hAnsi="Verdana" w:cs="Arial"/>
          <w:iCs/>
          <w:color w:val="000000"/>
          <w:szCs w:val="24"/>
          <w:lang w:eastAsia="es-ES_tradnl"/>
        </w:rPr>
        <w:t xml:space="preserve"> Pero en principio, es común ver que el contenido de las obligaciones de los ANS sea </w:t>
      </w:r>
      <w:r w:rsidRPr="005E1806">
        <w:rPr>
          <w:rFonts w:ascii="Verdana" w:eastAsia="Times New Roman" w:hAnsi="Verdana" w:cs="Arial"/>
          <w:iCs/>
          <w:color w:val="000000"/>
          <w:szCs w:val="24"/>
          <w:lang w:eastAsia="es-ES_tradnl"/>
        </w:rPr>
        <w:lastRenderedPageBreak/>
        <w:t>de resultado, pues el contratista proveedor de servicios se compromete a cumplir con los niveles de servicio acordados y a garantizar el resultado específico establecido en el contrato en términos de calidad, tiempo, disponibilidad, entre otros aspectos.</w:t>
      </w:r>
    </w:p>
    <w:p w14:paraId="4A770550" w14:textId="77777777" w:rsidR="004D45D2" w:rsidRPr="00C574DD" w:rsidRDefault="004D45D2" w:rsidP="004D45D2">
      <w:pPr>
        <w:tabs>
          <w:tab w:val="left" w:pos="0"/>
        </w:tabs>
        <w:spacing w:after="120" w:line="276" w:lineRule="auto"/>
        <w:ind w:right="193"/>
        <w:jc w:val="both"/>
        <w:rPr>
          <w:rFonts w:ascii="Arial" w:eastAsia="Calibri" w:hAnsi="Arial" w:cs="Arial"/>
          <w:color w:val="000000"/>
          <w:lang w:val="es-ES_tradnl" w:eastAsia="es-ES_tradnl"/>
        </w:rPr>
      </w:pPr>
      <w:proofErr w:type="spellStart"/>
      <w:r>
        <w:rPr>
          <w:rFonts w:ascii="Verdana" w:hAnsi="Verdana" w:cs="Arial"/>
          <w:color w:val="000000" w:themeColor="text1"/>
        </w:rPr>
        <w:t>ii</w:t>
      </w:r>
      <w:proofErr w:type="spellEnd"/>
      <w:r>
        <w:rPr>
          <w:rFonts w:ascii="Verdana" w:hAnsi="Verdana" w:cs="Arial"/>
          <w:color w:val="000000" w:themeColor="text1"/>
        </w:rPr>
        <w:t>.</w:t>
      </w:r>
      <w:r>
        <w:rPr>
          <w:rFonts w:ascii="Arial" w:eastAsia="Calibri" w:hAnsi="Arial" w:cs="Arial"/>
          <w:color w:val="000000"/>
          <w:lang w:val="es-ES_tradnl" w:eastAsia="es-ES_tradnl"/>
        </w:rPr>
        <w:t xml:space="preserve"> </w:t>
      </w:r>
      <w:r>
        <w:rPr>
          <w:rFonts w:ascii="Verdana" w:eastAsia="Times New Roman" w:hAnsi="Verdana" w:cs="Arial"/>
          <w:iCs/>
          <w:color w:val="000000"/>
          <w:szCs w:val="24"/>
          <w:lang w:val="es-ES" w:eastAsia="es-ES_tradnl"/>
        </w:rPr>
        <w:t xml:space="preserve">Sobre su aplicación en el marco jurídico de la contratación estatal, </w:t>
      </w:r>
      <w:r w:rsidRPr="0A00A0AD">
        <w:rPr>
          <w:rFonts w:ascii="Verdana" w:eastAsia="Calibri" w:hAnsi="Verdana" w:cs="Arial"/>
          <w:color w:val="000000"/>
          <w:lang w:val="es-ES" w:eastAsia="es-ES"/>
        </w:rPr>
        <w:t xml:space="preserve">ni el Estatuto General de Contratación de la Administración Pública ni sus normas complementarias y reglamentarias regulan expresamente los acuerdos de niveles de servicio, ni brindan a las entidades estatales la competencia para efectuar un descuento, </w:t>
      </w:r>
      <w:r w:rsidRPr="0A00A0AD">
        <w:rPr>
          <w:rFonts w:ascii="Verdana" w:eastAsia="Calibri" w:hAnsi="Verdana" w:cs="Arial"/>
          <w:i/>
          <w:color w:val="000000"/>
          <w:lang w:val="es-ES" w:eastAsia="es-ES"/>
        </w:rPr>
        <w:t>de plano</w:t>
      </w:r>
      <w:r w:rsidRPr="0A00A0AD">
        <w:rPr>
          <w:rFonts w:ascii="Verdana" w:eastAsia="Calibri" w:hAnsi="Verdana" w:cs="Arial"/>
          <w:color w:val="000000"/>
          <w:lang w:val="es-ES" w:eastAsia="es-ES"/>
        </w:rPr>
        <w:t xml:space="preserve">, de sumas de dinero al contratista por el incumplimiento de los hitos contractuales o compromisos acordados en el contrato. La referencia más cercana a la expresión se encuentra en el régimen de las asociaciones </w:t>
      </w:r>
      <w:proofErr w:type="gramStart"/>
      <w:r w:rsidRPr="0A00A0AD">
        <w:rPr>
          <w:rFonts w:ascii="Verdana" w:eastAsia="Calibri" w:hAnsi="Verdana" w:cs="Arial"/>
          <w:color w:val="000000"/>
          <w:lang w:val="es-ES" w:eastAsia="es-ES"/>
        </w:rPr>
        <w:t>público privadas</w:t>
      </w:r>
      <w:proofErr w:type="gramEnd"/>
      <w:r w:rsidRPr="0A00A0AD">
        <w:rPr>
          <w:rFonts w:ascii="Verdana" w:eastAsia="Calibri" w:hAnsi="Verdana" w:cs="Arial"/>
          <w:color w:val="000000"/>
          <w:lang w:val="es-ES" w:eastAsia="es-ES"/>
        </w:rPr>
        <w:t xml:space="preserve"> (APP), que sí establece los “niveles de servicio” como una condición de retribución</w:t>
      </w:r>
      <w:r w:rsidRPr="0A00A0AD">
        <w:rPr>
          <w:rStyle w:val="Refdenotaalpie"/>
          <w:rFonts w:ascii="Verdana" w:eastAsia="Calibri" w:hAnsi="Verdana" w:cs="Arial"/>
          <w:color w:val="000000"/>
          <w:lang w:val="es-ES" w:eastAsia="es-ES"/>
        </w:rPr>
        <w:footnoteReference w:id="5"/>
      </w:r>
      <w:r w:rsidRPr="0A00A0AD">
        <w:rPr>
          <w:rFonts w:ascii="Verdana" w:eastAsia="Calibri" w:hAnsi="Verdana" w:cs="Arial"/>
          <w:color w:val="000000"/>
          <w:lang w:val="es-ES" w:eastAsia="es-ES"/>
        </w:rPr>
        <w:t xml:space="preserve"> e incluso permite efectuar ciertos descuentos por este concepto</w:t>
      </w:r>
      <w:r w:rsidRPr="0A00A0AD">
        <w:rPr>
          <w:rStyle w:val="Refdenotaalpie"/>
          <w:rFonts w:ascii="Verdana" w:eastAsia="Calibri" w:hAnsi="Verdana" w:cs="Arial"/>
          <w:color w:val="000000"/>
          <w:lang w:val="es-ES" w:eastAsia="es-ES"/>
        </w:rPr>
        <w:footnoteReference w:id="6"/>
      </w:r>
      <w:r w:rsidRPr="0A00A0AD">
        <w:rPr>
          <w:rFonts w:ascii="Verdana" w:eastAsia="Calibri" w:hAnsi="Verdana" w:cs="Arial"/>
          <w:color w:val="000000"/>
          <w:lang w:val="es-ES" w:eastAsia="es-ES"/>
        </w:rPr>
        <w:t xml:space="preserve">. Pero, como se sabe, este es un régimen que aplica solo a los contratos de APP. Por tanto, para los demás contratos estatales los acuerdos de niveles de servicios constituyen una figura </w:t>
      </w:r>
      <w:r w:rsidRPr="0A00A0AD">
        <w:rPr>
          <w:rFonts w:ascii="Verdana" w:eastAsia="Calibri" w:hAnsi="Verdana" w:cs="Arial"/>
          <w:i/>
          <w:color w:val="000000"/>
          <w:lang w:val="es-ES" w:eastAsia="es-ES"/>
        </w:rPr>
        <w:t>atípica</w:t>
      </w:r>
      <w:r w:rsidRPr="0A00A0AD">
        <w:rPr>
          <w:rFonts w:ascii="Verdana" w:eastAsia="Calibri" w:hAnsi="Verdana" w:cs="Arial"/>
          <w:color w:val="000000"/>
          <w:lang w:val="es-ES" w:eastAsia="es-ES"/>
        </w:rPr>
        <w:t>, pues no se encuentra tipificada ni regulada.</w:t>
      </w:r>
    </w:p>
    <w:p w14:paraId="5313BC35" w14:textId="77777777" w:rsidR="004D45D2" w:rsidRPr="001E22A0" w:rsidRDefault="004D45D2" w:rsidP="004D45D2">
      <w:pPr>
        <w:tabs>
          <w:tab w:val="left" w:pos="0"/>
        </w:tabs>
        <w:spacing w:after="120" w:line="276" w:lineRule="auto"/>
        <w:ind w:right="193" w:firstLine="709"/>
        <w:jc w:val="both"/>
        <w:rPr>
          <w:rFonts w:ascii="Verdana" w:eastAsia="Calibri" w:hAnsi="Verdana" w:cs="Arial"/>
          <w:color w:val="000000"/>
          <w:lang w:val="es-ES_tradnl" w:eastAsia="es-ES_tradnl"/>
        </w:rPr>
      </w:pPr>
      <w:r>
        <w:rPr>
          <w:rFonts w:ascii="Verdana" w:eastAsia="Calibri" w:hAnsi="Verdana" w:cs="Arial"/>
          <w:color w:val="000000"/>
          <w:lang w:val="es-ES_tradnl" w:eastAsia="es-ES_tradnl"/>
        </w:rPr>
        <w:t xml:space="preserve">Sin </w:t>
      </w:r>
      <w:r w:rsidRPr="006529E7">
        <w:rPr>
          <w:rFonts w:ascii="Verdana" w:eastAsia="Calibri" w:hAnsi="Verdana" w:cs="Arial"/>
          <w:color w:val="000000"/>
          <w:lang w:val="es-ES_tradnl" w:eastAsia="es-ES_tradnl"/>
        </w:rPr>
        <w:t xml:space="preserve">perjuicio de lo expuesto, el segundo inciso del artículo 40 de la Ley 80 de 1993 dispone que </w:t>
      </w:r>
      <w:r>
        <w:rPr>
          <w:rFonts w:ascii="Verdana" w:eastAsia="Calibri" w:hAnsi="Verdana" w:cs="Arial"/>
          <w:color w:val="000000"/>
          <w:lang w:val="es-ES_tradnl" w:eastAsia="es-ES_tradnl"/>
        </w:rPr>
        <w:t>“</w:t>
      </w:r>
      <w:r w:rsidRPr="006529E7">
        <w:rPr>
          <w:rFonts w:ascii="Verdana" w:eastAsia="Calibri" w:hAnsi="Verdana" w:cs="Arial"/>
          <w:color w:val="000000"/>
          <w:lang w:val="es-ES_tradnl" w:eastAsia="es-ES_tradnl"/>
        </w:rPr>
        <w:t xml:space="preserve">Las entidades podrán celebrar los contratos y acuerdos que permitan la autonomía de la voluntad y requieran el </w:t>
      </w:r>
      <w:r w:rsidRPr="006529E7">
        <w:rPr>
          <w:rFonts w:ascii="Verdana" w:eastAsia="Calibri" w:hAnsi="Verdana" w:cs="Arial"/>
          <w:color w:val="000000"/>
          <w:lang w:val="es-ES_tradnl" w:eastAsia="es-ES_tradnl"/>
        </w:rPr>
        <w:lastRenderedPageBreak/>
        <w:t>cumplimiento de los fines estatales</w:t>
      </w:r>
      <w:r>
        <w:rPr>
          <w:rFonts w:ascii="Verdana" w:eastAsia="Calibri" w:hAnsi="Verdana" w:cs="Arial"/>
          <w:color w:val="000000"/>
          <w:lang w:val="es-ES_tradnl" w:eastAsia="es-ES_tradnl"/>
        </w:rPr>
        <w:t>”</w:t>
      </w:r>
      <w:r w:rsidRPr="006529E7">
        <w:rPr>
          <w:rFonts w:ascii="Verdana" w:eastAsia="Calibri" w:hAnsi="Verdana" w:cs="Arial"/>
          <w:color w:val="000000"/>
          <w:lang w:val="es-ES_tradnl" w:eastAsia="es-ES_tradnl"/>
        </w:rPr>
        <w:t>. Esto significa que las entidades pueden acordar con el contratista incluir estipulaciones que propendan por el cumplimiento efectivo del objeto contractual, siempre que estas cláusulas sean acordes con los límites consagrados en las normas de orden público, es decir, que no incurran en causales de nulidad</w:t>
      </w:r>
      <w:r w:rsidRPr="006529E7">
        <w:rPr>
          <w:rStyle w:val="Refdenotaalpie"/>
          <w:rFonts w:ascii="Verdana" w:eastAsia="Calibri" w:hAnsi="Verdana" w:cs="Arial"/>
          <w:color w:val="000000"/>
          <w:lang w:val="es-ES_tradnl" w:eastAsia="es-ES_tradnl"/>
        </w:rPr>
        <w:footnoteReference w:id="7"/>
      </w:r>
      <w:r w:rsidRPr="006529E7">
        <w:rPr>
          <w:rFonts w:ascii="Verdana" w:eastAsia="Calibri" w:hAnsi="Verdana" w:cs="Arial"/>
          <w:color w:val="000000"/>
          <w:lang w:val="es-ES_tradnl" w:eastAsia="es-ES_tradnl"/>
        </w:rPr>
        <w:t>. Por ende, nada obsta para que, dentro de estas estipulaciones, las partes, por ejemplo, acuerden estándares o hitos de cumplimiento. Más aún, el artículo 17 de la Ley 1150 de 2007</w:t>
      </w:r>
      <w:r>
        <w:rPr>
          <w:rFonts w:ascii="Verdana" w:eastAsia="Calibri" w:hAnsi="Verdana" w:cs="Arial"/>
          <w:color w:val="000000"/>
          <w:lang w:val="es-ES_tradnl" w:eastAsia="es-ES_tradnl"/>
        </w:rPr>
        <w:t xml:space="preserve"> </w:t>
      </w:r>
      <w:r w:rsidRPr="006529E7">
        <w:rPr>
          <w:rFonts w:ascii="Verdana" w:eastAsia="Calibri" w:hAnsi="Verdana" w:cs="Arial"/>
          <w:color w:val="000000"/>
          <w:lang w:val="es-ES_tradnl" w:eastAsia="es-ES_tradnl"/>
        </w:rPr>
        <w:t>permite pactar multas y cláusulas penales pecuniarias y faculta a las entidades estatales para hacerlas efectivas unilateralmente.</w:t>
      </w:r>
    </w:p>
    <w:p w14:paraId="3728178B" w14:textId="77777777" w:rsidR="004D45D2" w:rsidRDefault="004D45D2" w:rsidP="004D45D2">
      <w:pPr>
        <w:tabs>
          <w:tab w:val="left" w:pos="0"/>
        </w:tabs>
        <w:spacing w:after="120" w:line="276" w:lineRule="auto"/>
        <w:ind w:right="193" w:firstLine="709"/>
        <w:jc w:val="both"/>
        <w:rPr>
          <w:rFonts w:ascii="Verdana" w:eastAsia="Calibri" w:hAnsi="Verdana" w:cs="Arial"/>
          <w:color w:val="000000"/>
          <w:lang w:val="es-ES_tradnl" w:eastAsia="es-ES_tradnl"/>
        </w:rPr>
      </w:pPr>
      <w:r w:rsidRPr="002A778C">
        <w:rPr>
          <w:rFonts w:ascii="Verdana" w:eastAsia="Calibri" w:hAnsi="Verdana" w:cs="Arial"/>
          <w:color w:val="000000"/>
          <w:lang w:val="es-ES_tradnl" w:eastAsia="es-ES_tradnl"/>
        </w:rPr>
        <w:t xml:space="preserve"> De esta forma, debido a que estos acuerdos no se encuentran regulados en el Estatuto General de Contratación de la Administración Pública, ni en sus normas complementarias y reglamentarias, sino solo para los contratos de AP</w:t>
      </w:r>
      <w:r>
        <w:rPr>
          <w:rFonts w:ascii="Verdana" w:eastAsia="Calibri" w:hAnsi="Verdana" w:cs="Arial"/>
          <w:color w:val="000000"/>
          <w:lang w:val="es-ES_tradnl" w:eastAsia="es-ES_tradnl"/>
        </w:rPr>
        <w:t>P,</w:t>
      </w:r>
      <w:r w:rsidRPr="002A778C">
        <w:rPr>
          <w:rFonts w:ascii="Verdana" w:eastAsia="Calibri" w:hAnsi="Verdana" w:cs="Arial"/>
          <w:color w:val="000000"/>
          <w:lang w:val="es-ES_tradnl" w:eastAsia="es-ES_tradnl"/>
        </w:rPr>
        <w:t xml:space="preserve"> se dificulta señalar con carácter definitivo o absoluto cuál es su naturaleza jurídica y, concretamente, si es sancionatoria o no. Justamente, por su carácter </w:t>
      </w:r>
      <w:r w:rsidRPr="002A778C">
        <w:rPr>
          <w:rFonts w:ascii="Verdana" w:eastAsia="Calibri" w:hAnsi="Verdana" w:cs="Arial"/>
          <w:i/>
          <w:iCs/>
          <w:color w:val="000000"/>
          <w:lang w:val="es-ES_tradnl" w:eastAsia="es-ES_tradnl"/>
        </w:rPr>
        <w:t>atípico</w:t>
      </w:r>
      <w:r w:rsidRPr="002A778C">
        <w:rPr>
          <w:rFonts w:ascii="Verdana" w:eastAsia="Calibri" w:hAnsi="Verdana" w:cs="Arial"/>
          <w:color w:val="000000"/>
          <w:lang w:val="es-ES_tradnl" w:eastAsia="es-ES_tradnl"/>
        </w:rPr>
        <w:t xml:space="preserve">, la determinación de su naturaleza depende de la forma como las partes hayan pactado dichos </w:t>
      </w:r>
      <w:r w:rsidRPr="002A778C">
        <w:rPr>
          <w:rFonts w:ascii="Verdana" w:eastAsia="Calibri" w:hAnsi="Verdana" w:cs="Arial"/>
          <w:i/>
          <w:iCs/>
          <w:color w:val="000000"/>
          <w:lang w:val="es-ES_tradnl" w:eastAsia="es-ES_tradnl"/>
        </w:rPr>
        <w:t>acuerdos</w:t>
      </w:r>
      <w:r w:rsidRPr="002A778C">
        <w:rPr>
          <w:rFonts w:ascii="Verdana" w:eastAsia="Calibri" w:hAnsi="Verdana" w:cs="Arial"/>
          <w:color w:val="000000"/>
          <w:lang w:val="es-ES_tradnl" w:eastAsia="es-ES_tradnl"/>
        </w:rPr>
        <w:t xml:space="preserve"> en el contrato en cada caso. </w:t>
      </w:r>
    </w:p>
    <w:p w14:paraId="181C049E" w14:textId="77777777" w:rsidR="004D45D2" w:rsidRPr="0088090D" w:rsidRDefault="004D45D2" w:rsidP="004D45D2">
      <w:pPr>
        <w:tabs>
          <w:tab w:val="left" w:pos="0"/>
        </w:tabs>
        <w:spacing w:after="120" w:line="276" w:lineRule="auto"/>
        <w:ind w:right="193" w:firstLine="709"/>
        <w:jc w:val="both"/>
        <w:rPr>
          <w:rFonts w:ascii="Verdana" w:eastAsia="Calibri" w:hAnsi="Verdana" w:cs="Arial"/>
          <w:color w:val="000000"/>
          <w:lang w:val="es-ES_tradnl" w:eastAsia="es-ES_tradnl"/>
        </w:rPr>
      </w:pPr>
      <w:r>
        <w:rPr>
          <w:rFonts w:ascii="Verdana" w:eastAsia="Calibri" w:hAnsi="Verdana" w:cs="Arial"/>
          <w:color w:val="000000"/>
          <w:lang w:val="es-ES_tradnl" w:eastAsia="es-ES_tradnl"/>
        </w:rPr>
        <w:t>L</w:t>
      </w:r>
      <w:r w:rsidRPr="002C4F1E">
        <w:rPr>
          <w:rFonts w:ascii="Verdana" w:eastAsia="Calibri" w:hAnsi="Verdana" w:cs="Arial"/>
          <w:color w:val="000000"/>
          <w:lang w:val="es-ES_tradnl" w:eastAsia="es-ES_tradnl"/>
        </w:rPr>
        <w:t xml:space="preserve">a costumbre negocial refleja que, usualmente, estos </w:t>
      </w:r>
      <w:r w:rsidRPr="002C4F1E">
        <w:rPr>
          <w:rFonts w:ascii="Verdana" w:eastAsia="Calibri" w:hAnsi="Verdana" w:cs="Arial"/>
          <w:i/>
          <w:iCs/>
          <w:color w:val="000000"/>
          <w:lang w:val="es-ES_tradnl" w:eastAsia="es-ES_tradnl"/>
        </w:rPr>
        <w:t>acuerdos</w:t>
      </w:r>
      <w:r w:rsidRPr="002C4F1E">
        <w:rPr>
          <w:rFonts w:ascii="Verdana" w:eastAsia="Calibri" w:hAnsi="Verdana" w:cs="Arial"/>
          <w:color w:val="000000"/>
          <w:lang w:val="es-ES_tradnl" w:eastAsia="es-ES_tradnl"/>
        </w:rPr>
        <w:t xml:space="preserve"> son estipulaciones mediante las cuales el contratista se compromete a ejecutar sus obligaciones con un determinado grado de calidad o eficiencia</w:t>
      </w:r>
      <w:r>
        <w:rPr>
          <w:rStyle w:val="Refdenotaalpie"/>
          <w:rFonts w:ascii="Verdana" w:eastAsia="Calibri" w:hAnsi="Verdana" w:cs="Arial"/>
          <w:color w:val="000000"/>
          <w:lang w:val="es-ES_tradnl" w:eastAsia="es-ES_tradnl"/>
        </w:rPr>
        <w:footnoteReference w:id="8"/>
      </w:r>
      <w:r w:rsidRPr="002C4F1E">
        <w:rPr>
          <w:rFonts w:ascii="Verdana" w:eastAsia="Calibri" w:hAnsi="Verdana" w:cs="Arial"/>
          <w:color w:val="000000"/>
          <w:lang w:val="es-ES_tradnl" w:eastAsia="es-ES_tradnl"/>
        </w:rPr>
        <w:t>, para, en caso de no cumplir con tal nivel de satisfacción, ver disminuida en parte su remuneración en virtud del descuento que le realiza el contratante.</w:t>
      </w:r>
      <w:r>
        <w:rPr>
          <w:rFonts w:ascii="Arial" w:eastAsia="Calibri" w:hAnsi="Arial" w:cs="Arial"/>
          <w:color w:val="000000"/>
          <w:lang w:val="es-ES_tradnl" w:eastAsia="es-ES_tradnl"/>
        </w:rPr>
        <w:t xml:space="preserve"> </w:t>
      </w:r>
      <w:r w:rsidRPr="00DA731A">
        <w:rPr>
          <w:rFonts w:ascii="Verdana" w:eastAsia="Calibri" w:hAnsi="Verdana" w:cs="Arial"/>
          <w:color w:val="000000"/>
          <w:lang w:val="es-ES_tradnl" w:eastAsia="es-ES_tradnl"/>
        </w:rPr>
        <w:t xml:space="preserve">Si bien en estos casos, se considera que no es necesario acudir al procedimiento administrativo sancionatorio regulado en el artículo 86 de la Ley 1474 de 2011, se debe garantizar en todo caso el debido proceso, como principio rector de las actuaciones contractuales, cuya aplicación automática dependerá del </w:t>
      </w:r>
      <w:r w:rsidRPr="00DA731A">
        <w:rPr>
          <w:rFonts w:ascii="Verdana" w:eastAsia="Calibri" w:hAnsi="Verdana" w:cs="Arial"/>
          <w:color w:val="000000"/>
          <w:lang w:val="es-ES_tradnl" w:eastAsia="es-ES_tradnl"/>
        </w:rPr>
        <w:lastRenderedPageBreak/>
        <w:t>procedimiento previamente establecido por las partes, en el cual el contratista tenga la oportunidad de ejercer sus derechos de audiencia, defensa y los demás que integran dicho derecho fundamental al debido proceso</w:t>
      </w:r>
      <w:r w:rsidRPr="00DA731A">
        <w:rPr>
          <w:rStyle w:val="Refdenotaalpie"/>
          <w:rFonts w:ascii="Verdana" w:eastAsia="Calibri" w:hAnsi="Verdana" w:cs="Arial"/>
          <w:color w:val="000000"/>
          <w:lang w:val="es-ES_tradnl" w:eastAsia="es-ES_tradnl"/>
        </w:rPr>
        <w:footnoteReference w:id="9"/>
      </w:r>
      <w:r w:rsidRPr="00DA731A">
        <w:rPr>
          <w:rFonts w:ascii="Verdana" w:eastAsia="Calibri" w:hAnsi="Verdana" w:cs="Arial"/>
          <w:color w:val="000000"/>
          <w:lang w:val="es-ES_tradnl" w:eastAsia="es-ES_tradnl"/>
        </w:rPr>
        <w:t xml:space="preserve">.  </w:t>
      </w:r>
    </w:p>
    <w:p w14:paraId="05E9E211" w14:textId="77777777" w:rsidR="004D45D2" w:rsidRDefault="004D45D2" w:rsidP="004D45D2">
      <w:pPr>
        <w:tabs>
          <w:tab w:val="left" w:pos="0"/>
        </w:tabs>
        <w:spacing w:before="120" w:after="0" w:line="276" w:lineRule="auto"/>
        <w:ind w:firstLine="709"/>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En ese orden de ideas, los descuentos automáticos pueden estar contemplados en el contrato como una forma de </w:t>
      </w:r>
      <w:r>
        <w:rPr>
          <w:rFonts w:ascii="Verdana" w:eastAsia="Calibri" w:hAnsi="Verdana" w:cs="Arial"/>
          <w:i/>
          <w:iCs/>
          <w:color w:val="000000" w:themeColor="text1"/>
          <w:lang w:val="es-ES"/>
        </w:rPr>
        <w:t>compensación</w:t>
      </w:r>
      <w:r>
        <w:rPr>
          <w:rFonts w:ascii="Verdana" w:eastAsia="Calibri" w:hAnsi="Verdana" w:cs="Arial"/>
          <w:color w:val="000000" w:themeColor="text1"/>
          <w:lang w:val="es-ES"/>
        </w:rPr>
        <w:t xml:space="preserve"> procedente en virtud de un cumplimiento alternativo. En general, tanto los descuentos y/o deducciones automáticas pactadas en dichos contratos se podrían definir como una forma de compensación pactada previamente en los ANS, en función a unos niveles de calidad y que resultan equitativos y proporcionales, estableciendo de manera clara en dichos contratos el procedimiento para la aplicación de </w:t>
      </w:r>
      <w:proofErr w:type="gramStart"/>
      <w:r>
        <w:rPr>
          <w:rFonts w:ascii="Verdana" w:eastAsia="Calibri" w:hAnsi="Verdana" w:cs="Arial"/>
          <w:color w:val="000000" w:themeColor="text1"/>
          <w:lang w:val="es-ES"/>
        </w:rPr>
        <w:t>las mismas</w:t>
      </w:r>
      <w:proofErr w:type="gramEnd"/>
      <w:r>
        <w:rPr>
          <w:rFonts w:ascii="Verdana" w:eastAsia="Calibri" w:hAnsi="Verdana" w:cs="Arial"/>
          <w:color w:val="000000" w:themeColor="text1"/>
          <w:lang w:val="es-ES"/>
        </w:rPr>
        <w:t xml:space="preserve"> a la retribución o contraprestación, garantizando con ello el debido proceso. En este supuesto </w:t>
      </w:r>
      <w:r>
        <w:rPr>
          <w:rFonts w:ascii="Verdana" w:eastAsia="Times New Roman" w:hAnsi="Verdana" w:cs="Times New Roman"/>
        </w:rPr>
        <w:t>se aplicarían en función del nivel de servicio no cumplido, sin necesidad de agotar el procedimiento administrativo sancionatorio del artículo 86 de la Ley 1474 de 2011</w:t>
      </w:r>
      <w:r>
        <w:rPr>
          <w:rStyle w:val="Refdenotaalpie"/>
          <w:rFonts w:ascii="Verdana" w:eastAsia="Calibri" w:hAnsi="Verdana" w:cs="Arial"/>
          <w:color w:val="000000" w:themeColor="text1"/>
          <w:lang w:val="es-ES"/>
        </w:rPr>
        <w:footnoteReference w:id="10"/>
      </w:r>
      <w:r>
        <w:rPr>
          <w:rFonts w:ascii="Verdana" w:eastAsia="Times New Roman" w:hAnsi="Verdana" w:cs="Times New Roman"/>
        </w:rPr>
        <w:t>. Ello no equivale a una aplicación de plano: en todo caso debe garantizarse el debido proceso mínimo previsto en el contrato, de modo que el contratista pueda conocer la verificación efectuada, controvertirla y ejercer su derecho de contradicción antes de que se materialice la deducción.</w:t>
      </w:r>
      <w:r>
        <w:rPr>
          <w:rFonts w:ascii="Verdana" w:eastAsia="Calibri" w:hAnsi="Verdana" w:cs="Arial"/>
          <w:color w:val="000000" w:themeColor="text1"/>
          <w:lang w:val="es-ES"/>
        </w:rPr>
        <w:t xml:space="preserve"> </w:t>
      </w:r>
    </w:p>
    <w:p w14:paraId="78925048" w14:textId="77777777" w:rsidR="004D45D2" w:rsidRDefault="004D45D2" w:rsidP="004D45D2">
      <w:pPr>
        <w:tabs>
          <w:tab w:val="left" w:pos="0"/>
        </w:tabs>
        <w:spacing w:before="120" w:after="0" w:line="276" w:lineRule="auto"/>
        <w:ind w:firstLine="709"/>
        <w:jc w:val="both"/>
        <w:rPr>
          <w:rFonts w:ascii="Verdana" w:eastAsia="Calibri" w:hAnsi="Verdana" w:cs="Arial"/>
          <w:color w:val="000000"/>
          <w:lang w:val="es-ES" w:eastAsia="es-ES_tradnl"/>
        </w:rPr>
      </w:pPr>
      <w:r>
        <w:rPr>
          <w:rFonts w:ascii="Verdana" w:hAnsi="Verdana" w:cs="Arial"/>
          <w:lang w:val="es-ES"/>
        </w:rPr>
        <w:t>Según la célebre definición del MODESTINO, “La compensación es la contribución de una deuda y de un crédito entre sí” (D. 16.2.1). Para DOMAT, “[…] las compensaciones son dos pagos recíprocos que se hacen a un mismo tiempo, sin que los deudores se den mutuamente otra cosa que el recibo de cada deuda, quedando ellas extinguidas hasta la cantidad en que fueren compensadas”</w:t>
      </w:r>
      <w:r>
        <w:rPr>
          <w:rStyle w:val="Refdenotaalpie"/>
          <w:rFonts w:ascii="Verdana" w:hAnsi="Verdana" w:cs="Arial"/>
          <w:lang w:val="es-ES"/>
        </w:rPr>
        <w:footnoteReference w:id="11"/>
      </w:r>
      <w:r>
        <w:rPr>
          <w:rFonts w:ascii="Verdana" w:hAnsi="Verdana" w:cs="Arial"/>
          <w:lang w:val="es-ES"/>
        </w:rPr>
        <w:t>. POTHIER, por su parte, estima que “La compensación es la extinción de las deudas de dos personas de dos recíprocos derechos”</w:t>
      </w:r>
      <w:r>
        <w:rPr>
          <w:rStyle w:val="Refdenotaalpie"/>
          <w:rFonts w:ascii="Verdana" w:hAnsi="Verdana" w:cs="Arial"/>
          <w:lang w:val="es-ES"/>
        </w:rPr>
        <w:footnoteReference w:id="12"/>
      </w:r>
      <w:r>
        <w:rPr>
          <w:rFonts w:ascii="Verdana" w:hAnsi="Verdana" w:cs="Arial"/>
          <w:lang w:val="es-ES"/>
        </w:rPr>
        <w:t>.</w:t>
      </w:r>
    </w:p>
    <w:p w14:paraId="201EDD82" w14:textId="77777777" w:rsidR="004D45D2" w:rsidRDefault="004D45D2" w:rsidP="004D45D2">
      <w:pPr>
        <w:widowControl w:val="0"/>
        <w:autoSpaceDE w:val="0"/>
        <w:autoSpaceDN w:val="0"/>
        <w:spacing w:before="120" w:after="0" w:line="276" w:lineRule="auto"/>
        <w:ind w:firstLine="708"/>
        <w:jc w:val="both"/>
        <w:rPr>
          <w:rFonts w:ascii="Verdana" w:hAnsi="Verdana" w:cs="Arial"/>
          <w:lang w:val="es-ES"/>
        </w:rPr>
      </w:pPr>
      <w:r>
        <w:rPr>
          <w:rFonts w:ascii="Verdana" w:hAnsi="Verdana" w:cs="Arial"/>
          <w:lang w:val="es-ES"/>
        </w:rPr>
        <w:lastRenderedPageBreak/>
        <w:t xml:space="preserve">Por ello, el artículo 1714 </w:t>
      </w:r>
      <w:r>
        <w:rPr>
          <w:rFonts w:ascii="Verdana" w:hAnsi="Verdana" w:cs="Arial"/>
          <w:i/>
          <w:iCs/>
          <w:lang w:val="es-ES"/>
        </w:rPr>
        <w:t>ibidem</w:t>
      </w:r>
      <w:r>
        <w:rPr>
          <w:rFonts w:ascii="Verdana" w:hAnsi="Verdana" w:cs="Arial"/>
          <w:lang w:val="es-ES"/>
        </w:rPr>
        <w:t xml:space="preserve"> establece que “Cuando dos personas son deudoras una de otra, se opera entre ellas una compensación que extingue ambas deudas […]”. Desde el punto de vista etimológico, la expresión deriva del prefijo </w:t>
      </w:r>
      <w:r>
        <w:rPr>
          <w:rFonts w:ascii="Verdana" w:hAnsi="Verdana" w:cs="Arial"/>
          <w:i/>
          <w:iCs/>
          <w:lang w:val="es-ES"/>
        </w:rPr>
        <w:t>con</w:t>
      </w:r>
      <w:r>
        <w:rPr>
          <w:rFonts w:ascii="Verdana" w:hAnsi="Verdana" w:cs="Arial"/>
          <w:lang w:val="es-ES"/>
        </w:rPr>
        <w:t xml:space="preserve">- (todo, junto), </w:t>
      </w:r>
      <w:r>
        <w:rPr>
          <w:rFonts w:ascii="Verdana" w:hAnsi="Verdana" w:cs="Arial"/>
          <w:i/>
          <w:iCs/>
          <w:lang w:val="es-ES"/>
        </w:rPr>
        <w:t>pensare</w:t>
      </w:r>
      <w:r>
        <w:rPr>
          <w:rFonts w:ascii="Verdana" w:hAnsi="Verdana" w:cs="Arial"/>
          <w:lang w:val="es-ES"/>
        </w:rPr>
        <w:t xml:space="preserve"> (pesar en una balanza), más el sufijo -</w:t>
      </w:r>
      <w:proofErr w:type="spellStart"/>
      <w:r>
        <w:rPr>
          <w:rFonts w:ascii="Verdana" w:hAnsi="Verdana" w:cs="Arial"/>
          <w:i/>
          <w:iCs/>
          <w:lang w:val="es-ES"/>
        </w:rPr>
        <w:t>ción</w:t>
      </w:r>
      <w:proofErr w:type="spellEnd"/>
      <w:r>
        <w:rPr>
          <w:rFonts w:ascii="Verdana" w:hAnsi="Verdana" w:cs="Arial"/>
          <w:lang w:val="es-ES"/>
        </w:rPr>
        <w:t xml:space="preserve"> (acción y efecto); razón por la que, en conjunto, significa sopesar o comparar el monto de los créditos que dos personas se adeudan entre sí</w:t>
      </w:r>
      <w:r>
        <w:rPr>
          <w:rStyle w:val="Refdenotaalpie"/>
          <w:rFonts w:ascii="Verdana" w:hAnsi="Verdana" w:cs="Arial"/>
          <w:lang w:val="es-ES"/>
        </w:rPr>
        <w:footnoteReference w:id="13"/>
      </w:r>
      <w:r>
        <w:rPr>
          <w:rFonts w:ascii="Verdana" w:hAnsi="Verdana" w:cs="Arial"/>
          <w:lang w:val="es-ES"/>
        </w:rPr>
        <w:t>. Al ser un medio equivalente al pago, la doctrina la caracteriza como una forma simplificada de la prestación de lo debido:</w:t>
      </w:r>
    </w:p>
    <w:p w14:paraId="5B2487BC" w14:textId="77777777" w:rsidR="004D45D2" w:rsidRDefault="004D45D2" w:rsidP="004D45D2">
      <w:pPr>
        <w:widowControl w:val="0"/>
        <w:autoSpaceDE w:val="0"/>
        <w:autoSpaceDN w:val="0"/>
        <w:spacing w:after="0" w:line="276" w:lineRule="auto"/>
        <w:jc w:val="both"/>
        <w:rPr>
          <w:rFonts w:ascii="Verdana" w:hAnsi="Verdana" w:cs="Arial"/>
          <w:lang w:val="es-ES"/>
        </w:rPr>
      </w:pPr>
    </w:p>
    <w:p w14:paraId="23782A64" w14:textId="77777777" w:rsidR="004D45D2" w:rsidRDefault="004D45D2" w:rsidP="004D45D2">
      <w:pPr>
        <w:widowControl w:val="0"/>
        <w:autoSpaceDE w:val="0"/>
        <w:autoSpaceDN w:val="0"/>
        <w:spacing w:after="120" w:line="240" w:lineRule="auto"/>
        <w:ind w:left="709" w:right="709"/>
        <w:jc w:val="both"/>
        <w:rPr>
          <w:rFonts w:ascii="Verdana" w:hAnsi="Verdana" w:cs="Arial"/>
          <w:sz w:val="20"/>
          <w:szCs w:val="20"/>
          <w:lang w:val="es-ES"/>
        </w:rPr>
      </w:pPr>
      <w:r>
        <w:rPr>
          <w:rFonts w:ascii="Verdana" w:hAnsi="Verdana" w:cs="Arial"/>
          <w:sz w:val="20"/>
          <w:szCs w:val="20"/>
          <w:lang w:val="es-ES"/>
        </w:rPr>
        <w:t>“[…] la compensación es un modo de extinción de las obligaciones que opera entre dos personas que simultáneamente ostentan, la una respecto de la otra, un crédito y una deuda exigibles, cuyo objeto es semejante u homogéneo, lo que conduce a que se considere que los acreedores se entiendan satisfechos y, por ende, a que se estime que los deudores quedan liberados de las respectivas obligaciones. En efecto, una vez se reúnen los requisitos consagrados en la ley […], la compensación, según se ha indicado en una gráfica expresión, opera como una especie de ‘pago abreviado’, lo que otros autores han explicado como un fenómeno de ‘neutralización’ de las deudas, en el que las obligaciones recíprocas se extinguen total o parcialmente, según sea el caso, sin necesidad de que cada deudor ejecute de manera independiente la prestación que adeuda a su respectivo acreedor.</w:t>
      </w:r>
    </w:p>
    <w:p w14:paraId="53FEF1CE" w14:textId="77777777" w:rsidR="004D45D2" w:rsidRDefault="004D45D2" w:rsidP="004D45D2">
      <w:pPr>
        <w:widowControl w:val="0"/>
        <w:autoSpaceDE w:val="0"/>
        <w:autoSpaceDN w:val="0"/>
        <w:spacing w:after="0" w:line="240" w:lineRule="auto"/>
        <w:ind w:left="709" w:right="709"/>
        <w:jc w:val="both"/>
        <w:rPr>
          <w:rFonts w:ascii="Verdana" w:hAnsi="Verdana" w:cs="Arial"/>
          <w:sz w:val="20"/>
          <w:szCs w:val="20"/>
          <w:lang w:val="es-ES"/>
        </w:rPr>
      </w:pPr>
      <w:r>
        <w:rPr>
          <w:rFonts w:ascii="Verdana" w:hAnsi="Verdana" w:cs="Arial"/>
          <w:sz w:val="20"/>
          <w:szCs w:val="20"/>
          <w:lang w:val="es-ES"/>
        </w:rPr>
        <w:t xml:space="preserve">De manera muy elemental se puede indicar, por ejemplo, que si A le debe a B $ 100.000 y B le debe a </w:t>
      </w:r>
      <w:proofErr w:type="spellStart"/>
      <w:r>
        <w:rPr>
          <w:rFonts w:ascii="Verdana" w:hAnsi="Verdana" w:cs="Arial"/>
          <w:sz w:val="20"/>
          <w:szCs w:val="20"/>
          <w:lang w:val="es-ES"/>
        </w:rPr>
        <w:t>A</w:t>
      </w:r>
      <w:proofErr w:type="spellEnd"/>
      <w:r>
        <w:rPr>
          <w:rFonts w:ascii="Verdana" w:hAnsi="Verdana" w:cs="Arial"/>
          <w:sz w:val="20"/>
          <w:szCs w:val="20"/>
          <w:lang w:val="es-ES"/>
        </w:rPr>
        <w:t xml:space="preserve"> $ 70.000, la deuda de B para con A se extingue totalmente y la obligación de A hacia B se cancela parcialmente, pues se reduce a los $ 30.000 que finalmente A deberá pagar a B”</w:t>
      </w:r>
      <w:r>
        <w:rPr>
          <w:rStyle w:val="Refdenotaalpie"/>
          <w:rFonts w:ascii="Verdana" w:hAnsi="Verdana" w:cs="Arial"/>
          <w:sz w:val="20"/>
          <w:szCs w:val="20"/>
          <w:lang w:val="es-ES"/>
        </w:rPr>
        <w:footnoteReference w:id="14"/>
      </w:r>
      <w:r>
        <w:rPr>
          <w:rFonts w:ascii="Verdana" w:hAnsi="Verdana" w:cs="Arial"/>
          <w:sz w:val="20"/>
          <w:szCs w:val="20"/>
          <w:lang w:val="es-ES"/>
        </w:rPr>
        <w:t>.</w:t>
      </w:r>
    </w:p>
    <w:p w14:paraId="768F3D81" w14:textId="77777777" w:rsidR="004D45D2" w:rsidRDefault="004D45D2" w:rsidP="004D45D2">
      <w:pPr>
        <w:widowControl w:val="0"/>
        <w:autoSpaceDE w:val="0"/>
        <w:autoSpaceDN w:val="0"/>
        <w:spacing w:after="0" w:line="276" w:lineRule="auto"/>
        <w:jc w:val="both"/>
        <w:rPr>
          <w:rFonts w:ascii="Verdana" w:hAnsi="Verdana" w:cs="Arial"/>
          <w:lang w:val="es-ES"/>
        </w:rPr>
      </w:pPr>
    </w:p>
    <w:p w14:paraId="70377D9D" w14:textId="77777777" w:rsidR="004D45D2" w:rsidRPr="00C84760" w:rsidRDefault="004D45D2" w:rsidP="004D45D2">
      <w:pPr>
        <w:widowControl w:val="0"/>
        <w:autoSpaceDE w:val="0"/>
        <w:autoSpaceDN w:val="0"/>
        <w:spacing w:after="120" w:line="276" w:lineRule="auto"/>
        <w:ind w:firstLine="709"/>
        <w:jc w:val="both"/>
        <w:rPr>
          <w:rFonts w:ascii="Verdana" w:hAnsi="Verdana" w:cs="Arial"/>
          <w:lang w:val="es-ES"/>
        </w:rPr>
      </w:pPr>
      <w:r>
        <w:rPr>
          <w:rFonts w:ascii="Verdana" w:hAnsi="Verdana" w:cs="Arial"/>
          <w:lang w:val="es-ES"/>
        </w:rPr>
        <w:t xml:space="preserve">La compensación puede tener carácter legal, voluntaria o judicial. La </w:t>
      </w:r>
      <w:r>
        <w:rPr>
          <w:rFonts w:ascii="Verdana" w:hAnsi="Verdana" w:cs="Arial"/>
          <w:i/>
          <w:iCs/>
          <w:lang w:val="es-ES"/>
        </w:rPr>
        <w:t>compensación legal</w:t>
      </w:r>
      <w:r>
        <w:rPr>
          <w:rFonts w:ascii="Verdana" w:hAnsi="Verdana" w:cs="Arial"/>
          <w:lang w:val="es-ES"/>
        </w:rPr>
        <w:t xml:space="preserve"> opera automáticamente por disposición del ordenamiento jurídico, incluso sin que las partes lo sepan, siempre que ambas deudas cumplan con los requisitos exigidos para que se produzca; la </w:t>
      </w:r>
      <w:r>
        <w:rPr>
          <w:rFonts w:ascii="Verdana" w:hAnsi="Verdana" w:cs="Arial"/>
          <w:i/>
          <w:iCs/>
          <w:lang w:val="es-ES"/>
        </w:rPr>
        <w:t>compensación voluntaria</w:t>
      </w:r>
      <w:r>
        <w:rPr>
          <w:rFonts w:ascii="Verdana" w:hAnsi="Verdana" w:cs="Arial"/>
          <w:lang w:val="es-ES"/>
        </w:rPr>
        <w:t xml:space="preserve"> ocurre cuando no se cumplen los requisitos para la </w:t>
      </w:r>
      <w:r>
        <w:rPr>
          <w:rFonts w:ascii="Verdana" w:hAnsi="Verdana" w:cs="Arial"/>
          <w:i/>
          <w:iCs/>
          <w:lang w:val="es-ES"/>
        </w:rPr>
        <w:t>compensación legal</w:t>
      </w:r>
      <w:r>
        <w:rPr>
          <w:rFonts w:ascii="Verdana" w:hAnsi="Verdana" w:cs="Arial"/>
          <w:lang w:val="es-ES"/>
        </w:rPr>
        <w:t xml:space="preserve">, pero las </w:t>
      </w:r>
      <w:r>
        <w:rPr>
          <w:rFonts w:ascii="Verdana" w:hAnsi="Verdana" w:cs="Arial"/>
          <w:lang w:val="es-ES"/>
        </w:rPr>
        <w:lastRenderedPageBreak/>
        <w:t xml:space="preserve">partes acuerdan llevarla a cabo, o cuando la persona que podría oponerse a ella decide renunciar libremente a ese derecho; finalmente, la </w:t>
      </w:r>
      <w:r>
        <w:rPr>
          <w:rFonts w:ascii="Verdana" w:hAnsi="Verdana" w:cs="Arial"/>
          <w:i/>
          <w:iCs/>
          <w:lang w:val="es-ES"/>
        </w:rPr>
        <w:t>compensación judicial</w:t>
      </w:r>
      <w:r>
        <w:rPr>
          <w:rFonts w:ascii="Verdana" w:hAnsi="Verdana" w:cs="Arial"/>
          <w:lang w:val="es-ES"/>
        </w:rPr>
        <w:t xml:space="preserve"> supone que el deudor, al ser demandado, no puede alegar la </w:t>
      </w:r>
      <w:r>
        <w:rPr>
          <w:rFonts w:ascii="Verdana" w:hAnsi="Verdana" w:cs="Arial"/>
          <w:i/>
          <w:iCs/>
          <w:lang w:val="es-ES"/>
        </w:rPr>
        <w:t>compensación legal</w:t>
      </w:r>
      <w:r>
        <w:rPr>
          <w:rFonts w:ascii="Verdana" w:hAnsi="Verdana" w:cs="Arial"/>
          <w:lang w:val="es-ES"/>
        </w:rPr>
        <w:t xml:space="preserve"> porque su crédito no cumple con algún requisito, pero presenta una demanda de reconvención contra el demandante, y el juez, al determinar que ambas pretensiones son válidas, ordena la compensación en la sentencia</w:t>
      </w:r>
      <w:r>
        <w:rPr>
          <w:rStyle w:val="Refdenotaalpie"/>
          <w:rFonts w:ascii="Verdana" w:hAnsi="Verdana" w:cs="Arial"/>
          <w:lang w:val="es-ES"/>
        </w:rPr>
        <w:footnoteReference w:id="15"/>
      </w:r>
      <w:r>
        <w:rPr>
          <w:rFonts w:ascii="Verdana" w:hAnsi="Verdana" w:cs="Arial"/>
          <w:lang w:val="es-ES"/>
        </w:rPr>
        <w:t xml:space="preserve">. Ello muestra el carácter principal que asume la </w:t>
      </w:r>
      <w:r>
        <w:rPr>
          <w:rFonts w:ascii="Verdana" w:hAnsi="Verdana" w:cs="Arial"/>
          <w:i/>
          <w:iCs/>
          <w:lang w:val="es-ES"/>
        </w:rPr>
        <w:t>compensación legal</w:t>
      </w:r>
      <w:r>
        <w:rPr>
          <w:rFonts w:ascii="Verdana" w:hAnsi="Verdana" w:cs="Arial"/>
          <w:lang w:val="es-ES"/>
        </w:rPr>
        <w:t xml:space="preserve">, mientras que la </w:t>
      </w:r>
      <w:r>
        <w:rPr>
          <w:rFonts w:ascii="Verdana" w:hAnsi="Verdana" w:cs="Arial"/>
          <w:i/>
          <w:iCs/>
          <w:lang w:val="es-ES"/>
        </w:rPr>
        <w:t>compensación voluntaria</w:t>
      </w:r>
      <w:r>
        <w:rPr>
          <w:rFonts w:ascii="Verdana" w:hAnsi="Verdana" w:cs="Arial"/>
          <w:lang w:val="es-ES"/>
        </w:rPr>
        <w:t xml:space="preserve"> y la </w:t>
      </w:r>
      <w:r>
        <w:rPr>
          <w:rFonts w:ascii="Verdana" w:hAnsi="Verdana" w:cs="Arial"/>
          <w:i/>
          <w:iCs/>
          <w:lang w:val="es-ES"/>
        </w:rPr>
        <w:t>compensación judicial</w:t>
      </w:r>
      <w:r>
        <w:rPr>
          <w:rFonts w:ascii="Verdana" w:hAnsi="Verdana" w:cs="Arial"/>
          <w:lang w:val="es-ES"/>
        </w:rPr>
        <w:t xml:space="preserve"> tienen una naturaleza subsidiaria, pues ambas aplican en defecto de la primera.</w:t>
      </w:r>
    </w:p>
    <w:p w14:paraId="1BDAE4B3" w14:textId="77777777" w:rsidR="004D45D2" w:rsidRDefault="004D45D2" w:rsidP="004D45D2">
      <w:pPr>
        <w:tabs>
          <w:tab w:val="left" w:pos="0"/>
        </w:tabs>
        <w:spacing w:after="120" w:line="276" w:lineRule="auto"/>
        <w:ind w:right="193" w:firstLine="709"/>
        <w:jc w:val="both"/>
        <w:rPr>
          <w:rFonts w:ascii="Verdana" w:eastAsia="Calibri" w:hAnsi="Verdana" w:cs="Arial"/>
          <w:color w:val="000000"/>
          <w:lang w:val="es-ES_tradnl" w:eastAsia="es-ES_tradnl"/>
        </w:rPr>
      </w:pPr>
      <w:r w:rsidRPr="00DA731A">
        <w:rPr>
          <w:rFonts w:ascii="Verdana" w:eastAsia="Calibri" w:hAnsi="Verdana" w:cs="Arial"/>
          <w:color w:val="000000"/>
          <w:lang w:eastAsia="es-ES_tradnl"/>
        </w:rPr>
        <w:t xml:space="preserve">Por el contrario, si los ANS pactados </w:t>
      </w:r>
      <w:r w:rsidRPr="00DA731A">
        <w:rPr>
          <w:rFonts w:ascii="Verdana" w:eastAsia="Calibri" w:hAnsi="Verdana" w:cs="Arial"/>
          <w:color w:val="000000"/>
          <w:lang w:val="es-ES_tradnl" w:eastAsia="es-ES_tradnl"/>
        </w:rPr>
        <w:t xml:space="preserve">en ejercicio de la autonomía de la voluntad tienen el carácter sancionatorio en el contrato que prevé la declaración de multas o incumplimientos, su aplicación debe estar precedida por la garantía del debido proceso, que corresponde al del </w:t>
      </w:r>
      <w:r w:rsidRPr="00DA731A">
        <w:rPr>
          <w:rFonts w:ascii="Verdana" w:eastAsia="Calibri" w:hAnsi="Verdana" w:cs="Arial"/>
          <w:color w:val="000000" w:themeColor="text1"/>
        </w:rPr>
        <w:t xml:space="preserve">artículo 86 </w:t>
      </w:r>
      <w:r w:rsidRPr="008D6894">
        <w:rPr>
          <w:rFonts w:ascii="Verdana" w:eastAsia="Calibri" w:hAnsi="Verdana" w:cs="Arial"/>
          <w:color w:val="000000"/>
          <w:lang w:val="es-ES_tradnl" w:eastAsia="es-ES_tradnl"/>
        </w:rPr>
        <w:t>de la Ley 1474 de 2011</w:t>
      </w:r>
      <w:r w:rsidRPr="00DA731A">
        <w:rPr>
          <w:rFonts w:ascii="Verdana" w:eastAsia="Calibri" w:hAnsi="Verdana" w:cs="Arial"/>
          <w:color w:val="000000"/>
          <w:lang w:val="es-ES_tradnl" w:eastAsia="es-ES_tradnl"/>
        </w:rPr>
        <w:t>.</w:t>
      </w:r>
    </w:p>
    <w:p w14:paraId="378479D3" w14:textId="77777777" w:rsidR="004D45D2" w:rsidRDefault="004D45D2" w:rsidP="004D45D2">
      <w:pPr>
        <w:tabs>
          <w:tab w:val="left" w:pos="0"/>
        </w:tabs>
        <w:spacing w:before="120" w:after="0" w:line="276" w:lineRule="auto"/>
        <w:ind w:right="191" w:firstLine="709"/>
        <w:jc w:val="both"/>
        <w:rPr>
          <w:rFonts w:ascii="Verdana" w:hAnsi="Verdana" w:cs="Arial"/>
          <w:iCs/>
          <w:color w:val="000000" w:themeColor="text1"/>
          <w:lang w:val="es-ES"/>
        </w:rPr>
      </w:pPr>
      <w:r>
        <w:rPr>
          <w:rFonts w:ascii="Verdana" w:eastAsia="Calibri" w:hAnsi="Verdana" w:cs="Arial"/>
          <w:color w:val="000000"/>
          <w:lang w:val="es-ES" w:eastAsia="es-ES_tradnl"/>
        </w:rPr>
        <w:t xml:space="preserve">Sobre este supuesto, es importante resaltar que </w:t>
      </w:r>
      <w:r>
        <w:rPr>
          <w:rFonts w:ascii="Verdana" w:hAnsi="Verdana" w:cs="Arial"/>
          <w:iCs/>
          <w:color w:val="000000" w:themeColor="text1"/>
          <w:lang w:val="es-ES"/>
        </w:rPr>
        <w:t xml:space="preserve">las Entidades Estatales generalmente cuentan con distintas potestades exorbitantes o excepcionales con base en las cuales ejercen la dirección general del contrato y realizan las actividades propias de vigilancia y control, entre otras están: i) las cláusulas excepcionales del artículo 14 de la Ley 80 de 1993, donde se encuentran la terminación unilateral, la interpretación unilateral, la modificación unilateral, la caducidad y la reversión, las cuales se desarrollan en los artículos 15 a 19 </w:t>
      </w:r>
      <w:r>
        <w:rPr>
          <w:rFonts w:ascii="Verdana" w:hAnsi="Verdana" w:cs="Arial"/>
          <w:i/>
          <w:color w:val="000000" w:themeColor="text1"/>
          <w:lang w:val="es-ES"/>
        </w:rPr>
        <w:t>ibidem</w:t>
      </w:r>
      <w:r>
        <w:rPr>
          <w:rFonts w:ascii="Verdana" w:hAnsi="Verdana" w:cs="Arial"/>
          <w:iCs/>
          <w:color w:val="000000" w:themeColor="text1"/>
          <w:lang w:val="es-ES"/>
        </w:rPr>
        <w:t xml:space="preserve">; </w:t>
      </w:r>
      <w:proofErr w:type="spellStart"/>
      <w:r>
        <w:rPr>
          <w:rFonts w:ascii="Verdana" w:hAnsi="Verdana" w:cs="Arial"/>
          <w:iCs/>
          <w:color w:val="000000" w:themeColor="text1"/>
          <w:lang w:val="es-ES"/>
        </w:rPr>
        <w:t>ii</w:t>
      </w:r>
      <w:proofErr w:type="spellEnd"/>
      <w:r>
        <w:rPr>
          <w:rFonts w:ascii="Verdana" w:hAnsi="Verdana" w:cs="Arial"/>
          <w:iCs/>
          <w:color w:val="000000" w:themeColor="text1"/>
          <w:lang w:val="es-ES"/>
        </w:rPr>
        <w:t xml:space="preserve">) en otras disposiciones también se encuentran establecidas otras potestades exorbitantes, como la liquidación unilateral y la declaratoria unilateral del siniestro; y </w:t>
      </w:r>
      <w:proofErr w:type="spellStart"/>
      <w:r>
        <w:rPr>
          <w:rFonts w:ascii="Verdana" w:hAnsi="Verdana" w:cs="Arial"/>
          <w:iCs/>
          <w:color w:val="000000" w:themeColor="text1"/>
          <w:lang w:val="es-ES"/>
        </w:rPr>
        <w:t>iii</w:t>
      </w:r>
      <w:proofErr w:type="spellEnd"/>
      <w:r>
        <w:rPr>
          <w:rFonts w:ascii="Verdana" w:hAnsi="Verdana" w:cs="Arial"/>
          <w:iCs/>
          <w:color w:val="000000" w:themeColor="text1"/>
          <w:lang w:val="es-ES"/>
        </w:rPr>
        <w:t xml:space="preserve">) por sus características, que se enunciarán en este concepto, se tratan en un grupo distinto las cláusulas excepcionales de </w:t>
      </w:r>
      <w:r>
        <w:rPr>
          <w:rFonts w:ascii="Verdana" w:hAnsi="Verdana" w:cs="Arial"/>
          <w:i/>
          <w:color w:val="000000" w:themeColor="text1"/>
          <w:lang w:val="es-ES"/>
        </w:rPr>
        <w:t>imposición unilateral</w:t>
      </w:r>
      <w:r>
        <w:rPr>
          <w:rFonts w:ascii="Verdana" w:hAnsi="Verdana" w:cs="Arial"/>
          <w:iCs/>
          <w:color w:val="000000" w:themeColor="text1"/>
          <w:lang w:val="es-ES"/>
        </w:rPr>
        <w:t xml:space="preserve"> de las cláusulas penales y de multas, aclarando que su exorbitancia se refiere a su imposición unilateral, no a su pacto, que es posible en virtud de las normas civiles y comerciales.</w:t>
      </w:r>
    </w:p>
    <w:p w14:paraId="70426279" w14:textId="77777777" w:rsidR="004D45D2" w:rsidRDefault="004D45D2" w:rsidP="004D45D2">
      <w:pPr>
        <w:spacing w:before="120" w:line="276" w:lineRule="auto"/>
        <w:ind w:right="142" w:firstLine="709"/>
        <w:jc w:val="both"/>
        <w:rPr>
          <w:rFonts w:ascii="Verdana" w:hAnsi="Verdana" w:cs="Arial"/>
          <w:iCs/>
          <w:color w:val="000000" w:themeColor="text1"/>
          <w:lang w:val="es-ES"/>
        </w:rPr>
      </w:pPr>
      <w:r>
        <w:rPr>
          <w:rFonts w:ascii="Verdana" w:hAnsi="Verdana" w:cs="Arial"/>
          <w:i/>
          <w:color w:val="000000" w:themeColor="text1"/>
          <w:lang w:val="es-ES"/>
        </w:rPr>
        <w:t>La imposición unilateral</w:t>
      </w:r>
      <w:r>
        <w:rPr>
          <w:rFonts w:ascii="Verdana" w:hAnsi="Verdana" w:cs="Arial"/>
          <w:iCs/>
          <w:color w:val="000000" w:themeColor="text1"/>
          <w:lang w:val="es-ES"/>
        </w:rPr>
        <w:t xml:space="preserve"> de la multa o la cláusula penal cuenta con una particular combinación entre el principio de legalidad y la autonomía de la voluntad, de tal suerte </w:t>
      </w:r>
      <w:proofErr w:type="gramStart"/>
      <w:r>
        <w:rPr>
          <w:rFonts w:ascii="Verdana" w:hAnsi="Verdana" w:cs="Arial"/>
          <w:iCs/>
          <w:color w:val="000000" w:themeColor="text1"/>
          <w:lang w:val="es-ES"/>
        </w:rPr>
        <w:t>que</w:t>
      </w:r>
      <w:proofErr w:type="gramEnd"/>
      <w:r>
        <w:rPr>
          <w:rFonts w:ascii="Verdana" w:hAnsi="Verdana" w:cs="Arial"/>
          <w:iCs/>
          <w:color w:val="000000" w:themeColor="text1"/>
          <w:lang w:val="es-ES"/>
        </w:rPr>
        <w:t xml:space="preserve"> si bien el legislador autorizó a las entidades para declarar el incumplimiento con la intención de multar al contratista para conminarlo al cumplimiento o para hacer efectiva la cláusula penal, es </w:t>
      </w:r>
      <w:r>
        <w:rPr>
          <w:rFonts w:ascii="Verdana" w:hAnsi="Verdana" w:cs="Arial"/>
          <w:iCs/>
          <w:color w:val="000000" w:themeColor="text1"/>
          <w:lang w:val="es-ES"/>
        </w:rPr>
        <w:lastRenderedPageBreak/>
        <w:t>indispensable que uno u otro caso se hayan pactado en el contrato</w:t>
      </w:r>
      <w:r>
        <w:rPr>
          <w:rFonts w:ascii="Verdana" w:hAnsi="Verdana" w:cs="Arial"/>
          <w:color w:val="000000" w:themeColor="text1"/>
          <w:vertAlign w:val="superscript"/>
          <w:lang w:val="es-ES"/>
        </w:rPr>
        <w:footnoteReference w:id="16"/>
      </w:r>
      <w:r>
        <w:rPr>
          <w:rFonts w:ascii="Verdana" w:hAnsi="Verdana" w:cs="Arial"/>
          <w:iCs/>
          <w:color w:val="000000" w:themeColor="text1"/>
          <w:lang w:val="es-ES"/>
        </w:rPr>
        <w:t xml:space="preserve">. No obstante, cumplido el requisito del pacto en el contrato, las entidades estatales sometidas al EGCAP, por ministerio de la ley –artículo 17 de la Ley 1150 de 2007–, se entienden investidas de la prerrogativa de imposición unilateral. </w:t>
      </w:r>
    </w:p>
    <w:p w14:paraId="3DC8BF75" w14:textId="77777777" w:rsidR="004D45D2" w:rsidRDefault="004D45D2" w:rsidP="004D45D2">
      <w:pPr>
        <w:spacing w:before="120" w:after="0" w:line="276" w:lineRule="auto"/>
        <w:ind w:right="142" w:firstLine="709"/>
        <w:jc w:val="both"/>
        <w:rPr>
          <w:rFonts w:ascii="Verdana" w:hAnsi="Verdana" w:cs="Arial"/>
          <w:iCs/>
          <w:color w:val="000000" w:themeColor="text1"/>
          <w:lang w:val="es-ES"/>
        </w:rPr>
      </w:pPr>
      <w:r>
        <w:rPr>
          <w:rFonts w:ascii="Verdana" w:hAnsi="Verdana" w:cs="Arial"/>
          <w:iCs/>
          <w:color w:val="000000" w:themeColor="text1"/>
          <w:lang w:val="es-ES"/>
        </w:rPr>
        <w:t xml:space="preserve">En efecto, tratándose de las multas, en cumplimiento del principio de tipicidad, las partes deben determinar pormenorizadamente las acciones u omisiones objeto de sanción y el monto de la sanción a imponer, el cual, en todo caso, debe atender los criterios de proporcionalidad y razonabilidad. En esa línea se pronunció la Sección Tercera del Consejo de Estado, en la Sentencia del 15 de noviembre de 2011, expediente 20.916, con ponencia de Olga Mélida Valle de </w:t>
      </w:r>
      <w:proofErr w:type="spellStart"/>
      <w:r>
        <w:rPr>
          <w:rFonts w:ascii="Verdana" w:hAnsi="Verdana" w:cs="Arial"/>
          <w:iCs/>
          <w:color w:val="000000" w:themeColor="text1"/>
          <w:lang w:val="es-ES"/>
        </w:rPr>
        <w:t>De</w:t>
      </w:r>
      <w:proofErr w:type="spellEnd"/>
      <w:r>
        <w:rPr>
          <w:rFonts w:ascii="Verdana" w:hAnsi="Verdana" w:cs="Arial"/>
          <w:iCs/>
          <w:color w:val="000000" w:themeColor="text1"/>
          <w:lang w:val="es-ES"/>
        </w:rPr>
        <w:t xml:space="preserve"> La Hoz:</w:t>
      </w:r>
    </w:p>
    <w:p w14:paraId="5965BCF3" w14:textId="77777777" w:rsidR="004D45D2" w:rsidRDefault="004D45D2" w:rsidP="004D45D2">
      <w:pPr>
        <w:pStyle w:val="Prrafodelista"/>
        <w:spacing w:line="276" w:lineRule="auto"/>
        <w:ind w:right="-425"/>
        <w:jc w:val="both"/>
        <w:rPr>
          <w:rFonts w:ascii="Verdana" w:hAnsi="Verdana" w:cs="Arial"/>
          <w:iCs/>
          <w:color w:val="000000" w:themeColor="text1"/>
        </w:rPr>
      </w:pPr>
    </w:p>
    <w:p w14:paraId="2F0EA120" w14:textId="77777777" w:rsidR="004D45D2" w:rsidRDefault="004D45D2" w:rsidP="004D45D2">
      <w:pPr>
        <w:pStyle w:val="Prrafodelista"/>
        <w:spacing w:after="120"/>
        <w:ind w:left="709" w:right="758"/>
        <w:jc w:val="both"/>
        <w:rPr>
          <w:rFonts w:ascii="Verdana" w:hAnsi="Verdana" w:cs="Arial"/>
          <w:iCs/>
          <w:color w:val="000000" w:themeColor="text1"/>
          <w:sz w:val="20"/>
          <w:szCs w:val="20"/>
        </w:rPr>
      </w:pPr>
      <w:r>
        <w:rPr>
          <w:rFonts w:ascii="Verdana" w:hAnsi="Verdana" w:cs="Arial"/>
          <w:iCs/>
          <w:color w:val="000000" w:themeColor="text1"/>
          <w:sz w:val="20"/>
          <w:szCs w:val="20"/>
        </w:rPr>
        <w:t xml:space="preserve">“De otro lado, según se ha expuesto, otras sanciones contractuales, como la multa y la cláusula penal, mantienen la libertad de pacto, es decir, que la ley no determina las conductas que las originan, y las partes pueden hacerlo con gran libertad -pero tampoco arbitrariamente-. Pese a este relajamiento del principio de legalidad fuerte, en todo caso se conserva el principio de tipicidad, según el cual las partes del negocio deben describir la conducta prohibida en la cláusula contractual. Además, también se mantiene el principio que impone que la conducta reprochable se establezca de manera previa a su realización –lex previa–, para evitar la arbitrariedad y el abuso de poder”. </w:t>
      </w:r>
    </w:p>
    <w:p w14:paraId="5F482336" w14:textId="77777777" w:rsidR="004D45D2" w:rsidRDefault="004D45D2" w:rsidP="004D45D2">
      <w:pPr>
        <w:spacing w:after="0" w:line="276" w:lineRule="auto"/>
        <w:ind w:left="709" w:right="758"/>
        <w:jc w:val="both"/>
        <w:rPr>
          <w:rFonts w:ascii="Verdana" w:hAnsi="Verdana" w:cs="Arial"/>
          <w:iCs/>
          <w:color w:val="000000" w:themeColor="text1"/>
          <w:lang w:val="es-ES"/>
        </w:rPr>
      </w:pPr>
    </w:p>
    <w:p w14:paraId="6D7BBF9B" w14:textId="77777777" w:rsidR="004D45D2" w:rsidRDefault="004D45D2" w:rsidP="004D45D2">
      <w:pPr>
        <w:spacing w:after="0" w:line="276" w:lineRule="auto"/>
        <w:ind w:right="142" w:firstLine="708"/>
        <w:jc w:val="both"/>
        <w:rPr>
          <w:rFonts w:ascii="Verdana" w:hAnsi="Verdana" w:cs="Arial"/>
          <w:iCs/>
          <w:color w:val="000000" w:themeColor="text1"/>
          <w:lang w:val="es-ES"/>
        </w:rPr>
      </w:pPr>
      <w:r>
        <w:rPr>
          <w:rFonts w:ascii="Verdana" w:hAnsi="Verdana" w:cs="Arial"/>
          <w:iCs/>
          <w:color w:val="000000" w:themeColor="text1"/>
          <w:lang w:val="es-ES"/>
        </w:rPr>
        <w:t xml:space="preserve">De igual forma, en la sentencia del 23 de junio de 2010, expediente 16.367 y ponencia de Enrique Gil Botero, la Sección Tercera del Consejo de Estado indicó que “el núcleo mínimo de este derecho exige que una norma –legal o contractual– contemple la falta y la sanción. Si ni siquiera lo hace el contrato, la administración no puede imponer sanciones, so pena de violar el debido proceso”. Asimismo, frente al tema </w:t>
      </w:r>
      <w:r>
        <w:rPr>
          <w:rFonts w:ascii="Verdana" w:hAnsi="Verdana" w:cs="Arial"/>
          <w:i/>
          <w:color w:val="000000" w:themeColor="text1"/>
          <w:lang w:val="es-ES"/>
        </w:rPr>
        <w:t xml:space="preserve">sub examine, </w:t>
      </w:r>
      <w:r>
        <w:rPr>
          <w:rFonts w:ascii="Verdana" w:hAnsi="Verdana" w:cs="Arial"/>
          <w:iCs/>
          <w:color w:val="000000" w:themeColor="text1"/>
          <w:lang w:val="es-ES"/>
        </w:rPr>
        <w:t xml:space="preserve">el máximo Tribunal de lo Contencioso Administrativo, en sentencia del 13 de noviembre de 2008, indicó </w:t>
      </w:r>
      <w:proofErr w:type="gramStart"/>
      <w:r>
        <w:rPr>
          <w:rFonts w:ascii="Verdana" w:hAnsi="Verdana" w:cs="Arial"/>
          <w:i/>
          <w:color w:val="000000" w:themeColor="text1"/>
          <w:lang w:val="es-ES"/>
        </w:rPr>
        <w:t>in extenso</w:t>
      </w:r>
      <w:proofErr w:type="gramEnd"/>
      <w:r>
        <w:rPr>
          <w:rFonts w:ascii="Verdana" w:hAnsi="Verdana" w:cs="Arial"/>
          <w:i/>
          <w:color w:val="000000" w:themeColor="text1"/>
          <w:lang w:val="es-ES"/>
        </w:rPr>
        <w:t xml:space="preserve"> </w:t>
      </w:r>
      <w:r>
        <w:rPr>
          <w:rFonts w:ascii="Verdana" w:hAnsi="Verdana" w:cs="Arial"/>
          <w:iCs/>
          <w:color w:val="000000" w:themeColor="text1"/>
          <w:lang w:val="es-ES"/>
        </w:rPr>
        <w:t>lo siguiente:</w:t>
      </w:r>
    </w:p>
    <w:p w14:paraId="3F729A37" w14:textId="77777777" w:rsidR="004D45D2" w:rsidRDefault="004D45D2" w:rsidP="004D45D2">
      <w:pPr>
        <w:pStyle w:val="Prrafodelista"/>
        <w:spacing w:line="276" w:lineRule="auto"/>
        <w:ind w:right="-425"/>
        <w:jc w:val="both"/>
        <w:rPr>
          <w:rFonts w:ascii="Verdana" w:hAnsi="Verdana" w:cs="Arial"/>
          <w:iCs/>
          <w:color w:val="000000" w:themeColor="text1"/>
        </w:rPr>
      </w:pPr>
    </w:p>
    <w:p w14:paraId="2A930207" w14:textId="77777777" w:rsidR="004D45D2" w:rsidRDefault="004D45D2" w:rsidP="004D45D2">
      <w:pPr>
        <w:pStyle w:val="Prrafodelista"/>
        <w:ind w:left="709" w:right="758"/>
        <w:jc w:val="both"/>
        <w:rPr>
          <w:rFonts w:ascii="Verdana" w:hAnsi="Verdana" w:cs="Arial"/>
          <w:iCs/>
          <w:color w:val="000000" w:themeColor="text1"/>
          <w:sz w:val="20"/>
          <w:szCs w:val="20"/>
        </w:rPr>
      </w:pPr>
      <w:r>
        <w:rPr>
          <w:rFonts w:ascii="Verdana" w:hAnsi="Verdana" w:cs="Arial"/>
          <w:iCs/>
          <w:color w:val="000000" w:themeColor="text1"/>
          <w:sz w:val="20"/>
          <w:szCs w:val="20"/>
        </w:rPr>
        <w:t xml:space="preserve">“La otra, la débil, donde se enmarcan la mayoría de las sanciones contractuales, hace relación a que lo determinante no es que una Ley sea quien contemple las faltas y las sanciones, sino que sea una norma –por </w:t>
      </w:r>
      <w:r>
        <w:rPr>
          <w:rFonts w:ascii="Verdana" w:hAnsi="Verdana" w:cs="Arial"/>
          <w:iCs/>
          <w:color w:val="000000" w:themeColor="text1"/>
          <w:sz w:val="20"/>
          <w:szCs w:val="20"/>
        </w:rPr>
        <w:lastRenderedPageBreak/>
        <w:t>ejemplo, un reglamento- quien en forma previa y clara las estipule. A este grupo pertenecen buena parte de las sanciones administrativas, como las educativas, las cuales no están consagradas en una ley expedida por el legislador o por el ejecutivo al amparo de facultades extraordinarias, sino en simples reglamentos administrativos internos.</w:t>
      </w:r>
    </w:p>
    <w:p w14:paraId="64C19C69" w14:textId="77777777" w:rsidR="004D45D2" w:rsidRDefault="004D45D2" w:rsidP="004D45D2">
      <w:pPr>
        <w:pStyle w:val="Prrafodelista"/>
        <w:ind w:left="709" w:right="758"/>
        <w:jc w:val="both"/>
        <w:rPr>
          <w:rFonts w:ascii="Verdana" w:hAnsi="Verdana" w:cs="Arial"/>
          <w:iCs/>
          <w:color w:val="000000" w:themeColor="text1"/>
          <w:sz w:val="12"/>
          <w:szCs w:val="12"/>
        </w:rPr>
      </w:pPr>
    </w:p>
    <w:p w14:paraId="729A4820" w14:textId="77777777" w:rsidR="004D45D2" w:rsidRDefault="004D45D2" w:rsidP="004D45D2">
      <w:pPr>
        <w:pStyle w:val="Prrafodelista"/>
        <w:ind w:left="709" w:right="758"/>
        <w:jc w:val="both"/>
        <w:rPr>
          <w:rFonts w:ascii="Verdana" w:hAnsi="Verdana" w:cs="Arial"/>
          <w:iCs/>
          <w:color w:val="000000" w:themeColor="text1"/>
          <w:sz w:val="20"/>
          <w:szCs w:val="20"/>
        </w:rPr>
      </w:pPr>
      <w:r>
        <w:rPr>
          <w:rFonts w:ascii="Verdana" w:hAnsi="Verdana" w:cs="Arial"/>
          <w:iCs/>
          <w:color w:val="000000" w:themeColor="text1"/>
          <w:sz w:val="20"/>
          <w:szCs w:val="20"/>
        </w:rPr>
        <w:t>Algunas de las sanciones contractuales podrían enmarcarse en esta clasificación, pues es claro que la ley –bien la que expide el Congreso o bien los decretos con fuerza de ley– no las contempla de manera directa –salvo excepciones–. Tal es el caso de las multas y de la cláusula penal pecuniaria, que están autorizadas por la ley, pero no previstas en ella, sino en cada contrato, en caso de que las partes las pacten.</w:t>
      </w:r>
    </w:p>
    <w:p w14:paraId="23CDE79E" w14:textId="77777777" w:rsidR="004D45D2" w:rsidRDefault="004D45D2" w:rsidP="004D45D2">
      <w:pPr>
        <w:pStyle w:val="Prrafodelista"/>
        <w:ind w:left="709" w:right="758"/>
        <w:jc w:val="both"/>
        <w:rPr>
          <w:rFonts w:ascii="Verdana" w:hAnsi="Verdana" w:cs="Arial"/>
          <w:iCs/>
          <w:color w:val="000000" w:themeColor="text1"/>
          <w:sz w:val="12"/>
          <w:szCs w:val="12"/>
        </w:rPr>
      </w:pPr>
    </w:p>
    <w:p w14:paraId="2D3B52C5" w14:textId="77777777" w:rsidR="004D45D2" w:rsidRDefault="004D45D2" w:rsidP="004D45D2">
      <w:pPr>
        <w:pStyle w:val="Prrafodelista"/>
        <w:ind w:left="709" w:right="758"/>
        <w:jc w:val="both"/>
        <w:rPr>
          <w:rFonts w:ascii="Verdana" w:hAnsi="Verdana" w:cs="Arial"/>
          <w:iCs/>
          <w:color w:val="000000" w:themeColor="text1"/>
          <w:sz w:val="20"/>
          <w:szCs w:val="20"/>
        </w:rPr>
      </w:pPr>
      <w:r>
        <w:rPr>
          <w:rFonts w:ascii="Verdana" w:hAnsi="Verdana" w:cs="Arial"/>
          <w:iCs/>
          <w:color w:val="000000" w:themeColor="text1"/>
          <w:sz w:val="20"/>
          <w:szCs w:val="20"/>
        </w:rPr>
        <w:t>Obsérvese cómo el ‘principio de legalidad’ –es decir, la predeterminación de las conductas en la Ley–, en materia contractual se reduce a la simple “tipicidad” de la conducta –es decir, a la descripción y especificación normativa del comportamiento prohibido–, pues lo determinante no es que la Ley contemple la falta y la sanción, sino que estén previamente definidas en cualquier norma, sin que importe que sea o no una ley quien lo haga.</w:t>
      </w:r>
    </w:p>
    <w:p w14:paraId="57E31626" w14:textId="77777777" w:rsidR="004D45D2" w:rsidRDefault="004D45D2" w:rsidP="004D45D2">
      <w:pPr>
        <w:pStyle w:val="Prrafodelista"/>
        <w:ind w:left="709" w:right="758"/>
        <w:jc w:val="both"/>
        <w:rPr>
          <w:rFonts w:ascii="Verdana" w:hAnsi="Verdana" w:cs="Arial"/>
          <w:iCs/>
          <w:color w:val="000000" w:themeColor="text1"/>
          <w:sz w:val="12"/>
          <w:szCs w:val="12"/>
        </w:rPr>
      </w:pPr>
    </w:p>
    <w:p w14:paraId="3DD58DB1" w14:textId="77777777" w:rsidR="004D45D2" w:rsidRDefault="004D45D2" w:rsidP="004D45D2">
      <w:pPr>
        <w:pStyle w:val="Prrafodelista"/>
        <w:ind w:left="709" w:right="758"/>
        <w:jc w:val="both"/>
        <w:rPr>
          <w:rFonts w:ascii="Verdana" w:hAnsi="Verdana" w:cs="Arial"/>
          <w:iCs/>
          <w:color w:val="000000" w:themeColor="text1"/>
          <w:sz w:val="20"/>
          <w:szCs w:val="20"/>
        </w:rPr>
      </w:pPr>
      <w:r>
        <w:rPr>
          <w:rFonts w:ascii="Verdana" w:hAnsi="Verdana" w:cs="Arial"/>
          <w:iCs/>
          <w:color w:val="000000" w:themeColor="text1"/>
          <w:sz w:val="20"/>
          <w:szCs w:val="20"/>
        </w:rPr>
        <w:t>Por tanto, en materia contractual opera una especie de combinación entre el principio de legalidad y el de la autonomía de la voluntad: el primero exige que las conductas reprochables entre las partes del contrato se contemplen previamente, con su correspondiente sanción, y el segundo permite que sean las partes –no la ley; pero autorizadas por ella– quienes definan esas conductas y la sanción. Se trata, no cabe duda, de un supuesto de ius puniendi sui generis al que regula el art. 29 CP., en lo que respecta, por lo menos, a la legalidad”</w:t>
      </w:r>
      <w:r>
        <w:rPr>
          <w:rStyle w:val="Refdenotaalpie"/>
          <w:rFonts w:ascii="Verdana" w:hAnsi="Verdana" w:cs="Arial"/>
          <w:iCs/>
          <w:color w:val="000000" w:themeColor="text1"/>
          <w:sz w:val="20"/>
          <w:szCs w:val="20"/>
        </w:rPr>
        <w:footnoteReference w:id="17"/>
      </w:r>
      <w:r>
        <w:rPr>
          <w:rFonts w:ascii="Verdana" w:hAnsi="Verdana" w:cs="Arial"/>
          <w:iCs/>
          <w:color w:val="000000" w:themeColor="text1"/>
          <w:sz w:val="20"/>
          <w:szCs w:val="20"/>
        </w:rPr>
        <w:t>.</w:t>
      </w:r>
    </w:p>
    <w:p w14:paraId="44A989A1" w14:textId="77777777" w:rsidR="004D45D2" w:rsidRDefault="004D45D2" w:rsidP="004D45D2">
      <w:pPr>
        <w:pStyle w:val="Prrafodelista"/>
        <w:spacing w:after="0" w:line="276" w:lineRule="auto"/>
        <w:ind w:right="-425"/>
        <w:jc w:val="both"/>
        <w:rPr>
          <w:rFonts w:ascii="Verdana" w:hAnsi="Verdana" w:cs="Arial"/>
          <w:iCs/>
          <w:color w:val="000000" w:themeColor="text1"/>
        </w:rPr>
      </w:pPr>
    </w:p>
    <w:p w14:paraId="3711C685" w14:textId="77777777" w:rsidR="004D45D2" w:rsidRDefault="004D45D2" w:rsidP="004D45D2">
      <w:pPr>
        <w:spacing w:line="276" w:lineRule="auto"/>
        <w:ind w:right="142" w:firstLine="708"/>
        <w:jc w:val="both"/>
        <w:rPr>
          <w:rFonts w:ascii="Verdana" w:hAnsi="Verdana" w:cs="Arial"/>
          <w:iCs/>
          <w:color w:val="000000" w:themeColor="text1"/>
          <w:lang w:val="es-ES"/>
        </w:rPr>
      </w:pPr>
      <w:r>
        <w:rPr>
          <w:rFonts w:ascii="Verdana" w:hAnsi="Verdana" w:cs="Arial"/>
          <w:iCs/>
          <w:color w:val="000000" w:themeColor="text1"/>
          <w:lang w:val="es-ES"/>
        </w:rPr>
        <w:t>De otro lado, la Corte Constitucional precisó que la tipicidad hacía referencia a “la exigencia de descripción específica y precisa por la norma creadora de las infracciones y de las sanciones, de las conductas que pueden ser sancionadas y del contenido material de las sanciones que puede imponerse por la comisión de cada conducta, así como la correlación entre unas y otras”</w:t>
      </w:r>
      <w:r>
        <w:rPr>
          <w:rStyle w:val="Refdenotaalpie"/>
          <w:rFonts w:ascii="Verdana" w:hAnsi="Verdana" w:cs="Arial"/>
          <w:iCs/>
          <w:color w:val="000000" w:themeColor="text1"/>
          <w:lang w:val="es-ES"/>
        </w:rPr>
        <w:footnoteReference w:id="18"/>
      </w:r>
      <w:r>
        <w:rPr>
          <w:rFonts w:ascii="Verdana" w:hAnsi="Verdana" w:cs="Arial"/>
          <w:iCs/>
          <w:color w:val="000000" w:themeColor="text1"/>
          <w:lang w:val="es-ES"/>
        </w:rPr>
        <w:t xml:space="preserve">. Por su parte, el artículo 17 de la Ley 1150 de 2007, además de autorizar la imposición unilateral de multas, también precisa que la declaración de </w:t>
      </w:r>
      <w:r>
        <w:rPr>
          <w:rFonts w:ascii="Verdana" w:hAnsi="Verdana" w:cs="Arial"/>
          <w:iCs/>
          <w:color w:val="000000" w:themeColor="text1"/>
          <w:lang w:val="es-ES"/>
        </w:rPr>
        <w:lastRenderedPageBreak/>
        <w:t xml:space="preserve">incumplimiento tiene como propósito “hacer efectiva la cláusula penal pecuniaria incluida en el contrato”. </w:t>
      </w:r>
    </w:p>
    <w:p w14:paraId="3FF9BEC6" w14:textId="77777777" w:rsidR="004D45D2" w:rsidRDefault="004D45D2" w:rsidP="004D45D2">
      <w:pPr>
        <w:spacing w:before="120" w:line="276" w:lineRule="auto"/>
        <w:ind w:right="142" w:firstLine="709"/>
        <w:jc w:val="both"/>
        <w:rPr>
          <w:rFonts w:ascii="Verdana" w:hAnsi="Verdana" w:cs="Arial"/>
          <w:iCs/>
          <w:color w:val="000000" w:themeColor="text1"/>
          <w:lang w:val="es-ES"/>
        </w:rPr>
      </w:pPr>
      <w:r>
        <w:rPr>
          <w:rFonts w:ascii="Verdana" w:hAnsi="Verdana" w:cs="Arial"/>
          <w:iCs/>
          <w:color w:val="000000" w:themeColor="text1"/>
          <w:lang w:val="es-ES"/>
        </w:rPr>
        <w:t>La Sección Tercera del Consejo de Estado, en relación con las diferencias entre las multas y la cláusula penal, ha señalado que: “Aunque las multas y la cláusula penal pecuniaria tienen una finalidad común –en lo sustancial–, que se concreta en el logro de los objetivos propuestos en el contrato; se diferencian en que la multa por regla general es conminatoria del cumplimiento de las obligaciones en razón al acaecimiento de incumplimientos parciales; la cláusula penal constituye en principio una tasación anticipada de perjuicios, a raíz de la declaratoria de caducidad o del incumplimiento definitivo del contrato”</w:t>
      </w:r>
      <w:r>
        <w:rPr>
          <w:rFonts w:ascii="Verdana" w:hAnsi="Verdana" w:cs="Arial"/>
          <w:color w:val="000000" w:themeColor="text1"/>
          <w:vertAlign w:val="superscript"/>
          <w:lang w:val="es-ES"/>
        </w:rPr>
        <w:footnoteReference w:id="19"/>
      </w:r>
      <w:r>
        <w:rPr>
          <w:rFonts w:ascii="Verdana" w:hAnsi="Verdana" w:cs="Arial"/>
          <w:iCs/>
          <w:color w:val="000000" w:themeColor="text1"/>
          <w:lang w:val="es-ES"/>
        </w:rPr>
        <w:t>.</w:t>
      </w:r>
    </w:p>
    <w:p w14:paraId="6B187F54" w14:textId="77777777" w:rsidR="004D45D2" w:rsidRDefault="004D45D2" w:rsidP="004D45D2">
      <w:pPr>
        <w:spacing w:before="120" w:line="276" w:lineRule="auto"/>
        <w:ind w:right="142" w:firstLine="709"/>
        <w:jc w:val="both"/>
        <w:rPr>
          <w:rFonts w:ascii="Verdana" w:hAnsi="Verdana" w:cs="Arial"/>
          <w:iCs/>
          <w:color w:val="000000" w:themeColor="text1"/>
          <w:lang w:val="es-ES"/>
        </w:rPr>
      </w:pPr>
      <w:r>
        <w:rPr>
          <w:rFonts w:ascii="Verdana" w:hAnsi="Verdana" w:cs="Arial"/>
          <w:iCs/>
          <w:color w:val="000000" w:themeColor="text1"/>
          <w:lang w:val="es-ES"/>
        </w:rPr>
        <w:t xml:space="preserve">Igualmente, la Ley 1474 de 2011 contempla la posibilidad de declarar el incumplimiento cuantificando los perjuicios </w:t>
      </w:r>
      <w:proofErr w:type="gramStart"/>
      <w:r>
        <w:rPr>
          <w:rFonts w:ascii="Verdana" w:hAnsi="Verdana" w:cs="Arial"/>
          <w:iCs/>
          <w:color w:val="000000" w:themeColor="text1"/>
          <w:lang w:val="es-ES"/>
        </w:rPr>
        <w:t>del mismo</w:t>
      </w:r>
      <w:proofErr w:type="gramEnd"/>
      <w:r>
        <w:rPr>
          <w:rFonts w:ascii="Verdana" w:hAnsi="Verdana" w:cs="Arial"/>
          <w:iCs/>
          <w:color w:val="000000" w:themeColor="text1"/>
          <w:lang w:val="es-ES"/>
        </w:rPr>
        <w:t>, claro está, previa citación del contratista y respetando el debido proceso. Al respecto, el artículo 86 de la Ley 1474 de 2011 establece las etapas del procedimiento que se deben seguir: i) c</w:t>
      </w:r>
      <w:r>
        <w:rPr>
          <w:rFonts w:ascii="Verdana" w:hAnsi="Verdana" w:cs="Arial"/>
          <w:i/>
          <w:iCs/>
          <w:color w:val="000000" w:themeColor="text1"/>
          <w:lang w:val="es-ES"/>
        </w:rPr>
        <w:t>itación a audiencia</w:t>
      </w:r>
      <w:r>
        <w:rPr>
          <w:rFonts w:ascii="Verdana" w:hAnsi="Verdana" w:cs="Arial"/>
          <w:iCs/>
          <w:color w:val="000000" w:themeColor="text1"/>
          <w:lang w:val="es-ES"/>
        </w:rPr>
        <w:t xml:space="preserve">.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 </w:t>
      </w:r>
      <w:proofErr w:type="spellStart"/>
      <w:r>
        <w:rPr>
          <w:rFonts w:ascii="Verdana" w:hAnsi="Verdana" w:cs="Arial"/>
          <w:iCs/>
          <w:color w:val="000000" w:themeColor="text1"/>
          <w:lang w:val="es-ES"/>
        </w:rPr>
        <w:t>ii</w:t>
      </w:r>
      <w:proofErr w:type="spellEnd"/>
      <w:r>
        <w:rPr>
          <w:rFonts w:ascii="Verdana" w:hAnsi="Verdana" w:cs="Arial"/>
          <w:iCs/>
          <w:color w:val="000000" w:themeColor="text1"/>
          <w:lang w:val="es-ES"/>
        </w:rPr>
        <w:t xml:space="preserve">) </w:t>
      </w:r>
      <w:r>
        <w:rPr>
          <w:rFonts w:ascii="Verdana" w:hAnsi="Verdana" w:cs="Arial"/>
          <w:i/>
          <w:iCs/>
          <w:color w:val="000000" w:themeColor="text1"/>
          <w:lang w:val="es-ES"/>
        </w:rPr>
        <w:t>Audiencia</w:t>
      </w:r>
      <w:r>
        <w:rPr>
          <w:rFonts w:ascii="Verdana" w:hAnsi="Verdana" w:cs="Arial"/>
          <w:iCs/>
          <w:color w:val="000000" w:themeColor="text1"/>
          <w:lang w:val="es-ES"/>
        </w:rPr>
        <w:t xml:space="preserve">.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rindan las explicaciones del caso; y </w:t>
      </w:r>
      <w:proofErr w:type="spellStart"/>
      <w:r>
        <w:rPr>
          <w:rFonts w:ascii="Verdana" w:hAnsi="Verdana" w:cs="Arial"/>
          <w:iCs/>
          <w:color w:val="000000" w:themeColor="text1"/>
          <w:lang w:val="es-ES"/>
        </w:rPr>
        <w:t>iii</w:t>
      </w:r>
      <w:proofErr w:type="spellEnd"/>
      <w:r>
        <w:rPr>
          <w:rFonts w:ascii="Verdana" w:hAnsi="Verdana" w:cs="Arial"/>
          <w:iCs/>
          <w:color w:val="000000" w:themeColor="text1"/>
          <w:lang w:val="es-ES"/>
        </w:rPr>
        <w:t xml:space="preserve">) </w:t>
      </w:r>
      <w:r>
        <w:rPr>
          <w:rFonts w:ascii="Verdana" w:hAnsi="Verdana" w:cs="Arial"/>
          <w:i/>
          <w:iCs/>
          <w:color w:val="000000" w:themeColor="text1"/>
          <w:lang w:val="es-ES"/>
        </w:rPr>
        <w:t>Decisión</w:t>
      </w:r>
      <w:r>
        <w:rPr>
          <w:rFonts w:ascii="Verdana" w:hAnsi="Verdana" w:cs="Arial"/>
          <w:iCs/>
          <w:color w:val="000000" w:themeColor="text1"/>
          <w:lang w:val="es-ES"/>
        </w:rPr>
        <w:t>.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decisiones se entenderán notificadas en audiencia. Lo anterior, por supuesto, sin perjuicio del control judicial que podría llegar a efectuarse.</w:t>
      </w:r>
    </w:p>
    <w:p w14:paraId="25D9ABB5" w14:textId="77777777" w:rsidR="004D45D2" w:rsidRDefault="004D45D2" w:rsidP="004D45D2">
      <w:pPr>
        <w:spacing w:after="120" w:line="276" w:lineRule="auto"/>
        <w:ind w:firstLine="708"/>
        <w:jc w:val="both"/>
        <w:rPr>
          <w:rFonts w:ascii="Verdana" w:hAnsi="Verdana" w:cs="Arial"/>
          <w:color w:val="000000" w:themeColor="text1"/>
          <w:lang w:val="es-ES"/>
        </w:rPr>
      </w:pPr>
      <w:r>
        <w:rPr>
          <w:rFonts w:ascii="Verdana" w:hAnsi="Verdana" w:cs="Arial"/>
          <w:iCs/>
          <w:color w:val="000000" w:themeColor="text1"/>
          <w:lang w:val="es-ES"/>
        </w:rPr>
        <w:lastRenderedPageBreak/>
        <w:t xml:space="preserve">En este sentido, la entidad está facultada para cuantificar los perjuicios causados por el incumplimiento del contratista, previa declaración </w:t>
      </w:r>
      <w:proofErr w:type="gramStart"/>
      <w:r>
        <w:rPr>
          <w:rFonts w:ascii="Verdana" w:hAnsi="Verdana" w:cs="Arial"/>
          <w:iCs/>
          <w:color w:val="000000" w:themeColor="text1"/>
          <w:lang w:val="es-ES"/>
        </w:rPr>
        <w:t>del mismo</w:t>
      </w:r>
      <w:proofErr w:type="gramEnd"/>
      <w:r>
        <w:rPr>
          <w:rFonts w:ascii="Verdana" w:hAnsi="Verdana" w:cs="Arial"/>
          <w:iCs/>
          <w:color w:val="000000" w:themeColor="text1"/>
          <w:lang w:val="es-ES"/>
        </w:rPr>
        <w:t xml:space="preserve"> y luego de haberse surtido el trámite antes referido. Esta facultad, en palabras de la Corte Constitucional, “[…] está reglada y se ejerce conforme a un procedimiento administrativo, del que debe darse cuenta en un acto administrativo motivado, de tal suerte que la cuantificación de los perjuicios no obedece a la mera discrecionalidad de la entidad estatal, ni es fruto de su capricho […]”</w:t>
      </w:r>
      <w:r>
        <w:rPr>
          <w:rStyle w:val="Refdenotaalpie"/>
          <w:rFonts w:ascii="Verdana" w:hAnsi="Verdana" w:cs="Arial"/>
          <w:iCs/>
          <w:color w:val="000000" w:themeColor="text1"/>
          <w:lang w:val="es-ES"/>
        </w:rPr>
        <w:footnoteReference w:id="20"/>
      </w:r>
      <w:r>
        <w:rPr>
          <w:rFonts w:ascii="Verdana" w:hAnsi="Verdana" w:cs="Arial"/>
          <w:iCs/>
          <w:color w:val="000000" w:themeColor="text1"/>
          <w:lang w:val="es-ES"/>
        </w:rPr>
        <w:t>.</w:t>
      </w:r>
      <w:r>
        <w:rPr>
          <w:rFonts w:ascii="Verdana" w:hAnsi="Verdana" w:cs="Arial"/>
          <w:color w:val="000000" w:themeColor="text1"/>
          <w:lang w:val="es-ES"/>
        </w:rPr>
        <w:t xml:space="preserve"> </w:t>
      </w:r>
    </w:p>
    <w:p w14:paraId="2A9D11B3" w14:textId="77777777" w:rsidR="004D45D2" w:rsidRPr="000C2A4F" w:rsidRDefault="004D45D2" w:rsidP="004D45D2">
      <w:pPr>
        <w:spacing w:after="120" w:line="276" w:lineRule="auto"/>
        <w:ind w:firstLine="708"/>
        <w:jc w:val="both"/>
        <w:rPr>
          <w:rFonts w:ascii="Verdana" w:eastAsia="Calibri" w:hAnsi="Verdana" w:cs="Arial"/>
          <w:color w:val="000000"/>
          <w:lang w:val="es-ES" w:eastAsia="es-ES_tradnl"/>
        </w:rPr>
      </w:pPr>
      <w:r>
        <w:rPr>
          <w:rFonts w:ascii="Verdana" w:eastAsia="Calibri" w:hAnsi="Verdana" w:cs="Arial"/>
          <w:color w:val="000000"/>
          <w:lang w:val="es-ES" w:eastAsia="es-ES_tradnl"/>
        </w:rPr>
        <w:t>En ese orden de ideas, dependerá del sentido en el que se consagren los ANS en los contratos estatales la utilización del procedimiento administrativo sancionatorio regulado en el artículo 86 de la Ley 1474 de 2011, pues si aquellos se contemplan como medidas sancionatorias previas a la declaración de un incumplimiento o imposición de multas, su exigencia por la entidad estatal debe estar precedida del trámite previsto en dicho artículo.</w:t>
      </w:r>
    </w:p>
    <w:p w14:paraId="66BCDCC9" w14:textId="77777777" w:rsidR="004D45D2" w:rsidRDefault="004D45D2" w:rsidP="004D45D2">
      <w:pPr>
        <w:tabs>
          <w:tab w:val="left" w:pos="0"/>
        </w:tabs>
        <w:spacing w:after="120" w:line="276" w:lineRule="auto"/>
        <w:ind w:right="191" w:firstLine="709"/>
        <w:jc w:val="both"/>
        <w:rPr>
          <w:rFonts w:ascii="Verdana" w:eastAsia="Calibri" w:hAnsi="Verdana" w:cs="Arial"/>
          <w:color w:val="000000"/>
          <w:lang w:eastAsia="es-ES_tradnl"/>
        </w:rPr>
      </w:pPr>
      <w:r w:rsidRPr="008D6894">
        <w:rPr>
          <w:rFonts w:ascii="Verdana" w:eastAsia="Calibri" w:hAnsi="Verdana" w:cs="Arial"/>
          <w:color w:val="000000"/>
          <w:lang w:val="es-ES_tradnl" w:eastAsia="es-ES_tradnl"/>
        </w:rPr>
        <w:t>En ese sentido, dichos descuentos deben corresponder estrictamente a lo pactado por las partes en el contrato</w:t>
      </w:r>
      <w:r>
        <w:rPr>
          <w:rFonts w:ascii="Verdana" w:eastAsia="Calibri" w:hAnsi="Verdana" w:cs="Arial"/>
          <w:color w:val="000000"/>
          <w:lang w:val="es-ES_tradnl" w:eastAsia="es-ES_tradnl"/>
        </w:rPr>
        <w:t xml:space="preserve">, por lo que </w:t>
      </w:r>
      <w:r w:rsidRPr="008D6894">
        <w:rPr>
          <w:rFonts w:ascii="Verdana" w:eastAsia="Calibri" w:hAnsi="Verdana" w:cs="Arial"/>
          <w:color w:val="000000"/>
          <w:lang w:val="es-ES_tradnl" w:eastAsia="es-ES_tradnl"/>
        </w:rPr>
        <w:t xml:space="preserve">resulta indispensable que las situaciones o eventos que puedan dar lugar a su aplicación se encuentren claramente definidos, delimitados y tipificados en </w:t>
      </w:r>
      <w:r>
        <w:rPr>
          <w:rFonts w:ascii="Verdana" w:eastAsia="Calibri" w:hAnsi="Verdana" w:cs="Arial"/>
          <w:color w:val="000000"/>
          <w:lang w:val="es-ES_tradnl" w:eastAsia="es-ES_tradnl"/>
        </w:rPr>
        <w:t xml:space="preserve">los documentos contractuales. </w:t>
      </w:r>
      <w:r w:rsidRPr="008D6894">
        <w:rPr>
          <w:rFonts w:ascii="Verdana" w:eastAsia="Calibri" w:hAnsi="Verdana" w:cs="Arial"/>
          <w:color w:val="000000"/>
          <w:lang w:val="es-ES_tradnl" w:eastAsia="es-ES_tradnl"/>
        </w:rPr>
        <w:t>Además, estas condiciones deben ser conocidas por el contratista desde la etapa precontractual, de manera que este pueda evaluar adecuadamente los riesgos asociados, incorporarlos en su propuesta y asumirlos durante la ejecución del contrato.</w:t>
      </w:r>
      <w:r>
        <w:rPr>
          <w:rFonts w:ascii="Verdana" w:eastAsia="Calibri" w:hAnsi="Verdana" w:cs="Arial"/>
          <w:color w:val="000000"/>
          <w:lang w:val="es-ES_tradnl" w:eastAsia="es-ES_tradnl"/>
        </w:rPr>
        <w:t xml:space="preserve"> </w:t>
      </w:r>
      <w:r w:rsidRPr="00D62C3B">
        <w:rPr>
          <w:rFonts w:ascii="Verdana" w:eastAsia="Calibri" w:hAnsi="Verdana" w:cs="Arial"/>
          <w:color w:val="000000"/>
          <w:lang w:eastAsia="es-ES_tradnl"/>
        </w:rPr>
        <w:t>De lo contrario, es decir, si tales descuentos no se encuentran previamente definidos e identificados de manera clara, su aplicación podría resultar desproporcionada y afectar la ecuación económica del contrato</w:t>
      </w:r>
      <w:r>
        <w:rPr>
          <w:rFonts w:ascii="Verdana" w:eastAsia="Calibri" w:hAnsi="Verdana" w:cs="Arial"/>
          <w:color w:val="000000"/>
          <w:lang w:eastAsia="es-ES_tradnl"/>
        </w:rPr>
        <w:t xml:space="preserve">, </w:t>
      </w:r>
      <w:r w:rsidRPr="00170AC4">
        <w:rPr>
          <w:rFonts w:ascii="Verdana" w:eastAsia="Calibri" w:hAnsi="Verdana" w:cs="Arial"/>
          <w:color w:val="000000"/>
          <w:lang w:eastAsia="es-ES_tradnl"/>
        </w:rPr>
        <w:t xml:space="preserve">en la medida en que </w:t>
      </w:r>
      <w:r>
        <w:rPr>
          <w:rFonts w:ascii="Verdana" w:eastAsia="Calibri" w:hAnsi="Verdana" w:cs="Arial"/>
          <w:color w:val="000000"/>
          <w:lang w:eastAsia="es-ES_tradnl"/>
        </w:rPr>
        <w:t xml:space="preserve">establece aspectos </w:t>
      </w:r>
      <w:r w:rsidRPr="00170AC4">
        <w:rPr>
          <w:rFonts w:ascii="Verdana" w:eastAsia="Calibri" w:hAnsi="Verdana" w:cs="Arial"/>
          <w:color w:val="000000"/>
          <w:lang w:eastAsia="es-ES_tradnl"/>
        </w:rPr>
        <w:t>que no fueron previst</w:t>
      </w:r>
      <w:r>
        <w:rPr>
          <w:rFonts w:ascii="Verdana" w:eastAsia="Calibri" w:hAnsi="Verdana" w:cs="Arial"/>
          <w:color w:val="000000"/>
          <w:lang w:eastAsia="es-ES_tradnl"/>
        </w:rPr>
        <w:t>o</w:t>
      </w:r>
      <w:r w:rsidRPr="00170AC4">
        <w:rPr>
          <w:rFonts w:ascii="Verdana" w:eastAsia="Calibri" w:hAnsi="Verdana" w:cs="Arial"/>
          <w:color w:val="000000"/>
          <w:lang w:eastAsia="es-ES_tradnl"/>
        </w:rPr>
        <w:t>s ni considerad</w:t>
      </w:r>
      <w:r>
        <w:rPr>
          <w:rFonts w:ascii="Verdana" w:eastAsia="Calibri" w:hAnsi="Verdana" w:cs="Arial"/>
          <w:color w:val="000000"/>
          <w:lang w:eastAsia="es-ES_tradnl"/>
        </w:rPr>
        <w:t>o</w:t>
      </w:r>
      <w:r w:rsidRPr="00170AC4">
        <w:rPr>
          <w:rFonts w:ascii="Verdana" w:eastAsia="Calibri" w:hAnsi="Verdana" w:cs="Arial"/>
          <w:color w:val="000000"/>
          <w:lang w:eastAsia="es-ES_tradnl"/>
        </w:rPr>
        <w:t>s al momento de estructurar la oferta económica</w:t>
      </w:r>
      <w:r>
        <w:rPr>
          <w:rFonts w:ascii="Verdana" w:eastAsia="Calibri" w:hAnsi="Verdana" w:cs="Arial"/>
          <w:color w:val="000000"/>
          <w:lang w:eastAsia="es-ES_tradnl"/>
        </w:rPr>
        <w:t xml:space="preserve">. </w:t>
      </w:r>
    </w:p>
    <w:p w14:paraId="766F0646" w14:textId="77777777" w:rsidR="004D45D2" w:rsidRPr="00B726AE" w:rsidRDefault="004D45D2" w:rsidP="004D45D2">
      <w:pPr>
        <w:tabs>
          <w:tab w:val="left" w:pos="0"/>
        </w:tabs>
        <w:spacing w:after="120" w:line="276" w:lineRule="auto"/>
        <w:ind w:right="193" w:firstLine="709"/>
        <w:jc w:val="both"/>
        <w:rPr>
          <w:rFonts w:ascii="Verdana" w:eastAsia="Calibri" w:hAnsi="Verdana" w:cs="Arial"/>
          <w:color w:val="000000"/>
          <w:lang w:eastAsia="es-ES_tradnl"/>
        </w:rPr>
      </w:pPr>
      <w:r>
        <w:rPr>
          <w:rFonts w:ascii="Verdana" w:eastAsia="Calibri" w:hAnsi="Verdana" w:cs="Arial"/>
          <w:color w:val="000000"/>
          <w:lang w:val="es-ES_tradnl" w:eastAsia="es-ES_tradnl"/>
        </w:rPr>
        <w:t>Sobre el particular, esta Agencia expidió la “</w:t>
      </w:r>
      <w:r w:rsidRPr="00873DA1">
        <w:rPr>
          <w:rFonts w:ascii="Verdana" w:eastAsia="Calibri" w:hAnsi="Verdana" w:cs="Arial"/>
          <w:color w:val="000000"/>
          <w:lang w:val="es-ES_tradnl" w:eastAsia="es-ES_tradnl"/>
        </w:rPr>
        <w:t>Guía para Adelantar</w:t>
      </w:r>
      <w:r>
        <w:rPr>
          <w:rFonts w:ascii="Verdana" w:eastAsia="Calibri" w:hAnsi="Verdana" w:cs="Arial"/>
          <w:color w:val="000000"/>
          <w:lang w:val="es-ES_tradnl" w:eastAsia="es-ES_tradnl"/>
        </w:rPr>
        <w:t xml:space="preserve"> </w:t>
      </w:r>
      <w:r w:rsidRPr="00873DA1">
        <w:rPr>
          <w:rFonts w:ascii="Verdana" w:eastAsia="Calibri" w:hAnsi="Verdana" w:cs="Arial"/>
          <w:color w:val="000000"/>
          <w:lang w:val="es-ES_tradnl" w:eastAsia="es-ES_tradnl"/>
        </w:rPr>
        <w:t>el Proceso Sancionatorio</w:t>
      </w:r>
      <w:r>
        <w:rPr>
          <w:rFonts w:ascii="Verdana" w:eastAsia="Calibri" w:hAnsi="Verdana" w:cs="Arial"/>
          <w:color w:val="000000"/>
          <w:lang w:val="es-ES_tradnl" w:eastAsia="es-ES_tradnl"/>
        </w:rPr>
        <w:t xml:space="preserve"> </w:t>
      </w:r>
      <w:r w:rsidRPr="00873DA1">
        <w:rPr>
          <w:rFonts w:ascii="Verdana" w:eastAsia="Calibri" w:hAnsi="Verdana" w:cs="Arial"/>
          <w:color w:val="000000"/>
          <w:lang w:val="es-ES_tradnl" w:eastAsia="es-ES_tradnl"/>
        </w:rPr>
        <w:t>Administrativo Contractual</w:t>
      </w:r>
      <w:r>
        <w:rPr>
          <w:rFonts w:ascii="Verdana" w:eastAsia="Calibri" w:hAnsi="Verdana" w:cs="Arial"/>
          <w:color w:val="000000"/>
          <w:lang w:val="es-ES_tradnl" w:eastAsia="es-ES_tradnl"/>
        </w:rPr>
        <w:t>”</w:t>
      </w:r>
      <w:r w:rsidRPr="009067EF">
        <w:t xml:space="preserve"> </w:t>
      </w:r>
      <w:r w:rsidRPr="009067EF">
        <w:rPr>
          <w:rFonts w:ascii="Verdana" w:eastAsia="Calibri" w:hAnsi="Verdana" w:cs="Arial"/>
          <w:color w:val="000000"/>
          <w:lang w:eastAsia="es-ES_tradnl"/>
        </w:rPr>
        <w:t>con la finalidad de fortalecer las capacidades de las Entidades Estatales en la adecuada aplicación de la potestad sancionatoria de la administración, brindando criterios jurídicos, procedimentales y prácticos que permitan adelantar dicho proceso con plena observancia de las garantías que le asisten a los contratistas y las compañías de seguros, cuando aplique</w:t>
      </w:r>
      <w:r>
        <w:rPr>
          <w:rFonts w:ascii="Verdana" w:eastAsia="Calibri" w:hAnsi="Verdana" w:cs="Arial"/>
          <w:color w:val="000000"/>
          <w:lang w:eastAsia="es-ES_tradnl"/>
        </w:rPr>
        <w:t xml:space="preserve">. </w:t>
      </w:r>
      <w:r w:rsidRPr="00B726AE">
        <w:rPr>
          <w:rFonts w:ascii="Verdana" w:hAnsi="Verdana"/>
        </w:rPr>
        <w:t xml:space="preserve">Esta Guía se configura como un instrumento de </w:t>
      </w:r>
      <w:r w:rsidRPr="00B726AE">
        <w:rPr>
          <w:rFonts w:ascii="Verdana" w:hAnsi="Verdana"/>
        </w:rPr>
        <w:lastRenderedPageBreak/>
        <w:t xml:space="preserve">buenas prácticas orientado a las Entidades Estatales sometidas al Estatuto General de Contratación de la Administración </w:t>
      </w:r>
      <w:proofErr w:type="gramStart"/>
      <w:r w:rsidRPr="00B726AE">
        <w:rPr>
          <w:rFonts w:ascii="Verdana" w:hAnsi="Verdana"/>
        </w:rPr>
        <w:t>Pública</w:t>
      </w:r>
      <w:proofErr w:type="gramEnd"/>
      <w:r w:rsidRPr="00B726AE">
        <w:rPr>
          <w:rFonts w:ascii="Verdana" w:hAnsi="Verdana"/>
        </w:rPr>
        <w:t xml:space="preserve"> así como a las entidades con regímenes de contratación exceptuado</w:t>
      </w:r>
      <w:r>
        <w:rPr>
          <w:rStyle w:val="Refdenotaalpie"/>
          <w:rFonts w:ascii="Verdana" w:hAnsi="Verdana"/>
        </w:rPr>
        <w:footnoteReference w:id="21"/>
      </w:r>
      <w:r>
        <w:rPr>
          <w:rFonts w:ascii="Verdana" w:hAnsi="Verdana"/>
        </w:rPr>
        <w:t>.</w:t>
      </w:r>
    </w:p>
    <w:p w14:paraId="1C50A3EB" w14:textId="77777777" w:rsidR="004D45D2" w:rsidRDefault="004D45D2" w:rsidP="004D45D2">
      <w:pPr>
        <w:tabs>
          <w:tab w:val="left" w:pos="0"/>
        </w:tabs>
        <w:spacing w:after="120" w:line="276" w:lineRule="auto"/>
        <w:ind w:right="193" w:firstLine="709"/>
        <w:jc w:val="both"/>
        <w:rPr>
          <w:rFonts w:ascii="Verdana" w:eastAsia="Calibri" w:hAnsi="Verdana" w:cs="Arial"/>
          <w:color w:val="000000"/>
          <w:lang w:eastAsia="es-ES_tradnl"/>
        </w:rPr>
      </w:pPr>
      <w:r>
        <w:rPr>
          <w:rFonts w:ascii="Verdana" w:eastAsia="Calibri" w:hAnsi="Verdana" w:cs="Arial"/>
          <w:color w:val="000000"/>
          <w:lang w:eastAsia="es-ES_tradnl"/>
        </w:rPr>
        <w:t>Particularmente, el numeral 7.8 de la Guía desarrolla la a</w:t>
      </w:r>
      <w:r w:rsidRPr="00583741">
        <w:rPr>
          <w:rFonts w:ascii="Verdana" w:eastAsia="Calibri" w:hAnsi="Verdana" w:cs="Arial"/>
          <w:color w:val="000000"/>
          <w:lang w:eastAsia="es-ES_tradnl"/>
        </w:rPr>
        <w:t>plicación del procedimiento sancionatorio contractual frente a los Acuerdos de Nivel de Servicio (ANS</w:t>
      </w:r>
      <w:r>
        <w:rPr>
          <w:rFonts w:ascii="Verdana" w:eastAsia="Calibri" w:hAnsi="Verdana" w:cs="Arial"/>
          <w:color w:val="000000"/>
          <w:lang w:eastAsia="es-ES_tradnl"/>
        </w:rPr>
        <w:t>). En este marco, se definen los ANS como “</w:t>
      </w:r>
      <w:r w:rsidRPr="00012AA1">
        <w:rPr>
          <w:rFonts w:ascii="Verdana" w:eastAsia="Calibri" w:hAnsi="Verdana" w:cs="Arial"/>
          <w:color w:val="000000"/>
          <w:lang w:eastAsia="es-ES_tradnl"/>
        </w:rPr>
        <w:t>mecanismos contractuales mediante los cuales las partes establecen estándares de calidad, niveles de desempeño, indicadores de servicio o métricas de cumplimiento asociadas a la ejecución del objeto contractual. Su incorporación encuentra fundamento en la autonomía de la voluntad prevista en el artículo 40 de la Ley 80 de 1993 y en la facultad de las partes para pactar estipulaciones orientadas al cumplimiento efectivo de las obligaciones contractuales</w:t>
      </w:r>
      <w:r>
        <w:rPr>
          <w:rFonts w:ascii="Verdana" w:eastAsia="Calibri" w:hAnsi="Verdana" w:cs="Arial"/>
          <w:color w:val="000000"/>
          <w:lang w:eastAsia="es-ES_tradnl"/>
        </w:rPr>
        <w:t xml:space="preserve">”. </w:t>
      </w:r>
    </w:p>
    <w:p w14:paraId="5CAD24D8" w14:textId="77777777" w:rsidR="004D45D2" w:rsidRDefault="004D45D2" w:rsidP="004D45D2">
      <w:pPr>
        <w:tabs>
          <w:tab w:val="left" w:pos="0"/>
        </w:tabs>
        <w:spacing w:after="120" w:line="276" w:lineRule="auto"/>
        <w:ind w:right="193" w:firstLine="709"/>
        <w:jc w:val="both"/>
        <w:rPr>
          <w:rFonts w:ascii="Verdana" w:eastAsia="Calibri" w:hAnsi="Verdana" w:cs="Arial"/>
          <w:color w:val="000000"/>
          <w:lang w:eastAsia="es-ES_tradnl"/>
        </w:rPr>
      </w:pPr>
      <w:r>
        <w:rPr>
          <w:rFonts w:ascii="Verdana" w:eastAsia="Calibri" w:hAnsi="Verdana" w:cs="Arial"/>
          <w:color w:val="000000"/>
          <w:lang w:eastAsia="es-ES_tradnl"/>
        </w:rPr>
        <w:t xml:space="preserve">En este contexto, se establece que </w:t>
      </w:r>
      <w:r>
        <w:rPr>
          <w:rFonts w:ascii="Verdana" w:eastAsia="Calibri" w:hAnsi="Verdana" w:cs="Arial"/>
          <w:color w:val="000000"/>
          <w:lang w:val="es-ES_tradnl" w:eastAsia="es-ES_tradnl"/>
        </w:rPr>
        <w:t>c</w:t>
      </w:r>
      <w:r w:rsidRPr="009050A0">
        <w:rPr>
          <w:rFonts w:ascii="Verdana" w:eastAsia="Calibri" w:hAnsi="Verdana" w:cs="Arial"/>
          <w:color w:val="000000"/>
          <w:lang w:val="es-ES_tradnl" w:eastAsia="es-ES_tradnl"/>
        </w:rPr>
        <w:t>uando los ANS se estructuran como mecanismos para medir objetivamente el desempeño del contratista y establecen ajustes económicos, tales como descuentos, compensaciones o reducciones de la remuneración, en función del nivel de servicio efectivamente prestado, la entidad puede aplicar directamente estas consecuencias, sin necesidad de declarar un incumplimiento o imponer una multa. Para ello, el contrato debe establecer claramente las condiciones que hacen procedente el ajuste, la metodología para medir el nivel de servicio y los criterios para determinar el valor del descuento o reducción.</w:t>
      </w:r>
    </w:p>
    <w:p w14:paraId="796B4E54" w14:textId="77777777" w:rsidR="004D45D2" w:rsidRDefault="004D45D2" w:rsidP="004D45D2">
      <w:pPr>
        <w:tabs>
          <w:tab w:val="left" w:pos="0"/>
        </w:tabs>
        <w:spacing w:after="120" w:line="276" w:lineRule="auto"/>
        <w:ind w:right="193" w:firstLine="709"/>
        <w:jc w:val="both"/>
        <w:rPr>
          <w:rFonts w:ascii="Verdana" w:eastAsia="Calibri" w:hAnsi="Verdana" w:cs="Arial"/>
          <w:color w:val="000000"/>
          <w:lang w:val="es-ES_tradnl" w:eastAsia="es-ES_tradnl"/>
        </w:rPr>
      </w:pPr>
      <w:r w:rsidRPr="009050A0">
        <w:rPr>
          <w:rFonts w:ascii="Verdana" w:eastAsia="Calibri" w:hAnsi="Verdana" w:cs="Arial"/>
          <w:color w:val="000000"/>
          <w:lang w:val="es-ES_tradnl" w:eastAsia="es-ES_tradnl"/>
        </w:rPr>
        <w:t>Por</w:t>
      </w:r>
      <w:r>
        <w:rPr>
          <w:rFonts w:ascii="Verdana" w:eastAsia="Calibri" w:hAnsi="Verdana" w:cs="Arial"/>
          <w:color w:val="000000"/>
          <w:lang w:val="es-ES_tradnl" w:eastAsia="es-ES_tradnl"/>
        </w:rPr>
        <w:t xml:space="preserve"> otro lado</w:t>
      </w:r>
      <w:r w:rsidRPr="009050A0">
        <w:rPr>
          <w:rFonts w:ascii="Verdana" w:eastAsia="Calibri" w:hAnsi="Verdana" w:cs="Arial"/>
          <w:color w:val="000000"/>
          <w:lang w:val="es-ES_tradnl" w:eastAsia="es-ES_tradnl"/>
        </w:rPr>
        <w:t xml:space="preserve">, si los ANS se vinculan a efectos sancionatorios, como la declaratoria de incumplimiento, la imposición de multas, la efectividad de la cláusula penal o la afectación de garantías, </w:t>
      </w:r>
      <w:r>
        <w:rPr>
          <w:rFonts w:ascii="Verdana" w:eastAsia="Calibri" w:hAnsi="Verdana" w:cs="Arial"/>
          <w:color w:val="000000"/>
          <w:lang w:val="es-ES_tradnl" w:eastAsia="es-ES_tradnl"/>
        </w:rPr>
        <w:t xml:space="preserve">la aplicación de la </w:t>
      </w:r>
      <w:r w:rsidRPr="009050A0">
        <w:rPr>
          <w:rFonts w:ascii="Verdana" w:eastAsia="Calibri" w:hAnsi="Verdana" w:cs="Arial"/>
          <w:color w:val="000000"/>
          <w:lang w:val="es-ES_tradnl" w:eastAsia="es-ES_tradnl"/>
        </w:rPr>
        <w:t>metodología debe estar precedida por la garantía del debido proceso y por el procedimiento previsto en el artículo 86 de la Ley 1474 de 2011.</w:t>
      </w:r>
    </w:p>
    <w:p w14:paraId="24A8E0E2" w14:textId="77777777" w:rsidR="004D45D2" w:rsidRPr="001F5C49" w:rsidRDefault="004D45D2" w:rsidP="004D45D2">
      <w:pPr>
        <w:tabs>
          <w:tab w:val="left" w:pos="0"/>
        </w:tabs>
        <w:spacing w:after="120" w:line="276" w:lineRule="auto"/>
        <w:ind w:right="193" w:firstLine="709"/>
        <w:jc w:val="both"/>
        <w:rPr>
          <w:rFonts w:ascii="Verdana" w:eastAsia="Calibri" w:hAnsi="Verdana" w:cs="Arial"/>
          <w:color w:val="000000"/>
          <w:lang w:val="es-ES_tradnl" w:eastAsia="es-ES_tradnl"/>
        </w:rPr>
      </w:pPr>
      <w:r>
        <w:rPr>
          <w:rFonts w:ascii="Verdana" w:eastAsia="Calibri" w:hAnsi="Verdana" w:cs="Arial"/>
          <w:color w:val="000000"/>
          <w:lang w:val="es-ES_tradnl" w:eastAsia="es-ES_tradnl"/>
        </w:rPr>
        <w:t>De este modo</w:t>
      </w:r>
      <w:r w:rsidRPr="00133ADB">
        <w:rPr>
          <w:rFonts w:ascii="Verdana" w:eastAsia="Calibri" w:hAnsi="Verdana" w:cs="Arial"/>
          <w:color w:val="000000"/>
          <w:lang w:val="es-ES_tradnl" w:eastAsia="es-ES_tradnl"/>
        </w:rPr>
        <w:t xml:space="preserve">, la </w:t>
      </w:r>
      <w:r>
        <w:rPr>
          <w:rFonts w:ascii="Verdana" w:eastAsia="Calibri" w:hAnsi="Verdana" w:cs="Arial"/>
          <w:color w:val="000000"/>
          <w:lang w:val="es-ES_tradnl" w:eastAsia="es-ES_tradnl"/>
        </w:rPr>
        <w:t>G</w:t>
      </w:r>
      <w:r w:rsidRPr="00133ADB">
        <w:rPr>
          <w:rFonts w:ascii="Verdana" w:eastAsia="Calibri" w:hAnsi="Verdana" w:cs="Arial"/>
          <w:color w:val="000000"/>
          <w:lang w:val="es-ES_tradnl" w:eastAsia="es-ES_tradnl"/>
        </w:rPr>
        <w:t xml:space="preserve">uía desarrolla los ANS desde estas dos formas de pacto: como un mecanismo de compensación o ajuste económico, relacionado con el nivel de servicio efectivamente prestado, o como una medida de naturaleza sancionatoria, cuando se vincula al incumplimiento contractual y a la imposición de multas, cláusula penal o demás consecuencias propias de la potestad sancionatoria. En el primer caso, podrán aplicarse las consecuencias </w:t>
      </w:r>
      <w:r w:rsidRPr="00133ADB">
        <w:rPr>
          <w:rFonts w:ascii="Verdana" w:eastAsia="Calibri" w:hAnsi="Verdana" w:cs="Arial"/>
          <w:color w:val="000000"/>
          <w:lang w:val="es-ES_tradnl" w:eastAsia="es-ES_tradnl"/>
        </w:rPr>
        <w:lastRenderedPageBreak/>
        <w:t>económicas conforme a las reglas previamente establecidas en el contrato</w:t>
      </w:r>
      <w:r>
        <w:rPr>
          <w:rFonts w:ascii="Verdana" w:eastAsia="Calibri" w:hAnsi="Verdana" w:cs="Arial"/>
          <w:color w:val="000000"/>
          <w:lang w:val="es-ES_tradnl" w:eastAsia="es-ES_tradnl"/>
        </w:rPr>
        <w:t xml:space="preserve"> y</w:t>
      </w:r>
      <w:r w:rsidRPr="00133ADB">
        <w:rPr>
          <w:rFonts w:ascii="Verdana" w:eastAsia="Calibri" w:hAnsi="Verdana" w:cs="Arial"/>
          <w:color w:val="000000"/>
          <w:lang w:val="es-ES_tradnl" w:eastAsia="es-ES_tradnl"/>
        </w:rPr>
        <w:t xml:space="preserve"> en el segundo, deberá garantizarse el debido proceso y agotarse el procedimiento administrativo correspondiente.</w:t>
      </w:r>
    </w:p>
    <w:p w14:paraId="7DC7F505" w14:textId="77777777" w:rsidR="004D45D2" w:rsidRPr="00A50DCC" w:rsidRDefault="004D45D2" w:rsidP="004D45D2">
      <w:pPr>
        <w:tabs>
          <w:tab w:val="left" w:pos="0"/>
        </w:tabs>
        <w:spacing w:after="120" w:line="276" w:lineRule="auto"/>
        <w:ind w:right="193"/>
        <w:jc w:val="both"/>
        <w:rPr>
          <w:rFonts w:ascii="Verdana" w:eastAsia="Calibri" w:hAnsi="Verdana" w:cs="Arial"/>
          <w:color w:val="000000"/>
          <w:lang w:val="es-ES_tradnl" w:eastAsia="es-ES_tradnl"/>
        </w:rPr>
      </w:pPr>
      <w:proofErr w:type="spellStart"/>
      <w:r>
        <w:rPr>
          <w:rFonts w:ascii="Verdana" w:eastAsia="Calibri" w:hAnsi="Verdana" w:cs="Arial"/>
          <w:color w:val="000000"/>
          <w:lang w:val="es-ES_tradnl" w:eastAsia="es-ES_tradnl"/>
        </w:rPr>
        <w:t>iii</w:t>
      </w:r>
      <w:proofErr w:type="spellEnd"/>
      <w:r>
        <w:rPr>
          <w:rFonts w:ascii="Verdana" w:eastAsia="Calibri" w:hAnsi="Verdana" w:cs="Arial"/>
          <w:color w:val="000000"/>
          <w:lang w:val="es-ES_tradnl" w:eastAsia="es-ES_tradnl"/>
        </w:rPr>
        <w:t xml:space="preserve">. Bajo estas premisas, en atención a lo dispuesto en el artículo 40 de la Ley 80 de 1993, </w:t>
      </w:r>
      <w:r w:rsidRPr="00A50DCC">
        <w:rPr>
          <w:rFonts w:ascii="Verdana" w:eastAsia="Calibri" w:hAnsi="Verdana" w:cs="Arial"/>
          <w:color w:val="000000"/>
          <w:lang w:val="es-ES_tradnl" w:eastAsia="es-ES_tradnl"/>
        </w:rPr>
        <w:t>resulta jurídicamente posible que la</w:t>
      </w:r>
      <w:r>
        <w:rPr>
          <w:rFonts w:ascii="Verdana" w:eastAsia="Calibri" w:hAnsi="Verdana" w:cs="Arial"/>
          <w:color w:val="000000"/>
          <w:lang w:val="es-ES_tradnl" w:eastAsia="es-ES_tradnl"/>
        </w:rPr>
        <w:t>s</w:t>
      </w:r>
      <w:r w:rsidRPr="00A50DCC">
        <w:rPr>
          <w:rFonts w:ascii="Verdana" w:eastAsia="Calibri" w:hAnsi="Verdana" w:cs="Arial"/>
          <w:color w:val="000000"/>
          <w:lang w:val="es-ES_tradnl" w:eastAsia="es-ES_tradnl"/>
        </w:rPr>
        <w:t xml:space="preserve"> entidad</w:t>
      </w:r>
      <w:r>
        <w:rPr>
          <w:rFonts w:ascii="Verdana" w:eastAsia="Calibri" w:hAnsi="Verdana" w:cs="Arial"/>
          <w:color w:val="000000"/>
          <w:lang w:val="es-ES_tradnl" w:eastAsia="es-ES_tradnl"/>
        </w:rPr>
        <w:t>es</w:t>
      </w:r>
      <w:r w:rsidRPr="00A50DCC">
        <w:rPr>
          <w:rFonts w:ascii="Verdana" w:eastAsia="Calibri" w:hAnsi="Verdana" w:cs="Arial"/>
          <w:color w:val="000000"/>
          <w:lang w:val="es-ES_tradnl" w:eastAsia="es-ES_tradnl"/>
        </w:rPr>
        <w:t xml:space="preserve"> establezca</w:t>
      </w:r>
      <w:r>
        <w:rPr>
          <w:rFonts w:ascii="Verdana" w:eastAsia="Calibri" w:hAnsi="Verdana" w:cs="Arial"/>
          <w:color w:val="000000"/>
          <w:lang w:val="es-ES_tradnl" w:eastAsia="es-ES_tradnl"/>
        </w:rPr>
        <w:t xml:space="preserve">n ANS en los contratos estatales, como el de consultoría, </w:t>
      </w:r>
      <w:r w:rsidRPr="00A50DCC">
        <w:rPr>
          <w:rFonts w:ascii="Verdana" w:eastAsia="Calibri" w:hAnsi="Verdana" w:cs="Arial"/>
          <w:color w:val="000000"/>
          <w:lang w:val="es-ES_tradnl" w:eastAsia="es-ES_tradnl"/>
        </w:rPr>
        <w:t>siempre que estos respondan a las características y necesidades concretas del objeto contractual y permitan definir, de manera objetiva y verificable, los niveles de calidad, oportunidad, disponibilidad o desempeño que razonablemente espera obtener del contratista.</w:t>
      </w:r>
    </w:p>
    <w:p w14:paraId="7B0FC67C" w14:textId="77777777" w:rsidR="004D45D2" w:rsidRDefault="004D45D2" w:rsidP="004D45D2">
      <w:pPr>
        <w:tabs>
          <w:tab w:val="left" w:pos="0"/>
        </w:tabs>
        <w:spacing w:after="120" w:line="276" w:lineRule="auto"/>
        <w:ind w:right="193" w:firstLine="709"/>
        <w:jc w:val="both"/>
        <w:rPr>
          <w:rFonts w:ascii="Verdana" w:eastAsia="Calibri" w:hAnsi="Verdana" w:cs="Arial"/>
          <w:color w:val="000000"/>
          <w:lang w:val="es-ES_tradnl" w:eastAsia="es-ES_tradnl"/>
        </w:rPr>
      </w:pPr>
      <w:r w:rsidRPr="00A50DCC">
        <w:rPr>
          <w:rFonts w:ascii="Verdana" w:eastAsia="Calibri" w:hAnsi="Verdana" w:cs="Arial"/>
          <w:color w:val="000000"/>
          <w:lang w:val="es-ES_tradnl" w:eastAsia="es-ES_tradnl"/>
        </w:rPr>
        <w:t>Así, por ejemplo, en un contrato de consultoría de cierta complejidad que comprenda actividades de ingeniería de detalle</w:t>
      </w:r>
      <w:r>
        <w:rPr>
          <w:rFonts w:ascii="Verdana" w:eastAsia="Calibri" w:hAnsi="Verdana" w:cs="Arial"/>
          <w:color w:val="000000"/>
          <w:lang w:val="es-ES_tradnl" w:eastAsia="es-ES_tradnl"/>
        </w:rPr>
        <w:t xml:space="preserve"> como</w:t>
      </w:r>
      <w:r w:rsidRPr="005731C5">
        <w:rPr>
          <w:rFonts w:ascii="Verdana" w:eastAsia="Calibri" w:hAnsi="Verdana" w:cs="Arial"/>
          <w:color w:val="000000"/>
          <w:lang w:val="es-ES_tradnl" w:eastAsia="es-ES_tradnl"/>
        </w:rPr>
        <w:t xml:space="preserve"> diagnóstico y levantamiento de información, estudios de </w:t>
      </w:r>
      <w:r>
        <w:rPr>
          <w:rFonts w:ascii="Verdana" w:eastAsia="Calibri" w:hAnsi="Verdana" w:cs="Arial"/>
          <w:color w:val="000000"/>
          <w:lang w:val="es-ES_tradnl" w:eastAsia="es-ES_tradnl"/>
        </w:rPr>
        <w:t xml:space="preserve">prefactibilidad y </w:t>
      </w:r>
      <w:r w:rsidRPr="005731C5">
        <w:rPr>
          <w:rFonts w:ascii="Verdana" w:eastAsia="Calibri" w:hAnsi="Verdana" w:cs="Arial"/>
          <w:color w:val="000000"/>
          <w:lang w:val="es-ES_tradnl" w:eastAsia="es-ES_tradnl"/>
        </w:rPr>
        <w:t xml:space="preserve">factibilidad, estudios y diseños básicos, elaboración de memorias de cálculo, programación de obra, </w:t>
      </w:r>
      <w:r>
        <w:rPr>
          <w:rFonts w:ascii="Verdana" w:eastAsia="Calibri" w:hAnsi="Verdana" w:cs="Arial"/>
          <w:color w:val="000000"/>
          <w:lang w:val="es-ES_tradnl" w:eastAsia="es-ES_tradnl"/>
        </w:rPr>
        <w:t xml:space="preserve">etc., </w:t>
      </w:r>
      <w:r w:rsidRPr="00A50DCC">
        <w:rPr>
          <w:rFonts w:ascii="Verdana" w:eastAsia="Calibri" w:hAnsi="Verdana" w:cs="Arial"/>
          <w:color w:val="000000"/>
          <w:lang w:val="es-ES_tradnl" w:eastAsia="es-ES_tradnl"/>
        </w:rPr>
        <w:t>podría resultar procedente establecer ANS asociados al cumplimiento de determinados hitos, entregables, tiempos de respuesta, estándares de calidad o condiciones técnicas previamente definidos. En estos casos, los ANS permitirían establecer parámetros objetivos para el seguimiento de la ejecución contractual y para determinar las consecuencias derivadas de</w:t>
      </w:r>
      <w:r>
        <w:rPr>
          <w:rFonts w:ascii="Verdana" w:eastAsia="Calibri" w:hAnsi="Verdana" w:cs="Arial"/>
          <w:color w:val="000000"/>
          <w:lang w:val="es-ES_tradnl" w:eastAsia="es-ES_tradnl"/>
        </w:rPr>
        <w:t xml:space="preserve">l servicio no cumplido. </w:t>
      </w:r>
    </w:p>
    <w:p w14:paraId="273E850D" w14:textId="77777777" w:rsidR="004D45D2" w:rsidRPr="00F71E9A" w:rsidRDefault="004D45D2" w:rsidP="004D45D2">
      <w:pPr>
        <w:spacing w:after="120" w:line="276" w:lineRule="auto"/>
        <w:ind w:firstLine="743"/>
        <w:jc w:val="both"/>
        <w:rPr>
          <w:rFonts w:ascii="Verdana" w:eastAsia="Calibri" w:hAnsi="Verdana" w:cs="Arial"/>
          <w:lang w:val="es-ES"/>
        </w:rPr>
      </w:pPr>
      <w:r w:rsidRPr="00566698">
        <w:rPr>
          <w:rFonts w:ascii="Verdana" w:eastAsia="Calibri" w:hAnsi="Verdana" w:cs="Arial"/>
          <w:lang w:val="es-ES"/>
        </w:rPr>
        <w:t xml:space="preserve">En todo caso, </w:t>
      </w:r>
      <w:r>
        <w:rPr>
          <w:rFonts w:ascii="Verdana" w:eastAsia="Calibri" w:hAnsi="Verdana" w:cs="Arial"/>
          <w:lang w:val="es-ES"/>
        </w:rPr>
        <w:t>l</w:t>
      </w:r>
      <w:r>
        <w:rPr>
          <w:rFonts w:ascii="Verdana" w:eastAsia="Calibri" w:hAnsi="Verdana" w:cs="Arial"/>
          <w:color w:val="000000" w:themeColor="text1"/>
          <w:lang w:val="es-ES"/>
        </w:rPr>
        <w:t>a facultad de pactar ANS no es ilimitada. Cualquiera que sea la naturaleza que las partes les atribuyan, los descuentos deben corresponder estrictamente a lo pactado, por lo que resulta indispensable que las situaciones o eventos que puedan dar lugar a su aplicación se encuentren claramente definidos, delimitados y tipificados en los documentos contractuales, y que tales condiciones sean conocidas por el contratista desde la etapa precontractual, de manera que pueda evaluar adecuadamente los riesgos asociados, incorporarlos en su propuesta y asumirlos durante la ejecución. De lo contrario, su aplicación podría resultar desproporcionada y afectar la ecuación económica del contrato, en la medida en que se introducirían aspectos no previstos al momento de estructurar la oferta económica.</w:t>
      </w:r>
    </w:p>
    <w:p w14:paraId="2482FCE5" w14:textId="77777777" w:rsidR="004D45D2" w:rsidRPr="00F71E9A" w:rsidRDefault="004D45D2" w:rsidP="004D45D2">
      <w:pPr>
        <w:spacing w:after="120" w:line="276" w:lineRule="auto"/>
        <w:ind w:firstLine="739"/>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En ese marco, constituyen límites de la autonomía de la voluntad los siguientes: i) las entidades no pueden pactar ANS de forma que encubran la imposición unilateral de sanciones, multas o cláusula penal sin el cumplimiento del debido proceso; </w:t>
      </w:r>
      <w:proofErr w:type="spellStart"/>
      <w:r>
        <w:rPr>
          <w:rFonts w:ascii="Verdana" w:eastAsia="Calibri" w:hAnsi="Verdana" w:cs="Arial"/>
          <w:color w:val="000000" w:themeColor="text1"/>
          <w:lang w:val="es-ES"/>
        </w:rPr>
        <w:t>ii</w:t>
      </w:r>
      <w:proofErr w:type="spellEnd"/>
      <w:r>
        <w:rPr>
          <w:rFonts w:ascii="Verdana" w:eastAsia="Calibri" w:hAnsi="Verdana" w:cs="Arial"/>
          <w:color w:val="000000" w:themeColor="text1"/>
          <w:lang w:val="es-ES"/>
        </w:rPr>
        <w:t xml:space="preserve">) en ningún caso la aplicación de los descuentos pactados </w:t>
      </w:r>
      <w:r>
        <w:rPr>
          <w:rFonts w:ascii="Verdana" w:eastAsia="Calibri" w:hAnsi="Verdana" w:cs="Arial"/>
          <w:color w:val="000000" w:themeColor="text1"/>
          <w:lang w:val="es-ES"/>
        </w:rPr>
        <w:lastRenderedPageBreak/>
        <w:t xml:space="preserve">puede desconocer el artículo 29 de la Constitución Política; </w:t>
      </w:r>
      <w:proofErr w:type="spellStart"/>
      <w:r>
        <w:rPr>
          <w:rFonts w:ascii="Verdana" w:eastAsia="Calibri" w:hAnsi="Verdana" w:cs="Arial"/>
          <w:color w:val="000000" w:themeColor="text1"/>
          <w:lang w:val="es-ES"/>
        </w:rPr>
        <w:t>iii</w:t>
      </w:r>
      <w:proofErr w:type="spellEnd"/>
      <w:r>
        <w:rPr>
          <w:rFonts w:ascii="Verdana" w:eastAsia="Calibri" w:hAnsi="Verdana" w:cs="Arial"/>
          <w:color w:val="000000" w:themeColor="text1"/>
          <w:lang w:val="es-ES"/>
        </w:rPr>
        <w:t xml:space="preserve">) los términos en que se pacte el ANS no pueden ser abusivos ni desproporcionados, de modo que deben atender criterios de razonabilidad y proporcionalidad, guardando una relación adecuada con el nivel de prestación del servicio; </w:t>
      </w:r>
      <w:proofErr w:type="spellStart"/>
      <w:r>
        <w:rPr>
          <w:rFonts w:ascii="Verdana" w:eastAsia="Calibri" w:hAnsi="Verdana" w:cs="Arial"/>
          <w:color w:val="000000" w:themeColor="text1"/>
          <w:lang w:val="es-ES"/>
        </w:rPr>
        <w:t>iv</w:t>
      </w:r>
      <w:proofErr w:type="spellEnd"/>
      <w:r>
        <w:rPr>
          <w:rFonts w:ascii="Verdana" w:eastAsia="Calibri" w:hAnsi="Verdana" w:cs="Arial"/>
          <w:color w:val="000000" w:themeColor="text1"/>
          <w:lang w:val="es-ES"/>
        </w:rPr>
        <w:t>) su aplicación no puede vaciar el derecho al pago de lo efectivamente ejecutado; y v) las estipulaciones no pueden incurrir en las causales de nulidad previstas en el artículo 44 de la Ley 80 de 1993.</w:t>
      </w:r>
    </w:p>
    <w:p w14:paraId="502CA75F" w14:textId="77777777" w:rsidR="004D45D2" w:rsidRDefault="004D45D2" w:rsidP="004D45D2">
      <w:pPr>
        <w:tabs>
          <w:tab w:val="left" w:pos="0"/>
        </w:tabs>
        <w:spacing w:after="120" w:line="276" w:lineRule="auto"/>
        <w:ind w:right="193" w:firstLine="709"/>
        <w:jc w:val="both"/>
        <w:rPr>
          <w:rFonts w:ascii="Verdana" w:eastAsia="Calibri" w:hAnsi="Verdana" w:cs="Arial"/>
          <w:color w:val="000000"/>
          <w:lang w:val="es-ES_tradnl" w:eastAsia="es-ES_tradnl"/>
        </w:rPr>
      </w:pPr>
      <w:r>
        <w:rPr>
          <w:rFonts w:ascii="Verdana" w:eastAsia="Calibri" w:hAnsi="Verdana" w:cs="Arial"/>
          <w:color w:val="000000"/>
          <w:lang w:val="es-ES_tradnl" w:eastAsia="es-ES_tradnl"/>
        </w:rPr>
        <w:t xml:space="preserve">Asi las cosas, </w:t>
      </w:r>
      <w:r w:rsidRPr="00A3606C">
        <w:rPr>
          <w:rFonts w:ascii="Verdana" w:eastAsia="Calibri" w:hAnsi="Verdana" w:cs="Arial"/>
          <w:color w:val="000000"/>
          <w:lang w:val="es-ES_tradnl" w:eastAsia="es-ES_tradnl"/>
        </w:rPr>
        <w:t xml:space="preserve">la procedencia de los ANS debe analizarse en función de la estructura concreta del negocio jurídico y de las obligaciones pactadas, de </w:t>
      </w:r>
      <w:r>
        <w:rPr>
          <w:rFonts w:ascii="Verdana" w:eastAsia="Calibri" w:hAnsi="Verdana" w:cs="Arial"/>
          <w:color w:val="000000"/>
          <w:lang w:val="es-ES_tradnl" w:eastAsia="es-ES_tradnl"/>
        </w:rPr>
        <w:t xml:space="preserve">tal suerte </w:t>
      </w:r>
      <w:r w:rsidRPr="00A3606C">
        <w:rPr>
          <w:rFonts w:ascii="Verdana" w:eastAsia="Calibri" w:hAnsi="Verdana" w:cs="Arial"/>
          <w:color w:val="000000"/>
          <w:lang w:val="es-ES_tradnl" w:eastAsia="es-ES_tradnl"/>
        </w:rPr>
        <w:t>que estos se encuentren efectivamente asociados a parámetros objetivos de calidad, oportunidad, disponibilidad o desempeño del servicio. En consecuencia, los ANS no constituyen una herramienta que pueda incorporarse de manera indiscriminada en cualquier contrato ni utilizarse</w:t>
      </w:r>
      <w:r>
        <w:rPr>
          <w:rFonts w:ascii="Verdana" w:eastAsia="Calibri" w:hAnsi="Verdana" w:cs="Arial"/>
          <w:color w:val="000000"/>
          <w:lang w:val="es-ES_tradnl" w:eastAsia="es-ES_tradnl"/>
        </w:rPr>
        <w:t xml:space="preserve"> </w:t>
      </w:r>
      <w:r w:rsidRPr="00A3606C">
        <w:rPr>
          <w:rFonts w:ascii="Verdana" w:eastAsia="Calibri" w:hAnsi="Verdana" w:cs="Arial"/>
          <w:color w:val="000000"/>
          <w:lang w:val="es-ES_tradnl" w:eastAsia="es-ES_tradnl"/>
        </w:rPr>
        <w:t>como fundamento para imponer descuentos al contratista frente a cualquier incumplimiento de sus obligaciones. Su finalidad debe estar vinculada a la medición objetiva del nivel de servicio efectivamente prestado y a la determinación de la remuneración que corresponda de acuerdo con los parámetros previamente establecidos en el contrato.</w:t>
      </w:r>
    </w:p>
    <w:p w14:paraId="5C1DBA9B" w14:textId="77777777" w:rsidR="004D45D2" w:rsidRDefault="004D45D2" w:rsidP="004D45D2">
      <w:pPr>
        <w:tabs>
          <w:tab w:val="left" w:pos="0"/>
        </w:tabs>
        <w:spacing w:after="120" w:line="276" w:lineRule="auto"/>
        <w:ind w:right="193" w:firstLine="709"/>
        <w:jc w:val="both"/>
        <w:rPr>
          <w:rFonts w:ascii="Verdana" w:eastAsia="Calibri" w:hAnsi="Verdana" w:cs="Arial"/>
          <w:color w:val="000000"/>
          <w:lang w:val="es-ES_tradnl" w:eastAsia="es-ES_tradnl"/>
        </w:rPr>
      </w:pPr>
      <w:r>
        <w:rPr>
          <w:rFonts w:ascii="Verdana" w:eastAsia="Calibri" w:hAnsi="Verdana" w:cs="Arial"/>
          <w:color w:val="000000"/>
          <w:lang w:val="es-ES_tradnl" w:eastAsia="es-ES_tradnl"/>
        </w:rPr>
        <w:t>En suma</w:t>
      </w:r>
      <w:r w:rsidRPr="00ED508A">
        <w:rPr>
          <w:rFonts w:ascii="Verdana" w:eastAsia="Calibri" w:hAnsi="Verdana" w:cs="Arial"/>
          <w:color w:val="000000"/>
          <w:lang w:val="es-ES_tradnl" w:eastAsia="es-ES_tradnl"/>
        </w:rPr>
        <w:t>, la entidad deberá definir desde la estructuración del contrato cuáles indicadores pueden ser objeto de medición mediante ANS, cómo se verificará su cumplimiento y cuál será su efecto sobre la remuneración, procurando que exista una relación directa y razonable entre el nivel de servicio obtenido y el valor a reconocer. Si, por el contrario, el descuento pretende operar como consecuencia de la inobservancia de una obligación contractual que no corresponde propiamente a un parámetro de calidad o desempeño del servicio, deberá acudirse a</w:t>
      </w:r>
      <w:r>
        <w:rPr>
          <w:rFonts w:ascii="Verdana" w:eastAsia="Calibri" w:hAnsi="Verdana" w:cs="Arial"/>
          <w:color w:val="000000"/>
          <w:lang w:val="es-ES_tradnl" w:eastAsia="es-ES_tradnl"/>
        </w:rPr>
        <w:t>l procedimiento de incumplimiento establecido en el artículo 87 de la Ley 1474 de 2011</w:t>
      </w:r>
      <w:r w:rsidRPr="00ED508A">
        <w:rPr>
          <w:rFonts w:ascii="Verdana" w:eastAsia="Calibri" w:hAnsi="Verdana" w:cs="Arial"/>
          <w:color w:val="000000"/>
          <w:lang w:val="es-ES_tradnl" w:eastAsia="es-ES_tradnl"/>
        </w:rPr>
        <w:t>. De esta manera, los ANS no pueden convertirse en un mecanismo para eludir el procedimiento que debe adelantarse cuando la entidad pretende declarar un incumplimiento o imponer una consecuencia de naturaleza sancionatoria.</w:t>
      </w:r>
    </w:p>
    <w:p w14:paraId="7B8CB701" w14:textId="47E17123" w:rsidR="004D45D2" w:rsidRPr="00105350" w:rsidRDefault="004D45D2" w:rsidP="004D45D2">
      <w:pPr>
        <w:tabs>
          <w:tab w:val="left" w:pos="0"/>
        </w:tabs>
        <w:spacing w:after="120" w:line="276" w:lineRule="auto"/>
        <w:ind w:right="193" w:firstLine="709"/>
        <w:jc w:val="both"/>
        <w:rPr>
          <w:rFonts w:ascii="Verdana" w:eastAsia="Calibri" w:hAnsi="Verdana" w:cs="Arial"/>
          <w:color w:val="000000"/>
          <w:lang w:eastAsia="es-ES_tradnl"/>
        </w:rPr>
      </w:pPr>
      <w:r>
        <w:rPr>
          <w:rFonts w:ascii="Verdana" w:eastAsia="Calibri" w:hAnsi="Verdana" w:cs="Arial"/>
          <w:color w:val="000000"/>
          <w:lang w:val="es-ES_tradnl" w:eastAsia="es-ES_tradnl"/>
        </w:rPr>
        <w:t>Finalmente, frente a la</w:t>
      </w:r>
      <w:r w:rsidR="00963AE6">
        <w:rPr>
          <w:rFonts w:ascii="Verdana" w:eastAsia="Calibri" w:hAnsi="Verdana" w:cs="Arial"/>
          <w:color w:val="000000"/>
          <w:lang w:val="es-ES_tradnl" w:eastAsia="es-ES_tradnl"/>
        </w:rPr>
        <w:t xml:space="preserve"> consulta sobre la</w:t>
      </w:r>
      <w:r>
        <w:rPr>
          <w:rFonts w:ascii="Verdana" w:eastAsia="Calibri" w:hAnsi="Verdana" w:cs="Arial"/>
          <w:color w:val="000000"/>
          <w:lang w:val="es-ES_tradnl" w:eastAsia="es-ES_tradnl"/>
        </w:rPr>
        <w:t xml:space="preserve"> medición </w:t>
      </w:r>
      <w:r w:rsidRPr="00B11ACB">
        <w:rPr>
          <w:rFonts w:ascii="Verdana" w:eastAsia="Calibri" w:hAnsi="Verdana" w:cs="Arial"/>
          <w:color w:val="000000"/>
          <w:lang w:eastAsia="es-ES_tradnl"/>
        </w:rPr>
        <w:t>que se viene haciendo de los acuerdos de niveles de servicio por parte de las entidades estatales</w:t>
      </w:r>
      <w:r>
        <w:rPr>
          <w:rFonts w:ascii="Verdana" w:eastAsia="Calibri" w:hAnsi="Verdana" w:cs="Arial"/>
          <w:color w:val="000000"/>
          <w:lang w:eastAsia="es-ES_tradnl"/>
        </w:rPr>
        <w:t xml:space="preserve">, resulta pertinente señalar que, conforme con la información reportada por la </w:t>
      </w:r>
      <w:r w:rsidRPr="00DE2A49">
        <w:rPr>
          <w:rFonts w:ascii="Verdana" w:eastAsia="Calibri" w:hAnsi="Verdana" w:cs="Arial"/>
          <w:color w:val="000000"/>
          <w:lang w:eastAsia="es-ES_tradnl"/>
        </w:rPr>
        <w:t>Subdirección de Estudios de Mercado y Abastecimiento Estratégico</w:t>
      </w:r>
      <w:r>
        <w:rPr>
          <w:rFonts w:ascii="Verdana" w:eastAsia="Calibri" w:hAnsi="Verdana" w:cs="Arial"/>
          <w:color w:val="000000"/>
          <w:lang w:eastAsia="es-ES_tradnl"/>
        </w:rPr>
        <w:t>, “</w:t>
      </w:r>
      <w:r w:rsidRPr="00105350">
        <w:rPr>
          <w:rFonts w:ascii="Verdana" w:eastAsia="Calibri" w:hAnsi="Verdana" w:cs="Arial"/>
          <w:color w:val="000000"/>
          <w:lang w:eastAsia="es-ES_tradnl"/>
        </w:rPr>
        <w:t xml:space="preserve">actualmente no se cuenta con una medición institucional sobre el uso de los </w:t>
      </w:r>
      <w:r w:rsidRPr="00105350">
        <w:rPr>
          <w:rFonts w:ascii="Verdana" w:eastAsia="Calibri" w:hAnsi="Verdana" w:cs="Arial"/>
          <w:color w:val="000000"/>
          <w:lang w:eastAsia="es-ES_tradnl"/>
        </w:rPr>
        <w:lastRenderedPageBreak/>
        <w:t>Acuerdos de Niveles de Servicio (ANS) por parte de las Entidades Estatales.</w:t>
      </w:r>
      <w:r>
        <w:rPr>
          <w:rFonts w:ascii="Verdana" w:eastAsia="Calibri" w:hAnsi="Verdana" w:cs="Arial"/>
          <w:color w:val="000000"/>
          <w:lang w:eastAsia="es-ES_tradnl"/>
        </w:rPr>
        <w:t xml:space="preserve"> </w:t>
      </w:r>
      <w:r w:rsidRPr="00105350">
        <w:rPr>
          <w:rFonts w:ascii="Verdana" w:eastAsia="Calibri" w:hAnsi="Verdana" w:cs="Arial"/>
          <w:color w:val="000000"/>
          <w:lang w:eastAsia="es-ES_tradnl"/>
        </w:rPr>
        <w:t>Lo anterior, debido a que en las bases de datos estructuradas disponibles para consulta no se cuenta con un campo, variable o marcador específico que permita identificar directamente la inclusión de ANS en los procesos o contratos. Si bien estos pueden encontrarse dentro de los documentos que hacen parte de los expedientes contractuales, su identificación requeriría la revisión individual de dichos documentos.</w:t>
      </w:r>
      <w:r>
        <w:rPr>
          <w:rFonts w:ascii="Verdana" w:eastAsia="Calibri" w:hAnsi="Verdana" w:cs="Arial"/>
          <w:color w:val="000000"/>
          <w:lang w:eastAsia="es-ES_tradnl"/>
        </w:rPr>
        <w:t xml:space="preserve"> </w:t>
      </w:r>
      <w:r w:rsidRPr="00105350">
        <w:rPr>
          <w:rFonts w:ascii="Verdana" w:eastAsia="Calibri" w:hAnsi="Verdana" w:cs="Arial"/>
          <w:color w:val="000000"/>
          <w:lang w:eastAsia="es-ES_tradnl"/>
        </w:rPr>
        <w:t>En consecuencia, no es posible establecer, a partir de las variables estructuradas disponibles, un universo cierto y exhaustivo de contratos que incluyan ANS, ni determinar cuáles Entidades Estatales los incorporan con mayor frecuencia. Una búsqueda basada en el contenido de los documentos podría generar una aproximación, pero sus resultados no permitirían garantizar una identificación completa y concluyent</w:t>
      </w:r>
      <w:r>
        <w:rPr>
          <w:rFonts w:ascii="Verdana" w:eastAsia="Calibri" w:hAnsi="Verdana" w:cs="Arial"/>
          <w:color w:val="000000"/>
          <w:lang w:eastAsia="es-ES_tradnl"/>
        </w:rPr>
        <w:t xml:space="preserve">e”. </w:t>
      </w:r>
    </w:p>
    <w:p w14:paraId="60559460" w14:textId="77777777" w:rsidR="004D45D2" w:rsidRPr="00CE3D43" w:rsidRDefault="004D45D2" w:rsidP="004D45D2">
      <w:pPr>
        <w:spacing w:after="120" w:line="276" w:lineRule="auto"/>
        <w:ind w:right="142"/>
        <w:jc w:val="both"/>
        <w:rPr>
          <w:rFonts w:ascii="Verdana" w:hAnsi="Verdana" w:cs="Arial"/>
          <w:iCs/>
          <w:color w:val="000000" w:themeColor="text1"/>
          <w:lang w:val="es-ES_tradnl"/>
        </w:rPr>
      </w:pPr>
      <w:proofErr w:type="spellStart"/>
      <w:r>
        <w:rPr>
          <w:rFonts w:ascii="Verdana" w:hAnsi="Verdana" w:cs="Arial"/>
          <w:color w:val="000000" w:themeColor="text1"/>
        </w:rPr>
        <w:t>iii</w:t>
      </w:r>
      <w:proofErr w:type="spellEnd"/>
      <w:r>
        <w:rPr>
          <w:rFonts w:ascii="Verdana" w:hAnsi="Verdana" w:cs="Arial"/>
          <w:color w:val="000000" w:themeColor="text1"/>
        </w:rPr>
        <w:t xml:space="preserve">. </w:t>
      </w:r>
      <w:bookmarkEnd w:id="2"/>
      <w:r w:rsidRPr="00E853DE">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E2A202F" w14:textId="77777777" w:rsidR="004D45D2" w:rsidRPr="008A4AEC" w:rsidRDefault="004D45D2" w:rsidP="004D45D2">
      <w:pPr>
        <w:widowControl w:val="0"/>
        <w:autoSpaceDE w:val="0"/>
        <w:autoSpaceDN w:val="0"/>
        <w:spacing w:after="0" w:line="276" w:lineRule="auto"/>
        <w:ind w:firstLine="708"/>
        <w:jc w:val="both"/>
        <w:rPr>
          <w:rFonts w:ascii="Verdana" w:hAnsi="Verdana" w:cs="Arial"/>
        </w:rPr>
      </w:pPr>
      <w:r w:rsidRPr="00E853DE">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w:t>
      </w:r>
      <w:r>
        <w:rPr>
          <w:rFonts w:ascii="Verdana" w:eastAsia="Calibri" w:hAnsi="Verdana" w:cs="Arial"/>
          <w:bCs/>
          <w:color w:val="000000" w:themeColor="text1"/>
        </w:rPr>
        <w:t xml:space="preserve">estandarizar los regímenes sancionatorios en los términos solicitados en la consulta, ya que –como se explicó </w:t>
      </w:r>
      <w:r w:rsidRPr="00F33F91">
        <w:rPr>
          <w:rFonts w:ascii="Verdana" w:eastAsia="Calibri" w:hAnsi="Verdana" w:cs="Arial"/>
          <w:bCs/>
          <w:i/>
          <w:iCs/>
          <w:color w:val="000000" w:themeColor="text1"/>
        </w:rPr>
        <w:t>ut supra</w:t>
      </w:r>
      <w:r>
        <w:rPr>
          <w:rFonts w:ascii="Verdana" w:eastAsia="Calibri" w:hAnsi="Verdana" w:cs="Arial"/>
          <w:bCs/>
          <w:color w:val="000000" w:themeColor="text1"/>
        </w:rPr>
        <w:t>– este aspecto corresponde a una combinación entre autonomía de la voluntad y principio de legalidad.</w:t>
      </w:r>
      <w:r w:rsidRPr="00185EE9">
        <w:rPr>
          <w:rFonts w:ascii="Verdana" w:eastAsia="Calibri" w:hAnsi="Verdana" w:cs="Arial"/>
          <w:bCs/>
          <w:color w:val="000000" w:themeColor="text1"/>
        </w:rPr>
        <w:t xml:space="preserve"> </w:t>
      </w:r>
      <w:r w:rsidRPr="00DE3BB8">
        <w:rPr>
          <w:rFonts w:ascii="Verdana" w:hAnsi="Verdana" w:cs="Arial"/>
        </w:rPr>
        <w:t xml:space="preserve"> </w:t>
      </w:r>
      <w:r>
        <w:rPr>
          <w:rFonts w:ascii="Verdana" w:hAnsi="Verdana" w:cs="Arial"/>
        </w:rPr>
        <w:t xml:space="preserve"> </w:t>
      </w:r>
    </w:p>
    <w:p w14:paraId="412187D6" w14:textId="77777777" w:rsidR="004D45D2" w:rsidRPr="00593A5F" w:rsidRDefault="004D45D2" w:rsidP="004D45D2">
      <w:pPr>
        <w:widowControl w:val="0"/>
        <w:autoSpaceDE w:val="0"/>
        <w:autoSpaceDN w:val="0"/>
        <w:spacing w:after="0" w:line="276" w:lineRule="auto"/>
        <w:jc w:val="both"/>
        <w:rPr>
          <w:rFonts w:ascii="Verdana" w:hAnsi="Verdana" w:cs="Arial"/>
        </w:rPr>
      </w:pPr>
    </w:p>
    <w:p w14:paraId="3E64F1A3" w14:textId="77777777" w:rsidR="004D45D2" w:rsidRPr="00593A5F" w:rsidRDefault="004D45D2" w:rsidP="004D45D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4196CC56" w14:textId="77777777" w:rsidR="004D45D2" w:rsidRPr="00593A5F" w:rsidRDefault="004D45D2" w:rsidP="004D45D2">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D45D2" w:rsidRPr="002407CE" w14:paraId="6AA67BE5" w14:textId="77777777" w:rsidTr="0006173A">
        <w:trPr>
          <w:trHeight w:val="870"/>
          <w:jc w:val="center"/>
        </w:trPr>
        <w:tc>
          <w:tcPr>
            <w:tcW w:w="8647" w:type="dxa"/>
          </w:tcPr>
          <w:p w14:paraId="5129DC14" w14:textId="77777777" w:rsidR="004D45D2" w:rsidRPr="004F2181" w:rsidRDefault="004D45D2" w:rsidP="004D45D2">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2407CE">
              <w:rPr>
                <w:rFonts w:ascii="Verdana" w:hAnsi="Verdana" w:cs="Arial"/>
              </w:rPr>
              <w:t>Ley</w:t>
            </w:r>
            <w:r>
              <w:rPr>
                <w:rFonts w:ascii="Verdana" w:hAnsi="Verdana" w:cs="Arial"/>
              </w:rPr>
              <w:t xml:space="preserve"> 80 de 1993, artículos 13, 14, 15, 16, 17, 18, 19, 32 y 40.</w:t>
            </w:r>
          </w:p>
          <w:p w14:paraId="4DECC721" w14:textId="77777777" w:rsidR="004D45D2" w:rsidRDefault="004D45D2" w:rsidP="004D45D2">
            <w:pPr>
              <w:pStyle w:val="Prrafodelista"/>
              <w:widowControl w:val="0"/>
              <w:numPr>
                <w:ilvl w:val="0"/>
                <w:numId w:val="17"/>
              </w:numPr>
              <w:autoSpaceDE w:val="0"/>
              <w:autoSpaceDN w:val="0"/>
              <w:spacing w:after="120" w:line="276" w:lineRule="auto"/>
              <w:ind w:left="714" w:hanging="357"/>
              <w:jc w:val="both"/>
              <w:rPr>
                <w:rFonts w:ascii="Verdana" w:hAnsi="Verdana" w:cs="Arial"/>
              </w:rPr>
            </w:pPr>
            <w:r>
              <w:rPr>
                <w:rFonts w:ascii="Verdana" w:hAnsi="Verdana" w:cs="Arial"/>
              </w:rPr>
              <w:t>Ley 1150 de 2007, artículo 17.</w:t>
            </w:r>
          </w:p>
          <w:p w14:paraId="0FA00AFE" w14:textId="77777777" w:rsidR="004D45D2" w:rsidRPr="004F1AC3" w:rsidRDefault="004D45D2" w:rsidP="0006173A">
            <w:pPr>
              <w:pStyle w:val="Prrafodelista"/>
              <w:widowControl w:val="0"/>
              <w:autoSpaceDE w:val="0"/>
              <w:autoSpaceDN w:val="0"/>
              <w:spacing w:after="120" w:line="276" w:lineRule="auto"/>
              <w:ind w:left="714"/>
              <w:jc w:val="both"/>
              <w:rPr>
                <w:rFonts w:ascii="Verdana" w:hAnsi="Verdana" w:cs="Arial"/>
                <w:sz w:val="12"/>
                <w:szCs w:val="12"/>
              </w:rPr>
            </w:pPr>
          </w:p>
          <w:p w14:paraId="09D26920" w14:textId="77777777" w:rsidR="004D45D2" w:rsidRPr="004F1AC3" w:rsidRDefault="004D45D2" w:rsidP="004D45D2">
            <w:pPr>
              <w:pStyle w:val="Prrafodelista"/>
              <w:widowControl w:val="0"/>
              <w:numPr>
                <w:ilvl w:val="0"/>
                <w:numId w:val="17"/>
              </w:numPr>
              <w:autoSpaceDE w:val="0"/>
              <w:autoSpaceDN w:val="0"/>
              <w:spacing w:after="120" w:line="276" w:lineRule="auto"/>
              <w:ind w:left="714" w:hanging="357"/>
              <w:jc w:val="both"/>
              <w:rPr>
                <w:rFonts w:ascii="Verdana" w:hAnsi="Verdana" w:cs="Arial"/>
              </w:rPr>
            </w:pPr>
            <w:r>
              <w:rPr>
                <w:rFonts w:ascii="Verdana" w:hAnsi="Verdana" w:cs="Arial"/>
              </w:rPr>
              <w:t>Ley 1437 de 2011, artículo 47.</w:t>
            </w:r>
          </w:p>
          <w:p w14:paraId="6817A29A" w14:textId="77777777" w:rsidR="004D45D2" w:rsidRPr="004F1AC3" w:rsidRDefault="004D45D2" w:rsidP="0006173A">
            <w:pPr>
              <w:pStyle w:val="Prrafodelista"/>
              <w:widowControl w:val="0"/>
              <w:autoSpaceDE w:val="0"/>
              <w:autoSpaceDN w:val="0"/>
              <w:spacing w:line="276" w:lineRule="auto"/>
              <w:ind w:left="714"/>
              <w:jc w:val="both"/>
              <w:rPr>
                <w:rFonts w:ascii="Verdana" w:hAnsi="Verdana" w:cs="Arial"/>
                <w:sz w:val="12"/>
                <w:szCs w:val="12"/>
              </w:rPr>
            </w:pPr>
          </w:p>
          <w:p w14:paraId="6DC5CDB4" w14:textId="77777777" w:rsidR="004D45D2" w:rsidRPr="004F1AC3" w:rsidRDefault="004D45D2" w:rsidP="004D45D2">
            <w:pPr>
              <w:pStyle w:val="Prrafodelista"/>
              <w:widowControl w:val="0"/>
              <w:numPr>
                <w:ilvl w:val="0"/>
                <w:numId w:val="17"/>
              </w:numPr>
              <w:autoSpaceDE w:val="0"/>
              <w:autoSpaceDN w:val="0"/>
              <w:spacing w:after="120" w:line="276" w:lineRule="auto"/>
              <w:ind w:left="714" w:hanging="357"/>
              <w:jc w:val="both"/>
              <w:rPr>
                <w:rFonts w:ascii="Verdana" w:hAnsi="Verdana" w:cs="Arial"/>
              </w:rPr>
            </w:pPr>
            <w:r>
              <w:rPr>
                <w:rFonts w:ascii="Verdana" w:hAnsi="Verdana" w:cs="Arial"/>
              </w:rPr>
              <w:t>Ley 1474 de 2011, artículo 86.</w:t>
            </w:r>
          </w:p>
          <w:p w14:paraId="58715179" w14:textId="77777777" w:rsidR="004D45D2" w:rsidRPr="004F1AC3" w:rsidRDefault="004D45D2" w:rsidP="0006173A">
            <w:pPr>
              <w:pStyle w:val="Prrafodelista"/>
              <w:widowControl w:val="0"/>
              <w:autoSpaceDE w:val="0"/>
              <w:autoSpaceDN w:val="0"/>
              <w:spacing w:after="120" w:line="276" w:lineRule="auto"/>
              <w:ind w:left="714"/>
              <w:jc w:val="both"/>
              <w:rPr>
                <w:rFonts w:ascii="Verdana" w:hAnsi="Verdana" w:cs="Arial"/>
                <w:sz w:val="12"/>
                <w:szCs w:val="12"/>
              </w:rPr>
            </w:pPr>
          </w:p>
          <w:p w14:paraId="0E4F7C22" w14:textId="77777777" w:rsidR="004D45D2" w:rsidRPr="004F1AC3" w:rsidRDefault="004D45D2" w:rsidP="004D45D2">
            <w:pPr>
              <w:pStyle w:val="Prrafodelista"/>
              <w:widowControl w:val="0"/>
              <w:numPr>
                <w:ilvl w:val="0"/>
                <w:numId w:val="17"/>
              </w:numPr>
              <w:autoSpaceDE w:val="0"/>
              <w:autoSpaceDN w:val="0"/>
              <w:spacing w:after="120" w:line="276" w:lineRule="auto"/>
              <w:ind w:left="714" w:hanging="357"/>
              <w:jc w:val="both"/>
              <w:rPr>
                <w:rFonts w:ascii="Verdana" w:hAnsi="Verdana" w:cs="Arial"/>
              </w:rPr>
            </w:pPr>
            <w:r>
              <w:rPr>
                <w:rFonts w:ascii="Verdana" w:hAnsi="Verdana" w:cs="Arial"/>
              </w:rPr>
              <w:t>Código Civil, artículos 1596, 1625, 1714, 1715, 1716, 1720, 1721 y 1723.</w:t>
            </w:r>
          </w:p>
          <w:p w14:paraId="1A59CA6B" w14:textId="77777777" w:rsidR="004D45D2" w:rsidRPr="004F1AC3" w:rsidRDefault="004D45D2" w:rsidP="0006173A">
            <w:pPr>
              <w:pStyle w:val="Prrafodelista"/>
              <w:widowControl w:val="0"/>
              <w:autoSpaceDE w:val="0"/>
              <w:autoSpaceDN w:val="0"/>
              <w:spacing w:after="120" w:line="276" w:lineRule="auto"/>
              <w:ind w:left="714"/>
              <w:jc w:val="both"/>
              <w:rPr>
                <w:rFonts w:ascii="Verdana" w:hAnsi="Verdana" w:cs="Arial"/>
                <w:sz w:val="12"/>
                <w:szCs w:val="12"/>
              </w:rPr>
            </w:pPr>
          </w:p>
          <w:p w14:paraId="01B728D7" w14:textId="77777777" w:rsidR="004D45D2" w:rsidRPr="003443F8" w:rsidRDefault="004D45D2" w:rsidP="004D45D2">
            <w:pPr>
              <w:pStyle w:val="Prrafodelista"/>
              <w:widowControl w:val="0"/>
              <w:numPr>
                <w:ilvl w:val="0"/>
                <w:numId w:val="17"/>
              </w:numPr>
              <w:autoSpaceDE w:val="0"/>
              <w:autoSpaceDN w:val="0"/>
              <w:spacing w:line="276" w:lineRule="auto"/>
              <w:ind w:left="714" w:hanging="357"/>
              <w:jc w:val="both"/>
              <w:rPr>
                <w:rFonts w:ascii="Verdana" w:hAnsi="Verdana" w:cs="Arial"/>
              </w:rPr>
            </w:pPr>
            <w:r>
              <w:rPr>
                <w:rFonts w:ascii="Verdana" w:hAnsi="Verdana" w:cs="Arial"/>
              </w:rPr>
              <w:t>Código de Comercio, artículo 867.</w:t>
            </w:r>
          </w:p>
        </w:tc>
      </w:tr>
    </w:tbl>
    <w:p w14:paraId="0FEBFE74" w14:textId="77777777" w:rsidR="004D45D2" w:rsidRPr="002407CE" w:rsidRDefault="004D45D2" w:rsidP="004D45D2">
      <w:pPr>
        <w:widowControl w:val="0"/>
        <w:autoSpaceDE w:val="0"/>
        <w:autoSpaceDN w:val="0"/>
        <w:spacing w:after="0" w:line="276" w:lineRule="auto"/>
        <w:jc w:val="both"/>
        <w:rPr>
          <w:rFonts w:ascii="Verdana" w:hAnsi="Verdana" w:cs="Arial"/>
        </w:rPr>
      </w:pPr>
    </w:p>
    <w:p w14:paraId="6B8D4EBA" w14:textId="77777777" w:rsidR="004D45D2" w:rsidRPr="00593A5F" w:rsidRDefault="004D45D2" w:rsidP="004D45D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27122451" w14:textId="77777777" w:rsidR="004D45D2" w:rsidRPr="00593A5F" w:rsidRDefault="004D45D2" w:rsidP="004D45D2">
      <w:pPr>
        <w:widowControl w:val="0"/>
        <w:autoSpaceDE w:val="0"/>
        <w:autoSpaceDN w:val="0"/>
        <w:spacing w:after="0" w:line="276" w:lineRule="auto"/>
        <w:jc w:val="both"/>
        <w:rPr>
          <w:rFonts w:ascii="Verdana" w:hAnsi="Verdana" w:cs="Arial"/>
        </w:rPr>
      </w:pPr>
    </w:p>
    <w:p w14:paraId="7E07FCE1" w14:textId="77777777" w:rsidR="004D45D2" w:rsidRPr="00DB5DDA" w:rsidRDefault="004D45D2" w:rsidP="004D45D2">
      <w:pPr>
        <w:widowControl w:val="0"/>
        <w:autoSpaceDE w:val="0"/>
        <w:autoSpaceDN w:val="0"/>
        <w:spacing w:after="0" w:line="276" w:lineRule="auto"/>
        <w:jc w:val="both"/>
        <w:rPr>
          <w:rStyle w:val="normaltextrun"/>
          <w:rFonts w:ascii="Verdana" w:hAnsi="Verdana" w:cs="Arial"/>
          <w:shd w:val="clear" w:color="auto" w:fill="FFFFFF"/>
          <w:lang w:val="es-ES"/>
        </w:rPr>
      </w:pPr>
      <w:r>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Pr>
          <w:rStyle w:val="normaltextrun"/>
          <w:rFonts w:ascii="Verdana" w:hAnsi="Verdana"/>
          <w:color w:val="000000" w:themeColor="text1"/>
          <w:shd w:val="clear" w:color="auto" w:fill="FFFFFF"/>
          <w:lang w:val="es-ES"/>
        </w:rPr>
        <w:t xml:space="preserve">sobre los </w:t>
      </w:r>
      <w:r>
        <w:rPr>
          <w:rStyle w:val="normaltextrun"/>
          <w:rFonts w:ascii="Verdana" w:hAnsi="Verdana" w:cs="Arial"/>
          <w:color w:val="000000" w:themeColor="text1"/>
          <w:shd w:val="clear" w:color="auto" w:fill="FFFFFF"/>
          <w:lang w:val="es-ES"/>
        </w:rPr>
        <w:t xml:space="preserve">ANS en los conceptos No. </w:t>
      </w:r>
      <w:r>
        <w:rPr>
          <w:rStyle w:val="normaltextrun"/>
          <w:rFonts w:ascii="Verdana" w:hAnsi="Verdana"/>
          <w:shd w:val="clear" w:color="auto" w:fill="FFFFFF"/>
          <w:lang w:val="es-ES"/>
        </w:rPr>
        <w:t xml:space="preserve">C-866 de 20 de diciembre de 2022, C ‒ 034 del 09 de marzo de 2023, </w:t>
      </w:r>
      <w:r>
        <w:rPr>
          <w:rStyle w:val="normaltextrun"/>
          <w:rFonts w:ascii="Verdana" w:hAnsi="Verdana"/>
          <w:color w:val="000000" w:themeColor="text1"/>
          <w:shd w:val="clear" w:color="auto" w:fill="FFFFFF"/>
          <w:lang w:val="es-ES"/>
        </w:rPr>
        <w:t>C – 277 del 13 de marzo de 2026 y C-1078 de 2026</w:t>
      </w:r>
      <w:r>
        <w:rPr>
          <w:rFonts w:ascii="Verdana" w:eastAsia="Century Gothic" w:hAnsi="Verdana" w:cs="Century Gothic"/>
        </w:rPr>
        <w:t xml:space="preserve">. </w:t>
      </w:r>
      <w:r w:rsidRPr="00EA761C">
        <w:rPr>
          <w:rStyle w:val="normaltextrun"/>
          <w:rFonts w:ascii="Verdana" w:hAnsi="Verdana" w:cs="Arial"/>
          <w:shd w:val="clear" w:color="auto" w:fill="FFFFFF"/>
          <w:lang w:val="es-ES"/>
        </w:rPr>
        <w:t>Es</w:t>
      </w:r>
      <w:r w:rsidRPr="00EA761C">
        <w:rPr>
          <w:rFonts w:ascii="Verdana" w:hAnsi="Verdana"/>
        </w:rPr>
        <w:t>t</w:t>
      </w:r>
      <w:r>
        <w:rPr>
          <w:rFonts w:ascii="Verdana" w:hAnsi="Verdana"/>
        </w:rPr>
        <w:t>e y otros conceptos de la Subdirección</w:t>
      </w:r>
      <w:r w:rsidRPr="00A1554D">
        <w:rPr>
          <w:rFonts w:ascii="Verdana" w:hAnsi="Verdana"/>
        </w:rPr>
        <w:t xml:space="preserve"> se encuentran disponibles para consulta en el Sistema de </w:t>
      </w:r>
      <w:r>
        <w:rPr>
          <w:rFonts w:ascii="Verdana" w:hAnsi="Verdana"/>
        </w:rPr>
        <w:t>r</w:t>
      </w:r>
      <w:r w:rsidRPr="00A1554D">
        <w:rPr>
          <w:rFonts w:ascii="Verdana" w:hAnsi="Verdana"/>
        </w:rPr>
        <w:t>elatoría de la Agencia, al cual puede acceder</w:t>
      </w:r>
      <w:r>
        <w:rPr>
          <w:rFonts w:ascii="Verdana" w:hAnsi="Verdana"/>
        </w:rPr>
        <w:t>se</w:t>
      </w:r>
      <w:r w:rsidRPr="00A1554D">
        <w:rPr>
          <w:rFonts w:ascii="Verdana" w:hAnsi="Verdana"/>
        </w:rPr>
        <w:t xml:space="preserve"> a través del siguiente enlace:</w:t>
      </w:r>
      <w:r w:rsidRPr="00A1554D">
        <w:rPr>
          <w:rStyle w:val="normaltextrun"/>
          <w:rFonts w:ascii="Verdana" w:hAnsi="Verdana" w:cs="Arial"/>
          <w:shd w:val="clear" w:color="auto" w:fill="FFFFFF"/>
          <w:lang w:val="es-ES"/>
        </w:rPr>
        <w:t xml:space="preserve"> </w:t>
      </w:r>
      <w:hyperlink r:id="rId13" w:history="1">
        <w:r w:rsidRPr="00A1554D">
          <w:rPr>
            <w:rStyle w:val="Hipervnculo"/>
            <w:rFonts w:ascii="Verdana" w:hAnsi="Verdana" w:cs="Arial"/>
            <w:shd w:val="clear" w:color="auto" w:fill="FFFFFF"/>
            <w:lang w:val="es-ES"/>
          </w:rPr>
          <w:t>https://relatoria.colombiacompra.gov.co/busqueda/conceptos</w:t>
        </w:r>
      </w:hyperlink>
      <w:r w:rsidRPr="00CD3D06">
        <w:rPr>
          <w:rStyle w:val="normaltextrun"/>
          <w:rFonts w:ascii="Verdana" w:hAnsi="Verdana" w:cs="Arial"/>
          <w:shd w:val="clear" w:color="auto" w:fill="FFFFFF"/>
          <w:lang w:val="es-ES"/>
        </w:rPr>
        <w:t>.</w:t>
      </w:r>
      <w:r>
        <w:rPr>
          <w:rStyle w:val="normaltextrun"/>
          <w:rFonts w:ascii="Verdana" w:hAnsi="Verdana" w:cs="Arial"/>
          <w:color w:val="FF0000"/>
          <w:shd w:val="clear" w:color="auto" w:fill="FFFFFF"/>
          <w:lang w:val="es-ES"/>
        </w:rPr>
        <w:t xml:space="preserve"> </w:t>
      </w:r>
    </w:p>
    <w:p w14:paraId="137D528E" w14:textId="77777777" w:rsidR="004D45D2" w:rsidRDefault="004D45D2" w:rsidP="004D45D2">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49D4CD27" w14:textId="77777777" w:rsidR="004D45D2" w:rsidRPr="00F74645" w:rsidRDefault="004D45D2" w:rsidP="004D45D2">
      <w:pPr>
        <w:widowControl w:val="0"/>
        <w:autoSpaceDE w:val="0"/>
        <w:autoSpaceDN w:val="0"/>
        <w:spacing w:after="120" w:line="276" w:lineRule="auto"/>
        <w:jc w:val="both"/>
        <w:rPr>
          <w:rFonts w:ascii="Verdana" w:hAnsi="Verdana" w:cs="Arial"/>
          <w:color w:val="000000" w:themeColor="text1"/>
          <w:shd w:val="clear" w:color="auto" w:fill="FFFFFF"/>
        </w:rPr>
      </w:pPr>
      <w:r w:rsidRPr="004A73EC">
        <w:rPr>
          <w:rFonts w:ascii="Verdana" w:hAnsi="Verdana" w:cs="Arial"/>
          <w:color w:val="000000" w:themeColor="text1"/>
          <w:shd w:val="clear" w:color="auto" w:fill="FFFFFF"/>
          <w:lang w:val="es-ES_tradnl"/>
        </w:rPr>
        <w:t xml:space="preserve"> </w:t>
      </w:r>
      <w:r w:rsidRPr="00F74645">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74645">
        <w:rPr>
          <w:rFonts w:ascii="Verdana" w:eastAsia="Times New Roman" w:hAnsi="Verdana" w:cs="Times New Roman"/>
          <w:b/>
          <w:bCs/>
          <w:color w:val="000000"/>
          <w:lang w:eastAsia="es-CO"/>
        </w:rPr>
        <w:t>Guía para la Exigencia y Constitución de Garantías en los Procesos de Contratación</w:t>
      </w:r>
      <w:r w:rsidRPr="00F74645">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03CF3A85" w14:textId="77777777" w:rsidR="004D45D2" w:rsidRPr="00F74645" w:rsidRDefault="004D45D2" w:rsidP="004D45D2">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74645">
        <w:rPr>
          <w:rFonts w:ascii="Verdana" w:eastAsia="Times New Roman" w:hAnsi="Verdana" w:cs="Times New Roman"/>
          <w:b/>
          <w:bCs/>
          <w:color w:val="000000"/>
          <w:lang w:eastAsia="es-CO"/>
        </w:rPr>
        <w:t xml:space="preserve">Sistema Integral de Preferencias en favor de las </w:t>
      </w:r>
      <w:r w:rsidRPr="00F74645">
        <w:rPr>
          <w:rFonts w:ascii="Verdana" w:eastAsia="Times New Roman" w:hAnsi="Verdana" w:cs="Times New Roman"/>
          <w:b/>
          <w:bCs/>
          <w:color w:val="000000"/>
          <w:lang w:eastAsia="es-CO"/>
        </w:rPr>
        <w:lastRenderedPageBreak/>
        <w:t>personas con discapacidad</w:t>
      </w:r>
      <w:r w:rsidRPr="00F74645">
        <w:rPr>
          <w:rFonts w:ascii="Verdana" w:eastAsia="Times New Roman" w:hAnsi="Verdana" w:cs="Times New Roman"/>
          <w:color w:val="000000"/>
          <w:lang w:eastAsia="es-CO"/>
        </w:rPr>
        <w:t>, en cumplimiento del artículo 13 de la Ley Estatutaria 1618 de 2013. Para orientar su aplicación, esta Agencia expidió la </w:t>
      </w:r>
      <w:r w:rsidRPr="00F74645">
        <w:rPr>
          <w:rFonts w:ascii="Verdana" w:eastAsia="Times New Roman" w:hAnsi="Verdana" w:cs="Times New Roman"/>
          <w:b/>
          <w:bCs/>
          <w:color w:val="000000"/>
          <w:lang w:eastAsia="es-CO"/>
        </w:rPr>
        <w:t>Circular Externa 003 del 12 de mayo de 2026, </w:t>
      </w:r>
      <w:r w:rsidRPr="00F74645">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4004C2A1" w14:textId="77777777" w:rsidR="004D45D2" w:rsidRPr="00F74645" w:rsidRDefault="004D45D2" w:rsidP="004D45D2">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Recuerda también que la</w:t>
      </w:r>
      <w:r w:rsidRPr="00F74645">
        <w:rPr>
          <w:rFonts w:ascii="Verdana" w:eastAsia="Times New Roman" w:hAnsi="Verdana" w:cs="Times New Roman"/>
          <w:b/>
          <w:bCs/>
          <w:color w:val="000000"/>
          <w:lang w:eastAsia="es-CO"/>
        </w:rPr>
        <w:t> información sobre sanciones e inhabilidades </w:t>
      </w:r>
      <w:r w:rsidRPr="00F74645">
        <w:rPr>
          <w:rFonts w:ascii="Verdana" w:eastAsia="Times New Roman" w:hAnsi="Verdana" w:cs="Times New Roman"/>
          <w:color w:val="000000"/>
          <w:lang w:eastAsia="es-CO"/>
        </w:rPr>
        <w:t>solo cumple su función preventiva si llega oportunamente a los registros públicos. Sobre este deber, esta Agencia expidió la </w:t>
      </w:r>
      <w:r w:rsidRPr="00F74645">
        <w:rPr>
          <w:rFonts w:ascii="Verdana" w:eastAsia="Times New Roman" w:hAnsi="Verdana" w:cs="Times New Roman"/>
          <w:b/>
          <w:bCs/>
          <w:color w:val="000000"/>
          <w:lang w:eastAsia="es-CO"/>
        </w:rPr>
        <w:t>Circular Externa 002 del 5 de mayo de 2026,</w:t>
      </w:r>
      <w:r w:rsidRPr="00F74645">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11AB6AD1" w14:textId="77777777" w:rsidR="004D45D2" w:rsidRPr="00F74645" w:rsidRDefault="004D45D2" w:rsidP="004D45D2">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Finalmente, si quieres seguir de cerca la actividad de la Agencia, la tercera edición de 2026 del</w:t>
      </w:r>
      <w:r w:rsidRPr="00F74645">
        <w:rPr>
          <w:rFonts w:ascii="Verdana" w:eastAsia="Times New Roman" w:hAnsi="Verdana" w:cs="Times New Roman"/>
          <w:b/>
          <w:bCs/>
          <w:color w:val="000000"/>
          <w:lang w:eastAsia="es-CO"/>
        </w:rPr>
        <w:t> Radar de la Compra Pública</w:t>
      </w:r>
      <w:r w:rsidRPr="00F74645">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74645">
        <w:rPr>
          <w:rFonts w:ascii="Verdana" w:eastAsia="Times New Roman" w:hAnsi="Verdana" w:cs="Times New Roman"/>
          <w:color w:val="000000"/>
          <w:lang w:eastAsia="es-CO"/>
        </w:rPr>
        <w:t>"</w:t>
      </w:r>
    </w:p>
    <w:p w14:paraId="782D7C9C" w14:textId="77777777" w:rsidR="004D45D2" w:rsidRPr="00F74645" w:rsidRDefault="004D45D2" w:rsidP="004D45D2">
      <w:pPr>
        <w:spacing w:after="0" w:line="276" w:lineRule="auto"/>
        <w:jc w:val="both"/>
        <w:rPr>
          <w:rFonts w:ascii="Verdana" w:hAnsi="Verdana"/>
          <w:lang w:val="es-ES"/>
        </w:rPr>
      </w:pPr>
      <w:r w:rsidRPr="00F74645">
        <w:rPr>
          <w:rFonts w:ascii="Verdana" w:hAnsi="Verdana"/>
          <w:lang w:val="es-ES"/>
        </w:rPr>
        <w:t xml:space="preserve">Por último, lo invitamos a seguirnos en las redes sociales en las cuales se difunde información institucional: </w:t>
      </w:r>
    </w:p>
    <w:p w14:paraId="04125EB7" w14:textId="77777777" w:rsidR="004D45D2" w:rsidRPr="00F74645" w:rsidRDefault="004D45D2" w:rsidP="004D45D2">
      <w:pPr>
        <w:spacing w:after="0" w:line="276" w:lineRule="auto"/>
        <w:jc w:val="both"/>
        <w:rPr>
          <w:rFonts w:ascii="Verdana" w:hAnsi="Verdana"/>
          <w:lang w:val="es-ES"/>
        </w:rPr>
      </w:pPr>
    </w:p>
    <w:p w14:paraId="4FC857A3" w14:textId="77777777" w:rsidR="004D45D2" w:rsidRPr="00F74645" w:rsidRDefault="004D45D2" w:rsidP="004D45D2">
      <w:pPr>
        <w:spacing w:after="0" w:line="276" w:lineRule="auto"/>
        <w:jc w:val="both"/>
        <w:rPr>
          <w:rFonts w:ascii="Verdana" w:hAnsi="Verdana"/>
          <w:lang w:val="es-ES"/>
        </w:rPr>
      </w:pPr>
      <w:r w:rsidRPr="00F74645">
        <w:rPr>
          <w:rFonts w:ascii="Verdana" w:hAnsi="Verdana"/>
          <w:lang w:val="es-ES"/>
        </w:rPr>
        <w:t xml:space="preserve">Twitter: </w:t>
      </w:r>
      <w:r w:rsidRPr="00F74645">
        <w:rPr>
          <w:rFonts w:ascii="Verdana" w:hAnsi="Verdana" w:cs="Arial"/>
          <w:color w:val="0000FF"/>
          <w:u w:val="single"/>
          <w:shd w:val="clear" w:color="auto" w:fill="FFFFFF"/>
          <w:lang w:val="es-ES"/>
        </w:rPr>
        <w:t>@colombiacompra</w:t>
      </w:r>
      <w:r w:rsidRPr="00F74645">
        <w:rPr>
          <w:rFonts w:ascii="Verdana" w:hAnsi="Verdana"/>
          <w:color w:val="4472C4" w:themeColor="accent1"/>
          <w:lang w:val="es-ES"/>
        </w:rPr>
        <w:t xml:space="preserve"> </w:t>
      </w:r>
    </w:p>
    <w:p w14:paraId="53D6FB27" w14:textId="77777777" w:rsidR="004D45D2" w:rsidRPr="00F74645" w:rsidRDefault="004D45D2" w:rsidP="004D45D2">
      <w:pPr>
        <w:spacing w:after="0" w:line="276" w:lineRule="auto"/>
        <w:jc w:val="both"/>
        <w:rPr>
          <w:rFonts w:ascii="Verdana" w:hAnsi="Verdana"/>
          <w:lang w:val="es-ES"/>
        </w:rPr>
      </w:pPr>
      <w:r w:rsidRPr="00F74645">
        <w:rPr>
          <w:rFonts w:ascii="Verdana" w:hAnsi="Verdana"/>
          <w:lang w:val="es-ES"/>
        </w:rPr>
        <w:t xml:space="preserve">Facebook: </w:t>
      </w:r>
      <w:proofErr w:type="spellStart"/>
      <w:r w:rsidRPr="00F74645">
        <w:rPr>
          <w:rFonts w:ascii="Verdana" w:hAnsi="Verdana" w:cs="Arial"/>
          <w:color w:val="0000FF"/>
          <w:u w:val="single"/>
          <w:shd w:val="clear" w:color="auto" w:fill="FFFFFF"/>
          <w:lang w:val="es-ES"/>
        </w:rPr>
        <w:t>ColombiaCompraEficiente</w:t>
      </w:r>
      <w:proofErr w:type="spellEnd"/>
    </w:p>
    <w:p w14:paraId="796DF96E" w14:textId="77777777" w:rsidR="004D45D2" w:rsidRPr="00F74645" w:rsidRDefault="004D45D2" w:rsidP="004D45D2">
      <w:pPr>
        <w:spacing w:after="0" w:line="276" w:lineRule="auto"/>
        <w:jc w:val="both"/>
        <w:rPr>
          <w:rFonts w:ascii="Verdana" w:hAnsi="Verdana"/>
          <w:lang w:val="es-ES"/>
        </w:rPr>
      </w:pPr>
      <w:r w:rsidRPr="00F74645">
        <w:rPr>
          <w:rFonts w:ascii="Verdana" w:hAnsi="Verdana"/>
          <w:lang w:val="es-ES"/>
        </w:rPr>
        <w:t xml:space="preserve">LinkedIn: </w:t>
      </w:r>
      <w:r w:rsidRPr="00F74645">
        <w:rPr>
          <w:rFonts w:ascii="Verdana" w:hAnsi="Verdana" w:cs="Arial"/>
          <w:color w:val="0000FF"/>
          <w:u w:val="single"/>
          <w:shd w:val="clear" w:color="auto" w:fill="FFFFFF"/>
          <w:lang w:val="es-ES"/>
        </w:rPr>
        <w:t xml:space="preserve">Agencia Nacional de Contratación Pública - Colombia Compra Eficiente </w:t>
      </w:r>
      <w:r w:rsidRPr="00F74645">
        <w:rPr>
          <w:rFonts w:ascii="Verdana" w:hAnsi="Verdana"/>
          <w:lang w:val="es-ES"/>
        </w:rPr>
        <w:t xml:space="preserve">Instagram: </w:t>
      </w:r>
      <w:r w:rsidRPr="00F74645">
        <w:rPr>
          <w:rFonts w:ascii="Verdana" w:hAnsi="Verdana" w:cs="Arial"/>
          <w:color w:val="0000FF"/>
          <w:u w:val="single"/>
          <w:shd w:val="clear" w:color="auto" w:fill="FFFFFF"/>
          <w:lang w:val="es-ES"/>
        </w:rPr>
        <w:t>@colombiacompraeficiente_cce</w:t>
      </w:r>
    </w:p>
    <w:p w14:paraId="0B06F13E" w14:textId="77777777" w:rsidR="004D45D2" w:rsidRPr="004C4825" w:rsidRDefault="004D45D2" w:rsidP="004D45D2">
      <w:pPr>
        <w:shd w:val="clear" w:color="auto" w:fill="FFFFFF"/>
        <w:spacing w:after="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246189CD" w14:textId="77777777" w:rsidR="004D45D2" w:rsidRPr="00593A5F" w:rsidRDefault="004D45D2" w:rsidP="004D45D2">
      <w:pPr>
        <w:widowControl w:val="0"/>
        <w:autoSpaceDE w:val="0"/>
        <w:autoSpaceDN w:val="0"/>
        <w:spacing w:after="0" w:line="276" w:lineRule="auto"/>
        <w:jc w:val="both"/>
        <w:rPr>
          <w:rFonts w:ascii="Verdana" w:hAnsi="Verdana" w:cs="Arial"/>
          <w:lang w:val="es-ES_tradnl"/>
        </w:rPr>
      </w:pPr>
      <w:r w:rsidRPr="00593A5F">
        <w:rPr>
          <w:rFonts w:ascii="Verdana" w:hAnsi="Verdana" w:cs="Arial"/>
        </w:rPr>
        <w:lastRenderedPageBreak/>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4CF052BE" w14:textId="77777777" w:rsidR="004D45D2" w:rsidRPr="00593A5F" w:rsidRDefault="004D45D2" w:rsidP="004D45D2">
      <w:pPr>
        <w:widowControl w:val="0"/>
        <w:autoSpaceDE w:val="0"/>
        <w:autoSpaceDN w:val="0"/>
        <w:spacing w:after="0" w:line="276" w:lineRule="auto"/>
        <w:jc w:val="both"/>
        <w:rPr>
          <w:rFonts w:ascii="Verdana" w:hAnsi="Verdana" w:cs="Arial"/>
        </w:rPr>
      </w:pPr>
    </w:p>
    <w:p w14:paraId="1CE7EF5C" w14:textId="785D2A85" w:rsidR="004D45D2" w:rsidRPr="00A536F5" w:rsidRDefault="004D45D2" w:rsidP="00A536F5">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08D653CC" w14:textId="1FCEE417" w:rsidR="004D45D2" w:rsidRPr="006545D5" w:rsidRDefault="00A536F5" w:rsidP="004D45D2">
      <w:pPr>
        <w:spacing w:line="276" w:lineRule="auto"/>
        <w:jc w:val="center"/>
        <w:rPr>
          <w:rFonts w:ascii="Verdana" w:hAnsi="Verdana" w:cs="Arial"/>
          <w:color w:val="000000" w:themeColor="text1"/>
          <w:lang w:val="es-ES" w:eastAsia="es-CO"/>
        </w:rPr>
      </w:pPr>
      <w:r>
        <w:rPr>
          <w:noProof/>
        </w:rPr>
        <w:drawing>
          <wp:inline distT="0" distB="0" distL="0" distR="0" wp14:anchorId="5F110226" wp14:editId="2A8C43B2">
            <wp:extent cx="3343910" cy="1240790"/>
            <wp:effectExtent l="0" t="0" r="8890" b="0"/>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Texto&#10;&#10;Descripción generada automáticamente"/>
                    <pic:cNvPicPr>
                      <a:picLocks noChangeAspect="1"/>
                    </pic:cNvPicPr>
                  </pic:nvPicPr>
                  <pic:blipFill>
                    <a:blip r:embed="rId18"/>
                    <a:stretch>
                      <a:fillRect/>
                    </a:stretch>
                  </pic:blipFill>
                  <pic:spPr>
                    <a:xfrm>
                      <a:off x="0" y="0"/>
                      <a:ext cx="3343910" cy="1240790"/>
                    </a:xfrm>
                    <a:prstGeom prst="rect">
                      <a:avLst/>
                    </a:prstGeom>
                  </pic:spPr>
                </pic:pic>
              </a:graphicData>
            </a:graphic>
          </wp:inline>
        </w:drawing>
      </w:r>
    </w:p>
    <w:tbl>
      <w:tblPr>
        <w:tblStyle w:val="Tablaconcuadrcula111"/>
        <w:tblW w:w="6521" w:type="dxa"/>
        <w:tblLook w:val="04A0" w:firstRow="1" w:lastRow="0" w:firstColumn="1" w:lastColumn="0" w:noHBand="0" w:noVBand="1"/>
      </w:tblPr>
      <w:tblGrid>
        <w:gridCol w:w="893"/>
        <w:gridCol w:w="5628"/>
      </w:tblGrid>
      <w:tr w:rsidR="004D45D2" w:rsidRPr="006545D5" w14:paraId="69DCD2A8" w14:textId="77777777" w:rsidTr="0006173A">
        <w:trPr>
          <w:trHeight w:val="315"/>
        </w:trPr>
        <w:tc>
          <w:tcPr>
            <w:tcW w:w="893" w:type="dxa"/>
            <w:vAlign w:val="center"/>
            <w:hideMark/>
          </w:tcPr>
          <w:p w14:paraId="21597581" w14:textId="77777777" w:rsidR="004D45D2" w:rsidRPr="006545D5" w:rsidRDefault="004D45D2" w:rsidP="0006173A">
            <w:pPr>
              <w:spacing w:after="255" w:line="254" w:lineRule="auto"/>
              <w:contextualSpacing/>
              <w:rPr>
                <w:rFonts w:ascii="Verdana" w:eastAsia="Calibri" w:hAnsi="Verdana" w:cs="Arial"/>
                <w:sz w:val="16"/>
                <w:szCs w:val="16"/>
                <w:lang w:val="es-ES" w:eastAsia="es-ES"/>
              </w:rPr>
            </w:pPr>
            <w:r w:rsidRPr="006545D5">
              <w:rPr>
                <w:rFonts w:ascii="Verdana" w:eastAsia="Calibri"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FFD98C5" w14:textId="77777777" w:rsidR="004D45D2" w:rsidRPr="006545D5" w:rsidRDefault="004D45D2" w:rsidP="0006173A">
            <w:pPr>
              <w:spacing w:after="255" w:line="254" w:lineRule="auto"/>
              <w:contextualSpacing/>
              <w:rPr>
                <w:rFonts w:ascii="Verdana" w:eastAsia="Calibri" w:hAnsi="Verdana" w:cs="Times New Roman"/>
                <w:sz w:val="16"/>
                <w:szCs w:val="16"/>
              </w:rPr>
            </w:pPr>
            <w:r w:rsidRPr="006545D5">
              <w:rPr>
                <w:rFonts w:ascii="Verdana" w:eastAsia="Calibri" w:hAnsi="Verdana" w:cs="Times New Roman"/>
                <w:sz w:val="16"/>
                <w:szCs w:val="16"/>
              </w:rPr>
              <w:t>Tatiana Baquero Iguarán</w:t>
            </w:r>
          </w:p>
          <w:p w14:paraId="3EDAC5A3" w14:textId="77777777" w:rsidR="004D45D2" w:rsidRPr="006545D5" w:rsidRDefault="004D45D2" w:rsidP="0006173A">
            <w:pPr>
              <w:spacing w:after="255" w:line="254" w:lineRule="auto"/>
              <w:contextualSpacing/>
              <w:rPr>
                <w:rFonts w:ascii="Verdana" w:eastAsia="Arial" w:hAnsi="Verdana" w:cs="Arial"/>
                <w:sz w:val="16"/>
                <w:szCs w:val="16"/>
              </w:rPr>
            </w:pPr>
            <w:r w:rsidRPr="006545D5">
              <w:rPr>
                <w:rFonts w:ascii="Verdana" w:eastAsia="Calibri" w:hAnsi="Verdana" w:cs="Times New Roman"/>
                <w:sz w:val="16"/>
                <w:szCs w:val="16"/>
              </w:rPr>
              <w:t>Contratista de la Subdirección de Gestión Contractual</w:t>
            </w:r>
          </w:p>
        </w:tc>
      </w:tr>
      <w:tr w:rsidR="004D45D2" w:rsidRPr="006545D5" w14:paraId="6411C18F" w14:textId="77777777" w:rsidTr="0006173A">
        <w:trPr>
          <w:trHeight w:val="330"/>
        </w:trPr>
        <w:tc>
          <w:tcPr>
            <w:tcW w:w="893" w:type="dxa"/>
            <w:vAlign w:val="center"/>
            <w:hideMark/>
          </w:tcPr>
          <w:p w14:paraId="578A6C11" w14:textId="77777777" w:rsidR="004D45D2" w:rsidRPr="006545D5" w:rsidRDefault="004D45D2" w:rsidP="0006173A">
            <w:pPr>
              <w:spacing w:after="255" w:line="254" w:lineRule="auto"/>
              <w:contextualSpacing/>
              <w:rPr>
                <w:rFonts w:ascii="Verdana" w:eastAsia="Calibri" w:hAnsi="Verdana" w:cs="Arial"/>
                <w:sz w:val="16"/>
                <w:szCs w:val="16"/>
                <w:lang w:val="es-ES" w:eastAsia="es-ES"/>
              </w:rPr>
            </w:pPr>
            <w:r w:rsidRPr="006545D5">
              <w:rPr>
                <w:rFonts w:ascii="Verdana" w:eastAsia="Calibri"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460BDBC" w14:textId="77777777" w:rsidR="004D45D2" w:rsidRPr="006545D5" w:rsidRDefault="004D45D2" w:rsidP="0006173A">
            <w:pPr>
              <w:spacing w:before="100" w:beforeAutospacing="1" w:after="100" w:afterAutospacing="1" w:line="254" w:lineRule="auto"/>
              <w:contextualSpacing/>
              <w:textAlignment w:val="baseline"/>
              <w:rPr>
                <w:rFonts w:ascii="Verdana" w:eastAsia="Times New Roman" w:hAnsi="Verdana" w:cs="Arial"/>
                <w:sz w:val="16"/>
                <w:szCs w:val="16"/>
                <w:lang w:val="es-ES" w:eastAsia="es-ES_tradnl"/>
              </w:rPr>
            </w:pPr>
            <w:r w:rsidRPr="006545D5">
              <w:rPr>
                <w:rFonts w:ascii="Verdana" w:eastAsia="Times New Roman" w:hAnsi="Verdana" w:cs="Arial"/>
                <w:sz w:val="16"/>
                <w:szCs w:val="16"/>
                <w:lang w:val="es-ES" w:eastAsia="es-ES_tradnl"/>
              </w:rPr>
              <w:t>Alejandro Sarmiento Cantillo</w:t>
            </w:r>
          </w:p>
          <w:p w14:paraId="3E5BD546" w14:textId="77777777" w:rsidR="004D45D2" w:rsidRPr="006545D5" w:rsidRDefault="004D45D2" w:rsidP="0006173A">
            <w:pPr>
              <w:spacing w:after="255" w:line="254" w:lineRule="auto"/>
              <w:contextualSpacing/>
              <w:textAlignment w:val="baseline"/>
              <w:rPr>
                <w:rFonts w:ascii="Verdana" w:eastAsia="Times New Roman" w:hAnsi="Verdana" w:cs="Segoe UI"/>
                <w:sz w:val="16"/>
                <w:szCs w:val="16"/>
                <w:lang w:eastAsia="es-ES_tradnl"/>
              </w:rPr>
            </w:pPr>
            <w:r w:rsidRPr="006545D5">
              <w:rPr>
                <w:rFonts w:ascii="Verdana" w:eastAsia="Times New Roman" w:hAnsi="Verdana" w:cs="Arial"/>
                <w:sz w:val="16"/>
                <w:szCs w:val="16"/>
                <w:lang w:val="es-ES" w:eastAsia="es-ES_tradnl"/>
              </w:rPr>
              <w:t>Gestor T1 ‒ 15 de la Subdirección de Gestión Contractual</w:t>
            </w:r>
            <w:r w:rsidRPr="006545D5">
              <w:rPr>
                <w:rFonts w:ascii="Verdana" w:eastAsia="Times New Roman" w:hAnsi="Verdana" w:cs="Arial"/>
                <w:sz w:val="16"/>
                <w:szCs w:val="16"/>
                <w:lang w:eastAsia="es-ES_tradnl"/>
              </w:rPr>
              <w:t> </w:t>
            </w:r>
          </w:p>
        </w:tc>
      </w:tr>
      <w:tr w:rsidR="004D45D2" w:rsidRPr="006545D5" w14:paraId="4CF7D3C9" w14:textId="77777777" w:rsidTr="0006173A">
        <w:trPr>
          <w:trHeight w:val="300"/>
        </w:trPr>
        <w:tc>
          <w:tcPr>
            <w:tcW w:w="893" w:type="dxa"/>
            <w:vAlign w:val="center"/>
            <w:hideMark/>
          </w:tcPr>
          <w:p w14:paraId="183B70B4" w14:textId="77777777" w:rsidR="004D45D2" w:rsidRPr="006545D5" w:rsidRDefault="004D45D2" w:rsidP="0006173A">
            <w:pPr>
              <w:spacing w:after="255" w:line="254" w:lineRule="auto"/>
              <w:contextualSpacing/>
              <w:rPr>
                <w:rFonts w:ascii="Verdana" w:eastAsia="Calibri" w:hAnsi="Verdana" w:cs="Arial"/>
                <w:sz w:val="16"/>
                <w:szCs w:val="16"/>
                <w:lang w:val="es-ES" w:eastAsia="es-ES"/>
              </w:rPr>
            </w:pPr>
            <w:r w:rsidRPr="006545D5">
              <w:rPr>
                <w:rFonts w:ascii="Verdana" w:eastAsia="Calibri"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B5F767E" w14:textId="77777777" w:rsidR="004D45D2" w:rsidRPr="006545D5" w:rsidRDefault="004D45D2" w:rsidP="0006173A">
            <w:pPr>
              <w:spacing w:after="255" w:line="254" w:lineRule="auto"/>
              <w:contextualSpacing/>
              <w:rPr>
                <w:rFonts w:ascii="Verdana" w:eastAsia="Calibri" w:hAnsi="Verdana" w:cs="Arial"/>
                <w:sz w:val="16"/>
                <w:szCs w:val="16"/>
                <w:lang w:val="pt-BR" w:eastAsia="es-ES"/>
              </w:rPr>
            </w:pPr>
            <w:r w:rsidRPr="006545D5">
              <w:rPr>
                <w:rFonts w:ascii="Verdana" w:eastAsia="Calibri" w:hAnsi="Verdana" w:cs="Arial"/>
                <w:sz w:val="16"/>
                <w:szCs w:val="16"/>
                <w:lang w:val="pt-BR" w:eastAsia="es-ES"/>
              </w:rPr>
              <w:t xml:space="preserve">Carolina Quintero </w:t>
            </w:r>
            <w:proofErr w:type="spellStart"/>
            <w:r w:rsidRPr="006545D5">
              <w:rPr>
                <w:rFonts w:ascii="Verdana" w:eastAsia="Calibri" w:hAnsi="Verdana" w:cs="Arial"/>
                <w:sz w:val="16"/>
                <w:szCs w:val="16"/>
                <w:lang w:val="pt-BR" w:eastAsia="es-ES"/>
              </w:rPr>
              <w:t>Gacharná</w:t>
            </w:r>
            <w:proofErr w:type="spellEnd"/>
          </w:p>
          <w:p w14:paraId="58519617" w14:textId="77777777" w:rsidR="004D45D2" w:rsidRPr="006545D5" w:rsidRDefault="004D45D2" w:rsidP="0006173A">
            <w:pPr>
              <w:spacing w:after="255" w:line="254" w:lineRule="auto"/>
              <w:contextualSpacing/>
              <w:rPr>
                <w:rFonts w:ascii="Verdana" w:eastAsia="Calibri" w:hAnsi="Verdana" w:cs="Arial"/>
                <w:sz w:val="16"/>
                <w:szCs w:val="16"/>
                <w:lang w:val="pt-BR" w:eastAsia="es-ES"/>
              </w:rPr>
            </w:pPr>
            <w:r w:rsidRPr="006545D5">
              <w:rPr>
                <w:rFonts w:ascii="Verdana" w:eastAsia="Calibri" w:hAnsi="Verdana" w:cs="Arial"/>
                <w:sz w:val="16"/>
                <w:szCs w:val="16"/>
                <w:lang w:eastAsia="es-ES"/>
              </w:rPr>
              <w:t>Subdirectora</w:t>
            </w:r>
            <w:r w:rsidRPr="006545D5">
              <w:rPr>
                <w:rFonts w:ascii="Verdana" w:eastAsia="Calibri" w:hAnsi="Verdana" w:cs="Arial"/>
                <w:sz w:val="16"/>
                <w:szCs w:val="16"/>
                <w:lang w:val="pt-BR" w:eastAsia="es-ES"/>
              </w:rPr>
              <w:t xml:space="preserve"> de Gestión Contratual ANCP – CCE</w:t>
            </w:r>
          </w:p>
        </w:tc>
      </w:tr>
    </w:tbl>
    <w:p w14:paraId="5A84A148" w14:textId="77777777" w:rsidR="004D45D2" w:rsidRDefault="004D45D2" w:rsidP="004D45D2">
      <w:pPr>
        <w:spacing w:after="0" w:line="240" w:lineRule="auto"/>
        <w:jc w:val="both"/>
        <w:textAlignment w:val="baseline"/>
        <w:rPr>
          <w:rFonts w:ascii="Verdana" w:eastAsia="Verdana" w:hAnsi="Verdana" w:cs="Verdana"/>
          <w:lang w:eastAsia="es-CO"/>
        </w:rPr>
      </w:pPr>
    </w:p>
    <w:p w14:paraId="2D2C2A23" w14:textId="77777777" w:rsidR="004D45D2" w:rsidRDefault="004D45D2" w:rsidP="004D45D2">
      <w:pPr>
        <w:spacing w:after="0" w:line="240" w:lineRule="auto"/>
        <w:jc w:val="both"/>
        <w:textAlignment w:val="baseline"/>
        <w:rPr>
          <w:rFonts w:ascii="Verdana" w:eastAsia="Verdana" w:hAnsi="Verdana" w:cs="Verdana"/>
          <w:lang w:eastAsia="es-CO"/>
        </w:rPr>
      </w:pPr>
    </w:p>
    <w:p w14:paraId="12595889" w14:textId="77777777" w:rsidR="004D45D2" w:rsidRPr="000E2B93" w:rsidRDefault="004D45D2" w:rsidP="004D45D2">
      <w:pPr>
        <w:spacing w:after="0" w:line="240" w:lineRule="auto"/>
        <w:jc w:val="both"/>
        <w:textAlignment w:val="baseline"/>
        <w:rPr>
          <w:rFonts w:ascii="Verdana" w:eastAsia="Verdana" w:hAnsi="Verdana" w:cs="Verdana"/>
          <w:lang w:eastAsia="es-CO"/>
        </w:rPr>
      </w:pPr>
    </w:p>
    <w:p w14:paraId="08A62EC1" w14:textId="5E763D80" w:rsidR="004D45D2" w:rsidRPr="000E2B93" w:rsidRDefault="004D45D2" w:rsidP="004D45D2">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6A5C5151" w14:textId="77777777" w:rsidR="004D45D2" w:rsidRPr="00BF518D" w:rsidRDefault="004D45D2" w:rsidP="004D45D2"/>
    <w:p w14:paraId="72A87AE5" w14:textId="77777777" w:rsidR="004D45D2" w:rsidRPr="001B0B12" w:rsidRDefault="004D45D2" w:rsidP="004D45D2"/>
    <w:p w14:paraId="447FA7AA" w14:textId="77777777" w:rsidR="004D45D2" w:rsidRPr="002B14D5" w:rsidRDefault="004D45D2" w:rsidP="004D45D2"/>
    <w:p w14:paraId="448D52C7" w14:textId="6384AF07" w:rsidR="00127233" w:rsidRPr="004D45D2" w:rsidRDefault="00127233" w:rsidP="004D45D2"/>
    <w:sectPr w:rsidR="00127233" w:rsidRPr="004D45D2"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1A1CA" w14:textId="77777777" w:rsidR="00714B94" w:rsidRDefault="00714B94" w:rsidP="004A1847">
      <w:pPr>
        <w:spacing w:after="0" w:line="240" w:lineRule="auto"/>
      </w:pPr>
      <w:r>
        <w:separator/>
      </w:r>
    </w:p>
  </w:endnote>
  <w:endnote w:type="continuationSeparator" w:id="0">
    <w:p w14:paraId="6F49CE53" w14:textId="77777777" w:rsidR="00714B94" w:rsidRDefault="00714B9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B0563B"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B0563B">
      <w:rPr>
        <w:rFonts w:ascii="Verdana" w:eastAsia="Verdana" w:hAnsi="Verdana" w:cs="Verdana"/>
        <w:b/>
        <w:color w:val="000000" w:themeColor="text1"/>
        <w:sz w:val="18"/>
        <w:szCs w:val="18"/>
        <w:lang w:val="pt-BR" w:eastAsia="es-CO"/>
      </w:rPr>
      <w:t xml:space="preserve">Código: </w:t>
    </w:r>
    <w:r w:rsidRPr="00B0563B">
      <w:rPr>
        <w:rFonts w:ascii="Verdana" w:eastAsia="Verdana" w:hAnsi="Verdana" w:cs="Verdana"/>
        <w:color w:val="000000" w:themeColor="text1"/>
        <w:sz w:val="18"/>
        <w:szCs w:val="18"/>
        <w:lang w:val="pt-BR" w:eastAsia="es-CO"/>
      </w:rPr>
      <w:t xml:space="preserve">CCE-REC-FM-17 </w:t>
    </w:r>
    <w:r w:rsidRPr="00B0563B">
      <w:rPr>
        <w:rFonts w:ascii="Verdana" w:eastAsia="Verdana" w:hAnsi="Verdana" w:cs="Verdana"/>
        <w:b/>
        <w:color w:val="000000" w:themeColor="text1"/>
        <w:sz w:val="18"/>
        <w:szCs w:val="18"/>
        <w:lang w:val="pt-BR" w:eastAsia="es-CO"/>
      </w:rPr>
      <w:t xml:space="preserve">V: </w:t>
    </w:r>
    <w:r w:rsidRPr="00B0563B">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B7A05" w14:textId="77777777" w:rsidR="00714B94" w:rsidRDefault="00714B94" w:rsidP="004A1847">
      <w:pPr>
        <w:spacing w:after="0" w:line="240" w:lineRule="auto"/>
      </w:pPr>
      <w:r>
        <w:separator/>
      </w:r>
    </w:p>
  </w:footnote>
  <w:footnote w:type="continuationSeparator" w:id="0">
    <w:p w14:paraId="110DD5F2" w14:textId="77777777" w:rsidR="00714B94" w:rsidRDefault="00714B94" w:rsidP="004A1847">
      <w:pPr>
        <w:spacing w:after="0" w:line="240" w:lineRule="auto"/>
      </w:pPr>
      <w:r>
        <w:continuationSeparator/>
      </w:r>
    </w:p>
  </w:footnote>
  <w:footnote w:id="1">
    <w:p w14:paraId="327C1EF5" w14:textId="77777777" w:rsidR="004D45D2" w:rsidRPr="00B55D54" w:rsidRDefault="004D45D2" w:rsidP="004D45D2">
      <w:pPr>
        <w:pStyle w:val="Textonotapie"/>
        <w:ind w:firstLine="708"/>
        <w:rPr>
          <w:rFonts w:ascii="Arial" w:hAnsi="Arial" w:cs="Arial"/>
          <w:sz w:val="16"/>
          <w:szCs w:val="16"/>
        </w:rPr>
      </w:pPr>
      <w:r w:rsidRPr="00B55D54">
        <w:rPr>
          <w:rStyle w:val="Refdenotaalpie"/>
          <w:rFonts w:ascii="Arial" w:hAnsi="Arial" w:cs="Arial"/>
          <w:sz w:val="16"/>
          <w:szCs w:val="16"/>
        </w:rPr>
        <w:footnoteRef/>
      </w:r>
      <w:r w:rsidRPr="00B55D54">
        <w:rPr>
          <w:rFonts w:ascii="Arial" w:hAnsi="Arial" w:cs="Arial"/>
          <w:sz w:val="16"/>
          <w:szCs w:val="16"/>
        </w:rPr>
        <w:t xml:space="preserve"> Ver enlace:; </w:t>
      </w:r>
      <w:hyperlink r:id="rId1" w:history="1">
        <w:r w:rsidRPr="00B55D54">
          <w:rPr>
            <w:rStyle w:val="Hipervnculo"/>
            <w:rFonts w:ascii="Arial" w:hAnsi="Arial" w:cs="Arial"/>
            <w:sz w:val="16"/>
            <w:szCs w:val="16"/>
          </w:rPr>
          <w:t>https://web.archive.org/web/20021014234501/http://www.sla-zone.co.uk/index.htm</w:t>
        </w:r>
      </w:hyperlink>
      <w:r w:rsidRPr="00B55D54">
        <w:rPr>
          <w:rFonts w:ascii="Arial" w:hAnsi="Arial" w:cs="Arial"/>
          <w:sz w:val="16"/>
          <w:szCs w:val="16"/>
        </w:rPr>
        <w:t xml:space="preserve"> </w:t>
      </w:r>
    </w:p>
    <w:p w14:paraId="5EBC7664" w14:textId="77777777" w:rsidR="004D45D2" w:rsidRPr="00B55D54" w:rsidRDefault="004D45D2" w:rsidP="004D45D2">
      <w:pPr>
        <w:pStyle w:val="Textonotapie"/>
        <w:ind w:firstLine="708"/>
        <w:rPr>
          <w:rFonts w:ascii="Arial" w:hAnsi="Arial" w:cs="Arial"/>
          <w:sz w:val="16"/>
          <w:szCs w:val="16"/>
        </w:rPr>
      </w:pPr>
    </w:p>
  </w:footnote>
  <w:footnote w:id="2">
    <w:p w14:paraId="7F16CEEA" w14:textId="77777777" w:rsidR="004D45D2" w:rsidRPr="00B55D54" w:rsidRDefault="004D45D2" w:rsidP="004D45D2">
      <w:pPr>
        <w:pStyle w:val="Textonotapie"/>
        <w:ind w:firstLine="708"/>
        <w:rPr>
          <w:rFonts w:ascii="Arial" w:hAnsi="Arial" w:cs="Arial"/>
          <w:sz w:val="16"/>
          <w:szCs w:val="16"/>
        </w:rPr>
      </w:pPr>
      <w:r w:rsidRPr="00B55D54">
        <w:rPr>
          <w:rStyle w:val="Refdenotaalpie"/>
          <w:rFonts w:ascii="Arial" w:hAnsi="Arial" w:cs="Arial"/>
          <w:sz w:val="16"/>
          <w:szCs w:val="16"/>
        </w:rPr>
        <w:footnoteRef/>
      </w:r>
      <w:r w:rsidRPr="00B55D54">
        <w:rPr>
          <w:rFonts w:ascii="Arial" w:hAnsi="Arial" w:cs="Arial"/>
          <w:sz w:val="16"/>
          <w:szCs w:val="16"/>
        </w:rPr>
        <w:t xml:space="preserve"> VELTANI, J. </w:t>
      </w:r>
      <w:r w:rsidRPr="00B55D54">
        <w:rPr>
          <w:rFonts w:ascii="Arial" w:eastAsia="Calibri" w:hAnsi="Arial" w:cs="Arial"/>
          <w:color w:val="000000" w:themeColor="text1"/>
          <w:sz w:val="16"/>
          <w:szCs w:val="16"/>
          <w:lang w:val="es-ES_tradnl"/>
        </w:rPr>
        <w:t xml:space="preserve">El acuerdo de niveles de servicio “SLA”. </w:t>
      </w:r>
      <w:r w:rsidRPr="00B55D54">
        <w:rPr>
          <w:rFonts w:ascii="Arial" w:hAnsi="Arial" w:cs="Arial"/>
          <w:sz w:val="16"/>
          <w:szCs w:val="16"/>
        </w:rPr>
        <w:t>La Ley, Suplemento Actualidad, publicado el 5 de agosto de 2014. Argentina.</w:t>
      </w:r>
    </w:p>
  </w:footnote>
  <w:footnote w:id="3">
    <w:p w14:paraId="290CD920" w14:textId="77777777" w:rsidR="004D45D2" w:rsidRPr="00B55D54" w:rsidRDefault="004D45D2" w:rsidP="004D45D2">
      <w:pPr>
        <w:spacing w:after="0" w:line="240" w:lineRule="auto"/>
        <w:ind w:firstLine="708"/>
        <w:jc w:val="both"/>
        <w:rPr>
          <w:rFonts w:ascii="Arial" w:hAnsi="Arial" w:cs="Arial"/>
          <w:sz w:val="16"/>
          <w:szCs w:val="16"/>
        </w:rPr>
      </w:pPr>
    </w:p>
    <w:p w14:paraId="6CF26CAD" w14:textId="77777777" w:rsidR="004D45D2" w:rsidRPr="00B55D54" w:rsidRDefault="004D45D2" w:rsidP="004D45D2">
      <w:pPr>
        <w:spacing w:after="0" w:line="240" w:lineRule="auto"/>
        <w:ind w:firstLine="708"/>
        <w:jc w:val="both"/>
        <w:rPr>
          <w:rFonts w:ascii="Arial" w:hAnsi="Arial" w:cs="Arial"/>
          <w:sz w:val="16"/>
          <w:szCs w:val="16"/>
        </w:rPr>
      </w:pPr>
      <w:r w:rsidRPr="00B55D54">
        <w:rPr>
          <w:rStyle w:val="Refdenotaalpie"/>
          <w:rFonts w:ascii="Arial" w:hAnsi="Arial" w:cs="Arial"/>
          <w:sz w:val="16"/>
          <w:szCs w:val="16"/>
        </w:rPr>
        <w:footnoteRef/>
      </w:r>
      <w:r w:rsidRPr="00B55D54">
        <w:rPr>
          <w:rFonts w:ascii="Arial" w:hAnsi="Arial" w:cs="Arial"/>
          <w:sz w:val="16"/>
          <w:szCs w:val="16"/>
        </w:rPr>
        <w:t xml:space="preserve">GALLIZO, G.; KUEBERT, R.; OBERLE, K.; MENYCHTAS, A. &amp; KONSTANTELI, K. (2009). </w:t>
      </w:r>
      <w:r w:rsidRPr="00B55D54">
        <w:rPr>
          <w:rFonts w:ascii="Arial" w:eastAsia="Calibri" w:hAnsi="Arial" w:cs="Arial"/>
          <w:color w:val="000000" w:themeColor="text1"/>
          <w:sz w:val="16"/>
          <w:szCs w:val="16"/>
          <w:lang w:val="en-US"/>
        </w:rPr>
        <w:t>«</w:t>
      </w:r>
      <w:r w:rsidRPr="00B55D54">
        <w:rPr>
          <w:rFonts w:ascii="Arial" w:hAnsi="Arial" w:cs="Arial"/>
          <w:sz w:val="16"/>
          <w:szCs w:val="16"/>
          <w:lang w:val="en-US"/>
        </w:rPr>
        <w:t>Service level agreements in virtualised service platforms [ponencia]</w:t>
      </w:r>
      <w:r w:rsidRPr="00B55D54">
        <w:rPr>
          <w:rFonts w:ascii="Arial" w:eastAsia="Calibri" w:hAnsi="Arial" w:cs="Arial"/>
          <w:color w:val="000000" w:themeColor="text1"/>
          <w:sz w:val="16"/>
          <w:szCs w:val="16"/>
          <w:lang w:val="en-US"/>
        </w:rPr>
        <w:t>»</w:t>
      </w:r>
      <w:r w:rsidRPr="00B55D54">
        <w:rPr>
          <w:rFonts w:ascii="Arial" w:hAnsi="Arial" w:cs="Arial"/>
          <w:sz w:val="16"/>
          <w:szCs w:val="16"/>
          <w:lang w:val="en-US"/>
        </w:rPr>
        <w:t xml:space="preserve">. eChallenges e-2009 Conference Proceedings. </w:t>
      </w:r>
      <w:r w:rsidRPr="00B55D54">
        <w:rPr>
          <w:rFonts w:ascii="Arial" w:hAnsi="Arial" w:cs="Arial"/>
          <w:sz w:val="16"/>
          <w:szCs w:val="16"/>
        </w:rPr>
        <w:t xml:space="preserve">Ver en el siguiente Link: </w:t>
      </w:r>
      <w:hyperlink r:id="rId2" w:history="1">
        <w:r w:rsidRPr="00B55D54">
          <w:rPr>
            <w:rStyle w:val="Hipervnculo"/>
            <w:rFonts w:ascii="Arial" w:hAnsi="Arial" w:cs="Arial"/>
            <w:sz w:val="16"/>
            <w:szCs w:val="16"/>
          </w:rPr>
          <w:t>https://doi.org/10.13140/2.1.1541.4723</w:t>
        </w:r>
      </w:hyperlink>
      <w:r w:rsidRPr="00B55D54">
        <w:rPr>
          <w:rFonts w:ascii="Arial" w:hAnsi="Arial" w:cs="Arial"/>
          <w:sz w:val="16"/>
          <w:szCs w:val="16"/>
        </w:rPr>
        <w:t xml:space="preserve"> </w:t>
      </w:r>
    </w:p>
  </w:footnote>
  <w:footnote w:id="4">
    <w:p w14:paraId="2B4010B3" w14:textId="77777777" w:rsidR="004D45D2" w:rsidRPr="00F158AB" w:rsidRDefault="004D45D2" w:rsidP="004D45D2">
      <w:pPr>
        <w:spacing w:after="0" w:line="240" w:lineRule="auto"/>
        <w:ind w:firstLine="708"/>
        <w:jc w:val="both"/>
        <w:rPr>
          <w:rFonts w:ascii="Arial" w:eastAsia="Calibri" w:hAnsi="Arial" w:cs="Arial"/>
          <w:color w:val="000000" w:themeColor="text1"/>
          <w:sz w:val="16"/>
          <w:szCs w:val="16"/>
        </w:rPr>
      </w:pPr>
      <w:r w:rsidRPr="00B55D54">
        <w:rPr>
          <w:rStyle w:val="Refdenotaalpie"/>
          <w:rFonts w:ascii="Arial" w:hAnsi="Arial" w:cs="Arial"/>
          <w:sz w:val="16"/>
          <w:szCs w:val="16"/>
        </w:rPr>
        <w:footnoteRef/>
      </w:r>
      <w:r w:rsidRPr="00B55D54">
        <w:rPr>
          <w:rFonts w:ascii="Arial" w:hAnsi="Arial" w:cs="Arial"/>
          <w:sz w:val="16"/>
          <w:szCs w:val="16"/>
        </w:rPr>
        <w:t xml:space="preserve"> </w:t>
      </w:r>
      <w:r w:rsidRPr="00F158AB">
        <w:rPr>
          <w:rFonts w:ascii="Arial" w:hAnsi="Arial" w:cs="Arial"/>
          <w:sz w:val="16"/>
          <w:szCs w:val="16"/>
        </w:rPr>
        <w:t>SHACKLETT</w:t>
      </w:r>
      <w:r w:rsidRPr="00B55D54">
        <w:rPr>
          <w:rFonts w:ascii="Arial" w:hAnsi="Arial" w:cs="Arial"/>
          <w:sz w:val="16"/>
          <w:szCs w:val="16"/>
        </w:rPr>
        <w:t>, M.E.</w:t>
      </w:r>
      <w:r w:rsidRPr="00A647DE">
        <w:rPr>
          <w:rFonts w:ascii="Arial" w:hAnsi="Arial" w:cs="Arial"/>
          <w:sz w:val="16"/>
          <w:szCs w:val="16"/>
        </w:rPr>
        <w:t xml:space="preserve">. </w:t>
      </w:r>
      <w:r w:rsidRPr="00B55D54">
        <w:rPr>
          <w:rFonts w:ascii="Arial" w:eastAsia="Calibri" w:hAnsi="Arial" w:cs="Arial"/>
          <w:color w:val="000000" w:themeColor="text1"/>
          <w:sz w:val="16"/>
          <w:szCs w:val="16"/>
          <w:lang w:val="en-US"/>
        </w:rPr>
        <w:t>«</w:t>
      </w:r>
      <w:r w:rsidRPr="00B55D54">
        <w:rPr>
          <w:rFonts w:ascii="Arial" w:hAnsi="Arial" w:cs="Arial"/>
          <w:sz w:val="16"/>
          <w:szCs w:val="16"/>
          <w:lang w:val="en-US"/>
        </w:rPr>
        <w:t>Five Key Points for Every SLA</w:t>
      </w:r>
      <w:r w:rsidRPr="00B55D54">
        <w:rPr>
          <w:rFonts w:ascii="Arial" w:eastAsia="Calibri" w:hAnsi="Arial" w:cs="Arial"/>
          <w:color w:val="000000" w:themeColor="text1"/>
          <w:sz w:val="16"/>
          <w:szCs w:val="16"/>
          <w:lang w:val="en-US"/>
        </w:rPr>
        <w:t>»</w:t>
      </w:r>
      <w:r w:rsidRPr="00B55D54">
        <w:rPr>
          <w:rFonts w:ascii="Arial" w:hAnsi="Arial" w:cs="Arial"/>
          <w:sz w:val="16"/>
          <w:szCs w:val="16"/>
          <w:lang w:val="en-US"/>
        </w:rPr>
        <w:t xml:space="preserve">. </w:t>
      </w:r>
      <w:r w:rsidRPr="00B55D54">
        <w:rPr>
          <w:rFonts w:ascii="Arial" w:hAnsi="Arial" w:cs="Arial"/>
          <w:sz w:val="16"/>
          <w:szCs w:val="16"/>
        </w:rPr>
        <w:t xml:space="preserve">Dell. Publicado el 1 de diciembre de 2011 en Línea: </w:t>
      </w:r>
      <w:hyperlink r:id="rId3" w:anchor="selection-1429.1-1429.29" w:history="1">
        <w:r w:rsidRPr="00B55D54">
          <w:rPr>
            <w:rStyle w:val="Hipervnculo"/>
            <w:rFonts w:ascii="Arial" w:hAnsi="Arial" w:cs="Arial"/>
            <w:sz w:val="16"/>
            <w:szCs w:val="16"/>
          </w:rPr>
          <w:t>http://archive.is/mtN2O#selection-1429.1-1429.29</w:t>
        </w:r>
      </w:hyperlink>
      <w:r w:rsidRPr="00B55D54">
        <w:rPr>
          <w:rFonts w:ascii="Arial" w:hAnsi="Arial" w:cs="Arial"/>
          <w:sz w:val="16"/>
          <w:szCs w:val="16"/>
        </w:rPr>
        <w:t>. Ver también: N. Rodríguez</w:t>
      </w:r>
      <w:r w:rsidRPr="00B55D54">
        <w:rPr>
          <w:rFonts w:ascii="Arial" w:eastAsia="Calibri" w:hAnsi="Arial" w:cs="Arial"/>
          <w:color w:val="000000" w:themeColor="text1"/>
          <w:sz w:val="16"/>
          <w:szCs w:val="16"/>
        </w:rPr>
        <w:t xml:space="preserve"> en </w:t>
      </w:r>
      <w:r>
        <w:rPr>
          <w:rFonts w:ascii="Arial" w:eastAsia="Calibri" w:hAnsi="Arial" w:cs="Arial"/>
          <w:color w:val="000000" w:themeColor="text1"/>
          <w:sz w:val="16"/>
          <w:szCs w:val="16"/>
        </w:rPr>
        <w:t>“</w:t>
      </w:r>
      <w:r w:rsidRPr="00B55D54">
        <w:rPr>
          <w:rFonts w:ascii="Arial" w:hAnsi="Arial" w:cs="Arial"/>
          <w:sz w:val="16"/>
          <w:szCs w:val="16"/>
        </w:rPr>
        <w:t>La bolsa de valores de Colombia, su naturaleza y su posición sobre las sociedades comisionistas de bolsa: el planteamiento del Service Level Agreement (SLA) como posible forma de mitigación.</w:t>
      </w:r>
      <w:r w:rsidRPr="00B55D54">
        <w:rPr>
          <w:rFonts w:ascii="Arial" w:eastAsia="Calibri" w:hAnsi="Arial" w:cs="Arial"/>
          <w:color w:val="000000" w:themeColor="text1"/>
          <w:sz w:val="16"/>
          <w:szCs w:val="16"/>
        </w:rPr>
        <w:t>»</w:t>
      </w:r>
      <w:r w:rsidRPr="00B55D54">
        <w:rPr>
          <w:rFonts w:ascii="Arial" w:hAnsi="Arial" w:cs="Arial"/>
          <w:sz w:val="16"/>
          <w:szCs w:val="16"/>
        </w:rPr>
        <w:t xml:space="preserve"> publicado en Línea: </w:t>
      </w:r>
      <w:hyperlink r:id="rId4" w:history="1">
        <w:r w:rsidRPr="00B55D54">
          <w:rPr>
            <w:rStyle w:val="Hipervnculo"/>
            <w:rFonts w:ascii="Arial" w:hAnsi="Arial" w:cs="Arial"/>
            <w:sz w:val="16"/>
            <w:szCs w:val="16"/>
          </w:rPr>
          <w:t>https://doi.org/10.18800/derechopucp.201802.009</w:t>
        </w:r>
      </w:hyperlink>
      <w:r w:rsidRPr="00B55D54">
        <w:rPr>
          <w:rFonts w:ascii="Arial" w:eastAsia="Calibri" w:hAnsi="Arial" w:cs="Arial"/>
          <w:color w:val="000000"/>
          <w:sz w:val="16"/>
          <w:szCs w:val="16"/>
          <w:lang w:eastAsia="es-ES_tradnl"/>
        </w:rPr>
        <w:t xml:space="preserve">, indica que las cuatro características primordiales que debe tener un ANS son las siguiente: </w:t>
      </w:r>
      <w:r w:rsidRPr="00B55D54">
        <w:rPr>
          <w:rFonts w:ascii="Arial" w:eastAsia="Calibri" w:hAnsi="Arial" w:cs="Arial"/>
          <w:color w:val="000000" w:themeColor="text1"/>
          <w:sz w:val="16"/>
          <w:szCs w:val="16"/>
        </w:rPr>
        <w:t>«</w:t>
      </w:r>
      <w:r w:rsidRPr="00B55D54">
        <w:rPr>
          <w:rFonts w:ascii="Arial" w:eastAsia="Calibri" w:hAnsi="Arial" w:cs="Arial"/>
          <w:color w:val="000000"/>
          <w:sz w:val="16"/>
          <w:szCs w:val="16"/>
          <w:lang w:eastAsia="es-ES_tradnl"/>
        </w:rPr>
        <w:t>1. Líneas claras de demarcación. Establecer entre las partes hasta dónde van las obligaciones de cada uno. 2. Comunicación regular. Deben existir reuniones independientemente de si el sistema funciona sin problemas. 3. Revisiones «annual tune-ups». El SLA debe permitir su revisión anual. 4. Vinculatoriedad contractual. Debe incluir premios y multas por el cumplimiento o incumplimiento de las obligaciones y de la calidad del servicio.</w:t>
      </w:r>
      <w:r>
        <w:rPr>
          <w:rFonts w:ascii="Arial" w:eastAsia="Calibri" w:hAnsi="Arial" w:cs="Arial"/>
          <w:color w:val="000000" w:themeColor="text1"/>
          <w:sz w:val="16"/>
          <w:szCs w:val="16"/>
        </w:rPr>
        <w:t>”</w:t>
      </w:r>
    </w:p>
    <w:p w14:paraId="53CD7393" w14:textId="77777777" w:rsidR="004D45D2" w:rsidRPr="00B55D54" w:rsidRDefault="004D45D2" w:rsidP="004D45D2">
      <w:pPr>
        <w:spacing w:after="0" w:line="240" w:lineRule="auto"/>
        <w:ind w:firstLine="708"/>
        <w:jc w:val="both"/>
        <w:rPr>
          <w:rFonts w:ascii="Arial" w:hAnsi="Arial" w:cs="Arial"/>
          <w:sz w:val="16"/>
          <w:szCs w:val="16"/>
        </w:rPr>
      </w:pPr>
    </w:p>
  </w:footnote>
  <w:footnote w:id="5">
    <w:p w14:paraId="0BD7B25C" w14:textId="77777777" w:rsidR="004D45D2" w:rsidRPr="00FC7705" w:rsidRDefault="004D45D2" w:rsidP="004D45D2">
      <w:pPr>
        <w:pStyle w:val="Textonotapie"/>
        <w:ind w:firstLine="709"/>
        <w:jc w:val="both"/>
        <w:rPr>
          <w:rFonts w:ascii="Verdana" w:hAnsi="Verdana" w:cs="Arial"/>
          <w:color w:val="000000" w:themeColor="text1"/>
          <w:sz w:val="16"/>
          <w:szCs w:val="16"/>
          <w:lang w:val="es-ES"/>
        </w:rPr>
      </w:pPr>
      <w:r w:rsidRPr="00FC7705">
        <w:rPr>
          <w:rStyle w:val="Refdenotaalpie"/>
          <w:rFonts w:ascii="Verdana" w:hAnsi="Verdana" w:cs="Arial"/>
          <w:color w:val="000000" w:themeColor="text1"/>
          <w:sz w:val="16"/>
          <w:szCs w:val="16"/>
        </w:rPr>
        <w:footnoteRef/>
      </w:r>
      <w:r w:rsidRPr="00FC7705">
        <w:rPr>
          <w:rFonts w:ascii="Verdana" w:hAnsi="Verdana" w:cs="Arial"/>
          <w:color w:val="000000" w:themeColor="text1"/>
          <w:sz w:val="16"/>
          <w:szCs w:val="16"/>
        </w:rPr>
        <w:t xml:space="preserve"> </w:t>
      </w:r>
      <w:r w:rsidRPr="00FC7705">
        <w:rPr>
          <w:rFonts w:ascii="Verdana" w:hAnsi="Verdana" w:cs="Arial"/>
          <w:color w:val="000000" w:themeColor="text1"/>
          <w:sz w:val="16"/>
          <w:szCs w:val="16"/>
          <w:lang w:val="es-ES"/>
        </w:rPr>
        <w:t>En efecto, el primer inciso del artículo 5 de la Ley 1508 de 2012 establece que “</w:t>
      </w:r>
      <w:r w:rsidRPr="00FC7705">
        <w:rPr>
          <w:rFonts w:ascii="Verdana" w:hAnsi="Verdana" w:cs="Arial"/>
          <w:color w:val="000000" w:themeColor="text1"/>
          <w:sz w:val="16"/>
          <w:szCs w:val="16"/>
          <w:shd w:val="clear" w:color="auto" w:fill="FFFFFF"/>
        </w:rPr>
        <w:t>El derecho al recaudo de recursos por la explotación económica del proyecto, a recibir desembolsos de recursos públicos o a cualquier otra retribución, en proyectos de asociación público-privada, estará condicionado a la disponibilidad de la infraestructura, al cumplimiento de niveles de servicio, y estándares de calidad en las distintas unidades funcionales o etapas del proyecto, y los demás requisitos que determine el reglamento”.</w:t>
      </w:r>
    </w:p>
  </w:footnote>
  <w:footnote w:id="6">
    <w:p w14:paraId="6CE232BC" w14:textId="77777777" w:rsidR="004D45D2" w:rsidRPr="00FC7705" w:rsidRDefault="004D45D2" w:rsidP="004D45D2">
      <w:pPr>
        <w:pStyle w:val="Textonotapie"/>
        <w:ind w:firstLine="709"/>
        <w:jc w:val="both"/>
        <w:rPr>
          <w:rFonts w:ascii="Verdana" w:hAnsi="Verdana" w:cs="Arial"/>
          <w:sz w:val="16"/>
          <w:szCs w:val="16"/>
          <w:lang w:val="es-ES"/>
        </w:rPr>
      </w:pPr>
      <w:r w:rsidRPr="00FC7705">
        <w:rPr>
          <w:rStyle w:val="Refdenotaalpie"/>
          <w:rFonts w:ascii="Verdana" w:hAnsi="Verdana" w:cs="Arial"/>
          <w:sz w:val="16"/>
          <w:szCs w:val="16"/>
        </w:rPr>
        <w:footnoteRef/>
      </w:r>
      <w:r w:rsidRPr="00FC7705">
        <w:rPr>
          <w:rFonts w:ascii="Verdana" w:hAnsi="Verdana" w:cs="Arial"/>
          <w:sz w:val="16"/>
          <w:szCs w:val="16"/>
        </w:rPr>
        <w:t xml:space="preserve"> </w:t>
      </w:r>
      <w:r w:rsidRPr="00FC7705">
        <w:rPr>
          <w:rFonts w:ascii="Verdana" w:hAnsi="Verdana" w:cs="Arial"/>
          <w:sz w:val="16"/>
          <w:szCs w:val="16"/>
          <w:lang w:val="es-ES"/>
        </w:rPr>
        <w:t xml:space="preserve">Al respecto, el artículo 2.2.2.1.2.5. del Decreto 1082 de 2015 dispone: </w:t>
      </w:r>
      <w:r>
        <w:rPr>
          <w:rFonts w:ascii="Verdana" w:hAnsi="Verdana" w:cs="Arial"/>
          <w:sz w:val="16"/>
          <w:szCs w:val="16"/>
          <w:lang w:val="es-ES"/>
        </w:rPr>
        <w:t>“</w:t>
      </w:r>
      <w:r w:rsidRPr="00FC7705">
        <w:rPr>
          <w:rFonts w:ascii="Verdana" w:hAnsi="Verdana" w:cs="Arial"/>
          <w:sz w:val="16"/>
          <w:szCs w:val="16"/>
          <w:lang w:val="es-ES"/>
        </w:rPr>
        <w:t>Mecanismos de deducciones graduales por Niveles de Servicio y Estándares de Calidad. Los Niveles de Servicio y los Estándares de Calidad, estarán expresamente establecidos en el contrato, y podrán contemplar un esquema de gradualidad, en virtud del cual se efectuarán deducciones proporcionales sobre las retribuciones previstas.</w:t>
      </w:r>
    </w:p>
    <w:p w14:paraId="3CC142CB" w14:textId="77777777" w:rsidR="004D45D2" w:rsidRPr="00FC7705" w:rsidRDefault="004D45D2" w:rsidP="004D45D2">
      <w:pPr>
        <w:pStyle w:val="Textonotapie"/>
        <w:ind w:firstLine="709"/>
        <w:jc w:val="both"/>
        <w:rPr>
          <w:rFonts w:ascii="Verdana" w:hAnsi="Verdana" w:cs="Arial"/>
          <w:sz w:val="16"/>
          <w:szCs w:val="16"/>
          <w:lang w:val="es-ES"/>
        </w:rPr>
      </w:pPr>
      <w:r w:rsidRPr="00FC7705">
        <w:rPr>
          <w:rFonts w:ascii="Verdana" w:hAnsi="Verdana" w:cs="Arial"/>
          <w:sz w:val="16"/>
          <w:szCs w:val="16"/>
          <w:lang w:val="es-ES"/>
        </w:rPr>
        <w:t>En los contratos podrá establecerse la posibilidad de no aplicar las deducciones a las que hace referencia el presente artículo, cuando el Nivel de Servicio y Estándar de Calidad afectado fuere restablecido a los parámetros contemplados en el contrato en el plazo definido para dicho efecto.</w:t>
      </w:r>
    </w:p>
    <w:p w14:paraId="5D2C402F" w14:textId="77777777" w:rsidR="004D45D2" w:rsidRPr="00FC7705" w:rsidRDefault="004D45D2" w:rsidP="004D45D2">
      <w:pPr>
        <w:pStyle w:val="Textonotapie"/>
        <w:ind w:firstLine="709"/>
        <w:jc w:val="both"/>
        <w:rPr>
          <w:rFonts w:ascii="Verdana" w:hAnsi="Verdana" w:cs="Arial"/>
          <w:sz w:val="16"/>
          <w:szCs w:val="16"/>
          <w:lang w:val="es-ES"/>
        </w:rPr>
      </w:pPr>
      <w:r w:rsidRPr="00FC7705">
        <w:rPr>
          <w:rFonts w:ascii="Verdana" w:hAnsi="Verdana" w:cs="Arial"/>
          <w:sz w:val="16"/>
          <w:szCs w:val="16"/>
          <w:lang w:val="es-ES"/>
        </w:rPr>
        <w:t>Los valores a descontar estarán sujetos a mecanismos de actualización de la retribución.</w:t>
      </w:r>
    </w:p>
    <w:p w14:paraId="05A72E22" w14:textId="77777777" w:rsidR="004D45D2" w:rsidRPr="00FC7705" w:rsidRDefault="004D45D2" w:rsidP="004D45D2">
      <w:pPr>
        <w:pStyle w:val="Textonotapie"/>
        <w:ind w:firstLine="709"/>
        <w:jc w:val="both"/>
        <w:rPr>
          <w:rFonts w:ascii="Verdana" w:hAnsi="Verdana" w:cs="Arial"/>
          <w:sz w:val="16"/>
          <w:szCs w:val="16"/>
          <w:lang w:val="es-ES"/>
        </w:rPr>
      </w:pPr>
      <w:r w:rsidRPr="00FC7705">
        <w:rPr>
          <w:rFonts w:ascii="Verdana" w:hAnsi="Verdana" w:cs="Arial"/>
          <w:sz w:val="16"/>
          <w:szCs w:val="16"/>
          <w:lang w:val="es-ES"/>
        </w:rPr>
        <w:t>En todo caso, en el respectivo contrato deberá definirse claramente aquellos eventos constitutivos de incumplimiento del contrato como consecuencia de no alcanzar el Nivel de Servicio y Estándar de Calidad previsto para el efecto.</w:t>
      </w:r>
    </w:p>
    <w:p w14:paraId="79A186C5" w14:textId="77777777" w:rsidR="004D45D2" w:rsidRPr="00FC7705" w:rsidRDefault="004D45D2" w:rsidP="004D45D2">
      <w:pPr>
        <w:pStyle w:val="Textonotapie"/>
        <w:ind w:firstLine="709"/>
        <w:jc w:val="both"/>
        <w:rPr>
          <w:rFonts w:ascii="Verdana" w:hAnsi="Verdana" w:cs="Arial"/>
          <w:sz w:val="16"/>
          <w:szCs w:val="16"/>
          <w:lang w:val="es-ES"/>
        </w:rPr>
      </w:pPr>
      <w:r w:rsidRPr="00FC7705">
        <w:rPr>
          <w:rFonts w:ascii="Verdana" w:hAnsi="Verdana" w:cs="Arial"/>
          <w:sz w:val="16"/>
          <w:szCs w:val="16"/>
          <w:lang w:val="es-ES"/>
        </w:rPr>
        <w:t>En los contratos se establecerá expresamente el procedimiento para programar aquellas actividades o trabajos preventivos y rutinarios que sean contemplados previamente como necesarios para lograr un adecuado nivel de operación y mantenimiento de la infraestructura, que puedan alterar la prestación de servicios, sin que ello implique la realización de descuentos por no alcanzar Niveles de Servicio y Estándares de Calidad.</w:t>
      </w:r>
    </w:p>
    <w:p w14:paraId="44BC2B27" w14:textId="77777777" w:rsidR="004D45D2" w:rsidRPr="00FC7705" w:rsidRDefault="004D45D2" w:rsidP="004D45D2">
      <w:pPr>
        <w:pStyle w:val="Textonotapie"/>
        <w:ind w:firstLine="709"/>
        <w:jc w:val="both"/>
        <w:rPr>
          <w:rFonts w:ascii="Verdana" w:hAnsi="Verdana" w:cs="Arial"/>
          <w:sz w:val="16"/>
          <w:szCs w:val="16"/>
          <w:lang w:val="es-ES"/>
        </w:rPr>
      </w:pPr>
      <w:r w:rsidRPr="00FC7705">
        <w:rPr>
          <w:rFonts w:ascii="Verdana" w:hAnsi="Verdana" w:cs="Arial"/>
          <w:sz w:val="16"/>
          <w:szCs w:val="16"/>
          <w:lang w:val="es-ES"/>
        </w:rPr>
        <w:t>La entidad estatal competente exigirá la adopción de medidas, por parte del contratista, para minimizar las interferencias en el funcionamiento normal del servicio».</w:t>
      </w:r>
    </w:p>
  </w:footnote>
  <w:footnote w:id="7">
    <w:p w14:paraId="01D04D1D" w14:textId="77777777" w:rsidR="004D45D2" w:rsidRPr="00FC7705" w:rsidRDefault="004D45D2" w:rsidP="004D45D2">
      <w:pPr>
        <w:pStyle w:val="Textonotapie"/>
        <w:ind w:firstLine="709"/>
        <w:jc w:val="both"/>
        <w:rPr>
          <w:rFonts w:ascii="Verdana" w:hAnsi="Verdana" w:cs="Arial"/>
          <w:color w:val="000000" w:themeColor="text1"/>
          <w:sz w:val="16"/>
          <w:szCs w:val="16"/>
          <w:lang w:val="es-ES"/>
        </w:rPr>
      </w:pPr>
      <w:r w:rsidRPr="00FC7705">
        <w:rPr>
          <w:rStyle w:val="Refdenotaalpie"/>
          <w:rFonts w:ascii="Verdana" w:hAnsi="Verdana" w:cs="Arial"/>
          <w:color w:val="000000" w:themeColor="text1"/>
          <w:sz w:val="16"/>
          <w:szCs w:val="16"/>
        </w:rPr>
        <w:footnoteRef/>
      </w:r>
      <w:r w:rsidRPr="00FC7705">
        <w:rPr>
          <w:rFonts w:ascii="Verdana" w:hAnsi="Verdana" w:cs="Arial"/>
          <w:color w:val="000000" w:themeColor="text1"/>
          <w:sz w:val="16"/>
          <w:szCs w:val="16"/>
        </w:rPr>
        <w:t xml:space="preserve"> </w:t>
      </w:r>
      <w:r w:rsidRPr="00FC7705">
        <w:rPr>
          <w:rFonts w:ascii="Verdana" w:hAnsi="Verdana" w:cs="Arial"/>
          <w:color w:val="000000" w:themeColor="text1"/>
          <w:sz w:val="16"/>
          <w:szCs w:val="16"/>
          <w:lang w:val="es-ES"/>
        </w:rPr>
        <w:t>Recuérdese que el artículo 44 de la Ley 80 de 1993 establece: «Los contratos del Estado son absolutamente nulos en los casos previstos en el derecho común y además cuando:</w:t>
      </w:r>
    </w:p>
    <w:p w14:paraId="2F2B1220" w14:textId="77777777" w:rsidR="004D45D2" w:rsidRPr="00FC7705" w:rsidRDefault="004D45D2" w:rsidP="004D45D2">
      <w:pPr>
        <w:pStyle w:val="Textonotapie"/>
        <w:ind w:firstLine="709"/>
        <w:jc w:val="both"/>
        <w:rPr>
          <w:rFonts w:ascii="Verdana" w:hAnsi="Verdana" w:cs="Arial"/>
          <w:color w:val="000000" w:themeColor="text1"/>
          <w:sz w:val="16"/>
          <w:szCs w:val="16"/>
          <w:lang w:val="es-ES"/>
        </w:rPr>
      </w:pPr>
      <w:r w:rsidRPr="00FC7705">
        <w:rPr>
          <w:rFonts w:ascii="Verdana" w:hAnsi="Verdana" w:cs="Arial"/>
          <w:color w:val="000000" w:themeColor="text1"/>
          <w:sz w:val="16"/>
          <w:szCs w:val="16"/>
          <w:lang w:val="es-ES"/>
        </w:rPr>
        <w:t>1o. Se celebren con personas incurras en causales de inhabilidad o incompatibilidad previstas en la Constitución y la ley;</w:t>
      </w:r>
    </w:p>
    <w:p w14:paraId="22631F22" w14:textId="77777777" w:rsidR="004D45D2" w:rsidRPr="00FC7705" w:rsidRDefault="004D45D2" w:rsidP="004D45D2">
      <w:pPr>
        <w:pStyle w:val="Textonotapie"/>
        <w:ind w:firstLine="709"/>
        <w:jc w:val="both"/>
        <w:rPr>
          <w:rFonts w:ascii="Verdana" w:hAnsi="Verdana" w:cs="Arial"/>
          <w:color w:val="000000" w:themeColor="text1"/>
          <w:sz w:val="16"/>
          <w:szCs w:val="16"/>
          <w:lang w:val="es-ES"/>
        </w:rPr>
      </w:pPr>
      <w:r w:rsidRPr="00FC7705">
        <w:rPr>
          <w:rFonts w:ascii="Verdana" w:hAnsi="Verdana" w:cs="Arial"/>
          <w:color w:val="000000" w:themeColor="text1"/>
          <w:sz w:val="16"/>
          <w:szCs w:val="16"/>
          <w:lang w:val="es-ES"/>
        </w:rPr>
        <w:t>2o. Se celebren contra expresa prohibición constitucional o legal.</w:t>
      </w:r>
    </w:p>
    <w:p w14:paraId="4FAE2D19" w14:textId="77777777" w:rsidR="004D45D2" w:rsidRPr="00FC7705" w:rsidRDefault="004D45D2" w:rsidP="004D45D2">
      <w:pPr>
        <w:pStyle w:val="Textonotapie"/>
        <w:ind w:firstLine="709"/>
        <w:jc w:val="both"/>
        <w:rPr>
          <w:rFonts w:ascii="Verdana" w:hAnsi="Verdana" w:cs="Arial"/>
          <w:color w:val="000000" w:themeColor="text1"/>
          <w:sz w:val="16"/>
          <w:szCs w:val="16"/>
          <w:lang w:val="es-ES"/>
        </w:rPr>
      </w:pPr>
      <w:r w:rsidRPr="00FC7705">
        <w:rPr>
          <w:rFonts w:ascii="Verdana" w:hAnsi="Verdana" w:cs="Arial"/>
          <w:color w:val="000000" w:themeColor="text1"/>
          <w:sz w:val="16"/>
          <w:szCs w:val="16"/>
          <w:lang w:val="es-ES"/>
        </w:rPr>
        <w:t>3o. Se celebren con abuso o desviación de poder.</w:t>
      </w:r>
    </w:p>
    <w:p w14:paraId="6804F870" w14:textId="77777777" w:rsidR="004D45D2" w:rsidRPr="00FC7705" w:rsidRDefault="004D45D2" w:rsidP="004D45D2">
      <w:pPr>
        <w:pStyle w:val="Textonotapie"/>
        <w:ind w:firstLine="709"/>
        <w:jc w:val="both"/>
        <w:rPr>
          <w:rFonts w:ascii="Verdana" w:hAnsi="Verdana" w:cs="Arial"/>
          <w:color w:val="000000" w:themeColor="text1"/>
          <w:sz w:val="16"/>
          <w:szCs w:val="16"/>
          <w:lang w:val="es-ES"/>
        </w:rPr>
      </w:pPr>
      <w:r w:rsidRPr="00FC7705">
        <w:rPr>
          <w:rFonts w:ascii="Verdana" w:hAnsi="Verdana" w:cs="Arial"/>
          <w:color w:val="000000" w:themeColor="text1"/>
          <w:sz w:val="16"/>
          <w:szCs w:val="16"/>
          <w:lang w:val="es-ES"/>
        </w:rPr>
        <w:t>4o. Se declaren nulos los actos administrativos en que se fundamenten; y</w:t>
      </w:r>
    </w:p>
    <w:p w14:paraId="21BBD128" w14:textId="77777777" w:rsidR="004D45D2" w:rsidRPr="00FC7705" w:rsidRDefault="004D45D2" w:rsidP="004D45D2">
      <w:pPr>
        <w:pStyle w:val="Textonotapie"/>
        <w:ind w:firstLine="709"/>
        <w:jc w:val="both"/>
        <w:rPr>
          <w:rFonts w:ascii="Verdana" w:hAnsi="Verdana" w:cs="Arial"/>
          <w:color w:val="000000" w:themeColor="text1"/>
          <w:sz w:val="16"/>
          <w:szCs w:val="16"/>
          <w:lang w:val="es-ES"/>
        </w:rPr>
      </w:pPr>
      <w:r w:rsidRPr="00FC7705">
        <w:rPr>
          <w:rFonts w:ascii="Verdana" w:hAnsi="Verdana" w:cs="Arial"/>
          <w:color w:val="000000" w:themeColor="text1"/>
          <w:sz w:val="16"/>
          <w:szCs w:val="16"/>
          <w:lang w:val="es-ES"/>
        </w:rPr>
        <w:t>5o. Se hubieren celebrado con desconocimiento de los criterios previstos en el artículo 21 sobre tratamiento de ofertas nacionales y extranjeras o con violación de la reciprocidad de que trata esta Ley</w:t>
      </w:r>
      <w:r>
        <w:rPr>
          <w:rFonts w:ascii="Verdana" w:hAnsi="Verdana" w:cs="Arial"/>
          <w:color w:val="000000" w:themeColor="text1"/>
          <w:sz w:val="16"/>
          <w:szCs w:val="16"/>
          <w:lang w:val="es-ES"/>
        </w:rPr>
        <w:t>”</w:t>
      </w:r>
      <w:r w:rsidRPr="00FC7705">
        <w:rPr>
          <w:rFonts w:ascii="Verdana" w:hAnsi="Verdana" w:cs="Arial"/>
          <w:color w:val="000000" w:themeColor="text1"/>
          <w:sz w:val="16"/>
          <w:szCs w:val="16"/>
          <w:lang w:val="es-ES"/>
        </w:rPr>
        <w:t>.</w:t>
      </w:r>
    </w:p>
  </w:footnote>
  <w:footnote w:id="8">
    <w:p w14:paraId="3D53B7A9" w14:textId="77777777" w:rsidR="004D45D2" w:rsidRPr="00773128" w:rsidRDefault="004D45D2" w:rsidP="004D45D2">
      <w:pPr>
        <w:spacing w:after="0" w:line="240" w:lineRule="auto"/>
        <w:ind w:firstLine="709"/>
        <w:jc w:val="both"/>
        <w:rPr>
          <w:rFonts w:ascii="Arial" w:hAnsi="Arial" w:cs="Arial"/>
          <w:color w:val="000000" w:themeColor="text1"/>
          <w:sz w:val="19"/>
          <w:szCs w:val="19"/>
          <w:lang w:val="es-ES"/>
        </w:rPr>
      </w:pPr>
      <w:r>
        <w:rPr>
          <w:rStyle w:val="Refdenotaalpie"/>
        </w:rPr>
        <w:footnoteRef/>
      </w:r>
      <w:r>
        <w:t xml:space="preserve"> </w:t>
      </w:r>
      <w:r w:rsidRPr="00773128">
        <w:rPr>
          <w:rFonts w:ascii="Verdana" w:hAnsi="Verdana" w:cs="Arial"/>
          <w:color w:val="000000" w:themeColor="text1"/>
          <w:sz w:val="16"/>
          <w:szCs w:val="16"/>
          <w:lang w:val="es-ES"/>
        </w:rPr>
        <w:t xml:space="preserve">El Departamento Administrativo de la Función Pública define los acuerdos de niveles de servicio de la siguiente manera: </w:t>
      </w:r>
      <w:r>
        <w:rPr>
          <w:rFonts w:ascii="Verdana" w:hAnsi="Verdana" w:cs="Arial"/>
          <w:color w:val="000000" w:themeColor="text1"/>
          <w:sz w:val="16"/>
          <w:szCs w:val="16"/>
          <w:lang w:val="es-ES"/>
        </w:rPr>
        <w:t>“</w:t>
      </w:r>
      <w:r w:rsidRPr="00773128">
        <w:rPr>
          <w:rFonts w:ascii="Verdana" w:hAnsi="Verdana" w:cs="Arial"/>
          <w:color w:val="000000" w:themeColor="text1"/>
          <w:sz w:val="16"/>
          <w:szCs w:val="16"/>
          <w:lang w:val="es-ES"/>
        </w:rPr>
        <w:t>Los Acuerdos de Niveles de Servicio (ANS), son parámetros, tiempos y requisitos establecidos para la entrega de productos o servicios de un proceso a los usuarios internos y externos, con los cuales se medirá la oportunidad del mismo</w:t>
      </w:r>
      <w:r>
        <w:rPr>
          <w:rFonts w:ascii="Verdana" w:hAnsi="Verdana" w:cs="Arial"/>
          <w:color w:val="000000" w:themeColor="text1"/>
          <w:sz w:val="16"/>
          <w:szCs w:val="16"/>
          <w:lang w:val="es-ES"/>
        </w:rPr>
        <w:t>”</w:t>
      </w:r>
      <w:r w:rsidRPr="00773128">
        <w:rPr>
          <w:rFonts w:ascii="Verdana" w:hAnsi="Verdana" w:cs="Arial"/>
          <w:color w:val="000000" w:themeColor="text1"/>
          <w:sz w:val="16"/>
          <w:szCs w:val="16"/>
          <w:lang w:val="es-ES"/>
        </w:rPr>
        <w:t>. En: https://www.funcionpublica.gov.co/glosario/-/wiki/26415658/Acuerdo%20de%20Nivel%20de%20Servicio%20(ANS)</w:t>
      </w:r>
    </w:p>
  </w:footnote>
  <w:footnote w:id="9">
    <w:p w14:paraId="4FB996D9" w14:textId="77777777" w:rsidR="004D45D2" w:rsidRPr="00FC7705" w:rsidRDefault="004D45D2" w:rsidP="004D45D2">
      <w:pPr>
        <w:pStyle w:val="Textonotapie"/>
        <w:ind w:firstLine="708"/>
        <w:jc w:val="both"/>
        <w:rPr>
          <w:rFonts w:ascii="Verdana" w:hAnsi="Verdana" w:cs="Arial"/>
          <w:sz w:val="16"/>
          <w:szCs w:val="16"/>
          <w:lang w:val="es-CO"/>
        </w:rPr>
      </w:pPr>
      <w:r w:rsidRPr="00FC7705">
        <w:rPr>
          <w:rStyle w:val="Refdenotaalpie"/>
          <w:rFonts w:ascii="Verdana" w:hAnsi="Verdana" w:cs="Arial"/>
          <w:sz w:val="16"/>
          <w:szCs w:val="16"/>
        </w:rPr>
        <w:footnoteRef/>
      </w:r>
      <w:r w:rsidRPr="00FC7705">
        <w:rPr>
          <w:rFonts w:ascii="Verdana" w:hAnsi="Verdana" w:cs="Arial"/>
          <w:sz w:val="16"/>
          <w:szCs w:val="16"/>
        </w:rPr>
        <w:t xml:space="preserve"> </w:t>
      </w:r>
      <w:r w:rsidRPr="00FC7705">
        <w:rPr>
          <w:rFonts w:ascii="Verdana" w:hAnsi="Verdana" w:cs="Arial"/>
          <w:sz w:val="16"/>
          <w:szCs w:val="16"/>
          <w:lang w:val="es-ES"/>
        </w:rPr>
        <w:t xml:space="preserve">Consejo de Estado. Sección Tercera. Subsección A. Sentencia del 18 de febrero de 2022. Expediente: </w:t>
      </w:r>
      <w:r w:rsidRPr="00FC7705">
        <w:rPr>
          <w:rFonts w:ascii="Verdana" w:hAnsi="Verdana" w:cs="Arial"/>
          <w:sz w:val="16"/>
          <w:szCs w:val="16"/>
        </w:rPr>
        <w:t>53.318. Consejero Ponente: José Roberto Sáchica Méndez.</w:t>
      </w:r>
    </w:p>
  </w:footnote>
  <w:footnote w:id="10">
    <w:p w14:paraId="1DDCF57A" w14:textId="77777777" w:rsidR="004D45D2" w:rsidRDefault="004D45D2" w:rsidP="004D45D2">
      <w:pPr>
        <w:pStyle w:val="Textonotapie"/>
        <w:ind w:firstLine="709"/>
        <w:jc w:val="both"/>
        <w:rPr>
          <w:rFonts w:ascii="Verdana" w:hAnsi="Verdana"/>
          <w:sz w:val="16"/>
          <w:szCs w:val="16"/>
          <w:lang w:val="es-ES"/>
        </w:rPr>
      </w:pPr>
      <w:r>
        <w:rPr>
          <w:rStyle w:val="Refdenotaalpie"/>
          <w:rFonts w:ascii="Verdana" w:hAnsi="Verdana"/>
          <w:sz w:val="16"/>
          <w:szCs w:val="16"/>
          <w:lang w:val="es-ES"/>
        </w:rPr>
        <w:footnoteRef/>
      </w:r>
      <w:r>
        <w:rPr>
          <w:rFonts w:ascii="Verdana" w:hAnsi="Verdana"/>
          <w:sz w:val="16"/>
          <w:szCs w:val="16"/>
          <w:lang w:val="es-ES"/>
        </w:rPr>
        <w:t xml:space="preserve"> Al respecto, el Consejo de Estado ha señalado que este tipo de descuentos “no es contrario al artículo 17 de la Ley 1150 de 2007, porque esta disposición atribuye a las entidades públicas la potestad de imponer multas mediante acto administrativo, pero no proscribe que las partes del contrato estatal, en ejercicio de la autonomía de la voluntad, pacten esquemas negociales para hacer efectivas cláusulas penales de apremio sin que ello implique el ejercicio de prerrogativas de poder público. La atribución legal de tales prerrogativas en la ejecución del contrato no puede entenderse como un mandato que obligue a la Administración a huir del derecho privado contractual en la configuración de sus negocios, porque este integra el régimen jurídico aplicable al contrato estatal (…)”. </w:t>
      </w:r>
      <w:r>
        <w:rPr>
          <w:rFonts w:ascii="Verdana" w:hAnsi="Verdana" w:cs="Arial"/>
          <w:sz w:val="16"/>
          <w:szCs w:val="16"/>
          <w:lang w:val="es-ES"/>
        </w:rPr>
        <w:t>Consejo de Estado. Sección Tercera. Subsección A. Sentencia del 30 de enero de 2026. Expediente: 69090. Consejero Ponente: José Roberto Sáchica Méndez.</w:t>
      </w:r>
    </w:p>
    <w:p w14:paraId="40C1F95A" w14:textId="77777777" w:rsidR="004D45D2" w:rsidRDefault="004D45D2" w:rsidP="004D45D2">
      <w:pPr>
        <w:pStyle w:val="Textonotapie"/>
        <w:jc w:val="both"/>
        <w:rPr>
          <w:rFonts w:ascii="Verdana" w:hAnsi="Verdana"/>
          <w:sz w:val="16"/>
          <w:szCs w:val="16"/>
          <w:lang w:val="es-ES"/>
        </w:rPr>
      </w:pPr>
    </w:p>
  </w:footnote>
  <w:footnote w:id="11">
    <w:p w14:paraId="6C87B5BA" w14:textId="77777777" w:rsidR="004D45D2" w:rsidRDefault="004D45D2" w:rsidP="004D45D2">
      <w:pPr>
        <w:pStyle w:val="Textonotapie"/>
        <w:ind w:firstLine="708"/>
        <w:jc w:val="both"/>
        <w:rPr>
          <w:rFonts w:ascii="Verdana" w:hAnsi="Verdana"/>
          <w:sz w:val="16"/>
          <w:szCs w:val="16"/>
          <w:lang w:val="es-ES"/>
        </w:rPr>
      </w:pPr>
      <w:r>
        <w:rPr>
          <w:rStyle w:val="Refdenotaalpie"/>
          <w:rFonts w:ascii="Verdana" w:hAnsi="Verdana"/>
          <w:sz w:val="16"/>
          <w:szCs w:val="16"/>
          <w:lang w:val="es-ES"/>
        </w:rPr>
        <w:footnoteRef/>
      </w:r>
      <w:r>
        <w:rPr>
          <w:rFonts w:ascii="Verdana" w:hAnsi="Verdana"/>
          <w:sz w:val="16"/>
          <w:szCs w:val="16"/>
          <w:lang w:val="es-ES"/>
        </w:rPr>
        <w:t xml:space="preserve"> DOMAT, Jean. Las leyes civiles en su orden natural. Tomo II. Barcelona: Imprenta de José Taulo, 1841. p. 267.</w:t>
      </w:r>
    </w:p>
  </w:footnote>
  <w:footnote w:id="12">
    <w:p w14:paraId="2D539E14" w14:textId="77777777" w:rsidR="004D45D2" w:rsidRDefault="004D45D2" w:rsidP="004D45D2">
      <w:pPr>
        <w:pStyle w:val="Textonotapie"/>
        <w:ind w:firstLine="708"/>
        <w:jc w:val="both"/>
        <w:rPr>
          <w:rFonts w:ascii="Verdana" w:hAnsi="Verdana"/>
          <w:sz w:val="16"/>
          <w:szCs w:val="16"/>
          <w:lang w:val="es-ES"/>
        </w:rPr>
      </w:pPr>
      <w:r>
        <w:rPr>
          <w:rStyle w:val="Refdenotaalpie"/>
          <w:rFonts w:ascii="Verdana" w:hAnsi="Verdana"/>
          <w:sz w:val="16"/>
          <w:szCs w:val="16"/>
          <w:lang w:val="es-ES"/>
        </w:rPr>
        <w:footnoteRef/>
      </w:r>
      <w:r>
        <w:rPr>
          <w:rFonts w:ascii="Verdana" w:hAnsi="Verdana"/>
          <w:sz w:val="16"/>
          <w:szCs w:val="16"/>
          <w:lang w:val="es-ES"/>
        </w:rPr>
        <w:t xml:space="preserve"> POTHIER, Robert J. Tratado de las obligaciones. Santiago: Ediciones Olejnik, 2020. p. 309.</w:t>
      </w:r>
    </w:p>
  </w:footnote>
  <w:footnote w:id="13">
    <w:p w14:paraId="7BE42254" w14:textId="77777777" w:rsidR="004D45D2" w:rsidRDefault="004D45D2" w:rsidP="004D45D2">
      <w:pPr>
        <w:pStyle w:val="Textonotapie"/>
        <w:ind w:firstLine="708"/>
        <w:jc w:val="both"/>
        <w:rPr>
          <w:rFonts w:ascii="Verdana" w:hAnsi="Verdana"/>
          <w:sz w:val="16"/>
          <w:szCs w:val="16"/>
          <w:lang w:val="es-ES"/>
        </w:rPr>
      </w:pPr>
      <w:r>
        <w:rPr>
          <w:rStyle w:val="Refdenotaalpie"/>
          <w:rFonts w:ascii="Verdana" w:hAnsi="Verdana"/>
          <w:sz w:val="16"/>
          <w:szCs w:val="16"/>
          <w:lang w:val="es-ES"/>
        </w:rPr>
        <w:footnoteRef/>
      </w:r>
      <w:r>
        <w:rPr>
          <w:rFonts w:ascii="Verdana" w:hAnsi="Verdana"/>
          <w:sz w:val="16"/>
          <w:szCs w:val="16"/>
          <w:lang w:val="es-ES"/>
        </w:rPr>
        <w:t xml:space="preserve"> Cfr. AMUNÁTEGUI PERELLÓ, Carlos. De la compensación. En: Comentario histórico-dogmático al Libro IV del Código Civil de Chile. Tomo I. Valencia: Tirant lo Blanch, 2023. p. 647.</w:t>
      </w:r>
    </w:p>
  </w:footnote>
  <w:footnote w:id="14">
    <w:p w14:paraId="7A05F223" w14:textId="77777777" w:rsidR="004D45D2" w:rsidRDefault="004D45D2" w:rsidP="004D45D2">
      <w:pPr>
        <w:pStyle w:val="Textonotapie"/>
        <w:ind w:firstLine="708"/>
        <w:jc w:val="both"/>
        <w:rPr>
          <w:rFonts w:ascii="Verdana" w:hAnsi="Verdana"/>
          <w:sz w:val="16"/>
          <w:szCs w:val="16"/>
          <w:lang w:val="es-ES"/>
        </w:rPr>
      </w:pPr>
      <w:r>
        <w:rPr>
          <w:rStyle w:val="Refdenotaalpie"/>
          <w:rFonts w:ascii="Verdana" w:hAnsi="Verdana"/>
          <w:sz w:val="16"/>
          <w:szCs w:val="16"/>
          <w:lang w:val="es-ES"/>
        </w:rPr>
        <w:footnoteRef/>
      </w:r>
      <w:r>
        <w:rPr>
          <w:rFonts w:ascii="Verdana" w:hAnsi="Verdana"/>
          <w:sz w:val="16"/>
          <w:szCs w:val="16"/>
          <w:lang w:val="es-ES"/>
        </w:rPr>
        <w:t xml:space="preserve"> SOLARTE RODRÍGUEZ, Arturo y BERNAL FANDIÑO, Mariana. La compensación de las obligaciones en el Derecho Privado. En: Derecho de las obligaciones con propuestas de modernización. Tomo IV. Segunda edición. Bogotá: Temis – Universidad de los Andes, 2021. p. 553. Su utilidad se fundamenta en razones de economía: “El uso de las compensaciones es necesario para evitar la incomodidad de dos pagos, lo cual sucedería si cada uno de los dos que compensan pagase primero y después volviese a cobrar lo mismo que hubiese satisfecho. Es pues natural que sin semejante rodeo retenga cada uno en pago lo que debiere equivalente a la cantidad que acreditare. Así es que por medio de la compensación se hacen siempre dos soluciones” (DOMAT, Ob. cit., p. 267).</w:t>
      </w:r>
    </w:p>
  </w:footnote>
  <w:footnote w:id="15">
    <w:p w14:paraId="51273235" w14:textId="77777777" w:rsidR="004D45D2" w:rsidRDefault="004D45D2" w:rsidP="004D45D2">
      <w:pPr>
        <w:pStyle w:val="Textonotapie"/>
        <w:ind w:firstLine="708"/>
        <w:jc w:val="both"/>
        <w:rPr>
          <w:rFonts w:ascii="Verdana" w:hAnsi="Verdana"/>
          <w:sz w:val="16"/>
          <w:szCs w:val="16"/>
          <w:lang w:val="es-ES"/>
        </w:rPr>
      </w:pPr>
      <w:r>
        <w:rPr>
          <w:rStyle w:val="Refdenotaalpie"/>
          <w:rFonts w:ascii="Verdana" w:hAnsi="Verdana"/>
          <w:sz w:val="16"/>
          <w:szCs w:val="16"/>
          <w:lang w:val="es-ES"/>
        </w:rPr>
        <w:footnoteRef/>
      </w:r>
      <w:r>
        <w:rPr>
          <w:rFonts w:ascii="Verdana" w:hAnsi="Verdana"/>
          <w:sz w:val="16"/>
          <w:szCs w:val="16"/>
          <w:lang w:val="es-ES"/>
        </w:rPr>
        <w:t xml:space="preserve"> Cfr. LAURENT, François. Principios de derecho civil francés. Tomo XVIII. México DF: Tribunal Superior de Justicia del Distrito Federal, 2010. p. 462.</w:t>
      </w:r>
    </w:p>
  </w:footnote>
  <w:footnote w:id="16">
    <w:p w14:paraId="67BE0114" w14:textId="77777777" w:rsidR="004D45D2" w:rsidRDefault="004D45D2" w:rsidP="004D45D2">
      <w:pPr>
        <w:pStyle w:val="Textonotapie"/>
        <w:jc w:val="both"/>
        <w:rPr>
          <w:rFonts w:ascii="Verdana" w:hAnsi="Verdana" w:cs="Arial"/>
          <w:color w:val="000000" w:themeColor="text1"/>
          <w:sz w:val="16"/>
          <w:szCs w:val="16"/>
          <w:lang w:val="es-ES"/>
        </w:rPr>
      </w:pPr>
      <w:r>
        <w:rPr>
          <w:rFonts w:ascii="Verdana" w:hAnsi="Verdana" w:cs="Arial"/>
          <w:iCs/>
          <w:color w:val="000000" w:themeColor="text1"/>
          <w:sz w:val="16"/>
          <w:szCs w:val="16"/>
          <w:lang w:val="es-ES"/>
        </w:rPr>
        <w:tab/>
      </w:r>
      <w:r>
        <w:rPr>
          <w:rFonts w:ascii="Verdana" w:hAnsi="Verdana" w:cs="Arial"/>
          <w:iCs/>
          <w:color w:val="000000" w:themeColor="text1"/>
          <w:sz w:val="16"/>
          <w:szCs w:val="16"/>
          <w:vertAlign w:val="superscript"/>
          <w:lang w:val="es-ES"/>
        </w:rPr>
        <w:footnoteRef/>
      </w:r>
      <w:r>
        <w:rPr>
          <w:rFonts w:ascii="Verdana" w:hAnsi="Verdana" w:cs="Arial"/>
          <w:iCs/>
          <w:color w:val="000000" w:themeColor="text1"/>
          <w:sz w:val="16"/>
          <w:szCs w:val="16"/>
          <w:lang w:val="es-ES"/>
        </w:rPr>
        <w:t xml:space="preserve"> Motivo por el cual son típicas cláusulas accidentales dentro de los contratos estatales, en los términos del artículo 1501 del Código Civil.</w:t>
      </w:r>
    </w:p>
  </w:footnote>
  <w:footnote w:id="17">
    <w:p w14:paraId="7F3C56B2" w14:textId="77777777" w:rsidR="004D45D2" w:rsidRDefault="004D45D2" w:rsidP="004D45D2">
      <w:pPr>
        <w:pStyle w:val="Textonotapie"/>
        <w:ind w:firstLine="708"/>
        <w:jc w:val="both"/>
        <w:rPr>
          <w:rFonts w:ascii="Verdana" w:hAnsi="Verdana" w:cs="Arial"/>
          <w:color w:val="000000" w:themeColor="text1"/>
          <w:sz w:val="16"/>
          <w:szCs w:val="16"/>
          <w:lang w:val="es-ES"/>
        </w:rPr>
      </w:pPr>
      <w:r>
        <w:rPr>
          <w:rStyle w:val="Refdenotaalpie"/>
          <w:rFonts w:ascii="Verdana" w:hAnsi="Verdana" w:cs="Arial"/>
          <w:color w:val="000000" w:themeColor="text1"/>
          <w:sz w:val="16"/>
          <w:szCs w:val="16"/>
          <w:lang w:val="es-ES"/>
        </w:rPr>
        <w:footnoteRef/>
      </w:r>
      <w:r>
        <w:rPr>
          <w:rFonts w:ascii="Verdana" w:hAnsi="Verdana" w:cs="Arial"/>
          <w:color w:val="000000" w:themeColor="text1"/>
          <w:sz w:val="16"/>
          <w:szCs w:val="16"/>
          <w:lang w:val="es-ES"/>
        </w:rPr>
        <w:t xml:space="preserve"> CONSEJO DE ESTADO. Sección Tercera. </w:t>
      </w:r>
      <w:r>
        <w:rPr>
          <w:rFonts w:ascii="Verdana" w:hAnsi="Verdana" w:cs="Arial"/>
          <w:color w:val="000000" w:themeColor="text1"/>
          <w:sz w:val="16"/>
          <w:szCs w:val="16"/>
          <w:vertAlign w:val="superscript"/>
          <w:lang w:val="es-ES"/>
        </w:rPr>
        <w:t xml:space="preserve"> </w:t>
      </w:r>
      <w:r>
        <w:rPr>
          <w:rFonts w:ascii="Verdana" w:hAnsi="Verdana" w:cs="Arial"/>
          <w:color w:val="000000" w:themeColor="text1"/>
          <w:sz w:val="16"/>
          <w:szCs w:val="16"/>
          <w:lang w:val="es-ES"/>
        </w:rPr>
        <w:t>Sentencia del 13 de noviembre de 2008, expediente 17.009, C.P. Enrique Gil Botero.</w:t>
      </w:r>
    </w:p>
  </w:footnote>
  <w:footnote w:id="18">
    <w:p w14:paraId="48D6E339" w14:textId="77777777" w:rsidR="004D45D2" w:rsidRDefault="004D45D2" w:rsidP="004D45D2">
      <w:pPr>
        <w:pStyle w:val="Textonotapie"/>
        <w:ind w:firstLine="708"/>
        <w:jc w:val="both"/>
        <w:rPr>
          <w:rFonts w:ascii="Verdana" w:hAnsi="Verdana" w:cs="Arial"/>
          <w:color w:val="000000" w:themeColor="text1"/>
          <w:sz w:val="16"/>
          <w:szCs w:val="16"/>
          <w:lang w:val="es-ES"/>
        </w:rPr>
      </w:pPr>
      <w:r>
        <w:rPr>
          <w:rStyle w:val="Refdenotaalpie"/>
          <w:rFonts w:ascii="Verdana" w:hAnsi="Verdana" w:cs="Arial"/>
          <w:color w:val="000000" w:themeColor="text1"/>
          <w:sz w:val="16"/>
          <w:szCs w:val="16"/>
          <w:lang w:val="es-ES"/>
        </w:rPr>
        <w:footnoteRef/>
      </w:r>
      <w:r>
        <w:rPr>
          <w:rFonts w:ascii="Verdana" w:hAnsi="Verdana" w:cs="Arial"/>
          <w:color w:val="000000" w:themeColor="text1"/>
          <w:sz w:val="16"/>
          <w:szCs w:val="16"/>
          <w:lang w:val="es-ES"/>
        </w:rPr>
        <w:t xml:space="preserve"> CORTE CONSTITUCIONAL. Sentencia C-827 de 2001. M.P. Álvaro Tafur Galvis.</w:t>
      </w:r>
    </w:p>
  </w:footnote>
  <w:footnote w:id="19">
    <w:p w14:paraId="76D7E595" w14:textId="77777777" w:rsidR="004D45D2" w:rsidRDefault="004D45D2" w:rsidP="004D45D2">
      <w:pPr>
        <w:pStyle w:val="Textonotapie"/>
        <w:jc w:val="both"/>
        <w:rPr>
          <w:rFonts w:ascii="Verdana" w:hAnsi="Verdana" w:cs="Arial"/>
          <w:color w:val="000000" w:themeColor="text1"/>
          <w:sz w:val="16"/>
          <w:szCs w:val="16"/>
          <w:lang w:val="es-ES"/>
        </w:rPr>
      </w:pPr>
      <w:r>
        <w:rPr>
          <w:rFonts w:ascii="Verdana" w:hAnsi="Verdana" w:cs="Arial"/>
          <w:color w:val="000000" w:themeColor="text1"/>
          <w:sz w:val="16"/>
          <w:szCs w:val="16"/>
          <w:vertAlign w:val="superscript"/>
          <w:lang w:val="es-ES"/>
        </w:rPr>
        <w:tab/>
      </w:r>
      <w:r>
        <w:rPr>
          <w:rFonts w:ascii="Verdana" w:hAnsi="Verdana" w:cs="Arial"/>
          <w:color w:val="000000" w:themeColor="text1"/>
          <w:sz w:val="16"/>
          <w:szCs w:val="16"/>
          <w:vertAlign w:val="superscript"/>
          <w:lang w:val="es-ES"/>
        </w:rPr>
        <w:footnoteRef/>
      </w:r>
      <w:r>
        <w:rPr>
          <w:rFonts w:ascii="Verdana" w:hAnsi="Verdana" w:cs="Arial"/>
          <w:color w:val="000000" w:themeColor="text1"/>
          <w:sz w:val="16"/>
          <w:szCs w:val="16"/>
          <w:lang w:val="es-ES"/>
        </w:rPr>
        <w:t xml:space="preserve"> CONSEJO DE ESTADO. Sección Tercera. </w:t>
      </w:r>
      <w:r>
        <w:rPr>
          <w:rFonts w:ascii="Verdana" w:hAnsi="Verdana" w:cs="Arial"/>
          <w:color w:val="000000" w:themeColor="text1"/>
          <w:sz w:val="16"/>
          <w:szCs w:val="16"/>
          <w:vertAlign w:val="superscript"/>
          <w:lang w:val="es-ES"/>
        </w:rPr>
        <w:t xml:space="preserve"> </w:t>
      </w:r>
      <w:r>
        <w:rPr>
          <w:rFonts w:ascii="Verdana" w:hAnsi="Verdana" w:cs="Arial"/>
          <w:color w:val="000000" w:themeColor="text1"/>
          <w:sz w:val="16"/>
          <w:szCs w:val="16"/>
          <w:lang w:val="es-ES"/>
        </w:rPr>
        <w:t>Sentencia del 13 de noviembre de 2008, expediente 17.009, C.P. Enrique Gil Botero.</w:t>
      </w:r>
    </w:p>
  </w:footnote>
  <w:footnote w:id="20">
    <w:p w14:paraId="538F8A33" w14:textId="77777777" w:rsidR="004D45D2" w:rsidRDefault="004D45D2" w:rsidP="004D45D2">
      <w:pPr>
        <w:pStyle w:val="Textonotapie"/>
        <w:ind w:firstLine="708"/>
        <w:jc w:val="both"/>
        <w:rPr>
          <w:rFonts w:ascii="Verdana" w:hAnsi="Verdana" w:cs="Arial"/>
          <w:color w:val="000000" w:themeColor="text1"/>
          <w:sz w:val="16"/>
          <w:szCs w:val="16"/>
          <w:lang w:val="es-ES"/>
        </w:rPr>
      </w:pPr>
      <w:r>
        <w:rPr>
          <w:rStyle w:val="Refdenotaalpie"/>
          <w:rFonts w:ascii="Verdana" w:hAnsi="Verdana" w:cs="Arial"/>
          <w:color w:val="000000" w:themeColor="text1"/>
          <w:sz w:val="16"/>
          <w:szCs w:val="16"/>
          <w:lang w:val="es-ES"/>
        </w:rPr>
        <w:footnoteRef/>
      </w:r>
      <w:r>
        <w:rPr>
          <w:rFonts w:ascii="Verdana" w:hAnsi="Verdana" w:cs="Arial"/>
          <w:color w:val="000000" w:themeColor="text1"/>
          <w:sz w:val="16"/>
          <w:szCs w:val="16"/>
          <w:lang w:val="es-ES"/>
        </w:rPr>
        <w:t xml:space="preserve"> CORTE CONSTITUCIONAL. Sentencia C-499 de 2015. M.P. Mauricio González Cuervo.</w:t>
      </w:r>
    </w:p>
  </w:footnote>
  <w:footnote w:id="21">
    <w:p w14:paraId="44B5B725" w14:textId="77777777" w:rsidR="004D45D2" w:rsidRPr="00B726AE" w:rsidRDefault="004D45D2" w:rsidP="004D45D2">
      <w:pPr>
        <w:pStyle w:val="Textonotapie"/>
        <w:ind w:firstLine="709"/>
        <w:jc w:val="both"/>
        <w:rPr>
          <w:lang w:val="es-CO"/>
        </w:rPr>
      </w:pPr>
      <w:r>
        <w:rPr>
          <w:rStyle w:val="Refdenotaalpie"/>
        </w:rPr>
        <w:footnoteRef/>
      </w:r>
      <w:r>
        <w:t xml:space="preserve"> </w:t>
      </w:r>
      <w:r>
        <w:rPr>
          <w:lang w:val="es-CO"/>
        </w:rPr>
        <w:t xml:space="preserve"> Se puede consultar en el siguiente link: </w:t>
      </w:r>
      <w:hyperlink r:id="rId5" w:history="1">
        <w:r w:rsidRPr="002D6112">
          <w:rPr>
            <w:rStyle w:val="Hipervnculo"/>
            <w:lang w:val="es-CO"/>
          </w:rPr>
          <w:t>https://www.colombiacompra.gov.co/wp-content/uploads/2026/08/Guia-Proceso-Sancionatorio-OrigFirmado.pdf</w:t>
        </w:r>
      </w:hyperlink>
      <w:r>
        <w:rPr>
          <w:lang w:val="es-C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2AA1"/>
    <w:rsid w:val="00016F78"/>
    <w:rsid w:val="000404B5"/>
    <w:rsid w:val="00046945"/>
    <w:rsid w:val="00061B2A"/>
    <w:rsid w:val="000775DD"/>
    <w:rsid w:val="00082362"/>
    <w:rsid w:val="00095B99"/>
    <w:rsid w:val="000A06C6"/>
    <w:rsid w:val="000A12F3"/>
    <w:rsid w:val="000A683E"/>
    <w:rsid w:val="000B19B9"/>
    <w:rsid w:val="000B2C22"/>
    <w:rsid w:val="000B3958"/>
    <w:rsid w:val="000C2A4F"/>
    <w:rsid w:val="000C54F8"/>
    <w:rsid w:val="000C5651"/>
    <w:rsid w:val="000D0334"/>
    <w:rsid w:val="000D49A8"/>
    <w:rsid w:val="000D5DA7"/>
    <w:rsid w:val="000F08EC"/>
    <w:rsid w:val="000F6486"/>
    <w:rsid w:val="000F66DF"/>
    <w:rsid w:val="00105350"/>
    <w:rsid w:val="00106776"/>
    <w:rsid w:val="00116940"/>
    <w:rsid w:val="00122062"/>
    <w:rsid w:val="00125105"/>
    <w:rsid w:val="00127233"/>
    <w:rsid w:val="00133ADB"/>
    <w:rsid w:val="0015699B"/>
    <w:rsid w:val="0017040D"/>
    <w:rsid w:val="00170AC4"/>
    <w:rsid w:val="001748B6"/>
    <w:rsid w:val="001765AE"/>
    <w:rsid w:val="00191615"/>
    <w:rsid w:val="001A034B"/>
    <w:rsid w:val="001A33BF"/>
    <w:rsid w:val="001B0B12"/>
    <w:rsid w:val="001C07B9"/>
    <w:rsid w:val="001D241F"/>
    <w:rsid w:val="001E22A0"/>
    <w:rsid w:val="001E4177"/>
    <w:rsid w:val="001F0B24"/>
    <w:rsid w:val="001F2D7D"/>
    <w:rsid w:val="001F453E"/>
    <w:rsid w:val="001F5C49"/>
    <w:rsid w:val="001F7DC6"/>
    <w:rsid w:val="001F7DD0"/>
    <w:rsid w:val="002043E1"/>
    <w:rsid w:val="002072DB"/>
    <w:rsid w:val="0022400B"/>
    <w:rsid w:val="0023071F"/>
    <w:rsid w:val="00236C8F"/>
    <w:rsid w:val="002421BB"/>
    <w:rsid w:val="00243B33"/>
    <w:rsid w:val="0024631F"/>
    <w:rsid w:val="00250BF7"/>
    <w:rsid w:val="0025796E"/>
    <w:rsid w:val="00261619"/>
    <w:rsid w:val="00264010"/>
    <w:rsid w:val="002707A2"/>
    <w:rsid w:val="0027339D"/>
    <w:rsid w:val="002951A0"/>
    <w:rsid w:val="00295720"/>
    <w:rsid w:val="002962BC"/>
    <w:rsid w:val="002A093D"/>
    <w:rsid w:val="002A0DD0"/>
    <w:rsid w:val="002A49AC"/>
    <w:rsid w:val="002A64FD"/>
    <w:rsid w:val="002A778C"/>
    <w:rsid w:val="002A7895"/>
    <w:rsid w:val="002B5D0D"/>
    <w:rsid w:val="002C4F1E"/>
    <w:rsid w:val="002C593E"/>
    <w:rsid w:val="002C7A84"/>
    <w:rsid w:val="002E2BF8"/>
    <w:rsid w:val="002E4206"/>
    <w:rsid w:val="002E4FD9"/>
    <w:rsid w:val="002E5808"/>
    <w:rsid w:val="0030657A"/>
    <w:rsid w:val="003159B6"/>
    <w:rsid w:val="00322A85"/>
    <w:rsid w:val="00324168"/>
    <w:rsid w:val="00324FA4"/>
    <w:rsid w:val="00330834"/>
    <w:rsid w:val="00337FAA"/>
    <w:rsid w:val="003448F4"/>
    <w:rsid w:val="0035235C"/>
    <w:rsid w:val="0035676C"/>
    <w:rsid w:val="00365ACA"/>
    <w:rsid w:val="00366BC1"/>
    <w:rsid w:val="00372B17"/>
    <w:rsid w:val="00374F5E"/>
    <w:rsid w:val="0037545F"/>
    <w:rsid w:val="00377E3E"/>
    <w:rsid w:val="00381280"/>
    <w:rsid w:val="003864DA"/>
    <w:rsid w:val="00393C09"/>
    <w:rsid w:val="003A1E8E"/>
    <w:rsid w:val="003A779E"/>
    <w:rsid w:val="003D0F4D"/>
    <w:rsid w:val="003D5B0D"/>
    <w:rsid w:val="003D5C16"/>
    <w:rsid w:val="003D67A6"/>
    <w:rsid w:val="003E0499"/>
    <w:rsid w:val="003E3DE8"/>
    <w:rsid w:val="003E4F80"/>
    <w:rsid w:val="003E6439"/>
    <w:rsid w:val="003F1AA2"/>
    <w:rsid w:val="003F3941"/>
    <w:rsid w:val="004002F8"/>
    <w:rsid w:val="00406575"/>
    <w:rsid w:val="0041275D"/>
    <w:rsid w:val="00414C74"/>
    <w:rsid w:val="004213F8"/>
    <w:rsid w:val="00422123"/>
    <w:rsid w:val="00422867"/>
    <w:rsid w:val="0042722E"/>
    <w:rsid w:val="0044528D"/>
    <w:rsid w:val="004523FD"/>
    <w:rsid w:val="00453316"/>
    <w:rsid w:val="00466E39"/>
    <w:rsid w:val="0048281B"/>
    <w:rsid w:val="0049144D"/>
    <w:rsid w:val="0049195E"/>
    <w:rsid w:val="00495F9B"/>
    <w:rsid w:val="004A1847"/>
    <w:rsid w:val="004A1FD4"/>
    <w:rsid w:val="004A305D"/>
    <w:rsid w:val="004B52DF"/>
    <w:rsid w:val="004C7B49"/>
    <w:rsid w:val="004D20C4"/>
    <w:rsid w:val="004D45D2"/>
    <w:rsid w:val="004E6B98"/>
    <w:rsid w:val="004F0EC0"/>
    <w:rsid w:val="004F21C4"/>
    <w:rsid w:val="004F685F"/>
    <w:rsid w:val="00501879"/>
    <w:rsid w:val="005074D2"/>
    <w:rsid w:val="0051212A"/>
    <w:rsid w:val="0052410C"/>
    <w:rsid w:val="00526B25"/>
    <w:rsid w:val="0053360B"/>
    <w:rsid w:val="005413C4"/>
    <w:rsid w:val="00543AC2"/>
    <w:rsid w:val="00546DFD"/>
    <w:rsid w:val="005566E8"/>
    <w:rsid w:val="00566698"/>
    <w:rsid w:val="005731C5"/>
    <w:rsid w:val="0057354C"/>
    <w:rsid w:val="00573806"/>
    <w:rsid w:val="00574867"/>
    <w:rsid w:val="00582628"/>
    <w:rsid w:val="00583741"/>
    <w:rsid w:val="00591460"/>
    <w:rsid w:val="005934F2"/>
    <w:rsid w:val="00595F50"/>
    <w:rsid w:val="005977DF"/>
    <w:rsid w:val="005A2957"/>
    <w:rsid w:val="005A65E0"/>
    <w:rsid w:val="005A6BCC"/>
    <w:rsid w:val="005B3344"/>
    <w:rsid w:val="005B42EF"/>
    <w:rsid w:val="005B6717"/>
    <w:rsid w:val="005C3777"/>
    <w:rsid w:val="005C3B98"/>
    <w:rsid w:val="005C5CDC"/>
    <w:rsid w:val="005D0FB0"/>
    <w:rsid w:val="005D476C"/>
    <w:rsid w:val="005E1806"/>
    <w:rsid w:val="005F6532"/>
    <w:rsid w:val="00603B10"/>
    <w:rsid w:val="00603F90"/>
    <w:rsid w:val="00615FC4"/>
    <w:rsid w:val="006200BF"/>
    <w:rsid w:val="006219F8"/>
    <w:rsid w:val="006302F7"/>
    <w:rsid w:val="00632B2A"/>
    <w:rsid w:val="00635D3F"/>
    <w:rsid w:val="006365D3"/>
    <w:rsid w:val="0064605C"/>
    <w:rsid w:val="00646B9F"/>
    <w:rsid w:val="006529E7"/>
    <w:rsid w:val="006614FD"/>
    <w:rsid w:val="00665D70"/>
    <w:rsid w:val="006727F9"/>
    <w:rsid w:val="00682A44"/>
    <w:rsid w:val="00687A1E"/>
    <w:rsid w:val="006900D9"/>
    <w:rsid w:val="00697AFC"/>
    <w:rsid w:val="006B6AF6"/>
    <w:rsid w:val="006D05E8"/>
    <w:rsid w:val="006D51F6"/>
    <w:rsid w:val="006D73D9"/>
    <w:rsid w:val="006E6467"/>
    <w:rsid w:val="006E6FB5"/>
    <w:rsid w:val="006F3FAA"/>
    <w:rsid w:val="007002BC"/>
    <w:rsid w:val="00706C16"/>
    <w:rsid w:val="0071381C"/>
    <w:rsid w:val="00714B94"/>
    <w:rsid w:val="007340C3"/>
    <w:rsid w:val="007500AA"/>
    <w:rsid w:val="0075235A"/>
    <w:rsid w:val="00752637"/>
    <w:rsid w:val="00756841"/>
    <w:rsid w:val="007649AB"/>
    <w:rsid w:val="00771D0C"/>
    <w:rsid w:val="00773128"/>
    <w:rsid w:val="007833AC"/>
    <w:rsid w:val="00792354"/>
    <w:rsid w:val="00794411"/>
    <w:rsid w:val="007A2B0E"/>
    <w:rsid w:val="007B268C"/>
    <w:rsid w:val="007B4404"/>
    <w:rsid w:val="007B7171"/>
    <w:rsid w:val="007C0C0F"/>
    <w:rsid w:val="007C3DC2"/>
    <w:rsid w:val="007E0830"/>
    <w:rsid w:val="007E1512"/>
    <w:rsid w:val="007E5497"/>
    <w:rsid w:val="007F0342"/>
    <w:rsid w:val="008022F5"/>
    <w:rsid w:val="00806F5F"/>
    <w:rsid w:val="008140A5"/>
    <w:rsid w:val="00820278"/>
    <w:rsid w:val="008208EC"/>
    <w:rsid w:val="00824A38"/>
    <w:rsid w:val="008258C9"/>
    <w:rsid w:val="00825AB6"/>
    <w:rsid w:val="00833454"/>
    <w:rsid w:val="0084435A"/>
    <w:rsid w:val="00844AE9"/>
    <w:rsid w:val="008548A3"/>
    <w:rsid w:val="0085758F"/>
    <w:rsid w:val="00867688"/>
    <w:rsid w:val="00867F95"/>
    <w:rsid w:val="00873DA1"/>
    <w:rsid w:val="00873F22"/>
    <w:rsid w:val="00875EB3"/>
    <w:rsid w:val="0088090D"/>
    <w:rsid w:val="008843B6"/>
    <w:rsid w:val="00884C35"/>
    <w:rsid w:val="00891928"/>
    <w:rsid w:val="00897E67"/>
    <w:rsid w:val="008A446D"/>
    <w:rsid w:val="008B25F1"/>
    <w:rsid w:val="008D180B"/>
    <w:rsid w:val="008D2FF6"/>
    <w:rsid w:val="008D6894"/>
    <w:rsid w:val="008F0EA7"/>
    <w:rsid w:val="008F3D13"/>
    <w:rsid w:val="008F7E4A"/>
    <w:rsid w:val="00904955"/>
    <w:rsid w:val="009050A0"/>
    <w:rsid w:val="009067EF"/>
    <w:rsid w:val="009170CE"/>
    <w:rsid w:val="00923EEF"/>
    <w:rsid w:val="00924824"/>
    <w:rsid w:val="009419F9"/>
    <w:rsid w:val="009459BE"/>
    <w:rsid w:val="00953036"/>
    <w:rsid w:val="0095685E"/>
    <w:rsid w:val="00961B09"/>
    <w:rsid w:val="00963AE6"/>
    <w:rsid w:val="00963D22"/>
    <w:rsid w:val="00965334"/>
    <w:rsid w:val="0096595E"/>
    <w:rsid w:val="0097093E"/>
    <w:rsid w:val="00993662"/>
    <w:rsid w:val="009A0DFA"/>
    <w:rsid w:val="009A1C6F"/>
    <w:rsid w:val="009B2D26"/>
    <w:rsid w:val="009B2DBB"/>
    <w:rsid w:val="009B4DB5"/>
    <w:rsid w:val="009B6F68"/>
    <w:rsid w:val="009B7659"/>
    <w:rsid w:val="009C327D"/>
    <w:rsid w:val="009C6756"/>
    <w:rsid w:val="009C71FA"/>
    <w:rsid w:val="009C72E7"/>
    <w:rsid w:val="009C7F7E"/>
    <w:rsid w:val="009D3058"/>
    <w:rsid w:val="009D5C5F"/>
    <w:rsid w:val="009F3A13"/>
    <w:rsid w:val="009F5E45"/>
    <w:rsid w:val="00A046DB"/>
    <w:rsid w:val="00A122D3"/>
    <w:rsid w:val="00A14468"/>
    <w:rsid w:val="00A17F13"/>
    <w:rsid w:val="00A20739"/>
    <w:rsid w:val="00A23AF9"/>
    <w:rsid w:val="00A30C03"/>
    <w:rsid w:val="00A33C78"/>
    <w:rsid w:val="00A3606C"/>
    <w:rsid w:val="00A44AAC"/>
    <w:rsid w:val="00A50DCC"/>
    <w:rsid w:val="00A5297D"/>
    <w:rsid w:val="00A536F5"/>
    <w:rsid w:val="00A64464"/>
    <w:rsid w:val="00A732FD"/>
    <w:rsid w:val="00A749A8"/>
    <w:rsid w:val="00A857E0"/>
    <w:rsid w:val="00AA2723"/>
    <w:rsid w:val="00AB0ADB"/>
    <w:rsid w:val="00AB749F"/>
    <w:rsid w:val="00AD1528"/>
    <w:rsid w:val="00AD20D0"/>
    <w:rsid w:val="00AD3182"/>
    <w:rsid w:val="00AE6CD3"/>
    <w:rsid w:val="00AF69A4"/>
    <w:rsid w:val="00AF6E1F"/>
    <w:rsid w:val="00AF7BDD"/>
    <w:rsid w:val="00B00C0E"/>
    <w:rsid w:val="00B01B1A"/>
    <w:rsid w:val="00B0381D"/>
    <w:rsid w:val="00B046C0"/>
    <w:rsid w:val="00B0563B"/>
    <w:rsid w:val="00B11ACB"/>
    <w:rsid w:val="00B13BB5"/>
    <w:rsid w:val="00B2449A"/>
    <w:rsid w:val="00B273E3"/>
    <w:rsid w:val="00B301C4"/>
    <w:rsid w:val="00B42653"/>
    <w:rsid w:val="00B44A47"/>
    <w:rsid w:val="00B469BD"/>
    <w:rsid w:val="00B500E1"/>
    <w:rsid w:val="00B64D56"/>
    <w:rsid w:val="00B6770D"/>
    <w:rsid w:val="00B726AE"/>
    <w:rsid w:val="00B72CD3"/>
    <w:rsid w:val="00B72FFF"/>
    <w:rsid w:val="00B94950"/>
    <w:rsid w:val="00B94CCF"/>
    <w:rsid w:val="00BA1AFB"/>
    <w:rsid w:val="00BB013F"/>
    <w:rsid w:val="00BB581A"/>
    <w:rsid w:val="00BB77A9"/>
    <w:rsid w:val="00BC3D36"/>
    <w:rsid w:val="00BC53F1"/>
    <w:rsid w:val="00BD54A6"/>
    <w:rsid w:val="00BD7F72"/>
    <w:rsid w:val="00BF3226"/>
    <w:rsid w:val="00BF68F4"/>
    <w:rsid w:val="00BF7425"/>
    <w:rsid w:val="00C04FB3"/>
    <w:rsid w:val="00C11A39"/>
    <w:rsid w:val="00C11D8B"/>
    <w:rsid w:val="00C15139"/>
    <w:rsid w:val="00C330EB"/>
    <w:rsid w:val="00C3434A"/>
    <w:rsid w:val="00C435CF"/>
    <w:rsid w:val="00C47219"/>
    <w:rsid w:val="00C472C5"/>
    <w:rsid w:val="00C50D69"/>
    <w:rsid w:val="00C5365C"/>
    <w:rsid w:val="00C5391B"/>
    <w:rsid w:val="00C574DD"/>
    <w:rsid w:val="00C60226"/>
    <w:rsid w:val="00C67890"/>
    <w:rsid w:val="00C7143B"/>
    <w:rsid w:val="00C71EBA"/>
    <w:rsid w:val="00C754BE"/>
    <w:rsid w:val="00C76457"/>
    <w:rsid w:val="00C76B1C"/>
    <w:rsid w:val="00C84760"/>
    <w:rsid w:val="00C8789A"/>
    <w:rsid w:val="00C925AC"/>
    <w:rsid w:val="00CB46F2"/>
    <w:rsid w:val="00CB5B33"/>
    <w:rsid w:val="00CB6357"/>
    <w:rsid w:val="00CC1B26"/>
    <w:rsid w:val="00CD7C8F"/>
    <w:rsid w:val="00CE3D43"/>
    <w:rsid w:val="00CF049C"/>
    <w:rsid w:val="00D044AB"/>
    <w:rsid w:val="00D14A4D"/>
    <w:rsid w:val="00D22DF2"/>
    <w:rsid w:val="00D2606E"/>
    <w:rsid w:val="00D361FD"/>
    <w:rsid w:val="00D423A2"/>
    <w:rsid w:val="00D44E26"/>
    <w:rsid w:val="00D46E7D"/>
    <w:rsid w:val="00D50A8C"/>
    <w:rsid w:val="00D520D8"/>
    <w:rsid w:val="00D5347B"/>
    <w:rsid w:val="00D62C3B"/>
    <w:rsid w:val="00D63AC2"/>
    <w:rsid w:val="00D7383B"/>
    <w:rsid w:val="00D7788A"/>
    <w:rsid w:val="00DA231B"/>
    <w:rsid w:val="00DA2B19"/>
    <w:rsid w:val="00DA5057"/>
    <w:rsid w:val="00DA731A"/>
    <w:rsid w:val="00DB38FE"/>
    <w:rsid w:val="00DB5DDA"/>
    <w:rsid w:val="00DC2C38"/>
    <w:rsid w:val="00DC300D"/>
    <w:rsid w:val="00DC39FC"/>
    <w:rsid w:val="00DE2A49"/>
    <w:rsid w:val="00DE74A7"/>
    <w:rsid w:val="00DF4A23"/>
    <w:rsid w:val="00DF5254"/>
    <w:rsid w:val="00DF6E52"/>
    <w:rsid w:val="00E02524"/>
    <w:rsid w:val="00E04DF6"/>
    <w:rsid w:val="00E1215E"/>
    <w:rsid w:val="00E138DF"/>
    <w:rsid w:val="00E16408"/>
    <w:rsid w:val="00E20894"/>
    <w:rsid w:val="00E245AB"/>
    <w:rsid w:val="00E2764C"/>
    <w:rsid w:val="00E27F2E"/>
    <w:rsid w:val="00E323CC"/>
    <w:rsid w:val="00E34829"/>
    <w:rsid w:val="00E50AFE"/>
    <w:rsid w:val="00E657F7"/>
    <w:rsid w:val="00E75C92"/>
    <w:rsid w:val="00E771DC"/>
    <w:rsid w:val="00E8772A"/>
    <w:rsid w:val="00E90F6B"/>
    <w:rsid w:val="00E92C27"/>
    <w:rsid w:val="00EA0E3D"/>
    <w:rsid w:val="00EB77B4"/>
    <w:rsid w:val="00EC38A7"/>
    <w:rsid w:val="00ED045C"/>
    <w:rsid w:val="00ED508A"/>
    <w:rsid w:val="00ED6F1B"/>
    <w:rsid w:val="00EE1AA8"/>
    <w:rsid w:val="00EE3256"/>
    <w:rsid w:val="00EE55AA"/>
    <w:rsid w:val="00EE76DC"/>
    <w:rsid w:val="00EF4D8B"/>
    <w:rsid w:val="00F11A7B"/>
    <w:rsid w:val="00F12438"/>
    <w:rsid w:val="00F169C2"/>
    <w:rsid w:val="00F23FEA"/>
    <w:rsid w:val="00F31EDC"/>
    <w:rsid w:val="00F32F79"/>
    <w:rsid w:val="00F402B8"/>
    <w:rsid w:val="00F44A9D"/>
    <w:rsid w:val="00F462B3"/>
    <w:rsid w:val="00F5664F"/>
    <w:rsid w:val="00F60947"/>
    <w:rsid w:val="00F666C4"/>
    <w:rsid w:val="00F675A9"/>
    <w:rsid w:val="00F71E9A"/>
    <w:rsid w:val="00F72621"/>
    <w:rsid w:val="00F76AFC"/>
    <w:rsid w:val="00F8008C"/>
    <w:rsid w:val="00F91090"/>
    <w:rsid w:val="00FA47C0"/>
    <w:rsid w:val="00FA5561"/>
    <w:rsid w:val="00FB11AB"/>
    <w:rsid w:val="00FB3CCE"/>
    <w:rsid w:val="00FB512B"/>
    <w:rsid w:val="00FB5DD1"/>
    <w:rsid w:val="00FC19A4"/>
    <w:rsid w:val="00FC2B5D"/>
    <w:rsid w:val="00FC7705"/>
    <w:rsid w:val="00FD0CB7"/>
    <w:rsid w:val="00FE3203"/>
    <w:rsid w:val="00FE6886"/>
    <w:rsid w:val="00FF1449"/>
    <w:rsid w:val="00FF49A5"/>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19AE83B"/>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E0E0D3C0-D766-422E-AC5E-609D6CF8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4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rsid w:val="003D5C1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3D5C16"/>
    <w:rPr>
      <w:rFonts w:ascii="Geomanist Light" w:hAnsi="Geomanist Light"/>
      <w:lang w:val="es-ES"/>
    </w:rPr>
  </w:style>
  <w:style w:type="character" w:customStyle="1" w:styleId="s15">
    <w:name w:val="s15"/>
    <w:basedOn w:val="Fuentedeprrafopredeter"/>
    <w:rsid w:val="003D5C16"/>
  </w:style>
  <w:style w:type="paragraph" w:customStyle="1" w:styleId="s16">
    <w:name w:val="s16"/>
    <w:basedOn w:val="Normal"/>
    <w:rsid w:val="003D5C1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17">
    <w:name w:val="s17"/>
    <w:basedOn w:val="Normal"/>
    <w:rsid w:val="003D5C1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18">
    <w:name w:val="s18"/>
    <w:basedOn w:val="Fuentedeprrafopredeter"/>
    <w:rsid w:val="003D5C16"/>
  </w:style>
  <w:style w:type="table" w:customStyle="1" w:styleId="Tablaconcuadrcula111">
    <w:name w:val="Tabla con cuadrícula111"/>
    <w:basedOn w:val="Tablanormal"/>
    <w:next w:val="Tablaconcuadrcula"/>
    <w:uiPriority w:val="39"/>
    <w:qFormat/>
    <w:rsid w:val="006F3FAA"/>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idiego1981@yahoo.com" TargetMode="External"/><Relationship Id="rId17"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archive.is/mtN2O" TargetMode="External"/><Relationship Id="rId2" Type="http://schemas.openxmlformats.org/officeDocument/2006/relationships/hyperlink" Target="https://doi.org/10.13140/2.1.1541.4723" TargetMode="External"/><Relationship Id="rId1" Type="http://schemas.openxmlformats.org/officeDocument/2006/relationships/hyperlink" Target="https://web.archive.org/web/20021014234501/http://www.sla-zone.co.uk/index.htm" TargetMode="External"/><Relationship Id="rId5" Type="http://schemas.openxmlformats.org/officeDocument/2006/relationships/hyperlink" Target="https://www.colombiacompra.gov.co/wp-content/uploads/2026/08/Guia-Proceso-Sancionatorio-OrigFirmado.pdf" TargetMode="External"/><Relationship Id="rId4" Type="http://schemas.openxmlformats.org/officeDocument/2006/relationships/hyperlink" Target="https://doi.org/10.18800/derechopucp.201802.00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B0CA3-9C8E-4F6C-8EE2-970BCC0945C2}">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AF210C03-21C4-4A20-AABA-D97B2B825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26</Pages>
  <Words>8822</Words>
  <Characters>48523</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57231</CharactersWithSpaces>
  <SharedDoc>false</SharedDoc>
  <HLinks>
    <vt:vector size="54" baseType="variant">
      <vt:variant>
        <vt:i4>4456513</vt:i4>
      </vt:variant>
      <vt:variant>
        <vt:i4>21</vt:i4>
      </vt:variant>
      <vt:variant>
        <vt:i4>0</vt:i4>
      </vt:variant>
      <vt:variant>
        <vt:i4>5</vt:i4>
      </vt:variant>
      <vt:variant>
        <vt:lpwstr>https://forms.office.com/r/pPHyWVs2SZ</vt:lpwstr>
      </vt:variant>
      <vt:variant>
        <vt:lpwstr/>
      </vt:variant>
      <vt:variant>
        <vt:i4>3407926</vt:i4>
      </vt:variant>
      <vt:variant>
        <vt:i4>18</vt:i4>
      </vt:variant>
      <vt:variant>
        <vt:i4>0</vt:i4>
      </vt:variant>
      <vt:variant>
        <vt:i4>5</vt:i4>
      </vt:variant>
      <vt:variant>
        <vt:lpwstr>https://www.colombiacompra.gov.co/pqrsd/informacion-importante-antes-de-formular-una-pqrsd</vt:lpwstr>
      </vt:variant>
      <vt:variant>
        <vt:lpwstr/>
      </vt:variant>
      <vt:variant>
        <vt:i4>4980779</vt:i4>
      </vt:variant>
      <vt:variant>
        <vt:i4>15</vt:i4>
      </vt:variant>
      <vt:variant>
        <vt:i4>0</vt:i4>
      </vt:variant>
      <vt:variant>
        <vt:i4>5</vt:i4>
      </vt:variant>
      <vt:variant>
        <vt:lpwstr>mailto:ventanilladeradicacion@colombiacompra.gov.co</vt:lpwstr>
      </vt:variant>
      <vt:variant>
        <vt:lpwstr/>
      </vt: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1048639</vt:i4>
      </vt:variant>
      <vt:variant>
        <vt:i4>0</vt:i4>
      </vt:variant>
      <vt:variant>
        <vt:i4>0</vt:i4>
      </vt:variant>
      <vt:variant>
        <vt:i4>5</vt:i4>
      </vt:variant>
      <vt:variant>
        <vt:lpwstr>mailto:funpremavida@outlook.com</vt:lpwstr>
      </vt:variant>
      <vt:variant>
        <vt:lpwstr/>
      </vt:variant>
      <vt:variant>
        <vt:i4>3735572</vt:i4>
      </vt:variant>
      <vt:variant>
        <vt:i4>0</vt:i4>
      </vt:variant>
      <vt:variant>
        <vt:i4>0</vt:i4>
      </vt:variant>
      <vt:variant>
        <vt:i4>5</vt:i4>
      </vt:variant>
      <vt:variant>
        <vt:lpwstr>http://www.secretariasenado.gov.co/senado/basedoc/ley_0080_1993.html</vt:lpwstr>
      </vt:variant>
      <vt:variant>
        <vt:lpwst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2026-09-15T22:54:00Z</dcterms:created>
  <dcterms:modified xsi:type="dcterms:W3CDTF">2026-09-16T00:49:00Z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