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6B40B" w14:textId="77777777" w:rsidR="0035398C" w:rsidRPr="000474CD" w:rsidRDefault="0035398C" w:rsidP="0035398C">
      <w:pPr>
        <w:spacing w:after="0" w:line="276" w:lineRule="auto"/>
        <w:jc w:val="both"/>
        <w:rPr>
          <w:rFonts w:ascii="Verdana" w:eastAsia="Calibri" w:hAnsi="Verdana" w:cs="Arial"/>
          <w:b/>
          <w:bCs/>
          <w:lang w:val="es-ES_tradnl"/>
        </w:rPr>
      </w:pPr>
      <w:r w:rsidRPr="000474CD">
        <w:rPr>
          <w:rFonts w:ascii="Verdana" w:eastAsia="Calibri" w:hAnsi="Verdana" w:cs="Arial"/>
          <w:b/>
          <w:bCs/>
          <w:lang w:val="es-ES_tradnl"/>
        </w:rPr>
        <w:t xml:space="preserve">DOCUMENTOS TIPO – Fundamento normativo – Obligatoriedad </w:t>
      </w:r>
    </w:p>
    <w:p w14:paraId="5BF5E7A8" w14:textId="77777777" w:rsidR="0035398C" w:rsidRPr="000474CD" w:rsidRDefault="0035398C" w:rsidP="0035398C">
      <w:pPr>
        <w:spacing w:after="0" w:line="276" w:lineRule="auto"/>
        <w:jc w:val="both"/>
        <w:rPr>
          <w:rFonts w:ascii="Verdana" w:eastAsia="Calibri" w:hAnsi="Verdana" w:cs="Arial"/>
          <w:b/>
          <w:bCs/>
          <w:sz w:val="20"/>
          <w:szCs w:val="20"/>
          <w:lang w:val="es-ES_tradnl"/>
        </w:rPr>
      </w:pPr>
    </w:p>
    <w:p w14:paraId="03C4F3D3" w14:textId="77777777" w:rsidR="0035398C" w:rsidRPr="000474CD" w:rsidRDefault="0035398C" w:rsidP="0035398C">
      <w:pPr>
        <w:tabs>
          <w:tab w:val="left" w:pos="709"/>
        </w:tabs>
        <w:spacing w:after="0" w:line="240" w:lineRule="auto"/>
        <w:jc w:val="both"/>
        <w:rPr>
          <w:rFonts w:ascii="Verdana" w:eastAsia="Calibri" w:hAnsi="Verdana" w:cs="Arial"/>
          <w:sz w:val="20"/>
          <w:szCs w:val="20"/>
          <w:lang w:val="es-ES"/>
        </w:rPr>
      </w:pPr>
      <w:r w:rsidRPr="000474CD">
        <w:rPr>
          <w:rFonts w:ascii="Verdana" w:eastAsia="Calibri" w:hAnsi="Verdana" w:cs="Arial"/>
          <w:sz w:val="20"/>
          <w:szCs w:val="20"/>
          <w:lang w:val="es-ES"/>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35CA8652" w14:textId="77777777" w:rsidR="0035398C" w:rsidRPr="000474CD" w:rsidRDefault="0035398C" w:rsidP="0035398C">
      <w:pPr>
        <w:spacing w:after="0" w:line="276" w:lineRule="auto"/>
        <w:jc w:val="both"/>
        <w:rPr>
          <w:rFonts w:ascii="Verdana" w:eastAsia="Calibri" w:hAnsi="Verdana" w:cs="Arial"/>
          <w:b/>
          <w:bCs/>
          <w:lang w:val="es-ES_tradnl"/>
        </w:rPr>
      </w:pPr>
    </w:p>
    <w:p w14:paraId="358FD91F" w14:textId="77777777" w:rsidR="0035398C" w:rsidRPr="000474CD" w:rsidRDefault="0035398C" w:rsidP="0035398C">
      <w:pPr>
        <w:spacing w:after="0" w:line="276" w:lineRule="auto"/>
        <w:jc w:val="both"/>
        <w:rPr>
          <w:rFonts w:ascii="Verdana" w:eastAsia="Calibri" w:hAnsi="Verdana" w:cs="Arial"/>
          <w:b/>
          <w:bCs/>
          <w:kern w:val="2"/>
          <w:lang w:val="es-ES_tradnl"/>
          <w14:ligatures w14:val="standardContextual"/>
        </w:rPr>
      </w:pPr>
      <w:r w:rsidRPr="000474CD">
        <w:rPr>
          <w:rFonts w:ascii="Verdana" w:eastAsia="Calibri" w:hAnsi="Verdana" w:cs="Arial"/>
          <w:b/>
          <w:bCs/>
          <w:lang w:val="es-ES_tradnl"/>
        </w:rPr>
        <w:t>DOCUMENTOS TIPO – Sectores – Vigentes</w:t>
      </w:r>
    </w:p>
    <w:p w14:paraId="6A89523A" w14:textId="77777777" w:rsidR="0035398C" w:rsidRPr="000474CD" w:rsidRDefault="0035398C" w:rsidP="0035398C">
      <w:pPr>
        <w:spacing w:after="0" w:line="276" w:lineRule="auto"/>
        <w:jc w:val="both"/>
        <w:rPr>
          <w:rFonts w:ascii="Verdana" w:eastAsia="Calibri" w:hAnsi="Verdana" w:cs="Arial"/>
          <w:b/>
          <w:bCs/>
          <w:color w:val="000000"/>
          <w:lang w:eastAsia="es-ES_tradnl"/>
        </w:rPr>
      </w:pPr>
    </w:p>
    <w:p w14:paraId="31245E5A" w14:textId="77777777" w:rsidR="0035398C" w:rsidRPr="000474CD" w:rsidRDefault="0035398C" w:rsidP="0035398C">
      <w:pPr>
        <w:tabs>
          <w:tab w:val="left" w:pos="709"/>
        </w:tabs>
        <w:spacing w:after="0" w:line="240" w:lineRule="auto"/>
        <w:jc w:val="both"/>
        <w:rPr>
          <w:rFonts w:ascii="Verdana" w:eastAsia="Calibri" w:hAnsi="Verdana" w:cs="Arial"/>
          <w:sz w:val="20"/>
          <w:szCs w:val="20"/>
          <w:lang w:val="es-ES"/>
        </w:rPr>
      </w:pPr>
      <w:r w:rsidRPr="000474CD">
        <w:rPr>
          <w:rFonts w:ascii="Verdana" w:eastAsia="Calibri" w:hAnsi="Verdana" w:cs="Arial"/>
          <w:sz w:val="20"/>
          <w:szCs w:val="20"/>
          <w:lang w:val="es-ES"/>
        </w:rPr>
        <w:t>(…) esta Agencia expidió diversos grupos de Documentos Tipo aplicables principalmente a la contratación de obras públicas de infraestructura de transporte,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5B447005" w14:textId="77777777" w:rsidR="0035398C" w:rsidRPr="000474CD" w:rsidRDefault="0035398C" w:rsidP="0035398C">
      <w:pPr>
        <w:tabs>
          <w:tab w:val="left" w:pos="709"/>
        </w:tabs>
        <w:spacing w:after="0" w:line="240" w:lineRule="auto"/>
        <w:jc w:val="both"/>
        <w:rPr>
          <w:rFonts w:ascii="Verdana" w:eastAsia="Calibri" w:hAnsi="Verdana" w:cs="Arial"/>
          <w:sz w:val="20"/>
          <w:szCs w:val="20"/>
          <w:lang w:val="es-ES"/>
        </w:rPr>
      </w:pPr>
    </w:p>
    <w:p w14:paraId="6B8A5B09" w14:textId="77777777" w:rsidR="0035398C" w:rsidRPr="000474CD" w:rsidRDefault="0035398C" w:rsidP="0035398C">
      <w:pPr>
        <w:spacing w:after="0" w:line="276" w:lineRule="auto"/>
        <w:jc w:val="both"/>
        <w:rPr>
          <w:rFonts w:ascii="Verdana" w:eastAsia="Calibri" w:hAnsi="Verdana" w:cs="Times New Roman"/>
          <w:sz w:val="20"/>
          <w:szCs w:val="20"/>
          <w:lang w:val="es-ES"/>
        </w:rPr>
      </w:pPr>
      <w:r w:rsidRPr="000474CD">
        <w:rPr>
          <w:rFonts w:ascii="Verdana" w:eastAsia="Calibri" w:hAnsi="Verdana" w:cs="Times New Roman"/>
          <w:b/>
          <w:bCs/>
          <w:lang w:val="es-ES"/>
        </w:rPr>
        <w:t xml:space="preserve">DOCUMENTOS TIPO – Aplicación – Matriz de Experiencia </w:t>
      </w:r>
    </w:p>
    <w:p w14:paraId="35D365B3" w14:textId="77777777" w:rsidR="0035398C" w:rsidRPr="000474CD" w:rsidRDefault="0035398C" w:rsidP="0035398C">
      <w:pPr>
        <w:spacing w:after="0" w:line="240" w:lineRule="auto"/>
        <w:rPr>
          <w:rFonts w:ascii="Verdana" w:eastAsia="Geomanist Light" w:hAnsi="Verdana" w:cs="Arial"/>
          <w:lang w:val="es-MX"/>
        </w:rPr>
      </w:pPr>
    </w:p>
    <w:p w14:paraId="09F1606B" w14:textId="77777777" w:rsidR="0035398C" w:rsidRPr="000474CD" w:rsidRDefault="0035398C" w:rsidP="0035398C">
      <w:pPr>
        <w:widowControl w:val="0"/>
        <w:autoSpaceDE w:val="0"/>
        <w:autoSpaceDN w:val="0"/>
        <w:spacing w:after="0" w:line="240" w:lineRule="auto"/>
        <w:jc w:val="both"/>
        <w:rPr>
          <w:rFonts w:ascii="Verdana" w:eastAsia="Calibri" w:hAnsi="Verdana" w:cs="Times New Roman"/>
          <w:sz w:val="20"/>
          <w:szCs w:val="20"/>
          <w:lang w:val="es-ES"/>
        </w:rPr>
      </w:pPr>
      <w:r w:rsidRPr="000474CD">
        <w:rPr>
          <w:rFonts w:ascii="Verdana" w:eastAsia="Calibri" w:hAnsi="Verdana" w:cs="Times New Roman"/>
          <w:sz w:val="20"/>
          <w:szCs w:val="20"/>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0C0C9AED" w14:textId="77777777" w:rsidR="0035398C" w:rsidRPr="000474CD" w:rsidRDefault="0035398C" w:rsidP="0035398C">
      <w:pPr>
        <w:widowControl w:val="0"/>
        <w:autoSpaceDE w:val="0"/>
        <w:autoSpaceDN w:val="0"/>
        <w:spacing w:after="0" w:line="240" w:lineRule="auto"/>
        <w:jc w:val="both"/>
        <w:rPr>
          <w:rFonts w:ascii="Verdana" w:eastAsia="Calibri" w:hAnsi="Verdana" w:cs="Times New Roman"/>
          <w:sz w:val="20"/>
          <w:szCs w:val="20"/>
          <w:lang w:val="es-ES"/>
        </w:rPr>
      </w:pPr>
    </w:p>
    <w:p w14:paraId="5AA03676" w14:textId="77777777" w:rsidR="0035398C" w:rsidRPr="000474CD" w:rsidRDefault="0035398C" w:rsidP="0035398C">
      <w:pPr>
        <w:widowControl w:val="0"/>
        <w:autoSpaceDE w:val="0"/>
        <w:autoSpaceDN w:val="0"/>
        <w:spacing w:after="0" w:line="240" w:lineRule="auto"/>
        <w:jc w:val="both"/>
        <w:rPr>
          <w:rFonts w:ascii="Verdana" w:eastAsia="Calibri" w:hAnsi="Verdana" w:cs="Times New Roman"/>
          <w:sz w:val="20"/>
          <w:szCs w:val="20"/>
          <w:lang w:val="es-ES"/>
        </w:rPr>
      </w:pPr>
      <w:r w:rsidRPr="000474CD">
        <w:rPr>
          <w:rFonts w:ascii="Verdana" w:eastAsia="Calibri" w:hAnsi="Verdana" w:cs="Times New Roman"/>
          <w:sz w:val="20"/>
          <w:szCs w:val="20"/>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4F5627D4" w14:textId="77777777" w:rsidR="0035398C" w:rsidRPr="000474CD" w:rsidRDefault="0035398C" w:rsidP="0035398C">
      <w:pPr>
        <w:widowControl w:val="0"/>
        <w:autoSpaceDE w:val="0"/>
        <w:autoSpaceDN w:val="0"/>
        <w:spacing w:after="0" w:line="240" w:lineRule="auto"/>
        <w:jc w:val="both"/>
        <w:rPr>
          <w:rFonts w:ascii="Verdana" w:eastAsia="Calibri" w:hAnsi="Verdana" w:cs="Times New Roman"/>
          <w:b/>
          <w:bCs/>
          <w:lang w:val="es-ES"/>
        </w:rPr>
      </w:pPr>
    </w:p>
    <w:p w14:paraId="3742DD7D" w14:textId="77777777" w:rsidR="0035398C" w:rsidRPr="000474CD" w:rsidRDefault="0035398C" w:rsidP="0035398C">
      <w:pPr>
        <w:widowControl w:val="0"/>
        <w:autoSpaceDE w:val="0"/>
        <w:autoSpaceDN w:val="0"/>
        <w:spacing w:after="0" w:line="240" w:lineRule="auto"/>
        <w:jc w:val="both"/>
        <w:rPr>
          <w:rFonts w:ascii="Verdana" w:eastAsia="Calibri" w:hAnsi="Verdana" w:cs="Times New Roman"/>
          <w:b/>
          <w:bCs/>
          <w:lang w:val="es-ES"/>
        </w:rPr>
      </w:pPr>
      <w:r w:rsidRPr="000474CD">
        <w:rPr>
          <w:rFonts w:ascii="Verdana" w:eastAsia="Calibri" w:hAnsi="Verdana" w:cs="Times New Roman"/>
          <w:b/>
          <w:bCs/>
          <w:lang w:val="es-ES"/>
        </w:rPr>
        <w:t>DOCUMENTOS TIPO – Sector – Comercio, Industria y turismo – Aplicación</w:t>
      </w:r>
    </w:p>
    <w:p w14:paraId="1B37C65A" w14:textId="77777777" w:rsidR="0035398C" w:rsidRPr="000474CD" w:rsidRDefault="0035398C" w:rsidP="0035398C">
      <w:pPr>
        <w:widowControl w:val="0"/>
        <w:autoSpaceDE w:val="0"/>
        <w:autoSpaceDN w:val="0"/>
        <w:spacing w:after="0" w:line="240" w:lineRule="auto"/>
        <w:jc w:val="both"/>
        <w:rPr>
          <w:rFonts w:ascii="Verdana" w:eastAsia="Calibri" w:hAnsi="Verdana" w:cs="Times New Roman"/>
          <w:b/>
          <w:bCs/>
          <w:sz w:val="20"/>
          <w:szCs w:val="20"/>
          <w:highlight w:val="yellow"/>
          <w:lang w:val="es-ES"/>
        </w:rPr>
      </w:pPr>
    </w:p>
    <w:p w14:paraId="45C1182D" w14:textId="77777777" w:rsidR="0035398C" w:rsidRPr="000474CD" w:rsidRDefault="0035398C" w:rsidP="0035398C">
      <w:pPr>
        <w:snapToGrid w:val="0"/>
        <w:spacing w:after="0" w:line="240" w:lineRule="auto"/>
        <w:jc w:val="both"/>
        <w:rPr>
          <w:rFonts w:ascii="Verdana" w:eastAsia="Times New Roman" w:hAnsi="Verdana" w:cs="Times New Roman"/>
          <w:sz w:val="20"/>
          <w:szCs w:val="20"/>
          <w:lang w:eastAsia="es-MX"/>
        </w:rPr>
      </w:pPr>
      <w:r w:rsidRPr="000474CD">
        <w:rPr>
          <w:rFonts w:ascii="Verdana" w:eastAsia="Times New Roman" w:hAnsi="Verdana" w:cs="Times New Roman"/>
          <w:sz w:val="20"/>
          <w:szCs w:val="20"/>
          <w:lang w:eastAsia="es-MX"/>
        </w:rPr>
        <w:lastRenderedPageBreak/>
        <w:t>De esta forma, la circunstancia de que no exista un grupo de documentos tipo expedido bajo dicha denominación “Comercio, Industria y Turismo” no conduce, por sí sola, a concluir que las actividades que en ese sector se contraten se encuentren excluidas de su aplicación, pues tal conclusión desconocería el criterio que esta Entidad ha sostenido de manera reiterada –punto (</w:t>
      </w:r>
      <w:proofErr w:type="spellStart"/>
      <w:r w:rsidRPr="000474CD">
        <w:rPr>
          <w:rFonts w:ascii="Verdana" w:eastAsia="Times New Roman" w:hAnsi="Verdana" w:cs="Times New Roman"/>
          <w:sz w:val="20"/>
          <w:szCs w:val="20"/>
          <w:lang w:eastAsia="es-MX"/>
        </w:rPr>
        <w:t>ii</w:t>
      </w:r>
      <w:proofErr w:type="spellEnd"/>
      <w:r w:rsidRPr="000474CD">
        <w:rPr>
          <w:rFonts w:ascii="Verdana" w:eastAsia="Times New Roman" w:hAnsi="Verdana" w:cs="Times New Roman"/>
          <w:sz w:val="20"/>
          <w:szCs w:val="20"/>
          <w:lang w:eastAsia="es-MX"/>
        </w:rPr>
        <w:t>) de este concepto–, según el cual la obligatoriedad de cada instrumento se determina en función de la actividad contractual descrita en la Matriz – Experiencia y desarrollada en el Anexo – Glosario correspondiente, y no en función del nombre o adscripción sectorial de la entidad contratante o del ministerio cabeza de sector.</w:t>
      </w:r>
    </w:p>
    <w:p w14:paraId="1BC95A01" w14:textId="77777777" w:rsidR="0035398C" w:rsidRPr="000474CD" w:rsidRDefault="0035398C" w:rsidP="0035398C">
      <w:pPr>
        <w:snapToGrid w:val="0"/>
        <w:spacing w:after="0" w:line="240" w:lineRule="auto"/>
        <w:jc w:val="both"/>
        <w:rPr>
          <w:rFonts w:ascii="Verdana" w:eastAsia="Times New Roman" w:hAnsi="Verdana" w:cs="Times New Roman"/>
          <w:sz w:val="20"/>
          <w:szCs w:val="20"/>
          <w:lang w:eastAsia="es-MX"/>
        </w:rPr>
      </w:pPr>
    </w:p>
    <w:p w14:paraId="168EA22C" w14:textId="77777777" w:rsidR="0035398C" w:rsidRPr="000474CD" w:rsidRDefault="0035398C" w:rsidP="0035398C">
      <w:pPr>
        <w:snapToGrid w:val="0"/>
        <w:spacing w:after="0" w:line="240" w:lineRule="auto"/>
        <w:jc w:val="both"/>
        <w:rPr>
          <w:rFonts w:ascii="Verdana" w:eastAsia="Times New Roman" w:hAnsi="Verdana" w:cs="Times New Roman"/>
          <w:sz w:val="20"/>
          <w:szCs w:val="20"/>
          <w:lang w:eastAsia="es-MX"/>
        </w:rPr>
      </w:pPr>
      <w:r w:rsidRPr="000474CD">
        <w:rPr>
          <w:rFonts w:ascii="Verdana" w:eastAsia="Times New Roman" w:hAnsi="Verdana" w:cs="Times New Roman"/>
          <w:sz w:val="20"/>
          <w:szCs w:val="20"/>
          <w:lang w:eastAsia="es-MX"/>
        </w:rPr>
        <w:t>Así las cosas, resulta pertinente destacar que lo relevante no es que exista, en sentido nominal, un documento tipo para el sector “Comercio, Industria y Turismo”, sino que la actividad que se pretenda contratar se encuentre comprendida dentro de alguna de las Matrices – Experiencia vigentes. Es este segundo elemento el que debe orientar el análisis de toda entidad estatal, con independencia de su origen sectorial, de manera que le corresponde adelantar un ejercicio de subsunción técnica consistente en identificar el objeto contractual y confrontarlo con las matrices de los distintos grupos de documentos tipo vigentes, para concluir, a partir de ello, sobre la obligatoriedad o no del respectivo instrumento. En este sentido, dicha obligatoriedad no admite matices ni graduaciones: si la actividad se encuentra comprendida en la matriz correspondiente, el documento tipo resulta obligatorio, sin que la entidad pueda sustraerse de su empleo invocando su pertenencia a un sector distinto de aquel bajo cuya denominación fue expedido.</w:t>
      </w:r>
    </w:p>
    <w:p w14:paraId="78F0223C" w14:textId="77777777" w:rsidR="0035398C" w:rsidRPr="000474CD" w:rsidRDefault="0035398C" w:rsidP="0035398C">
      <w:pPr>
        <w:snapToGrid w:val="0"/>
        <w:spacing w:after="0" w:line="240" w:lineRule="auto"/>
        <w:jc w:val="both"/>
        <w:rPr>
          <w:rFonts w:ascii="Verdana" w:eastAsia="Times New Roman" w:hAnsi="Verdana" w:cs="Times New Roman"/>
          <w:sz w:val="20"/>
          <w:szCs w:val="20"/>
          <w:lang w:eastAsia="es-MX"/>
        </w:rPr>
      </w:pPr>
    </w:p>
    <w:p w14:paraId="2F5E571A" w14:textId="77777777" w:rsidR="0035398C" w:rsidRPr="000474CD" w:rsidRDefault="0035398C" w:rsidP="0035398C">
      <w:pPr>
        <w:snapToGrid w:val="0"/>
        <w:spacing w:after="0" w:line="240" w:lineRule="auto"/>
        <w:jc w:val="both"/>
        <w:rPr>
          <w:rFonts w:ascii="Verdana" w:eastAsia="Times New Roman" w:hAnsi="Verdana" w:cs="Times New Roman"/>
          <w:sz w:val="20"/>
          <w:szCs w:val="20"/>
          <w:lang w:eastAsia="es-MX"/>
        </w:rPr>
      </w:pPr>
      <w:r w:rsidRPr="000474CD">
        <w:rPr>
          <w:rFonts w:ascii="Verdana" w:eastAsia="Times New Roman" w:hAnsi="Verdana" w:cs="Times New Roman"/>
          <w:sz w:val="20"/>
          <w:szCs w:val="20"/>
          <w:lang w:eastAsia="es-MX"/>
        </w:rPr>
        <w:t>Esta metodología reviste especial trascendencia práctica para las entidades del sector “Comercio, Industria y Turismo”, comoquiera que buena parte de su infraestructura física –centros de convenciones, plazas de mercado, terminales de transporte turístico, edificaciones institucionales de apoyo a la actividad comercial o industrial, equipamientos feriales, entre otros– suele coincidir, en su naturaleza técnica, con tipologías de obra ya estandarizadas por esta Agencia bajo categorías distintas a la nominal “Comercio, Industria y Turismo”.</w:t>
      </w:r>
    </w:p>
    <w:p w14:paraId="51404B4C" w14:textId="77777777" w:rsidR="0035398C" w:rsidRPr="00A375AC" w:rsidRDefault="0035398C" w:rsidP="0035398C">
      <w:pPr>
        <w:spacing w:after="0"/>
        <w:jc w:val="both"/>
        <w:rPr>
          <w:rFonts w:ascii="Verdana" w:hAnsi="Verdana"/>
          <w:color w:val="6699FF"/>
        </w:rPr>
      </w:pPr>
    </w:p>
    <w:p w14:paraId="2A958E0F" w14:textId="77777777" w:rsidR="0035398C" w:rsidRPr="00C14F81" w:rsidRDefault="0035398C" w:rsidP="0035398C">
      <w:pPr>
        <w:spacing w:after="0"/>
        <w:jc w:val="both"/>
        <w:rPr>
          <w:rFonts w:ascii="Verdana" w:hAnsi="Verdana"/>
          <w:color w:val="6699FF"/>
          <w:lang w:val="es-ES"/>
        </w:rPr>
      </w:pPr>
    </w:p>
    <w:p w14:paraId="46779B0F" w14:textId="77777777" w:rsidR="0035398C" w:rsidRPr="00C14F81" w:rsidRDefault="0035398C" w:rsidP="0035398C">
      <w:pPr>
        <w:spacing w:after="0"/>
        <w:jc w:val="both"/>
        <w:rPr>
          <w:rFonts w:ascii="Verdana" w:hAnsi="Verdana"/>
          <w:color w:val="6699FF"/>
          <w:lang w:val="es-ES"/>
        </w:rPr>
      </w:pPr>
    </w:p>
    <w:p w14:paraId="75845E78" w14:textId="77777777" w:rsidR="0035398C" w:rsidRPr="00C14F81" w:rsidRDefault="0035398C" w:rsidP="0035398C">
      <w:pPr>
        <w:spacing w:after="0"/>
        <w:jc w:val="both"/>
        <w:rPr>
          <w:rFonts w:ascii="Verdana" w:hAnsi="Verdana"/>
          <w:color w:val="6699FF"/>
          <w:lang w:val="es-ES"/>
        </w:rPr>
      </w:pPr>
    </w:p>
    <w:p w14:paraId="7229217E" w14:textId="77777777" w:rsidR="0035398C" w:rsidRPr="00C14F81" w:rsidRDefault="0035398C" w:rsidP="0035398C">
      <w:pPr>
        <w:spacing w:after="0"/>
        <w:jc w:val="both"/>
        <w:rPr>
          <w:rFonts w:ascii="Verdana" w:hAnsi="Verdana"/>
          <w:color w:val="6699FF"/>
          <w:lang w:val="es-ES"/>
        </w:rPr>
      </w:pPr>
    </w:p>
    <w:p w14:paraId="2EF6E160" w14:textId="77777777" w:rsidR="0035398C" w:rsidRPr="00C14F81" w:rsidRDefault="0035398C" w:rsidP="0035398C">
      <w:pPr>
        <w:spacing w:after="0"/>
        <w:jc w:val="both"/>
        <w:rPr>
          <w:rFonts w:ascii="Verdana" w:hAnsi="Verdana"/>
          <w:color w:val="6699FF"/>
          <w:lang w:val="es-ES"/>
        </w:rPr>
      </w:pPr>
    </w:p>
    <w:p w14:paraId="5030EA6E" w14:textId="77777777" w:rsidR="0035398C" w:rsidRPr="00C14F81" w:rsidRDefault="0035398C" w:rsidP="0035398C">
      <w:pPr>
        <w:spacing w:after="0"/>
        <w:jc w:val="both"/>
        <w:rPr>
          <w:rFonts w:ascii="Verdana" w:hAnsi="Verdana"/>
          <w:color w:val="6699FF"/>
          <w:lang w:val="es-ES"/>
        </w:rPr>
      </w:pPr>
    </w:p>
    <w:p w14:paraId="7F9E4D88" w14:textId="77777777" w:rsidR="0035398C" w:rsidRPr="00C14F81" w:rsidRDefault="0035398C" w:rsidP="0035398C">
      <w:pPr>
        <w:spacing w:after="0"/>
        <w:jc w:val="both"/>
        <w:rPr>
          <w:rFonts w:ascii="Verdana" w:hAnsi="Verdana"/>
          <w:color w:val="6699FF"/>
          <w:lang w:val="es-ES"/>
        </w:rPr>
      </w:pPr>
    </w:p>
    <w:p w14:paraId="771156DC" w14:textId="77777777" w:rsidR="0035398C" w:rsidRPr="00C14F81" w:rsidRDefault="0035398C" w:rsidP="0035398C">
      <w:pPr>
        <w:spacing w:after="0"/>
        <w:jc w:val="both"/>
        <w:rPr>
          <w:rFonts w:ascii="Verdana" w:hAnsi="Verdana"/>
          <w:color w:val="6699FF"/>
          <w:lang w:val="es-ES"/>
        </w:rPr>
      </w:pPr>
    </w:p>
    <w:p w14:paraId="6F3E2AE2" w14:textId="77777777" w:rsidR="0035398C" w:rsidRPr="00C14F81" w:rsidRDefault="0035398C" w:rsidP="0035398C">
      <w:pPr>
        <w:spacing w:after="0"/>
        <w:jc w:val="both"/>
        <w:rPr>
          <w:rFonts w:ascii="Verdana" w:hAnsi="Verdana"/>
          <w:color w:val="6699FF"/>
          <w:lang w:val="es-ES"/>
        </w:rPr>
      </w:pPr>
    </w:p>
    <w:p w14:paraId="3F000EC5" w14:textId="77777777" w:rsidR="0035398C" w:rsidRPr="00C14F81" w:rsidRDefault="0035398C" w:rsidP="0035398C">
      <w:pPr>
        <w:spacing w:after="0"/>
        <w:jc w:val="both"/>
        <w:rPr>
          <w:rFonts w:ascii="Verdana" w:hAnsi="Verdana"/>
          <w:color w:val="6699FF"/>
          <w:lang w:val="es-ES"/>
        </w:rPr>
      </w:pPr>
    </w:p>
    <w:p w14:paraId="00438059" w14:textId="77777777" w:rsidR="0035398C" w:rsidRPr="00C14F81" w:rsidRDefault="0035398C" w:rsidP="0035398C">
      <w:pPr>
        <w:spacing w:after="0"/>
        <w:jc w:val="both"/>
        <w:rPr>
          <w:rFonts w:ascii="Verdana" w:hAnsi="Verdana"/>
          <w:color w:val="6699FF"/>
          <w:lang w:val="es-ES"/>
        </w:rPr>
      </w:pPr>
    </w:p>
    <w:p w14:paraId="389F9593" w14:textId="77777777" w:rsidR="0035398C" w:rsidRPr="00C14F81" w:rsidRDefault="0035398C" w:rsidP="0035398C">
      <w:pPr>
        <w:spacing w:after="0"/>
        <w:jc w:val="both"/>
        <w:rPr>
          <w:rFonts w:ascii="Verdana" w:hAnsi="Verdana"/>
          <w:color w:val="6699FF"/>
          <w:lang w:val="es-ES"/>
        </w:rPr>
      </w:pPr>
    </w:p>
    <w:p w14:paraId="5D39E791" w14:textId="5BD4A78E" w:rsidR="0035398C" w:rsidRPr="003034A8" w:rsidRDefault="006437C2" w:rsidP="0035398C">
      <w:pPr>
        <w:spacing w:after="0"/>
        <w:jc w:val="both"/>
        <w:rPr>
          <w:rFonts w:ascii="Verdana" w:hAnsi="Verdana"/>
          <w:lang w:val="es-ES"/>
        </w:rPr>
      </w:pPr>
      <w:r w:rsidRPr="00FB7695">
        <w:rPr>
          <w:rFonts w:ascii="Verdana" w:eastAsia="Calibri" w:hAnsi="Verdana" w:cs="Arial"/>
          <w:lang w:val="es-ES" w:eastAsia="es-ES"/>
        </w:rPr>
        <w:lastRenderedPageBreak/>
        <w:drawing>
          <wp:anchor distT="0" distB="0" distL="114300" distR="114300" simplePos="0" relativeHeight="251658240" behindDoc="0" locked="0" layoutInCell="1" allowOverlap="1" wp14:anchorId="031CFCAD" wp14:editId="396CDA83">
            <wp:simplePos x="0" y="0"/>
            <wp:positionH relativeFrom="margin">
              <wp:posOffset>3299460</wp:posOffset>
            </wp:positionH>
            <wp:positionV relativeFrom="margin">
              <wp:posOffset>-94615</wp:posOffset>
            </wp:positionV>
            <wp:extent cx="2505075" cy="781050"/>
            <wp:effectExtent l="0" t="0" r="9525" b="0"/>
            <wp:wrapSquare wrapText="bothSides"/>
            <wp:docPr id="14425616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61628" name=""/>
                    <pic:cNvPicPr/>
                  </pic:nvPicPr>
                  <pic:blipFill>
                    <a:blip r:embed="rId10">
                      <a:extLst>
                        <a:ext uri="{28A0092B-C50C-407E-A947-70E740481C1C}">
                          <a14:useLocalDpi xmlns:a14="http://schemas.microsoft.com/office/drawing/2010/main" val="0"/>
                        </a:ext>
                      </a:extLst>
                    </a:blip>
                    <a:stretch>
                      <a:fillRect/>
                    </a:stretch>
                  </pic:blipFill>
                  <pic:spPr>
                    <a:xfrm>
                      <a:off x="0" y="0"/>
                      <a:ext cx="2505075" cy="781050"/>
                    </a:xfrm>
                    <a:prstGeom prst="rect">
                      <a:avLst/>
                    </a:prstGeom>
                  </pic:spPr>
                </pic:pic>
              </a:graphicData>
            </a:graphic>
          </wp:anchor>
        </w:drawing>
      </w:r>
    </w:p>
    <w:p w14:paraId="6686BBA5" w14:textId="1579DC9A" w:rsidR="0035398C" w:rsidRPr="003034A8" w:rsidRDefault="0035398C" w:rsidP="0035398C">
      <w:pPr>
        <w:spacing w:after="0"/>
        <w:rPr>
          <w:rFonts w:ascii="Verdana" w:hAnsi="Verdana"/>
        </w:rPr>
      </w:pPr>
      <w:r w:rsidRPr="003034A8">
        <w:rPr>
          <w:rFonts w:ascii="Verdana" w:hAnsi="Verdana"/>
        </w:rPr>
        <w:t xml:space="preserve">Bogotá D.C., </w:t>
      </w:r>
      <w:r w:rsidR="006437C2" w:rsidRPr="006437C2">
        <w:rPr>
          <w:rFonts w:ascii="Verdana" w:hAnsi="Verdana"/>
        </w:rPr>
        <w:t xml:space="preserve">10 </w:t>
      </w:r>
      <w:proofErr w:type="gramStart"/>
      <w:r w:rsidR="006437C2" w:rsidRPr="006437C2">
        <w:rPr>
          <w:rFonts w:ascii="Verdana" w:hAnsi="Verdana"/>
        </w:rPr>
        <w:t>Septiembre</w:t>
      </w:r>
      <w:proofErr w:type="gramEnd"/>
      <w:r w:rsidR="006437C2" w:rsidRPr="006437C2">
        <w:rPr>
          <w:rFonts w:ascii="Verdana" w:hAnsi="Verdana"/>
        </w:rPr>
        <w:t xml:space="preserve"> 2026</w:t>
      </w:r>
    </w:p>
    <w:p w14:paraId="39F874B1" w14:textId="77777777" w:rsidR="006437C2" w:rsidRDefault="006437C2" w:rsidP="00FB7695">
      <w:pPr>
        <w:tabs>
          <w:tab w:val="left" w:pos="4979"/>
        </w:tabs>
        <w:spacing w:after="0" w:line="276" w:lineRule="auto"/>
        <w:rPr>
          <w:rFonts w:ascii="Verdana" w:eastAsia="Calibri" w:hAnsi="Verdana" w:cs="Arial"/>
          <w:lang w:val="es-ES" w:eastAsia="es-ES"/>
        </w:rPr>
      </w:pPr>
    </w:p>
    <w:p w14:paraId="59D999A2" w14:textId="183164E5" w:rsidR="0035398C" w:rsidRPr="003034A8" w:rsidRDefault="0035398C" w:rsidP="00FB7695">
      <w:pPr>
        <w:tabs>
          <w:tab w:val="left" w:pos="4979"/>
        </w:tabs>
        <w:spacing w:after="0" w:line="276" w:lineRule="auto"/>
        <w:rPr>
          <w:rFonts w:ascii="Verdana" w:eastAsia="Calibri" w:hAnsi="Verdana" w:cs="Arial"/>
          <w:lang w:val="es-ES" w:eastAsia="es-ES"/>
        </w:rPr>
      </w:pPr>
      <w:r w:rsidRPr="003034A8">
        <w:rPr>
          <w:rFonts w:ascii="Verdana" w:eastAsia="Calibri" w:hAnsi="Verdana" w:cs="Arial"/>
          <w:lang w:val="es-ES" w:eastAsia="es-ES"/>
        </w:rPr>
        <w:t>Señor (a)</w:t>
      </w:r>
      <w:r w:rsidR="00FB7695">
        <w:rPr>
          <w:rFonts w:ascii="Verdana" w:eastAsia="Calibri" w:hAnsi="Verdana" w:cs="Arial"/>
          <w:lang w:val="es-ES" w:eastAsia="es-ES"/>
        </w:rPr>
        <w:tab/>
      </w:r>
    </w:p>
    <w:p w14:paraId="0BE7BCE3" w14:textId="2E8D1DE5" w:rsidR="0035398C" w:rsidRPr="003034A8" w:rsidRDefault="0035398C" w:rsidP="0035398C">
      <w:pPr>
        <w:spacing w:after="0" w:line="276" w:lineRule="auto"/>
        <w:rPr>
          <w:rFonts w:ascii="Verdana" w:eastAsia="Calibri" w:hAnsi="Verdana" w:cs="Arial"/>
          <w:lang w:val="es-ES" w:eastAsia="es-ES"/>
        </w:rPr>
      </w:pPr>
      <w:r w:rsidRPr="003034A8">
        <w:rPr>
          <w:rFonts w:ascii="Verdana" w:eastAsia="Calibri" w:hAnsi="Verdana" w:cs="Arial"/>
          <w:lang w:val="es-ES" w:eastAsia="es-ES"/>
        </w:rPr>
        <w:t>Anónimo</w:t>
      </w:r>
    </w:p>
    <w:p w14:paraId="54460C8E" w14:textId="77777777" w:rsidR="0035398C" w:rsidRPr="003034A8" w:rsidRDefault="0035398C" w:rsidP="0035398C">
      <w:pPr>
        <w:spacing w:after="0" w:line="276" w:lineRule="auto"/>
        <w:rPr>
          <w:rFonts w:ascii="Verdana" w:hAnsi="Verdana"/>
          <w:color w:val="6699FF"/>
        </w:rPr>
      </w:pPr>
      <w:hyperlink r:id="rId11" w:history="1">
        <w:r w:rsidRPr="003034A8">
          <w:rPr>
            <w:rStyle w:val="Hipervnculo"/>
            <w:rFonts w:ascii="Verdana" w:hAnsi="Verdana"/>
          </w:rPr>
          <w:t>ingrisando05@gmail.com</w:t>
        </w:r>
      </w:hyperlink>
    </w:p>
    <w:p w14:paraId="1E5C975A" w14:textId="77777777" w:rsidR="0035398C" w:rsidRPr="003034A8" w:rsidRDefault="0035398C" w:rsidP="0035398C">
      <w:pPr>
        <w:spacing w:after="0" w:line="276" w:lineRule="auto"/>
        <w:rPr>
          <w:rFonts w:ascii="Verdana" w:hAnsi="Verdana"/>
          <w:color w:val="6699FF"/>
        </w:rPr>
      </w:pPr>
    </w:p>
    <w:tbl>
      <w:tblPr>
        <w:tblStyle w:val="Tablaconcuadrcula1"/>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114"/>
      </w:tblGrid>
      <w:tr w:rsidR="0035398C" w:rsidRPr="003034A8" w14:paraId="21F43CE3" w14:textId="77777777" w:rsidTr="0035398C">
        <w:trPr>
          <w:trHeight w:val="488"/>
        </w:trPr>
        <w:tc>
          <w:tcPr>
            <w:tcW w:w="3119" w:type="dxa"/>
          </w:tcPr>
          <w:p w14:paraId="61272385" w14:textId="77777777" w:rsidR="0035398C" w:rsidRPr="003034A8" w:rsidRDefault="0035398C" w:rsidP="0035398C">
            <w:pPr>
              <w:spacing w:line="276" w:lineRule="auto"/>
              <w:jc w:val="both"/>
              <w:rPr>
                <w:rFonts w:ascii="Verdana" w:eastAsia="Calibri" w:hAnsi="Verdana" w:cs="Arial"/>
                <w:b/>
                <w:bCs/>
                <w:lang w:val="es-ES_tradnl" w:eastAsia="es-ES_tradnl"/>
              </w:rPr>
            </w:pPr>
          </w:p>
        </w:tc>
        <w:tc>
          <w:tcPr>
            <w:tcW w:w="6114" w:type="dxa"/>
            <w:hideMark/>
          </w:tcPr>
          <w:p w14:paraId="358A9EA0" w14:textId="1FA36E8C" w:rsidR="0035398C" w:rsidRPr="003034A8" w:rsidRDefault="0035398C" w:rsidP="0035398C">
            <w:pPr>
              <w:spacing w:line="276" w:lineRule="auto"/>
              <w:jc w:val="both"/>
              <w:rPr>
                <w:rFonts w:ascii="Verdana" w:eastAsia="Calibri" w:hAnsi="Verdana" w:cs="Arial"/>
                <w:b/>
                <w:bCs/>
                <w:lang w:val="es-ES" w:eastAsia="es-ES"/>
              </w:rPr>
            </w:pPr>
            <w:r w:rsidRPr="003034A8">
              <w:rPr>
                <w:rFonts w:ascii="Verdana" w:eastAsia="Calibri" w:hAnsi="Verdana" w:cs="Arial"/>
                <w:b/>
                <w:bCs/>
                <w:lang w:val="es-ES" w:eastAsia="es-ES"/>
              </w:rPr>
              <w:t>Concepto C – 1210 de 2026</w:t>
            </w:r>
          </w:p>
        </w:tc>
      </w:tr>
      <w:tr w:rsidR="0035398C" w:rsidRPr="00C14F81" w14:paraId="28708D56" w14:textId="77777777" w:rsidTr="0035398C">
        <w:trPr>
          <w:trHeight w:val="999"/>
        </w:trPr>
        <w:tc>
          <w:tcPr>
            <w:tcW w:w="3119" w:type="dxa"/>
            <w:hideMark/>
          </w:tcPr>
          <w:p w14:paraId="31D0A55C" w14:textId="77777777" w:rsidR="0035398C" w:rsidRPr="003034A8" w:rsidRDefault="0035398C" w:rsidP="0035398C">
            <w:pPr>
              <w:spacing w:line="276" w:lineRule="auto"/>
              <w:jc w:val="both"/>
              <w:rPr>
                <w:rFonts w:ascii="Verdana" w:eastAsia="Calibri" w:hAnsi="Verdana" w:cs="Arial"/>
                <w:lang w:val="es-ES_tradnl" w:eastAsia="es-ES_tradnl"/>
              </w:rPr>
            </w:pPr>
            <w:r w:rsidRPr="003034A8">
              <w:rPr>
                <w:rFonts w:ascii="Verdana" w:eastAsia="Calibri" w:hAnsi="Verdana" w:cs="Arial"/>
                <w:b/>
                <w:lang w:val="es-ES_tradnl" w:eastAsia="es-ES_tradnl"/>
              </w:rPr>
              <w:t>Temas:</w:t>
            </w:r>
            <w:r w:rsidRPr="003034A8">
              <w:rPr>
                <w:rFonts w:ascii="Verdana" w:eastAsia="Calibri" w:hAnsi="Verdana" w:cs="Arial"/>
                <w:lang w:val="es-ES_tradnl" w:eastAsia="es-ES_tradnl"/>
              </w:rPr>
              <w:t xml:space="preserve">                   </w:t>
            </w:r>
          </w:p>
        </w:tc>
        <w:tc>
          <w:tcPr>
            <w:tcW w:w="6114" w:type="dxa"/>
          </w:tcPr>
          <w:p w14:paraId="2C648C8B" w14:textId="67F0BA15" w:rsidR="0035398C" w:rsidRPr="008B1F7E" w:rsidRDefault="000214D9" w:rsidP="0035398C">
            <w:pPr>
              <w:widowControl w:val="0"/>
              <w:autoSpaceDE w:val="0"/>
              <w:autoSpaceDN w:val="0"/>
              <w:jc w:val="both"/>
              <w:rPr>
                <w:rFonts w:ascii="Verdana" w:eastAsia="Calibri" w:hAnsi="Verdana" w:cs="Times New Roman"/>
                <w:bCs/>
                <w:lang w:val="es-ES"/>
              </w:rPr>
            </w:pPr>
            <w:r w:rsidRPr="000474CD">
              <w:rPr>
                <w:rFonts w:ascii="Verdana" w:eastAsia="Calibri" w:hAnsi="Verdana" w:cs="Arial"/>
                <w:bCs/>
                <w:lang w:val="es-ES_tradnl"/>
              </w:rPr>
              <w:t xml:space="preserve">DOCUMENTOS TIPO – Fundamento normativo – Obligatoriedad / DOCUMENTOS TIPO – Sectores – Vigentes / </w:t>
            </w:r>
            <w:r w:rsidRPr="000474CD">
              <w:rPr>
                <w:rFonts w:ascii="Verdana" w:eastAsia="Calibri" w:hAnsi="Verdana" w:cs="Times New Roman"/>
                <w:bCs/>
                <w:lang w:val="es-ES"/>
              </w:rPr>
              <w:t xml:space="preserve">DOCUMENTOS TIPO – Aplicación – Matriz de Experiencia </w:t>
            </w:r>
            <w:r w:rsidRPr="000474CD">
              <w:rPr>
                <w:rFonts w:ascii="Verdana" w:eastAsia="Calibri" w:hAnsi="Verdana" w:cs="Times New Roman"/>
                <w:bCs/>
                <w:sz w:val="20"/>
                <w:szCs w:val="20"/>
                <w:lang w:val="es-ES"/>
              </w:rPr>
              <w:t xml:space="preserve">/ </w:t>
            </w:r>
            <w:r w:rsidRPr="000474CD">
              <w:rPr>
                <w:rFonts w:ascii="Verdana" w:eastAsia="Calibri" w:hAnsi="Verdana" w:cs="Times New Roman"/>
                <w:bCs/>
                <w:lang w:val="es-ES"/>
              </w:rPr>
              <w:t>DOCUMENTOS TIPO – Sector – Comercio, Industria y turismo – Aplicación</w:t>
            </w:r>
          </w:p>
        </w:tc>
      </w:tr>
      <w:tr w:rsidR="0035398C" w:rsidRPr="00C14F81" w14:paraId="1D41A765" w14:textId="77777777" w:rsidTr="0035398C">
        <w:trPr>
          <w:trHeight w:val="93"/>
        </w:trPr>
        <w:tc>
          <w:tcPr>
            <w:tcW w:w="3119" w:type="dxa"/>
            <w:hideMark/>
          </w:tcPr>
          <w:p w14:paraId="00EAD1BF" w14:textId="77777777" w:rsidR="0035398C" w:rsidRPr="003034A8" w:rsidRDefault="0035398C" w:rsidP="0035398C">
            <w:pPr>
              <w:spacing w:line="276" w:lineRule="auto"/>
              <w:jc w:val="both"/>
              <w:rPr>
                <w:rFonts w:ascii="Verdana" w:eastAsia="Calibri" w:hAnsi="Verdana" w:cs="Arial"/>
                <w:b/>
                <w:lang w:val="es-ES_tradnl" w:eastAsia="es-ES_tradnl"/>
              </w:rPr>
            </w:pPr>
            <w:r w:rsidRPr="003034A8">
              <w:rPr>
                <w:rFonts w:ascii="Verdana" w:eastAsia="Calibri" w:hAnsi="Verdana" w:cs="Arial"/>
                <w:b/>
                <w:lang w:val="es-ES_tradnl" w:eastAsia="es-ES_tradnl"/>
              </w:rPr>
              <w:t xml:space="preserve">Radicación:               </w:t>
            </w:r>
          </w:p>
        </w:tc>
        <w:tc>
          <w:tcPr>
            <w:tcW w:w="6114" w:type="dxa"/>
          </w:tcPr>
          <w:p w14:paraId="4B7D3406" w14:textId="77777777" w:rsidR="0035398C" w:rsidRPr="003034A8" w:rsidRDefault="0035398C" w:rsidP="0035398C">
            <w:pPr>
              <w:spacing w:line="276" w:lineRule="auto"/>
              <w:jc w:val="both"/>
              <w:rPr>
                <w:rFonts w:ascii="Verdana" w:eastAsia="Calibri" w:hAnsi="Verdana" w:cs="Arial"/>
                <w:bCs/>
                <w:lang w:eastAsia="es-ES_tradnl"/>
              </w:rPr>
            </w:pPr>
            <w:r w:rsidRPr="003034A8">
              <w:rPr>
                <w:rFonts w:ascii="Verdana" w:eastAsia="Calibri" w:hAnsi="Verdana" w:cs="Arial"/>
                <w:bCs/>
                <w:lang w:val="es-ES_tradnl" w:eastAsia="es-ES_tradnl"/>
              </w:rPr>
              <w:t xml:space="preserve">Respuesta a consulta con radicado </w:t>
            </w:r>
            <w:proofErr w:type="gramStart"/>
            <w:r w:rsidRPr="003034A8">
              <w:rPr>
                <w:rFonts w:ascii="Verdana" w:eastAsia="Calibri" w:hAnsi="Verdana" w:cs="Arial"/>
                <w:bCs/>
                <w:lang w:eastAsia="es-ES_tradnl"/>
              </w:rPr>
              <w:t xml:space="preserve">No. </w:t>
            </w:r>
            <w:r w:rsidRPr="003034A8">
              <w:rPr>
                <w:rFonts w:ascii="Verdana" w:eastAsia="Calibri" w:hAnsi="Verdana" w:cs="Arial"/>
                <w:b/>
                <w:bCs/>
                <w:lang w:eastAsia="es-ES_tradnl"/>
              </w:rPr>
              <w:t> </w:t>
            </w:r>
            <w:r w:rsidRPr="003034A8">
              <w:rPr>
                <w:rFonts w:ascii="Verdana" w:eastAsia="Calibri" w:hAnsi="Verdana" w:cs="Arial"/>
                <w:bCs/>
                <w:lang w:eastAsia="es-ES_tradnl"/>
              </w:rPr>
              <w:t>1</w:t>
            </w:r>
            <w:proofErr w:type="gramEnd"/>
            <w:r w:rsidRPr="003034A8">
              <w:rPr>
                <w:rFonts w:ascii="Verdana" w:eastAsia="Calibri" w:hAnsi="Verdana" w:cs="Arial"/>
                <w:bCs/>
                <w:lang w:eastAsia="es-ES_tradnl"/>
              </w:rPr>
              <w:t>_2026_07_30_010110</w:t>
            </w:r>
          </w:p>
        </w:tc>
      </w:tr>
    </w:tbl>
    <w:p w14:paraId="7ABF8B21" w14:textId="77777777" w:rsidR="0035398C" w:rsidRPr="002E6765" w:rsidRDefault="0035398C" w:rsidP="0035398C">
      <w:pPr>
        <w:spacing w:after="0" w:line="276" w:lineRule="auto"/>
        <w:jc w:val="both"/>
        <w:rPr>
          <w:rFonts w:ascii="Verdana" w:eastAsia="Calibri" w:hAnsi="Verdana" w:cs="Arial"/>
          <w:bCs/>
          <w:lang w:val="es-ES_tradnl" w:eastAsia="es-ES_tradnl"/>
        </w:rPr>
      </w:pPr>
    </w:p>
    <w:p w14:paraId="21496F18" w14:textId="437CD937" w:rsidR="0035398C" w:rsidRPr="002E6765" w:rsidRDefault="0035398C" w:rsidP="0035398C">
      <w:pPr>
        <w:spacing w:after="0" w:line="276" w:lineRule="auto"/>
        <w:jc w:val="both"/>
        <w:rPr>
          <w:rFonts w:ascii="Verdana" w:eastAsia="Calibri" w:hAnsi="Verdana" w:cs="Arial"/>
          <w:bCs/>
          <w:lang w:val="es-ES" w:eastAsia="es-ES"/>
        </w:rPr>
      </w:pPr>
      <w:r w:rsidRPr="002E6765">
        <w:rPr>
          <w:rFonts w:ascii="Verdana" w:eastAsia="Calibri" w:hAnsi="Verdana" w:cs="Arial"/>
          <w:bCs/>
          <w:lang w:val="es-ES" w:eastAsia="es-ES"/>
        </w:rPr>
        <w:t>Estimad</w:t>
      </w:r>
      <w:r w:rsidR="006603E6">
        <w:rPr>
          <w:rFonts w:ascii="Verdana" w:eastAsia="Calibri" w:hAnsi="Verdana" w:cs="Arial"/>
          <w:bCs/>
          <w:lang w:val="es-ES" w:eastAsia="es-ES"/>
        </w:rPr>
        <w:t>o (a)</w:t>
      </w:r>
      <w:r w:rsidRPr="002E6765">
        <w:rPr>
          <w:rFonts w:ascii="Verdana" w:eastAsia="Calibri" w:hAnsi="Verdana" w:cs="Arial"/>
          <w:bCs/>
          <w:lang w:val="es-ES" w:eastAsia="es-ES"/>
        </w:rPr>
        <w:t xml:space="preserve"> Señor (a), cordial saludo:  </w:t>
      </w:r>
    </w:p>
    <w:p w14:paraId="1937BA2C" w14:textId="77777777" w:rsidR="0035398C" w:rsidRPr="002E6765" w:rsidRDefault="0035398C" w:rsidP="0035398C">
      <w:pPr>
        <w:tabs>
          <w:tab w:val="left" w:pos="3768"/>
        </w:tabs>
        <w:spacing w:after="0" w:line="276" w:lineRule="auto"/>
        <w:jc w:val="both"/>
        <w:rPr>
          <w:rFonts w:ascii="Verdana" w:eastAsia="Calibri" w:hAnsi="Verdana" w:cs="Arial"/>
          <w:bCs/>
          <w:lang w:val="es-ES" w:eastAsia="es-ES"/>
        </w:rPr>
      </w:pPr>
      <w:r w:rsidRPr="002E6765">
        <w:rPr>
          <w:rFonts w:ascii="Verdana" w:eastAsia="Calibri" w:hAnsi="Verdana" w:cs="Arial"/>
          <w:bCs/>
          <w:lang w:val="es-ES" w:eastAsia="es-ES"/>
        </w:rPr>
        <w:tab/>
      </w:r>
    </w:p>
    <w:p w14:paraId="37DC4147" w14:textId="77777777" w:rsidR="00B44FB8" w:rsidRPr="000474CD" w:rsidRDefault="00B44FB8" w:rsidP="00B44FB8">
      <w:pPr>
        <w:spacing w:after="0" w:line="276" w:lineRule="auto"/>
        <w:jc w:val="both"/>
        <w:rPr>
          <w:rFonts w:ascii="Verdana" w:eastAsia="Calibri" w:hAnsi="Verdana" w:cs="Arial"/>
          <w:lang w:val="es-ES" w:eastAsia="es-ES"/>
        </w:rPr>
      </w:pPr>
      <w:r w:rsidRPr="000474CD">
        <w:rPr>
          <w:rFonts w:ascii="Verdana" w:eastAsia="Calibri" w:hAnsi="Verdana" w:cs="Arial"/>
          <w:lang w:val="es-ES" w:eastAsia="es-ES"/>
        </w:rPr>
        <w:t>En ejercicio de la competencia otorgada por los artículos 3, numeral 5º, y 11, numeral 8º, del Decreto Ley 4170 de 2011,</w:t>
      </w:r>
      <w:r w:rsidRPr="000474CD">
        <w:rPr>
          <w:rFonts w:ascii="Verdana" w:eastAsia="Arial MT" w:hAnsi="Verdana" w:cs="Arial MT"/>
          <w:lang w:val="es-ES" w:eastAsia="es-ES"/>
        </w:rPr>
        <w:t xml:space="preserve"> </w:t>
      </w:r>
      <w:r w:rsidRPr="000474CD">
        <w:rPr>
          <w:rFonts w:ascii="Verdana" w:eastAsia="Calibri" w:hAnsi="Verdana" w:cs="Arial"/>
        </w:rPr>
        <w:t xml:space="preserve">así como lo establecido en la Resolución No. 469 del 2025 expedida por esta Entidad, </w:t>
      </w:r>
      <w:r w:rsidRPr="000474CD">
        <w:rPr>
          <w:rFonts w:ascii="Verdana" w:eastAsia="Calibri" w:hAnsi="Verdana" w:cs="Arial"/>
          <w:lang w:val="es-ES" w:eastAsia="es-ES"/>
        </w:rPr>
        <w:t>la Agencia Nacional de Contratación Pública – Colombia Compra Eficiente– responde su solicitud de consulta del 5 de agosto de 2026, en la cual manifiesta lo siguiente:</w:t>
      </w:r>
    </w:p>
    <w:p w14:paraId="17C108F4" w14:textId="77777777" w:rsidR="00B44FB8" w:rsidRPr="000474CD" w:rsidRDefault="00B44FB8" w:rsidP="00B44FB8">
      <w:pPr>
        <w:spacing w:after="0" w:line="276" w:lineRule="auto"/>
        <w:jc w:val="both"/>
        <w:rPr>
          <w:rFonts w:ascii="Verdana" w:eastAsia="Calibri" w:hAnsi="Verdana" w:cs="Arial"/>
          <w:lang w:val="es-ES" w:eastAsia="es-ES"/>
        </w:rPr>
      </w:pPr>
    </w:p>
    <w:p w14:paraId="6381290B" w14:textId="77777777" w:rsidR="00B44FB8" w:rsidRPr="000474CD" w:rsidRDefault="00B44FB8" w:rsidP="00B44FB8">
      <w:pPr>
        <w:spacing w:after="120" w:line="240" w:lineRule="auto"/>
        <w:ind w:left="709" w:right="709"/>
        <w:jc w:val="both"/>
        <w:rPr>
          <w:rFonts w:ascii="Verdana" w:eastAsia="Aptos" w:hAnsi="Verdana" w:cs="Times New Roman"/>
          <w:kern w:val="2"/>
          <w:sz w:val="20"/>
          <w:szCs w:val="20"/>
          <w14:ligatures w14:val="standardContextual"/>
        </w:rPr>
      </w:pPr>
      <w:r w:rsidRPr="000474CD">
        <w:rPr>
          <w:rFonts w:ascii="Verdana" w:eastAsia="Aptos" w:hAnsi="Verdana" w:cs="Helvetica"/>
          <w:color w:val="000000"/>
          <w:sz w:val="20"/>
          <w:szCs w:val="20"/>
          <w14:ligatures w14:val="standardContextual"/>
        </w:rPr>
        <w:t>“</w:t>
      </w:r>
      <w:r w:rsidRPr="000474CD">
        <w:rPr>
          <w:rFonts w:ascii="Verdana" w:eastAsia="Aptos" w:hAnsi="Verdana" w:cs="Times New Roman"/>
          <w:kern w:val="2"/>
          <w:sz w:val="20"/>
          <w:szCs w:val="20"/>
          <w14:ligatures w14:val="standardContextual"/>
        </w:rPr>
        <w:t xml:space="preserve">¿El sector de Comercio, Industria y Turismo cuenta actualmente con Pliegos Tipo de carácter obligatorio emitidos por Colombia Compra Eficiente para adelantar sus procesos contractuales? </w:t>
      </w:r>
    </w:p>
    <w:p w14:paraId="6D1071DF" w14:textId="77777777" w:rsidR="00B44FB8" w:rsidRPr="000474CD" w:rsidRDefault="00B44FB8" w:rsidP="00B44FB8">
      <w:pPr>
        <w:spacing w:after="120" w:line="240" w:lineRule="auto"/>
        <w:ind w:left="709" w:right="709"/>
        <w:jc w:val="both"/>
        <w:rPr>
          <w:rFonts w:ascii="Verdana" w:eastAsia="Aptos" w:hAnsi="Verdana" w:cs="Times New Roman"/>
          <w:kern w:val="2"/>
          <w:sz w:val="20"/>
          <w:szCs w:val="20"/>
          <w14:ligatures w14:val="standardContextual"/>
        </w:rPr>
      </w:pPr>
      <w:r w:rsidRPr="000474CD">
        <w:rPr>
          <w:rFonts w:ascii="Verdana" w:eastAsia="Aptos" w:hAnsi="Verdana" w:cs="Times New Roman"/>
          <w:kern w:val="2"/>
          <w:sz w:val="20"/>
          <w:szCs w:val="20"/>
          <w14:ligatures w14:val="standardContextual"/>
        </w:rPr>
        <w:t xml:space="preserve">En caso afirmativo, ¿cuáles son los actos administrativos (resoluciones) que los reglamentan, para qué modalidades de selección aplican (licitación pública, selección abreviada, mínima cuantía, etc.) y sobre qué objetos contractuales específicos recae su obligatoriedad? </w:t>
      </w:r>
    </w:p>
    <w:p w14:paraId="2AED60EA" w14:textId="77777777" w:rsidR="00B44FB8" w:rsidRPr="000474CD" w:rsidRDefault="00B44FB8" w:rsidP="00B44FB8">
      <w:pPr>
        <w:spacing w:after="0" w:line="240" w:lineRule="auto"/>
        <w:ind w:left="709" w:right="709"/>
        <w:jc w:val="both"/>
        <w:rPr>
          <w:rFonts w:ascii="Verdana" w:eastAsia="Aptos" w:hAnsi="Verdana" w:cs="Times New Roman"/>
          <w:kern w:val="2"/>
          <w:sz w:val="20"/>
          <w:szCs w:val="20"/>
          <w14:ligatures w14:val="standardContextual"/>
        </w:rPr>
      </w:pPr>
      <w:r w:rsidRPr="000474CD">
        <w:rPr>
          <w:rFonts w:ascii="Verdana" w:eastAsia="Aptos" w:hAnsi="Verdana" w:cs="Times New Roman"/>
          <w:kern w:val="2"/>
          <w:sz w:val="20"/>
          <w:szCs w:val="20"/>
          <w14:ligatures w14:val="standardContextual"/>
        </w:rPr>
        <w:t>En caso de no existir Pliegos Tipo específicos para este sector, ¿deben aplicarse Pliegos Tipo generales (como los de infraestructura de transporte, obra pública, consultorías o servicios) cuando el objeto del contrato guarde relación indirecta con dichos campos?”.</w:t>
      </w:r>
    </w:p>
    <w:p w14:paraId="6FABAFDF" w14:textId="77777777" w:rsidR="00B44FB8" w:rsidRPr="000474CD" w:rsidRDefault="00B44FB8" w:rsidP="00B44FB8">
      <w:pPr>
        <w:spacing w:after="0" w:line="240" w:lineRule="auto"/>
        <w:ind w:left="709" w:right="709"/>
        <w:jc w:val="both"/>
        <w:rPr>
          <w:rFonts w:ascii="Verdana" w:eastAsia="Aptos" w:hAnsi="Verdana" w:cs="Times New Roman"/>
          <w:kern w:val="2"/>
          <w:sz w:val="20"/>
          <w:szCs w:val="20"/>
          <w14:ligatures w14:val="standardContextual"/>
        </w:rPr>
      </w:pPr>
    </w:p>
    <w:p w14:paraId="2886E710" w14:textId="77777777" w:rsidR="00B44FB8" w:rsidRPr="000474CD" w:rsidRDefault="00B44FB8" w:rsidP="00B44FB8">
      <w:pPr>
        <w:spacing w:after="120" w:line="276" w:lineRule="auto"/>
        <w:ind w:firstLine="709"/>
        <w:jc w:val="both"/>
        <w:rPr>
          <w:rFonts w:ascii="Verdana" w:eastAsia="Calibri" w:hAnsi="Verdana" w:cs="Arial"/>
          <w:color w:val="000000"/>
          <w:lang w:val="es-ES" w:eastAsia="es-ES"/>
        </w:rPr>
      </w:pPr>
      <w:r w:rsidRPr="000474CD">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w:t>
      </w:r>
      <w:r w:rsidRPr="000474CD">
        <w:rPr>
          <w:rFonts w:ascii="Verdana" w:eastAsia="Calibri" w:hAnsi="Verdana" w:cs="Arial"/>
          <w:color w:val="000000"/>
          <w:lang w:val="es-ES" w:eastAsia="es-ES"/>
        </w:rPr>
        <w:lastRenderedPageBreak/>
        <w:t xml:space="preserve">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0474CD">
        <w:rPr>
          <w:rFonts w:ascii="Verdana" w:eastAsia="Calibri" w:hAnsi="Verdana" w:cs="Arial"/>
          <w:color w:val="000000"/>
          <w:szCs w:val="24"/>
          <w:lang w:val="es-ES_tradnl" w:eastAsia="es-ES_tradnl"/>
        </w:rPr>
        <w:tab/>
      </w:r>
    </w:p>
    <w:p w14:paraId="5A5B1DC3" w14:textId="77777777" w:rsidR="00B44FB8" w:rsidRPr="000474CD" w:rsidRDefault="00B44FB8" w:rsidP="00B44FB8">
      <w:pPr>
        <w:spacing w:after="0" w:line="276" w:lineRule="auto"/>
        <w:ind w:firstLine="709"/>
        <w:jc w:val="both"/>
        <w:rPr>
          <w:rFonts w:ascii="Verdana" w:eastAsia="Calibri" w:hAnsi="Verdana" w:cs="Arial"/>
          <w:color w:val="000000"/>
          <w:lang w:val="es-ES" w:eastAsia="es-ES"/>
        </w:rPr>
      </w:pPr>
      <w:r w:rsidRPr="000474CD">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0474CD">
        <w:rPr>
          <w:rFonts w:ascii="Verdana" w:eastAsia="Calibri" w:hAnsi="Verdana" w:cs="Arial"/>
          <w:color w:val="7030A0"/>
          <w:lang w:val="es-ES" w:eastAsia="es-ES"/>
        </w:rPr>
        <w:t xml:space="preserve"> </w:t>
      </w:r>
      <w:r w:rsidRPr="000474CD">
        <w:rPr>
          <w:rFonts w:ascii="Verdana" w:eastAsia="Calibri" w:hAnsi="Verdana" w:cs="Arial"/>
          <w:color w:val="000000"/>
          <w:lang w:val="es-ES" w:eastAsia="es-ES"/>
        </w:rPr>
        <w:t>problema</w:t>
      </w:r>
      <w:r w:rsidRPr="000474CD">
        <w:rPr>
          <w:rFonts w:ascii="Verdana" w:eastAsia="Calibri" w:hAnsi="Verdana" w:cs="Arial"/>
          <w:color w:val="7030A0"/>
          <w:lang w:val="es-ES" w:eastAsia="es-ES"/>
        </w:rPr>
        <w:t xml:space="preserve"> </w:t>
      </w:r>
      <w:r w:rsidRPr="000474CD">
        <w:rPr>
          <w:rFonts w:ascii="Verdana" w:eastAsia="Calibri" w:hAnsi="Verdana" w:cs="Arial"/>
          <w:color w:val="000000"/>
          <w:lang w:val="es-ES" w:eastAsia="es-ES"/>
        </w:rPr>
        <w:t>jurídico</w:t>
      </w:r>
      <w:r w:rsidRPr="000474CD">
        <w:rPr>
          <w:rFonts w:ascii="Verdana" w:eastAsia="Calibri" w:hAnsi="Verdana" w:cs="Arial"/>
          <w:color w:val="7030A0"/>
          <w:lang w:val="es-ES" w:eastAsia="es-ES"/>
        </w:rPr>
        <w:t xml:space="preserve"> </w:t>
      </w:r>
      <w:r w:rsidRPr="000474CD">
        <w:rPr>
          <w:rFonts w:ascii="Verdana" w:eastAsia="Calibri" w:hAnsi="Verdana" w:cs="Arial"/>
          <w:color w:val="000000"/>
          <w:lang w:val="es-ES" w:eastAsia="es-ES"/>
        </w:rPr>
        <w:t xml:space="preserve">de su consulta. </w:t>
      </w:r>
    </w:p>
    <w:p w14:paraId="7491B095" w14:textId="77777777" w:rsidR="00B44FB8" w:rsidRPr="000474CD" w:rsidRDefault="00B44FB8" w:rsidP="00B44FB8">
      <w:pPr>
        <w:tabs>
          <w:tab w:val="left" w:pos="142"/>
          <w:tab w:val="left" w:pos="284"/>
        </w:tabs>
        <w:spacing w:after="0" w:line="276" w:lineRule="auto"/>
        <w:contextualSpacing/>
        <w:jc w:val="both"/>
        <w:rPr>
          <w:rFonts w:ascii="Verdana" w:eastAsia="Century Gothic" w:hAnsi="Verdana" w:cs="Century Gothic"/>
          <w:b/>
          <w:bCs/>
          <w:lang w:val="es-ES"/>
        </w:rPr>
      </w:pPr>
    </w:p>
    <w:p w14:paraId="14302FCE" w14:textId="77777777" w:rsidR="00B44FB8" w:rsidRPr="000474CD" w:rsidRDefault="00B44FB8" w:rsidP="00B44FB8">
      <w:pPr>
        <w:tabs>
          <w:tab w:val="left" w:pos="142"/>
          <w:tab w:val="left" w:pos="284"/>
        </w:tabs>
        <w:spacing w:after="0" w:line="276" w:lineRule="auto"/>
        <w:contextualSpacing/>
        <w:jc w:val="both"/>
        <w:rPr>
          <w:rFonts w:ascii="Verdana" w:eastAsia="Century Gothic" w:hAnsi="Verdana" w:cs="Century Gothic"/>
          <w:b/>
          <w:bCs/>
          <w:lang w:val="es-ES"/>
        </w:rPr>
      </w:pPr>
      <w:r w:rsidRPr="000474CD">
        <w:rPr>
          <w:rFonts w:ascii="Verdana" w:eastAsia="Century Gothic" w:hAnsi="Verdana" w:cs="Century Gothic"/>
          <w:b/>
          <w:bCs/>
          <w:lang w:val="es-ES"/>
        </w:rPr>
        <w:t>1. Problema planteado:</w:t>
      </w:r>
    </w:p>
    <w:p w14:paraId="17A6A610" w14:textId="77777777" w:rsidR="00B44FB8" w:rsidRPr="000474CD" w:rsidRDefault="00B44FB8" w:rsidP="00B44FB8">
      <w:pPr>
        <w:tabs>
          <w:tab w:val="left" w:pos="426"/>
        </w:tabs>
        <w:spacing w:after="0" w:line="276" w:lineRule="auto"/>
        <w:jc w:val="both"/>
        <w:rPr>
          <w:rFonts w:ascii="Verdana" w:eastAsia="Century Gothic" w:hAnsi="Verdana" w:cs="Century Gothic"/>
          <w:lang w:val="es-ES"/>
        </w:rPr>
      </w:pPr>
    </w:p>
    <w:p w14:paraId="6F3D7E70" w14:textId="77777777" w:rsidR="00B44FB8" w:rsidRPr="000474CD" w:rsidRDefault="00B44FB8" w:rsidP="00B44FB8">
      <w:pPr>
        <w:spacing w:after="0" w:line="276" w:lineRule="auto"/>
        <w:jc w:val="both"/>
        <w:rPr>
          <w:rFonts w:ascii="Verdana" w:eastAsia="Calibri" w:hAnsi="Verdana" w:cs="Arial"/>
          <w:bCs/>
          <w:lang w:val="es-ES_tradnl" w:eastAsia="es-ES_tradnl"/>
        </w:rPr>
      </w:pPr>
      <w:r w:rsidRPr="000474CD">
        <w:rPr>
          <w:rFonts w:ascii="Verdana" w:eastAsia="Century Gothic" w:hAnsi="Verdana" w:cs="Century Gothic"/>
        </w:rPr>
        <w:t>De acuerdo con el contenido de su solicitud, esta Agencia resolverá los siguientes problemas jurídicos: i)</w:t>
      </w:r>
      <w:r w:rsidRPr="000474CD">
        <w:rPr>
          <w:rFonts w:ascii="Verdana" w:eastAsia="Calibri" w:hAnsi="Verdana" w:cs="Arial"/>
          <w:bCs/>
          <w:lang w:val="es-ES_tradnl" w:eastAsia="es-ES_tradnl"/>
        </w:rPr>
        <w:t xml:space="preserve"> ¿Qué documentos tipo se encuentran vigentes?, </w:t>
      </w:r>
      <w:proofErr w:type="spellStart"/>
      <w:r w:rsidRPr="000474CD">
        <w:rPr>
          <w:rFonts w:ascii="Verdana" w:eastAsia="Calibri" w:hAnsi="Verdana" w:cs="Arial"/>
          <w:bCs/>
          <w:lang w:val="es-ES_tradnl" w:eastAsia="es-ES_tradnl"/>
        </w:rPr>
        <w:t>ii</w:t>
      </w:r>
      <w:proofErr w:type="spellEnd"/>
      <w:r w:rsidRPr="000474CD">
        <w:rPr>
          <w:rFonts w:ascii="Verdana" w:eastAsia="Calibri" w:hAnsi="Verdana" w:cs="Arial"/>
          <w:bCs/>
          <w:lang w:val="es-ES_tradnl" w:eastAsia="es-ES_tradnl"/>
        </w:rPr>
        <w:t xml:space="preserve">) ¿Cuál es el procedimiento para establecer si una Entidad debe aplicar los documentos tipo expedidos por esta Agencia? y </w:t>
      </w:r>
      <w:proofErr w:type="spellStart"/>
      <w:r w:rsidRPr="000474CD">
        <w:rPr>
          <w:rFonts w:ascii="Verdana" w:eastAsia="Calibri" w:hAnsi="Verdana" w:cs="Arial"/>
          <w:bCs/>
          <w:lang w:val="es-ES_tradnl" w:eastAsia="es-ES_tradnl"/>
        </w:rPr>
        <w:t>iii</w:t>
      </w:r>
      <w:proofErr w:type="spellEnd"/>
      <w:r w:rsidRPr="000474CD">
        <w:rPr>
          <w:rFonts w:ascii="Verdana" w:eastAsia="Calibri" w:hAnsi="Verdana" w:cs="Arial"/>
          <w:bCs/>
          <w:lang w:val="es-ES_tradnl" w:eastAsia="es-ES_tradnl"/>
        </w:rPr>
        <w:t>) ¿Existen documentos tipo aplicables al sector Comercio, Industria y Turismo?</w:t>
      </w:r>
    </w:p>
    <w:p w14:paraId="25288B98" w14:textId="77777777" w:rsidR="00B44FB8" w:rsidRPr="000474CD" w:rsidRDefault="00B44FB8" w:rsidP="00B44FB8">
      <w:pPr>
        <w:spacing w:after="0" w:line="276" w:lineRule="auto"/>
        <w:jc w:val="both"/>
        <w:rPr>
          <w:rFonts w:ascii="Verdana" w:eastAsia="Century Gothic" w:hAnsi="Verdana" w:cs="Century Gothic"/>
          <w:lang w:val="es-ES_tradnl"/>
        </w:rPr>
      </w:pPr>
    </w:p>
    <w:p w14:paraId="1F801844" w14:textId="77777777" w:rsidR="00B44FB8" w:rsidRPr="000474CD" w:rsidRDefault="00B44FB8" w:rsidP="00B44FB8">
      <w:pPr>
        <w:tabs>
          <w:tab w:val="left" w:pos="142"/>
          <w:tab w:val="left" w:pos="284"/>
        </w:tabs>
        <w:spacing w:after="0" w:line="276" w:lineRule="auto"/>
        <w:contextualSpacing/>
        <w:jc w:val="both"/>
        <w:rPr>
          <w:rFonts w:ascii="Verdana" w:eastAsia="Century Gothic" w:hAnsi="Verdana" w:cs="Century Gothic"/>
          <w:b/>
          <w:bCs/>
          <w:lang w:val="es-ES"/>
        </w:rPr>
      </w:pPr>
      <w:r w:rsidRPr="000474CD">
        <w:rPr>
          <w:rFonts w:ascii="Verdana" w:eastAsia="Century Gothic" w:hAnsi="Verdana" w:cs="Century Gothic"/>
          <w:b/>
          <w:bCs/>
          <w:lang w:val="es-ES"/>
        </w:rPr>
        <w:t>2. Respuestas:</w:t>
      </w:r>
    </w:p>
    <w:p w14:paraId="272A903E" w14:textId="77777777" w:rsidR="0035398C" w:rsidRPr="00C14F81" w:rsidRDefault="0035398C" w:rsidP="0035398C">
      <w:pPr>
        <w:tabs>
          <w:tab w:val="left" w:pos="142"/>
          <w:tab w:val="left" w:pos="284"/>
        </w:tabs>
        <w:spacing w:line="276" w:lineRule="auto"/>
        <w:contextualSpacing/>
        <w:jc w:val="both"/>
        <w:rPr>
          <w:rFonts w:ascii="Verdana" w:eastAsia="Century Gothic" w:hAnsi="Verdana" w:cs="Century Gothic"/>
          <w:b/>
          <w:bCs/>
          <w:color w:val="6699FF"/>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5398C" w:rsidRPr="00C14F81" w14:paraId="0DF948AF" w14:textId="77777777" w:rsidTr="0035398C">
        <w:trPr>
          <w:trHeight w:val="1057"/>
        </w:trPr>
        <w:tc>
          <w:tcPr>
            <w:tcW w:w="8828" w:type="dxa"/>
            <w:tcBorders>
              <w:top w:val="dotted" w:sz="4" w:space="0" w:color="auto"/>
              <w:left w:val="dotted" w:sz="4" w:space="0" w:color="auto"/>
              <w:bottom w:val="dotted" w:sz="4" w:space="0" w:color="auto"/>
              <w:right w:val="dotted" w:sz="4" w:space="0" w:color="auto"/>
            </w:tcBorders>
          </w:tcPr>
          <w:p w14:paraId="41CDB0CA" w14:textId="67FDCA90" w:rsidR="00004F0B" w:rsidRPr="000474CD" w:rsidRDefault="00004F0B" w:rsidP="00004F0B">
            <w:pPr>
              <w:spacing w:after="120" w:line="276" w:lineRule="auto"/>
              <w:jc w:val="both"/>
              <w:rPr>
                <w:rFonts w:ascii="Verdana" w:eastAsia="Calibri" w:hAnsi="Verdana" w:cs="Arial"/>
              </w:rPr>
            </w:pPr>
            <w:r>
              <w:rPr>
                <w:rFonts w:ascii="Verdana" w:eastAsia="Calibri" w:hAnsi="Verdana" w:cs="Arial"/>
              </w:rPr>
              <w:t xml:space="preserve">I). </w:t>
            </w:r>
            <w:r w:rsidRPr="000474CD">
              <w:rPr>
                <w:rFonts w:ascii="Verdana" w:eastAsia="Calibri" w:hAnsi="Verdana" w:cs="Arial"/>
              </w:rPr>
              <w:t>L</w:t>
            </w:r>
            <w:r w:rsidRPr="000474CD">
              <w:rPr>
                <w:rFonts w:ascii="Verdana" w:eastAsia="Calibri" w:hAnsi="Verdana" w:cs="Arial"/>
                <w:lang w:val="es-MX"/>
              </w:rPr>
              <w:t xml:space="preserve">a Agencia Nacional de Contratación Pública – Colombia Compra </w:t>
            </w:r>
            <w:r w:rsidRPr="000474CD">
              <w:rPr>
                <w:rFonts w:ascii="Verdana" w:eastAsia="Calibri" w:hAnsi="Verdana" w:cs="Arial"/>
              </w:rPr>
              <w:t>Eficiente expidió los siguientes Documentos Tipo que se encuentran vigentes:</w:t>
            </w:r>
          </w:p>
          <w:p w14:paraId="0B040902"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t xml:space="preserve">i. </w:t>
            </w:r>
            <w:r w:rsidRPr="008376F7">
              <w:rPr>
                <w:rFonts w:ascii="Verdana" w:eastAsia="Aptos" w:hAnsi="Verdana" w:cs="Arial"/>
                <w:b/>
              </w:rPr>
              <w:t>Sector de Infraestructura de Transporte:</w:t>
            </w:r>
          </w:p>
          <w:p w14:paraId="34DA3A1D"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t>Resolución 46</w:t>
            </w:r>
            <w:r>
              <w:rPr>
                <w:rFonts w:ascii="Verdana" w:eastAsia="Aptos" w:hAnsi="Verdana" w:cs="Arial"/>
              </w:rPr>
              <w:t>5</w:t>
            </w:r>
            <w:r w:rsidRPr="000474CD">
              <w:rPr>
                <w:rFonts w:ascii="Verdana" w:eastAsia="Aptos" w:hAnsi="Verdana" w:cs="Arial"/>
              </w:rPr>
              <w:t xml:space="preserve"> del 10 de septiembre de 2024: “Por la cual se adopta la versión 4 de los documentos tipo para los procesos de selección de licitación de obra pública de infraestructura de transporte y se deroga la Resolución 240 de 2020”.</w:t>
            </w:r>
          </w:p>
          <w:p w14:paraId="32F440B4"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lastRenderedPageBreak/>
              <w:t>Resolución 463 del 10 de septiembre de 2024: “Por la cual se adopta la versión 3 de los documentos tipo para los procesos de selección abreviada de menor cuantía de obra pública de infraestructura de transporte y se deroga la Resolución 241 de 2020”.</w:t>
            </w:r>
          </w:p>
          <w:p w14:paraId="5F630EE2"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t xml:space="preserve">Resolución 464 del 10 de septiembre de 2024: “Por la cual se actualizan los documentos tipo para los procesos de obra pública de infraestructura de transporte adelantados bajo la modalidad de mínima cuantía”. </w:t>
            </w:r>
          </w:p>
          <w:p w14:paraId="763ED79A"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t>Resolución 725 del 19 de diciembre de 2024: “Por la cual se adopta la versión 3 de los documentos tipo para los procesos de selección de concurso de méritos para contratar la interventoría de obras públicas de infraestructura de transporte y se deroga la Resolución 326 de 2022”.</w:t>
            </w:r>
          </w:p>
          <w:p w14:paraId="63E2378A"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t>Resolución 726 del 19 de diciembre de 2024: “Por la cual se adopta la versión 2 de los documentos tipo para los procesos de selección de concurso de méritos para contratar la consultoría de ingeniería de infraestructura de transporte y se deroga la Resolución 193 de 2021”.</w:t>
            </w:r>
          </w:p>
          <w:p w14:paraId="78798810" w14:textId="77777777" w:rsidR="00004F0B" w:rsidRPr="008376F7" w:rsidRDefault="00004F0B" w:rsidP="00004F0B">
            <w:pPr>
              <w:spacing w:after="120" w:line="276" w:lineRule="auto"/>
              <w:ind w:firstLine="708"/>
              <w:jc w:val="both"/>
              <w:rPr>
                <w:rFonts w:ascii="Verdana" w:eastAsia="Aptos" w:hAnsi="Verdana" w:cs="Arial"/>
                <w:b/>
              </w:rPr>
            </w:pPr>
            <w:proofErr w:type="spellStart"/>
            <w:r w:rsidRPr="008376F7">
              <w:rPr>
                <w:rFonts w:ascii="Verdana" w:eastAsia="Aptos" w:hAnsi="Verdana" w:cs="Arial"/>
                <w:b/>
              </w:rPr>
              <w:t>ii</w:t>
            </w:r>
            <w:proofErr w:type="spellEnd"/>
            <w:r w:rsidRPr="008376F7">
              <w:rPr>
                <w:rFonts w:ascii="Verdana" w:eastAsia="Aptos" w:hAnsi="Verdana" w:cs="Arial"/>
                <w:b/>
              </w:rPr>
              <w:t>. Sector de Infraestructura de Agua Potable y Saneamiento Básico:</w:t>
            </w:r>
          </w:p>
          <w:p w14:paraId="6965D355"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t xml:space="preserve">Resolución 248 del 1 de diciembre de 2020: </w:t>
            </w:r>
            <w:r>
              <w:rPr>
                <w:rFonts w:ascii="Verdana" w:eastAsia="Aptos" w:hAnsi="Verdana" w:cs="Arial"/>
              </w:rPr>
              <w:t>“</w:t>
            </w:r>
            <w:r w:rsidRPr="000474CD">
              <w:rPr>
                <w:rFonts w:ascii="Verdana" w:eastAsia="Aptos" w:hAnsi="Verdana" w:cs="Arial"/>
              </w:rPr>
              <w:t>Por la cual se adoptan los documentos tipo para los procesos de licitación pública para obras de infraestructura de agua potable y saneamiento básico</w:t>
            </w:r>
            <w:r>
              <w:rPr>
                <w:rFonts w:ascii="Verdana" w:eastAsia="Aptos" w:hAnsi="Verdana" w:cs="Arial"/>
              </w:rPr>
              <w:t>”.</w:t>
            </w:r>
          </w:p>
          <w:p w14:paraId="02695819"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t xml:space="preserve"> Resolución 249 del 1 de diciembre de 2020: “"Por la cual se adoptan los documentos tipo para los procesos de licitación pública para obras de infraestructura de agua potable y saneamiento básico en la modalidad de llave en mano".</w:t>
            </w:r>
          </w:p>
          <w:p w14:paraId="1E655FFF"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t xml:space="preserve">Resolución 333 del 27 de julio de 2022: “Por la cual se adoptan los documentos tipo para los procesos de selección de concurso de méritos para contratar la interventoría de obras públicas de infraestructura de agua potable y saneamiento básico”.  </w:t>
            </w:r>
          </w:p>
          <w:p w14:paraId="322073DC" w14:textId="77777777" w:rsidR="00004F0B" w:rsidRPr="000474CD" w:rsidRDefault="00004F0B" w:rsidP="00004F0B">
            <w:pPr>
              <w:spacing w:after="120" w:line="276" w:lineRule="auto"/>
              <w:ind w:firstLine="708"/>
              <w:jc w:val="both"/>
              <w:rPr>
                <w:rFonts w:ascii="Verdana" w:eastAsia="Aptos" w:hAnsi="Verdana" w:cs="Arial"/>
              </w:rPr>
            </w:pPr>
            <w:proofErr w:type="spellStart"/>
            <w:r w:rsidRPr="000474CD">
              <w:rPr>
                <w:rFonts w:ascii="Verdana" w:eastAsia="Aptos" w:hAnsi="Verdana" w:cs="Arial"/>
              </w:rPr>
              <w:t>iii</w:t>
            </w:r>
            <w:proofErr w:type="spellEnd"/>
            <w:r w:rsidRPr="008376F7">
              <w:rPr>
                <w:rFonts w:ascii="Verdana" w:eastAsia="Aptos" w:hAnsi="Verdana" w:cs="Arial"/>
                <w:b/>
              </w:rPr>
              <w:t>. Sector de Infraestructura Social:</w:t>
            </w:r>
            <w:r w:rsidRPr="000474CD">
              <w:rPr>
                <w:rFonts w:ascii="Verdana" w:eastAsia="Aptos" w:hAnsi="Verdana" w:cs="Arial"/>
              </w:rPr>
              <w:t xml:space="preserve"> </w:t>
            </w:r>
          </w:p>
          <w:p w14:paraId="22098E93"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t xml:space="preserve">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w:t>
            </w:r>
            <w:r w:rsidRPr="000474CD">
              <w:rPr>
                <w:rFonts w:ascii="Verdana" w:eastAsia="Aptos" w:hAnsi="Verdana" w:cs="Arial"/>
              </w:rPr>
              <w:lastRenderedPageBreak/>
              <w:t>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63AF5419"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t xml:space="preserve"> </w:t>
            </w:r>
            <w:proofErr w:type="spellStart"/>
            <w:r w:rsidRPr="000474CD">
              <w:rPr>
                <w:rFonts w:ascii="Verdana" w:eastAsia="Aptos" w:hAnsi="Verdana" w:cs="Arial"/>
              </w:rPr>
              <w:t>ii</w:t>
            </w:r>
            <w:proofErr w:type="spellEnd"/>
            <w:r w:rsidRPr="000474CD">
              <w:rPr>
                <w:rFonts w:ascii="Verdana" w:eastAsia="Aptos" w:hAnsi="Verdana" w:cs="Arial"/>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583A33D9" w14:textId="77777777" w:rsidR="00004F0B" w:rsidRPr="000474CD" w:rsidRDefault="00004F0B" w:rsidP="00004F0B">
            <w:pPr>
              <w:spacing w:after="120" w:line="276" w:lineRule="auto"/>
              <w:ind w:firstLine="708"/>
              <w:jc w:val="both"/>
              <w:rPr>
                <w:rFonts w:ascii="Verdana" w:eastAsia="Aptos" w:hAnsi="Verdana" w:cs="Arial"/>
              </w:rPr>
            </w:pPr>
            <w:proofErr w:type="spellStart"/>
            <w:r w:rsidRPr="000474CD">
              <w:rPr>
                <w:rFonts w:ascii="Verdana" w:eastAsia="Aptos" w:hAnsi="Verdana" w:cs="Arial"/>
              </w:rPr>
              <w:t>iii</w:t>
            </w:r>
            <w:proofErr w:type="spellEnd"/>
            <w:r w:rsidRPr="000474CD">
              <w:rPr>
                <w:rFonts w:ascii="Verdana" w:eastAsia="Aptos" w:hAnsi="Verdana" w:cs="Arial"/>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4BE3F3D5" w14:textId="77777777" w:rsidR="00004F0B" w:rsidRPr="000474CD" w:rsidRDefault="00004F0B" w:rsidP="00004F0B">
            <w:pPr>
              <w:spacing w:after="120" w:line="276" w:lineRule="auto"/>
              <w:ind w:firstLine="708"/>
              <w:jc w:val="both"/>
              <w:rPr>
                <w:rFonts w:ascii="Verdana" w:eastAsia="Aptos" w:hAnsi="Verdana" w:cs="Arial"/>
              </w:rPr>
            </w:pPr>
            <w:proofErr w:type="spellStart"/>
            <w:r w:rsidRPr="000474CD">
              <w:rPr>
                <w:rFonts w:ascii="Verdana" w:eastAsia="Aptos" w:hAnsi="Verdana" w:cs="Arial"/>
              </w:rPr>
              <w:t>iv</w:t>
            </w:r>
            <w:proofErr w:type="spellEnd"/>
            <w:r w:rsidRPr="000474CD">
              <w:rPr>
                <w:rFonts w:ascii="Verdana" w:eastAsia="Aptos" w:hAnsi="Verdana" w:cs="Arial"/>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030E10B8" w14:textId="77777777" w:rsidR="00004F0B" w:rsidRPr="000474CD" w:rsidRDefault="00004F0B" w:rsidP="00004F0B">
            <w:pPr>
              <w:spacing w:after="120" w:line="276" w:lineRule="auto"/>
              <w:ind w:firstLine="708"/>
              <w:jc w:val="both"/>
              <w:rPr>
                <w:rFonts w:ascii="Verdana" w:eastAsia="Aptos" w:hAnsi="Verdana" w:cs="Arial"/>
              </w:rPr>
            </w:pPr>
            <w:r w:rsidRPr="000474CD">
              <w:rPr>
                <w:rFonts w:ascii="Verdana" w:eastAsia="Aptos" w:hAnsi="Verdana" w:cs="Arial"/>
              </w:rPr>
              <w:t xml:space="preserve">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 </w:t>
            </w:r>
          </w:p>
          <w:p w14:paraId="4DA40A41" w14:textId="77777777" w:rsidR="00004F0B" w:rsidRPr="000474CD" w:rsidRDefault="00004F0B" w:rsidP="00004F0B">
            <w:pPr>
              <w:spacing w:after="120" w:line="276" w:lineRule="auto"/>
              <w:ind w:firstLine="708"/>
              <w:jc w:val="both"/>
              <w:rPr>
                <w:rFonts w:ascii="Verdana" w:eastAsia="Aptos" w:hAnsi="Verdana" w:cs="Arial"/>
              </w:rPr>
            </w:pPr>
            <w:proofErr w:type="spellStart"/>
            <w:r w:rsidRPr="000474CD">
              <w:rPr>
                <w:rFonts w:ascii="Verdana" w:eastAsia="Aptos" w:hAnsi="Verdana" w:cs="Arial"/>
              </w:rPr>
              <w:t>iv</w:t>
            </w:r>
            <w:proofErr w:type="spellEnd"/>
            <w:r w:rsidRPr="000474CD">
              <w:rPr>
                <w:rFonts w:ascii="Verdana" w:eastAsia="Aptos" w:hAnsi="Verdana" w:cs="Arial"/>
              </w:rPr>
              <w:t xml:space="preserve">. </w:t>
            </w:r>
            <w:r w:rsidRPr="008376F7">
              <w:rPr>
                <w:rFonts w:ascii="Verdana" w:eastAsia="Aptos" w:hAnsi="Verdana" w:cs="Arial"/>
                <w:b/>
              </w:rPr>
              <w:t>Documentos tipo para la contratación directa de convenios solidarios:</w:t>
            </w:r>
          </w:p>
          <w:p w14:paraId="292A4E49" w14:textId="77777777" w:rsidR="00004F0B" w:rsidRPr="000474CD" w:rsidRDefault="00004F0B" w:rsidP="00004F0B">
            <w:pPr>
              <w:spacing w:after="120" w:line="276" w:lineRule="auto"/>
              <w:ind w:firstLine="708"/>
              <w:jc w:val="both"/>
              <w:rPr>
                <w:rFonts w:ascii="Verdana" w:eastAsia="Aptos" w:hAnsi="Verdana" w:cs="Times New Roman"/>
              </w:rPr>
            </w:pPr>
            <w:r w:rsidRPr="000474CD">
              <w:rPr>
                <w:rFonts w:ascii="Verdana" w:eastAsia="Aptos" w:hAnsi="Verdana" w:cs="Arial"/>
              </w:rPr>
              <w:lastRenderedPageBreak/>
              <w:t>Resolución 358 del 30 de junio de 2023 “</w:t>
            </w:r>
            <w:r w:rsidRPr="000474CD">
              <w:rPr>
                <w:rFonts w:ascii="Verdana" w:eastAsia="Aptos" w:hAnsi="Verdana" w:cs="Times New Roman"/>
              </w:rPr>
              <w:t xml:space="preserve">Por la cual se adopta el documento tipo para la contratación directa de convenios solidarios para la ejecución de obras hasta la menor cuantía con organismos de acción comunal”. </w:t>
            </w:r>
          </w:p>
          <w:p w14:paraId="570A1BDD" w14:textId="77777777" w:rsidR="00004F0B" w:rsidRPr="000474CD" w:rsidRDefault="00004F0B" w:rsidP="00004F0B">
            <w:pPr>
              <w:spacing w:after="120" w:line="276" w:lineRule="auto"/>
              <w:ind w:firstLine="708"/>
              <w:jc w:val="both"/>
              <w:rPr>
                <w:rFonts w:ascii="Verdana" w:eastAsia="Aptos" w:hAnsi="Verdana" w:cs="Times New Roman"/>
              </w:rPr>
            </w:pPr>
            <w:r w:rsidRPr="000474CD">
              <w:rPr>
                <w:rFonts w:ascii="Verdana" w:eastAsia="Aptos" w:hAnsi="Verdana" w:cs="Times New Roman"/>
              </w:rPr>
              <w:t xml:space="preserve">v. </w:t>
            </w:r>
            <w:r w:rsidRPr="008376F7">
              <w:rPr>
                <w:rFonts w:ascii="Verdana" w:eastAsia="Aptos" w:hAnsi="Verdana" w:cs="Times New Roman"/>
                <w:b/>
              </w:rPr>
              <w:t>Documentos tipo de gestión catastral:</w:t>
            </w:r>
            <w:r w:rsidRPr="000474CD">
              <w:rPr>
                <w:rFonts w:ascii="Verdana" w:eastAsia="Aptos" w:hAnsi="Verdana" w:cs="Times New Roman"/>
              </w:rPr>
              <w:t xml:space="preserve"> </w:t>
            </w:r>
          </w:p>
          <w:p w14:paraId="39DBC2DB" w14:textId="77777777" w:rsidR="00004F0B" w:rsidRPr="000474CD" w:rsidRDefault="00004F0B" w:rsidP="00004F0B">
            <w:pPr>
              <w:spacing w:line="276" w:lineRule="auto"/>
              <w:ind w:firstLine="708"/>
              <w:jc w:val="both"/>
              <w:rPr>
                <w:rFonts w:ascii="Verdana" w:eastAsia="Aptos" w:hAnsi="Verdana" w:cs="Arial"/>
              </w:rPr>
            </w:pPr>
            <w:r w:rsidRPr="000474CD">
              <w:rPr>
                <w:rFonts w:ascii="Verdana" w:eastAsia="Aptos" w:hAnsi="Verdana" w:cs="Arial"/>
              </w:rPr>
              <w:t xml:space="preserve">Resolución 269 del 16 de diciembre de 2020 “Por la cual se adopta el documento tipo para los procesos de gestión catastral con enfoque multipropósito que se celebren a través de contratos interadministrativos”. </w:t>
            </w:r>
          </w:p>
          <w:p w14:paraId="3ECF0FAB" w14:textId="77777777" w:rsidR="00004F0B" w:rsidRPr="000474CD" w:rsidRDefault="00004F0B" w:rsidP="00004F0B">
            <w:pPr>
              <w:widowControl w:val="0"/>
              <w:autoSpaceDE w:val="0"/>
              <w:autoSpaceDN w:val="0"/>
              <w:spacing w:line="276" w:lineRule="auto"/>
              <w:jc w:val="both"/>
              <w:rPr>
                <w:rFonts w:ascii="Verdana" w:eastAsia="Calibri" w:hAnsi="Verdana" w:cs="Times New Roman"/>
                <w:lang w:val="es-ES"/>
              </w:rPr>
            </w:pPr>
          </w:p>
          <w:p w14:paraId="2898F13C" w14:textId="36F9188F" w:rsidR="00004F0B" w:rsidRPr="000474CD" w:rsidRDefault="00004F0B" w:rsidP="00004F0B">
            <w:pPr>
              <w:widowControl w:val="0"/>
              <w:autoSpaceDE w:val="0"/>
              <w:autoSpaceDN w:val="0"/>
              <w:spacing w:after="120" w:line="276" w:lineRule="auto"/>
              <w:jc w:val="both"/>
              <w:rPr>
                <w:rFonts w:ascii="Verdana" w:eastAsia="Calibri" w:hAnsi="Verdana" w:cs="Times New Roman"/>
                <w:lang w:val="es-ES"/>
              </w:rPr>
            </w:pPr>
            <w:r>
              <w:rPr>
                <w:rFonts w:ascii="Verdana" w:eastAsia="Calibri" w:hAnsi="Verdana" w:cs="Times New Roman"/>
                <w:lang w:val="es-ES"/>
              </w:rPr>
              <w:t xml:space="preserve">II). </w:t>
            </w:r>
            <w:r w:rsidRPr="000474CD">
              <w:rPr>
                <w:rFonts w:ascii="Verdana" w:eastAsia="Calibri" w:hAnsi="Verdana" w:cs="Times New Roman"/>
                <w:lang w:val="es-ES"/>
              </w:rPr>
              <w:t xml:space="preserve"> 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0E6B43AC" w14:textId="77777777" w:rsidR="00004F0B" w:rsidRPr="000474CD" w:rsidRDefault="00004F0B" w:rsidP="00004F0B">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 xml:space="preserve">Uno de los elementos comunes a los diferentes documentos tipo es la “Matriz </w:t>
            </w:r>
            <w:r>
              <w:rPr>
                <w:rFonts w:ascii="Verdana" w:eastAsia="Calibri" w:hAnsi="Verdana" w:cs="Times New Roman"/>
                <w:lang w:val="es-ES"/>
              </w:rPr>
              <w:t xml:space="preserve">1 </w:t>
            </w:r>
            <w:r w:rsidRPr="000474CD">
              <w:rPr>
                <w:rFonts w:ascii="Verdana" w:eastAsia="Calibri" w:hAnsi="Verdana" w:cs="Times New Roman"/>
                <w:lang w:val="es-ES"/>
              </w:rPr>
              <w:t>–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440FCBCA" w14:textId="77777777" w:rsidR="00004F0B" w:rsidRPr="000474CD" w:rsidRDefault="00004F0B" w:rsidP="00004F0B">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2D09E7F7" w14:textId="77777777" w:rsidR="00004F0B" w:rsidRPr="000474CD" w:rsidRDefault="00004F0B" w:rsidP="00004F0B">
            <w:pPr>
              <w:widowControl w:val="0"/>
              <w:autoSpaceDE w:val="0"/>
              <w:autoSpaceDN w:val="0"/>
              <w:spacing w:line="276" w:lineRule="auto"/>
              <w:ind w:firstLine="708"/>
              <w:jc w:val="both"/>
              <w:rPr>
                <w:rFonts w:ascii="Verdana" w:eastAsia="Calibri" w:hAnsi="Verdana" w:cs="Times New Roman"/>
                <w:lang w:val="es-ES"/>
              </w:rPr>
            </w:pPr>
            <w:r w:rsidRPr="000474CD">
              <w:rPr>
                <w:rFonts w:ascii="Verdana" w:eastAsia="Calibri" w:hAnsi="Verdana" w:cs="Times New Roman"/>
                <w:lang w:val="es-ES"/>
              </w:rPr>
              <w:t xml:space="preserve">De esta manera, para saber a qué actividades deben aplicarse los documentos tipo expedidos por esta Agencia, la entidad debe verificar que estos apliquen para la modalidad de selección en la que debe celebrarse el proceso, subsumiendo el objeto a contratar en los tipos de proyectos de </w:t>
            </w:r>
            <w:r w:rsidRPr="000474CD">
              <w:rPr>
                <w:rFonts w:ascii="Verdana" w:eastAsia="Calibri" w:hAnsi="Verdana" w:cs="Times New Roman"/>
                <w:lang w:val="es-ES"/>
              </w:rPr>
              <w:lastRenderedPageBreak/>
              <w:t>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7014B190" w14:textId="77777777" w:rsidR="00004F0B" w:rsidRPr="000474CD" w:rsidRDefault="00004F0B" w:rsidP="00004F0B">
            <w:pPr>
              <w:widowControl w:val="0"/>
              <w:autoSpaceDE w:val="0"/>
              <w:autoSpaceDN w:val="0"/>
              <w:spacing w:line="276" w:lineRule="auto"/>
              <w:ind w:firstLine="708"/>
              <w:jc w:val="both"/>
              <w:rPr>
                <w:rFonts w:ascii="Verdana" w:eastAsia="Calibri" w:hAnsi="Verdana" w:cs="Times New Roman"/>
                <w:lang w:val="es-ES"/>
              </w:rPr>
            </w:pPr>
          </w:p>
          <w:p w14:paraId="64ECE269" w14:textId="0B3DB7C1" w:rsidR="00004F0B" w:rsidRPr="000474CD" w:rsidRDefault="00004F0B" w:rsidP="00004F0B">
            <w:pPr>
              <w:snapToGrid w:val="0"/>
              <w:spacing w:after="120" w:line="276" w:lineRule="auto"/>
              <w:jc w:val="both"/>
              <w:rPr>
                <w:rFonts w:ascii="Verdana" w:eastAsia="Times New Roman" w:hAnsi="Verdana" w:cs="Times New Roman"/>
                <w:lang w:eastAsia="es-MX"/>
              </w:rPr>
            </w:pPr>
            <w:r>
              <w:rPr>
                <w:rFonts w:ascii="Verdana" w:eastAsia="Calibri" w:hAnsi="Verdana" w:cs="Times New Roman"/>
                <w:lang w:val="es-ES" w:eastAsia="es-MX"/>
              </w:rPr>
              <w:t xml:space="preserve">III). </w:t>
            </w:r>
            <w:r w:rsidRPr="000474CD">
              <w:rPr>
                <w:rFonts w:ascii="Verdana" w:eastAsia="Times New Roman" w:hAnsi="Verdana" w:cs="Times New Roman"/>
                <w:lang w:eastAsia="es-MX"/>
              </w:rPr>
              <w:t>La Agencia Nacional de Contratación Pública – Colombia Compra Eficiente le informa que, en relación con los documentos tipo aplicables al sector “Comercio, Industria y Turismo”, la entidad que a él pertenezca deberá determinar si la actividad que pretende contratar y la modalidad de selección correspondiente se enmarcan en alguno de los instrumentos expedidos por esta Agencia, identificados en el punto (i), acudiendo para ello al procedimiento señalado en el numeral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—ambos de este concepto—.</w:t>
            </w:r>
          </w:p>
          <w:p w14:paraId="6EB6D525" w14:textId="77777777" w:rsidR="00004F0B" w:rsidRPr="000474CD" w:rsidRDefault="00004F0B" w:rsidP="00004F0B">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De esta forma, la circunstancia de que no exista un grupo de documentos tipo expedido bajo dicha denominación “Comercio, Industria y Turismo” no conduce, por sí sola, a concluir que las actividades que en ese sector se contraten se encuentren excluidas de su aplicación, pues tal conclusión desconocería el criterio que esta Entidad ha sostenido de manera reiterada –punto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de este concepto–, según el cual la obligatoriedad de cada instrumento se determina en función de la actividad contractual descrita en la Matriz – Experiencia y desarrollada en el Anexo – Glosario correspondiente, y no en función del nombre o adscripción sectorial de la entidad contratante o del ministerio cabeza de sector.</w:t>
            </w:r>
          </w:p>
          <w:p w14:paraId="771BE812" w14:textId="77777777" w:rsidR="00004F0B" w:rsidRPr="000474CD" w:rsidRDefault="00004F0B" w:rsidP="00004F0B">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 xml:space="preserve">Así las cosas, resulta pertinente destacar que lo relevante no es que exista, en sentido nominal, un documento tipo para el sector “Comercio, Industria y Turismo”, sino que la actividad que se pretenda contratar se encuentre comprendida dentro de alguna de las Matrices – Experiencia vigentes. Es este segundo elemento el que debe orientar el análisis de toda entidad estatal, con independencia de su origen sectorial, de manera que le corresponde adelantar un ejercicio de subsunción técnica consistente en identificar el objeto contractual y confrontarlo con las matrices de los distintos grupos de documentos tipo vigentes, para concluir, a partir de ello, sobre la obligatoriedad o no del respectivo instrumento. En este sentido, dicha obligatoriedad no admite matices ni graduaciones: si la actividad se encuentra comprendida en la matriz correspondiente, el documento tipo resulta </w:t>
            </w:r>
            <w:r w:rsidRPr="000474CD">
              <w:rPr>
                <w:rFonts w:ascii="Verdana" w:eastAsia="Times New Roman" w:hAnsi="Verdana" w:cs="Times New Roman"/>
                <w:lang w:eastAsia="es-MX"/>
              </w:rPr>
              <w:lastRenderedPageBreak/>
              <w:t>obligatorio, sin que la entidad pueda sustraerse de su empleo invocando su pertenencia a un sector distinto de aquel bajo cuya denominación fue expedido.</w:t>
            </w:r>
          </w:p>
          <w:p w14:paraId="04A2EFA8" w14:textId="77777777" w:rsidR="00004F0B" w:rsidRPr="000474CD" w:rsidRDefault="00004F0B" w:rsidP="00004F0B">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Esta metodología reviste especial trascendencia práctica para las entidades del sector “Comercio, Industria y Turismo”, comoquiera que buena parte de su infraestructura física –centros de convenciones, plazas de mercado, terminales de transporte turístico, edificaciones institucionales de apoyo a la actividad comercial o industrial, equipamientos feriales, entre otros– suele coincidir, en su naturaleza técnica, con tipologías de obra ya estandarizadas por esta Agencia bajo categorías distintas a la nominal “Comercio, Industria y Turismo”.</w:t>
            </w:r>
          </w:p>
          <w:p w14:paraId="79D0AFE8" w14:textId="77777777" w:rsidR="00004F0B" w:rsidRPr="000474CD" w:rsidRDefault="00004F0B" w:rsidP="00004F0B">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 xml:space="preserve">De esta forma, dentro de los documentos tipo actualmente vigentes –identificados en el punto (i) de este concepto–, los correspondientes al sector de Infraestructura Social merecen especial relevancia para las entidades cuyo objeto contractual se vincule con el sector “Comercio, Industria y Turismo”, particularmente los relacionados con el sector cultura, recreación y deporte, y los del sector institucional, considerando que estos recaen –respectivamente– en los siguientes tipos de infraestructura: i) obras de infraestructura cultural;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xml:space="preserve">) obras de infraestructura </w:t>
            </w:r>
            <w:proofErr w:type="spellStart"/>
            <w:r w:rsidRPr="000474CD">
              <w:rPr>
                <w:rFonts w:ascii="Verdana" w:eastAsia="Times New Roman" w:hAnsi="Verdana" w:cs="Times New Roman"/>
                <w:lang w:eastAsia="es-MX"/>
              </w:rPr>
              <w:t>recreodeportiva</w:t>
            </w:r>
            <w:proofErr w:type="spellEnd"/>
            <w:r w:rsidRPr="000474CD">
              <w:rPr>
                <w:rFonts w:ascii="Verdana" w:eastAsia="Times New Roman" w:hAnsi="Verdana" w:cs="Times New Roman"/>
                <w:lang w:eastAsia="es-MX"/>
              </w:rPr>
              <w:t xml:space="preserve">; </w:t>
            </w:r>
            <w:proofErr w:type="spellStart"/>
            <w:r w:rsidRPr="000474CD">
              <w:rPr>
                <w:rFonts w:ascii="Verdana" w:eastAsia="Times New Roman" w:hAnsi="Verdana" w:cs="Times New Roman"/>
                <w:lang w:eastAsia="es-MX"/>
              </w:rPr>
              <w:t>iii</w:t>
            </w:r>
            <w:proofErr w:type="spellEnd"/>
            <w:r w:rsidRPr="000474CD">
              <w:rPr>
                <w:rFonts w:ascii="Verdana" w:eastAsia="Times New Roman" w:hAnsi="Verdana" w:cs="Times New Roman"/>
                <w:lang w:eastAsia="es-MX"/>
              </w:rPr>
              <w:t xml:space="preserve">) obras en infraestructura del sector cultura, recreación y deporte; y, de otra parte en </w:t>
            </w:r>
            <w:r w:rsidRPr="000474CD">
              <w:rPr>
                <w:rFonts w:ascii="Verdana" w:eastAsia="Times New Roman" w:hAnsi="Verdana" w:cs="Times New Roman"/>
                <w:i/>
                <w:iCs/>
                <w:lang w:eastAsia="es-MX"/>
              </w:rPr>
              <w:t>obras en proyectos de infraestructura institucional de servicio público</w:t>
            </w:r>
            <w:r w:rsidRPr="000474CD">
              <w:rPr>
                <w:rFonts w:ascii="Verdana" w:eastAsia="Times New Roman" w:hAnsi="Verdana" w:cs="Times New Roman"/>
                <w:lang w:eastAsia="es-MX"/>
              </w:rPr>
              <w:t xml:space="preserve"> –entre otras–. </w:t>
            </w:r>
          </w:p>
          <w:p w14:paraId="55F95A1B" w14:textId="77777777" w:rsidR="00004F0B" w:rsidRPr="000474CD" w:rsidRDefault="00004F0B" w:rsidP="00004F0B">
            <w:pPr>
              <w:spacing w:after="120" w:line="276" w:lineRule="auto"/>
              <w:ind w:firstLine="708"/>
              <w:jc w:val="both"/>
              <w:rPr>
                <w:rFonts w:ascii="Verdana" w:eastAsia="Calibri" w:hAnsi="Verdana" w:cs="Arial"/>
                <w:color w:val="0D0D0D"/>
                <w:lang w:eastAsia="es-MX"/>
              </w:rPr>
            </w:pPr>
            <w:r w:rsidRPr="000474CD">
              <w:rPr>
                <w:rFonts w:ascii="Verdana" w:eastAsia="Aptos" w:hAnsi="Verdana" w:cs="Times New Roman"/>
              </w:rPr>
              <w:t xml:space="preserve">Particularmente, sobre el tipo de obras “en proyectos de infraestructura institucional de servicio público”, contenidas en los documentos tipo del Sector Institucional, la Agencia Nacional de Contratación Pública – Colombia Compra Eficiente ha indicado que, </w:t>
            </w:r>
            <w:r w:rsidRPr="000474CD">
              <w:rPr>
                <w:rFonts w:ascii="Verdana" w:eastAsia="Times New Roman" w:hAnsi="Verdana" w:cs="Calibri"/>
                <w:lang w:eastAsia="es-MX"/>
              </w:rPr>
              <w:t xml:space="preserve">de conformidad con la norma </w:t>
            </w:r>
            <w:r w:rsidRPr="000474CD">
              <w:rPr>
                <w:rFonts w:ascii="Verdana" w:eastAsia="Calibri" w:hAnsi="Verdana" w:cs="Arial"/>
                <w:color w:val="0D0D0D"/>
                <w:lang w:eastAsia="es-MX"/>
              </w:rPr>
              <w:t>NSR-10 en el Subgrupo de Ocupación Institucional de Servicio Público (I-5) “se clasifican las edificaciones o espacios destinados a funciones administrativas y prestación de servicios públicos necesarios para el buen funcionamiento de las ciudades”</w:t>
            </w:r>
            <w:r w:rsidRPr="000474CD">
              <w:rPr>
                <w:rFonts w:ascii="Verdana" w:eastAsia="Calibri" w:hAnsi="Verdana" w:cs="Arial"/>
                <w:color w:val="0D0D0D"/>
                <w:vertAlign w:val="superscript"/>
                <w:lang w:eastAsia="es-MX"/>
              </w:rPr>
              <w:footnoteReference w:id="2"/>
            </w:r>
            <w:r w:rsidRPr="000474CD">
              <w:rPr>
                <w:rFonts w:ascii="Verdana" w:eastAsia="Calibri" w:hAnsi="Verdana" w:cs="Arial"/>
                <w:color w:val="0D0D0D"/>
                <w:lang w:eastAsia="es-MX"/>
              </w:rPr>
              <w:t xml:space="preserve">. Entre las edificaciones o espacios que pertenecen a este Subgrupo se encuentran las siguientes: “Centros de comunicación o administrativos o </w:t>
            </w:r>
            <w:r w:rsidRPr="000474CD">
              <w:rPr>
                <w:rFonts w:ascii="Verdana" w:eastAsia="Calibri" w:hAnsi="Verdana" w:cs="Arial"/>
                <w:color w:val="0D0D0D"/>
                <w:lang w:eastAsia="es-MX"/>
              </w:rPr>
              <w:lastRenderedPageBreak/>
              <w:t>administrativos de servicios municipales, distritales o gubernamentales, juzgados y otros similares”</w:t>
            </w:r>
            <w:r w:rsidRPr="000474CD">
              <w:rPr>
                <w:rFonts w:ascii="Verdana" w:eastAsia="Calibri" w:hAnsi="Verdana" w:cs="Arial"/>
                <w:color w:val="0D0D0D"/>
                <w:vertAlign w:val="superscript"/>
                <w:lang w:eastAsia="es-MX"/>
              </w:rPr>
              <w:footnoteReference w:id="3"/>
            </w:r>
            <w:r w:rsidRPr="000474CD">
              <w:rPr>
                <w:rFonts w:ascii="Verdana" w:eastAsia="Calibri" w:hAnsi="Verdana" w:cs="Arial"/>
                <w:color w:val="0D0D0D"/>
                <w:lang w:eastAsia="es-MX"/>
              </w:rPr>
              <w:t>.</w:t>
            </w:r>
          </w:p>
          <w:p w14:paraId="5A029D57" w14:textId="77777777" w:rsidR="00004F0B" w:rsidRPr="000474CD" w:rsidRDefault="00004F0B" w:rsidP="00004F0B">
            <w:pPr>
              <w:spacing w:after="120" w:line="276" w:lineRule="auto"/>
              <w:ind w:firstLine="708"/>
              <w:jc w:val="both"/>
              <w:rPr>
                <w:rFonts w:ascii="Verdana" w:eastAsia="Calibri" w:hAnsi="Verdana" w:cs="Arial"/>
                <w:color w:val="0D0D0D"/>
                <w:lang w:eastAsia="es-MX"/>
              </w:rPr>
            </w:pPr>
            <w:r w:rsidRPr="000474CD">
              <w:rPr>
                <w:rFonts w:ascii="Verdana" w:eastAsia="Calibri" w:hAnsi="Verdana" w:cs="Arial"/>
                <w:color w:val="0D0D0D"/>
                <w:lang w:eastAsia="es-MX"/>
              </w:rPr>
              <w:t>En este sentido, el Subgrupo de Ocupación Institucional de Servicio Público corresponde a una categoría de clasificación establecida por la NSR-10 que agrupa a aquellas edificaciones o espacios destinados al ejercicio de funciones administrativas y a la prestación de servicios públicos esenciales para el adecuado funcionamiento de las ciudades. Este subgrupo comprende centros de comunicación, administrativos y sedes de servicios en distintos niveles, juzgados y otros similares. La expresión “Otros similares” evidencia que la enumeración no es taxativa, sino enunciativa, por lo incluye todas aquellas edificaciones que</w:t>
            </w:r>
            <w:r>
              <w:rPr>
                <w:rFonts w:ascii="Verdana" w:eastAsia="Calibri" w:hAnsi="Verdana" w:cs="Arial"/>
                <w:color w:val="0D0D0D"/>
                <w:lang w:eastAsia="es-MX"/>
              </w:rPr>
              <w:t>,</w:t>
            </w:r>
            <w:r w:rsidRPr="000474CD">
              <w:rPr>
                <w:rFonts w:ascii="Verdana" w:eastAsia="Calibri" w:hAnsi="Verdana" w:cs="Arial"/>
                <w:color w:val="0D0D0D"/>
                <w:lang w:eastAsia="es-MX"/>
              </w:rPr>
              <w:t xml:space="preserve"> por su naturaleza y finalidad, están orientadas a la prestación de servicios públicos y al desarrollo de funciones institucionales del Estado, como son las funciones administrativas.  </w:t>
            </w:r>
          </w:p>
          <w:p w14:paraId="315B0326" w14:textId="77777777" w:rsidR="00004F0B" w:rsidRPr="000474CD" w:rsidRDefault="00004F0B" w:rsidP="00004F0B">
            <w:pPr>
              <w:spacing w:after="120" w:line="276" w:lineRule="auto"/>
              <w:ind w:firstLine="708"/>
              <w:jc w:val="both"/>
              <w:rPr>
                <w:rFonts w:ascii="Verdana" w:eastAsia="Calibri" w:hAnsi="Verdana" w:cs="Arial"/>
                <w:color w:val="0D0D0D"/>
                <w:lang w:eastAsia="es-MX"/>
              </w:rPr>
            </w:pPr>
            <w:r w:rsidRPr="000474CD">
              <w:rPr>
                <w:rFonts w:ascii="Verdana" w:eastAsia="Calibri" w:hAnsi="Verdana" w:cs="Arial"/>
                <w:color w:val="0D0D0D"/>
                <w:lang w:eastAsia="es-MX"/>
              </w:rPr>
              <w:t xml:space="preserve">De acuerdo con la definición del Subgrupo de Ocupación Institucional y las edificaciones que este comprende, dentro de este se encuentran las edificaciones institucionales, entendidas estas como la “infraestructura que ha sido construida para funciones específicas (como las administrativas, </w:t>
            </w:r>
            <w:proofErr w:type="spellStart"/>
            <w:r w:rsidRPr="000474CD">
              <w:rPr>
                <w:rFonts w:ascii="Verdana" w:eastAsia="Calibri" w:hAnsi="Verdana" w:cs="Arial"/>
                <w:color w:val="0D0D0D"/>
                <w:lang w:eastAsia="es-MX"/>
              </w:rPr>
              <w:t>etc</w:t>
            </w:r>
            <w:proofErr w:type="spellEnd"/>
            <w:r w:rsidRPr="000474CD">
              <w:rPr>
                <w:rFonts w:ascii="Verdana" w:eastAsia="Calibri" w:hAnsi="Verdana" w:cs="Arial"/>
                <w:color w:val="0D0D0D"/>
                <w:lang w:eastAsia="es-MX"/>
              </w:rPr>
              <w:t>) principalmente para el beneficio e interés público”</w:t>
            </w:r>
            <w:r w:rsidRPr="000474CD">
              <w:rPr>
                <w:rFonts w:ascii="Verdana" w:eastAsia="Calibri" w:hAnsi="Verdana" w:cs="Arial"/>
                <w:color w:val="0D0D0D"/>
                <w:vertAlign w:val="superscript"/>
                <w:lang w:eastAsia="es-MX"/>
              </w:rPr>
              <w:footnoteReference w:id="4"/>
            </w:r>
            <w:r w:rsidRPr="000474CD">
              <w:rPr>
                <w:rFonts w:ascii="Verdana" w:eastAsia="Calibri" w:hAnsi="Verdana" w:cs="Arial"/>
                <w:color w:val="0D0D0D"/>
                <w:lang w:eastAsia="es-MX"/>
              </w:rPr>
              <w:t xml:space="preserve">. </w:t>
            </w:r>
          </w:p>
          <w:p w14:paraId="0B949BE7" w14:textId="77777777" w:rsidR="00004F0B" w:rsidRPr="000474CD" w:rsidRDefault="00004F0B" w:rsidP="00004F0B">
            <w:pPr>
              <w:widowControl w:val="0"/>
              <w:autoSpaceDE w:val="0"/>
              <w:autoSpaceDN w:val="0"/>
              <w:spacing w:after="120" w:line="276" w:lineRule="auto"/>
              <w:ind w:firstLine="708"/>
              <w:jc w:val="both"/>
              <w:rPr>
                <w:rFonts w:ascii="Verdana" w:eastAsia="Aptos" w:hAnsi="Verdana" w:cs="Times New Roman"/>
              </w:rPr>
            </w:pPr>
            <w:r w:rsidRPr="000474CD">
              <w:rPr>
                <w:rFonts w:ascii="Verdana" w:eastAsia="Aptos" w:hAnsi="Verdana" w:cs="Times New Roman"/>
              </w:rPr>
              <w:t>De acuerdo con lo anterior, la entidad que pretenda adelantar alguna actividad de consultoría, obra o interventoría no puede limitarse a descartar la aplicación de estos documentos tipo por el solo hecho de no existir un grupo expedido bajo la denominación de su sector, sino que se encuentra en el deber de examinar, con especial detenimiento, si la consultoría, obra y/o interventoría que pretende contratar está contenida dentro de la Matriz – Experiencia del sector de Infraestructura Social o de algún otro de los documentos tipo expedidos por esta Agencia, en la medida en que la actividad a contratar pueda enmarcarse en alguno de ellos.</w:t>
            </w:r>
          </w:p>
          <w:p w14:paraId="5F2DB140" w14:textId="77777777" w:rsidR="00004F0B" w:rsidRPr="000474CD" w:rsidRDefault="00004F0B" w:rsidP="00004F0B">
            <w:pPr>
              <w:widowControl w:val="0"/>
              <w:autoSpaceDE w:val="0"/>
              <w:autoSpaceDN w:val="0"/>
              <w:spacing w:line="276" w:lineRule="auto"/>
              <w:ind w:firstLine="708"/>
              <w:jc w:val="both"/>
              <w:rPr>
                <w:rFonts w:ascii="Verdana" w:eastAsia="Calibri" w:hAnsi="Verdana" w:cs="Times New Roman"/>
                <w:lang w:val="es-ES"/>
              </w:rPr>
            </w:pPr>
            <w:r w:rsidRPr="000474CD">
              <w:rPr>
                <w:rFonts w:ascii="Verdana" w:eastAsia="Aptos" w:hAnsi="Verdana" w:cs="Times New Roman"/>
              </w:rPr>
              <w:t xml:space="preserve">Por tal razón, la entidad que pretenda adelantar alguna actividad de consultoría, obra o interventoría no puede limitarse a descartar la aplicación de estos documentos tipo por el solo hecho de no existir un grupo expedido </w:t>
            </w:r>
            <w:r w:rsidRPr="000474CD">
              <w:rPr>
                <w:rFonts w:ascii="Verdana" w:eastAsia="Aptos" w:hAnsi="Verdana" w:cs="Times New Roman"/>
              </w:rPr>
              <w:lastRenderedPageBreak/>
              <w:t>bajo la denominación de su sector, sino que se encuentra en el deber de examinar, con especial detenimiento, si la consultoría, obra y/o interventoría que pretende contratar está contenida dentro de la Matriz – Experiencia del sector de Infraestructura Social o de algún otro de los documentos tipo expedidos por esta Agencia, en la medida en que la actividad a contratar pueda enmarcarse en alguno de ellos.</w:t>
            </w:r>
          </w:p>
          <w:p w14:paraId="76F5D743" w14:textId="77777777" w:rsidR="00004F0B" w:rsidRPr="000474CD" w:rsidRDefault="00004F0B" w:rsidP="00004F0B">
            <w:pPr>
              <w:widowControl w:val="0"/>
              <w:autoSpaceDE w:val="0"/>
              <w:autoSpaceDN w:val="0"/>
              <w:spacing w:line="276" w:lineRule="auto"/>
              <w:jc w:val="both"/>
              <w:rPr>
                <w:rFonts w:ascii="Verdana" w:eastAsia="Aptos" w:hAnsi="Verdana" w:cs="Times New Roman"/>
              </w:rPr>
            </w:pPr>
          </w:p>
          <w:p w14:paraId="50501E93" w14:textId="77777777" w:rsidR="00004F0B" w:rsidRPr="000474CD" w:rsidRDefault="00004F0B" w:rsidP="00004F0B">
            <w:pPr>
              <w:widowControl w:val="0"/>
              <w:autoSpaceDE w:val="0"/>
              <w:autoSpaceDN w:val="0"/>
              <w:spacing w:after="120" w:line="276" w:lineRule="auto"/>
              <w:jc w:val="both"/>
              <w:rPr>
                <w:rFonts w:ascii="Verdana" w:eastAsia="Calibri" w:hAnsi="Verdana" w:cs="Times New Roman"/>
                <w:lang w:val="es-ES"/>
              </w:rPr>
            </w:pPr>
            <w:r w:rsidRPr="000474CD">
              <w:rPr>
                <w:rFonts w:ascii="Verdana" w:eastAsia="Aptos" w:hAnsi="Verdana" w:cs="Arial"/>
                <w:lang w:eastAsia="es-ES"/>
              </w:rPr>
              <w:t>Al margen de la explicación precedente debe advertirse que el análisis requerido para resolver problemas específicos en torno a la gestión contractual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6EC6468" w14:textId="2CB1C359" w:rsidR="00004F0B" w:rsidRPr="000474CD" w:rsidRDefault="00004F0B" w:rsidP="00004F0B">
            <w:pPr>
              <w:snapToGrid w:val="0"/>
              <w:spacing w:after="120" w:line="276" w:lineRule="auto"/>
              <w:jc w:val="both"/>
              <w:rPr>
                <w:rFonts w:ascii="Verdana" w:eastAsia="Aptos" w:hAnsi="Verdana" w:cs="Arial"/>
                <w:lang w:eastAsia="es-ES"/>
              </w:rPr>
            </w:pPr>
            <w:r w:rsidRPr="000474CD">
              <w:rPr>
                <w:rFonts w:ascii="Verdana" w:eastAsia="Aptos" w:hAnsi="Verdana" w:cs="Arial"/>
                <w:lang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1A2EBC44" w14:textId="00257D05" w:rsidR="0035398C" w:rsidRPr="00C14F81" w:rsidRDefault="0035398C" w:rsidP="0035398C">
            <w:pPr>
              <w:spacing w:before="120" w:after="120" w:line="276" w:lineRule="auto"/>
              <w:ind w:firstLine="709"/>
              <w:jc w:val="both"/>
              <w:textAlignment w:val="baseline"/>
              <w:rPr>
                <w:rFonts w:ascii="Verdana" w:hAnsi="Verdana"/>
                <w:color w:val="6699FF"/>
              </w:rPr>
            </w:pPr>
            <w:r w:rsidRPr="000474CD">
              <w:rPr>
                <w:rFonts w:ascii="Verdana" w:eastAsia="Aptos" w:hAnsi="Verdana" w:cs="Arial"/>
                <w:lang w:eastAsia="es-ES"/>
              </w:rPr>
              <w:t>.</w:t>
            </w:r>
          </w:p>
        </w:tc>
      </w:tr>
    </w:tbl>
    <w:p w14:paraId="2F661C18" w14:textId="77777777" w:rsidR="0035398C" w:rsidRPr="00C14F81" w:rsidRDefault="0035398C" w:rsidP="0035398C">
      <w:pPr>
        <w:tabs>
          <w:tab w:val="left" w:pos="142"/>
          <w:tab w:val="left" w:pos="284"/>
        </w:tabs>
        <w:spacing w:after="0" w:line="276" w:lineRule="auto"/>
        <w:ind w:left="142" w:hanging="142"/>
        <w:jc w:val="both"/>
        <w:rPr>
          <w:rFonts w:ascii="Verdana" w:eastAsia="Century Gothic" w:hAnsi="Verdana" w:cs="Century Gothic"/>
          <w:b/>
          <w:bCs/>
          <w:color w:val="6699FF"/>
          <w:lang w:val="es-ES"/>
        </w:rPr>
      </w:pPr>
    </w:p>
    <w:p w14:paraId="7B50993C" w14:textId="779C3048" w:rsidR="0035398C" w:rsidRPr="00D5619D" w:rsidRDefault="0035398C" w:rsidP="00D5619D">
      <w:pPr>
        <w:pStyle w:val="Prrafodelista"/>
        <w:numPr>
          <w:ilvl w:val="0"/>
          <w:numId w:val="21"/>
        </w:numPr>
        <w:tabs>
          <w:tab w:val="left" w:pos="142"/>
          <w:tab w:val="left" w:pos="284"/>
        </w:tabs>
        <w:spacing w:after="0" w:line="276" w:lineRule="auto"/>
        <w:jc w:val="both"/>
        <w:rPr>
          <w:rFonts w:ascii="Verdana" w:eastAsia="Calibri" w:hAnsi="Verdana" w:cs="Arial"/>
          <w:lang w:eastAsia="es-MX"/>
        </w:rPr>
      </w:pPr>
      <w:r w:rsidRPr="00D5619D">
        <w:rPr>
          <w:rFonts w:ascii="Verdana" w:eastAsia="Century Gothic" w:hAnsi="Verdana" w:cs="Century Gothic"/>
          <w:b/>
          <w:bCs/>
        </w:rPr>
        <w:t>Razones de la respuesta:</w:t>
      </w:r>
    </w:p>
    <w:p w14:paraId="70F7197D" w14:textId="77777777" w:rsidR="00D5619D" w:rsidRDefault="00D5619D" w:rsidP="00D5619D">
      <w:pPr>
        <w:tabs>
          <w:tab w:val="left" w:pos="142"/>
          <w:tab w:val="left" w:pos="284"/>
        </w:tabs>
        <w:spacing w:after="0" w:line="276" w:lineRule="auto"/>
        <w:jc w:val="both"/>
        <w:rPr>
          <w:rFonts w:ascii="Verdana" w:eastAsia="Century Gothic" w:hAnsi="Verdana" w:cs="Century Gothic"/>
          <w:b/>
          <w:bCs/>
        </w:rPr>
      </w:pPr>
    </w:p>
    <w:p w14:paraId="32CC8DAF" w14:textId="48100D80" w:rsidR="00D5619D" w:rsidRPr="000474CD" w:rsidRDefault="000A6E0C" w:rsidP="00D5619D">
      <w:pPr>
        <w:spacing w:after="120" w:line="276" w:lineRule="auto"/>
        <w:jc w:val="both"/>
        <w:rPr>
          <w:rFonts w:ascii="Verdana" w:eastAsia="Aptos" w:hAnsi="Verdana" w:cs="Arial"/>
          <w:kern w:val="2"/>
          <w14:ligatures w14:val="standardContextual"/>
        </w:rPr>
      </w:pPr>
      <w:r>
        <w:rPr>
          <w:rFonts w:ascii="Verdana" w:eastAsia="Aptos" w:hAnsi="Verdana" w:cs="Arial"/>
          <w:kern w:val="2"/>
          <w14:ligatures w14:val="standardContextual"/>
        </w:rPr>
        <w:t xml:space="preserve">I). </w:t>
      </w:r>
      <w:r w:rsidR="00D5619D" w:rsidRPr="000474CD">
        <w:rPr>
          <w:rFonts w:ascii="Verdana" w:eastAsia="Aptos" w:hAnsi="Verdana" w:cs="Arial"/>
          <w:kern w:val="2"/>
          <w14:ligatures w14:val="standardContextual"/>
        </w:rPr>
        <w:t xml:space="preserve">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w:t>
      </w:r>
      <w:r w:rsidR="00D5619D" w:rsidRPr="000474CD">
        <w:rPr>
          <w:rFonts w:ascii="Verdana" w:eastAsia="Aptos" w:hAnsi="Verdana" w:cs="Arial"/>
          <w:kern w:val="2"/>
          <w14:ligatures w14:val="standardContextual"/>
        </w:rPr>
        <w:lastRenderedPageBreak/>
        <w:t xml:space="preserve">actividad contractual de todas las entidades sometidas al Estatuto General de la Administración Pública. </w:t>
      </w:r>
    </w:p>
    <w:p w14:paraId="6C643CD3"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C</w:t>
      </w:r>
      <w:proofErr w:type="spellStart"/>
      <w:r w:rsidRPr="000474CD">
        <w:rPr>
          <w:rFonts w:ascii="Verdana" w:eastAsia="Aptos" w:hAnsi="Verdana" w:cs="Arial"/>
          <w:kern w:val="2"/>
          <w:lang w:val="es-ES"/>
          <w14:ligatures w14:val="standardContextual"/>
        </w:rPr>
        <w:t>on</w:t>
      </w:r>
      <w:proofErr w:type="spellEnd"/>
      <w:r w:rsidRPr="000474CD">
        <w:rPr>
          <w:rFonts w:ascii="Verdana" w:eastAsia="Aptos" w:hAnsi="Verdana" w:cs="Arial"/>
          <w:kern w:val="2"/>
          <w:lang w:val="es-ES"/>
          <w14:ligatures w14:val="standardContextual"/>
        </w:rPr>
        <w:t xml:space="preserve"> sustento en esta competencia, esta Agencia expidió diversos grupos de Documentos Tipo aplicables principalmente a la contratación de obras públicas de infraestructura de transporte,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5C7E6B14" w14:textId="77777777" w:rsidR="00D5619D" w:rsidRPr="000474CD" w:rsidRDefault="00D5619D" w:rsidP="00D5619D">
      <w:pPr>
        <w:spacing w:after="120" w:line="276" w:lineRule="auto"/>
        <w:ind w:firstLine="708"/>
        <w:jc w:val="both"/>
        <w:rPr>
          <w:rFonts w:ascii="Verdana" w:eastAsia="Calibri" w:hAnsi="Verdana" w:cs="Arial"/>
          <w:kern w:val="2"/>
          <w14:ligatures w14:val="standardContextual"/>
        </w:rPr>
      </w:pPr>
      <w:r w:rsidRPr="000474CD">
        <w:rPr>
          <w:rFonts w:ascii="Verdana" w:eastAsia="Aptos" w:hAnsi="Verdana" w:cs="Arial"/>
          <w:kern w:val="2"/>
          <w14:ligatures w14:val="standardContextual"/>
        </w:rPr>
        <w:t xml:space="preserve">Concretamente, en relación con su solicitud, debe indicarse que, </w:t>
      </w:r>
      <w:r w:rsidRPr="000474CD">
        <w:rPr>
          <w:rFonts w:ascii="Verdana" w:eastAsia="Calibri" w:hAnsi="Verdana" w:cs="Arial"/>
          <w:kern w:val="2"/>
          <w:lang w:val="es-MX"/>
          <w14:ligatures w14:val="standardContextual"/>
        </w:rPr>
        <w:t xml:space="preserve">la Agencia Nacional de Contratación Pública – Colombia Compra </w:t>
      </w:r>
      <w:r w:rsidRPr="000474CD">
        <w:rPr>
          <w:rFonts w:ascii="Verdana" w:eastAsia="Calibri" w:hAnsi="Verdana" w:cs="Arial"/>
          <w:kern w:val="2"/>
          <w14:ligatures w14:val="standardContextual"/>
        </w:rPr>
        <w:t>Eficiente expidió los siguientes Documentos Tipo que se encuentran vigentes:</w:t>
      </w:r>
    </w:p>
    <w:p w14:paraId="78DEC4FD"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i. Sector de Infraestructura de Transporte:</w:t>
      </w:r>
    </w:p>
    <w:p w14:paraId="15381F3D"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Resolución 46</w:t>
      </w:r>
      <w:r>
        <w:rPr>
          <w:rFonts w:ascii="Verdana" w:eastAsia="Aptos" w:hAnsi="Verdana" w:cs="Arial"/>
          <w:kern w:val="2"/>
          <w14:ligatures w14:val="standardContextual"/>
        </w:rPr>
        <w:t>5</w:t>
      </w:r>
      <w:r w:rsidRPr="000474CD">
        <w:rPr>
          <w:rFonts w:ascii="Verdana" w:eastAsia="Aptos" w:hAnsi="Verdana" w:cs="Arial"/>
          <w:kern w:val="2"/>
          <w14:ligatures w14:val="standardContextual"/>
        </w:rPr>
        <w:t xml:space="preserve"> del 10 de septiembre de 2024: “Por la cual se adopta la versión 4 de los documentos tipo para los procesos de selección de licitación de obra pública de infraestructura de transporte y se deroga la Resolución 240 de 2020”.</w:t>
      </w:r>
    </w:p>
    <w:p w14:paraId="25132E6B"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Resolución 463 del 10 de septiembre de 2024: “Por la cual se adopta la versión 3 de los documentos tipo para los procesos de selección abreviada de menor cuantía de obra pública de infraestructura de transporte y se deroga la Resolución 241 de 2020”.</w:t>
      </w:r>
    </w:p>
    <w:p w14:paraId="6BE88EBE"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Resolución 464 del 10 de septiembre de 2024: “Por la cual se actualizan los documentos tipo para los procesos de obra pública de infraestructura de transporte adelantados bajo la modalidad de mínima cuantía”. </w:t>
      </w:r>
    </w:p>
    <w:p w14:paraId="53B900FD"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Resolución 725 del 19 de diciembre de 2024: “Por la cual se adopta la versión 3 de los documentos tipo para los procesos de selección de concurso de méritos para contratar la interventoría de obras públicas de infraestructura de transporte y se deroga la Resolución 326 de 2022”.</w:t>
      </w:r>
    </w:p>
    <w:p w14:paraId="7B67CE63"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Resolución 726 del 19 de diciembre de 2024: “Por la cual se adopta la versión 2 de los documentos tipo para los procesos de selección de concurso de </w:t>
      </w:r>
      <w:r w:rsidRPr="000474CD">
        <w:rPr>
          <w:rFonts w:ascii="Verdana" w:eastAsia="Aptos" w:hAnsi="Verdana" w:cs="Arial"/>
          <w:kern w:val="2"/>
          <w14:ligatures w14:val="standardContextual"/>
        </w:rPr>
        <w:lastRenderedPageBreak/>
        <w:t>méritos para contratar la consultoría de ingeniería de infraestructura de transporte y se deroga la Resolución 193 de 2021”.</w:t>
      </w:r>
    </w:p>
    <w:p w14:paraId="58659C0E"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proofErr w:type="spellStart"/>
      <w:r w:rsidRPr="000474CD">
        <w:rPr>
          <w:rFonts w:ascii="Verdana" w:eastAsia="Aptos" w:hAnsi="Verdana" w:cs="Arial"/>
          <w:kern w:val="2"/>
          <w14:ligatures w14:val="standardContextual"/>
        </w:rPr>
        <w:t>ii</w:t>
      </w:r>
      <w:proofErr w:type="spellEnd"/>
      <w:r w:rsidRPr="000474CD">
        <w:rPr>
          <w:rFonts w:ascii="Verdana" w:eastAsia="Aptos" w:hAnsi="Verdana" w:cs="Arial"/>
          <w:kern w:val="2"/>
          <w14:ligatures w14:val="standardContextual"/>
        </w:rPr>
        <w:t>. Sector de Infraestructura de Agua Potable y Saneamiento Básico:</w:t>
      </w:r>
    </w:p>
    <w:p w14:paraId="4D20BB19"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Resolución 248 del 1 de diciembre de 2020: </w:t>
      </w:r>
      <w:r>
        <w:rPr>
          <w:rFonts w:ascii="Verdana" w:eastAsia="Aptos" w:hAnsi="Verdana" w:cs="Arial"/>
          <w:kern w:val="2"/>
          <w14:ligatures w14:val="standardContextual"/>
        </w:rPr>
        <w:t>“</w:t>
      </w:r>
      <w:r w:rsidRPr="000474CD">
        <w:rPr>
          <w:rFonts w:ascii="Verdana" w:eastAsia="Aptos" w:hAnsi="Verdana" w:cs="Arial"/>
          <w:kern w:val="2"/>
          <w14:ligatures w14:val="standardContextual"/>
        </w:rPr>
        <w:t>Por la cual se adoptan los documentos tipo para los procesos de licitación pública para obras de infraestructura de agua potable y saneamiento básico</w:t>
      </w:r>
      <w:r>
        <w:rPr>
          <w:rFonts w:ascii="Verdana" w:eastAsia="Aptos" w:hAnsi="Verdana" w:cs="Arial"/>
          <w:kern w:val="2"/>
          <w14:ligatures w14:val="standardContextual"/>
        </w:rPr>
        <w:t xml:space="preserve">”. </w:t>
      </w:r>
    </w:p>
    <w:p w14:paraId="7BB68B24"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 Resolución 249 del 1 de diciembre de 2020: “Por la cual se adoptan los documentos tipo para los procesos de licitación pública para obras de infraestructura de agua potable y saneamiento básico en la modalidad de llave en mano</w:t>
      </w:r>
      <w:r>
        <w:rPr>
          <w:rFonts w:ascii="Verdana" w:eastAsia="Aptos" w:hAnsi="Verdana" w:cs="Arial"/>
          <w:kern w:val="2"/>
          <w14:ligatures w14:val="standardContextual"/>
        </w:rPr>
        <w:t>”</w:t>
      </w:r>
      <w:r w:rsidRPr="000474CD">
        <w:rPr>
          <w:rFonts w:ascii="Verdana" w:eastAsia="Aptos" w:hAnsi="Verdana" w:cs="Arial"/>
          <w:kern w:val="2"/>
          <w14:ligatures w14:val="standardContextual"/>
        </w:rPr>
        <w:t>.</w:t>
      </w:r>
    </w:p>
    <w:p w14:paraId="2504D4D9"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Resolución 333 del 27 de julio de 2022: “Por la cual se adoptan los documentos tipo para los procesos de selección de concurso de méritos para contratar la interventoría de obras públicas de infraestructura de agua potable y saneamiento básico”.  </w:t>
      </w:r>
    </w:p>
    <w:p w14:paraId="45664A8B"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proofErr w:type="spellStart"/>
      <w:r w:rsidRPr="000474CD">
        <w:rPr>
          <w:rFonts w:ascii="Verdana" w:eastAsia="Aptos" w:hAnsi="Verdana" w:cs="Arial"/>
          <w:kern w:val="2"/>
          <w14:ligatures w14:val="standardContextual"/>
        </w:rPr>
        <w:t>iii</w:t>
      </w:r>
      <w:proofErr w:type="spellEnd"/>
      <w:r w:rsidRPr="000474CD">
        <w:rPr>
          <w:rFonts w:ascii="Verdana" w:eastAsia="Aptos" w:hAnsi="Verdana" w:cs="Arial"/>
          <w:kern w:val="2"/>
          <w14:ligatures w14:val="standardContextual"/>
        </w:rPr>
        <w:t xml:space="preserve">. Sector de Infraestructura Social: </w:t>
      </w:r>
    </w:p>
    <w:p w14:paraId="00469BCE"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2FD3D121"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 </w:t>
      </w:r>
      <w:proofErr w:type="spellStart"/>
      <w:r w:rsidRPr="000474CD">
        <w:rPr>
          <w:rFonts w:ascii="Verdana" w:eastAsia="Aptos" w:hAnsi="Verdana" w:cs="Arial"/>
          <w:kern w:val="2"/>
          <w14:ligatures w14:val="standardContextual"/>
        </w:rPr>
        <w:t>ii</w:t>
      </w:r>
      <w:proofErr w:type="spellEnd"/>
      <w:r w:rsidRPr="000474CD">
        <w:rPr>
          <w:rFonts w:ascii="Verdana" w:eastAsia="Aptos" w:hAnsi="Verdana" w:cs="Arial"/>
          <w:kern w:val="2"/>
          <w14:ligatures w14:val="standardContextual"/>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6C0AA7AB"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proofErr w:type="spellStart"/>
      <w:r w:rsidRPr="000474CD">
        <w:rPr>
          <w:rFonts w:ascii="Verdana" w:eastAsia="Aptos" w:hAnsi="Verdana" w:cs="Arial"/>
          <w:kern w:val="2"/>
          <w14:ligatures w14:val="standardContextual"/>
        </w:rPr>
        <w:t>iii</w:t>
      </w:r>
      <w:proofErr w:type="spellEnd"/>
      <w:r w:rsidRPr="000474CD">
        <w:rPr>
          <w:rFonts w:ascii="Verdana" w:eastAsia="Aptos" w:hAnsi="Verdana" w:cs="Arial"/>
          <w:kern w:val="2"/>
          <w14:ligatures w14:val="standardContextual"/>
        </w:rPr>
        <w:t xml:space="preserve">) Resolución 541 del 21 de agosto de 2025 “Por la cual se adoptan los documentos tipo para los procesos de mínima cuantía de obra pública de infraestructura social; y los documentos tipo complementarios para los procesos </w:t>
      </w:r>
      <w:r w:rsidRPr="000474CD">
        <w:rPr>
          <w:rFonts w:ascii="Verdana" w:eastAsia="Aptos" w:hAnsi="Verdana" w:cs="Arial"/>
          <w:kern w:val="2"/>
          <w14:ligatures w14:val="standardContextual"/>
        </w:rPr>
        <w:lastRenderedPageBreak/>
        <w:t xml:space="preserve">de mínima cuantía de obra pública de infraestructura social relacionados con los sectores educación, salud, cultura, recreación y deporte, institucional y vivienda”. </w:t>
      </w:r>
    </w:p>
    <w:p w14:paraId="6FCF3AB0"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proofErr w:type="spellStart"/>
      <w:r w:rsidRPr="000474CD">
        <w:rPr>
          <w:rFonts w:ascii="Verdana" w:eastAsia="Aptos" w:hAnsi="Verdana" w:cs="Arial"/>
          <w:kern w:val="2"/>
          <w14:ligatures w14:val="standardContextual"/>
        </w:rPr>
        <w:t>iv</w:t>
      </w:r>
      <w:proofErr w:type="spellEnd"/>
      <w:r w:rsidRPr="000474CD">
        <w:rPr>
          <w:rFonts w:ascii="Verdana" w:eastAsia="Aptos" w:hAnsi="Verdana" w:cs="Arial"/>
          <w:kern w:val="2"/>
          <w14:ligatures w14:val="standardContextual"/>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7C0B5D9B"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 </w:t>
      </w:r>
    </w:p>
    <w:p w14:paraId="5B130442"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proofErr w:type="spellStart"/>
      <w:r w:rsidRPr="000474CD">
        <w:rPr>
          <w:rFonts w:ascii="Verdana" w:eastAsia="Aptos" w:hAnsi="Verdana" w:cs="Arial"/>
          <w:kern w:val="2"/>
          <w14:ligatures w14:val="standardContextual"/>
        </w:rPr>
        <w:t>iv</w:t>
      </w:r>
      <w:proofErr w:type="spellEnd"/>
      <w:r w:rsidRPr="000474CD">
        <w:rPr>
          <w:rFonts w:ascii="Verdana" w:eastAsia="Aptos" w:hAnsi="Verdana" w:cs="Arial"/>
          <w:kern w:val="2"/>
          <w14:ligatures w14:val="standardContextual"/>
        </w:rPr>
        <w:t>. Documentos tipo para la contratación directa de convenios solidarios:</w:t>
      </w:r>
    </w:p>
    <w:p w14:paraId="0397490C" w14:textId="77777777" w:rsidR="00D5619D" w:rsidRPr="000474CD" w:rsidRDefault="00D5619D" w:rsidP="00D5619D">
      <w:pPr>
        <w:spacing w:after="120" w:line="276" w:lineRule="auto"/>
        <w:ind w:firstLine="708"/>
        <w:jc w:val="both"/>
        <w:rPr>
          <w:rFonts w:ascii="Verdana" w:eastAsia="Aptos" w:hAnsi="Verdana" w:cs="Times New Roman"/>
          <w:kern w:val="2"/>
          <w14:ligatures w14:val="standardContextual"/>
        </w:rPr>
      </w:pPr>
      <w:r w:rsidRPr="000474CD">
        <w:rPr>
          <w:rFonts w:ascii="Verdana" w:eastAsia="Aptos" w:hAnsi="Verdana" w:cs="Arial"/>
          <w:kern w:val="2"/>
          <w14:ligatures w14:val="standardContextual"/>
        </w:rPr>
        <w:t>Resolución 358 del 30 de junio de 2023 “</w:t>
      </w:r>
      <w:r w:rsidRPr="000474CD">
        <w:rPr>
          <w:rFonts w:ascii="Verdana" w:eastAsia="Aptos" w:hAnsi="Verdana" w:cs="Times New Roman"/>
          <w:kern w:val="2"/>
          <w14:ligatures w14:val="standardContextual"/>
        </w:rPr>
        <w:t xml:space="preserve">Por la cual se adopta el documento tipo para la contratación directa de convenios solidarios para la ejecución de obras hasta la menor cuantía con organismos de acción comunal”. </w:t>
      </w:r>
    </w:p>
    <w:p w14:paraId="5DDA0881" w14:textId="77777777" w:rsidR="00D5619D" w:rsidRPr="000474CD" w:rsidRDefault="00D5619D" w:rsidP="00D5619D">
      <w:pPr>
        <w:spacing w:after="120" w:line="276" w:lineRule="auto"/>
        <w:ind w:firstLine="708"/>
        <w:jc w:val="both"/>
        <w:rPr>
          <w:rFonts w:ascii="Verdana" w:eastAsia="Aptos" w:hAnsi="Verdana" w:cs="Times New Roman"/>
          <w:kern w:val="2"/>
          <w14:ligatures w14:val="standardContextual"/>
        </w:rPr>
      </w:pPr>
      <w:r w:rsidRPr="000474CD">
        <w:rPr>
          <w:rFonts w:ascii="Verdana" w:eastAsia="Aptos" w:hAnsi="Verdana" w:cs="Times New Roman"/>
          <w:kern w:val="2"/>
          <w14:ligatures w14:val="standardContextual"/>
        </w:rPr>
        <w:t xml:space="preserve">v. Documentos tipo de gestión catastral: </w:t>
      </w:r>
    </w:p>
    <w:p w14:paraId="10853115" w14:textId="77777777" w:rsidR="00D5619D" w:rsidRPr="000474CD" w:rsidRDefault="00D5619D" w:rsidP="00D5619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Resolución 269 del 16 de diciembre de 2020 “Por la cual se adopta el documento tipo para los procesos de gestión catastral con enfoque multipropósito que se celebren a través de contratos interadministrativos”. </w:t>
      </w:r>
    </w:p>
    <w:p w14:paraId="60B89B8A" w14:textId="77777777" w:rsidR="00D5619D" w:rsidRPr="000474CD" w:rsidRDefault="00D5619D" w:rsidP="00D5619D">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 xml:space="preserve">Es importante resaltar que, en virtud de la regla de inalterabilidad, los documentos tipo solo pueden ser modificados en los aspectos en que estos lo permitan. Esto corresponde a aquellos aspectos que se encuentran entre corchetes y resaltados en gris </w:t>
      </w:r>
      <w:r w:rsidRPr="000474CD">
        <w:rPr>
          <w:rFonts w:ascii="Verdana" w:eastAsia="Calibri" w:hAnsi="Verdana" w:cs="Times New Roman"/>
          <w:shd w:val="clear" w:color="auto" w:fill="E8E8E8"/>
          <w:lang w:val="es-ES"/>
        </w:rPr>
        <w:t>–[texto]–,</w:t>
      </w:r>
      <w:r w:rsidRPr="000474CD">
        <w:rPr>
          <w:rFonts w:ascii="Verdana" w:eastAsia="Calibri" w:hAnsi="Verdana" w:cs="Times New Roman"/>
          <w:lang w:val="es-ES"/>
        </w:rPr>
        <w:t xml:space="preserve"> para lo cual deberán observarse las instrucciones contenidas en los mismos para su diligenciamiento.</w:t>
      </w:r>
    </w:p>
    <w:p w14:paraId="2533DDB8" w14:textId="77777777" w:rsidR="00D5619D" w:rsidRPr="000474CD" w:rsidRDefault="00D5619D" w:rsidP="00D5619D">
      <w:pPr>
        <w:widowControl w:val="0"/>
        <w:autoSpaceDE w:val="0"/>
        <w:autoSpaceDN w:val="0"/>
        <w:spacing w:after="0" w:line="276" w:lineRule="auto"/>
        <w:ind w:firstLine="708"/>
        <w:jc w:val="both"/>
        <w:rPr>
          <w:rFonts w:ascii="Verdana" w:eastAsia="Calibri" w:hAnsi="Verdana" w:cs="Times New Roman"/>
          <w:lang w:val="es-ES"/>
        </w:rPr>
      </w:pPr>
      <w:r w:rsidRPr="000474CD">
        <w:rPr>
          <w:rFonts w:ascii="Verdana" w:eastAsia="Calibri" w:hAnsi="Verdana" w:cs="Times New Roman"/>
          <w:lang w:val="es-ES"/>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w:t>
      </w:r>
      <w:r w:rsidRPr="000474CD">
        <w:rPr>
          <w:rFonts w:ascii="Verdana" w:eastAsia="Calibri" w:hAnsi="Verdana" w:cs="Times New Roman"/>
          <w:lang w:val="es-ES"/>
        </w:rPr>
        <w:lastRenderedPageBreak/>
        <w:t xml:space="preserve">alteración. </w:t>
      </w:r>
    </w:p>
    <w:p w14:paraId="51CD947D" w14:textId="77777777" w:rsidR="00D5619D" w:rsidRPr="000474CD" w:rsidRDefault="00D5619D" w:rsidP="00D5619D">
      <w:pPr>
        <w:widowControl w:val="0"/>
        <w:autoSpaceDE w:val="0"/>
        <w:autoSpaceDN w:val="0"/>
        <w:spacing w:after="0" w:line="276" w:lineRule="auto"/>
        <w:jc w:val="both"/>
        <w:rPr>
          <w:rFonts w:ascii="Verdana" w:eastAsia="Calibri" w:hAnsi="Verdana" w:cs="Times New Roman"/>
          <w:lang w:val="es-ES"/>
        </w:rPr>
      </w:pPr>
    </w:p>
    <w:p w14:paraId="56C66589" w14:textId="35E9BCFC" w:rsidR="00D5619D" w:rsidRPr="000474CD" w:rsidRDefault="00D5619D" w:rsidP="00D5619D">
      <w:pPr>
        <w:widowControl w:val="0"/>
        <w:autoSpaceDE w:val="0"/>
        <w:autoSpaceDN w:val="0"/>
        <w:spacing w:after="120" w:line="276" w:lineRule="auto"/>
        <w:jc w:val="both"/>
        <w:rPr>
          <w:rFonts w:ascii="Verdana" w:eastAsia="Calibri" w:hAnsi="Verdana" w:cs="Times New Roman"/>
          <w:lang w:val="es-ES"/>
        </w:rPr>
      </w:pPr>
      <w:r>
        <w:rPr>
          <w:rFonts w:ascii="Verdana" w:eastAsia="Calibri" w:hAnsi="Verdana" w:cs="Times New Roman"/>
          <w:lang w:val="es-ES"/>
        </w:rPr>
        <w:t>II)</w:t>
      </w:r>
      <w:r w:rsidRPr="000474CD">
        <w:rPr>
          <w:rFonts w:ascii="Verdana" w:eastAsia="Calibri" w:hAnsi="Verdana" w:cs="Times New Roman"/>
          <w:lang w:val="es-ES"/>
        </w:rPr>
        <w:t>. 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143228B7" w14:textId="77777777" w:rsidR="00D5619D" w:rsidRPr="000474CD" w:rsidRDefault="00D5619D" w:rsidP="00D5619D">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6350B631" w14:textId="77777777" w:rsidR="00D5619D" w:rsidRPr="000474CD" w:rsidRDefault="00D5619D" w:rsidP="00D5619D">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2A6A5B1B" w14:textId="77777777" w:rsidR="00D5619D" w:rsidRPr="000474CD" w:rsidRDefault="00D5619D" w:rsidP="00D5619D">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De esta manera, para saber a qué actividades deben aplicarse los documentos tipo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4D35E476" w14:textId="77777777" w:rsidR="00D5619D" w:rsidRPr="000474CD" w:rsidRDefault="00D5619D" w:rsidP="00D5619D">
      <w:pPr>
        <w:widowControl w:val="0"/>
        <w:autoSpaceDE w:val="0"/>
        <w:autoSpaceDN w:val="0"/>
        <w:spacing w:after="0" w:line="276" w:lineRule="auto"/>
        <w:jc w:val="both"/>
        <w:rPr>
          <w:rFonts w:ascii="Verdana" w:eastAsia="Calibri" w:hAnsi="Verdana" w:cs="Times New Roman"/>
          <w:lang w:val="es-ES"/>
        </w:rPr>
      </w:pPr>
    </w:p>
    <w:p w14:paraId="278A71EA" w14:textId="4E002191" w:rsidR="00D5619D" w:rsidRPr="000474CD" w:rsidRDefault="00D5619D" w:rsidP="00D5619D">
      <w:pPr>
        <w:snapToGrid w:val="0"/>
        <w:spacing w:after="120" w:line="276" w:lineRule="auto"/>
        <w:jc w:val="both"/>
        <w:rPr>
          <w:rFonts w:ascii="Verdana" w:eastAsia="Times New Roman" w:hAnsi="Verdana" w:cs="Times New Roman"/>
          <w:lang w:eastAsia="es-MX"/>
        </w:rPr>
      </w:pPr>
      <w:r>
        <w:rPr>
          <w:rFonts w:ascii="Verdana" w:eastAsia="Calibri" w:hAnsi="Verdana" w:cs="Times New Roman"/>
          <w:lang w:val="es-ES" w:eastAsia="es-MX"/>
        </w:rPr>
        <w:lastRenderedPageBreak/>
        <w:t xml:space="preserve">III). </w:t>
      </w:r>
      <w:r w:rsidRPr="000474CD">
        <w:rPr>
          <w:rFonts w:ascii="Verdana" w:eastAsia="Calibri" w:hAnsi="Verdana" w:cs="Times New Roman"/>
          <w:lang w:val="es-ES" w:eastAsia="es-MX"/>
        </w:rPr>
        <w:t xml:space="preserve"> </w:t>
      </w:r>
      <w:r w:rsidRPr="000474CD">
        <w:rPr>
          <w:rFonts w:ascii="Verdana" w:eastAsia="Times New Roman" w:hAnsi="Verdana" w:cs="Times New Roman"/>
          <w:lang w:eastAsia="es-MX"/>
        </w:rPr>
        <w:t>Teniendo en cuenta los problemas jurídicos planteados en este concepto, la Agencia Nacional de Contratación Pública – Colombia Compra Eficiente le informa que, en relación con los documentos tipo aplicables al sector “Comercio, Industria y Turismo”, la entidad que a él pertenezca deberá determinar si la actividad que pretende contratar y la modalidad de selección correspondiente se enmarcan en alguno de los instrumentos expedidos por esta Agencia, identificados en el punto (i), acudiendo para ello al procedimiento señalado en el numeral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—ambos de este concepto—.</w:t>
      </w:r>
    </w:p>
    <w:p w14:paraId="0540D8D5" w14:textId="77777777" w:rsidR="00D5619D" w:rsidRPr="000474CD" w:rsidRDefault="00D5619D" w:rsidP="00D5619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De esta forma, la circunstancia de que no exista un grupo de documentos tipo expedido bajo dicha denominación “Comercio, Industria y Turismo” no conduce, por sí sola, a concluir que las actividades que en ese sector se contraten se encuentren excluidas de su aplicación, pues tal conclusión desconocería el criterio que esta Entidad ha sostenido de manera reiterada –punto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de este concepto–, según el cual la obligatoriedad de cada instrumento se determina en función de la actividad contractual descrita en la Matriz – Experiencia y desarrollada en el Anexo – Glosario correspondiente, y no en función del nombre o adscripción sectorial de la entidad contratante o del ministerio cabeza de sector.</w:t>
      </w:r>
    </w:p>
    <w:p w14:paraId="23CB070C" w14:textId="77777777" w:rsidR="00D5619D" w:rsidRPr="000474CD" w:rsidRDefault="00D5619D" w:rsidP="00D5619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Así las cosas, resulta pertinente destacar que lo relevante no es que exista, en sentido nominal, un documento tipo para el sector “Comercio, Industria y Turismo”, sino que la actividad que se pretenda contratar se encuentre comprendida dentro de alguna de las Matrices – Experiencia vigentes. Es este segundo elemento el que debe orientar el análisis de toda entidad estatal, con independencia de su origen sectorial, de manera que le corresponde adelantar un ejercicio de subsunción técnica consistente en identificar el objeto contractual y confrontarlo con las matrices de los distintos grupos de documentos tipo vigentes, para concluir, a partir de ello, sobre la obligatoriedad o no del respectivo instrumento. En este sentido, dicha obligatoriedad no admite matices ni graduaciones: si la actividad se encuentra comprendida en la matriz correspondiente, el documento tipo resulta obligatorio, sin que la entidad pueda sustraerse de su empleo invocando su pertenencia a un sector distinto de aquel bajo cuya denominación fue expedido.</w:t>
      </w:r>
    </w:p>
    <w:p w14:paraId="3EDA1C85" w14:textId="77777777" w:rsidR="00D5619D" w:rsidRPr="000474CD" w:rsidRDefault="00D5619D" w:rsidP="00D5619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 xml:space="preserve">Esta metodología reviste especial trascendencia práctica para las entidades del sector “Comercio, Industria y Turismo”, comoquiera que buena parte de su infraestructura física –centros de convenciones, plazas de mercado, </w:t>
      </w:r>
      <w:r w:rsidRPr="000474CD">
        <w:rPr>
          <w:rFonts w:ascii="Verdana" w:eastAsia="Times New Roman" w:hAnsi="Verdana" w:cs="Times New Roman"/>
          <w:lang w:eastAsia="es-MX"/>
        </w:rPr>
        <w:lastRenderedPageBreak/>
        <w:t>terminales de transporte turístico, edificaciones institucionales de apoyo a la actividad comercial o industrial, equipamientos feriales, entre otros– suele coincidir, en su naturaleza técnica, con tipologías de obra ya estandarizadas por esta Agencia bajo categorías distintas a la nominal “Comercio, Industria y Turismo”.</w:t>
      </w:r>
    </w:p>
    <w:p w14:paraId="5084E6E4" w14:textId="77777777" w:rsidR="00D5619D" w:rsidRPr="000474CD" w:rsidRDefault="00D5619D" w:rsidP="00D5619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 xml:space="preserve">De esta forma, dentro de los documentos tipo actualmente vigentes –identificados en el punto (i) de este concepto–, los correspondientes al sector de Infraestructura Social merecen especial relevancia para las entidades cuyo objeto contractual se vincule con el sector “Comercio, Industria y Turismo”, particularmente los relacionados con el sector cultura, recreación y deporte, y los del sector institucional, considerando que estos recaen –respectivamente– en los siguientes tipos de infraestructura: i) obras de infraestructura cultural;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xml:space="preserve">) obras de infraestructura </w:t>
      </w:r>
      <w:proofErr w:type="spellStart"/>
      <w:r w:rsidRPr="000474CD">
        <w:rPr>
          <w:rFonts w:ascii="Verdana" w:eastAsia="Times New Roman" w:hAnsi="Verdana" w:cs="Times New Roman"/>
          <w:lang w:eastAsia="es-MX"/>
        </w:rPr>
        <w:t>recreodeportiva</w:t>
      </w:r>
      <w:proofErr w:type="spellEnd"/>
      <w:r w:rsidRPr="000474CD">
        <w:rPr>
          <w:rFonts w:ascii="Verdana" w:eastAsia="Times New Roman" w:hAnsi="Verdana" w:cs="Times New Roman"/>
          <w:lang w:eastAsia="es-MX"/>
        </w:rPr>
        <w:t xml:space="preserve">; </w:t>
      </w:r>
      <w:proofErr w:type="spellStart"/>
      <w:r w:rsidRPr="000474CD">
        <w:rPr>
          <w:rFonts w:ascii="Verdana" w:eastAsia="Times New Roman" w:hAnsi="Verdana" w:cs="Times New Roman"/>
          <w:lang w:eastAsia="es-MX"/>
        </w:rPr>
        <w:t>iii</w:t>
      </w:r>
      <w:proofErr w:type="spellEnd"/>
      <w:r w:rsidRPr="000474CD">
        <w:rPr>
          <w:rFonts w:ascii="Verdana" w:eastAsia="Times New Roman" w:hAnsi="Verdana" w:cs="Times New Roman"/>
          <w:lang w:eastAsia="es-MX"/>
        </w:rPr>
        <w:t xml:space="preserve">) obras en infraestructura del sector cultura, recreación y deporte; y, de otra parte en </w:t>
      </w:r>
      <w:r w:rsidRPr="000474CD">
        <w:rPr>
          <w:rFonts w:ascii="Verdana" w:eastAsia="Times New Roman" w:hAnsi="Verdana" w:cs="Times New Roman"/>
          <w:i/>
          <w:iCs/>
          <w:lang w:eastAsia="es-MX"/>
        </w:rPr>
        <w:t>obras en proyectos de infraestructura institucional de servicio público</w:t>
      </w:r>
      <w:r w:rsidRPr="000474CD">
        <w:rPr>
          <w:rFonts w:ascii="Verdana" w:eastAsia="Times New Roman" w:hAnsi="Verdana" w:cs="Times New Roman"/>
          <w:lang w:eastAsia="es-MX"/>
        </w:rPr>
        <w:t xml:space="preserve"> –entre otras–. </w:t>
      </w:r>
    </w:p>
    <w:p w14:paraId="159AAB19" w14:textId="77777777" w:rsidR="00D5619D" w:rsidRPr="000474CD" w:rsidRDefault="00D5619D" w:rsidP="00D5619D">
      <w:pPr>
        <w:spacing w:after="120" w:line="276" w:lineRule="auto"/>
        <w:ind w:firstLine="708"/>
        <w:jc w:val="both"/>
        <w:rPr>
          <w:rFonts w:ascii="Verdana" w:eastAsia="Calibri" w:hAnsi="Verdana" w:cs="Arial"/>
          <w:color w:val="0D0D0D"/>
          <w:lang w:eastAsia="es-MX"/>
        </w:rPr>
      </w:pPr>
      <w:r w:rsidRPr="000474CD">
        <w:rPr>
          <w:rFonts w:ascii="Verdana" w:eastAsia="Aptos" w:hAnsi="Verdana" w:cs="Times New Roman"/>
          <w:kern w:val="2"/>
          <w14:ligatures w14:val="standardContextual"/>
        </w:rPr>
        <w:t xml:space="preserve">Particularmente, sobre el tipo de obras “en proyectos de infraestructura institucional de servicio público”, contenidas en los documentos tipo del Sector Institucional, la Agencia Nacional de Contratación Pública – Colombia Compra Eficiente ha indicado que, </w:t>
      </w:r>
      <w:r w:rsidRPr="000474CD">
        <w:rPr>
          <w:rFonts w:ascii="Verdana" w:eastAsia="Times New Roman" w:hAnsi="Verdana" w:cs="Calibri"/>
          <w:lang w:eastAsia="es-MX"/>
        </w:rPr>
        <w:t xml:space="preserve">de conformidad con la norma </w:t>
      </w:r>
      <w:r w:rsidRPr="000474CD">
        <w:rPr>
          <w:rFonts w:ascii="Verdana" w:eastAsia="Calibri" w:hAnsi="Verdana" w:cs="Arial"/>
          <w:color w:val="0D0D0D"/>
          <w:lang w:eastAsia="es-MX"/>
        </w:rPr>
        <w:t>NSR-10 en el Subgrupo de Ocupación Institucional de Servicio Público (I-5) “se clasifican las edificaciones o espacios destinados a funciones administrativas y prestación de servicios públicos necesarios para el buen funcionamiento de las ciudades”</w:t>
      </w:r>
      <w:r w:rsidRPr="000474CD">
        <w:rPr>
          <w:rFonts w:ascii="Verdana" w:eastAsia="Calibri" w:hAnsi="Verdana" w:cs="Arial"/>
          <w:color w:val="0D0D0D"/>
          <w:vertAlign w:val="superscript"/>
          <w:lang w:eastAsia="es-MX"/>
        </w:rPr>
        <w:footnoteReference w:id="5"/>
      </w:r>
      <w:r w:rsidRPr="000474CD">
        <w:rPr>
          <w:rFonts w:ascii="Verdana" w:eastAsia="Calibri" w:hAnsi="Verdana" w:cs="Arial"/>
          <w:color w:val="0D0D0D"/>
          <w:lang w:eastAsia="es-MX"/>
        </w:rPr>
        <w:t>. Entre las edificaciones o espacios que pertenecen a este Subgrupo se encuentran las siguientes: “Centros de comunicación o administrativos o administrativos de servicios municipales, distritales o gubernamentales, juzgados y otros similares”</w:t>
      </w:r>
      <w:r w:rsidRPr="000474CD">
        <w:rPr>
          <w:rFonts w:ascii="Verdana" w:eastAsia="Calibri" w:hAnsi="Verdana" w:cs="Arial"/>
          <w:color w:val="0D0D0D"/>
          <w:vertAlign w:val="superscript"/>
          <w:lang w:eastAsia="es-MX"/>
        </w:rPr>
        <w:footnoteReference w:id="6"/>
      </w:r>
      <w:r w:rsidRPr="000474CD">
        <w:rPr>
          <w:rFonts w:ascii="Verdana" w:eastAsia="Calibri" w:hAnsi="Verdana" w:cs="Arial"/>
          <w:color w:val="0D0D0D"/>
          <w:lang w:eastAsia="es-MX"/>
        </w:rPr>
        <w:t>.</w:t>
      </w:r>
    </w:p>
    <w:p w14:paraId="69A291A1" w14:textId="77777777" w:rsidR="00D5619D" w:rsidRPr="000474CD" w:rsidRDefault="00D5619D" w:rsidP="00D5619D">
      <w:pPr>
        <w:spacing w:after="120" w:line="276" w:lineRule="auto"/>
        <w:ind w:firstLine="708"/>
        <w:jc w:val="both"/>
        <w:rPr>
          <w:rFonts w:ascii="Verdana" w:eastAsia="Calibri" w:hAnsi="Verdana" w:cs="Arial"/>
          <w:color w:val="0D0D0D"/>
          <w:lang w:eastAsia="es-MX"/>
        </w:rPr>
      </w:pPr>
      <w:r w:rsidRPr="000474CD">
        <w:rPr>
          <w:rFonts w:ascii="Verdana" w:eastAsia="Calibri" w:hAnsi="Verdana" w:cs="Arial"/>
          <w:color w:val="0D0D0D"/>
          <w:lang w:eastAsia="es-MX"/>
        </w:rPr>
        <w:t xml:space="preserve">En este sentido, el Subgrupo de Ocupación Institucional de Servicio Público corresponde a una categoría de clasificación establecida por la NSR-10 que agrupa a aquellas edificaciones o espacios destinados al ejercicio de funciones administrativas y a la prestación de servicios públicos esenciales para el adecuado funcionamiento de las ciudades. Este subgrupo comprende centros </w:t>
      </w:r>
      <w:r w:rsidRPr="000474CD">
        <w:rPr>
          <w:rFonts w:ascii="Verdana" w:eastAsia="Calibri" w:hAnsi="Verdana" w:cs="Arial"/>
          <w:color w:val="0D0D0D"/>
          <w:lang w:eastAsia="es-MX"/>
        </w:rPr>
        <w:lastRenderedPageBreak/>
        <w:t xml:space="preserve">de comunicación, administrativos y sedes de servicios en distintos niveles, juzgados y otros similares. La expresión “Otros similares” evidencia que la enumeración no es taxativa, sino enunciativa, por lo incluye todas aquellas edificaciones </w:t>
      </w:r>
      <w:proofErr w:type="gramStart"/>
      <w:r w:rsidRPr="000474CD">
        <w:rPr>
          <w:rFonts w:ascii="Verdana" w:eastAsia="Calibri" w:hAnsi="Verdana" w:cs="Arial"/>
          <w:color w:val="0D0D0D"/>
          <w:lang w:eastAsia="es-MX"/>
        </w:rPr>
        <w:t>que</w:t>
      </w:r>
      <w:proofErr w:type="gramEnd"/>
      <w:r w:rsidRPr="000474CD">
        <w:rPr>
          <w:rFonts w:ascii="Verdana" w:eastAsia="Calibri" w:hAnsi="Verdana" w:cs="Arial"/>
          <w:color w:val="0D0D0D"/>
          <w:lang w:eastAsia="es-MX"/>
        </w:rPr>
        <w:t xml:space="preserve"> por su naturaleza y finalidad, están orientadas a la prestación de servicios públicos y al desarrollo de funciones institucionales del Estado, como son las funciones administrativas.  </w:t>
      </w:r>
    </w:p>
    <w:p w14:paraId="1CB9CC7F" w14:textId="77777777" w:rsidR="00D5619D" w:rsidRPr="000474CD" w:rsidRDefault="00D5619D" w:rsidP="00D5619D">
      <w:pPr>
        <w:spacing w:after="120" w:line="276" w:lineRule="auto"/>
        <w:ind w:firstLine="708"/>
        <w:jc w:val="both"/>
        <w:rPr>
          <w:rFonts w:ascii="Verdana" w:eastAsia="Calibri" w:hAnsi="Verdana" w:cs="Arial"/>
          <w:color w:val="0D0D0D"/>
          <w:lang w:eastAsia="es-MX"/>
        </w:rPr>
      </w:pPr>
      <w:r w:rsidRPr="000474CD">
        <w:rPr>
          <w:rFonts w:ascii="Verdana" w:eastAsia="Calibri" w:hAnsi="Verdana" w:cs="Arial"/>
          <w:color w:val="0D0D0D"/>
          <w:lang w:eastAsia="es-MX"/>
        </w:rPr>
        <w:t xml:space="preserve">De acuerdo con la definición del Subgrupo de Ocupación Institucional y las edificaciones que este comprende, dentro de este se encuentran las edificaciones institucionales, entendidas estas como la “infraestructura que ha sido construida para funciones específicas (como las administrativas, </w:t>
      </w:r>
      <w:proofErr w:type="spellStart"/>
      <w:r w:rsidRPr="000474CD">
        <w:rPr>
          <w:rFonts w:ascii="Verdana" w:eastAsia="Calibri" w:hAnsi="Verdana" w:cs="Arial"/>
          <w:color w:val="0D0D0D"/>
          <w:lang w:eastAsia="es-MX"/>
        </w:rPr>
        <w:t>etc</w:t>
      </w:r>
      <w:proofErr w:type="spellEnd"/>
      <w:r w:rsidRPr="000474CD">
        <w:rPr>
          <w:rFonts w:ascii="Verdana" w:eastAsia="Calibri" w:hAnsi="Verdana" w:cs="Arial"/>
          <w:color w:val="0D0D0D"/>
          <w:lang w:eastAsia="es-MX"/>
        </w:rPr>
        <w:t>) principalmente para el beneficio e interés público”</w:t>
      </w:r>
      <w:r w:rsidRPr="000474CD">
        <w:rPr>
          <w:rFonts w:ascii="Verdana" w:eastAsia="Calibri" w:hAnsi="Verdana" w:cs="Arial"/>
          <w:color w:val="0D0D0D"/>
          <w:vertAlign w:val="superscript"/>
          <w:lang w:eastAsia="es-MX"/>
        </w:rPr>
        <w:footnoteReference w:id="7"/>
      </w:r>
      <w:r w:rsidRPr="000474CD">
        <w:rPr>
          <w:rFonts w:ascii="Verdana" w:eastAsia="Calibri" w:hAnsi="Verdana" w:cs="Arial"/>
          <w:color w:val="0D0D0D"/>
          <w:lang w:eastAsia="es-MX"/>
        </w:rPr>
        <w:t xml:space="preserve">. </w:t>
      </w:r>
    </w:p>
    <w:p w14:paraId="1EE6D30B" w14:textId="77777777" w:rsidR="00D5619D" w:rsidRPr="000474CD" w:rsidRDefault="00D5619D" w:rsidP="00D5619D">
      <w:pPr>
        <w:widowControl w:val="0"/>
        <w:autoSpaceDE w:val="0"/>
        <w:autoSpaceDN w:val="0"/>
        <w:spacing w:after="0" w:line="276" w:lineRule="auto"/>
        <w:ind w:firstLine="708"/>
        <w:jc w:val="both"/>
        <w:rPr>
          <w:rFonts w:ascii="Verdana" w:eastAsia="Calibri" w:hAnsi="Verdana" w:cs="Times New Roman"/>
          <w:lang w:val="es-ES"/>
        </w:rPr>
      </w:pPr>
      <w:r w:rsidRPr="000474CD">
        <w:rPr>
          <w:rFonts w:ascii="Verdana" w:eastAsia="Aptos" w:hAnsi="Verdana" w:cs="Times New Roman"/>
          <w:kern w:val="2"/>
          <w14:ligatures w14:val="standardContextual"/>
        </w:rPr>
        <w:t>De acuerdo con lo anterior, la entidad que pretenda adelantar alguna actividad de consultoría, obra o interventoría no puede limitarse a descartar la aplicación de estos documentos tipo por el solo hecho de no existir un grupo expedido bajo la denominación de su sector, sino que se encuentra en el deber de examinar, con especial detenimiento, si la consultoría, obra y/o interventoría que pretende contratar está contenida dentro de la Matriz – Experiencia del sector de Infraestructura Social o de algún otro de los documentos tipo expedidos por esta Agencia, en la medida en que la actividad a contratar pueda enmarcarse en alguno de ellos.</w:t>
      </w:r>
    </w:p>
    <w:p w14:paraId="183B1B99" w14:textId="77777777" w:rsidR="00D5619D" w:rsidRPr="000474CD" w:rsidRDefault="00D5619D" w:rsidP="00D5619D">
      <w:pPr>
        <w:widowControl w:val="0"/>
        <w:autoSpaceDE w:val="0"/>
        <w:autoSpaceDN w:val="0"/>
        <w:spacing w:after="0" w:line="276" w:lineRule="auto"/>
        <w:ind w:firstLine="708"/>
        <w:jc w:val="both"/>
        <w:rPr>
          <w:rFonts w:ascii="Verdana" w:eastAsia="Calibri" w:hAnsi="Verdana" w:cs="Times New Roman"/>
          <w:lang w:val="es-ES"/>
        </w:rPr>
      </w:pPr>
    </w:p>
    <w:p w14:paraId="2E9E84D0" w14:textId="5002B685" w:rsidR="00D5619D" w:rsidRPr="000474CD" w:rsidRDefault="00D5619D" w:rsidP="00D5619D">
      <w:pPr>
        <w:widowControl w:val="0"/>
        <w:autoSpaceDE w:val="0"/>
        <w:autoSpaceDN w:val="0"/>
        <w:spacing w:after="0" w:line="276" w:lineRule="auto"/>
        <w:jc w:val="both"/>
        <w:rPr>
          <w:rFonts w:ascii="Verdana" w:eastAsia="Aptos" w:hAnsi="Verdana" w:cs="Times New Roman"/>
          <w:kern w:val="2"/>
          <w14:ligatures w14:val="standardContextual"/>
        </w:rPr>
      </w:pPr>
      <w:r>
        <w:rPr>
          <w:rFonts w:ascii="Verdana" w:eastAsia="Aptos" w:hAnsi="Verdana" w:cs="Arial"/>
          <w:kern w:val="2"/>
          <w:lang w:val="es-ES" w:eastAsia="es-ES"/>
          <w14:ligatures w14:val="standardContextual"/>
        </w:rPr>
        <w:t>IV)</w:t>
      </w:r>
      <w:r w:rsidRPr="000474CD">
        <w:rPr>
          <w:rFonts w:ascii="Verdana" w:eastAsia="Aptos" w:hAnsi="Verdana" w:cs="Arial"/>
          <w:kern w:val="2"/>
          <w:lang w:val="es-ES" w:eastAsia="es-ES"/>
          <w14:ligatures w14:val="standardContextual"/>
        </w:rPr>
        <w:t xml:space="preserve">. </w:t>
      </w:r>
      <w:r w:rsidRPr="000474CD">
        <w:rPr>
          <w:rFonts w:ascii="Verdana" w:eastAsia="Aptos" w:hAnsi="Verdana" w:cs="Arial"/>
          <w:kern w:val="2"/>
          <w:lang w:eastAsia="es-ES"/>
          <w14:ligatures w14:val="standardContextual"/>
        </w:rPr>
        <w:t>Al margen de la explicación precedente debe advertirse que el análisis requerido para resolver problemas específicos en torno a la gestión contractual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259FD4D" w14:textId="77777777" w:rsidR="00D5619D" w:rsidRPr="000474CD" w:rsidRDefault="00D5619D" w:rsidP="00D5619D">
      <w:pPr>
        <w:spacing w:before="120" w:after="0" w:line="276" w:lineRule="auto"/>
        <w:ind w:firstLine="709"/>
        <w:jc w:val="both"/>
        <w:rPr>
          <w:rFonts w:ascii="Verdana" w:eastAsia="Aptos" w:hAnsi="Verdana" w:cs="Arial"/>
          <w:kern w:val="2"/>
          <w:lang w:eastAsia="es-ES"/>
          <w14:ligatures w14:val="standardContextual"/>
        </w:rPr>
      </w:pPr>
      <w:r w:rsidRPr="000474CD">
        <w:rPr>
          <w:rFonts w:ascii="Verdana" w:eastAsia="Aptos" w:hAnsi="Verdana" w:cs="Arial"/>
          <w:kern w:val="2"/>
          <w:lang w:eastAsia="es-ES"/>
          <w14:ligatures w14:val="standardContextual"/>
        </w:rPr>
        <w:lastRenderedPageBreak/>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1572F5E" w14:textId="77777777" w:rsidR="00D5619D" w:rsidRPr="000474CD" w:rsidRDefault="00D5619D" w:rsidP="00D5619D">
      <w:pPr>
        <w:tabs>
          <w:tab w:val="left" w:pos="142"/>
          <w:tab w:val="left" w:pos="284"/>
        </w:tabs>
        <w:spacing w:after="0" w:line="276" w:lineRule="auto"/>
        <w:jc w:val="both"/>
        <w:rPr>
          <w:rFonts w:ascii="Verdana" w:eastAsia="Century Gothic" w:hAnsi="Verdana" w:cs="Century Gothic"/>
          <w:lang w:val="es-ES_tradnl"/>
        </w:rPr>
      </w:pPr>
    </w:p>
    <w:p w14:paraId="28C0EC10" w14:textId="77777777" w:rsidR="00D5619D" w:rsidRPr="000474CD" w:rsidRDefault="00D5619D" w:rsidP="00D5619D">
      <w:pPr>
        <w:tabs>
          <w:tab w:val="left" w:pos="142"/>
          <w:tab w:val="left" w:pos="284"/>
        </w:tabs>
        <w:spacing w:after="0" w:line="276" w:lineRule="auto"/>
        <w:jc w:val="both"/>
        <w:rPr>
          <w:rFonts w:ascii="Verdana" w:eastAsia="Century Gothic" w:hAnsi="Verdana" w:cs="Century Gothic"/>
          <w:b/>
          <w:bCs/>
          <w:lang w:val="es-ES_tradnl"/>
        </w:rPr>
      </w:pPr>
      <w:r w:rsidRPr="000474CD">
        <w:rPr>
          <w:rFonts w:ascii="Verdana" w:eastAsia="Century Gothic" w:hAnsi="Verdana" w:cs="Century Gothic"/>
          <w:b/>
          <w:bCs/>
          <w:lang w:val="es-ES_tradnl"/>
        </w:rPr>
        <w:t>4. Referencias normativas, jurisprudenciales y otras fuentes:</w:t>
      </w:r>
    </w:p>
    <w:p w14:paraId="0C2CDD29" w14:textId="77777777" w:rsidR="00D5619D" w:rsidRPr="000474CD" w:rsidRDefault="00D5619D" w:rsidP="00D5619D">
      <w:pPr>
        <w:spacing w:after="0"/>
        <w:ind w:left="-15840"/>
        <w:jc w:val="both"/>
        <w:rPr>
          <w:rFonts w:ascii="Verdana" w:eastAsia="Calibri" w:hAnsi="Verdana" w:cs="Arial"/>
          <w:b/>
          <w:bCs/>
        </w:rPr>
      </w:pPr>
      <w:r w:rsidRPr="000474CD">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D5619D" w:rsidRPr="000474CD" w14:paraId="050798BD" w14:textId="77777777" w:rsidTr="00964A1E">
        <w:trPr>
          <w:trHeight w:val="870"/>
        </w:trPr>
        <w:tc>
          <w:tcPr>
            <w:tcW w:w="8647" w:type="dxa"/>
            <w:tcBorders>
              <w:top w:val="dotted" w:sz="4" w:space="0" w:color="auto"/>
              <w:left w:val="dotted" w:sz="4" w:space="0" w:color="auto"/>
              <w:bottom w:val="dotted" w:sz="4" w:space="0" w:color="auto"/>
              <w:right w:val="dotted" w:sz="4" w:space="0" w:color="auto"/>
            </w:tcBorders>
          </w:tcPr>
          <w:p w14:paraId="302D1BFA" w14:textId="77777777" w:rsidR="00D5619D" w:rsidRPr="000474CD" w:rsidRDefault="00D5619D" w:rsidP="00D5619D">
            <w:pPr>
              <w:widowControl w:val="0"/>
              <w:numPr>
                <w:ilvl w:val="0"/>
                <w:numId w:val="19"/>
              </w:numPr>
              <w:autoSpaceDE w:val="0"/>
              <w:autoSpaceDN w:val="0"/>
              <w:spacing w:line="276" w:lineRule="auto"/>
              <w:contextualSpacing/>
              <w:jc w:val="both"/>
              <w:rPr>
                <w:rFonts w:ascii="Verdana" w:eastAsia="Aptos" w:hAnsi="Verdana" w:cs="Arial"/>
              </w:rPr>
            </w:pPr>
            <w:r w:rsidRPr="000474CD">
              <w:rPr>
                <w:rFonts w:ascii="Verdana" w:eastAsia="Aptos" w:hAnsi="Verdana" w:cs="Arial"/>
              </w:rPr>
              <w:t>Constitución Política de Colombia, artículos 150 y 352.</w:t>
            </w:r>
          </w:p>
          <w:p w14:paraId="4D97147F" w14:textId="77777777" w:rsidR="00D5619D" w:rsidRPr="000474CD" w:rsidRDefault="00D5619D" w:rsidP="00D5619D">
            <w:pPr>
              <w:widowControl w:val="0"/>
              <w:numPr>
                <w:ilvl w:val="0"/>
                <w:numId w:val="17"/>
              </w:numPr>
              <w:autoSpaceDE w:val="0"/>
              <w:autoSpaceDN w:val="0"/>
              <w:spacing w:line="276" w:lineRule="auto"/>
              <w:ind w:left="714" w:hanging="357"/>
              <w:jc w:val="both"/>
              <w:rPr>
                <w:rFonts w:ascii="Verdana" w:eastAsia="Aptos" w:hAnsi="Verdana" w:cs="Arial"/>
              </w:rPr>
            </w:pPr>
            <w:r w:rsidRPr="000474CD">
              <w:rPr>
                <w:rFonts w:ascii="Verdana" w:eastAsia="Aptos" w:hAnsi="Verdana" w:cs="Arial"/>
              </w:rPr>
              <w:t>Ley 80 de 1993, artículo 2.</w:t>
            </w:r>
          </w:p>
          <w:p w14:paraId="37FA1B56" w14:textId="77777777" w:rsidR="00D5619D" w:rsidRPr="000474CD" w:rsidRDefault="00D5619D" w:rsidP="00D5619D">
            <w:pPr>
              <w:widowControl w:val="0"/>
              <w:numPr>
                <w:ilvl w:val="0"/>
                <w:numId w:val="17"/>
              </w:numPr>
              <w:autoSpaceDE w:val="0"/>
              <w:autoSpaceDN w:val="0"/>
              <w:spacing w:line="276" w:lineRule="auto"/>
              <w:ind w:left="714" w:hanging="357"/>
              <w:jc w:val="both"/>
              <w:rPr>
                <w:rFonts w:ascii="Verdana" w:eastAsia="Aptos" w:hAnsi="Verdana" w:cs="Arial"/>
              </w:rPr>
            </w:pPr>
            <w:r w:rsidRPr="000474CD">
              <w:rPr>
                <w:rFonts w:ascii="Verdana" w:eastAsia="Aptos" w:hAnsi="Verdana" w:cs="Arial"/>
              </w:rPr>
              <w:t>Ley 99 de 1993, artículo 23.</w:t>
            </w:r>
          </w:p>
          <w:p w14:paraId="10F78BDC" w14:textId="77777777" w:rsidR="00D5619D" w:rsidRPr="000474CD" w:rsidRDefault="00D5619D" w:rsidP="00D5619D">
            <w:pPr>
              <w:widowControl w:val="0"/>
              <w:numPr>
                <w:ilvl w:val="0"/>
                <w:numId w:val="17"/>
              </w:numPr>
              <w:autoSpaceDE w:val="0"/>
              <w:autoSpaceDN w:val="0"/>
              <w:spacing w:line="276" w:lineRule="auto"/>
              <w:ind w:left="714" w:hanging="357"/>
              <w:jc w:val="both"/>
              <w:rPr>
                <w:rFonts w:ascii="Verdana" w:eastAsia="Aptos" w:hAnsi="Verdana" w:cs="Arial"/>
              </w:rPr>
            </w:pPr>
            <w:r w:rsidRPr="000474CD">
              <w:rPr>
                <w:rFonts w:ascii="Verdana" w:eastAsia="Aptos" w:hAnsi="Verdana" w:cs="Arial"/>
              </w:rPr>
              <w:t>Ley 1150 de 2007, artículo 24</w:t>
            </w:r>
          </w:p>
          <w:p w14:paraId="03BD33B1" w14:textId="77777777" w:rsidR="00D5619D" w:rsidRPr="000474CD" w:rsidRDefault="00D5619D" w:rsidP="00D5619D">
            <w:pPr>
              <w:widowControl w:val="0"/>
              <w:numPr>
                <w:ilvl w:val="0"/>
                <w:numId w:val="17"/>
              </w:numPr>
              <w:autoSpaceDE w:val="0"/>
              <w:autoSpaceDN w:val="0"/>
              <w:spacing w:line="276" w:lineRule="auto"/>
              <w:ind w:left="714" w:hanging="357"/>
              <w:jc w:val="both"/>
              <w:rPr>
                <w:rFonts w:ascii="Verdana" w:eastAsia="Calibri" w:hAnsi="Verdana" w:cs="Arial"/>
                <w:lang w:val="es-ES_tradnl"/>
              </w:rPr>
            </w:pPr>
            <w:r w:rsidRPr="000474CD">
              <w:rPr>
                <w:rFonts w:ascii="Verdana" w:eastAsia="Calibri" w:hAnsi="Verdana" w:cs="Arial"/>
                <w:lang w:val="es-ES_tradnl"/>
              </w:rPr>
              <w:t xml:space="preserve">Ley 2022 de 2020, artículo 1. </w:t>
            </w:r>
          </w:p>
          <w:p w14:paraId="0C74CCB2" w14:textId="77777777" w:rsidR="00D5619D" w:rsidRPr="000474CD" w:rsidRDefault="00D5619D" w:rsidP="00D5619D">
            <w:pPr>
              <w:widowControl w:val="0"/>
              <w:numPr>
                <w:ilvl w:val="0"/>
                <w:numId w:val="17"/>
              </w:numPr>
              <w:autoSpaceDE w:val="0"/>
              <w:autoSpaceDN w:val="0"/>
              <w:spacing w:line="276" w:lineRule="auto"/>
              <w:jc w:val="both"/>
              <w:rPr>
                <w:rFonts w:ascii="Verdana" w:eastAsia="Calibri" w:hAnsi="Verdana" w:cs="Arial"/>
              </w:rPr>
            </w:pPr>
            <w:r w:rsidRPr="000474CD">
              <w:rPr>
                <w:rFonts w:ascii="Verdana" w:eastAsia="Calibri" w:hAnsi="Verdana" w:cs="Arial"/>
              </w:rPr>
              <w:t>Ley 1150 de 2007, artículo 2.</w:t>
            </w:r>
          </w:p>
          <w:p w14:paraId="77DD6F66" w14:textId="77777777" w:rsidR="00D5619D" w:rsidRPr="000474CD" w:rsidRDefault="00D5619D" w:rsidP="00D5619D">
            <w:pPr>
              <w:widowControl w:val="0"/>
              <w:numPr>
                <w:ilvl w:val="0"/>
                <w:numId w:val="17"/>
              </w:numPr>
              <w:autoSpaceDE w:val="0"/>
              <w:autoSpaceDN w:val="0"/>
              <w:spacing w:line="276" w:lineRule="auto"/>
              <w:contextualSpacing/>
              <w:jc w:val="both"/>
              <w:rPr>
                <w:rFonts w:ascii="Verdana" w:eastAsia="Calibri" w:hAnsi="Verdana" w:cs="Arial"/>
              </w:rPr>
            </w:pPr>
            <w:r w:rsidRPr="000474CD">
              <w:rPr>
                <w:rFonts w:ascii="Verdana" w:eastAsia="Calibri" w:hAnsi="Verdana" w:cs="Arial"/>
                <w:lang w:val="es-ES_tradnl"/>
              </w:rPr>
              <w:t xml:space="preserve">Documentos Tipo. Disponibles en: </w:t>
            </w:r>
            <w:hyperlink r:id="rId12" w:history="1">
              <w:r w:rsidRPr="000474CD">
                <w:rPr>
                  <w:rFonts w:ascii="Verdana" w:eastAsia="Calibri" w:hAnsi="Verdana" w:cs="Arial"/>
                  <w:color w:val="0000FF"/>
                  <w:u w:val="single"/>
                  <w:lang w:val="es-ES_tradnl"/>
                </w:rPr>
                <w:t>https://www.colombiacompra.gov.co/documentos-tipo/documentos-tipo</w:t>
              </w:r>
            </w:hyperlink>
            <w:r w:rsidRPr="000474CD">
              <w:rPr>
                <w:rFonts w:ascii="Verdana" w:eastAsia="Calibri" w:hAnsi="Verdana" w:cs="Arial"/>
                <w:lang w:val="es-ES_tradnl"/>
              </w:rPr>
              <w:t>.</w:t>
            </w:r>
          </w:p>
        </w:tc>
      </w:tr>
    </w:tbl>
    <w:p w14:paraId="7204876E" w14:textId="77777777" w:rsidR="00D5619D" w:rsidRPr="00D5619D" w:rsidRDefault="00D5619D" w:rsidP="00D5619D">
      <w:pPr>
        <w:tabs>
          <w:tab w:val="left" w:pos="142"/>
          <w:tab w:val="left" w:pos="284"/>
        </w:tabs>
        <w:spacing w:after="0" w:line="276" w:lineRule="auto"/>
        <w:jc w:val="both"/>
        <w:rPr>
          <w:rFonts w:ascii="Verdana" w:eastAsia="Century Gothic" w:hAnsi="Verdana" w:cs="Century Gothic"/>
          <w:b/>
          <w:bCs/>
        </w:rPr>
      </w:pPr>
    </w:p>
    <w:p w14:paraId="00F93279" w14:textId="77777777" w:rsidR="0035398C" w:rsidRPr="00155CC1" w:rsidRDefault="0035398C" w:rsidP="0035398C">
      <w:pPr>
        <w:tabs>
          <w:tab w:val="left" w:pos="142"/>
          <w:tab w:val="left" w:pos="284"/>
        </w:tabs>
        <w:spacing w:after="0" w:line="276" w:lineRule="auto"/>
        <w:jc w:val="both"/>
        <w:rPr>
          <w:rFonts w:ascii="Verdana" w:eastAsia="Calibri" w:hAnsi="Verdana" w:cs="Arial"/>
          <w:color w:val="6699FF"/>
        </w:rPr>
      </w:pPr>
    </w:p>
    <w:p w14:paraId="7311F1A5" w14:textId="77777777" w:rsidR="0035398C" w:rsidRPr="0026211F" w:rsidRDefault="0035398C" w:rsidP="0035398C">
      <w:pPr>
        <w:tabs>
          <w:tab w:val="left" w:pos="142"/>
          <w:tab w:val="left" w:pos="284"/>
        </w:tabs>
        <w:spacing w:after="0" w:line="276" w:lineRule="auto"/>
        <w:jc w:val="both"/>
        <w:rPr>
          <w:rFonts w:ascii="Verdana" w:eastAsia="Century Gothic" w:hAnsi="Verdana" w:cs="Century Gothic"/>
          <w:b/>
          <w:bCs/>
          <w:lang w:val="es-ES"/>
        </w:rPr>
      </w:pPr>
      <w:r w:rsidRPr="0026211F">
        <w:rPr>
          <w:rFonts w:ascii="Verdana" w:eastAsia="Calibri" w:hAnsi="Verdana" w:cs="Arial"/>
          <w:b/>
          <w:bCs/>
        </w:rPr>
        <w:t>5</w:t>
      </w:r>
      <w:r w:rsidRPr="0026211F">
        <w:rPr>
          <w:rFonts w:ascii="Verdana" w:eastAsia="Calibri" w:hAnsi="Verdana" w:cs="Arial"/>
        </w:rPr>
        <w:t>.</w:t>
      </w:r>
      <w:r w:rsidRPr="0026211F">
        <w:rPr>
          <w:rFonts w:ascii="Verdana" w:eastAsia="Century Gothic" w:hAnsi="Verdana" w:cs="Century Gothic"/>
          <w:b/>
          <w:bCs/>
          <w:lang w:val="es-ES"/>
        </w:rPr>
        <w:t>Doctrina de la Agencia Nacional de Contratación Pública:</w:t>
      </w:r>
    </w:p>
    <w:p w14:paraId="12702ECC" w14:textId="77777777" w:rsidR="0035398C" w:rsidRPr="009E1BBA" w:rsidRDefault="0035398C" w:rsidP="0035398C">
      <w:pPr>
        <w:widowControl w:val="0"/>
        <w:autoSpaceDE w:val="0"/>
        <w:autoSpaceDN w:val="0"/>
        <w:spacing w:after="0" w:line="276" w:lineRule="auto"/>
        <w:jc w:val="both"/>
        <w:rPr>
          <w:rFonts w:ascii="Verdana" w:eastAsia="Calibri" w:hAnsi="Verdana" w:cs="Arial"/>
          <w:lang w:eastAsia="es-MX"/>
        </w:rPr>
      </w:pPr>
    </w:p>
    <w:p w14:paraId="011E29E3" w14:textId="77777777" w:rsidR="00E47282" w:rsidRPr="000474CD" w:rsidRDefault="00E47282" w:rsidP="00E47282">
      <w:pPr>
        <w:widowControl w:val="0"/>
        <w:autoSpaceDE w:val="0"/>
        <w:autoSpaceDN w:val="0"/>
        <w:spacing w:after="0" w:line="276" w:lineRule="auto"/>
        <w:jc w:val="both"/>
        <w:rPr>
          <w:rFonts w:ascii="Verdana" w:eastAsia="Calibri" w:hAnsi="Verdana" w:cs="Arial"/>
        </w:rPr>
      </w:pPr>
    </w:p>
    <w:p w14:paraId="7D3998BE" w14:textId="550CA221" w:rsidR="00E47282" w:rsidRPr="000474CD" w:rsidRDefault="00E47282" w:rsidP="00E47282">
      <w:pPr>
        <w:spacing w:after="0" w:line="276" w:lineRule="auto"/>
        <w:jc w:val="both"/>
        <w:rPr>
          <w:rFonts w:ascii="Verdana" w:eastAsia="Calibri" w:hAnsi="Verdana" w:cs="Arial"/>
          <w:shd w:val="clear" w:color="auto" w:fill="FFFFFF"/>
          <w:lang w:val="es-ES" w:eastAsia="es-MX"/>
        </w:rPr>
      </w:pPr>
      <w:r w:rsidRPr="000474CD">
        <w:rPr>
          <w:rFonts w:ascii="Verdana" w:eastAsia="Calibri" w:hAnsi="Verdana" w:cs="Arial"/>
          <w:shd w:val="clear" w:color="auto" w:fill="FFFFFF"/>
          <w:lang w:val="es-ES" w:eastAsia="es-MX"/>
        </w:rPr>
        <w:t>La Agencia Nacional de Contratación Pública – Colombia Compra Eficiente se pronunció</w:t>
      </w:r>
      <w:r w:rsidRPr="000474CD">
        <w:rPr>
          <w:rFonts w:ascii="Verdana" w:eastAsia="Calibri" w:hAnsi="Verdana" w:cs="Times New Roman"/>
          <w:lang w:eastAsia="es-MX"/>
        </w:rPr>
        <w:t xml:space="preserve"> </w:t>
      </w:r>
      <w:r w:rsidRPr="000474CD">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0474CD">
        <w:rPr>
          <w:rFonts w:ascii="Verdana" w:eastAsia="Calibri" w:hAnsi="Verdana" w:cs="Arial"/>
          <w:shd w:val="clear" w:color="auto" w:fill="FFFFFF"/>
          <w:lang w:val="es-ES" w:eastAsia="es-MX"/>
        </w:rPr>
        <w:tab/>
        <w:t xml:space="preserve">C-636 del 1 de noviembre de 2024, C-777 del 9 de diciembre de 2024, C-971 del 21 de enero de 2025, C-1813 del 31 de diciembre de 2025, C-186 del 16 de marzo de 2026, C-258 del 19 de </w:t>
      </w:r>
      <w:r w:rsidRPr="000474CD">
        <w:rPr>
          <w:rFonts w:ascii="Verdana" w:eastAsia="Calibri" w:hAnsi="Verdana" w:cs="Arial"/>
          <w:shd w:val="clear" w:color="auto" w:fill="FFFFFF"/>
          <w:lang w:val="es-ES" w:eastAsia="es-MX"/>
        </w:rPr>
        <w:lastRenderedPageBreak/>
        <w:t>marzo de 2026, C-392 del 20 de abril de 2026, C-386 del 23 de abril de 2026, C-475 del 23 de abril de 2026, C-452 del 4 de mayo de 2026, C-583 del 8 de mayo de 2026, C-682 del 22 de mayo de 2026, C-754 del 17 de junio de 2026, C-1048 del 5 de agosto de 2026</w:t>
      </w:r>
      <w:r>
        <w:rPr>
          <w:rFonts w:ascii="Verdana" w:eastAsia="Calibri" w:hAnsi="Verdana" w:cs="Arial"/>
          <w:shd w:val="clear" w:color="auto" w:fill="FFFFFF"/>
          <w:lang w:val="es-ES" w:eastAsia="es-MX"/>
        </w:rPr>
        <w:t>, C-1240 del 8 de septiembre de 2026,</w:t>
      </w:r>
      <w:r w:rsidRPr="000474CD">
        <w:rPr>
          <w:rFonts w:ascii="Verdana" w:eastAsia="Calibri" w:hAnsi="Verdana" w:cs="Arial"/>
          <w:shd w:val="clear" w:color="auto" w:fill="FFFFFF"/>
          <w:lang w:val="es-ES" w:eastAsia="es-MX"/>
        </w:rPr>
        <w:t xml:space="preserve"> entre otros. </w:t>
      </w:r>
    </w:p>
    <w:p w14:paraId="25A5A278" w14:textId="77777777" w:rsidR="00E47282" w:rsidRPr="000474CD" w:rsidRDefault="00E47282" w:rsidP="00E47282">
      <w:pPr>
        <w:spacing w:after="0" w:line="240" w:lineRule="auto"/>
        <w:jc w:val="both"/>
        <w:rPr>
          <w:rFonts w:ascii="Verdana" w:eastAsia="Calibri" w:hAnsi="Verdana" w:cs="Arial"/>
          <w:color w:val="000000"/>
          <w:shd w:val="clear" w:color="auto" w:fill="FFFFFF"/>
          <w:lang w:val="es-ES" w:eastAsia="es-MX"/>
        </w:rPr>
      </w:pPr>
    </w:p>
    <w:p w14:paraId="5E5694C2" w14:textId="77777777" w:rsidR="00E47282" w:rsidRPr="000474CD" w:rsidRDefault="00E47282" w:rsidP="00E47282">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r w:rsidRPr="000474CD">
        <w:rPr>
          <w:rFonts w:ascii="Verdana" w:eastAsia="Calibri" w:hAnsi="Verdana" w:cs="Arial"/>
          <w:color w:val="000000"/>
          <w:shd w:val="clear" w:color="auto" w:fill="FFFFFF"/>
          <w:lang w:eastAsia="es-MX"/>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tgtFrame="_blank" w:tooltip="Dirección URL original: https://relatoria.colombiacompra.gov.co/. Haga clic o pulse si confía en este vínculo." w:history="1">
        <w:r w:rsidRPr="000474CD">
          <w:rPr>
            <w:rFonts w:ascii="Verdana" w:eastAsia="Calibri" w:hAnsi="Verdana" w:cs="Arial"/>
            <w:color w:val="0000FF"/>
            <w:u w:val="single"/>
            <w:shd w:val="clear" w:color="auto" w:fill="FFFFFF"/>
            <w:lang w:eastAsia="es-MX"/>
          </w:rPr>
          <w:t>https://relatoria.colombiacompra.gov.co/</w:t>
        </w:r>
      </w:hyperlink>
      <w:r w:rsidRPr="000474CD">
        <w:rPr>
          <w:rFonts w:ascii="Verdana" w:eastAsia="Calibri" w:hAnsi="Verdana" w:cs="Arial"/>
          <w:color w:val="0000FF"/>
          <w:u w:val="single"/>
          <w:shd w:val="clear" w:color="auto" w:fill="FFFFFF"/>
          <w:lang w:eastAsia="es-MX"/>
        </w:rPr>
        <w:t> .</w:t>
      </w:r>
    </w:p>
    <w:p w14:paraId="2C3498CB" w14:textId="77777777" w:rsidR="00E47282" w:rsidRDefault="00E47282" w:rsidP="0035398C">
      <w:pPr>
        <w:widowControl w:val="0"/>
        <w:autoSpaceDE w:val="0"/>
        <w:autoSpaceDN w:val="0"/>
        <w:spacing w:after="0" w:line="276" w:lineRule="auto"/>
        <w:jc w:val="both"/>
        <w:rPr>
          <w:rFonts w:ascii="Verdana" w:eastAsia="Calibri" w:hAnsi="Verdana" w:cs="Arial"/>
          <w:kern w:val="2"/>
          <w:shd w:val="clear" w:color="auto" w:fill="FFFFFF"/>
          <w14:ligatures w14:val="standardContextual"/>
        </w:rPr>
      </w:pPr>
    </w:p>
    <w:p w14:paraId="6FEC6895" w14:textId="10ABDC71" w:rsidR="0035398C" w:rsidRPr="00B55D3E" w:rsidRDefault="0035398C" w:rsidP="0035398C">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B55D3E">
        <w:rPr>
          <w:rFonts w:ascii="Verdana" w:eastAsia="Calibri" w:hAnsi="Verdana" w:cs="Arial"/>
          <w:kern w:val="2"/>
          <w:shd w:val="clear" w:color="auto" w:fill="FFFFFF"/>
          <w:lang w:val="es-ES_tradnl"/>
          <w14:ligatures w14:val="standardContextual"/>
        </w:rPr>
        <w:t>La</w:t>
      </w:r>
      <w:r w:rsidRPr="00B55D3E">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B55D3E">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B55D3E">
        <w:rPr>
          <w:rFonts w:ascii="Verdana" w:eastAsia="Calibri" w:hAnsi="Verdana" w:cs="Arial"/>
          <w:b/>
          <w:bCs/>
          <w:kern w:val="2"/>
          <w:shd w:val="clear" w:color="auto" w:fill="FFFFFF"/>
          <w:lang w:val="es-ES_tradnl"/>
          <w14:ligatures w14:val="standardContextual"/>
        </w:rPr>
        <w:t>Documentos Tipo</w:t>
      </w:r>
      <w:r w:rsidRPr="00B55D3E">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B55D3E">
        <w:rPr>
          <w:rFonts w:ascii="Verdana" w:eastAsia="Calibri" w:hAnsi="Verdana" w:cs="Arial"/>
          <w:b/>
          <w:bCs/>
          <w:kern w:val="2"/>
          <w:shd w:val="clear" w:color="auto" w:fill="FFFFFF"/>
          <w:lang w:val="es-ES_tradnl"/>
          <w14:ligatures w14:val="standardContextual"/>
        </w:rPr>
        <w:t>transparencia</w:t>
      </w:r>
      <w:r w:rsidRPr="00B55D3E">
        <w:rPr>
          <w:rFonts w:ascii="Verdana" w:eastAsia="Calibri" w:hAnsi="Verdana" w:cs="Arial"/>
          <w:kern w:val="2"/>
          <w:shd w:val="clear" w:color="auto" w:fill="FFFFFF"/>
          <w:lang w:val="es-ES_tradnl"/>
          <w14:ligatures w14:val="standardContextual"/>
        </w:rPr>
        <w:t> y promover un proceso de </w:t>
      </w:r>
      <w:r w:rsidRPr="00B55D3E">
        <w:rPr>
          <w:rFonts w:ascii="Verdana" w:eastAsia="Calibri" w:hAnsi="Verdana" w:cs="Arial"/>
          <w:b/>
          <w:bCs/>
          <w:kern w:val="2"/>
          <w:shd w:val="clear" w:color="auto" w:fill="FFFFFF"/>
          <w:lang w:val="es-ES_tradnl"/>
          <w14:ligatures w14:val="standardContextual"/>
        </w:rPr>
        <w:t>selección objetiva</w:t>
      </w:r>
      <w:r w:rsidRPr="00B55D3E">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5B751B35" w14:textId="77777777" w:rsidR="0035398C" w:rsidRPr="00B55D3E" w:rsidRDefault="0035398C" w:rsidP="0035398C">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36A19C7E" w14:textId="77777777" w:rsidR="0035398C" w:rsidRPr="00B55D3E" w:rsidRDefault="0035398C" w:rsidP="0035398C">
      <w:pPr>
        <w:spacing w:after="0" w:line="276" w:lineRule="auto"/>
        <w:jc w:val="both"/>
        <w:rPr>
          <w:rFonts w:ascii="Verdana" w:eastAsia="Aptos" w:hAnsi="Verdana" w:cs="Times New Roman"/>
          <w:kern w:val="2"/>
          <w:lang w:val="es-ES_tradnl"/>
          <w14:ligatures w14:val="standardContextual"/>
        </w:rPr>
      </w:pPr>
      <w:r w:rsidRPr="00B55D3E">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B55D3E">
        <w:rPr>
          <w:rFonts w:ascii="Verdana" w:eastAsia="Aptos" w:hAnsi="Verdana" w:cs="Times New Roman"/>
          <w:b/>
          <w:bCs/>
          <w:kern w:val="2"/>
          <w14:ligatures w14:val="standardContextual"/>
        </w:rPr>
        <w:t>Guía para la Exigencia y Constitución de Garantías en los Procesos de Contratación</w:t>
      </w:r>
      <w:r w:rsidRPr="00B55D3E">
        <w:rPr>
          <w:rFonts w:ascii="Verdana" w:eastAsia="Aptos" w:hAnsi="Verdana" w:cs="Times New Roman"/>
          <w:kern w:val="2"/>
          <w14:ligatures w14:val="standardContextual"/>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4" w:tgtFrame="_blank" w:tooltip="Original URL: https://www.colombiacompra.gov.co/archivos/manual/guia-de-garantias-en-procesos-de-contratacion. Click or tap if you trust this link." w:history="1">
        <w:r w:rsidRPr="00B55D3E">
          <w:rPr>
            <w:rFonts w:ascii="Verdana" w:eastAsia="Aptos" w:hAnsi="Verdana" w:cs="Times New Roman"/>
            <w:color w:val="0000FF"/>
            <w:kern w:val="2"/>
            <w:u w:val="single"/>
            <w14:ligatures w14:val="standardContextual"/>
          </w:rPr>
          <w:t>https://www.colombiacompra.gov.co/archivos/manual/guia-de-garantias-en-procesos-de-contratacion</w:t>
        </w:r>
      </w:hyperlink>
    </w:p>
    <w:p w14:paraId="70FD5840" w14:textId="77777777" w:rsidR="0035398C" w:rsidRPr="00B55D3E" w:rsidRDefault="0035398C" w:rsidP="0035398C">
      <w:pPr>
        <w:spacing w:after="0" w:line="276" w:lineRule="auto"/>
        <w:jc w:val="both"/>
        <w:rPr>
          <w:rFonts w:ascii="Verdana" w:eastAsia="Aptos" w:hAnsi="Verdana" w:cs="Times New Roman"/>
          <w:kern w:val="2"/>
          <w14:ligatures w14:val="standardContextual"/>
        </w:rPr>
      </w:pPr>
    </w:p>
    <w:p w14:paraId="422F7E38" w14:textId="77777777" w:rsidR="0035398C" w:rsidRPr="00B55D3E" w:rsidRDefault="0035398C" w:rsidP="0035398C">
      <w:pPr>
        <w:spacing w:after="0" w:line="276" w:lineRule="auto"/>
        <w:jc w:val="both"/>
        <w:rPr>
          <w:rFonts w:ascii="Verdana" w:eastAsia="Aptos" w:hAnsi="Verdana" w:cs="Times New Roman"/>
          <w:kern w:val="2"/>
          <w:lang w:val="es-ES_tradnl"/>
          <w14:ligatures w14:val="standardContextual"/>
        </w:rPr>
      </w:pPr>
      <w:r w:rsidRPr="00B55D3E">
        <w:rPr>
          <w:rFonts w:ascii="Verdana" w:eastAsia="Aptos" w:hAnsi="Verdana" w:cs="Times New Roman"/>
          <w:kern w:val="2"/>
          <w14:ligatures w14:val="standardContextual"/>
        </w:rPr>
        <w:t xml:space="preserve">De otro lado, le contamos que el Decreto 287 del 19 de marzo de 2026 sustituyó los artículos 2.2.1.2.4.2.6., 2.2.1.2.4.2.7. y 2.2.1.2.4.2.8. del Decreto 1082 de </w:t>
      </w:r>
      <w:r w:rsidRPr="00B55D3E">
        <w:rPr>
          <w:rFonts w:ascii="Verdana" w:eastAsia="Aptos" w:hAnsi="Verdana" w:cs="Times New Roman"/>
          <w:kern w:val="2"/>
          <w14:ligatures w14:val="standardContextual"/>
        </w:rPr>
        <w:lastRenderedPageBreak/>
        <w:t>2015 y estructuró el </w:t>
      </w:r>
      <w:r w:rsidRPr="00B55D3E">
        <w:rPr>
          <w:rFonts w:ascii="Verdana" w:eastAsia="Aptos" w:hAnsi="Verdana" w:cs="Times New Roman"/>
          <w:b/>
          <w:bCs/>
          <w:kern w:val="2"/>
          <w14:ligatures w14:val="standardContextual"/>
        </w:rPr>
        <w:t>Sistema Integral de Preferencias en favor de las personas con discapacidad</w:t>
      </w:r>
      <w:r w:rsidRPr="00B55D3E">
        <w:rPr>
          <w:rFonts w:ascii="Verdana" w:eastAsia="Aptos" w:hAnsi="Verdana" w:cs="Times New Roman"/>
          <w:kern w:val="2"/>
          <w14:ligatures w14:val="standardContextual"/>
        </w:rPr>
        <w:t>, en cumplimiento del artículo 13 de la Ley Estatutaria 1618 de 2013. Para orientar su aplicación, esta Agencia expidió la </w:t>
      </w:r>
      <w:r w:rsidRPr="00B55D3E">
        <w:rPr>
          <w:rFonts w:ascii="Verdana" w:eastAsia="Aptos" w:hAnsi="Verdana" w:cs="Times New Roman"/>
          <w:b/>
          <w:bCs/>
          <w:kern w:val="2"/>
          <w14:ligatures w14:val="standardContextual"/>
        </w:rPr>
        <w:t>Circular Externa 003 del 12 de mayo de 2026, </w:t>
      </w:r>
      <w:r w:rsidRPr="00B55D3E">
        <w:rPr>
          <w:rFonts w:ascii="Verdana" w:eastAsia="Aptos" w:hAnsi="Verdana" w:cs="Times New Roman"/>
          <w:kern w:val="2"/>
          <w14:ligatures w14:val="standardContextual"/>
        </w:rPr>
        <w:t>en la que precisa quiénes son los beneficiarios, las cinco medidas que integran el sistema y su obligatoriedad según la modalidad de selección, y el régimen de transición aplicable a los procesos en curso. Consúltela aquí: </w:t>
      </w:r>
      <w:hyperlink r:id="rId15" w:tgtFrame="_blank" w:tooltip="Original URL: https://www.colombiacompra.gov.co/archivos/circular/circular-externa-003-de-2026. Click or tap if you trust this link." w:history="1">
        <w:r w:rsidRPr="00B55D3E">
          <w:rPr>
            <w:rFonts w:ascii="Verdana" w:eastAsia="Aptos" w:hAnsi="Verdana" w:cs="Times New Roman"/>
            <w:color w:val="0000FF"/>
            <w:kern w:val="2"/>
            <w:u w:val="single"/>
            <w14:ligatures w14:val="standardContextual"/>
          </w:rPr>
          <w:t>https://www.colombiacompra.gov.co/archivos/circular/circular-externa-003-de-2026</w:t>
        </w:r>
      </w:hyperlink>
    </w:p>
    <w:p w14:paraId="330A04A2" w14:textId="77777777" w:rsidR="0035398C" w:rsidRPr="00B55D3E" w:rsidRDefault="0035398C" w:rsidP="0035398C">
      <w:pPr>
        <w:spacing w:after="0" w:line="276" w:lineRule="auto"/>
        <w:jc w:val="both"/>
        <w:rPr>
          <w:rFonts w:ascii="Verdana" w:eastAsia="Aptos" w:hAnsi="Verdana" w:cs="Times New Roman"/>
          <w:kern w:val="2"/>
          <w14:ligatures w14:val="standardContextual"/>
        </w:rPr>
      </w:pPr>
    </w:p>
    <w:p w14:paraId="22608FF9" w14:textId="77777777" w:rsidR="0035398C" w:rsidRPr="00B55D3E" w:rsidRDefault="0035398C" w:rsidP="0035398C">
      <w:pPr>
        <w:spacing w:after="0" w:line="276" w:lineRule="auto"/>
        <w:jc w:val="both"/>
        <w:rPr>
          <w:rFonts w:ascii="Verdana" w:eastAsia="Aptos" w:hAnsi="Verdana" w:cs="Times New Roman"/>
          <w:kern w:val="2"/>
          <w:lang w:val="es-ES_tradnl"/>
          <w14:ligatures w14:val="standardContextual"/>
        </w:rPr>
      </w:pPr>
      <w:r w:rsidRPr="00B55D3E">
        <w:rPr>
          <w:rFonts w:ascii="Verdana" w:eastAsia="Aptos" w:hAnsi="Verdana" w:cs="Times New Roman"/>
          <w:kern w:val="2"/>
          <w14:ligatures w14:val="standardContextual"/>
        </w:rPr>
        <w:t>Recuerde también que la</w:t>
      </w:r>
      <w:r w:rsidRPr="00B55D3E">
        <w:rPr>
          <w:rFonts w:ascii="Verdana" w:eastAsia="Aptos" w:hAnsi="Verdana" w:cs="Times New Roman"/>
          <w:b/>
          <w:bCs/>
          <w:kern w:val="2"/>
          <w14:ligatures w14:val="standardContextual"/>
        </w:rPr>
        <w:t> información sobre sanciones e inhabilidades </w:t>
      </w:r>
      <w:r w:rsidRPr="00B55D3E">
        <w:rPr>
          <w:rFonts w:ascii="Verdana" w:eastAsia="Aptos" w:hAnsi="Verdana" w:cs="Times New Roman"/>
          <w:kern w:val="2"/>
          <w14:ligatures w14:val="standardContextual"/>
        </w:rPr>
        <w:t>solo cumple su función preventiva si llega oportunamente a los registros públicos. Sobre este deber, esta Agencia expidió la </w:t>
      </w:r>
      <w:r w:rsidRPr="00B55D3E">
        <w:rPr>
          <w:rFonts w:ascii="Verdana" w:eastAsia="Aptos" w:hAnsi="Verdana" w:cs="Times New Roman"/>
          <w:b/>
          <w:bCs/>
          <w:kern w:val="2"/>
          <w14:ligatures w14:val="standardContextual"/>
        </w:rPr>
        <w:t>Circular Externa 002 del 5 de mayo de 2026,</w:t>
      </w:r>
      <w:r w:rsidRPr="00B55D3E">
        <w:rPr>
          <w:rFonts w:ascii="Verdana" w:eastAsia="Aptos" w:hAnsi="Verdana" w:cs="Times New Roman"/>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Original URL: https://www.colombiacompra.gov.co/archivos/circular/circular-externa-002-de-2026. Click or tap if you trust this link." w:history="1">
        <w:r w:rsidRPr="00B55D3E">
          <w:rPr>
            <w:rFonts w:ascii="Verdana" w:eastAsia="Aptos" w:hAnsi="Verdana" w:cs="Times New Roman"/>
            <w:color w:val="0000FF"/>
            <w:kern w:val="2"/>
            <w:u w:val="single"/>
            <w14:ligatures w14:val="standardContextual"/>
          </w:rPr>
          <w:t>https://www.colombiacompra.gov.co/archivos/circular/circular-externa-002-de-2026</w:t>
        </w:r>
      </w:hyperlink>
    </w:p>
    <w:p w14:paraId="6D80041E" w14:textId="77777777" w:rsidR="0035398C" w:rsidRPr="00B55D3E" w:rsidRDefault="0035398C" w:rsidP="0035398C">
      <w:pPr>
        <w:spacing w:after="0" w:line="276" w:lineRule="auto"/>
        <w:jc w:val="both"/>
        <w:rPr>
          <w:rFonts w:ascii="Verdana" w:eastAsia="Aptos" w:hAnsi="Verdana" w:cs="Times New Roman"/>
          <w:kern w:val="2"/>
          <w14:ligatures w14:val="standardContextual"/>
        </w:rPr>
      </w:pPr>
    </w:p>
    <w:p w14:paraId="632AE9BC" w14:textId="77777777" w:rsidR="0035398C" w:rsidRDefault="0035398C" w:rsidP="0035398C">
      <w:pPr>
        <w:spacing w:after="0" w:line="276" w:lineRule="auto"/>
        <w:jc w:val="both"/>
      </w:pPr>
      <w:r w:rsidRPr="00B55D3E">
        <w:rPr>
          <w:rFonts w:ascii="Verdana" w:eastAsia="Aptos" w:hAnsi="Verdana" w:cs="Times New Roman"/>
          <w:kern w:val="2"/>
          <w14:ligatures w14:val="standardContextual"/>
        </w:rPr>
        <w:t>Finalmente, si quiere seguir de cerca la actividad de la Agencia, la tercera edición de 2026 del</w:t>
      </w:r>
      <w:r w:rsidRPr="00B55D3E">
        <w:rPr>
          <w:rFonts w:ascii="Verdana" w:eastAsia="Aptos" w:hAnsi="Verdana" w:cs="Times New Roman"/>
          <w:b/>
          <w:bCs/>
          <w:kern w:val="2"/>
          <w14:ligatures w14:val="standardContextual"/>
        </w:rPr>
        <w:t> Radar de la Compra Pública</w:t>
      </w:r>
      <w:r w:rsidRPr="00B55D3E">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7" w:tgtFrame="_blank" w:tooltip="Original URL: https://www.colombiacompra.gov.co/archivos/boletin/boletin-edicion-n-3-de-2026-radar-de-la-compra-publica. Click or tap if you trust this link." w:history="1">
        <w:r w:rsidRPr="00B55D3E">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0E083F28" w14:textId="77777777" w:rsidR="00E47282" w:rsidRPr="00B55D3E" w:rsidRDefault="00E47282" w:rsidP="0035398C">
      <w:pPr>
        <w:spacing w:after="0" w:line="276" w:lineRule="auto"/>
        <w:jc w:val="both"/>
        <w:rPr>
          <w:rFonts w:ascii="Verdana" w:eastAsia="Aptos" w:hAnsi="Verdana" w:cs="Times New Roman"/>
          <w:kern w:val="2"/>
          <w14:ligatures w14:val="standardContextual"/>
        </w:rPr>
      </w:pPr>
    </w:p>
    <w:p w14:paraId="2DFF8948" w14:textId="091BC035" w:rsidR="0035398C" w:rsidRPr="00B55D3E" w:rsidRDefault="0035398C" w:rsidP="0035398C">
      <w:pPr>
        <w:spacing w:after="0" w:line="240" w:lineRule="auto"/>
        <w:jc w:val="both"/>
        <w:rPr>
          <w:rFonts w:ascii="Verdana" w:eastAsia="Calibri" w:hAnsi="Verdana" w:cs="Times New Roman"/>
          <w:kern w:val="2"/>
          <w14:ligatures w14:val="standardContextual"/>
        </w:rPr>
      </w:pPr>
      <w:r w:rsidRPr="00B55D3E">
        <w:rPr>
          <w:rFonts w:ascii="Verdana" w:eastAsia="Aptos" w:hAnsi="Verdana" w:cs="Times New Roman"/>
          <w:kern w:val="2"/>
          <w14:ligatures w14:val="standardContextual"/>
        </w:rPr>
        <w:t xml:space="preserve">Por último, lo invitamos a seguirnos en las redes sociales en las cuales se difunde información institucional: </w:t>
      </w:r>
    </w:p>
    <w:p w14:paraId="3F42646D" w14:textId="77777777" w:rsidR="0035398C" w:rsidRPr="00B55D3E" w:rsidRDefault="0035398C" w:rsidP="0035398C">
      <w:pPr>
        <w:spacing w:after="0" w:line="240" w:lineRule="auto"/>
        <w:jc w:val="both"/>
        <w:rPr>
          <w:rFonts w:ascii="Verdana" w:eastAsia="Aptos" w:hAnsi="Verdana" w:cs="Times New Roman"/>
          <w:kern w:val="2"/>
          <w14:ligatures w14:val="standardContextual"/>
        </w:rPr>
      </w:pPr>
    </w:p>
    <w:p w14:paraId="71137832" w14:textId="77777777" w:rsidR="0035398C" w:rsidRPr="00B55D3E" w:rsidRDefault="0035398C" w:rsidP="0035398C">
      <w:pPr>
        <w:spacing w:after="0" w:line="240" w:lineRule="auto"/>
        <w:jc w:val="both"/>
        <w:rPr>
          <w:rFonts w:ascii="Verdana" w:eastAsia="Aptos" w:hAnsi="Verdana" w:cs="Times New Roman"/>
          <w:kern w:val="2"/>
          <w14:ligatures w14:val="standardContextual"/>
        </w:rPr>
      </w:pPr>
      <w:r w:rsidRPr="00B55D3E">
        <w:rPr>
          <w:rFonts w:ascii="Verdana" w:eastAsia="Aptos" w:hAnsi="Verdana" w:cs="Times New Roman"/>
          <w:kern w:val="2"/>
          <w14:ligatures w14:val="standardContextual"/>
        </w:rPr>
        <w:t xml:space="preserve">Twitter: </w:t>
      </w:r>
      <w:r w:rsidRPr="00B55D3E">
        <w:rPr>
          <w:rFonts w:ascii="Verdana" w:eastAsia="Calibri" w:hAnsi="Verdana" w:cs="Times New Roman"/>
          <w:color w:val="0000FF"/>
          <w:kern w:val="2"/>
          <w:u w:val="single"/>
          <w14:ligatures w14:val="standardContextual"/>
        </w:rPr>
        <w:t>@colombiacompra</w:t>
      </w:r>
      <w:r w:rsidRPr="00B55D3E">
        <w:rPr>
          <w:rFonts w:ascii="Verdana" w:eastAsia="Calibri" w:hAnsi="Verdana" w:cs="Times New Roman"/>
          <w:color w:val="0000FF"/>
          <w:kern w:val="2"/>
          <w14:ligatures w14:val="standardContextual"/>
        </w:rPr>
        <w:t xml:space="preserve"> </w:t>
      </w:r>
    </w:p>
    <w:p w14:paraId="12F704C3" w14:textId="77777777" w:rsidR="0035398C" w:rsidRPr="00B55D3E" w:rsidRDefault="0035398C" w:rsidP="0035398C">
      <w:pPr>
        <w:spacing w:after="0" w:line="240" w:lineRule="auto"/>
        <w:jc w:val="both"/>
        <w:rPr>
          <w:rFonts w:ascii="Verdana" w:eastAsia="Aptos" w:hAnsi="Verdana" w:cs="Times New Roman"/>
          <w:kern w:val="2"/>
          <w14:ligatures w14:val="standardContextual"/>
        </w:rPr>
      </w:pPr>
      <w:r w:rsidRPr="00B55D3E">
        <w:rPr>
          <w:rFonts w:ascii="Verdana" w:eastAsia="Aptos" w:hAnsi="Verdana" w:cs="Times New Roman"/>
          <w:kern w:val="2"/>
          <w14:ligatures w14:val="standardContextual"/>
        </w:rPr>
        <w:t xml:space="preserve">Facebook: </w:t>
      </w:r>
      <w:proofErr w:type="spellStart"/>
      <w:r w:rsidRPr="00B55D3E">
        <w:rPr>
          <w:rFonts w:ascii="Verdana" w:eastAsia="Calibri" w:hAnsi="Verdana" w:cs="Times New Roman"/>
          <w:color w:val="0000FF"/>
          <w:kern w:val="2"/>
          <w:u w:val="single"/>
          <w14:ligatures w14:val="standardContextual"/>
        </w:rPr>
        <w:t>ColombiaCompraEficiente</w:t>
      </w:r>
      <w:proofErr w:type="spellEnd"/>
    </w:p>
    <w:p w14:paraId="297E6437" w14:textId="77777777" w:rsidR="0035398C" w:rsidRPr="00B55D3E" w:rsidRDefault="0035398C" w:rsidP="0035398C">
      <w:pPr>
        <w:spacing w:after="0" w:line="240" w:lineRule="auto"/>
        <w:jc w:val="both"/>
        <w:rPr>
          <w:rFonts w:ascii="Verdana" w:eastAsia="Aptos" w:hAnsi="Verdana" w:cs="Times New Roman"/>
          <w:kern w:val="2"/>
          <w14:ligatures w14:val="standardContextual"/>
        </w:rPr>
      </w:pPr>
      <w:r w:rsidRPr="00B55D3E">
        <w:rPr>
          <w:rFonts w:ascii="Verdana" w:eastAsia="Aptos" w:hAnsi="Verdana" w:cs="Times New Roman"/>
          <w:kern w:val="2"/>
          <w14:ligatures w14:val="standardContextual"/>
        </w:rPr>
        <w:lastRenderedPageBreak/>
        <w:t xml:space="preserve">LinkedIn: </w:t>
      </w:r>
      <w:r w:rsidRPr="00B55D3E">
        <w:rPr>
          <w:rFonts w:ascii="Verdana" w:eastAsia="Calibri" w:hAnsi="Verdana" w:cs="Times New Roman"/>
          <w:color w:val="0000FF"/>
          <w:kern w:val="2"/>
          <w:u w:val="single"/>
          <w14:ligatures w14:val="standardContextual"/>
        </w:rPr>
        <w:t>Agencia Nacional de Contratación Pública - Colombia Compra Eficiente</w:t>
      </w:r>
      <w:r w:rsidRPr="00B55D3E">
        <w:rPr>
          <w:rFonts w:ascii="Verdana" w:eastAsia="Calibri" w:hAnsi="Verdana" w:cs="Times New Roman"/>
          <w:color w:val="0000FF"/>
          <w:kern w:val="2"/>
          <w14:ligatures w14:val="standardContextual"/>
        </w:rPr>
        <w:t xml:space="preserve"> </w:t>
      </w:r>
      <w:r w:rsidRPr="00B55D3E">
        <w:rPr>
          <w:rFonts w:ascii="Verdana" w:eastAsia="Aptos" w:hAnsi="Verdana" w:cs="Times New Roman"/>
          <w:kern w:val="2"/>
          <w14:ligatures w14:val="standardContextual"/>
        </w:rPr>
        <w:t xml:space="preserve">Instagram: </w:t>
      </w:r>
      <w:r w:rsidRPr="00B55D3E">
        <w:rPr>
          <w:rFonts w:ascii="Verdana" w:eastAsia="Calibri" w:hAnsi="Verdana" w:cs="Times New Roman"/>
          <w:color w:val="0000FF"/>
          <w:kern w:val="2"/>
          <w:u w:val="single"/>
          <w14:ligatures w14:val="standardContextual"/>
        </w:rPr>
        <w:t>@colombiacompraeficiente_cce</w:t>
      </w:r>
    </w:p>
    <w:p w14:paraId="70D74E5F" w14:textId="77777777" w:rsidR="0035398C" w:rsidRPr="00B55D3E" w:rsidRDefault="0035398C" w:rsidP="0035398C">
      <w:pPr>
        <w:widowControl w:val="0"/>
        <w:autoSpaceDE w:val="0"/>
        <w:autoSpaceDN w:val="0"/>
        <w:spacing w:after="0" w:line="276" w:lineRule="auto"/>
        <w:jc w:val="both"/>
        <w:rPr>
          <w:rFonts w:ascii="Verdana" w:eastAsia="Calibri" w:hAnsi="Verdana" w:cs="Arial"/>
          <w:color w:val="000000" w:themeColor="text1"/>
          <w:kern w:val="2"/>
          <w14:ligatures w14:val="standardContextual"/>
        </w:rPr>
      </w:pPr>
    </w:p>
    <w:p w14:paraId="43C3A2E2" w14:textId="77777777" w:rsidR="0035398C" w:rsidRPr="00B55D3E" w:rsidRDefault="0035398C" w:rsidP="0035398C">
      <w:pPr>
        <w:widowControl w:val="0"/>
        <w:autoSpaceDE w:val="0"/>
        <w:autoSpaceDN w:val="0"/>
        <w:spacing w:after="0" w:line="276" w:lineRule="auto"/>
        <w:jc w:val="both"/>
        <w:rPr>
          <w:rFonts w:ascii="Verdana" w:eastAsia="Calibri" w:hAnsi="Verdana" w:cs="Arial"/>
          <w:color w:val="000000" w:themeColor="text1"/>
          <w:kern w:val="2"/>
          <w:lang w:val="es-ES_tradnl"/>
          <w14:ligatures w14:val="standardContextual"/>
        </w:rPr>
      </w:pPr>
      <w:r w:rsidRPr="00B55D3E">
        <w:rPr>
          <w:rFonts w:ascii="Verdana" w:eastAsia="Calibri" w:hAnsi="Verdana" w:cs="Arial"/>
          <w:color w:val="000000" w:themeColor="text1"/>
          <w:kern w:val="2"/>
          <w:lang w:val="es-ES_tradnl"/>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434C8AE6" w14:textId="77777777" w:rsidR="0035398C" w:rsidRPr="00B55D3E" w:rsidRDefault="0035398C" w:rsidP="0035398C">
      <w:pPr>
        <w:widowControl w:val="0"/>
        <w:autoSpaceDE w:val="0"/>
        <w:autoSpaceDN w:val="0"/>
        <w:spacing w:after="0" w:line="276" w:lineRule="auto"/>
        <w:jc w:val="both"/>
        <w:rPr>
          <w:rFonts w:ascii="Verdana" w:eastAsia="Calibri" w:hAnsi="Verdana" w:cs="Arial"/>
          <w:color w:val="000000" w:themeColor="text1"/>
        </w:rPr>
      </w:pPr>
    </w:p>
    <w:p w14:paraId="6A796861" w14:textId="77777777" w:rsidR="0035398C" w:rsidRPr="00B55D3E" w:rsidRDefault="0035398C" w:rsidP="0035398C">
      <w:pPr>
        <w:spacing w:after="0" w:line="240" w:lineRule="auto"/>
        <w:rPr>
          <w:rFonts w:ascii="Verdana" w:eastAsia="Calibri" w:hAnsi="Verdana" w:cs="Arial"/>
          <w:color w:val="000000" w:themeColor="text1"/>
          <w:lang w:eastAsia="es-CO"/>
        </w:rPr>
      </w:pPr>
      <w:r w:rsidRPr="00B55D3E">
        <w:rPr>
          <w:rFonts w:ascii="Verdana" w:eastAsia="Times New Roman" w:hAnsi="Verdana" w:cs="Arial"/>
          <w:color w:val="000000" w:themeColor="text1"/>
          <w:lang w:eastAsia="es-CO"/>
        </w:rPr>
        <w:t>Atentamente,</w:t>
      </w:r>
      <w:r w:rsidRPr="00B55D3E">
        <w:rPr>
          <w:rFonts w:ascii="Verdana" w:eastAsia="Calibri" w:hAnsi="Verdana" w:cs="Arial"/>
          <w:color w:val="000000" w:themeColor="text1"/>
          <w:lang w:eastAsia="es-CO"/>
        </w:rPr>
        <w:t xml:space="preserve"> </w:t>
      </w:r>
    </w:p>
    <w:p w14:paraId="4EA62E60" w14:textId="77777777" w:rsidR="0035398C" w:rsidRDefault="0035398C" w:rsidP="0035398C">
      <w:pPr>
        <w:tabs>
          <w:tab w:val="left" w:pos="1320"/>
        </w:tabs>
        <w:rPr>
          <w:noProof/>
        </w:rPr>
      </w:pPr>
    </w:p>
    <w:p w14:paraId="584DEA3F" w14:textId="59C8A4D0" w:rsidR="0035398C" w:rsidRPr="00837D76" w:rsidRDefault="006437C2" w:rsidP="006437C2">
      <w:pPr>
        <w:tabs>
          <w:tab w:val="left" w:pos="1320"/>
        </w:tabs>
        <w:jc w:val="center"/>
        <w:rPr>
          <w:noProof/>
        </w:rPr>
      </w:pPr>
      <w:r>
        <w:rPr>
          <w:noProof/>
        </w:rPr>
        <w:drawing>
          <wp:inline distT="0" distB="0" distL="0" distR="0" wp14:anchorId="7F7BDF98" wp14:editId="2773F438">
            <wp:extent cx="2865480" cy="1065179"/>
            <wp:effectExtent l="0" t="0" r="0" b="1905"/>
            <wp:docPr id="16822171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17199" name="Imagen 1682217199"/>
                    <pic:cNvPicPr/>
                  </pic:nvPicPr>
                  <pic:blipFill>
                    <a:blip r:embed="rId18">
                      <a:extLst>
                        <a:ext uri="{28A0092B-C50C-407E-A947-70E740481C1C}">
                          <a14:useLocalDpi xmlns:a14="http://schemas.microsoft.com/office/drawing/2010/main" val="0"/>
                        </a:ext>
                      </a:extLst>
                    </a:blip>
                    <a:stretch>
                      <a:fillRect/>
                    </a:stretch>
                  </pic:blipFill>
                  <pic:spPr>
                    <a:xfrm>
                      <a:off x="0" y="0"/>
                      <a:ext cx="2877826" cy="1069768"/>
                    </a:xfrm>
                    <a:prstGeom prst="rect">
                      <a:avLst/>
                    </a:prstGeom>
                  </pic:spPr>
                </pic:pic>
              </a:graphicData>
            </a:graphic>
          </wp:inline>
        </w:drawing>
      </w: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5"/>
        <w:gridCol w:w="5925"/>
      </w:tblGrid>
      <w:tr w:rsidR="0035398C" w14:paraId="02000668" w14:textId="77777777" w:rsidTr="0035398C">
        <w:trPr>
          <w:trHeight w:val="315"/>
        </w:trPr>
        <w:tc>
          <w:tcPr>
            <w:tcW w:w="1185" w:type="dxa"/>
            <w:tcBorders>
              <w:top w:val="nil"/>
              <w:left w:val="nil"/>
              <w:bottom w:val="nil"/>
              <w:right w:val="nil"/>
            </w:tcBorders>
            <w:tcMar>
              <w:left w:w="105" w:type="dxa"/>
              <w:right w:w="105" w:type="dxa"/>
            </w:tcMar>
            <w:vAlign w:val="center"/>
          </w:tcPr>
          <w:p w14:paraId="402056C4" w14:textId="77777777" w:rsidR="0035398C" w:rsidRDefault="0035398C" w:rsidP="0035398C">
            <w:pPr>
              <w:rPr>
                <w:rFonts w:ascii="Verdana" w:eastAsia="Verdana" w:hAnsi="Verdana" w:cs="Verdana"/>
                <w:sz w:val="16"/>
                <w:szCs w:val="16"/>
              </w:rPr>
            </w:pPr>
            <w:r w:rsidRPr="3F869DD7">
              <w:rPr>
                <w:rFonts w:ascii="Verdana" w:eastAsia="Verdana" w:hAnsi="Verdana" w:cs="Verdana"/>
                <w:sz w:val="16"/>
                <w:szCs w:val="16"/>
              </w:rPr>
              <w:t>Elabor</w:t>
            </w:r>
            <w:r>
              <w:rPr>
                <w:rFonts w:ascii="Verdana" w:eastAsia="Verdana" w:hAnsi="Verdana" w:cs="Verdana"/>
                <w:sz w:val="16"/>
                <w:szCs w:val="16"/>
              </w:rPr>
              <w:t>ó</w:t>
            </w:r>
            <w:r w:rsidRPr="3F869DD7">
              <w:rPr>
                <w:rFonts w:ascii="Verdana" w:eastAsia="Verdana" w:hAnsi="Verdana" w:cs="Verdana"/>
                <w:sz w:val="16"/>
                <w:szCs w:val="16"/>
              </w:rPr>
              <w:t>:</w:t>
            </w:r>
          </w:p>
        </w:tc>
        <w:tc>
          <w:tcPr>
            <w:tcW w:w="5925" w:type="dxa"/>
            <w:tcBorders>
              <w:top w:val="nil"/>
              <w:left w:val="nil"/>
              <w:bottom w:val="dotted" w:sz="4" w:space="0" w:color="7F7F7F" w:themeColor="text1" w:themeTint="80"/>
              <w:right w:val="nil"/>
            </w:tcBorders>
            <w:tcMar>
              <w:left w:w="105" w:type="dxa"/>
              <w:right w:w="105" w:type="dxa"/>
            </w:tcMar>
            <w:vAlign w:val="center"/>
          </w:tcPr>
          <w:p w14:paraId="33AD7BEA" w14:textId="77777777" w:rsidR="0035398C" w:rsidRDefault="0035398C" w:rsidP="0035398C">
            <w:pPr>
              <w:rPr>
                <w:rFonts w:ascii="Verdana" w:eastAsia="Times New Roman" w:hAnsi="Verdana" w:cs="Segoe UI"/>
                <w:color w:val="000000" w:themeColor="text1"/>
                <w:sz w:val="16"/>
                <w:szCs w:val="16"/>
                <w:lang w:eastAsia="es-ES"/>
              </w:rPr>
            </w:pPr>
            <w:r w:rsidRPr="3F869DD7">
              <w:rPr>
                <w:rFonts w:ascii="Verdana" w:eastAsia="Arial" w:hAnsi="Verdana" w:cs="Arial"/>
                <w:color w:val="000000" w:themeColor="text1"/>
                <w:sz w:val="16"/>
                <w:szCs w:val="16"/>
                <w:lang w:val="es-ES"/>
              </w:rPr>
              <w:t>Denis Andrea Cárdenas Hernández</w:t>
            </w:r>
          </w:p>
          <w:p w14:paraId="21778A44" w14:textId="77777777" w:rsidR="0035398C" w:rsidRDefault="0035398C" w:rsidP="0035398C">
            <w:pPr>
              <w:rPr>
                <w:rFonts w:ascii="Verdana" w:eastAsia="Arial" w:hAnsi="Verdana" w:cs="Arial"/>
                <w:color w:val="000000" w:themeColor="text1"/>
                <w:sz w:val="16"/>
                <w:szCs w:val="16"/>
                <w:lang w:val="es-ES"/>
              </w:rPr>
            </w:pPr>
            <w:r w:rsidRPr="3F869DD7">
              <w:rPr>
                <w:rFonts w:ascii="Verdana" w:eastAsia="Arial" w:hAnsi="Verdana" w:cs="Arial"/>
                <w:color w:val="000000" w:themeColor="text1"/>
                <w:sz w:val="16"/>
                <w:szCs w:val="16"/>
                <w:lang w:val="es-ES"/>
              </w:rPr>
              <w:t>Analista T2-01 de la Subdirección de Gestión Contractual</w:t>
            </w:r>
          </w:p>
        </w:tc>
      </w:tr>
      <w:tr w:rsidR="0035398C" w14:paraId="08EADAA9" w14:textId="77777777" w:rsidTr="0035398C">
        <w:trPr>
          <w:trHeight w:val="315"/>
        </w:trPr>
        <w:tc>
          <w:tcPr>
            <w:tcW w:w="1185" w:type="dxa"/>
            <w:tcBorders>
              <w:top w:val="nil"/>
              <w:left w:val="nil"/>
              <w:bottom w:val="nil"/>
              <w:right w:val="nil"/>
            </w:tcBorders>
            <w:tcMar>
              <w:left w:w="105" w:type="dxa"/>
              <w:right w:w="105" w:type="dxa"/>
            </w:tcMar>
            <w:vAlign w:val="center"/>
          </w:tcPr>
          <w:p w14:paraId="560283FE" w14:textId="77777777" w:rsidR="0035398C" w:rsidRDefault="0035398C" w:rsidP="0035398C">
            <w:pPr>
              <w:rPr>
                <w:rFonts w:ascii="Verdana" w:eastAsia="Verdana" w:hAnsi="Verdana" w:cs="Verdana"/>
                <w:sz w:val="16"/>
                <w:szCs w:val="16"/>
              </w:rPr>
            </w:pPr>
            <w:r w:rsidRPr="3F869DD7">
              <w:rPr>
                <w:rFonts w:ascii="Verdana" w:eastAsia="Verdana" w:hAnsi="Verdana" w:cs="Verdana"/>
                <w:sz w:val="16"/>
                <w:szCs w:val="16"/>
              </w:rPr>
              <w:t>Revisó: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398E9AAB" w14:textId="77777777" w:rsidR="0035398C" w:rsidRDefault="0035398C" w:rsidP="0035398C">
            <w:pPr>
              <w:rPr>
                <w:rFonts w:ascii="Verdana" w:eastAsia="Verdana" w:hAnsi="Verdana" w:cs="Verdana"/>
                <w:sz w:val="16"/>
                <w:szCs w:val="16"/>
              </w:rPr>
            </w:pPr>
            <w:r>
              <w:rPr>
                <w:rFonts w:ascii="Verdana" w:eastAsia="Verdana" w:hAnsi="Verdana" w:cs="Verdana"/>
                <w:sz w:val="16"/>
                <w:szCs w:val="16"/>
              </w:rPr>
              <w:t>Martha Alicia Romero Vargas</w:t>
            </w:r>
          </w:p>
          <w:p w14:paraId="2ED0521C" w14:textId="77777777" w:rsidR="0035398C" w:rsidRDefault="0035398C" w:rsidP="0035398C">
            <w:pPr>
              <w:rPr>
                <w:rFonts w:ascii="Verdana" w:eastAsia="Verdana" w:hAnsi="Verdana" w:cs="Verdana"/>
                <w:sz w:val="16"/>
                <w:szCs w:val="16"/>
              </w:rPr>
            </w:pPr>
            <w:r>
              <w:rPr>
                <w:rFonts w:ascii="Verdana" w:eastAsia="Verdana" w:hAnsi="Verdana" w:cs="Verdana"/>
                <w:sz w:val="16"/>
                <w:szCs w:val="16"/>
              </w:rPr>
              <w:t xml:space="preserve">Gestor T1-15 </w:t>
            </w:r>
            <w:r w:rsidRPr="3F869DD7">
              <w:rPr>
                <w:rFonts w:ascii="Verdana" w:eastAsia="Verdana" w:hAnsi="Verdana" w:cs="Verdana"/>
                <w:sz w:val="16"/>
                <w:szCs w:val="16"/>
              </w:rPr>
              <w:t>de la Subdirección de Gestión Contractual</w:t>
            </w:r>
          </w:p>
        </w:tc>
      </w:tr>
      <w:tr w:rsidR="0035398C" w14:paraId="08FC6507" w14:textId="77777777" w:rsidTr="0035398C">
        <w:trPr>
          <w:trHeight w:val="300"/>
        </w:trPr>
        <w:tc>
          <w:tcPr>
            <w:tcW w:w="1185" w:type="dxa"/>
            <w:tcBorders>
              <w:top w:val="nil"/>
              <w:left w:val="nil"/>
              <w:bottom w:val="nil"/>
              <w:right w:val="nil"/>
            </w:tcBorders>
            <w:tcMar>
              <w:left w:w="105" w:type="dxa"/>
              <w:right w:w="105" w:type="dxa"/>
            </w:tcMar>
            <w:vAlign w:val="center"/>
          </w:tcPr>
          <w:p w14:paraId="34D33ABF" w14:textId="77777777" w:rsidR="0035398C" w:rsidRDefault="0035398C" w:rsidP="0035398C">
            <w:pPr>
              <w:rPr>
                <w:rFonts w:ascii="Verdana" w:eastAsia="Verdana" w:hAnsi="Verdana" w:cs="Verdana"/>
                <w:sz w:val="16"/>
                <w:szCs w:val="16"/>
              </w:rPr>
            </w:pPr>
            <w:r w:rsidRPr="3F869DD7">
              <w:rPr>
                <w:rFonts w:ascii="Verdana" w:eastAsia="Verdana" w:hAnsi="Verdana" w:cs="Verdana"/>
                <w:sz w:val="16"/>
                <w:szCs w:val="16"/>
              </w:rPr>
              <w:t>Aprobó: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26817174" w14:textId="77777777" w:rsidR="0035398C" w:rsidRDefault="0035398C" w:rsidP="0035398C">
            <w:pPr>
              <w:rPr>
                <w:rFonts w:ascii="Verdana" w:eastAsia="Verdana" w:hAnsi="Verdana" w:cs="Verdana"/>
                <w:sz w:val="16"/>
                <w:szCs w:val="16"/>
              </w:rPr>
            </w:pPr>
            <w:r w:rsidRPr="3F869DD7">
              <w:rPr>
                <w:rFonts w:ascii="Verdana" w:eastAsia="Verdana" w:hAnsi="Verdana" w:cs="Verdana"/>
                <w:sz w:val="16"/>
                <w:szCs w:val="16"/>
              </w:rPr>
              <w:t>Carolina Quintero Gacharná</w:t>
            </w:r>
          </w:p>
          <w:p w14:paraId="4EEA2E3B" w14:textId="77777777" w:rsidR="0035398C" w:rsidRDefault="0035398C" w:rsidP="0035398C">
            <w:pPr>
              <w:rPr>
                <w:rFonts w:ascii="Verdana" w:eastAsia="Verdana" w:hAnsi="Verdana" w:cs="Verdana"/>
                <w:sz w:val="16"/>
                <w:szCs w:val="16"/>
              </w:rPr>
            </w:pPr>
            <w:r w:rsidRPr="3F869DD7">
              <w:rPr>
                <w:rFonts w:ascii="Verdana" w:eastAsia="Verdana" w:hAnsi="Verdana" w:cs="Verdana"/>
                <w:sz w:val="16"/>
                <w:szCs w:val="16"/>
              </w:rPr>
              <w:t>Subdirectora de Gestión Contractual ANCP – CCE</w:t>
            </w:r>
          </w:p>
        </w:tc>
      </w:tr>
    </w:tbl>
    <w:p w14:paraId="55BC7DFB" w14:textId="77777777" w:rsidR="0035398C" w:rsidRPr="000E2B93" w:rsidRDefault="0035398C" w:rsidP="0035398C">
      <w:pPr>
        <w:spacing w:after="0" w:line="240" w:lineRule="auto"/>
        <w:jc w:val="both"/>
        <w:textAlignment w:val="baseline"/>
        <w:rPr>
          <w:rFonts w:ascii="Verdana" w:eastAsia="Verdana" w:hAnsi="Verdana" w:cs="Verdana"/>
          <w:lang w:eastAsia="es-CO"/>
        </w:rPr>
      </w:pPr>
    </w:p>
    <w:p w14:paraId="3B39E81E" w14:textId="4DDE9CD5" w:rsidR="0035398C" w:rsidRPr="000E2B93" w:rsidRDefault="0035398C" w:rsidP="0035398C">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0F293BF4" w14:textId="02A757AE" w:rsidR="00127233" w:rsidRPr="0035398C" w:rsidRDefault="00127233" w:rsidP="0035398C"/>
    <w:sectPr w:rsidR="00127233" w:rsidRPr="0035398C"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4FD6" w14:textId="77777777" w:rsidR="00D13348" w:rsidRDefault="00D13348" w:rsidP="004A1847">
      <w:pPr>
        <w:spacing w:after="0" w:line="240" w:lineRule="auto"/>
      </w:pPr>
      <w:r>
        <w:separator/>
      </w:r>
    </w:p>
  </w:endnote>
  <w:endnote w:type="continuationSeparator" w:id="0">
    <w:p w14:paraId="2246DAA9" w14:textId="77777777" w:rsidR="00D13348" w:rsidRDefault="00D13348" w:rsidP="004A1847">
      <w:pPr>
        <w:spacing w:after="0" w:line="240" w:lineRule="auto"/>
      </w:pPr>
      <w:r>
        <w:continuationSeparator/>
      </w:r>
    </w:p>
  </w:endnote>
  <w:endnote w:type="continuationNotice" w:id="1">
    <w:p w14:paraId="7C6CC98F" w14:textId="77777777" w:rsidR="00D13348" w:rsidRDefault="00D13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5B81A" w14:textId="77777777" w:rsidR="00D13348" w:rsidRDefault="00D13348" w:rsidP="004A1847">
      <w:pPr>
        <w:spacing w:after="0" w:line="240" w:lineRule="auto"/>
      </w:pPr>
      <w:r>
        <w:separator/>
      </w:r>
    </w:p>
  </w:footnote>
  <w:footnote w:type="continuationSeparator" w:id="0">
    <w:p w14:paraId="1EA1707B" w14:textId="77777777" w:rsidR="00D13348" w:rsidRDefault="00D13348" w:rsidP="004A1847">
      <w:pPr>
        <w:spacing w:after="0" w:line="240" w:lineRule="auto"/>
      </w:pPr>
      <w:r>
        <w:continuationSeparator/>
      </w:r>
    </w:p>
  </w:footnote>
  <w:footnote w:type="continuationNotice" w:id="1">
    <w:p w14:paraId="61D67571" w14:textId="77777777" w:rsidR="00D13348" w:rsidRDefault="00D13348">
      <w:pPr>
        <w:spacing w:after="0" w:line="240" w:lineRule="auto"/>
      </w:pPr>
    </w:p>
  </w:footnote>
  <w:footnote w:id="2">
    <w:p w14:paraId="3A9FEDEC" w14:textId="77777777" w:rsidR="00004F0B" w:rsidRPr="00A52ADE" w:rsidRDefault="00004F0B" w:rsidP="00004F0B">
      <w:pPr>
        <w:pStyle w:val="Textonotapie"/>
        <w:ind w:firstLine="708"/>
        <w:jc w:val="both"/>
        <w:rPr>
          <w:rFonts w:ascii="Verdana" w:hAnsi="Verdana"/>
          <w:sz w:val="18"/>
          <w:szCs w:val="18"/>
        </w:rPr>
      </w:pPr>
      <w:r w:rsidRPr="00A52ADE">
        <w:rPr>
          <w:rStyle w:val="Refdenotaalpie"/>
          <w:rFonts w:ascii="Verdana" w:hAnsi="Verdana"/>
          <w:sz w:val="18"/>
          <w:szCs w:val="18"/>
        </w:rPr>
        <w:footnoteRef/>
      </w:r>
      <w:r w:rsidRPr="00A52ADE">
        <w:rPr>
          <w:rFonts w:ascii="Verdana" w:hAnsi="Verdana"/>
          <w:sz w:val="18"/>
          <w:szCs w:val="18"/>
        </w:rPr>
        <w:t xml:space="preserve"> Reglamento Colombiano de Construcción Sismo Resistente NSR-10</w:t>
      </w:r>
    </w:p>
    <w:p w14:paraId="2477403E" w14:textId="77777777" w:rsidR="00004F0B" w:rsidRPr="00A52ADE" w:rsidRDefault="00004F0B" w:rsidP="00004F0B">
      <w:pPr>
        <w:pStyle w:val="Textonotapie"/>
        <w:ind w:firstLine="708"/>
        <w:jc w:val="both"/>
        <w:rPr>
          <w:rFonts w:ascii="Verdana" w:hAnsi="Verdana"/>
          <w:sz w:val="18"/>
          <w:szCs w:val="18"/>
          <w:lang w:val="es-ES_tradnl"/>
        </w:rPr>
      </w:pPr>
    </w:p>
  </w:footnote>
  <w:footnote w:id="3">
    <w:p w14:paraId="0DE84545" w14:textId="77777777" w:rsidR="00004F0B" w:rsidRPr="00A52ADE" w:rsidRDefault="00004F0B" w:rsidP="00004F0B">
      <w:pPr>
        <w:pStyle w:val="Textonotapie"/>
        <w:ind w:firstLine="708"/>
        <w:jc w:val="both"/>
        <w:rPr>
          <w:rFonts w:ascii="Verdana" w:hAnsi="Verdana"/>
          <w:sz w:val="18"/>
          <w:szCs w:val="18"/>
          <w:lang w:val="es-ES_tradnl"/>
        </w:rPr>
      </w:pPr>
      <w:r w:rsidRPr="00A52ADE">
        <w:rPr>
          <w:rStyle w:val="Refdenotaalpie"/>
          <w:rFonts w:ascii="Verdana" w:hAnsi="Verdana"/>
          <w:sz w:val="18"/>
          <w:szCs w:val="18"/>
        </w:rPr>
        <w:footnoteRef/>
      </w:r>
      <w:r w:rsidRPr="00A52ADE">
        <w:rPr>
          <w:rFonts w:ascii="Verdana" w:hAnsi="Verdana"/>
          <w:sz w:val="18"/>
          <w:szCs w:val="18"/>
        </w:rPr>
        <w:t xml:space="preserve"> </w:t>
      </w:r>
      <w:r w:rsidRPr="00A52ADE">
        <w:rPr>
          <w:rFonts w:ascii="Verdana" w:hAnsi="Verdana"/>
          <w:sz w:val="18"/>
          <w:szCs w:val="18"/>
          <w:lang w:val="es-ES_tradnl"/>
        </w:rPr>
        <w:t xml:space="preserve">Ibidem </w:t>
      </w:r>
    </w:p>
    <w:p w14:paraId="22B62B21" w14:textId="77777777" w:rsidR="00004F0B" w:rsidRPr="00A52ADE" w:rsidRDefault="00004F0B" w:rsidP="00004F0B">
      <w:pPr>
        <w:pStyle w:val="Textonotapie"/>
        <w:ind w:firstLine="708"/>
        <w:jc w:val="both"/>
        <w:rPr>
          <w:rFonts w:ascii="Verdana" w:hAnsi="Verdana"/>
          <w:sz w:val="18"/>
          <w:szCs w:val="18"/>
          <w:lang w:val="es-ES_tradnl"/>
        </w:rPr>
      </w:pPr>
    </w:p>
  </w:footnote>
  <w:footnote w:id="4">
    <w:p w14:paraId="41A15A45" w14:textId="77777777" w:rsidR="00004F0B" w:rsidRPr="00A52ADE" w:rsidRDefault="00004F0B" w:rsidP="00004F0B">
      <w:pPr>
        <w:pStyle w:val="Textonotapie"/>
        <w:ind w:firstLine="708"/>
        <w:jc w:val="both"/>
        <w:rPr>
          <w:rFonts w:ascii="Verdana" w:hAnsi="Verdana"/>
          <w:sz w:val="18"/>
          <w:szCs w:val="18"/>
        </w:rPr>
      </w:pPr>
      <w:r w:rsidRPr="00A52ADE">
        <w:rPr>
          <w:rStyle w:val="Refdenotaalpie"/>
          <w:rFonts w:ascii="Verdana" w:hAnsi="Verdana"/>
          <w:sz w:val="18"/>
          <w:szCs w:val="18"/>
        </w:rPr>
        <w:footnoteRef/>
      </w:r>
      <w:r w:rsidRPr="00A52ADE">
        <w:rPr>
          <w:rFonts w:ascii="Verdana" w:hAnsi="Verdana"/>
          <w:sz w:val="18"/>
          <w:szCs w:val="18"/>
        </w:rPr>
        <w:t xml:space="preserve"> Anexo 5 – Glosario, de los documentos tipo de licitación de obra pública de infraestructura social, definición 2.80. </w:t>
      </w:r>
    </w:p>
    <w:p w14:paraId="6610D544" w14:textId="77777777" w:rsidR="00004F0B" w:rsidRPr="00A52ADE" w:rsidRDefault="00004F0B" w:rsidP="00004F0B">
      <w:pPr>
        <w:pStyle w:val="Textonotapie"/>
        <w:ind w:firstLine="708"/>
        <w:jc w:val="both"/>
        <w:rPr>
          <w:rFonts w:ascii="Verdana" w:hAnsi="Verdana"/>
          <w:sz w:val="18"/>
          <w:szCs w:val="18"/>
          <w:lang w:val="es-ES_tradnl"/>
        </w:rPr>
      </w:pPr>
    </w:p>
  </w:footnote>
  <w:footnote w:id="5">
    <w:p w14:paraId="0F7B47BB" w14:textId="77777777" w:rsidR="00D5619D" w:rsidRPr="00A52ADE" w:rsidRDefault="00D5619D" w:rsidP="00D5619D">
      <w:pPr>
        <w:pStyle w:val="Textonotapie"/>
        <w:ind w:firstLine="708"/>
        <w:jc w:val="both"/>
        <w:rPr>
          <w:rFonts w:ascii="Verdana" w:hAnsi="Verdana"/>
          <w:sz w:val="18"/>
          <w:szCs w:val="18"/>
        </w:rPr>
      </w:pPr>
      <w:r w:rsidRPr="00A52ADE">
        <w:rPr>
          <w:rStyle w:val="Refdenotaalpie"/>
          <w:rFonts w:ascii="Verdana" w:hAnsi="Verdana"/>
          <w:sz w:val="18"/>
          <w:szCs w:val="18"/>
        </w:rPr>
        <w:footnoteRef/>
      </w:r>
      <w:r w:rsidRPr="00A52ADE">
        <w:rPr>
          <w:rFonts w:ascii="Verdana" w:hAnsi="Verdana"/>
          <w:sz w:val="18"/>
          <w:szCs w:val="18"/>
        </w:rPr>
        <w:t xml:space="preserve"> Reglamento Colombiano de Construcción Sismo Resistente NSR-10</w:t>
      </w:r>
    </w:p>
    <w:p w14:paraId="077B85D6" w14:textId="77777777" w:rsidR="00D5619D" w:rsidRPr="00A52ADE" w:rsidRDefault="00D5619D" w:rsidP="00D5619D">
      <w:pPr>
        <w:pStyle w:val="Textonotapie"/>
        <w:ind w:firstLine="708"/>
        <w:jc w:val="both"/>
        <w:rPr>
          <w:rFonts w:ascii="Verdana" w:hAnsi="Verdana"/>
          <w:sz w:val="18"/>
          <w:szCs w:val="18"/>
          <w:lang w:val="es-ES_tradnl"/>
        </w:rPr>
      </w:pPr>
    </w:p>
  </w:footnote>
  <w:footnote w:id="6">
    <w:p w14:paraId="28CA1F5C" w14:textId="77777777" w:rsidR="00D5619D" w:rsidRPr="00A52ADE" w:rsidRDefault="00D5619D" w:rsidP="00D5619D">
      <w:pPr>
        <w:pStyle w:val="Textonotapie"/>
        <w:ind w:firstLine="708"/>
        <w:jc w:val="both"/>
        <w:rPr>
          <w:rFonts w:ascii="Verdana" w:hAnsi="Verdana"/>
          <w:sz w:val="18"/>
          <w:szCs w:val="18"/>
          <w:lang w:val="es-ES_tradnl"/>
        </w:rPr>
      </w:pPr>
      <w:r w:rsidRPr="00A52ADE">
        <w:rPr>
          <w:rStyle w:val="Refdenotaalpie"/>
          <w:rFonts w:ascii="Verdana" w:hAnsi="Verdana"/>
          <w:sz w:val="18"/>
          <w:szCs w:val="18"/>
        </w:rPr>
        <w:footnoteRef/>
      </w:r>
      <w:r w:rsidRPr="00A52ADE">
        <w:rPr>
          <w:rFonts w:ascii="Verdana" w:hAnsi="Verdana"/>
          <w:sz w:val="18"/>
          <w:szCs w:val="18"/>
        </w:rPr>
        <w:t xml:space="preserve"> </w:t>
      </w:r>
      <w:r w:rsidRPr="00A52ADE">
        <w:rPr>
          <w:rFonts w:ascii="Verdana" w:hAnsi="Verdana"/>
          <w:sz w:val="18"/>
          <w:szCs w:val="18"/>
          <w:lang w:val="es-ES_tradnl"/>
        </w:rPr>
        <w:t xml:space="preserve">Ibidem </w:t>
      </w:r>
    </w:p>
    <w:p w14:paraId="6D21E43C" w14:textId="77777777" w:rsidR="00D5619D" w:rsidRPr="00A52ADE" w:rsidRDefault="00D5619D" w:rsidP="00D5619D">
      <w:pPr>
        <w:pStyle w:val="Textonotapie"/>
        <w:ind w:firstLine="708"/>
        <w:jc w:val="both"/>
        <w:rPr>
          <w:rFonts w:ascii="Verdana" w:hAnsi="Verdana"/>
          <w:sz w:val="18"/>
          <w:szCs w:val="18"/>
          <w:lang w:val="es-ES_tradnl"/>
        </w:rPr>
      </w:pPr>
    </w:p>
  </w:footnote>
  <w:footnote w:id="7">
    <w:p w14:paraId="483DCD81" w14:textId="77777777" w:rsidR="00D5619D" w:rsidRPr="00A52ADE" w:rsidRDefault="00D5619D" w:rsidP="00D5619D">
      <w:pPr>
        <w:pStyle w:val="Textonotapie"/>
        <w:ind w:firstLine="708"/>
        <w:jc w:val="both"/>
        <w:rPr>
          <w:rFonts w:ascii="Verdana" w:hAnsi="Verdana"/>
          <w:sz w:val="18"/>
          <w:szCs w:val="18"/>
        </w:rPr>
      </w:pPr>
      <w:r w:rsidRPr="00A52ADE">
        <w:rPr>
          <w:rStyle w:val="Refdenotaalpie"/>
          <w:rFonts w:ascii="Verdana" w:hAnsi="Verdana"/>
          <w:sz w:val="18"/>
          <w:szCs w:val="18"/>
        </w:rPr>
        <w:footnoteRef/>
      </w:r>
      <w:r w:rsidRPr="00A52ADE">
        <w:rPr>
          <w:rFonts w:ascii="Verdana" w:hAnsi="Verdana"/>
          <w:sz w:val="18"/>
          <w:szCs w:val="18"/>
        </w:rPr>
        <w:t xml:space="preserve"> Anexo 5 – Glosario, de los documentos tipo de licitación de obra pública de infraestructura social, definición 2.80. </w:t>
      </w:r>
    </w:p>
    <w:p w14:paraId="0601A383" w14:textId="77777777" w:rsidR="00D5619D" w:rsidRPr="00A52ADE" w:rsidRDefault="00D5619D" w:rsidP="00D5619D">
      <w:pPr>
        <w:pStyle w:val="Textonotapie"/>
        <w:ind w:firstLine="708"/>
        <w:jc w:val="both"/>
        <w:rPr>
          <w:rFonts w:ascii="Verdana" w:hAnsi="Verdana"/>
          <w:sz w:val="18"/>
          <w:szCs w:val="18"/>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pt;height:7.3pt" o:bullet="t">
        <v:imagedata r:id="rId1" o:title="mso1B13"/>
      </v:shape>
    </w:pict>
  </w:numPicBullet>
  <w:abstractNum w:abstractNumId="0" w15:restartNumberingAfterBreak="0">
    <w:nsid w:val="01C06310"/>
    <w:multiLevelType w:val="multilevel"/>
    <w:tmpl w:val="9B2EAF2E"/>
    <w:lvl w:ilvl="0">
      <w:start w:val="1"/>
      <w:numFmt w:val="decimal"/>
      <w:lvlText w:val="%1."/>
      <w:lvlJc w:val="left"/>
      <w:pPr>
        <w:ind w:left="360" w:hanging="360"/>
      </w:pPr>
      <w:rPr>
        <w:b/>
        <w:color w:val="auto"/>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7893DBF"/>
    <w:multiLevelType w:val="hybridMultilevel"/>
    <w:tmpl w:val="B24A3F84"/>
    <w:lvl w:ilvl="0" w:tplc="392A68CC">
      <w:start w:val="2"/>
      <w:numFmt w:val="decimal"/>
      <w:lvlText w:val="%1."/>
      <w:lvlJc w:val="left"/>
      <w:pPr>
        <w:ind w:left="720" w:hanging="360"/>
      </w:pPr>
      <w:rPr>
        <w:rFonts w:eastAsia="Century Gothic" w:cs="Century Gothic"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EB07B9F"/>
    <w:multiLevelType w:val="hybridMultilevel"/>
    <w:tmpl w:val="3E8A94FE"/>
    <w:lvl w:ilvl="0" w:tplc="7C4CF212">
      <w:start w:val="3"/>
      <w:numFmt w:val="decimal"/>
      <w:lvlText w:val="%1."/>
      <w:lvlJc w:val="left"/>
      <w:pPr>
        <w:ind w:left="720" w:hanging="360"/>
      </w:pPr>
      <w:rPr>
        <w:rFonts w:eastAsia="Century Gothic" w:cs="Century Gothic"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726F5"/>
    <w:multiLevelType w:val="hybridMultilevel"/>
    <w:tmpl w:val="EE8E77B4"/>
    <w:lvl w:ilvl="0" w:tplc="C1D210D2">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2" w15:restartNumberingAfterBreak="0">
    <w:nsid w:val="4AE7336F"/>
    <w:multiLevelType w:val="hybridMultilevel"/>
    <w:tmpl w:val="0C4E6BF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6"/>
  </w:num>
  <w:num w:numId="7" w16cid:durableId="1946422806">
    <w:abstractNumId w:val="7"/>
  </w:num>
  <w:num w:numId="8" w16cid:durableId="152644682">
    <w:abstractNumId w:val="15"/>
  </w:num>
  <w:num w:numId="9" w16cid:durableId="1317221377">
    <w:abstractNumId w:val="9"/>
  </w:num>
  <w:num w:numId="10" w16cid:durableId="1471245386">
    <w:abstractNumId w:val="14"/>
  </w:num>
  <w:num w:numId="11" w16cid:durableId="289172385">
    <w:abstractNumId w:val="10"/>
  </w:num>
  <w:num w:numId="12" w16cid:durableId="1470781324">
    <w:abstractNumId w:val="1"/>
  </w:num>
  <w:num w:numId="13" w16cid:durableId="1512908409">
    <w:abstractNumId w:val="5"/>
  </w:num>
  <w:num w:numId="14" w16cid:durableId="895897244">
    <w:abstractNumId w:val="17"/>
  </w:num>
  <w:num w:numId="15" w16cid:durableId="390349800">
    <w:abstractNumId w:val="13"/>
  </w:num>
  <w:num w:numId="16" w16cid:durableId="169981602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985604">
    <w:abstractNumId w:val="11"/>
  </w:num>
  <w:num w:numId="18" w16cid:durableId="341274352">
    <w:abstractNumId w:val="0"/>
  </w:num>
  <w:num w:numId="19" w16cid:durableId="1300108123">
    <w:abstractNumId w:val="12"/>
  </w:num>
  <w:num w:numId="20" w16cid:durableId="2135563436">
    <w:abstractNumId w:val="3"/>
  </w:num>
  <w:num w:numId="21" w16cid:durableId="456414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4F0B"/>
    <w:rsid w:val="00016F78"/>
    <w:rsid w:val="000214D9"/>
    <w:rsid w:val="00031408"/>
    <w:rsid w:val="00046945"/>
    <w:rsid w:val="00052AB6"/>
    <w:rsid w:val="00061B2A"/>
    <w:rsid w:val="0006757E"/>
    <w:rsid w:val="00072989"/>
    <w:rsid w:val="00082362"/>
    <w:rsid w:val="00094623"/>
    <w:rsid w:val="000A683E"/>
    <w:rsid w:val="000A6E0C"/>
    <w:rsid w:val="000B19B9"/>
    <w:rsid w:val="000B446D"/>
    <w:rsid w:val="000D0334"/>
    <w:rsid w:val="000D5DA7"/>
    <w:rsid w:val="000D7590"/>
    <w:rsid w:val="000F6486"/>
    <w:rsid w:val="00116940"/>
    <w:rsid w:val="001178C2"/>
    <w:rsid w:val="00125105"/>
    <w:rsid w:val="00127233"/>
    <w:rsid w:val="00152DE6"/>
    <w:rsid w:val="0015699B"/>
    <w:rsid w:val="00167889"/>
    <w:rsid w:val="00191E64"/>
    <w:rsid w:val="001A33BF"/>
    <w:rsid w:val="001B6212"/>
    <w:rsid w:val="001E4177"/>
    <w:rsid w:val="001E71B1"/>
    <w:rsid w:val="001F0B24"/>
    <w:rsid w:val="001F7DC6"/>
    <w:rsid w:val="002064A0"/>
    <w:rsid w:val="002151FA"/>
    <w:rsid w:val="0022400B"/>
    <w:rsid w:val="002421BB"/>
    <w:rsid w:val="002569CB"/>
    <w:rsid w:val="0025796E"/>
    <w:rsid w:val="002643F2"/>
    <w:rsid w:val="002707A2"/>
    <w:rsid w:val="00272DDB"/>
    <w:rsid w:val="002951A0"/>
    <w:rsid w:val="002962BC"/>
    <w:rsid w:val="00297A13"/>
    <w:rsid w:val="002A093D"/>
    <w:rsid w:val="002A0DD0"/>
    <w:rsid w:val="002A49AC"/>
    <w:rsid w:val="002A64FD"/>
    <w:rsid w:val="002C7A84"/>
    <w:rsid w:val="002E2BF8"/>
    <w:rsid w:val="002E4FD9"/>
    <w:rsid w:val="002F0728"/>
    <w:rsid w:val="0030657A"/>
    <w:rsid w:val="00312B88"/>
    <w:rsid w:val="00322A85"/>
    <w:rsid w:val="00324168"/>
    <w:rsid w:val="00330834"/>
    <w:rsid w:val="00341B03"/>
    <w:rsid w:val="003448F4"/>
    <w:rsid w:val="0035398C"/>
    <w:rsid w:val="00374F5E"/>
    <w:rsid w:val="00377E3E"/>
    <w:rsid w:val="003948CE"/>
    <w:rsid w:val="003A779E"/>
    <w:rsid w:val="003C33A4"/>
    <w:rsid w:val="003D0F4D"/>
    <w:rsid w:val="003D2C1B"/>
    <w:rsid w:val="003D5B0D"/>
    <w:rsid w:val="003E0499"/>
    <w:rsid w:val="003E4F80"/>
    <w:rsid w:val="003E6439"/>
    <w:rsid w:val="003E7CBF"/>
    <w:rsid w:val="003F3941"/>
    <w:rsid w:val="00406575"/>
    <w:rsid w:val="00414C74"/>
    <w:rsid w:val="0042722E"/>
    <w:rsid w:val="00441BFD"/>
    <w:rsid w:val="0044528D"/>
    <w:rsid w:val="00466E39"/>
    <w:rsid w:val="00490A46"/>
    <w:rsid w:val="004A00F9"/>
    <w:rsid w:val="004A0415"/>
    <w:rsid w:val="004A1847"/>
    <w:rsid w:val="004A305D"/>
    <w:rsid w:val="004A3774"/>
    <w:rsid w:val="004B1ADB"/>
    <w:rsid w:val="004B1B93"/>
    <w:rsid w:val="004B47E5"/>
    <w:rsid w:val="004F21C4"/>
    <w:rsid w:val="004F685F"/>
    <w:rsid w:val="005206B1"/>
    <w:rsid w:val="005566E8"/>
    <w:rsid w:val="00574867"/>
    <w:rsid w:val="00591460"/>
    <w:rsid w:val="0059218D"/>
    <w:rsid w:val="005A65E0"/>
    <w:rsid w:val="005C3777"/>
    <w:rsid w:val="005C5CDC"/>
    <w:rsid w:val="005D476C"/>
    <w:rsid w:val="005F24F9"/>
    <w:rsid w:val="006200BF"/>
    <w:rsid w:val="006219F8"/>
    <w:rsid w:val="006302F7"/>
    <w:rsid w:val="006437C2"/>
    <w:rsid w:val="00646B9F"/>
    <w:rsid w:val="006603E6"/>
    <w:rsid w:val="00660D0A"/>
    <w:rsid w:val="00665D70"/>
    <w:rsid w:val="006900D9"/>
    <w:rsid w:val="006A0C57"/>
    <w:rsid w:val="006A2200"/>
    <w:rsid w:val="006F4A0D"/>
    <w:rsid w:val="00706C16"/>
    <w:rsid w:val="007340C3"/>
    <w:rsid w:val="0075235A"/>
    <w:rsid w:val="00756841"/>
    <w:rsid w:val="007649AB"/>
    <w:rsid w:val="00765A9F"/>
    <w:rsid w:val="00771D0C"/>
    <w:rsid w:val="007833AC"/>
    <w:rsid w:val="007B268C"/>
    <w:rsid w:val="007B7171"/>
    <w:rsid w:val="007C0C0F"/>
    <w:rsid w:val="007C3DC2"/>
    <w:rsid w:val="007E5497"/>
    <w:rsid w:val="00806F5F"/>
    <w:rsid w:val="00820278"/>
    <w:rsid w:val="008258C9"/>
    <w:rsid w:val="00844AE9"/>
    <w:rsid w:val="00867F95"/>
    <w:rsid w:val="00874F73"/>
    <w:rsid w:val="00883166"/>
    <w:rsid w:val="008843B6"/>
    <w:rsid w:val="00891928"/>
    <w:rsid w:val="0089753E"/>
    <w:rsid w:val="008A446D"/>
    <w:rsid w:val="008A77A8"/>
    <w:rsid w:val="008B25F1"/>
    <w:rsid w:val="008B7CB8"/>
    <w:rsid w:val="008D180B"/>
    <w:rsid w:val="008F0EA7"/>
    <w:rsid w:val="00913C8E"/>
    <w:rsid w:val="00923EEF"/>
    <w:rsid w:val="009419F9"/>
    <w:rsid w:val="00953568"/>
    <w:rsid w:val="0095685E"/>
    <w:rsid w:val="00961B09"/>
    <w:rsid w:val="00965334"/>
    <w:rsid w:val="0097093E"/>
    <w:rsid w:val="009A0DFA"/>
    <w:rsid w:val="009A1C6F"/>
    <w:rsid w:val="009B2D26"/>
    <w:rsid w:val="009B3C91"/>
    <w:rsid w:val="009C71FA"/>
    <w:rsid w:val="009C72E7"/>
    <w:rsid w:val="009C7F7E"/>
    <w:rsid w:val="009D3058"/>
    <w:rsid w:val="009F3A13"/>
    <w:rsid w:val="00A06A0F"/>
    <w:rsid w:val="00A078E4"/>
    <w:rsid w:val="00A122D3"/>
    <w:rsid w:val="00A14468"/>
    <w:rsid w:val="00A17F13"/>
    <w:rsid w:val="00A20739"/>
    <w:rsid w:val="00A23AF9"/>
    <w:rsid w:val="00A33C78"/>
    <w:rsid w:val="00A46CE0"/>
    <w:rsid w:val="00A96342"/>
    <w:rsid w:val="00AA5AB6"/>
    <w:rsid w:val="00AB0ADB"/>
    <w:rsid w:val="00AC57BC"/>
    <w:rsid w:val="00B00C0E"/>
    <w:rsid w:val="00B01B1A"/>
    <w:rsid w:val="00B0381D"/>
    <w:rsid w:val="00B0417F"/>
    <w:rsid w:val="00B44A47"/>
    <w:rsid w:val="00B44FB8"/>
    <w:rsid w:val="00B60B1D"/>
    <w:rsid w:val="00B72CD3"/>
    <w:rsid w:val="00B72FFF"/>
    <w:rsid w:val="00BA67B3"/>
    <w:rsid w:val="00BC3D36"/>
    <w:rsid w:val="00BD54A6"/>
    <w:rsid w:val="00BD7F72"/>
    <w:rsid w:val="00BE1985"/>
    <w:rsid w:val="00BE7EE0"/>
    <w:rsid w:val="00BF7425"/>
    <w:rsid w:val="00C04FB3"/>
    <w:rsid w:val="00C11D8B"/>
    <w:rsid w:val="00C15139"/>
    <w:rsid w:val="00C21C78"/>
    <w:rsid w:val="00C330EB"/>
    <w:rsid w:val="00C4200B"/>
    <w:rsid w:val="00C50D69"/>
    <w:rsid w:val="00C5365C"/>
    <w:rsid w:val="00C754BE"/>
    <w:rsid w:val="00C76B1C"/>
    <w:rsid w:val="00C83D3D"/>
    <w:rsid w:val="00C925AC"/>
    <w:rsid w:val="00CB1D6A"/>
    <w:rsid w:val="00CB4A08"/>
    <w:rsid w:val="00CB6357"/>
    <w:rsid w:val="00CB76B0"/>
    <w:rsid w:val="00CC1B26"/>
    <w:rsid w:val="00D13348"/>
    <w:rsid w:val="00D27E06"/>
    <w:rsid w:val="00D361FD"/>
    <w:rsid w:val="00D423A2"/>
    <w:rsid w:val="00D44E26"/>
    <w:rsid w:val="00D520D8"/>
    <w:rsid w:val="00D55FB0"/>
    <w:rsid w:val="00D5619D"/>
    <w:rsid w:val="00D61AF2"/>
    <w:rsid w:val="00D63AC2"/>
    <w:rsid w:val="00D7383B"/>
    <w:rsid w:val="00D7788A"/>
    <w:rsid w:val="00DA231B"/>
    <w:rsid w:val="00DC39FC"/>
    <w:rsid w:val="00DD4075"/>
    <w:rsid w:val="00DF5254"/>
    <w:rsid w:val="00E02524"/>
    <w:rsid w:val="00E05569"/>
    <w:rsid w:val="00E16408"/>
    <w:rsid w:val="00E20894"/>
    <w:rsid w:val="00E245AB"/>
    <w:rsid w:val="00E26CE9"/>
    <w:rsid w:val="00E2764C"/>
    <w:rsid w:val="00E27F2E"/>
    <w:rsid w:val="00E40478"/>
    <w:rsid w:val="00E47282"/>
    <w:rsid w:val="00E50AFE"/>
    <w:rsid w:val="00E75C92"/>
    <w:rsid w:val="00E771DC"/>
    <w:rsid w:val="00E8772A"/>
    <w:rsid w:val="00E90F6B"/>
    <w:rsid w:val="00E92C27"/>
    <w:rsid w:val="00EA0E3D"/>
    <w:rsid w:val="00EC38A7"/>
    <w:rsid w:val="00EC559B"/>
    <w:rsid w:val="00ED69F4"/>
    <w:rsid w:val="00EE1AA8"/>
    <w:rsid w:val="00F07403"/>
    <w:rsid w:val="00F23FEA"/>
    <w:rsid w:val="00F31EDC"/>
    <w:rsid w:val="00F462B3"/>
    <w:rsid w:val="00F53531"/>
    <w:rsid w:val="00F5664F"/>
    <w:rsid w:val="00F666C4"/>
    <w:rsid w:val="00F76AFC"/>
    <w:rsid w:val="00FA2B74"/>
    <w:rsid w:val="00FA47C0"/>
    <w:rsid w:val="00FB1166"/>
    <w:rsid w:val="00FB5DD1"/>
    <w:rsid w:val="00FB7695"/>
    <w:rsid w:val="00FC2B5D"/>
    <w:rsid w:val="00FC591C"/>
    <w:rsid w:val="00FD4151"/>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63C809B8-6F0F-44CF-8F30-1965963C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353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rsid w:val="0035398C"/>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documentos-tipo/documentos-tipo" TargetMode="External"/><Relationship Id="rId17"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risando05@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E3E5D7-5316-4202-B601-36494F2D2023}"/>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TotalTime>
  <Pages>22</Pages>
  <Words>7756</Words>
  <Characters>42661</Characters>
  <Application>Microsoft Office Word</Application>
  <DocSecurity>0</DocSecurity>
  <Lines>355</Lines>
  <Paragraphs>100</Paragraphs>
  <ScaleCrop>false</ScaleCrop>
  <Company/>
  <LinksUpToDate>false</LinksUpToDate>
  <CharactersWithSpaces>50317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Denis Andrea Cárdenas Hernández</cp:lastModifiedBy>
  <cp:revision>4</cp:revision>
  <cp:lastPrinted>2023-01-11T00:18:00Z</cp:lastPrinted>
  <dcterms:created xsi:type="dcterms:W3CDTF">2026-09-10T17:22:00Z</dcterms:created>
  <dcterms:modified xsi:type="dcterms:W3CDTF">2026-09-14T16:08:00Z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