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8C5C2" w14:textId="77777777" w:rsidR="000A51DC" w:rsidRPr="00914070" w:rsidRDefault="000A51DC" w:rsidP="000A51DC">
      <w:pPr>
        <w:spacing w:after="0" w:line="240" w:lineRule="auto"/>
        <w:jc w:val="both"/>
        <w:rPr>
          <w:rFonts w:ascii="Verdana" w:eastAsia="Calibri" w:hAnsi="Verdana" w:cs="Arial"/>
          <w:b/>
          <w:bCs/>
          <w:lang w:val="es-ES" w:eastAsia="es-ES"/>
        </w:rPr>
      </w:pPr>
      <w:bookmarkStart w:id="0" w:name="_Hlk143780582"/>
      <w:r w:rsidRPr="00914070">
        <w:rPr>
          <w:rFonts w:ascii="Verdana" w:eastAsia="Calibri" w:hAnsi="Verdana" w:cs="Arial"/>
          <w:b/>
          <w:bCs/>
          <w:lang w:val="es-ES" w:eastAsia="es-ES"/>
        </w:rPr>
        <w:t>SUBSANABILIDAD – Aplicación – R</w:t>
      </w:r>
      <w:r w:rsidRPr="00914070">
        <w:rPr>
          <w:rFonts w:ascii="Verdana" w:eastAsia="Calibri" w:hAnsi="Verdana"/>
          <w:b/>
          <w:bCs/>
          <w:lang w:val="es-ES" w:eastAsia="es-ES"/>
        </w:rPr>
        <w:t>egla general</w:t>
      </w:r>
      <w:r w:rsidRPr="00914070">
        <w:rPr>
          <w:rFonts w:ascii="Verdana" w:eastAsia="Calibri" w:hAnsi="Verdana" w:cs="Arial"/>
          <w:b/>
          <w:bCs/>
          <w:lang w:val="es-ES" w:eastAsia="es-ES"/>
        </w:rPr>
        <w:t xml:space="preserve"> – Excepciones </w:t>
      </w:r>
    </w:p>
    <w:p w14:paraId="45E7A7BA" w14:textId="77777777" w:rsidR="000A51DC" w:rsidRDefault="000A51DC" w:rsidP="000A51DC">
      <w:pPr>
        <w:spacing w:after="0" w:line="240" w:lineRule="auto"/>
        <w:jc w:val="both"/>
        <w:rPr>
          <w:rFonts w:ascii="Verdana" w:hAnsi="Verdana" w:cs="Arial"/>
          <w:noProof/>
          <w:sz w:val="20"/>
          <w:szCs w:val="20"/>
          <w:lang w:val="es-ES_tradnl"/>
        </w:rPr>
      </w:pPr>
    </w:p>
    <w:p w14:paraId="631A54F9" w14:textId="77777777" w:rsidR="000A51DC" w:rsidRPr="00914070" w:rsidRDefault="000A51DC" w:rsidP="000A51DC">
      <w:pPr>
        <w:spacing w:after="0" w:line="240" w:lineRule="auto"/>
        <w:jc w:val="both"/>
        <w:rPr>
          <w:rFonts w:ascii="Verdana" w:eastAsia="Times New Roman" w:hAnsi="Verdana" w:cs="Arial"/>
          <w:sz w:val="20"/>
          <w:szCs w:val="20"/>
          <w:lang w:val="es-ES_tradnl" w:eastAsia="es-ES_tradnl"/>
        </w:rPr>
      </w:pPr>
      <w:r w:rsidRPr="00914070">
        <w:rPr>
          <w:rFonts w:ascii="Verdana" w:hAnsi="Verdana" w:cs="Arial"/>
          <w:noProof/>
          <w:sz w:val="20"/>
          <w:szCs w:val="20"/>
          <w:lang w:val="es-ES_tradnl"/>
        </w:rPr>
        <w:t>L</w:t>
      </w:r>
      <w:r w:rsidRPr="00914070">
        <w:rPr>
          <w:rFonts w:ascii="Verdana" w:eastAsia="Times New Roman" w:hAnsi="Verdana" w:cs="Arial"/>
          <w:sz w:val="20"/>
          <w:szCs w:val="20"/>
        </w:rPr>
        <w:t>a regla de la subsanabilidad de las ofertas en los procedimientos de selección</w:t>
      </w:r>
      <w:r w:rsidRPr="00914070">
        <w:rPr>
          <w:rFonts w:ascii="Verdana" w:eastAsia="Times New Roman" w:hAnsi="Verdana" w:cs="Arial"/>
          <w:b/>
          <w:bCs/>
          <w:sz w:val="20"/>
          <w:szCs w:val="20"/>
        </w:rPr>
        <w:t xml:space="preserve"> </w:t>
      </w:r>
      <w:r w:rsidRPr="00914070">
        <w:rPr>
          <w:rFonts w:ascii="Verdana" w:eastAsia="Times New Roman" w:hAnsi="Verdana" w:cs="Arial"/>
          <w:sz w:val="20"/>
          <w:szCs w:val="20"/>
          <w:lang w:val="es-ES_tradnl" w:eastAsia="es-ES_tradnl"/>
        </w:rPr>
        <w:t>indica que, por regla general, la falta de entrega y los defectos en la acreditación de los requisitos habilitantes son aspectos subsanables. La excepción a esta regla se encuentra en la prohibición de permitir la entrega de la garantía de seriedad de la oferta que no fue aportada con la propuesta y de valer la acreditación de circunstancias ocurridas con posterioridad al cierre del proceso.</w:t>
      </w:r>
    </w:p>
    <w:p w14:paraId="043ABC76" w14:textId="77777777" w:rsidR="000A51DC" w:rsidRPr="00914070" w:rsidRDefault="000A51DC" w:rsidP="000A51DC">
      <w:pPr>
        <w:spacing w:after="0" w:line="240" w:lineRule="auto"/>
        <w:jc w:val="both"/>
        <w:rPr>
          <w:rFonts w:ascii="Verdana" w:eastAsia="Calibri" w:hAnsi="Verdana" w:cs="Arial"/>
          <w:sz w:val="20"/>
          <w:szCs w:val="20"/>
          <w:lang w:val="es-ES" w:eastAsia="es-ES"/>
        </w:rPr>
      </w:pPr>
    </w:p>
    <w:p w14:paraId="5C5CB2D6" w14:textId="77777777" w:rsidR="000A51DC" w:rsidRPr="00914070" w:rsidRDefault="000A51DC" w:rsidP="000A51DC">
      <w:pPr>
        <w:spacing w:after="0" w:line="240" w:lineRule="auto"/>
        <w:jc w:val="both"/>
        <w:rPr>
          <w:rFonts w:ascii="Verdana" w:eastAsia="Calibri" w:hAnsi="Verdana" w:cs="Arial"/>
          <w:b/>
          <w:bCs/>
          <w:lang w:val="es-ES" w:eastAsia="es-ES"/>
        </w:rPr>
      </w:pPr>
      <w:r w:rsidRPr="00914070">
        <w:rPr>
          <w:rFonts w:ascii="Verdana" w:eastAsia="Calibri" w:hAnsi="Verdana" w:cs="Arial"/>
          <w:b/>
          <w:bCs/>
          <w:lang w:val="es-ES" w:eastAsia="es-ES"/>
        </w:rPr>
        <w:t xml:space="preserve">SUBSANABILIDAD – Circunstancias posteriores – Cierre del proceso- Ley 1882 de 2018 </w:t>
      </w:r>
    </w:p>
    <w:p w14:paraId="6B45AFE1" w14:textId="77777777" w:rsidR="000A51DC" w:rsidRPr="00914070" w:rsidRDefault="000A51DC" w:rsidP="000A51DC">
      <w:pPr>
        <w:spacing w:after="0" w:line="240" w:lineRule="auto"/>
        <w:jc w:val="both"/>
        <w:rPr>
          <w:rFonts w:ascii="Verdana" w:eastAsia="Calibri" w:hAnsi="Verdana" w:cs="Arial"/>
          <w:sz w:val="20"/>
          <w:szCs w:val="20"/>
          <w:lang w:val="es-ES" w:eastAsia="es-ES"/>
        </w:rPr>
      </w:pPr>
    </w:p>
    <w:p w14:paraId="6B793968" w14:textId="77777777" w:rsidR="000A51DC" w:rsidRDefault="000A51DC" w:rsidP="000A51DC">
      <w:pPr>
        <w:spacing w:after="0" w:line="240" w:lineRule="auto"/>
        <w:jc w:val="both"/>
        <w:rPr>
          <w:rFonts w:ascii="Verdana" w:eastAsia="Times New Roman" w:hAnsi="Verdana" w:cs="Arial"/>
          <w:sz w:val="20"/>
          <w:szCs w:val="20"/>
          <w:lang w:val="es-ES_tradnl" w:eastAsia="es-ES_tradnl"/>
        </w:rPr>
      </w:pPr>
      <w:r w:rsidRPr="00914070">
        <w:rPr>
          <w:rFonts w:ascii="Verdana" w:eastAsia="Times New Roman" w:hAnsi="Verdana" w:cs="Arial"/>
          <w:sz w:val="20"/>
          <w:szCs w:val="20"/>
          <w:lang w:val="es-ES_tradnl" w:eastAsia="es-ES_tradnl"/>
        </w:rPr>
        <w:t xml:space="preserve">De conformidad con el artículo 5 de la Ley 1882 de 2018, lo subsanable es la prueba de todas las circunstancias ocurridas antes del vencimiento del término para presentar las ofertas, ello es lo que implica la prohibición de acreditar circunstancias ocurridas con posterioridad al “cierre del proceso”. Lo anterior evita, por ejemplo, que se presenten oferentes que no cumplían con los requisitos para participar al momento de presentar las ofertas, y pretendan cumplirlos durante el proceso de selección o, inclusive, que se puedan variar condiciones de la oferta una vez presentada. </w:t>
      </w:r>
    </w:p>
    <w:p w14:paraId="249C2F90" w14:textId="77777777" w:rsidR="000A51DC" w:rsidRPr="00914070" w:rsidRDefault="000A51DC" w:rsidP="000A51DC">
      <w:pPr>
        <w:spacing w:after="0" w:line="240" w:lineRule="auto"/>
        <w:jc w:val="both"/>
        <w:rPr>
          <w:rFonts w:ascii="Verdana" w:eastAsia="Times New Roman" w:hAnsi="Verdana" w:cs="Arial"/>
          <w:sz w:val="20"/>
          <w:szCs w:val="20"/>
          <w:lang w:val="es-ES_tradnl" w:eastAsia="es-ES_tradnl"/>
        </w:rPr>
      </w:pPr>
    </w:p>
    <w:p w14:paraId="16D966A1" w14:textId="77777777" w:rsidR="000A51DC" w:rsidRDefault="000A51DC" w:rsidP="000A51DC">
      <w:pPr>
        <w:spacing w:after="0" w:line="240" w:lineRule="auto"/>
        <w:jc w:val="both"/>
        <w:rPr>
          <w:rFonts w:ascii="Verdana" w:eastAsia="Times New Roman" w:hAnsi="Verdana" w:cs="Arial"/>
          <w:sz w:val="20"/>
          <w:szCs w:val="20"/>
          <w:lang w:val="es-ES" w:eastAsia="es-ES"/>
        </w:rPr>
      </w:pPr>
      <w:r w:rsidRPr="00914070">
        <w:rPr>
          <w:rFonts w:ascii="Verdana" w:eastAsia="Times New Roman" w:hAnsi="Verdana" w:cs="Arial"/>
          <w:sz w:val="20"/>
          <w:szCs w:val="20"/>
          <w:lang w:val="es-ES" w:eastAsia="es-ES"/>
        </w:rPr>
        <w:t xml:space="preserve">Un mejor entendimiento del significado de la expresión </w:t>
      </w:r>
      <w:r w:rsidRPr="00914070">
        <w:rPr>
          <w:rFonts w:ascii="Verdana" w:eastAsia="Times New Roman" w:hAnsi="Verdana" w:cs="Arial"/>
          <w:i/>
          <w:sz w:val="20"/>
          <w:szCs w:val="20"/>
          <w:lang w:val="es-ES" w:eastAsia="es-ES"/>
        </w:rPr>
        <w:t>“circunstancias ocurridas con posterioridad al cierre del proceso”</w:t>
      </w:r>
      <w:r w:rsidRPr="00914070">
        <w:rPr>
          <w:rFonts w:ascii="Verdana" w:eastAsia="Times New Roman" w:hAnsi="Verdana" w:cs="Arial"/>
          <w:sz w:val="20"/>
          <w:szCs w:val="20"/>
          <w:lang w:val="es-ES" w:eastAsia="es-ES"/>
        </w:rPr>
        <w:t xml:space="preserve"> implica distinguir entre la prueba de un hecho y el hecho mismo. En el caso de la </w:t>
      </w:r>
      <w:proofErr w:type="spellStart"/>
      <w:r w:rsidRPr="00914070">
        <w:rPr>
          <w:rFonts w:ascii="Verdana" w:eastAsia="Times New Roman" w:hAnsi="Verdana" w:cs="Arial"/>
          <w:sz w:val="20"/>
          <w:szCs w:val="20"/>
          <w:lang w:val="es-ES" w:eastAsia="es-ES"/>
        </w:rPr>
        <w:t>subsanabilidad</w:t>
      </w:r>
      <w:proofErr w:type="spellEnd"/>
      <w:r w:rsidRPr="00914070">
        <w:rPr>
          <w:rFonts w:ascii="Verdana" w:eastAsia="Times New Roman" w:hAnsi="Verdana" w:cs="Arial"/>
          <w:sz w:val="20"/>
          <w:szCs w:val="20"/>
          <w:lang w:val="es-ES" w:eastAsia="es-ES"/>
        </w:rPr>
        <w:t xml:space="preserve"> de las ofertas, una cosa es el requisito habilitante o el elemento de la propuesta y otra su prueba. Lo que prohíbe la norma es que se subsanen requisitos que no estaban materialmente cumplidos al momento de presentación de la oferta, o en palabras de la ley, que se acrediten hechos que ocurrieron después del cierre del proceso</w:t>
      </w:r>
      <w:r>
        <w:rPr>
          <w:rFonts w:ascii="Verdana" w:eastAsia="Times New Roman" w:hAnsi="Verdana" w:cs="Arial"/>
          <w:sz w:val="20"/>
          <w:szCs w:val="20"/>
          <w:lang w:val="es-ES" w:eastAsia="es-ES"/>
        </w:rPr>
        <w:t xml:space="preserve">. </w:t>
      </w:r>
    </w:p>
    <w:p w14:paraId="2D42F49F" w14:textId="77777777" w:rsidR="000A51DC" w:rsidRDefault="000A51DC" w:rsidP="000A51DC">
      <w:pPr>
        <w:rPr>
          <w:rFonts w:ascii="Verdana" w:hAnsi="Verdana"/>
          <w:lang w:val="es-ES"/>
        </w:rPr>
      </w:pPr>
    </w:p>
    <w:p w14:paraId="7CAF5232" w14:textId="77777777" w:rsidR="000A51DC" w:rsidRDefault="000A51DC" w:rsidP="000A51DC">
      <w:pPr>
        <w:pStyle w:val="Textoindependiente"/>
        <w:ind w:right="307"/>
        <w:jc w:val="both"/>
        <w:rPr>
          <w:rFonts w:ascii="Verdana" w:hAnsi="Verdana"/>
          <w:b/>
        </w:rPr>
      </w:pPr>
      <w:r w:rsidRPr="00946815">
        <w:rPr>
          <w:rFonts w:ascii="Verdana" w:hAnsi="Verdana"/>
          <w:b/>
        </w:rPr>
        <w:t xml:space="preserve">SUBSANABILIDAD – Ficha o anexo técnicos – Posición anterior – Colombia Compra Eficiente </w:t>
      </w:r>
    </w:p>
    <w:p w14:paraId="4CEC653A" w14:textId="77777777" w:rsidR="005A1E2C" w:rsidRPr="00946815" w:rsidRDefault="005A1E2C" w:rsidP="000A51DC">
      <w:pPr>
        <w:pStyle w:val="Textoindependiente"/>
        <w:ind w:right="307"/>
        <w:jc w:val="both"/>
        <w:rPr>
          <w:rFonts w:ascii="Verdana" w:hAnsi="Verdana"/>
          <w:b/>
        </w:rPr>
      </w:pPr>
    </w:p>
    <w:p w14:paraId="6CF15195" w14:textId="77777777" w:rsidR="000A51DC" w:rsidRPr="00B418EE" w:rsidRDefault="000A51DC" w:rsidP="000A51DC">
      <w:pPr>
        <w:spacing w:after="0" w:line="240" w:lineRule="auto"/>
        <w:jc w:val="both"/>
        <w:rPr>
          <w:rFonts w:ascii="Verdana" w:hAnsi="Verdana" w:cs="Arial"/>
          <w:sz w:val="20"/>
        </w:rPr>
      </w:pPr>
      <w:r w:rsidRPr="00B418EE">
        <w:rPr>
          <w:rFonts w:ascii="Verdana" w:hAnsi="Verdana"/>
          <w:sz w:val="20"/>
        </w:rPr>
        <w:t>La ficha técnica no tiene una definición formal en dentro del Estatuto General de Contratación de la Administración Pública-EGCAP-, por lo que se limita a una serie de menciones dentro del Decreto 1082 de 2015, que en el artículo 2.2.1.2.1.2.1, señala que en el pliego de condiciones se deben indicar las condiciones que deben estar incluidas en la “ficha técnica” para los procesos de selección abreviada para adquirir bienes y servicios de características técnicas uniformes, las cuales son: i) la clasificación del bien o servicio de acuerdo con el Clasificador de Bienes y Servicios; ii) la identificación adicional requerida; iii) la unidad de medida; iv) la calidad mínima, y v) los patrones de desempeño</w:t>
      </w:r>
      <w:r w:rsidRPr="00B418EE">
        <w:rPr>
          <w:rFonts w:ascii="Verdana" w:hAnsi="Verdana"/>
          <w:spacing w:val="-2"/>
          <w:sz w:val="20"/>
        </w:rPr>
        <w:t xml:space="preserve"> </w:t>
      </w:r>
      <w:r w:rsidRPr="00B418EE">
        <w:rPr>
          <w:rFonts w:ascii="Verdana" w:hAnsi="Verdana"/>
          <w:sz w:val="20"/>
        </w:rPr>
        <w:t>mínimos</w:t>
      </w:r>
      <w:r w:rsidRPr="00B418EE">
        <w:rPr>
          <w:rFonts w:ascii="Verdana" w:hAnsi="Verdana" w:cs="Arial"/>
          <w:sz w:val="20"/>
        </w:rPr>
        <w:t>.</w:t>
      </w:r>
    </w:p>
    <w:p w14:paraId="00D3A011" w14:textId="77777777" w:rsidR="000A51DC" w:rsidRDefault="000A51DC" w:rsidP="000A51DC">
      <w:pPr>
        <w:pStyle w:val="Textoindependiente"/>
        <w:ind w:right="307"/>
        <w:jc w:val="both"/>
        <w:rPr>
          <w:rFonts w:ascii="Verdana" w:hAnsi="Verdana"/>
          <w:b/>
        </w:rPr>
      </w:pPr>
    </w:p>
    <w:p w14:paraId="51B0650C" w14:textId="625B71F1" w:rsidR="000A51DC" w:rsidRPr="00946815" w:rsidRDefault="000A51DC" w:rsidP="000A51DC">
      <w:pPr>
        <w:pStyle w:val="Textoindependiente"/>
        <w:ind w:right="307"/>
        <w:jc w:val="both"/>
        <w:rPr>
          <w:rFonts w:ascii="Verdana" w:hAnsi="Verdana"/>
          <w:b/>
        </w:rPr>
      </w:pPr>
      <w:r w:rsidRPr="00946815">
        <w:rPr>
          <w:rFonts w:ascii="Verdana" w:hAnsi="Verdana"/>
          <w:b/>
        </w:rPr>
        <w:t>SUBSANABILIDAD – Ficha o anexo</w:t>
      </w:r>
      <w:r w:rsidR="00204558">
        <w:rPr>
          <w:rFonts w:ascii="Verdana" w:hAnsi="Verdana"/>
          <w:b/>
        </w:rPr>
        <w:t>s</w:t>
      </w:r>
      <w:r w:rsidRPr="00946815">
        <w:rPr>
          <w:rFonts w:ascii="Verdana" w:hAnsi="Verdana"/>
          <w:b/>
        </w:rPr>
        <w:t xml:space="preserve"> técnicos – Posición vigente – Colombia Compra Eficiente </w:t>
      </w:r>
    </w:p>
    <w:p w14:paraId="77215207" w14:textId="77777777" w:rsidR="000A51DC" w:rsidRPr="003E0097" w:rsidRDefault="000A51DC" w:rsidP="000A51DC">
      <w:pPr>
        <w:spacing w:after="120" w:line="240" w:lineRule="auto"/>
        <w:contextualSpacing/>
        <w:jc w:val="both"/>
        <w:rPr>
          <w:rFonts w:ascii="Verdana" w:hAnsi="Verdana"/>
          <w:sz w:val="20"/>
        </w:rPr>
      </w:pPr>
      <w:r w:rsidRPr="003E0097">
        <w:rPr>
          <w:rFonts w:ascii="Verdana" w:hAnsi="Verdana"/>
          <w:sz w:val="20"/>
        </w:rPr>
        <w:lastRenderedPageBreak/>
        <w:t>El cambio de posición se origina en la medida en que la ausencia de requisitos o los errores en los documentos del proponente que no son necesarios para comparar las propuestas, no pueden ser una razón suficiente para el rechazo de la oferta y por lo tanto deben ser subsanados12. Como se ha explicado, en los procesos donde el precio es el único criterio para la comparación de las ofertas, como por ejemplo la selección abreviada para adquirir bienes y servicios de características técnicas uniforme mediante subasta inversa, no es viable impedir que subsanen requisitos diferentes a los que afecten el precio, pues estos en la medida en que no son necesarios para comparar las propuestas, no modifican los criterios que otorgan puntaje, sino que permiten habilitar o demostrar que el proponente tiene la capacidad para cumplir con el objeto del contrato. por consiguiente, siempre que la ficha técnica no sea un requisito puntuable o que cambie uno de ellos que pueda mejorar la oferta, deberá subsanarse.</w:t>
      </w:r>
    </w:p>
    <w:p w14:paraId="5454C596" w14:textId="77777777" w:rsidR="000A51DC" w:rsidRPr="00904AD4" w:rsidRDefault="000A51DC" w:rsidP="000A51DC">
      <w:pPr>
        <w:spacing w:after="0" w:line="240" w:lineRule="auto"/>
        <w:contextualSpacing/>
        <w:jc w:val="both"/>
        <w:rPr>
          <w:rFonts w:ascii="Verdana" w:eastAsia="Calibri" w:hAnsi="Verdana" w:cs="Arial"/>
          <w:b/>
          <w:lang w:val="es-ES" w:eastAsia="es-MX"/>
        </w:rPr>
      </w:pPr>
    </w:p>
    <w:p w14:paraId="532CECD3" w14:textId="77777777" w:rsidR="000A51DC" w:rsidRDefault="000A51DC" w:rsidP="000A51DC">
      <w:pPr>
        <w:spacing w:after="0" w:line="240" w:lineRule="auto"/>
        <w:rPr>
          <w:rFonts w:ascii="Verdana" w:eastAsia="Geomanist Light" w:hAnsi="Verdana" w:cs="Arial"/>
          <w:color w:val="000000" w:themeColor="text1"/>
          <w:lang w:val="es-MX"/>
        </w:rPr>
      </w:pPr>
    </w:p>
    <w:p w14:paraId="7D86329D" w14:textId="77777777" w:rsidR="000A51DC" w:rsidRDefault="000A51DC" w:rsidP="000A51DC">
      <w:pPr>
        <w:spacing w:after="0" w:line="240" w:lineRule="auto"/>
        <w:rPr>
          <w:rFonts w:ascii="Verdana" w:eastAsia="Geomanist Light" w:hAnsi="Verdana" w:cs="Arial"/>
          <w:color w:val="000000" w:themeColor="text1"/>
          <w:lang w:val="es-MX"/>
        </w:rPr>
      </w:pPr>
    </w:p>
    <w:p w14:paraId="2050BAAE" w14:textId="77777777" w:rsidR="000A51DC" w:rsidRDefault="000A51DC" w:rsidP="000A51DC">
      <w:pPr>
        <w:spacing w:after="0" w:line="240" w:lineRule="auto"/>
        <w:rPr>
          <w:rFonts w:ascii="Verdana" w:eastAsia="Geomanist Light" w:hAnsi="Verdana" w:cs="Arial"/>
          <w:color w:val="000000" w:themeColor="text1"/>
          <w:lang w:val="es-MX"/>
        </w:rPr>
      </w:pPr>
    </w:p>
    <w:p w14:paraId="5416729C" w14:textId="77777777" w:rsidR="000A51DC" w:rsidRDefault="000A51DC" w:rsidP="000A51DC">
      <w:pPr>
        <w:spacing w:after="0" w:line="240" w:lineRule="auto"/>
        <w:rPr>
          <w:rFonts w:ascii="Verdana" w:eastAsia="Geomanist Light" w:hAnsi="Verdana" w:cs="Arial"/>
          <w:color w:val="000000" w:themeColor="text1"/>
          <w:lang w:val="es-MX"/>
        </w:rPr>
      </w:pPr>
    </w:p>
    <w:p w14:paraId="7C37BCDC" w14:textId="77777777" w:rsidR="000A51DC" w:rsidRDefault="000A51DC" w:rsidP="000A51DC">
      <w:pPr>
        <w:spacing w:after="0" w:line="240" w:lineRule="auto"/>
        <w:rPr>
          <w:rFonts w:ascii="Verdana" w:eastAsia="Geomanist Light" w:hAnsi="Verdana" w:cs="Arial"/>
          <w:color w:val="000000" w:themeColor="text1"/>
          <w:lang w:val="es-MX"/>
        </w:rPr>
      </w:pPr>
    </w:p>
    <w:p w14:paraId="01553D3C" w14:textId="77777777" w:rsidR="000A51DC" w:rsidRDefault="000A51DC" w:rsidP="000A51DC">
      <w:pPr>
        <w:spacing w:after="0" w:line="240" w:lineRule="auto"/>
        <w:rPr>
          <w:rFonts w:ascii="Verdana" w:eastAsia="Geomanist Light" w:hAnsi="Verdana" w:cs="Arial"/>
          <w:color w:val="000000" w:themeColor="text1"/>
          <w:lang w:val="es-MX"/>
        </w:rPr>
      </w:pPr>
    </w:p>
    <w:p w14:paraId="3E1ADD45" w14:textId="77777777" w:rsidR="000A51DC" w:rsidRDefault="000A51DC" w:rsidP="000A51DC">
      <w:pPr>
        <w:spacing w:after="0" w:line="240" w:lineRule="auto"/>
        <w:rPr>
          <w:rFonts w:ascii="Verdana" w:eastAsia="Geomanist Light" w:hAnsi="Verdana" w:cs="Arial"/>
          <w:color w:val="000000" w:themeColor="text1"/>
          <w:lang w:val="es-MX"/>
        </w:rPr>
      </w:pPr>
    </w:p>
    <w:p w14:paraId="27A77BEE" w14:textId="77777777" w:rsidR="000A51DC" w:rsidRDefault="000A51DC" w:rsidP="000A51DC">
      <w:pPr>
        <w:spacing w:after="0" w:line="240" w:lineRule="auto"/>
        <w:rPr>
          <w:rFonts w:ascii="Verdana" w:eastAsia="Geomanist Light" w:hAnsi="Verdana" w:cs="Arial"/>
          <w:color w:val="000000" w:themeColor="text1"/>
          <w:lang w:val="es-MX"/>
        </w:rPr>
      </w:pPr>
    </w:p>
    <w:p w14:paraId="5F4A32EC" w14:textId="77777777" w:rsidR="000A51DC" w:rsidRDefault="000A51DC" w:rsidP="000A51DC">
      <w:pPr>
        <w:spacing w:after="0" w:line="240" w:lineRule="auto"/>
        <w:rPr>
          <w:rFonts w:ascii="Verdana" w:eastAsia="Geomanist Light" w:hAnsi="Verdana" w:cs="Arial"/>
          <w:color w:val="000000" w:themeColor="text1"/>
          <w:lang w:val="es-MX"/>
        </w:rPr>
      </w:pPr>
    </w:p>
    <w:p w14:paraId="3C90834B" w14:textId="77777777" w:rsidR="000A51DC" w:rsidRDefault="000A51DC" w:rsidP="000A51DC">
      <w:pPr>
        <w:spacing w:after="0" w:line="240" w:lineRule="auto"/>
        <w:rPr>
          <w:rFonts w:ascii="Verdana" w:eastAsia="Geomanist Light" w:hAnsi="Verdana" w:cs="Arial"/>
          <w:color w:val="000000" w:themeColor="text1"/>
          <w:lang w:val="es-MX"/>
        </w:rPr>
      </w:pPr>
    </w:p>
    <w:p w14:paraId="0F099BE1" w14:textId="77777777" w:rsidR="000A51DC" w:rsidRDefault="000A51DC" w:rsidP="000A51DC">
      <w:pPr>
        <w:spacing w:after="0" w:line="240" w:lineRule="auto"/>
        <w:rPr>
          <w:rFonts w:ascii="Verdana" w:eastAsia="Geomanist Light" w:hAnsi="Verdana" w:cs="Arial"/>
          <w:color w:val="000000" w:themeColor="text1"/>
          <w:lang w:val="es-MX"/>
        </w:rPr>
      </w:pPr>
    </w:p>
    <w:p w14:paraId="7EADD316" w14:textId="77777777" w:rsidR="000A51DC" w:rsidRDefault="000A51DC" w:rsidP="000A51DC">
      <w:pPr>
        <w:spacing w:after="0" w:line="240" w:lineRule="auto"/>
        <w:rPr>
          <w:rFonts w:ascii="Verdana" w:eastAsia="Geomanist Light" w:hAnsi="Verdana" w:cs="Arial"/>
          <w:color w:val="000000" w:themeColor="text1"/>
          <w:lang w:val="es-MX"/>
        </w:rPr>
      </w:pPr>
    </w:p>
    <w:p w14:paraId="6D87F6B7" w14:textId="77777777" w:rsidR="000A51DC" w:rsidRDefault="000A51DC" w:rsidP="000A51DC">
      <w:pPr>
        <w:spacing w:after="0" w:line="240" w:lineRule="auto"/>
        <w:rPr>
          <w:rFonts w:ascii="Verdana" w:eastAsia="Geomanist Light" w:hAnsi="Verdana" w:cs="Arial"/>
          <w:color w:val="000000" w:themeColor="text1"/>
          <w:lang w:val="es-MX"/>
        </w:rPr>
      </w:pPr>
    </w:p>
    <w:p w14:paraId="1410B0E9" w14:textId="77777777" w:rsidR="000A51DC" w:rsidRDefault="000A51DC" w:rsidP="000A51DC">
      <w:pPr>
        <w:spacing w:after="0" w:line="240" w:lineRule="auto"/>
        <w:rPr>
          <w:rFonts w:ascii="Verdana" w:eastAsia="Geomanist Light" w:hAnsi="Verdana" w:cs="Arial"/>
          <w:color w:val="000000" w:themeColor="text1"/>
          <w:lang w:val="es-MX"/>
        </w:rPr>
      </w:pPr>
    </w:p>
    <w:p w14:paraId="5F5F99CF" w14:textId="77777777" w:rsidR="000A51DC" w:rsidRDefault="000A51DC" w:rsidP="000A51DC">
      <w:pPr>
        <w:spacing w:after="0" w:line="240" w:lineRule="auto"/>
        <w:rPr>
          <w:rFonts w:ascii="Verdana" w:eastAsia="Geomanist Light" w:hAnsi="Verdana" w:cs="Arial"/>
          <w:color w:val="000000" w:themeColor="text1"/>
          <w:lang w:val="es-MX"/>
        </w:rPr>
      </w:pPr>
    </w:p>
    <w:p w14:paraId="719C78C2" w14:textId="77777777" w:rsidR="000A51DC" w:rsidRDefault="000A51DC" w:rsidP="000A51DC">
      <w:pPr>
        <w:spacing w:after="0" w:line="240" w:lineRule="auto"/>
        <w:rPr>
          <w:rFonts w:ascii="Verdana" w:eastAsia="Geomanist Light" w:hAnsi="Verdana" w:cs="Arial"/>
          <w:color w:val="000000" w:themeColor="text1"/>
          <w:lang w:val="es-MX"/>
        </w:rPr>
      </w:pPr>
    </w:p>
    <w:p w14:paraId="1AD18D29" w14:textId="77777777" w:rsidR="000A51DC" w:rsidRDefault="000A51DC" w:rsidP="000A51DC">
      <w:pPr>
        <w:spacing w:after="0" w:line="240" w:lineRule="auto"/>
        <w:rPr>
          <w:rFonts w:ascii="Verdana" w:eastAsia="Geomanist Light" w:hAnsi="Verdana" w:cs="Arial"/>
          <w:color w:val="000000" w:themeColor="text1"/>
          <w:lang w:val="es-MX"/>
        </w:rPr>
      </w:pPr>
    </w:p>
    <w:p w14:paraId="742119E9" w14:textId="77777777" w:rsidR="000A51DC" w:rsidRDefault="000A51DC" w:rsidP="000A51DC">
      <w:pPr>
        <w:spacing w:after="0" w:line="240" w:lineRule="auto"/>
        <w:rPr>
          <w:rFonts w:ascii="Verdana" w:eastAsia="Geomanist Light" w:hAnsi="Verdana" w:cs="Arial"/>
          <w:color w:val="000000" w:themeColor="text1"/>
          <w:lang w:val="es-MX"/>
        </w:rPr>
      </w:pPr>
    </w:p>
    <w:p w14:paraId="34EBEC71" w14:textId="77777777" w:rsidR="000A51DC" w:rsidRDefault="000A51DC" w:rsidP="000A51DC">
      <w:pPr>
        <w:spacing w:after="0" w:line="240" w:lineRule="auto"/>
        <w:rPr>
          <w:rFonts w:ascii="Verdana" w:eastAsia="Geomanist Light" w:hAnsi="Verdana" w:cs="Arial"/>
          <w:color w:val="000000" w:themeColor="text1"/>
          <w:lang w:val="es-MX"/>
        </w:rPr>
      </w:pPr>
    </w:p>
    <w:p w14:paraId="59DA7AFF" w14:textId="77777777" w:rsidR="000A51DC" w:rsidRDefault="000A51DC" w:rsidP="000A51DC">
      <w:pPr>
        <w:spacing w:after="0" w:line="240" w:lineRule="auto"/>
        <w:rPr>
          <w:rFonts w:ascii="Verdana" w:eastAsia="Geomanist Light" w:hAnsi="Verdana" w:cs="Arial"/>
          <w:color w:val="000000" w:themeColor="text1"/>
          <w:lang w:val="es-MX"/>
        </w:rPr>
      </w:pPr>
    </w:p>
    <w:p w14:paraId="2DAD8193" w14:textId="77777777" w:rsidR="000A51DC" w:rsidRDefault="000A51DC" w:rsidP="000A51DC">
      <w:pPr>
        <w:spacing w:after="0" w:line="240" w:lineRule="auto"/>
        <w:rPr>
          <w:rFonts w:ascii="Verdana" w:eastAsia="Geomanist Light" w:hAnsi="Verdana" w:cs="Arial"/>
          <w:color w:val="000000" w:themeColor="text1"/>
          <w:lang w:val="es-MX"/>
        </w:rPr>
      </w:pPr>
    </w:p>
    <w:p w14:paraId="74509E52" w14:textId="77777777" w:rsidR="000A51DC" w:rsidRDefault="000A51DC" w:rsidP="000A51DC">
      <w:pPr>
        <w:spacing w:after="0" w:line="240" w:lineRule="auto"/>
        <w:rPr>
          <w:rFonts w:ascii="Verdana" w:eastAsia="Geomanist Light" w:hAnsi="Verdana" w:cs="Arial"/>
          <w:color w:val="000000" w:themeColor="text1"/>
          <w:lang w:val="es-MX"/>
        </w:rPr>
      </w:pPr>
    </w:p>
    <w:p w14:paraId="53D6994A" w14:textId="77777777" w:rsidR="000A51DC" w:rsidRDefault="000A51DC" w:rsidP="000A51DC">
      <w:pPr>
        <w:spacing w:after="0" w:line="240" w:lineRule="auto"/>
        <w:rPr>
          <w:rFonts w:ascii="Verdana" w:eastAsia="Geomanist Light" w:hAnsi="Verdana" w:cs="Arial"/>
          <w:color w:val="000000" w:themeColor="text1"/>
          <w:lang w:val="es-MX"/>
        </w:rPr>
      </w:pPr>
    </w:p>
    <w:p w14:paraId="6AC37C21" w14:textId="77777777" w:rsidR="000A51DC" w:rsidRDefault="000A51DC" w:rsidP="000A51DC">
      <w:pPr>
        <w:spacing w:after="0" w:line="240" w:lineRule="auto"/>
        <w:rPr>
          <w:rFonts w:ascii="Verdana" w:eastAsia="Geomanist Light" w:hAnsi="Verdana" w:cs="Arial"/>
          <w:color w:val="000000" w:themeColor="text1"/>
          <w:lang w:val="es-MX"/>
        </w:rPr>
      </w:pPr>
    </w:p>
    <w:p w14:paraId="687DEC6E" w14:textId="77777777" w:rsidR="000A51DC" w:rsidRDefault="000A51DC" w:rsidP="000A51DC">
      <w:pPr>
        <w:spacing w:after="0" w:line="240" w:lineRule="auto"/>
        <w:rPr>
          <w:rFonts w:ascii="Verdana" w:eastAsia="Geomanist Light" w:hAnsi="Verdana" w:cs="Arial"/>
          <w:color w:val="000000" w:themeColor="text1"/>
          <w:lang w:val="es-MX"/>
        </w:rPr>
      </w:pPr>
    </w:p>
    <w:p w14:paraId="41E42E20" w14:textId="77777777" w:rsidR="000A51DC" w:rsidRDefault="000A51DC" w:rsidP="000A51DC">
      <w:pPr>
        <w:spacing w:after="0" w:line="240" w:lineRule="auto"/>
        <w:rPr>
          <w:rFonts w:ascii="Verdana" w:eastAsia="Geomanist Light" w:hAnsi="Verdana" w:cs="Arial"/>
          <w:color w:val="000000" w:themeColor="text1"/>
          <w:lang w:val="es-MX"/>
        </w:rPr>
      </w:pPr>
    </w:p>
    <w:p w14:paraId="69CA4642" w14:textId="77777777" w:rsidR="000A51DC" w:rsidRDefault="000A51DC" w:rsidP="000A51DC">
      <w:pPr>
        <w:spacing w:after="0" w:line="240" w:lineRule="auto"/>
        <w:rPr>
          <w:rFonts w:ascii="Verdana" w:eastAsia="Geomanist Light" w:hAnsi="Verdana" w:cs="Arial"/>
          <w:color w:val="000000" w:themeColor="text1"/>
          <w:lang w:val="es-MX"/>
        </w:rPr>
      </w:pPr>
    </w:p>
    <w:p w14:paraId="0FF63A81" w14:textId="77777777" w:rsidR="000A51DC" w:rsidRDefault="000A51DC" w:rsidP="000A51DC">
      <w:pPr>
        <w:spacing w:after="0" w:line="240" w:lineRule="auto"/>
        <w:rPr>
          <w:rFonts w:ascii="Verdana" w:eastAsia="Geomanist Light" w:hAnsi="Verdana" w:cs="Arial"/>
          <w:color w:val="000000" w:themeColor="text1"/>
          <w:lang w:val="es-MX"/>
        </w:rPr>
      </w:pPr>
    </w:p>
    <w:p w14:paraId="742F293F" w14:textId="77777777" w:rsidR="000A51DC" w:rsidRDefault="000A51DC" w:rsidP="000A51DC">
      <w:pPr>
        <w:spacing w:after="0" w:line="240" w:lineRule="auto"/>
        <w:rPr>
          <w:rFonts w:ascii="Verdana" w:eastAsia="Geomanist Light" w:hAnsi="Verdana" w:cs="Arial"/>
          <w:color w:val="000000" w:themeColor="text1"/>
          <w:lang w:val="es-MX"/>
        </w:rPr>
      </w:pPr>
    </w:p>
    <w:p w14:paraId="504E538A" w14:textId="77777777" w:rsidR="000A51DC" w:rsidRDefault="000A51DC" w:rsidP="000A51DC">
      <w:pPr>
        <w:spacing w:after="0" w:line="240" w:lineRule="auto"/>
        <w:rPr>
          <w:rFonts w:ascii="Verdana" w:eastAsia="Geomanist Light" w:hAnsi="Verdana" w:cs="Arial"/>
          <w:color w:val="000000" w:themeColor="text1"/>
          <w:lang w:val="es-MX"/>
        </w:rPr>
      </w:pPr>
    </w:p>
    <w:p w14:paraId="67E7C67F" w14:textId="77777777" w:rsidR="000A51DC" w:rsidRDefault="000A51DC" w:rsidP="000A51DC">
      <w:pPr>
        <w:spacing w:after="0" w:line="240" w:lineRule="auto"/>
        <w:rPr>
          <w:rFonts w:ascii="Verdana" w:eastAsia="Geomanist Light" w:hAnsi="Verdana" w:cs="Arial"/>
          <w:color w:val="000000" w:themeColor="text1"/>
          <w:lang w:val="es-MX"/>
        </w:rPr>
      </w:pPr>
    </w:p>
    <w:p w14:paraId="4FD72F6B" w14:textId="77777777" w:rsidR="000A51DC" w:rsidRDefault="000A51DC" w:rsidP="000A51DC">
      <w:pPr>
        <w:spacing w:line="240" w:lineRule="auto"/>
        <w:jc w:val="both"/>
        <w:rPr>
          <w:rFonts w:ascii="Verdana" w:eastAsia="Verdana" w:hAnsi="Verdana" w:cs="Verdana"/>
          <w:color w:val="000000" w:themeColor="text1"/>
          <w:lang w:val="es"/>
        </w:rPr>
      </w:pPr>
    </w:p>
    <w:p w14:paraId="41B6EF85" w14:textId="6842B660" w:rsidR="000A51DC" w:rsidRPr="0015699B" w:rsidRDefault="000A51DC" w:rsidP="000A51DC">
      <w:pPr>
        <w:spacing w:line="240" w:lineRule="auto"/>
        <w:jc w:val="both"/>
        <w:rPr>
          <w:rFonts w:ascii="Verdana" w:eastAsia="Verdana" w:hAnsi="Verdana" w:cs="Verdana"/>
          <w:color w:val="000000" w:themeColor="text1"/>
          <w:lang w:val="es"/>
        </w:rPr>
      </w:pPr>
      <w:r w:rsidRPr="39124533">
        <w:rPr>
          <w:rFonts w:ascii="Verdana" w:eastAsia="Verdana" w:hAnsi="Verdana" w:cs="Verdana"/>
          <w:color w:val="000000" w:themeColor="text1"/>
          <w:lang w:val="es"/>
        </w:rPr>
        <w:t xml:space="preserve">Bogotá D.C., </w:t>
      </w:r>
      <w:r w:rsidR="00204558">
        <w:rPr>
          <w:rFonts w:ascii="Verdana" w:eastAsia="Verdana" w:hAnsi="Verdana" w:cs="Verdana"/>
          <w:color w:val="000000" w:themeColor="text1"/>
          <w:lang w:val="es"/>
        </w:rPr>
        <w:t>11</w:t>
      </w:r>
      <w:r w:rsidRPr="39124533">
        <w:rPr>
          <w:rFonts w:ascii="Verdana" w:eastAsia="Verdana" w:hAnsi="Verdana" w:cs="Verdana"/>
          <w:color w:val="000000" w:themeColor="text1"/>
          <w:lang w:val="es"/>
        </w:rPr>
        <w:t xml:space="preserve"> de </w:t>
      </w:r>
      <w:r>
        <w:rPr>
          <w:rFonts w:ascii="Verdana" w:eastAsia="Verdana" w:hAnsi="Verdana" w:cs="Verdana"/>
          <w:color w:val="000000" w:themeColor="text1"/>
          <w:lang w:val="es"/>
        </w:rPr>
        <w:t>septiembre</w:t>
      </w:r>
      <w:r w:rsidRPr="39124533">
        <w:rPr>
          <w:rFonts w:ascii="Verdana" w:eastAsia="Verdana" w:hAnsi="Verdana" w:cs="Verdana"/>
          <w:color w:val="000000" w:themeColor="text1"/>
          <w:lang w:val="es"/>
        </w:rPr>
        <w:t xml:space="preserve"> de 2026</w:t>
      </w:r>
    </w:p>
    <w:p w14:paraId="220FA50C" w14:textId="52B0AEDA" w:rsidR="000A51DC" w:rsidRPr="0015699B" w:rsidRDefault="000A51DC" w:rsidP="00D5192E">
      <w:pPr>
        <w:spacing w:after="0" w:line="240" w:lineRule="auto"/>
        <w:jc w:val="right"/>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r w:rsidR="00D5192E">
        <w:rPr>
          <w:rFonts w:ascii="Verdana" w:eastAsia="Verdana" w:hAnsi="Verdana" w:cs="Verdana"/>
          <w:noProof/>
          <w:color w:val="000000" w:themeColor="text1"/>
          <w:lang w:val="es"/>
        </w:rPr>
        <w:drawing>
          <wp:inline distT="0" distB="0" distL="0" distR="0" wp14:anchorId="33A5CE73" wp14:editId="7B56F98E">
            <wp:extent cx="2486025" cy="704850"/>
            <wp:effectExtent l="0" t="0" r="9525" b="0"/>
            <wp:docPr id="3488561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86025" cy="704850"/>
                    </a:xfrm>
                    <a:prstGeom prst="rect">
                      <a:avLst/>
                    </a:prstGeom>
                    <a:noFill/>
                    <a:ln>
                      <a:noFill/>
                    </a:ln>
                  </pic:spPr>
                </pic:pic>
              </a:graphicData>
            </a:graphic>
          </wp:inline>
        </w:drawing>
      </w:r>
    </w:p>
    <w:p w14:paraId="4D3B8E22" w14:textId="77777777" w:rsidR="000A51DC" w:rsidRPr="0015699B" w:rsidRDefault="000A51DC" w:rsidP="000A51DC">
      <w:pPr>
        <w:spacing w:after="0" w:line="240" w:lineRule="auto"/>
        <w:jc w:val="both"/>
        <w:textAlignment w:val="baseline"/>
        <w:rPr>
          <w:rFonts w:ascii="Verdana" w:eastAsia="Verdana" w:hAnsi="Verdana" w:cs="Verdana"/>
          <w:color w:val="000000" w:themeColor="text1"/>
          <w:lang w:val="es"/>
        </w:rPr>
      </w:pPr>
    </w:p>
    <w:p w14:paraId="00C880DA" w14:textId="77777777" w:rsidR="000A51DC" w:rsidRDefault="000A51DC" w:rsidP="000A51DC">
      <w:pPr>
        <w:spacing w:after="0" w:line="240" w:lineRule="auto"/>
        <w:jc w:val="both"/>
        <w:textAlignment w:val="baseline"/>
        <w:rPr>
          <w:rFonts w:ascii="Verdana" w:eastAsia="Verdana" w:hAnsi="Verdana" w:cs="Verdana"/>
          <w:color w:val="000000" w:themeColor="text1"/>
          <w:lang w:val="es"/>
        </w:rPr>
      </w:pPr>
      <w:r w:rsidRPr="00842DC4">
        <w:rPr>
          <w:rFonts w:ascii="Verdana" w:eastAsia="Verdana" w:hAnsi="Verdana" w:cs="Verdana"/>
          <w:color w:val="000000" w:themeColor="text1"/>
          <w:lang w:val="es"/>
        </w:rPr>
        <w:t>Señor</w:t>
      </w:r>
    </w:p>
    <w:p w14:paraId="2703DE26" w14:textId="77777777" w:rsidR="000A51DC" w:rsidRPr="00FE5EF7" w:rsidRDefault="000A51DC" w:rsidP="000A51DC">
      <w:pPr>
        <w:spacing w:after="0" w:line="240" w:lineRule="auto"/>
        <w:jc w:val="both"/>
        <w:textAlignment w:val="baseline"/>
        <w:rPr>
          <w:rFonts w:ascii="Verdana" w:eastAsia="Verdana" w:hAnsi="Verdana" w:cs="Verdana"/>
          <w:color w:val="000000" w:themeColor="text1"/>
          <w:lang w:val="es"/>
        </w:rPr>
      </w:pPr>
      <w:r w:rsidRPr="007618C2">
        <w:rPr>
          <w:rFonts w:ascii="Verdana" w:eastAsia="Verdana" w:hAnsi="Verdana" w:cs="Verdana"/>
          <w:b/>
          <w:bCs/>
        </w:rPr>
        <w:t>MANUEL ANGELLO MORENO ARCINIEGAS</w:t>
      </w:r>
    </w:p>
    <w:p w14:paraId="5A6E1F10" w14:textId="77777777" w:rsidR="000A51DC" w:rsidRDefault="000A51DC" w:rsidP="000A51DC">
      <w:pPr>
        <w:spacing w:after="0" w:line="240" w:lineRule="auto"/>
        <w:jc w:val="both"/>
        <w:textAlignment w:val="baseline"/>
        <w:rPr>
          <w:rFonts w:ascii="Verdana" w:eastAsia="Verdana" w:hAnsi="Verdana" w:cs="Verdana"/>
          <w:color w:val="0000FF"/>
          <w:u w:val="single"/>
        </w:rPr>
      </w:pPr>
      <w:hyperlink r:id="rId11" w:history="1">
        <w:r w:rsidRPr="007618C2">
          <w:rPr>
            <w:rStyle w:val="Hipervnculo"/>
            <w:rFonts w:ascii="Verdana" w:hAnsi="Verdana"/>
          </w:rPr>
          <w:t>licitaciones@morarci.com</w:t>
        </w:r>
      </w:hyperlink>
      <w:r>
        <w:t xml:space="preserve"> </w:t>
      </w:r>
    </w:p>
    <w:p w14:paraId="4DAA8430" w14:textId="77777777" w:rsidR="000A51DC" w:rsidRDefault="000A51DC" w:rsidP="000A51DC">
      <w:pPr>
        <w:spacing w:after="0" w:line="240" w:lineRule="auto"/>
        <w:jc w:val="both"/>
        <w:textAlignment w:val="baseline"/>
        <w:rPr>
          <w:rFonts w:ascii="Verdana" w:eastAsia="Verdana" w:hAnsi="Verdana" w:cs="Verdana"/>
          <w:lang w:val="es"/>
        </w:rPr>
      </w:pPr>
      <w:r>
        <w:rPr>
          <w:rFonts w:ascii="Verdana" w:eastAsia="Verdana" w:hAnsi="Verdana" w:cs="Verdana"/>
          <w:lang w:val="es"/>
        </w:rPr>
        <w:t xml:space="preserve">Barranquilla </w:t>
      </w:r>
      <w:r w:rsidRPr="00FE5EF7">
        <w:rPr>
          <w:rFonts w:ascii="Verdana" w:eastAsia="Verdana" w:hAnsi="Verdana" w:cs="Verdana"/>
          <w:lang w:val="es"/>
        </w:rPr>
        <w:t>(</w:t>
      </w:r>
      <w:r>
        <w:rPr>
          <w:rFonts w:ascii="Verdana" w:eastAsia="Verdana" w:hAnsi="Verdana" w:cs="Verdana"/>
          <w:lang w:val="es"/>
        </w:rPr>
        <w:t>Atlantico</w:t>
      </w:r>
      <w:r w:rsidRPr="00FE5EF7">
        <w:rPr>
          <w:rFonts w:ascii="Verdana" w:eastAsia="Verdana" w:hAnsi="Verdana" w:cs="Verdana"/>
          <w:lang w:val="es"/>
        </w:rPr>
        <w:t>)</w:t>
      </w:r>
      <w:r>
        <w:rPr>
          <w:rFonts w:ascii="Verdana" w:eastAsia="Verdana" w:hAnsi="Verdana" w:cs="Verdana"/>
          <w:lang w:val="es"/>
        </w:rPr>
        <w:t xml:space="preserve"> </w:t>
      </w:r>
    </w:p>
    <w:p w14:paraId="219DFFA7" w14:textId="77777777" w:rsidR="000A51DC" w:rsidRPr="003D5882" w:rsidRDefault="000A51DC" w:rsidP="000A51DC">
      <w:pPr>
        <w:spacing w:after="0" w:line="240" w:lineRule="auto"/>
        <w:jc w:val="both"/>
        <w:textAlignment w:val="baseline"/>
        <w:rPr>
          <w:rFonts w:ascii="Verdana" w:hAnsi="Verdana"/>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6540"/>
      </w:tblGrid>
      <w:tr w:rsidR="000A51DC" w14:paraId="39B54100" w14:textId="77777777" w:rsidTr="00B62E70">
        <w:trPr>
          <w:trHeight w:val="615"/>
        </w:trPr>
        <w:tc>
          <w:tcPr>
            <w:tcW w:w="2265" w:type="dxa"/>
            <w:shd w:val="clear" w:color="auto" w:fill="FFFFFF" w:themeFill="background1"/>
            <w:tcMar>
              <w:left w:w="108" w:type="dxa"/>
              <w:right w:w="108" w:type="dxa"/>
            </w:tcMar>
          </w:tcPr>
          <w:p w14:paraId="456577D1" w14:textId="77777777" w:rsidR="000A51DC" w:rsidRDefault="000A51DC" w:rsidP="00B62E70">
            <w:pPr>
              <w:jc w:val="both"/>
              <w:rPr>
                <w:rFonts w:ascii="Verdana" w:eastAsia="Verdana" w:hAnsi="Verdana" w:cs="Verdana"/>
                <w:b/>
                <w:bCs/>
                <w:color w:val="000000" w:themeColor="text1"/>
              </w:rPr>
            </w:pPr>
          </w:p>
        </w:tc>
        <w:tc>
          <w:tcPr>
            <w:tcW w:w="6540" w:type="dxa"/>
            <w:shd w:val="clear" w:color="auto" w:fill="FFFFFF" w:themeFill="background1"/>
            <w:tcMar>
              <w:left w:w="108" w:type="dxa"/>
              <w:right w:w="108" w:type="dxa"/>
            </w:tcMar>
          </w:tcPr>
          <w:p w14:paraId="60B27812" w14:textId="77777777" w:rsidR="000A51DC" w:rsidRDefault="000A51DC" w:rsidP="00B62E70">
            <w:pPr>
              <w:jc w:val="both"/>
            </w:pPr>
            <w:r w:rsidRPr="40A87941">
              <w:rPr>
                <w:rFonts w:ascii="Verdana" w:eastAsia="Verdana" w:hAnsi="Verdana" w:cs="Verdana"/>
                <w:b/>
                <w:bCs/>
                <w:color w:val="000000" w:themeColor="text1"/>
                <w:lang w:val="es"/>
              </w:rPr>
              <w:t xml:space="preserve">Concepto C- </w:t>
            </w:r>
            <w:r>
              <w:rPr>
                <w:rFonts w:ascii="Verdana" w:eastAsia="Verdana" w:hAnsi="Verdana" w:cs="Verdana"/>
                <w:b/>
                <w:bCs/>
                <w:color w:val="000000" w:themeColor="text1"/>
                <w:lang w:val="es"/>
              </w:rPr>
              <w:t>1212</w:t>
            </w:r>
            <w:r w:rsidRPr="40A87941">
              <w:rPr>
                <w:rFonts w:ascii="Verdana" w:eastAsia="Verdana" w:hAnsi="Verdana" w:cs="Verdana"/>
                <w:b/>
                <w:bCs/>
                <w:color w:val="000000" w:themeColor="text1"/>
                <w:lang w:val="es"/>
              </w:rPr>
              <w:t xml:space="preserve"> de 2026</w:t>
            </w:r>
          </w:p>
        </w:tc>
      </w:tr>
      <w:tr w:rsidR="000A51DC" w:rsidRPr="004F242E" w14:paraId="2294FEE7" w14:textId="77777777" w:rsidTr="00B62E70">
        <w:trPr>
          <w:trHeight w:val="1065"/>
        </w:trPr>
        <w:tc>
          <w:tcPr>
            <w:tcW w:w="2265" w:type="dxa"/>
            <w:shd w:val="clear" w:color="auto" w:fill="FFFFFF" w:themeFill="background1"/>
            <w:tcMar>
              <w:left w:w="108" w:type="dxa"/>
              <w:right w:w="108" w:type="dxa"/>
            </w:tcMar>
          </w:tcPr>
          <w:p w14:paraId="798B7D81" w14:textId="77777777" w:rsidR="000A51DC" w:rsidRDefault="000A51DC" w:rsidP="00B62E70">
            <w:pPr>
              <w:jc w:val="both"/>
            </w:pPr>
            <w:r w:rsidRPr="40A87941">
              <w:rPr>
                <w:rFonts w:ascii="Verdana" w:eastAsia="Verdana" w:hAnsi="Verdana" w:cs="Verdana"/>
                <w:b/>
                <w:bCs/>
                <w:color w:val="000000" w:themeColor="text1"/>
              </w:rPr>
              <w:t>Temas:</w:t>
            </w:r>
            <w:r w:rsidRPr="40A87941">
              <w:rPr>
                <w:rFonts w:ascii="Verdana" w:eastAsia="Verdana" w:hAnsi="Verdana" w:cs="Verdana"/>
                <w:color w:val="000000" w:themeColor="text1"/>
              </w:rPr>
              <w:t xml:space="preserve">                   </w:t>
            </w:r>
          </w:p>
        </w:tc>
        <w:tc>
          <w:tcPr>
            <w:tcW w:w="6540" w:type="dxa"/>
            <w:shd w:val="clear" w:color="auto" w:fill="FFFFFF" w:themeFill="background1"/>
            <w:tcMar>
              <w:left w:w="108" w:type="dxa"/>
              <w:right w:w="108" w:type="dxa"/>
            </w:tcMar>
          </w:tcPr>
          <w:p w14:paraId="775ABC44" w14:textId="069CA9D3" w:rsidR="000A51DC" w:rsidRDefault="000A51DC" w:rsidP="00B62E70">
            <w:pPr>
              <w:spacing w:line="276" w:lineRule="auto"/>
              <w:jc w:val="both"/>
              <w:rPr>
                <w:rFonts w:ascii="Verdana" w:eastAsia="Arial" w:hAnsi="Verdana" w:cs="Arial"/>
                <w:lang w:val="es-MX"/>
              </w:rPr>
            </w:pPr>
            <w:r w:rsidRPr="00C02E1B">
              <w:rPr>
                <w:rFonts w:ascii="Verdana" w:eastAsia="Calibri" w:hAnsi="Verdana" w:cs="Arial"/>
                <w:lang w:val="es-ES" w:eastAsia="es-ES"/>
              </w:rPr>
              <w:t>SUBSANABILIDAD – Aplicación – R</w:t>
            </w:r>
            <w:r w:rsidRPr="00C02E1B">
              <w:rPr>
                <w:rFonts w:ascii="Verdana" w:eastAsia="Calibri" w:hAnsi="Verdana"/>
                <w:lang w:val="es-ES" w:eastAsia="es-ES"/>
              </w:rPr>
              <w:t>egla general</w:t>
            </w:r>
            <w:r w:rsidRPr="00C02E1B">
              <w:rPr>
                <w:rFonts w:ascii="Verdana" w:eastAsia="Calibri" w:hAnsi="Verdana" w:cs="Arial"/>
                <w:lang w:val="es-ES" w:eastAsia="es-ES"/>
              </w:rPr>
              <w:t xml:space="preserve"> – Excepciones / SUBSANABILIDAD – Circunstancias posteriores – Cierre del proceso- Ley 1882 de 2018</w:t>
            </w:r>
            <w:r>
              <w:rPr>
                <w:rFonts w:ascii="Verdana" w:eastAsia="Calibri" w:hAnsi="Verdana" w:cs="Arial"/>
                <w:lang w:val="es-ES" w:eastAsia="es-ES"/>
              </w:rPr>
              <w:t xml:space="preserve"> / </w:t>
            </w:r>
            <w:r w:rsidR="005A1E2C" w:rsidRPr="005A1E2C">
              <w:rPr>
                <w:rFonts w:ascii="Verdana" w:eastAsia="Calibri" w:hAnsi="Verdana" w:cs="Arial"/>
                <w:lang w:val="es-ES" w:eastAsia="es-ES"/>
              </w:rPr>
              <w:t>SUBSANABILIDAD – Ficha o anexo técnicos – Posición anterior – Colombia Compra Eficiente</w:t>
            </w:r>
            <w:r w:rsidR="005A1E2C">
              <w:rPr>
                <w:rFonts w:ascii="Verdana" w:eastAsia="Calibri" w:hAnsi="Verdana" w:cs="Arial"/>
                <w:lang w:val="es-ES" w:eastAsia="es-ES"/>
              </w:rPr>
              <w:t xml:space="preserve"> / </w:t>
            </w:r>
            <w:r w:rsidR="005A1E2C" w:rsidRPr="005A1E2C">
              <w:rPr>
                <w:rFonts w:ascii="Verdana" w:eastAsia="Calibri" w:hAnsi="Verdana" w:cs="Arial"/>
                <w:lang w:val="es-ES" w:eastAsia="es-ES"/>
              </w:rPr>
              <w:t>SUBSANABILIDAD – Ficha o anexos técnicos – Posición vigente – Colombia Compra Eficiente</w:t>
            </w:r>
          </w:p>
          <w:p w14:paraId="6EF56706" w14:textId="77777777" w:rsidR="000A51DC" w:rsidRPr="0032270F" w:rsidRDefault="000A51DC" w:rsidP="00B62E70">
            <w:pPr>
              <w:jc w:val="both"/>
              <w:rPr>
                <w:rFonts w:ascii="Verdana" w:eastAsia="Geomanist Light" w:hAnsi="Verdana" w:cs="Arial"/>
                <w:b/>
                <w:bCs/>
                <w:color w:val="000000" w:themeColor="text1"/>
                <w:lang w:val="es-MX"/>
              </w:rPr>
            </w:pPr>
          </w:p>
          <w:p w14:paraId="577E47CA" w14:textId="77777777" w:rsidR="000A51DC" w:rsidRPr="00530D81" w:rsidRDefault="000A51DC" w:rsidP="00B62E70">
            <w:pPr>
              <w:spacing w:line="276" w:lineRule="auto"/>
              <w:jc w:val="both"/>
            </w:pPr>
          </w:p>
        </w:tc>
      </w:tr>
      <w:tr w:rsidR="000A51DC" w14:paraId="2153CEAE" w14:textId="77777777" w:rsidTr="00B62E70">
        <w:trPr>
          <w:trHeight w:val="660"/>
        </w:trPr>
        <w:tc>
          <w:tcPr>
            <w:tcW w:w="2265" w:type="dxa"/>
            <w:shd w:val="clear" w:color="auto" w:fill="FFFFFF" w:themeFill="background1"/>
            <w:tcMar>
              <w:left w:w="108" w:type="dxa"/>
              <w:right w:w="108" w:type="dxa"/>
            </w:tcMar>
          </w:tcPr>
          <w:p w14:paraId="4903BAAF" w14:textId="77777777" w:rsidR="000A51DC" w:rsidRDefault="000A51DC" w:rsidP="00B62E70">
            <w:pPr>
              <w:jc w:val="both"/>
            </w:pPr>
            <w:r w:rsidRPr="40A87941">
              <w:rPr>
                <w:rFonts w:ascii="Verdana" w:eastAsia="Verdana" w:hAnsi="Verdana" w:cs="Verdana"/>
                <w:b/>
                <w:bCs/>
                <w:color w:val="000000" w:themeColor="text1"/>
              </w:rPr>
              <w:t>Radicación:</w:t>
            </w:r>
            <w:r w:rsidRPr="40A87941">
              <w:rPr>
                <w:rFonts w:ascii="Verdana" w:eastAsia="Verdana" w:hAnsi="Verdana" w:cs="Verdana"/>
                <w:color w:val="000000" w:themeColor="text1"/>
              </w:rPr>
              <w:t xml:space="preserve">           </w:t>
            </w:r>
          </w:p>
        </w:tc>
        <w:tc>
          <w:tcPr>
            <w:tcW w:w="6540" w:type="dxa"/>
            <w:shd w:val="clear" w:color="auto" w:fill="FFFFFF" w:themeFill="background1"/>
            <w:tcMar>
              <w:left w:w="108" w:type="dxa"/>
              <w:right w:w="108" w:type="dxa"/>
            </w:tcMar>
          </w:tcPr>
          <w:p w14:paraId="2F1DB274" w14:textId="77777777" w:rsidR="000A51DC" w:rsidRDefault="000A51DC" w:rsidP="00B62E70">
            <w:pPr>
              <w:ind w:right="1"/>
              <w:jc w:val="both"/>
            </w:pPr>
            <w:r w:rsidRPr="39124533">
              <w:rPr>
                <w:rFonts w:ascii="Verdana" w:eastAsia="Verdana" w:hAnsi="Verdana" w:cs="Verdana"/>
                <w:color w:val="000000" w:themeColor="text1"/>
              </w:rPr>
              <w:t xml:space="preserve">Respuesta a consulta con radicado N.º </w:t>
            </w:r>
            <w:r w:rsidRPr="009E65DF">
              <w:rPr>
                <w:rFonts w:ascii="Verdana" w:eastAsia="Verdana" w:hAnsi="Verdana" w:cs="Verdana"/>
                <w:color w:val="000000" w:themeColor="text1"/>
              </w:rPr>
              <w:t>1_2026_08_01_010144</w:t>
            </w:r>
          </w:p>
        </w:tc>
      </w:tr>
    </w:tbl>
    <w:p w14:paraId="272CA814" w14:textId="77777777" w:rsidR="000A51DC" w:rsidRPr="0015699B" w:rsidRDefault="000A51DC" w:rsidP="000A51DC">
      <w:pPr>
        <w:spacing w:after="0" w:line="240" w:lineRule="auto"/>
        <w:jc w:val="both"/>
        <w:textAlignment w:val="baseline"/>
        <w:rPr>
          <w:rFonts w:ascii="Verdana" w:eastAsia="Verdana" w:hAnsi="Verdana" w:cs="Verdana"/>
          <w:b/>
          <w:bCs/>
          <w:color w:val="000000" w:themeColor="text1"/>
          <w:lang w:val="es"/>
        </w:rPr>
      </w:pPr>
    </w:p>
    <w:p w14:paraId="7738C9F3" w14:textId="77777777" w:rsidR="000A51DC" w:rsidRPr="0015699B" w:rsidRDefault="000A51DC" w:rsidP="000A51DC">
      <w:pPr>
        <w:spacing w:after="0" w:line="276"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Estimad</w:t>
      </w:r>
      <w:r>
        <w:rPr>
          <w:rFonts w:ascii="Verdana" w:eastAsia="Verdana" w:hAnsi="Verdana" w:cs="Verdana"/>
          <w:color w:val="000000" w:themeColor="text1"/>
          <w:lang w:val="es"/>
        </w:rPr>
        <w:t>o s</w:t>
      </w:r>
      <w:r w:rsidRPr="40A87941">
        <w:rPr>
          <w:rFonts w:ascii="Verdana" w:eastAsia="Verdana" w:hAnsi="Verdana" w:cs="Verdana"/>
          <w:color w:val="000000" w:themeColor="text1"/>
          <w:lang w:val="es"/>
        </w:rPr>
        <w:t>eñor</w:t>
      </w:r>
      <w:r>
        <w:rPr>
          <w:rFonts w:ascii="Verdana" w:eastAsia="Verdana" w:hAnsi="Verdana" w:cs="Verdana"/>
          <w:color w:val="000000" w:themeColor="text1"/>
          <w:lang w:val="es"/>
        </w:rPr>
        <w:t xml:space="preserve"> Moreno</w:t>
      </w:r>
      <w:r w:rsidRPr="40A87941">
        <w:rPr>
          <w:rFonts w:ascii="Verdana" w:eastAsia="Verdana" w:hAnsi="Verdana" w:cs="Verdana"/>
          <w:color w:val="000000" w:themeColor="text1"/>
          <w:lang w:val="es"/>
        </w:rPr>
        <w:t>;</w:t>
      </w:r>
    </w:p>
    <w:p w14:paraId="58A86271" w14:textId="77777777" w:rsidR="000A51DC" w:rsidRPr="0015699B" w:rsidRDefault="000A51DC" w:rsidP="000A51DC">
      <w:pPr>
        <w:spacing w:after="0" w:line="276" w:lineRule="auto"/>
        <w:jc w:val="both"/>
        <w:textAlignment w:val="baseline"/>
        <w:rPr>
          <w:rFonts w:ascii="Calibri" w:eastAsia="Calibri" w:hAnsi="Calibri" w:cs="Calibri"/>
          <w:lang w:val="es"/>
        </w:rPr>
      </w:pPr>
      <w:r w:rsidRPr="40A87941">
        <w:rPr>
          <w:rFonts w:ascii="Calibri" w:eastAsia="Calibri" w:hAnsi="Calibri" w:cs="Calibri"/>
          <w:lang w:val="es"/>
        </w:rPr>
        <w:t xml:space="preserve"> </w:t>
      </w:r>
    </w:p>
    <w:p w14:paraId="4ED569EF" w14:textId="77777777" w:rsidR="000A51DC" w:rsidRDefault="000A51DC" w:rsidP="000A51DC">
      <w:pPr>
        <w:spacing w:after="120" w:line="276" w:lineRule="auto"/>
        <w:jc w:val="both"/>
        <w:textAlignment w:val="baseline"/>
        <w:rPr>
          <w:rFonts w:ascii="Verdana" w:eastAsia="Verdana" w:hAnsi="Verdana" w:cs="Verdana"/>
          <w:color w:val="000000" w:themeColor="text1"/>
          <w:lang w:val="es-ES"/>
        </w:rPr>
      </w:pPr>
      <w:r w:rsidRPr="39124533">
        <w:rPr>
          <w:rFonts w:ascii="Verdana" w:eastAsia="Verdana" w:hAnsi="Verdana" w:cs="Verdana"/>
          <w:color w:val="000000" w:themeColor="text1"/>
          <w:lang w:val="es-ES"/>
        </w:rPr>
        <w:t xml:space="preserve">En ejercicio de la competencia otorgada por los artículos 3, numeral 5º, y 11, numeral 8º, del Decreto Ley 4170 de 2011, así como lo establecido en el artículo 4 de la Resolución 1707 de 2018 expedida por esta Entidad, la Agencia Nacional de Contratación Pública – Colombia Compra Eficiente– responde a su solicitud radicada ante esta entidad el </w:t>
      </w:r>
      <w:r>
        <w:rPr>
          <w:rFonts w:ascii="Verdana" w:eastAsia="Verdana" w:hAnsi="Verdana" w:cs="Verdana"/>
          <w:color w:val="000000" w:themeColor="text1"/>
          <w:lang w:val="es-ES"/>
        </w:rPr>
        <w:t>31</w:t>
      </w:r>
      <w:r w:rsidRPr="39124533">
        <w:rPr>
          <w:rFonts w:ascii="Verdana" w:eastAsia="Verdana" w:hAnsi="Verdana" w:cs="Verdana"/>
          <w:color w:val="000000" w:themeColor="text1"/>
          <w:lang w:val="es-ES"/>
        </w:rPr>
        <w:t xml:space="preserve"> de ju</w:t>
      </w:r>
      <w:r>
        <w:rPr>
          <w:rFonts w:ascii="Verdana" w:eastAsia="Verdana" w:hAnsi="Verdana" w:cs="Verdana"/>
          <w:color w:val="000000" w:themeColor="text1"/>
          <w:lang w:val="es-ES"/>
        </w:rPr>
        <w:t>l</w:t>
      </w:r>
      <w:r w:rsidRPr="39124533">
        <w:rPr>
          <w:rFonts w:ascii="Verdana" w:eastAsia="Verdana" w:hAnsi="Verdana" w:cs="Verdana"/>
          <w:color w:val="000000" w:themeColor="text1"/>
          <w:lang w:val="es-ES"/>
        </w:rPr>
        <w:t>io de 2026 en la cual manifiesta lo siguiente:</w:t>
      </w:r>
    </w:p>
    <w:p w14:paraId="6C4DCA57" w14:textId="77777777" w:rsidR="000A51DC" w:rsidRDefault="000A51DC" w:rsidP="000A51DC">
      <w:pPr>
        <w:spacing w:after="120" w:line="276" w:lineRule="auto"/>
        <w:ind w:left="567" w:right="1041"/>
        <w:jc w:val="both"/>
        <w:textAlignment w:val="baseline"/>
        <w:rPr>
          <w:rFonts w:ascii="Verdana" w:eastAsia="Verdana" w:hAnsi="Verdana" w:cs="Verdana"/>
          <w:color w:val="000000" w:themeColor="text1"/>
          <w:sz w:val="21"/>
          <w:szCs w:val="21"/>
        </w:rPr>
      </w:pPr>
      <w:r w:rsidRPr="00971885">
        <w:rPr>
          <w:rFonts w:ascii="Verdana" w:eastAsia="Verdana" w:hAnsi="Verdana" w:cs="Verdana"/>
          <w:color w:val="000000" w:themeColor="text1"/>
          <w:sz w:val="21"/>
          <w:szCs w:val="21"/>
        </w:rPr>
        <w:t>“</w:t>
      </w:r>
    </w:p>
    <w:p w14:paraId="7F58679C" w14:textId="77777777" w:rsidR="000A51DC" w:rsidRPr="0024651B" w:rsidRDefault="000A51DC" w:rsidP="000A51DC">
      <w:pPr>
        <w:spacing w:after="0" w:line="276" w:lineRule="auto"/>
        <w:ind w:left="567" w:right="1041"/>
        <w:jc w:val="both"/>
        <w:textAlignment w:val="baseline"/>
        <w:rPr>
          <w:rFonts w:ascii="Verdana" w:eastAsia="Verdana" w:hAnsi="Verdana" w:cs="Verdana"/>
          <w:color w:val="000000" w:themeColor="text1"/>
        </w:rPr>
      </w:pPr>
      <w:r w:rsidRPr="00DE6C6D">
        <w:rPr>
          <w:rFonts w:ascii="Verdana" w:eastAsia="Verdana" w:hAnsi="Verdana" w:cs="Verdana"/>
          <w:color w:val="000000" w:themeColor="text1"/>
        </w:rPr>
        <w:lastRenderedPageBreak/>
        <w:t>1.</w:t>
      </w:r>
      <w:r w:rsidRPr="0024651B">
        <w:rPr>
          <w:rFonts w:ascii="DejaVuSerif" w:hAnsi="DejaVuSerif" w:cs="DejaVuSerif"/>
          <w:sz w:val="24"/>
          <w:szCs w:val="24"/>
        </w:rPr>
        <w:t xml:space="preserve"> </w:t>
      </w:r>
      <w:r>
        <w:rPr>
          <w:rFonts w:ascii="Verdana" w:eastAsia="Verdana" w:hAnsi="Verdana" w:cs="Verdana"/>
          <w:color w:val="000000" w:themeColor="text1"/>
        </w:rPr>
        <w:t>S</w:t>
      </w:r>
      <w:r w:rsidRPr="0024651B">
        <w:rPr>
          <w:rFonts w:ascii="Verdana" w:eastAsia="Verdana" w:hAnsi="Verdana" w:cs="Verdana"/>
          <w:color w:val="000000" w:themeColor="text1"/>
        </w:rPr>
        <w:t>olicito</w:t>
      </w:r>
      <w:r>
        <w:rPr>
          <w:rFonts w:ascii="Verdana" w:eastAsia="Verdana" w:hAnsi="Verdana" w:cs="Verdana"/>
          <w:color w:val="000000" w:themeColor="text1"/>
        </w:rPr>
        <w:t xml:space="preserve"> </w:t>
      </w:r>
      <w:r w:rsidRPr="0024651B">
        <w:rPr>
          <w:rFonts w:ascii="Verdana" w:eastAsia="Verdana" w:hAnsi="Verdana" w:cs="Verdana"/>
          <w:color w:val="000000" w:themeColor="text1"/>
        </w:rPr>
        <w:t>concepto jurídico sobre el alcance de la subsanación de fichas técnicas</w:t>
      </w:r>
      <w:r>
        <w:rPr>
          <w:rFonts w:ascii="Verdana" w:eastAsia="Verdana" w:hAnsi="Verdana" w:cs="Verdana"/>
          <w:color w:val="000000" w:themeColor="text1"/>
        </w:rPr>
        <w:t xml:space="preserve"> </w:t>
      </w:r>
      <w:r w:rsidRPr="0024651B">
        <w:rPr>
          <w:rFonts w:ascii="Verdana" w:eastAsia="Verdana" w:hAnsi="Verdana" w:cs="Verdana"/>
          <w:color w:val="000000" w:themeColor="text1"/>
        </w:rPr>
        <w:t>presentadas con las ofertas en los procesos de contratación estatal.</w:t>
      </w:r>
    </w:p>
    <w:p w14:paraId="7D8BBD2F" w14:textId="77777777" w:rsidR="000A51DC" w:rsidRDefault="000A51DC" w:rsidP="000A51DC">
      <w:pPr>
        <w:spacing w:after="0" w:line="276" w:lineRule="auto"/>
        <w:ind w:left="567" w:right="1041"/>
        <w:jc w:val="both"/>
        <w:textAlignment w:val="baseline"/>
        <w:rPr>
          <w:rFonts w:ascii="Verdana" w:eastAsia="Verdana" w:hAnsi="Verdana" w:cs="Verdana"/>
          <w:color w:val="000000" w:themeColor="text1"/>
        </w:rPr>
      </w:pPr>
    </w:p>
    <w:p w14:paraId="74E5BB77" w14:textId="77777777" w:rsidR="000A51DC" w:rsidRPr="0024651B" w:rsidRDefault="000A51DC" w:rsidP="000A51DC">
      <w:pPr>
        <w:spacing w:after="0" w:line="276" w:lineRule="auto"/>
        <w:ind w:left="567" w:right="1041"/>
        <w:jc w:val="both"/>
        <w:textAlignment w:val="baseline"/>
        <w:rPr>
          <w:rFonts w:ascii="Verdana" w:eastAsia="Verdana" w:hAnsi="Verdana" w:cs="Verdana"/>
          <w:color w:val="000000" w:themeColor="text1"/>
        </w:rPr>
      </w:pPr>
      <w:r w:rsidRPr="0024651B">
        <w:rPr>
          <w:rFonts w:ascii="Verdana" w:eastAsia="Verdana" w:hAnsi="Verdana" w:cs="Verdana"/>
          <w:color w:val="000000" w:themeColor="text1"/>
        </w:rPr>
        <w:t>Solicito precisar si, cuando un oferente aporta una ficha técnica que no</w:t>
      </w:r>
      <w:r>
        <w:rPr>
          <w:rFonts w:ascii="Verdana" w:eastAsia="Verdana" w:hAnsi="Verdana" w:cs="Verdana"/>
          <w:color w:val="000000" w:themeColor="text1"/>
        </w:rPr>
        <w:t xml:space="preserve"> </w:t>
      </w:r>
      <w:r w:rsidRPr="0024651B">
        <w:rPr>
          <w:rFonts w:ascii="Verdana" w:eastAsia="Verdana" w:hAnsi="Verdana" w:cs="Verdana"/>
          <w:color w:val="000000" w:themeColor="text1"/>
        </w:rPr>
        <w:t>acredita una especificación técnica mínima exigida por la entidad,</w:t>
      </w:r>
      <w:r>
        <w:rPr>
          <w:rFonts w:ascii="Verdana" w:eastAsia="Verdana" w:hAnsi="Verdana" w:cs="Verdana"/>
          <w:color w:val="000000" w:themeColor="text1"/>
        </w:rPr>
        <w:t xml:space="preserve"> </w:t>
      </w:r>
      <w:r w:rsidRPr="0024651B">
        <w:rPr>
          <w:rFonts w:ascii="Verdana" w:eastAsia="Verdana" w:hAnsi="Verdana" w:cs="Verdana"/>
          <w:color w:val="000000" w:themeColor="text1"/>
        </w:rPr>
        <w:t>resulta procedente aportar durante la subsanación una ficha técnica</w:t>
      </w:r>
      <w:r>
        <w:rPr>
          <w:rFonts w:ascii="Verdana" w:eastAsia="Verdana" w:hAnsi="Verdana" w:cs="Verdana"/>
          <w:color w:val="000000" w:themeColor="text1"/>
        </w:rPr>
        <w:t xml:space="preserve"> </w:t>
      </w:r>
      <w:r w:rsidRPr="0024651B">
        <w:rPr>
          <w:rFonts w:ascii="Verdana" w:eastAsia="Verdana" w:hAnsi="Verdana" w:cs="Verdana"/>
          <w:color w:val="000000" w:themeColor="text1"/>
        </w:rPr>
        <w:t>diferente, correspondiente a un bien de la misma o distinta marca y de</w:t>
      </w:r>
      <w:r>
        <w:rPr>
          <w:rFonts w:ascii="Verdana" w:eastAsia="Verdana" w:hAnsi="Verdana" w:cs="Verdana"/>
          <w:color w:val="000000" w:themeColor="text1"/>
        </w:rPr>
        <w:t xml:space="preserve"> </w:t>
      </w:r>
      <w:r w:rsidRPr="0024651B">
        <w:rPr>
          <w:rFonts w:ascii="Verdana" w:eastAsia="Verdana" w:hAnsi="Verdana" w:cs="Verdana"/>
          <w:color w:val="000000" w:themeColor="text1"/>
        </w:rPr>
        <w:t>igual o diferente referencia o diseño, que sí cumpla los requisitos</w:t>
      </w:r>
      <w:r>
        <w:rPr>
          <w:rFonts w:ascii="Verdana" w:eastAsia="Verdana" w:hAnsi="Verdana" w:cs="Verdana"/>
          <w:color w:val="000000" w:themeColor="text1"/>
        </w:rPr>
        <w:t xml:space="preserve"> </w:t>
      </w:r>
      <w:r w:rsidRPr="0024651B">
        <w:rPr>
          <w:rFonts w:ascii="Verdana" w:eastAsia="Verdana" w:hAnsi="Verdana" w:cs="Verdana"/>
          <w:color w:val="000000" w:themeColor="text1"/>
        </w:rPr>
        <w:t>exigidos.</w:t>
      </w:r>
    </w:p>
    <w:p w14:paraId="2C55CD20" w14:textId="77777777" w:rsidR="000A51DC" w:rsidRDefault="000A51DC" w:rsidP="000A51DC">
      <w:pPr>
        <w:spacing w:after="0" w:line="276" w:lineRule="auto"/>
        <w:ind w:left="567" w:right="1041"/>
        <w:jc w:val="both"/>
        <w:textAlignment w:val="baseline"/>
        <w:rPr>
          <w:rFonts w:ascii="Verdana" w:eastAsia="Verdana" w:hAnsi="Verdana" w:cs="Verdana"/>
          <w:color w:val="000000" w:themeColor="text1"/>
        </w:rPr>
      </w:pPr>
    </w:p>
    <w:p w14:paraId="72AB1911" w14:textId="77777777" w:rsidR="000A51DC" w:rsidRPr="00DE6C6D" w:rsidRDefault="000A51DC" w:rsidP="000A51DC">
      <w:pPr>
        <w:spacing w:after="0" w:line="276" w:lineRule="auto"/>
        <w:ind w:left="567" w:right="1041"/>
        <w:jc w:val="both"/>
        <w:textAlignment w:val="baseline"/>
        <w:rPr>
          <w:rFonts w:ascii="Verdana" w:eastAsia="Verdana" w:hAnsi="Verdana" w:cs="Verdana"/>
          <w:color w:val="000000" w:themeColor="text1"/>
        </w:rPr>
      </w:pPr>
      <w:r>
        <w:rPr>
          <w:rFonts w:ascii="Verdana" w:eastAsia="Verdana" w:hAnsi="Verdana" w:cs="Verdana"/>
          <w:color w:val="000000" w:themeColor="text1"/>
        </w:rPr>
        <w:t>C</w:t>
      </w:r>
      <w:r w:rsidRPr="0024651B">
        <w:rPr>
          <w:rFonts w:ascii="Verdana" w:eastAsia="Verdana" w:hAnsi="Verdana" w:cs="Verdana"/>
          <w:color w:val="000000" w:themeColor="text1"/>
        </w:rPr>
        <w:t>omo ejemplo, en procesos de suministro de llantas, cuando se presenta</w:t>
      </w:r>
      <w:r>
        <w:rPr>
          <w:rFonts w:ascii="Verdana" w:eastAsia="Verdana" w:hAnsi="Verdana" w:cs="Verdana"/>
          <w:color w:val="000000" w:themeColor="text1"/>
        </w:rPr>
        <w:t xml:space="preserve"> </w:t>
      </w:r>
      <w:r w:rsidRPr="0024651B">
        <w:rPr>
          <w:rFonts w:ascii="Verdana" w:eastAsia="Verdana" w:hAnsi="Verdana" w:cs="Verdana"/>
          <w:color w:val="000000" w:themeColor="text1"/>
        </w:rPr>
        <w:t>una ficha técnica con índice de carga, velocidad, posición, aplicación,</w:t>
      </w:r>
      <w:r>
        <w:rPr>
          <w:rFonts w:ascii="Verdana" w:eastAsia="Verdana" w:hAnsi="Verdana" w:cs="Verdana"/>
          <w:color w:val="000000" w:themeColor="text1"/>
        </w:rPr>
        <w:t xml:space="preserve"> </w:t>
      </w:r>
      <w:r w:rsidRPr="0024651B">
        <w:rPr>
          <w:rFonts w:ascii="Verdana" w:eastAsia="Verdana" w:hAnsi="Verdana" w:cs="Verdana"/>
          <w:color w:val="000000" w:themeColor="text1"/>
        </w:rPr>
        <w:t>terreno o número de lonas diferente al requerido y posteriormente se</w:t>
      </w:r>
      <w:r>
        <w:rPr>
          <w:rFonts w:ascii="Verdana" w:eastAsia="Verdana" w:hAnsi="Verdana" w:cs="Verdana"/>
          <w:color w:val="000000" w:themeColor="text1"/>
        </w:rPr>
        <w:t xml:space="preserve"> </w:t>
      </w:r>
      <w:r w:rsidRPr="0024651B">
        <w:rPr>
          <w:rFonts w:ascii="Verdana" w:eastAsia="Verdana" w:hAnsi="Verdana" w:cs="Verdana"/>
          <w:color w:val="000000" w:themeColor="text1"/>
        </w:rPr>
        <w:t>aporta una ficha técnica que sí cumple, sin modificar el precio ofertado</w:t>
      </w:r>
      <w:r>
        <w:rPr>
          <w:rFonts w:ascii="Verdana" w:eastAsia="Verdana" w:hAnsi="Verdana" w:cs="Verdana"/>
          <w:color w:val="000000" w:themeColor="text1"/>
        </w:rPr>
        <w:t xml:space="preserve"> </w:t>
      </w:r>
      <w:r w:rsidRPr="0024651B">
        <w:rPr>
          <w:rFonts w:ascii="Verdana" w:eastAsia="Verdana" w:hAnsi="Verdana" w:cs="Verdana"/>
          <w:color w:val="000000" w:themeColor="text1"/>
        </w:rPr>
        <w:t>ni las condiciones económicas de la propuesta. Solicito indicar si ello</w:t>
      </w:r>
      <w:r>
        <w:rPr>
          <w:rFonts w:ascii="Verdana" w:eastAsia="Verdana" w:hAnsi="Verdana" w:cs="Verdana"/>
          <w:color w:val="000000" w:themeColor="text1"/>
        </w:rPr>
        <w:t xml:space="preserve"> </w:t>
      </w:r>
      <w:r w:rsidRPr="0024651B">
        <w:rPr>
          <w:rFonts w:ascii="Verdana" w:eastAsia="Verdana" w:hAnsi="Verdana" w:cs="Verdana"/>
          <w:color w:val="000000" w:themeColor="text1"/>
        </w:rPr>
        <w:t>constituye subsanación documental o mejora de la oferta</w:t>
      </w:r>
      <w:r>
        <w:rPr>
          <w:rFonts w:ascii="Verdana" w:eastAsia="Verdana" w:hAnsi="Verdana" w:cs="Verdana"/>
          <w:color w:val="000000" w:themeColor="text1"/>
        </w:rPr>
        <w:t>”</w:t>
      </w:r>
    </w:p>
    <w:p w14:paraId="28ED9637" w14:textId="77777777" w:rsidR="000A51DC" w:rsidRPr="00DE6C6D" w:rsidRDefault="000A51DC" w:rsidP="000A51DC">
      <w:pPr>
        <w:spacing w:after="0" w:line="276" w:lineRule="auto"/>
        <w:ind w:left="567" w:right="760"/>
        <w:jc w:val="both"/>
        <w:textAlignment w:val="baseline"/>
        <w:rPr>
          <w:rFonts w:ascii="Verdana" w:eastAsia="Verdana" w:hAnsi="Verdana" w:cs="Verdana"/>
          <w:color w:val="000000" w:themeColor="text1"/>
        </w:rPr>
      </w:pPr>
    </w:p>
    <w:p w14:paraId="3DA88B54" w14:textId="77777777" w:rsidR="000A51DC" w:rsidRDefault="000A51DC" w:rsidP="000A51DC">
      <w:pPr>
        <w:spacing w:after="0" w:line="240" w:lineRule="auto"/>
        <w:ind w:left="567" w:right="760"/>
        <w:jc w:val="both"/>
        <w:textAlignment w:val="baseline"/>
        <w:rPr>
          <w:rFonts w:ascii="Verdana" w:eastAsia="Verdana" w:hAnsi="Verdana" w:cs="Verdana"/>
          <w:color w:val="000000" w:themeColor="text1"/>
          <w:sz w:val="21"/>
          <w:szCs w:val="21"/>
        </w:rPr>
      </w:pPr>
    </w:p>
    <w:p w14:paraId="05F5FD12" w14:textId="77777777" w:rsidR="000A51DC" w:rsidRPr="0015699B" w:rsidRDefault="000A51DC" w:rsidP="000A51DC">
      <w:pPr>
        <w:spacing w:after="120" w:line="276" w:lineRule="auto"/>
        <w:ind w:right="51" w:firstLine="709"/>
        <w:jc w:val="both"/>
        <w:textAlignment w:val="baseline"/>
        <w:rPr>
          <w:rFonts w:ascii="Calibri" w:eastAsia="Calibri" w:hAnsi="Calibri" w:cs="Calibri"/>
          <w:lang w:val="es"/>
        </w:rPr>
      </w:pPr>
      <w:r w:rsidRPr="39124533">
        <w:rPr>
          <w:rFonts w:ascii="Verdana" w:eastAsia="Verdana" w:hAnsi="Verdana" w:cs="Verdana"/>
          <w:color w:val="000000" w:themeColor="text1"/>
          <w:lang w:val="es"/>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w:t>
      </w:r>
      <w:r>
        <w:rPr>
          <w:rFonts w:ascii="Verdana" w:eastAsia="Verdana" w:hAnsi="Verdana" w:cs="Verdana"/>
          <w:color w:val="000000" w:themeColor="text1"/>
          <w:lang w:val="es"/>
        </w:rPr>
        <w:t xml:space="preserve"> </w:t>
      </w:r>
      <w:r w:rsidRPr="39124533">
        <w:rPr>
          <w:rFonts w:ascii="Verdana" w:eastAsia="Verdana" w:hAnsi="Verdana" w:cs="Verdana"/>
          <w:color w:val="000000" w:themeColor="text1"/>
          <w:lang w:val="es"/>
        </w:rPr>
        <w:t xml:space="preserve">Esta competencia de interpretación de normas generales, por definición, no puede extenderse a la resolución de controversias, ni a brindar asesorías sobre casos puntuales. </w:t>
      </w:r>
      <w:r w:rsidRPr="39124533">
        <w:rPr>
          <w:rFonts w:ascii="Calibri" w:eastAsia="Calibri" w:hAnsi="Calibri" w:cs="Calibri"/>
          <w:lang w:val="es"/>
        </w:rPr>
        <w:t xml:space="preserve">      </w:t>
      </w:r>
    </w:p>
    <w:p w14:paraId="48FA5010" w14:textId="77777777" w:rsidR="000A51DC" w:rsidRPr="0015699B" w:rsidRDefault="000A51DC" w:rsidP="000A51DC">
      <w:pPr>
        <w:spacing w:after="0" w:line="240" w:lineRule="auto"/>
        <w:ind w:right="49" w:firstLine="360"/>
        <w:jc w:val="both"/>
        <w:textAlignment w:val="baseline"/>
        <w:rPr>
          <w:rFonts w:ascii="Verdana" w:eastAsia="Verdana" w:hAnsi="Verdana" w:cs="Verdana"/>
          <w:color w:val="000000" w:themeColor="text1"/>
          <w:lang w:val="es"/>
        </w:rPr>
      </w:pPr>
      <w:r w:rsidRPr="39124533">
        <w:rPr>
          <w:rFonts w:ascii="Verdana" w:eastAsia="Verdana" w:hAnsi="Verdana" w:cs="Verdana"/>
          <w:color w:val="000000" w:themeColor="text1"/>
          <w:lang w:val="es"/>
        </w:rPr>
        <w:t xml:space="preserve">Conforme lo expuesto, en aras de satisfacer el derecho fundamental de petición se resolverá su consulta dentro de los límites de la referida competencia consultiva, esto es, haciendo abstracción de las circunstancias particulares y </w:t>
      </w:r>
      <w:r w:rsidRPr="39124533">
        <w:rPr>
          <w:rFonts w:ascii="Verdana" w:eastAsia="Verdana" w:hAnsi="Verdana" w:cs="Verdana"/>
          <w:color w:val="000000" w:themeColor="text1"/>
          <w:lang w:val="es"/>
        </w:rPr>
        <w:lastRenderedPageBreak/>
        <w:t xml:space="preserve">concretas mencionadas en su petición, pero haciendo unas consideraciones sobre las normas generales relacionadas con el problema jurídico de su consulta. </w:t>
      </w:r>
    </w:p>
    <w:p w14:paraId="45DE5C50" w14:textId="77777777" w:rsidR="000A51DC" w:rsidRDefault="000A51DC" w:rsidP="000A51DC">
      <w:pPr>
        <w:spacing w:after="0" w:line="276" w:lineRule="auto"/>
        <w:ind w:firstLine="709"/>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7E88557B" w14:textId="77777777" w:rsidR="000A51DC" w:rsidRDefault="000A51DC" w:rsidP="000A51DC">
      <w:pPr>
        <w:spacing w:after="0" w:line="276" w:lineRule="auto"/>
        <w:ind w:firstLine="709"/>
        <w:jc w:val="both"/>
        <w:textAlignment w:val="baseline"/>
        <w:rPr>
          <w:rFonts w:ascii="Verdana" w:eastAsia="Verdana" w:hAnsi="Verdana" w:cs="Verdana"/>
          <w:color w:val="000000" w:themeColor="text1"/>
          <w:lang w:val="es"/>
        </w:rPr>
      </w:pPr>
    </w:p>
    <w:p w14:paraId="4F444984" w14:textId="77777777" w:rsidR="000A51DC" w:rsidRDefault="000A51DC" w:rsidP="000A51DC">
      <w:pPr>
        <w:spacing w:after="0" w:line="276" w:lineRule="auto"/>
        <w:ind w:firstLine="709"/>
        <w:jc w:val="both"/>
        <w:textAlignment w:val="baseline"/>
        <w:rPr>
          <w:rFonts w:ascii="Verdana" w:eastAsia="Verdana" w:hAnsi="Verdana" w:cs="Verdana"/>
          <w:color w:val="000000" w:themeColor="text1"/>
          <w:lang w:val="es"/>
        </w:rPr>
      </w:pPr>
    </w:p>
    <w:p w14:paraId="09C53448" w14:textId="77777777" w:rsidR="000A51DC" w:rsidRPr="0015699B" w:rsidRDefault="000A51DC" w:rsidP="000A51DC">
      <w:pPr>
        <w:spacing w:after="0" w:line="276" w:lineRule="auto"/>
        <w:ind w:firstLine="709"/>
        <w:jc w:val="both"/>
        <w:textAlignment w:val="baseline"/>
        <w:rPr>
          <w:rFonts w:ascii="Verdana" w:eastAsia="Verdana" w:hAnsi="Verdana" w:cs="Verdana"/>
          <w:color w:val="000000" w:themeColor="text1"/>
          <w:lang w:val="es"/>
        </w:rPr>
      </w:pPr>
    </w:p>
    <w:p w14:paraId="6D737423" w14:textId="77777777" w:rsidR="000A51DC" w:rsidRPr="0015699B" w:rsidRDefault="000A51DC" w:rsidP="000A51DC">
      <w:pPr>
        <w:pStyle w:val="Prrafodelista"/>
        <w:numPr>
          <w:ilvl w:val="0"/>
          <w:numId w:val="16"/>
        </w:numPr>
        <w:spacing w:after="0" w:line="276" w:lineRule="auto"/>
        <w:ind w:left="851" w:hanging="567"/>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t>Problema planteado:</w:t>
      </w:r>
    </w:p>
    <w:p w14:paraId="013B5596" w14:textId="77777777" w:rsidR="000A51DC" w:rsidRPr="0015699B" w:rsidRDefault="000A51DC" w:rsidP="000A51DC">
      <w:pPr>
        <w:tabs>
          <w:tab w:val="left" w:pos="426"/>
        </w:tabs>
        <w:spacing w:after="0" w:line="276"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5C4EFA23" w14:textId="77777777" w:rsidR="000A51DC" w:rsidRDefault="000A51DC" w:rsidP="000A51DC">
      <w:pPr>
        <w:spacing w:after="0" w:line="276"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De acuerdo con el contenido de su solicitud, esta Agencia resolverá </w:t>
      </w:r>
      <w:r>
        <w:rPr>
          <w:rFonts w:ascii="Verdana" w:eastAsia="Verdana" w:hAnsi="Verdana" w:cs="Verdana"/>
          <w:color w:val="000000" w:themeColor="text1"/>
          <w:lang w:val="es"/>
        </w:rPr>
        <w:t xml:space="preserve">los siguientes problemas </w:t>
      </w:r>
      <w:r w:rsidRPr="40A87941">
        <w:rPr>
          <w:rFonts w:ascii="Verdana" w:eastAsia="Verdana" w:hAnsi="Verdana" w:cs="Verdana"/>
          <w:color w:val="000000" w:themeColor="text1"/>
          <w:lang w:val="es"/>
        </w:rPr>
        <w:t>jurídico</w:t>
      </w:r>
      <w:r>
        <w:rPr>
          <w:rFonts w:ascii="Verdana" w:eastAsia="Verdana" w:hAnsi="Verdana" w:cs="Verdana"/>
          <w:color w:val="000000" w:themeColor="text1"/>
          <w:lang w:val="es"/>
        </w:rPr>
        <w:t xml:space="preserve">s: </w:t>
      </w:r>
      <w:r w:rsidRPr="00EC2A9F">
        <w:rPr>
          <w:rFonts w:ascii="Verdana" w:eastAsia="Verdana" w:hAnsi="Verdana" w:cs="Verdana"/>
          <w:color w:val="000000" w:themeColor="text1"/>
        </w:rPr>
        <w:t>¿Es jurídicamente procedente, durante la etapa de subsanación, sustituir o modificar documentos técnicos de la oferta, como la ficha técnica, cuando dicha actuación implique acreditar condiciones técnicas diferentes de las inicialmente ofrecidas?</w:t>
      </w:r>
    </w:p>
    <w:p w14:paraId="5CDEF5B8" w14:textId="77777777" w:rsidR="000A51DC" w:rsidRDefault="000A51DC" w:rsidP="000A51DC">
      <w:pPr>
        <w:spacing w:after="0" w:line="276" w:lineRule="auto"/>
        <w:jc w:val="both"/>
        <w:textAlignment w:val="baseline"/>
        <w:rPr>
          <w:rFonts w:ascii="Verdana" w:eastAsia="Verdana" w:hAnsi="Verdana" w:cs="Verdana"/>
          <w:color w:val="000000" w:themeColor="text1"/>
        </w:rPr>
      </w:pPr>
    </w:p>
    <w:p w14:paraId="70857373" w14:textId="77777777" w:rsidR="000A51DC" w:rsidRPr="0015699B" w:rsidRDefault="000A51DC" w:rsidP="000A51DC">
      <w:pPr>
        <w:pStyle w:val="Prrafodelista"/>
        <w:numPr>
          <w:ilvl w:val="0"/>
          <w:numId w:val="16"/>
        </w:numPr>
        <w:spacing w:after="0" w:line="257" w:lineRule="auto"/>
        <w:ind w:left="1080" w:hanging="720"/>
        <w:jc w:val="both"/>
        <w:textAlignment w:val="baseline"/>
        <w:rPr>
          <w:rFonts w:ascii="Verdana" w:eastAsia="Verdana" w:hAnsi="Verdana" w:cs="Verdana"/>
          <w:b/>
          <w:bCs/>
          <w:lang w:val="es"/>
        </w:rPr>
      </w:pPr>
      <w:r w:rsidRPr="40A87941">
        <w:rPr>
          <w:rFonts w:ascii="Verdana" w:eastAsia="Verdana" w:hAnsi="Verdana" w:cs="Verdana"/>
          <w:b/>
          <w:bCs/>
          <w:lang w:val="es"/>
        </w:rPr>
        <w:t>Respuesta:</w:t>
      </w:r>
    </w:p>
    <w:p w14:paraId="4AAAFA4A" w14:textId="77777777" w:rsidR="000A51DC" w:rsidRPr="0015699B" w:rsidRDefault="000A51DC" w:rsidP="000A51DC">
      <w:pPr>
        <w:tabs>
          <w:tab w:val="left" w:pos="142"/>
          <w:tab w:val="left" w:pos="284"/>
        </w:tabs>
        <w:spacing w:after="0" w:line="276" w:lineRule="auto"/>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t xml:space="preserve"> </w:t>
      </w:r>
    </w:p>
    <w:tbl>
      <w:tblPr>
        <w:tblStyle w:val="Tablaconcuadrcula"/>
        <w:tblW w:w="0" w:type="auto"/>
        <w:tblLook w:val="04A0" w:firstRow="1" w:lastRow="0" w:firstColumn="1" w:lastColumn="0" w:noHBand="0" w:noVBand="1"/>
      </w:tblPr>
      <w:tblGrid>
        <w:gridCol w:w="8818"/>
      </w:tblGrid>
      <w:tr w:rsidR="000A51DC" w14:paraId="7146A843" w14:textId="77777777" w:rsidTr="00B62E70">
        <w:trPr>
          <w:trHeight w:val="780"/>
        </w:trPr>
        <w:tc>
          <w:tcPr>
            <w:tcW w:w="8818" w:type="dxa"/>
            <w:tcBorders>
              <w:top w:val="dotted" w:sz="8" w:space="0" w:color="auto"/>
              <w:left w:val="dotted" w:sz="8" w:space="0" w:color="auto"/>
              <w:bottom w:val="dotted" w:sz="8" w:space="0" w:color="auto"/>
              <w:right w:val="dotted" w:sz="8" w:space="0" w:color="auto"/>
            </w:tcBorders>
            <w:tcMar>
              <w:left w:w="108" w:type="dxa"/>
              <w:right w:w="108" w:type="dxa"/>
            </w:tcMar>
          </w:tcPr>
          <w:p w14:paraId="1C50B7EF" w14:textId="77777777" w:rsidR="000A51DC" w:rsidRPr="00235305" w:rsidRDefault="000A51DC" w:rsidP="00B62E70">
            <w:pPr>
              <w:spacing w:after="120" w:line="276" w:lineRule="auto"/>
              <w:jc w:val="both"/>
              <w:rPr>
                <w:rFonts w:ascii="Verdana" w:eastAsia="Verdana" w:hAnsi="Verdana" w:cs="Verdana"/>
              </w:rPr>
            </w:pPr>
            <w:r>
              <w:rPr>
                <w:rFonts w:ascii="Verdana" w:eastAsia="Verdana" w:hAnsi="Verdana" w:cs="Verdana"/>
              </w:rPr>
              <w:t xml:space="preserve">          De manera preliminar </w:t>
            </w:r>
            <w:r w:rsidRPr="00235305">
              <w:rPr>
                <w:rFonts w:ascii="Verdana" w:eastAsia="Verdana" w:hAnsi="Verdana" w:cs="Verdana"/>
              </w:rPr>
              <w:t>resulta necesario señalar que, conforme a lo dispuesto en el artículo 5 de la Ley 1150 de 2007, modificado por el artículo 5 de la Ley 1882 de 2018, es procedente corregir, aclarar o complementar los documentos relacionados con los requisitos habilitantes y con aquellos aspectos que no sean objeto de evaluación o asignación de puntaje, siempre que con ello no se acrediten circunstancias ocurridas con posterioridad al cierre del proceso de selección ni se modifiquen elementos sustanciales de la propuesta.</w:t>
            </w:r>
          </w:p>
          <w:p w14:paraId="5FAD1780" w14:textId="77777777" w:rsidR="000A51DC" w:rsidRPr="00235305" w:rsidRDefault="000A51DC" w:rsidP="00B62E70">
            <w:pPr>
              <w:spacing w:after="120" w:line="276" w:lineRule="auto"/>
              <w:jc w:val="both"/>
              <w:rPr>
                <w:rFonts w:ascii="Verdana" w:eastAsia="Verdana" w:hAnsi="Verdana" w:cs="Verdana"/>
              </w:rPr>
            </w:pPr>
            <w:r>
              <w:rPr>
                <w:rFonts w:ascii="Verdana" w:eastAsia="Verdana" w:hAnsi="Verdana" w:cs="Verdana"/>
              </w:rPr>
              <w:t xml:space="preserve">         </w:t>
            </w:r>
            <w:r w:rsidRPr="00235305">
              <w:rPr>
                <w:rFonts w:ascii="Verdana" w:eastAsia="Verdana" w:hAnsi="Verdana" w:cs="Verdana"/>
              </w:rPr>
              <w:t>Conforme a dicha regla, los requisitos o documentos que no sean necesarios para la comparación de las ofertas pueden subsanarse y, en consecuencia, todo aquello que no afecte la asignación de puntaje no constituye causal suficiente para rechazar una propuesta.</w:t>
            </w:r>
          </w:p>
          <w:p w14:paraId="0E6B74E0" w14:textId="77777777" w:rsidR="000A51DC" w:rsidRPr="00235305" w:rsidRDefault="000A51DC" w:rsidP="00B62E70">
            <w:pPr>
              <w:spacing w:after="120" w:line="276" w:lineRule="auto"/>
              <w:jc w:val="both"/>
              <w:rPr>
                <w:rFonts w:ascii="Verdana" w:eastAsia="Verdana" w:hAnsi="Verdana" w:cs="Verdana"/>
              </w:rPr>
            </w:pPr>
            <w:r>
              <w:rPr>
                <w:rFonts w:ascii="Verdana" w:eastAsia="Verdana" w:hAnsi="Verdana" w:cs="Verdana"/>
              </w:rPr>
              <w:t xml:space="preserve">        </w:t>
            </w:r>
            <w:r w:rsidRPr="00235305">
              <w:rPr>
                <w:rFonts w:ascii="Verdana" w:eastAsia="Verdana" w:hAnsi="Verdana" w:cs="Verdana"/>
              </w:rPr>
              <w:t>De acuerdo con el artículo 5 de la Ley 1882 de 2018, lo subsanable corresponde a la prueba de circunstancias ocurridas antes del vencimiento del término para presentar ofertas. Esto significa que no es posible acreditar hechos o condiciones surgidas con posterioridad al cierre del proceso, ni modificar elementos sustanciales de la propuesta una vez presentada.</w:t>
            </w:r>
          </w:p>
          <w:p w14:paraId="4B6F7404" w14:textId="77777777" w:rsidR="000A51DC" w:rsidRPr="00235305" w:rsidRDefault="000A51DC" w:rsidP="00B62E70">
            <w:pPr>
              <w:spacing w:after="120" w:line="276" w:lineRule="auto"/>
              <w:jc w:val="both"/>
              <w:rPr>
                <w:rFonts w:ascii="Verdana" w:eastAsia="Verdana" w:hAnsi="Verdana" w:cs="Verdana"/>
              </w:rPr>
            </w:pPr>
            <w:r>
              <w:rPr>
                <w:rFonts w:ascii="Verdana" w:eastAsia="Verdana" w:hAnsi="Verdana" w:cs="Verdana"/>
              </w:rPr>
              <w:lastRenderedPageBreak/>
              <w:t xml:space="preserve">        </w:t>
            </w:r>
            <w:r w:rsidRPr="00235305">
              <w:rPr>
                <w:rFonts w:ascii="Verdana" w:eastAsia="Verdana" w:hAnsi="Verdana" w:cs="Verdana"/>
              </w:rPr>
              <w:t>En este sentido, la Agencia Nacional de Contratación Pública – Colombia Compra Eficiente, en el Concepto C-549 del 20 de mayo de 2026, al analizar el alcance de la subsanación, reiteró que esta figura permite corregir o complementar el medio probatorio mediante el cual se acredita una circunstancia que ya existía al momento del cierre del proceso, pero no habilita al oferente para crear, modificar o consolidar con posterioridad una condición que no se encontraba cumplida al momento de presentar la oferta.</w:t>
            </w:r>
          </w:p>
          <w:p w14:paraId="0DC2919A" w14:textId="77777777" w:rsidR="000A51DC" w:rsidRPr="00235305" w:rsidRDefault="000A51DC" w:rsidP="00B62E70">
            <w:pPr>
              <w:spacing w:after="120" w:line="276" w:lineRule="auto"/>
              <w:jc w:val="both"/>
              <w:rPr>
                <w:rFonts w:ascii="Verdana" w:eastAsia="Verdana" w:hAnsi="Verdana" w:cs="Verdana"/>
              </w:rPr>
            </w:pPr>
            <w:r>
              <w:rPr>
                <w:rFonts w:ascii="Verdana" w:eastAsia="Verdana" w:hAnsi="Verdana" w:cs="Verdana"/>
              </w:rPr>
              <w:t xml:space="preserve">         </w:t>
            </w:r>
            <w:r w:rsidRPr="00235305">
              <w:rPr>
                <w:rFonts w:ascii="Verdana" w:eastAsia="Verdana" w:hAnsi="Verdana" w:cs="Verdana"/>
              </w:rPr>
              <w:t>Esta regla resulta relevante para determinar el alcance de la subsanación de las fichas técnicas, pues debe distinguirse entre la corrección o complementación del documento que acredita una condición técnica preexistente y la modificación del contenido material de la oferta. En el primer supuesto, la actuación puede encontrarse amparada por la regla de subsanabilidad; en el segundo, se configura una modificación de la propuesta que excede dicha facultad.</w:t>
            </w:r>
          </w:p>
          <w:p w14:paraId="7C5873BE" w14:textId="77777777" w:rsidR="000A51DC" w:rsidRPr="00235305" w:rsidRDefault="000A51DC" w:rsidP="00B62E70">
            <w:pPr>
              <w:spacing w:after="120" w:line="276" w:lineRule="auto"/>
              <w:jc w:val="both"/>
              <w:rPr>
                <w:rFonts w:ascii="Verdana" w:eastAsia="Verdana" w:hAnsi="Verdana" w:cs="Verdana"/>
              </w:rPr>
            </w:pPr>
            <w:r>
              <w:rPr>
                <w:rFonts w:ascii="Verdana" w:eastAsia="Verdana" w:hAnsi="Verdana" w:cs="Verdana"/>
              </w:rPr>
              <w:t xml:space="preserve">         </w:t>
            </w:r>
            <w:r w:rsidRPr="00235305">
              <w:rPr>
                <w:rFonts w:ascii="Verdana" w:eastAsia="Verdana" w:hAnsi="Verdana" w:cs="Verdana"/>
              </w:rPr>
              <w:t>En ese sentido, las Entidades Estatales pueden permitir la subsanación de inconsistencias o falencias relacionadas con la acreditación de las especificaciones técnicas exigidas en los documentos del proceso, siempre que la condición técnica que se pretende demostrar hubiere existido materialmente antes del cierre del proceso de selección. Así, la regla de subsanabilidad permite complementar, aclarar o corregir el medio probatorio mediante el cual se acredita una situación preexistente, pero no faculta a los oferentes para crear, modificar o sustituir las características técnicas del bien ofertado con posterioridad a la presentación de la propuesta.</w:t>
            </w:r>
          </w:p>
          <w:p w14:paraId="685D4611" w14:textId="77777777" w:rsidR="000A51DC" w:rsidRPr="00235305" w:rsidRDefault="000A51DC" w:rsidP="00B62E70">
            <w:pPr>
              <w:spacing w:after="120" w:line="276" w:lineRule="auto"/>
              <w:jc w:val="both"/>
              <w:rPr>
                <w:rFonts w:ascii="Verdana" w:eastAsia="Verdana" w:hAnsi="Verdana" w:cs="Verdana"/>
              </w:rPr>
            </w:pPr>
            <w:r>
              <w:rPr>
                <w:rFonts w:ascii="Verdana" w:eastAsia="Verdana" w:hAnsi="Verdana" w:cs="Verdana"/>
              </w:rPr>
              <w:t xml:space="preserve">        </w:t>
            </w:r>
            <w:r w:rsidRPr="00235305">
              <w:rPr>
                <w:rFonts w:ascii="Verdana" w:eastAsia="Verdana" w:hAnsi="Verdana" w:cs="Verdana"/>
              </w:rPr>
              <w:t>Bajo este entendimiento, cuando la ficha técnica inicialmente aportada corresponde al mismo bien efectivamente ofertado y la documentación allegada posteriormente únicamente tiene por finalidad aclarar, complementar o acreditar características técnicas que ya hacían parte de la oferta presentada antes del cierre del proceso, dicha actuación puede considerarse subsanable. Ello, siempre que la información aportada posteriormente no contradiga la documentación presentada con la oferta, no implique la sustitución del producto ofertado y tenga por objeto demostrar una condición técnica preexistente.</w:t>
            </w:r>
          </w:p>
          <w:p w14:paraId="5D55F8BA" w14:textId="77777777" w:rsidR="000A51DC" w:rsidRPr="00235305" w:rsidRDefault="000A51DC" w:rsidP="00B62E70">
            <w:pPr>
              <w:spacing w:after="120" w:line="276" w:lineRule="auto"/>
              <w:jc w:val="both"/>
              <w:rPr>
                <w:rFonts w:ascii="Verdana" w:eastAsia="Verdana" w:hAnsi="Verdana" w:cs="Verdana"/>
              </w:rPr>
            </w:pPr>
            <w:r>
              <w:rPr>
                <w:rFonts w:ascii="Verdana" w:eastAsia="Verdana" w:hAnsi="Verdana" w:cs="Verdana"/>
              </w:rPr>
              <w:t xml:space="preserve">        </w:t>
            </w:r>
            <w:r w:rsidRPr="00235305">
              <w:rPr>
                <w:rFonts w:ascii="Verdana" w:eastAsia="Verdana" w:hAnsi="Verdana" w:cs="Verdana"/>
              </w:rPr>
              <w:t xml:space="preserve">Por el contrario, cuando la ficha técnica presentada con la oferta evidencia que el producto ofertado no cumple las especificaciones técnicas </w:t>
            </w:r>
            <w:r w:rsidRPr="00235305">
              <w:rPr>
                <w:rFonts w:ascii="Verdana" w:eastAsia="Verdana" w:hAnsi="Verdana" w:cs="Verdana"/>
              </w:rPr>
              <w:lastRenderedPageBreak/>
              <w:t>mínimas exigidas por la Entidad Estatal y posteriormente el oferente aporta una ficha técnica distinta, la actuación no tiene por objeto complementar la prueba de una condición existente al momento del cierre, sino sustituir el bien originalmente ofertado por otro diferente.</w:t>
            </w:r>
          </w:p>
          <w:p w14:paraId="4633EFC1" w14:textId="77777777" w:rsidR="000A51DC" w:rsidRPr="00235305" w:rsidRDefault="000A51DC" w:rsidP="00B62E70">
            <w:pPr>
              <w:spacing w:after="120" w:line="276" w:lineRule="auto"/>
              <w:jc w:val="both"/>
              <w:rPr>
                <w:rFonts w:ascii="Verdana" w:eastAsia="Verdana" w:hAnsi="Verdana" w:cs="Verdana"/>
              </w:rPr>
            </w:pPr>
            <w:r>
              <w:rPr>
                <w:rFonts w:ascii="Verdana" w:eastAsia="Verdana" w:hAnsi="Verdana" w:cs="Verdana"/>
              </w:rPr>
              <w:t xml:space="preserve">        </w:t>
            </w:r>
            <w:r w:rsidRPr="00235305">
              <w:rPr>
                <w:rFonts w:ascii="Verdana" w:eastAsia="Verdana" w:hAnsi="Verdana" w:cs="Verdana"/>
              </w:rPr>
              <w:t>En tal evento, la documentación aportada con posterioridad no constituye la acreditación de una situación técnica preexistente, sino la incorporación de una condición que no se encontraba cumplida en la oferta inicial. Por ello, la actuación excede los límites de la subsanación previstos en el artículo 5 de la Ley 1150 de 2007, modificado por el artículo 5 de la Ley 1882 de 2018, y en la doctrina de Colombia Compra Eficiente, en la medida en que implica la modificación de un elemento sustancial de la propuesta técnica.</w:t>
            </w:r>
          </w:p>
          <w:p w14:paraId="5181A670" w14:textId="77777777" w:rsidR="000A51DC" w:rsidRDefault="000A51DC" w:rsidP="00B62E70">
            <w:pPr>
              <w:spacing w:after="120" w:line="276" w:lineRule="auto"/>
              <w:jc w:val="both"/>
              <w:rPr>
                <w:rFonts w:ascii="Verdana" w:eastAsia="Verdana" w:hAnsi="Verdana" w:cs="Verdana"/>
              </w:rPr>
            </w:pPr>
            <w:r>
              <w:rPr>
                <w:rFonts w:ascii="Verdana" w:eastAsia="Verdana" w:hAnsi="Verdana" w:cs="Verdana"/>
              </w:rPr>
              <w:t xml:space="preserve">        E</w:t>
            </w:r>
            <w:r w:rsidRPr="00235305">
              <w:rPr>
                <w:rFonts w:ascii="Verdana" w:eastAsia="Verdana" w:hAnsi="Verdana" w:cs="Verdana"/>
              </w:rPr>
              <w:t>n consecuencia, la Entidad Estatal deberá analizar, en cada caso concreto, si la documentación aportada durante la etapa de subsanación acredita una condición técnica que existía materialmente antes del cierre del proceso y que ya correspondía al producto ofertado, o si, por el contrario, constituye la sustitución de dicho producto por otro diferente que cumple las especificaciones exigidas. En este último evento, la actuación no corresponderá a una subsanación documental sino a una modificación de la oferta.</w:t>
            </w:r>
          </w:p>
          <w:p w14:paraId="75DB0308" w14:textId="77777777" w:rsidR="000A51DC" w:rsidRDefault="000A51DC" w:rsidP="00B62E70">
            <w:pPr>
              <w:spacing w:after="120" w:line="276" w:lineRule="auto"/>
              <w:jc w:val="both"/>
              <w:rPr>
                <w:rFonts w:ascii="Verdana" w:eastAsia="Verdana" w:hAnsi="Verdana" w:cs="Verdana"/>
              </w:rPr>
            </w:pPr>
            <w:r>
              <w:rPr>
                <w:rFonts w:ascii="Verdana" w:eastAsia="Verdana" w:hAnsi="Verdana" w:cs="Verdana"/>
              </w:rPr>
              <w:t xml:space="preserve">        </w:t>
            </w:r>
            <w:r w:rsidRPr="00EC2A9F">
              <w:rPr>
                <w:rFonts w:ascii="Verdana" w:eastAsia="Verdana" w:hAnsi="Verdana" w:cs="Verdana"/>
              </w:rPr>
              <w:t>Adicionalmente, resulta pertinente consultar el documento denominado “Manual para determinar y verificar los requisitos habilitantes en los Procesos de Contratación”, expedido por la Agencia Nacional de Contratación Pública – Colombia Compra Eficiente, en cuanto desarrolla criterios orientadores para la verificación y acreditación de las condiciones exigidas a los proponentes. En particular, sus consideraciones resultan relevantes para determinar los límites de la subsanación de los documentos aportados con la oferta, diferenciando entre la corrección o complementación de la prueba de una circunstancia preexistente al cierre y la modificación de las condiciones inicialmente ofrecidas.</w:t>
            </w:r>
          </w:p>
          <w:p w14:paraId="6E103CC5" w14:textId="77777777" w:rsidR="000A51DC" w:rsidRDefault="000A51DC" w:rsidP="00B62E70">
            <w:pPr>
              <w:spacing w:after="120" w:line="276" w:lineRule="auto"/>
              <w:jc w:val="both"/>
              <w:rPr>
                <w:rFonts w:ascii="Verdana" w:eastAsia="Calibri" w:hAnsi="Verdana" w:cs="Times New Roman"/>
                <w:lang w:val="es-ES"/>
              </w:rPr>
            </w:pPr>
            <w:r w:rsidRPr="00B72C9E">
              <w:rPr>
                <w:rFonts w:ascii="Verdana" w:eastAsia="Verdana" w:hAnsi="Verdana" w:cs="Verdana"/>
              </w:rPr>
              <w:t xml:space="preserve"> </w:t>
            </w:r>
            <w:r>
              <w:rPr>
                <w:rFonts w:ascii="Verdana" w:eastAsia="Verdana" w:hAnsi="Verdana" w:cs="Verdana"/>
              </w:rPr>
              <w:t xml:space="preserve">     </w:t>
            </w:r>
            <w:r>
              <w:rPr>
                <w:rFonts w:ascii="Verdana" w:eastAsia="Arial" w:hAnsi="Verdana" w:cs="Arial"/>
              </w:rPr>
              <w:t xml:space="preserve">   F</w:t>
            </w:r>
            <w:r>
              <w:rPr>
                <w:rFonts w:ascii="Verdana" w:eastAsia="Calibri" w:hAnsi="Verdana" w:cs="Arial"/>
                <w:bCs/>
                <w:color w:val="000000" w:themeColor="text1"/>
              </w:rPr>
              <w:t>inalmente</w:t>
            </w:r>
            <w:r>
              <w:rPr>
                <w:rFonts w:ascii="Verdana" w:eastAsia="Calibri" w:hAnsi="Verdana" w:cs="Times New Roman"/>
                <w:lang w:val="es-ES"/>
              </w:rPr>
              <w:t>,</w:t>
            </w:r>
            <w:r w:rsidRPr="00DB4737">
              <w:rPr>
                <w:rFonts w:ascii="Verdana" w:eastAsia="Calibri" w:hAnsi="Verdana" w:cs="Times New Roman"/>
                <w:lang w:val="es-ES"/>
              </w:rPr>
              <w:t xml:space="preserve"> debe advertirse que el análisis en torno </w:t>
            </w:r>
            <w:r>
              <w:rPr>
                <w:rFonts w:ascii="Verdana" w:eastAsia="Calibri" w:hAnsi="Verdana" w:cs="Times New Roman"/>
                <w:lang w:val="es-ES"/>
              </w:rPr>
              <w:t>a un proceso de contratación especifico debe</w:t>
            </w:r>
            <w:r w:rsidRPr="0012388D">
              <w:rPr>
                <w:rFonts w:ascii="Verdana" w:eastAsia="Calibri" w:hAnsi="Verdana" w:cs="Times New Roman"/>
                <w:lang w:val="es-ES"/>
              </w:rPr>
              <w:t xml:space="preserve"> ser realizado por quienes tengan interés en ello.</w:t>
            </w:r>
            <w:r w:rsidRPr="00DB4737">
              <w:rPr>
                <w:rFonts w:ascii="Verdana" w:eastAsia="Calibri" w:hAnsi="Verdana" w:cs="Times New Roman"/>
                <w:lang w:val="es-ES"/>
              </w:rPr>
              <w:t xml:space="preserve"> De esta forma, las afirmaciones aquí realizadas no pueden ser interpretadas como juicios de valor sobre circunstancias concretas relacionadas con los </w:t>
            </w:r>
            <w:r w:rsidRPr="00DB4737">
              <w:rPr>
                <w:rFonts w:ascii="Verdana" w:eastAsia="Calibri" w:hAnsi="Verdana" w:cs="Times New Roman"/>
                <w:lang w:val="es-ES"/>
              </w:rPr>
              <w:lastRenderedPageBreak/>
              <w:t>hechos que motivan la consulta. Por lo anterior, previo concepto de sus asesores, la solución de situaciones particulares corresponderá a los interesados de adoptar la decisión y, en caso de conflicto, a las autoridades judiciales, fiscales y disciplinarias.</w:t>
            </w:r>
          </w:p>
          <w:p w14:paraId="7FF83CEF" w14:textId="77777777" w:rsidR="000A51DC" w:rsidRDefault="000A51DC" w:rsidP="00B62E70">
            <w:pPr>
              <w:spacing w:after="120" w:line="276" w:lineRule="auto"/>
              <w:jc w:val="both"/>
              <w:rPr>
                <w:rFonts w:ascii="Verdana" w:eastAsia="Verdana" w:hAnsi="Verdana" w:cs="Verdana"/>
              </w:rPr>
            </w:pPr>
            <w:r>
              <w:rPr>
                <w:rFonts w:ascii="Verdana" w:eastAsia="Calibri" w:hAnsi="Verdana" w:cs="Times New Roman"/>
                <w:lang w:val="es-ES"/>
              </w:rPr>
              <w:t xml:space="preserve">         Así las cosas</w:t>
            </w:r>
            <w:r w:rsidRPr="00DB4737">
              <w:rPr>
                <w:rFonts w:ascii="Verdana" w:eastAsia="Calibri" w:hAnsi="Verdana" w:cs="Times New Roman"/>
                <w:lang w:val="es-ES"/>
              </w:rPr>
              <w:t>, al tratarse de un análisis que debe realizarse en un procedimiento contractual específico,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w:t>
            </w:r>
          </w:p>
        </w:tc>
      </w:tr>
    </w:tbl>
    <w:p w14:paraId="3EB213E4" w14:textId="77777777" w:rsidR="000A51DC" w:rsidRPr="0015699B" w:rsidRDefault="000A51DC" w:rsidP="000A51DC">
      <w:pPr>
        <w:tabs>
          <w:tab w:val="left" w:pos="142"/>
          <w:tab w:val="left" w:pos="284"/>
        </w:tabs>
        <w:spacing w:after="0" w:line="276" w:lineRule="auto"/>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lastRenderedPageBreak/>
        <w:t xml:space="preserve"> </w:t>
      </w:r>
    </w:p>
    <w:p w14:paraId="50B1EDEA" w14:textId="77777777" w:rsidR="000A51DC" w:rsidRPr="0015699B" w:rsidRDefault="000A51DC" w:rsidP="000A51DC">
      <w:pPr>
        <w:pStyle w:val="Prrafodelista"/>
        <w:numPr>
          <w:ilvl w:val="0"/>
          <w:numId w:val="16"/>
        </w:numPr>
        <w:spacing w:after="0" w:line="276" w:lineRule="auto"/>
        <w:ind w:left="1080" w:hanging="720"/>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t>Razones de la respuesta:</w:t>
      </w:r>
    </w:p>
    <w:p w14:paraId="55010CEA" w14:textId="77777777" w:rsidR="000A51DC" w:rsidRPr="0015699B" w:rsidRDefault="000A51DC" w:rsidP="000A51DC">
      <w:pPr>
        <w:tabs>
          <w:tab w:val="left" w:pos="142"/>
          <w:tab w:val="left" w:pos="284"/>
        </w:tabs>
        <w:spacing w:after="0" w:line="276" w:lineRule="auto"/>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t xml:space="preserve"> </w:t>
      </w:r>
    </w:p>
    <w:p w14:paraId="24593DDC" w14:textId="77777777" w:rsidR="000A51DC" w:rsidRPr="0015699B" w:rsidRDefault="000A51DC" w:rsidP="000A51DC">
      <w:pPr>
        <w:spacing w:after="0" w:line="276" w:lineRule="auto"/>
        <w:jc w:val="both"/>
        <w:textAlignment w:val="baseline"/>
        <w:rPr>
          <w:rFonts w:ascii="Verdana" w:eastAsia="Verdana" w:hAnsi="Verdana" w:cs="Verdana"/>
          <w:lang w:val="es"/>
        </w:rPr>
      </w:pPr>
      <w:r w:rsidRPr="40A87941">
        <w:rPr>
          <w:rFonts w:ascii="Verdana" w:eastAsia="Verdana" w:hAnsi="Verdana" w:cs="Verdana"/>
          <w:lang w:val="es"/>
        </w:rPr>
        <w:t xml:space="preserve">Lo anterior se sustenta en las siguientes consideraciones: </w:t>
      </w:r>
    </w:p>
    <w:p w14:paraId="0EA6D407" w14:textId="77777777" w:rsidR="000A51DC" w:rsidRPr="0015699B" w:rsidRDefault="000A51DC" w:rsidP="000A51DC">
      <w:pPr>
        <w:spacing w:after="0" w:line="276" w:lineRule="auto"/>
        <w:jc w:val="both"/>
        <w:textAlignment w:val="baseline"/>
        <w:rPr>
          <w:rFonts w:ascii="Verdana" w:eastAsia="Verdana" w:hAnsi="Verdana" w:cs="Verdana"/>
          <w:lang w:val="es"/>
        </w:rPr>
      </w:pPr>
      <w:r w:rsidRPr="40A87941">
        <w:rPr>
          <w:rFonts w:ascii="Verdana" w:eastAsia="Verdana" w:hAnsi="Verdana" w:cs="Verdana"/>
          <w:lang w:val="es"/>
        </w:rPr>
        <w:t xml:space="preserve"> </w:t>
      </w:r>
    </w:p>
    <w:p w14:paraId="3120BF60" w14:textId="77777777" w:rsidR="000A51DC" w:rsidRPr="002F50D4" w:rsidRDefault="000A51DC" w:rsidP="000A51DC">
      <w:pPr>
        <w:spacing w:after="120" w:line="276" w:lineRule="auto"/>
        <w:ind w:firstLine="360"/>
        <w:jc w:val="both"/>
        <w:rPr>
          <w:rFonts w:ascii="Verdana" w:eastAsia="Calibri" w:hAnsi="Verdana" w:cs="Arial"/>
          <w:lang w:eastAsia="es-MX"/>
        </w:rPr>
      </w:pPr>
      <w:r>
        <w:rPr>
          <w:rFonts w:ascii="Verdana" w:hAnsi="Verdana"/>
        </w:rPr>
        <w:t xml:space="preserve">   </w:t>
      </w:r>
      <w:r w:rsidRPr="00802A80">
        <w:rPr>
          <w:rFonts w:ascii="Verdana" w:hAnsi="Verdana"/>
        </w:rPr>
        <w:t>El numeral 2 del artículo 32 de la Ley 80 de 1993 dispone que son contratos</w:t>
      </w:r>
      <w:r>
        <w:rPr>
          <w:rFonts w:ascii="Verdana" w:hAnsi="Verdana"/>
        </w:rPr>
        <w:t xml:space="preserve"> </w:t>
      </w:r>
      <w:r>
        <w:rPr>
          <w:rFonts w:ascii="Verdana" w:eastAsia="Calibri" w:hAnsi="Verdana" w:cs="Arial"/>
          <w:lang w:eastAsia="es-MX"/>
        </w:rPr>
        <w:t xml:space="preserve">    </w:t>
      </w:r>
      <w:bookmarkStart w:id="1" w:name="_Hlk99546562"/>
      <w:r w:rsidRPr="002F50D4">
        <w:rPr>
          <w:rFonts w:ascii="Verdana" w:eastAsia="Calibri" w:hAnsi="Verdana" w:cs="Arial"/>
          <w:lang w:eastAsia="es-MX"/>
        </w:rPr>
        <w:t xml:space="preserve">Los </w:t>
      </w:r>
      <w:r w:rsidRPr="002F50D4">
        <w:rPr>
          <w:rFonts w:ascii="Verdana" w:eastAsia="Calibri" w:hAnsi="Verdana" w:cs="Arial"/>
          <w:i/>
          <w:lang w:eastAsia="es-MX"/>
        </w:rPr>
        <w:t>requisitos habilitantes</w:t>
      </w:r>
      <w:r w:rsidRPr="002F50D4">
        <w:rPr>
          <w:rFonts w:ascii="Verdana" w:eastAsia="Calibri" w:hAnsi="Verdana" w:cs="Arial"/>
          <w:lang w:eastAsia="es-MX"/>
        </w:rPr>
        <w:t xml:space="preserve"> se definen como aquellas exigencias de participación en los procedimientos de selección, establecidas en disposiciones normativas, de carácter legal o reglamentario, o contenidas en el acto administrativo que regula las reglas de la convocatoria–es decir, en el pliego de condiciones o el documento equivalente a este–. Se diferencian de los </w:t>
      </w:r>
      <w:r w:rsidRPr="002F50D4">
        <w:rPr>
          <w:rFonts w:ascii="Verdana" w:eastAsia="Calibri" w:hAnsi="Verdana" w:cs="Arial"/>
          <w:i/>
          <w:lang w:eastAsia="es-MX"/>
        </w:rPr>
        <w:t>criterios de evaluación</w:t>
      </w:r>
      <w:r w:rsidRPr="002F50D4">
        <w:rPr>
          <w:rFonts w:ascii="Verdana" w:eastAsia="Calibri" w:hAnsi="Verdana" w:cs="Arial"/>
          <w:lang w:eastAsia="es-MX"/>
        </w:rPr>
        <w:t xml:space="preserve"> –también conocidos como criterios de calificación– en que estos son los factores definidos por la entidad estatal para la asignación de puntaje en el momento de la comparación de las ofertas, y que, a partir de su ponderación, permiten establecer el orden de elegibilidad y, por ende, la propuesta ganadora. </w:t>
      </w:r>
    </w:p>
    <w:bookmarkEnd w:id="1"/>
    <w:p w14:paraId="505A8D81" w14:textId="77777777" w:rsidR="000A51DC" w:rsidRPr="002F50D4" w:rsidRDefault="000A51DC" w:rsidP="000A51DC">
      <w:pPr>
        <w:spacing w:after="120" w:line="276" w:lineRule="auto"/>
        <w:ind w:firstLine="360"/>
        <w:jc w:val="both"/>
        <w:rPr>
          <w:rFonts w:ascii="Verdana" w:eastAsia="Calibri" w:hAnsi="Verdana" w:cs="Arial"/>
          <w:lang w:eastAsia="es-MX"/>
        </w:rPr>
      </w:pPr>
      <w:r>
        <w:rPr>
          <w:rFonts w:ascii="Verdana" w:eastAsia="Calibri" w:hAnsi="Verdana" w:cs="Arial"/>
          <w:lang w:eastAsia="es-MX"/>
        </w:rPr>
        <w:t xml:space="preserve">    De esta manera l</w:t>
      </w:r>
      <w:r w:rsidRPr="002F50D4">
        <w:rPr>
          <w:rFonts w:ascii="Verdana" w:eastAsia="Calibri" w:hAnsi="Verdana" w:cs="Arial"/>
          <w:lang w:eastAsia="es-MX"/>
        </w:rPr>
        <w:t xml:space="preserve">os requisitos habilitantes constituyen los requerimientos mínimos con los que deben cumplir los proponentes para poder participar en el procedimiento de selección, razón por la que los mismos no se valoran con un puntaje tendiente a determinar el orden de escogencia, sino que se analizan como criterios previos a la evaluación en sentido estricto, de manera que quienes no los reúnan no pueden continuar en el procedimiento de selección, es decir, incurren en causal de rechazo. Esto sin perjuicio del derecho que tienen los oferentes de subsanar los defectos que se presenten en la prueba de tales </w:t>
      </w:r>
      <w:r w:rsidRPr="002F50D4">
        <w:rPr>
          <w:rFonts w:ascii="Verdana" w:eastAsia="Calibri" w:hAnsi="Verdana" w:cs="Arial"/>
          <w:lang w:eastAsia="es-MX"/>
        </w:rPr>
        <w:lastRenderedPageBreak/>
        <w:t>requisitos, de conformidad con el artículo 5, parágrafos 1º al 4º, de la Ley 1150 de 2007.</w:t>
      </w:r>
    </w:p>
    <w:p w14:paraId="3CF38094" w14:textId="77777777" w:rsidR="000A51DC" w:rsidRPr="002F50D4" w:rsidRDefault="000A51DC" w:rsidP="000A51DC">
      <w:pPr>
        <w:spacing w:after="120" w:line="276" w:lineRule="auto"/>
        <w:ind w:firstLine="360"/>
        <w:jc w:val="both"/>
        <w:rPr>
          <w:rFonts w:ascii="Verdana" w:eastAsia="Calibri" w:hAnsi="Verdana" w:cs="Arial"/>
          <w:lang w:val="es-ES_tradnl" w:eastAsia="es-MX"/>
        </w:rPr>
      </w:pPr>
      <w:r>
        <w:rPr>
          <w:rFonts w:ascii="Verdana" w:eastAsia="Calibri" w:hAnsi="Verdana" w:cs="Arial"/>
          <w:lang w:val="es-ES_tradnl" w:eastAsia="es-MX"/>
        </w:rPr>
        <w:t xml:space="preserve">   </w:t>
      </w:r>
      <w:r w:rsidRPr="002F50D4">
        <w:rPr>
          <w:rFonts w:ascii="Verdana" w:eastAsia="Calibri" w:hAnsi="Verdana" w:cs="Arial"/>
          <w:lang w:val="es-ES_tradnl" w:eastAsia="es-MX"/>
        </w:rPr>
        <w:t xml:space="preserve">El mencionado artículo dispone que se considera “[…] objetiva la selección en la cual la escogencia se haga al ofrecimiento más favorable a la entidad y a los fines que ella busca, sin tener en consideración factores de afecto o de interés y, en general, cualquier clase de motivación subjetiva”. En ese contexto, los factores de escogencia y calificación que establezcan las entidades en los pliegos de condiciones o sus documentos equivalentes deberán tener en cuenta, entre otras cuestiones, los criterios establecidos en dicha disposición. </w:t>
      </w:r>
    </w:p>
    <w:p w14:paraId="64988B20" w14:textId="77777777" w:rsidR="000A51DC" w:rsidRPr="002F50D4" w:rsidRDefault="000A51DC" w:rsidP="000A51DC">
      <w:pPr>
        <w:spacing w:after="0" w:line="276" w:lineRule="auto"/>
        <w:ind w:firstLine="360"/>
        <w:jc w:val="both"/>
        <w:rPr>
          <w:rFonts w:ascii="Verdana" w:eastAsia="Calibri" w:hAnsi="Verdana" w:cs="Arial"/>
          <w:lang w:eastAsia="es-MX"/>
        </w:rPr>
      </w:pPr>
      <w:r>
        <w:rPr>
          <w:rFonts w:ascii="Verdana" w:eastAsia="Calibri" w:hAnsi="Verdana" w:cs="Arial"/>
          <w:lang w:eastAsia="es-MX"/>
        </w:rPr>
        <w:t xml:space="preserve">  </w:t>
      </w:r>
      <w:r w:rsidRPr="002F50D4">
        <w:rPr>
          <w:rFonts w:ascii="Verdana" w:eastAsia="Calibri" w:hAnsi="Verdana" w:cs="Arial"/>
          <w:lang w:eastAsia="es-MX"/>
        </w:rPr>
        <w:t xml:space="preserve">Específicamente, el numeral 1º del artículo referido establece que en los procesos de selección de contratistas serán objeto de verificación, como requisitos habilitantes, entre otros, los siguientes: i) la capacidad jurídica; ii) la experiencia; iii) la capacidad financiera y iv) la capacidad de organización. En efecto, la normativa citada dispone: </w:t>
      </w:r>
    </w:p>
    <w:p w14:paraId="4B1E30E7" w14:textId="77777777" w:rsidR="000A51DC" w:rsidRPr="00C861EF" w:rsidRDefault="000A51DC" w:rsidP="000A51DC">
      <w:pPr>
        <w:pStyle w:val="Prrafodelista"/>
        <w:spacing w:after="0" w:line="276" w:lineRule="auto"/>
        <w:jc w:val="both"/>
        <w:rPr>
          <w:rFonts w:ascii="Verdana" w:eastAsia="Calibri" w:hAnsi="Verdana" w:cs="Arial"/>
          <w:lang w:val="es-ES_tradnl" w:eastAsia="es-MX"/>
        </w:rPr>
      </w:pPr>
    </w:p>
    <w:p w14:paraId="6046E56F" w14:textId="77777777" w:rsidR="000A51DC" w:rsidRPr="002F50D4" w:rsidRDefault="000A51DC" w:rsidP="000A51DC">
      <w:pPr>
        <w:spacing w:after="0"/>
        <w:ind w:left="567" w:right="900"/>
        <w:jc w:val="both"/>
        <w:rPr>
          <w:rFonts w:ascii="Verdana" w:eastAsia="Calibri" w:hAnsi="Verdana" w:cs="Arial"/>
          <w:sz w:val="20"/>
          <w:szCs w:val="20"/>
          <w:lang w:val="es-ES_tradnl" w:eastAsia="es-MX"/>
        </w:rPr>
      </w:pPr>
      <w:r w:rsidRPr="002F50D4">
        <w:rPr>
          <w:rFonts w:ascii="Verdana" w:eastAsia="Calibri" w:hAnsi="Verdana" w:cs="Arial"/>
          <w:sz w:val="20"/>
          <w:szCs w:val="20"/>
          <w:lang w:val="es-ES_tradnl" w:eastAsia="es-MX"/>
        </w:rPr>
        <w:t xml:space="preserve">“Artículo 5. De la Selección Objetiva. </w:t>
      </w:r>
    </w:p>
    <w:p w14:paraId="1ADCB329" w14:textId="77777777" w:rsidR="000A51DC" w:rsidRPr="002F50D4" w:rsidRDefault="000A51DC" w:rsidP="000A51DC">
      <w:pPr>
        <w:spacing w:after="120"/>
        <w:ind w:left="567" w:right="900"/>
        <w:jc w:val="both"/>
        <w:rPr>
          <w:rFonts w:ascii="Verdana" w:eastAsia="Calibri" w:hAnsi="Verdana" w:cs="Arial"/>
          <w:sz w:val="20"/>
          <w:szCs w:val="20"/>
          <w:lang w:val="es-ES_tradnl" w:eastAsia="es-MX"/>
        </w:rPr>
      </w:pPr>
      <w:r w:rsidRPr="002F50D4">
        <w:rPr>
          <w:rFonts w:ascii="Verdana" w:eastAsia="Calibri" w:hAnsi="Verdana" w:cs="Arial"/>
          <w:sz w:val="20"/>
          <w:szCs w:val="20"/>
          <w:lang w:val="es-ES_tradnl" w:eastAsia="es-MX"/>
        </w:rPr>
        <w:t>[…]</w:t>
      </w:r>
    </w:p>
    <w:p w14:paraId="1FD1EB96" w14:textId="77777777" w:rsidR="000A51DC" w:rsidRPr="002F50D4" w:rsidRDefault="000A51DC" w:rsidP="000A51DC">
      <w:pPr>
        <w:spacing w:after="0"/>
        <w:ind w:left="567" w:right="900"/>
        <w:jc w:val="both"/>
        <w:rPr>
          <w:rFonts w:ascii="Verdana" w:eastAsia="Calibri" w:hAnsi="Verdana" w:cs="Arial"/>
          <w:sz w:val="20"/>
          <w:szCs w:val="20"/>
        </w:rPr>
      </w:pPr>
      <w:r w:rsidRPr="002F50D4">
        <w:rPr>
          <w:rFonts w:ascii="Verdana" w:eastAsia="Calibri" w:hAnsi="Verdana" w:cs="Arial"/>
          <w:sz w:val="20"/>
          <w:szCs w:val="20"/>
        </w:rPr>
        <w:t>1. La capacidad jurídica y las condiciones de experiencia, capacidad financiera y de organización de los proponentes serán objeto de verificación de cumplimiento como requisitos habilitantes para la participación en el proceso de selección y no otorgarán puntaje, con excepción de lo previsto en el numeral 4 del presente artículo. La exigencia de tales condiciones debe ser adecuada y proporcional a la naturaleza del contrato a suscribir y a su valor. La verificación documental de las condiciones antes señaladas será efectuada por las Cámaras de Comercio de conformidad con lo establecido en el artículo 6 de la presente ley, de acuerdo con lo cual se expedirá la respectiva certificación.”</w:t>
      </w:r>
    </w:p>
    <w:p w14:paraId="53479C1A" w14:textId="77777777" w:rsidR="000A51DC" w:rsidRPr="00C861EF" w:rsidRDefault="000A51DC" w:rsidP="000A51DC">
      <w:pPr>
        <w:pStyle w:val="Prrafodelista"/>
        <w:spacing w:after="0"/>
        <w:ind w:right="709"/>
        <w:jc w:val="both"/>
        <w:rPr>
          <w:rFonts w:ascii="Verdana" w:eastAsia="Calibri" w:hAnsi="Verdana" w:cs="Arial"/>
          <w:sz w:val="21"/>
          <w:szCs w:val="21"/>
          <w:lang w:val="es-ES_tradnl"/>
        </w:rPr>
      </w:pPr>
    </w:p>
    <w:p w14:paraId="7D3C7DA3" w14:textId="77777777" w:rsidR="000A51DC" w:rsidRPr="002F50D4" w:rsidRDefault="000A51DC" w:rsidP="000A51DC">
      <w:pPr>
        <w:spacing w:after="0"/>
        <w:ind w:firstLine="360"/>
        <w:jc w:val="both"/>
        <w:rPr>
          <w:rFonts w:ascii="Verdana" w:eastAsia="Calibri" w:hAnsi="Verdana" w:cs="Arial"/>
          <w:sz w:val="21"/>
          <w:szCs w:val="21"/>
          <w:lang w:val="es-ES_tradnl"/>
        </w:rPr>
      </w:pPr>
      <w:bookmarkStart w:id="2" w:name="_Hlk99547809"/>
      <w:bookmarkStart w:id="3" w:name="_Hlk99546625"/>
      <w:r>
        <w:rPr>
          <w:rFonts w:ascii="Verdana" w:eastAsia="Times New Roman" w:hAnsi="Verdana" w:cs="Arial"/>
          <w:lang w:val="es-ES_tradnl" w:eastAsia="es-MX"/>
        </w:rPr>
        <w:t xml:space="preserve">   </w:t>
      </w:r>
      <w:r w:rsidRPr="002F50D4">
        <w:rPr>
          <w:rFonts w:ascii="Verdana" w:eastAsia="Times New Roman" w:hAnsi="Verdana" w:cs="Arial"/>
          <w:lang w:val="es-ES_tradnl" w:eastAsia="es-MX"/>
        </w:rPr>
        <w:t xml:space="preserve">La Agencia Nacional de Contratación Pública ha defendido el carácter </w:t>
      </w:r>
      <w:bookmarkStart w:id="4" w:name="_Hlk99547799"/>
      <w:r w:rsidRPr="002F50D4">
        <w:rPr>
          <w:rFonts w:ascii="Verdana" w:eastAsia="Times New Roman" w:hAnsi="Verdana" w:cs="Arial"/>
          <w:lang w:val="es-ES_tradnl" w:eastAsia="es-MX"/>
        </w:rPr>
        <w:t xml:space="preserve">enunciativo del listado de los requisitos habilitantes contenidos en el numeral 1 del artículo 5 de la Ley 1150 de 2007, en la medida en que la referida disposición, al referirse a los requisitos habilitantes, no contiene una expresión como “únicamente” o “solo”, de la que pueda colegirse la taxatividad de los requisitos mencionados. </w:t>
      </w:r>
      <w:bookmarkEnd w:id="2"/>
      <w:bookmarkEnd w:id="4"/>
      <w:r w:rsidRPr="002F50D4">
        <w:rPr>
          <w:rFonts w:ascii="Verdana" w:eastAsia="Times New Roman" w:hAnsi="Verdana" w:cs="Arial"/>
          <w:lang w:val="es-ES_tradnl" w:eastAsia="es-MX"/>
        </w:rPr>
        <w:t xml:space="preserve">Esta conclusión además se apoya en una la lectura integral de las normas que regulan la contratación estatal, en virtud de la cual es posible evidenciar que existen otras condiciones que deben cumplirse para la contratación con entidades públicas, de las que derivan requisitos habilitantes, </w:t>
      </w:r>
      <w:r w:rsidRPr="002F50D4">
        <w:rPr>
          <w:rFonts w:ascii="Verdana" w:eastAsia="Times New Roman" w:hAnsi="Verdana" w:cs="Arial"/>
          <w:lang w:val="es-ES_tradnl" w:eastAsia="es-MX"/>
        </w:rPr>
        <w:lastRenderedPageBreak/>
        <w:t>como sucede, por ejemplo, con la capacidad residual a la que se refiere el artículo 6º, parágrafo 1, de la Ley 1150 de 2007</w:t>
      </w:r>
      <w:bookmarkEnd w:id="3"/>
      <w:r w:rsidRPr="00C861EF">
        <w:rPr>
          <w:vertAlign w:val="superscript"/>
          <w:lang w:val="es-ES_tradnl" w:eastAsia="es-MX"/>
        </w:rPr>
        <w:footnoteReference w:id="1"/>
      </w:r>
      <w:r w:rsidRPr="002F50D4">
        <w:rPr>
          <w:rFonts w:ascii="Verdana" w:eastAsia="Times New Roman" w:hAnsi="Verdana" w:cs="Arial"/>
          <w:lang w:val="es-ES_tradnl" w:eastAsia="es-MX"/>
        </w:rPr>
        <w:t xml:space="preserve">. </w:t>
      </w:r>
    </w:p>
    <w:p w14:paraId="14ACE182" w14:textId="77777777" w:rsidR="000A51DC" w:rsidRPr="002F50D4" w:rsidRDefault="000A51DC" w:rsidP="000A51DC">
      <w:pPr>
        <w:spacing w:before="120" w:after="120" w:line="276" w:lineRule="auto"/>
        <w:ind w:firstLine="360"/>
        <w:jc w:val="both"/>
        <w:rPr>
          <w:rFonts w:ascii="Verdana" w:eastAsia="Times New Roman" w:hAnsi="Verdana" w:cs="Arial"/>
          <w:lang w:val="es-ES_tradnl" w:eastAsia="es-MX"/>
        </w:rPr>
      </w:pPr>
      <w:r>
        <w:rPr>
          <w:rFonts w:ascii="Verdana" w:eastAsia="Times New Roman" w:hAnsi="Verdana" w:cs="Arial"/>
          <w:lang w:val="es-ES_tradnl" w:eastAsia="es-MX"/>
        </w:rPr>
        <w:t xml:space="preserve">  </w:t>
      </w:r>
      <w:r w:rsidRPr="002F50D4">
        <w:rPr>
          <w:rFonts w:ascii="Verdana" w:eastAsia="Times New Roman" w:hAnsi="Verdana" w:cs="Arial"/>
          <w:lang w:val="es-ES_tradnl" w:eastAsia="es-MX"/>
        </w:rPr>
        <w:t>Por otro lado, en el “Manual para determinar y verificar los requisitos habilitantes en los Procesos de Contratación”</w:t>
      </w:r>
      <w:r>
        <w:rPr>
          <w:rStyle w:val="Refdenotaalpie"/>
          <w:rFonts w:ascii="Verdana" w:eastAsia="Times New Roman" w:hAnsi="Verdana" w:cs="Arial"/>
          <w:lang w:val="es-ES_tradnl" w:eastAsia="es-MX"/>
        </w:rPr>
        <w:footnoteReference w:id="2"/>
      </w:r>
      <w:r w:rsidRPr="002F50D4">
        <w:rPr>
          <w:rFonts w:ascii="Verdana" w:eastAsia="Calibri" w:hAnsi="Verdana" w:cs="Arial"/>
          <w:lang w:val="es-ES_tradnl" w:eastAsia="es-MX"/>
        </w:rPr>
        <w:t>,</w:t>
      </w:r>
      <w:r w:rsidRPr="002F50D4">
        <w:rPr>
          <w:rFonts w:ascii="Verdana" w:eastAsia="Times New Roman" w:hAnsi="Verdana" w:cs="Arial"/>
          <w:lang w:val="es-ES_tradnl" w:eastAsia="es-MX"/>
        </w:rPr>
        <w:t xml:space="preserve"> expedido por la </w:t>
      </w:r>
      <w:r w:rsidRPr="002F50D4">
        <w:rPr>
          <w:rFonts w:ascii="Verdana" w:eastAsia="Calibri" w:hAnsi="Verdana" w:cs="Arial"/>
          <w:lang w:val="es-ES_tradnl" w:eastAsia="es-MX"/>
        </w:rPr>
        <w:t>Agencia Nacional de Contratación Pública – Colombia Compra Eficiente</w:t>
      </w:r>
      <w:r w:rsidRPr="002F50D4">
        <w:rPr>
          <w:rFonts w:ascii="Verdana" w:eastAsia="Times New Roman" w:hAnsi="Verdana" w:cs="Arial"/>
          <w:lang w:val="es-ES_tradnl" w:eastAsia="es-MX"/>
        </w:rPr>
        <w:t xml:space="preserve"> se determinaron los parámetros para establecer, acreditar y subsanar los requisitos habilitantes. Allí también se precisó que estos tienen como fin primordial medir “la aptitud del proponente para participar en un Proceso de Contratación como oferente y están referidos a su capacidad jurídica, financiera, organizacional y su experiencia”. De acuerdo con el Manual, su propósito consiste en “establecer unas condiciones mínimas para los proponentes de tal manera que la Entidad Estatal sólo evalúe las ofertas de aquellos que están en condiciones de cumplir con el objeto del Proceso de Contratación”. </w:t>
      </w:r>
    </w:p>
    <w:p w14:paraId="4754057A" w14:textId="77777777" w:rsidR="000A51DC" w:rsidRPr="002F50D4" w:rsidRDefault="000A51DC" w:rsidP="000A51DC">
      <w:pPr>
        <w:spacing w:before="120" w:after="120" w:line="276" w:lineRule="auto"/>
        <w:ind w:firstLine="360"/>
        <w:jc w:val="both"/>
        <w:rPr>
          <w:rFonts w:ascii="Verdana" w:eastAsia="Times New Roman" w:hAnsi="Verdana" w:cs="Arial"/>
          <w:lang w:val="es-ES_tradnl" w:eastAsia="es-MX"/>
        </w:rPr>
      </w:pPr>
      <w:r>
        <w:rPr>
          <w:rFonts w:ascii="Verdana" w:eastAsia="Times New Roman" w:hAnsi="Verdana" w:cs="Arial"/>
          <w:lang w:val="es-ES_tradnl" w:eastAsia="es-MX"/>
        </w:rPr>
        <w:t xml:space="preserve">    </w:t>
      </w:r>
      <w:r w:rsidRPr="002F50D4">
        <w:rPr>
          <w:rFonts w:ascii="Verdana" w:eastAsia="Times New Roman" w:hAnsi="Verdana" w:cs="Arial"/>
          <w:lang w:val="es-ES_tradnl" w:eastAsia="es-MX"/>
        </w:rPr>
        <w:t>Así las cosas, al tratarse de condiciones mínimas, significa que las entidades podrían establecer otras, según su autonomía de la voluntad, y teniendo en cuenta el objeto del contrato, los riesgos detectados en los estudios previos, el presupuesto oficial, entre otros factores.</w:t>
      </w:r>
    </w:p>
    <w:p w14:paraId="7D62FD92" w14:textId="77777777" w:rsidR="000A51DC" w:rsidRPr="002F50D4" w:rsidRDefault="000A51DC" w:rsidP="000A51DC">
      <w:pPr>
        <w:spacing w:before="120" w:after="120" w:line="276" w:lineRule="auto"/>
        <w:ind w:firstLine="360"/>
        <w:jc w:val="both"/>
        <w:rPr>
          <w:rFonts w:ascii="Verdana" w:eastAsia="Times New Roman" w:hAnsi="Verdana" w:cs="Arial"/>
          <w:lang w:val="es-ES_tradnl" w:eastAsia="es-MX"/>
        </w:rPr>
      </w:pPr>
      <w:r>
        <w:rPr>
          <w:rFonts w:ascii="Verdana" w:eastAsia="Times New Roman" w:hAnsi="Verdana" w:cs="Arial"/>
          <w:lang w:val="es-ES_tradnl" w:eastAsia="es-MX"/>
        </w:rPr>
        <w:t xml:space="preserve">    </w:t>
      </w:r>
      <w:r w:rsidRPr="002F50D4">
        <w:rPr>
          <w:rFonts w:ascii="Verdana" w:eastAsia="Times New Roman" w:hAnsi="Verdana" w:cs="Arial"/>
          <w:lang w:val="es-ES_tradnl" w:eastAsia="es-MX"/>
        </w:rPr>
        <w:t>Al respecto, en la Sentencia C-004 de 2017, la Corte Constitucional señaló que “[l]a determinación de dichas condiciones habilitantes para participar, es competencia de la entidad que planee la celebración del contrato, a través de la valoración en concreto de las características mínimas de idoneidad, experiencia, capacidad jurídica y financiera para que la realización del objeto contractual resulte eficiente y eficaz frente a la necesidad identificada”.</w:t>
      </w:r>
    </w:p>
    <w:p w14:paraId="59A6CB97" w14:textId="77777777" w:rsidR="000A51DC" w:rsidRPr="002F50D4" w:rsidRDefault="000A51DC" w:rsidP="000A51DC">
      <w:pPr>
        <w:tabs>
          <w:tab w:val="left" w:pos="426"/>
        </w:tabs>
        <w:spacing w:before="120" w:after="120" w:line="276" w:lineRule="auto"/>
        <w:jc w:val="both"/>
        <w:rPr>
          <w:rFonts w:ascii="Verdana" w:eastAsia="Times New Roman" w:hAnsi="Verdana" w:cs="Arial"/>
          <w:lang w:val="es-ES_tradnl" w:eastAsia="es-MX"/>
        </w:rPr>
      </w:pPr>
      <w:bookmarkStart w:id="5" w:name="_Hlk99548027"/>
      <w:r>
        <w:rPr>
          <w:rFonts w:ascii="Verdana" w:eastAsia="Times New Roman" w:hAnsi="Verdana" w:cs="Arial"/>
          <w:lang w:val="es-ES_tradnl" w:eastAsia="es-MX"/>
        </w:rPr>
        <w:tab/>
        <w:t xml:space="preserve"> </w:t>
      </w:r>
      <w:r w:rsidRPr="002F50D4">
        <w:rPr>
          <w:rFonts w:ascii="Verdana" w:eastAsia="Times New Roman" w:hAnsi="Verdana" w:cs="Arial"/>
          <w:lang w:val="es-ES_tradnl" w:eastAsia="es-MX"/>
        </w:rPr>
        <w:t xml:space="preserve">En ese sentido, si bien </w:t>
      </w:r>
      <w:r w:rsidRPr="002F50D4">
        <w:rPr>
          <w:rFonts w:ascii="Verdana" w:eastAsia="Calibri" w:hAnsi="Verdana" w:cs="Arial"/>
          <w:lang w:val="es-ES_tradnl" w:eastAsia="es-MX"/>
        </w:rPr>
        <w:t xml:space="preserve">la Ley 1150 de 2007 estableció unos requisitos habilitantes para los proponentes –la capacidad jurídica, las condiciones de experiencia, la capacidad financiera y la capacidad de organización–, estos no son taxativos. </w:t>
      </w:r>
      <w:bookmarkStart w:id="6" w:name="_Hlk34917473"/>
      <w:r w:rsidRPr="002F50D4">
        <w:rPr>
          <w:rFonts w:ascii="Verdana" w:eastAsia="Times New Roman" w:hAnsi="Verdana" w:cs="Arial"/>
          <w:lang w:val="es-ES_tradnl" w:eastAsia="es-MX"/>
        </w:rPr>
        <w:t xml:space="preserve">En consecuencia, corresponde a las entidades estatales, durante la etapa de planeación del contrato estatal, estudiar y </w:t>
      </w:r>
      <w:r w:rsidRPr="002F50D4">
        <w:rPr>
          <w:rFonts w:ascii="Verdana" w:eastAsia="Times New Roman" w:hAnsi="Verdana" w:cs="Arial"/>
          <w:bCs/>
          <w:iCs/>
          <w:lang w:val="es-ES_tradnl" w:eastAsia="es-MX"/>
        </w:rPr>
        <w:t>determinar</w:t>
      </w:r>
      <w:r w:rsidRPr="002F50D4">
        <w:rPr>
          <w:rFonts w:ascii="Verdana" w:eastAsia="Times New Roman" w:hAnsi="Verdana" w:cs="Arial"/>
          <w:lang w:val="es-ES_tradnl" w:eastAsia="es-MX"/>
        </w:rPr>
        <w:t xml:space="preserve"> los requisitos </w:t>
      </w:r>
      <w:r w:rsidRPr="002F50D4">
        <w:rPr>
          <w:rFonts w:ascii="Verdana" w:eastAsia="Times New Roman" w:hAnsi="Verdana" w:cs="Arial"/>
          <w:lang w:val="es-ES_tradnl" w:eastAsia="es-MX"/>
        </w:rPr>
        <w:lastRenderedPageBreak/>
        <w:t xml:space="preserve">habilitantes que establecerán en los pliegos de condiciones, los cuales deben fijarse de forma adecuada y proporcional. </w:t>
      </w:r>
      <w:bookmarkEnd w:id="5"/>
    </w:p>
    <w:p w14:paraId="6EDD3BF1" w14:textId="77777777" w:rsidR="000A51DC" w:rsidRPr="002F50D4" w:rsidRDefault="000A51DC" w:rsidP="000A51DC">
      <w:pPr>
        <w:tabs>
          <w:tab w:val="left" w:pos="426"/>
        </w:tabs>
        <w:spacing w:before="120" w:after="120" w:line="276" w:lineRule="auto"/>
        <w:jc w:val="both"/>
        <w:rPr>
          <w:rFonts w:ascii="Verdana" w:eastAsia="Times New Roman" w:hAnsi="Verdana" w:cs="Arial"/>
          <w:lang w:val="es-ES_tradnl" w:eastAsia="es-MX"/>
        </w:rPr>
      </w:pPr>
      <w:r>
        <w:rPr>
          <w:rFonts w:ascii="Verdana" w:eastAsia="Times New Roman" w:hAnsi="Verdana" w:cs="Arial"/>
          <w:lang w:val="es-ES_tradnl" w:eastAsia="es-MX"/>
        </w:rPr>
        <w:tab/>
        <w:t xml:space="preserve">  </w:t>
      </w:r>
      <w:r w:rsidRPr="002F50D4">
        <w:rPr>
          <w:rFonts w:ascii="Verdana" w:eastAsia="Times New Roman" w:hAnsi="Verdana" w:cs="Arial"/>
          <w:lang w:val="es-ES_tradnl" w:eastAsia="es-MX"/>
        </w:rPr>
        <w:t>El Decreto 1082 de 2015 en su artículo 2.2.1.1.1.6.2 reglamenta los requisitos habilitantes, estableciendo que estos deben ser señalados en los pliegos de condiciones o en la invitación</w:t>
      </w:r>
      <w:r w:rsidRPr="00C861EF">
        <w:rPr>
          <w:rStyle w:val="Refdenotaalpie"/>
          <w:rFonts w:ascii="Verdana" w:eastAsia="Times New Roman" w:hAnsi="Verdana" w:cs="Arial"/>
          <w:lang w:val="es-ES_tradnl" w:eastAsia="es-MX"/>
        </w:rPr>
        <w:footnoteReference w:id="3"/>
      </w:r>
      <w:r w:rsidRPr="002F50D4">
        <w:rPr>
          <w:rFonts w:ascii="Verdana" w:eastAsia="Times New Roman" w:hAnsi="Verdana" w:cs="Arial"/>
          <w:lang w:val="es-ES_tradnl" w:eastAsia="es-MX"/>
        </w:rPr>
        <w:t>, lo cual es concordante con el numeral 5 del artículo 2.2.1.1.2.1.3, en el que se establece como uno de los componentes mínimos de los pliegos de condiciones</w:t>
      </w:r>
      <w:r w:rsidRPr="002F50D4">
        <w:rPr>
          <w:rFonts w:ascii="Verdana" w:hAnsi="Verdana" w:cs="Arial"/>
          <w:color w:val="000000"/>
        </w:rPr>
        <w:t xml:space="preserve"> a las reglas aplicables a la presentación y evaluación de las ofertas, entre las que se inscriben las relativas a la acreditación de las condiciones habilitantes. </w:t>
      </w:r>
      <w:r w:rsidRPr="002F50D4">
        <w:rPr>
          <w:rFonts w:ascii="Verdana" w:eastAsia="Times New Roman" w:hAnsi="Verdana" w:cs="Arial"/>
          <w:lang w:val="es-ES_tradnl" w:eastAsia="es-MX"/>
        </w:rPr>
        <w:t xml:space="preserve"> Establece además el artículo 2.2.1.1.1.6.2 que la determinación de los requisitos habilitantes debe ser realizada en función de criterios como el riesgo del proceso de contratación, el valor del contrato, el análisis del sector económico respectivo y el conocimiento de fondo de los posibles oferentes desde la perspectiva comercial. </w:t>
      </w:r>
    </w:p>
    <w:p w14:paraId="38516F75" w14:textId="77777777" w:rsidR="000A51DC" w:rsidRPr="002F50D4" w:rsidRDefault="000A51DC" w:rsidP="000A51DC">
      <w:pPr>
        <w:tabs>
          <w:tab w:val="left" w:pos="426"/>
        </w:tabs>
        <w:spacing w:before="120" w:after="0" w:line="276" w:lineRule="auto"/>
        <w:jc w:val="both"/>
        <w:rPr>
          <w:rFonts w:ascii="Verdana" w:eastAsia="Times New Roman" w:hAnsi="Verdana" w:cs="Arial"/>
          <w:lang w:eastAsia="es-MX"/>
        </w:rPr>
      </w:pPr>
      <w:r>
        <w:rPr>
          <w:rFonts w:ascii="Verdana" w:eastAsia="Times New Roman" w:hAnsi="Verdana" w:cs="Arial"/>
          <w:lang w:eastAsia="es-MX"/>
        </w:rPr>
        <w:tab/>
        <w:t xml:space="preserve"> </w:t>
      </w:r>
      <w:r w:rsidRPr="002F50D4">
        <w:rPr>
          <w:rFonts w:ascii="Verdana" w:eastAsia="Times New Roman" w:hAnsi="Verdana" w:cs="Arial"/>
          <w:lang w:eastAsia="es-MX"/>
        </w:rPr>
        <w:t xml:space="preserve">Los mencionados criterios deben ser aplicados de manera tal que de la ponderación de los mismos resulten requisitos que permitan medir la aptitud de los oferentes para cumplir con el contrato, y que, además de ser proporcionales y adecuados al objeto del contrato, no limiten la participación en el proceso de selección. </w:t>
      </w:r>
    </w:p>
    <w:p w14:paraId="272DAC5A" w14:textId="77777777" w:rsidR="000A51DC" w:rsidRPr="002F50D4" w:rsidRDefault="000A51DC" w:rsidP="000A51DC">
      <w:pPr>
        <w:tabs>
          <w:tab w:val="left" w:pos="426"/>
        </w:tabs>
        <w:spacing w:before="120" w:after="0" w:line="276" w:lineRule="auto"/>
        <w:jc w:val="both"/>
        <w:rPr>
          <w:rFonts w:ascii="Verdana" w:eastAsia="Times New Roman" w:hAnsi="Verdana" w:cs="Arial"/>
          <w:lang w:eastAsia="es-MX"/>
        </w:rPr>
      </w:pPr>
      <w:r>
        <w:rPr>
          <w:rFonts w:ascii="Verdana" w:eastAsia="Times New Roman" w:hAnsi="Verdana" w:cs="Arial"/>
          <w:lang w:eastAsia="es-MX"/>
        </w:rPr>
        <w:tab/>
        <w:t xml:space="preserve">  </w:t>
      </w:r>
      <w:r w:rsidRPr="002F50D4">
        <w:rPr>
          <w:rFonts w:ascii="Verdana" w:eastAsia="Times New Roman" w:hAnsi="Verdana" w:cs="Arial"/>
          <w:lang w:eastAsia="es-MX"/>
        </w:rPr>
        <w:t xml:space="preserve">En ese sentido, las entidades tienen autonomía para estructurar los requisitos habilitantes en los procesos que adelantan, pero tal facultad no puede ejercerse de forma arbitraria, caprichosa y, mucho menos, con el ánimo de direccionar el proceso de contratación o favorecer a alguno de los proponentes. Tampoco puede suceder que el ejercicio de dicha atribución se haga con </w:t>
      </w:r>
      <w:r w:rsidRPr="002F50D4">
        <w:rPr>
          <w:rFonts w:ascii="Verdana" w:eastAsia="Times New Roman" w:hAnsi="Verdana" w:cs="Arial"/>
          <w:lang w:eastAsia="es-MX"/>
        </w:rPr>
        <w:lastRenderedPageBreak/>
        <w:t xml:space="preserve">desconocimiento de los límites impuestos por la normativa vigente, como, por ejemplo, el parágrafo 2 del artículo 5 de la Ley 1150 de 2007, que prohíbe exigir certificaciones de sistemas de gestión de calidad como requisito habilitante. </w:t>
      </w:r>
    </w:p>
    <w:p w14:paraId="1E39D229" w14:textId="77777777" w:rsidR="000A51DC" w:rsidRDefault="000A51DC" w:rsidP="000A51DC">
      <w:pPr>
        <w:tabs>
          <w:tab w:val="left" w:pos="426"/>
        </w:tabs>
        <w:spacing w:before="120" w:after="0" w:line="276" w:lineRule="auto"/>
        <w:jc w:val="both"/>
        <w:rPr>
          <w:rFonts w:ascii="Verdana" w:eastAsia="Times New Roman" w:hAnsi="Verdana" w:cs="Arial"/>
          <w:lang w:eastAsia="es-MX"/>
        </w:rPr>
      </w:pPr>
      <w:bookmarkStart w:id="7" w:name="_Hlk99547936"/>
      <w:r>
        <w:rPr>
          <w:rFonts w:ascii="Verdana" w:eastAsia="Times New Roman" w:hAnsi="Verdana" w:cs="Arial"/>
          <w:lang w:eastAsia="es-MX"/>
        </w:rPr>
        <w:tab/>
        <w:t xml:space="preserve">   </w:t>
      </w:r>
      <w:r w:rsidRPr="002F50D4">
        <w:rPr>
          <w:rFonts w:ascii="Verdana" w:eastAsia="Times New Roman" w:hAnsi="Verdana" w:cs="Arial"/>
          <w:lang w:eastAsia="es-MX"/>
        </w:rPr>
        <w:t xml:space="preserve">De tal manera que, las entidades estatales son autónomas para definir los requisitos habilitantes, pero tal facultad debe ser ejercida procurando diseñar condiciones habilitantes de manera objetiva, de suerte que estas sirvan para determinar si los participantes del proceso de contratación cuentan con las capacidades que los hacen aptos para ejecutar el objeto contractual. Para esto resulta indispensable que los requisitos establecidos por la entidad, además se fijen de manera adecuada y proporcional a las características del objeto ofertado, procurando además ceñirse a la normativa que resulte aplicable. </w:t>
      </w:r>
      <w:bookmarkEnd w:id="6"/>
      <w:bookmarkEnd w:id="7"/>
    </w:p>
    <w:p w14:paraId="2B404417" w14:textId="77777777" w:rsidR="000A51DC" w:rsidRDefault="000A51DC" w:rsidP="000A51DC">
      <w:pPr>
        <w:tabs>
          <w:tab w:val="left" w:pos="426"/>
        </w:tabs>
        <w:spacing w:before="120" w:after="0" w:line="276" w:lineRule="auto"/>
        <w:jc w:val="both"/>
        <w:rPr>
          <w:rFonts w:ascii="Verdana" w:hAnsi="Verdana"/>
        </w:rPr>
      </w:pPr>
      <w:r>
        <w:rPr>
          <w:rFonts w:ascii="Verdana" w:eastAsia="Times New Roman" w:hAnsi="Verdana" w:cs="Arial"/>
          <w:lang w:eastAsia="es-MX"/>
        </w:rPr>
        <w:tab/>
      </w:r>
      <w:r w:rsidRPr="002F50D4">
        <w:rPr>
          <w:rFonts w:ascii="Verdana" w:hAnsi="Verdana"/>
        </w:rPr>
        <w:t>La regla de subsanabilidad es un mecanismo previsto en los procesos de contratación estatal que se regulan por el Estatuto General de Contratación de la Administración Pública – en adelante EGCAP. Esta regla, prevista en el artículo 5 de la Ley 1150 de 2007, consiste en permitir que los proponentes puedan enmendar, corregir o modificar los errores en los que se incurre en los documentos contentivos de la oferta. Así lo ha establecido el Consejo de Estado, en los siguientes términos:</w:t>
      </w:r>
    </w:p>
    <w:p w14:paraId="5B80EDFC" w14:textId="77777777" w:rsidR="000A51DC" w:rsidRPr="005A3A3B" w:rsidRDefault="000A51DC" w:rsidP="000A51DC">
      <w:pPr>
        <w:tabs>
          <w:tab w:val="left" w:pos="426"/>
        </w:tabs>
        <w:spacing w:before="120" w:after="0" w:line="276" w:lineRule="auto"/>
        <w:jc w:val="both"/>
        <w:rPr>
          <w:rFonts w:ascii="Verdana" w:eastAsia="Times New Roman" w:hAnsi="Verdana" w:cs="Arial"/>
          <w:lang w:eastAsia="es-MX"/>
        </w:rPr>
      </w:pPr>
    </w:p>
    <w:p w14:paraId="7C36CF42" w14:textId="77777777" w:rsidR="000A51DC" w:rsidRPr="002F50D4" w:rsidRDefault="000A51DC" w:rsidP="000A51DC">
      <w:pPr>
        <w:spacing w:line="240" w:lineRule="auto"/>
        <w:ind w:left="851" w:right="1041"/>
        <w:jc w:val="both"/>
        <w:rPr>
          <w:rFonts w:ascii="Verdana" w:hAnsi="Verdana"/>
          <w:sz w:val="20"/>
          <w:szCs w:val="20"/>
        </w:rPr>
      </w:pPr>
      <w:r w:rsidRPr="002F50D4">
        <w:rPr>
          <w:rFonts w:ascii="Verdana" w:hAnsi="Verdana"/>
          <w:sz w:val="20"/>
          <w:szCs w:val="20"/>
        </w:rPr>
        <w:t>“[…] materializar un principio general de primacía de lo sustancial sobre lo formal, adoptando medidas de saneamiento del proceso de selección tendientes a que los meros defectos formales, que no afecten sustancialmente la oferta, referidos a la documentación o instrumentalización de la misma, priven a la administración de considerar una oferta por causa de tales falencias”</w:t>
      </w:r>
      <w:r w:rsidRPr="00C861EF">
        <w:rPr>
          <w:rStyle w:val="Refdenotaalpie"/>
          <w:rFonts w:ascii="Verdana" w:hAnsi="Verdana"/>
          <w:sz w:val="20"/>
          <w:szCs w:val="20"/>
        </w:rPr>
        <w:footnoteReference w:id="4"/>
      </w:r>
      <w:r w:rsidRPr="002F50D4">
        <w:rPr>
          <w:rFonts w:ascii="Verdana" w:hAnsi="Verdana"/>
          <w:sz w:val="20"/>
          <w:szCs w:val="20"/>
        </w:rPr>
        <w:t>.</w:t>
      </w:r>
    </w:p>
    <w:p w14:paraId="5DBA1AB3" w14:textId="77777777" w:rsidR="000A51DC" w:rsidRPr="002F50D4" w:rsidRDefault="000A51DC" w:rsidP="000A51DC">
      <w:pPr>
        <w:widowControl w:val="0"/>
        <w:autoSpaceDE w:val="0"/>
        <w:autoSpaceDN w:val="0"/>
        <w:spacing w:line="276" w:lineRule="auto"/>
        <w:ind w:firstLine="708"/>
        <w:jc w:val="both"/>
        <w:rPr>
          <w:rFonts w:ascii="Verdana" w:eastAsia="Calibri" w:hAnsi="Verdana" w:cs="Arial"/>
          <w:lang w:eastAsia="es-ES_tradnl"/>
        </w:rPr>
      </w:pPr>
      <w:r w:rsidRPr="002F50D4">
        <w:rPr>
          <w:rFonts w:ascii="Verdana" w:eastAsia="Calibri" w:hAnsi="Verdana" w:cs="Arial"/>
          <w:lang w:eastAsia="es-ES_tradnl"/>
        </w:rPr>
        <w:t>Esta Subdirección se ha pronunciado en diversas oportunidades acerca del alcance de la regla de la subsanabilidad</w:t>
      </w:r>
      <w:r>
        <w:rPr>
          <w:rStyle w:val="Refdenotaalpie"/>
          <w:rFonts w:ascii="Verdana" w:eastAsia="Calibri" w:hAnsi="Verdana" w:cs="Arial"/>
          <w:lang w:eastAsia="es-ES_tradnl"/>
        </w:rPr>
        <w:footnoteReference w:id="5"/>
      </w:r>
      <w:r w:rsidRPr="002F50D4">
        <w:rPr>
          <w:rFonts w:ascii="Verdana" w:eastAsia="Calibri" w:hAnsi="Verdana" w:cs="Arial"/>
          <w:lang w:eastAsia="es-ES_tradnl"/>
        </w:rPr>
        <w:t>, contenida actualmente en el parágrafo 1 del artículo 5 de la Ley 1150 de 2007, modificado por el artículo 5 de la Ley 1882 de 2018</w:t>
      </w:r>
      <w:r w:rsidRPr="00C861EF">
        <w:rPr>
          <w:vertAlign w:val="superscript"/>
          <w:lang w:eastAsia="es-ES_tradnl"/>
        </w:rPr>
        <w:footnoteReference w:id="6"/>
      </w:r>
      <w:r w:rsidRPr="002F50D4">
        <w:rPr>
          <w:rFonts w:ascii="Verdana" w:eastAsia="Calibri" w:hAnsi="Verdana" w:cs="Arial"/>
          <w:lang w:eastAsia="es-ES_tradnl"/>
        </w:rPr>
        <w:t xml:space="preserve">. Al respecto, la postura que se reitera en el presente concepto es la siguiente: por regla general, la falta de entrega o los defectos frente a los </w:t>
      </w:r>
      <w:r w:rsidRPr="002F50D4">
        <w:rPr>
          <w:rFonts w:ascii="Verdana" w:eastAsia="Calibri" w:hAnsi="Verdana" w:cs="Arial"/>
          <w:lang w:eastAsia="es-ES_tradnl"/>
        </w:rPr>
        <w:lastRenderedPageBreak/>
        <w:t>requisitos que no asignan puntaje, son subsanables. La excepción se encuentra en los casos, previstos en la ley, que limitan la subsanabilidad, como, por ejemplo, la prohibición de permitir la entrega de la garantía de seriedad de la oferta que no fue aportada con la propuesta y de permitir la acreditación de circunstancias ocurridas con posterioridad al cierre del proceso.</w:t>
      </w:r>
    </w:p>
    <w:p w14:paraId="479F2B74" w14:textId="77777777" w:rsidR="000A51DC" w:rsidRPr="002F50D4" w:rsidRDefault="000A51DC" w:rsidP="000A51DC">
      <w:pPr>
        <w:widowControl w:val="0"/>
        <w:tabs>
          <w:tab w:val="left" w:pos="284"/>
        </w:tabs>
        <w:autoSpaceDE w:val="0"/>
        <w:autoSpaceDN w:val="0"/>
        <w:spacing w:before="120" w:line="276" w:lineRule="auto"/>
        <w:jc w:val="both"/>
        <w:rPr>
          <w:rFonts w:ascii="Verdana" w:eastAsia="Calibri" w:hAnsi="Verdana" w:cs="Arial"/>
          <w:color w:val="000000"/>
          <w:lang w:val="es-ES_tradnl" w:eastAsia="es-ES_tradnl"/>
        </w:rPr>
      </w:pPr>
      <w:r>
        <w:rPr>
          <w:rFonts w:ascii="Verdana" w:eastAsia="Calibri" w:hAnsi="Verdana" w:cs="Arial"/>
          <w:lang w:eastAsia="es-ES_tradnl"/>
        </w:rPr>
        <w:tab/>
      </w:r>
      <w:r w:rsidRPr="002F50D4">
        <w:rPr>
          <w:rFonts w:ascii="Verdana" w:eastAsia="Calibri" w:hAnsi="Verdana" w:cs="Arial"/>
          <w:lang w:eastAsia="es-ES_tradnl"/>
        </w:rPr>
        <w:t xml:space="preserve">En este sentido, bajo la normativa actual que regula la subsanabilidad de las ofertas debe tenerse en cuenta que </w:t>
      </w:r>
      <w:r w:rsidRPr="002F50D4">
        <w:rPr>
          <w:rFonts w:ascii="Verdana" w:eastAsia="Arial" w:hAnsi="Verdana" w:cs="Arial"/>
          <w:lang w:eastAsia="es-ES_tradnl"/>
        </w:rPr>
        <w:t>el</w:t>
      </w:r>
      <w:r w:rsidRPr="002F50D4">
        <w:rPr>
          <w:rFonts w:ascii="Verdana" w:eastAsia="Arial" w:hAnsi="Verdana" w:cs="Arial"/>
          <w:spacing w:val="-12"/>
          <w:lang w:eastAsia="es-ES_tradnl"/>
        </w:rPr>
        <w:t xml:space="preserve"> </w:t>
      </w:r>
      <w:r w:rsidRPr="002F50D4">
        <w:rPr>
          <w:rFonts w:ascii="Verdana" w:eastAsia="Arial" w:hAnsi="Verdana" w:cs="Arial"/>
          <w:lang w:eastAsia="es-ES_tradnl"/>
        </w:rPr>
        <w:t>legislador</w:t>
      </w:r>
      <w:r w:rsidRPr="002F50D4">
        <w:rPr>
          <w:rFonts w:ascii="Verdana" w:eastAsia="Arial" w:hAnsi="Verdana" w:cs="Arial"/>
          <w:spacing w:val="-12"/>
          <w:lang w:eastAsia="es-ES_tradnl"/>
        </w:rPr>
        <w:t xml:space="preserve"> </w:t>
      </w:r>
      <w:r w:rsidRPr="002F50D4">
        <w:rPr>
          <w:rFonts w:ascii="Verdana" w:eastAsia="Arial" w:hAnsi="Verdana" w:cs="Arial"/>
          <w:lang w:eastAsia="es-ES_tradnl"/>
        </w:rPr>
        <w:t>expidió</w:t>
      </w:r>
      <w:r w:rsidRPr="002F50D4">
        <w:rPr>
          <w:rFonts w:ascii="Verdana" w:eastAsia="Arial" w:hAnsi="Verdana" w:cs="Arial"/>
          <w:spacing w:val="-13"/>
          <w:lang w:eastAsia="es-ES_tradnl"/>
        </w:rPr>
        <w:t xml:space="preserve"> </w:t>
      </w:r>
      <w:r w:rsidRPr="002F50D4">
        <w:rPr>
          <w:rFonts w:ascii="Verdana" w:eastAsia="Arial" w:hAnsi="Verdana" w:cs="Arial"/>
          <w:lang w:eastAsia="es-ES_tradnl"/>
        </w:rPr>
        <w:t>la</w:t>
      </w:r>
      <w:r w:rsidRPr="002F50D4">
        <w:rPr>
          <w:rFonts w:ascii="Verdana" w:eastAsia="Arial" w:hAnsi="Verdana" w:cs="Arial"/>
          <w:spacing w:val="-12"/>
          <w:lang w:eastAsia="es-ES_tradnl"/>
        </w:rPr>
        <w:t xml:space="preserve"> </w:t>
      </w:r>
      <w:r w:rsidRPr="002F50D4">
        <w:rPr>
          <w:rFonts w:ascii="Verdana" w:eastAsia="Arial" w:hAnsi="Verdana" w:cs="Arial"/>
          <w:lang w:eastAsia="es-ES_tradnl"/>
        </w:rPr>
        <w:t>Ley</w:t>
      </w:r>
      <w:r w:rsidRPr="002F50D4">
        <w:rPr>
          <w:rFonts w:ascii="Verdana" w:eastAsia="Arial" w:hAnsi="Verdana" w:cs="Arial"/>
          <w:spacing w:val="-13"/>
          <w:lang w:eastAsia="es-ES_tradnl"/>
        </w:rPr>
        <w:t xml:space="preserve"> </w:t>
      </w:r>
      <w:r w:rsidRPr="002F50D4">
        <w:rPr>
          <w:rFonts w:ascii="Verdana" w:eastAsia="Arial" w:hAnsi="Verdana" w:cs="Arial"/>
          <w:lang w:eastAsia="es-ES_tradnl"/>
        </w:rPr>
        <w:t>1882</w:t>
      </w:r>
      <w:r w:rsidRPr="002F50D4">
        <w:rPr>
          <w:rFonts w:ascii="Verdana" w:eastAsia="Arial" w:hAnsi="Verdana" w:cs="Arial"/>
          <w:spacing w:val="-13"/>
          <w:lang w:eastAsia="es-ES_tradnl"/>
        </w:rPr>
        <w:t xml:space="preserve"> </w:t>
      </w:r>
      <w:r w:rsidRPr="002F50D4">
        <w:rPr>
          <w:rFonts w:ascii="Verdana" w:eastAsia="Arial" w:hAnsi="Verdana" w:cs="Arial"/>
          <w:lang w:eastAsia="es-ES_tradnl"/>
        </w:rPr>
        <w:t>de</w:t>
      </w:r>
      <w:r w:rsidRPr="002F50D4">
        <w:rPr>
          <w:rFonts w:ascii="Verdana" w:eastAsia="Arial" w:hAnsi="Verdana" w:cs="Arial"/>
          <w:spacing w:val="-12"/>
          <w:lang w:eastAsia="es-ES_tradnl"/>
        </w:rPr>
        <w:t xml:space="preserve"> </w:t>
      </w:r>
      <w:r w:rsidRPr="002F50D4">
        <w:rPr>
          <w:rFonts w:ascii="Verdana" w:eastAsia="Arial" w:hAnsi="Verdana" w:cs="Arial"/>
          <w:lang w:eastAsia="es-ES_tradnl"/>
        </w:rPr>
        <w:t>2018,</w:t>
      </w:r>
      <w:r w:rsidRPr="002F50D4">
        <w:rPr>
          <w:rFonts w:ascii="Verdana" w:eastAsia="Arial" w:hAnsi="Verdana" w:cs="Arial"/>
          <w:spacing w:val="-13"/>
          <w:lang w:eastAsia="es-ES_tradnl"/>
        </w:rPr>
        <w:t xml:space="preserve"> </w:t>
      </w:r>
      <w:r w:rsidRPr="002F50D4">
        <w:rPr>
          <w:rFonts w:ascii="Verdana" w:eastAsia="Arial" w:hAnsi="Verdana" w:cs="Arial"/>
          <w:lang w:eastAsia="es-ES_tradnl"/>
        </w:rPr>
        <w:t>con</w:t>
      </w:r>
      <w:r w:rsidRPr="002F50D4">
        <w:rPr>
          <w:rFonts w:ascii="Verdana" w:eastAsia="Arial" w:hAnsi="Verdana" w:cs="Arial"/>
          <w:spacing w:val="-12"/>
          <w:lang w:eastAsia="es-ES_tradnl"/>
        </w:rPr>
        <w:t xml:space="preserve"> </w:t>
      </w:r>
      <w:r w:rsidRPr="002F50D4">
        <w:rPr>
          <w:rFonts w:ascii="Verdana" w:eastAsia="Arial" w:hAnsi="Verdana" w:cs="Arial"/>
          <w:lang w:eastAsia="es-ES_tradnl"/>
        </w:rPr>
        <w:t>la</w:t>
      </w:r>
      <w:r w:rsidRPr="002F50D4">
        <w:rPr>
          <w:rFonts w:ascii="Verdana" w:eastAsia="Arial" w:hAnsi="Verdana" w:cs="Arial"/>
          <w:spacing w:val="-13"/>
          <w:lang w:eastAsia="es-ES_tradnl"/>
        </w:rPr>
        <w:t xml:space="preserve"> </w:t>
      </w:r>
      <w:r w:rsidRPr="002F50D4">
        <w:rPr>
          <w:rFonts w:ascii="Verdana" w:eastAsia="Arial" w:hAnsi="Verdana" w:cs="Arial"/>
          <w:lang w:eastAsia="es-ES_tradnl"/>
        </w:rPr>
        <w:t xml:space="preserve">finalidad de introducir cambios y ajustes para fortalecer la contratación pública. </w:t>
      </w:r>
      <w:r w:rsidRPr="002F50D4">
        <w:rPr>
          <w:rFonts w:ascii="Verdana" w:eastAsia="Calibri" w:hAnsi="Verdana" w:cs="Arial"/>
          <w:lang w:eastAsia="es-ES_tradnl"/>
        </w:rPr>
        <w:t>Particularmente, el</w:t>
      </w:r>
      <w:r>
        <w:rPr>
          <w:rFonts w:ascii="Verdana" w:eastAsia="Calibri" w:hAnsi="Verdana" w:cs="Arial"/>
          <w:lang w:eastAsia="es-ES_tradnl"/>
        </w:rPr>
        <w:t xml:space="preserve"> mencionado</w:t>
      </w:r>
      <w:r w:rsidRPr="002F50D4">
        <w:rPr>
          <w:rFonts w:ascii="Verdana" w:eastAsia="Calibri" w:hAnsi="Verdana" w:cs="Arial"/>
          <w:lang w:eastAsia="es-ES_tradnl"/>
        </w:rPr>
        <w:t xml:space="preserve"> artículo 5 modificó el parágrafo 1º del artículo 5 de la Ley 1150 de 2007</w:t>
      </w:r>
      <w:r w:rsidRPr="002F50D4">
        <w:rPr>
          <w:rFonts w:ascii="Verdana" w:eastAsia="Arial" w:hAnsi="Verdana" w:cs="Arial"/>
          <w:color w:val="000000"/>
          <w:lang w:val="es-ES_tradnl" w:eastAsia="es-ES_tradnl"/>
        </w:rPr>
        <w:t xml:space="preserve">: </w:t>
      </w:r>
    </w:p>
    <w:p w14:paraId="4052E698" w14:textId="77777777" w:rsidR="000A51DC" w:rsidRPr="00C861EF" w:rsidRDefault="000A51DC" w:rsidP="000A51DC">
      <w:pPr>
        <w:pStyle w:val="Prrafodelista"/>
        <w:widowControl w:val="0"/>
        <w:tabs>
          <w:tab w:val="left" w:pos="284"/>
        </w:tabs>
        <w:autoSpaceDE w:val="0"/>
        <w:autoSpaceDN w:val="0"/>
        <w:spacing w:before="120" w:line="276" w:lineRule="auto"/>
        <w:jc w:val="both"/>
        <w:rPr>
          <w:rFonts w:ascii="Verdana" w:eastAsia="Calibri" w:hAnsi="Verdana" w:cs="Arial"/>
          <w:color w:val="000000"/>
          <w:lang w:val="es-ES_tradnl" w:eastAsia="es-ES_tradnl"/>
        </w:rPr>
      </w:pPr>
    </w:p>
    <w:p w14:paraId="47652CCF" w14:textId="77777777" w:rsidR="000A51DC" w:rsidRPr="00C861EF" w:rsidRDefault="000A51DC" w:rsidP="000A51DC">
      <w:pPr>
        <w:pStyle w:val="Prrafodelista"/>
        <w:spacing w:line="240" w:lineRule="auto"/>
        <w:ind w:left="426" w:right="900"/>
        <w:jc w:val="both"/>
        <w:rPr>
          <w:rFonts w:ascii="Verdana" w:eastAsia="Calibri" w:hAnsi="Verdana" w:cs="Arial"/>
          <w:color w:val="000000"/>
          <w:sz w:val="20"/>
          <w:szCs w:val="20"/>
          <w:lang w:val="es-ES_tradnl" w:eastAsia="es-ES_tradnl"/>
        </w:rPr>
      </w:pPr>
      <w:r w:rsidRPr="00C861EF">
        <w:rPr>
          <w:rFonts w:ascii="Verdana" w:eastAsia="Calibri" w:hAnsi="Verdana" w:cs="Arial"/>
          <w:color w:val="000000"/>
          <w:sz w:val="20"/>
          <w:szCs w:val="20"/>
          <w:lang w:val="es-ES_tradnl" w:eastAsia="es-ES_tradnl"/>
        </w:rPr>
        <w:t xml:space="preserve">“Artículo 5°. De la selección objetiva. </w:t>
      </w:r>
    </w:p>
    <w:p w14:paraId="0F74E801" w14:textId="77777777" w:rsidR="000A51DC" w:rsidRPr="00C861EF" w:rsidRDefault="000A51DC" w:rsidP="000A51DC">
      <w:pPr>
        <w:pStyle w:val="Prrafodelista"/>
        <w:spacing w:line="240" w:lineRule="auto"/>
        <w:ind w:left="426" w:right="900"/>
        <w:jc w:val="both"/>
        <w:rPr>
          <w:rFonts w:ascii="Verdana" w:eastAsia="Calibri" w:hAnsi="Verdana" w:cs="Arial"/>
          <w:color w:val="000000"/>
          <w:sz w:val="20"/>
          <w:szCs w:val="20"/>
          <w:lang w:val="es-ES_tradnl" w:eastAsia="es-ES_tradnl"/>
        </w:rPr>
      </w:pPr>
      <w:r w:rsidRPr="00C861EF">
        <w:rPr>
          <w:rFonts w:ascii="Verdana" w:eastAsia="Calibri" w:hAnsi="Verdana" w:cs="Arial"/>
          <w:color w:val="000000"/>
          <w:sz w:val="20"/>
          <w:szCs w:val="20"/>
          <w:lang w:val="es-ES_tradnl" w:eastAsia="es-ES_tradnl"/>
        </w:rPr>
        <w:t xml:space="preserve">[...] </w:t>
      </w:r>
    </w:p>
    <w:p w14:paraId="12F529EF" w14:textId="77777777" w:rsidR="000A51DC" w:rsidRPr="00C861EF" w:rsidRDefault="000A51DC" w:rsidP="000A51DC">
      <w:pPr>
        <w:pStyle w:val="Prrafodelista"/>
        <w:spacing w:line="240" w:lineRule="auto"/>
        <w:ind w:left="426" w:right="900"/>
        <w:jc w:val="both"/>
        <w:rPr>
          <w:rFonts w:ascii="Verdana" w:eastAsia="Calibri" w:hAnsi="Verdana" w:cs="Arial"/>
          <w:color w:val="000000"/>
          <w:sz w:val="20"/>
          <w:szCs w:val="20"/>
          <w:lang w:eastAsia="es-ES"/>
        </w:rPr>
      </w:pPr>
      <w:r w:rsidRPr="7464E62E">
        <w:rPr>
          <w:rFonts w:ascii="Verdana" w:eastAsia="Calibri" w:hAnsi="Verdana" w:cs="Arial"/>
          <w:color w:val="000000" w:themeColor="text1"/>
          <w:sz w:val="20"/>
          <w:szCs w:val="20"/>
          <w:lang w:eastAsia="es-ES"/>
        </w:rPr>
        <w:t>Parágrafo 1º. La ausencia de requisitos o la falta de documentos referentes a la futura contratación o al proponente, no necesarios para la comparación de las propuestas no servirán de título suficiente para el rechazo de los ofrecimientos hechos. En consecuencia, todos aquellos requisitos de la propuesta que no afecten la asignación de puntaje, deberán ser solicitados por las entidades estatales y deberán ser entregados por los proponentes hasta el término de traslado del informe de evaluación que corresponda a cada modalidad de selección, salvo lo dispuesto para el proceso de Mínima cuantía y para el proceso de selección a través del sistema de subasta. Serán rechazadas las ofertas de aquellos proponentes que no suministren la información y la documentación solicitada por la entidad estatal hasta el plazo anteriormente señalado. Durante el término otorgado para subsanar las ofertas, los proponentes no podrán acreditar circunstancias ocurridas con posterioridad al cierre del proceso”.</w:t>
      </w:r>
    </w:p>
    <w:p w14:paraId="625678CF" w14:textId="77777777" w:rsidR="000A51DC" w:rsidRPr="002F50D4" w:rsidRDefault="000A51DC" w:rsidP="000A51DC">
      <w:pPr>
        <w:spacing w:line="276" w:lineRule="auto"/>
        <w:ind w:firstLine="360"/>
        <w:jc w:val="both"/>
        <w:rPr>
          <w:rFonts w:ascii="Verdana" w:eastAsia="Arial" w:hAnsi="Verdana" w:cs="Arial"/>
          <w:color w:val="000000"/>
          <w:lang w:eastAsia="es-MX"/>
        </w:rPr>
      </w:pPr>
      <w:r w:rsidRPr="002F50D4">
        <w:rPr>
          <w:rFonts w:ascii="Verdana" w:eastAsia="Calibri" w:hAnsi="Verdana" w:cs="Arial"/>
          <w:color w:val="000000"/>
          <w:lang w:val="es-ES_tradnl" w:eastAsia="es-ES_tradnl"/>
        </w:rPr>
        <w:t>Esta norma: i) mantiene el criterio de la Ley 80 de 1993, relativo a que todo lo que no sea necesario para la comparación de propuestas no es título suficiente para su rechazo; ii) mantiene el criterio aclaratorio de la Ley 1150 de 2007, según el cual todo lo que no afecte la asignación de puntaje puede subsanarse y; iii) introduce modificaciones en relación con tres aspectos que se analizarán a continuación</w:t>
      </w:r>
      <w:r w:rsidRPr="00C861EF">
        <w:rPr>
          <w:rFonts w:eastAsia="Arial"/>
          <w:vertAlign w:val="superscript"/>
          <w:lang w:eastAsia="es-MX"/>
        </w:rPr>
        <w:footnoteReference w:id="7"/>
      </w:r>
      <w:r w:rsidRPr="002F50D4">
        <w:rPr>
          <w:rFonts w:ascii="Verdana" w:eastAsia="Arial" w:hAnsi="Verdana" w:cs="Arial"/>
          <w:color w:val="000000"/>
          <w:lang w:eastAsia="es-MX"/>
        </w:rPr>
        <w:t xml:space="preserve">. </w:t>
      </w:r>
    </w:p>
    <w:p w14:paraId="2A6585E0" w14:textId="77777777" w:rsidR="000A51DC" w:rsidRPr="002F50D4" w:rsidRDefault="000A51DC" w:rsidP="000A51DC">
      <w:pPr>
        <w:spacing w:line="276" w:lineRule="auto"/>
        <w:ind w:firstLine="360"/>
        <w:jc w:val="both"/>
        <w:rPr>
          <w:rFonts w:ascii="Verdana" w:eastAsia="Arial" w:hAnsi="Verdana" w:cs="Arial"/>
          <w:color w:val="000000"/>
          <w:lang w:eastAsia="es-MX"/>
        </w:rPr>
      </w:pPr>
      <w:r w:rsidRPr="002F50D4">
        <w:rPr>
          <w:rFonts w:ascii="Verdana" w:eastAsia="Arial" w:hAnsi="Verdana" w:cs="Arial"/>
          <w:color w:val="000000"/>
          <w:lang w:eastAsia="es-MX"/>
        </w:rPr>
        <w:lastRenderedPageBreak/>
        <w:t xml:space="preserve">Por un lado, el </w:t>
      </w:r>
      <w:r w:rsidRPr="002F50D4">
        <w:rPr>
          <w:rFonts w:ascii="Verdana" w:eastAsia="Arial" w:hAnsi="Verdana" w:cs="Arial"/>
          <w:i/>
          <w:iCs/>
          <w:color w:val="000000"/>
          <w:lang w:eastAsia="es-MX"/>
        </w:rPr>
        <w:t>primero</w:t>
      </w:r>
      <w:r w:rsidRPr="002F50D4">
        <w:rPr>
          <w:rFonts w:ascii="Verdana" w:eastAsia="Arial" w:hAnsi="Verdana" w:cs="Arial"/>
          <w:color w:val="000000"/>
          <w:lang w:eastAsia="es-MX"/>
        </w:rPr>
        <w:t xml:space="preserve"> es el ámbito temporal para ejercer la facultad de subsanar la oferta, pues la Ley 1882 de 2018 fijó una regla general y una excepción. La regla general es que el límite para que la entidad solicite y para que el proponente corrija lo que haga falta es hasta el término de traslado del informe de evaluación que corresponda a cada modalidad de selección. La excepción es que el anterior límite no aplica para los procesos de mínima cuantía y para el proceso de selección a través del sistema de subasta, en este último los documentos o requisitos subsanables deben solicitarse, como límite final, hasta el momento previo a su realización</w:t>
      </w:r>
      <w:r w:rsidRPr="00C861EF">
        <w:rPr>
          <w:vertAlign w:val="superscript"/>
          <w:lang w:eastAsia="es-MX"/>
        </w:rPr>
        <w:footnoteReference w:id="8"/>
      </w:r>
      <w:r w:rsidRPr="002F50D4">
        <w:rPr>
          <w:rFonts w:ascii="Verdana" w:eastAsia="Arial" w:hAnsi="Verdana" w:cs="Arial"/>
          <w:color w:val="000000"/>
          <w:lang w:eastAsia="es-MX"/>
        </w:rPr>
        <w:t>.</w:t>
      </w:r>
    </w:p>
    <w:p w14:paraId="13CDB2B3" w14:textId="77777777" w:rsidR="000A51DC" w:rsidRPr="002F50D4" w:rsidRDefault="000A51DC" w:rsidP="000A51DC">
      <w:pPr>
        <w:spacing w:line="276" w:lineRule="auto"/>
        <w:ind w:firstLine="360"/>
        <w:jc w:val="both"/>
        <w:rPr>
          <w:rFonts w:ascii="Verdana" w:eastAsia="Calibri" w:hAnsi="Verdana" w:cs="Arial"/>
          <w:bCs/>
          <w:lang w:val="es-MX" w:eastAsia="es-ES_tradnl"/>
        </w:rPr>
      </w:pPr>
      <w:r w:rsidRPr="002F50D4">
        <w:rPr>
          <w:rFonts w:ascii="Verdana" w:eastAsia="Times New Roman" w:hAnsi="Verdana" w:cs="Arial"/>
          <w:color w:val="000000"/>
          <w:shd w:val="clear" w:color="auto" w:fill="FFFFFF"/>
          <w:lang w:eastAsia="es-MX"/>
        </w:rPr>
        <w:t>Frente a la regla general, la norma fijó un límite final para que la Administración y los oferentes subsanen los requisitos o documentos que puedan y deban ser subsanados, pero nada impide, y la norma no lo hace, que la Administración requiera al proponente antes de publicar el informe de evaluación. </w:t>
      </w:r>
      <w:r w:rsidRPr="002F50D4">
        <w:rPr>
          <w:rFonts w:ascii="Verdana" w:eastAsia="Calibri" w:hAnsi="Verdana" w:cs="Arial"/>
          <w:bCs/>
          <w:lang w:val="es-MX" w:eastAsia="es-ES_tradnl"/>
        </w:rPr>
        <w:t>En efecto, la redacción de la norma permite que la Administración solicite a los oferentes subsanar y que estos lo hagan hasta antes del término del traslado del informe de evaluación: “deberán ser solicitados por las entidades estatales y deberán ser entregados por los proponentes hasta el término de traslado del informe de evaluación que corresponda a cada modalidad de selección”.</w:t>
      </w:r>
    </w:p>
    <w:p w14:paraId="554D4C13" w14:textId="77777777" w:rsidR="000A51DC" w:rsidRPr="002F50D4" w:rsidRDefault="000A51DC" w:rsidP="000A51DC">
      <w:pPr>
        <w:spacing w:line="276" w:lineRule="auto"/>
        <w:ind w:firstLine="360"/>
        <w:jc w:val="both"/>
        <w:rPr>
          <w:rFonts w:ascii="Verdana" w:eastAsia="Times New Roman" w:hAnsi="Verdana" w:cs="Arial"/>
          <w:lang w:val="es-ES" w:eastAsia="es-ES"/>
        </w:rPr>
      </w:pPr>
      <w:r w:rsidRPr="5EE26E4C">
        <w:rPr>
          <w:rFonts w:ascii="Verdana" w:eastAsia="Times New Roman" w:hAnsi="Verdana" w:cs="Arial"/>
          <w:lang w:val="es-ES" w:eastAsia="es-ES"/>
        </w:rPr>
        <w:t xml:space="preserve">No obstante, de la lectura de este aparte podrían, en la práctica, darse dos interpretaciones que dan lugar a dos formas de proceder en los procesos de selección, en lo que a la </w:t>
      </w:r>
      <w:proofErr w:type="spellStart"/>
      <w:r w:rsidRPr="5EE26E4C">
        <w:rPr>
          <w:rFonts w:ascii="Verdana" w:eastAsia="Times New Roman" w:hAnsi="Verdana" w:cs="Arial"/>
          <w:lang w:val="es-ES" w:eastAsia="es-ES"/>
        </w:rPr>
        <w:t>subsanabilidad</w:t>
      </w:r>
      <w:proofErr w:type="spellEnd"/>
      <w:r w:rsidRPr="5EE26E4C">
        <w:rPr>
          <w:rFonts w:ascii="Verdana" w:eastAsia="Times New Roman" w:hAnsi="Verdana" w:cs="Arial"/>
          <w:lang w:val="es-ES" w:eastAsia="es-ES"/>
        </w:rPr>
        <w:t xml:space="preserve"> de las ofertas se refiere. Primera, que la posibilidad para subsanar de los oferentes es el término del traslado del informe de evaluación, ya que es en este documento donde la Administración consigna los requisitos o documentos omitidos que los oferentes deben subsanar, so pena de rechazo; segunda, que el término del traslado del informe de evaluación es el </w:t>
      </w:r>
      <w:r w:rsidRPr="5EE26E4C">
        <w:rPr>
          <w:rFonts w:ascii="Verdana" w:eastAsia="Times New Roman" w:hAnsi="Verdana" w:cs="Arial"/>
          <w:i/>
          <w:lang w:val="es-ES" w:eastAsia="es-ES"/>
        </w:rPr>
        <w:t>límite</w:t>
      </w:r>
      <w:r w:rsidRPr="5EE26E4C">
        <w:rPr>
          <w:rFonts w:ascii="Verdana" w:eastAsia="Times New Roman" w:hAnsi="Verdana" w:cs="Arial"/>
          <w:lang w:val="es-ES" w:eastAsia="es-ES"/>
        </w:rPr>
        <w:t xml:space="preserve"> para la subsanación de ofertas, pero no el único momento para hacerlo. </w:t>
      </w:r>
    </w:p>
    <w:p w14:paraId="116C66F2" w14:textId="77777777" w:rsidR="000A51DC" w:rsidRPr="002F50D4" w:rsidRDefault="000A51DC" w:rsidP="000A51DC">
      <w:pPr>
        <w:spacing w:line="276" w:lineRule="auto"/>
        <w:ind w:firstLine="360"/>
        <w:jc w:val="both"/>
        <w:rPr>
          <w:rFonts w:ascii="Verdana" w:eastAsia="Times New Roman" w:hAnsi="Verdana" w:cs="Arial"/>
          <w:lang w:val="es-ES_tradnl" w:eastAsia="es-ES_tradnl"/>
        </w:rPr>
      </w:pPr>
      <w:r w:rsidRPr="002F50D4">
        <w:rPr>
          <w:rFonts w:ascii="Verdana" w:eastAsia="Times New Roman" w:hAnsi="Verdana" w:cs="Arial"/>
          <w:lang w:val="es-ES_tradnl" w:eastAsia="es-ES_tradnl"/>
        </w:rPr>
        <w:t xml:space="preserve">De acuerdo con la primera interpretación, el informe de evaluación se convierte en la oportunidad que adopta la Administración para decirles a los oferentes qué documentos o requisitos omitieron y deben subsanar y, </w:t>
      </w:r>
      <w:r w:rsidRPr="002F50D4">
        <w:rPr>
          <w:rFonts w:ascii="Verdana" w:eastAsia="Times New Roman" w:hAnsi="Verdana" w:cs="Arial"/>
          <w:lang w:val="es-ES_tradnl" w:eastAsia="es-ES_tradnl"/>
        </w:rPr>
        <w:lastRenderedPageBreak/>
        <w:t xml:space="preserve">consecuentemente, el término del traslado es la oportunidad del proponente para cumplir con lo solicitado.  </w:t>
      </w:r>
    </w:p>
    <w:p w14:paraId="06B616ED" w14:textId="77777777" w:rsidR="000A51DC" w:rsidRDefault="000A51DC" w:rsidP="000A51DC">
      <w:pPr>
        <w:spacing w:line="276" w:lineRule="auto"/>
        <w:ind w:firstLine="360"/>
        <w:jc w:val="both"/>
        <w:rPr>
          <w:rFonts w:ascii="Verdana" w:eastAsia="Times New Roman" w:hAnsi="Verdana" w:cs="Arial"/>
          <w:lang w:val="es-ES_tradnl" w:eastAsia="es-ES_tradnl"/>
        </w:rPr>
      </w:pPr>
      <w:r w:rsidRPr="002F50D4">
        <w:rPr>
          <w:rFonts w:ascii="Verdana" w:eastAsia="Times New Roman" w:hAnsi="Verdana" w:cs="Arial"/>
          <w:lang w:val="es-ES_tradnl" w:eastAsia="es-ES_tradnl"/>
        </w:rPr>
        <w:t>La segunda interpretación permitiría que la Administración requiera al oferente durante el proceso de evaluación de las propuestas, tan pronto advierta que hace falta un documento o requisito que se puede subsanar. En este caso, el proceso de subsanación se podría realizar con anterioridad a la publicación del informe de evaluación, de manera que, una vez se publique el informe ya se encuentren subsanadas las propuestas, sin perjuicio del término límite que concedió la ley.</w:t>
      </w:r>
    </w:p>
    <w:p w14:paraId="129A40BE" w14:textId="77777777" w:rsidR="000A51DC" w:rsidRPr="002F50D4" w:rsidRDefault="000A51DC" w:rsidP="000A51DC">
      <w:pPr>
        <w:spacing w:line="276" w:lineRule="auto"/>
        <w:ind w:firstLine="360"/>
        <w:jc w:val="both"/>
        <w:rPr>
          <w:rFonts w:ascii="Verdana" w:eastAsia="Times New Roman" w:hAnsi="Verdana" w:cs="Arial"/>
          <w:lang w:val="es-ES_tradnl" w:eastAsia="es-ES_tradnl"/>
        </w:rPr>
      </w:pPr>
      <w:r w:rsidRPr="002F50D4">
        <w:rPr>
          <w:rFonts w:ascii="Verdana" w:eastAsia="Times New Roman" w:hAnsi="Verdana" w:cs="Arial"/>
          <w:lang w:val="es-ES_tradnl" w:eastAsia="es-ES_tradnl"/>
        </w:rPr>
        <w:t xml:space="preserve">La modificación introducida por el artículo 5 de la Ley 1882 de 2018, si bien pudo significar, en la práctica de los procesos de selección, que el informe de evaluación fuera la oportunidad de la Administración para requerir al proponente para que subsane la oferta, y el término del traslado la oportunidad para hacerlo, lo cierto es que no impide que esto se realice con anterioridad a la publicación del informe, inclusive, es más adecuado y conveniente que la subsanación de las ofertas se intente con anterioridad, de forma que, una vez la Administración advierta el defecto le solicite directamente al oferente que subsane. Esta interpretación es más consistente con los principios de economía, transparencia y selección objetiva. </w:t>
      </w:r>
    </w:p>
    <w:p w14:paraId="42B266CE" w14:textId="77777777" w:rsidR="000A51DC" w:rsidRDefault="000A51DC" w:rsidP="000A51DC">
      <w:pPr>
        <w:spacing w:line="276" w:lineRule="auto"/>
        <w:ind w:firstLine="360"/>
        <w:jc w:val="both"/>
        <w:rPr>
          <w:rFonts w:ascii="Verdana" w:eastAsia="Times New Roman" w:hAnsi="Verdana" w:cs="Arial"/>
          <w:lang w:eastAsia="es-ES"/>
        </w:rPr>
      </w:pPr>
      <w:r w:rsidRPr="002F50D4">
        <w:rPr>
          <w:rFonts w:ascii="Verdana" w:eastAsia="Times New Roman" w:hAnsi="Verdana" w:cs="Arial"/>
          <w:lang w:eastAsia="es-ES"/>
        </w:rPr>
        <w:t>Lo anterior, se aclara, sin desconocer el límite que establece la norma para que los oferentes, sin perjuicio de que lo hagan antes, cuenten hasta el término de traslado del informe de evaluación con la posibilidad de presentar la información solicitada.</w:t>
      </w:r>
    </w:p>
    <w:p w14:paraId="511EC600" w14:textId="77777777" w:rsidR="000A51DC" w:rsidRPr="00235305" w:rsidRDefault="000A51DC" w:rsidP="000A51DC">
      <w:pPr>
        <w:spacing w:after="120" w:line="276" w:lineRule="auto"/>
        <w:jc w:val="both"/>
        <w:rPr>
          <w:rFonts w:ascii="Verdana" w:eastAsia="Verdana" w:hAnsi="Verdana" w:cs="Verdana"/>
        </w:rPr>
      </w:pPr>
      <w:r>
        <w:rPr>
          <w:rFonts w:ascii="Verdana" w:eastAsia="Arial" w:hAnsi="Verdana" w:cs="Arial"/>
        </w:rPr>
        <w:t xml:space="preserve">          Ahora bien, en atención al problema jurídico planteado</w:t>
      </w:r>
      <w:r w:rsidRPr="00FF7AB3">
        <w:rPr>
          <w:rFonts w:ascii="Verdana" w:eastAsia="Arial" w:hAnsi="Verdana" w:cs="Arial"/>
        </w:rPr>
        <w:t xml:space="preserve">, </w:t>
      </w:r>
      <w:r w:rsidRPr="00235305">
        <w:rPr>
          <w:rFonts w:ascii="Verdana" w:eastAsia="Verdana" w:hAnsi="Verdana" w:cs="Verdana"/>
        </w:rPr>
        <w:t>En ese sentido, las Entidades Estatales pueden permitir la subsanación de inconsistencias o falencias relacionadas con la acreditación de las especificaciones técnicas exigidas en los documentos del proceso, siempre que la condición técnica que se pretende demostrar hubiere existido materialmente antes del cierre del proceso de selección. Así, la regla de subsanabilidad permite complementar, aclarar o corregir el medio probatorio mediante el cual se acredita una situación preexistente, pero no faculta a los oferentes para crear, modificar o sustituir las características técnicas del bien ofertado con posterioridad a la presentación de la propuesta.</w:t>
      </w:r>
    </w:p>
    <w:p w14:paraId="249ECDAF" w14:textId="77777777" w:rsidR="000A51DC" w:rsidRPr="00235305" w:rsidRDefault="000A51DC" w:rsidP="000A51DC">
      <w:pPr>
        <w:spacing w:after="120" w:line="276" w:lineRule="auto"/>
        <w:jc w:val="both"/>
        <w:rPr>
          <w:rFonts w:ascii="Verdana" w:eastAsia="Verdana" w:hAnsi="Verdana" w:cs="Verdana"/>
        </w:rPr>
      </w:pPr>
      <w:r>
        <w:rPr>
          <w:rFonts w:ascii="Verdana" w:eastAsia="Verdana" w:hAnsi="Verdana" w:cs="Verdana"/>
        </w:rPr>
        <w:lastRenderedPageBreak/>
        <w:t xml:space="preserve">        </w:t>
      </w:r>
      <w:r w:rsidRPr="00235305">
        <w:rPr>
          <w:rFonts w:ascii="Verdana" w:eastAsia="Verdana" w:hAnsi="Verdana" w:cs="Verdana"/>
        </w:rPr>
        <w:t>Bajo este entendimiento, cuando la ficha técnica inicialmente aportada corresponde al mismo bien efectivamente ofertado y la documentación allegada posteriormente únicamente tiene por finalidad aclarar, complementar o acreditar características técnicas que ya hacían parte de la oferta presentada antes del cierre del proceso, dicha actuación puede considerarse subsanable. Ello, siempre que la información aportada posteriormente no contradiga la documentación presentada con la oferta, no implique la sustitución del producto ofertado y tenga por objeto demostrar una condición técnica preexistente.</w:t>
      </w:r>
    </w:p>
    <w:p w14:paraId="7B458AB0" w14:textId="77777777" w:rsidR="000A51DC" w:rsidRPr="00235305" w:rsidRDefault="000A51DC" w:rsidP="000A51DC">
      <w:pPr>
        <w:spacing w:after="120" w:line="276" w:lineRule="auto"/>
        <w:jc w:val="both"/>
        <w:rPr>
          <w:rFonts w:ascii="Verdana" w:eastAsia="Verdana" w:hAnsi="Verdana" w:cs="Verdana"/>
        </w:rPr>
      </w:pPr>
      <w:r>
        <w:rPr>
          <w:rFonts w:ascii="Verdana" w:eastAsia="Verdana" w:hAnsi="Verdana" w:cs="Verdana"/>
        </w:rPr>
        <w:t xml:space="preserve">        </w:t>
      </w:r>
      <w:r w:rsidRPr="00235305">
        <w:rPr>
          <w:rFonts w:ascii="Verdana" w:eastAsia="Verdana" w:hAnsi="Verdana" w:cs="Verdana"/>
        </w:rPr>
        <w:t>Por el contrario, cuando la ficha técnica presentada con la oferta evidencia que el producto ofertado no cumple las especificaciones técnicas mínimas exigidas por la Entidad Estatal y posteriormente el oferente aporta una ficha técnica distinta, la actuación no tiene por objeto complementar la prueba de una condición existente al momento del cierre, sino sustituir el bien originalmente ofertado por otro diferente.</w:t>
      </w:r>
    </w:p>
    <w:p w14:paraId="35E67328" w14:textId="77777777" w:rsidR="000A51DC" w:rsidRPr="00235305" w:rsidRDefault="000A51DC" w:rsidP="000A51DC">
      <w:pPr>
        <w:spacing w:after="120" w:line="276" w:lineRule="auto"/>
        <w:jc w:val="both"/>
        <w:rPr>
          <w:rFonts w:ascii="Verdana" w:eastAsia="Verdana" w:hAnsi="Verdana" w:cs="Verdana"/>
        </w:rPr>
      </w:pPr>
      <w:r>
        <w:rPr>
          <w:rFonts w:ascii="Verdana" w:eastAsia="Verdana" w:hAnsi="Verdana" w:cs="Verdana"/>
        </w:rPr>
        <w:t xml:space="preserve">        </w:t>
      </w:r>
      <w:r w:rsidRPr="00235305">
        <w:rPr>
          <w:rFonts w:ascii="Verdana" w:eastAsia="Verdana" w:hAnsi="Verdana" w:cs="Verdana"/>
        </w:rPr>
        <w:t>En tal evento, la documentación aportada con posterioridad no constituye la acreditación de una situación técnica preexistente, sino la incorporación de una condición que no se encontraba cumplida en la oferta inicial. Por ello, la actuación excede los límites de la subsanación previstos en el artículo 5 de la Ley 1150 de 2007, modificado por el artículo 5 de la Ley 1882 de 2018, y en la doctrina de Colombia Compra Eficiente, en la medida en que implica la modificación de un elemento sustancial de la propuesta técnica.</w:t>
      </w:r>
    </w:p>
    <w:p w14:paraId="64DC8AB0" w14:textId="77777777" w:rsidR="000A51DC" w:rsidRPr="006B17A7" w:rsidRDefault="000A51DC" w:rsidP="000A51DC">
      <w:pPr>
        <w:spacing w:line="276" w:lineRule="auto"/>
        <w:ind w:firstLine="360"/>
        <w:jc w:val="both"/>
        <w:rPr>
          <w:rFonts w:ascii="Verdana" w:eastAsia="Calibri" w:hAnsi="Verdana" w:cs="Arial"/>
        </w:rPr>
      </w:pPr>
      <w:r>
        <w:rPr>
          <w:rFonts w:ascii="Verdana" w:eastAsia="Calibri" w:hAnsi="Verdana"/>
        </w:rPr>
        <w:t xml:space="preserve">     </w:t>
      </w:r>
      <w:r>
        <w:rPr>
          <w:rFonts w:ascii="Verdana" w:eastAsia="Calibri" w:hAnsi="Verdana" w:cs="Arial"/>
        </w:rPr>
        <w:t>F</w:t>
      </w:r>
      <w:r w:rsidRPr="006B17A7">
        <w:rPr>
          <w:rFonts w:ascii="Verdana" w:eastAsia="Calibri" w:hAnsi="Verdana" w:cs="Arial"/>
        </w:rPr>
        <w:t xml:space="preserve">inalmente debe advertirse que el análisis requerido para resolver problemas específicos a la liquidación de los contratos estatales debe ser realizado por quienes tengan interés en ello.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de adoptar la decisión y, en caso de conflicto, a las autoridades judiciales, fiscales y disciplinarias. </w:t>
      </w:r>
    </w:p>
    <w:p w14:paraId="7BC174E0" w14:textId="77777777" w:rsidR="000A51DC" w:rsidRPr="006B17A7" w:rsidRDefault="000A51DC" w:rsidP="000A51DC">
      <w:pPr>
        <w:spacing w:before="120" w:after="0" w:line="276" w:lineRule="auto"/>
        <w:ind w:firstLine="708"/>
        <w:jc w:val="both"/>
        <w:rPr>
          <w:rFonts w:ascii="Verdana" w:eastAsia="Calibri" w:hAnsi="Verdana" w:cs="Arial"/>
        </w:rPr>
      </w:pPr>
      <w:r w:rsidRPr="006B17A7">
        <w:rPr>
          <w:rFonts w:ascii="Verdana" w:eastAsia="Calibri" w:hAnsi="Verdana" w:cs="Arial"/>
        </w:rPr>
        <w:t xml:space="preserve">Dentro de este marco, la entidad contratante definirá en cada caso concreto lo relacionado con el tema objeto de consulta. Al tratarse de un análisis que debe realizarse a un asunto particular y concreto, esta Agencia no puede definir un criterio universal y absoluto por vía consultiva, sino que brinda elementos de carácter general para que los partícipes del Sistema de Compras y Contratación Pública adopten la decisión que corresponda, lo cual es acorde </w:t>
      </w:r>
      <w:r w:rsidRPr="006B17A7">
        <w:rPr>
          <w:rFonts w:ascii="Verdana" w:eastAsia="Calibri" w:hAnsi="Verdana" w:cs="Arial"/>
        </w:rPr>
        <w:lastRenderedPageBreak/>
        <w:t xml:space="preserve">con el principio de juridicidad. Así, cada Entidad definirá la forma de adelantar su gestión contractual, sin que sea atribución de la Agencia Nacional de Contratación Pública - Colombia Compra Eficiente validar sus actuaciones.  </w:t>
      </w:r>
    </w:p>
    <w:p w14:paraId="47ADA7A4" w14:textId="77777777" w:rsidR="000A51DC" w:rsidRPr="006B17A7" w:rsidRDefault="000A51DC" w:rsidP="000A51DC">
      <w:pPr>
        <w:spacing w:after="0" w:line="276" w:lineRule="auto"/>
        <w:ind w:firstLine="708"/>
        <w:jc w:val="both"/>
        <w:rPr>
          <w:rFonts w:ascii="Verdana" w:eastAsia="Calibri" w:hAnsi="Verdana" w:cs="Arial"/>
        </w:rPr>
      </w:pPr>
    </w:p>
    <w:p w14:paraId="6C051891" w14:textId="77777777" w:rsidR="000A51DC" w:rsidRDefault="000A51DC" w:rsidP="000A51DC">
      <w:pPr>
        <w:spacing w:after="120" w:line="276" w:lineRule="auto"/>
        <w:ind w:firstLine="708"/>
        <w:jc w:val="both"/>
        <w:rPr>
          <w:rFonts w:ascii="Verdana" w:hAnsi="Verdana"/>
        </w:rPr>
      </w:pPr>
      <w:r w:rsidRPr="00802A80">
        <w:rPr>
          <w:rFonts w:ascii="Verdana" w:hAnsi="Verdana"/>
        </w:rPr>
        <w:t xml:space="preserve"> </w:t>
      </w:r>
    </w:p>
    <w:p w14:paraId="1A8C5249" w14:textId="77777777" w:rsidR="000A51DC" w:rsidRPr="0015699B" w:rsidRDefault="000A51DC" w:rsidP="000A51DC">
      <w:pPr>
        <w:spacing w:after="0" w:line="276" w:lineRule="auto"/>
        <w:ind w:firstLine="357"/>
        <w:jc w:val="both"/>
        <w:rPr>
          <w:rFonts w:ascii="Verdana" w:eastAsia="Verdana" w:hAnsi="Verdana" w:cs="Verdana"/>
          <w:lang w:val="es"/>
        </w:rPr>
      </w:pPr>
      <w:r>
        <w:rPr>
          <w:rFonts w:ascii="Verdana" w:hAnsi="Verdana"/>
        </w:rPr>
        <w:t xml:space="preserve">      </w:t>
      </w:r>
      <w:r w:rsidRPr="39124533">
        <w:rPr>
          <w:rFonts w:ascii="Verdana" w:eastAsia="Verdana" w:hAnsi="Verdana" w:cs="Verdana"/>
          <w:lang w:val="es"/>
        </w:rPr>
        <w:t xml:space="preserve"> </w:t>
      </w:r>
    </w:p>
    <w:p w14:paraId="143D8BAB" w14:textId="77777777" w:rsidR="000A51DC" w:rsidRPr="0015699B" w:rsidRDefault="000A51DC" w:rsidP="000A51DC">
      <w:pPr>
        <w:pStyle w:val="Prrafodelista"/>
        <w:numPr>
          <w:ilvl w:val="0"/>
          <w:numId w:val="16"/>
        </w:numPr>
        <w:spacing w:after="0" w:line="240" w:lineRule="auto"/>
        <w:ind w:left="1080" w:hanging="720"/>
        <w:jc w:val="both"/>
        <w:textAlignment w:val="baseline"/>
        <w:rPr>
          <w:rFonts w:ascii="Verdana" w:eastAsia="Verdana" w:hAnsi="Verdana" w:cs="Verdana"/>
          <w:b/>
          <w:bCs/>
          <w:lang w:val="es"/>
        </w:rPr>
      </w:pPr>
      <w:r w:rsidRPr="40A87941">
        <w:rPr>
          <w:rFonts w:ascii="Verdana" w:eastAsia="Verdana" w:hAnsi="Verdana" w:cs="Verdana"/>
          <w:b/>
          <w:bCs/>
          <w:lang w:val="es"/>
        </w:rPr>
        <w:t>Referencias normativas, jurisprudenciales y otras fuentes:</w:t>
      </w:r>
    </w:p>
    <w:p w14:paraId="1823EE19" w14:textId="77777777" w:rsidR="000A51DC" w:rsidRPr="0015699B" w:rsidRDefault="000A51DC" w:rsidP="000A51DC">
      <w:pPr>
        <w:spacing w:after="0" w:line="276" w:lineRule="auto"/>
        <w:jc w:val="both"/>
        <w:textAlignment w:val="baseline"/>
        <w:rPr>
          <w:rFonts w:ascii="Verdana" w:eastAsia="Verdana" w:hAnsi="Verdana" w:cs="Verdana"/>
          <w:lang w:val="es"/>
        </w:rPr>
      </w:pPr>
      <w:r w:rsidRPr="40A87941">
        <w:rPr>
          <w:rFonts w:ascii="Verdana" w:eastAsia="Verdana" w:hAnsi="Verdana" w:cs="Verdana"/>
          <w:lang w:val="es"/>
        </w:rPr>
        <w:t xml:space="preserve"> </w:t>
      </w:r>
    </w:p>
    <w:tbl>
      <w:tblPr>
        <w:tblStyle w:val="Tablaconcuadrcula"/>
        <w:tblW w:w="0" w:type="auto"/>
        <w:tblInd w:w="135" w:type="dxa"/>
        <w:tblLook w:val="04A0" w:firstRow="1" w:lastRow="0" w:firstColumn="1" w:lastColumn="0" w:noHBand="0" w:noVBand="1"/>
      </w:tblPr>
      <w:tblGrid>
        <w:gridCol w:w="8640"/>
      </w:tblGrid>
      <w:tr w:rsidR="000A51DC" w14:paraId="4F22E1F0" w14:textId="77777777" w:rsidTr="00B62E70">
        <w:trPr>
          <w:trHeight w:val="870"/>
        </w:trPr>
        <w:tc>
          <w:tcPr>
            <w:tcW w:w="8640" w:type="dxa"/>
            <w:tcBorders>
              <w:top w:val="dotted" w:sz="8" w:space="0" w:color="auto"/>
              <w:left w:val="dotted" w:sz="8" w:space="0" w:color="auto"/>
              <w:bottom w:val="dotted" w:sz="8" w:space="0" w:color="auto"/>
              <w:right w:val="dotted" w:sz="8" w:space="0" w:color="auto"/>
            </w:tcBorders>
            <w:tcMar>
              <w:left w:w="108" w:type="dxa"/>
              <w:right w:w="108" w:type="dxa"/>
            </w:tcMar>
          </w:tcPr>
          <w:p w14:paraId="3571F9CB" w14:textId="77777777" w:rsidR="000A51DC" w:rsidRPr="000F2673" w:rsidRDefault="000A51DC" w:rsidP="000A51DC">
            <w:pPr>
              <w:pStyle w:val="Prrafodelista"/>
              <w:numPr>
                <w:ilvl w:val="0"/>
                <w:numId w:val="17"/>
              </w:numPr>
              <w:spacing w:after="120" w:line="276" w:lineRule="auto"/>
              <w:jc w:val="both"/>
              <w:rPr>
                <w:rFonts w:ascii="Verdana" w:eastAsia="Aptos" w:hAnsi="Verdana" w:cs="Arial"/>
              </w:rPr>
            </w:pPr>
            <w:r w:rsidRPr="000F2673">
              <w:rPr>
                <w:rFonts w:ascii="Verdana" w:eastAsia="Aptos" w:hAnsi="Verdana" w:cs="Arial"/>
              </w:rPr>
              <w:t>Artículo 5 de la Ley 1882 de 2018.</w:t>
            </w:r>
          </w:p>
          <w:p w14:paraId="7088A9E0" w14:textId="77777777" w:rsidR="000A51DC" w:rsidRPr="000F2673" w:rsidRDefault="000A51DC" w:rsidP="000A51DC">
            <w:pPr>
              <w:pStyle w:val="Prrafodelista"/>
              <w:numPr>
                <w:ilvl w:val="0"/>
                <w:numId w:val="17"/>
              </w:numPr>
              <w:spacing w:after="120" w:line="276" w:lineRule="auto"/>
              <w:jc w:val="both"/>
              <w:rPr>
                <w:rFonts w:ascii="Verdana" w:eastAsia="Aptos" w:hAnsi="Verdana" w:cs="Arial"/>
              </w:rPr>
            </w:pPr>
            <w:r w:rsidRPr="000F2673">
              <w:rPr>
                <w:rFonts w:ascii="Verdana" w:eastAsia="Aptos" w:hAnsi="Verdana" w:cs="Arial"/>
              </w:rPr>
              <w:t>Artículo 30 de la Ley 80 de 1993.</w:t>
            </w:r>
          </w:p>
          <w:p w14:paraId="45E9DB01" w14:textId="77777777" w:rsidR="000A51DC" w:rsidRPr="000F2673" w:rsidRDefault="000A51DC" w:rsidP="000A51DC">
            <w:pPr>
              <w:pStyle w:val="Prrafodelista"/>
              <w:numPr>
                <w:ilvl w:val="0"/>
                <w:numId w:val="17"/>
              </w:numPr>
              <w:spacing w:after="120" w:line="276" w:lineRule="auto"/>
              <w:jc w:val="both"/>
              <w:rPr>
                <w:rFonts w:ascii="Verdana" w:eastAsia="Aptos" w:hAnsi="Verdana" w:cs="Arial"/>
              </w:rPr>
            </w:pPr>
            <w:r w:rsidRPr="000F2673">
              <w:rPr>
                <w:rFonts w:ascii="Verdana" w:eastAsia="Aptos" w:hAnsi="Verdana" w:cs="Arial"/>
              </w:rPr>
              <w:t>Artículo 5, parágrafos 1° y 4°, de la Ley 1150 de 2007.</w:t>
            </w:r>
          </w:p>
          <w:p w14:paraId="37838D1B" w14:textId="77777777" w:rsidR="000A51DC" w:rsidRDefault="000A51DC" w:rsidP="000A51DC">
            <w:pPr>
              <w:pStyle w:val="Prrafodelista"/>
              <w:numPr>
                <w:ilvl w:val="0"/>
                <w:numId w:val="17"/>
              </w:numPr>
              <w:spacing w:after="120" w:line="276" w:lineRule="auto"/>
              <w:jc w:val="both"/>
              <w:rPr>
                <w:rFonts w:ascii="Verdana" w:eastAsia="Aptos" w:hAnsi="Verdana" w:cs="Arial"/>
              </w:rPr>
            </w:pPr>
            <w:r w:rsidRPr="000F2673">
              <w:rPr>
                <w:rFonts w:ascii="Verdana" w:eastAsia="Aptos" w:hAnsi="Verdana" w:cs="Arial"/>
              </w:rPr>
              <w:t>Artículos 2.2.1.2.1.2.1 y 2.2.1.2.1.2.2 del Decreto 1082 de 2015.</w:t>
            </w:r>
          </w:p>
          <w:p w14:paraId="4CC9132F" w14:textId="77777777" w:rsidR="000A51DC" w:rsidRDefault="000A51DC" w:rsidP="000A51DC">
            <w:pPr>
              <w:pStyle w:val="Prrafodelista"/>
              <w:numPr>
                <w:ilvl w:val="0"/>
                <w:numId w:val="17"/>
              </w:numPr>
              <w:spacing w:after="120" w:line="276" w:lineRule="auto"/>
              <w:jc w:val="both"/>
              <w:rPr>
                <w:rFonts w:ascii="Verdana" w:eastAsia="Aptos" w:hAnsi="Verdana" w:cs="Arial"/>
              </w:rPr>
            </w:pPr>
            <w:r w:rsidRPr="000A5510">
              <w:rPr>
                <w:rFonts w:ascii="Verdana" w:eastAsia="Aptos" w:hAnsi="Verdana" w:cs="Arial"/>
              </w:rPr>
              <w:t xml:space="preserve">Consejo de Estado. Sala de Consulta y Servicio Civil. Concepto del 20 de mayo de 2010. </w:t>
            </w:r>
            <w:proofErr w:type="spellStart"/>
            <w:r w:rsidRPr="000A5510">
              <w:rPr>
                <w:rFonts w:ascii="Verdana" w:eastAsia="Aptos" w:hAnsi="Verdana" w:cs="Arial"/>
              </w:rPr>
              <w:t>Exp</w:t>
            </w:r>
            <w:proofErr w:type="spellEnd"/>
            <w:r w:rsidRPr="000A5510">
              <w:rPr>
                <w:rFonts w:ascii="Verdana" w:eastAsia="Aptos" w:hAnsi="Verdana" w:cs="Arial"/>
              </w:rPr>
              <w:t>. 1.992. C.P. Enrique José Arboleda Perdomo</w:t>
            </w:r>
          </w:p>
          <w:p w14:paraId="58F1CBC3" w14:textId="77777777" w:rsidR="000A51DC" w:rsidRPr="00A24BA3" w:rsidRDefault="000A51DC" w:rsidP="000A51DC">
            <w:pPr>
              <w:pStyle w:val="Prrafodelista"/>
              <w:numPr>
                <w:ilvl w:val="0"/>
                <w:numId w:val="17"/>
              </w:numPr>
              <w:spacing w:after="120" w:line="276" w:lineRule="auto"/>
              <w:jc w:val="both"/>
              <w:rPr>
                <w:rFonts w:ascii="Verdana" w:eastAsia="Verdana" w:hAnsi="Verdana" w:cs="Verdana"/>
                <w:lang w:val="es"/>
              </w:rPr>
            </w:pPr>
            <w:r w:rsidRPr="000F2673">
              <w:rPr>
                <w:rFonts w:ascii="Verdana" w:eastAsia="Arial" w:hAnsi="Verdana" w:cs="Arial"/>
              </w:rPr>
              <w:t xml:space="preserve">Manual para determinar y verificar los requisitos habilitantes en los Procesos de Contratación. </w:t>
            </w:r>
            <w:r w:rsidRPr="000F2673">
              <w:rPr>
                <w:rFonts w:ascii="Verdana" w:hAnsi="Verdana"/>
              </w:rPr>
              <w:t xml:space="preserve">Documento disponible en: </w:t>
            </w:r>
            <w:hyperlink r:id="rId12" w:history="1">
              <w:r w:rsidRPr="000F2673">
                <w:rPr>
                  <w:rStyle w:val="Hipervnculo"/>
                  <w:rFonts w:ascii="Verdana" w:hAnsi="Verdana"/>
                </w:rPr>
                <w:t>https://www.colombiacompra.gov.co/archivos/manual/manual-para-determinar-y-verificar-los-requisitos-habilitantes-en-los-procesos-de-contratacion</w:t>
              </w:r>
            </w:hyperlink>
            <w:r w:rsidRPr="000F2673">
              <w:rPr>
                <w:rFonts w:ascii="Verdana" w:hAnsi="Verdana"/>
              </w:rPr>
              <w:t xml:space="preserve"> </w:t>
            </w:r>
          </w:p>
        </w:tc>
      </w:tr>
    </w:tbl>
    <w:p w14:paraId="084295D3" w14:textId="77777777" w:rsidR="000A51DC" w:rsidRPr="0015699B" w:rsidRDefault="000A51DC" w:rsidP="000A51DC">
      <w:pPr>
        <w:spacing w:after="0" w:line="276" w:lineRule="auto"/>
        <w:jc w:val="both"/>
        <w:textAlignment w:val="baseline"/>
        <w:rPr>
          <w:rFonts w:ascii="Verdana" w:eastAsia="Verdana" w:hAnsi="Verdana" w:cs="Verdana"/>
          <w:lang w:val="es"/>
        </w:rPr>
      </w:pPr>
      <w:r w:rsidRPr="40A87941">
        <w:rPr>
          <w:rFonts w:ascii="Verdana" w:eastAsia="Verdana" w:hAnsi="Verdana" w:cs="Verdana"/>
          <w:lang w:val="es"/>
        </w:rPr>
        <w:t xml:space="preserve"> </w:t>
      </w:r>
    </w:p>
    <w:p w14:paraId="7D7A66C3" w14:textId="77777777" w:rsidR="000A51DC" w:rsidRPr="003D5882" w:rsidRDefault="000A51DC" w:rsidP="000A51DC">
      <w:pPr>
        <w:pStyle w:val="Prrafodelista"/>
        <w:numPr>
          <w:ilvl w:val="0"/>
          <w:numId w:val="16"/>
        </w:numPr>
        <w:spacing w:before="1" w:after="0" w:line="240" w:lineRule="auto"/>
        <w:jc w:val="both"/>
        <w:textAlignment w:val="baseline"/>
        <w:rPr>
          <w:rFonts w:ascii="Verdana" w:eastAsia="Verdana" w:hAnsi="Verdana" w:cs="Verdana"/>
          <w:b/>
          <w:bCs/>
          <w:lang w:val="es"/>
        </w:rPr>
      </w:pPr>
      <w:r w:rsidRPr="39124533">
        <w:rPr>
          <w:rFonts w:ascii="Verdana" w:eastAsia="Verdana" w:hAnsi="Verdana" w:cs="Verdana"/>
          <w:b/>
          <w:bCs/>
          <w:lang w:val="es"/>
        </w:rPr>
        <w:t>Doctrina de la Agencia Nacional de Contratación Pública:</w:t>
      </w:r>
    </w:p>
    <w:p w14:paraId="5BC53FFF" w14:textId="77777777" w:rsidR="000A51DC" w:rsidRPr="003D5882" w:rsidRDefault="000A51DC" w:rsidP="000A51DC">
      <w:pPr>
        <w:pStyle w:val="Prrafodelista"/>
        <w:spacing w:before="1" w:after="0" w:line="240" w:lineRule="auto"/>
        <w:jc w:val="both"/>
        <w:textAlignment w:val="baseline"/>
        <w:rPr>
          <w:rFonts w:ascii="Verdana" w:eastAsia="Verdana" w:hAnsi="Verdana" w:cs="Verdana"/>
          <w:b/>
          <w:bCs/>
          <w:lang w:val="es"/>
        </w:rPr>
      </w:pPr>
    </w:p>
    <w:p w14:paraId="39350EE6" w14:textId="77777777" w:rsidR="000A51DC" w:rsidRPr="005510A2" w:rsidRDefault="000A51DC" w:rsidP="000A51DC">
      <w:pPr>
        <w:spacing w:after="0" w:line="276" w:lineRule="auto"/>
        <w:jc w:val="both"/>
        <w:rPr>
          <w:rStyle w:val="normaltextrun"/>
          <w:rFonts w:ascii="Verdana" w:hAnsi="Verdana" w:cs="Arial"/>
          <w:bCs/>
          <w:shd w:val="clear" w:color="auto" w:fill="FFFFFF"/>
        </w:rPr>
      </w:pPr>
      <w:r w:rsidRPr="00D16A5E">
        <w:rPr>
          <w:rFonts w:ascii="Verdana" w:eastAsia="Calibri" w:hAnsi="Verdana" w:cs="Arial"/>
          <w:lang w:val="es-ES" w:eastAsia="es-ES"/>
        </w:rPr>
        <w:t xml:space="preserve">Sobre la </w:t>
      </w:r>
      <w:r w:rsidRPr="00D16A5E">
        <w:rPr>
          <w:rFonts w:ascii="Verdana" w:eastAsia="Calibri" w:hAnsi="Verdana" w:cs="Arial"/>
          <w:lang w:val="es-ES"/>
        </w:rPr>
        <w:t xml:space="preserve">regla de </w:t>
      </w:r>
      <w:proofErr w:type="spellStart"/>
      <w:r w:rsidRPr="00D16A5E">
        <w:rPr>
          <w:rFonts w:ascii="Verdana" w:eastAsia="Calibri" w:hAnsi="Verdana" w:cs="Arial"/>
          <w:lang w:val="es-ES"/>
        </w:rPr>
        <w:t>subsanabilidad</w:t>
      </w:r>
      <w:proofErr w:type="spellEnd"/>
      <w:r w:rsidRPr="00D16A5E">
        <w:rPr>
          <w:rFonts w:ascii="Verdana" w:eastAsia="Calibri" w:hAnsi="Verdana" w:cs="Arial"/>
          <w:lang w:val="es-ES"/>
        </w:rPr>
        <w:t xml:space="preserve"> en los procesos de selección,</w:t>
      </w:r>
      <w:r w:rsidRPr="00D16A5E">
        <w:rPr>
          <w:rStyle w:val="superscript"/>
          <w:rFonts w:ascii="Verdana" w:hAnsi="Verdana" w:cs="Arial"/>
          <w:shd w:val="clear" w:color="auto" w:fill="FFFFFF"/>
          <w:lang w:val="es-ES"/>
        </w:rPr>
        <w:t xml:space="preserve"> </w:t>
      </w:r>
      <w:r w:rsidRPr="00D16A5E">
        <w:rPr>
          <w:rStyle w:val="normaltextrun"/>
          <w:rFonts w:ascii="Verdana" w:hAnsi="Verdana" w:cs="Arial"/>
          <w:shd w:val="clear" w:color="auto" w:fill="FFFFFF"/>
          <w:lang w:val="es-ES"/>
        </w:rPr>
        <w:t xml:space="preserve">se pronunció esta Subdirección </w:t>
      </w:r>
      <w:r w:rsidRPr="00D16A5E">
        <w:rPr>
          <w:rFonts w:ascii="Verdana" w:eastAsia="Calibri" w:hAnsi="Verdana" w:cs="Arial"/>
          <w:lang w:val="es-ES"/>
        </w:rPr>
        <w:t xml:space="preserve">en los conceptos 4201913000007643 del 26 de diciembre de 2019, C-343 del 17 de junio de 2020, C-518 del 9 de septiembre de 2020, C-614 del 5 de </w:t>
      </w:r>
      <w:r w:rsidRPr="000A5510">
        <w:rPr>
          <w:rFonts w:ascii="Verdana" w:eastAsia="Calibri" w:hAnsi="Verdana" w:cs="Arial"/>
          <w:lang w:val="es-ES"/>
        </w:rPr>
        <w:t>octubre de 2022, C-882 del 21 de diciembre de 2022, C-172 del 6 de junio de 2023</w:t>
      </w:r>
      <w:r>
        <w:rPr>
          <w:rFonts w:ascii="Verdana" w:hAnsi="Verdana" w:cs="Arial"/>
          <w:shd w:val="clear" w:color="auto" w:fill="FFFFFF"/>
          <w:lang w:val="es-ES"/>
        </w:rPr>
        <w:t xml:space="preserve">, </w:t>
      </w:r>
      <w:r w:rsidRPr="000A5510">
        <w:rPr>
          <w:rFonts w:ascii="Verdana" w:hAnsi="Verdana" w:cs="Arial"/>
          <w:shd w:val="clear" w:color="auto" w:fill="FFFFFF"/>
          <w:lang w:val="es-ES"/>
        </w:rPr>
        <w:t>C-720 del 25 de noviembre 2024</w:t>
      </w:r>
      <w:r>
        <w:rPr>
          <w:rFonts w:ascii="Verdana" w:hAnsi="Verdana" w:cs="Arial"/>
          <w:shd w:val="clear" w:color="auto" w:fill="FFFFFF"/>
          <w:lang w:val="es-ES"/>
        </w:rPr>
        <w:t xml:space="preserve"> y C-549 del 20 de mayo de 2026</w:t>
      </w:r>
      <w:r w:rsidRPr="000A5B33">
        <w:rPr>
          <w:rStyle w:val="normaltextrun"/>
          <w:rFonts w:ascii="Verdana" w:hAnsi="Verdana" w:cs="Arial"/>
          <w:shd w:val="clear" w:color="auto" w:fill="FFFFFF"/>
          <w:lang w:val="es-ES"/>
        </w:rPr>
        <w:t>, entre otros</w:t>
      </w:r>
      <w:r w:rsidRPr="00C331E4">
        <w:rPr>
          <w:rFonts w:ascii="Verdana" w:eastAsia="Calibri" w:hAnsi="Verdana" w:cs="Arial"/>
        </w:rPr>
        <w:t xml:space="preserve">. </w:t>
      </w:r>
      <w:r w:rsidRPr="00C331E4">
        <w:rPr>
          <w:rStyle w:val="normaltextrun"/>
          <w:rFonts w:ascii="Verdana" w:hAnsi="Verdana" w:cs="Arial"/>
          <w:shd w:val="clear" w:color="auto" w:fill="FFFFFF"/>
          <w:lang w:val="es-ES"/>
        </w:rPr>
        <w:t>Es</w:t>
      </w:r>
      <w:r w:rsidRPr="00C331E4">
        <w:rPr>
          <w:rFonts w:ascii="Verdana" w:hAnsi="Verdana"/>
        </w:rPr>
        <w:t>tos y otros conceptos se encuentran</w:t>
      </w:r>
      <w:r w:rsidRPr="005510A2">
        <w:rPr>
          <w:rFonts w:ascii="Verdana" w:hAnsi="Verdana"/>
        </w:rPr>
        <w:t xml:space="preserve"> disponibles para consulta</w:t>
      </w:r>
      <w:r w:rsidRPr="00F766A3">
        <w:rPr>
          <w:rFonts w:ascii="Verdana" w:hAnsi="Verdana"/>
        </w:rPr>
        <w:t xml:space="preserve"> en el Sistema de relatoría de la Agencia, al cual se puede acceder a través del siguiente enlace:</w:t>
      </w:r>
      <w:r w:rsidRPr="00F766A3">
        <w:rPr>
          <w:rStyle w:val="normaltextrun"/>
          <w:rFonts w:ascii="Verdana" w:hAnsi="Verdana" w:cs="Arial"/>
          <w:shd w:val="clear" w:color="auto" w:fill="FFFFFF"/>
          <w:lang w:val="es-ES"/>
        </w:rPr>
        <w:t xml:space="preserve"> </w:t>
      </w:r>
      <w:hyperlink r:id="rId13" w:history="1">
        <w:r w:rsidRPr="003A00C9">
          <w:rPr>
            <w:rStyle w:val="Hipervnculo"/>
            <w:rFonts w:ascii="Verdana" w:hAnsi="Verdana" w:cs="Arial"/>
            <w:shd w:val="clear" w:color="auto" w:fill="FFFFFF"/>
            <w:lang w:val="es-ES"/>
          </w:rPr>
          <w:t>https://relatoria.colombiacompra.gov.co/busqueda/conceptos</w:t>
        </w:r>
      </w:hyperlink>
      <w:r w:rsidRPr="00F766A3">
        <w:rPr>
          <w:rStyle w:val="normaltextrun"/>
          <w:rFonts w:ascii="Verdana" w:hAnsi="Verdana" w:cs="Arial"/>
          <w:color w:val="FF0000"/>
          <w:shd w:val="clear" w:color="auto" w:fill="FFFFFF"/>
          <w:lang w:val="es-ES"/>
        </w:rPr>
        <w:t xml:space="preserve">. </w:t>
      </w:r>
    </w:p>
    <w:p w14:paraId="438971A9" w14:textId="77777777" w:rsidR="000A51DC" w:rsidRDefault="000A51DC" w:rsidP="000A51DC">
      <w:pPr>
        <w:spacing w:after="0" w:line="276" w:lineRule="auto"/>
        <w:jc w:val="both"/>
        <w:textAlignment w:val="baseline"/>
        <w:rPr>
          <w:rFonts w:ascii="Verdana" w:eastAsia="Verdana" w:hAnsi="Verdana" w:cs="Verdana"/>
        </w:rPr>
      </w:pPr>
    </w:p>
    <w:p w14:paraId="0ADA2DA6" w14:textId="77777777" w:rsidR="000A51DC" w:rsidRPr="00010A5F" w:rsidRDefault="000A51DC" w:rsidP="000A51DC">
      <w:pPr>
        <w:spacing w:after="0" w:line="276" w:lineRule="auto"/>
        <w:jc w:val="both"/>
        <w:textAlignment w:val="baseline"/>
        <w:rPr>
          <w:rFonts w:ascii="Verdana" w:eastAsia="Verdana" w:hAnsi="Verdana" w:cs="Verdana"/>
          <w:color w:val="FF0000"/>
          <w:lang w:val="es"/>
        </w:rPr>
      </w:pPr>
      <w:r w:rsidRPr="39124533">
        <w:rPr>
          <w:rFonts w:ascii="Verdana" w:eastAsia="Verdana" w:hAnsi="Verdana" w:cs="Verdana"/>
        </w:rPr>
        <w:t>Estos se encuentran disponibles para consulta en el Sistema de relatoría de la Agencia, al cual puede accederse a través del siguiente enlace:</w:t>
      </w:r>
      <w:hyperlink r:id="rId14">
        <w:r w:rsidRPr="39124533">
          <w:rPr>
            <w:rStyle w:val="Hipervnculo"/>
            <w:rFonts w:ascii="Verdana" w:hAnsi="Verdana"/>
            <w:lang w:val="es"/>
          </w:rPr>
          <w:t>https://relatoria.colombiacompra.gov.co/busqueda/conceptos</w:t>
        </w:r>
      </w:hyperlink>
      <w:r w:rsidRPr="39124533">
        <w:rPr>
          <w:rFonts w:ascii="Verdana" w:eastAsia="Verdana" w:hAnsi="Verdana" w:cs="Verdana"/>
          <w:color w:val="000000" w:themeColor="text1"/>
          <w:lang w:val="es"/>
        </w:rPr>
        <w:t xml:space="preserve">. </w:t>
      </w:r>
      <w:r w:rsidRPr="39124533">
        <w:rPr>
          <w:rFonts w:ascii="Verdana" w:eastAsia="Verdana" w:hAnsi="Verdana" w:cs="Verdana"/>
          <w:color w:val="FF0000"/>
          <w:lang w:val="es"/>
        </w:rPr>
        <w:t xml:space="preserve"> </w:t>
      </w:r>
    </w:p>
    <w:p w14:paraId="6F15F731" w14:textId="77777777" w:rsidR="000A51DC" w:rsidRDefault="000A51DC" w:rsidP="000A51DC">
      <w:pPr>
        <w:spacing w:after="0" w:line="276" w:lineRule="auto"/>
        <w:jc w:val="both"/>
        <w:textAlignment w:val="baseline"/>
        <w:rPr>
          <w:rFonts w:ascii="Verdana" w:eastAsia="Verdana" w:hAnsi="Verdana" w:cs="Verdana"/>
          <w:color w:val="000000" w:themeColor="text1"/>
          <w:lang w:val="es"/>
        </w:rPr>
      </w:pPr>
      <w:r w:rsidRPr="39124533">
        <w:rPr>
          <w:rFonts w:ascii="Verdana" w:eastAsia="Verdana" w:hAnsi="Verdana" w:cs="Verdana"/>
          <w:color w:val="000000" w:themeColor="text1"/>
          <w:lang w:val="es"/>
        </w:rPr>
        <w:t xml:space="preserve">  </w:t>
      </w:r>
    </w:p>
    <w:p w14:paraId="38B9145A" w14:textId="77777777" w:rsidR="000A51DC" w:rsidRDefault="000A51DC" w:rsidP="000A51DC">
      <w:pPr>
        <w:shd w:val="clear" w:color="auto" w:fill="FFFFFF" w:themeFill="background1"/>
        <w:spacing w:after="0"/>
        <w:jc w:val="both"/>
        <w:rPr>
          <w:rFonts w:ascii="Verdana" w:eastAsia="Verdana" w:hAnsi="Verdana" w:cs="Verdana"/>
        </w:rPr>
      </w:pPr>
      <w:r w:rsidRPr="054CF0A3">
        <w:rPr>
          <w:rFonts w:ascii="Verdana" w:eastAsia="Verdana" w:hAnsi="Verdana" w:cs="Verdana"/>
          <w:color w:val="000000" w:themeColor="text1"/>
        </w:rPr>
        <w:lastRenderedPageBreak/>
        <w:t xml:space="preserve">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54CF0A3">
        <w:rPr>
          <w:rFonts w:ascii="Verdana" w:eastAsia="Verdana" w:hAnsi="Verdana" w:cs="Verdana"/>
          <w:b/>
          <w:bCs/>
          <w:color w:val="000000" w:themeColor="text1"/>
        </w:rPr>
        <w:t>Guía para la Exigencia y Constitución de Garantías en los Procesos de Contratación</w:t>
      </w:r>
      <w:r w:rsidRPr="054CF0A3">
        <w:rPr>
          <w:rFonts w:ascii="Verdana" w:eastAsia="Verdana" w:hAnsi="Verdana" w:cs="Verdana"/>
          <w:color w:val="000000" w:themeColor="text1"/>
        </w:rPr>
        <w:t xml:space="preserve">,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5">
        <w:r w:rsidRPr="054CF0A3">
          <w:rPr>
            <w:rStyle w:val="Hipervnculo"/>
            <w:rFonts w:ascii="Verdana" w:eastAsia="Verdana" w:hAnsi="Verdana" w:cs="Verdana"/>
            <w:color w:val="000000" w:themeColor="text1"/>
          </w:rPr>
          <w:t>https://www.colombiacompra.gov.co/archivos/manual/guia-de-garantias-en-procesos-de-contratacion</w:t>
        </w:r>
      </w:hyperlink>
    </w:p>
    <w:p w14:paraId="2F4E9CC9" w14:textId="77777777" w:rsidR="000A51DC" w:rsidRDefault="000A51DC" w:rsidP="000A51DC">
      <w:pPr>
        <w:shd w:val="clear" w:color="auto" w:fill="FFFFFF" w:themeFill="background1"/>
        <w:spacing w:before="220" w:after="220"/>
        <w:jc w:val="both"/>
        <w:rPr>
          <w:rFonts w:ascii="Verdana" w:eastAsia="Verdana" w:hAnsi="Verdana" w:cs="Verdana"/>
        </w:rPr>
      </w:pPr>
      <w:r w:rsidRPr="054CF0A3">
        <w:rPr>
          <w:rFonts w:ascii="Verdana" w:eastAsia="Verdana" w:hAnsi="Verdana" w:cs="Verdana"/>
          <w:color w:val="000000" w:themeColor="text1"/>
        </w:rPr>
        <w:t xml:space="preserve">De otro lado, te contamos que el Decreto 287 del 19 de marzo de 2026 sustituyó los artículos 2.2.1.2.4.2.6., 2.2.1.2.4.2.7. y 2.2.1.2.4.2.8. del Decreto 1082 de 2015 y estructuró el </w:t>
      </w:r>
      <w:r w:rsidRPr="054CF0A3">
        <w:rPr>
          <w:rFonts w:ascii="Verdana" w:eastAsia="Verdana" w:hAnsi="Verdana" w:cs="Verdana"/>
          <w:b/>
          <w:bCs/>
          <w:color w:val="000000" w:themeColor="text1"/>
        </w:rPr>
        <w:t>Sistema Integral de Preferencias en favor de las personas con discapacidad</w:t>
      </w:r>
      <w:r w:rsidRPr="054CF0A3">
        <w:rPr>
          <w:rFonts w:ascii="Verdana" w:eastAsia="Verdana" w:hAnsi="Verdana" w:cs="Verdana"/>
          <w:color w:val="000000" w:themeColor="text1"/>
        </w:rPr>
        <w:t xml:space="preserve">, en cumplimiento del artículo 13 de la Ley Estatutaria 1618 de 2013. Para orientar su aplicación, esta Agencia expidió la </w:t>
      </w:r>
      <w:r w:rsidRPr="054CF0A3">
        <w:rPr>
          <w:rFonts w:ascii="Verdana" w:eastAsia="Verdana" w:hAnsi="Verdana" w:cs="Verdana"/>
          <w:b/>
          <w:bCs/>
          <w:color w:val="000000" w:themeColor="text1"/>
        </w:rPr>
        <w:t xml:space="preserve">Circular Externa 003 del 12 de mayo de 2026, </w:t>
      </w:r>
      <w:r w:rsidRPr="054CF0A3">
        <w:rPr>
          <w:rFonts w:ascii="Verdana" w:eastAsia="Verdana" w:hAnsi="Verdana" w:cs="Verdana"/>
          <w:color w:val="000000" w:themeColor="text1"/>
        </w:rPr>
        <w:t xml:space="preserve">en la que precisa quiénes son los beneficiarios, las cinco medidas que integran el sistema y su obligatoriedad según la modalidad de selección, y el régimen de transición aplicable a los procesos en curso. Consúltala aquí: </w:t>
      </w:r>
      <w:hyperlink r:id="rId16">
        <w:r w:rsidRPr="054CF0A3">
          <w:rPr>
            <w:rStyle w:val="Hipervnculo"/>
            <w:rFonts w:ascii="Verdana" w:eastAsia="Verdana" w:hAnsi="Verdana" w:cs="Verdana"/>
            <w:color w:val="000000" w:themeColor="text1"/>
          </w:rPr>
          <w:t>https://www.colombiacompra.gov.co/archivos/circular/circular-externa-003-de-2026</w:t>
        </w:r>
      </w:hyperlink>
    </w:p>
    <w:p w14:paraId="75E1878F" w14:textId="77777777" w:rsidR="000A51DC" w:rsidRDefault="000A51DC" w:rsidP="000A51DC">
      <w:pPr>
        <w:shd w:val="clear" w:color="auto" w:fill="FFFFFF" w:themeFill="background1"/>
        <w:spacing w:before="220" w:after="220"/>
        <w:jc w:val="both"/>
        <w:rPr>
          <w:rFonts w:ascii="Verdana" w:eastAsia="Verdana" w:hAnsi="Verdana" w:cs="Verdana"/>
        </w:rPr>
      </w:pPr>
      <w:r w:rsidRPr="054CF0A3">
        <w:rPr>
          <w:rFonts w:ascii="Verdana" w:eastAsia="Verdana" w:hAnsi="Verdana" w:cs="Verdana"/>
          <w:color w:val="000000" w:themeColor="text1"/>
        </w:rPr>
        <w:t>Recuerda también que la</w:t>
      </w:r>
      <w:r w:rsidRPr="054CF0A3">
        <w:rPr>
          <w:rFonts w:ascii="Verdana" w:eastAsia="Verdana" w:hAnsi="Verdana" w:cs="Verdana"/>
          <w:b/>
          <w:bCs/>
          <w:color w:val="000000" w:themeColor="text1"/>
        </w:rPr>
        <w:t xml:space="preserve"> información sobre sanciones e inhabilidades </w:t>
      </w:r>
      <w:r w:rsidRPr="054CF0A3">
        <w:rPr>
          <w:rFonts w:ascii="Verdana" w:eastAsia="Verdana" w:hAnsi="Verdana" w:cs="Verdana"/>
          <w:color w:val="000000" w:themeColor="text1"/>
        </w:rPr>
        <w:t xml:space="preserve">solo cumple su función preventiva si llega oportunamente a los registros públicos. Sobre este deber, esta Agencia expidió la </w:t>
      </w:r>
      <w:r w:rsidRPr="054CF0A3">
        <w:rPr>
          <w:rFonts w:ascii="Verdana" w:eastAsia="Verdana" w:hAnsi="Verdana" w:cs="Verdana"/>
          <w:b/>
          <w:bCs/>
          <w:color w:val="000000" w:themeColor="text1"/>
        </w:rPr>
        <w:t>Circular Externa 002 del 5 de mayo de 2026,</w:t>
      </w:r>
      <w:r w:rsidRPr="054CF0A3">
        <w:rPr>
          <w:rFonts w:ascii="Verdana" w:eastAsia="Verdana" w:hAnsi="Verdana" w:cs="Verdana"/>
          <w:color w:val="000000" w:themeColor="text1"/>
        </w:rPr>
        <w:t xml:space="preserve">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7">
        <w:r w:rsidRPr="054CF0A3">
          <w:rPr>
            <w:rStyle w:val="Hipervnculo"/>
            <w:rFonts w:ascii="Verdana" w:eastAsia="Verdana" w:hAnsi="Verdana" w:cs="Verdana"/>
            <w:color w:val="000000" w:themeColor="text1"/>
          </w:rPr>
          <w:t>https://www.colombiacompra.gov.co/archivos/circular/circular-externa-002-de-2026</w:t>
        </w:r>
      </w:hyperlink>
    </w:p>
    <w:p w14:paraId="681A7028" w14:textId="77777777" w:rsidR="000A51DC" w:rsidRDefault="000A51DC" w:rsidP="000A51DC">
      <w:pPr>
        <w:shd w:val="clear" w:color="auto" w:fill="FFFFFF" w:themeFill="background1"/>
        <w:spacing w:before="220" w:after="220"/>
        <w:jc w:val="both"/>
        <w:rPr>
          <w:rFonts w:ascii="Verdana" w:eastAsia="Verdana" w:hAnsi="Verdana" w:cs="Verdana"/>
          <w:color w:val="000000" w:themeColor="text1"/>
        </w:rPr>
      </w:pPr>
      <w:r w:rsidRPr="054CF0A3">
        <w:rPr>
          <w:rFonts w:ascii="Verdana" w:eastAsia="Verdana" w:hAnsi="Verdana" w:cs="Verdana"/>
          <w:color w:val="000000" w:themeColor="text1"/>
        </w:rPr>
        <w:t>Finalmente, si quieres seguir de cerca la actividad de la Agencia, la tercera edición de 2026 del</w:t>
      </w:r>
      <w:r w:rsidRPr="054CF0A3">
        <w:rPr>
          <w:rFonts w:ascii="Verdana" w:eastAsia="Verdana" w:hAnsi="Verdana" w:cs="Verdana"/>
          <w:b/>
          <w:bCs/>
          <w:color w:val="000000" w:themeColor="text1"/>
        </w:rPr>
        <w:t xml:space="preserve"> Radar de la Compra Pública</w:t>
      </w:r>
      <w:r w:rsidRPr="054CF0A3">
        <w:rPr>
          <w:rFonts w:ascii="Verdana" w:eastAsia="Verdana" w:hAnsi="Verdana" w:cs="Verdana"/>
          <w:color w:val="000000" w:themeColor="text1"/>
        </w:rPr>
        <w:t xml:space="preserve"> reúne, entre otros contenidos, la Circular Externa 003 de 2026, el Decreto 552 de 2026, un estudio </w:t>
      </w:r>
      <w:r w:rsidRPr="054CF0A3">
        <w:rPr>
          <w:rFonts w:ascii="Verdana" w:eastAsia="Verdana" w:hAnsi="Verdana" w:cs="Verdana"/>
          <w:color w:val="000000" w:themeColor="text1"/>
        </w:rPr>
        <w:lastRenderedPageBreak/>
        <w:t xml:space="preserve">sobre inteligencia artificial en la compra pública, los avances de la Relatoría, análisis jurisprudencial, conceptos jurídicos destacados y la oferta de la Escuela Virtual ANCP-CCE. Descárgalo aquí: </w:t>
      </w:r>
      <w:hyperlink r:id="rId18">
        <w:r w:rsidRPr="054CF0A3">
          <w:rPr>
            <w:rStyle w:val="Hipervnculo"/>
            <w:rFonts w:ascii="Verdana" w:eastAsia="Verdana" w:hAnsi="Verdana" w:cs="Verdana"/>
            <w:color w:val="000000" w:themeColor="text1"/>
          </w:rPr>
          <w:t>https://www.colombiacompra.gov.co/archivos/boletin/boletin-edicion-n-3-de-2026-radar-de-la-compra-publica</w:t>
        </w:r>
      </w:hyperlink>
    </w:p>
    <w:p w14:paraId="594DAE6F" w14:textId="77777777" w:rsidR="000A51DC" w:rsidRPr="003D5882" w:rsidRDefault="000A51DC" w:rsidP="000A51DC">
      <w:pPr>
        <w:spacing w:after="0" w:line="257" w:lineRule="auto"/>
        <w:jc w:val="both"/>
        <w:textAlignment w:val="baseline"/>
        <w:rPr>
          <w:rFonts w:ascii="Verdana" w:eastAsia="Verdana" w:hAnsi="Verdana" w:cs="Verdana"/>
          <w:color w:val="000000" w:themeColor="text1"/>
          <w:lang w:val="es"/>
        </w:rPr>
      </w:pPr>
      <w:r w:rsidRPr="39124533">
        <w:rPr>
          <w:rFonts w:ascii="Verdana" w:eastAsia="Verdana" w:hAnsi="Verdana" w:cs="Verdana"/>
          <w:color w:val="000000" w:themeColor="text1"/>
          <w:lang w:val="es"/>
        </w:rPr>
        <w:t xml:space="preserve">Lo invitamos a seguirnos en las redes sociales en las cuales se difunde información institucional: </w:t>
      </w:r>
    </w:p>
    <w:p w14:paraId="1429B47D" w14:textId="77777777" w:rsidR="000A51DC" w:rsidRPr="0015699B" w:rsidRDefault="000A51DC" w:rsidP="000A51DC">
      <w:pPr>
        <w:spacing w:after="0" w:line="240"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1EFDE2EC" w14:textId="77777777" w:rsidR="000A51DC" w:rsidRPr="0015699B" w:rsidRDefault="000A51DC" w:rsidP="000A51DC">
      <w:pPr>
        <w:spacing w:after="0" w:line="240"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Twitter: </w:t>
      </w:r>
      <w:r w:rsidRPr="40A87941">
        <w:rPr>
          <w:rFonts w:ascii="Verdana" w:eastAsia="Verdana" w:hAnsi="Verdana" w:cs="Verdana"/>
          <w:color w:val="000000" w:themeColor="text1"/>
          <w:u w:val="single"/>
          <w:lang w:val="es"/>
        </w:rPr>
        <w:t>@colombiacompra</w:t>
      </w:r>
      <w:r w:rsidRPr="40A87941">
        <w:rPr>
          <w:rFonts w:ascii="Verdana" w:eastAsia="Verdana" w:hAnsi="Verdana" w:cs="Verdana"/>
          <w:color w:val="000000" w:themeColor="text1"/>
          <w:lang w:val="es"/>
        </w:rPr>
        <w:t xml:space="preserve"> </w:t>
      </w:r>
    </w:p>
    <w:p w14:paraId="0CF74477" w14:textId="77777777" w:rsidR="000A51DC" w:rsidRPr="0015699B" w:rsidRDefault="000A51DC" w:rsidP="000A51DC">
      <w:pPr>
        <w:spacing w:after="0" w:line="240" w:lineRule="auto"/>
        <w:jc w:val="both"/>
        <w:textAlignment w:val="baseline"/>
        <w:rPr>
          <w:rFonts w:ascii="Verdana" w:eastAsia="Verdana" w:hAnsi="Verdana" w:cs="Verdana"/>
          <w:color w:val="000000" w:themeColor="text1"/>
          <w:u w:val="single"/>
          <w:lang w:val="es-ES"/>
        </w:rPr>
      </w:pPr>
      <w:r w:rsidRPr="40A87941">
        <w:rPr>
          <w:rFonts w:ascii="Verdana" w:eastAsia="Verdana" w:hAnsi="Verdana" w:cs="Verdana"/>
          <w:color w:val="000000" w:themeColor="text1"/>
          <w:lang w:val="es-ES"/>
        </w:rPr>
        <w:t xml:space="preserve">Facebook: </w:t>
      </w:r>
      <w:proofErr w:type="spellStart"/>
      <w:r w:rsidRPr="40A87941">
        <w:rPr>
          <w:rFonts w:ascii="Verdana" w:eastAsia="Verdana" w:hAnsi="Verdana" w:cs="Verdana"/>
          <w:color w:val="000000" w:themeColor="text1"/>
          <w:u w:val="single"/>
          <w:lang w:val="es-ES"/>
        </w:rPr>
        <w:t>ColombiaCompraEficiente</w:t>
      </w:r>
      <w:proofErr w:type="spellEnd"/>
    </w:p>
    <w:p w14:paraId="050A3CB6" w14:textId="77777777" w:rsidR="000A51DC" w:rsidRPr="0015699B" w:rsidRDefault="000A51DC" w:rsidP="000A51DC">
      <w:pPr>
        <w:spacing w:after="0" w:line="240" w:lineRule="auto"/>
        <w:jc w:val="both"/>
        <w:textAlignment w:val="baseline"/>
        <w:rPr>
          <w:rFonts w:ascii="Verdana" w:eastAsia="Verdana" w:hAnsi="Verdana" w:cs="Verdana"/>
          <w:color w:val="000000" w:themeColor="text1"/>
          <w:u w:val="single"/>
          <w:lang w:val="es"/>
        </w:rPr>
      </w:pPr>
      <w:r w:rsidRPr="40A87941">
        <w:rPr>
          <w:rFonts w:ascii="Verdana" w:eastAsia="Verdana" w:hAnsi="Verdana" w:cs="Verdana"/>
          <w:color w:val="000000" w:themeColor="text1"/>
          <w:lang w:val="es"/>
        </w:rPr>
        <w:t xml:space="preserve">LinkedIn: </w:t>
      </w:r>
      <w:r w:rsidRPr="40A87941">
        <w:rPr>
          <w:rFonts w:ascii="Verdana" w:eastAsia="Verdana" w:hAnsi="Verdana" w:cs="Verdana"/>
          <w:color w:val="000000" w:themeColor="text1"/>
          <w:u w:val="single"/>
          <w:lang w:val="es"/>
        </w:rPr>
        <w:t>Agencia Nacional de Contratación Pública - Colombia Compra Eficiente</w:t>
      </w:r>
      <w:r w:rsidRPr="40A87941">
        <w:rPr>
          <w:rFonts w:ascii="Verdana" w:eastAsia="Verdana" w:hAnsi="Verdana" w:cs="Verdana"/>
          <w:color w:val="000000" w:themeColor="text1"/>
          <w:lang w:val="es"/>
        </w:rPr>
        <w:t xml:space="preserve"> Instagram: </w:t>
      </w:r>
      <w:r w:rsidRPr="40A87941">
        <w:rPr>
          <w:rFonts w:ascii="Verdana" w:eastAsia="Verdana" w:hAnsi="Verdana" w:cs="Verdana"/>
          <w:color w:val="000000" w:themeColor="text1"/>
          <w:u w:val="single"/>
          <w:lang w:val="es"/>
        </w:rPr>
        <w:t>@colombiacompraeficiente_cce</w:t>
      </w:r>
    </w:p>
    <w:p w14:paraId="74C7BD6C" w14:textId="77777777" w:rsidR="000A51DC" w:rsidRPr="0015699B" w:rsidRDefault="000A51DC" w:rsidP="000A51DC">
      <w:pPr>
        <w:spacing w:after="0" w:line="276"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2DBAD7FD" w14:textId="77777777" w:rsidR="000A51DC" w:rsidRPr="0015699B" w:rsidRDefault="000A51DC" w:rsidP="000A51DC">
      <w:pPr>
        <w:spacing w:after="0" w:line="276"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73FCD335" w14:textId="77777777" w:rsidR="000A51DC" w:rsidRPr="0015699B" w:rsidRDefault="000A51DC" w:rsidP="000A51DC">
      <w:pPr>
        <w:spacing w:after="0" w:line="240"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453F9157" w14:textId="77777777" w:rsidR="000A51DC" w:rsidRPr="0015699B" w:rsidRDefault="000A51DC" w:rsidP="000A51DC">
      <w:pPr>
        <w:spacing w:after="0" w:line="240" w:lineRule="auto"/>
        <w:jc w:val="both"/>
        <w:textAlignment w:val="baseline"/>
      </w:pPr>
      <w:r w:rsidRPr="40A87941">
        <w:rPr>
          <w:rFonts w:ascii="Verdana" w:eastAsia="Verdana" w:hAnsi="Verdana" w:cs="Verdana"/>
          <w:color w:val="000000" w:themeColor="text1"/>
          <w:lang w:val="es"/>
        </w:rPr>
        <w:t xml:space="preserve"> Atentamente, </w:t>
      </w:r>
    </w:p>
    <w:p w14:paraId="32B77E76" w14:textId="646D8374" w:rsidR="000A51DC" w:rsidRDefault="000A51DC" w:rsidP="000A51DC">
      <w:pPr>
        <w:spacing w:after="0" w:line="240" w:lineRule="auto"/>
        <w:ind w:left="2340"/>
        <w:jc w:val="both"/>
        <w:rPr>
          <w:noProof/>
        </w:rPr>
      </w:pPr>
    </w:p>
    <w:p w14:paraId="636ECFAC" w14:textId="641584F3" w:rsidR="00D5192E" w:rsidRDefault="00D5192E" w:rsidP="00D5192E">
      <w:pPr>
        <w:spacing w:after="0" w:line="240" w:lineRule="auto"/>
        <w:ind w:left="284"/>
        <w:jc w:val="center"/>
        <w:rPr>
          <w:noProof/>
        </w:rPr>
      </w:pPr>
      <w:r>
        <w:rPr>
          <w:noProof/>
        </w:rPr>
        <w:drawing>
          <wp:inline distT="0" distB="0" distL="0" distR="0" wp14:anchorId="5F438B41" wp14:editId="3B743920">
            <wp:extent cx="2935605" cy="1260204"/>
            <wp:effectExtent l="0" t="0" r="0" b="0"/>
            <wp:docPr id="152766865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49474" cy="1266158"/>
                    </a:xfrm>
                    <a:prstGeom prst="rect">
                      <a:avLst/>
                    </a:prstGeom>
                    <a:noFill/>
                    <a:ln>
                      <a:noFill/>
                    </a:ln>
                  </pic:spPr>
                </pic:pic>
              </a:graphicData>
            </a:graphic>
          </wp:inline>
        </w:drawing>
      </w:r>
    </w:p>
    <w:p w14:paraId="0BF8AB3F" w14:textId="77777777" w:rsidR="00D5192E" w:rsidRDefault="00D5192E" w:rsidP="000A51DC">
      <w:pPr>
        <w:spacing w:after="0" w:line="240" w:lineRule="auto"/>
        <w:ind w:left="2340"/>
        <w:jc w:val="both"/>
        <w:rPr>
          <w:noProof/>
        </w:rPr>
      </w:pPr>
    </w:p>
    <w:p w14:paraId="4FEC3693" w14:textId="77777777" w:rsidR="00D5192E" w:rsidRDefault="00D5192E" w:rsidP="000A51DC">
      <w:pPr>
        <w:spacing w:after="0" w:line="240" w:lineRule="auto"/>
        <w:ind w:left="2340"/>
        <w:jc w:val="both"/>
      </w:pPr>
    </w:p>
    <w:p w14:paraId="447B5620" w14:textId="77777777" w:rsidR="000A51DC" w:rsidRPr="0015699B" w:rsidRDefault="000A51DC" w:rsidP="000A51DC">
      <w:pPr>
        <w:spacing w:line="276" w:lineRule="auto"/>
        <w:jc w:val="center"/>
        <w:textAlignment w:val="baseline"/>
        <w:rPr>
          <w:rFonts w:ascii="Calibri" w:eastAsia="Calibri" w:hAnsi="Calibri" w:cs="Calibri"/>
          <w:lang w:val="es"/>
        </w:rPr>
      </w:pPr>
    </w:p>
    <w:tbl>
      <w:tblPr>
        <w:tblStyle w:val="Tablaconcuadrcula"/>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893"/>
        <w:gridCol w:w="4919"/>
      </w:tblGrid>
      <w:tr w:rsidR="000A51DC" w14:paraId="5EFDACFF" w14:textId="77777777" w:rsidTr="00B62E70">
        <w:trPr>
          <w:trHeight w:val="315"/>
        </w:trPr>
        <w:tc>
          <w:tcPr>
            <w:tcW w:w="893" w:type="dxa"/>
            <w:tcBorders>
              <w:top w:val="nil"/>
              <w:bottom w:val="nil"/>
              <w:right w:val="nil"/>
            </w:tcBorders>
            <w:tcMar>
              <w:left w:w="108" w:type="dxa"/>
              <w:right w:w="108" w:type="dxa"/>
            </w:tcMar>
            <w:vAlign w:val="center"/>
          </w:tcPr>
          <w:p w14:paraId="4AA3DA9F" w14:textId="77777777" w:rsidR="000A51DC" w:rsidRDefault="000A51DC" w:rsidP="00B62E70">
            <w:pPr>
              <w:rPr>
                <w:rFonts w:ascii="Verdana" w:eastAsia="Verdana" w:hAnsi="Verdana" w:cs="Verdana"/>
                <w:color w:val="000000" w:themeColor="text1"/>
                <w:sz w:val="16"/>
                <w:szCs w:val="16"/>
                <w:lang w:val="es"/>
              </w:rPr>
            </w:pPr>
            <w:r w:rsidRPr="40A87941">
              <w:rPr>
                <w:rFonts w:ascii="Verdana" w:eastAsia="Verdana" w:hAnsi="Verdana" w:cs="Verdana"/>
                <w:color w:val="000000" w:themeColor="text1"/>
                <w:sz w:val="16"/>
                <w:szCs w:val="16"/>
                <w:lang w:val="es"/>
              </w:rPr>
              <w:t>Elaboró:</w:t>
            </w:r>
          </w:p>
        </w:tc>
        <w:tc>
          <w:tcPr>
            <w:tcW w:w="4919" w:type="dxa"/>
            <w:tcBorders>
              <w:left w:val="nil"/>
            </w:tcBorders>
            <w:tcMar>
              <w:left w:w="108" w:type="dxa"/>
              <w:right w:w="108" w:type="dxa"/>
            </w:tcMar>
            <w:vAlign w:val="center"/>
          </w:tcPr>
          <w:p w14:paraId="0B06ED2B" w14:textId="77777777" w:rsidR="000A51DC" w:rsidRDefault="000A51DC" w:rsidP="00B62E70">
            <w:pPr>
              <w:rPr>
                <w:rFonts w:ascii="Verdana" w:eastAsia="Verdana" w:hAnsi="Verdana" w:cs="Verdana"/>
                <w:color w:val="000000" w:themeColor="text1"/>
                <w:sz w:val="16"/>
                <w:szCs w:val="16"/>
              </w:rPr>
            </w:pPr>
            <w:r>
              <w:rPr>
                <w:rFonts w:ascii="Verdana" w:eastAsia="Verdana" w:hAnsi="Verdana" w:cs="Verdana"/>
                <w:color w:val="000000" w:themeColor="text1"/>
                <w:sz w:val="16"/>
                <w:szCs w:val="16"/>
              </w:rPr>
              <w:t>Daniel Eduardo Rojas Poveda</w:t>
            </w:r>
          </w:p>
          <w:p w14:paraId="23C53136" w14:textId="77777777" w:rsidR="000A51DC" w:rsidRDefault="000A51DC" w:rsidP="00B62E70">
            <w:pPr>
              <w:rPr>
                <w:rFonts w:ascii="Verdana" w:eastAsia="Verdana" w:hAnsi="Verdana" w:cs="Verdana"/>
                <w:color w:val="000000" w:themeColor="text1"/>
                <w:sz w:val="16"/>
                <w:szCs w:val="16"/>
              </w:rPr>
            </w:pPr>
            <w:r w:rsidRPr="40A87941">
              <w:rPr>
                <w:rFonts w:ascii="Verdana" w:eastAsia="Verdana" w:hAnsi="Verdana" w:cs="Verdana"/>
                <w:color w:val="000000" w:themeColor="text1"/>
                <w:sz w:val="16"/>
                <w:szCs w:val="16"/>
              </w:rPr>
              <w:t>C</w:t>
            </w:r>
            <w:r w:rsidRPr="40A87941">
              <w:rPr>
                <w:rFonts w:ascii="Verdana" w:eastAsia="Verdana" w:hAnsi="Verdana" w:cs="Verdana"/>
                <w:sz w:val="16"/>
                <w:szCs w:val="16"/>
              </w:rPr>
              <w:t xml:space="preserve">ontratista </w:t>
            </w:r>
            <w:r w:rsidRPr="40A87941">
              <w:rPr>
                <w:rFonts w:ascii="Verdana" w:eastAsia="Verdana" w:hAnsi="Verdana" w:cs="Verdana"/>
                <w:color w:val="000000" w:themeColor="text1"/>
                <w:sz w:val="16"/>
                <w:szCs w:val="16"/>
              </w:rPr>
              <w:t>de la Subdirección de Gestión Contractual</w:t>
            </w:r>
          </w:p>
        </w:tc>
      </w:tr>
      <w:tr w:rsidR="000A51DC" w14:paraId="3DD9DA3E" w14:textId="77777777" w:rsidTr="00B62E70">
        <w:trPr>
          <w:trHeight w:val="330"/>
        </w:trPr>
        <w:tc>
          <w:tcPr>
            <w:tcW w:w="893" w:type="dxa"/>
            <w:tcBorders>
              <w:top w:val="nil"/>
              <w:bottom w:val="nil"/>
              <w:right w:val="nil"/>
            </w:tcBorders>
            <w:tcMar>
              <w:left w:w="108" w:type="dxa"/>
              <w:right w:w="108" w:type="dxa"/>
            </w:tcMar>
            <w:vAlign w:val="center"/>
          </w:tcPr>
          <w:p w14:paraId="44E29E4F" w14:textId="77777777" w:rsidR="000A51DC" w:rsidRDefault="000A51DC" w:rsidP="00B62E70">
            <w:pPr>
              <w:spacing w:after="255"/>
              <w:rPr>
                <w:rFonts w:ascii="Verdana" w:eastAsia="Verdana" w:hAnsi="Verdana" w:cs="Verdana"/>
                <w:color w:val="000000" w:themeColor="text1"/>
                <w:sz w:val="16"/>
                <w:szCs w:val="16"/>
                <w:lang w:val="es"/>
              </w:rPr>
            </w:pPr>
            <w:r w:rsidRPr="40A87941">
              <w:rPr>
                <w:rFonts w:ascii="Verdana" w:eastAsia="Verdana" w:hAnsi="Verdana" w:cs="Verdana"/>
                <w:color w:val="000000" w:themeColor="text1"/>
                <w:sz w:val="16"/>
                <w:szCs w:val="16"/>
                <w:lang w:val="es"/>
              </w:rPr>
              <w:t>Revisó:</w:t>
            </w:r>
          </w:p>
        </w:tc>
        <w:tc>
          <w:tcPr>
            <w:tcW w:w="4919" w:type="dxa"/>
            <w:tcBorders>
              <w:left w:val="nil"/>
            </w:tcBorders>
            <w:tcMar>
              <w:left w:w="108" w:type="dxa"/>
              <w:right w:w="108" w:type="dxa"/>
            </w:tcMar>
            <w:vAlign w:val="center"/>
          </w:tcPr>
          <w:p w14:paraId="44E01736" w14:textId="77777777" w:rsidR="000A51DC" w:rsidRDefault="000A51DC" w:rsidP="00B62E70">
            <w:pPr>
              <w:rPr>
                <w:rFonts w:ascii="Verdana" w:eastAsia="Verdana" w:hAnsi="Verdana" w:cs="Verdana"/>
                <w:color w:val="000000" w:themeColor="text1"/>
                <w:sz w:val="16"/>
                <w:szCs w:val="16"/>
              </w:rPr>
            </w:pPr>
            <w:r w:rsidRPr="00714455">
              <w:rPr>
                <w:rFonts w:ascii="Verdana" w:eastAsia="Verdana" w:hAnsi="Verdana" w:cs="Verdana"/>
                <w:color w:val="000000" w:themeColor="text1"/>
                <w:sz w:val="16"/>
                <w:szCs w:val="16"/>
              </w:rPr>
              <w:t>Juan David Cárdenas</w:t>
            </w:r>
            <w:r>
              <w:rPr>
                <w:rFonts w:ascii="Verdana" w:eastAsia="Verdana" w:hAnsi="Verdana" w:cs="Verdana"/>
                <w:color w:val="000000" w:themeColor="text1"/>
                <w:sz w:val="16"/>
                <w:szCs w:val="16"/>
              </w:rPr>
              <w:t xml:space="preserve"> Cabeza</w:t>
            </w:r>
          </w:p>
          <w:p w14:paraId="63E75CA4" w14:textId="77777777" w:rsidR="000A51DC" w:rsidRDefault="000A51DC" w:rsidP="00B62E70">
            <w:pPr>
              <w:rPr>
                <w:rFonts w:ascii="Verdana" w:eastAsia="Verdana" w:hAnsi="Verdana" w:cs="Verdana"/>
                <w:color w:val="000000" w:themeColor="text1"/>
                <w:sz w:val="16"/>
                <w:szCs w:val="16"/>
              </w:rPr>
            </w:pPr>
            <w:r>
              <w:rPr>
                <w:rFonts w:ascii="Verdana" w:eastAsia="Verdana" w:hAnsi="Verdana" w:cs="Verdana"/>
                <w:color w:val="000000" w:themeColor="text1"/>
                <w:sz w:val="16"/>
                <w:szCs w:val="16"/>
              </w:rPr>
              <w:t>Contratista</w:t>
            </w:r>
            <w:r w:rsidRPr="39124533">
              <w:rPr>
                <w:rFonts w:ascii="Verdana" w:eastAsia="Verdana" w:hAnsi="Verdana" w:cs="Verdana"/>
                <w:color w:val="000000" w:themeColor="text1"/>
                <w:sz w:val="16"/>
                <w:szCs w:val="16"/>
              </w:rPr>
              <w:t xml:space="preserve"> de la Subdirección de Gestión Contractual</w:t>
            </w:r>
          </w:p>
        </w:tc>
      </w:tr>
      <w:tr w:rsidR="000A51DC" w14:paraId="79721D1C" w14:textId="77777777" w:rsidTr="00B62E70">
        <w:trPr>
          <w:trHeight w:val="300"/>
        </w:trPr>
        <w:tc>
          <w:tcPr>
            <w:tcW w:w="893" w:type="dxa"/>
            <w:tcBorders>
              <w:top w:val="nil"/>
              <w:bottom w:val="nil"/>
              <w:right w:val="nil"/>
            </w:tcBorders>
            <w:tcMar>
              <w:left w:w="108" w:type="dxa"/>
              <w:right w:w="108" w:type="dxa"/>
            </w:tcMar>
            <w:vAlign w:val="center"/>
          </w:tcPr>
          <w:p w14:paraId="69964E1E" w14:textId="77777777" w:rsidR="000A51DC" w:rsidRDefault="000A51DC" w:rsidP="00B62E70">
            <w:pPr>
              <w:rPr>
                <w:rFonts w:ascii="Verdana" w:eastAsia="Verdana" w:hAnsi="Verdana" w:cs="Verdana"/>
                <w:color w:val="000000" w:themeColor="text1"/>
                <w:sz w:val="16"/>
                <w:szCs w:val="16"/>
                <w:lang w:val="es"/>
              </w:rPr>
            </w:pPr>
            <w:r w:rsidRPr="40A87941">
              <w:rPr>
                <w:rFonts w:ascii="Verdana" w:eastAsia="Verdana" w:hAnsi="Verdana" w:cs="Verdana"/>
                <w:color w:val="000000" w:themeColor="text1"/>
                <w:sz w:val="16"/>
                <w:szCs w:val="16"/>
                <w:lang w:val="es"/>
              </w:rPr>
              <w:t>Aprobó:</w:t>
            </w:r>
          </w:p>
        </w:tc>
        <w:tc>
          <w:tcPr>
            <w:tcW w:w="4919" w:type="dxa"/>
            <w:tcBorders>
              <w:left w:val="nil"/>
            </w:tcBorders>
            <w:tcMar>
              <w:left w:w="108" w:type="dxa"/>
              <w:right w:w="108" w:type="dxa"/>
            </w:tcMar>
            <w:vAlign w:val="center"/>
          </w:tcPr>
          <w:p w14:paraId="463FCDAF" w14:textId="77777777" w:rsidR="000A51DC" w:rsidRDefault="000A51DC" w:rsidP="00B62E70">
            <w:pPr>
              <w:rPr>
                <w:rFonts w:ascii="Verdana" w:eastAsia="Verdana" w:hAnsi="Verdana" w:cs="Verdana"/>
                <w:color w:val="000000" w:themeColor="text1"/>
                <w:sz w:val="16"/>
                <w:szCs w:val="16"/>
                <w:lang w:val="pt-BR"/>
              </w:rPr>
            </w:pPr>
            <w:r w:rsidRPr="40A87941">
              <w:rPr>
                <w:rFonts w:ascii="Verdana" w:eastAsia="Verdana" w:hAnsi="Verdana" w:cs="Verdana"/>
                <w:color w:val="000000" w:themeColor="text1"/>
                <w:sz w:val="16"/>
                <w:szCs w:val="16"/>
                <w:lang w:val="pt-BR"/>
              </w:rPr>
              <w:t xml:space="preserve">Carolina Quintero </w:t>
            </w:r>
            <w:proofErr w:type="spellStart"/>
            <w:r w:rsidRPr="40A87941">
              <w:rPr>
                <w:rFonts w:ascii="Verdana" w:eastAsia="Verdana" w:hAnsi="Verdana" w:cs="Verdana"/>
                <w:color w:val="000000" w:themeColor="text1"/>
                <w:sz w:val="16"/>
                <w:szCs w:val="16"/>
                <w:lang w:val="pt-BR"/>
              </w:rPr>
              <w:t>Gacharná</w:t>
            </w:r>
            <w:proofErr w:type="spellEnd"/>
          </w:p>
          <w:p w14:paraId="18C284EC" w14:textId="77777777" w:rsidR="000A51DC" w:rsidRDefault="000A51DC" w:rsidP="00B62E70">
            <w:pPr>
              <w:rPr>
                <w:rFonts w:ascii="Verdana" w:eastAsia="Verdana" w:hAnsi="Verdana" w:cs="Verdana"/>
                <w:color w:val="000000" w:themeColor="text1"/>
                <w:sz w:val="16"/>
                <w:szCs w:val="16"/>
                <w:lang w:val="pt-BR"/>
              </w:rPr>
            </w:pPr>
            <w:r w:rsidRPr="40A87941">
              <w:rPr>
                <w:rFonts w:ascii="Verdana" w:eastAsia="Verdana" w:hAnsi="Verdana" w:cs="Verdana"/>
                <w:color w:val="000000" w:themeColor="text1"/>
                <w:sz w:val="16"/>
                <w:szCs w:val="16"/>
              </w:rPr>
              <w:t>Subdirectora</w:t>
            </w:r>
            <w:r w:rsidRPr="40A87941">
              <w:rPr>
                <w:rFonts w:ascii="Verdana" w:eastAsia="Verdana" w:hAnsi="Verdana" w:cs="Verdana"/>
                <w:color w:val="000000" w:themeColor="text1"/>
                <w:sz w:val="16"/>
                <w:szCs w:val="16"/>
                <w:lang w:val="pt-BR"/>
              </w:rPr>
              <w:t xml:space="preserve"> de Gestión </w:t>
            </w:r>
            <w:proofErr w:type="spellStart"/>
            <w:r w:rsidRPr="40A87941">
              <w:rPr>
                <w:rFonts w:ascii="Verdana" w:eastAsia="Verdana" w:hAnsi="Verdana" w:cs="Verdana"/>
                <w:color w:val="000000" w:themeColor="text1"/>
                <w:sz w:val="16"/>
                <w:szCs w:val="16"/>
                <w:lang w:val="pt-BR"/>
              </w:rPr>
              <w:t>Contractual</w:t>
            </w:r>
            <w:proofErr w:type="spellEnd"/>
            <w:r w:rsidRPr="40A87941">
              <w:rPr>
                <w:rFonts w:ascii="Verdana" w:eastAsia="Verdana" w:hAnsi="Verdana" w:cs="Verdana"/>
                <w:color w:val="000000" w:themeColor="text1"/>
                <w:sz w:val="16"/>
                <w:szCs w:val="16"/>
                <w:lang w:val="pt-BR"/>
              </w:rPr>
              <w:t xml:space="preserve"> ANCP – CCE</w:t>
            </w:r>
          </w:p>
        </w:tc>
      </w:tr>
    </w:tbl>
    <w:p w14:paraId="29D3B109" w14:textId="77777777" w:rsidR="000A51DC" w:rsidRPr="0015699B" w:rsidRDefault="000A51DC" w:rsidP="000A51DC">
      <w:pPr>
        <w:spacing w:line="257" w:lineRule="auto"/>
        <w:jc w:val="both"/>
        <w:textAlignment w:val="baseline"/>
        <w:rPr>
          <w:rFonts w:ascii="Calibri" w:eastAsia="Calibri" w:hAnsi="Calibri" w:cs="Calibri"/>
          <w:lang w:val="es-ES"/>
        </w:rPr>
      </w:pPr>
      <w:r w:rsidRPr="40A87941">
        <w:rPr>
          <w:rFonts w:ascii="Calibri" w:eastAsia="Calibri" w:hAnsi="Calibri" w:cs="Calibri"/>
          <w:lang w:val="es"/>
        </w:rPr>
        <w:t xml:space="preserve"> </w:t>
      </w:r>
    </w:p>
    <w:p w14:paraId="3B27AFCD" w14:textId="77777777" w:rsidR="002A0DD0" w:rsidRPr="00E02524" w:rsidRDefault="002A0DD0" w:rsidP="30821638">
      <w:pPr>
        <w:spacing w:after="0" w:line="240" w:lineRule="auto"/>
        <w:jc w:val="both"/>
        <w:rPr>
          <w:rFonts w:ascii="Verdana" w:eastAsia="Verdana" w:hAnsi="Verdana" w:cs="Verdana"/>
          <w:b/>
          <w:bCs/>
          <w:lang w:val="es-MX"/>
        </w:rPr>
      </w:pPr>
    </w:p>
    <w:p w14:paraId="7C9026E2" w14:textId="77777777" w:rsidR="002A0DD0" w:rsidRPr="00E02524" w:rsidRDefault="002A0DD0" w:rsidP="30821638">
      <w:pPr>
        <w:spacing w:after="0" w:line="240" w:lineRule="auto"/>
        <w:jc w:val="both"/>
        <w:rPr>
          <w:rFonts w:ascii="Verdana" w:eastAsia="Verdana" w:hAnsi="Verdana" w:cs="Verdana"/>
          <w:b/>
          <w:bCs/>
          <w:lang w:val="es-MX"/>
        </w:rPr>
      </w:pPr>
    </w:p>
    <w:p w14:paraId="1006A388" w14:textId="77777777" w:rsidR="00C15139" w:rsidRPr="000E2B93" w:rsidRDefault="00C15139" w:rsidP="30821638">
      <w:pPr>
        <w:spacing w:after="0" w:line="240" w:lineRule="auto"/>
        <w:jc w:val="both"/>
        <w:textAlignment w:val="baseline"/>
        <w:rPr>
          <w:rFonts w:ascii="Verdana" w:eastAsia="Verdana" w:hAnsi="Verdana" w:cs="Verdana"/>
          <w:lang w:eastAsia="es-CO"/>
        </w:rPr>
      </w:pPr>
    </w:p>
    <w:p w14:paraId="69BC4D14" w14:textId="5F694449"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275EA" w14:textId="77777777" w:rsidR="001B42B9" w:rsidRDefault="001B42B9" w:rsidP="004A1847">
      <w:pPr>
        <w:spacing w:after="0" w:line="240" w:lineRule="auto"/>
      </w:pPr>
      <w:r>
        <w:separator/>
      </w:r>
    </w:p>
  </w:endnote>
  <w:endnote w:type="continuationSeparator" w:id="0">
    <w:p w14:paraId="6C0C3784" w14:textId="77777777" w:rsidR="001B42B9" w:rsidRDefault="001B42B9"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DejaVuSerif">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Geomanist Bold">
    <w:altName w:val="Calibri"/>
    <w:panose1 w:val="00000000000000000000"/>
    <w:charset w:val="00"/>
    <w:family w:val="modern"/>
    <w:notTrueType/>
    <w:pitch w:val="variable"/>
    <w:sig w:usb0="A000002F" w:usb1="1000004A" w:usb2="00000000" w:usb3="00000000" w:csb0="00000193" w:csb1="00000000"/>
  </w:font>
  <w:font w:name="Century Gothic">
    <w:altName w:val="Century Gothic"/>
    <w:panose1 w:val="020B0502020202020204"/>
    <w:charset w:val="00"/>
    <w:family w:val="swiss"/>
    <w:pitch w:val="variable"/>
    <w:sig w:usb0="00000287" w:usb1="00000000" w:usb2="00000000" w:usb3="00000000" w:csb0="0000009F"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7854A" w14:textId="77777777" w:rsidR="001B42B9" w:rsidRDefault="001B42B9" w:rsidP="004A1847">
      <w:pPr>
        <w:spacing w:after="0" w:line="240" w:lineRule="auto"/>
      </w:pPr>
      <w:r>
        <w:separator/>
      </w:r>
    </w:p>
  </w:footnote>
  <w:footnote w:type="continuationSeparator" w:id="0">
    <w:p w14:paraId="44ECAFD8" w14:textId="77777777" w:rsidR="001B42B9" w:rsidRDefault="001B42B9" w:rsidP="004A1847">
      <w:pPr>
        <w:spacing w:after="0" w:line="240" w:lineRule="auto"/>
      </w:pPr>
      <w:r>
        <w:continuationSeparator/>
      </w:r>
    </w:p>
  </w:footnote>
  <w:footnote w:id="1">
    <w:p w14:paraId="28F61263" w14:textId="77777777" w:rsidR="000A51DC" w:rsidRPr="00045DDA" w:rsidRDefault="000A51DC" w:rsidP="000A51DC">
      <w:pPr>
        <w:pStyle w:val="NormalWeb"/>
        <w:spacing w:after="0" w:afterAutospacing="0"/>
        <w:ind w:firstLine="709"/>
        <w:contextualSpacing/>
        <w:jc w:val="both"/>
        <w:rPr>
          <w:rFonts w:ascii="Verdana" w:hAnsi="Verdana" w:cs="Arial"/>
          <w:sz w:val="14"/>
          <w:szCs w:val="14"/>
        </w:rPr>
      </w:pPr>
      <w:r w:rsidRPr="00045DDA">
        <w:rPr>
          <w:rStyle w:val="Refdenotaalpie"/>
          <w:rFonts w:ascii="Verdana" w:hAnsi="Verdana" w:cs="Arial"/>
          <w:sz w:val="14"/>
          <w:szCs w:val="14"/>
        </w:rPr>
        <w:footnoteRef/>
      </w:r>
      <w:r w:rsidRPr="00045DDA">
        <w:rPr>
          <w:rFonts w:ascii="Verdana" w:hAnsi="Verdana" w:cs="Arial"/>
          <w:sz w:val="14"/>
          <w:szCs w:val="14"/>
        </w:rPr>
        <w:t xml:space="preserve"> </w:t>
      </w:r>
      <w:r w:rsidRPr="00045DDA">
        <w:rPr>
          <w:rFonts w:ascii="Verdana" w:hAnsi="Verdana" w:cs="Arial"/>
          <w:sz w:val="14"/>
          <w:szCs w:val="14"/>
          <w:lang w:val="es-ES"/>
        </w:rPr>
        <w:t>“</w:t>
      </w:r>
      <w:r w:rsidRPr="00045DDA">
        <w:rPr>
          <w:rFonts w:ascii="Verdana" w:hAnsi="Verdana" w:cs="Arial"/>
          <w:sz w:val="14"/>
          <w:szCs w:val="14"/>
        </w:rPr>
        <w:t>Para poder participar en los procesos de selección de los contratos de obra, la capacidad residual del proponente o K de contratación deberá ser igual o superior al que la entidad haya establecido para el efecto en los pliegos de condiciones. Para establecer la capacidad residual del proponente o K de contratación, se deberán considerar todos los contratos que tenga en ejecución el proponente al momento de presentar la oferta. El desarrollo y ejecución del contrato podrá dar lugar a que los valores que sean cancelados al contratista se consideren para establecer el real K de contratación, en cada oportunidad. El Gobierno Nacional reglamentará la materia.</w:t>
      </w:r>
    </w:p>
  </w:footnote>
  <w:footnote w:id="2">
    <w:p w14:paraId="032C1F5C" w14:textId="77777777" w:rsidR="000A51DC" w:rsidRPr="005A3A3B" w:rsidRDefault="000A51DC" w:rsidP="000A51DC">
      <w:pPr>
        <w:pStyle w:val="Textonotapie"/>
        <w:contextualSpacing/>
        <w:rPr>
          <w:rFonts w:ascii="Verdana" w:hAnsi="Verdana"/>
          <w:sz w:val="14"/>
          <w:szCs w:val="14"/>
          <w:lang w:val="es-ES"/>
        </w:rPr>
      </w:pPr>
      <w:r>
        <w:rPr>
          <w:rFonts w:ascii="Verdana" w:hAnsi="Verdana"/>
          <w:sz w:val="14"/>
          <w:szCs w:val="14"/>
        </w:rPr>
        <w:t xml:space="preserve">                </w:t>
      </w:r>
      <w:r w:rsidRPr="005A3A3B">
        <w:rPr>
          <w:rStyle w:val="Refdenotaalpie"/>
          <w:rFonts w:ascii="Verdana" w:hAnsi="Verdana"/>
          <w:sz w:val="14"/>
          <w:szCs w:val="14"/>
        </w:rPr>
        <w:footnoteRef/>
      </w:r>
      <w:r w:rsidRPr="005A3A3B">
        <w:rPr>
          <w:rFonts w:ascii="Verdana" w:hAnsi="Verdana"/>
          <w:sz w:val="14"/>
          <w:szCs w:val="14"/>
        </w:rPr>
        <w:t>Disponible en: https://www.colombiacompra.gov.co/archivos/manual/manual-para-determinar-y-verificar-los-requisitos-habilitantes-en-los-procesos-de-contratacion</w:t>
      </w:r>
    </w:p>
  </w:footnote>
  <w:footnote w:id="3">
    <w:p w14:paraId="4EBBB329" w14:textId="77777777" w:rsidR="000A51DC" w:rsidRPr="002F50D4" w:rsidRDefault="000A51DC" w:rsidP="000A51DC">
      <w:pPr>
        <w:pStyle w:val="NormalWeb"/>
        <w:spacing w:after="0"/>
        <w:ind w:firstLine="709"/>
        <w:contextualSpacing/>
        <w:jc w:val="both"/>
        <w:rPr>
          <w:rFonts w:ascii="Verdana" w:hAnsi="Verdana" w:cs="Arial"/>
          <w:sz w:val="14"/>
          <w:szCs w:val="14"/>
          <w:lang w:val="es-ES"/>
        </w:rPr>
      </w:pPr>
      <w:r w:rsidRPr="002F50D4">
        <w:rPr>
          <w:rStyle w:val="Refdenotaalpie"/>
          <w:rFonts w:ascii="Verdana" w:hAnsi="Verdana" w:cs="Arial"/>
          <w:sz w:val="14"/>
          <w:szCs w:val="14"/>
        </w:rPr>
        <w:footnoteRef/>
      </w:r>
      <w:r w:rsidRPr="002F50D4">
        <w:rPr>
          <w:rStyle w:val="Refdenotaalpie"/>
          <w:rFonts w:ascii="Verdana" w:hAnsi="Verdana" w:cs="Arial"/>
          <w:sz w:val="14"/>
          <w:szCs w:val="14"/>
        </w:rPr>
        <w:t xml:space="preserve"> “</w:t>
      </w:r>
      <w:r w:rsidRPr="002F50D4">
        <w:rPr>
          <w:rFonts w:ascii="Verdana" w:hAnsi="Verdana" w:cs="Arial"/>
          <w:sz w:val="14"/>
          <w:szCs w:val="14"/>
          <w:lang w:val="es-ES"/>
        </w:rPr>
        <w:t>Artículo 2.2.1.1.1.6.2. Determinación de los Requisitos Habilitantes. La Entidad Estatal debe establecer los requisitos habilitantes en los pliegos de condiciones o en la invitación, teniendo en cuenta: (a) el Riesgo del Proceso de Contratación; (b) el valor del contrato objeto del Proceso de Contratación; (c) el análisis del sector económico respectivo; y (d) el conocimiento de fondo de los posibles oferentes desde la perspectiva comercial. La Entidad Estatal no debe limitarse a la aplicación mecánica de fórmulas financieras para verificar los requisitos habilitantes.</w:t>
      </w:r>
    </w:p>
    <w:p w14:paraId="11D50238" w14:textId="77777777" w:rsidR="000A51DC" w:rsidRPr="002F50D4" w:rsidRDefault="000A51DC" w:rsidP="000A51DC">
      <w:pPr>
        <w:pStyle w:val="NormalWeb"/>
        <w:spacing w:after="0"/>
        <w:ind w:firstLine="709"/>
        <w:contextualSpacing/>
        <w:jc w:val="both"/>
        <w:rPr>
          <w:rFonts w:ascii="Verdana" w:hAnsi="Verdana" w:cs="Arial"/>
          <w:sz w:val="14"/>
          <w:szCs w:val="14"/>
          <w:lang w:val="es-ES"/>
        </w:rPr>
      </w:pPr>
      <w:r w:rsidRPr="002F50D4">
        <w:rPr>
          <w:rFonts w:ascii="Verdana" w:hAnsi="Verdana" w:cs="Arial"/>
          <w:sz w:val="14"/>
          <w:szCs w:val="14"/>
          <w:lang w:val="es-ES"/>
        </w:rPr>
        <w:t>“Parágrafo Transitorio. </w:t>
      </w:r>
      <w:hyperlink r:id="rId1" w:tgtFrame="_blank" w:history="1">
        <w:r w:rsidRPr="002F50D4">
          <w:rPr>
            <w:sz w:val="14"/>
            <w:szCs w:val="14"/>
          </w:rPr>
          <w:t>https://colaboracion.dnp.gov.co/CDT/Normatividad/DECRETO 579 DEL 31 DE MAYO DE 2021.pdf</w:t>
        </w:r>
      </w:hyperlink>
      <w:r w:rsidRPr="002F50D4">
        <w:rPr>
          <w:rFonts w:ascii="Verdana" w:hAnsi="Verdana" w:cs="Arial"/>
          <w:sz w:val="14"/>
          <w:szCs w:val="14"/>
          <w:lang w:val="es-ES"/>
        </w:rPr>
        <w:t>De conformidad con los parágrafos transitorios de los artículos 2.2.1.1.1.5.2. y 2.2.1.1.1.5.6., yen desarrollo del deber de análisis de las Entidades Estatales, de que trata el artículo 2.2.1.1.1.6.1. de este Decreto, a partir del 1 de julio de 2021 las Entidades Estatales establecerán y evaluarán los requisitos habilitantes de capacidad financiera y organizacional teniendo en cuenta la información que conste en el Registro Único de Proponentes. En todo caso, se establecerán indicadores proporcionales al procedimiento de contratación.  </w:t>
      </w:r>
    </w:p>
    <w:p w14:paraId="33C2CC0D" w14:textId="77777777" w:rsidR="000A51DC" w:rsidRPr="002F50D4" w:rsidRDefault="000A51DC" w:rsidP="000A51DC">
      <w:pPr>
        <w:pStyle w:val="NormalWeb"/>
        <w:spacing w:after="0"/>
        <w:ind w:firstLine="709"/>
        <w:contextualSpacing/>
        <w:jc w:val="both"/>
        <w:rPr>
          <w:rFonts w:ascii="Verdana" w:hAnsi="Verdana" w:cs="Arial"/>
          <w:sz w:val="14"/>
          <w:szCs w:val="14"/>
          <w:lang w:val="es-ES"/>
        </w:rPr>
      </w:pPr>
      <w:r w:rsidRPr="002F50D4">
        <w:rPr>
          <w:rFonts w:ascii="Verdana" w:hAnsi="Verdana" w:cs="Arial"/>
          <w:sz w:val="14"/>
          <w:szCs w:val="14"/>
          <w:lang w:val="es-ES"/>
        </w:rPr>
        <w:t>“Para ello, atendiendo a las condiciones aludidas, en relación con los indicadores de la capacidad financiera y organizacional, de los procesos de selección cuyo acto administrativo de apertura o invitación se publique a partir del 1 de julio de 2021, se tendrá en cuenta la información vigente y en firme en el RUP, por lo que las Entidades Estatales evaluarán estos indicadores, teniendo en cuenta el mejor año fiscal que se refleje en el registro de cada proponente</w:t>
      </w:r>
      <w:r w:rsidRPr="002F50D4">
        <w:rPr>
          <w:rFonts w:ascii="Arial" w:hAnsi="Arial" w:cs="Arial"/>
          <w:sz w:val="14"/>
          <w:szCs w:val="14"/>
          <w:lang w:val="es-ES"/>
        </w:rPr>
        <w:t>​</w:t>
      </w:r>
      <w:r w:rsidRPr="002F50D4">
        <w:rPr>
          <w:rFonts w:ascii="Verdana" w:hAnsi="Verdana" w:cs="Arial"/>
          <w:sz w:val="14"/>
          <w:szCs w:val="14"/>
          <w:lang w:val="es-ES"/>
        </w:rPr>
        <w:t>”.</w:t>
      </w:r>
    </w:p>
    <w:p w14:paraId="531AE0EB" w14:textId="77777777" w:rsidR="000A51DC" w:rsidRPr="00045DDA" w:rsidRDefault="000A51DC" w:rsidP="000A51DC">
      <w:pPr>
        <w:pStyle w:val="NormalWeb"/>
        <w:spacing w:after="0"/>
        <w:ind w:firstLine="709"/>
        <w:contextualSpacing/>
        <w:jc w:val="both"/>
        <w:rPr>
          <w:rStyle w:val="Refdenotaalpie"/>
          <w:rFonts w:ascii="Verdana" w:hAnsi="Verdana" w:cs="Arial"/>
          <w:sz w:val="14"/>
          <w:szCs w:val="14"/>
        </w:rPr>
      </w:pPr>
    </w:p>
  </w:footnote>
  <w:footnote w:id="4">
    <w:p w14:paraId="49337B2D" w14:textId="77777777" w:rsidR="000A51DC" w:rsidRPr="00045DDA" w:rsidRDefault="000A51DC" w:rsidP="000A51DC">
      <w:pPr>
        <w:pStyle w:val="Textonotapie"/>
        <w:ind w:firstLine="708"/>
        <w:contextualSpacing/>
        <w:jc w:val="both"/>
        <w:rPr>
          <w:rFonts w:ascii="Verdana" w:hAnsi="Verdana"/>
          <w:sz w:val="14"/>
          <w:szCs w:val="14"/>
        </w:rPr>
      </w:pPr>
      <w:r w:rsidRPr="00045DDA">
        <w:rPr>
          <w:rStyle w:val="Refdenotaalpie"/>
          <w:rFonts w:ascii="Verdana" w:hAnsi="Verdana"/>
          <w:sz w:val="14"/>
          <w:szCs w:val="14"/>
        </w:rPr>
        <w:footnoteRef/>
      </w:r>
      <w:r w:rsidRPr="00045DDA">
        <w:rPr>
          <w:rFonts w:ascii="Verdana" w:hAnsi="Verdana"/>
          <w:sz w:val="14"/>
          <w:szCs w:val="14"/>
        </w:rPr>
        <w:t xml:space="preserve"> </w:t>
      </w:r>
      <w:r w:rsidRPr="00045DDA">
        <w:rPr>
          <w:rFonts w:ascii="Verdana" w:eastAsia="Times New Roman" w:hAnsi="Verdana" w:cs="Arial"/>
          <w:sz w:val="14"/>
          <w:szCs w:val="14"/>
          <w:lang w:eastAsia="es-CO"/>
        </w:rPr>
        <w:t>Consejo de Estado. Sala de Consulta y Servicio Civil. Concepto del 20 de mayo de 2010. Exp. 1.992. C.P. Enrique José Arboleda Perdomo.</w:t>
      </w:r>
    </w:p>
  </w:footnote>
  <w:footnote w:id="5">
    <w:p w14:paraId="57094516" w14:textId="77777777" w:rsidR="000A51DC" w:rsidRPr="00045DDA" w:rsidRDefault="000A51DC" w:rsidP="000A51DC">
      <w:pPr>
        <w:pStyle w:val="Textonotapie"/>
        <w:jc w:val="both"/>
        <w:rPr>
          <w:rFonts w:ascii="Verdana" w:hAnsi="Verdana"/>
          <w:sz w:val="14"/>
          <w:szCs w:val="14"/>
        </w:rPr>
      </w:pPr>
      <w:r w:rsidRPr="00045DDA">
        <w:rPr>
          <w:rStyle w:val="Refdenotaalpie"/>
          <w:rFonts w:ascii="Verdana" w:hAnsi="Verdana"/>
          <w:sz w:val="14"/>
          <w:szCs w:val="14"/>
        </w:rPr>
        <w:footnoteRef/>
      </w:r>
      <w:r w:rsidRPr="00045DDA">
        <w:rPr>
          <w:rFonts w:ascii="Verdana" w:hAnsi="Verdana"/>
          <w:sz w:val="14"/>
          <w:szCs w:val="14"/>
        </w:rPr>
        <w:t xml:space="preserve"> </w:t>
      </w:r>
      <w:r>
        <w:rPr>
          <w:rFonts w:ascii="Verdana" w:hAnsi="Verdana"/>
          <w:sz w:val="14"/>
          <w:szCs w:val="14"/>
        </w:rPr>
        <w:t xml:space="preserve">Conceptos: </w:t>
      </w:r>
      <w:r w:rsidRPr="00045DDA">
        <w:rPr>
          <w:rFonts w:ascii="Verdana" w:hAnsi="Verdana"/>
          <w:sz w:val="14"/>
          <w:szCs w:val="14"/>
          <w:lang w:val="es-ES"/>
        </w:rPr>
        <w:t xml:space="preserve">C-218 del 2 de abril de 2020, C-307 del 21 de mayo de 2020, C-391 del 10 de agosto de 2020, C-675 del 25 de noviembre de 2020 y C-683 del 21 de noviembre de 2020, C-779 del 20 de septiembre de 2020, C-882 del 21 de diciembre de 2022 y C-426 del 17 de octubre de 2023. </w:t>
      </w:r>
      <w:hyperlink r:id="rId2" w:history="1">
        <w:r w:rsidRPr="00045DDA">
          <w:rPr>
            <w:rStyle w:val="Hipervnculo"/>
            <w:rFonts w:ascii="Verdana" w:hAnsi="Verdana"/>
            <w:color w:val="4472C4" w:themeColor="accent1"/>
            <w:sz w:val="14"/>
            <w:szCs w:val="14"/>
            <w:lang w:val="es-ES"/>
          </w:rPr>
          <w:t>https://relatoria.colombiacompra.gov.co/busqueda/conceptos</w:t>
        </w:r>
      </w:hyperlink>
    </w:p>
  </w:footnote>
  <w:footnote w:id="6">
    <w:p w14:paraId="19AC51BC" w14:textId="77777777" w:rsidR="000A51DC" w:rsidRPr="00045DDA" w:rsidRDefault="000A51DC" w:rsidP="000A51DC">
      <w:pPr>
        <w:pStyle w:val="Textonotapie"/>
        <w:ind w:firstLine="708"/>
        <w:contextualSpacing/>
        <w:jc w:val="both"/>
        <w:rPr>
          <w:rFonts w:ascii="Verdana" w:eastAsia="Times New Roman" w:hAnsi="Verdana" w:cs="Arial"/>
          <w:sz w:val="14"/>
          <w:szCs w:val="14"/>
          <w:lang w:eastAsia="es-CO"/>
        </w:rPr>
      </w:pPr>
      <w:r w:rsidRPr="00045DDA">
        <w:rPr>
          <w:rStyle w:val="Refdenotaalpie"/>
          <w:rFonts w:ascii="Verdana" w:hAnsi="Verdana" w:cs="Arial"/>
          <w:sz w:val="14"/>
          <w:szCs w:val="14"/>
        </w:rPr>
        <w:footnoteRef/>
      </w:r>
      <w:r w:rsidRPr="00045DDA">
        <w:rPr>
          <w:rFonts w:ascii="Verdana" w:hAnsi="Verdana" w:cs="Arial"/>
          <w:sz w:val="14"/>
          <w:szCs w:val="14"/>
        </w:rPr>
        <w:t xml:space="preserve"> </w:t>
      </w:r>
      <w:r w:rsidRPr="00045DDA">
        <w:rPr>
          <w:rFonts w:ascii="Verdana" w:eastAsia="Times New Roman" w:hAnsi="Verdana" w:cs="Arial"/>
          <w:sz w:val="14"/>
          <w:szCs w:val="14"/>
          <w:lang w:eastAsia="es-CO"/>
        </w:rPr>
        <w:t>Ver conceptos: C-008 del 4 de mayo de 2020, C-267 del 4 de mayo de 2020, C-283 del 4 de mayo de 2020, C-365 del 30 de junio de 2020 y C-730 del 14 de diciembre del 2020 y C-779 de 18 de enero de 2021.</w:t>
      </w:r>
    </w:p>
    <w:p w14:paraId="02C84CA0" w14:textId="77777777" w:rsidR="000A51DC" w:rsidRPr="00045DDA" w:rsidRDefault="000A51DC" w:rsidP="000A51DC">
      <w:pPr>
        <w:pStyle w:val="Textonotapie"/>
        <w:ind w:firstLine="708"/>
        <w:contextualSpacing/>
        <w:jc w:val="both"/>
        <w:rPr>
          <w:rFonts w:ascii="Verdana" w:eastAsia="Times New Roman" w:hAnsi="Verdana" w:cs="Arial"/>
          <w:sz w:val="14"/>
          <w:szCs w:val="14"/>
          <w:lang w:eastAsia="es-CO"/>
        </w:rPr>
      </w:pPr>
    </w:p>
  </w:footnote>
  <w:footnote w:id="7">
    <w:p w14:paraId="593059DC" w14:textId="77777777" w:rsidR="000A51DC" w:rsidRPr="00045DDA" w:rsidRDefault="000A51DC" w:rsidP="000A51DC">
      <w:pPr>
        <w:pStyle w:val="Textonotapie"/>
        <w:ind w:firstLine="708"/>
        <w:contextualSpacing/>
        <w:jc w:val="both"/>
        <w:rPr>
          <w:rFonts w:ascii="Verdana" w:hAnsi="Verdana" w:cs="Arial"/>
          <w:sz w:val="14"/>
          <w:szCs w:val="14"/>
        </w:rPr>
      </w:pPr>
      <w:r w:rsidRPr="00045DDA">
        <w:rPr>
          <w:rStyle w:val="Refdenotaalpie"/>
          <w:rFonts w:ascii="Verdana" w:hAnsi="Verdana" w:cs="Arial"/>
          <w:sz w:val="14"/>
          <w:szCs w:val="14"/>
        </w:rPr>
        <w:footnoteRef/>
      </w:r>
      <w:r w:rsidRPr="00045DDA">
        <w:rPr>
          <w:rFonts w:ascii="Verdana" w:hAnsi="Verdana" w:cs="Arial"/>
          <w:sz w:val="14"/>
          <w:szCs w:val="14"/>
        </w:rPr>
        <w:t xml:space="preserve"> Solo se profundizará en dos de ellos, por tener relación con el esquema general de subsanabilidad, en este sentido, el tercer aspecto, en que no se profundizará en este texto, se deriva de lo establecido en el parágrafo 3 del artículo 5 de la Ley 1150 de 2007, incluido por el artículo 5 de la Ley 1882 de 2018: “Parágrafo 3. La no entrega de la garantía de seriedad junto con la propuesta no será subsanable y será causal de rechazo de la misma”. </w:t>
      </w:r>
    </w:p>
    <w:p w14:paraId="2EF42E8F" w14:textId="77777777" w:rsidR="000A51DC" w:rsidRPr="00045DDA" w:rsidRDefault="000A51DC" w:rsidP="000A51DC">
      <w:pPr>
        <w:pStyle w:val="Textonotapie"/>
        <w:ind w:firstLine="708"/>
        <w:contextualSpacing/>
        <w:jc w:val="both"/>
        <w:rPr>
          <w:rFonts w:ascii="Verdana" w:hAnsi="Verdana" w:cs="Arial"/>
          <w:sz w:val="14"/>
          <w:szCs w:val="14"/>
          <w:lang w:val="es-CO"/>
        </w:rPr>
      </w:pPr>
    </w:p>
  </w:footnote>
  <w:footnote w:id="8">
    <w:p w14:paraId="68AAE210" w14:textId="77777777" w:rsidR="000A51DC" w:rsidRPr="00045DDA" w:rsidRDefault="000A51DC" w:rsidP="000A51DC">
      <w:pPr>
        <w:pBdr>
          <w:top w:val="nil"/>
          <w:left w:val="nil"/>
          <w:bottom w:val="nil"/>
          <w:right w:val="nil"/>
          <w:between w:val="nil"/>
        </w:pBdr>
        <w:spacing w:after="0" w:line="240" w:lineRule="auto"/>
        <w:ind w:firstLine="709"/>
        <w:contextualSpacing/>
        <w:jc w:val="both"/>
        <w:rPr>
          <w:rFonts w:ascii="Verdana" w:eastAsia="Arial" w:hAnsi="Verdana" w:cs="Arial"/>
          <w:sz w:val="14"/>
          <w:szCs w:val="14"/>
        </w:rPr>
      </w:pPr>
      <w:r w:rsidRPr="00045DDA">
        <w:rPr>
          <w:rFonts w:ascii="Verdana" w:hAnsi="Verdana" w:cs="Arial"/>
          <w:sz w:val="14"/>
          <w:szCs w:val="14"/>
          <w:vertAlign w:val="superscript"/>
        </w:rPr>
        <w:footnoteRef/>
      </w:r>
      <w:r w:rsidRPr="00045DDA">
        <w:rPr>
          <w:rFonts w:ascii="Verdana" w:eastAsia="Arial" w:hAnsi="Verdana" w:cs="Arial"/>
          <w:sz w:val="14"/>
          <w:szCs w:val="14"/>
          <w:vertAlign w:val="superscript"/>
        </w:rPr>
        <w:t xml:space="preserve"> </w:t>
      </w:r>
      <w:r w:rsidRPr="00045DDA">
        <w:rPr>
          <w:rFonts w:ascii="Verdana" w:eastAsia="Arial" w:hAnsi="Verdana" w:cs="Arial"/>
          <w:sz w:val="14"/>
          <w:szCs w:val="14"/>
        </w:rPr>
        <w:t>Ley 1150 de 2007, artículo 5, parágrafo 4°: “En aquellos procesos de selección en los que se utilice el mecanismo de subasta, los documentos referentes a la futura contratación o a proponente, no necesarios para la comparación de las propuestas, deberán ser solicitados hasta el momento previo a su realización”.</w:t>
      </w:r>
    </w:p>
    <w:p w14:paraId="7EAF6FE7" w14:textId="77777777" w:rsidR="000A51DC" w:rsidRPr="00045DDA" w:rsidRDefault="000A51DC" w:rsidP="000A51DC">
      <w:pPr>
        <w:pBdr>
          <w:top w:val="nil"/>
          <w:left w:val="nil"/>
          <w:bottom w:val="nil"/>
          <w:right w:val="nil"/>
          <w:between w:val="nil"/>
        </w:pBdr>
        <w:spacing w:after="0" w:line="240" w:lineRule="auto"/>
        <w:ind w:firstLine="709"/>
        <w:contextualSpacing/>
        <w:jc w:val="both"/>
        <w:rPr>
          <w:rFonts w:ascii="Verdana" w:eastAsia="Arial" w:hAnsi="Verdana" w:cs="Arial"/>
          <w:sz w:val="14"/>
          <w:szCs w:val="1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D726F5"/>
    <w:multiLevelType w:val="hybridMultilevel"/>
    <w:tmpl w:val="7FDC893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47CEB590"/>
    <w:multiLevelType w:val="hybridMultilevel"/>
    <w:tmpl w:val="AA841710"/>
    <w:lvl w:ilvl="0" w:tplc="26145AFA">
      <w:start w:val="1"/>
      <w:numFmt w:val="upperRoman"/>
      <w:lvlText w:val="%1."/>
      <w:lvlJc w:val="right"/>
      <w:pPr>
        <w:ind w:left="720" w:hanging="360"/>
      </w:pPr>
    </w:lvl>
    <w:lvl w:ilvl="1" w:tplc="802818A6">
      <w:start w:val="1"/>
      <w:numFmt w:val="lowerLetter"/>
      <w:lvlText w:val="%2."/>
      <w:lvlJc w:val="left"/>
      <w:pPr>
        <w:ind w:left="1440" w:hanging="360"/>
      </w:pPr>
    </w:lvl>
    <w:lvl w:ilvl="2" w:tplc="E98C3A7A">
      <w:start w:val="1"/>
      <w:numFmt w:val="lowerRoman"/>
      <w:lvlText w:val="%3."/>
      <w:lvlJc w:val="right"/>
      <w:pPr>
        <w:ind w:left="2160" w:hanging="180"/>
      </w:pPr>
    </w:lvl>
    <w:lvl w:ilvl="3" w:tplc="ACB8BD72">
      <w:start w:val="1"/>
      <w:numFmt w:val="decimal"/>
      <w:lvlText w:val="%4."/>
      <w:lvlJc w:val="left"/>
      <w:pPr>
        <w:ind w:left="2880" w:hanging="360"/>
      </w:pPr>
    </w:lvl>
    <w:lvl w:ilvl="4" w:tplc="48AE8B9A">
      <w:start w:val="1"/>
      <w:numFmt w:val="lowerLetter"/>
      <w:lvlText w:val="%5."/>
      <w:lvlJc w:val="left"/>
      <w:pPr>
        <w:ind w:left="3600" w:hanging="360"/>
      </w:pPr>
    </w:lvl>
    <w:lvl w:ilvl="5" w:tplc="327293A2">
      <w:start w:val="1"/>
      <w:numFmt w:val="lowerRoman"/>
      <w:lvlText w:val="%6."/>
      <w:lvlJc w:val="right"/>
      <w:pPr>
        <w:ind w:left="4320" w:hanging="180"/>
      </w:pPr>
    </w:lvl>
    <w:lvl w:ilvl="6" w:tplc="1FFC5D48">
      <w:start w:val="1"/>
      <w:numFmt w:val="decimal"/>
      <w:lvlText w:val="%7."/>
      <w:lvlJc w:val="left"/>
      <w:pPr>
        <w:ind w:left="5040" w:hanging="360"/>
      </w:pPr>
    </w:lvl>
    <w:lvl w:ilvl="7" w:tplc="2F589C46">
      <w:start w:val="1"/>
      <w:numFmt w:val="lowerLetter"/>
      <w:lvlText w:val="%8."/>
      <w:lvlJc w:val="left"/>
      <w:pPr>
        <w:ind w:left="5760" w:hanging="360"/>
      </w:pPr>
    </w:lvl>
    <w:lvl w:ilvl="8" w:tplc="AB7C3298">
      <w:start w:val="1"/>
      <w:numFmt w:val="lowerRoman"/>
      <w:lvlText w:val="%9."/>
      <w:lvlJc w:val="right"/>
      <w:pPr>
        <w:ind w:left="6480" w:hanging="180"/>
      </w:p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0308506">
    <w:abstractNumId w:val="5"/>
  </w:num>
  <w:num w:numId="2" w16cid:durableId="506796622">
    <w:abstractNumId w:val="1"/>
  </w:num>
  <w:num w:numId="3" w16cid:durableId="438990312">
    <w:abstractNumId w:val="3"/>
  </w:num>
  <w:num w:numId="4" w16cid:durableId="5825669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12871262">
    <w:abstractNumId w:val="1"/>
  </w:num>
  <w:num w:numId="6" w16cid:durableId="209271719">
    <w:abstractNumId w:val="13"/>
  </w:num>
  <w:num w:numId="7" w16cid:durableId="1098871177">
    <w:abstractNumId w:val="4"/>
  </w:num>
  <w:num w:numId="8" w16cid:durableId="1594046532">
    <w:abstractNumId w:val="12"/>
  </w:num>
  <w:num w:numId="9" w16cid:durableId="133720632">
    <w:abstractNumId w:val="6"/>
  </w:num>
  <w:num w:numId="10" w16cid:durableId="118767324">
    <w:abstractNumId w:val="11"/>
  </w:num>
  <w:num w:numId="11" w16cid:durableId="220992457">
    <w:abstractNumId w:val="7"/>
  </w:num>
  <w:num w:numId="12" w16cid:durableId="610892252">
    <w:abstractNumId w:val="0"/>
  </w:num>
  <w:num w:numId="13" w16cid:durableId="1548757247">
    <w:abstractNumId w:val="2"/>
  </w:num>
  <w:num w:numId="14" w16cid:durableId="82801241">
    <w:abstractNumId w:val="14"/>
  </w:num>
  <w:num w:numId="15" w16cid:durableId="538670393">
    <w:abstractNumId w:val="10"/>
  </w:num>
  <w:num w:numId="16" w16cid:durableId="1104425702">
    <w:abstractNumId w:val="9"/>
  </w:num>
  <w:num w:numId="17" w16cid:durableId="19258431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5FF2"/>
    <w:rsid w:val="00016F78"/>
    <w:rsid w:val="00046945"/>
    <w:rsid w:val="00061B2A"/>
    <w:rsid w:val="00082362"/>
    <w:rsid w:val="000A51DC"/>
    <w:rsid w:val="000A683E"/>
    <w:rsid w:val="000B19B9"/>
    <w:rsid w:val="000D0334"/>
    <w:rsid w:val="000D5DA7"/>
    <w:rsid w:val="000F6486"/>
    <w:rsid w:val="00116940"/>
    <w:rsid w:val="00125105"/>
    <w:rsid w:val="00127233"/>
    <w:rsid w:val="0015699B"/>
    <w:rsid w:val="001A33BF"/>
    <w:rsid w:val="001B16C0"/>
    <w:rsid w:val="001B42B9"/>
    <w:rsid w:val="001E4177"/>
    <w:rsid w:val="001F0B24"/>
    <w:rsid w:val="001F7DC6"/>
    <w:rsid w:val="00204558"/>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66E39"/>
    <w:rsid w:val="004A1847"/>
    <w:rsid w:val="004A305D"/>
    <w:rsid w:val="004F0D31"/>
    <w:rsid w:val="004F21C4"/>
    <w:rsid w:val="004F685F"/>
    <w:rsid w:val="005566E8"/>
    <w:rsid w:val="00574867"/>
    <w:rsid w:val="00591460"/>
    <w:rsid w:val="005A1E2C"/>
    <w:rsid w:val="005A65E0"/>
    <w:rsid w:val="005C3777"/>
    <w:rsid w:val="005C5CDC"/>
    <w:rsid w:val="005D476C"/>
    <w:rsid w:val="006200BF"/>
    <w:rsid w:val="006219F8"/>
    <w:rsid w:val="006302F7"/>
    <w:rsid w:val="00646B9F"/>
    <w:rsid w:val="00665D70"/>
    <w:rsid w:val="006900D9"/>
    <w:rsid w:val="00706C16"/>
    <w:rsid w:val="007340C3"/>
    <w:rsid w:val="0075235A"/>
    <w:rsid w:val="00756841"/>
    <w:rsid w:val="007649AB"/>
    <w:rsid w:val="00771D0C"/>
    <w:rsid w:val="007833AC"/>
    <w:rsid w:val="007B268C"/>
    <w:rsid w:val="007B7171"/>
    <w:rsid w:val="007C0C0F"/>
    <w:rsid w:val="007C3DC2"/>
    <w:rsid w:val="007E5497"/>
    <w:rsid w:val="00806F5F"/>
    <w:rsid w:val="00820278"/>
    <w:rsid w:val="008258C9"/>
    <w:rsid w:val="00844AE9"/>
    <w:rsid w:val="00867F95"/>
    <w:rsid w:val="008843B6"/>
    <w:rsid w:val="00891928"/>
    <w:rsid w:val="008A446D"/>
    <w:rsid w:val="008B25F1"/>
    <w:rsid w:val="008D180B"/>
    <w:rsid w:val="008F0EA7"/>
    <w:rsid w:val="00923EEF"/>
    <w:rsid w:val="009419F9"/>
    <w:rsid w:val="0095685E"/>
    <w:rsid w:val="00961B09"/>
    <w:rsid w:val="00965334"/>
    <w:rsid w:val="0097093E"/>
    <w:rsid w:val="00997B44"/>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B0ADB"/>
    <w:rsid w:val="00B00C0E"/>
    <w:rsid w:val="00B01B1A"/>
    <w:rsid w:val="00B0381D"/>
    <w:rsid w:val="00B44A47"/>
    <w:rsid w:val="00B72CD3"/>
    <w:rsid w:val="00B72FFF"/>
    <w:rsid w:val="00BC3D36"/>
    <w:rsid w:val="00BD54A6"/>
    <w:rsid w:val="00BD7F72"/>
    <w:rsid w:val="00BF7425"/>
    <w:rsid w:val="00C04FB3"/>
    <w:rsid w:val="00C11D8B"/>
    <w:rsid w:val="00C15139"/>
    <w:rsid w:val="00C330EB"/>
    <w:rsid w:val="00C50D69"/>
    <w:rsid w:val="00C5365C"/>
    <w:rsid w:val="00C754BE"/>
    <w:rsid w:val="00C76B1C"/>
    <w:rsid w:val="00C925AC"/>
    <w:rsid w:val="00CB6357"/>
    <w:rsid w:val="00CC1B26"/>
    <w:rsid w:val="00D361FD"/>
    <w:rsid w:val="00D423A2"/>
    <w:rsid w:val="00D44E26"/>
    <w:rsid w:val="00D5192E"/>
    <w:rsid w:val="00D520D8"/>
    <w:rsid w:val="00D63AC2"/>
    <w:rsid w:val="00D7383B"/>
    <w:rsid w:val="00D7788A"/>
    <w:rsid w:val="00DA231B"/>
    <w:rsid w:val="00DC39FC"/>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0A51DC"/>
    <w:pPr>
      <w:spacing w:line="240" w:lineRule="exact"/>
    </w:pPr>
    <w:rPr>
      <w:vertAlign w:val="superscript"/>
    </w:rPr>
  </w:style>
  <w:style w:type="character" w:customStyle="1" w:styleId="NormalWebCar">
    <w:name w:val="Normal (Web) Car"/>
    <w:link w:val="NormalWeb"/>
    <w:uiPriority w:val="99"/>
    <w:locked/>
    <w:rsid w:val="000A51DC"/>
    <w:rPr>
      <w:rFonts w:ascii="Times New Roman" w:eastAsia="Times New Roman" w:hAnsi="Times New Roman" w:cs="Times New Roman"/>
      <w:sz w:val="24"/>
      <w:szCs w:val="24"/>
      <w:lang w:eastAsia="es-CO"/>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0A51DC"/>
    <w:rPr>
      <w:rFonts w:ascii="Geomanist Light" w:hAnsi="Geomanist Light"/>
      <w:lang w:val="es-ES"/>
    </w:rPr>
  </w:style>
  <w:style w:type="paragraph" w:styleId="Textoindependiente">
    <w:name w:val="Body Text"/>
    <w:basedOn w:val="Normal"/>
    <w:link w:val="TextoindependienteCar"/>
    <w:uiPriority w:val="1"/>
    <w:qFormat/>
    <w:rsid w:val="000A51DC"/>
    <w:pPr>
      <w:widowControl w:val="0"/>
      <w:autoSpaceDE w:val="0"/>
      <w:autoSpaceDN w:val="0"/>
      <w:spacing w:after="0" w:line="240" w:lineRule="auto"/>
    </w:pPr>
    <w:rPr>
      <w:rFonts w:ascii="Arial MT" w:eastAsia="Arial MT" w:hAnsi="Arial MT" w:cs="Arial MT"/>
      <w:lang w:val="es-ES"/>
    </w:rPr>
  </w:style>
  <w:style w:type="character" w:customStyle="1" w:styleId="TextoindependienteCar">
    <w:name w:val="Texto independiente Car"/>
    <w:basedOn w:val="Fuentedeprrafopredeter"/>
    <w:link w:val="Textoindependiente"/>
    <w:uiPriority w:val="1"/>
    <w:rsid w:val="000A51DC"/>
    <w:rPr>
      <w:rFonts w:ascii="Arial MT" w:eastAsia="Arial MT" w:hAnsi="Arial MT" w:cs="Arial MT"/>
      <w:lang w:val="es-ES"/>
    </w:rPr>
  </w:style>
  <w:style w:type="character" w:customStyle="1" w:styleId="superscript">
    <w:name w:val="superscript"/>
    <w:basedOn w:val="Fuentedeprrafopredeter"/>
    <w:rsid w:val="000A51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latoria.colombiacompra.gov.co/busqueda/conceptos" TargetMode="External"/><Relationship Id="rId18" Type="http://schemas.openxmlformats.org/officeDocument/2006/relationships/hyperlink" Target="https://nam02.safelinks.protection.outlook.com/?url=https%3A%2F%2Fwww.colombiacompra.gov.co%2Farchivos%2Fboletin%2Fboletin-edicion-n-3-de-2026-radar-de-la-compra-publica&amp;data=05%7C02%7Cdaniel.rojas%40colombiacompra.gov.co%7C7128555136e04fa6887d08dee99e1b50%7C7b09041e245149d08cb179d5e3d8c1be%7C0%7C0%7C639205062448658089%7CUnknown%7CTWFpbGZsb3d8eyJFbXB0eU1hcGkiOnRydWUsIlYiOiIwLjAuMDAwMCIsIlAiOiJXaW4zMiIsIkFOIjoiTWFpbCIsIldUIjoyfQ%3D%3D%7C0%7C%7C%7C&amp;sdata=hxI7IcssQTDJ1Uyr%2B%2BcRBDJJk7BVdJJW%2B%2F3Jg82WGfI%3D&amp;reserved=0"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colombiacompra.gov.co/archivos/manual/manual-para-determinar-y-verificar-los-requisitos-habilitantes-en-los-procesos-de-contratacion" TargetMode="External"/><Relationship Id="rId17" Type="http://schemas.openxmlformats.org/officeDocument/2006/relationships/hyperlink" Target="https://nam02.safelinks.protection.outlook.com/?url=https%3A%2F%2Fwww.colombiacompra.gov.co%2Farchivos%2Fcircular%2Fcircular-externa-002-de-2026&amp;data=05%7C02%7Cdaniel.rojas%40colombiacompra.gov.co%7C7128555136e04fa6887d08dee99e1b50%7C7b09041e245149d08cb179d5e3d8c1be%7C0%7C0%7C639205062448638798%7CUnknown%7CTWFpbGZsb3d8eyJFbXB0eU1hcGkiOnRydWUsIlYiOiIwLjAuMDAwMCIsIlAiOiJXaW4zMiIsIkFOIjoiTWFpbCIsIldUIjoyfQ%3D%3D%7C0%7C%7C%7C&amp;sdata=BleggI38FRKn0jF8DoA8g9HSkP3uDdTrTqkrwcDrB%2Fo%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3-de-2026&amp;data=05%7C02%7Cdaniel.rojas%40colombiacompra.gov.co%7C7128555136e04fa6887d08dee99e1b50%7C7b09041e245149d08cb179d5e3d8c1be%7C0%7C0%7C639205062448624002%7CUnknown%7CTWFpbGZsb3d8eyJFbXB0eU1hcGkiOnRydWUsIlYiOiIwLjAuMDAwMCIsIlAiOiJXaW4zMiIsIkFOIjoiTWFpbCIsIldUIjoyfQ%3D%3D%7C0%7C%7C%7C&amp;sdata=arzPuE5g9HcDcoQ6XcnrZvrBNmRg7dREpQYdCPBDVI8%3D&amp;reserved=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icitaciones@morarci.com"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manual%2Fguia-de-garantias-en-procesos-de-contratacion&amp;data=05%7C02%7Cdaniel.rojas%40colombiacompra.gov.co%7C7128555136e04fa6887d08dee99e1b50%7C7b09041e245149d08cb179d5e3d8c1be%7C0%7C0%7C639205062448593820%7CUnknown%7CTWFpbGZsb3d8eyJFbXB0eU1hcGkiOnRydWUsIlYiOiIwLjAuMDAwMCIsIlAiOiJXaW4zMiIsIkFOIjoiTWFpbCIsIldUIjoyfQ%3D%3D%7C0%7C%7C%7C&amp;sdata=hxIQCfuGUII381yJFYTZLjCTG4dHWk4aCsIlfPWtcGc%3D&amp;reserved=0"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latoria.colombiacompra.gov.co/busqueda/conceptos"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relatoria.colombiacompra.gov.co/busqueda/conceptos" TargetMode="External"/><Relationship Id="rId1" Type="http://schemas.openxmlformats.org/officeDocument/2006/relationships/hyperlink" Target="https://colaboracion.dnp.gov.co/CDT/Normatividad/DECRETO%20579%20DEL%2031%20DE%20MAYO%20DE%202021.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7ED9A29A-FF85-4F9D-A6FB-944156A0467F}"/>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20</Pages>
  <Words>6334</Words>
  <Characters>34843</Characters>
  <Application>Microsoft Office Word</Application>
  <DocSecurity>0</DocSecurity>
  <Lines>290</Lines>
  <Paragraphs>82</Paragraphs>
  <ScaleCrop>false</ScaleCrop>
  <Company/>
  <LinksUpToDate>false</LinksUpToDate>
  <CharactersWithSpaces>41095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Daniel Eduardo Rojas Poveda</cp:lastModifiedBy>
  <cp:revision>4</cp:revision>
  <cp:lastPrinted>2023-01-10T21:18:00Z</cp:lastPrinted>
  <dcterms:created xsi:type="dcterms:W3CDTF">2026-09-14T22:35:00Z</dcterms:created>
  <dcterms:modified xsi:type="dcterms:W3CDTF">2026-09-15T12:34:00Z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