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15772" w14:textId="77777777" w:rsidR="007B6FF0" w:rsidRPr="005530EB" w:rsidRDefault="007B6FF0" w:rsidP="007B6FF0">
      <w:pPr>
        <w:spacing w:after="0" w:line="240" w:lineRule="auto"/>
        <w:jc w:val="both"/>
        <w:rPr>
          <w:rFonts w:ascii="Verdana" w:hAnsi="Verdana" w:cs="Arial"/>
          <w:b/>
          <w:bCs/>
        </w:rPr>
      </w:pPr>
      <w:bookmarkStart w:id="0" w:name="_Hlk143780582"/>
      <w:r w:rsidRPr="005530EB">
        <w:rPr>
          <w:rFonts w:ascii="Verdana" w:hAnsi="Verdana" w:cs="Arial"/>
          <w:b/>
          <w:bCs/>
        </w:rPr>
        <w:t>REQUISITOS HABILITANTES – Definición – Función – Identificación</w:t>
      </w:r>
    </w:p>
    <w:p w14:paraId="3ED45CB2" w14:textId="77777777" w:rsidR="007B6FF0" w:rsidRPr="005530EB" w:rsidRDefault="007B6FF0" w:rsidP="007B6FF0">
      <w:pPr>
        <w:spacing w:after="0" w:line="240" w:lineRule="auto"/>
        <w:jc w:val="both"/>
        <w:rPr>
          <w:rFonts w:ascii="Verdana" w:hAnsi="Verdana" w:cs="Arial"/>
          <w:b/>
          <w:bCs/>
        </w:rPr>
      </w:pPr>
    </w:p>
    <w:p w14:paraId="73F4FFEA" w14:textId="77777777" w:rsidR="007B6FF0" w:rsidRPr="004972E2" w:rsidRDefault="007B6FF0" w:rsidP="007B6FF0">
      <w:pPr>
        <w:spacing w:after="0" w:line="240" w:lineRule="auto"/>
        <w:jc w:val="both"/>
        <w:rPr>
          <w:rFonts w:ascii="Verdana" w:eastAsia="Times New Roman" w:hAnsi="Verdana" w:cs="Arial"/>
          <w:lang w:val="es-ES_tradnl" w:eastAsia="es-ES_tradnl"/>
        </w:rPr>
      </w:pPr>
      <w:r w:rsidRPr="004972E2">
        <w:rPr>
          <w:rFonts w:ascii="Verdana" w:eastAsia="Times New Roman" w:hAnsi="Verdana" w:cs="Arial"/>
          <w:lang w:val="es-ES_tradnl" w:eastAsia="es-ES_tradnl"/>
        </w:rPr>
        <w:t>Los requisitos habilitantes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w:t>
      </w:r>
    </w:p>
    <w:p w14:paraId="190A9963" w14:textId="77777777" w:rsidR="007B6FF0" w:rsidRPr="004972E2" w:rsidRDefault="007B6FF0" w:rsidP="007B6FF0">
      <w:pPr>
        <w:spacing w:after="0" w:line="240" w:lineRule="auto"/>
        <w:jc w:val="both"/>
        <w:rPr>
          <w:rFonts w:ascii="Verdana" w:eastAsia="Times New Roman" w:hAnsi="Verdana" w:cs="Arial"/>
          <w:lang w:val="es-ES_tradnl" w:eastAsia="es-ES_tradnl"/>
        </w:rPr>
      </w:pPr>
    </w:p>
    <w:p w14:paraId="46AB3BAA" w14:textId="77777777" w:rsidR="007B6FF0" w:rsidRPr="004972E2" w:rsidRDefault="007B6FF0" w:rsidP="007B6FF0">
      <w:pPr>
        <w:spacing w:after="0" w:line="240" w:lineRule="auto"/>
        <w:jc w:val="both"/>
        <w:rPr>
          <w:rFonts w:ascii="Verdana" w:eastAsia="Times New Roman" w:hAnsi="Verdana" w:cs="Arial"/>
          <w:lang w:val="es-ES" w:eastAsia="es-ES"/>
        </w:rPr>
      </w:pPr>
      <w:r w:rsidRPr="004972E2">
        <w:rPr>
          <w:rFonts w:ascii="Verdana" w:eastAsia="Times New Roman" w:hAnsi="Verdana" w:cs="Arial"/>
          <w:lang w:val="es-ES" w:eastAsia="es-ES"/>
        </w:rPr>
        <w:t>[…]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los parágrafos 1° al 4°, del artículo 5, de la Ley 1150 de 2007.</w:t>
      </w:r>
    </w:p>
    <w:p w14:paraId="321CB449" w14:textId="77777777" w:rsidR="007B6FF0" w:rsidRPr="004972E2" w:rsidRDefault="007B6FF0" w:rsidP="007B6FF0">
      <w:pPr>
        <w:spacing w:after="0" w:line="240" w:lineRule="auto"/>
        <w:jc w:val="both"/>
        <w:rPr>
          <w:rFonts w:ascii="Verdana" w:eastAsia="Times New Roman" w:hAnsi="Verdana" w:cs="Arial"/>
          <w:lang w:val="es-ES_tradnl" w:eastAsia="es-ES_tradnl"/>
        </w:rPr>
      </w:pPr>
      <w:r w:rsidRPr="004972E2">
        <w:rPr>
          <w:rFonts w:ascii="Verdana" w:eastAsia="Times New Roman" w:hAnsi="Verdana" w:cs="Arial"/>
          <w:lang w:val="es-ES_tradnl" w:eastAsia="es-ES_tradnl"/>
        </w:rPr>
        <w:t>[…]</w:t>
      </w:r>
    </w:p>
    <w:p w14:paraId="123D31F5" w14:textId="77777777" w:rsidR="007B6FF0" w:rsidRPr="004972E2" w:rsidRDefault="007B6FF0" w:rsidP="007B6FF0">
      <w:pPr>
        <w:spacing w:after="0" w:line="240" w:lineRule="auto"/>
        <w:jc w:val="both"/>
        <w:rPr>
          <w:rFonts w:ascii="Verdana" w:eastAsia="Times New Roman" w:hAnsi="Verdana" w:cs="Arial"/>
          <w:lang w:val="es-ES" w:eastAsia="es-ES"/>
        </w:rPr>
      </w:pPr>
      <w:r w:rsidRPr="004972E2">
        <w:rPr>
          <w:rFonts w:ascii="Verdana" w:eastAsia="Times New Roman" w:hAnsi="Verdana" w:cs="Arial"/>
          <w:lang w:val="es-ES" w:eastAsia="es-ES"/>
        </w:rPr>
        <w:t xml:space="preserve">[…]el numeral 1°, del artículo 5, de la Ley 1150 de 2005 establece que en los procesos de selección de contratistas serán objeto de verificación, como requisitos habilitantes, entre otros, los siguientes: i) la capacidad jurídica, </w:t>
      </w:r>
      <w:proofErr w:type="spellStart"/>
      <w:r w:rsidRPr="004972E2">
        <w:rPr>
          <w:rFonts w:ascii="Verdana" w:eastAsia="Times New Roman" w:hAnsi="Verdana" w:cs="Arial"/>
          <w:lang w:val="es-ES" w:eastAsia="es-ES"/>
        </w:rPr>
        <w:t>ii</w:t>
      </w:r>
      <w:proofErr w:type="spellEnd"/>
      <w:r w:rsidRPr="004972E2">
        <w:rPr>
          <w:rFonts w:ascii="Verdana" w:eastAsia="Times New Roman" w:hAnsi="Verdana" w:cs="Arial"/>
          <w:lang w:val="es-ES" w:eastAsia="es-ES"/>
        </w:rPr>
        <w:t xml:space="preserve">) la experiencia, </w:t>
      </w:r>
      <w:proofErr w:type="spellStart"/>
      <w:r w:rsidRPr="004972E2">
        <w:rPr>
          <w:rFonts w:ascii="Verdana" w:eastAsia="Times New Roman" w:hAnsi="Verdana" w:cs="Arial"/>
          <w:lang w:val="es-ES" w:eastAsia="es-ES"/>
        </w:rPr>
        <w:t>iii</w:t>
      </w:r>
      <w:proofErr w:type="spellEnd"/>
      <w:r w:rsidRPr="004972E2">
        <w:rPr>
          <w:rFonts w:ascii="Verdana" w:eastAsia="Times New Roman" w:hAnsi="Verdana" w:cs="Arial"/>
          <w:lang w:val="es-ES" w:eastAsia="es-ES"/>
        </w:rPr>
        <w:t xml:space="preserve">) la capacidad financiera y </w:t>
      </w:r>
      <w:proofErr w:type="spellStart"/>
      <w:r w:rsidRPr="004972E2">
        <w:rPr>
          <w:rFonts w:ascii="Verdana" w:eastAsia="Times New Roman" w:hAnsi="Verdana" w:cs="Arial"/>
          <w:lang w:val="es-ES" w:eastAsia="es-ES"/>
        </w:rPr>
        <w:t>iv</w:t>
      </w:r>
      <w:proofErr w:type="spellEnd"/>
      <w:r w:rsidRPr="004972E2">
        <w:rPr>
          <w:rFonts w:ascii="Verdana" w:eastAsia="Times New Roman" w:hAnsi="Verdana" w:cs="Arial"/>
          <w:lang w:val="es-ES" w:eastAsia="es-ES"/>
        </w:rPr>
        <w:t>) la capacidad de organización.</w:t>
      </w:r>
    </w:p>
    <w:p w14:paraId="50B24AE3" w14:textId="77777777" w:rsidR="007B6FF0" w:rsidRPr="004972E2" w:rsidRDefault="007B6FF0" w:rsidP="007B6FF0">
      <w:pPr>
        <w:spacing w:after="0" w:line="240" w:lineRule="auto"/>
        <w:jc w:val="both"/>
        <w:rPr>
          <w:rFonts w:ascii="Verdana" w:eastAsia="Times New Roman" w:hAnsi="Verdana" w:cs="Arial"/>
          <w:lang w:val="es-ES_tradnl" w:eastAsia="es-ES_tradnl"/>
        </w:rPr>
      </w:pPr>
    </w:p>
    <w:p w14:paraId="62EFB9DC" w14:textId="77777777" w:rsidR="007B6FF0" w:rsidRPr="004972E2" w:rsidRDefault="007B6FF0" w:rsidP="007B6FF0">
      <w:pPr>
        <w:spacing w:after="0" w:line="240" w:lineRule="auto"/>
        <w:jc w:val="both"/>
        <w:rPr>
          <w:rFonts w:ascii="Verdana" w:eastAsia="Times New Roman" w:hAnsi="Verdana" w:cs="Arial"/>
          <w:b/>
          <w:lang w:val="es-ES_tradnl" w:eastAsia="es-ES_tradnl"/>
        </w:rPr>
      </w:pPr>
      <w:r w:rsidRPr="004972E2">
        <w:rPr>
          <w:rFonts w:ascii="Verdana" w:eastAsia="Times New Roman" w:hAnsi="Verdana" w:cs="Arial"/>
          <w:b/>
          <w:lang w:val="es-ES_tradnl" w:eastAsia="es-ES_tradnl"/>
        </w:rPr>
        <w:t>REQUSITOS HABILITANTES – Principio de autonomía de la voluntad – Facultad de las entidades para establecerlos</w:t>
      </w:r>
    </w:p>
    <w:p w14:paraId="21BA0D22" w14:textId="77777777" w:rsidR="007B6FF0" w:rsidRPr="004972E2" w:rsidRDefault="007B6FF0" w:rsidP="007B6FF0">
      <w:pPr>
        <w:spacing w:after="0" w:line="240" w:lineRule="auto"/>
        <w:jc w:val="both"/>
        <w:rPr>
          <w:rFonts w:ascii="Verdana" w:eastAsia="Times New Roman" w:hAnsi="Verdana" w:cs="Arial"/>
          <w:b/>
          <w:lang w:val="es-ES_tradnl" w:eastAsia="es-ES_tradnl"/>
        </w:rPr>
      </w:pPr>
    </w:p>
    <w:p w14:paraId="79968D84" w14:textId="77777777" w:rsidR="007B6FF0" w:rsidRPr="004972E2" w:rsidRDefault="007B6FF0" w:rsidP="007B6FF0">
      <w:pPr>
        <w:spacing w:after="0" w:line="240" w:lineRule="auto"/>
        <w:jc w:val="both"/>
        <w:rPr>
          <w:rFonts w:ascii="Verdana" w:eastAsia="Times New Roman" w:hAnsi="Verdana" w:cs="Arial"/>
          <w:lang w:val="es-ES_tradnl" w:eastAsia="es-ES_tradnl"/>
        </w:rPr>
      </w:pPr>
      <w:r w:rsidRPr="004972E2">
        <w:rPr>
          <w:rFonts w:ascii="Verdana" w:eastAsia="Times New Roman" w:hAnsi="Verdana" w:cs="Arial"/>
          <w:lang w:val="es-ES_tradnl" w:eastAsia="es-ES_tradnl"/>
        </w:rPr>
        <w:t>[…] en el “Manual para determinar y verificar los requisitos habilitantes en los Procesos de Contratación” se determinaron los parámetros para establecer, acreditar y subsanar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1FBFFBB0" w14:textId="77777777" w:rsidR="007B6FF0" w:rsidRPr="004972E2" w:rsidRDefault="007B6FF0" w:rsidP="007B6FF0">
      <w:pPr>
        <w:spacing w:after="0" w:line="240" w:lineRule="auto"/>
        <w:jc w:val="both"/>
        <w:rPr>
          <w:rFonts w:ascii="Verdana" w:eastAsia="Times New Roman" w:hAnsi="Verdana" w:cs="Arial"/>
          <w:lang w:val="es-ES_tradnl" w:eastAsia="es-ES_tradnl"/>
        </w:rPr>
      </w:pPr>
      <w:r w:rsidRPr="004972E2">
        <w:rPr>
          <w:rFonts w:ascii="Verdana" w:eastAsia="Times New Roman" w:hAnsi="Verdana" w:cs="Arial"/>
          <w:lang w:val="es-ES_tradnl" w:eastAsia="es-ES_tradnl"/>
        </w:rPr>
        <w:t>[…]</w:t>
      </w:r>
    </w:p>
    <w:p w14:paraId="232756CC" w14:textId="77777777" w:rsidR="007B6FF0" w:rsidRPr="004972E2" w:rsidRDefault="007B6FF0" w:rsidP="007B6FF0">
      <w:pPr>
        <w:spacing w:after="0" w:line="240" w:lineRule="auto"/>
        <w:jc w:val="both"/>
        <w:rPr>
          <w:rFonts w:ascii="Verdana" w:eastAsia="Times New Roman" w:hAnsi="Verdana" w:cs="Arial"/>
          <w:lang w:val="es-ES" w:eastAsia="es-ES"/>
        </w:rPr>
      </w:pPr>
      <w:r w:rsidRPr="004972E2">
        <w:rPr>
          <w:rFonts w:ascii="Verdana" w:eastAsia="Times New Roman" w:hAnsi="Verdana" w:cs="Arial"/>
          <w:lang w:val="es-ES" w:eastAsia="es-ES"/>
        </w:rPr>
        <w:lastRenderedPageBreak/>
        <w:t>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la competencia para que puedan solicitar requisitos habilitantes adicionales o diferentes a los establecidos en el numeral 1°,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w:t>
      </w:r>
    </w:p>
    <w:p w14:paraId="37398B01" w14:textId="77777777" w:rsidR="007B6FF0" w:rsidRPr="004972E2" w:rsidRDefault="007B6FF0" w:rsidP="007B6FF0">
      <w:pPr>
        <w:spacing w:after="0" w:line="240" w:lineRule="auto"/>
        <w:jc w:val="both"/>
        <w:rPr>
          <w:rFonts w:ascii="Verdana" w:eastAsia="Times New Roman" w:hAnsi="Verdana" w:cs="Arial"/>
          <w:lang w:val="es-ES_tradnl" w:eastAsia="es-ES_tradnl"/>
        </w:rPr>
      </w:pPr>
      <w:r w:rsidRPr="004972E2">
        <w:rPr>
          <w:rFonts w:ascii="Verdana" w:eastAsia="Times New Roman" w:hAnsi="Verdana" w:cs="Arial"/>
          <w:lang w:val="es-ES_tradnl" w:eastAsia="es-ES_tradnl"/>
        </w:rPr>
        <w:t>[…]</w:t>
      </w:r>
    </w:p>
    <w:p w14:paraId="3596765D" w14:textId="77777777" w:rsidR="007B6FF0" w:rsidRPr="004972E2" w:rsidRDefault="007B6FF0" w:rsidP="007B6FF0">
      <w:pPr>
        <w:spacing w:after="0" w:line="240" w:lineRule="auto"/>
        <w:jc w:val="both"/>
        <w:rPr>
          <w:rFonts w:ascii="Verdana" w:eastAsia="Times New Roman" w:hAnsi="Verdana" w:cs="Arial"/>
          <w:lang w:val="es-ES" w:eastAsia="es-ES"/>
        </w:rPr>
      </w:pPr>
      <w:r w:rsidRPr="004972E2">
        <w:rPr>
          <w:rFonts w:ascii="Verdana" w:eastAsia="Times New Roman" w:hAnsi="Verdana" w:cs="Arial"/>
          <w:lang w:val="es-ES" w:eastAsia="es-ES"/>
        </w:rPr>
        <w:t xml:space="preserve">[…] aunque la Ley 1150 de 2007 estableció unos requisitos habilitantes para los proponentes, esto es i) la capacidad jurídica, </w:t>
      </w:r>
      <w:proofErr w:type="spellStart"/>
      <w:r w:rsidRPr="004972E2">
        <w:rPr>
          <w:rFonts w:ascii="Verdana" w:eastAsia="Times New Roman" w:hAnsi="Verdana" w:cs="Arial"/>
          <w:lang w:val="es-ES" w:eastAsia="es-ES"/>
        </w:rPr>
        <w:t>ii</w:t>
      </w:r>
      <w:proofErr w:type="spellEnd"/>
      <w:r w:rsidRPr="004972E2">
        <w:rPr>
          <w:rFonts w:ascii="Verdana" w:eastAsia="Times New Roman" w:hAnsi="Verdana" w:cs="Arial"/>
          <w:lang w:val="es-ES" w:eastAsia="es-ES"/>
        </w:rPr>
        <w:t xml:space="preserve">) las condiciones de experiencia, </w:t>
      </w:r>
      <w:proofErr w:type="spellStart"/>
      <w:r w:rsidRPr="004972E2">
        <w:rPr>
          <w:rFonts w:ascii="Verdana" w:eastAsia="Times New Roman" w:hAnsi="Verdana" w:cs="Arial"/>
          <w:lang w:val="es-ES" w:eastAsia="es-ES"/>
        </w:rPr>
        <w:t>iii</w:t>
      </w:r>
      <w:proofErr w:type="spellEnd"/>
      <w:r w:rsidRPr="004972E2">
        <w:rPr>
          <w:rFonts w:ascii="Verdana" w:eastAsia="Times New Roman" w:hAnsi="Verdana" w:cs="Arial"/>
          <w:lang w:val="es-ES" w:eastAsia="es-ES"/>
        </w:rPr>
        <w:t xml:space="preserve">) la capacidad financiera y </w:t>
      </w:r>
      <w:proofErr w:type="spellStart"/>
      <w:r w:rsidRPr="004972E2">
        <w:rPr>
          <w:rFonts w:ascii="Verdana" w:eastAsia="Times New Roman" w:hAnsi="Verdana" w:cs="Arial"/>
          <w:lang w:val="es-ES" w:eastAsia="es-ES"/>
        </w:rPr>
        <w:t>iv</w:t>
      </w:r>
      <w:proofErr w:type="spellEnd"/>
      <w:r w:rsidRPr="004972E2">
        <w:rPr>
          <w:rFonts w:ascii="Verdana" w:eastAsia="Times New Roman" w:hAnsi="Verdana" w:cs="Arial"/>
          <w:lang w:val="es-ES" w:eastAsia="es-ES"/>
        </w:rPr>
        <w:t>)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w:t>
      </w:r>
    </w:p>
    <w:p w14:paraId="68478ED2" w14:textId="77777777" w:rsidR="007B6FF0" w:rsidRPr="004972E2" w:rsidRDefault="007B6FF0" w:rsidP="007B6FF0">
      <w:pPr>
        <w:spacing w:after="0" w:line="240" w:lineRule="auto"/>
        <w:rPr>
          <w:rFonts w:ascii="Verdana" w:eastAsia="Aptos" w:hAnsi="Verdana" w:cs="Times New Roman"/>
        </w:rPr>
      </w:pPr>
    </w:p>
    <w:p w14:paraId="1C3F019B" w14:textId="77777777" w:rsidR="007B6FF0" w:rsidRPr="00AF1555" w:rsidRDefault="007B6FF0" w:rsidP="007B6FF0">
      <w:pPr>
        <w:spacing w:after="0" w:line="240" w:lineRule="auto"/>
        <w:jc w:val="both"/>
        <w:rPr>
          <w:rFonts w:ascii="Verdana" w:eastAsia="Calibri" w:hAnsi="Verdana" w:cs="Arial"/>
          <w:b/>
          <w:lang w:val="es-ES"/>
        </w:rPr>
      </w:pPr>
      <w:r>
        <w:rPr>
          <w:rFonts w:ascii="Verdana" w:eastAsia="Calibri" w:hAnsi="Verdana" w:cs="Arial"/>
          <w:b/>
          <w:lang w:val="es-ES"/>
        </w:rPr>
        <w:t>DECLARATORIA DE DESIERTA</w:t>
      </w:r>
      <w:r w:rsidRPr="00E95799">
        <w:rPr>
          <w:rFonts w:ascii="Verdana" w:eastAsia="Calibri" w:hAnsi="Verdana" w:cs="Arial"/>
          <w:b/>
          <w:lang w:val="es-ES"/>
        </w:rPr>
        <w:t xml:space="preserve"> – </w:t>
      </w:r>
      <w:r>
        <w:rPr>
          <w:rFonts w:ascii="Verdana" w:eastAsia="Calibri" w:hAnsi="Verdana" w:cs="Arial"/>
          <w:b/>
          <w:lang w:val="es-ES"/>
        </w:rPr>
        <w:t>Concepto</w:t>
      </w:r>
    </w:p>
    <w:p w14:paraId="382D5FB1" w14:textId="77777777" w:rsidR="007B6FF0" w:rsidRPr="004972E2" w:rsidRDefault="007B6FF0" w:rsidP="007B6FF0">
      <w:pPr>
        <w:spacing w:after="0" w:line="240" w:lineRule="auto"/>
        <w:jc w:val="both"/>
        <w:rPr>
          <w:rFonts w:ascii="Verdana" w:eastAsia="Calibri" w:hAnsi="Verdana" w:cs="Arial"/>
          <w:b/>
          <w:lang w:val="es-ES"/>
        </w:rPr>
      </w:pPr>
    </w:p>
    <w:p w14:paraId="3FBCCE9C" w14:textId="77777777" w:rsidR="007B6FF0" w:rsidRPr="004972E2" w:rsidRDefault="007B6FF0" w:rsidP="007B6FF0">
      <w:pPr>
        <w:spacing w:after="0" w:line="240" w:lineRule="auto"/>
        <w:jc w:val="both"/>
        <w:rPr>
          <w:rFonts w:ascii="Verdana" w:eastAsia="Calibri" w:hAnsi="Verdana" w:cs="Arial"/>
        </w:rPr>
      </w:pPr>
      <w:r w:rsidRPr="004972E2">
        <w:rPr>
          <w:rFonts w:ascii="Verdana" w:eastAsia="Calibri" w:hAnsi="Verdana" w:cs="Arial"/>
        </w:rPr>
        <w:t>[…] la declaratoria de desierta no es más que una decisión negativa respecto a la adjudicación del contrato, como consecuencia de la imposibilidad de aplicar el principio de selección objetiva. Ésta se adopta mediante un acto definitivo –no de trámite–, pues con él finaliza el procedimiento contractual, lo que impide su continuación. En efecto, mediante dicho acto la entidad manifiesta su decisión de no adjudicar el contrato, esto es, de no seleccionar a su futuro contratista</w:t>
      </w:r>
      <w:r w:rsidRPr="004972E2">
        <w:rPr>
          <w:rFonts w:ascii="Verdana" w:eastAsia="Calibri" w:hAnsi="Verdana" w:cs="Arial"/>
          <w:color w:val="000000"/>
          <w:lang w:val="es-ES_tradnl"/>
        </w:rPr>
        <w:t>.</w:t>
      </w:r>
    </w:p>
    <w:p w14:paraId="494F112F" w14:textId="77777777" w:rsidR="007B6FF0" w:rsidRPr="004972E2" w:rsidRDefault="007B6FF0" w:rsidP="007B6FF0">
      <w:pPr>
        <w:spacing w:after="0" w:line="240" w:lineRule="auto"/>
        <w:rPr>
          <w:rFonts w:ascii="Verdana" w:eastAsia="Aptos" w:hAnsi="Verdana" w:cs="Times New Roman"/>
        </w:rPr>
      </w:pPr>
    </w:p>
    <w:p w14:paraId="79532218" w14:textId="77777777" w:rsidR="007B6FF0" w:rsidRPr="004972E2" w:rsidRDefault="007B6FF0" w:rsidP="007B6FF0">
      <w:pPr>
        <w:spacing w:after="0" w:line="240" w:lineRule="auto"/>
        <w:rPr>
          <w:rFonts w:ascii="Verdana" w:eastAsia="Aptos" w:hAnsi="Verdana" w:cs="Times New Roman"/>
        </w:rPr>
      </w:pPr>
    </w:p>
    <w:p w14:paraId="054FF3C0" w14:textId="77777777" w:rsidR="007B6FF0" w:rsidRPr="004972E2" w:rsidRDefault="007B6FF0" w:rsidP="007B6FF0">
      <w:pPr>
        <w:spacing w:after="0" w:line="240" w:lineRule="auto"/>
        <w:rPr>
          <w:rFonts w:ascii="Verdana" w:eastAsia="Aptos" w:hAnsi="Verdana" w:cs="Times New Roman"/>
        </w:rPr>
      </w:pPr>
    </w:p>
    <w:p w14:paraId="6746B822" w14:textId="77777777" w:rsidR="007B6FF0" w:rsidRPr="004972E2" w:rsidRDefault="007B6FF0" w:rsidP="007B6FF0">
      <w:pPr>
        <w:spacing w:after="0" w:line="240" w:lineRule="auto"/>
        <w:rPr>
          <w:rFonts w:ascii="Verdana" w:eastAsia="Aptos" w:hAnsi="Verdana" w:cs="Times New Roman"/>
        </w:rPr>
      </w:pPr>
    </w:p>
    <w:p w14:paraId="1F12D0B6" w14:textId="77777777" w:rsidR="007B6FF0" w:rsidRPr="004972E2" w:rsidRDefault="007B6FF0" w:rsidP="007B6FF0">
      <w:pPr>
        <w:spacing w:after="0" w:line="240" w:lineRule="auto"/>
        <w:rPr>
          <w:rFonts w:ascii="Verdana" w:eastAsia="Aptos" w:hAnsi="Verdana" w:cs="Times New Roman"/>
        </w:rPr>
      </w:pPr>
    </w:p>
    <w:p w14:paraId="2FDDA039" w14:textId="77777777" w:rsidR="007B6FF0" w:rsidRPr="004972E2" w:rsidRDefault="007B6FF0" w:rsidP="007B6FF0">
      <w:pPr>
        <w:spacing w:after="0" w:line="240" w:lineRule="auto"/>
        <w:rPr>
          <w:rFonts w:ascii="Verdana" w:eastAsia="Aptos" w:hAnsi="Verdana" w:cs="Times New Roman"/>
        </w:rPr>
      </w:pPr>
    </w:p>
    <w:p w14:paraId="645876D5" w14:textId="77777777" w:rsidR="007B6FF0" w:rsidRPr="004972E2" w:rsidRDefault="007B6FF0" w:rsidP="007B6FF0">
      <w:pPr>
        <w:spacing w:after="0" w:line="240" w:lineRule="auto"/>
        <w:rPr>
          <w:rFonts w:ascii="Verdana" w:eastAsia="Aptos" w:hAnsi="Verdana" w:cs="Times New Roman"/>
        </w:rPr>
      </w:pPr>
    </w:p>
    <w:p w14:paraId="30D3B833" w14:textId="77777777" w:rsidR="007B6FF0" w:rsidRPr="004972E2" w:rsidRDefault="007B6FF0" w:rsidP="007B6FF0">
      <w:pPr>
        <w:spacing w:after="0" w:line="240" w:lineRule="auto"/>
        <w:rPr>
          <w:rFonts w:ascii="Verdana" w:eastAsia="Aptos" w:hAnsi="Verdana" w:cs="Times New Roman"/>
        </w:rPr>
      </w:pPr>
    </w:p>
    <w:p w14:paraId="454E48CE" w14:textId="77777777" w:rsidR="007B6FF0" w:rsidRPr="004972E2" w:rsidRDefault="007B6FF0" w:rsidP="007B6FF0">
      <w:pPr>
        <w:spacing w:after="0" w:line="240" w:lineRule="auto"/>
        <w:rPr>
          <w:rFonts w:ascii="Verdana" w:eastAsia="Aptos" w:hAnsi="Verdana" w:cs="Times New Roman"/>
        </w:rPr>
      </w:pPr>
    </w:p>
    <w:p w14:paraId="674BDD3A" w14:textId="77777777" w:rsidR="007B6FF0" w:rsidRPr="004972E2" w:rsidRDefault="007B6FF0" w:rsidP="007B6FF0">
      <w:pPr>
        <w:spacing w:after="0" w:line="240" w:lineRule="auto"/>
        <w:rPr>
          <w:rFonts w:ascii="Verdana" w:eastAsia="Aptos" w:hAnsi="Verdana" w:cs="Times New Roman"/>
        </w:rPr>
      </w:pPr>
    </w:p>
    <w:p w14:paraId="6472E477" w14:textId="77777777" w:rsidR="007B6FF0" w:rsidRPr="004972E2" w:rsidRDefault="007B6FF0" w:rsidP="007B6FF0">
      <w:pPr>
        <w:spacing w:after="0" w:line="240" w:lineRule="auto"/>
        <w:rPr>
          <w:rFonts w:ascii="Verdana" w:eastAsia="Aptos" w:hAnsi="Verdana" w:cs="Times New Roman"/>
        </w:rPr>
      </w:pPr>
    </w:p>
    <w:p w14:paraId="00147CB5" w14:textId="31807633" w:rsidR="007B6FF0" w:rsidRPr="00B33094" w:rsidRDefault="007B6FF0" w:rsidP="007B6FF0">
      <w:pPr>
        <w:spacing w:after="0" w:line="240" w:lineRule="auto"/>
        <w:contextualSpacing/>
        <w:rPr>
          <w:rFonts w:ascii="Verdana" w:eastAsia="Calibri" w:hAnsi="Verdana" w:cs="Arial"/>
        </w:rPr>
      </w:pPr>
      <w:r w:rsidRPr="00B33094">
        <w:rPr>
          <w:rFonts w:ascii="Verdana" w:eastAsia="Times New Roman" w:hAnsi="Verdana" w:cs="Arial"/>
          <w:lang w:val="es-ES" w:eastAsia="es-ES"/>
        </w:rPr>
        <w:lastRenderedPageBreak/>
        <w:t xml:space="preserve">Bogotá, </w:t>
      </w:r>
      <w:r w:rsidR="00B32EA5">
        <w:rPr>
          <w:rFonts w:ascii="Verdana" w:eastAsia="Times New Roman" w:hAnsi="Verdana" w:cs="Arial"/>
          <w:lang w:val="es-ES" w:eastAsia="es-ES"/>
        </w:rPr>
        <w:t>03 de septiembre de 2026</w:t>
      </w:r>
    </w:p>
    <w:p w14:paraId="2D00D7AA" w14:textId="77777777" w:rsidR="007B6FF0" w:rsidRPr="00B33094" w:rsidRDefault="007B6FF0" w:rsidP="007B6FF0">
      <w:pPr>
        <w:spacing w:after="0" w:line="240" w:lineRule="auto"/>
        <w:jc w:val="both"/>
        <w:rPr>
          <w:rFonts w:ascii="Verdana" w:eastAsia="Calibri" w:hAnsi="Verdana" w:cs="Arial"/>
          <w:lang w:val="es-ES"/>
        </w:rPr>
      </w:pPr>
    </w:p>
    <w:p w14:paraId="145E592C" w14:textId="62DEADEB" w:rsidR="007B6FF0" w:rsidRPr="00B33094" w:rsidRDefault="00A23D52" w:rsidP="007B6FF0">
      <w:pPr>
        <w:spacing w:after="0" w:line="240" w:lineRule="auto"/>
        <w:jc w:val="right"/>
        <w:rPr>
          <w:rFonts w:ascii="Verdana" w:eastAsia="Calibri" w:hAnsi="Verdana" w:cs="Arial"/>
          <w:lang w:val="es-ES"/>
        </w:rPr>
      </w:pPr>
      <w:r w:rsidRPr="00A23D52">
        <w:rPr>
          <w:rFonts w:ascii="Verdana" w:eastAsia="Calibri" w:hAnsi="Verdana" w:cs="Arial"/>
          <w:lang w:val="es-ES"/>
        </w:rPr>
        <w:drawing>
          <wp:inline distT="0" distB="0" distL="0" distR="0" wp14:anchorId="13C2F9F3" wp14:editId="39FB9022">
            <wp:extent cx="2438740" cy="685896"/>
            <wp:effectExtent l="0" t="0" r="0" b="0"/>
            <wp:docPr id="1988273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73970" name=""/>
                    <pic:cNvPicPr/>
                  </pic:nvPicPr>
                  <pic:blipFill>
                    <a:blip r:embed="rId10"/>
                    <a:stretch>
                      <a:fillRect/>
                    </a:stretch>
                  </pic:blipFill>
                  <pic:spPr>
                    <a:xfrm>
                      <a:off x="0" y="0"/>
                      <a:ext cx="2438740" cy="685896"/>
                    </a:xfrm>
                    <a:prstGeom prst="rect">
                      <a:avLst/>
                    </a:prstGeom>
                  </pic:spPr>
                </pic:pic>
              </a:graphicData>
            </a:graphic>
          </wp:inline>
        </w:drawing>
      </w:r>
    </w:p>
    <w:p w14:paraId="028FA7E2" w14:textId="77777777" w:rsidR="007B6FF0" w:rsidRPr="00B33094" w:rsidRDefault="007B6FF0" w:rsidP="007B6FF0">
      <w:pPr>
        <w:spacing w:after="0" w:line="240" w:lineRule="auto"/>
        <w:jc w:val="both"/>
        <w:rPr>
          <w:rFonts w:ascii="Verdana" w:eastAsia="Calibri" w:hAnsi="Verdana" w:cs="Arial"/>
          <w:lang w:val="es-ES" w:eastAsia="es-ES"/>
        </w:rPr>
      </w:pPr>
      <w:r w:rsidRPr="00B33094">
        <w:rPr>
          <w:rFonts w:ascii="Verdana" w:eastAsia="Calibri" w:hAnsi="Verdana" w:cs="Arial"/>
          <w:lang w:val="es-ES" w:eastAsia="es-ES"/>
        </w:rPr>
        <w:t>Señor(a)</w:t>
      </w:r>
    </w:p>
    <w:p w14:paraId="5C2833BC" w14:textId="77777777" w:rsidR="007B6FF0" w:rsidRPr="00B33094" w:rsidRDefault="007B6FF0" w:rsidP="007B6FF0">
      <w:pPr>
        <w:spacing w:after="0" w:line="240" w:lineRule="auto"/>
        <w:rPr>
          <w:rFonts w:ascii="Verdana" w:eastAsia="Calibri" w:hAnsi="Verdana" w:cs="Arial"/>
          <w:b/>
          <w:lang w:val="es-ES" w:eastAsia="es-ES"/>
        </w:rPr>
      </w:pPr>
      <w:r w:rsidRPr="00B33094">
        <w:rPr>
          <w:rFonts w:ascii="Verdana" w:eastAsia="Calibri" w:hAnsi="Verdana" w:cs="Arial"/>
          <w:b/>
          <w:lang w:val="es-ES" w:eastAsia="es-ES"/>
        </w:rPr>
        <w:t>Ciudadano(a) Anónimo(a)</w:t>
      </w:r>
    </w:p>
    <w:p w14:paraId="0D559AB4" w14:textId="77777777" w:rsidR="007B6FF0" w:rsidRPr="00B33094" w:rsidRDefault="007B6FF0" w:rsidP="007B6FF0">
      <w:pPr>
        <w:spacing w:after="0" w:line="240" w:lineRule="auto"/>
        <w:rPr>
          <w:rFonts w:ascii="Verdana" w:eastAsia="Calibri" w:hAnsi="Verdana" w:cs="Arial"/>
          <w:b/>
          <w:bCs/>
          <w:lang w:val="es-ES" w:eastAsia="es-ES"/>
        </w:rPr>
      </w:pPr>
      <w:r w:rsidRPr="00B33094">
        <w:rPr>
          <w:rFonts w:ascii="Verdana" w:hAnsi="Verdana"/>
        </w:rPr>
        <w:t>Ciudad</w:t>
      </w:r>
    </w:p>
    <w:p w14:paraId="281CA8FC" w14:textId="77777777" w:rsidR="007B6FF0" w:rsidRPr="00B33094" w:rsidRDefault="007B6FF0" w:rsidP="007B6FF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B6FF0" w:rsidRPr="00B33094" w14:paraId="7D2EE6D3" w14:textId="77777777" w:rsidTr="00D119D4">
        <w:trPr>
          <w:trHeight w:val="308"/>
        </w:trPr>
        <w:tc>
          <w:tcPr>
            <w:tcW w:w="2689" w:type="dxa"/>
          </w:tcPr>
          <w:p w14:paraId="6E8B8ADC" w14:textId="77777777" w:rsidR="007B6FF0" w:rsidRPr="00B33094" w:rsidRDefault="007B6FF0" w:rsidP="00D119D4">
            <w:pPr>
              <w:jc w:val="both"/>
              <w:rPr>
                <w:rFonts w:ascii="Verdana" w:eastAsia="Calibri" w:hAnsi="Verdana" w:cs="Arial"/>
                <w:b/>
                <w:bCs/>
                <w:lang w:val="es-ES_tradnl" w:eastAsia="es-ES_tradnl"/>
              </w:rPr>
            </w:pPr>
          </w:p>
        </w:tc>
        <w:tc>
          <w:tcPr>
            <w:tcW w:w="6100" w:type="dxa"/>
          </w:tcPr>
          <w:p w14:paraId="7A5B066A" w14:textId="77777777" w:rsidR="007B6FF0" w:rsidRPr="00B33094" w:rsidRDefault="007B6FF0" w:rsidP="00D119D4">
            <w:pPr>
              <w:jc w:val="both"/>
              <w:rPr>
                <w:rFonts w:ascii="Verdana" w:eastAsia="Calibri" w:hAnsi="Verdana" w:cs="Arial"/>
                <w:b/>
                <w:bCs/>
                <w:lang w:val="es-ES" w:eastAsia="es-ES"/>
              </w:rPr>
            </w:pPr>
            <w:r w:rsidRPr="00B33094">
              <w:rPr>
                <w:rFonts w:ascii="Verdana" w:eastAsia="Calibri" w:hAnsi="Verdana" w:cs="Arial"/>
                <w:b/>
                <w:bCs/>
                <w:lang w:val="es-ES" w:eastAsia="es-ES"/>
              </w:rPr>
              <w:t>Concepto C-1213 de 2026</w:t>
            </w:r>
          </w:p>
          <w:p w14:paraId="11121150" w14:textId="77777777" w:rsidR="007B6FF0" w:rsidRPr="00B33094" w:rsidRDefault="007B6FF0" w:rsidP="00D119D4">
            <w:pPr>
              <w:jc w:val="both"/>
              <w:rPr>
                <w:rFonts w:ascii="Verdana" w:eastAsia="Calibri" w:hAnsi="Verdana" w:cs="Arial"/>
                <w:b/>
                <w:bCs/>
                <w:lang w:val="es-ES" w:eastAsia="es-ES"/>
              </w:rPr>
            </w:pPr>
          </w:p>
        </w:tc>
      </w:tr>
      <w:tr w:rsidR="007B6FF0" w:rsidRPr="00B33094" w14:paraId="0EE5F82F" w14:textId="77777777" w:rsidTr="00D119D4">
        <w:trPr>
          <w:trHeight w:val="884"/>
        </w:trPr>
        <w:tc>
          <w:tcPr>
            <w:tcW w:w="2689" w:type="dxa"/>
          </w:tcPr>
          <w:p w14:paraId="0B5A38C6" w14:textId="77777777" w:rsidR="007B6FF0" w:rsidRPr="00B33094" w:rsidRDefault="007B6FF0" w:rsidP="00D119D4">
            <w:pPr>
              <w:jc w:val="both"/>
              <w:rPr>
                <w:rFonts w:ascii="Verdana" w:eastAsia="Calibri" w:hAnsi="Verdana" w:cs="Arial"/>
                <w:lang w:val="es-ES_tradnl" w:eastAsia="es-ES_tradnl"/>
              </w:rPr>
            </w:pPr>
            <w:r w:rsidRPr="00B33094">
              <w:rPr>
                <w:rFonts w:ascii="Verdana" w:eastAsia="Calibri" w:hAnsi="Verdana" w:cs="Arial"/>
                <w:b/>
                <w:lang w:val="es-ES_tradnl" w:eastAsia="es-ES_tradnl"/>
              </w:rPr>
              <w:t>Temas:</w:t>
            </w:r>
            <w:r w:rsidRPr="00B33094">
              <w:rPr>
                <w:rFonts w:ascii="Verdana" w:eastAsia="Calibri" w:hAnsi="Verdana" w:cs="Arial"/>
                <w:lang w:val="es-ES_tradnl" w:eastAsia="es-ES_tradnl"/>
              </w:rPr>
              <w:t xml:space="preserve">                   </w:t>
            </w:r>
          </w:p>
        </w:tc>
        <w:tc>
          <w:tcPr>
            <w:tcW w:w="6100" w:type="dxa"/>
          </w:tcPr>
          <w:p w14:paraId="1F40AAD2" w14:textId="77777777" w:rsidR="007B6FF0" w:rsidRPr="00B33094" w:rsidRDefault="007B6FF0" w:rsidP="00D119D4">
            <w:pPr>
              <w:jc w:val="both"/>
              <w:rPr>
                <w:rFonts w:ascii="Verdana" w:eastAsia="Calibri" w:hAnsi="Verdana" w:cs="Arial"/>
                <w:lang w:val="es-ES" w:eastAsia="es-ES"/>
              </w:rPr>
            </w:pPr>
            <w:r w:rsidRPr="00A43A84">
              <w:rPr>
                <w:rFonts w:ascii="Verdana" w:eastAsia="Calibri" w:hAnsi="Verdana" w:cs="Arial"/>
                <w:lang w:val="es-ES" w:eastAsia="es-ES"/>
              </w:rPr>
              <w:t>REQUISITOS HABILITANTES – Definición – Función – Identificación</w:t>
            </w:r>
            <w:r w:rsidRPr="00B33094">
              <w:rPr>
                <w:rFonts w:ascii="Verdana" w:eastAsia="Calibri" w:hAnsi="Verdana" w:cs="Arial"/>
                <w:lang w:val="es-ES" w:eastAsia="es-ES"/>
              </w:rPr>
              <w:t xml:space="preserve">/ </w:t>
            </w:r>
            <w:r w:rsidRPr="00292B88">
              <w:rPr>
                <w:rFonts w:ascii="Verdana" w:eastAsia="Calibri" w:hAnsi="Verdana" w:cs="Arial"/>
                <w:lang w:val="es-ES" w:eastAsia="es-ES"/>
              </w:rPr>
              <w:t>REQUSITOS HABILITANTES – Principio de autonomía de la voluntad – Facultad de las entidades para establecerlos</w:t>
            </w:r>
            <w:r>
              <w:rPr>
                <w:rFonts w:ascii="Verdana" w:eastAsia="Calibri" w:hAnsi="Verdana" w:cs="Arial"/>
                <w:lang w:val="es-ES" w:eastAsia="es-ES"/>
              </w:rPr>
              <w:t xml:space="preserve"> / DECLARATORIA DE DESIERTA - Concepto</w:t>
            </w:r>
          </w:p>
        </w:tc>
      </w:tr>
    </w:tbl>
    <w:p w14:paraId="276ED7E7" w14:textId="77777777" w:rsidR="007B6FF0" w:rsidRPr="00B33094" w:rsidRDefault="007B6FF0" w:rsidP="007B6FF0">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B6FF0" w:rsidRPr="00B33094" w14:paraId="608A3801" w14:textId="77777777" w:rsidTr="00D119D4">
        <w:tc>
          <w:tcPr>
            <w:tcW w:w="2689" w:type="dxa"/>
          </w:tcPr>
          <w:p w14:paraId="625D6E91" w14:textId="77777777" w:rsidR="007B6FF0" w:rsidRPr="00B33094" w:rsidRDefault="007B6FF0" w:rsidP="00D119D4">
            <w:pPr>
              <w:jc w:val="both"/>
              <w:rPr>
                <w:rFonts w:ascii="Verdana" w:eastAsia="Calibri" w:hAnsi="Verdana" w:cs="Arial"/>
                <w:b/>
                <w:lang w:val="es-ES_tradnl" w:eastAsia="es-ES_tradnl"/>
              </w:rPr>
            </w:pPr>
            <w:r w:rsidRPr="00B33094">
              <w:rPr>
                <w:rFonts w:ascii="Verdana" w:eastAsia="Calibri" w:hAnsi="Verdana" w:cs="Arial"/>
                <w:b/>
                <w:lang w:val="es-ES_tradnl" w:eastAsia="es-ES_tradnl"/>
              </w:rPr>
              <w:t>Radicación:</w:t>
            </w:r>
            <w:r w:rsidRPr="00B33094">
              <w:rPr>
                <w:rFonts w:ascii="Verdana" w:eastAsia="Calibri" w:hAnsi="Verdana" w:cs="Arial"/>
                <w:lang w:val="es-ES_tradnl" w:eastAsia="es-ES_tradnl"/>
              </w:rPr>
              <w:t xml:space="preserve">               </w:t>
            </w:r>
          </w:p>
        </w:tc>
        <w:tc>
          <w:tcPr>
            <w:tcW w:w="6100" w:type="dxa"/>
          </w:tcPr>
          <w:p w14:paraId="35678C9D" w14:textId="77777777" w:rsidR="007B6FF0" w:rsidRPr="00B33094" w:rsidRDefault="007B6FF0" w:rsidP="00D119D4">
            <w:pPr>
              <w:jc w:val="both"/>
              <w:rPr>
                <w:rFonts w:ascii="Verdana" w:eastAsia="Calibri" w:hAnsi="Verdana" w:cs="Arial"/>
                <w:lang w:val="es-ES_tradnl" w:eastAsia="es-ES_tradnl"/>
              </w:rPr>
            </w:pPr>
            <w:r w:rsidRPr="00B33094">
              <w:rPr>
                <w:rFonts w:ascii="Verdana" w:eastAsia="Calibri" w:hAnsi="Verdana" w:cs="Arial"/>
                <w:lang w:val="es-ES_tradnl" w:eastAsia="es-ES_tradnl"/>
              </w:rPr>
              <w:t>Respuesta a consulta con radicado No. 1_2026_08_01_010146</w:t>
            </w:r>
          </w:p>
        </w:tc>
      </w:tr>
    </w:tbl>
    <w:p w14:paraId="31935774" w14:textId="77777777" w:rsidR="007B6FF0" w:rsidRPr="00B33094" w:rsidRDefault="007B6FF0" w:rsidP="007B6FF0">
      <w:pPr>
        <w:spacing w:after="0" w:line="240" w:lineRule="auto"/>
        <w:jc w:val="both"/>
        <w:rPr>
          <w:rFonts w:ascii="Verdana" w:eastAsia="Calibri" w:hAnsi="Verdana" w:cs="Arial"/>
          <w:lang w:val="es-ES_tradnl" w:eastAsia="es-ES_tradnl"/>
        </w:rPr>
      </w:pPr>
    </w:p>
    <w:p w14:paraId="7C8ED5DA" w14:textId="77777777" w:rsidR="007B6FF0" w:rsidRPr="00B33094" w:rsidRDefault="007B6FF0" w:rsidP="007B6FF0">
      <w:pPr>
        <w:spacing w:after="0" w:line="240" w:lineRule="auto"/>
        <w:jc w:val="both"/>
        <w:rPr>
          <w:rFonts w:ascii="Verdana" w:eastAsia="Calibri" w:hAnsi="Verdana" w:cs="Arial"/>
          <w:lang w:val="es-ES" w:eastAsia="es-ES"/>
        </w:rPr>
      </w:pPr>
      <w:r w:rsidRPr="00B33094">
        <w:rPr>
          <w:rFonts w:ascii="Verdana" w:eastAsia="Calibri" w:hAnsi="Verdana" w:cs="Arial"/>
          <w:lang w:val="es-ES" w:eastAsia="es-ES"/>
        </w:rPr>
        <w:t xml:space="preserve">Estimado(a) Señor(a) Ciudadano(a) Anónimo(a): </w:t>
      </w:r>
    </w:p>
    <w:p w14:paraId="0EAF0ECC" w14:textId="77777777" w:rsidR="007B6FF0" w:rsidRPr="00B33094" w:rsidRDefault="007B6FF0" w:rsidP="007B6FF0">
      <w:pPr>
        <w:tabs>
          <w:tab w:val="left" w:pos="3768"/>
        </w:tabs>
        <w:spacing w:after="0" w:line="240" w:lineRule="auto"/>
        <w:jc w:val="both"/>
        <w:rPr>
          <w:rFonts w:ascii="Verdana" w:eastAsia="Calibri" w:hAnsi="Verdana" w:cs="Arial"/>
          <w:lang w:val="es-ES" w:eastAsia="es-ES"/>
        </w:rPr>
      </w:pPr>
    </w:p>
    <w:p w14:paraId="6CD772A9" w14:textId="77777777" w:rsidR="007B6FF0" w:rsidRPr="00B33094" w:rsidRDefault="007B6FF0" w:rsidP="007B6FF0">
      <w:pPr>
        <w:spacing w:after="0" w:line="240" w:lineRule="auto"/>
        <w:jc w:val="both"/>
        <w:rPr>
          <w:rFonts w:ascii="Verdana" w:eastAsia="Calibri" w:hAnsi="Verdana" w:cs="Arial"/>
          <w:lang w:val="es-ES" w:eastAsia="es-ES"/>
        </w:rPr>
      </w:pPr>
      <w:r w:rsidRPr="00B33094">
        <w:rPr>
          <w:rFonts w:ascii="Verdana" w:eastAsia="Calibri" w:hAnsi="Verdana" w:cs="Arial"/>
          <w:lang w:val="es-ES" w:eastAsia="es-ES"/>
        </w:rPr>
        <w:t>En ejercicio de la competencia otorgada por los artículos 3, numeral 5º, y 11, numeral 8º, del Decreto Ley 4170 de 2011,</w:t>
      </w:r>
      <w:r w:rsidRPr="00B33094">
        <w:rPr>
          <w:rFonts w:ascii="Verdana" w:eastAsia="Arial MT" w:hAnsi="Verdana" w:cs="Arial MT"/>
          <w:lang w:val="es-ES" w:eastAsia="es-ES"/>
        </w:rPr>
        <w:t xml:space="preserve"> </w:t>
      </w:r>
      <w:r w:rsidRPr="00B33094">
        <w:rPr>
          <w:rFonts w:ascii="Verdana" w:eastAsia="Aptos" w:hAnsi="Verdana" w:cs="Arial"/>
        </w:rPr>
        <w:t xml:space="preserve">así como lo establecido en el artículo 4 de la Resolución 1707 de 2018 expedida por esta Entidad, </w:t>
      </w:r>
      <w:r w:rsidRPr="00B33094">
        <w:rPr>
          <w:rFonts w:ascii="Verdana" w:eastAsia="Calibri" w:hAnsi="Verdana" w:cs="Arial"/>
          <w:lang w:val="es-ES" w:eastAsia="es-ES"/>
        </w:rPr>
        <w:t xml:space="preserve">la Agencia Nacional de Contratación Pública – Colombia Compra Eficiente– responde su petición del 01 de agosto de 2026, en las que realiza la siguiente consulta: </w:t>
      </w:r>
    </w:p>
    <w:p w14:paraId="2056B355" w14:textId="77777777" w:rsidR="007B6FF0" w:rsidRPr="00B33094" w:rsidRDefault="007B6FF0" w:rsidP="007B6FF0">
      <w:pPr>
        <w:spacing w:after="0" w:line="240" w:lineRule="auto"/>
        <w:jc w:val="both"/>
        <w:rPr>
          <w:rFonts w:ascii="Verdana" w:eastAsia="Calibri" w:hAnsi="Verdana" w:cs="Arial"/>
          <w:lang w:val="es-ES" w:eastAsia="es-ES"/>
        </w:rPr>
      </w:pPr>
    </w:p>
    <w:p w14:paraId="392A9A1F" w14:textId="77777777" w:rsidR="007B6FF0" w:rsidRPr="004972E2" w:rsidRDefault="007B6FF0" w:rsidP="007B6FF0">
      <w:pPr>
        <w:spacing w:after="0" w:line="240" w:lineRule="auto"/>
        <w:ind w:left="709" w:right="709"/>
        <w:jc w:val="both"/>
        <w:rPr>
          <w:rFonts w:ascii="Verdana" w:eastAsia="Calibri" w:hAnsi="Verdana" w:cs="Arial"/>
          <w:lang w:val="es-MX"/>
        </w:rPr>
      </w:pPr>
      <w:r w:rsidRPr="004972E2">
        <w:rPr>
          <w:rFonts w:ascii="Verdana" w:eastAsia="Calibri" w:hAnsi="Verdana" w:cs="Arial"/>
          <w:lang w:val="es-MX"/>
        </w:rPr>
        <w:t>“[…]</w:t>
      </w:r>
    </w:p>
    <w:p w14:paraId="326773B9" w14:textId="77777777" w:rsidR="007B6FF0" w:rsidRPr="004972E2" w:rsidRDefault="007B6FF0" w:rsidP="007B6FF0">
      <w:pPr>
        <w:spacing w:before="120" w:after="0" w:line="240" w:lineRule="auto"/>
        <w:ind w:left="709" w:right="709"/>
        <w:jc w:val="both"/>
        <w:rPr>
          <w:rFonts w:ascii="Verdana" w:eastAsia="Calibri" w:hAnsi="Verdana" w:cs="Arial"/>
          <w:lang w:val="es-MX"/>
        </w:rPr>
      </w:pPr>
      <w:r w:rsidRPr="004972E2">
        <w:rPr>
          <w:rFonts w:ascii="Verdana" w:eastAsia="Calibri" w:hAnsi="Verdana" w:cs="Arial"/>
          <w:b/>
          <w:lang w:val="es-MX"/>
        </w:rPr>
        <w:t xml:space="preserve">PRIMERA. </w:t>
      </w:r>
      <w:r w:rsidRPr="004972E2">
        <w:rPr>
          <w:rFonts w:ascii="Verdana" w:eastAsia="Calibri" w:hAnsi="Verdana" w:cs="Arial"/>
          <w:lang w:val="es-MX"/>
        </w:rPr>
        <w:t xml:space="preserve">¿La acreditación de las </w:t>
      </w:r>
      <w:r w:rsidRPr="004972E2">
        <w:rPr>
          <w:rFonts w:ascii="Verdana" w:eastAsia="Calibri" w:hAnsi="Verdana" w:cs="Arial"/>
          <w:b/>
          <w:lang w:val="es-MX"/>
        </w:rPr>
        <w:t xml:space="preserve">hojas de vida del recurso humano </w:t>
      </w:r>
      <w:r w:rsidRPr="004972E2">
        <w:rPr>
          <w:rFonts w:ascii="Verdana" w:eastAsia="Calibri" w:hAnsi="Verdana" w:cs="Arial"/>
          <w:lang w:val="es-MX"/>
        </w:rPr>
        <w:t xml:space="preserve">ofrecido para ejecutar el objeto contractual constituye un requisito habilitante </w:t>
      </w:r>
      <w:r w:rsidRPr="004972E2">
        <w:rPr>
          <w:rFonts w:ascii="Verdana" w:eastAsia="Calibri" w:hAnsi="Verdana" w:cs="Arial"/>
          <w:b/>
          <w:lang w:val="es-MX"/>
        </w:rPr>
        <w:t xml:space="preserve">subsanable, </w:t>
      </w:r>
      <w:r w:rsidRPr="004972E2">
        <w:rPr>
          <w:rFonts w:ascii="Verdana" w:eastAsia="Calibri" w:hAnsi="Verdana" w:cs="Arial"/>
          <w:lang w:val="es-MX"/>
        </w:rPr>
        <w:t xml:space="preserve">o por el contrario, en la medida en que el personal ofrecido incide en la aptitud del proponente para cumplir el objeto, su ausencia total al momento del cierre puede afectar la comparación de las ofertas y tornarse insubsanable? ¿Existe diferencia jurídica entre </w:t>
      </w:r>
      <w:r w:rsidRPr="004972E2">
        <w:rPr>
          <w:rFonts w:ascii="Verdana" w:eastAsia="Calibri" w:hAnsi="Verdana" w:cs="Arial"/>
          <w:b/>
          <w:lang w:val="es-MX"/>
        </w:rPr>
        <w:t xml:space="preserve">subsanar la acreditación </w:t>
      </w:r>
      <w:r w:rsidRPr="004972E2">
        <w:rPr>
          <w:rFonts w:ascii="Verdana" w:eastAsia="Calibri" w:hAnsi="Verdana" w:cs="Arial"/>
          <w:lang w:val="es-MX"/>
        </w:rPr>
        <w:t xml:space="preserve">de un personal que ya se poseía al cierre y </w:t>
      </w:r>
      <w:r w:rsidRPr="004972E2">
        <w:rPr>
          <w:rFonts w:ascii="Verdana" w:eastAsia="Calibri" w:hAnsi="Verdana" w:cs="Arial"/>
          <w:b/>
          <w:lang w:val="es-MX"/>
        </w:rPr>
        <w:t xml:space="preserve">aportar o conseguir </w:t>
      </w:r>
      <w:r w:rsidRPr="004972E2">
        <w:rPr>
          <w:rFonts w:ascii="Verdana" w:eastAsia="Calibri" w:hAnsi="Verdana" w:cs="Arial"/>
          <w:lang w:val="es-MX"/>
        </w:rPr>
        <w:t>dicho personal con posterioridad al cierre?</w:t>
      </w:r>
    </w:p>
    <w:p w14:paraId="45CF5F97" w14:textId="77777777" w:rsidR="007B6FF0" w:rsidRPr="004972E2" w:rsidRDefault="007B6FF0" w:rsidP="007B6FF0">
      <w:pPr>
        <w:spacing w:before="120" w:after="0" w:line="240" w:lineRule="auto"/>
        <w:ind w:left="709" w:right="709"/>
        <w:jc w:val="both"/>
        <w:rPr>
          <w:rFonts w:ascii="Verdana" w:eastAsia="Calibri" w:hAnsi="Verdana" w:cs="Arial"/>
          <w:lang w:val="es-MX"/>
        </w:rPr>
      </w:pPr>
      <w:r w:rsidRPr="004972E2">
        <w:rPr>
          <w:rFonts w:ascii="Verdana" w:eastAsia="Calibri" w:hAnsi="Verdana" w:cs="Arial"/>
          <w:b/>
          <w:lang w:val="es-MX"/>
        </w:rPr>
        <w:lastRenderedPageBreak/>
        <w:t xml:space="preserve">SEGUNDA. </w:t>
      </w:r>
      <w:r w:rsidRPr="004972E2">
        <w:rPr>
          <w:rFonts w:ascii="Verdana" w:eastAsia="Calibri" w:hAnsi="Verdana" w:cs="Arial"/>
          <w:lang w:val="es-MX"/>
        </w:rPr>
        <w:t xml:space="preserve">Cuando un requisito se refiere a documentos que deban </w:t>
      </w:r>
      <w:r w:rsidRPr="004972E2">
        <w:rPr>
          <w:rFonts w:ascii="Verdana" w:eastAsia="Calibri" w:hAnsi="Verdana" w:cs="Arial"/>
          <w:b/>
          <w:lang w:val="es-MX"/>
        </w:rPr>
        <w:t xml:space="preserve">existir y ser ciertos a la fecha de cierre </w:t>
      </w:r>
      <w:r w:rsidRPr="004972E2">
        <w:rPr>
          <w:rFonts w:ascii="Verdana" w:eastAsia="Calibri" w:hAnsi="Verdana" w:cs="Arial"/>
          <w:lang w:val="es-MX"/>
        </w:rPr>
        <w:t xml:space="preserve">(por ejemplo, hojas de vida de personal efectivamente vinculado o disponible), ¿resulta admisible que, durante la subsanación, el proponente aporte documentos cuya </w:t>
      </w:r>
      <w:r w:rsidRPr="004972E2">
        <w:rPr>
          <w:rFonts w:ascii="Verdana" w:eastAsia="Calibri" w:hAnsi="Verdana" w:cs="Arial"/>
          <w:b/>
          <w:lang w:val="es-MX"/>
        </w:rPr>
        <w:t xml:space="preserve">fecha de expedición, vinculación o suscripción sea posterior </w:t>
      </w:r>
      <w:r w:rsidRPr="004972E2">
        <w:rPr>
          <w:rFonts w:ascii="Verdana" w:eastAsia="Calibri" w:hAnsi="Verdana" w:cs="Arial"/>
          <w:lang w:val="es-MX"/>
        </w:rPr>
        <w:t xml:space="preserve">al cierre del </w:t>
      </w:r>
    </w:p>
    <w:p w14:paraId="3F930676" w14:textId="77777777" w:rsidR="007B6FF0" w:rsidRPr="004972E2" w:rsidRDefault="007B6FF0" w:rsidP="007B6FF0">
      <w:pPr>
        <w:spacing w:before="120" w:after="0" w:line="240" w:lineRule="auto"/>
        <w:ind w:left="709" w:right="709"/>
        <w:jc w:val="both"/>
        <w:rPr>
          <w:rFonts w:ascii="Verdana" w:eastAsia="Calibri" w:hAnsi="Verdana" w:cs="Arial"/>
          <w:lang w:val="es-MX"/>
        </w:rPr>
      </w:pPr>
      <w:r w:rsidRPr="004972E2">
        <w:rPr>
          <w:rFonts w:ascii="Verdana" w:eastAsia="Calibri" w:hAnsi="Verdana" w:cs="Arial"/>
          <w:b/>
          <w:lang w:val="es-MX"/>
        </w:rPr>
        <w:t>.</w:t>
      </w:r>
      <w:r w:rsidRPr="004972E2">
        <w:rPr>
          <w:rFonts w:ascii="Verdana" w:eastAsia="Calibri" w:hAnsi="Verdana" w:cs="Arial"/>
          <w:lang w:val="es-MX"/>
        </w:rPr>
        <w:t>0.</w:t>
      </w:r>
    </w:p>
    <w:p w14:paraId="066BB835" w14:textId="77777777" w:rsidR="007B6FF0" w:rsidRPr="004972E2" w:rsidRDefault="007B6FF0" w:rsidP="007B6FF0">
      <w:pPr>
        <w:spacing w:before="120" w:after="0" w:line="240" w:lineRule="auto"/>
        <w:ind w:left="709" w:right="709"/>
        <w:jc w:val="both"/>
        <w:rPr>
          <w:rFonts w:ascii="Verdana" w:eastAsia="Calibri" w:hAnsi="Verdana" w:cs="Arial"/>
          <w:lang w:val="es-MX"/>
        </w:rPr>
      </w:pPr>
      <w:r w:rsidRPr="004972E2">
        <w:rPr>
          <w:rFonts w:ascii="Verdana" w:eastAsia="Calibri" w:hAnsi="Verdana" w:cs="Arial"/>
          <w:lang w:val="es-MX"/>
        </w:rPr>
        <w:t>proceso? ¿Qué criterios ha fijado la doctrina de esa Agencia para distinguir entre la subsanación válida y la mejora prohibida de la oferta?</w:t>
      </w:r>
    </w:p>
    <w:p w14:paraId="6D868CD6" w14:textId="77777777" w:rsidR="007B6FF0" w:rsidRPr="004972E2" w:rsidRDefault="007B6FF0" w:rsidP="007B6FF0">
      <w:pPr>
        <w:spacing w:before="120" w:after="0" w:line="240" w:lineRule="auto"/>
        <w:ind w:left="709" w:right="709"/>
        <w:jc w:val="both"/>
        <w:rPr>
          <w:rFonts w:ascii="Verdana" w:eastAsia="Calibri" w:hAnsi="Verdana" w:cs="Arial"/>
          <w:lang w:val="es-MX"/>
        </w:rPr>
      </w:pPr>
      <w:r w:rsidRPr="004972E2">
        <w:rPr>
          <w:rFonts w:ascii="Verdana" w:eastAsia="Calibri" w:hAnsi="Verdana" w:cs="Arial"/>
          <w:b/>
          <w:lang w:val="es-MX"/>
        </w:rPr>
        <w:t xml:space="preserve">TERCERA. </w:t>
      </w:r>
      <w:r w:rsidRPr="004972E2">
        <w:rPr>
          <w:rFonts w:ascii="Verdana" w:eastAsia="Calibri" w:hAnsi="Verdana" w:cs="Arial"/>
          <w:lang w:val="es-MX"/>
        </w:rPr>
        <w:t xml:space="preserve">El </w:t>
      </w:r>
      <w:r w:rsidRPr="004972E2">
        <w:rPr>
          <w:rFonts w:ascii="Verdana" w:eastAsia="Calibri" w:hAnsi="Verdana" w:cs="Arial"/>
          <w:b/>
          <w:lang w:val="es-MX"/>
        </w:rPr>
        <w:t xml:space="preserve">Certificado del Registro de Deudores Morosos (REDAM) </w:t>
      </w:r>
      <w:r w:rsidRPr="004972E2">
        <w:rPr>
          <w:rFonts w:ascii="Verdana" w:eastAsia="Calibri" w:hAnsi="Verdana" w:cs="Arial"/>
          <w:lang w:val="es-MX"/>
        </w:rPr>
        <w:t xml:space="preserve">y el </w:t>
      </w:r>
      <w:r w:rsidRPr="004972E2">
        <w:rPr>
          <w:rFonts w:ascii="Verdana" w:eastAsia="Calibri" w:hAnsi="Verdana" w:cs="Arial"/>
          <w:b/>
          <w:lang w:val="es-MX"/>
        </w:rPr>
        <w:t xml:space="preserve">Certificado de inhabilidades por delitos sexuales contra menores (Ley 1918 de 2018), </w:t>
      </w:r>
      <w:r w:rsidRPr="004972E2">
        <w:rPr>
          <w:rFonts w:ascii="Verdana" w:eastAsia="Calibri" w:hAnsi="Verdana" w:cs="Arial"/>
          <w:lang w:val="es-MX"/>
        </w:rPr>
        <w:t xml:space="preserve">cuando son exigidos como requisitos habilitantes; ¿tienen la naturaleza de simples documentos subsanables, o en cuanto se relacionan con </w:t>
      </w:r>
      <w:r w:rsidRPr="004972E2">
        <w:rPr>
          <w:rFonts w:ascii="Verdana" w:eastAsia="Calibri" w:hAnsi="Verdana" w:cs="Arial"/>
          <w:b/>
          <w:lang w:val="es-MX"/>
        </w:rPr>
        <w:t xml:space="preserve">inhabilidades e incompatibilidades del proponente </w:t>
      </w:r>
      <w:r w:rsidRPr="004972E2">
        <w:rPr>
          <w:rFonts w:ascii="Verdana" w:eastAsia="Calibri" w:hAnsi="Verdana" w:cs="Arial"/>
          <w:lang w:val="es-MX"/>
        </w:rPr>
        <w:t xml:space="preserve">(o de su personal), su verificación negativa configura una causal de </w:t>
      </w:r>
      <w:r w:rsidRPr="004972E2">
        <w:rPr>
          <w:rFonts w:ascii="Verdana" w:eastAsia="Calibri" w:hAnsi="Verdana" w:cs="Arial"/>
          <w:b/>
          <w:lang w:val="es-MX"/>
        </w:rPr>
        <w:t>rechazo</w:t>
      </w:r>
      <w:r w:rsidRPr="004972E2">
        <w:rPr>
          <w:rFonts w:ascii="Verdana" w:eastAsia="Calibri" w:hAnsi="Verdana" w:cs="Arial"/>
          <w:lang w:val="es-MX"/>
        </w:rPr>
        <w:t xml:space="preserve"> no susceptible de saneamiento posterior? ¿Cambia la respuesta según que la inhabilidad recaiga sobre la persona jurídica proponente, su representante legal o el personal ofrecido?</w:t>
      </w:r>
    </w:p>
    <w:p w14:paraId="5DD5E7CD" w14:textId="77777777" w:rsidR="007B6FF0" w:rsidRPr="004972E2" w:rsidRDefault="007B6FF0" w:rsidP="007B6FF0">
      <w:pPr>
        <w:spacing w:before="120" w:after="0" w:line="240" w:lineRule="auto"/>
        <w:ind w:left="709" w:right="709"/>
        <w:jc w:val="both"/>
        <w:rPr>
          <w:rFonts w:ascii="Verdana" w:hAnsi="Verdana"/>
        </w:rPr>
      </w:pPr>
      <w:r w:rsidRPr="004972E2">
        <w:rPr>
          <w:rFonts w:ascii="Verdana" w:hAnsi="Verdana"/>
          <w:b/>
        </w:rPr>
        <w:t xml:space="preserve">CUARTO. </w:t>
      </w:r>
      <w:r w:rsidRPr="004972E2">
        <w:rPr>
          <w:rFonts w:ascii="Verdana" w:hAnsi="Verdana"/>
        </w:rPr>
        <w:t xml:space="preserve">¿Se ajusta al principio de </w:t>
      </w:r>
      <w:r w:rsidRPr="004972E2">
        <w:rPr>
          <w:rFonts w:ascii="Verdana" w:hAnsi="Verdana"/>
          <w:b/>
        </w:rPr>
        <w:t xml:space="preserve">proporcionalidad y adecuación </w:t>
      </w:r>
      <w:r w:rsidRPr="004972E2">
        <w:rPr>
          <w:rFonts w:ascii="Verdana" w:hAnsi="Verdana"/>
        </w:rPr>
        <w:t xml:space="preserve">de los requisitos ( artículo 5 de la Ley 1150 de 2007 y artículo 2.2.1.1.1.6.1 del Decreto 1082 de 2015), así como a los principios de </w:t>
      </w:r>
      <w:r w:rsidRPr="004972E2">
        <w:rPr>
          <w:rFonts w:ascii="Verdana" w:hAnsi="Verdana"/>
          <w:b/>
        </w:rPr>
        <w:t xml:space="preserve">libre concurrencia y pluralidad de oferentes, </w:t>
      </w:r>
      <w:r w:rsidRPr="004972E2">
        <w:rPr>
          <w:rFonts w:ascii="Verdana" w:hAnsi="Verdana"/>
        </w:rPr>
        <w:t>el diseño de un proceso cuyo objeto se denomina “suministro de personal” y cuyos requisitos habilitantes solo pueden ser acreditados por Empresas de Servicios Temporales, cuando la necesidad de la entidad consiste en la operación de un servicio y no necesariamente en el envío de trabajadores en misión?</w:t>
      </w:r>
    </w:p>
    <w:p w14:paraId="722A7943" w14:textId="77777777" w:rsidR="007B6FF0" w:rsidRPr="004972E2" w:rsidRDefault="007B6FF0" w:rsidP="007B6FF0">
      <w:pPr>
        <w:spacing w:before="120" w:after="0" w:line="240" w:lineRule="auto"/>
        <w:ind w:left="709" w:right="709"/>
        <w:jc w:val="both"/>
        <w:rPr>
          <w:rFonts w:ascii="Verdana" w:eastAsia="Calibri" w:hAnsi="Verdana" w:cs="Arial"/>
          <w:lang w:val="es-MX"/>
        </w:rPr>
      </w:pPr>
      <w:r w:rsidRPr="004972E2">
        <w:rPr>
          <w:rFonts w:ascii="Verdana" w:hAnsi="Verdana"/>
          <w:b/>
        </w:rPr>
        <w:t>QUINTA.</w:t>
      </w:r>
      <w:r w:rsidRPr="004972E2">
        <w:rPr>
          <w:rFonts w:ascii="Verdana" w:eastAsia="Calibri" w:hAnsi="Verdana" w:cs="Arial"/>
          <w:lang w:val="es-MX"/>
        </w:rPr>
        <w:t xml:space="preserve"> ¿La denominación del objeto contractual como “suministro de personal” con Código UNSPSC 80111600 (“Servicios de Personal Temporal), </w:t>
      </w:r>
      <w:r w:rsidRPr="004972E2">
        <w:rPr>
          <w:rFonts w:ascii="Verdana" w:eastAsia="Calibri" w:hAnsi="Verdana" w:cs="Arial"/>
          <w:b/>
          <w:lang w:val="es-MX"/>
        </w:rPr>
        <w:t xml:space="preserve">predetermina o restringe </w:t>
      </w:r>
      <w:r w:rsidRPr="004972E2">
        <w:rPr>
          <w:rFonts w:ascii="Verdana" w:eastAsia="Calibri" w:hAnsi="Verdana" w:cs="Arial"/>
          <w:lang w:val="es-MX"/>
        </w:rPr>
        <w:t>la naturaleza jurídica de los posibles proponentes, o el Código UNSPSC constituye únicamente una clasificación del bien o servicio sin efecto sobre la forma jurídica del oferente? ¿Qué recomienda esa Agencia cuando la necesidad podría satisfacerse mediante prestación de servicios ejecutable por entidades sin ánimo de lucro, organismos de socorro u otras figuras?</w:t>
      </w:r>
    </w:p>
    <w:p w14:paraId="627AFEB7" w14:textId="77777777" w:rsidR="007B6FF0" w:rsidRPr="004972E2" w:rsidRDefault="007B6FF0" w:rsidP="007B6FF0">
      <w:pPr>
        <w:spacing w:before="120" w:after="0" w:line="240" w:lineRule="auto"/>
        <w:ind w:left="709" w:right="709"/>
        <w:jc w:val="both"/>
        <w:rPr>
          <w:rFonts w:ascii="Verdana" w:hAnsi="Verdana"/>
        </w:rPr>
      </w:pPr>
      <w:r w:rsidRPr="004972E2">
        <w:rPr>
          <w:rFonts w:ascii="Verdana" w:hAnsi="Verdana"/>
          <w:b/>
        </w:rPr>
        <w:lastRenderedPageBreak/>
        <w:t xml:space="preserve">SEXTA. </w:t>
      </w:r>
      <w:r w:rsidRPr="004972E2">
        <w:rPr>
          <w:rFonts w:ascii="Verdana" w:hAnsi="Verdana"/>
        </w:rPr>
        <w:t xml:space="preserve">A la luz del </w:t>
      </w:r>
      <w:r w:rsidRPr="004972E2">
        <w:rPr>
          <w:rFonts w:ascii="Verdana" w:hAnsi="Verdana"/>
          <w:b/>
        </w:rPr>
        <w:t xml:space="preserve">artículo 63 de la Ley 1429 de 2010, </w:t>
      </w:r>
      <w:r w:rsidRPr="004972E2">
        <w:rPr>
          <w:rFonts w:ascii="Verdana" w:hAnsi="Verdana"/>
        </w:rPr>
        <w:t xml:space="preserve">¿es jurídicamente admisible estructurar la operación de un servicio de carácter </w:t>
      </w:r>
      <w:r w:rsidRPr="004972E2">
        <w:rPr>
          <w:rFonts w:ascii="Verdana" w:hAnsi="Verdana"/>
          <w:b/>
        </w:rPr>
        <w:t xml:space="preserve">misional y permanente </w:t>
      </w:r>
      <w:r w:rsidRPr="004972E2">
        <w:rPr>
          <w:rFonts w:ascii="Verdana" w:hAnsi="Verdana"/>
        </w:rPr>
        <w:noBreakHyphen/>
      </w:r>
      <w:r w:rsidRPr="004972E2">
        <w:rPr>
          <w:rFonts w:ascii="Verdana" w:hAnsi="Verdana"/>
        </w:rPr>
        <w:noBreakHyphen/>
        <w:t>contratado de manera ininterrumpida durante varias vigencias consecutivas— bajo la figura de intermediación laboral temporal propia de las Empresas de Servicios Temporales?</w:t>
      </w:r>
    </w:p>
    <w:p w14:paraId="238AAA98" w14:textId="77777777" w:rsidR="007B6FF0" w:rsidRPr="004972E2" w:rsidRDefault="007B6FF0" w:rsidP="007B6FF0">
      <w:pPr>
        <w:spacing w:before="120" w:after="0" w:line="240" w:lineRule="auto"/>
        <w:ind w:left="709" w:right="709"/>
        <w:jc w:val="both"/>
        <w:rPr>
          <w:rFonts w:ascii="Verdana" w:hAnsi="Verdana"/>
        </w:rPr>
      </w:pPr>
      <w:r w:rsidRPr="004972E2">
        <w:rPr>
          <w:rFonts w:ascii="Verdana" w:hAnsi="Verdana"/>
          <w:b/>
        </w:rPr>
        <w:t xml:space="preserve">SÉPTIMA. </w:t>
      </w:r>
      <w:r w:rsidRPr="004972E2">
        <w:rPr>
          <w:rFonts w:ascii="Verdana" w:hAnsi="Verdana"/>
        </w:rPr>
        <w:t xml:space="preserve">Cuando a un proceso concurre un </w:t>
      </w:r>
      <w:r w:rsidRPr="004972E2">
        <w:rPr>
          <w:rFonts w:ascii="Verdana" w:hAnsi="Verdana"/>
          <w:b/>
        </w:rPr>
        <w:t xml:space="preserve">único oferente </w:t>
      </w:r>
      <w:r w:rsidRPr="004972E2">
        <w:rPr>
          <w:rFonts w:ascii="Verdana" w:hAnsi="Verdana"/>
        </w:rPr>
        <w:t xml:space="preserve">que resulta inicialmente no habilitado en varios requisitos, ¿qué salvaguardas de </w:t>
      </w:r>
      <w:r w:rsidRPr="004972E2">
        <w:rPr>
          <w:rFonts w:ascii="Verdana" w:hAnsi="Verdana"/>
          <w:b/>
        </w:rPr>
        <w:t xml:space="preserve">selección objetiva, transparencia y motivación </w:t>
      </w:r>
      <w:r w:rsidRPr="004972E2">
        <w:rPr>
          <w:rFonts w:ascii="Verdana" w:hAnsi="Verdana"/>
        </w:rPr>
        <w:t xml:space="preserve">debe extremar la entidad antes de proceder a la adjudicación, y en qué eventos resultaría procedente la </w:t>
      </w:r>
      <w:r w:rsidRPr="004972E2">
        <w:rPr>
          <w:rFonts w:ascii="Verdana" w:hAnsi="Verdana"/>
          <w:b/>
        </w:rPr>
        <w:t xml:space="preserve">declaratoria de desierta </w:t>
      </w:r>
      <w:r w:rsidRPr="004972E2">
        <w:rPr>
          <w:rFonts w:ascii="Verdana" w:hAnsi="Verdana"/>
        </w:rPr>
        <w:t>del proceso?” [Negrillas propias]</w:t>
      </w:r>
    </w:p>
    <w:p w14:paraId="19BF4337" w14:textId="77777777" w:rsidR="007B6FF0" w:rsidRPr="004972E2" w:rsidRDefault="007B6FF0" w:rsidP="007B6FF0">
      <w:pPr>
        <w:spacing w:before="120" w:after="0" w:line="240" w:lineRule="auto"/>
        <w:ind w:left="709" w:right="709"/>
        <w:jc w:val="both"/>
        <w:rPr>
          <w:rFonts w:ascii="Verdana" w:eastAsia="Calibri" w:hAnsi="Verdana" w:cs="Arial"/>
          <w:lang w:val="es-MX"/>
        </w:rPr>
      </w:pPr>
      <w:r w:rsidRPr="004972E2">
        <w:rPr>
          <w:rFonts w:ascii="Verdana" w:hAnsi="Verdana"/>
        </w:rPr>
        <w:t>[</w:t>
      </w:r>
      <w:r w:rsidRPr="004972E2">
        <w:rPr>
          <w:rFonts w:ascii="Verdana" w:eastAsia="Calibri" w:hAnsi="Verdana" w:cs="Arial"/>
          <w:lang w:val="es-MX"/>
        </w:rPr>
        <w:t>sic]</w:t>
      </w:r>
    </w:p>
    <w:p w14:paraId="59825F15" w14:textId="77777777" w:rsidR="007B6FF0" w:rsidRPr="00B33094" w:rsidRDefault="007B6FF0" w:rsidP="007B6FF0">
      <w:pPr>
        <w:spacing w:after="0" w:line="240" w:lineRule="auto"/>
        <w:jc w:val="both"/>
        <w:rPr>
          <w:rFonts w:ascii="Verdana" w:eastAsia="Calibri" w:hAnsi="Verdana" w:cs="Arial"/>
          <w:lang w:val="es-ES" w:eastAsia="es-ES"/>
        </w:rPr>
      </w:pPr>
    </w:p>
    <w:p w14:paraId="79869B1E" w14:textId="77777777" w:rsidR="007B6FF0" w:rsidRPr="00B33094" w:rsidRDefault="007B6FF0" w:rsidP="007B6FF0">
      <w:pPr>
        <w:spacing w:after="120" w:line="240" w:lineRule="auto"/>
        <w:jc w:val="both"/>
        <w:rPr>
          <w:rFonts w:ascii="Verdana" w:eastAsia="Calibri" w:hAnsi="Verdana" w:cs="Arial"/>
          <w:lang w:val="es-ES" w:eastAsia="es-ES"/>
        </w:rPr>
      </w:pPr>
      <w:r w:rsidRPr="00B3309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BF9BCB8" w14:textId="77777777" w:rsidR="007B6FF0" w:rsidRPr="00B33094" w:rsidRDefault="007B6FF0" w:rsidP="007B6FF0">
      <w:pPr>
        <w:spacing w:after="0" w:line="240" w:lineRule="auto"/>
        <w:ind w:firstLine="709"/>
        <w:jc w:val="both"/>
        <w:rPr>
          <w:rFonts w:ascii="Verdana" w:eastAsia="Calibri" w:hAnsi="Verdana" w:cs="Arial"/>
          <w:lang w:val="es-ES" w:eastAsia="es-ES"/>
        </w:rPr>
      </w:pPr>
      <w:r w:rsidRPr="00B3309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6C9AB31" w14:textId="77777777" w:rsidR="007B6FF0" w:rsidRPr="00B33094" w:rsidRDefault="007B6FF0" w:rsidP="007B6FF0">
      <w:pPr>
        <w:spacing w:after="0" w:line="240" w:lineRule="auto"/>
        <w:ind w:firstLine="709"/>
        <w:jc w:val="both"/>
        <w:rPr>
          <w:rFonts w:ascii="Verdana" w:eastAsia="Calibri" w:hAnsi="Verdana" w:cs="Arial"/>
          <w:lang w:val="es-ES" w:eastAsia="es-ES"/>
        </w:rPr>
      </w:pPr>
    </w:p>
    <w:p w14:paraId="31B97A87" w14:textId="77777777" w:rsidR="007B6FF0" w:rsidRPr="00B33094" w:rsidRDefault="007B6FF0" w:rsidP="007B6FF0">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33094">
        <w:rPr>
          <w:rFonts w:ascii="Verdana" w:eastAsia="Arial" w:hAnsi="Verdana" w:cs="Arial"/>
          <w:b/>
          <w:bCs/>
          <w:lang w:val="es-ES"/>
        </w:rPr>
        <w:t>1. Problema planteado:</w:t>
      </w:r>
    </w:p>
    <w:p w14:paraId="339E4D1C" w14:textId="77777777" w:rsidR="007B6FF0" w:rsidRPr="00B33094" w:rsidRDefault="007B6FF0" w:rsidP="007B6FF0">
      <w:pPr>
        <w:tabs>
          <w:tab w:val="left" w:pos="426"/>
        </w:tabs>
        <w:spacing w:after="0" w:line="240" w:lineRule="auto"/>
        <w:jc w:val="both"/>
        <w:rPr>
          <w:rFonts w:ascii="Verdana" w:eastAsia="Century Gothic" w:hAnsi="Verdana" w:cs="Century Gothic"/>
          <w:lang w:val="es-ES"/>
        </w:rPr>
      </w:pPr>
    </w:p>
    <w:p w14:paraId="5B00EA43" w14:textId="77777777" w:rsidR="007B6FF0" w:rsidRPr="00B33094" w:rsidRDefault="007B6FF0" w:rsidP="007B6FF0">
      <w:pPr>
        <w:spacing w:after="0" w:line="240" w:lineRule="auto"/>
        <w:jc w:val="both"/>
        <w:rPr>
          <w:rFonts w:ascii="Verdana" w:eastAsia="Aptos" w:hAnsi="Verdana" w:cs="Arial"/>
        </w:rPr>
      </w:pPr>
      <w:r w:rsidRPr="00B33094">
        <w:rPr>
          <w:rFonts w:ascii="Verdana" w:eastAsia="Century Gothic" w:hAnsi="Verdana" w:cs="Century Gothic"/>
        </w:rPr>
        <w:t xml:space="preserve">De acuerdo con el contenido de su solicitud, le informamos que la misma se resolverá desde los siguientes </w:t>
      </w:r>
      <w:bookmarkStart w:id="1" w:name="_Hlk171070029"/>
      <w:r w:rsidRPr="00B33094">
        <w:rPr>
          <w:rFonts w:ascii="Verdana" w:eastAsia="Century Gothic" w:hAnsi="Verdana" w:cs="Century Gothic"/>
        </w:rPr>
        <w:t xml:space="preserve">interrogantes: i) ¿Qué criterios deben observar las Entidades Estatales para establecer los requisitos habilitantes en los procesos de contratación que adelanten?; </w:t>
      </w:r>
      <w:proofErr w:type="spellStart"/>
      <w:r w:rsidRPr="00B33094">
        <w:rPr>
          <w:rFonts w:ascii="Verdana" w:eastAsia="Century Gothic" w:hAnsi="Verdana" w:cs="Century Gothic"/>
        </w:rPr>
        <w:t>ii</w:t>
      </w:r>
      <w:proofErr w:type="spellEnd"/>
      <w:r w:rsidRPr="00B33094">
        <w:rPr>
          <w:rFonts w:ascii="Verdana" w:eastAsia="Century Gothic" w:hAnsi="Verdana" w:cs="Century Gothic"/>
        </w:rPr>
        <w:t>)</w:t>
      </w:r>
      <w:r w:rsidRPr="004972E2">
        <w:rPr>
          <w:rFonts w:ascii="Verdana" w:hAnsi="Verdana"/>
        </w:rPr>
        <w:t xml:space="preserve"> </w:t>
      </w:r>
      <w:r w:rsidRPr="00B33094">
        <w:rPr>
          <w:rFonts w:ascii="Verdana" w:eastAsia="Century Gothic" w:hAnsi="Verdana" w:cs="Century Gothic"/>
        </w:rPr>
        <w:t xml:space="preserve">¿Las Entidades Estatales pueden solicitar </w:t>
      </w:r>
      <w:r w:rsidRPr="00B33094">
        <w:rPr>
          <w:rFonts w:ascii="Verdana" w:eastAsia="Century Gothic" w:hAnsi="Verdana" w:cs="Century Gothic"/>
        </w:rPr>
        <w:lastRenderedPageBreak/>
        <w:t xml:space="preserve">documentos adicionales al RUP para verificar la capacidad jurídica de los proponentes?; </w:t>
      </w:r>
      <w:proofErr w:type="spellStart"/>
      <w:r w:rsidRPr="00B33094">
        <w:rPr>
          <w:rFonts w:ascii="Verdana" w:eastAsia="Century Gothic" w:hAnsi="Verdana" w:cs="Century Gothic"/>
        </w:rPr>
        <w:t>iii</w:t>
      </w:r>
      <w:proofErr w:type="spellEnd"/>
      <w:r w:rsidRPr="00B33094">
        <w:rPr>
          <w:rFonts w:ascii="Verdana" w:eastAsia="Century Gothic" w:hAnsi="Verdana" w:cs="Century Gothic"/>
        </w:rPr>
        <w:t>)</w:t>
      </w:r>
      <w:r w:rsidRPr="004972E2">
        <w:rPr>
          <w:rFonts w:ascii="Verdana" w:hAnsi="Verdana"/>
        </w:rPr>
        <w:t xml:space="preserve"> </w:t>
      </w:r>
      <w:r w:rsidRPr="00B33094">
        <w:rPr>
          <w:rFonts w:ascii="Verdana" w:eastAsia="Aptos" w:hAnsi="Verdana" w:cs="Arial"/>
        </w:rPr>
        <w:t xml:space="preserve">¿Qué aspectos pueden subsanarse en un proceso de contratación pública?; y </w:t>
      </w:r>
      <w:proofErr w:type="spellStart"/>
      <w:r w:rsidRPr="00B33094">
        <w:rPr>
          <w:rFonts w:ascii="Verdana" w:eastAsia="Aptos" w:hAnsi="Verdana" w:cs="Arial"/>
        </w:rPr>
        <w:t>iv</w:t>
      </w:r>
      <w:proofErr w:type="spellEnd"/>
      <w:r w:rsidRPr="00B33094">
        <w:rPr>
          <w:rFonts w:ascii="Verdana" w:eastAsia="Aptos" w:hAnsi="Verdana" w:cs="Arial"/>
        </w:rPr>
        <w:t>) ¿En qué circunstancias puede declararse desierto un proceso de contratación pública?</w:t>
      </w:r>
    </w:p>
    <w:p w14:paraId="4D27E3EE" w14:textId="77777777" w:rsidR="007B6FF0" w:rsidRPr="00B33094" w:rsidRDefault="007B6FF0" w:rsidP="007B6FF0">
      <w:pPr>
        <w:spacing w:after="0" w:line="240" w:lineRule="auto"/>
        <w:jc w:val="both"/>
        <w:rPr>
          <w:rFonts w:ascii="Verdana" w:eastAsia="Aptos" w:hAnsi="Verdana" w:cs="Arial"/>
        </w:rPr>
      </w:pPr>
    </w:p>
    <w:bookmarkEnd w:id="1"/>
    <w:p w14:paraId="0E600844" w14:textId="77777777" w:rsidR="007B6FF0" w:rsidRPr="00B33094" w:rsidRDefault="007B6FF0" w:rsidP="007B6FF0">
      <w:pPr>
        <w:widowControl w:val="0"/>
        <w:autoSpaceDE w:val="0"/>
        <w:autoSpaceDN w:val="0"/>
        <w:spacing w:before="1" w:after="0" w:line="240" w:lineRule="auto"/>
        <w:jc w:val="both"/>
        <w:outlineLvl w:val="0"/>
        <w:rPr>
          <w:rFonts w:ascii="Verdana" w:eastAsia="Arial" w:hAnsi="Verdana" w:cs="Arial"/>
          <w:b/>
          <w:bCs/>
          <w:lang w:val="es-ES"/>
        </w:rPr>
      </w:pPr>
      <w:r w:rsidRPr="00B33094">
        <w:rPr>
          <w:rFonts w:ascii="Verdana" w:eastAsia="Arial" w:hAnsi="Verdana" w:cs="Arial"/>
          <w:b/>
          <w:bCs/>
          <w:lang w:val="es-ES"/>
        </w:rPr>
        <w:t>2. Respuesta:</w:t>
      </w:r>
    </w:p>
    <w:p w14:paraId="1529D446" w14:textId="77777777" w:rsidR="007B6FF0" w:rsidRPr="00B33094" w:rsidRDefault="007B6FF0" w:rsidP="007B6FF0">
      <w:pPr>
        <w:spacing w:after="0" w:line="240" w:lineRule="auto"/>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B6FF0" w:rsidRPr="00B33094" w14:paraId="246C8DF9" w14:textId="77777777" w:rsidTr="00D119D4">
        <w:tc>
          <w:tcPr>
            <w:tcW w:w="8828" w:type="dxa"/>
          </w:tcPr>
          <w:p w14:paraId="00C1446B" w14:textId="77777777" w:rsidR="007B6FF0" w:rsidRPr="004972E2" w:rsidRDefault="007B6FF0" w:rsidP="00D119D4">
            <w:pPr>
              <w:jc w:val="both"/>
              <w:rPr>
                <w:rFonts w:ascii="Verdana" w:eastAsia="Century Gothic" w:hAnsi="Verdana" w:cs="Century Gothic"/>
                <w:kern w:val="2"/>
                <w14:ligatures w14:val="standardContextual"/>
              </w:rPr>
            </w:pPr>
            <w:bookmarkStart w:id="2" w:name="_Hlk171067516"/>
            <w:r w:rsidRPr="00B33094">
              <w:rPr>
                <w:rFonts w:ascii="Verdana" w:eastAsia="Times New Roman" w:hAnsi="Verdana" w:cs="Arial"/>
                <w:bdr w:val="none" w:sz="0" w:space="0" w:color="auto" w:frame="1"/>
                <w:shd w:val="clear" w:color="auto" w:fill="FFFFFF"/>
                <w:lang w:val="es-ES" w:eastAsia="es-ES_tradnl"/>
              </w:rPr>
              <w:t>i)</w:t>
            </w:r>
            <w:r w:rsidRPr="004972E2">
              <w:rPr>
                <w:rFonts w:ascii="Verdana" w:eastAsia="Century Gothic" w:hAnsi="Verdana" w:cs="Century Gothic"/>
                <w:kern w:val="2"/>
                <w14:ligatures w14:val="standardContextual"/>
              </w:rPr>
              <w:t xml:space="preserve"> Sobre el particular debe precisarse inicialmente, que tal y como lo ha indicado esta Agencia en el “Manual para determinar y verificar los requisitos habilitantes en los Procesos de Contratación” los requisitos habilitantes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116A7F30" w14:textId="77777777" w:rsidR="007B6FF0" w:rsidRPr="004972E2" w:rsidRDefault="007B6FF0" w:rsidP="00D119D4">
            <w:pPr>
              <w:spacing w:before="120"/>
              <w:jc w:val="both"/>
              <w:rPr>
                <w:rFonts w:ascii="Verdana" w:eastAsia="Century Gothic" w:hAnsi="Verdana" w:cs="Century Gothic"/>
                <w:kern w:val="2"/>
                <w14:ligatures w14:val="standardContextual"/>
              </w:rPr>
            </w:pPr>
            <w:r w:rsidRPr="004972E2">
              <w:rPr>
                <w:rFonts w:ascii="Verdana" w:eastAsia="Century Gothic" w:hAnsi="Verdana" w:cs="Century Gothic"/>
                <w:kern w:val="2"/>
                <w14:ligatures w14:val="standardContextual"/>
              </w:rPr>
              <w:tab/>
              <w:t>En consecuencia, corresponde a las Entidades Estatales, durante la etapa de planeación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riesgos asociados al contrato, el plazo y la complejidad de ejecución del objeto. Pues bien,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establece el parágrafo 2, del artículo 5, de la Ley 1150 de 2007, relacionado con la prohibición de exigir certificaciones de sistemas de gestión de calidad como requisito habilitante.</w:t>
            </w:r>
          </w:p>
          <w:p w14:paraId="3D9DFE66" w14:textId="77777777" w:rsidR="007B6FF0" w:rsidRPr="00B33094" w:rsidRDefault="007B6FF0" w:rsidP="00D119D4">
            <w:pPr>
              <w:jc w:val="both"/>
              <w:rPr>
                <w:rFonts w:ascii="Verdana" w:eastAsia="Times New Roman" w:hAnsi="Verdana" w:cs="Arial"/>
                <w:bdr w:val="none" w:sz="0" w:space="0" w:color="auto" w:frame="1"/>
                <w:shd w:val="clear" w:color="auto" w:fill="FFFFFF"/>
                <w:lang w:val="es-ES" w:eastAsia="es-ES_tradnl"/>
              </w:rPr>
            </w:pPr>
          </w:p>
          <w:p w14:paraId="7135699A" w14:textId="77777777" w:rsidR="007B6FF0" w:rsidRPr="00B33094" w:rsidRDefault="007B6FF0" w:rsidP="00D119D4">
            <w:pPr>
              <w:jc w:val="both"/>
              <w:rPr>
                <w:rFonts w:ascii="Verdana" w:eastAsia="Times New Roman" w:hAnsi="Verdana" w:cs="Arial"/>
                <w:lang w:val="es-ES" w:eastAsia="es-ES"/>
              </w:rPr>
            </w:pPr>
            <w:proofErr w:type="spellStart"/>
            <w:r w:rsidRPr="00B33094">
              <w:rPr>
                <w:rFonts w:ascii="Verdana" w:eastAsia="Times New Roman" w:hAnsi="Verdana" w:cs="Arial"/>
                <w:bdr w:val="none" w:sz="0" w:space="0" w:color="auto" w:frame="1"/>
                <w:shd w:val="clear" w:color="auto" w:fill="FFFFFF"/>
                <w:lang w:val="es-ES" w:eastAsia="es-ES_tradnl"/>
              </w:rPr>
              <w:t>ii</w:t>
            </w:r>
            <w:proofErr w:type="spellEnd"/>
            <w:r w:rsidRPr="00B33094">
              <w:rPr>
                <w:rFonts w:ascii="Verdana" w:eastAsia="Times New Roman" w:hAnsi="Verdana" w:cs="Arial"/>
                <w:bdr w:val="none" w:sz="0" w:space="0" w:color="auto" w:frame="1"/>
                <w:shd w:val="clear" w:color="auto" w:fill="FFFFFF"/>
                <w:lang w:val="es-ES" w:eastAsia="es-ES_tradnl"/>
              </w:rPr>
              <w:t>)</w:t>
            </w:r>
            <w:r w:rsidRPr="004972E2">
              <w:rPr>
                <w:rFonts w:ascii="Verdana" w:eastAsia="Century Gothic" w:hAnsi="Verdana" w:cs="Century Gothic"/>
                <w:kern w:val="2"/>
                <w14:ligatures w14:val="standardContextual"/>
              </w:rPr>
              <w:t xml:space="preserve"> Resulta a bien resaltar que, </w:t>
            </w:r>
            <w:r w:rsidRPr="00B33094">
              <w:rPr>
                <w:rFonts w:ascii="Verdana" w:eastAsia="Times New Roman" w:hAnsi="Verdana" w:cs="Arial"/>
                <w:lang w:val="es-ES" w:eastAsia="es-ES"/>
              </w:rPr>
              <w:t xml:space="preserve">al ser la capacidad jurídica uno de los requisitos habilitantes que de manera expresa ha dispuesto el numeral 1 del artículo 5 de la Ley 1150 de 2007 para los procesos de contratación, como se observó, sin la presencia de esta no es factible que una persona natural o jurídica </w:t>
            </w:r>
            <w:r w:rsidRPr="00B33094">
              <w:rPr>
                <w:rFonts w:ascii="Verdana" w:eastAsia="Times New Roman" w:hAnsi="Verdana" w:cs="Arial"/>
                <w:lang w:val="es-ES" w:eastAsia="es-ES"/>
              </w:rPr>
              <w:lastRenderedPageBreak/>
              <w:t>celebre un contrato con una Entidad Estatal, pues el cumplimiento de dicho requisito le concede no sólo la facultad de obligarse a cumplir el objeto contractual, sino también, el de no estar incurso en inhabilidades o incompatibilidades que le impidan la celebración del contrato estatal.</w:t>
            </w:r>
          </w:p>
          <w:p w14:paraId="292139AD" w14:textId="77777777" w:rsidR="007B6FF0" w:rsidRPr="00B33094" w:rsidRDefault="007B6FF0" w:rsidP="00D119D4">
            <w:pPr>
              <w:spacing w:before="120"/>
              <w:ind w:firstLine="708"/>
              <w:jc w:val="both"/>
              <w:rPr>
                <w:rFonts w:ascii="Verdana" w:eastAsia="Times New Roman" w:hAnsi="Verdana" w:cs="Arial"/>
                <w:lang w:val="es-ES" w:eastAsia="es-ES"/>
              </w:rPr>
            </w:pPr>
            <w:r w:rsidRPr="00B33094">
              <w:rPr>
                <w:rFonts w:ascii="Verdana" w:eastAsia="Times New Roman" w:hAnsi="Verdana" w:cs="Arial"/>
                <w:lang w:val="es-ES" w:eastAsia="es-ES"/>
              </w:rPr>
              <w:t>En ese sentido, y con el fin de verificar que la capacidad jurídica de los proponentes no se encuentre afectada, las Entidades Estatales pueden solicitar documentaciones adicionales al RUP, en las que observen si estos tienen o no reportadas situaciones que limiten su capacidad para contratar. A modo de ejemplo, se tiene que dentro de este marco se encuentra la exigencia de certificaciones del Registro de Inhabilidades por delitos sexuales con menores de edad y el Registro de Deudores Alimentarios Morosos –REDAM–, las cuales le permitirán constatar a la Entidad Estatal si el proponente cuenta o no con capacidad jurídica, a efectos de determinar si habilita su participación en el proceso de contratación que se encuentre adelantando o si debe rechazarlo, según el caso.</w:t>
            </w:r>
          </w:p>
          <w:p w14:paraId="7AAE57B8" w14:textId="77777777" w:rsidR="007B6FF0" w:rsidRPr="004972E2" w:rsidRDefault="007B6FF0" w:rsidP="00D119D4">
            <w:pPr>
              <w:jc w:val="both"/>
              <w:rPr>
                <w:rFonts w:ascii="Verdana" w:eastAsia="Century Gothic" w:hAnsi="Verdana" w:cs="Century Gothic"/>
                <w:kern w:val="2"/>
                <w14:ligatures w14:val="standardContextual"/>
              </w:rPr>
            </w:pPr>
          </w:p>
          <w:p w14:paraId="0D681EB0" w14:textId="77777777" w:rsidR="007B6FF0" w:rsidRPr="004972E2" w:rsidRDefault="007B6FF0" w:rsidP="00D119D4">
            <w:pPr>
              <w:jc w:val="both"/>
              <w:rPr>
                <w:rFonts w:ascii="Verdana" w:eastAsia="Aptos" w:hAnsi="Verdana" w:cs="Arial"/>
                <w:kern w:val="2"/>
                <w14:ligatures w14:val="standardContextual"/>
              </w:rPr>
            </w:pPr>
            <w:proofErr w:type="spellStart"/>
            <w:r w:rsidRPr="004972E2">
              <w:rPr>
                <w:rFonts w:ascii="Verdana" w:eastAsia="Century Gothic" w:hAnsi="Verdana" w:cs="Century Gothic"/>
                <w:kern w:val="2"/>
                <w14:ligatures w14:val="standardContextual"/>
              </w:rPr>
              <w:t>iii</w:t>
            </w:r>
            <w:proofErr w:type="spellEnd"/>
            <w:r w:rsidRPr="004972E2">
              <w:rPr>
                <w:rFonts w:ascii="Verdana" w:eastAsia="Century Gothic" w:hAnsi="Verdana" w:cs="Century Gothic"/>
                <w:kern w:val="2"/>
                <w14:ligatures w14:val="standardContextual"/>
              </w:rPr>
              <w:t>)</w:t>
            </w:r>
            <w:r w:rsidRPr="004972E2">
              <w:rPr>
                <w:rFonts w:ascii="Verdana" w:eastAsia="Aptos" w:hAnsi="Verdana" w:cs="Arial"/>
                <w:kern w:val="2"/>
                <w14:ligatures w14:val="standardContextual"/>
              </w:rPr>
              <w:t xml:space="preserve"> De acuerdo con lo establecido en el parágrafo 1° del artículo 5 de la Ley 1150 de 2007, se tiene que “[…],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6E6E0EB1" w14:textId="77777777" w:rsidR="007B6FF0" w:rsidRPr="004972E2" w:rsidRDefault="007B6FF0" w:rsidP="00D119D4">
            <w:pPr>
              <w:spacing w:before="120"/>
              <w:jc w:val="both"/>
              <w:rPr>
                <w:rFonts w:ascii="Verdana" w:eastAsia="Aptos" w:hAnsi="Verdana" w:cs="Arial"/>
                <w:kern w:val="2"/>
                <w14:ligatures w14:val="standardContextual"/>
              </w:rPr>
            </w:pPr>
            <w:r w:rsidRPr="004972E2">
              <w:rPr>
                <w:rFonts w:ascii="Verdana" w:eastAsia="Aptos" w:hAnsi="Verdana" w:cs="Arial"/>
                <w:kern w:val="2"/>
                <w14:ligatures w14:val="standardContextual"/>
              </w:rPr>
              <w:tab/>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0F368474" w14:textId="77777777" w:rsidR="007B6FF0" w:rsidRPr="004972E2" w:rsidRDefault="007B6FF0" w:rsidP="00D119D4">
            <w:pPr>
              <w:spacing w:before="120"/>
              <w:ind w:firstLine="708"/>
              <w:jc w:val="both"/>
              <w:rPr>
                <w:rFonts w:ascii="Verdana" w:eastAsia="Aptos" w:hAnsi="Verdana" w:cs="Arial"/>
                <w:kern w:val="2"/>
                <w14:ligatures w14:val="standardContextual"/>
              </w:rPr>
            </w:pPr>
            <w:r w:rsidRPr="004972E2">
              <w:rPr>
                <w:rFonts w:ascii="Verdana" w:eastAsia="Aptos" w:hAnsi="Verdana" w:cs="Arial"/>
                <w:kern w:val="2"/>
                <w14:ligatures w14:val="standardContextual"/>
              </w:rPr>
              <w:lastRenderedPageBreak/>
              <w:t xml:space="preserve">En síntesis y para un mejor entendimiento del significado de la expresión “circunstancias ocurridas con posterioridad al cierre del proceso” lleva necesariamente a distinguir entre la prueba de un hecho y el hecho mismo. En el caso de la </w:t>
            </w:r>
            <w:proofErr w:type="spellStart"/>
            <w:r w:rsidRPr="004972E2">
              <w:rPr>
                <w:rFonts w:ascii="Verdana" w:eastAsia="Aptos" w:hAnsi="Verdana" w:cs="Arial"/>
                <w:kern w:val="2"/>
                <w14:ligatures w14:val="standardContextual"/>
              </w:rPr>
              <w:t>subsanabilidad</w:t>
            </w:r>
            <w:proofErr w:type="spellEnd"/>
            <w:r w:rsidRPr="004972E2">
              <w:rPr>
                <w:rFonts w:ascii="Verdana" w:eastAsia="Aptos" w:hAnsi="Verdana" w:cs="Arial"/>
                <w:kern w:val="2"/>
                <w14:ligatures w14:val="standardContextua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w:t>
            </w:r>
          </w:p>
          <w:p w14:paraId="39841C33" w14:textId="77777777" w:rsidR="007B6FF0" w:rsidRPr="004972E2" w:rsidRDefault="007B6FF0" w:rsidP="00D119D4">
            <w:pPr>
              <w:jc w:val="both"/>
              <w:rPr>
                <w:rFonts w:ascii="Verdana" w:eastAsia="Century Gothic" w:hAnsi="Verdana" w:cs="Century Gothic"/>
                <w:kern w:val="2"/>
                <w14:ligatures w14:val="standardContextual"/>
              </w:rPr>
            </w:pPr>
          </w:p>
          <w:p w14:paraId="1C3AA400" w14:textId="77777777" w:rsidR="007B6FF0" w:rsidRPr="004972E2" w:rsidRDefault="007B6FF0" w:rsidP="00D119D4">
            <w:pPr>
              <w:spacing w:before="120" w:after="120"/>
              <w:jc w:val="both"/>
              <w:rPr>
                <w:rFonts w:ascii="Verdana" w:eastAsia="Times New Roman" w:hAnsi="Verdana" w:cs="Arial"/>
                <w:color w:val="000000"/>
                <w:kern w:val="2"/>
                <w:lang w:val="es-ES" w:eastAsia="es-ES"/>
                <w14:ligatures w14:val="standardContextual"/>
              </w:rPr>
            </w:pPr>
            <w:proofErr w:type="spellStart"/>
            <w:r w:rsidRPr="004972E2">
              <w:rPr>
                <w:rFonts w:ascii="Verdana" w:eastAsia="Century Gothic" w:hAnsi="Verdana" w:cs="Century Gothic"/>
                <w:kern w:val="2"/>
                <w14:ligatures w14:val="standardContextual"/>
              </w:rPr>
              <w:t>iv</w:t>
            </w:r>
            <w:proofErr w:type="spellEnd"/>
            <w:r w:rsidRPr="004972E2">
              <w:rPr>
                <w:rFonts w:ascii="Verdana" w:eastAsia="Century Gothic" w:hAnsi="Verdana" w:cs="Century Gothic"/>
                <w:kern w:val="2"/>
                <w14:ligatures w14:val="standardContextual"/>
              </w:rPr>
              <w:t>)</w:t>
            </w:r>
            <w:r w:rsidRPr="004972E2">
              <w:rPr>
                <w:rFonts w:ascii="Verdana" w:eastAsia="Times New Roman" w:hAnsi="Verdana" w:cs="Arial"/>
                <w:color w:val="000000"/>
                <w:kern w:val="2"/>
                <w:lang w:val="es-ES" w:eastAsia="es-ES"/>
                <w14:ligatures w14:val="standardContextual"/>
              </w:rPr>
              <w:t xml:space="preserve"> La declaratoria de desierta es una figura de vieja data en nuestro ordenamiento, pues ha sido una constante histórica estatutos contractuales derogados. Así, el Decreto Ley 150 de 1976 señalaba las circunstancias en que procedería su declaración –art. 30–; además, exigía establecer en el pliego de condiciones el número mínimo de participantes para no procediera su declaratoria –art. 22–, y habilitaba a la Administración para celebrar el contrato siguiendo el procedimiento de la contratación directa –art. 31–. Por su parte, el Decreto Ley 222 de 1983 establecía la posibilidad de declarar desierta la licitación, determinando las causales para su procedencia –art. 42–. También estipulaba el plazo en el que había de efectuarse y algunas de las consecuencias de tal determinación –</w:t>
            </w:r>
            <w:proofErr w:type="spellStart"/>
            <w:r w:rsidRPr="004972E2">
              <w:rPr>
                <w:rFonts w:ascii="Verdana" w:eastAsia="Times New Roman" w:hAnsi="Verdana" w:cs="Arial"/>
                <w:color w:val="000000"/>
                <w:kern w:val="2"/>
                <w:lang w:val="es-ES" w:eastAsia="es-ES"/>
                <w14:ligatures w14:val="standardContextual"/>
              </w:rPr>
              <w:t>nums</w:t>
            </w:r>
            <w:proofErr w:type="spellEnd"/>
            <w:r w:rsidRPr="004972E2">
              <w:rPr>
                <w:rFonts w:ascii="Verdana" w:eastAsia="Times New Roman" w:hAnsi="Verdana" w:cs="Arial"/>
                <w:color w:val="000000"/>
                <w:kern w:val="2"/>
                <w:lang w:val="es-ES" w:eastAsia="es-ES"/>
                <w14:ligatures w14:val="standardContextual"/>
              </w:rPr>
              <w:t>. 8 y 9 del art. 30–. Ambos estatutos regularon motivos de oportunidad y conveniencia como fundamento de la declaratoria.</w:t>
            </w:r>
          </w:p>
          <w:p w14:paraId="10B254D1" w14:textId="77777777" w:rsidR="007B6FF0" w:rsidRPr="004972E2" w:rsidRDefault="007B6FF0" w:rsidP="00D119D4">
            <w:pPr>
              <w:spacing w:before="120" w:after="120"/>
              <w:ind w:firstLine="709"/>
              <w:jc w:val="both"/>
              <w:rPr>
                <w:rFonts w:ascii="Verdana" w:eastAsia="Times New Roman" w:hAnsi="Verdana" w:cs="Arial"/>
                <w:color w:val="000000"/>
                <w:kern w:val="2"/>
                <w:lang w:val="es-ES" w:eastAsia="es-ES"/>
                <w14:ligatures w14:val="standardContextual"/>
              </w:rPr>
            </w:pPr>
            <w:r w:rsidRPr="004972E2">
              <w:rPr>
                <w:rFonts w:ascii="Verdana" w:eastAsia="Times New Roman" w:hAnsi="Verdana" w:cs="Arial"/>
                <w:color w:val="000000"/>
                <w:kern w:val="2"/>
                <w:lang w:val="es-ES" w:eastAsia="es-ES"/>
                <w14:ligatures w14:val="standardContextual"/>
              </w:rPr>
              <w:t>En contraste, bajo la regulación vigente, esta “únicamente procederá por motivos o causas que impidan la escogencia objetiva”. De esta manera, cualquier declaratoria de desierta de un proceso contractual implica que la entidad en el acto mediante el cual se declara exprese las razones por las cuales considera que no es posible realizar una selección objetiva de la mejor oferta y cómo esta circunstancia se presenta efectivamente en el procedimiento de selección. Esto hace que el acto administrativo mediante el cual se adopta decisión tenga carácter reglado</w:t>
            </w:r>
            <w:r w:rsidRPr="004972E2">
              <w:rPr>
                <w:rFonts w:ascii="Verdana" w:eastAsia="Times New Roman" w:hAnsi="Verdana" w:cs="Arial"/>
                <w:color w:val="000000"/>
                <w:kern w:val="2"/>
                <w:vertAlign w:val="superscript"/>
                <w:lang w:val="es-ES" w:eastAsia="es-ES"/>
                <w14:ligatures w14:val="standardContextual"/>
              </w:rPr>
              <w:footnoteReference w:id="1"/>
            </w:r>
            <w:r w:rsidRPr="004972E2">
              <w:rPr>
                <w:rFonts w:ascii="Verdana" w:eastAsia="Times New Roman" w:hAnsi="Verdana" w:cs="Arial"/>
                <w:color w:val="000000"/>
                <w:kern w:val="2"/>
                <w:lang w:val="es-ES" w:eastAsia="es-ES"/>
                <w14:ligatures w14:val="standardContextual"/>
              </w:rPr>
              <w:t xml:space="preserve">. Lo anterior no obsta para </w:t>
            </w:r>
            <w:r w:rsidRPr="004972E2">
              <w:rPr>
                <w:rFonts w:ascii="Verdana" w:eastAsia="Times New Roman" w:hAnsi="Verdana" w:cs="Arial"/>
                <w:color w:val="000000"/>
                <w:kern w:val="2"/>
                <w:lang w:val="es-ES" w:eastAsia="es-ES"/>
                <w14:ligatures w14:val="standardContextual"/>
              </w:rPr>
              <w:lastRenderedPageBreak/>
              <w:t xml:space="preserve">reconocer que la facultad para declarar desierto un proceso contractual depende de concretar un concepto jurídico indeterminado, pero esto no hace que la potestad tenga naturaleza discrecional. </w:t>
            </w:r>
          </w:p>
        </w:tc>
      </w:tr>
      <w:bookmarkEnd w:id="2"/>
    </w:tbl>
    <w:p w14:paraId="738F5E33" w14:textId="77777777" w:rsidR="007B6FF0" w:rsidRPr="00B33094" w:rsidRDefault="007B6FF0" w:rsidP="007B6FF0">
      <w:pPr>
        <w:widowControl w:val="0"/>
        <w:autoSpaceDE w:val="0"/>
        <w:autoSpaceDN w:val="0"/>
        <w:spacing w:before="1" w:after="0" w:line="240" w:lineRule="auto"/>
        <w:ind w:left="360" w:hanging="360"/>
        <w:outlineLvl w:val="0"/>
        <w:rPr>
          <w:rFonts w:ascii="Verdana" w:eastAsia="Arial" w:hAnsi="Verdana" w:cs="Arial"/>
          <w:b/>
        </w:rPr>
      </w:pPr>
    </w:p>
    <w:p w14:paraId="5E1DB513" w14:textId="77777777" w:rsidR="007B6FF0" w:rsidRPr="00B33094" w:rsidRDefault="007B6FF0" w:rsidP="007B6FF0">
      <w:pPr>
        <w:widowControl w:val="0"/>
        <w:autoSpaceDE w:val="0"/>
        <w:autoSpaceDN w:val="0"/>
        <w:spacing w:before="1" w:after="0" w:line="240" w:lineRule="auto"/>
        <w:ind w:left="360" w:hanging="360"/>
        <w:outlineLvl w:val="0"/>
        <w:rPr>
          <w:rFonts w:ascii="Verdana" w:eastAsia="Arial" w:hAnsi="Verdana" w:cs="Arial"/>
          <w:b/>
          <w:bCs/>
          <w:lang w:val="es-ES"/>
        </w:rPr>
      </w:pPr>
      <w:r w:rsidRPr="00B33094">
        <w:rPr>
          <w:rFonts w:ascii="Verdana" w:eastAsia="Arial" w:hAnsi="Verdana" w:cs="Arial"/>
          <w:b/>
          <w:bCs/>
          <w:lang w:val="es-ES"/>
        </w:rPr>
        <w:t>3. Razones de la respuesta</w:t>
      </w:r>
    </w:p>
    <w:p w14:paraId="34B87F22" w14:textId="77777777" w:rsidR="007B6FF0" w:rsidRPr="00B33094" w:rsidRDefault="007B6FF0" w:rsidP="007B6FF0">
      <w:pPr>
        <w:spacing w:after="0" w:line="240" w:lineRule="auto"/>
        <w:jc w:val="both"/>
        <w:rPr>
          <w:rFonts w:ascii="Verdana" w:eastAsia="Calibri" w:hAnsi="Verdana" w:cs="Arial"/>
          <w:lang w:val="es-ES"/>
        </w:rPr>
      </w:pPr>
    </w:p>
    <w:p w14:paraId="24F1FE0A" w14:textId="77777777" w:rsidR="007B6FF0" w:rsidRPr="00B33094" w:rsidRDefault="007B6FF0" w:rsidP="007B6FF0">
      <w:pPr>
        <w:spacing w:after="0" w:line="240" w:lineRule="auto"/>
        <w:jc w:val="both"/>
        <w:rPr>
          <w:rFonts w:ascii="Verdana" w:eastAsia="Calibri" w:hAnsi="Verdana" w:cs="Arial"/>
          <w:lang w:val="es-ES"/>
        </w:rPr>
      </w:pPr>
      <w:r w:rsidRPr="00B33094">
        <w:rPr>
          <w:rFonts w:ascii="Verdana" w:eastAsia="Calibri" w:hAnsi="Verdana" w:cs="Arial"/>
          <w:lang w:val="es-ES"/>
        </w:rPr>
        <w:t xml:space="preserve">Las respuestas anteriores se sustentan en las siguientes consideraciones: </w:t>
      </w:r>
    </w:p>
    <w:p w14:paraId="72AB926E" w14:textId="77777777" w:rsidR="007B6FF0" w:rsidRPr="00B33094" w:rsidRDefault="007B6FF0" w:rsidP="007B6FF0">
      <w:pPr>
        <w:spacing w:after="0" w:line="240" w:lineRule="auto"/>
        <w:jc w:val="both"/>
        <w:rPr>
          <w:rFonts w:ascii="Verdana" w:eastAsia="Calibri" w:hAnsi="Verdana" w:cs="Arial"/>
          <w:lang w:val="es-ES"/>
        </w:rPr>
      </w:pPr>
    </w:p>
    <w:p w14:paraId="3B1D8D22" w14:textId="77777777" w:rsidR="007B6FF0" w:rsidRPr="00B33094" w:rsidRDefault="007B6FF0" w:rsidP="007B6FF0">
      <w:pPr>
        <w:spacing w:after="0" w:line="240" w:lineRule="auto"/>
        <w:jc w:val="both"/>
        <w:rPr>
          <w:rFonts w:ascii="Verdana" w:eastAsia="Times New Roman" w:hAnsi="Verdana" w:cs="Arial"/>
          <w:lang w:val="es-ES_tradnl" w:eastAsia="es-ES_tradnl"/>
        </w:rPr>
      </w:pPr>
      <w:r w:rsidRPr="00B33094">
        <w:rPr>
          <w:rFonts w:ascii="Verdana" w:eastAsia="Calibri" w:hAnsi="Verdana" w:cs="Arial"/>
          <w:bCs/>
        </w:rPr>
        <w:t xml:space="preserve">i) </w:t>
      </w:r>
      <w:r w:rsidRPr="00B33094">
        <w:rPr>
          <w:rFonts w:ascii="Verdana" w:eastAsia="Times New Roman" w:hAnsi="Verdana" w:cs="Arial"/>
          <w:lang w:val="es-ES_tradnl" w:eastAsia="es-ES_tradnl"/>
        </w:rPr>
        <w:t xml:space="preserve">Los </w:t>
      </w:r>
      <w:r w:rsidRPr="00B33094">
        <w:rPr>
          <w:rFonts w:ascii="Verdana" w:eastAsia="Times New Roman" w:hAnsi="Verdana" w:cs="Arial"/>
          <w:i/>
          <w:iCs/>
          <w:lang w:val="es-ES_tradnl" w:eastAsia="es-ES_tradnl"/>
        </w:rPr>
        <w:t xml:space="preserve">requisitos habilitantes </w:t>
      </w:r>
      <w:r w:rsidRPr="00B33094">
        <w:rPr>
          <w:rFonts w:ascii="Verdana" w:eastAsia="Times New Roman" w:hAnsi="Verdana" w:cs="Arial"/>
          <w:lang w:val="es-ES_tradnl" w:eastAsia="es-ES_tradnl"/>
        </w:rPr>
        <w:t xml:space="preserve">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B33094">
        <w:rPr>
          <w:rFonts w:ascii="Verdana" w:eastAsia="Times New Roman" w:hAnsi="Verdana" w:cs="Arial"/>
          <w:i/>
          <w:iCs/>
          <w:lang w:val="es-ES_tradnl" w:eastAsia="es-ES_tradnl"/>
        </w:rPr>
        <w:t>criterios de evaluación –</w:t>
      </w:r>
      <w:r w:rsidRPr="00B33094">
        <w:rPr>
          <w:rFonts w:ascii="Verdana" w:eastAsia="Times New Roman" w:hAnsi="Verdana" w:cs="Arial"/>
          <w:lang w:val="es-ES_tradnl" w:eastAsia="es-ES_tradnl"/>
        </w:rPr>
        <w:t xml:space="preserve">también conocidos como </w:t>
      </w:r>
      <w:r w:rsidRPr="00B33094">
        <w:rPr>
          <w:rFonts w:ascii="Verdana" w:eastAsia="Times New Roman" w:hAnsi="Verdana" w:cs="Arial"/>
          <w:i/>
          <w:iCs/>
          <w:lang w:val="es-ES_tradnl" w:eastAsia="es-ES_tradnl"/>
        </w:rPr>
        <w:t xml:space="preserve">criterios de calificación– </w:t>
      </w:r>
      <w:r w:rsidRPr="00B33094">
        <w:rPr>
          <w:rFonts w:ascii="Verdana" w:eastAsia="Times New Roman" w:hAnsi="Verdana" w:cs="Arial"/>
          <w:lang w:val="es-ES_tradnl" w:eastAsia="es-ES_tradnl"/>
        </w:rPr>
        <w:t>en que estos son los factores definidos por la Entidad Estatal para la asignación de puntaje en el momento de la comparación de las ofertas, y que, a partir de su ponderación, permiten establecer el orden de elegibilidad y, por ende, la propuesta ganadora.</w:t>
      </w:r>
    </w:p>
    <w:p w14:paraId="77BC1EE6" w14:textId="77777777" w:rsidR="007B6FF0" w:rsidRPr="00B33094" w:rsidRDefault="007B6FF0" w:rsidP="007B6FF0">
      <w:pPr>
        <w:spacing w:before="120" w:after="0" w:line="240" w:lineRule="auto"/>
        <w:jc w:val="both"/>
        <w:rPr>
          <w:rFonts w:ascii="Verdana" w:eastAsia="Times New Roman" w:hAnsi="Verdana" w:cs="Arial"/>
          <w:lang w:val="es-ES" w:eastAsia="es-ES"/>
        </w:rPr>
      </w:pPr>
      <w:r w:rsidRPr="00B33094">
        <w:rPr>
          <w:rFonts w:ascii="Verdana" w:eastAsia="Times New Roman" w:hAnsi="Verdana" w:cs="Arial"/>
          <w:lang w:val="es-ES_tradnl" w:eastAsia="es-ES_tradnl"/>
        </w:rPr>
        <w:tab/>
      </w:r>
      <w:r w:rsidRPr="00B33094">
        <w:rPr>
          <w:rFonts w:ascii="Verdana" w:eastAsia="Times New Roman" w:hAnsi="Verdana" w:cs="Arial"/>
          <w:lang w:val="es-ES" w:eastAsia="es-ES"/>
        </w:rPr>
        <w:t xml:space="preserve">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los parágrafos 1° al 4°, del artículo 5, de la Ley 1150 de 2007. </w:t>
      </w:r>
    </w:p>
    <w:p w14:paraId="06FA5DB0" w14:textId="77777777" w:rsidR="007B6FF0" w:rsidRPr="00B33094" w:rsidRDefault="007B6FF0" w:rsidP="007B6FF0">
      <w:pPr>
        <w:spacing w:before="120" w:after="0" w:line="240" w:lineRule="auto"/>
        <w:jc w:val="both"/>
        <w:rPr>
          <w:rFonts w:ascii="Verdana" w:eastAsia="Times New Roman" w:hAnsi="Verdana" w:cs="Arial"/>
          <w:lang w:val="es-ES_tradnl" w:eastAsia="es-ES_tradnl"/>
        </w:rPr>
      </w:pPr>
      <w:r w:rsidRPr="00B33094">
        <w:rPr>
          <w:rFonts w:ascii="Verdana" w:eastAsia="Times New Roman" w:hAnsi="Verdana" w:cs="Arial"/>
          <w:lang w:val="es-ES_tradnl" w:eastAsia="es-ES_tradnl"/>
        </w:rPr>
        <w:tab/>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w:t>
      </w:r>
    </w:p>
    <w:p w14:paraId="4DE8CD6D" w14:textId="77777777" w:rsidR="007B6FF0" w:rsidRPr="00B33094" w:rsidRDefault="007B6FF0" w:rsidP="007B6FF0">
      <w:pPr>
        <w:spacing w:before="120" w:after="0" w:line="240" w:lineRule="auto"/>
        <w:jc w:val="both"/>
        <w:rPr>
          <w:rFonts w:ascii="Verdana" w:eastAsia="Times New Roman" w:hAnsi="Verdana" w:cs="Arial"/>
          <w:lang w:val="es-ES" w:eastAsia="es-ES"/>
        </w:rPr>
      </w:pPr>
      <w:r w:rsidRPr="00B33094">
        <w:rPr>
          <w:rFonts w:ascii="Verdana" w:eastAsia="Times New Roman" w:hAnsi="Verdana" w:cs="Arial"/>
          <w:lang w:val="es-ES_tradnl" w:eastAsia="es-ES_tradnl"/>
        </w:rPr>
        <w:tab/>
      </w:r>
      <w:r w:rsidRPr="00B33094">
        <w:rPr>
          <w:rFonts w:ascii="Verdana" w:eastAsia="Times New Roman" w:hAnsi="Verdana" w:cs="Arial"/>
          <w:lang w:val="es-ES" w:eastAsia="es-ES"/>
        </w:rPr>
        <w:t xml:space="preserve">Específicamente, el numeral 1°, del artículo 5, de la Ley 1150 de 2005 establece que en los procesos de selección de contratistas serán objeto de verificación, como requisitos habilitantes, </w:t>
      </w:r>
      <w:r w:rsidRPr="00B33094">
        <w:rPr>
          <w:rFonts w:ascii="Verdana" w:eastAsia="Times New Roman" w:hAnsi="Verdana" w:cs="Arial"/>
          <w:i/>
          <w:iCs/>
          <w:lang w:val="es-ES" w:eastAsia="es-ES"/>
        </w:rPr>
        <w:t xml:space="preserve">entre otros, </w:t>
      </w:r>
      <w:r w:rsidRPr="00B33094">
        <w:rPr>
          <w:rFonts w:ascii="Verdana" w:eastAsia="Times New Roman" w:hAnsi="Verdana" w:cs="Arial"/>
          <w:lang w:val="es-ES" w:eastAsia="es-ES"/>
        </w:rPr>
        <w:t xml:space="preserve">los siguientes: i) la capacidad jurídica, </w:t>
      </w:r>
      <w:proofErr w:type="spellStart"/>
      <w:r w:rsidRPr="00B33094">
        <w:rPr>
          <w:rFonts w:ascii="Verdana" w:eastAsia="Times New Roman" w:hAnsi="Verdana" w:cs="Arial"/>
          <w:lang w:val="es-ES" w:eastAsia="es-ES"/>
        </w:rPr>
        <w:t>ii</w:t>
      </w:r>
      <w:proofErr w:type="spellEnd"/>
      <w:r w:rsidRPr="00B33094">
        <w:rPr>
          <w:rFonts w:ascii="Verdana" w:eastAsia="Times New Roman" w:hAnsi="Verdana" w:cs="Arial"/>
          <w:lang w:val="es-ES" w:eastAsia="es-ES"/>
        </w:rPr>
        <w:t xml:space="preserve">) la experiencia, </w:t>
      </w:r>
      <w:proofErr w:type="spellStart"/>
      <w:r w:rsidRPr="00B33094">
        <w:rPr>
          <w:rFonts w:ascii="Verdana" w:eastAsia="Times New Roman" w:hAnsi="Verdana" w:cs="Arial"/>
          <w:lang w:val="es-ES" w:eastAsia="es-ES"/>
        </w:rPr>
        <w:t>iii</w:t>
      </w:r>
      <w:proofErr w:type="spellEnd"/>
      <w:r w:rsidRPr="00B33094">
        <w:rPr>
          <w:rFonts w:ascii="Verdana" w:eastAsia="Times New Roman" w:hAnsi="Verdana" w:cs="Arial"/>
          <w:lang w:val="es-ES" w:eastAsia="es-ES"/>
        </w:rPr>
        <w:t xml:space="preserve">) la capacidad financiera y </w:t>
      </w:r>
      <w:proofErr w:type="spellStart"/>
      <w:r w:rsidRPr="00B33094">
        <w:rPr>
          <w:rFonts w:ascii="Verdana" w:eastAsia="Times New Roman" w:hAnsi="Verdana" w:cs="Arial"/>
          <w:lang w:val="es-ES" w:eastAsia="es-ES"/>
        </w:rPr>
        <w:t>iv</w:t>
      </w:r>
      <w:proofErr w:type="spellEnd"/>
      <w:r w:rsidRPr="00B33094">
        <w:rPr>
          <w:rFonts w:ascii="Verdana" w:eastAsia="Times New Roman" w:hAnsi="Verdana" w:cs="Arial"/>
          <w:lang w:val="es-ES" w:eastAsia="es-ES"/>
        </w:rPr>
        <w:t xml:space="preserve">) la capacidad de organización. En efecto, la normativa citada dispone: </w:t>
      </w:r>
    </w:p>
    <w:p w14:paraId="771DBA0B" w14:textId="77777777" w:rsidR="007B6FF0" w:rsidRPr="00B33094" w:rsidRDefault="007B6FF0" w:rsidP="007B6FF0">
      <w:pPr>
        <w:spacing w:after="0" w:line="240" w:lineRule="auto"/>
        <w:ind w:left="709" w:right="709"/>
        <w:jc w:val="both"/>
        <w:rPr>
          <w:rFonts w:ascii="Verdana" w:eastAsia="Calibri" w:hAnsi="Verdana" w:cs="Arial"/>
          <w:color w:val="000000"/>
        </w:rPr>
      </w:pPr>
    </w:p>
    <w:p w14:paraId="4A7723F8" w14:textId="77777777" w:rsidR="007B6FF0" w:rsidRPr="00B33094" w:rsidRDefault="007B6FF0" w:rsidP="007B6FF0">
      <w:pPr>
        <w:spacing w:after="0" w:line="240" w:lineRule="auto"/>
        <w:ind w:left="709" w:right="709"/>
        <w:jc w:val="both"/>
        <w:rPr>
          <w:rFonts w:ascii="Verdana" w:eastAsia="Calibri" w:hAnsi="Verdana" w:cs="Arial"/>
          <w:color w:val="000000"/>
        </w:rPr>
      </w:pPr>
      <w:r w:rsidRPr="00B33094">
        <w:rPr>
          <w:rFonts w:ascii="Verdana" w:eastAsia="Calibri" w:hAnsi="Verdana" w:cs="Arial"/>
          <w:color w:val="000000"/>
        </w:rPr>
        <w:t xml:space="preserve">“Artículo 5. De la Selección Objetiva. </w:t>
      </w:r>
    </w:p>
    <w:p w14:paraId="57ABB131" w14:textId="77777777" w:rsidR="007B6FF0" w:rsidRPr="00B33094" w:rsidRDefault="007B6FF0" w:rsidP="007B6FF0">
      <w:pPr>
        <w:spacing w:after="120" w:line="240" w:lineRule="auto"/>
        <w:ind w:left="709" w:right="709"/>
        <w:jc w:val="both"/>
        <w:rPr>
          <w:rFonts w:ascii="Verdana" w:eastAsia="Calibri" w:hAnsi="Verdana" w:cs="Arial"/>
          <w:color w:val="000000"/>
        </w:rPr>
      </w:pPr>
      <w:r w:rsidRPr="00B33094">
        <w:rPr>
          <w:rFonts w:ascii="Verdana" w:eastAsia="Calibri" w:hAnsi="Verdana" w:cs="Arial"/>
          <w:color w:val="000000"/>
        </w:rPr>
        <w:lastRenderedPageBreak/>
        <w:t>[…]</w:t>
      </w:r>
    </w:p>
    <w:p w14:paraId="70B9854E" w14:textId="77777777" w:rsidR="007B6FF0" w:rsidRPr="00B33094" w:rsidRDefault="007B6FF0" w:rsidP="007B6FF0">
      <w:pPr>
        <w:spacing w:line="240" w:lineRule="auto"/>
        <w:ind w:left="709" w:right="709"/>
        <w:contextualSpacing/>
        <w:jc w:val="both"/>
        <w:rPr>
          <w:rFonts w:ascii="Verdana" w:eastAsia="Calibri" w:hAnsi="Verdana" w:cs="Arial"/>
          <w:color w:val="000000"/>
        </w:rPr>
      </w:pPr>
      <w:r w:rsidRPr="00B33094">
        <w:rPr>
          <w:rFonts w:ascii="Verdana" w:eastAsia="Calibri" w:hAnsi="Verdana" w:cs="Arial"/>
          <w:color w:val="00000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183BFFBE" w14:textId="77777777" w:rsidR="007B6FF0" w:rsidRPr="00B33094" w:rsidRDefault="007B6FF0" w:rsidP="007B6FF0">
      <w:pPr>
        <w:spacing w:after="0" w:line="240" w:lineRule="auto"/>
        <w:jc w:val="both"/>
        <w:rPr>
          <w:rFonts w:ascii="Verdana" w:eastAsia="Times New Roman" w:hAnsi="Verdana" w:cs="Arial"/>
          <w:lang w:val="es-ES_tradnl" w:eastAsia="es-ES_tradnl"/>
        </w:rPr>
      </w:pPr>
    </w:p>
    <w:p w14:paraId="50CEDFFC" w14:textId="77777777" w:rsidR="007B6FF0" w:rsidRPr="00B33094" w:rsidRDefault="007B6FF0" w:rsidP="007B6FF0">
      <w:pPr>
        <w:spacing w:after="0" w:line="240" w:lineRule="auto"/>
        <w:jc w:val="both"/>
        <w:rPr>
          <w:rFonts w:ascii="Verdana" w:eastAsia="Times New Roman" w:hAnsi="Verdana" w:cs="Arial"/>
          <w:lang w:val="es-ES_tradnl" w:eastAsia="es-ES_tradnl"/>
        </w:rPr>
      </w:pPr>
      <w:r w:rsidRPr="00B33094">
        <w:rPr>
          <w:rFonts w:ascii="Verdana" w:eastAsia="Times New Roman" w:hAnsi="Verdana" w:cs="Arial"/>
          <w:lang w:val="es-ES_tradnl" w:eastAsia="es-ES_tradnl"/>
        </w:rPr>
        <w:tab/>
        <w:t xml:space="preserve">Una vez fijados los requisitos habilitantes por la Entidad Estatal, quienes presenten sus ofertas deben </w:t>
      </w:r>
      <w:r w:rsidRPr="00B33094">
        <w:rPr>
          <w:rFonts w:ascii="Verdana" w:eastAsia="Times New Roman" w:hAnsi="Verdana" w:cs="Arial"/>
          <w:i/>
          <w:iCs/>
          <w:lang w:val="es-ES_tradnl" w:eastAsia="es-ES_tradnl"/>
        </w:rPr>
        <w:t xml:space="preserve">acreditar </w:t>
      </w:r>
      <w:r w:rsidRPr="00B33094">
        <w:rPr>
          <w:rFonts w:ascii="Verdana" w:eastAsia="Times New Roman" w:hAnsi="Verdana" w:cs="Arial"/>
          <w:lang w:val="es-ES_tradnl" w:eastAsia="es-ES_tradnl"/>
        </w:rPr>
        <w:t>que cumplen con estos,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en adelante RUP, se pondrá de presente toda la información relacionada con la experiencia, capacidad jurídica, capacidad financiera y organizacional, así como la clasificación del proponente</w:t>
      </w:r>
      <w:r w:rsidRPr="00B33094">
        <w:rPr>
          <w:rFonts w:ascii="Verdana" w:eastAsia="Calibri" w:hAnsi="Verdana" w:cs="Arial"/>
          <w:color w:val="000000"/>
        </w:rPr>
        <w:t>.</w:t>
      </w:r>
      <w:r w:rsidRPr="00B33094">
        <w:rPr>
          <w:rFonts w:ascii="Verdana" w:eastAsia="Times New Roman" w:hAnsi="Verdana" w:cs="Arial"/>
          <w:lang w:val="es-ES_tradnl" w:eastAsia="es-ES_tradnl"/>
        </w:rPr>
        <w:t xml:space="preserve"> Esto, salvo las excepciones de ley que se estudiarán más adelante. </w:t>
      </w:r>
    </w:p>
    <w:p w14:paraId="2B7396B9" w14:textId="77777777" w:rsidR="007B6FF0" w:rsidRPr="00B33094" w:rsidRDefault="007B6FF0" w:rsidP="007B6FF0">
      <w:pPr>
        <w:spacing w:after="0" w:line="240" w:lineRule="auto"/>
        <w:jc w:val="both"/>
        <w:rPr>
          <w:rFonts w:ascii="Verdana" w:eastAsia="Arial" w:hAnsi="Verdana" w:cs="Arial"/>
        </w:rPr>
      </w:pPr>
    </w:p>
    <w:p w14:paraId="0C69F853" w14:textId="77777777" w:rsidR="007B6FF0" w:rsidRPr="00B33094" w:rsidRDefault="007B6FF0" w:rsidP="007B6FF0">
      <w:pPr>
        <w:spacing w:after="0" w:line="240" w:lineRule="auto"/>
        <w:jc w:val="both"/>
        <w:rPr>
          <w:rFonts w:ascii="Verdana" w:eastAsia="Times New Roman" w:hAnsi="Verdana" w:cs="Arial"/>
          <w:lang w:val="es-ES_tradnl" w:eastAsia="es-ES_tradnl"/>
        </w:rPr>
      </w:pPr>
      <w:proofErr w:type="spellStart"/>
      <w:r w:rsidRPr="00B33094">
        <w:rPr>
          <w:rFonts w:ascii="Verdana" w:eastAsia="Calibri" w:hAnsi="Verdana" w:cs="Arial"/>
          <w:bCs/>
        </w:rPr>
        <w:t>ii</w:t>
      </w:r>
      <w:proofErr w:type="spellEnd"/>
      <w:r w:rsidRPr="00B33094">
        <w:rPr>
          <w:rFonts w:ascii="Verdana" w:eastAsia="Calibri" w:hAnsi="Verdana" w:cs="Arial"/>
          <w:bCs/>
        </w:rPr>
        <w:t>)</w:t>
      </w:r>
      <w:r w:rsidRPr="004972E2">
        <w:rPr>
          <w:rFonts w:ascii="Verdana" w:eastAsia="Times New Roman" w:hAnsi="Verdana" w:cs="Arial"/>
          <w:lang w:val="es-ES_tradnl" w:eastAsia="es-ES_tradnl"/>
        </w:rPr>
        <w:t xml:space="preserve"> </w:t>
      </w:r>
      <w:r w:rsidRPr="00B33094">
        <w:rPr>
          <w:rFonts w:ascii="Verdana" w:eastAsia="Times New Roman" w:hAnsi="Verdana" w:cs="Arial"/>
          <w:lang w:val="es-ES_tradnl" w:eastAsia="es-ES_tradnl"/>
        </w:rPr>
        <w:t>Continuando la línea anterior, se hace pertinente indagar si los requisitos habilitantes establecidos en el numeral 1, del artículo 5, de la Ley 1150 de 2007, tienen o no la característica de taxativos, esto es, si son los únicos que puede exigir la Entidad Estatal a los proponentes. Esta pregunta tiene, al menos, dos respuestas posibles. Por un lado, que sí lo son, pues la norma no hace referencia a otros diferentes. Por otro lado, que no lo son, pues esta no contiene una expresión como “únicamente” o “sólo”,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parágrafo 1, del artículo 6°, de la Ley 1150 de 2007</w:t>
      </w:r>
      <w:r w:rsidRPr="00B33094">
        <w:rPr>
          <w:rFonts w:ascii="Verdana" w:eastAsia="Calibri" w:hAnsi="Verdana" w:cs="Arial"/>
          <w:color w:val="000000"/>
          <w:vertAlign w:val="superscript"/>
        </w:rPr>
        <w:footnoteReference w:id="2"/>
      </w:r>
      <w:r w:rsidRPr="00B33094">
        <w:rPr>
          <w:rFonts w:ascii="Verdana" w:eastAsia="Calibri" w:hAnsi="Verdana" w:cs="Arial"/>
          <w:color w:val="000000"/>
        </w:rPr>
        <w:t>. Esta segunda respuesta contiene la interpretación jurídica que comparte la Agencia Nacional de Contratación Pública.</w:t>
      </w:r>
    </w:p>
    <w:p w14:paraId="586835B5" w14:textId="77777777" w:rsidR="007B6FF0" w:rsidRPr="00B33094" w:rsidRDefault="007B6FF0" w:rsidP="007B6FF0">
      <w:pPr>
        <w:spacing w:before="120" w:after="0" w:line="240" w:lineRule="auto"/>
        <w:jc w:val="both"/>
        <w:rPr>
          <w:rFonts w:ascii="Verdana" w:eastAsia="Calibri" w:hAnsi="Verdana" w:cs="Arial"/>
          <w:color w:val="000000"/>
        </w:rPr>
      </w:pPr>
      <w:r w:rsidRPr="00B33094">
        <w:rPr>
          <w:rFonts w:ascii="Verdana" w:eastAsia="Times New Roman" w:hAnsi="Verdana" w:cs="Arial"/>
          <w:lang w:val="es-ES_tradnl" w:eastAsia="es-ES_tradnl"/>
        </w:rPr>
        <w:lastRenderedPageBreak/>
        <w:tab/>
        <w:t>Existen otros argumentos que sustentan dicha elección interpretativa. Como lo han considerado la Corte Constitucional</w:t>
      </w:r>
      <w:r w:rsidRPr="00B33094">
        <w:rPr>
          <w:rFonts w:ascii="Verdana" w:eastAsia="Calibri" w:hAnsi="Verdana" w:cs="Arial"/>
          <w:color w:val="000000"/>
          <w:vertAlign w:val="superscript"/>
        </w:rPr>
        <w:footnoteReference w:id="3"/>
      </w:r>
      <w:r w:rsidRPr="00B33094">
        <w:rPr>
          <w:rFonts w:ascii="Verdana" w:eastAsia="Times New Roman" w:hAnsi="Verdana" w:cs="Arial"/>
          <w:lang w:val="es-ES_tradnl" w:eastAsia="es-ES_tradnl"/>
        </w:rPr>
        <w:t xml:space="preserve"> y el Consejo de Estado</w:t>
      </w:r>
      <w:r w:rsidRPr="00B33094">
        <w:rPr>
          <w:rFonts w:ascii="Verdana" w:eastAsia="Calibri" w:hAnsi="Verdana" w:cs="Arial"/>
          <w:color w:val="000000"/>
          <w:vertAlign w:val="superscript"/>
        </w:rPr>
        <w:footnoteReference w:id="4"/>
      </w:r>
      <w:r w:rsidRPr="00B33094">
        <w:rPr>
          <w:rFonts w:ascii="Verdana" w:eastAsia="Calibri" w:hAnsi="Verdana" w:cs="Arial"/>
          <w:color w:val="000000"/>
        </w:rPr>
        <w:t>, en virtud del “principio del efecto útil”, el texto de una norma debe ser interpretado de manera que todo cuanto ella prescriba produzca consecuencias jurídicas. En ese contexto, surge la inquietud en relación con los efectos del parágrafo 2 del mismo artículo, pues si la intención del legislador era que solo fueran requisitos habilitantes los cuatro (4) que contiene el numeral 1 de dicha disposición, ¿cómo se explica que el referido parágrafo aclare que “las certificaciones de sistemas de gestión de calidad no serán objeto de calificación, ni podrán establecerse como documento habilitante para participar en licitaciones o concursos”? Si se interpreta que sólo son cuatro (4) los requisitos habilitantes, el parágrafo 2 carecería de efectos jurídicos y, por ende, no tendría ninguna consecuencia normativa que en el mismo artículo se aclare que una exigencia no puede ser considerada como requisito habilitante.</w:t>
      </w:r>
    </w:p>
    <w:p w14:paraId="30E14B61" w14:textId="77777777" w:rsidR="007B6FF0" w:rsidRPr="00B33094" w:rsidRDefault="007B6FF0" w:rsidP="007B6FF0">
      <w:pPr>
        <w:spacing w:before="120" w:after="0" w:line="240" w:lineRule="auto"/>
        <w:jc w:val="both"/>
        <w:rPr>
          <w:rFonts w:ascii="Verdana" w:eastAsia="Times New Roman" w:hAnsi="Verdana" w:cs="Arial"/>
          <w:lang w:val="es-ES_tradnl" w:eastAsia="es-ES_tradnl"/>
        </w:rPr>
      </w:pPr>
      <w:r w:rsidRPr="00B33094">
        <w:rPr>
          <w:rFonts w:ascii="Verdana" w:eastAsia="Calibri" w:hAnsi="Verdana" w:cs="Arial"/>
          <w:color w:val="000000"/>
        </w:rPr>
        <w:tab/>
        <w:t xml:space="preserve">La intención del legislador, de la cual dan cuenta los antecedentes legislativos de la norma </w:t>
      </w:r>
      <w:r w:rsidRPr="00B33094">
        <w:rPr>
          <w:rFonts w:ascii="Verdana" w:eastAsia="Calibri" w:hAnsi="Verdana" w:cs="Arial"/>
          <w:i/>
          <w:iCs/>
          <w:color w:val="000000"/>
        </w:rPr>
        <w:t xml:space="preserve">sub examine, </w:t>
      </w:r>
      <w:r w:rsidRPr="00B33094">
        <w:rPr>
          <w:rFonts w:ascii="Verdana" w:eastAsia="Calibri" w:hAnsi="Verdana" w:cs="Arial"/>
          <w:color w:val="000000"/>
        </w:rPr>
        <w:t>también justifica la interpretación propuesta por esta Agencia, ya que fue hasta el cuarto debate legislativo en donde se incluyó el parágrafo comentado anteriormente</w:t>
      </w:r>
      <w:r w:rsidRPr="00B33094">
        <w:rPr>
          <w:rFonts w:ascii="Verdana" w:eastAsia="Calibri" w:hAnsi="Verdana" w:cs="Arial"/>
          <w:color w:val="000000"/>
          <w:vertAlign w:val="superscript"/>
        </w:rPr>
        <w:footnoteReference w:id="5"/>
      </w:r>
      <w:r w:rsidRPr="00B33094">
        <w:rPr>
          <w:rFonts w:ascii="Verdana" w:eastAsia="Calibri" w:hAnsi="Verdana" w:cs="Arial"/>
          <w:color w:val="000000"/>
        </w:rPr>
        <w:t xml:space="preserve">, lo que deja ver la necesidad que tenía el Congreso de aclarar que unos documentos no podrían ser tenidos como requisitos habilitantes, lo que da cuenta, a su vez, del reconocimiento tácito de la existencia de otros requisitos habilitantes, distintos </w:t>
      </w:r>
      <w:r w:rsidRPr="00B33094">
        <w:rPr>
          <w:rFonts w:ascii="Verdana" w:eastAsia="Calibri" w:hAnsi="Verdana" w:cs="Arial"/>
          <w:color w:val="000000"/>
        </w:rPr>
        <w:lastRenderedPageBreak/>
        <w:t>a los cuatro (4) que establece el artículo 5, parágrafo 1, de la Ley 1150 de 2007, reglamentados en el artículo 2.2.1.1.1.5.3 del Decreto 1082 de 2015</w:t>
      </w:r>
      <w:r w:rsidRPr="00B33094">
        <w:rPr>
          <w:rFonts w:ascii="Verdana" w:eastAsia="Calibri" w:hAnsi="Verdana" w:cs="Arial"/>
          <w:color w:val="000000"/>
          <w:vertAlign w:val="superscript"/>
        </w:rPr>
        <w:footnoteReference w:id="6"/>
      </w:r>
      <w:r w:rsidRPr="00B33094">
        <w:rPr>
          <w:rFonts w:ascii="Verdana" w:eastAsia="Calibri" w:hAnsi="Verdana" w:cs="Arial"/>
          <w:color w:val="000000"/>
        </w:rPr>
        <w:t>.</w:t>
      </w:r>
    </w:p>
    <w:p w14:paraId="4E158DEC" w14:textId="77777777" w:rsidR="007B6FF0" w:rsidRPr="00B33094" w:rsidRDefault="007B6FF0" w:rsidP="007B6FF0">
      <w:pPr>
        <w:spacing w:before="120" w:after="0" w:line="240" w:lineRule="auto"/>
        <w:jc w:val="both"/>
        <w:rPr>
          <w:rFonts w:ascii="Verdana" w:eastAsia="Times New Roman" w:hAnsi="Verdana" w:cs="Arial"/>
          <w:lang w:val="es-ES_tradnl" w:eastAsia="es-ES_tradnl"/>
        </w:rPr>
      </w:pPr>
      <w:r w:rsidRPr="00B33094">
        <w:rPr>
          <w:rFonts w:ascii="Verdana" w:eastAsia="Times New Roman" w:hAnsi="Verdana" w:cs="Arial"/>
          <w:lang w:val="es-ES_tradnl" w:eastAsia="es-ES_tradnl"/>
        </w:rPr>
        <w:tab/>
        <w:t>Por otro lado, en el “Manual para determinar y verificar los requisitos habilitantes en los Procesos de Contratación”</w:t>
      </w:r>
      <w:r w:rsidRPr="00B33094">
        <w:rPr>
          <w:rFonts w:ascii="Verdana" w:eastAsia="Times New Roman" w:hAnsi="Verdana" w:cs="Arial"/>
          <w:vertAlign w:val="superscript"/>
          <w:lang w:val="es-ES_tradnl" w:eastAsia="es-ES_tradnl"/>
        </w:rPr>
        <w:footnoteReference w:id="7"/>
      </w:r>
      <w:r w:rsidRPr="00B33094">
        <w:rPr>
          <w:rFonts w:ascii="Verdana" w:eastAsia="Times New Roman" w:hAnsi="Verdana" w:cs="Arial"/>
          <w:lang w:val="es-ES_tradnl" w:eastAsia="es-ES_tradnl"/>
        </w:rPr>
        <w:t xml:space="preserve"> expedido por esta Agencia, se desarrollan parámetros para </w:t>
      </w:r>
      <w:r w:rsidRPr="00B33094">
        <w:rPr>
          <w:rFonts w:ascii="Verdana" w:eastAsia="Times New Roman" w:hAnsi="Verdana" w:cs="Arial"/>
          <w:i/>
          <w:iCs/>
          <w:lang w:val="es-ES_tradnl" w:eastAsia="es-ES_tradnl"/>
        </w:rPr>
        <w:t xml:space="preserve">establecer, acreditar y subsanar </w:t>
      </w:r>
      <w:r w:rsidRPr="00B33094">
        <w:rPr>
          <w:rFonts w:ascii="Verdana" w:eastAsia="Times New Roman" w:hAnsi="Verdana" w:cs="Arial"/>
          <w:lang w:val="es-ES_tradnl" w:eastAsia="es-ES_tradnl"/>
        </w:rPr>
        <w:t>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2BF26DBA" w14:textId="77777777" w:rsidR="007B6FF0" w:rsidRPr="00B33094" w:rsidRDefault="007B6FF0" w:rsidP="007B6FF0">
      <w:pPr>
        <w:spacing w:before="120" w:after="0" w:line="240" w:lineRule="auto"/>
        <w:jc w:val="both"/>
        <w:rPr>
          <w:rFonts w:ascii="Verdana" w:eastAsia="Times New Roman" w:hAnsi="Verdana" w:cs="Arial"/>
          <w:lang w:val="es-ES_tradnl" w:eastAsia="es-ES_tradnl"/>
        </w:rPr>
      </w:pPr>
      <w:r w:rsidRPr="00B33094">
        <w:rPr>
          <w:rFonts w:ascii="Verdana" w:eastAsia="Times New Roman" w:hAnsi="Verdana" w:cs="Arial"/>
          <w:lang w:val="es-ES_tradnl" w:eastAsia="es-ES_tradnl"/>
        </w:rPr>
        <w:lastRenderedPageBreak/>
        <w:tab/>
        <w:t>En consecuencia, corresponde a las Entidades Estatales, durante la etapa de planeación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riesgos asociados al contrato, el plazo y la complejidad de ejecución del objeto</w:t>
      </w:r>
      <w:r w:rsidRPr="00B33094">
        <w:rPr>
          <w:rFonts w:ascii="Verdana" w:eastAsia="Calibri" w:hAnsi="Verdana" w:cs="Arial"/>
          <w:b/>
          <w:vertAlign w:val="superscript"/>
          <w:lang w:eastAsia="es-ES_tradnl"/>
        </w:rPr>
        <w:footnoteReference w:id="8"/>
      </w:r>
      <w:r w:rsidRPr="00B33094">
        <w:rPr>
          <w:rFonts w:ascii="Verdana" w:eastAsia="Times New Roman" w:hAnsi="Verdana" w:cs="Arial"/>
          <w:lang w:val="es-ES_tradnl" w:eastAsia="es-ES_tradnl"/>
        </w:rPr>
        <w:t xml:space="preserve">. Pues bien,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establece el parágrafo 2, del artículo 5, de la Ley 1150 de 2007, relacionado con la prohibición de exigir certificaciones de sistemas de gestión de calidad como requisito habilitante. </w:t>
      </w:r>
    </w:p>
    <w:p w14:paraId="0E684DFE" w14:textId="77777777" w:rsidR="007B6FF0" w:rsidRPr="00B33094" w:rsidRDefault="007B6FF0" w:rsidP="007B6FF0">
      <w:pPr>
        <w:spacing w:before="120" w:after="0" w:line="240" w:lineRule="auto"/>
        <w:jc w:val="both"/>
        <w:rPr>
          <w:rFonts w:ascii="Verdana" w:eastAsia="Times New Roman" w:hAnsi="Verdana" w:cs="Arial"/>
          <w:lang w:val="es-ES_tradnl" w:eastAsia="es-ES_tradnl"/>
        </w:rPr>
      </w:pPr>
      <w:r w:rsidRPr="00B33094">
        <w:rPr>
          <w:rFonts w:ascii="Verdana" w:eastAsia="Times New Roman" w:hAnsi="Verdana" w:cs="Arial"/>
          <w:lang w:val="es-ES_tradnl" w:eastAsia="es-ES_tradnl"/>
        </w:rPr>
        <w:tab/>
        <w:t>Ahora bien,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5284BF72" w14:textId="77777777" w:rsidR="007B6FF0" w:rsidRPr="00B33094" w:rsidRDefault="007B6FF0" w:rsidP="007B6FF0">
      <w:pPr>
        <w:spacing w:before="120" w:after="0" w:line="240" w:lineRule="auto"/>
        <w:jc w:val="both"/>
        <w:rPr>
          <w:rFonts w:ascii="Verdana" w:eastAsia="Times New Roman" w:hAnsi="Verdana" w:cs="Arial"/>
          <w:lang w:val="es-ES" w:eastAsia="es-ES"/>
        </w:rPr>
      </w:pPr>
      <w:r w:rsidRPr="00B33094">
        <w:rPr>
          <w:rFonts w:ascii="Verdana" w:eastAsia="Times New Roman" w:hAnsi="Verdana" w:cs="Arial"/>
          <w:lang w:val="es-ES_tradnl" w:eastAsia="es-ES_tradnl"/>
        </w:rPr>
        <w:tab/>
      </w:r>
      <w:r w:rsidRPr="00B33094">
        <w:rPr>
          <w:rFonts w:ascii="Verdana" w:eastAsia="Times New Roman" w:hAnsi="Verdana" w:cs="Arial"/>
          <w:lang w:val="es-ES" w:eastAsia="es-ES"/>
        </w:rPr>
        <w:t xml:space="preserve">El </w:t>
      </w:r>
      <w:r w:rsidRPr="00B33094">
        <w:rPr>
          <w:rFonts w:ascii="Verdana" w:eastAsia="Times New Roman" w:hAnsi="Verdana" w:cs="Arial"/>
          <w:i/>
          <w:iCs/>
          <w:lang w:val="es-ES" w:eastAsia="es-ES"/>
        </w:rPr>
        <w:t xml:space="preserve">principio de autonomía de la voluntad, </w:t>
      </w:r>
      <w:r w:rsidRPr="00B33094">
        <w:rPr>
          <w:rFonts w:ascii="Verdana" w:eastAsia="Times New Roman" w:hAnsi="Verdana" w:cs="Arial"/>
          <w:lang w:val="es-ES" w:eastAsia="es-ES"/>
        </w:rPr>
        <w:t xml:space="preserve">reconocido en los artículos 13, 32 y 40 de la Ley 80 de 1993 para las entidades sometidas a esta, y en el artículo 1602 del Código Civil, para las exceptuadas de aquella, actúa entonces como el fundamento normativo que otorga a las Entidades Estatales la competencia para que puedan solicitar requisitos habilitantes adicionales o diferentes a los establecidos en el numeral 1°,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w:t>
      </w:r>
      <w:r w:rsidRPr="00B33094">
        <w:rPr>
          <w:rFonts w:ascii="Verdana" w:eastAsia="Times New Roman" w:hAnsi="Verdana" w:cs="Arial"/>
          <w:lang w:val="es-ES" w:eastAsia="es-ES"/>
        </w:rPr>
        <w:lastRenderedPageBreak/>
        <w:t>específicamente, para definir los requisitos que deben reunir los oferentes, según los factores advertidos durante los estudios previos, en armonía con los principios de legalidad y proporcionalidad.</w:t>
      </w:r>
    </w:p>
    <w:p w14:paraId="49B15EC4" w14:textId="77777777" w:rsidR="007B6FF0" w:rsidRPr="00B33094" w:rsidRDefault="007B6FF0" w:rsidP="007B6FF0">
      <w:pPr>
        <w:spacing w:before="120" w:after="0" w:line="240" w:lineRule="auto"/>
        <w:jc w:val="both"/>
        <w:rPr>
          <w:rFonts w:ascii="Verdana" w:eastAsia="Times New Roman" w:hAnsi="Verdana" w:cs="Arial"/>
          <w:lang w:val="es-ES_tradnl" w:eastAsia="es-ES_tradnl"/>
        </w:rPr>
      </w:pPr>
      <w:r w:rsidRPr="00B33094">
        <w:rPr>
          <w:rFonts w:ascii="Verdana" w:eastAsia="Times New Roman" w:hAnsi="Verdana" w:cs="Arial"/>
          <w:lang w:val="es-ES_tradnl" w:eastAsia="es-ES_tradnl"/>
        </w:rPr>
        <w:tab/>
        <w:t xml:space="preserve">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w:t>
      </w:r>
    </w:p>
    <w:p w14:paraId="348D63B0" w14:textId="77777777" w:rsidR="007B6FF0" w:rsidRPr="00B33094" w:rsidRDefault="007B6FF0" w:rsidP="007B6FF0">
      <w:pPr>
        <w:spacing w:before="120" w:after="0" w:line="240" w:lineRule="auto"/>
        <w:ind w:firstLine="708"/>
        <w:jc w:val="both"/>
        <w:rPr>
          <w:rFonts w:ascii="Verdana" w:eastAsia="Times New Roman" w:hAnsi="Verdana" w:cs="Arial"/>
          <w:lang w:val="es-ES" w:eastAsia="es-ES"/>
        </w:rPr>
      </w:pPr>
      <w:r w:rsidRPr="00B33094">
        <w:rPr>
          <w:rFonts w:ascii="Verdana" w:eastAsia="Times New Roman" w:hAnsi="Verdana" w:cs="Arial"/>
          <w:lang w:val="es-ES" w:eastAsia="es-ES"/>
        </w:rPr>
        <w:t xml:space="preserve">Como conclusión de lo anterior, puede decirse que aunque la Ley 1150 de 2007 estableció unos requisitos habilitantes para los proponentes, esto es i) la capacidad jurídica, </w:t>
      </w:r>
      <w:proofErr w:type="spellStart"/>
      <w:r w:rsidRPr="00B33094">
        <w:rPr>
          <w:rFonts w:ascii="Verdana" w:eastAsia="Times New Roman" w:hAnsi="Verdana" w:cs="Arial"/>
          <w:lang w:val="es-ES" w:eastAsia="es-ES"/>
        </w:rPr>
        <w:t>ii</w:t>
      </w:r>
      <w:proofErr w:type="spellEnd"/>
      <w:r w:rsidRPr="00B33094">
        <w:rPr>
          <w:rFonts w:ascii="Verdana" w:eastAsia="Times New Roman" w:hAnsi="Verdana" w:cs="Arial"/>
          <w:lang w:val="es-ES" w:eastAsia="es-ES"/>
        </w:rPr>
        <w:t xml:space="preserve">) las condiciones de experiencia, </w:t>
      </w:r>
      <w:proofErr w:type="spellStart"/>
      <w:r w:rsidRPr="00B33094">
        <w:rPr>
          <w:rFonts w:ascii="Verdana" w:eastAsia="Times New Roman" w:hAnsi="Verdana" w:cs="Arial"/>
          <w:lang w:val="es-ES" w:eastAsia="es-ES"/>
        </w:rPr>
        <w:t>iii</w:t>
      </w:r>
      <w:proofErr w:type="spellEnd"/>
      <w:r w:rsidRPr="00B33094">
        <w:rPr>
          <w:rFonts w:ascii="Verdana" w:eastAsia="Times New Roman" w:hAnsi="Verdana" w:cs="Arial"/>
          <w:lang w:val="es-ES" w:eastAsia="es-ES"/>
        </w:rPr>
        <w:t xml:space="preserve">) la capacidad financiera y </w:t>
      </w:r>
      <w:proofErr w:type="spellStart"/>
      <w:r w:rsidRPr="00B33094">
        <w:rPr>
          <w:rFonts w:ascii="Verdana" w:eastAsia="Times New Roman" w:hAnsi="Verdana" w:cs="Arial"/>
          <w:lang w:val="es-ES" w:eastAsia="es-ES"/>
        </w:rPr>
        <w:t>iv</w:t>
      </w:r>
      <w:proofErr w:type="spellEnd"/>
      <w:r w:rsidRPr="00B33094">
        <w:rPr>
          <w:rFonts w:ascii="Verdana" w:eastAsia="Times New Roman" w:hAnsi="Verdana" w:cs="Arial"/>
          <w:lang w:val="es-ES" w:eastAsia="es-ES"/>
        </w:rPr>
        <w:t>)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w:t>
      </w:r>
    </w:p>
    <w:p w14:paraId="2F3632A7" w14:textId="77777777" w:rsidR="007B6FF0" w:rsidRPr="00B33094" w:rsidRDefault="007B6FF0" w:rsidP="007B6FF0">
      <w:pPr>
        <w:spacing w:after="0" w:line="240" w:lineRule="auto"/>
        <w:jc w:val="both"/>
        <w:rPr>
          <w:rFonts w:ascii="Verdana" w:eastAsia="Times New Roman" w:hAnsi="Verdana" w:cs="Arial"/>
          <w:lang w:val="es-ES" w:eastAsia="es-ES"/>
        </w:rPr>
      </w:pPr>
    </w:p>
    <w:p w14:paraId="4D41F0BB" w14:textId="77777777" w:rsidR="007B6FF0" w:rsidRPr="00B33094" w:rsidRDefault="007B6FF0" w:rsidP="007B6FF0">
      <w:pPr>
        <w:spacing w:after="0" w:line="240" w:lineRule="auto"/>
        <w:jc w:val="both"/>
        <w:rPr>
          <w:rFonts w:ascii="Verdana" w:eastAsia="Times New Roman" w:hAnsi="Verdana" w:cs="Arial"/>
          <w:lang w:val="es-ES" w:eastAsia="es-ES"/>
        </w:rPr>
      </w:pPr>
      <w:proofErr w:type="spellStart"/>
      <w:r w:rsidRPr="00B33094">
        <w:rPr>
          <w:rFonts w:ascii="Verdana" w:eastAsia="Times New Roman" w:hAnsi="Verdana" w:cs="Arial"/>
          <w:lang w:val="es-ES" w:eastAsia="es-ES"/>
        </w:rPr>
        <w:t>iii</w:t>
      </w:r>
      <w:proofErr w:type="spellEnd"/>
      <w:r w:rsidRPr="00B33094">
        <w:rPr>
          <w:rFonts w:ascii="Verdana" w:eastAsia="Times New Roman" w:hAnsi="Verdana" w:cs="Arial"/>
          <w:lang w:val="es-ES" w:eastAsia="es-ES"/>
        </w:rPr>
        <w:t>) Al tenor de lo anterior, resulta a bien resaltar que al ser la capacidad jurídica uno de los requisitos habilitantes que de manera expresa ha dispuesto el numeral 1 del artículo 5 de la Ley 1150 de 2007 para los procesos de contratación, como se observó, sin la presencia de esta no es factible que una persona natural o jurídica celebre un contrato con una Entidad Estatal, pues el cumplimiento de dicho requisito le concede no sólo la facultad de obligarse a cumplir el objeto contractual, sino también, el de no estar incurso en inhabilidades o incompatibilidades que le impidan la celebración del contrato estatal.</w:t>
      </w:r>
    </w:p>
    <w:p w14:paraId="75BD1B62" w14:textId="77777777" w:rsidR="007B6FF0" w:rsidRPr="00B33094" w:rsidRDefault="007B6FF0" w:rsidP="007B6FF0">
      <w:pPr>
        <w:spacing w:before="120" w:after="0" w:line="240" w:lineRule="auto"/>
        <w:ind w:firstLine="708"/>
        <w:jc w:val="both"/>
        <w:rPr>
          <w:rFonts w:ascii="Verdana" w:eastAsia="Times New Roman" w:hAnsi="Verdana" w:cs="Arial"/>
          <w:lang w:val="es-ES" w:eastAsia="es-ES"/>
        </w:rPr>
      </w:pPr>
      <w:r w:rsidRPr="00B33094">
        <w:rPr>
          <w:rFonts w:ascii="Verdana" w:eastAsia="Times New Roman" w:hAnsi="Verdana" w:cs="Arial"/>
          <w:lang w:val="es-ES" w:eastAsia="es-ES"/>
        </w:rPr>
        <w:t>En ese sentido, y con el fin de verificar que la capacidad jurídica de los proponentes no se encuentre afectada, las Entidades Estatales pueden solicitar documentaciones adicionales al RUP, en las que observen si estos tienen o no reportadas situaciones que limiten su capacidad para contratar. Dentro de este marco, se encuentra la exigencia de certificaciones del Registro de Inhabilidades por delitos sexuales con menores de edad</w:t>
      </w:r>
      <w:r w:rsidRPr="00B33094">
        <w:rPr>
          <w:rStyle w:val="Refdenotaalpie"/>
          <w:rFonts w:ascii="Verdana" w:eastAsia="Times New Roman" w:hAnsi="Verdana" w:cs="Arial"/>
          <w:lang w:val="es-ES" w:eastAsia="es-ES"/>
        </w:rPr>
        <w:footnoteReference w:id="9"/>
      </w:r>
      <w:r w:rsidRPr="00B33094">
        <w:rPr>
          <w:rFonts w:ascii="Verdana" w:eastAsia="Times New Roman" w:hAnsi="Verdana" w:cs="Arial"/>
          <w:lang w:val="es-ES" w:eastAsia="es-ES"/>
        </w:rPr>
        <w:t xml:space="preserve"> y el Registro de Deudores </w:t>
      </w:r>
      <w:r w:rsidRPr="00B33094">
        <w:rPr>
          <w:rFonts w:ascii="Verdana" w:eastAsia="Times New Roman" w:hAnsi="Verdana" w:cs="Arial"/>
          <w:lang w:val="es-ES" w:eastAsia="es-ES"/>
        </w:rPr>
        <w:lastRenderedPageBreak/>
        <w:t>Alimentarios Morosos –REDAM–</w:t>
      </w:r>
      <w:r w:rsidRPr="00B33094">
        <w:rPr>
          <w:rStyle w:val="Refdenotaalpie"/>
          <w:rFonts w:ascii="Verdana" w:eastAsia="Times New Roman" w:hAnsi="Verdana" w:cs="Arial"/>
          <w:lang w:val="es-ES" w:eastAsia="es-ES"/>
        </w:rPr>
        <w:footnoteReference w:id="10"/>
      </w:r>
      <w:r w:rsidRPr="00B33094">
        <w:rPr>
          <w:rFonts w:ascii="Verdana" w:eastAsia="Times New Roman" w:hAnsi="Verdana" w:cs="Arial"/>
          <w:lang w:val="es-ES" w:eastAsia="es-ES"/>
        </w:rPr>
        <w:t>, las cuales le permitirán constatar a la Entidad Estatal si el proponente cuenta o no con capacidad jurídica, a efectos de determinar si habilita su participación en el proceso de contratación que se encuentre adelantando o si debe rechazarlo, según el caso.</w:t>
      </w:r>
    </w:p>
    <w:p w14:paraId="72D07C8E" w14:textId="77777777" w:rsidR="007B6FF0" w:rsidRPr="00B33094" w:rsidRDefault="007B6FF0" w:rsidP="007B6FF0">
      <w:pPr>
        <w:pBdr>
          <w:top w:val="nil"/>
          <w:left w:val="nil"/>
          <w:bottom w:val="nil"/>
          <w:right w:val="nil"/>
          <w:between w:val="nil"/>
        </w:pBdr>
        <w:spacing w:after="0" w:line="240" w:lineRule="auto"/>
        <w:jc w:val="both"/>
        <w:rPr>
          <w:rFonts w:ascii="Verdana" w:eastAsia="Calibri" w:hAnsi="Verdana" w:cs="Arial"/>
          <w:bCs/>
        </w:rPr>
      </w:pPr>
    </w:p>
    <w:p w14:paraId="43473A76" w14:textId="77777777" w:rsidR="007B6FF0" w:rsidRPr="00B33094" w:rsidRDefault="007B6FF0" w:rsidP="007B6FF0">
      <w:pPr>
        <w:pBdr>
          <w:top w:val="nil"/>
          <w:left w:val="nil"/>
          <w:bottom w:val="nil"/>
          <w:right w:val="nil"/>
          <w:between w:val="nil"/>
        </w:pBdr>
        <w:spacing w:after="0" w:line="240" w:lineRule="auto"/>
        <w:jc w:val="both"/>
        <w:rPr>
          <w:rFonts w:ascii="Verdana" w:eastAsia="Quattrocento Sans" w:hAnsi="Verdana" w:cs="Quattrocento Sans"/>
        </w:rPr>
      </w:pPr>
      <w:proofErr w:type="spellStart"/>
      <w:r w:rsidRPr="00B33094">
        <w:rPr>
          <w:rFonts w:ascii="Verdana" w:eastAsia="Calibri" w:hAnsi="Verdana" w:cs="Arial"/>
          <w:bCs/>
        </w:rPr>
        <w:t>iv</w:t>
      </w:r>
      <w:proofErr w:type="spellEnd"/>
      <w:r w:rsidRPr="00B33094">
        <w:rPr>
          <w:rFonts w:ascii="Verdana" w:eastAsia="Calibri" w:hAnsi="Verdana" w:cs="Arial"/>
          <w:bCs/>
        </w:rPr>
        <w:t xml:space="preserve">) Ahora bien, y por resultar pertinente al objeto bajo consulta, se indica que la </w:t>
      </w:r>
      <w:r w:rsidRPr="00B33094">
        <w:rPr>
          <w:rFonts w:ascii="Verdana" w:eastAsia="Arial" w:hAnsi="Verdana" w:cs="Arial"/>
        </w:rPr>
        <w:t xml:space="preserve">Subdirección de Gestión Contractual de esta Agencia se ha pronunciado en diversas oportunidades acerca del alcance de la regla de la </w:t>
      </w:r>
      <w:proofErr w:type="spellStart"/>
      <w:r w:rsidRPr="00B33094">
        <w:rPr>
          <w:rFonts w:ascii="Verdana" w:eastAsia="Arial" w:hAnsi="Verdana" w:cs="Arial"/>
        </w:rPr>
        <w:t>subsanabilidad</w:t>
      </w:r>
      <w:proofErr w:type="spellEnd"/>
      <w:r w:rsidRPr="00B33094">
        <w:rPr>
          <w:rFonts w:ascii="Verdana" w:eastAsia="Arial" w:hAnsi="Verdana" w:cs="Arial"/>
        </w:rPr>
        <w:t xml:space="preserve">, contenida actualmente en el artículo 5 de la Ley 1150 de 2007. Al respecto, la postura que se reitera en el presente concepto es la siguiente: por regla general, son subsanables i) la falta de entrega o </w:t>
      </w:r>
      <w:proofErr w:type="spellStart"/>
      <w:r w:rsidRPr="00B33094">
        <w:rPr>
          <w:rFonts w:ascii="Verdana" w:eastAsia="Arial" w:hAnsi="Verdana" w:cs="Arial"/>
        </w:rPr>
        <w:t>ii</w:t>
      </w:r>
      <w:proofErr w:type="spellEnd"/>
      <w:r w:rsidRPr="00B33094">
        <w:rPr>
          <w:rFonts w:ascii="Verdana" w:eastAsia="Arial" w:hAnsi="Verdana" w:cs="Arial"/>
        </w:rPr>
        <w:t xml:space="preserve">) los defectos de los requisitos habilitantes. La excepción se encuentra en los casos, previstos en la ley, que limitan la </w:t>
      </w:r>
      <w:proofErr w:type="spellStart"/>
      <w:r w:rsidRPr="00B33094">
        <w:rPr>
          <w:rFonts w:ascii="Verdana" w:eastAsia="Arial" w:hAnsi="Verdana" w:cs="Arial"/>
        </w:rPr>
        <w:t>subsanabilidad</w:t>
      </w:r>
      <w:proofErr w:type="spellEnd"/>
      <w:r w:rsidRPr="00B33094">
        <w:rPr>
          <w:rFonts w:ascii="Verdana" w:eastAsia="Arial" w:hAnsi="Verdana" w:cs="Arial"/>
        </w:rPr>
        <w:t>, es decir, en la prohibición de permitir la entrega de la garantía de seriedad de la oferta que no fue aportada con la propuesta y de valer la acreditación de circunstancias ocurridas con posterioridad al cierre del proceso.</w:t>
      </w:r>
    </w:p>
    <w:p w14:paraId="1E9AA9D8" w14:textId="77777777" w:rsidR="007B6FF0" w:rsidRPr="00B33094" w:rsidRDefault="007B6FF0" w:rsidP="007B6FF0">
      <w:pPr>
        <w:spacing w:before="120" w:after="120" w:line="240" w:lineRule="auto"/>
        <w:ind w:firstLine="709"/>
        <w:jc w:val="both"/>
        <w:rPr>
          <w:rFonts w:ascii="Verdana" w:eastAsia="Arial" w:hAnsi="Verdana" w:cs="Arial"/>
        </w:rPr>
      </w:pPr>
      <w:r w:rsidRPr="00B33094">
        <w:rPr>
          <w:rFonts w:ascii="Verdana" w:eastAsia="Arial" w:hAnsi="Verdana" w:cs="Arial"/>
        </w:rPr>
        <w:t xml:space="preserve">En ese sentido, el parágrafo 1º del artículo 5 ibidem, determinó lo siguiente: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2E72894E" w14:textId="77777777" w:rsidR="007B6FF0" w:rsidRPr="00B33094" w:rsidRDefault="007B6FF0" w:rsidP="007B6FF0">
      <w:pPr>
        <w:spacing w:after="120" w:line="240" w:lineRule="auto"/>
        <w:ind w:firstLine="709"/>
        <w:jc w:val="both"/>
        <w:rPr>
          <w:rFonts w:ascii="Verdana" w:eastAsia="Calibri" w:hAnsi="Verdana" w:cs="Times New Roman"/>
        </w:rPr>
      </w:pPr>
      <w:r w:rsidRPr="00B33094">
        <w:rPr>
          <w:rFonts w:ascii="Verdana" w:eastAsia="Arial" w:hAnsi="Verdana" w:cs="Aria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7B0A33E6" w14:textId="77777777" w:rsidR="007B6FF0" w:rsidRPr="00B33094" w:rsidRDefault="007B6FF0" w:rsidP="007B6FF0">
      <w:pPr>
        <w:spacing w:after="0" w:line="240" w:lineRule="auto"/>
        <w:ind w:firstLine="709"/>
        <w:jc w:val="both"/>
        <w:rPr>
          <w:rFonts w:ascii="Verdana" w:eastAsia="Arial" w:hAnsi="Verdana" w:cs="Arial"/>
        </w:rPr>
      </w:pPr>
      <w:r w:rsidRPr="00B33094">
        <w:rPr>
          <w:rFonts w:ascii="Verdana" w:eastAsia="Arial" w:hAnsi="Verdana" w:cs="Arial"/>
        </w:rPr>
        <w:lastRenderedPageBreak/>
        <w:t>El artículo 5 de la Ley 1150 de 2007, además de consagrar un criterio más claro, y, de paso, reducir la discrecionalidad de la Administración, fijó un ámbito temporal para la subsanación de las ofertas: “</w:t>
      </w:r>
      <w:r w:rsidRPr="00B33094">
        <w:rPr>
          <w:rFonts w:ascii="Verdana" w:eastAsia="Arial" w:hAnsi="Verdana" w:cs="Arial"/>
          <w:i/>
        </w:rPr>
        <w:t>en cualquier momento, hasta la adjudicación</w:t>
      </w:r>
      <w:r w:rsidRPr="00B33094">
        <w:rPr>
          <w:rFonts w:ascii="Verdana" w:eastAsia="Arial" w:hAnsi="Verdana" w:cs="Aria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5175F218" w14:textId="77777777" w:rsidR="007B6FF0" w:rsidRPr="00B33094" w:rsidRDefault="007B6FF0" w:rsidP="007B6FF0">
      <w:pPr>
        <w:spacing w:after="0" w:line="240" w:lineRule="auto"/>
        <w:jc w:val="both"/>
        <w:rPr>
          <w:rFonts w:ascii="Verdana" w:eastAsia="Arial" w:hAnsi="Verdana" w:cs="Arial"/>
        </w:rPr>
      </w:pPr>
    </w:p>
    <w:p w14:paraId="34D56028" w14:textId="77777777" w:rsidR="007B6FF0" w:rsidRPr="004972E2" w:rsidRDefault="007B6FF0" w:rsidP="007B6FF0">
      <w:pPr>
        <w:spacing w:after="0" w:line="240" w:lineRule="auto"/>
        <w:ind w:left="709" w:right="709"/>
        <w:jc w:val="both"/>
        <w:rPr>
          <w:rFonts w:ascii="Verdana" w:eastAsia="Arial" w:hAnsi="Verdana" w:cs="Arial"/>
        </w:rPr>
      </w:pPr>
      <w:r w:rsidRPr="004972E2">
        <w:rPr>
          <w:rFonts w:ascii="Verdana" w:eastAsia="Arial" w:hAnsi="Verdana" w:cs="Aria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4972E2">
        <w:rPr>
          <w:rFonts w:ascii="Verdana" w:eastAsia="Arial" w:hAnsi="Verdana" w:cs="Arial"/>
          <w:vertAlign w:val="superscript"/>
        </w:rPr>
        <w:footnoteReference w:id="11"/>
      </w:r>
      <w:r w:rsidRPr="004972E2">
        <w:rPr>
          <w:rFonts w:ascii="Verdana" w:eastAsia="Arial" w:hAnsi="Verdana" w:cs="Arial"/>
        </w:rPr>
        <w:t>.</w:t>
      </w:r>
    </w:p>
    <w:p w14:paraId="78D6A569" w14:textId="77777777" w:rsidR="007B6FF0" w:rsidRPr="00B33094" w:rsidRDefault="007B6FF0" w:rsidP="007B6FF0">
      <w:pPr>
        <w:spacing w:after="0" w:line="240" w:lineRule="auto"/>
        <w:jc w:val="both"/>
        <w:rPr>
          <w:rFonts w:ascii="Verdana" w:eastAsia="Arial" w:hAnsi="Verdana" w:cs="Arial"/>
          <w:b/>
        </w:rPr>
      </w:pPr>
    </w:p>
    <w:p w14:paraId="5D94A6E7" w14:textId="77777777" w:rsidR="007B6FF0" w:rsidRPr="00B33094" w:rsidRDefault="007B6FF0" w:rsidP="007B6FF0">
      <w:pPr>
        <w:pBdr>
          <w:top w:val="nil"/>
          <w:left w:val="nil"/>
          <w:bottom w:val="nil"/>
          <w:right w:val="nil"/>
          <w:between w:val="nil"/>
        </w:pBdr>
        <w:tabs>
          <w:tab w:val="left" w:pos="284"/>
        </w:tabs>
        <w:spacing w:after="120" w:line="240" w:lineRule="auto"/>
        <w:ind w:firstLine="709"/>
        <w:jc w:val="both"/>
        <w:rPr>
          <w:rFonts w:ascii="Verdana" w:eastAsia="Arial" w:hAnsi="Verdana" w:cs="Arial"/>
        </w:rPr>
      </w:pPr>
      <w:r w:rsidRPr="00B33094">
        <w:rPr>
          <w:rFonts w:ascii="Verdana" w:eastAsia="Arial" w:hAnsi="Verdana" w:cs="Arial"/>
        </w:rPr>
        <w:t>Esa interpretación fue compartida por la Agencia Nacional de Contratación Pública – Colombia Compra Eficiente, pues en la Circular Externa Única</w:t>
      </w:r>
      <w:r w:rsidRPr="00B33094">
        <w:rPr>
          <w:rFonts w:ascii="Verdana" w:eastAsia="Arial" w:hAnsi="Verdana" w:cs="Arial"/>
          <w:vertAlign w:val="superscript"/>
        </w:rPr>
        <w:footnoteReference w:id="12"/>
      </w:r>
      <w:r w:rsidRPr="00B33094">
        <w:rPr>
          <w:rFonts w:ascii="Verdana" w:eastAsia="Arial" w:hAnsi="Verdana" w:cs="Arial"/>
        </w:rPr>
        <w:t xml:space="preserve"> se había precisado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2AD3CC34" w14:textId="77777777" w:rsidR="007B6FF0" w:rsidRPr="00B33094" w:rsidRDefault="007B6FF0" w:rsidP="007B6FF0">
      <w:pPr>
        <w:pBdr>
          <w:top w:val="nil"/>
          <w:left w:val="nil"/>
          <w:bottom w:val="nil"/>
          <w:right w:val="nil"/>
          <w:between w:val="nil"/>
        </w:pBdr>
        <w:tabs>
          <w:tab w:val="left" w:pos="284"/>
        </w:tabs>
        <w:spacing w:after="120" w:line="240" w:lineRule="auto"/>
        <w:ind w:firstLine="709"/>
        <w:jc w:val="both"/>
        <w:rPr>
          <w:rFonts w:ascii="Verdana" w:eastAsia="Arial" w:hAnsi="Verdana" w:cs="Arial"/>
        </w:rPr>
      </w:pPr>
      <w:r w:rsidRPr="00B33094">
        <w:rPr>
          <w:rFonts w:ascii="Verdana" w:eastAsia="Arial" w:hAnsi="Verdana" w:cs="Arial"/>
        </w:rPr>
        <w:t xml:space="preserve">Sin embargo, el artículo 5 de la Ley 1882 de 2018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w:t>
      </w:r>
      <w:r w:rsidRPr="00B33094">
        <w:rPr>
          <w:rFonts w:ascii="Verdana" w:eastAsia="Arial" w:hAnsi="Verdana" w:cs="Arial"/>
        </w:rPr>
        <w:lastRenderedPageBreak/>
        <w:t xml:space="preserve">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1A4DAA07"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De esta forma, la Ley 1882 de 2018 fijó el ámbito temporal para ejercer la facultad de subsanar la oferta, pues dispuso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B33094">
        <w:rPr>
          <w:rFonts w:ascii="Verdana" w:eastAsia="Arial" w:hAnsi="Verdana" w:cs="Arial"/>
          <w:vertAlign w:val="superscript"/>
        </w:rPr>
        <w:footnoteReference w:id="13"/>
      </w:r>
      <w:r w:rsidRPr="00B33094">
        <w:rPr>
          <w:rFonts w:ascii="Verdana" w:eastAsia="Arial" w:hAnsi="Verdana" w:cs="Arial"/>
        </w:rPr>
        <w:t>; en el último los documentos o requisitos subsanables pueden y deben solicitarse hasta el momento previo a su realización.</w:t>
      </w:r>
    </w:p>
    <w:p w14:paraId="30809ECB"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las Entidades Estatales contratantes soliciten a los oferentes subsanar y que estos lo hagan hasta antes del término del traslado del informe de evaluación.</w:t>
      </w:r>
    </w:p>
    <w:p w14:paraId="515899D4"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No obstante, de la lectura de este aparte podrían, en la práctica, darse dos (2) interpretaciones que dan lugar a dos (2) formas de proceder en los procesos de selección, en lo que se refiere a la </w:t>
      </w:r>
      <w:proofErr w:type="spellStart"/>
      <w:r w:rsidRPr="00B33094">
        <w:rPr>
          <w:rFonts w:ascii="Verdana" w:eastAsia="Arial" w:hAnsi="Verdana" w:cs="Arial"/>
        </w:rPr>
        <w:t>subsanabilidad</w:t>
      </w:r>
      <w:proofErr w:type="spellEnd"/>
      <w:r w:rsidRPr="00B33094">
        <w:rPr>
          <w:rFonts w:ascii="Verdana" w:eastAsia="Arial" w:hAnsi="Verdana" w:cs="Arial"/>
        </w:rPr>
        <w:t xml:space="preserve"> de las ofertas. </w:t>
      </w:r>
      <w:r w:rsidRPr="00B33094">
        <w:rPr>
          <w:rFonts w:ascii="Verdana" w:eastAsia="Arial" w:hAnsi="Verdana" w:cs="Arial"/>
          <w:i/>
        </w:rPr>
        <w:t>Primera</w:t>
      </w:r>
      <w:r w:rsidRPr="00B33094">
        <w:rPr>
          <w:rFonts w:ascii="Verdana" w:eastAsia="Arial" w:hAnsi="Verdana" w:cs="Aria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B33094">
        <w:rPr>
          <w:rFonts w:ascii="Verdana" w:eastAsia="Arial" w:hAnsi="Verdana" w:cs="Arial"/>
          <w:i/>
        </w:rPr>
        <w:t>segunda</w:t>
      </w:r>
      <w:r w:rsidRPr="00B33094">
        <w:rPr>
          <w:rFonts w:ascii="Verdana" w:eastAsia="Arial" w:hAnsi="Verdana" w:cs="Arial"/>
        </w:rPr>
        <w:t xml:space="preserve">, que el término del traslado del informe de evaluación es el límite para la subsanación de ofertas, pero no el único momento para hacerlo. </w:t>
      </w:r>
    </w:p>
    <w:p w14:paraId="4F1229D0"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De acuerdo con la primera interpretación, el informe de evaluación se convierte en la oportunidad que adopta la Entidad Estatal para comunicarles a los oferentes qué documentos o requisitos omitieron y deben subsanar y, consecuentemente, el término del traslado es la oportunidad del proponente </w:t>
      </w:r>
      <w:r w:rsidRPr="00B33094">
        <w:rPr>
          <w:rFonts w:ascii="Verdana" w:eastAsia="Arial" w:hAnsi="Verdana" w:cs="Arial"/>
        </w:rPr>
        <w:lastRenderedPageBreak/>
        <w:t>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06DAFB90"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19F1857A"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Así pues, la modificación introducida por el artículo 5 de la Ley 1882 de 2018, si bien pudo significar, en la práctica de los procesos de selección, que el informe de evaluación fuera la oportunidad de la Entidad Estatal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entidad advierta el defecto le solicite directamente al oferente que subsane. Esta interpretación es más consistente con los principios de economía, transparencia y selección objetiva. </w:t>
      </w:r>
    </w:p>
    <w:p w14:paraId="619A5BB4"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De otro lado, el </w:t>
      </w:r>
      <w:r w:rsidRPr="00B33094">
        <w:rPr>
          <w:rFonts w:ascii="Verdana" w:eastAsia="Arial" w:hAnsi="Verdana" w:cs="Arial"/>
          <w:i/>
          <w:iCs/>
        </w:rPr>
        <w:t>segundo</w:t>
      </w:r>
      <w:r w:rsidRPr="00B33094">
        <w:rPr>
          <w:rFonts w:ascii="Verdana" w:eastAsia="Arial" w:hAnsi="Verdana" w:cs="Arial"/>
        </w:rPr>
        <w:t xml:space="preserve"> cambio importante de la Ley 1882 de 2018 fue la introducción de un criterio material, directamente relacionado con los aspectos subsanables: “los proponentes no podrán acreditar circunstancias ocurridas con posterioridad al cierre del proceso”</w:t>
      </w:r>
      <w:r w:rsidRPr="00B33094">
        <w:rPr>
          <w:rFonts w:ascii="Verdana" w:eastAsia="Arial" w:hAnsi="Verdana" w:cs="Arial"/>
          <w:i/>
        </w:rPr>
        <w:t>.</w:t>
      </w:r>
      <w:r w:rsidRPr="00B33094">
        <w:rPr>
          <w:rFonts w:ascii="Verdana" w:eastAsia="Arial" w:hAnsi="Verdana" w:cs="Arial"/>
        </w:rPr>
        <w:t xml:space="preserve"> Lo anterior ofrece dos (2) aspectos que merecen clarificación: </w:t>
      </w:r>
      <w:r w:rsidRPr="00B33094">
        <w:rPr>
          <w:rFonts w:ascii="Verdana" w:eastAsia="Arial" w:hAnsi="Verdana" w:cs="Arial"/>
          <w:i/>
        </w:rPr>
        <w:t>primero</w:t>
      </w:r>
      <w:r w:rsidRPr="00B33094">
        <w:rPr>
          <w:rFonts w:ascii="Verdana" w:eastAsia="Arial" w:hAnsi="Verdana" w:cs="Arial"/>
        </w:rPr>
        <w:t xml:space="preserve">, qué debe entenderse por circunstancias ocurridas con posterioridad; y </w:t>
      </w:r>
      <w:r w:rsidRPr="00B33094">
        <w:rPr>
          <w:rFonts w:ascii="Verdana" w:eastAsia="Arial" w:hAnsi="Verdana" w:cs="Arial"/>
          <w:i/>
        </w:rPr>
        <w:t>segundo</w:t>
      </w:r>
      <w:r w:rsidRPr="00B33094">
        <w:rPr>
          <w:rFonts w:ascii="Verdana" w:eastAsia="Arial" w:hAnsi="Verdana" w:cs="Arial"/>
        </w:rPr>
        <w:t>, qué es el cierre del proceso.</w:t>
      </w:r>
    </w:p>
    <w:p w14:paraId="79BD060B" w14:textId="77777777" w:rsidR="007B6FF0" w:rsidRPr="00B33094" w:rsidRDefault="007B6FF0" w:rsidP="007B6FF0">
      <w:pPr>
        <w:spacing w:after="0" w:line="240" w:lineRule="auto"/>
        <w:ind w:firstLine="709"/>
        <w:jc w:val="both"/>
        <w:rPr>
          <w:rFonts w:ascii="Verdana" w:eastAsia="Arial" w:hAnsi="Verdana" w:cs="Arial"/>
        </w:rPr>
      </w:pPr>
      <w:r w:rsidRPr="00B33094">
        <w:rPr>
          <w:rFonts w:ascii="Verdana" w:eastAsia="Arial" w:hAnsi="Verdana" w:cs="Arial"/>
        </w:rPr>
        <w:t>La Sala de Consulta y Servicio Civil del Consejo de Estado ya había tenido la oportunidad de precisar estas expresiones, a propósito de un concepto en el que se refirió al artículo 10 del derogado Decreto 2474 de 2008</w:t>
      </w:r>
      <w:r w:rsidRPr="00B33094">
        <w:rPr>
          <w:rFonts w:ascii="Verdana" w:eastAsia="Arial" w:hAnsi="Verdana" w:cs="Arial"/>
          <w:vertAlign w:val="superscript"/>
        </w:rPr>
        <w:footnoteReference w:id="14"/>
      </w:r>
      <w:r w:rsidRPr="00B33094">
        <w:rPr>
          <w:rFonts w:ascii="Verdana" w:eastAsia="Arial" w:hAnsi="Verdana" w:cs="Arial"/>
        </w:rPr>
        <w:t xml:space="preserve">, que había </w:t>
      </w:r>
      <w:r w:rsidRPr="00B33094">
        <w:rPr>
          <w:rFonts w:ascii="Verdana" w:eastAsia="Arial" w:hAnsi="Verdana" w:cs="Arial"/>
        </w:rPr>
        <w:lastRenderedPageBreak/>
        <w:t xml:space="preserve">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así: </w:t>
      </w:r>
    </w:p>
    <w:p w14:paraId="639DC549" w14:textId="77777777" w:rsidR="007B6FF0" w:rsidRPr="00B33094" w:rsidRDefault="007B6FF0" w:rsidP="007B6FF0">
      <w:pPr>
        <w:spacing w:after="0" w:line="240" w:lineRule="auto"/>
        <w:ind w:left="709" w:right="709"/>
        <w:jc w:val="both"/>
        <w:rPr>
          <w:rFonts w:ascii="Verdana" w:eastAsia="Arial" w:hAnsi="Verdana" w:cs="Arial"/>
        </w:rPr>
      </w:pPr>
    </w:p>
    <w:p w14:paraId="36A673F0" w14:textId="77777777" w:rsidR="007B6FF0" w:rsidRPr="004972E2" w:rsidRDefault="007B6FF0" w:rsidP="007B6FF0">
      <w:pPr>
        <w:spacing w:after="120" w:line="240" w:lineRule="auto"/>
        <w:ind w:left="709" w:right="709"/>
        <w:jc w:val="both"/>
        <w:rPr>
          <w:rFonts w:ascii="Verdana" w:eastAsia="Arial" w:hAnsi="Verdana" w:cs="Arial"/>
        </w:rPr>
      </w:pPr>
      <w:r w:rsidRPr="004972E2">
        <w:rPr>
          <w:rFonts w:ascii="Verdana" w:eastAsia="Arial" w:hAnsi="Verdana" w:cs="Arial"/>
        </w:rPr>
        <w:t xml:space="preserve">“Sin embargo, debe tenerse en cuenta que la última norma en cita -Decreto 2474 de 2008, aparte subrayado-, establece un límite a la </w:t>
      </w:r>
      <w:proofErr w:type="spellStart"/>
      <w:r w:rsidRPr="004972E2">
        <w:rPr>
          <w:rFonts w:ascii="Verdana" w:eastAsia="Arial" w:hAnsi="Verdana" w:cs="Arial"/>
        </w:rPr>
        <w:t>subsanabilidad</w:t>
      </w:r>
      <w:proofErr w:type="spellEnd"/>
      <w:r w:rsidRPr="004972E2">
        <w:rPr>
          <w:rFonts w:ascii="Verdana" w:eastAsia="Arial" w:hAnsi="Verdana" w:cs="Arial"/>
        </w:rPr>
        <w:t>, puesto que en cualquier caso debe referirse o recaer sobre circunstancias ocurridas antes del cierre del respectivo proceso, esto es, del vencimiento del plazo para presentar ofertas.</w:t>
      </w:r>
    </w:p>
    <w:p w14:paraId="2ABA7FAD" w14:textId="77777777" w:rsidR="007B6FF0" w:rsidRPr="004972E2" w:rsidRDefault="007B6FF0" w:rsidP="007B6FF0">
      <w:pPr>
        <w:spacing w:after="0" w:line="240" w:lineRule="auto"/>
        <w:ind w:left="709" w:right="709"/>
        <w:jc w:val="both"/>
        <w:rPr>
          <w:rFonts w:ascii="Verdana" w:eastAsia="Arial" w:hAnsi="Verdana" w:cs="Arial"/>
        </w:rPr>
      </w:pPr>
      <w:r w:rsidRPr="004972E2">
        <w:rPr>
          <w:rFonts w:ascii="Verdana" w:eastAsia="Arial" w:hAnsi="Verdana" w:cs="Aria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w:t>
      </w:r>
      <w:r w:rsidRPr="004972E2">
        <w:rPr>
          <w:rFonts w:ascii="Verdana" w:eastAsia="Arial" w:hAnsi="Verdana" w:cs="Arial"/>
        </w:rPr>
        <w:lastRenderedPageBreak/>
        <w:t>no para que se constituya la sociedad con posterioridad al cierre del proceso, pues si ello no se había hecho, significa simplemente que el oferente no tenía la condición para participar”</w:t>
      </w:r>
      <w:r w:rsidRPr="004972E2">
        <w:rPr>
          <w:rFonts w:ascii="Verdana" w:eastAsia="Arial" w:hAnsi="Verdana" w:cs="Arial"/>
          <w:vertAlign w:val="superscript"/>
        </w:rPr>
        <w:footnoteReference w:id="15"/>
      </w:r>
      <w:r w:rsidRPr="004972E2">
        <w:rPr>
          <w:rFonts w:ascii="Verdana" w:eastAsia="Arial" w:hAnsi="Verdana" w:cs="Arial"/>
        </w:rPr>
        <w:t>.</w:t>
      </w:r>
    </w:p>
    <w:p w14:paraId="4FC0E03F" w14:textId="77777777" w:rsidR="007B6FF0" w:rsidRPr="004972E2" w:rsidRDefault="007B6FF0" w:rsidP="007B6FF0">
      <w:pPr>
        <w:spacing w:after="0" w:line="240" w:lineRule="auto"/>
        <w:jc w:val="both"/>
        <w:rPr>
          <w:rFonts w:ascii="Verdana" w:eastAsia="Arial" w:hAnsi="Verdana" w:cs="Arial"/>
        </w:rPr>
      </w:pPr>
    </w:p>
    <w:p w14:paraId="3567A6E8"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647AD9D6"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B33094">
        <w:rPr>
          <w:rFonts w:ascii="Verdana" w:eastAsia="Arial" w:hAnsi="Verdana" w:cs="Arial"/>
        </w:rPr>
        <w:t>subsanabilidad</w:t>
      </w:r>
      <w:proofErr w:type="spellEnd"/>
      <w:r w:rsidRPr="00B33094">
        <w:rPr>
          <w:rFonts w:ascii="Verdana" w:eastAsia="Arial" w:hAnsi="Verdana" w:cs="Aria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5803D27D"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Por ejemplo: i) si un oferente olvidó adjuntar con su propuesta el certificado que da cuenta de su inscripción en el Registro Único de Proponentes, el requisito será subsanable siempre que la prueba allegada demuestre que el hecho, esto es, la inscripción en el registro, ocurrió con anterioridad al cierre del proceso; </w:t>
      </w:r>
      <w:proofErr w:type="spellStart"/>
      <w:r w:rsidRPr="00B33094">
        <w:rPr>
          <w:rFonts w:ascii="Verdana" w:eastAsia="Arial" w:hAnsi="Verdana" w:cs="Arial"/>
        </w:rPr>
        <w:t>ii</w:t>
      </w:r>
      <w:proofErr w:type="spellEnd"/>
      <w:r w:rsidRPr="00B33094">
        <w:rPr>
          <w:rFonts w:ascii="Verdana" w:eastAsia="Arial" w:hAnsi="Verdana" w:cs="Arial"/>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B33094">
        <w:rPr>
          <w:rFonts w:ascii="Verdana" w:eastAsia="Arial" w:hAnsi="Verdana" w:cs="Arial"/>
          <w:vertAlign w:val="superscript"/>
        </w:rPr>
        <w:footnoteReference w:id="16"/>
      </w:r>
      <w:r w:rsidRPr="00B33094">
        <w:rPr>
          <w:rFonts w:ascii="Verdana" w:eastAsia="Arial" w:hAnsi="Verdana" w:cs="Arial"/>
        </w:rPr>
        <w:t xml:space="preserve">; </w:t>
      </w:r>
      <w:proofErr w:type="spellStart"/>
      <w:r w:rsidRPr="00B33094">
        <w:rPr>
          <w:rFonts w:ascii="Verdana" w:eastAsia="Arial" w:hAnsi="Verdana" w:cs="Arial"/>
        </w:rPr>
        <w:t>iii</w:t>
      </w:r>
      <w:proofErr w:type="spellEnd"/>
      <w:r w:rsidRPr="00B33094">
        <w:rPr>
          <w:rFonts w:ascii="Verdana" w:eastAsia="Arial" w:hAnsi="Verdana" w:cs="Arial"/>
        </w:rPr>
        <w:t>) si un oferente no anexó el certificado de existencia y representación legal, el documento aportado con posterioridad debe dar cuenta de que la sociedad existe desde antes del cierre del proceso</w:t>
      </w:r>
      <w:r w:rsidRPr="00B33094">
        <w:rPr>
          <w:rFonts w:ascii="Verdana" w:eastAsia="Arial" w:hAnsi="Verdana" w:cs="Arial"/>
          <w:vertAlign w:val="superscript"/>
        </w:rPr>
        <w:footnoteReference w:id="17"/>
      </w:r>
      <w:r w:rsidRPr="00B33094">
        <w:rPr>
          <w:rFonts w:ascii="Verdana" w:eastAsia="Arial" w:hAnsi="Verdana" w:cs="Arial"/>
        </w:rPr>
        <w:t xml:space="preserve">; </w:t>
      </w:r>
      <w:proofErr w:type="spellStart"/>
      <w:r w:rsidRPr="00B33094">
        <w:rPr>
          <w:rFonts w:ascii="Verdana" w:eastAsia="Arial" w:hAnsi="Verdana" w:cs="Arial"/>
        </w:rPr>
        <w:t>iv</w:t>
      </w:r>
      <w:proofErr w:type="spellEnd"/>
      <w:r w:rsidRPr="00B33094">
        <w:rPr>
          <w:rFonts w:ascii="Verdana" w:eastAsia="Arial" w:hAnsi="Verdana" w:cs="Arial"/>
        </w:rPr>
        <w:t xml:space="preserve">) si un oferente olvidó adjuntar un certificado que demuestra un título universitario, el documento, </w:t>
      </w:r>
      <w:r w:rsidRPr="00B33094">
        <w:rPr>
          <w:rFonts w:ascii="Verdana" w:eastAsia="Arial" w:hAnsi="Verdana" w:cs="Arial"/>
        </w:rPr>
        <w:lastRenderedPageBreak/>
        <w:t xml:space="preserve">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14:paraId="25AEE6E5"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Lo anterior quiere decir que no es la prueba –usualmente un documento– lo que debe ser anterior al cierre del proceso, sino el hecho que ella acredita, es decir, ante la solicitud de la Entidad Estatal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B33094">
        <w:rPr>
          <w:rFonts w:ascii="Verdana" w:eastAsia="Arial" w:hAnsi="Verdana" w:cs="Arial"/>
        </w:rPr>
        <w:t>que</w:t>
      </w:r>
      <w:proofErr w:type="gramEnd"/>
      <w:r w:rsidRPr="00B33094">
        <w:rPr>
          <w:rFonts w:ascii="Verdana" w:eastAsia="Arial" w:hAnsi="Verdana" w:cs="Arial"/>
        </w:rPr>
        <w:t>,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B33094">
        <w:rPr>
          <w:rFonts w:ascii="Verdana" w:eastAsia="Arial" w:hAnsi="Verdana" w:cs="Arial"/>
          <w:vertAlign w:val="superscript"/>
        </w:rPr>
        <w:footnoteReference w:id="18"/>
      </w:r>
      <w:r w:rsidRPr="00B33094">
        <w:rPr>
          <w:rFonts w:ascii="Verdana" w:eastAsia="Arial" w:hAnsi="Verdana" w:cs="Arial"/>
        </w:rPr>
        <w:t xml:space="preserve">. </w:t>
      </w:r>
    </w:p>
    <w:p w14:paraId="41DC9EBB"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En tal sentido, esta Subdirección, en concepto emitido en respuesta a la Consulta 4201912000007418 del 30 de octubre de 2019, analizó si era o no posible subsanar el Registro Único de Proponentes vencido, para lo cual precisó el alcance de la prohibición de permitir subsanar circunstancias ocurridas con posterioridad al cierre del procedimiento de selección. Asimismo, indicó que no es relevante que, al subsanar dichos documentos, su fecha de actualización sea posterior a la del cierre, sino que las circunstancias que acrediten hayan ocurrido antes.</w:t>
      </w:r>
    </w:p>
    <w:p w14:paraId="47C246F9"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w:t>
      </w:r>
      <w:proofErr w:type="spellStart"/>
      <w:r w:rsidRPr="00B33094">
        <w:rPr>
          <w:rFonts w:ascii="Verdana" w:eastAsia="Arial" w:hAnsi="Verdana" w:cs="Arial"/>
        </w:rPr>
        <w:t>subsanabilidad</w:t>
      </w:r>
      <w:proofErr w:type="spellEnd"/>
      <w:r w:rsidRPr="00B33094">
        <w:rPr>
          <w:rFonts w:ascii="Verdana" w:eastAsia="Arial" w:hAnsi="Verdana" w:cs="Arial"/>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w:t>
      </w:r>
      <w:r w:rsidRPr="00B33094">
        <w:rPr>
          <w:rFonts w:ascii="Verdana" w:eastAsia="Arial" w:hAnsi="Verdana" w:cs="Arial"/>
        </w:rPr>
        <w:lastRenderedPageBreak/>
        <w:t xml:space="preserve">del proponente se adquirió con posterioridad al cierre del proceso no se podrá aportar, porque esto implicaría una mejora, adición o complemento de la oferta”. </w:t>
      </w:r>
    </w:p>
    <w:p w14:paraId="03298C89"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Una reiteración de la postura de esta Subdirección, según la cual la </w:t>
      </w:r>
      <w:proofErr w:type="spellStart"/>
      <w:r w:rsidRPr="00B33094">
        <w:rPr>
          <w:rFonts w:ascii="Verdana" w:eastAsia="Arial" w:hAnsi="Verdana" w:cs="Arial"/>
        </w:rPr>
        <w:t>subsanabilidad</w:t>
      </w:r>
      <w:proofErr w:type="spellEnd"/>
      <w:r w:rsidRPr="00B33094">
        <w:rPr>
          <w:rFonts w:ascii="Verdana" w:eastAsia="Arial" w:hAnsi="Verdana" w:cs="Arial"/>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14:paraId="6C012195" w14:textId="77777777" w:rsidR="007B6FF0" w:rsidRPr="00B33094" w:rsidRDefault="007B6FF0" w:rsidP="007B6FF0">
      <w:pPr>
        <w:spacing w:after="120" w:line="240" w:lineRule="auto"/>
        <w:ind w:firstLine="709"/>
        <w:jc w:val="both"/>
        <w:rPr>
          <w:rFonts w:ascii="Verdana" w:eastAsia="Arial" w:hAnsi="Verdana" w:cs="Arial"/>
        </w:rPr>
      </w:pPr>
      <w:r w:rsidRPr="00B33094">
        <w:rPr>
          <w:rFonts w:ascii="Verdana" w:eastAsia="Arial" w:hAnsi="Verdana" w:cs="Arial"/>
        </w:rPr>
        <w:t xml:space="preserve">Visto lo anterior, una vez verificada la ausencia de requisitos y/o documentos de la oferta, para saber si se puede subsanar, la entidad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02724BB8" w14:textId="77777777" w:rsidR="007B6FF0" w:rsidRPr="00B33094" w:rsidRDefault="007B6FF0" w:rsidP="007B6FF0">
      <w:pPr>
        <w:spacing w:after="0" w:line="240" w:lineRule="auto"/>
        <w:ind w:firstLine="709"/>
        <w:jc w:val="both"/>
        <w:rPr>
          <w:rFonts w:ascii="Verdana" w:eastAsia="Calibri" w:hAnsi="Verdana" w:cs="Times New Roman"/>
        </w:rPr>
      </w:pPr>
      <w:r w:rsidRPr="00B33094">
        <w:rPr>
          <w:rFonts w:ascii="Verdana" w:eastAsia="Arial" w:hAnsi="Verdana" w:cs="Arial"/>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75CF7C53" w14:textId="77777777" w:rsidR="007B6FF0" w:rsidRPr="00B33094" w:rsidRDefault="007B6FF0" w:rsidP="007B6FF0">
      <w:pPr>
        <w:spacing w:after="0" w:line="240" w:lineRule="auto"/>
        <w:ind w:firstLine="709"/>
        <w:jc w:val="both"/>
        <w:rPr>
          <w:rFonts w:ascii="Verdana" w:eastAsia="Calibri" w:hAnsi="Verdana" w:cs="Times New Roman"/>
        </w:rPr>
      </w:pPr>
    </w:p>
    <w:p w14:paraId="33E17BFC" w14:textId="77777777" w:rsidR="007B6FF0" w:rsidRPr="00B33094" w:rsidRDefault="007B6FF0" w:rsidP="007B6FF0">
      <w:pPr>
        <w:spacing w:after="0" w:line="240" w:lineRule="auto"/>
        <w:jc w:val="both"/>
        <w:rPr>
          <w:rFonts w:ascii="Verdana" w:eastAsia="Calibri" w:hAnsi="Verdana" w:cs="Arial"/>
          <w:color w:val="000000"/>
        </w:rPr>
      </w:pPr>
      <w:r w:rsidRPr="00B33094">
        <w:rPr>
          <w:rFonts w:ascii="Verdana" w:eastAsia="Calibri" w:hAnsi="Verdana" w:cs="Times New Roman"/>
        </w:rPr>
        <w:lastRenderedPageBreak/>
        <w:t xml:space="preserve">v) De otra parte, es pertinente precisar que, por </w:t>
      </w:r>
      <w:r w:rsidRPr="00B33094">
        <w:rPr>
          <w:rFonts w:ascii="Verdana" w:eastAsia="Calibri" w:hAnsi="Verdana" w:cs="Arial"/>
          <w:lang w:val="es-ES_tradnl"/>
        </w:rPr>
        <w:t xml:space="preserve">regla general, </w:t>
      </w:r>
      <w:r w:rsidRPr="00B33094">
        <w:rPr>
          <w:rFonts w:ascii="Verdana" w:eastAsia="Calibri" w:hAnsi="Verdana" w:cs="Arial"/>
          <w:color w:val="000000"/>
        </w:rPr>
        <w:t>los principios de igualdad y concurrencia rigen en los procedimientos de selección competitivos de las entidades sometidas al Estatuto General de Contratación de la Administración Pública. Esto significa que debe promoverse la pluralidad de oferentes como condición necesaria para escoger la oferta más favorable a los intereses de la entidad. Aunque existen algunas limitaciones,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 En el mismo sentido, la doctrina considera que:</w:t>
      </w:r>
    </w:p>
    <w:p w14:paraId="6C5E3874" w14:textId="77777777" w:rsidR="007B6FF0" w:rsidRPr="00B33094" w:rsidRDefault="007B6FF0" w:rsidP="007B6FF0">
      <w:pPr>
        <w:spacing w:after="0" w:line="240" w:lineRule="auto"/>
        <w:jc w:val="both"/>
        <w:rPr>
          <w:rFonts w:ascii="Verdana" w:eastAsia="Calibri" w:hAnsi="Verdana" w:cs="Arial"/>
          <w:color w:val="000000"/>
        </w:rPr>
      </w:pPr>
    </w:p>
    <w:p w14:paraId="75A8A609" w14:textId="77777777" w:rsidR="007B6FF0" w:rsidRPr="004972E2" w:rsidRDefault="007B6FF0" w:rsidP="007B6FF0">
      <w:pPr>
        <w:spacing w:after="0" w:line="240" w:lineRule="auto"/>
        <w:ind w:left="709" w:right="709"/>
        <w:jc w:val="both"/>
        <w:rPr>
          <w:rFonts w:ascii="Verdana" w:eastAsia="Calibri" w:hAnsi="Verdana" w:cs="Arial"/>
          <w:color w:val="000000"/>
        </w:rPr>
      </w:pPr>
      <w:r w:rsidRPr="004972E2">
        <w:rPr>
          <w:rFonts w:ascii="Verdana" w:eastAsia="Calibri" w:hAnsi="Verdana" w:cs="Arial"/>
          <w:color w:val="000000"/>
        </w:rPr>
        <w:t>“La concurrencia tiene por objeto lograr que al procedimiento licitatorio se presente la mayor cantidad posible de oferentes; porque si lo que la Administración pretende para satisfacer en la mejor forma sus intereses públicos, es contratar con el particular que ofrezca las mejores garantías para el cumplimiento del objeto contractual, es necesario que a la compulsa hayan podido acudir todos los interesados en participar que estén capacitados para brindar la prestación requerida.</w:t>
      </w:r>
    </w:p>
    <w:p w14:paraId="61F696B0" w14:textId="77777777" w:rsidR="007B6FF0" w:rsidRPr="004972E2" w:rsidRDefault="007B6FF0" w:rsidP="007B6FF0">
      <w:pPr>
        <w:spacing w:after="120" w:line="240" w:lineRule="auto"/>
        <w:ind w:left="709" w:right="709"/>
        <w:jc w:val="both"/>
        <w:rPr>
          <w:rFonts w:ascii="Verdana" w:eastAsia="Calibri" w:hAnsi="Verdana" w:cs="Arial"/>
          <w:color w:val="000000"/>
        </w:rPr>
      </w:pPr>
      <w:r w:rsidRPr="004972E2">
        <w:rPr>
          <w:rFonts w:ascii="Verdana" w:eastAsia="Calibri" w:hAnsi="Verdana" w:cs="Arial"/>
          <w:color w:val="000000"/>
        </w:rPr>
        <w:t>[…]</w:t>
      </w:r>
    </w:p>
    <w:p w14:paraId="4BFFBBAC" w14:textId="77777777" w:rsidR="007B6FF0" w:rsidRPr="004972E2" w:rsidRDefault="007B6FF0" w:rsidP="007B6FF0">
      <w:pPr>
        <w:spacing w:after="120" w:line="240" w:lineRule="auto"/>
        <w:ind w:left="709" w:right="709"/>
        <w:jc w:val="both"/>
        <w:rPr>
          <w:rFonts w:ascii="Verdana" w:eastAsia="Calibri" w:hAnsi="Verdana" w:cs="Arial"/>
          <w:color w:val="000000"/>
        </w:rPr>
      </w:pPr>
      <w:r w:rsidRPr="004972E2">
        <w:rPr>
          <w:rFonts w:ascii="Verdana" w:eastAsia="Calibri" w:hAnsi="Verdana" w:cs="Arial"/>
          <w:color w:val="000000"/>
        </w:rPr>
        <w:t>La concurrencia no significa enfrentamiento en el sentido de disputa entre los interesados, ella no supone el litigio en el sentido técnico procesal; es decir, que no hay litis, porque los participantes no acuden ante la autoridad administrativa para que ésta resuelva, como juez, un conflicto jurídico; los participantes son, en realidad, proponentes cuya actividad se limita, en principio, a presentar sus antecedentes y propuestas, en orden al emprendimiento licitado.</w:t>
      </w:r>
    </w:p>
    <w:p w14:paraId="2CCF983E" w14:textId="77777777" w:rsidR="007B6FF0" w:rsidRPr="00B33094" w:rsidRDefault="007B6FF0" w:rsidP="007B6FF0">
      <w:pPr>
        <w:spacing w:after="0" w:line="240" w:lineRule="auto"/>
        <w:ind w:left="709" w:right="709"/>
        <w:jc w:val="both"/>
        <w:rPr>
          <w:rFonts w:ascii="Verdana" w:eastAsia="Calibri" w:hAnsi="Verdana" w:cs="Arial"/>
          <w:color w:val="000000"/>
        </w:rPr>
      </w:pPr>
      <w:r w:rsidRPr="004972E2">
        <w:rPr>
          <w:rFonts w:ascii="Verdana" w:eastAsia="Calibri" w:hAnsi="Verdana" w:cs="Arial"/>
          <w:color w:val="000000"/>
        </w:rPr>
        <w:t>Existe, sí, oposición, la que consiste en un procedimiento selectivo que da lugar a que se comparen y evalúen las distintas ofertas, para escoger de entre ellas la más conveniente; pero no se da entre los postulantes una situación de contienda, sino, en todo caso, de competencia industrial, comercial, profesional, técnica o de todas ellas combinadas, entre quienes aspiran a ser admitidos en igualdad de condiciones en ese procedimiento y tratados con equidad”</w:t>
      </w:r>
      <w:r w:rsidRPr="004972E2">
        <w:rPr>
          <w:rFonts w:ascii="Verdana" w:eastAsia="Calibri" w:hAnsi="Verdana" w:cs="Arial"/>
          <w:color w:val="000000"/>
          <w:vertAlign w:val="superscript"/>
        </w:rPr>
        <w:footnoteReference w:id="19"/>
      </w:r>
      <w:r w:rsidRPr="004972E2">
        <w:rPr>
          <w:rFonts w:ascii="Verdana" w:eastAsia="Calibri" w:hAnsi="Verdana" w:cs="Arial"/>
          <w:color w:val="000000"/>
        </w:rPr>
        <w:t>.</w:t>
      </w:r>
    </w:p>
    <w:p w14:paraId="3310456F" w14:textId="77777777" w:rsidR="007B6FF0" w:rsidRPr="00B33094" w:rsidRDefault="007B6FF0" w:rsidP="007B6FF0">
      <w:pPr>
        <w:spacing w:after="0" w:line="240" w:lineRule="auto"/>
        <w:jc w:val="both"/>
        <w:rPr>
          <w:rFonts w:ascii="Verdana" w:eastAsia="Calibri" w:hAnsi="Verdana" w:cs="Arial"/>
          <w:lang w:val="es-ES_tradnl"/>
        </w:rPr>
      </w:pPr>
    </w:p>
    <w:p w14:paraId="12449509" w14:textId="77777777" w:rsidR="007B6FF0" w:rsidRPr="00B33094" w:rsidRDefault="007B6FF0" w:rsidP="007B6FF0">
      <w:pPr>
        <w:spacing w:after="120" w:line="240" w:lineRule="auto"/>
        <w:ind w:firstLine="708"/>
        <w:jc w:val="both"/>
        <w:rPr>
          <w:rFonts w:ascii="Verdana" w:eastAsia="Calibri" w:hAnsi="Verdana" w:cs="Arial"/>
          <w:color w:val="000000"/>
        </w:rPr>
      </w:pPr>
      <w:r w:rsidRPr="00B33094">
        <w:rPr>
          <w:rFonts w:ascii="Verdana" w:eastAsia="Calibri" w:hAnsi="Verdana" w:cs="Arial"/>
          <w:color w:val="000000"/>
        </w:rPr>
        <w:lastRenderedPageBreak/>
        <w:t>La concurrencia depende de que el pliego de condiciones defina reglas objetivas, justas, claras y completas que permitan la confección de los ofrecimientos –</w:t>
      </w:r>
      <w:proofErr w:type="spellStart"/>
      <w:r w:rsidRPr="00B33094">
        <w:rPr>
          <w:rFonts w:ascii="Verdana" w:eastAsia="Calibri" w:hAnsi="Verdana" w:cs="Arial"/>
          <w:color w:val="000000"/>
        </w:rPr>
        <w:t>lit.</w:t>
      </w:r>
      <w:proofErr w:type="spellEnd"/>
      <w:r w:rsidRPr="00B33094">
        <w:rPr>
          <w:rFonts w:ascii="Verdana" w:eastAsia="Calibri" w:hAnsi="Verdana" w:cs="Arial"/>
          <w:color w:val="000000"/>
        </w:rPr>
        <w:t xml:space="preserve"> b) del art. 24.5 de la Ley 80 de 1993–. Especialmente, los </w:t>
      </w:r>
      <w:r w:rsidRPr="00B33094">
        <w:rPr>
          <w:rFonts w:ascii="Verdana" w:eastAsia="Calibri" w:hAnsi="Verdana" w:cs="Arial"/>
          <w:i/>
          <w:iCs/>
          <w:color w:val="000000"/>
        </w:rPr>
        <w:t>requisitos habilitantes</w:t>
      </w:r>
      <w:r w:rsidRPr="00B33094">
        <w:rPr>
          <w:rFonts w:ascii="Verdana" w:eastAsia="Calibri" w:hAnsi="Verdana" w:cs="Arial"/>
          <w:color w:val="000000"/>
        </w:rPr>
        <w:t xml:space="preserve"> deben ser adecuados y proporcionales a la naturaleza del contrato y a su valor –art. 5.1 de la Ley 1150 de 2007 y art. 2.2.1.1.1.6.2 del Decreto 1082 de 2015–. Por su parte, los </w:t>
      </w:r>
      <w:r w:rsidRPr="00B33094">
        <w:rPr>
          <w:rFonts w:ascii="Verdana" w:eastAsia="Calibri" w:hAnsi="Verdana" w:cs="Arial"/>
          <w:i/>
          <w:iCs/>
          <w:color w:val="000000"/>
        </w:rPr>
        <w:t>criterios de escogencia</w:t>
      </w:r>
      <w:r w:rsidRPr="00B33094">
        <w:rPr>
          <w:rFonts w:ascii="Verdana" w:eastAsia="Calibri" w:hAnsi="Verdana" w:cs="Arial"/>
          <w:color w:val="000000"/>
        </w:rPr>
        <w:t xml:space="preserve"> y su respectiva ponderación deben ser proporcionados, objetivos y razonables, pues sólo así resultarán respetuosos de los principios de imparcialidad e igualdad de trato para todos los oferentes</w:t>
      </w:r>
      <w:r w:rsidRPr="00B33094">
        <w:rPr>
          <w:rFonts w:ascii="Verdana" w:eastAsia="Calibri" w:hAnsi="Verdana" w:cs="Arial"/>
          <w:color w:val="000000"/>
          <w:vertAlign w:val="superscript"/>
        </w:rPr>
        <w:footnoteReference w:id="20"/>
      </w:r>
      <w:r w:rsidRPr="00B33094">
        <w:rPr>
          <w:rFonts w:ascii="Verdana" w:eastAsia="Calibri" w:hAnsi="Verdana" w:cs="Arial"/>
          <w:color w:val="000000"/>
        </w:rPr>
        <w:t xml:space="preserve">. </w:t>
      </w:r>
      <w:r w:rsidRPr="00B33094">
        <w:rPr>
          <w:rFonts w:ascii="Verdana" w:eastAsia="Calibri" w:hAnsi="Verdana" w:cs="Arial"/>
          <w:lang w:val="es-ES_tradnl"/>
        </w:rPr>
        <w:t xml:space="preserve">En este contexto, de cara a los principios de la función administrativa y la contratación estatal, los procesos de selección están regulados con el propósito de escoger la mejor propuesta para la realización del interés general. Dicho objetivo se concreta una vez concluye la fase de evaluación, momento en el cual la entidad determina la oferta más favorable. </w:t>
      </w:r>
    </w:p>
    <w:p w14:paraId="6C162859" w14:textId="77777777" w:rsidR="007B6FF0" w:rsidRPr="00B33094" w:rsidRDefault="007B6FF0" w:rsidP="007B6FF0">
      <w:pPr>
        <w:spacing w:after="120" w:line="240" w:lineRule="auto"/>
        <w:ind w:firstLine="709"/>
        <w:jc w:val="both"/>
        <w:rPr>
          <w:rFonts w:ascii="Verdana" w:eastAsia="Calibri" w:hAnsi="Verdana" w:cs="Arial"/>
          <w:lang w:val="es-ES_tradnl"/>
        </w:rPr>
      </w:pPr>
      <w:r w:rsidRPr="00B33094">
        <w:rPr>
          <w:rFonts w:ascii="Verdana" w:eastAsia="Calibri" w:hAnsi="Verdana" w:cs="Arial"/>
          <w:lang w:val="es-ES_tradnl"/>
        </w:rPr>
        <w:t>No obstante, en algunos casos ésta decide no adjudicar el contrato, porque no le es posible realizar una escogencia objetiva: es así como se presenta una decisión negativa de la Administración que comporta la frustración del proceso contractual. La configuración de esta circunstancia está prevista en el artículo 25.18 de la Ley 80 de 1993, pues –en el marco del principio de economía– la norma dispone que “La declaratoria de desierta de la licitación únicamente procederá por motivos o causas que impidan la escogencia objetiva y se declarará en acto administrativo en el que se señalarán en forma expresa y detallada las razones que han conducido a esa decisión”.</w:t>
      </w:r>
    </w:p>
    <w:p w14:paraId="2916D35F" w14:textId="77777777" w:rsidR="007B6FF0" w:rsidRPr="00B33094" w:rsidRDefault="007B6FF0" w:rsidP="007B6FF0">
      <w:pPr>
        <w:spacing w:before="120" w:after="120" w:line="240" w:lineRule="auto"/>
        <w:ind w:firstLine="709"/>
        <w:jc w:val="both"/>
        <w:rPr>
          <w:rFonts w:ascii="Verdana" w:eastAsia="Calibri" w:hAnsi="Verdana" w:cs="Arial"/>
          <w:lang w:val="es-ES_tradnl"/>
        </w:rPr>
      </w:pPr>
      <w:r w:rsidRPr="00B33094">
        <w:rPr>
          <w:rFonts w:ascii="Verdana" w:eastAsia="Calibri" w:hAnsi="Verdana" w:cs="Arial"/>
          <w:lang w:val="es-ES_tradnl"/>
        </w:rPr>
        <w:t>Si bien resulta problemático que la disposición solo aluda a la licitación, esta Agencia considera que su entendimiento debe ser amplio, para acoger a los demás procedimientos adoptados posteriormente por la Ley 1150 de 2007, que en su artículo 2 creó nuevas modalidades de selección que no existían bajo la Ley 80 de 1993 original, esto es, además de la licitación pública, la selección abreviada, el concurso de méritos y la mínima cuantía. Esta interpretación encuentra fundamento en el artículo 23 de la Ley 80 de 1993, cuya redacción es más amplia, al prescribir que “Las actuaciones de quienes intervengan en la contratación estatal se desarrollarán con arreglo a los principios de transparencia, economía y responsabilidad y de conformidad con los postulados que rigen la función administrativa”. Es decir, las actuaciones de las Entidades Estatales deben observar el principio de economía, por lo que el artículo 25.18 aplica a las demás modalidades competitivas del artículo 2 de la Ley 1150 de 2007.</w:t>
      </w:r>
    </w:p>
    <w:p w14:paraId="6BB7B2DC" w14:textId="77777777" w:rsidR="007B6FF0" w:rsidRPr="00B33094" w:rsidRDefault="007B6FF0" w:rsidP="007B6FF0">
      <w:pPr>
        <w:spacing w:before="120" w:after="120" w:line="240" w:lineRule="auto"/>
        <w:ind w:firstLine="709"/>
        <w:jc w:val="both"/>
        <w:rPr>
          <w:rFonts w:ascii="Verdana" w:eastAsia="Calibri" w:hAnsi="Verdana" w:cs="Arial"/>
          <w:lang w:val="es-ES"/>
        </w:rPr>
      </w:pPr>
      <w:r w:rsidRPr="00B33094">
        <w:rPr>
          <w:rFonts w:ascii="Verdana" w:eastAsia="Calibri" w:hAnsi="Verdana" w:cs="Arial"/>
          <w:lang w:val="es-ES"/>
        </w:rPr>
        <w:t xml:space="preserve">En este sentido, </w:t>
      </w:r>
      <w:bookmarkStart w:id="3" w:name="_Hlk173756908"/>
      <w:r w:rsidRPr="00B33094">
        <w:rPr>
          <w:rFonts w:ascii="Verdana" w:eastAsia="Calibri" w:hAnsi="Verdana" w:cs="Arial"/>
          <w:lang w:val="es-ES"/>
        </w:rPr>
        <w:t xml:space="preserve">la declaratoria de desierta no es más que una decisión negativa respecto a la adjudicación del contrato, como consecuencia de la </w:t>
      </w:r>
      <w:r w:rsidRPr="00B33094">
        <w:rPr>
          <w:rFonts w:ascii="Verdana" w:eastAsia="Calibri" w:hAnsi="Verdana" w:cs="Arial"/>
          <w:lang w:val="es-ES"/>
        </w:rPr>
        <w:lastRenderedPageBreak/>
        <w:t>imposibilidad de aplicar el principio de selección objetiva. Ésta se adopta mediante un acto definitivo –no de trámite–, pues con él finaliza el procedimiento contractual, lo que impide su continuación. En efecto, mediante dicho acto la entidad manifiesta su decisión de no adjudicar el contrato, esto es, de no seleccionar a su futuro contratista.</w:t>
      </w:r>
      <w:bookmarkEnd w:id="3"/>
    </w:p>
    <w:p w14:paraId="0155897A" w14:textId="77777777" w:rsidR="007B6FF0" w:rsidRPr="00B33094" w:rsidRDefault="007B6FF0" w:rsidP="007B6FF0">
      <w:pPr>
        <w:spacing w:before="120" w:after="120" w:line="240" w:lineRule="auto"/>
        <w:ind w:firstLine="709"/>
        <w:jc w:val="both"/>
        <w:rPr>
          <w:rFonts w:ascii="Verdana" w:eastAsia="Times New Roman" w:hAnsi="Verdana" w:cs="Arial"/>
          <w:color w:val="000000"/>
          <w:lang w:val="es-ES" w:eastAsia="es-ES"/>
        </w:rPr>
      </w:pPr>
      <w:r w:rsidRPr="00B33094">
        <w:rPr>
          <w:rFonts w:ascii="Verdana" w:eastAsia="Times New Roman" w:hAnsi="Verdana" w:cs="Arial"/>
          <w:color w:val="000000"/>
          <w:lang w:val="es-ES" w:eastAsia="es-ES"/>
        </w:rPr>
        <w:t>La declaratoria de desierta es una figura de vieja data en nuestro ordenamiento, pues ha sido una constante histórica estatutos contractuales derogados. Así, el Decreto Ley 150 de 1976 señalaba las circunstancias en que procedería su declaración –art. 30–; además, exigía establecer en el pliego de condiciones el número mínimo de participantes para no procediera su declaratoria –art. 22–, y habilitaba a la Administración para celebrar el contrato siguiendo el procedimiento de la contratación directa –art. 31–. Por su parte, el Decreto Ley 222 de 1983 establecía la posibilidad de declarar desierta la licitación, determinando las causales para su procedencia –art. 42–. También estipulaba el plazo en el que había de efectuarse y algunas de las consecuencias de tal determinación –</w:t>
      </w:r>
      <w:proofErr w:type="spellStart"/>
      <w:r w:rsidRPr="00B33094">
        <w:rPr>
          <w:rFonts w:ascii="Verdana" w:eastAsia="Times New Roman" w:hAnsi="Verdana" w:cs="Arial"/>
          <w:color w:val="000000"/>
          <w:lang w:val="es-ES" w:eastAsia="es-ES"/>
        </w:rPr>
        <w:t>nums</w:t>
      </w:r>
      <w:proofErr w:type="spellEnd"/>
      <w:r w:rsidRPr="00B33094">
        <w:rPr>
          <w:rFonts w:ascii="Verdana" w:eastAsia="Times New Roman" w:hAnsi="Verdana" w:cs="Arial"/>
          <w:color w:val="000000"/>
          <w:lang w:val="es-ES" w:eastAsia="es-ES"/>
        </w:rPr>
        <w:t>. 8 y 9 del art. 30–. Ambos estatutos regularon motivos de oportunidad y conveniencia como fundamento de la declaratoria.</w:t>
      </w:r>
    </w:p>
    <w:p w14:paraId="4987C1FF" w14:textId="77777777" w:rsidR="007B6FF0" w:rsidRPr="00B33094" w:rsidRDefault="007B6FF0" w:rsidP="007B6FF0">
      <w:pPr>
        <w:spacing w:before="120" w:after="120" w:line="240" w:lineRule="auto"/>
        <w:ind w:firstLine="709"/>
        <w:jc w:val="both"/>
        <w:rPr>
          <w:rFonts w:ascii="Verdana" w:eastAsia="Times New Roman" w:hAnsi="Verdana" w:cs="Arial"/>
          <w:color w:val="000000"/>
          <w:lang w:val="es-ES" w:eastAsia="es-ES"/>
        </w:rPr>
      </w:pPr>
      <w:r w:rsidRPr="00B33094">
        <w:rPr>
          <w:rFonts w:ascii="Verdana" w:eastAsia="Times New Roman" w:hAnsi="Verdana" w:cs="Arial"/>
          <w:color w:val="000000"/>
          <w:lang w:val="es-ES" w:eastAsia="es-ES"/>
        </w:rPr>
        <w:t>En contraste, bajo la regulación vigente, esta “únicamente procederá por motivos o causas que impidan la escogencia objetiva”. De esta manera, cualquier declaratoria de desierta de un proceso contractual implica que la entidad en el acto mediante el cual se declara exprese las razones por las cuales considera que no es posible realizar una selección objetiva de la mejor oferta y cómo esta circunstancia se presenta efectivamente en el procedimiento de selección. Esto hace que el acto administrativo mediante el cual se adopta decisión tenga carácter reglado</w:t>
      </w:r>
      <w:r w:rsidRPr="00B33094">
        <w:rPr>
          <w:rFonts w:ascii="Verdana" w:eastAsia="Times New Roman" w:hAnsi="Verdana" w:cs="Arial"/>
          <w:color w:val="000000"/>
          <w:vertAlign w:val="superscript"/>
          <w:lang w:val="es-ES" w:eastAsia="es-ES"/>
        </w:rPr>
        <w:footnoteReference w:id="21"/>
      </w:r>
      <w:r w:rsidRPr="00B33094">
        <w:rPr>
          <w:rFonts w:ascii="Verdana" w:eastAsia="Times New Roman" w:hAnsi="Verdana" w:cs="Arial"/>
          <w:color w:val="000000"/>
          <w:lang w:val="es-ES" w:eastAsia="es-ES"/>
        </w:rPr>
        <w:t>. Lo anterior no obsta para reconocer que la facultad para declarar desierto un proceso contractual depende de concretar un concepto jurídico indeterminado, pero esto no hace que la potestad tenga naturaleza discrecional</w:t>
      </w:r>
      <w:r w:rsidRPr="00B33094">
        <w:rPr>
          <w:rFonts w:ascii="Verdana" w:eastAsia="Times New Roman" w:hAnsi="Verdana" w:cs="Arial"/>
          <w:color w:val="000000"/>
          <w:vertAlign w:val="superscript"/>
          <w:lang w:val="es-ES" w:eastAsia="es-ES"/>
        </w:rPr>
        <w:footnoteReference w:id="22"/>
      </w:r>
      <w:r w:rsidRPr="00B33094">
        <w:rPr>
          <w:rFonts w:ascii="Verdana" w:eastAsia="Times New Roman" w:hAnsi="Verdana" w:cs="Arial"/>
          <w:color w:val="000000"/>
          <w:lang w:val="es-ES" w:eastAsia="es-ES"/>
        </w:rPr>
        <w:t xml:space="preserve">. </w:t>
      </w:r>
    </w:p>
    <w:p w14:paraId="782A21B6" w14:textId="77777777" w:rsidR="007B6FF0" w:rsidRPr="00B33094" w:rsidRDefault="007B6FF0" w:rsidP="007B6FF0">
      <w:pPr>
        <w:spacing w:after="0" w:line="240" w:lineRule="auto"/>
        <w:ind w:firstLine="709"/>
        <w:jc w:val="both"/>
        <w:rPr>
          <w:rFonts w:ascii="Verdana" w:eastAsia="Calibri" w:hAnsi="Verdana" w:cs="Times New Roman"/>
        </w:rPr>
      </w:pPr>
    </w:p>
    <w:p w14:paraId="035C32C4" w14:textId="77777777" w:rsidR="007B6FF0" w:rsidRPr="00B33094" w:rsidRDefault="007B6FF0" w:rsidP="007B6FF0">
      <w:pPr>
        <w:widowControl w:val="0"/>
        <w:autoSpaceDE w:val="0"/>
        <w:autoSpaceDN w:val="0"/>
        <w:spacing w:after="120" w:line="240" w:lineRule="auto"/>
        <w:jc w:val="both"/>
        <w:rPr>
          <w:rFonts w:ascii="Verdana" w:eastAsia="Calibri" w:hAnsi="Verdana" w:cs="Arial"/>
        </w:rPr>
      </w:pPr>
      <w:r w:rsidRPr="00B33094">
        <w:rPr>
          <w:rFonts w:ascii="Verdana" w:eastAsia="Calibri" w:hAnsi="Verdana" w:cs="Arial"/>
          <w:iCs/>
        </w:rPr>
        <w:t xml:space="preserve">vi) Al margen de lo anterior, </w:t>
      </w:r>
      <w:r w:rsidRPr="00B33094">
        <w:rPr>
          <w:rFonts w:ascii="Verdana" w:eastAsia="Calibri" w:hAnsi="Verdana" w:cs="Arial"/>
        </w:rPr>
        <w:t xml:space="preserve">debe advertirse que el análisis sobre la subsanación o el rechazo de las ofertas al interior de los procedimientos de selección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03142F32" w14:textId="77777777" w:rsidR="007B6FF0" w:rsidRPr="00B33094" w:rsidRDefault="007B6FF0" w:rsidP="007B6FF0">
      <w:pPr>
        <w:widowControl w:val="0"/>
        <w:autoSpaceDE w:val="0"/>
        <w:autoSpaceDN w:val="0"/>
        <w:spacing w:after="0" w:line="240" w:lineRule="auto"/>
        <w:ind w:firstLine="708"/>
        <w:jc w:val="both"/>
        <w:rPr>
          <w:rFonts w:ascii="Verdana" w:eastAsia="Calibri" w:hAnsi="Verdana" w:cs="Arial"/>
        </w:rPr>
      </w:pPr>
      <w:r w:rsidRPr="00B33094">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863482A" w14:textId="77777777" w:rsidR="007B6FF0" w:rsidRPr="00B33094" w:rsidRDefault="007B6FF0" w:rsidP="007B6FF0">
      <w:pPr>
        <w:spacing w:after="0" w:line="240" w:lineRule="auto"/>
        <w:jc w:val="both"/>
        <w:rPr>
          <w:rFonts w:ascii="Verdana" w:eastAsia="Calibri" w:hAnsi="Verdana" w:cs="Arial"/>
          <w:lang w:val="es-ES" w:eastAsia="es-CO"/>
        </w:rPr>
      </w:pPr>
    </w:p>
    <w:p w14:paraId="53D4332C" w14:textId="77777777" w:rsidR="007B6FF0" w:rsidRPr="00B33094" w:rsidRDefault="007B6FF0" w:rsidP="007B6FF0">
      <w:pPr>
        <w:widowControl w:val="0"/>
        <w:autoSpaceDE w:val="0"/>
        <w:autoSpaceDN w:val="0"/>
        <w:spacing w:before="1" w:after="0" w:line="240" w:lineRule="auto"/>
        <w:outlineLvl w:val="0"/>
        <w:rPr>
          <w:rFonts w:ascii="Verdana" w:eastAsia="Arial" w:hAnsi="Verdana" w:cs="Arial"/>
          <w:b/>
          <w:bCs/>
          <w:lang w:val="es-ES"/>
        </w:rPr>
      </w:pPr>
      <w:r w:rsidRPr="00B33094">
        <w:rPr>
          <w:rFonts w:ascii="Verdana" w:eastAsia="Arial" w:hAnsi="Verdana" w:cs="Arial"/>
          <w:b/>
          <w:bCs/>
          <w:lang w:val="es-ES"/>
        </w:rPr>
        <w:t>4.Referencias normativas, jurisprudenciales y otras fuentes:</w:t>
      </w:r>
    </w:p>
    <w:p w14:paraId="0EBC0D82" w14:textId="77777777" w:rsidR="007B6FF0" w:rsidRPr="00B33094" w:rsidRDefault="007B6FF0" w:rsidP="007B6FF0">
      <w:pPr>
        <w:widowControl w:val="0"/>
        <w:autoSpaceDE w:val="0"/>
        <w:autoSpaceDN w:val="0"/>
        <w:spacing w:after="0" w:line="240"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B6FF0" w:rsidRPr="00B33094" w14:paraId="392008FF" w14:textId="77777777" w:rsidTr="00D119D4">
        <w:trPr>
          <w:trHeight w:val="870"/>
        </w:trPr>
        <w:tc>
          <w:tcPr>
            <w:tcW w:w="8647" w:type="dxa"/>
          </w:tcPr>
          <w:p w14:paraId="5F5EE4A1" w14:textId="77777777" w:rsidR="007B6FF0" w:rsidRPr="00B33094" w:rsidRDefault="007B6FF0" w:rsidP="007B6FF0">
            <w:pPr>
              <w:numPr>
                <w:ilvl w:val="0"/>
                <w:numId w:val="1"/>
              </w:numPr>
              <w:spacing w:line="240" w:lineRule="auto"/>
              <w:contextualSpacing/>
              <w:jc w:val="both"/>
              <w:rPr>
                <w:rFonts w:ascii="Verdana" w:eastAsia="Aptos" w:hAnsi="Verdana" w:cs="Arial"/>
              </w:rPr>
            </w:pPr>
            <w:r w:rsidRPr="00B33094">
              <w:rPr>
                <w:rFonts w:ascii="Verdana" w:eastAsia="Aptos" w:hAnsi="Verdana" w:cs="Arial"/>
              </w:rPr>
              <w:t>Ley 1150 de 2007. Artículo</w:t>
            </w:r>
            <w:r>
              <w:rPr>
                <w:rFonts w:ascii="Verdana" w:eastAsia="Aptos" w:hAnsi="Verdana" w:cs="Arial"/>
              </w:rPr>
              <w:t>s 2 y</w:t>
            </w:r>
            <w:r w:rsidRPr="00B33094">
              <w:rPr>
                <w:rFonts w:ascii="Verdana" w:eastAsia="Aptos" w:hAnsi="Verdana" w:cs="Arial"/>
              </w:rPr>
              <w:t xml:space="preserve"> 5</w:t>
            </w:r>
          </w:p>
          <w:p w14:paraId="5675DB5D" w14:textId="77777777" w:rsidR="007B6FF0" w:rsidRPr="00B33094" w:rsidRDefault="007B6FF0" w:rsidP="007B6FF0">
            <w:pPr>
              <w:numPr>
                <w:ilvl w:val="0"/>
                <w:numId w:val="1"/>
              </w:numPr>
              <w:spacing w:line="240" w:lineRule="auto"/>
              <w:contextualSpacing/>
              <w:jc w:val="both"/>
              <w:rPr>
                <w:rFonts w:ascii="Verdana" w:eastAsia="Aptos" w:hAnsi="Verdana" w:cs="Arial"/>
              </w:rPr>
            </w:pPr>
            <w:r w:rsidRPr="00B33094">
              <w:rPr>
                <w:rFonts w:ascii="Verdana" w:eastAsia="Aptos" w:hAnsi="Verdana" w:cs="Arial"/>
              </w:rPr>
              <w:t>Ley 1882 de 2018. Artículo 5</w:t>
            </w:r>
          </w:p>
          <w:p w14:paraId="026D67B0" w14:textId="77777777" w:rsidR="007B6FF0" w:rsidRPr="00571DE8" w:rsidRDefault="007B6FF0" w:rsidP="007B6FF0">
            <w:pPr>
              <w:numPr>
                <w:ilvl w:val="0"/>
                <w:numId w:val="1"/>
              </w:numPr>
              <w:spacing w:line="240" w:lineRule="auto"/>
              <w:contextualSpacing/>
              <w:jc w:val="both"/>
              <w:rPr>
                <w:rFonts w:ascii="Verdana" w:eastAsia="Aptos" w:hAnsi="Verdana" w:cs="Arial"/>
              </w:rPr>
            </w:pPr>
            <w:r w:rsidRPr="00B33094">
              <w:rPr>
                <w:rFonts w:ascii="Verdana" w:eastAsia="Aptos" w:hAnsi="Verdana" w:cs="Arial"/>
              </w:rPr>
              <w:t>Decreto 1082 de 2015. Artículo</w:t>
            </w:r>
            <w:r>
              <w:rPr>
                <w:rFonts w:ascii="Verdana" w:eastAsia="Aptos" w:hAnsi="Verdana" w:cs="Arial"/>
              </w:rPr>
              <w:t xml:space="preserve">s </w:t>
            </w:r>
            <w:r w:rsidRPr="004972E2">
              <w:rPr>
                <w:rFonts w:ascii="Verdana" w:hAnsi="Verdana" w:cs="Arial"/>
                <w:color w:val="000000" w:themeColor="text1"/>
              </w:rPr>
              <w:t>2.2.1.1.1.5.3, 2.2.1.1.1.6.2 y</w:t>
            </w:r>
            <w:r w:rsidRPr="00B33094">
              <w:rPr>
                <w:rFonts w:ascii="Verdana" w:eastAsia="Aptos" w:hAnsi="Verdana" w:cs="Arial"/>
              </w:rPr>
              <w:t xml:space="preserve"> </w:t>
            </w:r>
            <w:r w:rsidRPr="00B33094">
              <w:rPr>
                <w:rFonts w:ascii="Verdana" w:eastAsia="Arial" w:hAnsi="Verdana" w:cs="Arial"/>
              </w:rPr>
              <w:t>2.2.1.1.2.2.2</w:t>
            </w:r>
          </w:p>
          <w:p w14:paraId="3A2F89CE" w14:textId="77777777" w:rsidR="007B6FF0" w:rsidRPr="00B33094" w:rsidRDefault="007B6FF0" w:rsidP="007B6FF0">
            <w:pPr>
              <w:numPr>
                <w:ilvl w:val="0"/>
                <w:numId w:val="1"/>
              </w:numPr>
              <w:spacing w:line="240" w:lineRule="auto"/>
              <w:contextualSpacing/>
              <w:jc w:val="both"/>
              <w:rPr>
                <w:rFonts w:ascii="Verdana" w:eastAsia="Aptos" w:hAnsi="Verdana" w:cs="Arial"/>
              </w:rPr>
            </w:pPr>
            <w:r>
              <w:rPr>
                <w:rFonts w:ascii="Verdana" w:eastAsia="Arial" w:hAnsi="Verdana" w:cs="Arial"/>
              </w:rPr>
              <w:t>Ley 80 de 1993. Artículos 13, 23, 24, 25, 32, 40 y 77</w:t>
            </w:r>
          </w:p>
          <w:p w14:paraId="4CC66686" w14:textId="77777777" w:rsidR="007B6FF0" w:rsidRDefault="007B6FF0" w:rsidP="007B6FF0">
            <w:pPr>
              <w:numPr>
                <w:ilvl w:val="0"/>
                <w:numId w:val="1"/>
              </w:numPr>
              <w:spacing w:line="240" w:lineRule="auto"/>
              <w:contextualSpacing/>
              <w:jc w:val="both"/>
              <w:rPr>
                <w:rFonts w:ascii="Verdana" w:eastAsia="Aptos" w:hAnsi="Verdana" w:cs="Arial"/>
              </w:rPr>
            </w:pPr>
            <w:r>
              <w:rPr>
                <w:rFonts w:ascii="Verdana" w:eastAsia="Aptos" w:hAnsi="Verdana" w:cs="Arial"/>
              </w:rPr>
              <w:t xml:space="preserve">Agencia Nacional de Contratación Pública. </w:t>
            </w:r>
            <w:r w:rsidRPr="00334A19">
              <w:rPr>
                <w:rFonts w:ascii="Verdana" w:eastAsia="Aptos" w:hAnsi="Verdana" w:cs="Arial"/>
              </w:rPr>
              <w:t>Manual para determinar y verificar los requisitos habilitantes en los Procesos de Contratación</w:t>
            </w:r>
          </w:p>
          <w:p w14:paraId="7258067B" w14:textId="77777777" w:rsidR="007B6FF0" w:rsidRDefault="007B6FF0" w:rsidP="007B6FF0">
            <w:pPr>
              <w:numPr>
                <w:ilvl w:val="0"/>
                <w:numId w:val="1"/>
              </w:numPr>
              <w:spacing w:line="240" w:lineRule="auto"/>
              <w:contextualSpacing/>
              <w:jc w:val="both"/>
              <w:rPr>
                <w:rFonts w:ascii="Verdana" w:eastAsia="Aptos" w:hAnsi="Verdana" w:cs="Arial"/>
              </w:rPr>
            </w:pPr>
            <w:r>
              <w:rPr>
                <w:rFonts w:ascii="Verdana" w:eastAsia="Aptos" w:hAnsi="Verdana" w:cs="Arial"/>
              </w:rPr>
              <w:t>Corte Constitucional. Sentencia C-004 de 2017</w:t>
            </w:r>
          </w:p>
          <w:p w14:paraId="35FD9ACA" w14:textId="77777777" w:rsidR="007B6FF0" w:rsidRPr="00B33094" w:rsidRDefault="007B6FF0" w:rsidP="007B6FF0">
            <w:pPr>
              <w:numPr>
                <w:ilvl w:val="0"/>
                <w:numId w:val="1"/>
              </w:numPr>
              <w:spacing w:line="240" w:lineRule="auto"/>
              <w:contextualSpacing/>
              <w:jc w:val="both"/>
              <w:rPr>
                <w:rFonts w:ascii="Verdana" w:eastAsia="Aptos" w:hAnsi="Verdana" w:cs="Arial"/>
              </w:rPr>
            </w:pPr>
            <w:r w:rsidRPr="00B33094">
              <w:rPr>
                <w:rFonts w:ascii="Verdana" w:eastAsia="Aptos" w:hAnsi="Verdana" w:cs="Arial"/>
              </w:rPr>
              <w:lastRenderedPageBreak/>
              <w:t>Consejo de Estado. Sección Tercera, Subsección C. Sentencia del 26 de febrero de 2014. C.P. Enrique Gil Botero, Rad. 1999-00113-01 (25.804).</w:t>
            </w:r>
          </w:p>
          <w:p w14:paraId="5D2805D5" w14:textId="77777777" w:rsidR="007B6FF0" w:rsidRPr="00B33094" w:rsidRDefault="007B6FF0" w:rsidP="007B6FF0">
            <w:pPr>
              <w:numPr>
                <w:ilvl w:val="0"/>
                <w:numId w:val="1"/>
              </w:numPr>
              <w:spacing w:line="240" w:lineRule="auto"/>
              <w:contextualSpacing/>
              <w:jc w:val="both"/>
              <w:rPr>
                <w:rFonts w:ascii="Verdana" w:eastAsia="Aptos" w:hAnsi="Verdana" w:cs="Arial"/>
              </w:rPr>
            </w:pPr>
            <w:r w:rsidRPr="00B33094">
              <w:rPr>
                <w:rFonts w:ascii="Verdana" w:eastAsia="Aptos" w:hAnsi="Verdana" w:cs="Arial"/>
              </w:rPr>
              <w:t>Consejo de Estado, Sala de Consulta y Servicio Civil, concepto del 6 de noviembre de 2008. C.P. William Zambrano Cetina. Rad. 2008-00079-00(1927).</w:t>
            </w:r>
          </w:p>
          <w:p w14:paraId="63749D09" w14:textId="77777777" w:rsidR="007B6FF0" w:rsidRPr="00B33094" w:rsidRDefault="007B6FF0" w:rsidP="007B6FF0">
            <w:pPr>
              <w:numPr>
                <w:ilvl w:val="0"/>
                <w:numId w:val="1"/>
              </w:numPr>
              <w:spacing w:line="240" w:lineRule="auto"/>
              <w:contextualSpacing/>
              <w:jc w:val="both"/>
              <w:rPr>
                <w:rFonts w:ascii="Verdana" w:eastAsia="Aptos" w:hAnsi="Verdana" w:cs="Arial"/>
              </w:rPr>
            </w:pPr>
            <w:r w:rsidRPr="00B33094">
              <w:rPr>
                <w:rFonts w:ascii="Verdana" w:eastAsia="Aptos" w:hAnsi="Verdana" w:cs="Arial"/>
              </w:rPr>
              <w:t xml:space="preserve">Consejo de Estado, Sección Tercera, Subsección C. Sentencia del 26 de febrero de 2011. C.P. Jaime Orlando Santofimio. Rad. 36.408.  </w:t>
            </w:r>
          </w:p>
          <w:p w14:paraId="0BB94840" w14:textId="77777777" w:rsidR="007B6FF0" w:rsidRPr="00B33094" w:rsidRDefault="007B6FF0" w:rsidP="007B6FF0">
            <w:pPr>
              <w:numPr>
                <w:ilvl w:val="0"/>
                <w:numId w:val="1"/>
              </w:numPr>
              <w:spacing w:line="240" w:lineRule="auto"/>
              <w:contextualSpacing/>
              <w:jc w:val="both"/>
              <w:rPr>
                <w:rFonts w:ascii="Verdana" w:eastAsia="Aptos" w:hAnsi="Verdana" w:cs="Arial"/>
              </w:rPr>
            </w:pPr>
            <w:r w:rsidRPr="00B33094">
              <w:rPr>
                <w:rFonts w:ascii="Verdana" w:eastAsia="Aptos" w:hAnsi="Verdana" w:cs="Arial"/>
              </w:rPr>
              <w:t xml:space="preserve">Consejo de Estado, Sección Tercera, Subsección C. Sentencia del 26 de febrero de 2014. C.P. Enrique Gil Botero. Rad. 25.804.  </w:t>
            </w:r>
          </w:p>
          <w:p w14:paraId="5E157AE4" w14:textId="77777777" w:rsidR="007B6FF0" w:rsidRPr="00B33094" w:rsidRDefault="007B6FF0" w:rsidP="007B6FF0">
            <w:pPr>
              <w:numPr>
                <w:ilvl w:val="0"/>
                <w:numId w:val="1"/>
              </w:numPr>
              <w:spacing w:line="240" w:lineRule="auto"/>
              <w:contextualSpacing/>
              <w:jc w:val="both"/>
              <w:rPr>
                <w:rFonts w:ascii="Verdana" w:eastAsia="Aptos" w:hAnsi="Verdana" w:cs="Arial"/>
              </w:rPr>
            </w:pPr>
            <w:r w:rsidRPr="00B33094">
              <w:rPr>
                <w:rFonts w:ascii="Verdana" w:eastAsia="Aptos" w:hAnsi="Verdana" w:cs="Arial"/>
              </w:rPr>
              <w:t>Consejo de Estado, Sala de Consulta y Servicio Civil, concepto del 20 de mayo de 2010. C.P. Enrique José Arboleda Perdomo. Rad. 2010-00034-00(1992).</w:t>
            </w:r>
          </w:p>
          <w:p w14:paraId="79186D24" w14:textId="77777777" w:rsidR="007B6FF0" w:rsidRPr="00B33094" w:rsidRDefault="007B6FF0" w:rsidP="007B6FF0">
            <w:pPr>
              <w:numPr>
                <w:ilvl w:val="0"/>
                <w:numId w:val="1"/>
              </w:numPr>
              <w:spacing w:line="240" w:lineRule="auto"/>
              <w:contextualSpacing/>
              <w:jc w:val="both"/>
              <w:rPr>
                <w:rFonts w:ascii="Verdana" w:eastAsia="Aptos" w:hAnsi="Verdana" w:cs="Arial"/>
              </w:rPr>
            </w:pPr>
          </w:p>
        </w:tc>
      </w:tr>
    </w:tbl>
    <w:p w14:paraId="1D05EF7D" w14:textId="77777777" w:rsidR="007B6FF0" w:rsidRPr="00B33094" w:rsidRDefault="007B6FF0" w:rsidP="007B6FF0">
      <w:pPr>
        <w:widowControl w:val="0"/>
        <w:autoSpaceDE w:val="0"/>
        <w:autoSpaceDN w:val="0"/>
        <w:spacing w:after="0" w:line="240" w:lineRule="auto"/>
        <w:jc w:val="both"/>
        <w:rPr>
          <w:rFonts w:ascii="Verdana" w:eastAsia="Aptos" w:hAnsi="Verdana" w:cs="Arial"/>
        </w:rPr>
      </w:pPr>
    </w:p>
    <w:p w14:paraId="07C14184" w14:textId="77777777" w:rsidR="007B6FF0" w:rsidRPr="00B33094" w:rsidRDefault="007B6FF0" w:rsidP="007B6FF0">
      <w:pPr>
        <w:widowControl w:val="0"/>
        <w:autoSpaceDE w:val="0"/>
        <w:autoSpaceDN w:val="0"/>
        <w:spacing w:before="1" w:after="0" w:line="240" w:lineRule="auto"/>
        <w:outlineLvl w:val="0"/>
        <w:rPr>
          <w:rFonts w:ascii="Verdana" w:eastAsia="Arial" w:hAnsi="Verdana" w:cs="Arial"/>
          <w:b/>
          <w:bCs/>
          <w:lang w:val="es-ES"/>
        </w:rPr>
      </w:pPr>
      <w:r w:rsidRPr="00B33094">
        <w:rPr>
          <w:rFonts w:ascii="Verdana" w:eastAsia="Arial" w:hAnsi="Verdana" w:cs="Arial"/>
          <w:b/>
          <w:bCs/>
          <w:lang w:val="es-ES"/>
        </w:rPr>
        <w:t>5. Doctrina de la Agencia Nacional de Contratación Pública:</w:t>
      </w:r>
    </w:p>
    <w:p w14:paraId="1BFB13C9" w14:textId="77777777" w:rsidR="007B6FF0" w:rsidRPr="00B33094" w:rsidRDefault="007B6FF0" w:rsidP="007B6FF0">
      <w:pPr>
        <w:widowControl w:val="0"/>
        <w:autoSpaceDE w:val="0"/>
        <w:autoSpaceDN w:val="0"/>
        <w:spacing w:after="0" w:line="240" w:lineRule="auto"/>
        <w:jc w:val="both"/>
        <w:rPr>
          <w:rFonts w:ascii="Verdana" w:eastAsia="Aptos" w:hAnsi="Verdana" w:cs="Arial"/>
        </w:rPr>
      </w:pPr>
    </w:p>
    <w:p w14:paraId="0A32CDA8" w14:textId="77777777" w:rsidR="007B6FF0" w:rsidRPr="00B33094" w:rsidRDefault="007B6FF0" w:rsidP="007B6FF0">
      <w:pPr>
        <w:widowControl w:val="0"/>
        <w:autoSpaceDE w:val="0"/>
        <w:autoSpaceDN w:val="0"/>
        <w:spacing w:after="0" w:line="240" w:lineRule="auto"/>
        <w:jc w:val="both"/>
        <w:rPr>
          <w:rFonts w:ascii="Verdana" w:eastAsia="Aptos" w:hAnsi="Verdana" w:cs="Arial"/>
          <w:shd w:val="clear" w:color="auto" w:fill="FFFFFF"/>
          <w:lang w:val="es-ES"/>
        </w:rPr>
      </w:pPr>
      <w:r w:rsidRPr="00B33094">
        <w:rPr>
          <w:rFonts w:ascii="Verdana" w:eastAsia="Aptos" w:hAnsi="Verdana" w:cs="Arial"/>
          <w:shd w:val="clear" w:color="auto" w:fill="FFFFFF"/>
          <w:lang w:val="es-ES"/>
        </w:rPr>
        <w:t xml:space="preserve">Esta Subdirección se ha pronunciado sobre </w:t>
      </w:r>
      <w:r>
        <w:rPr>
          <w:rFonts w:ascii="Verdana" w:eastAsia="Aptos" w:hAnsi="Verdana" w:cs="Arial"/>
          <w:shd w:val="clear" w:color="auto" w:fill="FFFFFF"/>
          <w:lang w:val="es-ES"/>
        </w:rPr>
        <w:t xml:space="preserve">los requisitos habilitantes y </w:t>
      </w:r>
      <w:r w:rsidRPr="00B33094">
        <w:rPr>
          <w:rFonts w:ascii="Verdana" w:eastAsia="Aptos" w:hAnsi="Verdana" w:cs="Arial"/>
          <w:shd w:val="clear" w:color="auto" w:fill="FFFFFF"/>
          <w:lang w:val="es-ES"/>
        </w:rPr>
        <w:t xml:space="preserve">la regla de </w:t>
      </w:r>
      <w:proofErr w:type="spellStart"/>
      <w:r w:rsidRPr="00B33094">
        <w:rPr>
          <w:rFonts w:ascii="Verdana" w:eastAsia="Aptos" w:hAnsi="Verdana" w:cs="Arial"/>
          <w:shd w:val="clear" w:color="auto" w:fill="FFFFFF"/>
          <w:lang w:val="es-ES"/>
        </w:rPr>
        <w:t>subsanabilidad</w:t>
      </w:r>
      <w:proofErr w:type="spellEnd"/>
      <w:r w:rsidRPr="00B33094">
        <w:rPr>
          <w:rFonts w:ascii="Verdana" w:eastAsia="Aptos" w:hAnsi="Verdana" w:cs="Arial"/>
          <w:shd w:val="clear" w:color="auto" w:fill="FFFFFF"/>
          <w:lang w:val="es-ES"/>
        </w:rPr>
        <w:t xml:space="preserve"> en los conceptos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C-216 del 6 de junio de 2023, C-304 del 4 de julio de 2023, C-051 del 21 de febrero de 2026, entre otros. </w:t>
      </w:r>
      <w:r>
        <w:rPr>
          <w:rFonts w:ascii="Verdana" w:eastAsia="Aptos" w:hAnsi="Verdana" w:cs="Arial"/>
          <w:shd w:val="clear" w:color="auto" w:fill="FFFFFF"/>
          <w:lang w:val="es-ES"/>
        </w:rPr>
        <w:t xml:space="preserve">De igual forma, en los conceptos </w:t>
      </w:r>
      <w:r>
        <w:rPr>
          <w:rStyle w:val="normaltextrun"/>
          <w:rFonts w:ascii="Verdana" w:hAnsi="Verdana" w:cs="Arial"/>
          <w:shd w:val="clear" w:color="auto" w:fill="FFFFFF"/>
          <w:lang w:val="es-ES"/>
        </w:rPr>
        <w:t>Concepto C-001 del 17 de febrero de 2022 y C-377 del 08 de agosto de 2024, se ha manifestado sobre</w:t>
      </w:r>
      <w:r>
        <w:rPr>
          <w:rFonts w:ascii="Verdana" w:eastAsia="Aptos" w:hAnsi="Verdana" w:cs="Arial"/>
          <w:shd w:val="clear" w:color="auto" w:fill="FFFFFF"/>
          <w:lang w:val="es-ES"/>
        </w:rPr>
        <w:t xml:space="preserve"> la declaratoria de desierta de los procesos de contratación pública. </w:t>
      </w:r>
      <w:r w:rsidRPr="00B33094">
        <w:rPr>
          <w:rFonts w:ascii="Verdana" w:eastAsia="Calibri" w:hAnsi="Verdana" w:cs="Arial"/>
          <w:bCs/>
          <w:shd w:val="clear" w:color="auto" w:fill="FFFFFF"/>
          <w:lang w:val="es-ES"/>
        </w:rPr>
        <w:t xml:space="preserve">En tal sentido, recoge los conceptos expuestos, sin perjuicio de otras consideraciones. </w:t>
      </w:r>
      <w:r w:rsidRPr="00B33094">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history="1">
        <w:r w:rsidRPr="00B33094">
          <w:rPr>
            <w:rFonts w:ascii="Verdana" w:eastAsia="Aptos" w:hAnsi="Verdana" w:cs="Arial"/>
            <w:u w:val="single"/>
            <w:shd w:val="clear" w:color="auto" w:fill="FFFFFF"/>
            <w:lang w:val="es-ES"/>
          </w:rPr>
          <w:t>https://relatoria.colombiacompra.gov.co/</w:t>
        </w:r>
      </w:hyperlink>
      <w:r w:rsidRPr="00B33094">
        <w:rPr>
          <w:rFonts w:ascii="Verdana" w:eastAsia="Aptos" w:hAnsi="Verdana" w:cs="Arial"/>
          <w:shd w:val="clear" w:color="auto" w:fill="FFFFFF"/>
          <w:lang w:val="es-ES"/>
        </w:rPr>
        <w:t xml:space="preserve">. </w:t>
      </w:r>
    </w:p>
    <w:p w14:paraId="5A084C05" w14:textId="77777777" w:rsidR="007B6FF0" w:rsidRPr="00756E1C" w:rsidRDefault="007B6FF0" w:rsidP="007B6FF0">
      <w:pPr>
        <w:spacing w:before="120" w:after="0" w:line="240" w:lineRule="auto"/>
        <w:ind w:firstLine="708"/>
        <w:jc w:val="both"/>
        <w:rPr>
          <w:rFonts w:ascii="Verdana" w:eastAsia="Aptos" w:hAnsi="Verdana" w:cs="Times New Roman"/>
        </w:rPr>
      </w:pPr>
      <w:r w:rsidRPr="00756E1C">
        <w:rPr>
          <w:rFonts w:ascii="Verdana" w:eastAsia="Aptos"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56E1C">
        <w:rPr>
          <w:rFonts w:ascii="Verdana" w:eastAsia="Aptos" w:hAnsi="Verdana" w:cs="Times New Roman"/>
          <w:b/>
          <w:bCs/>
        </w:rPr>
        <w:t xml:space="preserve">Guía para la Exigencia y Constitución de </w:t>
      </w:r>
      <w:r w:rsidRPr="00756E1C">
        <w:rPr>
          <w:rFonts w:ascii="Verdana" w:eastAsia="Aptos" w:hAnsi="Verdana" w:cs="Times New Roman"/>
          <w:b/>
          <w:bCs/>
        </w:rPr>
        <w:lastRenderedPageBreak/>
        <w:t>Garantías en los Procesos de Contratación</w:t>
      </w:r>
      <w:r w:rsidRPr="00756E1C">
        <w:rPr>
          <w:rFonts w:ascii="Verdana" w:eastAsia="Aptos"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2" w:tgtFrame="_blank" w:history="1">
        <w:r w:rsidRPr="00756E1C">
          <w:rPr>
            <w:rStyle w:val="Hipervnculo"/>
            <w:rFonts w:ascii="Verdana" w:eastAsia="Aptos" w:hAnsi="Verdana" w:cs="Times New Roman"/>
          </w:rPr>
          <w:t>https://www.colombiacompra.gov.co/archivos/manual/guia-de-garantias-en-procesos-de-contratacion</w:t>
        </w:r>
      </w:hyperlink>
      <w:r w:rsidRPr="00756E1C">
        <w:rPr>
          <w:rFonts w:ascii="Verdana" w:eastAsia="Aptos" w:hAnsi="Verdana" w:cs="Times New Roman"/>
        </w:rPr>
        <w:t> </w:t>
      </w:r>
    </w:p>
    <w:p w14:paraId="0B59392E" w14:textId="77777777" w:rsidR="007B6FF0" w:rsidRPr="00756E1C" w:rsidRDefault="007B6FF0" w:rsidP="007B6FF0">
      <w:pPr>
        <w:spacing w:before="120" w:after="0" w:line="240" w:lineRule="auto"/>
        <w:ind w:firstLine="708"/>
        <w:jc w:val="both"/>
        <w:rPr>
          <w:rFonts w:ascii="Verdana" w:eastAsia="Aptos" w:hAnsi="Verdana" w:cs="Times New Roman"/>
        </w:rPr>
      </w:pPr>
      <w:r w:rsidRPr="00756E1C">
        <w:rPr>
          <w:rFonts w:ascii="Verdana" w:eastAsia="Aptos" w:hAnsi="Verdana" w:cs="Times New Roman"/>
        </w:rPr>
        <w:t>De otro lado, te contamos que el Decreto 287 del 19 de marzo de 2026 sustituyó los artículos 2.2.1.2.4.2.6., 2.2.1.2.4.2.7. y 2.2.1.2.4.2.8. del Decreto 1082 de 2015 y estructuró el </w:t>
      </w:r>
      <w:r w:rsidRPr="00756E1C">
        <w:rPr>
          <w:rFonts w:ascii="Verdana" w:eastAsia="Aptos" w:hAnsi="Verdana" w:cs="Times New Roman"/>
          <w:b/>
          <w:bCs/>
        </w:rPr>
        <w:t>Sistema Integral de Preferencias en favor de las personas con discapacidad</w:t>
      </w:r>
      <w:r w:rsidRPr="00756E1C">
        <w:rPr>
          <w:rFonts w:ascii="Verdana" w:eastAsia="Aptos" w:hAnsi="Verdana" w:cs="Times New Roman"/>
        </w:rPr>
        <w:t>, en cumplimiento del artículo 13 de la Ley Estatutaria 1618 de 2013. Para orientar su aplicación, esta Agencia expidió la </w:t>
      </w:r>
      <w:r w:rsidRPr="00756E1C">
        <w:rPr>
          <w:rFonts w:ascii="Verdana" w:eastAsia="Aptos" w:hAnsi="Verdana" w:cs="Times New Roman"/>
          <w:b/>
          <w:bCs/>
        </w:rPr>
        <w:t>Circular Externa 003 del 12 de mayo de 2026, </w:t>
      </w:r>
      <w:r w:rsidRPr="00756E1C">
        <w:rPr>
          <w:rFonts w:ascii="Verdana" w:eastAsia="Aptos"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3" w:tgtFrame="_blank" w:history="1">
        <w:r w:rsidRPr="00756E1C">
          <w:rPr>
            <w:rStyle w:val="Hipervnculo"/>
            <w:rFonts w:ascii="Verdana" w:eastAsia="Aptos" w:hAnsi="Verdana" w:cs="Times New Roman"/>
          </w:rPr>
          <w:t>https://www.colombiacompra.gov.co/archivos/circular/circular-externa-003-de-2026</w:t>
        </w:r>
      </w:hyperlink>
      <w:r w:rsidRPr="00756E1C">
        <w:rPr>
          <w:rFonts w:ascii="Verdana" w:eastAsia="Aptos" w:hAnsi="Verdana" w:cs="Times New Roman"/>
        </w:rPr>
        <w:t> </w:t>
      </w:r>
    </w:p>
    <w:p w14:paraId="78F3599F" w14:textId="77777777" w:rsidR="007B6FF0" w:rsidRPr="00756E1C" w:rsidRDefault="007B6FF0" w:rsidP="007B6FF0">
      <w:pPr>
        <w:spacing w:before="120" w:after="0" w:line="240" w:lineRule="auto"/>
        <w:ind w:firstLine="708"/>
        <w:jc w:val="both"/>
        <w:rPr>
          <w:rFonts w:ascii="Verdana" w:eastAsia="Aptos" w:hAnsi="Verdana" w:cs="Times New Roman"/>
        </w:rPr>
      </w:pPr>
      <w:r w:rsidRPr="00756E1C">
        <w:rPr>
          <w:rFonts w:ascii="Verdana" w:eastAsia="Aptos" w:hAnsi="Verdana" w:cs="Times New Roman"/>
        </w:rPr>
        <w:t>Recuerda también que la</w:t>
      </w:r>
      <w:r w:rsidRPr="00756E1C">
        <w:rPr>
          <w:rFonts w:ascii="Verdana" w:eastAsia="Aptos" w:hAnsi="Verdana" w:cs="Times New Roman"/>
          <w:b/>
          <w:bCs/>
        </w:rPr>
        <w:t> información sobre sanciones e inhabilidades </w:t>
      </w:r>
      <w:r w:rsidRPr="00756E1C">
        <w:rPr>
          <w:rFonts w:ascii="Verdana" w:eastAsia="Aptos" w:hAnsi="Verdana" w:cs="Times New Roman"/>
        </w:rPr>
        <w:t>solo cumple su función preventiva si llega oportunamente a los registros públicos. Sobre este deber, esta Agencia expidió la </w:t>
      </w:r>
      <w:r w:rsidRPr="00756E1C">
        <w:rPr>
          <w:rFonts w:ascii="Verdana" w:eastAsia="Aptos" w:hAnsi="Verdana" w:cs="Times New Roman"/>
          <w:b/>
          <w:bCs/>
        </w:rPr>
        <w:t>Circular Externa 002 del 5 de mayo de 2026,</w:t>
      </w:r>
      <w:r w:rsidRPr="00756E1C">
        <w:rPr>
          <w:rFonts w:ascii="Verdana" w:eastAsia="Aptos"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gtFrame="_blank" w:history="1">
        <w:r w:rsidRPr="00756E1C">
          <w:rPr>
            <w:rStyle w:val="Hipervnculo"/>
            <w:rFonts w:ascii="Verdana" w:eastAsia="Aptos" w:hAnsi="Verdana" w:cs="Times New Roman"/>
          </w:rPr>
          <w:t>https://www.colombiacompra.gov.co/archivos/circular/circular-externa-002-de-2026</w:t>
        </w:r>
      </w:hyperlink>
      <w:r w:rsidRPr="00756E1C">
        <w:rPr>
          <w:rFonts w:ascii="Verdana" w:eastAsia="Aptos" w:hAnsi="Verdana" w:cs="Times New Roman"/>
        </w:rPr>
        <w:t> </w:t>
      </w:r>
    </w:p>
    <w:p w14:paraId="2AC226A5" w14:textId="77777777" w:rsidR="007B6FF0" w:rsidRPr="00756E1C" w:rsidRDefault="007B6FF0" w:rsidP="007B6FF0">
      <w:pPr>
        <w:spacing w:before="120" w:after="0" w:line="240" w:lineRule="auto"/>
        <w:ind w:firstLine="708"/>
        <w:jc w:val="both"/>
        <w:rPr>
          <w:rFonts w:ascii="Verdana" w:eastAsia="Aptos" w:hAnsi="Verdana" w:cs="Times New Roman"/>
        </w:rPr>
      </w:pPr>
      <w:r w:rsidRPr="00756E1C">
        <w:rPr>
          <w:rFonts w:ascii="Verdana" w:eastAsia="Aptos" w:hAnsi="Verdana" w:cs="Times New Roman"/>
        </w:rPr>
        <w:t>De otra parte, si quieres seguir de cerca la actividad de la Agencia, la tercera edición de 2026 del</w:t>
      </w:r>
      <w:r w:rsidRPr="00756E1C">
        <w:rPr>
          <w:rFonts w:ascii="Verdana" w:eastAsia="Aptos" w:hAnsi="Verdana" w:cs="Times New Roman"/>
          <w:b/>
          <w:bCs/>
        </w:rPr>
        <w:t> Radar de la Compra Pública</w:t>
      </w:r>
      <w:r w:rsidRPr="00756E1C">
        <w:rPr>
          <w:rFonts w:ascii="Verdana" w:eastAsia="Aptos"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5" w:tgtFrame="_blank" w:history="1">
        <w:r w:rsidRPr="00756E1C">
          <w:rPr>
            <w:rStyle w:val="Hipervnculo"/>
            <w:rFonts w:ascii="Verdana" w:eastAsia="Aptos" w:hAnsi="Verdana" w:cs="Times New Roman"/>
          </w:rPr>
          <w:t>https://www.colombiacompra.gov.co/archivos/boletin/boletin-edicion-n-3-de-2026-radar-de-la-compra-publica</w:t>
        </w:r>
      </w:hyperlink>
      <w:r w:rsidRPr="00756E1C">
        <w:rPr>
          <w:rFonts w:ascii="Verdana" w:eastAsia="Aptos" w:hAnsi="Verdana" w:cs="Times New Roman"/>
        </w:rPr>
        <w:t>" </w:t>
      </w:r>
    </w:p>
    <w:p w14:paraId="75514169" w14:textId="77777777" w:rsidR="007B6FF0" w:rsidRPr="00B33094" w:rsidRDefault="007B6FF0" w:rsidP="007B6FF0">
      <w:pPr>
        <w:spacing w:before="120" w:after="0" w:line="240" w:lineRule="auto"/>
        <w:ind w:firstLine="708"/>
        <w:jc w:val="both"/>
        <w:rPr>
          <w:rFonts w:ascii="Verdana" w:eastAsia="Aptos" w:hAnsi="Verdana" w:cs="Times New Roman"/>
        </w:rPr>
      </w:pPr>
      <w:r w:rsidRPr="00B33094">
        <w:rPr>
          <w:rFonts w:ascii="Verdana" w:eastAsia="Aptos" w:hAnsi="Verdana" w:cs="Times New Roman"/>
        </w:rPr>
        <w:t xml:space="preserve">Por último, lo invitamos a seguirnos en las redes sociales en las cuales se difunde información institucional: </w:t>
      </w:r>
    </w:p>
    <w:p w14:paraId="49473F32" w14:textId="77777777" w:rsidR="007B6FF0" w:rsidRPr="00B33094" w:rsidRDefault="007B6FF0" w:rsidP="007B6FF0">
      <w:pPr>
        <w:spacing w:after="0" w:line="240" w:lineRule="auto"/>
        <w:jc w:val="both"/>
        <w:rPr>
          <w:rFonts w:ascii="Verdana" w:eastAsia="Aptos" w:hAnsi="Verdana" w:cs="Times New Roman"/>
        </w:rPr>
      </w:pPr>
    </w:p>
    <w:p w14:paraId="4D504A4A" w14:textId="77777777" w:rsidR="007B6FF0" w:rsidRPr="00B33094" w:rsidRDefault="007B6FF0" w:rsidP="007B6FF0">
      <w:pPr>
        <w:spacing w:after="0" w:line="240" w:lineRule="auto"/>
        <w:jc w:val="both"/>
        <w:rPr>
          <w:rFonts w:ascii="Verdana" w:eastAsia="Aptos" w:hAnsi="Verdana" w:cs="Times New Roman"/>
        </w:rPr>
      </w:pPr>
      <w:r w:rsidRPr="00B33094">
        <w:rPr>
          <w:rFonts w:ascii="Verdana" w:eastAsia="Aptos" w:hAnsi="Verdana" w:cs="Times New Roman"/>
        </w:rPr>
        <w:lastRenderedPageBreak/>
        <w:t xml:space="preserve">Twitter: </w:t>
      </w:r>
      <w:r w:rsidRPr="00B33094">
        <w:rPr>
          <w:rFonts w:ascii="Verdana" w:eastAsia="Aptos" w:hAnsi="Verdana" w:cs="Arial"/>
          <w:u w:val="single"/>
          <w:shd w:val="clear" w:color="auto" w:fill="FFFFFF"/>
          <w:lang w:val="es-ES"/>
        </w:rPr>
        <w:t>@colombiacompra</w:t>
      </w:r>
      <w:r w:rsidRPr="00B33094">
        <w:rPr>
          <w:rFonts w:ascii="Verdana" w:eastAsia="Aptos" w:hAnsi="Verdana" w:cs="Times New Roman"/>
        </w:rPr>
        <w:t xml:space="preserve"> </w:t>
      </w:r>
    </w:p>
    <w:p w14:paraId="1C3ECCA8" w14:textId="77777777" w:rsidR="007B6FF0" w:rsidRPr="00B33094" w:rsidRDefault="007B6FF0" w:rsidP="007B6FF0">
      <w:pPr>
        <w:spacing w:after="0" w:line="240" w:lineRule="auto"/>
        <w:jc w:val="both"/>
        <w:rPr>
          <w:rFonts w:ascii="Verdana" w:eastAsia="Aptos" w:hAnsi="Verdana" w:cs="Times New Roman"/>
        </w:rPr>
      </w:pPr>
      <w:r w:rsidRPr="00B33094">
        <w:rPr>
          <w:rFonts w:ascii="Verdana" w:eastAsia="Aptos" w:hAnsi="Verdana" w:cs="Times New Roman"/>
        </w:rPr>
        <w:t xml:space="preserve">Facebook: </w:t>
      </w:r>
      <w:proofErr w:type="spellStart"/>
      <w:r w:rsidRPr="00B33094">
        <w:rPr>
          <w:rFonts w:ascii="Verdana" w:eastAsia="Aptos" w:hAnsi="Verdana" w:cs="Arial"/>
          <w:u w:val="single"/>
          <w:shd w:val="clear" w:color="auto" w:fill="FFFFFF"/>
          <w:lang w:val="es-ES"/>
        </w:rPr>
        <w:t>ColombiaCompraEficiente</w:t>
      </w:r>
      <w:proofErr w:type="spellEnd"/>
    </w:p>
    <w:p w14:paraId="303DFF5B" w14:textId="77777777" w:rsidR="007B6FF0" w:rsidRPr="00B33094" w:rsidRDefault="007B6FF0" w:rsidP="007B6FF0">
      <w:pPr>
        <w:spacing w:after="0" w:line="240" w:lineRule="auto"/>
        <w:jc w:val="both"/>
        <w:rPr>
          <w:rFonts w:ascii="Verdana" w:eastAsia="Aptos" w:hAnsi="Verdana" w:cs="Times New Roman"/>
        </w:rPr>
      </w:pPr>
      <w:r w:rsidRPr="00B33094">
        <w:rPr>
          <w:rFonts w:ascii="Verdana" w:eastAsia="Aptos" w:hAnsi="Verdana" w:cs="Times New Roman"/>
        </w:rPr>
        <w:t xml:space="preserve">LinkedIn: </w:t>
      </w:r>
      <w:r w:rsidRPr="00B33094">
        <w:rPr>
          <w:rFonts w:ascii="Verdana" w:eastAsia="Aptos" w:hAnsi="Verdana" w:cs="Arial"/>
          <w:u w:val="single"/>
          <w:shd w:val="clear" w:color="auto" w:fill="FFFFFF"/>
          <w:lang w:val="es-ES"/>
        </w:rPr>
        <w:t>Agencia Nacional de Contratación Pública - Colombia Compra Eficiente</w:t>
      </w:r>
      <w:r w:rsidRPr="00B33094">
        <w:rPr>
          <w:rFonts w:ascii="Verdana" w:eastAsia="Aptos" w:hAnsi="Verdana" w:cs="Times New Roman"/>
        </w:rPr>
        <w:t xml:space="preserve"> Instagram: </w:t>
      </w:r>
      <w:r w:rsidRPr="00B33094">
        <w:rPr>
          <w:rFonts w:ascii="Verdana" w:eastAsia="Aptos" w:hAnsi="Verdana" w:cs="Arial"/>
          <w:u w:val="single"/>
          <w:shd w:val="clear" w:color="auto" w:fill="FFFFFF"/>
          <w:lang w:val="es-ES"/>
        </w:rPr>
        <w:t>@colombiacompraeficiente_cce</w:t>
      </w:r>
    </w:p>
    <w:p w14:paraId="557A13FC" w14:textId="77777777" w:rsidR="007B6FF0" w:rsidRPr="00B33094" w:rsidRDefault="007B6FF0" w:rsidP="007B6FF0">
      <w:pPr>
        <w:widowControl w:val="0"/>
        <w:autoSpaceDE w:val="0"/>
        <w:autoSpaceDN w:val="0"/>
        <w:spacing w:after="0" w:line="240" w:lineRule="auto"/>
        <w:jc w:val="both"/>
        <w:rPr>
          <w:rFonts w:ascii="Verdana" w:eastAsia="Aptos" w:hAnsi="Verdana" w:cs="Arial"/>
        </w:rPr>
      </w:pPr>
    </w:p>
    <w:p w14:paraId="475D80CA" w14:textId="77777777" w:rsidR="007B6FF0" w:rsidRPr="00B33094" w:rsidRDefault="007B6FF0" w:rsidP="007B6FF0">
      <w:pPr>
        <w:widowControl w:val="0"/>
        <w:autoSpaceDE w:val="0"/>
        <w:autoSpaceDN w:val="0"/>
        <w:spacing w:after="0" w:line="240" w:lineRule="auto"/>
        <w:jc w:val="both"/>
        <w:rPr>
          <w:rFonts w:ascii="Verdana" w:eastAsia="Aptos" w:hAnsi="Verdana" w:cs="Arial"/>
          <w:lang w:val="es-ES_tradnl"/>
        </w:rPr>
      </w:pPr>
      <w:r w:rsidRPr="00B33094">
        <w:rPr>
          <w:rFonts w:ascii="Verdana" w:eastAsia="Aptos" w:hAnsi="Verdana" w:cs="Arial"/>
        </w:rPr>
        <w:t xml:space="preserve">Este concepto tiene el alcance previsto en el artículo 28 del Código de Procedimiento Administrativo y de lo Contencioso Administrativo </w:t>
      </w:r>
      <w:r w:rsidRPr="00B33094">
        <w:rPr>
          <w:rFonts w:ascii="Verdana" w:eastAsia="Aptos" w:hAnsi="Verdana" w:cs="Arial"/>
          <w:lang w:val="es-ES_tradnl"/>
        </w:rPr>
        <w:t>y las expresiones aquí utilizadas con mayúscula inicial deben ser entendidas con el significado que les otorga el artículo 2.2.1.1.1.3.1. del Decreto 1082 de 2015.</w:t>
      </w:r>
    </w:p>
    <w:p w14:paraId="6922A1D8" w14:textId="77777777" w:rsidR="007B6FF0" w:rsidRPr="00B33094" w:rsidRDefault="007B6FF0" w:rsidP="007B6FF0">
      <w:pPr>
        <w:widowControl w:val="0"/>
        <w:autoSpaceDE w:val="0"/>
        <w:autoSpaceDN w:val="0"/>
        <w:spacing w:after="0" w:line="240" w:lineRule="auto"/>
        <w:jc w:val="both"/>
        <w:rPr>
          <w:rFonts w:ascii="Verdana" w:eastAsia="Aptos" w:hAnsi="Verdana" w:cs="Arial"/>
        </w:rPr>
      </w:pPr>
    </w:p>
    <w:p w14:paraId="70A7BADA" w14:textId="77777777" w:rsidR="007B6FF0" w:rsidRPr="00B33094" w:rsidRDefault="007B6FF0" w:rsidP="007B6FF0">
      <w:pPr>
        <w:spacing w:after="0" w:line="240" w:lineRule="auto"/>
        <w:rPr>
          <w:rFonts w:ascii="Verdana" w:eastAsia="Aptos" w:hAnsi="Verdana" w:cs="Arial"/>
          <w:lang w:eastAsia="es-CO"/>
        </w:rPr>
      </w:pPr>
      <w:r w:rsidRPr="00B33094">
        <w:rPr>
          <w:rFonts w:ascii="Verdana" w:eastAsia="Times New Roman" w:hAnsi="Verdana" w:cs="Arial"/>
          <w:lang w:eastAsia="es-CO"/>
        </w:rPr>
        <w:t>Atentamente,</w:t>
      </w:r>
      <w:r w:rsidRPr="00B33094">
        <w:rPr>
          <w:rFonts w:ascii="Verdana" w:eastAsia="Aptos" w:hAnsi="Verdana" w:cs="Arial"/>
          <w:lang w:eastAsia="es-CO"/>
        </w:rPr>
        <w:t xml:space="preserve"> </w:t>
      </w:r>
    </w:p>
    <w:p w14:paraId="6DB81FCC" w14:textId="112C93BB" w:rsidR="007B6FF0" w:rsidRPr="00B33094" w:rsidRDefault="00BC4397" w:rsidP="007B6FF0">
      <w:pPr>
        <w:spacing w:after="0" w:line="240" w:lineRule="auto"/>
        <w:jc w:val="center"/>
        <w:rPr>
          <w:rFonts w:ascii="Verdana" w:eastAsia="Aptos" w:hAnsi="Verdana" w:cs="Arial"/>
          <w:lang w:val="es-ES_tradnl" w:eastAsia="es-CO"/>
        </w:rPr>
      </w:pPr>
      <w:r>
        <w:rPr>
          <w:noProof/>
        </w:rPr>
        <w:drawing>
          <wp:inline distT="0" distB="0" distL="0" distR="0" wp14:anchorId="2EC4ECC8" wp14:editId="1BF7EC2F">
            <wp:extent cx="3260090" cy="1391285"/>
            <wp:effectExtent l="0" t="0" r="0" b="0"/>
            <wp:docPr id="203517628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60090" cy="1391285"/>
                    </a:xfrm>
                    <a:prstGeom prst="rect">
                      <a:avLst/>
                    </a:prstGeom>
                    <a:noFill/>
                    <a:ln>
                      <a:noFill/>
                    </a:ln>
                  </pic:spPr>
                </pic:pic>
              </a:graphicData>
            </a:graphic>
          </wp:inline>
        </w:drawing>
      </w:r>
    </w:p>
    <w:p w14:paraId="4BA8D6CF" w14:textId="77777777" w:rsidR="007B6FF0" w:rsidRPr="00B33094" w:rsidRDefault="007B6FF0" w:rsidP="007B6FF0">
      <w:pPr>
        <w:spacing w:after="0" w:line="240" w:lineRule="auto"/>
        <w:jc w:val="center"/>
        <w:rPr>
          <w:rFonts w:ascii="Verdana" w:eastAsia="Aptos"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7B6FF0" w:rsidRPr="00B33094" w14:paraId="2CDAC898" w14:textId="77777777" w:rsidTr="00D119D4">
        <w:trPr>
          <w:trHeight w:val="286"/>
        </w:trPr>
        <w:tc>
          <w:tcPr>
            <w:tcW w:w="901" w:type="dxa"/>
            <w:vAlign w:val="center"/>
            <w:hideMark/>
          </w:tcPr>
          <w:p w14:paraId="2745AD39" w14:textId="77777777" w:rsidR="007B6FF0" w:rsidRPr="004972E2" w:rsidRDefault="007B6FF0" w:rsidP="00D119D4">
            <w:pPr>
              <w:rPr>
                <w:rFonts w:ascii="Verdana" w:eastAsia="Aptos" w:hAnsi="Verdana" w:cs="Arial"/>
                <w:sz w:val="16"/>
                <w:szCs w:val="16"/>
                <w:lang w:eastAsia="es-ES"/>
              </w:rPr>
            </w:pPr>
            <w:r w:rsidRPr="004972E2">
              <w:rPr>
                <w:rFonts w:ascii="Verdana" w:eastAsia="Aptos" w:hAnsi="Verdana" w:cs="Arial"/>
                <w:sz w:val="16"/>
                <w:szCs w:val="16"/>
                <w:lang w:eastAsia="es-ES"/>
              </w:rPr>
              <w:t>Elaboró:</w:t>
            </w:r>
          </w:p>
        </w:tc>
        <w:tc>
          <w:tcPr>
            <w:tcW w:w="4344" w:type="dxa"/>
            <w:tcBorders>
              <w:top w:val="nil"/>
              <w:left w:val="nil"/>
              <w:bottom w:val="dotted" w:sz="4" w:space="0" w:color="7F7F7F"/>
              <w:right w:val="nil"/>
            </w:tcBorders>
            <w:vAlign w:val="center"/>
            <w:hideMark/>
          </w:tcPr>
          <w:p w14:paraId="37133E5F" w14:textId="77777777" w:rsidR="007B6FF0" w:rsidRPr="004972E2" w:rsidRDefault="007B6FF0" w:rsidP="00D119D4">
            <w:pPr>
              <w:rPr>
                <w:rFonts w:ascii="Verdana" w:eastAsia="Aptos" w:hAnsi="Verdana" w:cs="Arial"/>
                <w:sz w:val="16"/>
                <w:szCs w:val="16"/>
                <w:lang w:eastAsia="es-ES"/>
              </w:rPr>
            </w:pPr>
            <w:r w:rsidRPr="004972E2">
              <w:rPr>
                <w:rFonts w:ascii="Verdana" w:eastAsia="Aptos" w:hAnsi="Verdana" w:cs="Arial"/>
                <w:sz w:val="16"/>
                <w:szCs w:val="16"/>
                <w:lang w:eastAsia="es-ES"/>
              </w:rPr>
              <w:t>Nasly Yeana Mosquera Rivas</w:t>
            </w:r>
          </w:p>
          <w:p w14:paraId="784C941B" w14:textId="77777777" w:rsidR="007B6FF0" w:rsidRPr="004972E2" w:rsidRDefault="007B6FF0" w:rsidP="00D119D4">
            <w:pPr>
              <w:rPr>
                <w:rFonts w:ascii="Verdana" w:eastAsia="Aptos" w:hAnsi="Verdana" w:cs="Arial"/>
                <w:sz w:val="16"/>
                <w:szCs w:val="16"/>
                <w:lang w:eastAsia="es-ES"/>
              </w:rPr>
            </w:pPr>
            <w:r w:rsidRPr="004972E2">
              <w:rPr>
                <w:rFonts w:ascii="Verdana" w:eastAsia="Aptos" w:hAnsi="Verdana" w:cs="Arial"/>
                <w:sz w:val="16"/>
                <w:szCs w:val="16"/>
                <w:lang w:eastAsia="es-ES"/>
              </w:rPr>
              <w:t>Analista T2–06 de la Subdirección de Gestión Contractual</w:t>
            </w:r>
          </w:p>
        </w:tc>
      </w:tr>
      <w:tr w:rsidR="007B6FF0" w:rsidRPr="00B33094" w14:paraId="02560C9F" w14:textId="77777777" w:rsidTr="00D119D4">
        <w:trPr>
          <w:trHeight w:val="299"/>
        </w:trPr>
        <w:tc>
          <w:tcPr>
            <w:tcW w:w="901" w:type="dxa"/>
            <w:vAlign w:val="center"/>
          </w:tcPr>
          <w:p w14:paraId="604E4190" w14:textId="77777777" w:rsidR="007B6FF0" w:rsidRPr="004972E2" w:rsidRDefault="007B6FF0" w:rsidP="00D119D4">
            <w:pPr>
              <w:rPr>
                <w:rFonts w:ascii="Verdana" w:eastAsia="Aptos" w:hAnsi="Verdana" w:cs="Arial"/>
                <w:sz w:val="16"/>
                <w:szCs w:val="16"/>
                <w:lang w:eastAsia="es-ES"/>
              </w:rPr>
            </w:pPr>
            <w:r w:rsidRPr="004972E2">
              <w:rPr>
                <w:rFonts w:ascii="Verdana" w:eastAsia="Aptos" w:hAnsi="Verdana" w:cs="Arial"/>
                <w:sz w:val="16"/>
                <w:szCs w:val="16"/>
                <w:lang w:eastAsia="es-ES"/>
              </w:rPr>
              <w:t>Revisó:</w:t>
            </w:r>
          </w:p>
        </w:tc>
        <w:tc>
          <w:tcPr>
            <w:tcW w:w="4344" w:type="dxa"/>
            <w:tcBorders>
              <w:top w:val="dotted" w:sz="4" w:space="0" w:color="7F7F7F"/>
              <w:left w:val="nil"/>
              <w:bottom w:val="dotted" w:sz="4" w:space="0" w:color="7F7F7F"/>
              <w:right w:val="nil"/>
            </w:tcBorders>
            <w:vAlign w:val="center"/>
          </w:tcPr>
          <w:p w14:paraId="3536230E" w14:textId="77777777" w:rsidR="007B6FF0" w:rsidRPr="004972E2" w:rsidRDefault="007B6FF0" w:rsidP="00D119D4">
            <w:pPr>
              <w:rPr>
                <w:rFonts w:ascii="Verdana" w:eastAsia="Aptos" w:hAnsi="Verdana" w:cs="Arial"/>
                <w:sz w:val="16"/>
                <w:szCs w:val="16"/>
                <w:lang w:eastAsia="es-ES"/>
              </w:rPr>
            </w:pPr>
            <w:r w:rsidRPr="004972E2">
              <w:rPr>
                <w:rFonts w:ascii="Verdana" w:eastAsia="Aptos" w:hAnsi="Verdana" w:cs="Arial"/>
                <w:sz w:val="16"/>
                <w:szCs w:val="16"/>
                <w:lang w:eastAsia="es-ES"/>
              </w:rPr>
              <w:t>Adriana Katerine López Rodríguez</w:t>
            </w:r>
          </w:p>
          <w:p w14:paraId="78EB9F95" w14:textId="77777777" w:rsidR="007B6FF0" w:rsidRPr="004972E2" w:rsidRDefault="007B6FF0" w:rsidP="00D119D4">
            <w:pPr>
              <w:rPr>
                <w:rFonts w:ascii="Verdana" w:eastAsia="Aptos" w:hAnsi="Verdana" w:cs="Arial"/>
                <w:sz w:val="16"/>
                <w:szCs w:val="16"/>
                <w:lang w:eastAsia="es-ES"/>
              </w:rPr>
            </w:pPr>
            <w:r w:rsidRPr="004972E2">
              <w:rPr>
                <w:rFonts w:ascii="Verdana" w:eastAsia="Aptos" w:hAnsi="Verdana" w:cs="Arial"/>
                <w:sz w:val="16"/>
                <w:szCs w:val="16"/>
                <w:lang w:eastAsia="es-ES"/>
              </w:rPr>
              <w:t>Contratista de la Subdirección de Gestión Contractual</w:t>
            </w:r>
          </w:p>
        </w:tc>
      </w:tr>
      <w:tr w:rsidR="007B6FF0" w:rsidRPr="0086202B" w14:paraId="08BAB8A0" w14:textId="77777777" w:rsidTr="00D119D4">
        <w:trPr>
          <w:trHeight w:val="272"/>
        </w:trPr>
        <w:tc>
          <w:tcPr>
            <w:tcW w:w="901" w:type="dxa"/>
            <w:vAlign w:val="center"/>
            <w:hideMark/>
          </w:tcPr>
          <w:p w14:paraId="3A2EDC0C" w14:textId="77777777" w:rsidR="007B6FF0" w:rsidRPr="004972E2" w:rsidRDefault="007B6FF0" w:rsidP="00D119D4">
            <w:pPr>
              <w:rPr>
                <w:rFonts w:ascii="Verdana" w:eastAsia="Aptos" w:hAnsi="Verdana" w:cs="Arial"/>
                <w:sz w:val="16"/>
                <w:szCs w:val="16"/>
                <w:lang w:eastAsia="es-ES"/>
              </w:rPr>
            </w:pPr>
            <w:r w:rsidRPr="004972E2">
              <w:rPr>
                <w:rFonts w:ascii="Verdana" w:eastAsia="Aptos" w:hAnsi="Verdana" w:cs="Arial"/>
                <w:sz w:val="16"/>
                <w:szCs w:val="16"/>
                <w:lang w:eastAsia="es-ES"/>
              </w:rPr>
              <w:t>Aprobó:</w:t>
            </w:r>
          </w:p>
        </w:tc>
        <w:tc>
          <w:tcPr>
            <w:tcW w:w="4344" w:type="dxa"/>
            <w:tcBorders>
              <w:top w:val="dotted" w:sz="4" w:space="0" w:color="7F7F7F"/>
              <w:left w:val="nil"/>
              <w:bottom w:val="dotted" w:sz="4" w:space="0" w:color="7F7F7F"/>
              <w:right w:val="nil"/>
            </w:tcBorders>
            <w:vAlign w:val="center"/>
            <w:hideMark/>
          </w:tcPr>
          <w:p w14:paraId="32BC7940" w14:textId="77777777" w:rsidR="007B6FF0" w:rsidRPr="004972E2" w:rsidRDefault="007B6FF0" w:rsidP="00D119D4">
            <w:pPr>
              <w:rPr>
                <w:rFonts w:ascii="Verdana" w:eastAsia="Aptos" w:hAnsi="Verdana" w:cs="Arial"/>
                <w:sz w:val="16"/>
                <w:szCs w:val="16"/>
                <w:lang w:eastAsia="es-ES"/>
              </w:rPr>
            </w:pPr>
            <w:r w:rsidRPr="004972E2">
              <w:rPr>
                <w:rFonts w:ascii="Verdana" w:eastAsia="Aptos" w:hAnsi="Verdana" w:cs="Arial"/>
                <w:sz w:val="16"/>
                <w:szCs w:val="16"/>
                <w:lang w:eastAsia="es-ES"/>
              </w:rPr>
              <w:t>Carolina Quintero Gacharná</w:t>
            </w:r>
          </w:p>
          <w:p w14:paraId="03846246" w14:textId="77777777" w:rsidR="007B6FF0" w:rsidRPr="004972E2" w:rsidRDefault="007B6FF0" w:rsidP="00D119D4">
            <w:pPr>
              <w:rPr>
                <w:rFonts w:ascii="Verdana" w:eastAsia="Aptos" w:hAnsi="Verdana" w:cs="Arial"/>
                <w:sz w:val="16"/>
                <w:szCs w:val="16"/>
                <w:lang w:eastAsia="es-ES"/>
              </w:rPr>
            </w:pPr>
            <w:r w:rsidRPr="004972E2">
              <w:rPr>
                <w:rFonts w:ascii="Verdana" w:eastAsia="Aptos" w:hAnsi="Verdana" w:cs="Arial"/>
                <w:sz w:val="16"/>
                <w:szCs w:val="16"/>
                <w:lang w:eastAsia="es-ES"/>
              </w:rPr>
              <w:t>Subdirectora de Gestión Contractual ANCP – CCE</w:t>
            </w:r>
          </w:p>
        </w:tc>
      </w:tr>
    </w:tbl>
    <w:p w14:paraId="7E499781" w14:textId="77777777" w:rsidR="007B6FF0" w:rsidRPr="004972E2" w:rsidRDefault="007B6FF0" w:rsidP="007B6FF0">
      <w:pPr>
        <w:spacing w:after="0" w:line="240" w:lineRule="auto"/>
        <w:rPr>
          <w:rFonts w:ascii="Verdana" w:eastAsia="Times New Roman" w:hAnsi="Verdana" w:cs="Arial"/>
          <w:lang w:eastAsia="es-ES"/>
        </w:rPr>
      </w:pPr>
    </w:p>
    <w:p w14:paraId="684637B5" w14:textId="77777777" w:rsidR="007B6FF0" w:rsidRPr="0086202B" w:rsidRDefault="007B6FF0" w:rsidP="007B6FF0">
      <w:pPr>
        <w:spacing w:line="240" w:lineRule="auto"/>
        <w:rPr>
          <w:rFonts w:ascii="Verdana" w:eastAsia="Aptos" w:hAnsi="Verdana" w:cs="Times New Roman"/>
        </w:rPr>
      </w:pPr>
    </w:p>
    <w:p w14:paraId="68D400BB" w14:textId="77777777" w:rsidR="007B6FF0" w:rsidRPr="0086202B" w:rsidRDefault="007B6FF0" w:rsidP="007B6FF0">
      <w:pPr>
        <w:spacing w:line="240" w:lineRule="auto"/>
        <w:rPr>
          <w:rFonts w:ascii="Verdana" w:eastAsia="Aptos" w:hAnsi="Verdana" w:cs="Arial"/>
        </w:rPr>
      </w:pPr>
    </w:p>
    <w:p w14:paraId="282CE7F1" w14:textId="5758A608" w:rsidR="007B6FF0" w:rsidRPr="000E2B93" w:rsidRDefault="007B6FF0" w:rsidP="007B6FF0">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141E5EBE" w14:textId="31AC1B62" w:rsidR="007B6FF0" w:rsidRDefault="007B6FF0"/>
    <w:sectPr w:rsidR="007B6FF0" w:rsidSect="007B6FF0">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10E13" w14:textId="77777777" w:rsidR="007C7389" w:rsidRDefault="007C7389" w:rsidP="007B6FF0">
      <w:pPr>
        <w:spacing w:after="0" w:line="240" w:lineRule="auto"/>
      </w:pPr>
      <w:r>
        <w:separator/>
      </w:r>
    </w:p>
  </w:endnote>
  <w:endnote w:type="continuationSeparator" w:id="0">
    <w:p w14:paraId="226084CE" w14:textId="77777777" w:rsidR="007C7389" w:rsidRDefault="007C7389" w:rsidP="007B6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Geomanist Bold">
    <w:altName w:val="Arial"/>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4EF19" w14:textId="77777777" w:rsidR="007B6FF0" w:rsidRDefault="007B6FF0">
    <w:pPr>
      <w:pStyle w:val="Piedepgina"/>
    </w:pPr>
  </w:p>
  <w:p w14:paraId="000573F1" w14:textId="77777777" w:rsidR="007B6FF0" w:rsidRPr="00174B77" w:rsidRDefault="007B6FF0"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6C3DA0B7" w14:textId="77777777" w:rsidR="007B6FF0" w:rsidRDefault="007B6FF0"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134B8738" w14:textId="77777777" w:rsidR="007B6FF0" w:rsidRPr="00E41027" w:rsidRDefault="007B6FF0"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38F1E9F" w14:textId="77777777" w:rsidR="007B6FF0" w:rsidRDefault="007B6FF0"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4CC03" w14:textId="77777777" w:rsidR="007C7389" w:rsidRDefault="007C7389" w:rsidP="007B6FF0">
      <w:pPr>
        <w:spacing w:after="0" w:line="240" w:lineRule="auto"/>
      </w:pPr>
      <w:r>
        <w:separator/>
      </w:r>
    </w:p>
  </w:footnote>
  <w:footnote w:type="continuationSeparator" w:id="0">
    <w:p w14:paraId="55A75F08" w14:textId="77777777" w:rsidR="007C7389" w:rsidRDefault="007C7389" w:rsidP="007B6FF0">
      <w:pPr>
        <w:spacing w:after="0" w:line="240" w:lineRule="auto"/>
      </w:pPr>
      <w:r>
        <w:continuationSeparator/>
      </w:r>
    </w:p>
  </w:footnote>
  <w:footnote w:id="1">
    <w:p w14:paraId="355B041D" w14:textId="77777777" w:rsidR="007B6FF0" w:rsidRPr="007B6FF0" w:rsidRDefault="007B6FF0" w:rsidP="007B6FF0">
      <w:pPr>
        <w:pStyle w:val="Textonotapie"/>
        <w:ind w:firstLine="708"/>
        <w:jc w:val="both"/>
        <w:rPr>
          <w:rFonts w:ascii="Verdana" w:hAnsi="Verdana"/>
          <w:sz w:val="18"/>
          <w:szCs w:val="18"/>
        </w:rPr>
      </w:pPr>
      <w:r w:rsidRPr="007B6FF0">
        <w:rPr>
          <w:rStyle w:val="Refdenotaalpie"/>
          <w:rFonts w:ascii="Verdana" w:hAnsi="Verdana"/>
          <w:sz w:val="18"/>
          <w:szCs w:val="18"/>
        </w:rPr>
        <w:footnoteRef/>
      </w:r>
      <w:r w:rsidRPr="007B6FF0">
        <w:rPr>
          <w:rFonts w:ascii="Verdana" w:hAnsi="Verdana"/>
          <w:sz w:val="18"/>
          <w:szCs w:val="18"/>
        </w:rPr>
        <w:t xml:space="preserve"> PINO RICCI, Jorge. El régimen jurídico de los contratos estatales. Bogotá: Universidad externado de Colombia, 2005. Pp. 305-306. Como explica la jurisprudencia, “[…] la administración no tiene la facultad discrecional para declarar a su arbitrio desierta la licitación, decisión que sólo resulta procedente cuando medien causales y circunstancias contempladas en las normas, por cuanto, como ya se anotó, la facultad de adjudicar o no un contrato estatal es reglada. No cualquier hecho conduce a la declaratoria de desierta de una licitación, sino que es menester que el mismo impida la selección objetiva de la propuesta dentro del marco dispuesto por el ordenamiento jurídico” (CONSEJO DE ESTADO. Sección Tercera. Sentencia 27 de abril de 2011. Rad. 28293. CP. Ruth Stella Correa Palacio).  </w:t>
      </w:r>
    </w:p>
  </w:footnote>
  <w:footnote w:id="2">
    <w:p w14:paraId="7FB9936A" w14:textId="77777777" w:rsidR="007B6FF0" w:rsidRPr="007B6FF0" w:rsidRDefault="007B6FF0" w:rsidP="007B6FF0">
      <w:pPr>
        <w:pStyle w:val="NormalWeb"/>
        <w:spacing w:before="0" w:beforeAutospacing="0" w:after="0" w:afterAutospacing="0"/>
        <w:ind w:firstLine="709"/>
        <w:jc w:val="both"/>
        <w:rPr>
          <w:rFonts w:ascii="Verdana" w:hAnsi="Verdana" w:cs="Arial"/>
          <w:sz w:val="18"/>
          <w:szCs w:val="18"/>
        </w:rPr>
      </w:pPr>
      <w:r w:rsidRPr="007B6FF0">
        <w:rPr>
          <w:rStyle w:val="Refdenotaalpie"/>
          <w:rFonts w:ascii="Verdana" w:hAnsi="Verdana" w:cs="Arial"/>
          <w:sz w:val="18"/>
          <w:szCs w:val="18"/>
        </w:rPr>
        <w:footnoteRef/>
      </w:r>
      <w:r w:rsidRPr="007B6FF0">
        <w:rPr>
          <w:rFonts w:ascii="Verdana" w:hAnsi="Verdana" w:cs="Arial"/>
          <w:sz w:val="18"/>
          <w:szCs w:val="18"/>
        </w:rPr>
        <w:t xml:space="preserve"> </w:t>
      </w:r>
      <w:r w:rsidRPr="007B6FF0">
        <w:rPr>
          <w:rFonts w:ascii="Verdana" w:hAnsi="Verdana" w:cs="Arial"/>
          <w:sz w:val="18"/>
          <w:szCs w:val="18"/>
          <w:lang w:val="es-ES"/>
        </w:rPr>
        <w:t>“</w:t>
      </w:r>
      <w:r w:rsidRPr="007B6FF0">
        <w:rPr>
          <w:rFonts w:ascii="Verdana" w:hAnsi="Verdana" w:cs="Arial"/>
          <w:sz w:val="18"/>
          <w:szCs w:val="18"/>
        </w:rPr>
        <w:t>Para poder participar en los procesos de selección de los contratos de obra, la capacidad residual del proponente o K de contratación deberá ser igual o superior al que la entidad haya establecido para el efecto en los pliegos de condiciones</w:t>
      </w:r>
    </w:p>
    <w:p w14:paraId="0D594345" w14:textId="77777777" w:rsidR="007B6FF0" w:rsidRPr="007B6FF0" w:rsidRDefault="007B6FF0" w:rsidP="007B6FF0">
      <w:pPr>
        <w:spacing w:after="0" w:line="240" w:lineRule="auto"/>
        <w:ind w:firstLine="709"/>
        <w:jc w:val="both"/>
        <w:rPr>
          <w:rFonts w:ascii="Verdana" w:hAnsi="Verdana" w:cs="Arial"/>
          <w:sz w:val="18"/>
          <w:szCs w:val="18"/>
        </w:rPr>
      </w:pPr>
      <w:r w:rsidRPr="007B6FF0">
        <w:rPr>
          <w:rFonts w:ascii="Verdana" w:hAnsi="Verdana" w:cs="Arial"/>
          <w:sz w:val="18"/>
          <w:szCs w:val="18"/>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347667FD" w14:textId="77777777" w:rsidR="007B6FF0" w:rsidRPr="007B6FF0" w:rsidRDefault="007B6FF0" w:rsidP="007B6FF0">
      <w:pPr>
        <w:spacing w:after="0" w:line="240" w:lineRule="auto"/>
        <w:ind w:firstLine="709"/>
        <w:jc w:val="both"/>
        <w:rPr>
          <w:rFonts w:ascii="Verdana" w:hAnsi="Verdana" w:cs="Arial"/>
          <w:sz w:val="18"/>
          <w:szCs w:val="18"/>
        </w:rPr>
      </w:pPr>
    </w:p>
  </w:footnote>
  <w:footnote w:id="3">
    <w:p w14:paraId="3D80180C" w14:textId="77777777" w:rsidR="007B6FF0" w:rsidRPr="007B6FF0" w:rsidRDefault="007B6FF0" w:rsidP="007B6FF0">
      <w:pPr>
        <w:pStyle w:val="Textonotapie"/>
        <w:ind w:firstLine="708"/>
        <w:jc w:val="both"/>
        <w:rPr>
          <w:rFonts w:ascii="Verdana" w:hAnsi="Verdana" w:cs="Arial"/>
          <w:sz w:val="18"/>
          <w:szCs w:val="18"/>
        </w:rPr>
      </w:pPr>
      <w:r w:rsidRPr="007B6FF0">
        <w:rPr>
          <w:rStyle w:val="Refdenotaalpie"/>
          <w:rFonts w:ascii="Verdana" w:hAnsi="Verdana" w:cs="Arial"/>
          <w:sz w:val="18"/>
          <w:szCs w:val="18"/>
        </w:rPr>
        <w:footnoteRef/>
      </w:r>
      <w:r w:rsidRPr="007B6FF0">
        <w:rPr>
          <w:rFonts w:ascii="Verdana" w:hAnsi="Verdana" w:cs="Arial"/>
          <w:sz w:val="18"/>
          <w:szCs w:val="18"/>
        </w:rPr>
        <w:t xml:space="preserve"> Cfr. Corte Constitucional. Sentencia C-569 de 2004. M.P. Rodrigo Uprimny Yepes.</w:t>
      </w:r>
    </w:p>
    <w:p w14:paraId="7627549B" w14:textId="77777777" w:rsidR="007B6FF0" w:rsidRPr="007B6FF0" w:rsidRDefault="007B6FF0" w:rsidP="007B6FF0">
      <w:pPr>
        <w:pStyle w:val="Textonotapie"/>
        <w:ind w:firstLine="708"/>
        <w:jc w:val="both"/>
        <w:rPr>
          <w:rFonts w:ascii="Verdana" w:hAnsi="Verdana" w:cs="Arial"/>
          <w:sz w:val="18"/>
          <w:szCs w:val="18"/>
          <w:lang w:val="es-ES"/>
        </w:rPr>
      </w:pPr>
    </w:p>
  </w:footnote>
  <w:footnote w:id="4">
    <w:p w14:paraId="5DE5ACC0" w14:textId="77777777" w:rsidR="007B6FF0" w:rsidRPr="007B6FF0" w:rsidRDefault="007B6FF0" w:rsidP="007B6FF0">
      <w:pPr>
        <w:pStyle w:val="Textonotapie"/>
        <w:ind w:firstLine="708"/>
        <w:jc w:val="both"/>
        <w:rPr>
          <w:rFonts w:ascii="Verdana" w:hAnsi="Verdana" w:cs="Arial"/>
          <w:sz w:val="18"/>
          <w:szCs w:val="18"/>
        </w:rPr>
      </w:pPr>
      <w:r w:rsidRPr="007B6FF0">
        <w:rPr>
          <w:rStyle w:val="Refdenotaalpie"/>
          <w:rFonts w:ascii="Verdana" w:hAnsi="Verdana" w:cs="Arial"/>
          <w:sz w:val="18"/>
          <w:szCs w:val="18"/>
        </w:rPr>
        <w:footnoteRef/>
      </w:r>
      <w:r w:rsidRPr="007B6FF0">
        <w:rPr>
          <w:rFonts w:ascii="Verdana" w:hAnsi="Verdana" w:cs="Arial"/>
          <w:sz w:val="18"/>
          <w:szCs w:val="18"/>
        </w:rPr>
        <w:t xml:space="preserve"> Cfr. Consejo de Estado. Sección Tercera. Providencias del 11 de diciembre de 2002, dictada dentro del expediente AG-1683, y del 18 de octubre de 2001, proferida dentro del plenario AG-021.</w:t>
      </w:r>
    </w:p>
    <w:p w14:paraId="4F213810" w14:textId="77777777" w:rsidR="007B6FF0" w:rsidRPr="007B6FF0" w:rsidRDefault="007B6FF0" w:rsidP="007B6FF0">
      <w:pPr>
        <w:pStyle w:val="Textonotapie"/>
        <w:ind w:firstLine="708"/>
        <w:jc w:val="both"/>
        <w:rPr>
          <w:rFonts w:ascii="Verdana" w:hAnsi="Verdana" w:cs="Arial"/>
          <w:sz w:val="18"/>
          <w:szCs w:val="18"/>
          <w:lang w:val="es-ES"/>
        </w:rPr>
      </w:pPr>
    </w:p>
  </w:footnote>
  <w:footnote w:id="5">
    <w:p w14:paraId="48709062" w14:textId="77777777" w:rsidR="007B6FF0" w:rsidRPr="007B6FF0" w:rsidRDefault="007B6FF0" w:rsidP="007B6FF0">
      <w:pPr>
        <w:pStyle w:val="Textonotapie"/>
        <w:ind w:firstLine="708"/>
        <w:jc w:val="both"/>
        <w:rPr>
          <w:rFonts w:ascii="Verdana" w:hAnsi="Verdana" w:cs="Arial"/>
          <w:sz w:val="18"/>
          <w:szCs w:val="18"/>
        </w:rPr>
      </w:pPr>
      <w:r w:rsidRPr="007B6FF0">
        <w:rPr>
          <w:rStyle w:val="Refdenotaalpie"/>
          <w:rFonts w:ascii="Verdana" w:hAnsi="Verdana" w:cs="Arial"/>
          <w:sz w:val="18"/>
          <w:szCs w:val="18"/>
        </w:rPr>
        <w:footnoteRef/>
      </w:r>
      <w:r w:rsidRPr="007B6FF0">
        <w:rPr>
          <w:rFonts w:ascii="Verdana" w:hAnsi="Verdana" w:cs="Arial"/>
          <w:sz w:val="18"/>
          <w:szCs w:val="18"/>
        </w:rPr>
        <w:t xml:space="preserve"> Gaceta 096 de 2007. Pág. 9. Allí se lee: “Parágrafo 2°. Nuevo. Se adiciona un parágrafo nuevo para </w:t>
      </w:r>
      <w:r w:rsidRPr="007B6FF0">
        <w:rPr>
          <w:rFonts w:ascii="Verdana" w:hAnsi="Verdana" w:cs="Arial"/>
          <w:i/>
          <w:iCs/>
          <w:sz w:val="18"/>
          <w:szCs w:val="18"/>
        </w:rPr>
        <w:t>establecer de manera concreta</w:t>
      </w:r>
      <w:r w:rsidRPr="007B6FF0">
        <w:rPr>
          <w:rFonts w:ascii="Verdana" w:hAnsi="Verdana" w:cs="Arial"/>
          <w:sz w:val="18"/>
          <w:szCs w:val="18"/>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p w14:paraId="215FDFE3" w14:textId="77777777" w:rsidR="007B6FF0" w:rsidRPr="007B6FF0" w:rsidRDefault="007B6FF0" w:rsidP="007B6FF0">
      <w:pPr>
        <w:pStyle w:val="Textonotapie"/>
        <w:ind w:firstLine="708"/>
        <w:jc w:val="both"/>
        <w:rPr>
          <w:rFonts w:ascii="Verdana" w:hAnsi="Verdana" w:cs="Arial"/>
          <w:sz w:val="18"/>
          <w:szCs w:val="18"/>
          <w:lang w:val="es-ES"/>
        </w:rPr>
      </w:pPr>
    </w:p>
  </w:footnote>
  <w:footnote w:id="6">
    <w:p w14:paraId="761CCA99" w14:textId="77777777" w:rsidR="007B6FF0" w:rsidRPr="007B6FF0" w:rsidRDefault="007B6FF0" w:rsidP="007B6FF0">
      <w:pPr>
        <w:spacing w:after="0" w:line="240" w:lineRule="auto"/>
        <w:jc w:val="both"/>
        <w:rPr>
          <w:rFonts w:ascii="Verdana" w:hAnsi="Verdana" w:cs="Arial"/>
          <w:sz w:val="18"/>
          <w:szCs w:val="18"/>
          <w:lang w:eastAsia="es-CO"/>
        </w:rPr>
      </w:pPr>
      <w:r w:rsidRPr="007B6FF0">
        <w:rPr>
          <w:rFonts w:ascii="Verdana" w:hAnsi="Verdana" w:cs="Arial"/>
          <w:sz w:val="18"/>
          <w:szCs w:val="18"/>
        </w:rPr>
        <w:tab/>
      </w:r>
      <w:r w:rsidRPr="007B6FF0">
        <w:rPr>
          <w:rStyle w:val="Refdenotaalpie"/>
          <w:rFonts w:ascii="Verdana" w:hAnsi="Verdana" w:cs="Arial"/>
          <w:b/>
          <w:bCs/>
          <w:sz w:val="18"/>
          <w:szCs w:val="18"/>
        </w:rPr>
        <w:footnoteRef/>
      </w:r>
      <w:r w:rsidRPr="007B6FF0">
        <w:rPr>
          <w:rFonts w:ascii="Verdana" w:hAnsi="Verdana" w:cs="Arial"/>
          <w:b/>
          <w:bCs/>
          <w:sz w:val="18"/>
          <w:szCs w:val="18"/>
        </w:rPr>
        <w:t>“</w:t>
      </w:r>
      <w:r w:rsidRPr="007B6FF0">
        <w:rPr>
          <w:rStyle w:val="Fuerte"/>
          <w:rFonts w:ascii="Verdana" w:hAnsi="Verdana" w:cs="Arial"/>
          <w:b w:val="0"/>
          <w:bCs w:val="0"/>
          <w:color w:val="000000"/>
          <w:sz w:val="18"/>
          <w:szCs w:val="18"/>
        </w:rPr>
        <w:t>Artículo 2.2.1.1.1.5.3.</w:t>
      </w:r>
      <w:r w:rsidRPr="007B6FF0">
        <w:rPr>
          <w:rStyle w:val="Fuerte"/>
          <w:rFonts w:ascii="Verdana" w:hAnsi="Verdana" w:cs="Arial"/>
          <w:color w:val="000000"/>
          <w:sz w:val="18"/>
          <w:szCs w:val="18"/>
        </w:rPr>
        <w:t> </w:t>
      </w:r>
      <w:r w:rsidRPr="007B6FF0">
        <w:rPr>
          <w:rStyle w:val="nfasis"/>
          <w:rFonts w:ascii="Verdana" w:hAnsi="Verdana" w:cs="Arial"/>
          <w:color w:val="000000"/>
          <w:sz w:val="18"/>
          <w:szCs w:val="18"/>
        </w:rPr>
        <w:t>Requisitos habilitantes contenidos en el RUP. </w:t>
      </w:r>
      <w:r w:rsidRPr="007B6FF0">
        <w:rPr>
          <w:rFonts w:ascii="Verdana" w:hAnsi="Verdana" w:cs="Arial"/>
          <w:sz w:val="18"/>
          <w:szCs w:val="18"/>
        </w:rPr>
        <w:t>Las cámaras de comercio, con base en la información a la que hace referencia el artículo anterior, deben verificar y certificar los siguientes requisitos habilitantes: </w:t>
      </w:r>
    </w:p>
    <w:p w14:paraId="49954631" w14:textId="77777777" w:rsidR="007B6FF0" w:rsidRPr="007B6FF0" w:rsidRDefault="007B6FF0" w:rsidP="007B6FF0">
      <w:pPr>
        <w:spacing w:after="0" w:line="240" w:lineRule="auto"/>
        <w:jc w:val="both"/>
        <w:rPr>
          <w:rFonts w:ascii="Verdana" w:hAnsi="Verdana" w:cs="Arial"/>
          <w:sz w:val="18"/>
          <w:szCs w:val="18"/>
        </w:rPr>
      </w:pPr>
      <w:r w:rsidRPr="007B6FF0">
        <w:rPr>
          <w:rFonts w:ascii="Verdana" w:hAnsi="Verdana" w:cs="Arial"/>
          <w:sz w:val="18"/>
          <w:szCs w:val="18"/>
        </w:rPr>
        <w:t>  </w:t>
      </w:r>
      <w:r w:rsidRPr="007B6FF0">
        <w:rPr>
          <w:rFonts w:ascii="Verdana" w:hAnsi="Verdana" w:cs="Arial"/>
          <w:sz w:val="18"/>
          <w:szCs w:val="18"/>
        </w:rPr>
        <w:tab/>
        <w:t xml:space="preserve">1. Experiencia – Los contratos celebrados por el interesado para cada uno de los bienes, obras y servicios que ofrecerá a las Entidades Estatales, identificados con el Clasificador de Bienes y Servicios en el tercer nivel y su valor expresado en </w:t>
      </w:r>
      <w:r w:rsidRPr="007B6FF0">
        <w:rPr>
          <w:rFonts w:ascii="Verdana" w:hAnsi="Verdana" w:cs="Arial"/>
          <w:sz w:val="18"/>
          <w:szCs w:val="18"/>
        </w:rPr>
        <w:t>smmlv. </w:t>
      </w:r>
    </w:p>
    <w:p w14:paraId="7EB2B451" w14:textId="77777777" w:rsidR="007B6FF0" w:rsidRPr="007B6FF0" w:rsidRDefault="007B6FF0" w:rsidP="007B6FF0">
      <w:pPr>
        <w:spacing w:after="0" w:line="240" w:lineRule="auto"/>
        <w:jc w:val="both"/>
        <w:rPr>
          <w:rFonts w:ascii="Verdana" w:hAnsi="Verdana" w:cs="Arial"/>
          <w:sz w:val="18"/>
          <w:szCs w:val="18"/>
        </w:rPr>
      </w:pPr>
      <w:r w:rsidRPr="007B6FF0">
        <w:rPr>
          <w:rFonts w:ascii="Verdana" w:hAnsi="Verdana" w:cs="Arial"/>
          <w:sz w:val="18"/>
          <w:szCs w:val="18"/>
        </w:rPr>
        <w:t>  </w:t>
      </w:r>
      <w:r w:rsidRPr="007B6FF0">
        <w:rPr>
          <w:rFonts w:ascii="Verdana" w:hAnsi="Verdana" w:cs="Arial"/>
          <w:sz w:val="18"/>
          <w:szCs w:val="18"/>
        </w:rPr>
        <w:tab/>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14:paraId="28BC848F" w14:textId="77777777" w:rsidR="007B6FF0" w:rsidRPr="007B6FF0" w:rsidRDefault="007B6FF0" w:rsidP="007B6FF0">
      <w:pPr>
        <w:spacing w:after="0" w:line="240" w:lineRule="auto"/>
        <w:jc w:val="both"/>
        <w:rPr>
          <w:rFonts w:ascii="Verdana" w:hAnsi="Verdana" w:cs="Arial"/>
          <w:sz w:val="18"/>
          <w:szCs w:val="18"/>
        </w:rPr>
      </w:pPr>
      <w:r w:rsidRPr="007B6FF0">
        <w:rPr>
          <w:rFonts w:ascii="Verdana" w:hAnsi="Verdana" w:cs="Arial"/>
          <w:sz w:val="18"/>
          <w:szCs w:val="18"/>
        </w:rPr>
        <w:t>  </w:t>
      </w:r>
      <w:r w:rsidRPr="007B6FF0">
        <w:rPr>
          <w:rFonts w:ascii="Verdana" w:hAnsi="Verdana" w:cs="Arial"/>
          <w:sz w:val="18"/>
          <w:szCs w:val="18"/>
        </w:rPr>
        <w:tab/>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 </w:t>
      </w:r>
    </w:p>
    <w:p w14:paraId="6336229C" w14:textId="77777777" w:rsidR="007B6FF0" w:rsidRPr="007B6FF0" w:rsidRDefault="007B6FF0" w:rsidP="007B6FF0">
      <w:pPr>
        <w:spacing w:after="0" w:line="240" w:lineRule="auto"/>
        <w:jc w:val="both"/>
        <w:rPr>
          <w:rFonts w:ascii="Verdana" w:hAnsi="Verdana" w:cs="Arial"/>
          <w:sz w:val="18"/>
          <w:szCs w:val="18"/>
        </w:rPr>
      </w:pPr>
      <w:r w:rsidRPr="007B6FF0">
        <w:rPr>
          <w:rFonts w:ascii="Verdana" w:hAnsi="Verdana" w:cs="Arial"/>
          <w:sz w:val="18"/>
          <w:szCs w:val="18"/>
        </w:rPr>
        <w:t>  </w:t>
      </w:r>
      <w:r w:rsidRPr="007B6FF0">
        <w:rPr>
          <w:rFonts w:ascii="Verdana" w:hAnsi="Verdana" w:cs="Arial"/>
          <w:sz w:val="18"/>
          <w:szCs w:val="18"/>
        </w:rPr>
        <w:tab/>
        <w:t>3. Capacidad Financiera – los siguientes indicadores miden la fortaleza financiera del interesado: </w:t>
      </w:r>
    </w:p>
    <w:p w14:paraId="2EDAB182" w14:textId="77777777" w:rsidR="007B6FF0" w:rsidRPr="007B6FF0" w:rsidRDefault="007B6FF0" w:rsidP="007B6FF0">
      <w:pPr>
        <w:spacing w:after="0" w:line="240" w:lineRule="auto"/>
        <w:jc w:val="both"/>
        <w:rPr>
          <w:rFonts w:ascii="Verdana" w:hAnsi="Verdana" w:cs="Arial"/>
          <w:sz w:val="18"/>
          <w:szCs w:val="18"/>
        </w:rPr>
      </w:pPr>
      <w:r w:rsidRPr="007B6FF0">
        <w:rPr>
          <w:rFonts w:ascii="Verdana" w:hAnsi="Verdana" w:cs="Arial"/>
          <w:sz w:val="18"/>
          <w:szCs w:val="18"/>
        </w:rPr>
        <w:t>  </w:t>
      </w:r>
      <w:r w:rsidRPr="007B6FF0">
        <w:rPr>
          <w:rFonts w:ascii="Verdana" w:hAnsi="Verdana" w:cs="Arial"/>
          <w:sz w:val="18"/>
          <w:szCs w:val="18"/>
        </w:rPr>
        <w:tab/>
        <w:t>3.1. Índice de liquidez: activo corriente dividido por el pasivo corriente. </w:t>
      </w:r>
    </w:p>
    <w:p w14:paraId="16D8A537" w14:textId="77777777" w:rsidR="007B6FF0" w:rsidRPr="007B6FF0" w:rsidRDefault="007B6FF0" w:rsidP="007B6FF0">
      <w:pPr>
        <w:spacing w:after="0" w:line="240" w:lineRule="auto"/>
        <w:jc w:val="both"/>
        <w:rPr>
          <w:rFonts w:ascii="Verdana" w:hAnsi="Verdana" w:cs="Arial"/>
          <w:sz w:val="18"/>
          <w:szCs w:val="18"/>
        </w:rPr>
      </w:pPr>
      <w:r w:rsidRPr="007B6FF0">
        <w:rPr>
          <w:rFonts w:ascii="Verdana" w:hAnsi="Verdana" w:cs="Arial"/>
          <w:sz w:val="18"/>
          <w:szCs w:val="18"/>
        </w:rPr>
        <w:t>  </w:t>
      </w:r>
      <w:r w:rsidRPr="007B6FF0">
        <w:rPr>
          <w:rFonts w:ascii="Verdana" w:hAnsi="Verdana" w:cs="Arial"/>
          <w:sz w:val="18"/>
          <w:szCs w:val="18"/>
        </w:rPr>
        <w:tab/>
        <w:t>3.2. Índice de endeudamiento: pasivo total dividido por el activo total. </w:t>
      </w:r>
    </w:p>
    <w:p w14:paraId="1046F26B" w14:textId="77777777" w:rsidR="007B6FF0" w:rsidRPr="007B6FF0" w:rsidRDefault="007B6FF0" w:rsidP="007B6FF0">
      <w:pPr>
        <w:spacing w:after="0" w:line="240" w:lineRule="auto"/>
        <w:jc w:val="both"/>
        <w:rPr>
          <w:rFonts w:ascii="Verdana" w:hAnsi="Verdana" w:cs="Arial"/>
          <w:sz w:val="18"/>
          <w:szCs w:val="18"/>
        </w:rPr>
      </w:pPr>
      <w:r w:rsidRPr="007B6FF0">
        <w:rPr>
          <w:rFonts w:ascii="Verdana" w:hAnsi="Verdana" w:cs="Arial"/>
          <w:sz w:val="18"/>
          <w:szCs w:val="18"/>
        </w:rPr>
        <w:t>  </w:t>
      </w:r>
      <w:r w:rsidRPr="007B6FF0">
        <w:rPr>
          <w:rFonts w:ascii="Verdana" w:hAnsi="Verdana" w:cs="Arial"/>
          <w:sz w:val="18"/>
          <w:szCs w:val="18"/>
        </w:rPr>
        <w:tab/>
        <w:t>3.3. Razón de cobertura de intereses: utilidad operacional dividida por los gastos de intereses. </w:t>
      </w:r>
    </w:p>
    <w:p w14:paraId="0CCEB8A2" w14:textId="77777777" w:rsidR="007B6FF0" w:rsidRPr="007B6FF0" w:rsidRDefault="007B6FF0" w:rsidP="007B6FF0">
      <w:pPr>
        <w:spacing w:after="0" w:line="240" w:lineRule="auto"/>
        <w:jc w:val="both"/>
        <w:rPr>
          <w:rFonts w:ascii="Verdana" w:hAnsi="Verdana" w:cs="Arial"/>
          <w:sz w:val="18"/>
          <w:szCs w:val="18"/>
        </w:rPr>
      </w:pPr>
      <w:r w:rsidRPr="007B6FF0">
        <w:rPr>
          <w:rFonts w:ascii="Verdana" w:hAnsi="Verdana" w:cs="Arial"/>
          <w:sz w:val="18"/>
          <w:szCs w:val="18"/>
        </w:rPr>
        <w:t>  </w:t>
      </w:r>
      <w:r w:rsidRPr="007B6FF0">
        <w:rPr>
          <w:rFonts w:ascii="Verdana" w:hAnsi="Verdana" w:cs="Arial"/>
          <w:sz w:val="18"/>
          <w:szCs w:val="18"/>
        </w:rPr>
        <w:tab/>
        <w:t>4. Capacidad Organizacional – los siguientes indicadores miden el rendimiento de las inversiones y la eficiencia en el uso de activos del interesado: </w:t>
      </w:r>
    </w:p>
    <w:p w14:paraId="718DD672" w14:textId="77777777" w:rsidR="007B6FF0" w:rsidRPr="007B6FF0" w:rsidRDefault="007B6FF0" w:rsidP="007B6FF0">
      <w:pPr>
        <w:spacing w:after="0" w:line="240" w:lineRule="auto"/>
        <w:jc w:val="both"/>
        <w:rPr>
          <w:rFonts w:ascii="Verdana" w:hAnsi="Verdana" w:cs="Arial"/>
          <w:sz w:val="18"/>
          <w:szCs w:val="18"/>
        </w:rPr>
      </w:pPr>
      <w:r w:rsidRPr="007B6FF0">
        <w:rPr>
          <w:rFonts w:ascii="Verdana" w:hAnsi="Verdana" w:cs="Arial"/>
          <w:sz w:val="18"/>
          <w:szCs w:val="18"/>
        </w:rPr>
        <w:t>  </w:t>
      </w:r>
      <w:r w:rsidRPr="007B6FF0">
        <w:rPr>
          <w:rFonts w:ascii="Verdana" w:hAnsi="Verdana" w:cs="Arial"/>
          <w:sz w:val="18"/>
          <w:szCs w:val="18"/>
        </w:rPr>
        <w:tab/>
        <w:t>4.1. Rentabilidad del patrimonio: utilidad operacional dividida por el patrimonio. </w:t>
      </w:r>
    </w:p>
    <w:p w14:paraId="6968CB13" w14:textId="77777777" w:rsidR="007B6FF0" w:rsidRPr="007B6FF0" w:rsidRDefault="007B6FF0" w:rsidP="007B6FF0">
      <w:pPr>
        <w:spacing w:after="0" w:line="240" w:lineRule="auto"/>
        <w:jc w:val="both"/>
        <w:rPr>
          <w:rFonts w:ascii="Verdana" w:hAnsi="Verdana" w:cs="Arial"/>
          <w:sz w:val="18"/>
          <w:szCs w:val="18"/>
        </w:rPr>
      </w:pPr>
      <w:r w:rsidRPr="007B6FF0">
        <w:rPr>
          <w:rFonts w:ascii="Verdana" w:hAnsi="Verdana" w:cs="Arial"/>
          <w:sz w:val="18"/>
          <w:szCs w:val="18"/>
        </w:rPr>
        <w:t>  </w:t>
      </w:r>
      <w:r w:rsidRPr="007B6FF0">
        <w:rPr>
          <w:rFonts w:ascii="Verdana" w:hAnsi="Verdana" w:cs="Arial"/>
          <w:sz w:val="18"/>
          <w:szCs w:val="18"/>
        </w:rPr>
        <w:tab/>
        <w:t>4.2. Rentabilidad del activo: utilidad operacional dividida por el activo total”.  </w:t>
      </w:r>
    </w:p>
    <w:p w14:paraId="744374E3" w14:textId="77777777" w:rsidR="007B6FF0" w:rsidRPr="007B6FF0" w:rsidRDefault="007B6FF0" w:rsidP="007B6FF0">
      <w:pPr>
        <w:pStyle w:val="Textonotapie"/>
        <w:jc w:val="both"/>
        <w:rPr>
          <w:rFonts w:ascii="Verdana" w:hAnsi="Verdana" w:cs="Arial"/>
          <w:sz w:val="18"/>
          <w:szCs w:val="18"/>
        </w:rPr>
      </w:pPr>
      <w:r w:rsidRPr="007B6FF0">
        <w:rPr>
          <w:rFonts w:ascii="Verdana" w:hAnsi="Verdana" w:cs="Arial"/>
          <w:sz w:val="18"/>
          <w:szCs w:val="18"/>
        </w:rPr>
        <w:t xml:space="preserve"> </w:t>
      </w:r>
    </w:p>
  </w:footnote>
  <w:footnote w:id="7">
    <w:p w14:paraId="5AE81243" w14:textId="77777777" w:rsidR="007B6FF0" w:rsidRPr="007B6FF0" w:rsidRDefault="007B6FF0" w:rsidP="007B6FF0">
      <w:pPr>
        <w:pStyle w:val="Textonotapie"/>
        <w:ind w:firstLine="708"/>
        <w:jc w:val="both"/>
        <w:rPr>
          <w:rFonts w:ascii="Verdana" w:hAnsi="Verdana" w:cs="Arial"/>
          <w:sz w:val="18"/>
          <w:szCs w:val="18"/>
          <w:lang w:val="es-CO"/>
        </w:rPr>
      </w:pPr>
      <w:r w:rsidRPr="007B6FF0">
        <w:rPr>
          <w:rStyle w:val="Refdenotaalpie"/>
          <w:rFonts w:ascii="Verdana" w:hAnsi="Verdana" w:cs="Arial"/>
          <w:sz w:val="18"/>
          <w:szCs w:val="18"/>
        </w:rPr>
        <w:footnoteRef/>
      </w:r>
      <w:r w:rsidRPr="007B6FF0">
        <w:rPr>
          <w:rFonts w:ascii="Verdana" w:hAnsi="Verdana" w:cs="Arial"/>
          <w:sz w:val="18"/>
          <w:szCs w:val="18"/>
        </w:rPr>
        <w:t xml:space="preserve"> </w:t>
      </w:r>
      <w:r w:rsidRPr="007B6FF0">
        <w:rPr>
          <w:rFonts w:ascii="Verdana" w:hAnsi="Verdana" w:cs="Arial"/>
          <w:sz w:val="18"/>
          <w:szCs w:val="18"/>
          <w:lang w:val="es-CO"/>
        </w:rPr>
        <w:t xml:space="preserve">El Manual se encuentra disponible en el siguiente enlace: </w:t>
      </w:r>
      <w:hyperlink r:id="rId1" w:history="1">
        <w:r w:rsidRPr="007B6FF0">
          <w:rPr>
            <w:rStyle w:val="Hipervnculo"/>
            <w:rFonts w:ascii="Verdana" w:hAnsi="Verdana" w:cs="Arial"/>
            <w:sz w:val="18"/>
            <w:szCs w:val="18"/>
            <w:lang w:val="es-CO"/>
          </w:rPr>
          <w:t>https://www.colombiacompra.gov.co/sites/cce_public/files/cce_documents/cce_manual_requisitos_habilitantes.pdf</w:t>
        </w:r>
      </w:hyperlink>
      <w:r w:rsidRPr="007B6FF0">
        <w:rPr>
          <w:rFonts w:ascii="Verdana" w:hAnsi="Verdana" w:cs="Arial"/>
          <w:sz w:val="18"/>
          <w:szCs w:val="18"/>
          <w:lang w:val="es-CO"/>
        </w:rPr>
        <w:t xml:space="preserve"> </w:t>
      </w:r>
    </w:p>
    <w:p w14:paraId="14118077" w14:textId="77777777" w:rsidR="007B6FF0" w:rsidRPr="007B6FF0" w:rsidRDefault="007B6FF0" w:rsidP="007B6FF0">
      <w:pPr>
        <w:pStyle w:val="Textonotapie"/>
        <w:ind w:firstLine="708"/>
        <w:jc w:val="both"/>
        <w:rPr>
          <w:rFonts w:ascii="Verdana" w:hAnsi="Verdana" w:cs="Arial"/>
          <w:sz w:val="18"/>
          <w:szCs w:val="18"/>
          <w:lang w:val="es-CO"/>
        </w:rPr>
      </w:pPr>
    </w:p>
  </w:footnote>
  <w:footnote w:id="8">
    <w:p w14:paraId="7E7A0CD3" w14:textId="77777777" w:rsidR="007B6FF0" w:rsidRPr="007B6FF0" w:rsidRDefault="007B6FF0" w:rsidP="007B6FF0">
      <w:pPr>
        <w:pStyle w:val="Textonotapie"/>
        <w:jc w:val="both"/>
        <w:rPr>
          <w:rFonts w:ascii="Verdana" w:hAnsi="Verdana" w:cs="Arial"/>
          <w:sz w:val="18"/>
          <w:szCs w:val="18"/>
        </w:rPr>
      </w:pPr>
      <w:r w:rsidRPr="007B6FF0">
        <w:rPr>
          <w:rFonts w:ascii="Verdana" w:hAnsi="Verdana" w:cs="Arial"/>
          <w:sz w:val="18"/>
          <w:szCs w:val="18"/>
        </w:rPr>
        <w:tab/>
      </w:r>
      <w:r w:rsidRPr="007B6FF0">
        <w:rPr>
          <w:rStyle w:val="Refdenotaalpie"/>
          <w:rFonts w:ascii="Verdana" w:hAnsi="Verdana" w:cs="Arial"/>
          <w:sz w:val="18"/>
          <w:szCs w:val="18"/>
        </w:rPr>
        <w:footnoteRef/>
      </w:r>
      <w:r w:rsidRPr="007B6FF0">
        <w:rPr>
          <w:rFonts w:ascii="Verdana" w:hAnsi="Verdana" w:cs="Arial"/>
          <w:sz w:val="18"/>
          <w:szCs w:val="18"/>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9">
    <w:p w14:paraId="2B4AF250" w14:textId="77777777" w:rsidR="007B6FF0" w:rsidRPr="007B6FF0" w:rsidRDefault="007B6FF0" w:rsidP="007B6FF0">
      <w:pPr>
        <w:pStyle w:val="Textonotapie"/>
        <w:ind w:firstLine="708"/>
        <w:jc w:val="both"/>
        <w:rPr>
          <w:rFonts w:ascii="Verdana" w:hAnsi="Verdana"/>
          <w:sz w:val="18"/>
          <w:szCs w:val="18"/>
        </w:rPr>
      </w:pPr>
      <w:r w:rsidRPr="007B6FF0">
        <w:rPr>
          <w:rStyle w:val="Refdenotaalpie"/>
          <w:rFonts w:ascii="Verdana" w:hAnsi="Verdana"/>
          <w:sz w:val="18"/>
          <w:szCs w:val="18"/>
        </w:rPr>
        <w:footnoteRef/>
      </w:r>
      <w:r w:rsidRPr="007B6FF0">
        <w:rPr>
          <w:rFonts w:ascii="Verdana" w:hAnsi="Verdana"/>
          <w:sz w:val="18"/>
          <w:szCs w:val="18"/>
        </w:rPr>
        <w:t xml:space="preserve"> El artículo 4 de la Ley 1918 de 2018 establece que las entidades públicas y privadas deben verificar, con autorización del aspirante, que este no esté inscrito en el Registro de Inhabilidades por delitos sexuales contra menores de edad antes de contratarlo en aquellos empleos o contratos, donde exista un contacto directo y habitual con menores.</w:t>
      </w:r>
    </w:p>
    <w:p w14:paraId="753EC40C" w14:textId="77777777" w:rsidR="007B6FF0" w:rsidRPr="007B6FF0" w:rsidRDefault="007B6FF0" w:rsidP="007B6FF0">
      <w:pPr>
        <w:pStyle w:val="Textonotapie"/>
        <w:ind w:firstLine="708"/>
        <w:jc w:val="both"/>
        <w:rPr>
          <w:rFonts w:ascii="Verdana" w:hAnsi="Verdana"/>
          <w:sz w:val="18"/>
          <w:szCs w:val="18"/>
          <w:lang w:val="es-CO"/>
        </w:rPr>
      </w:pPr>
    </w:p>
  </w:footnote>
  <w:footnote w:id="10">
    <w:p w14:paraId="03F3EA2A" w14:textId="77777777" w:rsidR="007B6FF0" w:rsidRPr="007B6FF0" w:rsidRDefault="007B6FF0" w:rsidP="007B6FF0">
      <w:pPr>
        <w:pStyle w:val="Textonotapie"/>
        <w:ind w:firstLine="708"/>
        <w:jc w:val="both"/>
        <w:rPr>
          <w:rFonts w:ascii="Verdana" w:hAnsi="Verdana"/>
          <w:sz w:val="18"/>
          <w:szCs w:val="18"/>
          <w:lang w:val="es-CO"/>
        </w:rPr>
      </w:pPr>
      <w:r w:rsidRPr="007B6FF0">
        <w:rPr>
          <w:rStyle w:val="Refdenotaalpie"/>
          <w:rFonts w:ascii="Verdana" w:hAnsi="Verdana"/>
          <w:sz w:val="18"/>
          <w:szCs w:val="18"/>
        </w:rPr>
        <w:footnoteRef/>
      </w:r>
      <w:r w:rsidRPr="007B6FF0">
        <w:rPr>
          <w:rFonts w:ascii="Verdana" w:hAnsi="Verdana"/>
          <w:sz w:val="18"/>
          <w:szCs w:val="18"/>
        </w:rPr>
        <w:t xml:space="preserve"> La Ley Estatutaria 2097 de 2021 “Por medio de la cual se crea el Registro de Deudores Alimentarios Morosos (Redam) y se dictan otras disposiciones.”, además de crear el Registro de Deudores Alimentarios Morosos – en adelante REDAM –, estableció medidas para garantizar el cumplimiento de las obligaciones alimentarias. Conforme al artículo 6.1 ibidem, “El deudor alimentario moroso solo podrá contratar con el Estado una vez se ponga a paz y salvo con sus obligaciones alimentarias.</w:t>
      </w:r>
    </w:p>
  </w:footnote>
  <w:footnote w:id="11">
    <w:p w14:paraId="3F6AECA7"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r w:rsidRPr="007B6FF0">
        <w:rPr>
          <w:rFonts w:ascii="Verdana" w:hAnsi="Verdana" w:cs="Arial"/>
          <w:sz w:val="18"/>
          <w:szCs w:val="18"/>
          <w:vertAlign w:val="superscript"/>
        </w:rPr>
        <w:footnoteRef/>
      </w:r>
      <w:r w:rsidRPr="007B6FF0">
        <w:rPr>
          <w:rFonts w:ascii="Verdana" w:eastAsia="Arial" w:hAnsi="Verdana" w:cs="Arial"/>
          <w:color w:val="000000"/>
          <w:sz w:val="18"/>
          <w:szCs w:val="18"/>
        </w:rPr>
        <w:t xml:space="preserve"> Consejo de Estado. Sección Tercera, Subsección C. Sentencia del 26 de febrero de 2014. C.P. Enrique Gil Botero, Rad. 1999-00113-01 (25.804). </w:t>
      </w:r>
    </w:p>
    <w:p w14:paraId="0405A0A2"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p>
  </w:footnote>
  <w:footnote w:id="12">
    <w:p w14:paraId="66F011C9" w14:textId="77777777" w:rsidR="007B6FF0" w:rsidRPr="007B6FF0" w:rsidRDefault="007B6FF0" w:rsidP="007B6FF0">
      <w:pPr>
        <w:pStyle w:val="Textonotapie"/>
        <w:ind w:firstLine="708"/>
        <w:jc w:val="both"/>
        <w:rPr>
          <w:rFonts w:ascii="Verdana" w:hAnsi="Verdana"/>
          <w:sz w:val="18"/>
          <w:szCs w:val="18"/>
          <w:lang w:val="es-CO"/>
        </w:rPr>
      </w:pPr>
      <w:r w:rsidRPr="007B6FF0">
        <w:rPr>
          <w:rStyle w:val="Refdenotaalpie"/>
          <w:rFonts w:ascii="Verdana" w:hAnsi="Verdana"/>
          <w:sz w:val="18"/>
          <w:szCs w:val="18"/>
        </w:rPr>
        <w:footnoteRef/>
      </w:r>
      <w:r w:rsidRPr="007B6FF0">
        <w:rPr>
          <w:rFonts w:ascii="Verdana" w:hAnsi="Verdana"/>
          <w:sz w:val="18"/>
          <w:szCs w:val="18"/>
        </w:rPr>
        <w:t xml:space="preserve"> Este documento se encuentra disponible para su consulta </w:t>
      </w:r>
      <w:hyperlink r:id="rId2" w:history="1">
        <w:r w:rsidRPr="007B6FF0">
          <w:rPr>
            <w:rStyle w:val="Hipervnculo"/>
            <w:rFonts w:ascii="Verdana" w:hAnsi="Verdana"/>
            <w:sz w:val="18"/>
            <w:szCs w:val="18"/>
          </w:rPr>
          <w:t>aquí</w:t>
        </w:r>
      </w:hyperlink>
    </w:p>
  </w:footnote>
  <w:footnote w:id="13">
    <w:p w14:paraId="22E728EF"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r w:rsidRPr="007B6FF0">
        <w:rPr>
          <w:rFonts w:ascii="Verdana" w:hAnsi="Verdana" w:cs="Arial"/>
          <w:sz w:val="18"/>
          <w:szCs w:val="18"/>
          <w:vertAlign w:val="superscript"/>
        </w:rPr>
        <w:footnoteRef/>
      </w:r>
      <w:r w:rsidRPr="007B6FF0">
        <w:rPr>
          <w:rFonts w:ascii="Verdana" w:eastAsia="Arial" w:hAnsi="Verdana" w:cs="Arial"/>
          <w:color w:val="000000"/>
          <w:sz w:val="18"/>
          <w:szCs w:val="18"/>
          <w:vertAlign w:val="superscript"/>
        </w:rPr>
        <w:t xml:space="preserve"> </w:t>
      </w:r>
      <w:r w:rsidRPr="007B6FF0">
        <w:rPr>
          <w:rFonts w:ascii="Verdana" w:eastAsia="Arial" w:hAnsi="Verdana"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4">
    <w:p w14:paraId="191A154B" w14:textId="77777777" w:rsidR="007B6FF0" w:rsidRPr="007B6FF0" w:rsidRDefault="007B6FF0" w:rsidP="007B6FF0">
      <w:pPr>
        <w:spacing w:after="0"/>
        <w:ind w:firstLine="709"/>
        <w:jc w:val="both"/>
        <w:rPr>
          <w:rFonts w:ascii="Verdana" w:eastAsia="Arial" w:hAnsi="Verdana" w:cs="Arial"/>
          <w:color w:val="000000"/>
          <w:sz w:val="18"/>
          <w:szCs w:val="18"/>
        </w:rPr>
      </w:pPr>
      <w:r w:rsidRPr="007B6FF0">
        <w:rPr>
          <w:rFonts w:ascii="Verdana" w:hAnsi="Verdana" w:cs="Arial"/>
          <w:sz w:val="18"/>
          <w:szCs w:val="18"/>
          <w:vertAlign w:val="superscript"/>
        </w:rPr>
        <w:footnoteRef/>
      </w:r>
      <w:r w:rsidRPr="007B6FF0">
        <w:rPr>
          <w:rFonts w:ascii="Verdana" w:eastAsia="Arial" w:hAnsi="Verdana" w:cs="Arial"/>
          <w:color w:val="000000"/>
          <w:sz w:val="18"/>
          <w:szCs w:val="18"/>
        </w:rPr>
        <w:t xml:space="preserve"> Decreto 2474 de 2008 (DEROGADO): “art. 10. Reglas de </w:t>
      </w:r>
      <w:r w:rsidRPr="007B6FF0">
        <w:rPr>
          <w:rFonts w:ascii="Verdana" w:eastAsia="Arial" w:hAnsi="Verdana" w:cs="Arial"/>
          <w:color w:val="000000"/>
          <w:sz w:val="18"/>
          <w:szCs w:val="18"/>
        </w:rPr>
        <w:t>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3">
        <w:r w:rsidRPr="007B6FF0">
          <w:rPr>
            <w:rFonts w:ascii="Verdana" w:eastAsia="Arial" w:hAnsi="Verdana" w:cs="Arial"/>
            <w:color w:val="000000"/>
            <w:sz w:val="18"/>
            <w:szCs w:val="18"/>
          </w:rPr>
          <w:t>Ley 1150 de 2007</w:t>
        </w:r>
      </w:hyperlink>
      <w:r w:rsidRPr="007B6FF0">
        <w:rPr>
          <w:rFonts w:ascii="Verdana" w:eastAsia="Arial" w:hAnsi="Verdana" w:cs="Arial"/>
          <w:color w:val="000000"/>
          <w:sz w:val="18"/>
          <w:szCs w:val="18"/>
        </w:rPr>
        <w:t> y en el presente decreto.</w:t>
      </w:r>
    </w:p>
    <w:p w14:paraId="18AFA821" w14:textId="77777777" w:rsidR="007B6FF0" w:rsidRPr="007B6FF0" w:rsidRDefault="007B6FF0" w:rsidP="007B6FF0">
      <w:pPr>
        <w:spacing w:after="0"/>
        <w:ind w:firstLine="709"/>
        <w:jc w:val="both"/>
        <w:rPr>
          <w:rFonts w:ascii="Verdana" w:eastAsia="Arial" w:hAnsi="Verdana" w:cs="Arial"/>
          <w:color w:val="000000"/>
          <w:sz w:val="18"/>
          <w:szCs w:val="18"/>
        </w:rPr>
      </w:pPr>
      <w:r w:rsidRPr="007B6FF0">
        <w:rPr>
          <w:rFonts w:ascii="Verdana" w:eastAsia="Arial" w:hAnsi="Verdana" w:cs="Arial"/>
          <w:color w:val="000000"/>
          <w:sz w:val="18"/>
          <w:szCs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25D1B136" w14:textId="77777777" w:rsidR="007B6FF0" w:rsidRPr="007B6FF0" w:rsidRDefault="007B6FF0" w:rsidP="007B6FF0">
      <w:pPr>
        <w:spacing w:after="0"/>
        <w:ind w:firstLine="709"/>
        <w:jc w:val="both"/>
        <w:rPr>
          <w:rFonts w:ascii="Verdana" w:eastAsia="Arial" w:hAnsi="Verdana" w:cs="Arial"/>
          <w:color w:val="000000"/>
          <w:sz w:val="18"/>
          <w:szCs w:val="18"/>
        </w:rPr>
      </w:pPr>
      <w:r w:rsidRPr="007B6FF0">
        <w:rPr>
          <w:rFonts w:ascii="Verdana" w:eastAsia="Arial" w:hAnsi="Verdana" w:cs="Arial"/>
          <w:color w:val="000000"/>
          <w:sz w:val="18"/>
          <w:szCs w:val="18"/>
        </w:rPr>
        <w:t>Será rechazada la oferta del proponente que dentro del término previsto en el pliego o en la solicitud, no responda al requerimiento que le haga la entidad para subsanarla.</w:t>
      </w:r>
    </w:p>
    <w:p w14:paraId="7888396F" w14:textId="77777777" w:rsidR="007B6FF0" w:rsidRPr="007B6FF0" w:rsidRDefault="007B6FF0" w:rsidP="007B6FF0">
      <w:pPr>
        <w:spacing w:after="0"/>
        <w:ind w:firstLine="709"/>
        <w:jc w:val="both"/>
        <w:rPr>
          <w:rFonts w:ascii="Verdana" w:eastAsia="Arial" w:hAnsi="Verdana" w:cs="Arial"/>
          <w:color w:val="000000"/>
          <w:sz w:val="18"/>
          <w:szCs w:val="18"/>
        </w:rPr>
      </w:pPr>
      <w:r w:rsidRPr="007B6FF0">
        <w:rPr>
          <w:rFonts w:ascii="Verdana" w:eastAsia="Arial" w:hAnsi="Verdana" w:cs="Arial"/>
          <w:color w:val="000000"/>
          <w:sz w:val="18"/>
          <w:szCs w:val="18"/>
        </w:rPr>
        <w:t>Cuando se utilice el mecanismo de subasta esta posibilidad deberá ejercerse hasta el momento previo a su realización, de conformidad con el artículo 22 del presente decreto.</w:t>
      </w:r>
    </w:p>
    <w:p w14:paraId="1D1048D8" w14:textId="77777777" w:rsidR="007B6FF0" w:rsidRPr="007B6FF0" w:rsidRDefault="007B6FF0" w:rsidP="007B6FF0">
      <w:pPr>
        <w:spacing w:after="0"/>
        <w:ind w:firstLine="709"/>
        <w:jc w:val="both"/>
        <w:rPr>
          <w:rFonts w:ascii="Verdana" w:eastAsia="Arial" w:hAnsi="Verdana" w:cs="Arial"/>
          <w:color w:val="000000"/>
          <w:sz w:val="18"/>
          <w:szCs w:val="18"/>
        </w:rPr>
      </w:pPr>
      <w:r w:rsidRPr="007B6FF0">
        <w:rPr>
          <w:rFonts w:ascii="Verdana" w:eastAsia="Arial" w:hAnsi="Verdana" w:cs="Arial"/>
          <w:color w:val="000000"/>
          <w:sz w:val="18"/>
          <w:szCs w:val="18"/>
        </w:rPr>
        <w:t xml:space="preserve">En ningún caso la entidad podrá señalar taxativamente los requisitos o documentos subsanables o no subsanables en el pliego de condiciones, </w:t>
      </w:r>
      <w:r w:rsidRPr="007B6FF0">
        <w:rPr>
          <w:rFonts w:ascii="Verdana" w:eastAsia="Arial" w:hAnsi="Verdana" w:cs="Arial"/>
          <w:i/>
          <w:color w:val="000000"/>
          <w:sz w:val="18"/>
          <w:szCs w:val="18"/>
        </w:rPr>
        <w:t>ni permitir que se subsane la falta de capacidad para presentar la oferta, ni que se acrediten circunstancias ocurridas con posterioridad al cierre del proceso</w:t>
      </w:r>
      <w:r w:rsidRPr="007B6FF0">
        <w:rPr>
          <w:rFonts w:ascii="Verdana" w:eastAsia="Arial" w:hAnsi="Verdana" w:cs="Arial"/>
          <w:color w:val="000000"/>
          <w:sz w:val="18"/>
          <w:szCs w:val="18"/>
        </w:rPr>
        <w:t xml:space="preserve">”. (Cursivas fuera de texto). </w:t>
      </w:r>
    </w:p>
  </w:footnote>
  <w:footnote w:id="15">
    <w:p w14:paraId="14C74124"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p>
    <w:p w14:paraId="3B1ABE2C"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r w:rsidRPr="007B6FF0">
        <w:rPr>
          <w:rFonts w:ascii="Verdana" w:hAnsi="Verdana" w:cs="Arial"/>
          <w:sz w:val="18"/>
          <w:szCs w:val="18"/>
          <w:vertAlign w:val="superscript"/>
        </w:rPr>
        <w:footnoteRef/>
      </w:r>
      <w:r w:rsidRPr="007B6FF0">
        <w:rPr>
          <w:rFonts w:ascii="Verdana" w:eastAsia="Arial" w:hAnsi="Verdana" w:cs="Arial"/>
          <w:color w:val="000000"/>
          <w:sz w:val="18"/>
          <w:szCs w:val="18"/>
        </w:rPr>
        <w:t xml:space="preserve"> Consejo de Estado, Sala de Consulta y Servicio Civil, concepto del 6 de noviembre de 2008. C.P. William Zambrano Cetina. Rad. 2008-00079-00(1927).</w:t>
      </w:r>
    </w:p>
  </w:footnote>
  <w:footnote w:id="16">
    <w:p w14:paraId="0BFE6B64"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p>
    <w:p w14:paraId="3A6A80CB"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r w:rsidRPr="007B6FF0">
        <w:rPr>
          <w:rFonts w:ascii="Verdana" w:hAnsi="Verdana" w:cs="Arial"/>
          <w:sz w:val="18"/>
          <w:szCs w:val="18"/>
          <w:vertAlign w:val="superscript"/>
        </w:rPr>
        <w:footnoteRef/>
      </w:r>
      <w:r w:rsidRPr="007B6FF0">
        <w:rPr>
          <w:rFonts w:ascii="Verdana" w:eastAsia="Arial" w:hAnsi="Verdana" w:cs="Arial"/>
          <w:color w:val="000000"/>
          <w:sz w:val="18"/>
          <w:szCs w:val="18"/>
        </w:rPr>
        <w:t xml:space="preserve"> Consejo de Estado, Sección Tercera, Subsección C. Sentencia del 26 de febrero de 2011. C.P. Jaime Orlando Santofimio. Rad. 36.408.  </w:t>
      </w:r>
    </w:p>
  </w:footnote>
  <w:footnote w:id="17">
    <w:p w14:paraId="22DBBEB2"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p>
    <w:p w14:paraId="632F690F"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r w:rsidRPr="007B6FF0">
        <w:rPr>
          <w:rFonts w:ascii="Verdana" w:hAnsi="Verdana" w:cs="Arial"/>
          <w:sz w:val="18"/>
          <w:szCs w:val="18"/>
          <w:vertAlign w:val="superscript"/>
        </w:rPr>
        <w:footnoteRef/>
      </w:r>
      <w:r w:rsidRPr="007B6FF0">
        <w:rPr>
          <w:rFonts w:ascii="Verdana" w:eastAsia="Arial" w:hAnsi="Verdana" w:cs="Arial"/>
          <w:color w:val="000000"/>
          <w:sz w:val="18"/>
          <w:szCs w:val="18"/>
        </w:rPr>
        <w:t xml:space="preserve"> Consejo de Estado, Sección Tercera, Subsección C. Sentencia del 26 de febrero de 2014. C.P. Enrique Gil Botero. Rad. 25.804.  </w:t>
      </w:r>
    </w:p>
  </w:footnote>
  <w:footnote w:id="18">
    <w:p w14:paraId="2CDE5FB5"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r w:rsidRPr="007B6FF0">
        <w:rPr>
          <w:rFonts w:ascii="Verdana" w:hAnsi="Verdana" w:cs="Arial"/>
          <w:sz w:val="18"/>
          <w:szCs w:val="18"/>
          <w:vertAlign w:val="superscript"/>
        </w:rPr>
        <w:footnoteRef/>
      </w:r>
      <w:r w:rsidRPr="007B6FF0">
        <w:rPr>
          <w:rFonts w:ascii="Verdana" w:eastAsia="Arial" w:hAnsi="Verdana" w:cs="Arial"/>
          <w:color w:val="000000"/>
          <w:sz w:val="18"/>
          <w:szCs w:val="18"/>
        </w:rPr>
        <w:t xml:space="preserve"> Consejo de Estado, Sala de Consulta y Servicio Civil, concepto del 20 de mayo de 2010. C.P. Enrique José Arboleda Perdomo. Rad. 2010-00034-00(1992).</w:t>
      </w:r>
    </w:p>
    <w:p w14:paraId="6A0A74E0" w14:textId="77777777" w:rsidR="007B6FF0" w:rsidRPr="007B6FF0" w:rsidRDefault="007B6FF0" w:rsidP="007B6FF0">
      <w:pPr>
        <w:pBdr>
          <w:top w:val="nil"/>
          <w:left w:val="nil"/>
          <w:bottom w:val="nil"/>
          <w:right w:val="nil"/>
          <w:between w:val="nil"/>
        </w:pBdr>
        <w:spacing w:after="0"/>
        <w:ind w:firstLine="709"/>
        <w:jc w:val="both"/>
        <w:rPr>
          <w:rFonts w:ascii="Verdana" w:eastAsia="Arial" w:hAnsi="Verdana" w:cs="Arial"/>
          <w:color w:val="000000"/>
          <w:sz w:val="18"/>
          <w:szCs w:val="18"/>
        </w:rPr>
      </w:pPr>
    </w:p>
  </w:footnote>
  <w:footnote w:id="19">
    <w:p w14:paraId="2E329236" w14:textId="77777777" w:rsidR="007B6FF0" w:rsidRPr="007B6FF0" w:rsidRDefault="007B6FF0" w:rsidP="007B6FF0">
      <w:pPr>
        <w:pStyle w:val="Textonotapie"/>
        <w:ind w:firstLine="708"/>
        <w:jc w:val="both"/>
        <w:rPr>
          <w:rFonts w:ascii="Verdana" w:hAnsi="Verdana" w:cs="Arial"/>
          <w:sz w:val="18"/>
          <w:szCs w:val="18"/>
        </w:rPr>
      </w:pPr>
      <w:r w:rsidRPr="007B6FF0">
        <w:rPr>
          <w:rStyle w:val="Refdenotaalpie"/>
          <w:rFonts w:ascii="Verdana" w:hAnsi="Verdana" w:cs="Arial"/>
          <w:sz w:val="18"/>
          <w:szCs w:val="18"/>
        </w:rPr>
        <w:footnoteRef/>
      </w:r>
      <w:r w:rsidRPr="007B6FF0">
        <w:rPr>
          <w:rFonts w:ascii="Verdana" w:hAnsi="Verdana" w:cs="Arial"/>
          <w:sz w:val="18"/>
          <w:szCs w:val="18"/>
        </w:rPr>
        <w:t xml:space="preserve"> COMADIRA, Julio Rodolfo. La licitación pública como procedimiento administrativo especial: protección jurídica al oferente. En: El procedimiento administrativo y el control judicial de la administración pública. Madrid: Instituto Nacional de Administración Pública, 2001. pp. 305-307.</w:t>
      </w:r>
    </w:p>
  </w:footnote>
  <w:footnote w:id="20">
    <w:p w14:paraId="651FFD7A" w14:textId="77777777" w:rsidR="007B6FF0" w:rsidRPr="007B6FF0" w:rsidRDefault="007B6FF0" w:rsidP="007B6FF0">
      <w:pPr>
        <w:pStyle w:val="Textonotapie"/>
        <w:ind w:firstLine="708"/>
        <w:jc w:val="both"/>
        <w:rPr>
          <w:rFonts w:ascii="Verdana" w:hAnsi="Verdana"/>
          <w:sz w:val="18"/>
          <w:szCs w:val="18"/>
        </w:rPr>
      </w:pPr>
      <w:r w:rsidRPr="007B6FF0">
        <w:rPr>
          <w:rStyle w:val="Refdenotaalpie"/>
          <w:rFonts w:ascii="Verdana" w:hAnsi="Verdana"/>
          <w:sz w:val="18"/>
          <w:szCs w:val="18"/>
        </w:rPr>
        <w:footnoteRef/>
      </w:r>
      <w:r w:rsidRPr="007B6FF0">
        <w:rPr>
          <w:rFonts w:ascii="Verdana" w:hAnsi="Verdana"/>
          <w:sz w:val="18"/>
          <w:szCs w:val="18"/>
        </w:rPr>
        <w:t xml:space="preserve"> CONSEJO DE ESTADO. Sección Tercera. Subsección A. Sentencia del 14 de marzo de 2013. Rad. 24059. C.P. Mauricio Fajardo Gómez.</w:t>
      </w:r>
    </w:p>
  </w:footnote>
  <w:footnote w:id="21">
    <w:p w14:paraId="174C25B0" w14:textId="77777777" w:rsidR="007B6FF0" w:rsidRPr="007B6FF0" w:rsidRDefault="007B6FF0" w:rsidP="007B6FF0">
      <w:pPr>
        <w:pStyle w:val="Textonotapie"/>
        <w:ind w:firstLine="708"/>
        <w:jc w:val="both"/>
        <w:rPr>
          <w:rFonts w:ascii="Verdana" w:hAnsi="Verdana"/>
          <w:sz w:val="18"/>
          <w:szCs w:val="18"/>
        </w:rPr>
      </w:pPr>
      <w:r w:rsidRPr="007B6FF0">
        <w:rPr>
          <w:rStyle w:val="Refdenotaalpie"/>
          <w:rFonts w:ascii="Verdana" w:hAnsi="Verdana"/>
          <w:sz w:val="18"/>
          <w:szCs w:val="18"/>
        </w:rPr>
        <w:footnoteRef/>
      </w:r>
      <w:r w:rsidRPr="007B6FF0">
        <w:rPr>
          <w:rFonts w:ascii="Verdana" w:hAnsi="Verdana"/>
          <w:sz w:val="18"/>
          <w:szCs w:val="18"/>
        </w:rPr>
        <w:t xml:space="preserve"> PINO RICCI, Jorge. El régimen jurídico de los contratos estatales. Bogotá: Universidad externado de Colombia, 2005. Pp. 305-306. Como explica la jurisprudencia, “[…] la administración no tiene la facultad discrecional para declarar a su arbitrio desierta la licitación, decisión que sólo resulta procedente cuando medien causales y circunstancias contempladas en las normas, por cuanto, como ya se anotó, la facultad de adjudicar o no un contrato estatal es </w:t>
      </w:r>
      <w:r w:rsidRPr="007B6FF0">
        <w:rPr>
          <w:rFonts w:ascii="Verdana" w:hAnsi="Verdana"/>
          <w:sz w:val="18"/>
          <w:szCs w:val="18"/>
        </w:rPr>
        <w:t xml:space="preserve">reglada. No cualquier hecho conduce a la declaratoria de desierta de una licitación, sino que es menester que el mismo impida la selección objetiva de la propuesta dentro del marco dispuesto por el ordenamiento jurídico” (CONSEJO DE ESTADO. Sección Tercera. Sentencia 27 de abril de 2011. Rad. 28293. CP. Ruth Stella Correa Palacio).  </w:t>
      </w:r>
    </w:p>
  </w:footnote>
  <w:footnote w:id="22">
    <w:p w14:paraId="5F4E87C9" w14:textId="77777777" w:rsidR="007B6FF0" w:rsidRPr="007B6FF0" w:rsidRDefault="007B6FF0" w:rsidP="007B6FF0">
      <w:pPr>
        <w:pStyle w:val="Textonotapie"/>
        <w:ind w:firstLine="708"/>
        <w:jc w:val="both"/>
        <w:rPr>
          <w:rFonts w:ascii="Verdana" w:hAnsi="Verdana" w:cs="Arial"/>
          <w:sz w:val="18"/>
          <w:szCs w:val="18"/>
        </w:rPr>
      </w:pPr>
      <w:r w:rsidRPr="007B6FF0">
        <w:rPr>
          <w:rStyle w:val="Refdenotaalpie"/>
          <w:rFonts w:ascii="Verdana" w:hAnsi="Verdana" w:cs="Arial"/>
          <w:sz w:val="18"/>
          <w:szCs w:val="18"/>
        </w:rPr>
        <w:footnoteRef/>
      </w:r>
      <w:r w:rsidRPr="007B6FF0">
        <w:rPr>
          <w:rFonts w:ascii="Verdana" w:hAnsi="Verdana" w:cs="Arial"/>
          <w:sz w:val="18"/>
          <w:szCs w:val="18"/>
        </w:rPr>
        <w:t xml:space="preserve"> Mientras que los conceptos determinados “[…] delimitan el ámbito de realidad al que se refieren de una manera precisa e inequívoca […]”, en los indeterminados “[…] La Ley no determina con exactitud los límites de esos conceptos porque se trata de conceptos que no admiten una cuantificación o determinación rigurosas, pero en todo caso es manifiesto que se está refiriendo a un supuesto de la realidad que, no obstante la indeterminación del concepto, admite ser precisado en el momento de la aplicación […]” (GARCÍA DE ENTERRÍA, Eduardo y FERNÁNDEZ, Tomás Ramón. Curso de derecho administrativo. Tomo I. Vigésima edición. Madrid: </w:t>
      </w:r>
      <w:r w:rsidRPr="007B6FF0">
        <w:rPr>
          <w:rFonts w:ascii="Verdana" w:hAnsi="Verdana" w:cs="Arial"/>
          <w:sz w:val="18"/>
          <w:szCs w:val="18"/>
        </w:rPr>
        <w:t xml:space="preserve">Civitas, 2022. Libro es formato EPUB). En esta perspectiva, “[…] el proceso de constatación de si un concepto jurídico indeterminado se cumple o no se cumple, no puede ser nunca un proceso volitivo de discrecionalidad o de libertad, sino un proceso de juicio o de estimación, que ha atenerse, necesariamente, por una parte a la circunstancias reales que ha calificarse, por otra, al sentido jurídico preciso que la Ley ha asignado, con la intención de que la solución posible sea sólo una, al concepto indeterminado que su precepto emplea. Justamente por eso, el proceso de aplicación de conceptos jurídicamente indeterminados es un proceso reglado […], porque no admite más que una solución justa […]” (GARCÍA DE ENTERRÍA, Eduardo. La lucha contra las inmunidades del poder en el derecho administrativo. Madrid: Civitas. 1989. pp. 36-38).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3632E" w14:textId="77777777" w:rsidR="007B6FF0" w:rsidRDefault="007B6FF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DC4DDD4" wp14:editId="447EDD9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207BFF3" wp14:editId="0E5B9BC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9F0BACC" w14:textId="77777777" w:rsidR="007B6FF0" w:rsidRDefault="007B6FF0">
    <w:pPr>
      <w:pStyle w:val="Encabezado"/>
    </w:pPr>
  </w:p>
  <w:p w14:paraId="633AEAD7" w14:textId="77777777" w:rsidR="007B6FF0" w:rsidRPr="004A305D" w:rsidRDefault="007B6FF0" w:rsidP="00B01B1A">
    <w:pPr>
      <w:spacing w:after="0" w:line="120" w:lineRule="auto"/>
      <w:rPr>
        <w:rFonts w:ascii="Century Gothic" w:eastAsia="Geo" w:hAnsi="Century Gothic" w:cs="Geo"/>
        <w:sz w:val="16"/>
        <w:szCs w:val="16"/>
        <w:lang w:eastAsia="es-CO"/>
      </w:rPr>
    </w:pPr>
  </w:p>
  <w:p w14:paraId="665025ED" w14:textId="77777777" w:rsidR="007B6FF0" w:rsidRDefault="007B6FF0" w:rsidP="00844AE9">
    <w:pPr>
      <w:spacing w:after="0" w:line="240" w:lineRule="auto"/>
      <w:rPr>
        <w:rFonts w:ascii="Verdana" w:hAnsi="Verdana"/>
        <w:sz w:val="24"/>
        <w:szCs w:val="24"/>
      </w:rPr>
    </w:pPr>
  </w:p>
  <w:p w14:paraId="2BCBDD8D" w14:textId="77777777" w:rsidR="007B6FF0" w:rsidRPr="00C925AC" w:rsidRDefault="007B6FF0" w:rsidP="00844AE9">
    <w:pPr>
      <w:spacing w:after="0" w:line="240" w:lineRule="auto"/>
      <w:rPr>
        <w:rFonts w:ascii="Verdana" w:hAnsi="Verdana"/>
        <w:sz w:val="24"/>
        <w:szCs w:val="24"/>
      </w:rPr>
    </w:pPr>
  </w:p>
  <w:p w14:paraId="46FF25A4" w14:textId="77777777" w:rsidR="007B6FF0" w:rsidRPr="00C925AC" w:rsidRDefault="007B6FF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FF0"/>
    <w:rsid w:val="007B6FF0"/>
    <w:rsid w:val="007C7389"/>
    <w:rsid w:val="008F2C12"/>
    <w:rsid w:val="00A23D52"/>
    <w:rsid w:val="00A74325"/>
    <w:rsid w:val="00B0434A"/>
    <w:rsid w:val="00B32EA5"/>
    <w:rsid w:val="00BC4397"/>
    <w:rsid w:val="00EE6C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E5FCC"/>
  <w15:chartTrackingRefBased/>
  <w15:docId w15:val="{C7CF4472-24A1-4DFA-8B47-164808303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F0"/>
    <w:pPr>
      <w:spacing w:line="259" w:lineRule="auto"/>
    </w:pPr>
    <w:rPr>
      <w:kern w:val="0"/>
      <w:sz w:val="22"/>
      <w:szCs w:val="22"/>
      <w14:ligatures w14:val="none"/>
    </w:rPr>
  </w:style>
  <w:style w:type="paragraph" w:styleId="Ttulo1">
    <w:name w:val="heading 1"/>
    <w:basedOn w:val="Normal"/>
    <w:next w:val="Normal"/>
    <w:link w:val="Ttulo1Car"/>
    <w:uiPriority w:val="9"/>
    <w:qFormat/>
    <w:rsid w:val="007B6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B6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B6F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B6F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B6F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B6F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6F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6F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6FF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6F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6F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6F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6F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6F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6F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6F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6F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6FF0"/>
    <w:rPr>
      <w:rFonts w:eastAsiaTheme="majorEastAsia" w:cstheme="majorBidi"/>
      <w:color w:val="272727" w:themeColor="text1" w:themeTint="D8"/>
    </w:rPr>
  </w:style>
  <w:style w:type="paragraph" w:styleId="Ttulo">
    <w:name w:val="Title"/>
    <w:basedOn w:val="Normal"/>
    <w:next w:val="Normal"/>
    <w:link w:val="TtuloCar"/>
    <w:uiPriority w:val="10"/>
    <w:qFormat/>
    <w:rsid w:val="007B6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6F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6F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6F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6FF0"/>
    <w:pPr>
      <w:spacing w:before="160"/>
      <w:jc w:val="center"/>
    </w:pPr>
    <w:rPr>
      <w:i/>
      <w:iCs/>
      <w:color w:val="404040" w:themeColor="text1" w:themeTint="BF"/>
    </w:rPr>
  </w:style>
  <w:style w:type="character" w:customStyle="1" w:styleId="CitaCar">
    <w:name w:val="Cita Car"/>
    <w:basedOn w:val="Fuentedeprrafopredeter"/>
    <w:link w:val="Cita"/>
    <w:uiPriority w:val="29"/>
    <w:rsid w:val="007B6FF0"/>
    <w:rPr>
      <w:i/>
      <w:iCs/>
      <w:color w:val="404040" w:themeColor="text1" w:themeTint="BF"/>
    </w:rPr>
  </w:style>
  <w:style w:type="paragraph" w:styleId="Prrafodelista">
    <w:name w:val="List Paragraph"/>
    <w:basedOn w:val="Normal"/>
    <w:uiPriority w:val="34"/>
    <w:qFormat/>
    <w:rsid w:val="007B6FF0"/>
    <w:pPr>
      <w:ind w:left="720"/>
      <w:contextualSpacing/>
    </w:pPr>
  </w:style>
  <w:style w:type="character" w:styleId="nfasisintenso">
    <w:name w:val="Intense Emphasis"/>
    <w:basedOn w:val="Fuentedeprrafopredeter"/>
    <w:uiPriority w:val="21"/>
    <w:qFormat/>
    <w:rsid w:val="007B6FF0"/>
    <w:rPr>
      <w:i/>
      <w:iCs/>
      <w:color w:val="0F4761" w:themeColor="accent1" w:themeShade="BF"/>
    </w:rPr>
  </w:style>
  <w:style w:type="paragraph" w:styleId="Citadestacada">
    <w:name w:val="Intense Quote"/>
    <w:basedOn w:val="Normal"/>
    <w:next w:val="Normal"/>
    <w:link w:val="CitadestacadaCar"/>
    <w:uiPriority w:val="30"/>
    <w:qFormat/>
    <w:rsid w:val="007B6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6FF0"/>
    <w:rPr>
      <w:i/>
      <w:iCs/>
      <w:color w:val="0F4761" w:themeColor="accent1" w:themeShade="BF"/>
    </w:rPr>
  </w:style>
  <w:style w:type="character" w:styleId="Referenciaintensa">
    <w:name w:val="Intense Reference"/>
    <w:basedOn w:val="Fuentedeprrafopredeter"/>
    <w:uiPriority w:val="32"/>
    <w:qFormat/>
    <w:rsid w:val="007B6FF0"/>
    <w:rPr>
      <w:b/>
      <w:bCs/>
      <w:smallCaps/>
      <w:color w:val="0F4761" w:themeColor="accent1" w:themeShade="BF"/>
      <w:spacing w:val="5"/>
    </w:rPr>
  </w:style>
  <w:style w:type="paragraph" w:styleId="Encabezado">
    <w:name w:val="header"/>
    <w:basedOn w:val="Normal"/>
    <w:link w:val="EncabezadoCar"/>
    <w:uiPriority w:val="99"/>
    <w:unhideWhenUsed/>
    <w:rsid w:val="007B6F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6FF0"/>
    <w:rPr>
      <w:kern w:val="0"/>
      <w:sz w:val="22"/>
      <w:szCs w:val="22"/>
      <w14:ligatures w14:val="none"/>
    </w:rPr>
  </w:style>
  <w:style w:type="paragraph" w:styleId="Piedepgina">
    <w:name w:val="footer"/>
    <w:basedOn w:val="Normal"/>
    <w:link w:val="PiedepginaCar"/>
    <w:uiPriority w:val="99"/>
    <w:unhideWhenUsed/>
    <w:rsid w:val="007B6F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6FF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6FF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7B6FF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B6FF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B6FF0"/>
    <w:rPr>
      <w:vertAlign w:val="superscript"/>
    </w:rPr>
  </w:style>
  <w:style w:type="character" w:customStyle="1" w:styleId="normaltextrun">
    <w:name w:val="normaltextrun"/>
    <w:basedOn w:val="Fuentedeprrafopredeter"/>
    <w:rsid w:val="007B6FF0"/>
  </w:style>
  <w:style w:type="table" w:styleId="Tablaconcuadrcula">
    <w:name w:val="Table Grid"/>
    <w:basedOn w:val="Tablanormal"/>
    <w:uiPriority w:val="39"/>
    <w:qFormat/>
    <w:rsid w:val="007B6F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B6FF0"/>
    <w:rPr>
      <w:color w:val="0000FF"/>
      <w:u w:val="single"/>
    </w:rPr>
  </w:style>
  <w:style w:type="paragraph" w:styleId="NormalWeb">
    <w:name w:val="Normal (Web)"/>
    <w:basedOn w:val="Normal"/>
    <w:uiPriority w:val="99"/>
    <w:semiHidden/>
    <w:unhideWhenUsed/>
    <w:rsid w:val="007B6FF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7B6FF0"/>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7B6F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7B6FF0"/>
    <w:rPr>
      <w:b/>
      <w:bCs/>
    </w:rPr>
  </w:style>
  <w:style w:type="character" w:styleId="nfasis">
    <w:name w:val="Emphasis"/>
    <w:basedOn w:val="Fuentedeprrafopredeter"/>
    <w:uiPriority w:val="20"/>
    <w:qFormat/>
    <w:rsid w:val="007B6F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 TargetMode="External"/><Relationship Id="rId5" Type="http://schemas.openxmlformats.org/officeDocument/2006/relationships/styles" Target="styles.xml"/><Relationship Id="rId15" Type="http://schemas.openxmlformats.org/officeDocument/2006/relationships/hyperlink" Target="https://www.colombiacompra.gov.co/archivos/boletin/boletin-edicion-n-3-de-2026-radar-de-la-compra-publica"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lexbase.biz/lexbase/normas/leyes/2007/L1150de2007.htm" TargetMode="External"/><Relationship Id="rId2" Type="http://schemas.openxmlformats.org/officeDocument/2006/relationships/hyperlink" Target="https://www.colombiacompra.gov.co/normativa-y-relatoria/circular-unica-externa" TargetMode="External"/><Relationship Id="rId1"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106262-F393-4535-A3C4-458A13E3B35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3BAEFC08-7200-431F-BFBF-E5465D6022FD}">
  <ds:schemaRefs>
    <ds:schemaRef ds:uri="http://schemas.microsoft.com/sharepoint/v3/contenttype/forms"/>
  </ds:schemaRefs>
</ds:datastoreItem>
</file>

<file path=customXml/itemProps3.xml><?xml version="1.0" encoding="utf-8"?>
<ds:datastoreItem xmlns:ds="http://schemas.openxmlformats.org/officeDocument/2006/customXml" ds:itemID="{A3BFF2C6-19CA-46F3-AB51-53C7BD166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29</Pages>
  <Words>10312</Words>
  <Characters>56720</Characters>
  <Application>Microsoft Office Word</Application>
  <DocSecurity>0</DocSecurity>
  <Lines>472</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2026-09-07T15:12:00Z</dcterms:created>
  <dcterms:modified xsi:type="dcterms:W3CDTF">2026-09-07T15:12:00Z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