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29379" w14:textId="11365699" w:rsidR="00DA119C" w:rsidRDefault="00DA119C" w:rsidP="00AC2CE1">
      <w:pPr>
        <w:spacing w:after="0" w:line="240" w:lineRule="auto"/>
        <w:jc w:val="both"/>
        <w:rPr>
          <w:rFonts w:ascii="Verdana" w:eastAsia="Times New Roman" w:hAnsi="Verdana" w:cs="Arial"/>
          <w:b/>
          <w:bCs/>
          <w:lang w:val="es-ES" w:eastAsia="es-ES"/>
        </w:rPr>
      </w:pPr>
      <w:r w:rsidRPr="00DA119C">
        <w:rPr>
          <w:rFonts w:ascii="Verdana" w:eastAsia="Times New Roman" w:hAnsi="Verdana" w:cs="Arial"/>
          <w:b/>
          <w:bCs/>
          <w:lang w:val="es-ES" w:eastAsia="es-ES"/>
        </w:rPr>
        <w:t>INHABILIDADES E INCOMPATIBILIDADES – Concepto</w:t>
      </w:r>
      <w:r w:rsidRPr="00DA119C">
        <w:rPr>
          <w:rFonts w:ascii="Verdana" w:eastAsia="Times New Roman" w:hAnsi="Verdana" w:cs="Arial"/>
          <w:b/>
          <w:bCs/>
          <w:lang w:val="es-ES" w:eastAsia="es-ES"/>
        </w:rPr>
        <w:t xml:space="preserve"> </w:t>
      </w:r>
    </w:p>
    <w:p w14:paraId="6C72F939" w14:textId="77777777" w:rsidR="00DA119C" w:rsidRPr="00DC4B8E" w:rsidRDefault="00DA119C" w:rsidP="00DA119C">
      <w:pPr>
        <w:spacing w:after="0" w:line="240" w:lineRule="auto"/>
        <w:rPr>
          <w:rFonts w:ascii="Verdana" w:eastAsia="Geomanist Light" w:hAnsi="Verdana" w:cs="Arial"/>
          <w:b/>
          <w:bCs/>
          <w:sz w:val="20"/>
          <w:szCs w:val="20"/>
          <w:lang w:val="es-ES"/>
        </w:rPr>
      </w:pPr>
    </w:p>
    <w:p w14:paraId="11D00169" w14:textId="77777777" w:rsidR="00DA119C" w:rsidRDefault="00DA119C" w:rsidP="00DA119C">
      <w:pPr>
        <w:spacing w:after="0" w:line="240" w:lineRule="auto"/>
        <w:jc w:val="both"/>
        <w:rPr>
          <w:rFonts w:ascii="Verdana" w:eastAsia="Calibri" w:hAnsi="Verdana" w:cs="Arial"/>
          <w:sz w:val="20"/>
          <w:szCs w:val="20"/>
          <w:lang w:val="es-ES"/>
        </w:rPr>
      </w:pPr>
      <w:r w:rsidRPr="00DC4B8E">
        <w:rPr>
          <w:rFonts w:ascii="Verdana" w:eastAsia="Calibri" w:hAnsi="Verdana" w:cs="Arial"/>
          <w:sz w:val="20"/>
          <w:szCs w:val="20"/>
          <w:lang w:val="es-ES"/>
        </w:rPr>
        <w:t>[…] las inhabilidades son circunstancias establecidas por la Constitución o en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w:t>
      </w:r>
    </w:p>
    <w:p w14:paraId="255F0B7C" w14:textId="77777777" w:rsidR="003B5846" w:rsidRDefault="003B5846" w:rsidP="00DA119C">
      <w:pPr>
        <w:spacing w:after="0" w:line="240" w:lineRule="auto"/>
        <w:jc w:val="both"/>
        <w:rPr>
          <w:rFonts w:ascii="Verdana" w:eastAsia="Calibri" w:hAnsi="Verdana" w:cs="Arial"/>
          <w:sz w:val="20"/>
          <w:szCs w:val="20"/>
          <w:lang w:val="es-ES"/>
        </w:rPr>
      </w:pPr>
    </w:p>
    <w:p w14:paraId="54CC903E" w14:textId="389CC549" w:rsidR="003B5846" w:rsidRPr="003B5846" w:rsidRDefault="003B5846" w:rsidP="00DA119C">
      <w:pPr>
        <w:spacing w:after="0" w:line="240" w:lineRule="auto"/>
        <w:jc w:val="both"/>
        <w:rPr>
          <w:rFonts w:ascii="Verdana" w:eastAsia="Calibri" w:hAnsi="Verdana" w:cs="Arial"/>
          <w:b/>
          <w:bCs/>
          <w:sz w:val="20"/>
          <w:szCs w:val="20"/>
          <w:lang w:val="es-ES"/>
        </w:rPr>
      </w:pPr>
      <w:r w:rsidRPr="003B5846">
        <w:rPr>
          <w:rFonts w:ascii="Verdana" w:eastAsia="Times New Roman" w:hAnsi="Verdana" w:cs="Arial"/>
          <w:b/>
          <w:bCs/>
          <w:lang w:val="es-ES" w:eastAsia="es-ES"/>
        </w:rPr>
        <w:t>INHABILIDADES E INCOMPATIBILIDADES - Principio de legalidad – Interpretación restrictiva</w:t>
      </w:r>
      <w:r w:rsidRPr="003B5846">
        <w:rPr>
          <w:rFonts w:ascii="Verdana" w:eastAsia="Times New Roman" w:hAnsi="Verdana" w:cs="Arial"/>
          <w:b/>
          <w:bCs/>
          <w:lang w:val="es-ES" w:eastAsia="es-ES"/>
        </w:rPr>
        <w:t xml:space="preserve"> </w:t>
      </w:r>
    </w:p>
    <w:p w14:paraId="3C0FCD16" w14:textId="77777777" w:rsidR="00DA119C" w:rsidRPr="00DA119C" w:rsidRDefault="00DA119C" w:rsidP="00AC2CE1">
      <w:pPr>
        <w:spacing w:after="0" w:line="240" w:lineRule="auto"/>
        <w:jc w:val="both"/>
        <w:rPr>
          <w:rFonts w:ascii="Verdana" w:eastAsia="Times New Roman" w:hAnsi="Verdana" w:cs="Arial"/>
          <w:b/>
          <w:bCs/>
          <w:lang w:val="es-ES" w:eastAsia="es-ES"/>
        </w:rPr>
      </w:pPr>
    </w:p>
    <w:p w14:paraId="1D90C480" w14:textId="77777777" w:rsidR="003B5846" w:rsidRPr="00DC4B8E" w:rsidRDefault="003B5846" w:rsidP="003B5846">
      <w:pPr>
        <w:spacing w:after="0" w:line="240" w:lineRule="auto"/>
        <w:jc w:val="both"/>
        <w:rPr>
          <w:rFonts w:ascii="Verdana" w:eastAsia="Calibri" w:hAnsi="Verdana" w:cs="Arial"/>
          <w:sz w:val="20"/>
          <w:szCs w:val="20"/>
          <w:lang w:val="es-ES"/>
        </w:rPr>
      </w:pPr>
      <w:r w:rsidRPr="00DC4B8E">
        <w:rPr>
          <w:rFonts w:ascii="Verdana" w:eastAsia="Calibri" w:hAnsi="Verdana" w:cs="Arial"/>
          <w:sz w:val="20"/>
          <w:szCs w:val="20"/>
          <w:lang w:val="es-ES"/>
        </w:rPr>
        <w:t>[..] las inhabilidades e incompatibilidades –como ya se dijo– al ser restricciones o límites especiales a la capacidad para presentar ofertas y celebrar contratos estatales, solo pueden tipificarse en la ley –o sea, deben satisfacer el principio de legalidad– y su interpretación debe ser restrictiva, pues si se admitiera una interpretación amplia, extensiva o finalista de las mismas, tales enunciados normativos podrían contemplar múltiples supuestos indeterminados, según el parecer o el sentido común de los operadores jurídicos, poniendo en riesgo principios como la igualdad, el debido proceso, la libre concurrencia y el ejercicio de la profesión u oficio.</w:t>
      </w:r>
    </w:p>
    <w:p w14:paraId="55CF11A1" w14:textId="77777777" w:rsidR="003B5846" w:rsidRPr="00DC4B8E" w:rsidRDefault="003B5846" w:rsidP="003B5846">
      <w:pPr>
        <w:spacing w:after="0" w:line="240" w:lineRule="auto"/>
        <w:jc w:val="both"/>
        <w:rPr>
          <w:rFonts w:ascii="Verdana" w:eastAsia="Calibri" w:hAnsi="Verdana" w:cs="Arial"/>
          <w:sz w:val="20"/>
          <w:szCs w:val="20"/>
          <w:lang w:val="es-ES"/>
        </w:rPr>
      </w:pPr>
    </w:p>
    <w:p w14:paraId="03E43C80" w14:textId="77777777" w:rsidR="003B5846" w:rsidRPr="00DC4B8E" w:rsidRDefault="003B5846" w:rsidP="003B5846">
      <w:pPr>
        <w:spacing w:after="0" w:line="240" w:lineRule="auto"/>
        <w:jc w:val="both"/>
        <w:rPr>
          <w:rFonts w:ascii="Verdana" w:eastAsia="Calibri" w:hAnsi="Verdana" w:cs="Arial"/>
          <w:sz w:val="20"/>
          <w:szCs w:val="20"/>
          <w:lang w:val="es-ES"/>
        </w:rPr>
      </w:pPr>
      <w:r w:rsidRPr="00DC4B8E">
        <w:rPr>
          <w:rFonts w:ascii="Verdana" w:eastAsia="Calibri" w:hAnsi="Verdana" w:cs="Arial"/>
          <w:sz w:val="20"/>
          <w:szCs w:val="20"/>
          <w:lang w:val="es-ES"/>
        </w:rPr>
        <w:t xml:space="preserve">[…] el principio pro </w:t>
      </w:r>
      <w:proofErr w:type="spellStart"/>
      <w:r w:rsidRPr="00DC4B8E">
        <w:rPr>
          <w:rFonts w:ascii="Verdana" w:eastAsia="Calibri" w:hAnsi="Verdana" w:cs="Arial"/>
          <w:sz w:val="20"/>
          <w:szCs w:val="20"/>
          <w:lang w:val="es-ES"/>
        </w:rPr>
        <w:t>libertate</w:t>
      </w:r>
      <w:proofErr w:type="spellEnd"/>
      <w:r w:rsidRPr="00DC4B8E">
        <w:rPr>
          <w:rFonts w:ascii="Verdana" w:eastAsia="Calibri" w:hAnsi="Verdana" w:cs="Arial"/>
          <w:sz w:val="20"/>
          <w:szCs w:val="20"/>
          <w:lang w:val="es-ES"/>
        </w:rPr>
        <w:t xml:space="preserve"> es el que debe dirigir la interpretación de las disposiciones normativas que consagran restricciones de derechos, como sucede con las causales de inhabilidad e incompatibilidad en la contratación estatal. Por lo tanto, no es posible llevar a cabo la interpretación extensiva de estas, debiendo preferirse aquella que menos limita el derecho de las personas, salvaguardando el interés general en la contratación pública de manera que implique el menor sacrificio posible al derecho de igualdad.</w:t>
      </w:r>
    </w:p>
    <w:p w14:paraId="076F5079" w14:textId="77777777" w:rsidR="00DA119C" w:rsidRDefault="00DA119C" w:rsidP="00AC2CE1">
      <w:pPr>
        <w:spacing w:after="0" w:line="240" w:lineRule="auto"/>
        <w:jc w:val="both"/>
        <w:rPr>
          <w:rFonts w:ascii="Verdana" w:hAnsi="Verdana"/>
          <w:lang w:val="es-ES"/>
        </w:rPr>
      </w:pPr>
    </w:p>
    <w:p w14:paraId="59581635" w14:textId="2358DEF9" w:rsidR="003B5846" w:rsidRPr="003B5846" w:rsidRDefault="003B5846" w:rsidP="00AC2CE1">
      <w:pPr>
        <w:spacing w:after="0" w:line="240" w:lineRule="auto"/>
        <w:jc w:val="both"/>
        <w:rPr>
          <w:rFonts w:ascii="Verdana" w:hAnsi="Verdana"/>
          <w:b/>
          <w:bCs/>
          <w:lang w:val="es-ES"/>
        </w:rPr>
      </w:pPr>
      <w:r w:rsidRPr="003B5846">
        <w:rPr>
          <w:rFonts w:ascii="Verdana" w:eastAsia="Times New Roman" w:hAnsi="Verdana" w:cs="Arial"/>
          <w:b/>
          <w:bCs/>
          <w:lang w:val="es-ES" w:eastAsia="es-ES"/>
        </w:rPr>
        <w:t>INHABILIDADES E INCOMPATIBILIDADES – Ley 80 de 1993 – Numeral 2, literal C) –</w:t>
      </w:r>
      <w:r w:rsidRPr="003B5846">
        <w:rPr>
          <w:rFonts w:ascii="Verdana" w:hAnsi="Verdana"/>
          <w:b/>
          <w:bCs/>
          <w:lang w:val="es-ES"/>
        </w:rPr>
        <w:t xml:space="preserve"> Alcance</w:t>
      </w:r>
    </w:p>
    <w:p w14:paraId="46A0DEF7" w14:textId="77777777" w:rsidR="00DA119C" w:rsidRDefault="00DA119C" w:rsidP="00AC2CE1">
      <w:pPr>
        <w:spacing w:after="0" w:line="240" w:lineRule="auto"/>
        <w:jc w:val="both"/>
        <w:rPr>
          <w:rFonts w:ascii="Verdana" w:hAnsi="Verdana"/>
        </w:rPr>
      </w:pPr>
    </w:p>
    <w:p w14:paraId="62F2672A" w14:textId="4A34777D" w:rsidR="003B5846" w:rsidRPr="003B5846" w:rsidRDefault="003B5846" w:rsidP="003B5846">
      <w:pPr>
        <w:widowControl w:val="0"/>
        <w:autoSpaceDE w:val="0"/>
        <w:autoSpaceDN w:val="0"/>
        <w:spacing w:after="120" w:line="276" w:lineRule="auto"/>
        <w:jc w:val="both"/>
        <w:rPr>
          <w:rFonts w:ascii="Verdana" w:eastAsia="Arial MT" w:hAnsi="Verdana" w:cs="Arial"/>
          <w:sz w:val="20"/>
          <w:szCs w:val="20"/>
          <w:lang w:eastAsia="es-ES" w:bidi="es-ES"/>
        </w:rPr>
      </w:pPr>
      <w:r w:rsidRPr="00DC4B8E">
        <w:rPr>
          <w:rFonts w:ascii="Verdana" w:eastAsia="Calibri" w:hAnsi="Verdana" w:cs="Arial"/>
          <w:sz w:val="20"/>
          <w:szCs w:val="20"/>
          <w:lang w:val="es-ES"/>
        </w:rPr>
        <w:t>[…]</w:t>
      </w:r>
      <w:r w:rsidRPr="003B5846">
        <w:rPr>
          <w:rFonts w:ascii="Verdana" w:eastAsia="Arial MT" w:hAnsi="Verdana" w:cs="Arial"/>
          <w:sz w:val="20"/>
          <w:szCs w:val="20"/>
          <w:lang w:eastAsia="es-ES" w:bidi="es-ES"/>
        </w:rPr>
        <w:t>el alcance del literal c) del de otras causales que el propio artículo 8 establece expresamente un ámbito diferente. Por ejemplo, el literal e) dispone de manera expresa que la incompatibilidad de los miembros de juntas o consejos directivos se predica de la entidad a la cual prestan sus servicios y de las entidades del sector administrativo al que esta se encuentre adscrita o vinculada. Esta previsión demuestra que cuando el legislador quiso extender una incompatibilidad más allá de la entidad directamente involucrada, lo hizo de manera expresa. Por ello, no resulta procedente trasladar ese alcance al literal c).</w:t>
      </w:r>
    </w:p>
    <w:p w14:paraId="7D44A441" w14:textId="42701598" w:rsidR="006362CC" w:rsidRDefault="003B5846" w:rsidP="003B5846">
      <w:pPr>
        <w:widowControl w:val="0"/>
        <w:autoSpaceDE w:val="0"/>
        <w:autoSpaceDN w:val="0"/>
        <w:spacing w:after="120" w:line="276" w:lineRule="auto"/>
        <w:jc w:val="both"/>
        <w:rPr>
          <w:rFonts w:ascii="Verdana" w:eastAsia="Arial MT" w:hAnsi="Verdana" w:cs="Arial"/>
          <w:sz w:val="20"/>
          <w:szCs w:val="20"/>
          <w:lang w:eastAsia="es-ES" w:bidi="es-ES"/>
        </w:rPr>
      </w:pPr>
      <w:r w:rsidRPr="003B5846">
        <w:rPr>
          <w:rFonts w:ascii="Verdana" w:eastAsia="Arial MT" w:hAnsi="Verdana" w:cs="Arial"/>
          <w:sz w:val="20"/>
          <w:szCs w:val="20"/>
          <w:lang w:eastAsia="es-ES" w:bidi="es-ES"/>
        </w:rPr>
        <w:t>En consecuencia, para determinar si se configura la incompatibilidad del literal c), debe verificarse, entre otros aspectos, la existencia de una relación entre (i) el servidor público que ostenta la calidad prevista en la norma, (</w:t>
      </w:r>
      <w:proofErr w:type="spellStart"/>
      <w:r w:rsidRPr="003B5846">
        <w:rPr>
          <w:rFonts w:ascii="Verdana" w:eastAsia="Arial MT" w:hAnsi="Verdana" w:cs="Arial"/>
          <w:sz w:val="20"/>
          <w:szCs w:val="20"/>
          <w:lang w:eastAsia="es-ES" w:bidi="es-ES"/>
        </w:rPr>
        <w:t>ii</w:t>
      </w:r>
      <w:proofErr w:type="spellEnd"/>
      <w:r w:rsidRPr="003B5846">
        <w:rPr>
          <w:rFonts w:ascii="Verdana" w:eastAsia="Arial MT" w:hAnsi="Verdana" w:cs="Arial"/>
          <w:sz w:val="20"/>
          <w:szCs w:val="20"/>
          <w:lang w:eastAsia="es-ES" w:bidi="es-ES"/>
        </w:rPr>
        <w:t>) la entidad en la que ejerce dicha función y (</w:t>
      </w:r>
      <w:proofErr w:type="spellStart"/>
      <w:r w:rsidRPr="003B5846">
        <w:rPr>
          <w:rFonts w:ascii="Verdana" w:eastAsia="Arial MT" w:hAnsi="Verdana" w:cs="Arial"/>
          <w:sz w:val="20"/>
          <w:szCs w:val="20"/>
          <w:lang w:eastAsia="es-ES" w:bidi="es-ES"/>
        </w:rPr>
        <w:t>iii</w:t>
      </w:r>
      <w:proofErr w:type="spellEnd"/>
      <w:r w:rsidRPr="003B5846">
        <w:rPr>
          <w:rFonts w:ascii="Verdana" w:eastAsia="Arial MT" w:hAnsi="Verdana" w:cs="Arial"/>
          <w:sz w:val="20"/>
          <w:szCs w:val="20"/>
          <w:lang w:eastAsia="es-ES" w:bidi="es-ES"/>
        </w:rPr>
        <w:t xml:space="preserve">) la entidad con la cual el cónyuge, compañero o compañera permanente pretende contratar. Si la contratación se pretende realizar con una entidad estatal diferente, en </w:t>
      </w:r>
      <w:r w:rsidRPr="003B5846">
        <w:rPr>
          <w:rFonts w:ascii="Verdana" w:eastAsia="Arial MT" w:hAnsi="Verdana" w:cs="Arial"/>
          <w:sz w:val="20"/>
          <w:szCs w:val="20"/>
          <w:lang w:eastAsia="es-ES" w:bidi="es-ES"/>
        </w:rPr>
        <w:lastRenderedPageBreak/>
        <w:t>principio, no se configura la incompatibilidad prevista en el literal c) por ese solo hecho.</w:t>
      </w:r>
    </w:p>
    <w:p w14:paraId="613ADF96" w14:textId="678708F9" w:rsidR="006362CC" w:rsidRDefault="006362CC" w:rsidP="006362CC">
      <w:pPr>
        <w:jc w:val="both"/>
        <w:textAlignment w:val="baseline"/>
        <w:rPr>
          <w:rFonts w:ascii="Verdana" w:eastAsia="Times New Roman" w:hAnsi="Verdana" w:cs="Arial"/>
          <w:b/>
          <w:bCs/>
          <w:lang w:val="es-ES" w:eastAsia="es-ES"/>
        </w:rPr>
      </w:pPr>
      <w:r w:rsidRPr="006362CC">
        <w:rPr>
          <w:rFonts w:ascii="Verdana" w:eastAsia="Times New Roman" w:hAnsi="Verdana" w:cs="Arial"/>
          <w:b/>
          <w:bCs/>
          <w:lang w:val="es-ES" w:eastAsia="es-ES"/>
        </w:rPr>
        <w:t>/ INHABILIDADES E INCOMPATIBILIDADES – Ley 80 de 1993 – Numeral 2 – Entidad respectiva – Alcance</w:t>
      </w:r>
      <w:r w:rsidRPr="006362CC">
        <w:rPr>
          <w:rFonts w:ascii="Verdana" w:eastAsia="Times New Roman" w:hAnsi="Verdana" w:cs="Arial"/>
          <w:b/>
          <w:bCs/>
          <w:lang w:val="es-ES" w:eastAsia="es-ES"/>
        </w:rPr>
        <w:t xml:space="preserve"> </w:t>
      </w:r>
    </w:p>
    <w:p w14:paraId="753FC750" w14:textId="6D4201A1" w:rsidR="006362CC" w:rsidRPr="006362CC" w:rsidRDefault="006362CC" w:rsidP="006362CC">
      <w:pPr>
        <w:jc w:val="both"/>
        <w:textAlignment w:val="baseline"/>
        <w:rPr>
          <w:rFonts w:ascii="Verdana" w:eastAsia="Times New Roman" w:hAnsi="Verdana" w:cs="Arial"/>
          <w:b/>
          <w:bCs/>
          <w:sz w:val="20"/>
          <w:szCs w:val="20"/>
          <w:lang w:val="es-ES" w:eastAsia="es-ES"/>
        </w:rPr>
      </w:pPr>
      <w:r w:rsidRPr="006362CC">
        <w:rPr>
          <w:rFonts w:ascii="Verdana" w:eastAsia="Arial MT" w:hAnsi="Verdana" w:cs="Arial"/>
          <w:sz w:val="20"/>
          <w:szCs w:val="20"/>
          <w:lang w:eastAsia="es-ES" w:bidi="es-ES"/>
        </w:rPr>
        <w:t>E</w:t>
      </w:r>
      <w:r w:rsidRPr="006362CC">
        <w:rPr>
          <w:rFonts w:ascii="Verdana" w:eastAsia="Arial MT" w:hAnsi="Verdana" w:cs="Arial"/>
          <w:sz w:val="20"/>
          <w:szCs w:val="20"/>
          <w:lang w:eastAsia="es-ES" w:bidi="es-ES"/>
        </w:rPr>
        <w:t>l numeral 2 del artículo 8 establece que determinadas personas no podrán participar en procesos de selección ni celebrar contratos estatales “con la entidad respectiva”. Particularmente, el literal c) señala como sujeto de la prohibición al cónyuge, compañero o compañera permanente del servidor público de los niveles directivo, asesor o ejecutivo, de un miembro de junta o consejo directivo, o de quien ejerza funciones de control interno o de control fiscal.</w:t>
      </w:r>
    </w:p>
    <w:p w14:paraId="358F9B05" w14:textId="77777777" w:rsidR="006362CC" w:rsidRPr="006362CC" w:rsidRDefault="006362CC" w:rsidP="003B5846">
      <w:pPr>
        <w:widowControl w:val="0"/>
        <w:autoSpaceDE w:val="0"/>
        <w:autoSpaceDN w:val="0"/>
        <w:spacing w:after="120" w:line="276" w:lineRule="auto"/>
        <w:jc w:val="both"/>
        <w:rPr>
          <w:rFonts w:ascii="Verdana" w:eastAsia="Arial MT" w:hAnsi="Verdana" w:cs="Arial"/>
          <w:sz w:val="20"/>
          <w:szCs w:val="20"/>
          <w:lang w:val="es-ES" w:eastAsia="es-ES" w:bidi="es-ES"/>
        </w:rPr>
      </w:pPr>
    </w:p>
    <w:p w14:paraId="7F0E4ECF" w14:textId="77777777" w:rsidR="003B5846" w:rsidRDefault="003B5846" w:rsidP="00AC2CE1">
      <w:pPr>
        <w:spacing w:after="0" w:line="240" w:lineRule="auto"/>
        <w:jc w:val="both"/>
        <w:rPr>
          <w:rFonts w:ascii="Verdana" w:hAnsi="Verdana"/>
        </w:rPr>
      </w:pPr>
    </w:p>
    <w:p w14:paraId="3EEBB692" w14:textId="77777777" w:rsidR="00DA119C" w:rsidRDefault="00DA119C" w:rsidP="00AC2CE1">
      <w:pPr>
        <w:spacing w:after="0" w:line="240" w:lineRule="auto"/>
        <w:jc w:val="both"/>
        <w:rPr>
          <w:rFonts w:ascii="Verdana" w:hAnsi="Verdana"/>
        </w:rPr>
      </w:pPr>
    </w:p>
    <w:p w14:paraId="555C3B76" w14:textId="77777777" w:rsidR="00DA119C" w:rsidRDefault="00DA119C" w:rsidP="00AC2CE1">
      <w:pPr>
        <w:spacing w:after="0" w:line="240" w:lineRule="auto"/>
        <w:jc w:val="both"/>
        <w:rPr>
          <w:rFonts w:ascii="Verdana" w:hAnsi="Verdana"/>
        </w:rPr>
      </w:pPr>
    </w:p>
    <w:p w14:paraId="1FADA953" w14:textId="77777777" w:rsidR="00DA119C" w:rsidRDefault="00DA119C" w:rsidP="00AC2CE1">
      <w:pPr>
        <w:spacing w:after="0" w:line="240" w:lineRule="auto"/>
        <w:jc w:val="both"/>
        <w:rPr>
          <w:rFonts w:ascii="Verdana" w:hAnsi="Verdana"/>
        </w:rPr>
      </w:pPr>
    </w:p>
    <w:p w14:paraId="5CF2FF00" w14:textId="77777777" w:rsidR="00DA119C" w:rsidRDefault="00DA119C" w:rsidP="00AC2CE1">
      <w:pPr>
        <w:spacing w:after="0" w:line="240" w:lineRule="auto"/>
        <w:jc w:val="both"/>
        <w:rPr>
          <w:rFonts w:ascii="Verdana" w:hAnsi="Verdana"/>
        </w:rPr>
      </w:pPr>
    </w:p>
    <w:p w14:paraId="7B937953" w14:textId="77777777" w:rsidR="00DA119C" w:rsidRDefault="00DA119C" w:rsidP="00AC2CE1">
      <w:pPr>
        <w:spacing w:after="0" w:line="240" w:lineRule="auto"/>
        <w:jc w:val="both"/>
        <w:rPr>
          <w:rFonts w:ascii="Verdana" w:hAnsi="Verdana"/>
        </w:rPr>
      </w:pPr>
    </w:p>
    <w:p w14:paraId="64685039" w14:textId="77777777" w:rsidR="00DA119C" w:rsidRDefault="00DA119C" w:rsidP="00AC2CE1">
      <w:pPr>
        <w:spacing w:after="0" w:line="240" w:lineRule="auto"/>
        <w:jc w:val="both"/>
        <w:rPr>
          <w:rFonts w:ascii="Verdana" w:hAnsi="Verdana"/>
        </w:rPr>
      </w:pPr>
    </w:p>
    <w:p w14:paraId="2A08F5C3" w14:textId="77777777" w:rsidR="00DA119C" w:rsidRDefault="00DA119C" w:rsidP="00AC2CE1">
      <w:pPr>
        <w:spacing w:after="0" w:line="240" w:lineRule="auto"/>
        <w:jc w:val="both"/>
        <w:rPr>
          <w:rFonts w:ascii="Verdana" w:hAnsi="Verdana"/>
        </w:rPr>
      </w:pPr>
    </w:p>
    <w:p w14:paraId="1F97BC4F" w14:textId="77777777" w:rsidR="00DA119C" w:rsidRDefault="00DA119C" w:rsidP="00AC2CE1">
      <w:pPr>
        <w:spacing w:after="0" w:line="240" w:lineRule="auto"/>
        <w:jc w:val="both"/>
        <w:rPr>
          <w:rFonts w:ascii="Verdana" w:hAnsi="Verdana"/>
        </w:rPr>
      </w:pPr>
    </w:p>
    <w:p w14:paraId="3308C440" w14:textId="77777777" w:rsidR="00DA119C" w:rsidRDefault="00DA119C" w:rsidP="00AC2CE1">
      <w:pPr>
        <w:spacing w:after="0" w:line="240" w:lineRule="auto"/>
        <w:jc w:val="both"/>
        <w:rPr>
          <w:rFonts w:ascii="Verdana" w:hAnsi="Verdana"/>
        </w:rPr>
      </w:pPr>
    </w:p>
    <w:p w14:paraId="097FC3FA" w14:textId="77777777" w:rsidR="00DA119C" w:rsidRDefault="00DA119C" w:rsidP="00AC2CE1">
      <w:pPr>
        <w:spacing w:after="0" w:line="240" w:lineRule="auto"/>
        <w:jc w:val="both"/>
        <w:rPr>
          <w:rFonts w:ascii="Verdana" w:hAnsi="Verdana"/>
        </w:rPr>
      </w:pPr>
    </w:p>
    <w:p w14:paraId="33BD9351" w14:textId="77777777" w:rsidR="00DA119C" w:rsidRDefault="00DA119C" w:rsidP="00AC2CE1">
      <w:pPr>
        <w:spacing w:after="0" w:line="240" w:lineRule="auto"/>
        <w:jc w:val="both"/>
        <w:rPr>
          <w:rFonts w:ascii="Verdana" w:hAnsi="Verdana"/>
        </w:rPr>
      </w:pPr>
    </w:p>
    <w:p w14:paraId="6A382076" w14:textId="77777777" w:rsidR="00DA119C" w:rsidRDefault="00DA119C" w:rsidP="00AC2CE1">
      <w:pPr>
        <w:spacing w:after="0" w:line="240" w:lineRule="auto"/>
        <w:jc w:val="both"/>
        <w:rPr>
          <w:rFonts w:ascii="Verdana" w:hAnsi="Verdana"/>
        </w:rPr>
      </w:pPr>
    </w:p>
    <w:p w14:paraId="353CE11D" w14:textId="77777777" w:rsidR="00DA119C" w:rsidRDefault="00DA119C" w:rsidP="00AC2CE1">
      <w:pPr>
        <w:spacing w:after="0" w:line="240" w:lineRule="auto"/>
        <w:jc w:val="both"/>
        <w:rPr>
          <w:rFonts w:ascii="Verdana" w:hAnsi="Verdana"/>
        </w:rPr>
      </w:pPr>
    </w:p>
    <w:p w14:paraId="1A7F5542" w14:textId="77777777" w:rsidR="00DA119C" w:rsidRDefault="00DA119C" w:rsidP="00AC2CE1">
      <w:pPr>
        <w:spacing w:after="0" w:line="240" w:lineRule="auto"/>
        <w:jc w:val="both"/>
        <w:rPr>
          <w:rFonts w:ascii="Verdana" w:hAnsi="Verdana"/>
        </w:rPr>
      </w:pPr>
    </w:p>
    <w:p w14:paraId="099FB2FC" w14:textId="77777777" w:rsidR="00DA119C" w:rsidRDefault="00DA119C" w:rsidP="00AC2CE1">
      <w:pPr>
        <w:spacing w:after="0" w:line="240" w:lineRule="auto"/>
        <w:jc w:val="both"/>
        <w:rPr>
          <w:rFonts w:ascii="Verdana" w:hAnsi="Verdana"/>
        </w:rPr>
      </w:pPr>
    </w:p>
    <w:p w14:paraId="3EF05CCC" w14:textId="77777777" w:rsidR="00DA119C" w:rsidRDefault="00DA119C" w:rsidP="00AC2CE1">
      <w:pPr>
        <w:spacing w:after="0" w:line="240" w:lineRule="auto"/>
        <w:jc w:val="both"/>
        <w:rPr>
          <w:rFonts w:ascii="Verdana" w:hAnsi="Verdana"/>
        </w:rPr>
      </w:pPr>
    </w:p>
    <w:p w14:paraId="6E88D66E" w14:textId="77777777" w:rsidR="00DA119C" w:rsidRDefault="00DA119C" w:rsidP="00AC2CE1">
      <w:pPr>
        <w:spacing w:after="0" w:line="240" w:lineRule="auto"/>
        <w:jc w:val="both"/>
        <w:rPr>
          <w:rFonts w:ascii="Verdana" w:hAnsi="Verdana"/>
        </w:rPr>
      </w:pPr>
    </w:p>
    <w:p w14:paraId="4C158C3B" w14:textId="77777777" w:rsidR="00DA119C" w:rsidRDefault="00DA119C" w:rsidP="00AC2CE1">
      <w:pPr>
        <w:spacing w:after="0" w:line="240" w:lineRule="auto"/>
        <w:jc w:val="both"/>
        <w:rPr>
          <w:rFonts w:ascii="Verdana" w:hAnsi="Verdana"/>
        </w:rPr>
      </w:pPr>
    </w:p>
    <w:p w14:paraId="4617CA7C" w14:textId="77777777" w:rsidR="00DA119C" w:rsidRDefault="00DA119C" w:rsidP="00AC2CE1">
      <w:pPr>
        <w:spacing w:after="0" w:line="240" w:lineRule="auto"/>
        <w:jc w:val="both"/>
        <w:rPr>
          <w:rFonts w:ascii="Verdana" w:hAnsi="Verdana"/>
        </w:rPr>
      </w:pPr>
    </w:p>
    <w:p w14:paraId="70FC4C45" w14:textId="77777777" w:rsidR="00DA119C" w:rsidRDefault="00DA119C" w:rsidP="00AC2CE1">
      <w:pPr>
        <w:spacing w:after="0" w:line="240" w:lineRule="auto"/>
        <w:jc w:val="both"/>
        <w:rPr>
          <w:rFonts w:ascii="Verdana" w:hAnsi="Verdana"/>
        </w:rPr>
      </w:pPr>
    </w:p>
    <w:p w14:paraId="14D550AA" w14:textId="77777777" w:rsidR="00DA119C" w:rsidRDefault="00DA119C" w:rsidP="00AC2CE1">
      <w:pPr>
        <w:spacing w:after="0" w:line="240" w:lineRule="auto"/>
        <w:jc w:val="both"/>
        <w:rPr>
          <w:rFonts w:ascii="Verdana" w:hAnsi="Verdana"/>
        </w:rPr>
      </w:pPr>
    </w:p>
    <w:p w14:paraId="2CCBBA56" w14:textId="77777777" w:rsidR="00DA119C" w:rsidRDefault="00DA119C" w:rsidP="00AC2CE1">
      <w:pPr>
        <w:spacing w:after="0" w:line="240" w:lineRule="auto"/>
        <w:jc w:val="both"/>
        <w:rPr>
          <w:rFonts w:ascii="Verdana" w:hAnsi="Verdana"/>
        </w:rPr>
      </w:pPr>
    </w:p>
    <w:p w14:paraId="1F824D05" w14:textId="77777777" w:rsidR="00DA119C" w:rsidRDefault="00DA119C" w:rsidP="00AC2CE1">
      <w:pPr>
        <w:spacing w:after="0" w:line="240" w:lineRule="auto"/>
        <w:jc w:val="both"/>
        <w:rPr>
          <w:rFonts w:ascii="Verdana" w:hAnsi="Verdana"/>
        </w:rPr>
      </w:pPr>
    </w:p>
    <w:p w14:paraId="529B9AC0" w14:textId="77777777" w:rsidR="00DA119C" w:rsidRDefault="00DA119C" w:rsidP="00AC2CE1">
      <w:pPr>
        <w:spacing w:after="0" w:line="240" w:lineRule="auto"/>
        <w:jc w:val="both"/>
        <w:rPr>
          <w:rFonts w:ascii="Verdana" w:hAnsi="Verdana"/>
        </w:rPr>
      </w:pPr>
    </w:p>
    <w:p w14:paraId="4CF31A69" w14:textId="77777777" w:rsidR="00DA119C" w:rsidRDefault="00DA119C" w:rsidP="00AC2CE1">
      <w:pPr>
        <w:spacing w:after="0" w:line="240" w:lineRule="auto"/>
        <w:jc w:val="both"/>
        <w:rPr>
          <w:rFonts w:ascii="Verdana" w:hAnsi="Verdana"/>
        </w:rPr>
      </w:pPr>
    </w:p>
    <w:p w14:paraId="7EACF5BD" w14:textId="77777777" w:rsidR="00DA119C" w:rsidRDefault="00DA119C" w:rsidP="00AC2CE1">
      <w:pPr>
        <w:spacing w:after="0" w:line="240" w:lineRule="auto"/>
        <w:jc w:val="both"/>
        <w:rPr>
          <w:rFonts w:ascii="Verdana" w:hAnsi="Verdana"/>
        </w:rPr>
      </w:pPr>
    </w:p>
    <w:p w14:paraId="0EB0A419" w14:textId="77777777" w:rsidR="00DA119C" w:rsidRDefault="00DA119C" w:rsidP="00AC2CE1">
      <w:pPr>
        <w:spacing w:after="0" w:line="240" w:lineRule="auto"/>
        <w:jc w:val="both"/>
        <w:rPr>
          <w:rFonts w:ascii="Verdana" w:hAnsi="Verdana"/>
        </w:rPr>
      </w:pPr>
    </w:p>
    <w:p w14:paraId="51205CEB" w14:textId="77777777" w:rsidR="006362CC" w:rsidRDefault="006362CC" w:rsidP="00AC2CE1">
      <w:pPr>
        <w:spacing w:after="0" w:line="240" w:lineRule="auto"/>
        <w:jc w:val="both"/>
        <w:rPr>
          <w:rFonts w:ascii="Verdana" w:hAnsi="Verdana"/>
        </w:rPr>
      </w:pPr>
    </w:p>
    <w:p w14:paraId="6177A23D" w14:textId="699696B4" w:rsidR="00EF4691" w:rsidRPr="00AC2CE1" w:rsidRDefault="006362CC" w:rsidP="00AC2CE1">
      <w:pPr>
        <w:spacing w:after="0" w:line="240" w:lineRule="auto"/>
        <w:jc w:val="both"/>
        <w:rPr>
          <w:rFonts w:ascii="Verdana" w:hAnsi="Verdana"/>
        </w:rPr>
      </w:pPr>
      <w:r w:rsidRPr="006362CC">
        <w:rPr>
          <w:rFonts w:ascii="Verdana" w:hAnsi="Verdana"/>
        </w:rPr>
        <w:lastRenderedPageBreak/>
        <w:t xml:space="preserve">Bogotá D.C., 10 </w:t>
      </w:r>
      <w:r>
        <w:rPr>
          <w:rFonts w:ascii="Verdana" w:hAnsi="Verdana"/>
        </w:rPr>
        <w:t>s</w:t>
      </w:r>
      <w:r w:rsidRPr="006362CC">
        <w:rPr>
          <w:rFonts w:ascii="Verdana" w:hAnsi="Verdana"/>
        </w:rPr>
        <w:t>eptiembre 2026</w:t>
      </w:r>
      <w:r>
        <w:rPr>
          <w:rFonts w:ascii="Verdana" w:hAnsi="Verdana"/>
        </w:rPr>
        <w:t xml:space="preserve"> </w:t>
      </w:r>
    </w:p>
    <w:p w14:paraId="4597EAE2" w14:textId="61146DBC" w:rsidR="00EF4691" w:rsidRPr="00AC2CE1" w:rsidRDefault="00EF4691" w:rsidP="00AC2CE1">
      <w:pPr>
        <w:spacing w:after="0" w:line="240" w:lineRule="auto"/>
        <w:jc w:val="both"/>
        <w:rPr>
          <w:rFonts w:ascii="Verdana" w:eastAsia="Calibri" w:hAnsi="Verdana" w:cs="Arial"/>
          <w:lang w:eastAsia="es-ES"/>
        </w:rPr>
      </w:pPr>
      <w:bookmarkStart w:id="0" w:name="_Hlk197462763"/>
      <w:bookmarkStart w:id="1" w:name="_Hlk197529996"/>
    </w:p>
    <w:p w14:paraId="701AA914" w14:textId="67C29D09" w:rsidR="00EF4691" w:rsidRDefault="006362CC" w:rsidP="00AC2CE1">
      <w:pPr>
        <w:spacing w:after="0" w:line="240" w:lineRule="auto"/>
        <w:jc w:val="both"/>
        <w:rPr>
          <w:rFonts w:ascii="Verdana" w:eastAsia="Calibri" w:hAnsi="Verdana" w:cs="Arial"/>
          <w:lang w:eastAsia="es-ES"/>
        </w:rPr>
      </w:pPr>
      <w:r w:rsidRPr="006362CC">
        <w:rPr>
          <w:rFonts w:ascii="Verdana" w:eastAsia="Calibri" w:hAnsi="Verdana" w:cs="Arial"/>
          <w:lang w:eastAsia="es-ES"/>
        </w:rPr>
        <w:drawing>
          <wp:anchor distT="0" distB="0" distL="114300" distR="114300" simplePos="0" relativeHeight="251660288" behindDoc="1" locked="0" layoutInCell="1" allowOverlap="1" wp14:anchorId="2B7BC74B" wp14:editId="4BBB1EF8">
            <wp:simplePos x="0" y="0"/>
            <wp:positionH relativeFrom="column">
              <wp:posOffset>3219255</wp:posOffset>
            </wp:positionH>
            <wp:positionV relativeFrom="paragraph">
              <wp:posOffset>81671</wp:posOffset>
            </wp:positionV>
            <wp:extent cx="2543175" cy="714375"/>
            <wp:effectExtent l="0" t="0" r="9525" b="9525"/>
            <wp:wrapTight wrapText="bothSides">
              <wp:wrapPolygon edited="0">
                <wp:start x="0" y="0"/>
                <wp:lineTo x="0" y="21312"/>
                <wp:lineTo x="21519" y="21312"/>
                <wp:lineTo x="21519" y="0"/>
                <wp:lineTo x="0" y="0"/>
              </wp:wrapPolygon>
            </wp:wrapTight>
            <wp:docPr id="464175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75772" name=""/>
                    <pic:cNvPicPr/>
                  </pic:nvPicPr>
                  <pic:blipFill>
                    <a:blip r:embed="rId10">
                      <a:extLst>
                        <a:ext uri="{28A0092B-C50C-407E-A947-70E740481C1C}">
                          <a14:useLocalDpi xmlns:a14="http://schemas.microsoft.com/office/drawing/2010/main" val="0"/>
                        </a:ext>
                      </a:extLst>
                    </a:blip>
                    <a:stretch>
                      <a:fillRect/>
                    </a:stretch>
                  </pic:blipFill>
                  <pic:spPr>
                    <a:xfrm>
                      <a:off x="0" y="0"/>
                      <a:ext cx="2543175" cy="714375"/>
                    </a:xfrm>
                    <a:prstGeom prst="rect">
                      <a:avLst/>
                    </a:prstGeom>
                  </pic:spPr>
                </pic:pic>
              </a:graphicData>
            </a:graphic>
          </wp:anchor>
        </w:drawing>
      </w:r>
    </w:p>
    <w:p w14:paraId="76712596" w14:textId="54C4C9D9" w:rsidR="006362CC" w:rsidRPr="00AC2CE1" w:rsidRDefault="006362CC" w:rsidP="00AC2CE1">
      <w:pPr>
        <w:spacing w:after="0" w:line="240" w:lineRule="auto"/>
        <w:jc w:val="both"/>
        <w:rPr>
          <w:rFonts w:ascii="Verdana" w:eastAsia="Calibri" w:hAnsi="Verdana" w:cs="Arial"/>
          <w:lang w:eastAsia="es-ES"/>
        </w:rPr>
      </w:pPr>
    </w:p>
    <w:p w14:paraId="49D56152" w14:textId="6783B27A" w:rsidR="00EF4691" w:rsidRPr="00AC2CE1" w:rsidRDefault="00EF4691" w:rsidP="00AC2CE1">
      <w:pPr>
        <w:spacing w:after="0" w:line="240" w:lineRule="auto"/>
        <w:jc w:val="both"/>
        <w:rPr>
          <w:rFonts w:ascii="Verdana" w:eastAsia="Calibri" w:hAnsi="Verdana" w:cs="Arial"/>
          <w:lang w:eastAsia="es-ES"/>
        </w:rPr>
      </w:pPr>
      <w:r w:rsidRPr="00AC2CE1">
        <w:rPr>
          <w:rFonts w:ascii="Verdana" w:eastAsia="Calibri" w:hAnsi="Verdana" w:cs="Arial"/>
          <w:lang w:eastAsia="es-ES"/>
        </w:rPr>
        <w:t>Señor</w:t>
      </w:r>
    </w:p>
    <w:p w14:paraId="1A0366C6" w14:textId="77777777" w:rsidR="00EF4691" w:rsidRPr="00AC2CE1" w:rsidRDefault="00EF4691" w:rsidP="00AC2CE1">
      <w:pPr>
        <w:spacing w:after="0" w:line="240" w:lineRule="auto"/>
        <w:jc w:val="both"/>
        <w:rPr>
          <w:rFonts w:ascii="Verdana" w:eastAsia="Calibri" w:hAnsi="Verdana" w:cs="Arial"/>
          <w:b/>
          <w:lang w:eastAsia="es-ES_tradnl"/>
        </w:rPr>
      </w:pPr>
      <w:r w:rsidRPr="00AC2CE1">
        <w:rPr>
          <w:rFonts w:ascii="Verdana" w:eastAsia="Calibri" w:hAnsi="Verdana" w:cs="Arial"/>
          <w:b/>
          <w:lang w:eastAsia="es-ES_tradnl"/>
        </w:rPr>
        <w:t xml:space="preserve">Luis Mario Ramírez Leal </w:t>
      </w:r>
    </w:p>
    <w:p w14:paraId="0F8A878F" w14:textId="77777777" w:rsidR="00EF4691" w:rsidRPr="00AC2CE1" w:rsidRDefault="00EF4691" w:rsidP="00AC2CE1">
      <w:pPr>
        <w:spacing w:after="0" w:line="240" w:lineRule="auto"/>
        <w:jc w:val="both"/>
        <w:rPr>
          <w:rFonts w:ascii="Verdana" w:eastAsia="Calibri" w:hAnsi="Verdana" w:cs="Arial"/>
          <w:bCs/>
          <w:color w:val="000099"/>
          <w:lang w:eastAsia="es-ES_tradnl"/>
        </w:rPr>
      </w:pPr>
      <w:hyperlink r:id="rId11" w:history="1">
        <w:r w:rsidRPr="00AC2CE1">
          <w:rPr>
            <w:rStyle w:val="Hipervnculo"/>
            <w:rFonts w:ascii="Verdana" w:eastAsia="Calibri" w:hAnsi="Verdana" w:cs="Arial"/>
            <w:bCs/>
            <w:lang w:eastAsia="es-ES_tradnl"/>
          </w:rPr>
          <w:t>lumramirezle@unal.edu.co</w:t>
        </w:r>
      </w:hyperlink>
      <w:r w:rsidRPr="00AC2CE1">
        <w:rPr>
          <w:rFonts w:ascii="Verdana" w:eastAsia="Calibri" w:hAnsi="Verdana" w:cs="Arial"/>
          <w:bCs/>
          <w:color w:val="000099"/>
          <w:lang w:eastAsia="es-ES_tradnl"/>
        </w:rPr>
        <w:t xml:space="preserve"> </w:t>
      </w:r>
    </w:p>
    <w:p w14:paraId="507F3351" w14:textId="77777777" w:rsidR="00EF4691" w:rsidRPr="00AC2CE1" w:rsidRDefault="00EF4691" w:rsidP="00AC2CE1">
      <w:pPr>
        <w:spacing w:after="0" w:line="240" w:lineRule="auto"/>
        <w:jc w:val="both"/>
        <w:rPr>
          <w:rFonts w:ascii="Verdana" w:eastAsia="Calibri" w:hAnsi="Verdana" w:cs="Arial"/>
          <w:bCs/>
          <w:lang w:eastAsia="es-ES_tradnl"/>
        </w:rPr>
      </w:pPr>
      <w:r w:rsidRPr="00AC2CE1">
        <w:rPr>
          <w:rFonts w:ascii="Verdana" w:eastAsia="Calibri" w:hAnsi="Verdana" w:cs="Arial"/>
          <w:bCs/>
          <w:lang w:eastAsia="es-ES_tradnl"/>
        </w:rPr>
        <w:t>Ciudad</w:t>
      </w:r>
    </w:p>
    <w:p w14:paraId="3AE0975F" w14:textId="77777777" w:rsidR="00EF4691" w:rsidRPr="00AC2CE1" w:rsidRDefault="00EF4691" w:rsidP="00AC2CE1">
      <w:pPr>
        <w:spacing w:after="0" w:line="240" w:lineRule="auto"/>
        <w:jc w:val="both"/>
        <w:rPr>
          <w:rFonts w:ascii="Verdana" w:eastAsia="Calibri" w:hAnsi="Verdana" w:cs="Arial"/>
          <w:bCs/>
          <w:lang w:eastAsia="es-ES_tradnl"/>
        </w:rPr>
      </w:pPr>
    </w:p>
    <w:p w14:paraId="551BF565" w14:textId="77777777" w:rsidR="00EF4691" w:rsidRPr="00AC2CE1" w:rsidRDefault="00EF4691" w:rsidP="00AC2CE1">
      <w:pPr>
        <w:spacing w:after="0" w:line="240" w:lineRule="auto"/>
        <w:jc w:val="both"/>
        <w:rPr>
          <w:rFonts w:ascii="Verdana" w:eastAsia="Calibri" w:hAnsi="Verdana" w:cs="Arial"/>
          <w:b/>
          <w:bCs/>
          <w:color w:val="000000"/>
          <w:lang w:val="it-CH"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EF4691" w:rsidRPr="00AC2CE1" w14:paraId="086CFD1B" w14:textId="77777777" w:rsidTr="00D35935">
        <w:trPr>
          <w:trHeight w:val="162"/>
        </w:trPr>
        <w:tc>
          <w:tcPr>
            <w:tcW w:w="3119" w:type="dxa"/>
          </w:tcPr>
          <w:p w14:paraId="2CA21463" w14:textId="77777777" w:rsidR="00EF4691" w:rsidRPr="00AC2CE1" w:rsidRDefault="00EF4691" w:rsidP="00AC2CE1">
            <w:pPr>
              <w:jc w:val="both"/>
              <w:rPr>
                <w:rFonts w:ascii="Verdana" w:eastAsia="Calibri" w:hAnsi="Verdana" w:cs="Arial"/>
                <w:b/>
                <w:bCs/>
                <w:color w:val="7030A0"/>
                <w:lang w:val="it-CH" w:eastAsia="es-ES_tradnl"/>
              </w:rPr>
            </w:pPr>
          </w:p>
        </w:tc>
        <w:tc>
          <w:tcPr>
            <w:tcW w:w="5670" w:type="dxa"/>
          </w:tcPr>
          <w:p w14:paraId="60F4D4A2" w14:textId="77777777" w:rsidR="00EF4691" w:rsidRPr="00AC2CE1" w:rsidRDefault="00EF4691" w:rsidP="00AC2CE1">
            <w:pPr>
              <w:jc w:val="both"/>
              <w:rPr>
                <w:rFonts w:ascii="Verdana" w:eastAsia="Calibri" w:hAnsi="Verdana" w:cs="Arial"/>
                <w:b/>
                <w:bCs/>
                <w:lang w:eastAsia="es-ES"/>
              </w:rPr>
            </w:pPr>
            <w:r w:rsidRPr="00AC2CE1">
              <w:rPr>
                <w:rFonts w:ascii="Verdana" w:eastAsia="Calibri" w:hAnsi="Verdana" w:cs="Arial"/>
                <w:b/>
                <w:bCs/>
                <w:lang w:eastAsia="es-ES"/>
              </w:rPr>
              <w:t>Concepto C- 1216 de 2026</w:t>
            </w:r>
          </w:p>
          <w:p w14:paraId="2B8E2D4F" w14:textId="77777777" w:rsidR="00EF4691" w:rsidRPr="00AC2CE1" w:rsidRDefault="00EF4691" w:rsidP="00AC2CE1">
            <w:pPr>
              <w:jc w:val="both"/>
              <w:rPr>
                <w:rFonts w:ascii="Verdana" w:eastAsia="Calibri" w:hAnsi="Verdana" w:cs="Arial"/>
                <w:b/>
                <w:bCs/>
                <w:color w:val="7030A0"/>
                <w:lang w:eastAsia="es-ES"/>
              </w:rPr>
            </w:pPr>
          </w:p>
        </w:tc>
      </w:tr>
      <w:tr w:rsidR="00EF4691" w:rsidRPr="00AC2CE1" w14:paraId="7A23F71B" w14:textId="77777777" w:rsidTr="00D35935">
        <w:trPr>
          <w:trHeight w:val="884"/>
        </w:trPr>
        <w:tc>
          <w:tcPr>
            <w:tcW w:w="3119" w:type="dxa"/>
          </w:tcPr>
          <w:p w14:paraId="58369A46" w14:textId="77777777" w:rsidR="00EF4691" w:rsidRPr="00AC2CE1" w:rsidRDefault="00EF4691" w:rsidP="00AC2CE1">
            <w:pPr>
              <w:jc w:val="both"/>
              <w:rPr>
                <w:rFonts w:ascii="Verdana" w:eastAsia="Calibri" w:hAnsi="Verdana" w:cs="Arial"/>
                <w:color w:val="000000"/>
                <w:lang w:eastAsia="es-ES_tradnl"/>
              </w:rPr>
            </w:pPr>
            <w:r w:rsidRPr="00AC2CE1">
              <w:rPr>
                <w:rFonts w:ascii="Verdana" w:eastAsia="Calibri" w:hAnsi="Verdana" w:cs="Arial"/>
                <w:b/>
                <w:color w:val="000000"/>
                <w:lang w:eastAsia="es-ES_tradnl"/>
              </w:rPr>
              <w:t>Temas:</w:t>
            </w:r>
            <w:r w:rsidRPr="00AC2CE1">
              <w:rPr>
                <w:rFonts w:ascii="Verdana" w:eastAsia="Calibri" w:hAnsi="Verdana" w:cs="Arial"/>
                <w:color w:val="000000"/>
                <w:lang w:eastAsia="es-ES_tradnl"/>
              </w:rPr>
              <w:t xml:space="preserve">                   </w:t>
            </w:r>
          </w:p>
        </w:tc>
        <w:tc>
          <w:tcPr>
            <w:tcW w:w="5670" w:type="dxa"/>
          </w:tcPr>
          <w:p w14:paraId="41C94260" w14:textId="3DA39D5D" w:rsidR="00EF4691" w:rsidRPr="00AC2CE1" w:rsidRDefault="00EF4691" w:rsidP="00D21119">
            <w:pPr>
              <w:jc w:val="both"/>
              <w:textAlignment w:val="baseline"/>
              <w:rPr>
                <w:rFonts w:ascii="Verdana" w:eastAsia="Times New Roman" w:hAnsi="Verdana" w:cs="Arial"/>
                <w:lang w:val="es-ES" w:eastAsia="es-ES"/>
              </w:rPr>
            </w:pPr>
            <w:r w:rsidRPr="00AC2CE1">
              <w:rPr>
                <w:rFonts w:ascii="Verdana" w:eastAsia="Times New Roman" w:hAnsi="Verdana" w:cs="Arial"/>
                <w:lang w:val="es-ES" w:eastAsia="es-ES"/>
              </w:rPr>
              <w:t xml:space="preserve">INHABILIDADES E INCOMPATIBILIDADES – Concepto </w:t>
            </w:r>
            <w:r w:rsidR="00221149">
              <w:rPr>
                <w:rFonts w:ascii="Verdana" w:eastAsia="Times New Roman" w:hAnsi="Verdana" w:cs="Arial"/>
                <w:lang w:val="es-ES" w:eastAsia="es-ES"/>
              </w:rPr>
              <w:t xml:space="preserve">/ </w:t>
            </w:r>
            <w:r w:rsidR="00221149" w:rsidRPr="00AC2CE1">
              <w:rPr>
                <w:rFonts w:ascii="Verdana" w:eastAsia="Times New Roman" w:hAnsi="Verdana" w:cs="Arial"/>
                <w:lang w:val="es-ES" w:eastAsia="es-ES"/>
              </w:rPr>
              <w:t xml:space="preserve">INHABILIDADES E INCOMPATIBILIDADES </w:t>
            </w:r>
            <w:r w:rsidR="00221149">
              <w:rPr>
                <w:rFonts w:ascii="Verdana" w:eastAsia="Times New Roman" w:hAnsi="Verdana" w:cs="Arial"/>
                <w:lang w:val="es-ES" w:eastAsia="es-ES"/>
              </w:rPr>
              <w:t xml:space="preserve">- </w:t>
            </w:r>
            <w:r w:rsidRPr="00AC2CE1">
              <w:rPr>
                <w:rFonts w:ascii="Verdana" w:eastAsia="Times New Roman" w:hAnsi="Verdana" w:cs="Arial"/>
                <w:lang w:val="es-ES" w:eastAsia="es-ES"/>
              </w:rPr>
              <w:t xml:space="preserve">Principio de legalidad – Interpretación restrictiva / INHABILIDADES E INCOMPATIBILIDADES – Ley 80 de 1993 – Numeral 2, literal </w:t>
            </w:r>
            <w:r w:rsidR="00221149">
              <w:rPr>
                <w:rFonts w:ascii="Verdana" w:eastAsia="Times New Roman" w:hAnsi="Verdana" w:cs="Arial"/>
                <w:lang w:val="es-ES" w:eastAsia="es-ES"/>
              </w:rPr>
              <w:t>C</w:t>
            </w:r>
            <w:r w:rsidRPr="00AC2CE1">
              <w:rPr>
                <w:rFonts w:ascii="Verdana" w:eastAsia="Times New Roman" w:hAnsi="Verdana" w:cs="Arial"/>
                <w:lang w:val="es-ES" w:eastAsia="es-ES"/>
              </w:rPr>
              <w:t>) –</w:t>
            </w:r>
            <w:r w:rsidRPr="00AC2CE1">
              <w:rPr>
                <w:rFonts w:ascii="Verdana" w:hAnsi="Verdana"/>
                <w:lang w:val="es-ES"/>
              </w:rPr>
              <w:t xml:space="preserve"> Alcance</w:t>
            </w:r>
            <w:r w:rsidR="00221149">
              <w:rPr>
                <w:rFonts w:ascii="Verdana" w:hAnsi="Verdana"/>
                <w:lang w:val="es-ES"/>
              </w:rPr>
              <w:t xml:space="preserve"> / </w:t>
            </w:r>
            <w:r w:rsidR="00221149" w:rsidRPr="00AC2CE1">
              <w:rPr>
                <w:rFonts w:ascii="Verdana" w:eastAsia="Times New Roman" w:hAnsi="Verdana" w:cs="Arial"/>
                <w:lang w:val="es-ES" w:eastAsia="es-ES"/>
              </w:rPr>
              <w:t>/ INHABILIDADES E INCOMPATIBILIDADES – Ley 80 de 1993 – Numeral 2</w:t>
            </w:r>
            <w:r w:rsidR="00221149">
              <w:rPr>
                <w:rFonts w:ascii="Verdana" w:eastAsia="Times New Roman" w:hAnsi="Verdana" w:cs="Arial"/>
                <w:lang w:val="es-ES" w:eastAsia="es-ES"/>
              </w:rPr>
              <w:t xml:space="preserve"> – Entidad respectiva – Alcance</w:t>
            </w:r>
          </w:p>
          <w:p w14:paraId="610439A2" w14:textId="77777777" w:rsidR="00EF4691" w:rsidRPr="00AC2CE1" w:rsidRDefault="00EF4691" w:rsidP="00D21119">
            <w:pPr>
              <w:jc w:val="both"/>
              <w:rPr>
                <w:rFonts w:ascii="Verdana" w:eastAsia="Calibri" w:hAnsi="Verdana" w:cs="Arial"/>
                <w:lang w:val="es-ES" w:eastAsia="es-ES"/>
              </w:rPr>
            </w:pPr>
          </w:p>
        </w:tc>
      </w:tr>
      <w:tr w:rsidR="00EF4691" w:rsidRPr="00AC2CE1" w14:paraId="63A96A7D" w14:textId="77777777" w:rsidTr="00D35935">
        <w:tc>
          <w:tcPr>
            <w:tcW w:w="3119" w:type="dxa"/>
          </w:tcPr>
          <w:p w14:paraId="50CBBF4B" w14:textId="77777777" w:rsidR="00EF4691" w:rsidRPr="00AC2CE1" w:rsidRDefault="00EF4691" w:rsidP="00AC2CE1">
            <w:pPr>
              <w:jc w:val="both"/>
              <w:rPr>
                <w:rFonts w:ascii="Verdana" w:eastAsia="Calibri" w:hAnsi="Verdana" w:cs="Arial"/>
                <w:b/>
                <w:lang w:eastAsia="es-ES_tradnl"/>
              </w:rPr>
            </w:pPr>
            <w:r w:rsidRPr="00AC2CE1">
              <w:rPr>
                <w:rFonts w:ascii="Verdana" w:eastAsia="Calibri" w:hAnsi="Verdana" w:cs="Arial"/>
                <w:b/>
                <w:lang w:eastAsia="es-ES_tradnl"/>
              </w:rPr>
              <w:t>Radicación:</w:t>
            </w:r>
            <w:r w:rsidRPr="00AC2CE1">
              <w:rPr>
                <w:rFonts w:ascii="Verdana" w:eastAsia="Calibri" w:hAnsi="Verdana" w:cs="Arial"/>
                <w:lang w:eastAsia="es-ES_tradnl"/>
              </w:rPr>
              <w:t xml:space="preserve">               </w:t>
            </w:r>
          </w:p>
        </w:tc>
        <w:tc>
          <w:tcPr>
            <w:tcW w:w="5670" w:type="dxa"/>
          </w:tcPr>
          <w:p w14:paraId="33767D15" w14:textId="77777777" w:rsidR="00EF4691" w:rsidRPr="00AC2CE1" w:rsidRDefault="00EF4691" w:rsidP="00AC2CE1">
            <w:pPr>
              <w:jc w:val="both"/>
              <w:rPr>
                <w:rFonts w:ascii="Verdana" w:eastAsia="Calibri" w:hAnsi="Verdana" w:cs="Arial"/>
                <w:lang w:eastAsia="es-ES_tradnl"/>
              </w:rPr>
            </w:pPr>
            <w:r w:rsidRPr="00AC2CE1">
              <w:rPr>
                <w:rFonts w:ascii="Verdana" w:eastAsia="Calibri" w:hAnsi="Verdana" w:cs="Arial"/>
                <w:lang w:eastAsia="es-ES_tradnl"/>
              </w:rPr>
              <w:t xml:space="preserve">Respuesta a consulta con radicado 1_2026_08_03_010153 </w:t>
            </w:r>
          </w:p>
        </w:tc>
      </w:tr>
    </w:tbl>
    <w:p w14:paraId="756731C5" w14:textId="77777777" w:rsidR="00EF4691" w:rsidRDefault="00EF4691" w:rsidP="00AC2CE1">
      <w:pPr>
        <w:spacing w:after="0" w:line="240" w:lineRule="auto"/>
        <w:jc w:val="both"/>
        <w:rPr>
          <w:rFonts w:ascii="Verdana" w:eastAsia="Calibri" w:hAnsi="Verdana" w:cs="Arial"/>
          <w:lang w:eastAsia="es-ES_tradnl"/>
        </w:rPr>
      </w:pPr>
    </w:p>
    <w:p w14:paraId="734BB402" w14:textId="77777777" w:rsidR="00AC2CE1" w:rsidRPr="00AC2CE1" w:rsidRDefault="00AC2CE1" w:rsidP="00D21119">
      <w:pPr>
        <w:spacing w:after="0" w:line="240" w:lineRule="auto"/>
        <w:jc w:val="both"/>
        <w:rPr>
          <w:rFonts w:ascii="Verdana" w:eastAsia="Calibri" w:hAnsi="Verdana" w:cs="Arial"/>
          <w:lang w:eastAsia="es-ES_tradnl"/>
        </w:rPr>
      </w:pPr>
    </w:p>
    <w:p w14:paraId="12ED5625" w14:textId="77777777" w:rsidR="00EF4691" w:rsidRPr="008E4F36" w:rsidRDefault="00EF4691" w:rsidP="00AC2CE1">
      <w:pPr>
        <w:spacing w:after="0" w:line="276" w:lineRule="auto"/>
        <w:jc w:val="both"/>
        <w:rPr>
          <w:rFonts w:ascii="Verdana" w:eastAsia="Calibri" w:hAnsi="Verdana" w:cs="Arial"/>
          <w:lang w:eastAsia="es-ES"/>
        </w:rPr>
      </w:pPr>
      <w:r w:rsidRPr="00083AB6">
        <w:rPr>
          <w:rFonts w:ascii="Verdana" w:eastAsia="Calibri" w:hAnsi="Verdana" w:cs="Arial"/>
          <w:lang w:eastAsia="es-ES"/>
        </w:rPr>
        <w:t>Estimad</w:t>
      </w:r>
      <w:r>
        <w:rPr>
          <w:rFonts w:ascii="Verdana" w:eastAsia="Calibri" w:hAnsi="Verdana" w:cs="Arial"/>
          <w:lang w:eastAsia="es-ES"/>
        </w:rPr>
        <w:t xml:space="preserve">o </w:t>
      </w:r>
      <w:r w:rsidRPr="00083AB6">
        <w:rPr>
          <w:rFonts w:ascii="Verdana" w:eastAsia="Calibri" w:hAnsi="Verdana" w:cs="Arial"/>
          <w:lang w:eastAsia="es-ES"/>
        </w:rPr>
        <w:t>señor</w:t>
      </w:r>
      <w:r>
        <w:rPr>
          <w:rFonts w:ascii="Verdana" w:eastAsia="Calibri" w:hAnsi="Verdana" w:cs="Arial"/>
          <w:lang w:eastAsia="es-ES"/>
        </w:rPr>
        <w:t xml:space="preserve"> Ramírez</w:t>
      </w:r>
      <w:r w:rsidRPr="00083AB6">
        <w:rPr>
          <w:rFonts w:ascii="Verdana" w:eastAsia="Calibri" w:hAnsi="Verdana" w:cs="Arial"/>
          <w:lang w:eastAsia="es-ES"/>
        </w:rPr>
        <w:t>:</w:t>
      </w:r>
      <w:r w:rsidRPr="008E4F36">
        <w:rPr>
          <w:rFonts w:ascii="Verdana" w:eastAsia="Calibri" w:hAnsi="Verdana" w:cs="Arial"/>
          <w:lang w:eastAsia="es-ES"/>
        </w:rPr>
        <w:t xml:space="preserve"> </w:t>
      </w:r>
    </w:p>
    <w:p w14:paraId="360E7B6B" w14:textId="77777777" w:rsidR="00EF4691" w:rsidRDefault="00EF4691" w:rsidP="00D21119">
      <w:pPr>
        <w:tabs>
          <w:tab w:val="left" w:pos="3768"/>
        </w:tabs>
        <w:spacing w:after="0" w:line="276" w:lineRule="auto"/>
        <w:jc w:val="both"/>
        <w:rPr>
          <w:rFonts w:ascii="Verdana" w:eastAsia="Calibri" w:hAnsi="Verdana" w:cs="Arial"/>
          <w:lang w:eastAsia="es-ES"/>
        </w:rPr>
      </w:pPr>
    </w:p>
    <w:p w14:paraId="64A197A1" w14:textId="77777777" w:rsidR="00EF4691" w:rsidRDefault="00EF4691" w:rsidP="00AC2CE1">
      <w:pPr>
        <w:tabs>
          <w:tab w:val="left" w:pos="3768"/>
        </w:tabs>
        <w:spacing w:after="0" w:line="276" w:lineRule="auto"/>
        <w:jc w:val="both"/>
        <w:rPr>
          <w:rFonts w:ascii="Verdana" w:eastAsia="Calibri" w:hAnsi="Verdana" w:cs="Arial"/>
          <w:lang w:eastAsia="es-ES"/>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Pr>
          <w:rFonts w:ascii="Verdana" w:eastAsia="Calibri" w:hAnsi="Verdana" w:cs="Arial"/>
          <w:lang w:eastAsia="es-ES"/>
        </w:rPr>
        <w:t>03</w:t>
      </w:r>
      <w:r w:rsidRPr="00AF6D58">
        <w:rPr>
          <w:rFonts w:ascii="Verdana" w:eastAsia="Calibri" w:hAnsi="Verdana" w:cs="Arial"/>
          <w:lang w:eastAsia="es-ES"/>
        </w:rPr>
        <w:t xml:space="preserve"> de </w:t>
      </w:r>
      <w:r>
        <w:rPr>
          <w:rFonts w:ascii="Verdana" w:eastAsia="Calibri" w:hAnsi="Verdana" w:cs="Arial"/>
          <w:lang w:eastAsia="es-ES"/>
        </w:rPr>
        <w:t>agosto</w:t>
      </w:r>
      <w:r w:rsidRPr="00AF6D58">
        <w:rPr>
          <w:rFonts w:ascii="Verdana" w:eastAsia="Calibri" w:hAnsi="Verdana" w:cs="Arial"/>
          <w:lang w:eastAsia="es-ES"/>
        </w:rPr>
        <w:t xml:space="preserve"> de 202</w:t>
      </w:r>
      <w:r>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p>
    <w:p w14:paraId="2642DA93" w14:textId="77777777" w:rsidR="00EF4691" w:rsidRPr="00962179" w:rsidRDefault="00EF4691" w:rsidP="00AC2CE1">
      <w:pPr>
        <w:tabs>
          <w:tab w:val="left" w:pos="3768"/>
        </w:tabs>
        <w:spacing w:after="0" w:line="276" w:lineRule="auto"/>
        <w:jc w:val="both"/>
        <w:rPr>
          <w:rFonts w:ascii="Verdana" w:eastAsia="Calibri" w:hAnsi="Verdana" w:cs="Arial"/>
          <w:lang w:eastAsia="es-ES"/>
        </w:rPr>
      </w:pPr>
    </w:p>
    <w:p w14:paraId="6DC80022" w14:textId="20162931" w:rsidR="00EF4691" w:rsidRDefault="00EF4691" w:rsidP="00AC2CE1">
      <w:pPr>
        <w:spacing w:after="0" w:line="240" w:lineRule="auto"/>
        <w:ind w:left="709" w:right="709" w:hanging="1"/>
        <w:jc w:val="both"/>
        <w:rPr>
          <w:rFonts w:ascii="Verdana" w:hAnsi="Verdana" w:cs="Arial"/>
          <w:sz w:val="20"/>
          <w:szCs w:val="20"/>
          <w:lang w:val="es-ES_tradnl"/>
        </w:rPr>
      </w:pPr>
      <w:bookmarkStart w:id="2" w:name="_Hlk192699624"/>
      <w:bookmarkStart w:id="3" w:name="_Hlk199394899"/>
      <w:r w:rsidRPr="00841DD5">
        <w:rPr>
          <w:rFonts w:ascii="Verdana" w:hAnsi="Verdana" w:cs="Arial"/>
          <w:sz w:val="20"/>
          <w:szCs w:val="20"/>
          <w:lang w:val="es-ES_tradnl"/>
        </w:rPr>
        <w:t>“</w:t>
      </w:r>
      <w:bookmarkEnd w:id="2"/>
      <w:bookmarkEnd w:id="3"/>
      <w:r w:rsidRPr="00841DD5">
        <w:rPr>
          <w:rFonts w:ascii="Verdana" w:hAnsi="Verdana" w:cs="Arial"/>
          <w:sz w:val="20"/>
          <w:szCs w:val="20"/>
          <w:lang w:val="es-ES_tradnl"/>
        </w:rPr>
        <w:t>Derecho de petición en interés general – Consulta jurídica sobre el</w:t>
      </w:r>
      <w:r>
        <w:rPr>
          <w:rFonts w:ascii="Verdana" w:hAnsi="Verdana" w:cs="Arial"/>
          <w:sz w:val="20"/>
          <w:szCs w:val="20"/>
          <w:lang w:val="es-ES_tradnl"/>
        </w:rPr>
        <w:t xml:space="preserve"> </w:t>
      </w:r>
      <w:r w:rsidRPr="00841DD5">
        <w:rPr>
          <w:rFonts w:ascii="Verdana" w:hAnsi="Verdana" w:cs="Arial"/>
          <w:sz w:val="20"/>
          <w:szCs w:val="20"/>
          <w:lang w:val="es-ES_tradnl"/>
        </w:rPr>
        <w:t>alcance del artículo 8, numeral 2, literal c), de la Ley 80 de 1993, desde</w:t>
      </w:r>
      <w:r>
        <w:rPr>
          <w:rFonts w:ascii="Verdana" w:hAnsi="Verdana" w:cs="Arial"/>
          <w:sz w:val="20"/>
          <w:szCs w:val="20"/>
          <w:lang w:val="es-ES_tradnl"/>
        </w:rPr>
        <w:t xml:space="preserve"> </w:t>
      </w:r>
      <w:r w:rsidRPr="00841DD5">
        <w:rPr>
          <w:rFonts w:ascii="Verdana" w:hAnsi="Verdana" w:cs="Arial"/>
          <w:sz w:val="20"/>
          <w:szCs w:val="20"/>
          <w:lang w:val="es-ES_tradnl"/>
        </w:rPr>
        <w:t>la perspectiva de la interpretación restrictiva de las inhabilidades e</w:t>
      </w:r>
      <w:r>
        <w:rPr>
          <w:rFonts w:ascii="Verdana" w:hAnsi="Verdana" w:cs="Arial"/>
          <w:sz w:val="20"/>
          <w:szCs w:val="20"/>
          <w:lang w:val="es-ES_tradnl"/>
        </w:rPr>
        <w:t xml:space="preserve"> </w:t>
      </w:r>
      <w:r w:rsidRPr="00841DD5">
        <w:rPr>
          <w:rFonts w:ascii="Verdana" w:hAnsi="Verdana" w:cs="Arial"/>
          <w:sz w:val="20"/>
          <w:szCs w:val="20"/>
          <w:lang w:val="es-ES_tradnl"/>
        </w:rPr>
        <w:t>incompatibilidades y de la expresión "la entidad respectiva"</w:t>
      </w:r>
      <w:r w:rsidR="00AC2CE1">
        <w:rPr>
          <w:rFonts w:ascii="Verdana" w:hAnsi="Verdana" w:cs="Arial"/>
          <w:sz w:val="20"/>
          <w:szCs w:val="20"/>
          <w:lang w:val="es-ES_tradnl"/>
        </w:rPr>
        <w:t>.</w:t>
      </w:r>
    </w:p>
    <w:p w14:paraId="3058757C" w14:textId="77777777" w:rsidR="00AC2CE1" w:rsidRPr="00D21119" w:rsidRDefault="00AC2CE1" w:rsidP="00D21119">
      <w:pPr>
        <w:spacing w:after="0" w:line="276" w:lineRule="auto"/>
        <w:ind w:left="709" w:right="709" w:hanging="1"/>
        <w:jc w:val="both"/>
        <w:rPr>
          <w:rFonts w:ascii="Verdana" w:hAnsi="Verdana" w:cs="Arial"/>
          <w:lang w:val="es-ES_tradnl"/>
        </w:rPr>
      </w:pPr>
    </w:p>
    <w:p w14:paraId="2CBA042D" w14:textId="77777777" w:rsidR="00EF4691" w:rsidRDefault="00EF4691" w:rsidP="00D21119">
      <w:pPr>
        <w:spacing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w:t>
      </w:r>
      <w:r w:rsidRPr="008E4F36">
        <w:rPr>
          <w:rFonts w:ascii="Verdana" w:eastAsia="Calibri" w:hAnsi="Verdana" w:cs="Arial"/>
          <w:color w:val="000000"/>
          <w:lang w:eastAsia="es-ES"/>
        </w:rPr>
        <w:lastRenderedPageBreak/>
        <w:t xml:space="preserve">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73EF482" w14:textId="77777777" w:rsidR="00EF4691" w:rsidRPr="00054383" w:rsidRDefault="00EF4691" w:rsidP="00EF4691">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453707FA" w14:textId="77777777" w:rsidR="00EF4691" w:rsidRPr="008E4F36" w:rsidRDefault="00EF4691" w:rsidP="00EF4691">
      <w:pPr>
        <w:spacing w:after="0"/>
        <w:ind w:firstLine="709"/>
        <w:jc w:val="both"/>
        <w:rPr>
          <w:rFonts w:ascii="Verdana" w:eastAsia="Calibri" w:hAnsi="Verdana" w:cs="Arial"/>
          <w:color w:val="000000"/>
          <w:lang w:eastAsia="es-ES"/>
        </w:rPr>
      </w:pPr>
    </w:p>
    <w:p w14:paraId="6B39D942" w14:textId="77777777" w:rsidR="00EF4691" w:rsidRDefault="00EF4691" w:rsidP="00EF469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2550B835" w14:textId="77777777" w:rsidR="00EF4691" w:rsidRDefault="00EF4691" w:rsidP="00EF4691">
      <w:pPr>
        <w:spacing w:after="0" w:line="276" w:lineRule="auto"/>
        <w:jc w:val="both"/>
        <w:rPr>
          <w:rFonts w:ascii="Verdana" w:eastAsia="Calibri" w:hAnsi="Verdana" w:cs="Arial"/>
          <w:color w:val="000000"/>
          <w:highlight w:val="yellow"/>
          <w:lang w:eastAsia="es-ES"/>
        </w:rPr>
      </w:pPr>
    </w:p>
    <w:p w14:paraId="24B78D37" w14:textId="3953C0D5" w:rsidR="00EF4691" w:rsidRPr="005A3B40" w:rsidRDefault="00EF4691" w:rsidP="00EF4691">
      <w:pPr>
        <w:spacing w:after="0" w:line="276" w:lineRule="auto"/>
        <w:jc w:val="both"/>
        <w:rPr>
          <w:rFonts w:ascii="Verdana" w:eastAsia="Calibri" w:hAnsi="Verdana" w:cs="Arial"/>
          <w:color w:val="000000"/>
          <w:lang w:eastAsia="es-ES"/>
        </w:rPr>
      </w:pPr>
      <w:r w:rsidRPr="00005FE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el siguiente</w:t>
      </w:r>
      <w:r w:rsidRPr="00005FE3">
        <w:rPr>
          <w:rFonts w:ascii="Verdana" w:eastAsia="Calibri" w:hAnsi="Verdana" w:cs="Arial"/>
          <w:color w:val="000000"/>
          <w:lang w:eastAsia="es-ES"/>
        </w:rPr>
        <w:t xml:space="preserve"> problema jurídico: </w:t>
      </w:r>
      <w:r>
        <w:rPr>
          <w:rFonts w:ascii="Verdana" w:eastAsia="Calibri" w:hAnsi="Verdana" w:cs="Arial"/>
          <w:color w:val="000000"/>
          <w:lang w:eastAsia="es-ES"/>
        </w:rPr>
        <w:t xml:space="preserve">¿Cuál es alcance de la expresión </w:t>
      </w:r>
      <w:r w:rsidRPr="00BB7B47">
        <w:rPr>
          <w:rFonts w:ascii="Verdana" w:eastAsia="Calibri" w:hAnsi="Verdana" w:cs="Arial"/>
          <w:color w:val="000000"/>
          <w:lang w:eastAsia="es-ES"/>
        </w:rPr>
        <w:t xml:space="preserve">"la entidad respectiva" </w:t>
      </w:r>
      <w:r w:rsidR="0082605E">
        <w:rPr>
          <w:rFonts w:ascii="Verdana" w:eastAsia="Calibri" w:hAnsi="Verdana" w:cs="Arial"/>
          <w:color w:val="000000"/>
          <w:lang w:eastAsia="es-ES"/>
        </w:rPr>
        <w:t xml:space="preserve">contenida en </w:t>
      </w:r>
      <w:r w:rsidRPr="00BB7B47">
        <w:rPr>
          <w:rFonts w:ascii="Verdana" w:eastAsia="Calibri" w:hAnsi="Verdana" w:cs="Arial"/>
          <w:color w:val="000000"/>
          <w:lang w:eastAsia="es-ES"/>
        </w:rPr>
        <w:t>el artículo 8, numeral 2, literal c), de la Ley 80 de 1993</w:t>
      </w:r>
      <w:r w:rsidR="0082605E">
        <w:rPr>
          <w:rFonts w:ascii="Verdana" w:eastAsia="Calibri" w:hAnsi="Verdana" w:cs="Arial"/>
          <w:color w:val="000000"/>
          <w:lang w:eastAsia="es-ES"/>
        </w:rPr>
        <w:t>? ¡Dicha expresión</w:t>
      </w:r>
      <w:r w:rsidRPr="00BB7B47">
        <w:rPr>
          <w:rFonts w:ascii="Verdana" w:eastAsia="Calibri" w:hAnsi="Verdana" w:cs="Arial"/>
          <w:color w:val="000000"/>
          <w:lang w:eastAsia="es-ES"/>
        </w:rPr>
        <w:t xml:space="preserve"> limita la incompatibilidad únicamente a la entidad donde se ejerce el</w:t>
      </w:r>
      <w:r w:rsidR="0082605E">
        <w:rPr>
          <w:rFonts w:ascii="Verdana" w:eastAsia="Calibri" w:hAnsi="Verdana" w:cs="Arial"/>
          <w:color w:val="000000"/>
          <w:lang w:eastAsia="es-ES"/>
        </w:rPr>
        <w:t xml:space="preserve"> cónyuge, compañero </w:t>
      </w:r>
      <w:r w:rsidR="00447E8A">
        <w:rPr>
          <w:rFonts w:ascii="Verdana" w:eastAsia="Calibri" w:hAnsi="Verdana" w:cs="Arial"/>
          <w:color w:val="000000"/>
          <w:lang w:eastAsia="es-ES"/>
        </w:rPr>
        <w:t>de la persona interesada en celebrar un contrato ostenta el</w:t>
      </w:r>
      <w:r w:rsidRPr="00BB7B47">
        <w:rPr>
          <w:rFonts w:ascii="Verdana" w:eastAsia="Calibri" w:hAnsi="Verdana" w:cs="Arial"/>
          <w:color w:val="000000"/>
          <w:lang w:eastAsia="es-ES"/>
        </w:rPr>
        <w:t xml:space="preserve"> cargo?</w:t>
      </w:r>
    </w:p>
    <w:p w14:paraId="30B14728" w14:textId="77777777" w:rsidR="00EF4691" w:rsidRPr="00BF422F" w:rsidRDefault="00EF4691" w:rsidP="00EF4691">
      <w:pPr>
        <w:spacing w:after="0" w:line="276" w:lineRule="auto"/>
        <w:jc w:val="both"/>
        <w:rPr>
          <w:rFonts w:ascii="Verdana" w:eastAsia="Calibri" w:hAnsi="Verdana" w:cs="Times New Roman"/>
          <w:i/>
          <w:iCs/>
          <w:lang w:val="es-ES"/>
        </w:rPr>
      </w:pPr>
    </w:p>
    <w:p w14:paraId="1C038AA5" w14:textId="77777777" w:rsidR="00EF4691" w:rsidRPr="008E4F36" w:rsidRDefault="00EF4691" w:rsidP="00EF4691">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4EEAAFDC" w14:textId="77777777" w:rsidR="00EF4691" w:rsidRPr="008E4F36" w:rsidRDefault="00EF4691" w:rsidP="00EF4691">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EF4691" w:rsidRPr="008E4F36" w14:paraId="037371E4" w14:textId="77777777" w:rsidTr="00D35935">
        <w:tc>
          <w:tcPr>
            <w:tcW w:w="8828" w:type="dxa"/>
          </w:tcPr>
          <w:p w14:paraId="1C69758C" w14:textId="77777777" w:rsidR="00EF4691" w:rsidRPr="00DA1F59" w:rsidRDefault="00EF4691" w:rsidP="00D35935">
            <w:pPr>
              <w:spacing w:after="120" w:line="276" w:lineRule="auto"/>
              <w:jc w:val="both"/>
              <w:rPr>
                <w:rFonts w:ascii="Verdana" w:hAnsi="Verdana" w:cs="Arial"/>
                <w:color w:val="000000" w:themeColor="text1"/>
              </w:rPr>
            </w:pPr>
            <w:r w:rsidRPr="00DA1F59">
              <w:rPr>
                <w:rFonts w:ascii="Verdana" w:hAnsi="Verdana" w:cs="Arial"/>
                <w:color w:val="000000" w:themeColor="text1"/>
              </w:rPr>
              <w:t>En respuesta al problema antes planteado esta Subdirección manifiesta lo siguiente:</w:t>
            </w:r>
          </w:p>
          <w:p w14:paraId="14CF418C" w14:textId="77777777" w:rsidR="00EF4691" w:rsidRDefault="00EF4691" w:rsidP="00D35935">
            <w:pPr>
              <w:spacing w:after="120" w:line="276" w:lineRule="auto"/>
              <w:ind w:firstLine="708"/>
              <w:jc w:val="both"/>
              <w:rPr>
                <w:rFonts w:ascii="Verdana" w:eastAsia="Calibri" w:hAnsi="Verdana" w:cs="Arial"/>
              </w:rPr>
            </w:pPr>
            <w:r w:rsidRPr="00DA1F59">
              <w:rPr>
                <w:rFonts w:ascii="Verdana" w:eastAsia="Calibri" w:hAnsi="Verdana" w:cs="Arial"/>
                <w:lang w:val="es-ES"/>
              </w:rPr>
              <w:t xml:space="preserve">En </w:t>
            </w:r>
            <w:r w:rsidRPr="00DA1F59">
              <w:rPr>
                <w:rFonts w:ascii="Verdana" w:eastAsia="Calibri" w:hAnsi="Verdana" w:cs="Arial"/>
                <w:i/>
                <w:iCs/>
              </w:rPr>
              <w:t xml:space="preserve">primer lugar, </w:t>
            </w:r>
            <w:r w:rsidRPr="00DA1F59">
              <w:rPr>
                <w:rFonts w:ascii="Verdana" w:eastAsia="Calibri" w:hAnsi="Verdana" w:cs="Arial"/>
              </w:rPr>
              <w:t xml:space="preserve">debe advertirse que el régimen de inhabilidades e incompatibilidades se constituye como un conjunto de restricciones establecidas por el constituyente o por el legislador que afectan directamente la capacidad de las personas para establecer relaciones contractuales con el Estado. Sobre el particular, el artículo 8 de la ley 80 de 1993, determina de </w:t>
            </w:r>
            <w:r w:rsidRPr="00DA1F59">
              <w:rPr>
                <w:rFonts w:ascii="Verdana" w:eastAsia="Calibri" w:hAnsi="Verdana" w:cs="Arial"/>
              </w:rPr>
              <w:lastRenderedPageBreak/>
              <w:t xml:space="preserve">manera expresa las inhabilidades para participar en los procesos de contratación o para suscribir contratos con las Entidades Estatales. </w:t>
            </w:r>
          </w:p>
          <w:p w14:paraId="6E12487C" w14:textId="5D198212" w:rsidR="00EF4691" w:rsidRPr="00882C4B" w:rsidRDefault="00EF4691" w:rsidP="00D35935">
            <w:pPr>
              <w:spacing w:after="120" w:line="276" w:lineRule="auto"/>
              <w:ind w:firstLine="708"/>
              <w:jc w:val="both"/>
              <w:rPr>
                <w:rFonts w:ascii="Verdana" w:hAnsi="Verdana"/>
              </w:rPr>
            </w:pPr>
            <w:r w:rsidRPr="00882C4B">
              <w:rPr>
                <w:rFonts w:ascii="Verdana" w:hAnsi="Verdana"/>
              </w:rPr>
              <w:t xml:space="preserve">En lo que respecta al objeto de la presente consulta, debe señalarse que, </w:t>
            </w:r>
            <w:r>
              <w:rPr>
                <w:rFonts w:ascii="Verdana" w:hAnsi="Verdana"/>
              </w:rPr>
              <w:t>l</w:t>
            </w:r>
            <w:r w:rsidRPr="00882C4B">
              <w:rPr>
                <w:rFonts w:ascii="Verdana" w:hAnsi="Verdana"/>
              </w:rPr>
              <w:t>a expresión “la entidad respectiva”, contenida en el numeral 2 del artículo 8 de la Ley 80 de 1993</w:t>
            </w:r>
            <w:r w:rsidR="00870986">
              <w:rPr>
                <w:rFonts w:ascii="Verdana" w:hAnsi="Verdana"/>
              </w:rPr>
              <w:t xml:space="preserve"> </w:t>
            </w:r>
            <w:r w:rsidRPr="00882C4B">
              <w:rPr>
                <w:rFonts w:ascii="Verdana" w:hAnsi="Verdana"/>
              </w:rPr>
              <w:t xml:space="preserve">delimita el alcance </w:t>
            </w:r>
            <w:r w:rsidR="00870986">
              <w:rPr>
                <w:rFonts w:ascii="Verdana" w:hAnsi="Verdana"/>
              </w:rPr>
              <w:t xml:space="preserve">y ámbito de aplicación </w:t>
            </w:r>
            <w:r w:rsidRPr="00882C4B">
              <w:rPr>
                <w:rFonts w:ascii="Verdana" w:hAnsi="Verdana"/>
              </w:rPr>
              <w:t xml:space="preserve">de la incompatibilidad a la entidad en la que </w:t>
            </w:r>
            <w:r w:rsidR="00870986">
              <w:rPr>
                <w:rFonts w:ascii="Verdana" w:hAnsi="Verdana"/>
              </w:rPr>
              <w:t xml:space="preserve">el cónyuge o compañero permanente </w:t>
            </w:r>
            <w:r w:rsidRPr="00882C4B">
              <w:rPr>
                <w:rFonts w:ascii="Verdana" w:hAnsi="Verdana"/>
              </w:rPr>
              <w:t>ejerce el cargo el servidor público cuya condición genera la prohibición. En el literal c), la restricción se refiere al cónyuge, compañero o compañera permanente de los servidores públicos de los niveles directivo, asesor o ejecutivo, de miembros de junta o consejo directivo, o de quienes ejercen funciones de control interno o fiscal, y opera respecto de la entidad correspondiente.</w:t>
            </w:r>
          </w:p>
          <w:p w14:paraId="4E73B8D4" w14:textId="77777777" w:rsidR="00EF4691" w:rsidRPr="00882C4B" w:rsidRDefault="00EF4691" w:rsidP="00D35935">
            <w:pPr>
              <w:spacing w:after="120" w:line="276" w:lineRule="auto"/>
              <w:ind w:firstLine="708"/>
              <w:jc w:val="both"/>
              <w:rPr>
                <w:rFonts w:ascii="Verdana" w:hAnsi="Verdana"/>
              </w:rPr>
            </w:pPr>
            <w:r w:rsidRPr="00882C4B">
              <w:rPr>
                <w:rFonts w:ascii="Verdana" w:hAnsi="Verdana"/>
              </w:rPr>
              <w:t>Esta interpretación responde al carácter taxativo y restrictivo de las inhabilidades e incompatibilidades, por lo que no es jurídicamente procedente extender la prohibición a otras entidades estatales, aun cuando pertenezcan al mismo sector administrativo, salvo disposición legal expresa. En efecto, el literal e) del mismo artículo demuestra que, cuando el legislador pretende extender una incompatibilidad a las entidades del sector administrativo, lo establece expresamente.</w:t>
            </w:r>
          </w:p>
          <w:p w14:paraId="4886798D" w14:textId="77777777" w:rsidR="00EF4691" w:rsidRPr="00882C4B" w:rsidRDefault="00EF4691" w:rsidP="00D35935">
            <w:pPr>
              <w:spacing w:after="120" w:line="276" w:lineRule="auto"/>
              <w:ind w:firstLine="708"/>
              <w:jc w:val="both"/>
              <w:rPr>
                <w:rFonts w:ascii="Verdana" w:hAnsi="Verdana"/>
              </w:rPr>
            </w:pPr>
            <w:r w:rsidRPr="00882C4B">
              <w:rPr>
                <w:rFonts w:ascii="Verdana" w:hAnsi="Verdana"/>
              </w:rPr>
              <w:t>Por tanto, para que se configure la incompatibilidad debe existir correspondencia entre la entidad donde ejerce el servidor público y la entidad con la cual pretende contratar su cónyuge, compañero o compañera permanente. Si se trata de una entidad estatal diferente, en principio, no se configura la causal prevista en el literal c).</w:t>
            </w:r>
          </w:p>
          <w:p w14:paraId="69F1FC93" w14:textId="77777777" w:rsidR="00EF4691" w:rsidRPr="00882C4B" w:rsidRDefault="00EF4691" w:rsidP="00D35935">
            <w:pPr>
              <w:spacing w:after="120" w:line="276" w:lineRule="auto"/>
              <w:ind w:firstLine="708"/>
              <w:jc w:val="both"/>
              <w:rPr>
                <w:rFonts w:ascii="Verdana" w:hAnsi="Verdana"/>
              </w:rPr>
            </w:pPr>
            <w:r w:rsidRPr="00882C4B">
              <w:rPr>
                <w:rFonts w:ascii="Verdana" w:hAnsi="Verdana"/>
              </w:rPr>
              <w:t>En conclusión, “la entidad respectiva” limita la incompatibilidad a la entidad vinculada directamente con la situación que origina la prohibición, sin que sea posible ampliar su alcance mediante interpretación analógica o extensiva.</w:t>
            </w:r>
          </w:p>
        </w:tc>
      </w:tr>
    </w:tbl>
    <w:p w14:paraId="7EE4ED2C" w14:textId="77777777" w:rsidR="00EF4691" w:rsidRDefault="00EF4691" w:rsidP="00EF4691">
      <w:pPr>
        <w:tabs>
          <w:tab w:val="left" w:pos="142"/>
          <w:tab w:val="left" w:pos="284"/>
        </w:tabs>
        <w:spacing w:after="0" w:line="276" w:lineRule="auto"/>
        <w:jc w:val="both"/>
        <w:rPr>
          <w:rFonts w:ascii="Verdana" w:eastAsia="Century Gothic" w:hAnsi="Verdana" w:cs="Century Gothic"/>
          <w:b/>
          <w:bCs/>
        </w:rPr>
      </w:pPr>
    </w:p>
    <w:p w14:paraId="2F6BBDC7" w14:textId="77777777" w:rsidR="00EF4691" w:rsidRPr="008E4F36" w:rsidRDefault="00EF4691" w:rsidP="00EF4691">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535C3A75" w14:textId="77777777" w:rsidR="00EF4691" w:rsidRDefault="00EF4691" w:rsidP="00EF4691">
      <w:pPr>
        <w:pStyle w:val="Prrafodelista"/>
        <w:tabs>
          <w:tab w:val="left" w:pos="142"/>
          <w:tab w:val="left" w:pos="284"/>
        </w:tabs>
        <w:spacing w:after="0" w:line="276" w:lineRule="auto"/>
        <w:ind w:left="0"/>
        <w:contextualSpacing w:val="0"/>
        <w:jc w:val="both"/>
        <w:rPr>
          <w:rFonts w:ascii="Verdana" w:eastAsia="Calibri" w:hAnsi="Verdana" w:cs="Arial"/>
        </w:rPr>
      </w:pPr>
    </w:p>
    <w:p w14:paraId="143B7911" w14:textId="77777777" w:rsidR="00EF4691" w:rsidRDefault="00EF4691" w:rsidP="00EF4691">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48A03D7E" w14:textId="77777777" w:rsidR="00EF4691" w:rsidRDefault="00EF4691" w:rsidP="00EF4691">
      <w:pPr>
        <w:pStyle w:val="Prrafodelista"/>
        <w:tabs>
          <w:tab w:val="left" w:pos="142"/>
          <w:tab w:val="left" w:pos="284"/>
        </w:tabs>
        <w:spacing w:after="0" w:line="276" w:lineRule="auto"/>
        <w:ind w:left="0"/>
        <w:contextualSpacing w:val="0"/>
        <w:jc w:val="both"/>
        <w:rPr>
          <w:rFonts w:ascii="Verdana" w:eastAsia="Calibri" w:hAnsi="Verdana" w:cs="Arial"/>
        </w:rPr>
      </w:pPr>
    </w:p>
    <w:p w14:paraId="773A4466" w14:textId="2B731E70" w:rsidR="007B3A5D" w:rsidRDefault="00EF4691" w:rsidP="00D21119">
      <w:pPr>
        <w:pStyle w:val="Sinespaciado"/>
        <w:spacing w:after="120" w:line="276" w:lineRule="auto"/>
        <w:jc w:val="both"/>
        <w:rPr>
          <w:rFonts w:ascii="Verdana" w:hAnsi="Verdana" w:cs="Arial"/>
          <w:color w:val="000000" w:themeColor="text1"/>
          <w:sz w:val="22"/>
          <w:lang w:val="es-ES"/>
        </w:rPr>
      </w:pPr>
      <w:r w:rsidRPr="00993A1C">
        <w:rPr>
          <w:rFonts w:ascii="Verdana" w:eastAsia="Calibri" w:hAnsi="Verdana" w:cs="Arial"/>
          <w:color w:val="000000" w:themeColor="text1"/>
          <w:lang w:val="es-ES"/>
        </w:rPr>
        <w:lastRenderedPageBreak/>
        <w:t>i</w:t>
      </w:r>
      <w:r>
        <w:rPr>
          <w:rFonts w:ascii="Verdana" w:eastAsia="Calibri" w:hAnsi="Verdana" w:cs="Arial"/>
          <w:color w:val="000000" w:themeColor="text1"/>
          <w:lang w:val="es-ES"/>
        </w:rPr>
        <w:t>.</w:t>
      </w:r>
      <w:r w:rsidRPr="00EA47D8">
        <w:rPr>
          <w:rFonts w:ascii="Verdana" w:eastAsia="Calibri" w:hAnsi="Verdana" w:cs="Arial"/>
          <w:color w:val="000000" w:themeColor="text1"/>
          <w:lang w:val="es-ES"/>
        </w:rPr>
        <w:t xml:space="preserve"> </w:t>
      </w:r>
      <w:r w:rsidRPr="00EA47D8">
        <w:rPr>
          <w:rFonts w:ascii="Verdana" w:hAnsi="Verdana" w:cs="Arial"/>
          <w:color w:val="000000" w:themeColor="text1"/>
          <w:sz w:val="22"/>
          <w:lang w:val="es-ES"/>
        </w:rPr>
        <w:t xml:space="preserve">Las inhabilidades e incompatibilidades son circunstancias establecidas por la Constitución o la ley que impiden la posibilidad de que ciertas personas sean elegidas o designadas en un cargo público o puedan celebrar contratos con el Estado, con el objetivo de garantizar la idoneidad, imparcialidad, probidad, transparencia y moralidad de la gestión pública. El régimen de inhabilidades e incompatibilidades para contratar con el Estado es un conjunto de restricciones establecidas por el constituyente o por el legislador que afectan directamente la capacidad de las personas para establecer una relación jurídica contractual con el Estado, que pueden resultar de condenas, sanciones o situaciones previamente establecidas por el ordenamiento jurídico. Estas restricciones o limitaciones que afectan la capacidad jurídica de las personas para contratar </w:t>
      </w:r>
      <w:r w:rsidR="009656A5">
        <w:rPr>
          <w:rFonts w:ascii="Verdana" w:hAnsi="Verdana" w:cs="Arial"/>
          <w:color w:val="000000" w:themeColor="text1"/>
          <w:sz w:val="22"/>
          <w:lang w:val="es-ES"/>
        </w:rPr>
        <w:t>materializan</w:t>
      </w:r>
      <w:r w:rsidR="009656A5" w:rsidRPr="00EA47D8">
        <w:rPr>
          <w:rFonts w:ascii="Verdana" w:hAnsi="Verdana" w:cs="Arial"/>
          <w:color w:val="000000" w:themeColor="text1"/>
          <w:sz w:val="22"/>
          <w:lang w:val="es-ES"/>
        </w:rPr>
        <w:t xml:space="preserve"> </w:t>
      </w:r>
      <w:r w:rsidRPr="00EA47D8">
        <w:rPr>
          <w:rFonts w:ascii="Verdana" w:hAnsi="Verdana" w:cs="Arial"/>
          <w:color w:val="000000" w:themeColor="text1"/>
          <w:sz w:val="22"/>
          <w:lang w:val="es-ES"/>
        </w:rPr>
        <w:t xml:space="preserve">los principios de la función administrativa, consagrados en el artículo 209 de la Constitución Política, con especial énfasis en el de moralidad. </w:t>
      </w:r>
    </w:p>
    <w:p w14:paraId="4663ED14" w14:textId="48015C2F" w:rsidR="00EF4691" w:rsidRPr="00EA47D8" w:rsidRDefault="00EF4691" w:rsidP="00D21119">
      <w:pPr>
        <w:pStyle w:val="Sinespaciado"/>
        <w:spacing w:line="276" w:lineRule="auto"/>
        <w:ind w:firstLine="708"/>
        <w:jc w:val="both"/>
        <w:rPr>
          <w:rFonts w:ascii="Verdana" w:hAnsi="Verdana" w:cs="Arial"/>
          <w:color w:val="000000" w:themeColor="text1"/>
          <w:sz w:val="22"/>
          <w:lang w:val="es-ES"/>
        </w:rPr>
      </w:pPr>
      <w:r w:rsidRPr="00EA47D8">
        <w:rPr>
          <w:rFonts w:ascii="Verdana" w:hAnsi="Verdana" w:cs="Arial"/>
          <w:color w:val="000000" w:themeColor="text1"/>
          <w:sz w:val="22"/>
          <w:lang w:val="es-ES"/>
        </w:rPr>
        <w:t xml:space="preserve">Así lo ha entendido el Consejo de Estado: </w:t>
      </w:r>
    </w:p>
    <w:p w14:paraId="028AFE19" w14:textId="77777777" w:rsidR="00EF4691" w:rsidRPr="00EA47D8" w:rsidRDefault="00EF4691" w:rsidP="00EF4691">
      <w:pPr>
        <w:pStyle w:val="Sinespaciado"/>
        <w:spacing w:line="276" w:lineRule="auto"/>
        <w:jc w:val="both"/>
        <w:rPr>
          <w:rFonts w:ascii="Verdana" w:hAnsi="Verdana" w:cs="Arial"/>
          <w:color w:val="000000" w:themeColor="text1"/>
          <w:sz w:val="22"/>
          <w:lang w:val="es-ES"/>
        </w:rPr>
      </w:pPr>
    </w:p>
    <w:p w14:paraId="2942B2CA" w14:textId="77777777" w:rsidR="00EF4691" w:rsidRDefault="00EF4691" w:rsidP="007B3A5D">
      <w:pPr>
        <w:pStyle w:val="NormalWeb"/>
        <w:shd w:val="clear" w:color="auto" w:fill="FFFFFF"/>
        <w:spacing w:before="0" w:beforeAutospacing="0" w:after="0" w:afterAutospacing="0"/>
        <w:ind w:left="709" w:right="709"/>
        <w:jc w:val="both"/>
        <w:rPr>
          <w:rFonts w:ascii="Verdana" w:hAnsi="Verdana" w:cs="Arial"/>
          <w:color w:val="000000" w:themeColor="text1"/>
          <w:sz w:val="20"/>
          <w:szCs w:val="20"/>
          <w:lang w:val="es-ES"/>
        </w:rPr>
      </w:pPr>
      <w:r w:rsidRPr="00EA47D8">
        <w:rPr>
          <w:rFonts w:ascii="Verdana" w:hAnsi="Verdana" w:cs="Arial"/>
          <w:color w:val="000000" w:themeColor="text1"/>
          <w:sz w:val="20"/>
          <w:szCs w:val="20"/>
          <w:lang w:val="es-E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04CB438B" w14:textId="77777777" w:rsidR="007B3A5D" w:rsidRPr="00EA47D8" w:rsidRDefault="007B3A5D" w:rsidP="00D21119">
      <w:pPr>
        <w:pStyle w:val="NormalWeb"/>
        <w:shd w:val="clear" w:color="auto" w:fill="FFFFFF"/>
        <w:spacing w:before="0" w:beforeAutospacing="0" w:after="0" w:afterAutospacing="0"/>
        <w:ind w:left="709" w:right="709"/>
        <w:jc w:val="both"/>
        <w:rPr>
          <w:rFonts w:ascii="Verdana" w:hAnsi="Verdana" w:cs="Arial"/>
          <w:color w:val="000000" w:themeColor="text1"/>
          <w:sz w:val="20"/>
          <w:szCs w:val="20"/>
          <w:lang w:val="es-ES"/>
        </w:rPr>
      </w:pPr>
    </w:p>
    <w:p w14:paraId="7ED1C194" w14:textId="77777777" w:rsidR="00EF4691" w:rsidRDefault="00EF4691" w:rsidP="007B3A5D">
      <w:pPr>
        <w:pStyle w:val="NormalWeb"/>
        <w:shd w:val="clear" w:color="auto" w:fill="FFFFFF"/>
        <w:spacing w:before="0" w:beforeAutospacing="0" w:after="0" w:afterAutospacing="0"/>
        <w:ind w:left="709" w:right="709"/>
        <w:jc w:val="both"/>
        <w:rPr>
          <w:rFonts w:ascii="Verdana" w:hAnsi="Verdana" w:cs="Arial"/>
          <w:color w:val="000000" w:themeColor="text1"/>
          <w:sz w:val="20"/>
          <w:szCs w:val="20"/>
          <w:lang w:val="es-ES"/>
        </w:rPr>
      </w:pPr>
      <w:r w:rsidRPr="00EA47D8">
        <w:rPr>
          <w:rFonts w:ascii="Verdana" w:hAnsi="Verdana" w:cs="Arial"/>
          <w:color w:val="000000" w:themeColor="text1"/>
          <w:sz w:val="20"/>
          <w:szCs w:val="20"/>
          <w:lang w:val="es-ES"/>
        </w:rPr>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EA47D8">
        <w:rPr>
          <w:rStyle w:val="Refdenotaalpie"/>
          <w:rFonts w:ascii="Verdana" w:hAnsi="Verdana" w:cs="Arial"/>
          <w:color w:val="000000" w:themeColor="text1"/>
          <w:sz w:val="20"/>
          <w:szCs w:val="20"/>
          <w:lang w:val="es-ES"/>
        </w:rPr>
        <w:footnoteReference w:id="1"/>
      </w:r>
      <w:r w:rsidRPr="00EA47D8">
        <w:rPr>
          <w:rFonts w:ascii="Verdana" w:hAnsi="Verdana" w:cs="Arial"/>
          <w:color w:val="000000" w:themeColor="text1"/>
          <w:sz w:val="20"/>
          <w:szCs w:val="20"/>
          <w:lang w:val="es-ES"/>
        </w:rPr>
        <w:t xml:space="preserve">. </w:t>
      </w:r>
    </w:p>
    <w:p w14:paraId="4C3D72A5" w14:textId="77777777" w:rsidR="007B3A5D" w:rsidRPr="00EA47D8" w:rsidRDefault="007B3A5D" w:rsidP="00D21119">
      <w:pPr>
        <w:pStyle w:val="NormalWeb"/>
        <w:shd w:val="clear" w:color="auto" w:fill="FFFFFF"/>
        <w:spacing w:before="0" w:beforeAutospacing="0" w:after="0" w:afterAutospacing="0"/>
        <w:ind w:left="709" w:right="709"/>
        <w:jc w:val="both"/>
        <w:rPr>
          <w:rFonts w:ascii="Verdana" w:hAnsi="Verdana" w:cs="Arial"/>
          <w:color w:val="000000" w:themeColor="text1"/>
          <w:sz w:val="20"/>
          <w:szCs w:val="20"/>
          <w:lang w:val="es-ES"/>
        </w:rPr>
      </w:pPr>
    </w:p>
    <w:p w14:paraId="4FFC4593" w14:textId="4EA36FFF" w:rsidR="00EF4691" w:rsidRPr="006F173C" w:rsidRDefault="00EF4691" w:rsidP="00EF4691">
      <w:pPr>
        <w:spacing w:after="120" w:line="276" w:lineRule="auto"/>
        <w:ind w:firstLine="708"/>
        <w:jc w:val="both"/>
        <w:rPr>
          <w:rFonts w:ascii="Verdana" w:hAnsi="Verdana" w:cs="Arial"/>
          <w:color w:val="000000" w:themeColor="text1"/>
          <w:lang w:val="es-ES"/>
        </w:rPr>
      </w:pPr>
      <w:r w:rsidRPr="00EA47D8">
        <w:rPr>
          <w:rFonts w:ascii="Verdana" w:hAnsi="Verdana" w:cs="Arial"/>
          <w:color w:val="000000" w:themeColor="text1"/>
          <w:lang w:val="es-ES"/>
        </w:rPr>
        <w:t>Las inhabilidades e incompatibilidades son medios que buscan garantizar la transparencia y eficiencia en la actividad contractual del Estado y para ello imponen restricciones en la personalidad jurídica, la igualdad, la libre empresa y, particularmente, el derecho a participar en procesos de selección y celebrar contratos con la Administración. Asimismo</w:t>
      </w:r>
      <w:r w:rsidRPr="00EA47D8">
        <w:rPr>
          <w:rFonts w:ascii="Verdana" w:eastAsia="Calibri" w:hAnsi="Verdana" w:cs="Arial"/>
          <w:color w:val="000000" w:themeColor="text1"/>
          <w:lang w:val="es-ES"/>
        </w:rPr>
        <w:t xml:space="preserve">, el carácter reconocidamente taxativo del régimen de inhabilidades obedece a la necesidad de salvaguardar el interés general inherente en la contratación pública, de forma que implique el menor sacrificio posible al derecho de igualdad y de reconocimiento de la personalidad jurídica de quienes aspiran a contratar con el Estado. Por ello, </w:t>
      </w:r>
      <w:r w:rsidRPr="00EA47D8">
        <w:rPr>
          <w:rFonts w:ascii="Verdana" w:hAnsi="Verdana" w:cs="Arial"/>
          <w:color w:val="000000" w:themeColor="text1"/>
          <w:lang w:val="es-ES"/>
        </w:rPr>
        <w:t>la competencia para determinar qué hechos o situaciones generan inhabilidad para contratar con el Estado la tiene el legislador, pues este régimen es un aspecto propio del Estatuto General de la Contratación Pública</w:t>
      </w:r>
      <w:r w:rsidR="00F134AF">
        <w:rPr>
          <w:rFonts w:ascii="Verdana" w:hAnsi="Verdana" w:cs="Arial"/>
          <w:color w:val="000000" w:themeColor="text1"/>
          <w:lang w:val="es-ES"/>
        </w:rPr>
        <w:t xml:space="preserve"> – en adelante EGCAP –</w:t>
      </w:r>
      <w:r w:rsidRPr="00EA47D8">
        <w:rPr>
          <w:rFonts w:ascii="Verdana" w:hAnsi="Verdana" w:cs="Arial"/>
          <w:color w:val="000000" w:themeColor="text1"/>
          <w:lang w:val="es-ES"/>
        </w:rPr>
        <w:t>, cuya expedición corresponde al Congreso de la República, conforme al artículo 150 de la Constitución Política, por lo que en esta materia rige el principio de legalidad.</w:t>
      </w:r>
    </w:p>
    <w:p w14:paraId="1C05E728" w14:textId="77777777" w:rsidR="00EF4691" w:rsidRPr="00A16FEE" w:rsidRDefault="00EF4691" w:rsidP="00EF4691">
      <w:pPr>
        <w:spacing w:after="120" w:line="276" w:lineRule="auto"/>
        <w:ind w:firstLine="709"/>
        <w:jc w:val="both"/>
        <w:rPr>
          <w:rFonts w:ascii="Verdana" w:eastAsia="Arial MT" w:hAnsi="Verdana" w:cs="Arial"/>
          <w:lang w:val="es-ES" w:eastAsia="es-ES" w:bidi="es-ES"/>
        </w:rPr>
      </w:pPr>
      <w:bookmarkStart w:id="5" w:name="_Hlk204856061"/>
      <w:bookmarkStart w:id="6" w:name="_Hlk78820161"/>
      <w:bookmarkStart w:id="7" w:name="_Hlk204854194"/>
      <w:r w:rsidRPr="00A16FEE">
        <w:rPr>
          <w:rFonts w:ascii="Verdana" w:eastAsia="Calibri" w:hAnsi="Verdana" w:cs="Arial"/>
          <w:color w:val="000000" w:themeColor="text1"/>
          <w:lang w:val="es-ES"/>
        </w:rPr>
        <w:t xml:space="preserve">Las </w:t>
      </w:r>
      <w:r w:rsidRPr="00A16FEE">
        <w:rPr>
          <w:rFonts w:ascii="Verdana" w:eastAsia="Calibri" w:hAnsi="Verdana" w:cs="Arial"/>
          <w:i/>
          <w:iCs/>
          <w:color w:val="000000" w:themeColor="text1"/>
          <w:lang w:val="es-ES"/>
        </w:rPr>
        <w:t>inhabilidades</w:t>
      </w:r>
      <w:r w:rsidRPr="00A16FEE">
        <w:rPr>
          <w:rFonts w:ascii="Verdana" w:eastAsia="Calibri" w:hAnsi="Verdana" w:cs="Arial"/>
          <w:color w:val="000000" w:themeColor="text1"/>
          <w:lang w:val="es-ES"/>
        </w:rPr>
        <w:t xml:space="preserve"> son prohibiciones para concurrir a los procedimientos de selección y para contratar con el Estado que se derivan i) de la existencia de comportamientos reprochables o de sanciones anteriormente impuestas, </w:t>
      </w:r>
      <w:proofErr w:type="spellStart"/>
      <w:r w:rsidRPr="00A16FEE">
        <w:rPr>
          <w:rFonts w:ascii="Verdana" w:eastAsia="Calibri" w:hAnsi="Verdana" w:cs="Arial"/>
          <w:color w:val="000000" w:themeColor="text1"/>
          <w:lang w:val="es-ES"/>
        </w:rPr>
        <w:t>ii</w:t>
      </w:r>
      <w:proofErr w:type="spellEnd"/>
      <w:r w:rsidRPr="00A16FEE">
        <w:rPr>
          <w:rFonts w:ascii="Verdana" w:eastAsia="Calibri" w:hAnsi="Verdana" w:cs="Arial"/>
          <w:color w:val="000000" w:themeColor="text1"/>
          <w:lang w:val="es-ES"/>
        </w:rPr>
        <w:t xml:space="preserve">) de vínculos personales relativos al parentesco o al estado civil, o </w:t>
      </w:r>
      <w:proofErr w:type="spellStart"/>
      <w:r w:rsidRPr="00A16FEE">
        <w:rPr>
          <w:rFonts w:ascii="Verdana" w:eastAsia="Calibri" w:hAnsi="Verdana" w:cs="Arial"/>
          <w:color w:val="000000" w:themeColor="text1"/>
          <w:lang w:val="es-ES"/>
        </w:rPr>
        <w:t>iii</w:t>
      </w:r>
      <w:proofErr w:type="spellEnd"/>
      <w:r w:rsidRPr="00A16FEE">
        <w:rPr>
          <w:rFonts w:ascii="Verdana" w:eastAsia="Calibri" w:hAnsi="Verdana" w:cs="Arial"/>
          <w:color w:val="000000" w:themeColor="text1"/>
          <w:lang w:val="es-ES"/>
        </w:rPr>
        <w:t xml:space="preserve">) de una actividad u oficio que se desempeñó en el pasado. De otro lado, las </w:t>
      </w:r>
      <w:r w:rsidRPr="00A16FEE">
        <w:rPr>
          <w:rFonts w:ascii="Verdana" w:eastAsia="Calibri" w:hAnsi="Verdana" w:cs="Arial"/>
          <w:i/>
          <w:iCs/>
          <w:color w:val="000000" w:themeColor="text1"/>
          <w:lang w:val="es-ES"/>
        </w:rPr>
        <w:t xml:space="preserve">incompatibilidades </w:t>
      </w:r>
      <w:r w:rsidRPr="00A16FEE">
        <w:rPr>
          <w:rFonts w:ascii="Verdana" w:eastAsia="Calibri" w:hAnsi="Verdana" w:cs="Arial"/>
          <w:color w:val="000000" w:themeColor="text1"/>
          <w:lang w:val="es-ES"/>
        </w:rPr>
        <w:t xml:space="preserve">son prohibiciones para participar en los procedimientos de selección y para celebrar contratos estatales, fundadas en que el sujeto interesado ostenta una calidad que no puede coexistir con el carácter de proponente o contratista del Estado. </w:t>
      </w:r>
      <w:r w:rsidRPr="00A16FEE">
        <w:rPr>
          <w:rFonts w:ascii="Verdana" w:eastAsia="Arial MT" w:hAnsi="Verdana" w:cs="Arial"/>
          <w:lang w:val="es-ES" w:eastAsia="es-ES" w:bidi="es-ES"/>
        </w:rPr>
        <w:t xml:space="preserve">Por su parte, las situaciones de </w:t>
      </w:r>
      <w:r w:rsidRPr="00A16FEE">
        <w:rPr>
          <w:rFonts w:ascii="Verdana" w:eastAsia="Arial MT" w:hAnsi="Verdana" w:cs="Arial"/>
          <w:i/>
          <w:iCs/>
          <w:lang w:val="es-ES" w:eastAsia="es-ES" w:bidi="es-ES"/>
        </w:rPr>
        <w:t>conflicto de interés</w:t>
      </w:r>
      <w:r w:rsidRPr="00A16FEE">
        <w:rPr>
          <w:rFonts w:ascii="Verdana" w:eastAsia="Arial MT" w:hAnsi="Verdana" w:cs="Arial"/>
          <w:lang w:val="es-ES" w:eastAsia="es-ES" w:bidi="es-ES"/>
        </w:rPr>
        <w:t xml:space="preserve"> suelen expresarse en prohibiciones, similar a lo que ocurre con las inhabilidades e incompatibilidades. Estas se encuentran establecidas en el pliego de condiciones y en la minuta del contrato. </w:t>
      </w:r>
    </w:p>
    <w:p w14:paraId="29819956" w14:textId="77777777" w:rsidR="00EF4691" w:rsidRPr="00A16FEE" w:rsidRDefault="00EF4691" w:rsidP="00EF4691">
      <w:pPr>
        <w:spacing w:after="120" w:line="276" w:lineRule="auto"/>
        <w:ind w:firstLine="709"/>
        <w:jc w:val="both"/>
        <w:rPr>
          <w:rFonts w:ascii="Verdana" w:eastAsia="Calibri" w:hAnsi="Verdana" w:cs="Arial"/>
          <w:color w:val="000000" w:themeColor="text1"/>
          <w:lang w:val="es-ES"/>
        </w:rPr>
      </w:pPr>
      <w:r w:rsidRPr="00A16FEE">
        <w:rPr>
          <w:rFonts w:ascii="Verdana" w:eastAsia="Arial MT" w:hAnsi="Verdana" w:cs="Arial"/>
          <w:lang w:val="es-ES" w:eastAsia="es-ES" w:bidi="es-ES"/>
        </w:rPr>
        <w:t>La consagración de todas estas causales debe ser expresa y su interpretación restrictiva. En el caso de las inhabilidades e incompatibilidades, su aplicación siempre debe estar ajustada a los presupuestos que para cada causal señale el constituyente o el legislador; en el caso de los conflictos de interés, la aplicación debe sujetarse a los presupuestos que señale la entidad contratante en los documentos referidos. De cualquier modo, no es posible que las entidades realicen una aplicación extensiva o analógica.</w:t>
      </w:r>
      <w:r w:rsidRPr="00A16FEE">
        <w:rPr>
          <w:rFonts w:ascii="Verdana" w:hAnsi="Verdana" w:cs="Arial"/>
          <w:lang w:val="es-ES"/>
        </w:rPr>
        <w:t xml:space="preserve"> </w:t>
      </w:r>
    </w:p>
    <w:p w14:paraId="6BE44DBC" w14:textId="77777777" w:rsidR="00EF4691" w:rsidRPr="00A16FEE" w:rsidRDefault="00EF4691" w:rsidP="00EF4691">
      <w:pPr>
        <w:spacing w:after="120" w:line="276" w:lineRule="auto"/>
        <w:ind w:firstLine="709"/>
        <w:jc w:val="both"/>
        <w:rPr>
          <w:rFonts w:ascii="Verdana" w:eastAsia="Calibri" w:hAnsi="Verdana" w:cs="Arial"/>
          <w:color w:val="000000" w:themeColor="text1"/>
          <w:lang w:val="es-ES"/>
        </w:rPr>
      </w:pPr>
      <w:r w:rsidRPr="00A16FEE">
        <w:rPr>
          <w:rFonts w:ascii="Verdana" w:eastAsia="Calibri" w:hAnsi="Verdana" w:cs="Arial"/>
          <w:color w:val="000000" w:themeColor="text1"/>
          <w:lang w:val="es-ES"/>
        </w:rPr>
        <w:lastRenderedPageBreak/>
        <w:t xml:space="preserve">El régimen de inhabilidades e incompatibilidades en la contratación pública responde a la tendencia de asegurar que la actividad de provisión de los bienes y servicios por parte de las entidades estatales se efectúe cumpliendo con los principios de la función administrativa y de la gestión fiscal, especialmente con probidad y transparencia. Es por ello </w:t>
      </w:r>
      <w:proofErr w:type="gramStart"/>
      <w:r w:rsidRPr="00A16FEE">
        <w:rPr>
          <w:rFonts w:ascii="Verdana" w:eastAsia="Calibri" w:hAnsi="Verdana" w:cs="Arial"/>
          <w:color w:val="000000" w:themeColor="text1"/>
          <w:lang w:val="es-ES"/>
        </w:rPr>
        <w:t>que</w:t>
      </w:r>
      <w:proofErr w:type="gramEnd"/>
      <w:r w:rsidRPr="00A16FEE">
        <w:rPr>
          <w:rFonts w:ascii="Verdana" w:eastAsia="Calibri" w:hAnsi="Verdana" w:cs="Arial"/>
          <w:color w:val="000000" w:themeColor="text1"/>
          <w:lang w:val="es-ES"/>
        </w:rPr>
        <w:t xml:space="preserve"> las inhabilidades e incompatibilidades se han convertido en herramientas en la lucha contra la corrupción, adoptando paulatinamente un cariz sancionatorio o “</w:t>
      </w:r>
      <w:proofErr w:type="spellStart"/>
      <w:r w:rsidRPr="00A16FEE">
        <w:rPr>
          <w:rFonts w:ascii="Verdana" w:eastAsia="Calibri" w:hAnsi="Verdana" w:cs="Arial"/>
          <w:color w:val="000000" w:themeColor="text1"/>
          <w:lang w:val="es-ES"/>
        </w:rPr>
        <w:t>neopunitivo</w:t>
      </w:r>
      <w:proofErr w:type="spellEnd"/>
      <w:r w:rsidRPr="00A16FEE">
        <w:rPr>
          <w:rFonts w:ascii="Verdana" w:eastAsia="Calibri" w:hAnsi="Verdana" w:cs="Arial"/>
          <w:color w:val="000000" w:themeColor="text1"/>
          <w:lang w:val="es-ES"/>
        </w:rPr>
        <w:t>”</w:t>
      </w:r>
      <w:r w:rsidRPr="00A16FEE">
        <w:rPr>
          <w:rFonts w:ascii="Verdana" w:eastAsia="Calibri" w:hAnsi="Verdana" w:cs="Arial"/>
          <w:color w:val="000000" w:themeColor="text1"/>
          <w:vertAlign w:val="superscript"/>
          <w:lang w:val="es-ES"/>
        </w:rPr>
        <w:footnoteReference w:id="2"/>
      </w:r>
      <w:r w:rsidRPr="00A16FEE">
        <w:rPr>
          <w:rFonts w:ascii="Verdana" w:eastAsia="Calibri" w:hAnsi="Verdana" w:cs="Arial"/>
          <w:color w:val="000000" w:themeColor="text1"/>
          <w:lang w:val="es-ES"/>
        </w:rPr>
        <w:t>. Si bien no todas las causales de inhabilidad y de incompatibilidad son consecuencia de una medida de reproche ni de una sanción previa, como ya se explicó, es indiscutible que en los años más recientes los hechos de corrupción han generado, como respuesta del legislador, un incremento de las restricciones a la capacidad contractual, dirigidas a prevenir este tipo de situaciones o a sancionar tales conductas.</w:t>
      </w:r>
    </w:p>
    <w:p w14:paraId="308708CE" w14:textId="77777777" w:rsidR="00EF4691" w:rsidRPr="00A16FEE" w:rsidRDefault="00EF4691" w:rsidP="00EF4691">
      <w:pPr>
        <w:spacing w:after="120" w:line="276" w:lineRule="auto"/>
        <w:ind w:firstLine="709"/>
        <w:jc w:val="both"/>
        <w:rPr>
          <w:rFonts w:ascii="Verdana" w:eastAsia="Calibri" w:hAnsi="Verdana" w:cs="Arial"/>
          <w:color w:val="000000" w:themeColor="text1"/>
          <w:lang w:val="es-ES"/>
        </w:rPr>
      </w:pPr>
      <w:r w:rsidRPr="00A16FEE">
        <w:rPr>
          <w:rFonts w:ascii="Verdana" w:eastAsia="Calibri" w:hAnsi="Verdana" w:cs="Arial"/>
          <w:color w:val="000000" w:themeColor="text1"/>
          <w:lang w:val="es-ES"/>
        </w:rPr>
        <w:t xml:space="preserve">Ahora bien, las inhabilidades e incompatibilidades son restricciones o límites especiales a la capacidad para presentar ofertas y celebrar contratos estatales. En consecuencia, solo pueden tipificarse en la ley –o sea, deben satisfacer el principio de legalidad– y su interpretación debe ser </w:t>
      </w:r>
      <w:r w:rsidRPr="00A16FEE">
        <w:rPr>
          <w:rFonts w:ascii="Verdana" w:eastAsia="Calibri" w:hAnsi="Verdana" w:cs="Arial"/>
          <w:i/>
          <w:iCs/>
          <w:color w:val="000000" w:themeColor="text1"/>
          <w:lang w:val="es-ES"/>
        </w:rPr>
        <w:t>restrictiva</w:t>
      </w:r>
      <w:r w:rsidRPr="00A16FEE">
        <w:rPr>
          <w:rFonts w:ascii="Verdana" w:eastAsia="Calibri" w:hAnsi="Verdana" w:cs="Arial"/>
          <w:color w:val="000000" w:themeColor="text1"/>
          <w:vertAlign w:val="superscript"/>
          <w:lang w:val="es-ES"/>
        </w:rPr>
        <w:footnoteReference w:id="3"/>
      </w:r>
      <w:r w:rsidRPr="00A16FEE">
        <w:rPr>
          <w:rFonts w:ascii="Verdana" w:eastAsia="Calibri" w:hAnsi="Verdana" w:cs="Arial"/>
          <w:color w:val="000000" w:themeColor="text1"/>
          <w:lang w:val="es-ES"/>
        </w:rPr>
        <w:t xml:space="preserve">, pues si se admitiera una interpretación amplia, extensiva o finalista de las mismas, los enunciados normativos podrían contemplar múltiples supuestos indeterminados, según el parecer o el sentido común de los operadores jurídicos, poniendo en riesgo principios como la igualdad, el debido proceso, la libre concurrencia y el ejercicio de la profesión u oficio. Esta ha sido la postura al interior de la jurisprudencia, tanto de la Corte Constitucional como de la Sección Tercera del Consejo de Estado. </w:t>
      </w:r>
    </w:p>
    <w:p w14:paraId="12DD29A2" w14:textId="77777777" w:rsidR="006C48F4" w:rsidRDefault="00EF4691" w:rsidP="00D21119">
      <w:pPr>
        <w:spacing w:after="120" w:line="276" w:lineRule="auto"/>
        <w:ind w:firstLine="709"/>
        <w:jc w:val="both"/>
        <w:rPr>
          <w:rFonts w:ascii="Verdana" w:eastAsia="Calibri" w:hAnsi="Verdana" w:cs="Arial"/>
          <w:color w:val="000000" w:themeColor="text1"/>
          <w:lang w:val="es-ES"/>
        </w:rPr>
      </w:pPr>
      <w:r w:rsidRPr="00A16FEE">
        <w:rPr>
          <w:rFonts w:ascii="Verdana" w:eastAsia="Calibri" w:hAnsi="Verdana" w:cs="Arial"/>
          <w:color w:val="000000" w:themeColor="text1"/>
          <w:lang w:val="es-ES"/>
        </w:rPr>
        <w:t>En efecto, el máximo tribunal constitucional ha indicado que, al tratar de precisar el sentido de este tipo de normas,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A16FEE">
        <w:rPr>
          <w:rFonts w:ascii="Verdana" w:eastAsia="Calibri" w:hAnsi="Verdana" w:cs="Arial"/>
          <w:color w:val="000000" w:themeColor="text1"/>
          <w:vertAlign w:val="superscript"/>
          <w:lang w:val="es-ES"/>
        </w:rPr>
        <w:footnoteReference w:id="4"/>
      </w:r>
      <w:r w:rsidRPr="00A16FEE">
        <w:rPr>
          <w:rFonts w:ascii="Verdana" w:eastAsia="Calibri" w:hAnsi="Verdana" w:cs="Arial"/>
          <w:color w:val="000000" w:themeColor="text1"/>
          <w:lang w:val="es-ES"/>
        </w:rPr>
        <w:t xml:space="preserve">. </w:t>
      </w:r>
    </w:p>
    <w:p w14:paraId="476982B4" w14:textId="765E1875" w:rsidR="00EF4691" w:rsidRPr="00A16FEE" w:rsidRDefault="00EF4691" w:rsidP="00EF4691">
      <w:pPr>
        <w:spacing w:after="0" w:line="276" w:lineRule="auto"/>
        <w:ind w:firstLine="709"/>
        <w:jc w:val="both"/>
        <w:rPr>
          <w:rFonts w:ascii="Verdana" w:eastAsia="Calibri" w:hAnsi="Verdana" w:cs="Arial"/>
          <w:color w:val="000000" w:themeColor="text1"/>
          <w:lang w:val="es-ES"/>
        </w:rPr>
      </w:pPr>
      <w:r w:rsidRPr="00A16FEE">
        <w:rPr>
          <w:rFonts w:ascii="Verdana" w:eastAsia="Calibri" w:hAnsi="Verdana" w:cs="Arial"/>
          <w:color w:val="000000" w:themeColor="text1"/>
          <w:lang w:val="es-ES"/>
        </w:rPr>
        <w:lastRenderedPageBreak/>
        <w:t>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A16FEE">
        <w:rPr>
          <w:rFonts w:ascii="Verdana" w:eastAsia="Calibri" w:hAnsi="Verdana" w:cs="Arial"/>
          <w:color w:val="000000" w:themeColor="text1"/>
          <w:vertAlign w:val="superscript"/>
          <w:lang w:val="es-ES"/>
        </w:rPr>
        <w:footnoteReference w:id="5"/>
      </w:r>
      <w:r w:rsidRPr="00A16FEE">
        <w:rPr>
          <w:rFonts w:ascii="Verdana" w:eastAsia="Calibri" w:hAnsi="Verdana" w:cs="Arial"/>
          <w:color w:val="000000" w:themeColor="text1"/>
          <w:lang w:val="es-ES"/>
        </w:rPr>
        <w:t>. En tal sentido, la Sección Tercera ha señalado que:</w:t>
      </w:r>
    </w:p>
    <w:p w14:paraId="35C81240" w14:textId="77777777" w:rsidR="00EF4691" w:rsidRPr="00A16FEE" w:rsidRDefault="00EF4691" w:rsidP="00EF4691">
      <w:pPr>
        <w:spacing w:after="0" w:line="276" w:lineRule="auto"/>
        <w:ind w:firstLine="709"/>
        <w:jc w:val="both"/>
        <w:rPr>
          <w:rFonts w:ascii="Verdana" w:eastAsia="Calibri" w:hAnsi="Verdana" w:cs="Arial"/>
          <w:color w:val="000000" w:themeColor="text1"/>
          <w:lang w:val="es-ES"/>
        </w:rPr>
      </w:pPr>
    </w:p>
    <w:p w14:paraId="5770F971" w14:textId="77777777" w:rsidR="00EF4691" w:rsidRPr="00293CD3" w:rsidRDefault="00EF4691" w:rsidP="00EF4691">
      <w:pPr>
        <w:spacing w:after="0" w:line="240" w:lineRule="auto"/>
        <w:ind w:left="709" w:right="709"/>
        <w:jc w:val="both"/>
        <w:rPr>
          <w:rFonts w:ascii="Verdana" w:hAnsi="Verdana" w:cs="Arial"/>
          <w:color w:val="000000" w:themeColor="text1"/>
          <w:sz w:val="20"/>
          <w:szCs w:val="20"/>
          <w:lang w:val="es-ES"/>
        </w:rPr>
      </w:pPr>
      <w:r w:rsidRPr="00293CD3">
        <w:rPr>
          <w:rFonts w:ascii="Verdana" w:hAnsi="Verdana" w:cs="Arial"/>
          <w:color w:val="000000" w:themeColor="text1"/>
          <w:sz w:val="20"/>
          <w:szCs w:val="20"/>
          <w:lang w:val="es-ES"/>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Pr="00293CD3">
        <w:rPr>
          <w:rFonts w:ascii="Verdana" w:hAnsi="Verdana" w:cs="Arial"/>
          <w:color w:val="000000" w:themeColor="text1"/>
          <w:sz w:val="20"/>
          <w:szCs w:val="20"/>
          <w:vertAlign w:val="superscript"/>
          <w:lang w:val="es-ES"/>
        </w:rPr>
        <w:footnoteReference w:id="6"/>
      </w:r>
      <w:r w:rsidRPr="00293CD3">
        <w:rPr>
          <w:rFonts w:ascii="Verdana" w:hAnsi="Verdana" w:cs="Arial"/>
          <w:color w:val="000000" w:themeColor="text1"/>
          <w:sz w:val="20"/>
          <w:szCs w:val="20"/>
          <w:lang w:val="es-ES"/>
        </w:rPr>
        <w:t>.</w:t>
      </w:r>
    </w:p>
    <w:p w14:paraId="241E35E0" w14:textId="77777777" w:rsidR="00EF4691" w:rsidRPr="00293CD3" w:rsidRDefault="00EF4691" w:rsidP="00EF4691">
      <w:pPr>
        <w:spacing w:after="0" w:line="240" w:lineRule="auto"/>
        <w:ind w:left="709" w:right="709"/>
        <w:jc w:val="both"/>
        <w:rPr>
          <w:rFonts w:ascii="Verdana" w:hAnsi="Verdana" w:cs="Arial"/>
          <w:bCs/>
          <w:color w:val="000000" w:themeColor="text1"/>
          <w:sz w:val="20"/>
          <w:szCs w:val="20"/>
          <w:lang w:val="es-ES"/>
        </w:rPr>
      </w:pPr>
    </w:p>
    <w:p w14:paraId="36059357" w14:textId="77777777" w:rsidR="00EF4691" w:rsidRPr="00293CD3" w:rsidRDefault="00EF4691" w:rsidP="00EF4691">
      <w:pPr>
        <w:spacing w:after="0" w:line="240" w:lineRule="auto"/>
        <w:ind w:firstLine="709"/>
        <w:jc w:val="both"/>
        <w:rPr>
          <w:rFonts w:ascii="Verdana" w:eastAsia="Calibri" w:hAnsi="Verdana" w:cs="Arial"/>
          <w:color w:val="000000" w:themeColor="text1"/>
          <w:sz w:val="20"/>
          <w:szCs w:val="20"/>
          <w:lang w:val="es-ES"/>
        </w:rPr>
      </w:pPr>
      <w:r w:rsidRPr="00293CD3">
        <w:rPr>
          <w:rFonts w:ascii="Verdana" w:eastAsia="Calibri" w:hAnsi="Verdana" w:cs="Arial"/>
          <w:color w:val="000000" w:themeColor="text1"/>
          <w:sz w:val="20"/>
          <w:szCs w:val="20"/>
          <w:lang w:val="es-ES"/>
        </w:rPr>
        <w:t>También ha dicho que:</w:t>
      </w:r>
    </w:p>
    <w:p w14:paraId="0EF23698" w14:textId="77777777" w:rsidR="00EF4691" w:rsidRPr="00293CD3" w:rsidRDefault="00EF4691" w:rsidP="00EF4691">
      <w:pPr>
        <w:spacing w:after="0" w:line="240" w:lineRule="auto"/>
        <w:jc w:val="both"/>
        <w:rPr>
          <w:rFonts w:ascii="Verdana" w:eastAsia="Calibri" w:hAnsi="Verdana" w:cs="Arial"/>
          <w:color w:val="000000" w:themeColor="text1"/>
          <w:sz w:val="20"/>
          <w:szCs w:val="20"/>
          <w:lang w:val="es-ES"/>
        </w:rPr>
      </w:pPr>
    </w:p>
    <w:p w14:paraId="7D250B5B" w14:textId="77777777" w:rsidR="00EF4691" w:rsidRPr="00293CD3" w:rsidRDefault="00EF4691" w:rsidP="00EF4691">
      <w:pPr>
        <w:spacing w:after="0" w:line="240" w:lineRule="auto"/>
        <w:ind w:left="709" w:right="709"/>
        <w:jc w:val="both"/>
        <w:rPr>
          <w:rFonts w:ascii="Verdana" w:hAnsi="Verdana" w:cs="Arial"/>
          <w:color w:val="000000" w:themeColor="text1"/>
          <w:sz w:val="20"/>
          <w:szCs w:val="20"/>
          <w:lang w:val="es-ES"/>
        </w:rPr>
      </w:pPr>
      <w:r w:rsidRPr="00293CD3">
        <w:rPr>
          <w:rFonts w:ascii="Verdana" w:hAnsi="Verdana" w:cs="Arial"/>
          <w:color w:val="000000" w:themeColor="text1"/>
          <w:sz w:val="20"/>
          <w:szCs w:val="20"/>
          <w:lang w:val="es-ES"/>
        </w:rPr>
        <w:t xml:space="preserve">“[…] la aplicación de estos preceptos exige una interpretación restrictiva, dado que según el principio hermenéutico </w:t>
      </w:r>
      <w:r w:rsidRPr="00293CD3">
        <w:rPr>
          <w:rFonts w:ascii="Verdana" w:hAnsi="Verdana" w:cs="Arial"/>
          <w:i/>
          <w:color w:val="000000" w:themeColor="text1"/>
          <w:sz w:val="20"/>
          <w:szCs w:val="20"/>
          <w:lang w:val="es-ES"/>
        </w:rPr>
        <w:t xml:space="preserve">pro </w:t>
      </w:r>
      <w:proofErr w:type="spellStart"/>
      <w:r w:rsidRPr="00293CD3">
        <w:rPr>
          <w:rFonts w:ascii="Verdana" w:hAnsi="Verdana" w:cs="Arial"/>
          <w:i/>
          <w:color w:val="000000" w:themeColor="text1"/>
          <w:sz w:val="20"/>
          <w:szCs w:val="20"/>
          <w:lang w:val="es-ES"/>
        </w:rPr>
        <w:t>libertate</w:t>
      </w:r>
      <w:proofErr w:type="spellEnd"/>
      <w:r w:rsidRPr="00293CD3">
        <w:rPr>
          <w:rFonts w:ascii="Verdana" w:hAnsi="Verdana" w:cs="Arial"/>
          <w:color w:val="000000" w:themeColor="text1"/>
          <w:sz w:val="20"/>
          <w:szCs w:val="20"/>
          <w:lang w:val="es-ES"/>
        </w:rPr>
        <w:t>,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00293CD3">
        <w:rPr>
          <w:rFonts w:ascii="Verdana" w:hAnsi="Verdana" w:cs="Arial"/>
          <w:color w:val="000000" w:themeColor="text1"/>
          <w:sz w:val="20"/>
          <w:szCs w:val="20"/>
          <w:vertAlign w:val="superscript"/>
          <w:lang w:val="es-ES"/>
        </w:rPr>
        <w:footnoteReference w:id="7"/>
      </w:r>
      <w:r w:rsidRPr="00293CD3">
        <w:rPr>
          <w:rFonts w:ascii="Verdana" w:hAnsi="Verdana" w:cs="Arial"/>
          <w:color w:val="000000" w:themeColor="text1"/>
          <w:sz w:val="20"/>
          <w:szCs w:val="20"/>
          <w:lang w:val="es-ES"/>
        </w:rPr>
        <w:t>.</w:t>
      </w:r>
    </w:p>
    <w:p w14:paraId="11318D5C" w14:textId="77777777" w:rsidR="00EF4691" w:rsidRPr="00A16FEE" w:rsidRDefault="00EF4691" w:rsidP="003F6778">
      <w:pPr>
        <w:spacing w:after="0" w:line="276" w:lineRule="auto"/>
        <w:ind w:left="709" w:right="709"/>
        <w:jc w:val="both"/>
        <w:rPr>
          <w:rFonts w:ascii="Verdana" w:hAnsi="Verdana" w:cs="Arial"/>
          <w:color w:val="000000" w:themeColor="text1"/>
          <w:lang w:val="es-ES"/>
        </w:rPr>
      </w:pPr>
    </w:p>
    <w:p w14:paraId="3508BA18" w14:textId="77777777" w:rsidR="00EF4691" w:rsidRPr="00A16FEE" w:rsidRDefault="00EF4691" w:rsidP="003F6778">
      <w:pPr>
        <w:spacing w:after="0" w:line="276" w:lineRule="auto"/>
        <w:ind w:firstLine="708"/>
        <w:jc w:val="both"/>
        <w:rPr>
          <w:rFonts w:ascii="Verdana" w:eastAsia="Calibri" w:hAnsi="Verdana" w:cs="Arial"/>
          <w:color w:val="000000"/>
          <w:szCs w:val="24"/>
          <w:lang w:val="es-ES"/>
        </w:rPr>
      </w:pPr>
      <w:r w:rsidRPr="00A16FEE">
        <w:rPr>
          <w:rFonts w:ascii="Verdana" w:eastAsia="Calibri" w:hAnsi="Verdana" w:cs="Arial"/>
          <w:color w:val="000000" w:themeColor="text1"/>
          <w:lang w:val="es-ES"/>
        </w:rPr>
        <w:t xml:space="preserve">Como se aprecia, el principio </w:t>
      </w:r>
      <w:r w:rsidRPr="00A16FEE">
        <w:rPr>
          <w:rFonts w:ascii="Verdana" w:eastAsia="Calibri" w:hAnsi="Verdana" w:cs="Arial"/>
          <w:i/>
          <w:color w:val="000000" w:themeColor="text1"/>
          <w:lang w:val="es-ES"/>
        </w:rPr>
        <w:t xml:space="preserve">pro </w:t>
      </w:r>
      <w:proofErr w:type="spellStart"/>
      <w:r w:rsidRPr="00A16FEE">
        <w:rPr>
          <w:rFonts w:ascii="Verdana" w:eastAsia="Calibri" w:hAnsi="Verdana" w:cs="Arial"/>
          <w:i/>
          <w:color w:val="000000" w:themeColor="text1"/>
          <w:lang w:val="es-ES"/>
        </w:rPr>
        <w:t>libertate</w:t>
      </w:r>
      <w:proofErr w:type="spellEnd"/>
      <w:r w:rsidRPr="00A16FEE">
        <w:rPr>
          <w:rFonts w:ascii="Verdana" w:eastAsia="Calibri" w:hAnsi="Verdana" w:cs="Arial"/>
          <w:color w:val="000000" w:themeColor="text1"/>
          <w:lang w:val="es-ES"/>
        </w:rPr>
        <w:t xml:space="preserve"> debe dirigir la interpretación de las disposiciones normativas que consagran restricciones de derechos, como sucede con las causales de inhabilidad e incompatibilidad en la contratación estatal.</w:t>
      </w:r>
      <w:r w:rsidRPr="00A16FEE">
        <w:rPr>
          <w:rFonts w:ascii="Verdana" w:eastAsia="Arial" w:hAnsi="Verdana" w:cs="Arial"/>
          <w:color w:val="000000"/>
          <w:lang w:val="es-ES"/>
        </w:rPr>
        <w:t xml:space="preserve"> Además, en relación con la determinación de las causales de inhabilidad e incompatibilidad, la</w:t>
      </w:r>
      <w:r w:rsidRPr="00A16FEE">
        <w:rPr>
          <w:rFonts w:ascii="Verdana" w:eastAsia="Calibri" w:hAnsi="Verdana" w:cs="Arial"/>
          <w:color w:val="000000"/>
          <w:lang w:val="es-ES"/>
        </w:rPr>
        <w:t xml:space="preserve"> Corte Constitucional ha resaltado que la competencia para determinar qué hechos o situaciones generan inhabilidades o incompatibilidades para contratar con el Estado la tiene el legislador, pues este régimen es un </w:t>
      </w:r>
      <w:r w:rsidRPr="00A16FEE">
        <w:rPr>
          <w:rFonts w:ascii="Verdana" w:eastAsia="Calibri" w:hAnsi="Verdana" w:cs="Arial"/>
          <w:color w:val="000000"/>
          <w:lang w:val="es-ES"/>
        </w:rPr>
        <w:lastRenderedPageBreak/>
        <w:t>aspecto propio del Estatuto General de la Contratación de la Administración Pública, cuya expedición compete al Congreso de la República, conforme al artículo 150 de la Constitución Política, y que en esta materia rige el principio de legalidad:</w:t>
      </w:r>
    </w:p>
    <w:p w14:paraId="2AD802FC" w14:textId="77777777" w:rsidR="00EF4691" w:rsidRPr="00A16FEE" w:rsidRDefault="00EF4691" w:rsidP="003F6778">
      <w:pPr>
        <w:tabs>
          <w:tab w:val="left" w:pos="1532"/>
        </w:tabs>
        <w:spacing w:after="0" w:line="276" w:lineRule="auto"/>
        <w:jc w:val="both"/>
        <w:rPr>
          <w:rFonts w:ascii="Verdana" w:eastAsia="Calibri" w:hAnsi="Verdana" w:cs="Arial"/>
          <w:color w:val="000000"/>
          <w:lang w:val="es-ES"/>
        </w:rPr>
      </w:pPr>
      <w:r w:rsidRPr="00A16FEE">
        <w:rPr>
          <w:rFonts w:ascii="Verdana" w:eastAsia="Calibri" w:hAnsi="Verdana" w:cs="Arial"/>
          <w:color w:val="000000"/>
          <w:sz w:val="24"/>
          <w:lang w:val="es-ES"/>
        </w:rPr>
        <w:tab/>
      </w:r>
    </w:p>
    <w:p w14:paraId="3BF75656" w14:textId="77777777" w:rsidR="00EF4691" w:rsidRPr="00A16FEE" w:rsidRDefault="00EF4691" w:rsidP="00EF4691">
      <w:pPr>
        <w:spacing w:after="0" w:line="240" w:lineRule="auto"/>
        <w:ind w:left="709" w:right="709"/>
        <w:jc w:val="both"/>
        <w:rPr>
          <w:rFonts w:ascii="Verdana" w:eastAsia="Calibri" w:hAnsi="Verdana" w:cs="Arial"/>
          <w:color w:val="000000"/>
          <w:sz w:val="20"/>
          <w:szCs w:val="20"/>
          <w:lang w:val="es-ES"/>
        </w:rPr>
      </w:pPr>
      <w:r w:rsidRPr="00A16FEE">
        <w:rPr>
          <w:rFonts w:ascii="Verdana" w:eastAsia="Calibri" w:hAnsi="Verdana" w:cs="Arial"/>
          <w:color w:val="000000"/>
          <w:sz w:val="20"/>
          <w:szCs w:val="20"/>
          <w:lang w:val="es-ES"/>
        </w:rPr>
        <w:t xml:space="preserve">“[…] 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pro </w:t>
      </w:r>
      <w:proofErr w:type="spellStart"/>
      <w:r w:rsidRPr="00A16FEE">
        <w:rPr>
          <w:rFonts w:ascii="Verdana" w:eastAsia="Calibri" w:hAnsi="Verdana" w:cs="Arial"/>
          <w:color w:val="000000"/>
          <w:sz w:val="20"/>
          <w:szCs w:val="20"/>
          <w:lang w:val="es-ES"/>
        </w:rPr>
        <w:t>libertate</w:t>
      </w:r>
      <w:proofErr w:type="spellEnd"/>
      <w:r w:rsidRPr="00A16FEE">
        <w:rPr>
          <w:rFonts w:ascii="Verdana" w:eastAsia="Calibri" w:hAnsi="Verdana" w:cs="Arial"/>
          <w:color w:val="000000"/>
          <w:sz w:val="20"/>
          <w:szCs w:val="20"/>
          <w:lang w:val="es-ES"/>
        </w:rPr>
        <w:t xml:space="preserve">, sino el de legalidad, el que ordena que la función pública debe someterse estrictamente a lo que disponga la Constitución y la ley (CP art. 6). </w:t>
      </w:r>
    </w:p>
    <w:p w14:paraId="1AB80473" w14:textId="77777777" w:rsidR="00EF4691" w:rsidRPr="00A16FEE" w:rsidRDefault="00EF4691" w:rsidP="00EF4691">
      <w:pPr>
        <w:spacing w:after="0" w:line="240" w:lineRule="auto"/>
        <w:ind w:left="709" w:right="709"/>
        <w:jc w:val="both"/>
        <w:rPr>
          <w:rFonts w:ascii="Verdana" w:eastAsia="Calibri" w:hAnsi="Verdana" w:cs="Arial"/>
          <w:color w:val="000000"/>
          <w:sz w:val="20"/>
          <w:szCs w:val="20"/>
          <w:lang w:val="es-ES"/>
        </w:rPr>
      </w:pPr>
      <w:r w:rsidRPr="00A16FEE">
        <w:rPr>
          <w:rFonts w:ascii="Verdana" w:eastAsia="Calibri" w:hAnsi="Verdana" w:cs="Arial"/>
          <w:color w:val="000000"/>
          <w:sz w:val="20"/>
          <w:szCs w:val="20"/>
          <w:lang w:val="es-ES"/>
        </w:rPr>
        <w:t>[…]</w:t>
      </w:r>
    </w:p>
    <w:p w14:paraId="208F7623" w14:textId="77777777" w:rsidR="00EF4691" w:rsidRPr="00A16FEE" w:rsidRDefault="00EF4691" w:rsidP="00EF4691">
      <w:pPr>
        <w:spacing w:after="0" w:line="240" w:lineRule="auto"/>
        <w:ind w:left="709" w:right="709"/>
        <w:jc w:val="both"/>
        <w:rPr>
          <w:rFonts w:ascii="Verdana" w:eastAsia="Calibri" w:hAnsi="Verdana" w:cs="Arial"/>
          <w:color w:val="000000"/>
          <w:sz w:val="20"/>
          <w:szCs w:val="20"/>
          <w:lang w:val="es-ES"/>
        </w:rPr>
      </w:pPr>
      <w:r w:rsidRPr="00A16FEE">
        <w:rPr>
          <w:rFonts w:ascii="Verdana" w:eastAsia="Calibri" w:hAnsi="Verdana" w:cs="Arial"/>
          <w:color w:val="000000"/>
          <w:sz w:val="20"/>
          <w:szCs w:val="20"/>
          <w:lang w:val="es-ES"/>
        </w:rPr>
        <w:t>Se comprende con facilidad que el régimen de inhabilidades e incompatibilidades corresponde a una materia de normal y obligada inclusión en un estatuto contractual. El legislador, a quien se ha confiado expedir el indicado estatuto, tiene, pues, competencia para establecerlo (CP art. 150)”</w:t>
      </w:r>
      <w:r w:rsidRPr="00A16FEE">
        <w:rPr>
          <w:rFonts w:ascii="Verdana" w:eastAsia="Calibri" w:hAnsi="Verdana" w:cs="Arial"/>
          <w:color w:val="000000"/>
          <w:sz w:val="20"/>
          <w:szCs w:val="20"/>
          <w:vertAlign w:val="superscript"/>
          <w:lang w:val="es-ES"/>
        </w:rPr>
        <w:footnoteReference w:id="8"/>
      </w:r>
      <w:r w:rsidRPr="00A16FEE">
        <w:rPr>
          <w:rFonts w:ascii="Verdana" w:eastAsia="Calibri" w:hAnsi="Verdana" w:cs="Arial"/>
          <w:color w:val="000000"/>
          <w:sz w:val="20"/>
          <w:szCs w:val="20"/>
          <w:lang w:val="es-ES"/>
        </w:rPr>
        <w:t>.</w:t>
      </w:r>
    </w:p>
    <w:p w14:paraId="3AB3E5B2" w14:textId="77777777" w:rsidR="00EF4691" w:rsidRPr="00A16FEE" w:rsidRDefault="00EF4691" w:rsidP="00AB6609">
      <w:pPr>
        <w:spacing w:after="0" w:line="240" w:lineRule="auto"/>
        <w:ind w:left="709" w:right="709"/>
        <w:jc w:val="both"/>
        <w:rPr>
          <w:rFonts w:ascii="Verdana" w:eastAsia="Calibri" w:hAnsi="Verdana" w:cs="Arial"/>
          <w:color w:val="000000"/>
          <w:sz w:val="20"/>
          <w:szCs w:val="20"/>
          <w:lang w:val="es-ES"/>
        </w:rPr>
      </w:pPr>
    </w:p>
    <w:p w14:paraId="227FB45C" w14:textId="77777777" w:rsidR="00EF4691" w:rsidRDefault="00EF4691" w:rsidP="00AB6609">
      <w:pPr>
        <w:widowControl w:val="0"/>
        <w:autoSpaceDE w:val="0"/>
        <w:autoSpaceDN w:val="0"/>
        <w:spacing w:after="0" w:line="276" w:lineRule="auto"/>
        <w:ind w:firstLine="709"/>
        <w:jc w:val="both"/>
        <w:rPr>
          <w:rFonts w:ascii="Verdana" w:eastAsia="Arial MT" w:hAnsi="Verdana" w:cs="Arial"/>
          <w:lang w:val="es-ES" w:eastAsia="es-ES" w:bidi="es-ES"/>
        </w:rPr>
      </w:pPr>
      <w:r w:rsidRPr="00A16FEE">
        <w:rPr>
          <w:rFonts w:ascii="Verdana" w:eastAsia="Arial MT" w:hAnsi="Verdana" w:cs="Arial"/>
          <w:lang w:val="es-ES" w:eastAsia="es-ES" w:bidi="es-ES"/>
        </w:rPr>
        <w:t>En suma, el régimen de inhabilidades e incompatibilidades se origina en la prerrogativa legislativa, obedece al principio de legalidad y su interpretación es restrictiva, como quiera que su aplicación implica limitaciones para el acceso a cargos o ejercicio de funciones públicas y para participar en procesos de contratación pública adelantados por las entidades estatales, según sea el caso.</w:t>
      </w:r>
    </w:p>
    <w:p w14:paraId="7D670FB0" w14:textId="77777777" w:rsidR="00AB6609" w:rsidRPr="00A16FEE" w:rsidRDefault="00AB6609" w:rsidP="00D21119">
      <w:pPr>
        <w:widowControl w:val="0"/>
        <w:autoSpaceDE w:val="0"/>
        <w:autoSpaceDN w:val="0"/>
        <w:spacing w:after="0" w:line="276" w:lineRule="auto"/>
        <w:ind w:firstLine="709"/>
        <w:jc w:val="both"/>
        <w:rPr>
          <w:rFonts w:ascii="Verdana" w:eastAsia="Arial MT" w:hAnsi="Verdana" w:cs="Arial"/>
          <w:lang w:val="es-ES" w:eastAsia="es-ES" w:bidi="es-ES"/>
        </w:rPr>
      </w:pPr>
    </w:p>
    <w:p w14:paraId="0AD6709B" w14:textId="45927540" w:rsidR="00EF4691" w:rsidRPr="000A5192" w:rsidRDefault="00EF4691" w:rsidP="00EF4691">
      <w:pPr>
        <w:widowControl w:val="0"/>
        <w:autoSpaceDE w:val="0"/>
        <w:autoSpaceDN w:val="0"/>
        <w:spacing w:after="120" w:line="276" w:lineRule="auto"/>
        <w:jc w:val="both"/>
        <w:rPr>
          <w:rFonts w:ascii="Verdana" w:eastAsia="Arial MT" w:hAnsi="Verdana" w:cs="Arial"/>
          <w:lang w:eastAsia="es-ES" w:bidi="es-ES"/>
        </w:rPr>
      </w:pPr>
      <w:proofErr w:type="spellStart"/>
      <w:r>
        <w:rPr>
          <w:rFonts w:ascii="Verdana" w:eastAsia="Arial MT" w:hAnsi="Verdana" w:cs="Arial"/>
          <w:lang w:val="es-ES" w:eastAsia="es-ES" w:bidi="es-ES"/>
        </w:rPr>
        <w:t>ii</w:t>
      </w:r>
      <w:proofErr w:type="spellEnd"/>
      <w:r>
        <w:rPr>
          <w:rFonts w:ascii="Verdana" w:eastAsia="Arial MT" w:hAnsi="Verdana" w:cs="Arial"/>
          <w:lang w:val="es-ES" w:eastAsia="es-ES" w:bidi="es-ES"/>
        </w:rPr>
        <w:t xml:space="preserve">. </w:t>
      </w:r>
      <w:r w:rsidRPr="000A5192">
        <w:rPr>
          <w:rFonts w:ascii="Verdana" w:eastAsia="Arial MT" w:hAnsi="Verdana" w:cs="Arial"/>
          <w:lang w:val="es-ES" w:eastAsia="es-ES" w:bidi="es-ES"/>
        </w:rPr>
        <w:t xml:space="preserve">Ahora bien, </w:t>
      </w:r>
      <w:r>
        <w:rPr>
          <w:rFonts w:ascii="Verdana" w:eastAsia="Arial MT" w:hAnsi="Verdana" w:cs="Arial"/>
          <w:lang w:eastAsia="es-ES" w:bidi="es-ES"/>
        </w:rPr>
        <w:t>en relación con su interrogante, es necesario analizar l</w:t>
      </w:r>
      <w:r w:rsidRPr="000A5192">
        <w:rPr>
          <w:rFonts w:ascii="Verdana" w:eastAsia="Arial MT" w:hAnsi="Verdana" w:cs="Arial"/>
          <w:lang w:eastAsia="es-ES" w:bidi="es-ES"/>
        </w:rPr>
        <w:t>a expresión “la entidad respectiva”, contenida en el numeral 2 del artículo 8 de la Ley 80 de 1993</w:t>
      </w:r>
      <w:r w:rsidR="00260604">
        <w:rPr>
          <w:rFonts w:ascii="Verdana" w:eastAsia="Arial MT" w:hAnsi="Verdana" w:cs="Arial"/>
          <w:lang w:eastAsia="es-ES" w:bidi="es-ES"/>
        </w:rPr>
        <w:t>. Esta</w:t>
      </w:r>
      <w:r w:rsidRPr="000A5192">
        <w:rPr>
          <w:rFonts w:ascii="Verdana" w:eastAsia="Arial MT" w:hAnsi="Verdana" w:cs="Arial"/>
          <w:lang w:eastAsia="es-ES" w:bidi="es-ES"/>
        </w:rPr>
        <w:t xml:space="preserve"> debe entenderse como una referencia a la entidad estatal con la cual se pretende celebrar el contrato y respecto de la cual existe el vínculo funcional que da origen a la incompatibilidad. Por tanto, en el caso del literal c), la prohibición se encuentra circunscrita a la entidad en la que ejerce el cargo el servidor público cuya condición genera la incompatibilidad. </w:t>
      </w:r>
    </w:p>
    <w:p w14:paraId="5FAAB084" w14:textId="77777777" w:rsidR="00EF4691" w:rsidRPr="000A5192" w:rsidRDefault="00EF4691" w:rsidP="00EF4691">
      <w:pPr>
        <w:widowControl w:val="0"/>
        <w:autoSpaceDE w:val="0"/>
        <w:autoSpaceDN w:val="0"/>
        <w:spacing w:after="120" w:line="276" w:lineRule="auto"/>
        <w:ind w:firstLine="709"/>
        <w:jc w:val="both"/>
        <w:rPr>
          <w:rFonts w:ascii="Verdana" w:eastAsia="Arial MT" w:hAnsi="Verdana" w:cs="Arial"/>
          <w:lang w:eastAsia="es-ES" w:bidi="es-ES"/>
        </w:rPr>
      </w:pPr>
      <w:r w:rsidRPr="000A5192">
        <w:rPr>
          <w:rFonts w:ascii="Verdana" w:eastAsia="Arial MT" w:hAnsi="Verdana" w:cs="Arial"/>
          <w:lang w:eastAsia="es-ES" w:bidi="es-ES"/>
        </w:rPr>
        <w:t xml:space="preserve">En efecto, el numeral 2 del artículo 8 establece que determinadas personas no podrán participar en procesos de selección ni celebrar contratos </w:t>
      </w:r>
      <w:r w:rsidRPr="000A5192">
        <w:rPr>
          <w:rFonts w:ascii="Verdana" w:eastAsia="Arial MT" w:hAnsi="Verdana" w:cs="Arial"/>
          <w:lang w:eastAsia="es-ES" w:bidi="es-ES"/>
        </w:rPr>
        <w:lastRenderedPageBreak/>
        <w:t xml:space="preserve">estatales “con la entidad respectiva”. Particularmente, el literal c) señala como sujeto de la prohibición al cónyuge, compañero o compañera permanente del servidor público de los niveles directivo, asesor o ejecutivo, de un miembro de junta o consejo directivo, o de quien ejerza funciones de control interno o de control fiscal. </w:t>
      </w:r>
    </w:p>
    <w:p w14:paraId="3242995C" w14:textId="1EA8F131" w:rsidR="00EF4691" w:rsidRPr="000A5192" w:rsidRDefault="00EF4691" w:rsidP="00EF4691">
      <w:pPr>
        <w:widowControl w:val="0"/>
        <w:autoSpaceDE w:val="0"/>
        <w:autoSpaceDN w:val="0"/>
        <w:spacing w:after="120" w:line="276" w:lineRule="auto"/>
        <w:ind w:firstLine="709"/>
        <w:jc w:val="both"/>
        <w:rPr>
          <w:rFonts w:ascii="Verdana" w:eastAsia="Arial MT" w:hAnsi="Verdana" w:cs="Arial"/>
          <w:lang w:eastAsia="es-ES" w:bidi="es-ES"/>
        </w:rPr>
      </w:pPr>
      <w:r w:rsidRPr="000A5192">
        <w:rPr>
          <w:rFonts w:ascii="Verdana" w:eastAsia="Arial MT" w:hAnsi="Verdana" w:cs="Arial"/>
          <w:lang w:eastAsia="es-ES" w:bidi="es-ES"/>
        </w:rPr>
        <w:t>La expresión “respectiva” cumple, entonces, una función delimitadora del ámbito de aplicación de la incompatibilidad. No se trata de una prohibición general para contratar con cualquier entidad estatal, sino de una restricción vinculada con la entidad en la cual el servidor público ostenta la calidad que genera la incompatibilidad</w:t>
      </w:r>
      <w:r w:rsidR="001F4E2F">
        <w:rPr>
          <w:rFonts w:ascii="Verdana" w:eastAsia="Arial MT" w:hAnsi="Verdana" w:cs="Arial"/>
          <w:lang w:eastAsia="es-ES" w:bidi="es-ES"/>
        </w:rPr>
        <w:t>, entidad que a su vez es la que pretende celebrar un contrato estatal</w:t>
      </w:r>
      <w:r w:rsidRPr="000A5192">
        <w:rPr>
          <w:rFonts w:ascii="Verdana" w:eastAsia="Arial MT" w:hAnsi="Verdana" w:cs="Arial"/>
          <w:lang w:eastAsia="es-ES" w:bidi="es-ES"/>
        </w:rPr>
        <w:t xml:space="preserve">. </w:t>
      </w:r>
    </w:p>
    <w:p w14:paraId="40023D5B" w14:textId="77777777" w:rsidR="00EF4691" w:rsidRPr="000A5192" w:rsidRDefault="00EF4691" w:rsidP="00EF4691">
      <w:pPr>
        <w:widowControl w:val="0"/>
        <w:autoSpaceDE w:val="0"/>
        <w:autoSpaceDN w:val="0"/>
        <w:spacing w:after="120" w:line="276" w:lineRule="auto"/>
        <w:ind w:firstLine="709"/>
        <w:jc w:val="both"/>
        <w:rPr>
          <w:rFonts w:ascii="Verdana" w:eastAsia="Arial MT" w:hAnsi="Verdana" w:cs="Arial"/>
          <w:lang w:eastAsia="es-ES" w:bidi="es-ES"/>
        </w:rPr>
      </w:pPr>
      <w:r w:rsidRPr="000A5192">
        <w:rPr>
          <w:rFonts w:ascii="Verdana" w:eastAsia="Arial MT" w:hAnsi="Verdana" w:cs="Arial"/>
          <w:lang w:eastAsia="es-ES" w:bidi="es-ES"/>
        </w:rPr>
        <w:t>Esta interpretación resulta además necesaria debido al carácter restrictivo y taxativo del régimen de inhabilidades e incompatibilidades. Como estas disposiciones limitan la capacidad jurídica para contratar, no es jurídicamente admisible extender su ámbito de aplicación a entidades distintas de aquella expresamente comprendida por el supuesto legal. Una interpretación que hiciera extensiva la prohibición a otras entidades estatales, únicamente por pertenecer al mismo sector administrativo o por encontrarse vinculadas institucionalmente, supondría ampliar una restricción que el legislador no estableció expresamente.</w:t>
      </w:r>
    </w:p>
    <w:p w14:paraId="30F8AB38" w14:textId="77777777" w:rsidR="00EF4691" w:rsidRPr="000A5192" w:rsidRDefault="00EF4691" w:rsidP="00EF4691">
      <w:pPr>
        <w:widowControl w:val="0"/>
        <w:autoSpaceDE w:val="0"/>
        <w:autoSpaceDN w:val="0"/>
        <w:spacing w:after="120" w:line="276" w:lineRule="auto"/>
        <w:ind w:firstLine="709"/>
        <w:jc w:val="both"/>
        <w:rPr>
          <w:rFonts w:ascii="Verdana" w:eastAsia="Arial MT" w:hAnsi="Verdana" w:cs="Arial"/>
          <w:lang w:eastAsia="es-ES" w:bidi="es-ES"/>
        </w:rPr>
      </w:pPr>
      <w:r w:rsidRPr="000A5192">
        <w:rPr>
          <w:rFonts w:ascii="Verdana" w:eastAsia="Arial MT" w:hAnsi="Verdana" w:cs="Arial"/>
          <w:lang w:eastAsia="es-ES" w:bidi="es-ES"/>
        </w:rPr>
        <w:t>Debe diferenciarse, en este punto, el alcance del literal c) del de otras causales que el propio artículo 8 establece expresamente un ámbito diferente. Por ejemplo, el literal e) dispone de manera expresa que la incompatibilidad de los miembros de juntas o consejos directivos se predica de la entidad a la cual prestan sus servicios y de las entidades del sector administrativo al que esta se encuentre adscrita o vinculada. Esta previsión demuestra que cuando el legislador quiso extender una incompatibilidad más allá de la entidad directamente involucrada, lo hizo de manera expresa. Por ello, no resulta procedente trasladar ese alcance al literal c).</w:t>
      </w:r>
    </w:p>
    <w:p w14:paraId="4ECD510B" w14:textId="77777777" w:rsidR="00EF4691" w:rsidRPr="000A5192" w:rsidRDefault="00EF4691" w:rsidP="00EF4691">
      <w:pPr>
        <w:widowControl w:val="0"/>
        <w:autoSpaceDE w:val="0"/>
        <w:autoSpaceDN w:val="0"/>
        <w:spacing w:after="120" w:line="276" w:lineRule="auto"/>
        <w:ind w:firstLine="709"/>
        <w:jc w:val="both"/>
        <w:rPr>
          <w:rFonts w:ascii="Verdana" w:eastAsia="Arial MT" w:hAnsi="Verdana" w:cs="Arial"/>
          <w:lang w:eastAsia="es-ES" w:bidi="es-ES"/>
        </w:rPr>
      </w:pPr>
      <w:r w:rsidRPr="000A5192">
        <w:rPr>
          <w:rFonts w:ascii="Verdana" w:eastAsia="Arial MT" w:hAnsi="Verdana" w:cs="Arial"/>
          <w:lang w:eastAsia="es-ES" w:bidi="es-ES"/>
        </w:rPr>
        <w:t>En consecuencia, para determinar si se configura la incompatibilidad del literal c), debe verificarse, entre otros aspectos, la existencia de una relación entre (i) el servidor público que ostenta la calidad prevista en la norma, (</w:t>
      </w:r>
      <w:proofErr w:type="spellStart"/>
      <w:r w:rsidRPr="000A5192">
        <w:rPr>
          <w:rFonts w:ascii="Verdana" w:eastAsia="Arial MT" w:hAnsi="Verdana" w:cs="Arial"/>
          <w:lang w:eastAsia="es-ES" w:bidi="es-ES"/>
        </w:rPr>
        <w:t>ii</w:t>
      </w:r>
      <w:proofErr w:type="spellEnd"/>
      <w:r w:rsidRPr="000A5192">
        <w:rPr>
          <w:rFonts w:ascii="Verdana" w:eastAsia="Arial MT" w:hAnsi="Verdana" w:cs="Arial"/>
          <w:lang w:eastAsia="es-ES" w:bidi="es-ES"/>
        </w:rPr>
        <w:t>) la entidad en la que ejerce dicha función y (</w:t>
      </w:r>
      <w:proofErr w:type="spellStart"/>
      <w:r w:rsidRPr="000A5192">
        <w:rPr>
          <w:rFonts w:ascii="Verdana" w:eastAsia="Arial MT" w:hAnsi="Verdana" w:cs="Arial"/>
          <w:lang w:eastAsia="es-ES" w:bidi="es-ES"/>
        </w:rPr>
        <w:t>iii</w:t>
      </w:r>
      <w:proofErr w:type="spellEnd"/>
      <w:r w:rsidRPr="000A5192">
        <w:rPr>
          <w:rFonts w:ascii="Verdana" w:eastAsia="Arial MT" w:hAnsi="Verdana" w:cs="Arial"/>
          <w:lang w:eastAsia="es-ES" w:bidi="es-ES"/>
        </w:rPr>
        <w:t>) la entidad con la cual el cónyuge, compañero o compañera permanente pretende contratar. Si la contratación se pretende realizar con una entidad estatal diferente, en principio, no se configura la incompatibilidad prevista en el literal c) por ese solo hecho.</w:t>
      </w:r>
    </w:p>
    <w:p w14:paraId="35AAFAB3" w14:textId="77777777" w:rsidR="00EF4691" w:rsidRDefault="00EF4691" w:rsidP="00EF4691">
      <w:pPr>
        <w:widowControl w:val="0"/>
        <w:autoSpaceDE w:val="0"/>
        <w:autoSpaceDN w:val="0"/>
        <w:spacing w:after="120" w:line="276" w:lineRule="auto"/>
        <w:ind w:firstLine="709"/>
        <w:jc w:val="both"/>
        <w:rPr>
          <w:rFonts w:ascii="Verdana" w:eastAsia="Arial MT" w:hAnsi="Verdana" w:cs="Arial"/>
          <w:lang w:eastAsia="es-ES" w:bidi="es-ES"/>
        </w:rPr>
      </w:pPr>
      <w:r w:rsidRPr="000A5192">
        <w:rPr>
          <w:rFonts w:ascii="Verdana" w:eastAsia="Arial MT" w:hAnsi="Verdana" w:cs="Arial"/>
          <w:lang w:eastAsia="es-ES" w:bidi="es-ES"/>
        </w:rPr>
        <w:lastRenderedPageBreak/>
        <w:t>En conclusión, la expresión “la entidad respectiva” sí delimita el alcance de la incompatibilidad del literal c) del numeral 2 del artículo 8 de la Ley 80 de 1993. La prohibición se circunscribe a la contratación con la entidad en la que el servidor público ostenta la calidad que origina la incompatibilidad y no puede extenderse a otras entidades estatales mediante interpretación analógica o extensiva, salvo que exista una disposición legal expresa que establezca un ámbito de aplicación diferente. Esta conclusión es consistente con el principio de legalidad y con la interpretación restrictiva que gobierna las inhabilidades e incompatibilidades en materia de contratación estatal.</w:t>
      </w:r>
    </w:p>
    <w:p w14:paraId="7B60677C" w14:textId="77777777" w:rsidR="00EF4691" w:rsidRDefault="00EF4691" w:rsidP="001F4E2F">
      <w:pPr>
        <w:widowControl w:val="0"/>
        <w:autoSpaceDE w:val="0"/>
        <w:autoSpaceDN w:val="0"/>
        <w:spacing w:after="0" w:line="276" w:lineRule="auto"/>
        <w:ind w:firstLine="709"/>
        <w:jc w:val="both"/>
        <w:rPr>
          <w:rFonts w:ascii="Verdana" w:eastAsia="Arial MT" w:hAnsi="Verdana" w:cs="Arial"/>
          <w:lang w:eastAsia="es-ES" w:bidi="es-ES"/>
        </w:rPr>
      </w:pPr>
      <w:r w:rsidRPr="004D631D">
        <w:rPr>
          <w:rFonts w:ascii="Verdana" w:eastAsia="Arial MT" w:hAnsi="Verdana" w:cs="Arial"/>
          <w:lang w:eastAsia="es-ES" w:bidi="es-ES"/>
        </w:rPr>
        <w:t xml:space="preserve">Finalmente, Colombia Compra Eficiente, en ejercicio de sus competencias legales, puede emitir conceptos y orientaciones sobre el régimen de contratación estatal; sin embargo, estos tienen carácter orientador y no vinculante, por lo que corresponde a cada Entidad Estatal determinar, en el caso concreto, la configuración de la incompatibilidad prevista en el artículo 8, numeral 2, literal c), de la Ley 80 de 1993. </w:t>
      </w:r>
    </w:p>
    <w:p w14:paraId="79EA63B4" w14:textId="77777777" w:rsidR="001F4E2F" w:rsidRPr="001F4E2F" w:rsidRDefault="001F4E2F" w:rsidP="00D21119">
      <w:pPr>
        <w:widowControl w:val="0"/>
        <w:autoSpaceDE w:val="0"/>
        <w:autoSpaceDN w:val="0"/>
        <w:spacing w:after="0" w:line="276" w:lineRule="auto"/>
        <w:ind w:firstLine="709"/>
        <w:jc w:val="both"/>
        <w:rPr>
          <w:rFonts w:ascii="Verdana" w:eastAsia="Arial MT" w:hAnsi="Verdana" w:cs="Arial"/>
          <w:lang w:eastAsia="es-ES" w:bidi="es-ES"/>
        </w:rPr>
      </w:pPr>
    </w:p>
    <w:bookmarkEnd w:id="5"/>
    <w:bookmarkEnd w:id="6"/>
    <w:p w14:paraId="3C6F04AC" w14:textId="77777777" w:rsidR="00EF4691" w:rsidRPr="001F4E2F" w:rsidRDefault="00EF4691" w:rsidP="001F4E2F">
      <w:pPr>
        <w:tabs>
          <w:tab w:val="left" w:pos="142"/>
          <w:tab w:val="left" w:pos="284"/>
        </w:tabs>
        <w:spacing w:after="0" w:line="276" w:lineRule="auto"/>
        <w:rPr>
          <w:rFonts w:ascii="Verdana" w:eastAsia="Century Gothic" w:hAnsi="Verdana" w:cs="Century Gothic"/>
          <w:b/>
          <w:bCs/>
        </w:rPr>
      </w:pPr>
      <w:r w:rsidRPr="001F4E2F">
        <w:rPr>
          <w:rFonts w:ascii="Verdana" w:eastAsia="Century Gothic" w:hAnsi="Verdana" w:cs="Century Gothic"/>
          <w:b/>
          <w:bCs/>
        </w:rPr>
        <w:t>4. Referencias normativas:</w:t>
      </w:r>
    </w:p>
    <w:bookmarkEnd w:id="7"/>
    <w:p w14:paraId="0A130172" w14:textId="77777777" w:rsidR="00EF4691" w:rsidRPr="001F4E2F" w:rsidRDefault="00EF4691" w:rsidP="001F4E2F">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F4691" w:rsidRPr="001F4E2F" w14:paraId="47ECFE52" w14:textId="77777777" w:rsidTr="00D35935">
        <w:trPr>
          <w:trHeight w:val="870"/>
          <w:jc w:val="center"/>
        </w:trPr>
        <w:tc>
          <w:tcPr>
            <w:tcW w:w="8647" w:type="dxa"/>
          </w:tcPr>
          <w:p w14:paraId="162B266B" w14:textId="77777777" w:rsidR="00EF4691" w:rsidRPr="001F4E2F" w:rsidRDefault="00EF4691" w:rsidP="00D21119">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1F4E2F">
              <w:rPr>
                <w:rFonts w:ascii="Verdana" w:hAnsi="Verdana" w:cs="Arial"/>
              </w:rPr>
              <w:t>Constitución Política, artículo 14, 123, 127, 128 y 150.</w:t>
            </w:r>
          </w:p>
          <w:p w14:paraId="106D8C99" w14:textId="77777777" w:rsidR="00EF4691" w:rsidRPr="001F4E2F" w:rsidRDefault="00EF4691" w:rsidP="001F4E2F">
            <w:pPr>
              <w:pStyle w:val="Prrafodelista"/>
              <w:widowControl w:val="0"/>
              <w:numPr>
                <w:ilvl w:val="0"/>
                <w:numId w:val="17"/>
              </w:numPr>
              <w:autoSpaceDE w:val="0"/>
              <w:autoSpaceDN w:val="0"/>
              <w:spacing w:line="276" w:lineRule="auto"/>
              <w:jc w:val="both"/>
              <w:rPr>
                <w:rFonts w:ascii="Verdana" w:hAnsi="Verdana" w:cs="Arial"/>
              </w:rPr>
            </w:pPr>
            <w:r w:rsidRPr="001F4E2F">
              <w:rPr>
                <w:rFonts w:ascii="Verdana" w:hAnsi="Verdana" w:cs="Arial"/>
              </w:rPr>
              <w:t>Ley 80 de 1993, artículo 8, numeral 2, literal a) y f).</w:t>
            </w:r>
          </w:p>
          <w:p w14:paraId="55B78620" w14:textId="77777777" w:rsidR="00EF4691" w:rsidRPr="001F4E2F" w:rsidRDefault="00EF4691" w:rsidP="001F4E2F">
            <w:pPr>
              <w:numPr>
                <w:ilvl w:val="0"/>
                <w:numId w:val="17"/>
              </w:numPr>
              <w:spacing w:line="276" w:lineRule="auto"/>
              <w:contextualSpacing/>
              <w:jc w:val="both"/>
              <w:rPr>
                <w:rFonts w:ascii="Verdana" w:hAnsi="Verdana" w:cs="Arial"/>
                <w:color w:val="000000" w:themeColor="text1"/>
                <w:lang w:val="es-ES"/>
              </w:rPr>
            </w:pPr>
            <w:r w:rsidRPr="001F4E2F">
              <w:rPr>
                <w:rFonts w:ascii="Verdana" w:hAnsi="Verdana" w:cs="Arial"/>
                <w:color w:val="000000" w:themeColor="text1"/>
                <w:lang w:val="es-ES"/>
              </w:rPr>
              <w:t>Ley 1474 de 2011: artículo 5</w:t>
            </w:r>
          </w:p>
          <w:p w14:paraId="7CA14A78" w14:textId="77777777" w:rsidR="00EF4691" w:rsidRPr="001F4E2F" w:rsidRDefault="00EF4691" w:rsidP="001F4E2F">
            <w:pPr>
              <w:numPr>
                <w:ilvl w:val="0"/>
                <w:numId w:val="17"/>
              </w:numPr>
              <w:spacing w:line="276" w:lineRule="auto"/>
              <w:contextualSpacing/>
              <w:jc w:val="both"/>
              <w:rPr>
                <w:rFonts w:ascii="Verdana" w:hAnsi="Verdana" w:cs="Arial"/>
                <w:color w:val="000000" w:themeColor="text1"/>
                <w:lang w:val="es-ES"/>
              </w:rPr>
            </w:pPr>
            <w:r w:rsidRPr="001F4E2F">
              <w:rPr>
                <w:rFonts w:ascii="Verdana" w:hAnsi="Verdana" w:cs="Arial"/>
                <w:color w:val="000000" w:themeColor="text1"/>
                <w:lang w:val="es-ES"/>
              </w:rPr>
              <w:t xml:space="preserve">Consejo de Estado. Sección Tercera. Subsección C. Sentencia del 22 de mayo de 2013. </w:t>
            </w:r>
            <w:proofErr w:type="spellStart"/>
            <w:r w:rsidRPr="001F4E2F">
              <w:rPr>
                <w:rFonts w:ascii="Verdana" w:hAnsi="Verdana" w:cs="Arial"/>
                <w:color w:val="000000" w:themeColor="text1"/>
                <w:lang w:val="es-ES"/>
              </w:rPr>
              <w:t>Exp</w:t>
            </w:r>
            <w:proofErr w:type="spellEnd"/>
            <w:r w:rsidRPr="001F4E2F">
              <w:rPr>
                <w:rFonts w:ascii="Verdana" w:hAnsi="Verdana" w:cs="Arial"/>
                <w:color w:val="000000" w:themeColor="text1"/>
                <w:lang w:val="es-ES"/>
              </w:rPr>
              <w:t xml:space="preserve">. 24.057. Consejera Ponente: Olga Melida Valle De </w:t>
            </w:r>
            <w:proofErr w:type="spellStart"/>
            <w:r w:rsidRPr="001F4E2F">
              <w:rPr>
                <w:rFonts w:ascii="Verdana" w:hAnsi="Verdana" w:cs="Arial"/>
                <w:color w:val="000000" w:themeColor="text1"/>
                <w:lang w:val="es-ES"/>
              </w:rPr>
              <w:t>De</w:t>
            </w:r>
            <w:proofErr w:type="spellEnd"/>
            <w:r w:rsidRPr="001F4E2F">
              <w:rPr>
                <w:rFonts w:ascii="Verdana" w:hAnsi="Verdana" w:cs="Arial"/>
                <w:color w:val="000000" w:themeColor="text1"/>
                <w:lang w:val="es-ES"/>
              </w:rPr>
              <w:t xml:space="preserve"> La Hoz.</w:t>
            </w:r>
          </w:p>
          <w:p w14:paraId="52B2DD6C" w14:textId="77777777" w:rsidR="00EF4691" w:rsidRPr="001F4E2F" w:rsidRDefault="00EF4691" w:rsidP="001F4E2F">
            <w:pPr>
              <w:numPr>
                <w:ilvl w:val="0"/>
                <w:numId w:val="17"/>
              </w:numPr>
              <w:spacing w:line="276" w:lineRule="auto"/>
              <w:contextualSpacing/>
              <w:jc w:val="both"/>
              <w:rPr>
                <w:rFonts w:ascii="Verdana" w:hAnsi="Verdana" w:cs="Arial"/>
                <w:color w:val="000000" w:themeColor="text1"/>
                <w:lang w:val="es-ES"/>
              </w:rPr>
            </w:pPr>
            <w:r w:rsidRPr="001F4E2F">
              <w:rPr>
                <w:rFonts w:ascii="Verdana" w:hAnsi="Verdana" w:cs="Arial"/>
                <w:color w:val="000000" w:themeColor="text1"/>
                <w:lang w:val="es-ES"/>
              </w:rPr>
              <w:t>Consejo de Estado. Sala de Consulta y Servicio Civil. Concepto del 30 de abril de 2015. Expediente: 2251. Consejero Ponente: Álvaro Namén Vargas.</w:t>
            </w:r>
          </w:p>
          <w:p w14:paraId="32E54D94" w14:textId="77777777" w:rsidR="00EF4691" w:rsidRPr="001F4E2F" w:rsidRDefault="00EF4691" w:rsidP="001F4E2F">
            <w:pPr>
              <w:numPr>
                <w:ilvl w:val="0"/>
                <w:numId w:val="17"/>
              </w:numPr>
              <w:spacing w:line="276" w:lineRule="auto"/>
              <w:contextualSpacing/>
              <w:jc w:val="both"/>
              <w:rPr>
                <w:rFonts w:ascii="Verdana" w:hAnsi="Verdana" w:cs="Arial"/>
                <w:color w:val="000000" w:themeColor="text1"/>
                <w:lang w:val="es-ES"/>
              </w:rPr>
            </w:pPr>
            <w:r w:rsidRPr="001F4E2F">
              <w:rPr>
                <w:rFonts w:ascii="Verdana" w:hAnsi="Verdana" w:cs="Arial"/>
                <w:color w:val="000000" w:themeColor="text1"/>
                <w:lang w:val="es-ES"/>
              </w:rPr>
              <w:t xml:space="preserve">Consejo de Estado. Sección Tercera. Subsección A. Sentencia del 24 de junio de 2015. </w:t>
            </w:r>
            <w:proofErr w:type="spellStart"/>
            <w:r w:rsidRPr="001F4E2F">
              <w:rPr>
                <w:rFonts w:ascii="Verdana" w:hAnsi="Verdana" w:cs="Arial"/>
                <w:color w:val="000000" w:themeColor="text1"/>
                <w:lang w:val="es-ES"/>
              </w:rPr>
              <w:t>Exp</w:t>
            </w:r>
            <w:proofErr w:type="spellEnd"/>
            <w:r w:rsidRPr="001F4E2F">
              <w:rPr>
                <w:rFonts w:ascii="Verdana" w:hAnsi="Verdana" w:cs="Arial"/>
                <w:color w:val="000000" w:themeColor="text1"/>
                <w:lang w:val="es-ES"/>
              </w:rPr>
              <w:t>. 40.635. Consejero Ponente: Hernán Andrade Rincón (E).</w:t>
            </w:r>
          </w:p>
          <w:p w14:paraId="21DDFC56" w14:textId="77777777" w:rsidR="00EF4691" w:rsidRPr="00D21119" w:rsidRDefault="00EF4691" w:rsidP="001F4E2F">
            <w:pPr>
              <w:numPr>
                <w:ilvl w:val="0"/>
                <w:numId w:val="17"/>
              </w:numPr>
              <w:spacing w:line="276" w:lineRule="auto"/>
              <w:contextualSpacing/>
              <w:jc w:val="both"/>
              <w:rPr>
                <w:rFonts w:ascii="Verdana" w:hAnsi="Verdana" w:cs="Arial"/>
                <w:color w:val="000000" w:themeColor="text1"/>
                <w:lang w:val="it-IT"/>
              </w:rPr>
            </w:pPr>
            <w:r w:rsidRPr="001F4E2F">
              <w:rPr>
                <w:rFonts w:ascii="Verdana" w:hAnsi="Verdana" w:cs="Arial"/>
                <w:color w:val="000000" w:themeColor="text1"/>
                <w:lang w:val="es-ES"/>
              </w:rPr>
              <w:t xml:space="preserve">Corte Constitucional. Sentencia T-1039 de 2006. </w:t>
            </w:r>
            <w:r w:rsidRPr="00D21119">
              <w:rPr>
                <w:rFonts w:ascii="Verdana" w:hAnsi="Verdana" w:cs="Arial"/>
                <w:color w:val="000000" w:themeColor="text1"/>
                <w:lang w:val="it-IT"/>
              </w:rPr>
              <w:t>Magistrado Ponente: Humberto Sierra Porto.</w:t>
            </w:r>
          </w:p>
          <w:p w14:paraId="5C26335A" w14:textId="77777777" w:rsidR="00EF4691" w:rsidRPr="00D21119" w:rsidRDefault="00EF4691" w:rsidP="001F4E2F">
            <w:pPr>
              <w:numPr>
                <w:ilvl w:val="0"/>
                <w:numId w:val="17"/>
              </w:numPr>
              <w:spacing w:line="276" w:lineRule="auto"/>
              <w:contextualSpacing/>
              <w:jc w:val="both"/>
              <w:rPr>
                <w:rFonts w:ascii="Verdana" w:hAnsi="Verdana" w:cs="Arial"/>
                <w:color w:val="000000" w:themeColor="text1"/>
                <w:lang w:val="it-IT"/>
              </w:rPr>
            </w:pPr>
            <w:r w:rsidRPr="001F4E2F">
              <w:rPr>
                <w:rFonts w:ascii="Verdana" w:hAnsi="Verdana" w:cs="Arial"/>
                <w:color w:val="000000" w:themeColor="text1"/>
                <w:lang w:val="es-ES"/>
              </w:rPr>
              <w:t xml:space="preserve">Corte Constitucional. Sentencia C-618 de 2012. </w:t>
            </w:r>
            <w:r w:rsidRPr="00D21119">
              <w:rPr>
                <w:rFonts w:ascii="Verdana" w:hAnsi="Verdana" w:cs="Arial"/>
                <w:color w:val="000000" w:themeColor="text1"/>
                <w:lang w:val="it-IT"/>
              </w:rPr>
              <w:t>Magistrado Ponente: Gabriel Eduardo Mendoza Mortello.</w:t>
            </w:r>
          </w:p>
          <w:p w14:paraId="408CE1CE" w14:textId="77777777" w:rsidR="00EF4691" w:rsidRPr="001F4E2F" w:rsidRDefault="00EF4691" w:rsidP="001F4E2F">
            <w:pPr>
              <w:pStyle w:val="Prrafodelista"/>
              <w:widowControl w:val="0"/>
              <w:numPr>
                <w:ilvl w:val="0"/>
                <w:numId w:val="17"/>
              </w:numPr>
              <w:tabs>
                <w:tab w:val="left" w:pos="8419"/>
              </w:tabs>
              <w:autoSpaceDE w:val="0"/>
              <w:autoSpaceDN w:val="0"/>
              <w:spacing w:line="276" w:lineRule="auto"/>
              <w:jc w:val="both"/>
              <w:rPr>
                <w:rFonts w:ascii="Verdana" w:hAnsi="Verdana" w:cs="Arial"/>
              </w:rPr>
            </w:pPr>
            <w:r w:rsidRPr="001F4E2F">
              <w:rPr>
                <w:rFonts w:ascii="Verdana" w:hAnsi="Verdana" w:cs="Arial"/>
              </w:rPr>
              <w:t xml:space="preserve">Corte Constitucional. Sentencia C-257 de 2013. </w:t>
            </w:r>
            <w:r w:rsidRPr="001F4E2F">
              <w:rPr>
                <w:rFonts w:ascii="Verdana" w:eastAsia="Arial MT" w:hAnsi="Verdana" w:cs="Arial"/>
                <w:lang w:eastAsia="es-ES" w:bidi="es-ES"/>
              </w:rPr>
              <w:t>Magistrado Ponente</w:t>
            </w:r>
            <w:r w:rsidRPr="001F4E2F">
              <w:rPr>
                <w:rFonts w:ascii="Verdana" w:hAnsi="Verdana" w:cs="Arial"/>
              </w:rPr>
              <w:t>: Jaime Córdoba Triviño.</w:t>
            </w:r>
          </w:p>
          <w:p w14:paraId="77BF7B11" w14:textId="77777777" w:rsidR="00EF4691" w:rsidRPr="001F4E2F" w:rsidRDefault="00EF4691" w:rsidP="001F4E2F">
            <w:pPr>
              <w:numPr>
                <w:ilvl w:val="0"/>
                <w:numId w:val="17"/>
              </w:numPr>
              <w:spacing w:line="276" w:lineRule="auto"/>
              <w:contextualSpacing/>
              <w:jc w:val="both"/>
              <w:rPr>
                <w:rFonts w:ascii="Verdana" w:hAnsi="Verdana" w:cs="Arial"/>
                <w:color w:val="000000" w:themeColor="text1"/>
                <w:lang w:val="es-ES"/>
              </w:rPr>
            </w:pPr>
            <w:r w:rsidRPr="001F4E2F">
              <w:rPr>
                <w:rFonts w:ascii="Verdana" w:hAnsi="Verdana" w:cs="Arial"/>
                <w:color w:val="000000" w:themeColor="text1"/>
                <w:lang w:val="es-ES"/>
              </w:rPr>
              <w:lastRenderedPageBreak/>
              <w:t xml:space="preserve">BARRETO ROZO, Antonio Alejandro. Inhabilidades de la contratación estatal, efectos y </w:t>
            </w:r>
            <w:proofErr w:type="spellStart"/>
            <w:r w:rsidRPr="001F4E2F">
              <w:rPr>
                <w:rFonts w:ascii="Verdana" w:hAnsi="Verdana" w:cs="Arial"/>
                <w:color w:val="000000" w:themeColor="text1"/>
                <w:lang w:val="es-ES"/>
              </w:rPr>
              <w:t>neopunitivismo</w:t>
            </w:r>
            <w:proofErr w:type="spellEnd"/>
            <w:r w:rsidRPr="001F4E2F">
              <w:rPr>
                <w:rFonts w:ascii="Verdana" w:hAnsi="Verdana" w:cs="Arial"/>
                <w:color w:val="000000" w:themeColor="text1"/>
                <w:lang w:val="es-ES"/>
              </w:rPr>
              <w:t xml:space="preserve"> en el Estatuto Anticorrupción. En: ALVIAR GARCÍA, Helena (Coordinadora). Nuevas tendencias del Derecho administrativo. Bogotá: Universidad de los Andes; Temis, 2016.</w:t>
            </w:r>
          </w:p>
          <w:p w14:paraId="07E13636" w14:textId="77777777" w:rsidR="00EF4691" w:rsidRPr="001F4E2F" w:rsidRDefault="00EF4691" w:rsidP="001F4E2F">
            <w:pPr>
              <w:numPr>
                <w:ilvl w:val="0"/>
                <w:numId w:val="17"/>
              </w:numPr>
              <w:spacing w:line="276" w:lineRule="auto"/>
              <w:contextualSpacing/>
              <w:jc w:val="both"/>
              <w:rPr>
                <w:rFonts w:ascii="Verdana" w:hAnsi="Verdana" w:cs="Arial"/>
                <w:color w:val="000000" w:themeColor="text1"/>
                <w:lang w:val="es-ES"/>
              </w:rPr>
            </w:pPr>
            <w:r w:rsidRPr="001F4E2F">
              <w:rPr>
                <w:rFonts w:ascii="Verdana" w:hAnsi="Verdana" w:cs="Arial"/>
                <w:color w:val="000000" w:themeColor="text1"/>
                <w:lang w:val="es-ES"/>
              </w:rPr>
              <w:t>BENAVIDES, José Luis. El contrato estatal. Entre el Derecho público y el Derecho privado. 2ª ed. Bogotá: Universidad Externado de Colombia, 2004.</w:t>
            </w:r>
          </w:p>
          <w:p w14:paraId="65E972FB" w14:textId="77777777" w:rsidR="00EF4691" w:rsidRPr="001F4E2F" w:rsidRDefault="00EF4691" w:rsidP="00D21119">
            <w:pPr>
              <w:pStyle w:val="NormalWeb"/>
              <w:numPr>
                <w:ilvl w:val="0"/>
                <w:numId w:val="17"/>
              </w:numPr>
              <w:spacing w:before="0" w:beforeAutospacing="0" w:after="0" w:afterAutospacing="0" w:line="276" w:lineRule="auto"/>
              <w:jc w:val="both"/>
              <w:rPr>
                <w:rFonts w:ascii="Verdana" w:hAnsi="Verdana" w:cs="Arial"/>
                <w:color w:val="000000" w:themeColor="text1"/>
                <w:sz w:val="22"/>
                <w:szCs w:val="22"/>
              </w:rPr>
            </w:pPr>
            <w:r w:rsidRPr="00D21119">
              <w:rPr>
                <w:rFonts w:ascii="Verdana" w:hAnsi="Verdana" w:cs="Arial"/>
                <w:color w:val="000000" w:themeColor="text1"/>
                <w:sz w:val="22"/>
                <w:szCs w:val="22"/>
              </w:rPr>
              <w:t>DÁVILA, Luis Guillermo. Régimen jurídico de la contratación estatal. 3ª ed., Legis: Bogotá, 2016. p. 187.</w:t>
            </w:r>
          </w:p>
        </w:tc>
      </w:tr>
    </w:tbl>
    <w:p w14:paraId="69E56248" w14:textId="77777777" w:rsidR="00EF4691" w:rsidRPr="001F4E2F" w:rsidRDefault="00EF4691" w:rsidP="001F4E2F">
      <w:pPr>
        <w:widowControl w:val="0"/>
        <w:autoSpaceDE w:val="0"/>
        <w:autoSpaceDN w:val="0"/>
        <w:spacing w:after="0" w:line="276" w:lineRule="auto"/>
        <w:jc w:val="both"/>
        <w:rPr>
          <w:rFonts w:ascii="Verdana" w:hAnsi="Verdana" w:cs="Arial"/>
        </w:rPr>
      </w:pPr>
    </w:p>
    <w:p w14:paraId="1FF863D6" w14:textId="77777777" w:rsidR="00EF4691" w:rsidRPr="001F4E2F" w:rsidRDefault="00EF4691" w:rsidP="001F4E2F">
      <w:pPr>
        <w:tabs>
          <w:tab w:val="left" w:pos="142"/>
          <w:tab w:val="left" w:pos="284"/>
        </w:tabs>
        <w:spacing w:after="0" w:line="276" w:lineRule="auto"/>
        <w:jc w:val="both"/>
        <w:rPr>
          <w:rFonts w:ascii="Verdana" w:eastAsia="Century Gothic" w:hAnsi="Verdana" w:cs="Century Gothic"/>
          <w:b/>
          <w:bCs/>
        </w:rPr>
      </w:pPr>
      <w:r w:rsidRPr="001F4E2F">
        <w:rPr>
          <w:rFonts w:ascii="Verdana" w:eastAsia="Century Gothic" w:hAnsi="Verdana" w:cs="Century Gothic"/>
          <w:b/>
          <w:bCs/>
        </w:rPr>
        <w:t>5. Doctrina de la Agencia Nacional de Contratación Pública:</w:t>
      </w:r>
    </w:p>
    <w:p w14:paraId="171AD000" w14:textId="77777777" w:rsidR="00EF4691" w:rsidRPr="001F4E2F" w:rsidRDefault="00EF4691" w:rsidP="001F4E2F">
      <w:pPr>
        <w:widowControl w:val="0"/>
        <w:autoSpaceDE w:val="0"/>
        <w:autoSpaceDN w:val="0"/>
        <w:spacing w:after="0" w:line="276" w:lineRule="auto"/>
        <w:jc w:val="both"/>
        <w:rPr>
          <w:rStyle w:val="normaltextrun"/>
          <w:rFonts w:ascii="Verdana" w:hAnsi="Verdana" w:cs="Arial"/>
          <w:shd w:val="clear" w:color="auto" w:fill="FFFFFF"/>
          <w:lang w:val="es-ES"/>
        </w:rPr>
      </w:pPr>
    </w:p>
    <w:p w14:paraId="7AAA5FDF" w14:textId="77777777" w:rsidR="00EF4691" w:rsidRDefault="00EF4691" w:rsidP="001F4E2F">
      <w:pPr>
        <w:spacing w:after="0" w:line="276" w:lineRule="auto"/>
        <w:jc w:val="both"/>
        <w:rPr>
          <w:rFonts w:ascii="Verdana" w:hAnsi="Verdana"/>
        </w:rPr>
      </w:pPr>
      <w:r w:rsidRPr="001F4E2F">
        <w:rPr>
          <w:rFonts w:ascii="Verdana" w:eastAsia="Calibri" w:hAnsi="Verdana" w:cs="Arial"/>
          <w:lang w:val="es-ES_tradnl" w:eastAsia="es-ES_tradnl"/>
        </w:rPr>
        <w:t xml:space="preserve">Sobre el régimen de inhabilidades e incompatibilidades se pronunció esta Subdirección en los conceptos </w:t>
      </w:r>
      <w:r w:rsidRPr="001F4E2F">
        <w:rPr>
          <w:rFonts w:ascii="Verdana" w:eastAsia="Calibri" w:hAnsi="Verdana" w:cs="Arial"/>
          <w:lang w:val="es-MX"/>
        </w:rPr>
        <w:t>C−402 del 26 de junio de 2020, C−365 del 30 de junio de 2020, C−386 del 24 de julio de 2020, C-585 del 14 de septiembre de 2020, C–592 del 14 de septiembre de 2020, C−551 de 24 de septiembre de 2020, C−709 del 7 de diciembre de 2020, C–721 de 14 de diciembre de 2020, C–004 del 12 de febrero de 2021, C–815 del 18 de febrero de 2021, C–047 del 8 de marzo de 2021, C–113 del 30 de marzo de 2021, C–122 del 30 de marzo de 2021, C–178 del 28 de abril de 2021, C−190 del 30 de abril de 2021, C−210 del 12 de mayo de 2021, C−275 del 11 de junio de 2021, C−293 del 28 de junio de 2021, C−321 del 2 de julio de 2021, C−410 del 7 de julio de 2021, C−491 del 14 de septiembre de 2021, C−522 del 1 de octubre de 2021, C−128 del 25 de marzo de 2022, C−252 del 3 de mayo de 2022, C−376 del 14 de junio de 2022, C−413 del 24 de junio de 2022, C−691 del 20 de octubre de 2022, C−731 del 10 de noviembre de 2022, C−928 del 26 de enero de 2023, C−126 del 24 de abril de 2023, C−175 del 4 de mayo de 2023, C−234 del 5 de julio de 2023, C−010 del 31 de enero de 2024, C-039 del 23 de abril de 2024 y C-085 del 3 de marzo de 2025</w:t>
      </w:r>
      <w:r w:rsidRPr="001F4E2F">
        <w:rPr>
          <w:rFonts w:ascii="Verdana" w:hAnsi="Verdana" w:cs="Arial"/>
          <w:shd w:val="clear" w:color="auto" w:fill="FFFFFF"/>
          <w:lang w:val="es-ES"/>
        </w:rPr>
        <w:t>. Estos conceptos se encuentran disponibles para consulta en el Sistema de relatoría de la Agencia, al cual se puede acceder a través del</w:t>
      </w:r>
      <w:r w:rsidRPr="001F4E2F">
        <w:rPr>
          <w:rFonts w:ascii="Verdana" w:hAnsi="Verdana"/>
          <w:lang w:val="es-ES"/>
        </w:rPr>
        <w:t xml:space="preserve"> siguiente enlace:</w:t>
      </w:r>
      <w:r w:rsidRPr="001F4E2F">
        <w:rPr>
          <w:rFonts w:ascii="Verdana" w:hAnsi="Verdana" w:cs="Arial"/>
          <w:shd w:val="clear" w:color="auto" w:fill="FFFFFF"/>
          <w:lang w:val="es-ES"/>
        </w:rPr>
        <w:t xml:space="preserve"> </w:t>
      </w:r>
      <w:hyperlink r:id="rId12" w:history="1">
        <w:proofErr w:type="spellStart"/>
        <w:r w:rsidRPr="001F4E2F">
          <w:rPr>
            <w:rStyle w:val="Hipervnculo"/>
            <w:rFonts w:ascii="Verdana" w:hAnsi="Verdana" w:cs="Arial"/>
            <w:shd w:val="clear" w:color="auto" w:fill="FFFFFF"/>
          </w:rPr>
          <w:t>Relatoria</w:t>
        </w:r>
        <w:proofErr w:type="spellEnd"/>
        <w:r w:rsidRPr="001F4E2F">
          <w:rPr>
            <w:rStyle w:val="Hipervnculo"/>
            <w:rFonts w:ascii="Verdana" w:hAnsi="Verdana" w:cs="Arial"/>
            <w:shd w:val="clear" w:color="auto" w:fill="FFFFFF"/>
          </w:rPr>
          <w:t xml:space="preserve"> ANCP-CCE – Sistema de Relatoría de la ANCP-CCE</w:t>
        </w:r>
      </w:hyperlink>
    </w:p>
    <w:p w14:paraId="1471F723" w14:textId="77777777" w:rsidR="00A364E3" w:rsidRPr="001F4E2F" w:rsidRDefault="00A364E3" w:rsidP="00D21119">
      <w:pPr>
        <w:spacing w:after="0" w:line="276" w:lineRule="auto"/>
        <w:jc w:val="both"/>
        <w:rPr>
          <w:rFonts w:ascii="Verdana" w:hAnsi="Verdana" w:cs="Arial"/>
          <w:shd w:val="clear" w:color="auto" w:fill="FFFFFF"/>
          <w:lang w:val="es-ES"/>
        </w:rPr>
      </w:pPr>
    </w:p>
    <w:p w14:paraId="752CDFFA" w14:textId="77777777" w:rsidR="00EF4691" w:rsidRDefault="00EF4691" w:rsidP="001F4E2F">
      <w:pPr>
        <w:spacing w:after="0" w:line="276" w:lineRule="auto"/>
        <w:jc w:val="both"/>
        <w:rPr>
          <w:rFonts w:ascii="Verdana" w:hAnsi="Verdana"/>
        </w:rPr>
      </w:pPr>
      <w:r w:rsidRPr="001F4E2F">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w:t>
      </w:r>
      <w:r w:rsidRPr="001F4E2F">
        <w:rPr>
          <w:rFonts w:ascii="Verdana" w:hAnsi="Verdana"/>
        </w:rPr>
        <w:lastRenderedPageBreak/>
        <w:t xml:space="preserve">requiera en el marco de nuestras funciones a través de nuestros diferentes canales de atención: </w:t>
      </w:r>
    </w:p>
    <w:p w14:paraId="1561AFE4" w14:textId="77777777" w:rsidR="00A364E3" w:rsidRPr="001F4E2F" w:rsidRDefault="00A364E3" w:rsidP="00D21119">
      <w:pPr>
        <w:spacing w:after="0" w:line="276" w:lineRule="auto"/>
        <w:jc w:val="both"/>
        <w:rPr>
          <w:rFonts w:ascii="Verdana" w:eastAsia="Calibri" w:hAnsi="Verdana" w:cs="Times New Roman"/>
        </w:rPr>
      </w:pPr>
    </w:p>
    <w:p w14:paraId="55995E4C" w14:textId="77777777" w:rsidR="00EF4691" w:rsidRPr="001F4E2F" w:rsidRDefault="00EF4691" w:rsidP="001F4E2F">
      <w:pPr>
        <w:pStyle w:val="Prrafodelista"/>
        <w:numPr>
          <w:ilvl w:val="0"/>
          <w:numId w:val="15"/>
        </w:numPr>
        <w:spacing w:after="0" w:line="276" w:lineRule="auto"/>
        <w:contextualSpacing w:val="0"/>
        <w:jc w:val="both"/>
        <w:rPr>
          <w:rFonts w:ascii="Verdana" w:hAnsi="Verdana"/>
        </w:rPr>
      </w:pPr>
      <w:r w:rsidRPr="001F4E2F">
        <w:rPr>
          <w:rFonts w:ascii="Verdana" w:hAnsi="Verdana"/>
        </w:rPr>
        <w:t>Línea nacional gratuita o servicio a la ciudadanía: 01800 0520808</w:t>
      </w:r>
    </w:p>
    <w:p w14:paraId="77C379C6" w14:textId="77777777" w:rsidR="00EF4691" w:rsidRPr="001F4E2F" w:rsidRDefault="00EF4691" w:rsidP="001F4E2F">
      <w:pPr>
        <w:pStyle w:val="Prrafodelista"/>
        <w:numPr>
          <w:ilvl w:val="0"/>
          <w:numId w:val="15"/>
        </w:numPr>
        <w:spacing w:after="0" w:line="276" w:lineRule="auto"/>
        <w:contextualSpacing w:val="0"/>
        <w:jc w:val="both"/>
        <w:rPr>
          <w:rFonts w:ascii="Verdana" w:hAnsi="Verdana"/>
        </w:rPr>
      </w:pPr>
      <w:r w:rsidRPr="001F4E2F">
        <w:rPr>
          <w:rFonts w:ascii="Verdana" w:hAnsi="Verdana"/>
        </w:rPr>
        <w:t>Línea en Bogotá (Mesa de servicio): +57 601 7456788</w:t>
      </w:r>
    </w:p>
    <w:p w14:paraId="21239DEA" w14:textId="77777777" w:rsidR="00EF4691" w:rsidRPr="001F4E2F" w:rsidRDefault="00EF4691" w:rsidP="001F4E2F">
      <w:pPr>
        <w:pStyle w:val="Prrafodelista"/>
        <w:numPr>
          <w:ilvl w:val="0"/>
          <w:numId w:val="15"/>
        </w:numPr>
        <w:spacing w:after="0" w:line="276" w:lineRule="auto"/>
        <w:contextualSpacing w:val="0"/>
        <w:jc w:val="both"/>
        <w:rPr>
          <w:rFonts w:ascii="Verdana" w:hAnsi="Verdana"/>
        </w:rPr>
      </w:pPr>
      <w:r w:rsidRPr="001F4E2F">
        <w:rPr>
          <w:rFonts w:ascii="Verdana" w:hAnsi="Verdana"/>
        </w:rPr>
        <w:t>Línea de servicio y atención al ciudadano: +57 601 7956600</w:t>
      </w:r>
    </w:p>
    <w:p w14:paraId="6E6DCC95" w14:textId="77777777" w:rsidR="00EF4691" w:rsidRPr="001F4E2F" w:rsidRDefault="00EF4691" w:rsidP="001F4E2F">
      <w:pPr>
        <w:pStyle w:val="Prrafodelista"/>
        <w:numPr>
          <w:ilvl w:val="0"/>
          <w:numId w:val="15"/>
        </w:numPr>
        <w:spacing w:after="0" w:line="276" w:lineRule="auto"/>
        <w:contextualSpacing w:val="0"/>
        <w:jc w:val="both"/>
        <w:rPr>
          <w:rFonts w:ascii="Verdana" w:hAnsi="Verdana"/>
        </w:rPr>
      </w:pPr>
      <w:r w:rsidRPr="001F4E2F">
        <w:rPr>
          <w:rFonts w:ascii="Verdana" w:hAnsi="Verdana"/>
        </w:rPr>
        <w:t xml:space="preserve">Página web: </w:t>
      </w:r>
      <w:hyperlink r:id="rId13" w:history="1">
        <w:r w:rsidRPr="001F4E2F">
          <w:rPr>
            <w:rStyle w:val="Hipervnculo"/>
            <w:rFonts w:ascii="Verdana" w:hAnsi="Verdana"/>
          </w:rPr>
          <w:t>www.colombiacompra.gov.co</w:t>
        </w:r>
      </w:hyperlink>
    </w:p>
    <w:p w14:paraId="054E6146" w14:textId="77777777" w:rsidR="00EF4691" w:rsidRPr="001F4E2F" w:rsidRDefault="00EF4691" w:rsidP="00D21119">
      <w:pPr>
        <w:spacing w:after="0" w:line="276" w:lineRule="auto"/>
        <w:jc w:val="both"/>
        <w:rPr>
          <w:rFonts w:ascii="Verdana" w:hAnsi="Verdana"/>
        </w:rPr>
      </w:pPr>
      <w:r w:rsidRPr="001F4E2F">
        <w:rPr>
          <w:rFonts w:ascii="Verdana" w:hAnsi="Verdana"/>
        </w:rPr>
        <w:t xml:space="preserve">Por último, lo invitamos a seguirnos en las redes sociales en las cuales se difunde información institucional: </w:t>
      </w:r>
    </w:p>
    <w:p w14:paraId="2AF678B2" w14:textId="77777777" w:rsidR="00EF4691" w:rsidRPr="001F4E2F" w:rsidRDefault="00EF4691" w:rsidP="001F4E2F">
      <w:pPr>
        <w:spacing w:after="0" w:line="276" w:lineRule="auto"/>
        <w:jc w:val="both"/>
        <w:rPr>
          <w:rFonts w:ascii="Verdana" w:hAnsi="Verdana"/>
        </w:rPr>
      </w:pPr>
    </w:p>
    <w:p w14:paraId="4C811C54" w14:textId="77777777" w:rsidR="00EF4691" w:rsidRPr="001F4E2F" w:rsidRDefault="00EF4691" w:rsidP="001F4E2F">
      <w:pPr>
        <w:spacing w:after="0" w:line="276" w:lineRule="auto"/>
        <w:jc w:val="both"/>
        <w:rPr>
          <w:rFonts w:ascii="Verdana" w:hAnsi="Verdana"/>
        </w:rPr>
      </w:pPr>
      <w:r w:rsidRPr="001F4E2F">
        <w:rPr>
          <w:rFonts w:ascii="Verdana" w:hAnsi="Verdana"/>
        </w:rPr>
        <w:t xml:space="preserve">Twitter: </w:t>
      </w:r>
      <w:r w:rsidRPr="001F4E2F">
        <w:rPr>
          <w:rStyle w:val="Hipervnculo"/>
          <w:rFonts w:ascii="Verdana" w:hAnsi="Verdana"/>
        </w:rPr>
        <w:t>@colombiacompra</w:t>
      </w:r>
      <w:r w:rsidRPr="001F4E2F">
        <w:rPr>
          <w:rFonts w:ascii="Verdana" w:hAnsi="Verdana"/>
        </w:rPr>
        <w:t xml:space="preserve"> </w:t>
      </w:r>
    </w:p>
    <w:p w14:paraId="1028B04A" w14:textId="77777777" w:rsidR="00EF4691" w:rsidRPr="001F4E2F" w:rsidRDefault="00EF4691" w:rsidP="001F4E2F">
      <w:pPr>
        <w:spacing w:after="0" w:line="276" w:lineRule="auto"/>
        <w:jc w:val="both"/>
        <w:rPr>
          <w:rFonts w:ascii="Verdana" w:hAnsi="Verdana"/>
        </w:rPr>
      </w:pPr>
      <w:r w:rsidRPr="001F4E2F">
        <w:rPr>
          <w:rFonts w:ascii="Verdana" w:hAnsi="Verdana"/>
        </w:rPr>
        <w:t xml:space="preserve">Facebook: </w:t>
      </w:r>
      <w:proofErr w:type="spellStart"/>
      <w:r w:rsidRPr="001F4E2F">
        <w:rPr>
          <w:rStyle w:val="Hipervnculo"/>
          <w:rFonts w:ascii="Verdana" w:hAnsi="Verdana"/>
        </w:rPr>
        <w:t>ColombiaCompraEficiente</w:t>
      </w:r>
      <w:proofErr w:type="spellEnd"/>
    </w:p>
    <w:p w14:paraId="03FFBE55" w14:textId="77777777" w:rsidR="00EF4691" w:rsidRPr="001F4E2F" w:rsidRDefault="00EF4691" w:rsidP="001F4E2F">
      <w:pPr>
        <w:spacing w:after="0" w:line="276" w:lineRule="auto"/>
        <w:jc w:val="both"/>
        <w:rPr>
          <w:rFonts w:ascii="Verdana" w:hAnsi="Verdana"/>
        </w:rPr>
      </w:pPr>
      <w:r w:rsidRPr="001F4E2F">
        <w:rPr>
          <w:rFonts w:ascii="Verdana" w:hAnsi="Verdana"/>
        </w:rPr>
        <w:t xml:space="preserve">LinkedIn: </w:t>
      </w:r>
      <w:r w:rsidRPr="001F4E2F">
        <w:rPr>
          <w:rStyle w:val="Hipervnculo"/>
          <w:rFonts w:ascii="Verdana" w:hAnsi="Verdana"/>
        </w:rPr>
        <w:t>Agencia Nacional de Contratación Pública - Colombia Compra Eficiente</w:t>
      </w:r>
      <w:r w:rsidRPr="001F4E2F">
        <w:rPr>
          <w:rFonts w:ascii="Verdana" w:hAnsi="Verdana"/>
        </w:rPr>
        <w:t xml:space="preserve"> Instagram: </w:t>
      </w:r>
      <w:r w:rsidRPr="001F4E2F">
        <w:rPr>
          <w:rStyle w:val="Hipervnculo"/>
          <w:rFonts w:ascii="Verdana" w:hAnsi="Verdana"/>
        </w:rPr>
        <w:t>@colombiacompraeficiente_cce</w:t>
      </w:r>
    </w:p>
    <w:p w14:paraId="0535863E" w14:textId="77777777" w:rsidR="00EF4691" w:rsidRPr="001F4E2F" w:rsidRDefault="00EF4691" w:rsidP="00D21119">
      <w:pPr>
        <w:spacing w:after="0" w:line="276" w:lineRule="auto"/>
        <w:jc w:val="both"/>
        <w:rPr>
          <w:rFonts w:ascii="Verdana" w:hAnsi="Verdana"/>
        </w:rPr>
      </w:pPr>
    </w:p>
    <w:p w14:paraId="716BB750" w14:textId="77777777" w:rsidR="00EF4691" w:rsidRPr="001F4E2F" w:rsidRDefault="00EF4691" w:rsidP="00D21119">
      <w:pPr>
        <w:spacing w:after="0" w:line="276" w:lineRule="auto"/>
        <w:jc w:val="both"/>
        <w:rPr>
          <w:rFonts w:ascii="Verdana" w:hAnsi="Verdana"/>
        </w:rPr>
      </w:pPr>
      <w:r w:rsidRPr="001F4E2F">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C645A25" w14:textId="77777777" w:rsidR="00EF4691" w:rsidRPr="001F4E2F" w:rsidRDefault="00EF4691" w:rsidP="001F4E2F">
      <w:pPr>
        <w:spacing w:after="0" w:line="276" w:lineRule="auto"/>
        <w:jc w:val="both"/>
        <w:rPr>
          <w:rFonts w:ascii="Verdana" w:eastAsia="Calibri" w:hAnsi="Verdana" w:cs="Times New Roman"/>
        </w:rPr>
      </w:pPr>
    </w:p>
    <w:p w14:paraId="41C23C0D" w14:textId="2423A662" w:rsidR="00EF4691" w:rsidRPr="006362CC" w:rsidRDefault="00EF4691" w:rsidP="006362CC">
      <w:pPr>
        <w:spacing w:after="0" w:line="276" w:lineRule="auto"/>
        <w:jc w:val="both"/>
        <w:rPr>
          <w:noProof/>
        </w:rPr>
      </w:pPr>
      <w:r w:rsidRPr="001F4E2F">
        <w:rPr>
          <w:rFonts w:ascii="Verdana" w:eastAsia="Calibri" w:hAnsi="Verdana" w:cs="Times New Roman"/>
        </w:rPr>
        <w:t>Atentamente,</w:t>
      </w:r>
      <w:bookmarkEnd w:id="0"/>
      <w:bookmarkEnd w:id="1"/>
    </w:p>
    <w:p w14:paraId="53869976" w14:textId="77777777" w:rsidR="00EF4691" w:rsidRDefault="00EF4691" w:rsidP="00EF4691">
      <w:pPr>
        <w:spacing w:after="0"/>
        <w:rPr>
          <w:rFonts w:ascii="Verdana" w:hAnsi="Verdana"/>
        </w:rPr>
      </w:pPr>
    </w:p>
    <w:p w14:paraId="454278EC" w14:textId="5EE5776E" w:rsidR="00EF4691" w:rsidRDefault="006362CC" w:rsidP="006362CC">
      <w:pPr>
        <w:spacing w:after="0"/>
        <w:jc w:val="center"/>
        <w:rPr>
          <w:rFonts w:ascii="Verdana" w:hAnsi="Verdana"/>
        </w:rPr>
      </w:pPr>
      <w:r w:rsidRPr="00DC4B8E">
        <w:rPr>
          <w:rFonts w:ascii="Verdana" w:hAnsi="Verdana"/>
          <w:noProof/>
        </w:rPr>
        <w:drawing>
          <wp:inline distT="0" distB="0" distL="0" distR="0" wp14:anchorId="609DF104" wp14:editId="26340072">
            <wp:extent cx="3705742" cy="1590897"/>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4"/>
                    <a:stretch>
                      <a:fillRect/>
                    </a:stretch>
                  </pic:blipFill>
                  <pic:spPr>
                    <a:xfrm>
                      <a:off x="0" y="0"/>
                      <a:ext cx="3705742" cy="1590897"/>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EF4691" w:rsidRPr="002423D6" w14:paraId="206C13AB" w14:textId="77777777" w:rsidTr="00D35935">
        <w:trPr>
          <w:trHeight w:val="315"/>
        </w:trPr>
        <w:tc>
          <w:tcPr>
            <w:tcW w:w="893" w:type="dxa"/>
            <w:vAlign w:val="center"/>
            <w:hideMark/>
          </w:tcPr>
          <w:p w14:paraId="2225C490" w14:textId="77777777" w:rsidR="00EF4691" w:rsidRPr="002423D6" w:rsidRDefault="00EF4691" w:rsidP="00D35935">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DF27F16" w14:textId="77777777" w:rsidR="00EF4691" w:rsidRPr="002423D6" w:rsidRDefault="00EF4691" w:rsidP="00D35935">
            <w:pPr>
              <w:contextualSpacing/>
              <w:rPr>
                <w:rFonts w:ascii="Verdana" w:eastAsia="Arial" w:hAnsi="Verdana" w:cs="Arial"/>
                <w:color w:val="000000" w:themeColor="text1"/>
                <w:sz w:val="16"/>
                <w:szCs w:val="16"/>
              </w:rPr>
            </w:pPr>
            <w:r w:rsidRPr="002423D6">
              <w:rPr>
                <w:rFonts w:ascii="Verdana" w:eastAsia="Arial" w:hAnsi="Verdana" w:cs="Arial"/>
                <w:color w:val="000000" w:themeColor="text1"/>
                <w:sz w:val="16"/>
                <w:szCs w:val="16"/>
              </w:rPr>
              <w:t>An</w:t>
            </w:r>
            <w:r>
              <w:rPr>
                <w:rFonts w:ascii="Verdana" w:eastAsia="Arial" w:hAnsi="Verdana" w:cs="Arial"/>
                <w:color w:val="000000" w:themeColor="text1"/>
                <w:sz w:val="16"/>
                <w:szCs w:val="16"/>
              </w:rPr>
              <w:t>dreina Cerpa Muñoz</w:t>
            </w:r>
          </w:p>
          <w:p w14:paraId="7B02405C" w14:textId="77777777" w:rsidR="00EF4691" w:rsidRPr="002423D6" w:rsidRDefault="00EF4691" w:rsidP="00D35935">
            <w:pPr>
              <w:contextualSpacing/>
              <w:rPr>
                <w:rFonts w:ascii="Verdana" w:eastAsia="Arial" w:hAnsi="Verdana" w:cs="Arial"/>
                <w:color w:val="000000" w:themeColor="text1"/>
                <w:sz w:val="16"/>
                <w:szCs w:val="16"/>
              </w:rPr>
            </w:pPr>
            <w:r w:rsidRPr="002423D6">
              <w:rPr>
                <w:rStyle w:val="normaltextrun"/>
                <w:rFonts w:ascii="Verdana" w:eastAsia="Arial" w:hAnsi="Verdana" w:cs="Arial"/>
                <w:color w:val="000000" w:themeColor="text1"/>
                <w:sz w:val="16"/>
                <w:szCs w:val="16"/>
              </w:rPr>
              <w:t>Analista T2-02 de la Subdirección de Gestión Contractual</w:t>
            </w:r>
          </w:p>
        </w:tc>
      </w:tr>
      <w:tr w:rsidR="00EF4691" w:rsidRPr="002423D6" w14:paraId="0FE495F9" w14:textId="77777777" w:rsidTr="00D35935">
        <w:trPr>
          <w:trHeight w:val="330"/>
        </w:trPr>
        <w:tc>
          <w:tcPr>
            <w:tcW w:w="893" w:type="dxa"/>
            <w:vAlign w:val="center"/>
            <w:hideMark/>
          </w:tcPr>
          <w:p w14:paraId="6D3B3F8A" w14:textId="77777777" w:rsidR="00EF4691" w:rsidRPr="002423D6" w:rsidRDefault="00EF4691" w:rsidP="00D35935">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50188B9" w14:textId="77777777" w:rsidR="00EF4691" w:rsidRPr="00A11861" w:rsidRDefault="00EF4691" w:rsidP="00D35935">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 xml:space="preserve">Diana Lucía Saavedra </w:t>
            </w:r>
          </w:p>
          <w:p w14:paraId="76E6D0C9" w14:textId="77777777" w:rsidR="00EF4691" w:rsidRPr="002423D6" w:rsidRDefault="00EF4691" w:rsidP="00D35935">
            <w:pPr>
              <w:pStyle w:val="paragraph"/>
              <w:spacing w:before="0" w:beforeAutospacing="0" w:after="0" w:afterAutospacing="0"/>
              <w:contextualSpacing/>
              <w:textAlignment w:val="baseline"/>
              <w:rPr>
                <w:rFonts w:ascii="Verdana" w:hAnsi="Verdana" w:cs="Segoe UI"/>
                <w:color w:val="000000" w:themeColor="text1"/>
                <w:sz w:val="16"/>
                <w:szCs w:val="16"/>
              </w:rPr>
            </w:pPr>
            <w:r w:rsidRPr="002423D6">
              <w:rPr>
                <w:rStyle w:val="normaltextrun"/>
                <w:rFonts w:ascii="Verdana" w:hAnsi="Verdana" w:cs="Arial"/>
                <w:color w:val="000000" w:themeColor="text1"/>
                <w:sz w:val="16"/>
                <w:szCs w:val="16"/>
                <w:lang w:val="es-ES"/>
              </w:rPr>
              <w:t>Contratista de la Subdirección de Gestión Contractual</w:t>
            </w:r>
            <w:r w:rsidRPr="002423D6">
              <w:rPr>
                <w:rStyle w:val="eop"/>
                <w:rFonts w:ascii="Verdana" w:hAnsi="Verdana" w:cs="Arial"/>
                <w:color w:val="000000" w:themeColor="text1"/>
                <w:sz w:val="16"/>
                <w:szCs w:val="16"/>
              </w:rPr>
              <w:t> </w:t>
            </w:r>
          </w:p>
        </w:tc>
      </w:tr>
      <w:tr w:rsidR="00EF4691" w:rsidRPr="002423D6" w14:paraId="45046849" w14:textId="77777777" w:rsidTr="00D35935">
        <w:trPr>
          <w:trHeight w:val="300"/>
        </w:trPr>
        <w:tc>
          <w:tcPr>
            <w:tcW w:w="893" w:type="dxa"/>
            <w:vAlign w:val="center"/>
          </w:tcPr>
          <w:p w14:paraId="4F5A3B1C" w14:textId="77777777" w:rsidR="00EF4691" w:rsidRPr="002423D6" w:rsidRDefault="00EF4691" w:rsidP="00D35935">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39A9037" w14:textId="77777777" w:rsidR="00EF4691" w:rsidRPr="002423D6" w:rsidRDefault="00EF4691" w:rsidP="00D35935">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val="pt-BR" w:eastAsia="es-ES"/>
              </w:rPr>
              <w:t xml:space="preserve">Carolina Quintero </w:t>
            </w:r>
            <w:proofErr w:type="spellStart"/>
            <w:r w:rsidRPr="002423D6">
              <w:rPr>
                <w:rFonts w:ascii="Verdana" w:eastAsia="Calibri" w:hAnsi="Verdana" w:cs="Arial"/>
                <w:color w:val="000000" w:themeColor="text1"/>
                <w:sz w:val="16"/>
                <w:szCs w:val="16"/>
                <w:lang w:val="pt-BR" w:eastAsia="es-ES"/>
              </w:rPr>
              <w:t>Gacharná</w:t>
            </w:r>
            <w:proofErr w:type="spellEnd"/>
          </w:p>
          <w:p w14:paraId="6B9B6F29" w14:textId="77777777" w:rsidR="00EF4691" w:rsidRPr="002423D6" w:rsidRDefault="00EF4691" w:rsidP="00D35935">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eastAsia="es-ES"/>
              </w:rPr>
              <w:t>Subdirectora</w:t>
            </w:r>
            <w:r w:rsidRPr="002423D6">
              <w:rPr>
                <w:rFonts w:ascii="Verdana" w:eastAsia="Calibri" w:hAnsi="Verdana" w:cs="Arial"/>
                <w:color w:val="000000" w:themeColor="text1"/>
                <w:sz w:val="16"/>
                <w:szCs w:val="16"/>
                <w:lang w:val="pt-BR" w:eastAsia="es-ES"/>
              </w:rPr>
              <w:t xml:space="preserve"> de Gestión </w:t>
            </w:r>
            <w:proofErr w:type="spellStart"/>
            <w:r w:rsidRPr="002423D6">
              <w:rPr>
                <w:rFonts w:ascii="Verdana" w:eastAsia="Calibri" w:hAnsi="Verdana" w:cs="Arial"/>
                <w:color w:val="000000" w:themeColor="text1"/>
                <w:sz w:val="16"/>
                <w:szCs w:val="16"/>
                <w:lang w:val="pt-BR" w:eastAsia="es-ES"/>
              </w:rPr>
              <w:t>Contractual</w:t>
            </w:r>
            <w:proofErr w:type="spellEnd"/>
            <w:r w:rsidRPr="002423D6">
              <w:rPr>
                <w:rFonts w:ascii="Verdana" w:eastAsia="Calibri" w:hAnsi="Verdana" w:cs="Arial"/>
                <w:color w:val="000000" w:themeColor="text1"/>
                <w:sz w:val="16"/>
                <w:szCs w:val="16"/>
                <w:lang w:val="pt-BR" w:eastAsia="es-ES"/>
              </w:rPr>
              <w:t xml:space="preserve"> ANCP – CCE</w:t>
            </w:r>
          </w:p>
        </w:tc>
      </w:tr>
    </w:tbl>
    <w:p w14:paraId="0F293BF4" w14:textId="23444CF6" w:rsidR="00127233" w:rsidRPr="00AC17CA" w:rsidRDefault="00127233" w:rsidP="00AC17CA"/>
    <w:sectPr w:rsidR="00127233" w:rsidRPr="00AC17CA"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A27E6" w14:textId="77777777" w:rsidR="00DA5E3D" w:rsidRDefault="00DA5E3D" w:rsidP="004A1847">
      <w:pPr>
        <w:spacing w:after="0" w:line="240" w:lineRule="auto"/>
      </w:pPr>
      <w:r>
        <w:separator/>
      </w:r>
    </w:p>
  </w:endnote>
  <w:endnote w:type="continuationSeparator" w:id="0">
    <w:p w14:paraId="2783A306" w14:textId="77777777" w:rsidR="00DA5E3D" w:rsidRDefault="00DA5E3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0"/>
    <w:family w:val="auto"/>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31EA4" w14:textId="77777777" w:rsidR="00DA5E3D" w:rsidRDefault="00DA5E3D" w:rsidP="004A1847">
      <w:pPr>
        <w:spacing w:after="0" w:line="240" w:lineRule="auto"/>
      </w:pPr>
      <w:r>
        <w:separator/>
      </w:r>
    </w:p>
  </w:footnote>
  <w:footnote w:type="continuationSeparator" w:id="0">
    <w:p w14:paraId="415A5CA5" w14:textId="77777777" w:rsidR="00DA5E3D" w:rsidRDefault="00DA5E3D" w:rsidP="004A1847">
      <w:pPr>
        <w:spacing w:after="0" w:line="240" w:lineRule="auto"/>
      </w:pPr>
      <w:r>
        <w:continuationSeparator/>
      </w:r>
    </w:p>
  </w:footnote>
  <w:footnote w:id="1">
    <w:p w14:paraId="69B9B218" w14:textId="77777777" w:rsidR="00EF4691" w:rsidRPr="00850DED" w:rsidRDefault="00EF4691" w:rsidP="00EF4691">
      <w:pPr>
        <w:pStyle w:val="Textonotapie"/>
        <w:ind w:firstLine="708"/>
        <w:jc w:val="both"/>
        <w:rPr>
          <w:rFonts w:ascii="Verdana" w:hAnsi="Verdana" w:cs="Arial"/>
          <w:color w:val="000000" w:themeColor="text1"/>
          <w:sz w:val="16"/>
          <w:szCs w:val="16"/>
        </w:rPr>
      </w:pPr>
      <w:bookmarkStart w:id="4" w:name="_Hlk194585808"/>
      <w:r w:rsidRPr="00850DED">
        <w:rPr>
          <w:rStyle w:val="Refdenotaalpie"/>
          <w:rFonts w:ascii="Verdana" w:hAnsi="Verdana" w:cs="Arial"/>
          <w:color w:val="000000" w:themeColor="text1"/>
          <w:sz w:val="16"/>
          <w:szCs w:val="16"/>
        </w:rPr>
        <w:footnoteRef/>
      </w:r>
      <w:r w:rsidRPr="00850DED">
        <w:rPr>
          <w:rFonts w:ascii="Verdana" w:hAnsi="Verdana" w:cs="Arial"/>
          <w:color w:val="000000" w:themeColor="text1"/>
          <w:sz w:val="16"/>
          <w:szCs w:val="16"/>
        </w:rPr>
        <w:t xml:space="preserve"> CONSEJO DE ESTADO. Sección Tercera, Subsección A. Sentencia del 13 de noviembre de 2013. Rad. 25.646.C.P. Mauricio Fajardo Gómez. </w:t>
      </w:r>
    </w:p>
    <w:bookmarkEnd w:id="4"/>
  </w:footnote>
  <w:footnote w:id="2">
    <w:p w14:paraId="13F237AF" w14:textId="77777777" w:rsidR="00EF4691" w:rsidRPr="00BA0618" w:rsidRDefault="00EF4691" w:rsidP="00EF4691">
      <w:pPr>
        <w:pStyle w:val="Textonotapie"/>
        <w:snapToGrid w:val="0"/>
        <w:ind w:firstLine="709"/>
        <w:jc w:val="both"/>
        <w:rPr>
          <w:rFonts w:ascii="Verdana" w:hAnsi="Verdana" w:cs="Arial"/>
          <w:color w:val="000000" w:themeColor="text1"/>
          <w:sz w:val="16"/>
          <w:szCs w:val="16"/>
          <w:lang w:val="es-ES"/>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w:t>
      </w:r>
      <w:r w:rsidRPr="00BA0618">
        <w:rPr>
          <w:rFonts w:ascii="Verdana" w:hAnsi="Verdana" w:cs="Arial"/>
          <w:color w:val="000000" w:themeColor="text1"/>
          <w:sz w:val="16"/>
          <w:szCs w:val="16"/>
          <w:lang w:val="es-ES"/>
        </w:rPr>
        <w:t xml:space="preserve">BARRETO ROZO, Antonio Alejandro. Inhabilidades de la contratación estatal, efectos y </w:t>
      </w:r>
      <w:proofErr w:type="spellStart"/>
      <w:r w:rsidRPr="00BA0618">
        <w:rPr>
          <w:rFonts w:ascii="Verdana" w:hAnsi="Verdana" w:cs="Arial"/>
          <w:color w:val="000000" w:themeColor="text1"/>
          <w:sz w:val="16"/>
          <w:szCs w:val="16"/>
          <w:lang w:val="es-ES"/>
        </w:rPr>
        <w:t>neopunitivismo</w:t>
      </w:r>
      <w:proofErr w:type="spellEnd"/>
      <w:r w:rsidRPr="00BA0618">
        <w:rPr>
          <w:rFonts w:ascii="Verdana" w:hAnsi="Verdana" w:cs="Arial"/>
          <w:color w:val="000000" w:themeColor="text1"/>
          <w:sz w:val="16"/>
          <w:szCs w:val="16"/>
          <w:lang w:val="es-ES"/>
        </w:rPr>
        <w:t xml:space="preserve"> en el Estatuto Anticorrupción. En: ALVIAR GARCÍA, Helena (Coordinadora). Nuevas tendencias del Derecho administrativo. Bogotá: Universidad de los Andes; Temis, 2016. pp. 63-99.</w:t>
      </w:r>
    </w:p>
  </w:footnote>
  <w:footnote w:id="3">
    <w:p w14:paraId="4E4EFCCE" w14:textId="77777777" w:rsidR="00EF4691" w:rsidRPr="00BA0618" w:rsidRDefault="00EF4691" w:rsidP="00EF4691">
      <w:pPr>
        <w:pStyle w:val="Textonotapie"/>
        <w:snapToGrid w:val="0"/>
        <w:ind w:firstLine="709"/>
        <w:jc w:val="both"/>
        <w:rPr>
          <w:rFonts w:ascii="Verdana" w:hAnsi="Verdana" w:cs="Arial"/>
          <w:color w:val="000000" w:themeColor="text1"/>
          <w:sz w:val="16"/>
          <w:szCs w:val="16"/>
          <w:lang w:val="es-ES"/>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w:t>
      </w:r>
      <w:proofErr w:type="spellStart"/>
      <w:r w:rsidRPr="00BA0618">
        <w:rPr>
          <w:rFonts w:ascii="Verdana" w:hAnsi="Verdana" w:cs="Arial"/>
          <w:color w:val="000000" w:themeColor="text1"/>
          <w:sz w:val="16"/>
          <w:szCs w:val="16"/>
          <w:lang w:val="es-ES"/>
        </w:rPr>
        <w:t>Ibíd</w:t>
      </w:r>
      <w:proofErr w:type="spellEnd"/>
      <w:r w:rsidRPr="00BA0618">
        <w:rPr>
          <w:rFonts w:ascii="Verdana" w:hAnsi="Verdana" w:cs="Arial"/>
          <w:color w:val="000000" w:themeColor="text1"/>
          <w:sz w:val="16"/>
          <w:szCs w:val="16"/>
          <w:lang w:val="es-ES"/>
        </w:rPr>
        <w:t>., p. 69.</w:t>
      </w:r>
    </w:p>
  </w:footnote>
  <w:footnote w:id="4">
    <w:p w14:paraId="47454892" w14:textId="77777777" w:rsidR="00EF4691" w:rsidRPr="00BA0618" w:rsidRDefault="00EF4691" w:rsidP="00EF4691">
      <w:pPr>
        <w:pStyle w:val="Textonotapie"/>
        <w:snapToGrid w:val="0"/>
        <w:ind w:firstLine="709"/>
        <w:jc w:val="both"/>
        <w:rPr>
          <w:rFonts w:ascii="Verdana" w:hAnsi="Verdana" w:cs="Arial"/>
          <w:color w:val="000000" w:themeColor="text1"/>
          <w:sz w:val="16"/>
          <w:szCs w:val="16"/>
          <w:lang w:val="es-ES"/>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w:t>
      </w:r>
      <w:r w:rsidRPr="00BA0618">
        <w:rPr>
          <w:rFonts w:ascii="Verdana" w:hAnsi="Verdana" w:cs="Arial"/>
          <w:color w:val="000000" w:themeColor="text1"/>
          <w:sz w:val="16"/>
          <w:szCs w:val="16"/>
          <w:lang w:val="es-ES"/>
        </w:rPr>
        <w:t xml:space="preserve">Corte Constitucional. Sentencia T-1039 de 2006. Magistrado Ponente: Humberto Sierra Porto. La Corte ha mantenido este criterio en las sentencias: C-903 de 2008. Magistrado Ponente: Jaime Araujo Rentería; C-101 de 2018. Magistrada Ponente Gloria Stella Ortiz Delgado; entre otras. </w:t>
      </w:r>
    </w:p>
  </w:footnote>
  <w:footnote w:id="5">
    <w:p w14:paraId="47FDEBCB" w14:textId="77777777" w:rsidR="00EF4691" w:rsidRPr="00BA0618" w:rsidRDefault="00EF4691" w:rsidP="00EF4691">
      <w:pPr>
        <w:pStyle w:val="Textonotapie"/>
        <w:snapToGrid w:val="0"/>
        <w:ind w:firstLine="709"/>
        <w:jc w:val="both"/>
        <w:rPr>
          <w:rFonts w:ascii="Verdana" w:hAnsi="Verdana" w:cs="Arial"/>
          <w:color w:val="000000" w:themeColor="text1"/>
          <w:sz w:val="16"/>
          <w:szCs w:val="16"/>
          <w:lang w:val="es-ES"/>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w:t>
      </w:r>
      <w:r w:rsidRPr="00BA0618">
        <w:rPr>
          <w:rFonts w:ascii="Verdana" w:hAnsi="Verdana" w:cs="Arial"/>
          <w:color w:val="000000" w:themeColor="text1"/>
          <w:sz w:val="16"/>
          <w:szCs w:val="16"/>
          <w:lang w:val="es-ES"/>
        </w:rPr>
        <w:t>Consejo de Estado. Sala de Consulta y Servicio Civil. Concepto del 30 de abril de 2015. Expediente: 2251. Consejero Ponente: Álvaro Namén Vargas.</w:t>
      </w:r>
    </w:p>
  </w:footnote>
  <w:footnote w:id="6">
    <w:p w14:paraId="734BB404" w14:textId="77777777" w:rsidR="00EF4691" w:rsidRPr="00BA0618" w:rsidRDefault="00EF4691" w:rsidP="00EF4691">
      <w:pPr>
        <w:pStyle w:val="Textonotapie"/>
        <w:snapToGrid w:val="0"/>
        <w:ind w:firstLine="709"/>
        <w:jc w:val="both"/>
        <w:rPr>
          <w:rFonts w:ascii="Verdana" w:hAnsi="Verdana" w:cs="Arial"/>
          <w:color w:val="000000" w:themeColor="text1"/>
          <w:sz w:val="16"/>
          <w:szCs w:val="16"/>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Consejo de Estado. Sección Tercera. Subsección A. Sentencia del 24 de junio de 2015. Exp. 40.635. Consejero Ponente: Hernán Andrade Rincón (E).</w:t>
      </w:r>
    </w:p>
  </w:footnote>
  <w:footnote w:id="7">
    <w:p w14:paraId="3A460586" w14:textId="77777777" w:rsidR="00EF4691" w:rsidRPr="00BA0618" w:rsidRDefault="00EF4691" w:rsidP="00EF4691">
      <w:pPr>
        <w:pStyle w:val="Textonotapie"/>
        <w:snapToGrid w:val="0"/>
        <w:ind w:firstLine="709"/>
        <w:jc w:val="both"/>
        <w:rPr>
          <w:rFonts w:ascii="Verdana" w:hAnsi="Verdana" w:cs="Arial"/>
          <w:color w:val="000000" w:themeColor="text1"/>
          <w:sz w:val="16"/>
          <w:szCs w:val="16"/>
        </w:rPr>
      </w:pPr>
      <w:r w:rsidRPr="00BA0618">
        <w:rPr>
          <w:rStyle w:val="Refdenotaalpie"/>
          <w:rFonts w:ascii="Verdana" w:hAnsi="Verdana" w:cs="Arial"/>
          <w:color w:val="000000" w:themeColor="text1"/>
          <w:sz w:val="16"/>
          <w:szCs w:val="16"/>
        </w:rPr>
        <w:footnoteRef/>
      </w:r>
      <w:r w:rsidRPr="00BA0618">
        <w:rPr>
          <w:rFonts w:ascii="Verdana" w:hAnsi="Verdana" w:cs="Arial"/>
          <w:color w:val="000000" w:themeColor="text1"/>
          <w:sz w:val="16"/>
          <w:szCs w:val="16"/>
        </w:rPr>
        <w:t xml:space="preserve"> Consejo de Estado. Sección Tercera. Subsección C. Sentencia del 22 de mayo de 2013. Exp. 24.057. Consejera Ponente: Olga Melida Valle De De La Hoz.</w:t>
      </w:r>
    </w:p>
  </w:footnote>
  <w:footnote w:id="8">
    <w:p w14:paraId="2B4EBA20" w14:textId="77777777" w:rsidR="00EF4691" w:rsidRPr="00BA0618" w:rsidRDefault="00EF4691" w:rsidP="00EF4691">
      <w:pPr>
        <w:pStyle w:val="Textonotapie"/>
        <w:ind w:firstLine="709"/>
        <w:jc w:val="both"/>
        <w:rPr>
          <w:rFonts w:ascii="Verdana" w:hAnsi="Verdana" w:cs="Arial"/>
          <w:color w:val="000000"/>
          <w:sz w:val="16"/>
          <w:szCs w:val="16"/>
          <w:lang w:val="es-CO"/>
        </w:rPr>
      </w:pPr>
      <w:r w:rsidRPr="00BA0618">
        <w:rPr>
          <w:rStyle w:val="Refdenotaalpie"/>
          <w:rFonts w:ascii="Verdana" w:hAnsi="Verdana" w:cs="Arial"/>
          <w:color w:val="000000"/>
          <w:sz w:val="16"/>
          <w:szCs w:val="16"/>
          <w:lang w:val="es-CO"/>
        </w:rPr>
        <w:footnoteRef/>
      </w:r>
      <w:r w:rsidRPr="00BA0618">
        <w:rPr>
          <w:rFonts w:ascii="Verdana" w:hAnsi="Verdana" w:cs="Arial"/>
          <w:color w:val="000000"/>
          <w:sz w:val="16"/>
          <w:szCs w:val="16"/>
          <w:lang w:val="es-CO"/>
        </w:rPr>
        <w:t xml:space="preserve"> </w:t>
      </w:r>
      <w:r w:rsidRPr="00BA0618">
        <w:rPr>
          <w:rFonts w:ascii="Verdana" w:hAnsi="Verdana" w:cs="Arial"/>
          <w:i/>
          <w:color w:val="000000"/>
          <w:sz w:val="16"/>
          <w:szCs w:val="16"/>
          <w:lang w:val="es-CO"/>
        </w:rPr>
        <w:t>Ibid</w:t>
      </w:r>
      <w:r w:rsidRPr="00BA0618">
        <w:rPr>
          <w:rFonts w:ascii="Verdana" w:hAnsi="Verdana" w:cs="Arial"/>
          <w:color w:val="000000"/>
          <w:sz w:val="16"/>
          <w:szCs w:val="16"/>
          <w:lang w:val="es-C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1.7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4E2F"/>
    <w:rsid w:val="001F7DC6"/>
    <w:rsid w:val="00215136"/>
    <w:rsid w:val="00221149"/>
    <w:rsid w:val="0022400B"/>
    <w:rsid w:val="002421BB"/>
    <w:rsid w:val="0025796E"/>
    <w:rsid w:val="00260604"/>
    <w:rsid w:val="002707A2"/>
    <w:rsid w:val="002951A0"/>
    <w:rsid w:val="002962BC"/>
    <w:rsid w:val="002A093D"/>
    <w:rsid w:val="002A0DD0"/>
    <w:rsid w:val="002A49AC"/>
    <w:rsid w:val="002A64FD"/>
    <w:rsid w:val="002C7A84"/>
    <w:rsid w:val="002E2BF8"/>
    <w:rsid w:val="002E4FD9"/>
    <w:rsid w:val="0030657A"/>
    <w:rsid w:val="00306FE5"/>
    <w:rsid w:val="00322A85"/>
    <w:rsid w:val="00324168"/>
    <w:rsid w:val="00330834"/>
    <w:rsid w:val="003448F4"/>
    <w:rsid w:val="00374F5E"/>
    <w:rsid w:val="00377E3E"/>
    <w:rsid w:val="003A779E"/>
    <w:rsid w:val="003B5846"/>
    <w:rsid w:val="003D0F4D"/>
    <w:rsid w:val="003D453A"/>
    <w:rsid w:val="003D5B0D"/>
    <w:rsid w:val="003E0499"/>
    <w:rsid w:val="003E4F80"/>
    <w:rsid w:val="003E6439"/>
    <w:rsid w:val="003F3941"/>
    <w:rsid w:val="003F6778"/>
    <w:rsid w:val="00406575"/>
    <w:rsid w:val="00414C74"/>
    <w:rsid w:val="00422FE7"/>
    <w:rsid w:val="0042722E"/>
    <w:rsid w:val="0044528D"/>
    <w:rsid w:val="00447E8A"/>
    <w:rsid w:val="00466E39"/>
    <w:rsid w:val="004A1847"/>
    <w:rsid w:val="004A305D"/>
    <w:rsid w:val="004F21C4"/>
    <w:rsid w:val="004F685F"/>
    <w:rsid w:val="005566E8"/>
    <w:rsid w:val="00556B0B"/>
    <w:rsid w:val="00574867"/>
    <w:rsid w:val="00591460"/>
    <w:rsid w:val="005A65E0"/>
    <w:rsid w:val="005B71E7"/>
    <w:rsid w:val="005C3777"/>
    <w:rsid w:val="005C5CDC"/>
    <w:rsid w:val="005D476C"/>
    <w:rsid w:val="006200BF"/>
    <w:rsid w:val="006219F8"/>
    <w:rsid w:val="006302F7"/>
    <w:rsid w:val="006362CC"/>
    <w:rsid w:val="00646B9F"/>
    <w:rsid w:val="00665D70"/>
    <w:rsid w:val="006900D9"/>
    <w:rsid w:val="006C48F4"/>
    <w:rsid w:val="00706C16"/>
    <w:rsid w:val="007340C3"/>
    <w:rsid w:val="0075235A"/>
    <w:rsid w:val="00756841"/>
    <w:rsid w:val="007649AB"/>
    <w:rsid w:val="00771D0C"/>
    <w:rsid w:val="007833AC"/>
    <w:rsid w:val="007B268C"/>
    <w:rsid w:val="007B3A5D"/>
    <w:rsid w:val="007B7171"/>
    <w:rsid w:val="007C0C0F"/>
    <w:rsid w:val="007C3DC2"/>
    <w:rsid w:val="007E5497"/>
    <w:rsid w:val="00806F5F"/>
    <w:rsid w:val="00820278"/>
    <w:rsid w:val="008258C9"/>
    <w:rsid w:val="0082605E"/>
    <w:rsid w:val="00844AE9"/>
    <w:rsid w:val="00867F95"/>
    <w:rsid w:val="00870986"/>
    <w:rsid w:val="008843B6"/>
    <w:rsid w:val="00891928"/>
    <w:rsid w:val="008A446D"/>
    <w:rsid w:val="008B25F1"/>
    <w:rsid w:val="008D180B"/>
    <w:rsid w:val="008D53F3"/>
    <w:rsid w:val="008F0EA7"/>
    <w:rsid w:val="00923EEF"/>
    <w:rsid w:val="009419F9"/>
    <w:rsid w:val="00956636"/>
    <w:rsid w:val="0095685E"/>
    <w:rsid w:val="00961B09"/>
    <w:rsid w:val="00965334"/>
    <w:rsid w:val="009656A5"/>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34B2A"/>
    <w:rsid w:val="00A364E3"/>
    <w:rsid w:val="00AB0ADB"/>
    <w:rsid w:val="00AB6609"/>
    <w:rsid w:val="00AC17CA"/>
    <w:rsid w:val="00AC2CE1"/>
    <w:rsid w:val="00B00C0E"/>
    <w:rsid w:val="00B01B1A"/>
    <w:rsid w:val="00B0381D"/>
    <w:rsid w:val="00B44A47"/>
    <w:rsid w:val="00B72CD3"/>
    <w:rsid w:val="00B72FFF"/>
    <w:rsid w:val="00BC3D36"/>
    <w:rsid w:val="00BD54A6"/>
    <w:rsid w:val="00BD7F72"/>
    <w:rsid w:val="00BF7425"/>
    <w:rsid w:val="00C0353D"/>
    <w:rsid w:val="00C04FB3"/>
    <w:rsid w:val="00C11D8B"/>
    <w:rsid w:val="00C15139"/>
    <w:rsid w:val="00C330EB"/>
    <w:rsid w:val="00C50D69"/>
    <w:rsid w:val="00C5365C"/>
    <w:rsid w:val="00C754BE"/>
    <w:rsid w:val="00C76B1C"/>
    <w:rsid w:val="00C925AC"/>
    <w:rsid w:val="00CB6357"/>
    <w:rsid w:val="00CC1B26"/>
    <w:rsid w:val="00CD0F49"/>
    <w:rsid w:val="00D21119"/>
    <w:rsid w:val="00D361FD"/>
    <w:rsid w:val="00D423A2"/>
    <w:rsid w:val="00D44E26"/>
    <w:rsid w:val="00D520D8"/>
    <w:rsid w:val="00D63AC2"/>
    <w:rsid w:val="00D7383B"/>
    <w:rsid w:val="00D7788A"/>
    <w:rsid w:val="00DA0D4A"/>
    <w:rsid w:val="00DA119C"/>
    <w:rsid w:val="00DA231B"/>
    <w:rsid w:val="00DA5E3D"/>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490"/>
    <w:rsid w:val="00EC38A7"/>
    <w:rsid w:val="00EE1AA8"/>
    <w:rsid w:val="00EF4691"/>
    <w:rsid w:val="00EF6E5F"/>
    <w:rsid w:val="00F134AF"/>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2CC"/>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F4691"/>
    <w:rPr>
      <w:rFonts w:ascii="Geomanist Light" w:hAnsi="Geomanist Light"/>
      <w:lang w:val="es-ES"/>
    </w:rPr>
  </w:style>
  <w:style w:type="character" w:customStyle="1" w:styleId="NormalWebCar">
    <w:name w:val="Normal (Web) Car"/>
    <w:link w:val="NormalWeb"/>
    <w:uiPriority w:val="99"/>
    <w:locked/>
    <w:rsid w:val="00EF4691"/>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EF4691"/>
    <w:pPr>
      <w:spacing w:line="240" w:lineRule="exact"/>
    </w:pPr>
    <w:rPr>
      <w:vertAlign w:val="superscript"/>
    </w:rPr>
  </w:style>
  <w:style w:type="paragraph" w:styleId="Sinespaciado">
    <w:name w:val="No Spacing"/>
    <w:aliases w:val="No Indent"/>
    <w:uiPriority w:val="3"/>
    <w:qFormat/>
    <w:rsid w:val="00EF4691"/>
    <w:pPr>
      <w:spacing w:after="0" w:line="240" w:lineRule="auto"/>
    </w:pPr>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lombiacompra.gov.c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mramirezle@unal.edu.co"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DBBE2682-4466-42CE-92A6-26DF95143E9D}"/>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45</TotalTime>
  <Pages>14</Pages>
  <Words>4458</Words>
  <Characters>24525</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3</cp:revision>
  <cp:lastPrinted>2023-01-10T21:18:00Z</cp:lastPrinted>
  <dcterms:created xsi:type="dcterms:W3CDTF">2026-09-11T02:39:00Z</dcterms:created>
  <dcterms:modified xsi:type="dcterms:W3CDTF">2026-09-14T15:12:00Z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