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7E2F" w14:textId="77777777" w:rsidR="00484850" w:rsidRPr="00484850" w:rsidRDefault="00484850" w:rsidP="00484850">
      <w:pPr>
        <w:spacing w:after="0"/>
        <w:rPr>
          <w:rFonts w:ascii="Verdana" w:eastAsia="Aptos" w:hAnsi="Verdana" w:cs="Times New Roman"/>
        </w:rPr>
      </w:pPr>
      <w:bookmarkStart w:id="0" w:name="_Hlk143780582"/>
      <w:r w:rsidRPr="00484850">
        <w:rPr>
          <w:rFonts w:ascii="Verdana" w:eastAsia="Aptos" w:hAnsi="Verdana" w:cs="Times New Roman"/>
          <w:b/>
          <w:bCs/>
          <w:color w:val="000000"/>
        </w:rPr>
        <w:t xml:space="preserve">DOCUMENTOS TIPO – Fundamento normativo – Obligatoriedad </w:t>
      </w:r>
    </w:p>
    <w:p w14:paraId="2036B4BB" w14:textId="77777777" w:rsidR="00484850" w:rsidRPr="00484850" w:rsidRDefault="00484850" w:rsidP="00484850">
      <w:pPr>
        <w:spacing w:after="0" w:line="276" w:lineRule="auto"/>
        <w:jc w:val="both"/>
        <w:rPr>
          <w:rFonts w:ascii="Verdana" w:eastAsia="Calibri" w:hAnsi="Verdana" w:cs="Arial"/>
          <w:b/>
          <w:bCs/>
          <w:sz w:val="20"/>
          <w:szCs w:val="20"/>
          <w:lang w:val="es-ES_tradnl"/>
        </w:rPr>
      </w:pPr>
    </w:p>
    <w:p w14:paraId="6DC033BC" w14:textId="77777777" w:rsidR="00484850" w:rsidRPr="00484850" w:rsidRDefault="00484850" w:rsidP="00484850">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484850">
        <w:rPr>
          <w:rFonts w:ascii="Verdana" w:eastAsia="Times New Roman" w:hAnsi="Verdana" w:cs="Arial"/>
          <w:sz w:val="20"/>
          <w:szCs w:val="20"/>
          <w:shd w:val="clear" w:color="auto" w:fill="FFFFFF"/>
          <w:lang w:val="es-ES_tradnl" w:eastAsia="es-ES_tradnl"/>
        </w:rPr>
        <w:t xml:space="preserve">Los documentos tipo expedidos por la Agencia Nacional de Contratación Pública </w:t>
      </w:r>
      <w:r w:rsidRPr="00484850">
        <w:rPr>
          <w:rFonts w:ascii="Verdana" w:eastAsia="Symbol" w:hAnsi="Verdana" w:cs="Symbol"/>
          <w:sz w:val="20"/>
          <w:szCs w:val="20"/>
          <w:shd w:val="clear" w:color="auto" w:fill="FFFFFF"/>
          <w:lang w:val="es-ES_tradnl" w:eastAsia="es-ES_tradnl"/>
        </w:rPr>
        <w:t>-</w:t>
      </w:r>
      <w:r w:rsidRPr="00484850">
        <w:rPr>
          <w:rFonts w:ascii="Verdana" w:eastAsia="Times New Roman" w:hAnsi="Verdana"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018DB048" w14:textId="77777777" w:rsidR="00484850" w:rsidRPr="00484850" w:rsidRDefault="00484850" w:rsidP="00484850">
      <w:pPr>
        <w:spacing w:after="0" w:line="276" w:lineRule="auto"/>
        <w:jc w:val="both"/>
        <w:rPr>
          <w:rFonts w:ascii="Verdana" w:eastAsia="Geomanist Light" w:hAnsi="Verdana" w:cs="Arial"/>
          <w:highlight w:val="yellow"/>
          <w:lang w:val="es-ES_tradnl"/>
        </w:rPr>
      </w:pPr>
    </w:p>
    <w:p w14:paraId="33B06CBC" w14:textId="77777777" w:rsidR="00484850" w:rsidRPr="00484850" w:rsidRDefault="00484850" w:rsidP="00484850">
      <w:pPr>
        <w:spacing w:after="0"/>
        <w:jc w:val="both"/>
        <w:rPr>
          <w:rFonts w:ascii="Verdana" w:eastAsia="Aptos" w:hAnsi="Verdana" w:cs="Times New Roman"/>
          <w:b/>
          <w:bCs/>
          <w:color w:val="000000"/>
        </w:rPr>
      </w:pPr>
      <w:r w:rsidRPr="00484850">
        <w:rPr>
          <w:rFonts w:ascii="Verdana" w:eastAsia="Aptos" w:hAnsi="Verdana" w:cs="Times New Roman"/>
          <w:b/>
          <w:bCs/>
          <w:color w:val="000000"/>
        </w:rPr>
        <w:t>EXPERIENCIA – Acreditación − Documentos tipo − Licitación de obra pública – Infraestructura – Agua potable y saneamiento básico</w:t>
      </w:r>
    </w:p>
    <w:p w14:paraId="12483314" w14:textId="77777777" w:rsidR="00484850" w:rsidRPr="00484850" w:rsidRDefault="00484850" w:rsidP="00484850">
      <w:pPr>
        <w:tabs>
          <w:tab w:val="left" w:pos="0"/>
        </w:tabs>
        <w:spacing w:after="0" w:line="240" w:lineRule="auto"/>
        <w:ind w:left="11"/>
        <w:jc w:val="both"/>
        <w:rPr>
          <w:rFonts w:ascii="Arial" w:eastAsia="Aptos" w:hAnsi="Arial" w:cs="Arial"/>
          <w:b/>
          <w:bCs/>
          <w:color w:val="000000"/>
          <w:kern w:val="2"/>
          <w:sz w:val="24"/>
          <w:szCs w:val="24"/>
          <w14:ligatures w14:val="standardContextual"/>
        </w:rPr>
      </w:pPr>
    </w:p>
    <w:p w14:paraId="76DC4FE1" w14:textId="77777777" w:rsidR="00484850" w:rsidRPr="00484850" w:rsidRDefault="00484850" w:rsidP="00484850">
      <w:pPr>
        <w:spacing w:after="0" w:line="240" w:lineRule="auto"/>
        <w:jc w:val="both"/>
        <w:rPr>
          <w:rFonts w:ascii="Verdana" w:eastAsia="Calibri" w:hAnsi="Verdana" w:cs="Arial"/>
          <w:kern w:val="2"/>
          <w:sz w:val="20"/>
          <w:szCs w:val="20"/>
          <w14:ligatures w14:val="standardContextual"/>
        </w:rPr>
      </w:pPr>
      <w:r w:rsidRPr="00484850">
        <w:rPr>
          <w:rFonts w:ascii="Verdana" w:eastAsia="Aptos" w:hAnsi="Verdana" w:cs="Arial"/>
          <w:sz w:val="20"/>
          <w:szCs w:val="20"/>
          <w:lang w:val="es-ES"/>
        </w:rPr>
        <w:t xml:space="preserve">La parte introductoria del pliego de condiciones de los documentos tipo analizados dispone que estos se aplican </w:t>
      </w:r>
      <w:r w:rsidRPr="00484850">
        <w:rPr>
          <w:rFonts w:ascii="Verdana" w:eastAsia="Arial" w:hAnsi="Verdana" w:cs="Arial"/>
          <w:sz w:val="20"/>
          <w:szCs w:val="20"/>
        </w:rPr>
        <w:t>aplican a los procesos de licitación de obra pública de infraestructura para agua potable y saneamiento básico, que correspondan a las actividades definidas en la Matriz 1 – Experiencia</w:t>
      </w:r>
      <w:r w:rsidRPr="00484850">
        <w:rPr>
          <w:rFonts w:ascii="Verdana" w:eastAsia="Aptos" w:hAnsi="Verdana" w:cs="Arial"/>
          <w:sz w:val="20"/>
          <w:szCs w:val="20"/>
          <w:lang w:val="es-ES"/>
        </w:rPr>
        <w:t xml:space="preserve">. </w:t>
      </w:r>
      <w:r w:rsidRPr="00484850">
        <w:rPr>
          <w:rFonts w:ascii="Verdana" w:eastAsia="Arial" w:hAnsi="Verdana" w:cs="Arial"/>
          <w:sz w:val="20"/>
          <w:szCs w:val="20"/>
        </w:rPr>
        <w:t>En consecuencia, los proyectos de agua potable y saneamiento básico no contemplados en la Matriz 1 – Experiencia no tienen que aplicar los documentos tipo, sin perjuicio de lo previsto en el artículo 4 de la Resolución 248 de 2020</w:t>
      </w:r>
      <w:r w:rsidRPr="00484850">
        <w:rPr>
          <w:rFonts w:ascii="Verdana" w:eastAsia="Aptos" w:hAnsi="Verdana" w:cs="Arial"/>
          <w:sz w:val="20"/>
          <w:szCs w:val="20"/>
          <w:lang w:val="es-ES"/>
        </w:rPr>
        <w:t>, relacionado con la posibilidad de exigir experiencia adicional en determinados supuestos.</w:t>
      </w:r>
    </w:p>
    <w:p w14:paraId="7CF1697A" w14:textId="77777777" w:rsidR="00484850" w:rsidRPr="00484850" w:rsidRDefault="00484850" w:rsidP="00484850">
      <w:pPr>
        <w:spacing w:after="0" w:line="240" w:lineRule="auto"/>
        <w:jc w:val="both"/>
        <w:rPr>
          <w:rFonts w:ascii="Verdana" w:eastAsia="Calibri" w:hAnsi="Verdana" w:cs="Arial"/>
          <w:kern w:val="2"/>
          <w:sz w:val="20"/>
          <w:szCs w:val="20"/>
          <w14:ligatures w14:val="standardContextual"/>
        </w:rPr>
      </w:pPr>
    </w:p>
    <w:p w14:paraId="546863C8" w14:textId="77777777" w:rsidR="00484850" w:rsidRPr="00484850" w:rsidRDefault="00484850" w:rsidP="00484850">
      <w:pPr>
        <w:spacing w:after="0" w:line="240" w:lineRule="auto"/>
        <w:jc w:val="both"/>
        <w:rPr>
          <w:rFonts w:ascii="Verdana" w:eastAsia="Aptos" w:hAnsi="Verdana" w:cs="Arial"/>
          <w:sz w:val="20"/>
          <w:szCs w:val="20"/>
          <w:lang w:val="es-MX"/>
        </w:rPr>
      </w:pPr>
      <w:r w:rsidRPr="00484850">
        <w:rPr>
          <w:rFonts w:ascii="Verdana" w:eastAsia="Calibri" w:hAnsi="Verdana" w:cs="Arial"/>
          <w:kern w:val="2"/>
          <w:sz w:val="20"/>
          <w:szCs w:val="20"/>
          <w14:ligatures w14:val="standardContextual"/>
        </w:rPr>
        <w:t xml:space="preserve">De acuerdo con las condiciones fijadas en el “Documento Base” de la Resolución No. 248 del 1 de diciembre de 2020,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w:t>
      </w:r>
      <w:r w:rsidRPr="00484850">
        <w:rPr>
          <w:rFonts w:ascii="Verdana" w:eastAsia="Aptos" w:hAnsi="Verdana" w:cs="Arial"/>
          <w:sz w:val="20"/>
          <w:szCs w:val="20"/>
          <w:lang w:val="es-MX"/>
        </w:rPr>
        <w:t xml:space="preserve">En este punto, vale anotar que mediante la Resolución 275 de 2022 </w:t>
      </w:r>
      <w:r w:rsidRPr="00484850">
        <w:rPr>
          <w:rFonts w:ascii="Verdana" w:eastAsia="Aptos" w:hAnsi="Verdana" w:cs="Arial"/>
          <w:sz w:val="20"/>
          <w:szCs w:val="20"/>
        </w:rPr>
        <w:t xml:space="preserve">se modificó el número de contratos para acreditar la experiencia teniendo en cuenta los criterios diferenciales habilitantes para </w:t>
      </w:r>
      <w:proofErr w:type="spellStart"/>
      <w:r w:rsidRPr="00484850">
        <w:rPr>
          <w:rFonts w:ascii="Verdana" w:eastAsia="Aptos" w:hAnsi="Verdana" w:cs="Arial"/>
          <w:sz w:val="20"/>
          <w:szCs w:val="20"/>
        </w:rPr>
        <w:t>Mipyme</w:t>
      </w:r>
      <w:proofErr w:type="spellEnd"/>
      <w:r w:rsidRPr="00484850">
        <w:rPr>
          <w:rFonts w:ascii="Verdana" w:eastAsia="Aptos" w:hAnsi="Verdana" w:cs="Arial"/>
          <w:sz w:val="20"/>
          <w:szCs w:val="20"/>
        </w:rPr>
        <w:t xml:space="preserve"> y emprendimientos y empresas de mujeres establecidos en el Decreto 1860 de 2021. De esta manera, en los procesos cuyo aviso de convocatoria fue publicado después del 29 de agosto de 2022 el proponente acreditará la experiencia solicitada con máximo cinco (5) contratos. Sin embargo, </w:t>
      </w:r>
      <w:r w:rsidRPr="00484850">
        <w:rPr>
          <w:rFonts w:ascii="Verdana" w:eastAsia="Aptos" w:hAnsi="Verdana" w:cs="Arial"/>
          <w:sz w:val="20"/>
          <w:szCs w:val="20"/>
          <w:lang w:val="es-MX"/>
        </w:rPr>
        <w:t xml:space="preserve">si el proponente </w:t>
      </w:r>
      <w:r w:rsidRPr="00484850">
        <w:rPr>
          <w:rFonts w:ascii="Verdana" w:eastAsia="Aptos" w:hAnsi="Verdana" w:cs="Arial"/>
          <w:sz w:val="20"/>
          <w:szCs w:val="20"/>
        </w:rPr>
        <w:t xml:space="preserve">prueba la calidad de </w:t>
      </w:r>
      <w:proofErr w:type="spellStart"/>
      <w:r w:rsidRPr="00484850">
        <w:rPr>
          <w:rFonts w:ascii="Verdana" w:eastAsia="Aptos" w:hAnsi="Verdana" w:cs="Arial"/>
          <w:sz w:val="20"/>
          <w:szCs w:val="20"/>
        </w:rPr>
        <w:t>Mipyme</w:t>
      </w:r>
      <w:proofErr w:type="spellEnd"/>
      <w:r w:rsidRPr="00484850">
        <w:rPr>
          <w:rFonts w:ascii="Verdana" w:eastAsia="Aptos" w:hAnsi="Verdana" w:cs="Arial"/>
          <w:sz w:val="20"/>
          <w:szCs w:val="20"/>
        </w:rPr>
        <w:t xml:space="preserve"> o de emprendimiento y empresa de mujer con domicilio en el territorio nacional de conformidad con lo previsto en el artículo 2.2.1.13.2.2 del Decreto 1074 de 2015</w:t>
      </w:r>
      <w:r w:rsidRPr="00484850">
        <w:rPr>
          <w:rFonts w:ascii="Verdana" w:eastAsia="Aptos" w:hAnsi="Verdana" w:cs="Arial"/>
          <w:b/>
          <w:bCs/>
          <w:sz w:val="20"/>
          <w:szCs w:val="20"/>
        </w:rPr>
        <w:t xml:space="preserve"> </w:t>
      </w:r>
      <w:r w:rsidRPr="00484850">
        <w:rPr>
          <w:rFonts w:ascii="Verdana" w:eastAsia="Aptos" w:hAnsi="Verdana" w:cs="Arial"/>
          <w:sz w:val="20"/>
          <w:szCs w:val="20"/>
        </w:rPr>
        <w:t>y</w:t>
      </w:r>
      <w:r w:rsidRPr="00484850">
        <w:rPr>
          <w:rFonts w:ascii="Verdana" w:eastAsia="Aptos" w:hAnsi="Verdana" w:cs="Arial"/>
          <w:b/>
          <w:bCs/>
          <w:sz w:val="20"/>
          <w:szCs w:val="20"/>
        </w:rPr>
        <w:t xml:space="preserve"> </w:t>
      </w:r>
      <w:r w:rsidRPr="00484850">
        <w:rPr>
          <w:rFonts w:ascii="Verdana" w:eastAsia="Aptos" w:hAnsi="Verdana" w:cs="Arial"/>
          <w:sz w:val="20"/>
          <w:szCs w:val="20"/>
        </w:rPr>
        <w:t>los artículos 2.2.1.2.</w:t>
      </w:r>
      <w:r w:rsidRPr="00484850">
        <w:rPr>
          <w:rFonts w:ascii="Verdana" w:eastAsia="Aptos" w:hAnsi="Verdana" w:cs="Arial"/>
          <w:bCs/>
          <w:sz w:val="20"/>
          <w:szCs w:val="20"/>
          <w:lang w:val="es-MX"/>
        </w:rPr>
        <w:t>4.2.4. y 2.2.1.2.4.2.14 del Decreto 1082 de 2015</w:t>
      </w:r>
      <w:r w:rsidRPr="00484850">
        <w:rPr>
          <w:rFonts w:ascii="Verdana" w:eastAsia="Aptos" w:hAnsi="Verdana" w:cs="Arial"/>
          <w:sz w:val="20"/>
          <w:szCs w:val="20"/>
        </w:rPr>
        <w:t>, podrá acreditar la experiencia solicitada con un (1) contrato adicional a los cinco (5) inicialmente previstos, para un máximo de seis (6) contratos</w:t>
      </w:r>
      <w:r w:rsidRPr="00484850">
        <w:rPr>
          <w:rFonts w:ascii="Verdana" w:eastAsia="Aptos" w:hAnsi="Verdana" w:cs="Arial"/>
          <w:sz w:val="20"/>
          <w:szCs w:val="20"/>
          <w:lang w:val="es-MX"/>
        </w:rPr>
        <w:t xml:space="preserve">. </w:t>
      </w:r>
      <w:r w:rsidRPr="00484850">
        <w:rPr>
          <w:rFonts w:ascii="Verdana" w:eastAsia="Aptos" w:hAnsi="Verdana" w:cs="Arial"/>
          <w:sz w:val="20"/>
          <w:szCs w:val="20"/>
        </w:rPr>
        <w:t xml:space="preserve">En caso de que el proponente pruebe la calidad de </w:t>
      </w:r>
      <w:proofErr w:type="spellStart"/>
      <w:r w:rsidRPr="00484850">
        <w:rPr>
          <w:rFonts w:ascii="Verdana" w:eastAsia="Aptos" w:hAnsi="Verdana" w:cs="Arial"/>
          <w:sz w:val="20"/>
          <w:szCs w:val="20"/>
        </w:rPr>
        <w:t>Mipyme</w:t>
      </w:r>
      <w:proofErr w:type="spellEnd"/>
      <w:r w:rsidRPr="00484850">
        <w:rPr>
          <w:rFonts w:ascii="Verdana" w:eastAsia="Aptos" w:hAnsi="Verdana" w:cs="Arial"/>
          <w:sz w:val="20"/>
          <w:szCs w:val="20"/>
        </w:rPr>
        <w:t xml:space="preserve"> y de emprendimiento y empresa de mujer con domicilio en el territorio nacional de manera conjunta, podrá demostrar la experiencia solicitada con dos (2) contratos adicionales a los cinco (5) inicialmente previstos, para un máximo de siete (7)</w:t>
      </w:r>
      <w:r w:rsidRPr="00484850">
        <w:rPr>
          <w:rFonts w:ascii="Verdana" w:eastAsia="Aptos" w:hAnsi="Verdana" w:cs="Arial"/>
          <w:sz w:val="20"/>
          <w:szCs w:val="20"/>
          <w:lang w:val="es-MX"/>
        </w:rPr>
        <w:t>.</w:t>
      </w:r>
    </w:p>
    <w:p w14:paraId="43C8D03D" w14:textId="77777777" w:rsidR="00484850" w:rsidRPr="00484850" w:rsidRDefault="00484850" w:rsidP="00484850">
      <w:pPr>
        <w:spacing w:after="0"/>
        <w:jc w:val="both"/>
        <w:rPr>
          <w:rFonts w:ascii="Verdana" w:eastAsia="Aptos" w:hAnsi="Verdana" w:cs="Times New Roman"/>
          <w:b/>
          <w:bCs/>
          <w:color w:val="000000"/>
        </w:rPr>
      </w:pPr>
      <w:r w:rsidRPr="00484850">
        <w:rPr>
          <w:rFonts w:ascii="Verdana" w:eastAsia="Aptos" w:hAnsi="Verdana" w:cs="Times New Roman"/>
          <w:b/>
          <w:bCs/>
          <w:color w:val="000000"/>
        </w:rPr>
        <w:lastRenderedPageBreak/>
        <w:t>DOCUMENTOS TIPO – Infraestructura de Agua potable y saneamiento básico – Actividad 1.1 – Matriz 1 – Experiencia – Experiencia general – Experiencia específica</w:t>
      </w:r>
    </w:p>
    <w:p w14:paraId="09E9932C" w14:textId="77777777" w:rsidR="00484850" w:rsidRPr="00484850" w:rsidRDefault="00484850" w:rsidP="00484850">
      <w:pPr>
        <w:spacing w:after="0" w:line="240" w:lineRule="auto"/>
        <w:jc w:val="both"/>
        <w:rPr>
          <w:rFonts w:ascii="Verdana" w:eastAsia="Aptos" w:hAnsi="Verdana" w:cs="ArialMT"/>
          <w:sz w:val="20"/>
          <w:szCs w:val="20"/>
          <w:highlight w:val="yellow"/>
        </w:rPr>
      </w:pPr>
    </w:p>
    <w:p w14:paraId="60BFBEBF" w14:textId="77777777" w:rsidR="00484850" w:rsidRPr="00484850" w:rsidRDefault="00484850" w:rsidP="00484850">
      <w:pPr>
        <w:spacing w:after="0" w:line="240" w:lineRule="auto"/>
        <w:jc w:val="both"/>
        <w:rPr>
          <w:rFonts w:ascii="Verdana" w:eastAsia="Calibri" w:hAnsi="Verdana" w:cs="Arial"/>
          <w:bCs/>
          <w:sz w:val="20"/>
          <w:szCs w:val="20"/>
        </w:rPr>
      </w:pPr>
      <w:r w:rsidRPr="00484850">
        <w:rPr>
          <w:rFonts w:ascii="Verdana" w:eastAsia="Calibri" w:hAnsi="Verdana" w:cs="Times New Roman"/>
          <w:sz w:val="20"/>
          <w:szCs w:val="20"/>
        </w:rPr>
        <w:t xml:space="preserve">La actividad </w:t>
      </w:r>
      <w:r w:rsidRPr="00484850">
        <w:rPr>
          <w:rFonts w:ascii="Verdana" w:eastAsia="Calibri" w:hAnsi="Verdana" w:cs="Arial"/>
          <w:bCs/>
          <w:sz w:val="20"/>
          <w:szCs w:val="20"/>
        </w:rPr>
        <w:t xml:space="preserve">1.1 contempla los proyectos de construcción de acueductos (urbanos y/o rurales) y/u obras complementarias. </w:t>
      </w:r>
      <w:r w:rsidRPr="00484850">
        <w:rPr>
          <w:rFonts w:ascii="Verdana" w:eastAsia="Calibri" w:hAnsi="Verdana" w:cs="Arial"/>
          <w:color w:val="000000"/>
          <w:sz w:val="20"/>
          <w:szCs w:val="20"/>
          <w:lang w:val="es-ES_tradnl" w:eastAsia="en-GB"/>
        </w:rPr>
        <w:t xml:space="preserve">Para esta actividad se determina como </w:t>
      </w:r>
      <w:r w:rsidRPr="00484850">
        <w:rPr>
          <w:rFonts w:ascii="Verdana" w:eastAsia="Calibri" w:hAnsi="Verdana" w:cs="Arial"/>
          <w:i/>
          <w:iCs/>
          <w:color w:val="000000"/>
          <w:sz w:val="20"/>
          <w:szCs w:val="20"/>
          <w:lang w:val="es-ES_tradnl" w:eastAsia="en-GB"/>
        </w:rPr>
        <w:t>experiencia general</w:t>
      </w:r>
      <w:r w:rsidRPr="00484850">
        <w:rPr>
          <w:rFonts w:ascii="Verdana" w:eastAsia="Calibri" w:hAnsi="Verdana" w:cs="Arial"/>
          <w:color w:val="000000"/>
          <w:sz w:val="20"/>
          <w:szCs w:val="20"/>
          <w:lang w:val="es-ES_tradnl" w:eastAsia="en-GB"/>
        </w:rPr>
        <w:t xml:space="preserve"> que los proyectos correspondan o hayan contenido actividades de construcción de acueducto.</w:t>
      </w:r>
      <w:r w:rsidRPr="00484850">
        <w:rPr>
          <w:rFonts w:ascii="Verdana" w:eastAsia="Calibri" w:hAnsi="Verdana" w:cs="Arial"/>
          <w:bCs/>
          <w:sz w:val="20"/>
          <w:szCs w:val="20"/>
        </w:rPr>
        <w:t xml:space="preserve"> Respecto de la experiencia específica se incluyó la siguiente nota general:</w:t>
      </w:r>
    </w:p>
    <w:p w14:paraId="37059555" w14:textId="77777777" w:rsidR="00484850" w:rsidRPr="00484850" w:rsidRDefault="00484850" w:rsidP="00484850">
      <w:pPr>
        <w:spacing w:after="0" w:line="240" w:lineRule="auto"/>
        <w:jc w:val="both"/>
        <w:rPr>
          <w:rFonts w:ascii="Verdana" w:eastAsia="Calibri" w:hAnsi="Verdana" w:cs="Arial"/>
          <w:bCs/>
          <w:sz w:val="20"/>
          <w:szCs w:val="20"/>
        </w:rPr>
      </w:pPr>
    </w:p>
    <w:p w14:paraId="6C3E9F97" w14:textId="77777777" w:rsidR="00484850" w:rsidRPr="00484850" w:rsidRDefault="00484850" w:rsidP="00484850">
      <w:pPr>
        <w:spacing w:after="0" w:line="240" w:lineRule="auto"/>
        <w:jc w:val="both"/>
        <w:rPr>
          <w:rFonts w:ascii="Verdana" w:eastAsia="Calibri" w:hAnsi="Verdana" w:cs="Arial"/>
          <w:bCs/>
          <w:sz w:val="20"/>
          <w:szCs w:val="20"/>
        </w:rPr>
      </w:pPr>
      <w:r w:rsidRPr="00484850">
        <w:rPr>
          <w:rFonts w:ascii="Verdana" w:eastAsia="Calibri" w:hAnsi="Verdana" w:cs="Arial"/>
          <w:bCs/>
          <w:sz w:val="20"/>
          <w:szCs w:val="20"/>
        </w:rPr>
        <w:t>(…)</w:t>
      </w:r>
    </w:p>
    <w:p w14:paraId="397D4929" w14:textId="77777777" w:rsidR="00484850" w:rsidRPr="00484850" w:rsidRDefault="00484850" w:rsidP="00484850">
      <w:pPr>
        <w:tabs>
          <w:tab w:val="left" w:pos="0"/>
        </w:tabs>
        <w:spacing w:after="0" w:line="240" w:lineRule="auto"/>
        <w:ind w:left="709" w:right="709"/>
        <w:jc w:val="both"/>
        <w:rPr>
          <w:rFonts w:ascii="Verdana" w:eastAsia="Calibri" w:hAnsi="Verdana" w:cs="Arial"/>
          <w:bCs/>
          <w:sz w:val="20"/>
          <w:szCs w:val="20"/>
          <w:lang w:val="es-ES_tradnl"/>
        </w:rPr>
      </w:pPr>
    </w:p>
    <w:p w14:paraId="166C738D" w14:textId="77777777" w:rsidR="00484850" w:rsidRPr="00484850" w:rsidRDefault="00484850" w:rsidP="00484850">
      <w:pPr>
        <w:tabs>
          <w:tab w:val="left" w:pos="0"/>
        </w:tabs>
        <w:spacing w:after="0" w:line="240" w:lineRule="auto"/>
        <w:ind w:right="49"/>
        <w:jc w:val="both"/>
        <w:rPr>
          <w:rFonts w:ascii="Verdana" w:eastAsia="Calibri" w:hAnsi="Verdana" w:cs="Arial"/>
          <w:bCs/>
          <w:sz w:val="20"/>
          <w:szCs w:val="20"/>
        </w:rPr>
      </w:pPr>
      <w:r w:rsidRPr="00484850">
        <w:rPr>
          <w:rFonts w:ascii="Verdana" w:eastAsia="Calibri" w:hAnsi="Verdana" w:cs="Arial"/>
          <w:bCs/>
          <w:sz w:val="20"/>
          <w:szCs w:val="20"/>
        </w:rPr>
        <w:t xml:space="preserve">Conforme con lo expuesto, para esta actividad la entidad podrá aceptar que el porcentaje (%) de dimensionamiento exigido en la experiencia específica sea acreditado con la sumatoria de máximo dos (2) de los contratos válidos aportados. Sin embargo, será la entidad la que determine si procede aceptar su acreditación bajo estas condiciones debido a la magnitud física empleada como variable para establecimiento del % de dimensionamiento de la experiencia específica. </w:t>
      </w:r>
    </w:p>
    <w:p w14:paraId="5999B0E7" w14:textId="77777777" w:rsidR="00484850" w:rsidRPr="00484850" w:rsidRDefault="00484850" w:rsidP="00484850">
      <w:pPr>
        <w:spacing w:after="0" w:line="240" w:lineRule="auto"/>
        <w:jc w:val="both"/>
        <w:rPr>
          <w:rFonts w:ascii="Verdana" w:eastAsia="Calibri" w:hAnsi="Verdana" w:cs="Arial"/>
          <w:bCs/>
          <w:sz w:val="20"/>
          <w:szCs w:val="20"/>
        </w:rPr>
      </w:pPr>
    </w:p>
    <w:p w14:paraId="78246F19" w14:textId="77777777" w:rsidR="00484850" w:rsidRPr="00484850" w:rsidRDefault="00484850" w:rsidP="00484850">
      <w:pPr>
        <w:spacing w:after="0" w:line="240" w:lineRule="auto"/>
        <w:jc w:val="both"/>
        <w:rPr>
          <w:rFonts w:ascii="Verdana" w:eastAsia="Aptos" w:hAnsi="Verdana" w:cs="Arial"/>
          <w:sz w:val="20"/>
          <w:szCs w:val="20"/>
        </w:rPr>
      </w:pPr>
      <w:r w:rsidRPr="00484850">
        <w:rPr>
          <w:rFonts w:ascii="Verdana" w:eastAsia="Calibri" w:hAnsi="Verdana" w:cs="Arial"/>
          <w:bCs/>
          <w:sz w:val="20"/>
          <w:szCs w:val="20"/>
        </w:rPr>
        <w:t xml:space="preserve">En relación con los requisitos de experiencia específica de la actividad 1.1, </w:t>
      </w:r>
      <w:r w:rsidRPr="00484850">
        <w:rPr>
          <w:rFonts w:ascii="Verdana" w:eastAsia="Calibri" w:hAnsi="Verdana" w:cs="Arial"/>
          <w:color w:val="000000"/>
          <w:sz w:val="20"/>
          <w:szCs w:val="20"/>
          <w:lang w:val="es-ES_tradnl" w:eastAsia="en-GB"/>
        </w:rPr>
        <w:t>señala la matriz que</w:t>
      </w:r>
      <w:r w:rsidRPr="00484850">
        <w:rPr>
          <w:rFonts w:ascii="Verdana" w:eastAsia="Calibri" w:hAnsi="Verdana" w:cs="Arial"/>
          <w:bCs/>
          <w:sz w:val="20"/>
          <w:szCs w:val="20"/>
          <w:lang w:val="es-ES_tradnl"/>
        </w:rPr>
        <w:t xml:space="preserve"> </w:t>
      </w:r>
      <w:r w:rsidRPr="00484850">
        <w:rPr>
          <w:rFonts w:ascii="Verdana" w:eastAsia="Aptos" w:hAnsi="Verdana" w:cs="Arial"/>
          <w:sz w:val="20"/>
          <w:szCs w:val="20"/>
        </w:rPr>
        <w:t xml:space="preserve">“-Por lo menos uno (1) de los contratos válidos aportados como experiencia general debe contar con una longitud de tubería equivalente al (F%) de la longitud total establecida en el presente proceso de selección, y que contemple como mínimo las mismas condiciones técnicas (entiéndase como mismas condiciones técnicas la instalación según el tipo de tubería: PVC, HD, PEAD, GRP, ACCP,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 </w:t>
      </w:r>
    </w:p>
    <w:p w14:paraId="28C7027A" w14:textId="77777777" w:rsidR="00484850" w:rsidRPr="00484850" w:rsidRDefault="00484850" w:rsidP="00484850">
      <w:pPr>
        <w:spacing w:after="0" w:line="276" w:lineRule="auto"/>
        <w:ind w:firstLine="708"/>
        <w:jc w:val="both"/>
        <w:rPr>
          <w:rFonts w:ascii="Verdana" w:eastAsia="Calibri" w:hAnsi="Verdana" w:cs="Arial"/>
          <w:bCs/>
          <w:sz w:val="20"/>
          <w:szCs w:val="20"/>
          <w:lang w:val="es-ES_tradnl"/>
        </w:rPr>
      </w:pPr>
    </w:p>
    <w:p w14:paraId="75B6C77A" w14:textId="77777777" w:rsidR="00484850" w:rsidRPr="00484850" w:rsidRDefault="00484850" w:rsidP="00484850">
      <w:pPr>
        <w:spacing w:after="0"/>
        <w:jc w:val="both"/>
        <w:rPr>
          <w:rFonts w:ascii="Verdana" w:eastAsia="Aptos" w:hAnsi="Verdana" w:cs="Times New Roman"/>
          <w:b/>
          <w:bCs/>
          <w:color w:val="000000"/>
        </w:rPr>
      </w:pPr>
      <w:r w:rsidRPr="00484850">
        <w:rPr>
          <w:rFonts w:ascii="Verdana" w:eastAsia="Aptos" w:hAnsi="Verdana" w:cs="Times New Roman"/>
          <w:b/>
          <w:bCs/>
          <w:color w:val="000000"/>
        </w:rPr>
        <w:t>DOCUMENTOS TIPO – Infraestructura de Agua potable y saneamiento básico – Actividad 2.1 – Matriz 1 – Experiencia – Experiencia general – Experiencia específica</w:t>
      </w:r>
    </w:p>
    <w:p w14:paraId="000F8644" w14:textId="77777777" w:rsidR="00484850" w:rsidRPr="00484850" w:rsidRDefault="00484850" w:rsidP="00484850">
      <w:pPr>
        <w:spacing w:after="0" w:line="276" w:lineRule="auto"/>
        <w:jc w:val="both"/>
        <w:rPr>
          <w:rFonts w:ascii="Verdana" w:eastAsia="Calibri" w:hAnsi="Verdana" w:cs="Arial"/>
          <w:bCs/>
          <w:sz w:val="20"/>
          <w:szCs w:val="20"/>
          <w:lang w:val="es-ES_tradnl"/>
        </w:rPr>
      </w:pPr>
    </w:p>
    <w:p w14:paraId="6E9E843D" w14:textId="77777777" w:rsidR="00484850" w:rsidRPr="00484850" w:rsidRDefault="00484850" w:rsidP="00484850">
      <w:pPr>
        <w:spacing w:after="0" w:line="240" w:lineRule="auto"/>
        <w:jc w:val="both"/>
        <w:rPr>
          <w:rFonts w:ascii="Verdana" w:eastAsia="Aptos" w:hAnsi="Verdana" w:cs="Times New Roman"/>
          <w:sz w:val="20"/>
          <w:szCs w:val="20"/>
        </w:rPr>
      </w:pPr>
      <w:r w:rsidRPr="00484850">
        <w:rPr>
          <w:rFonts w:ascii="Verdana" w:eastAsia="Aptos" w:hAnsi="Verdana" w:cs="Times New Roman"/>
          <w:sz w:val="20"/>
          <w:szCs w:val="20"/>
        </w:rPr>
        <w:t xml:space="preserve">La actividad 2.1 contempla los proyectos de construcción de alcantarillados sanitarios y/o pluviales y/o combinados (urbanos y/o rurales) y/u obras complementarias. Para esta actividad se determina como </w:t>
      </w:r>
      <w:r w:rsidRPr="00484850">
        <w:rPr>
          <w:rFonts w:ascii="Verdana" w:eastAsia="Aptos" w:hAnsi="Verdana" w:cs="Times New Roman"/>
          <w:i/>
          <w:iCs/>
          <w:sz w:val="20"/>
          <w:szCs w:val="20"/>
        </w:rPr>
        <w:t>experiencia general</w:t>
      </w:r>
      <w:r w:rsidRPr="00484850">
        <w:rPr>
          <w:rFonts w:ascii="Verdana" w:eastAsia="Aptos" w:hAnsi="Verdana" w:cs="Times New Roman"/>
          <w:sz w:val="20"/>
          <w:szCs w:val="20"/>
        </w:rPr>
        <w:t>: PROYECTOS QUE CORRESPONDAN O HAYAN CONTENIDO ACTIVIDADES DE: CONSTRUCCION DE ALCANTARILLADO (SANITARIO Y/O PLUVIAL Y/O COMBINADO). Para la experiencia específica se incluyó la siguiente nota general:</w:t>
      </w:r>
    </w:p>
    <w:p w14:paraId="52441870" w14:textId="77777777" w:rsidR="00484850" w:rsidRPr="00484850" w:rsidRDefault="00484850" w:rsidP="00484850">
      <w:pPr>
        <w:spacing w:after="0" w:line="276" w:lineRule="auto"/>
        <w:ind w:firstLine="708"/>
        <w:jc w:val="both"/>
        <w:rPr>
          <w:rFonts w:ascii="Verdana" w:eastAsia="Calibri" w:hAnsi="Verdana" w:cs="Calibri"/>
          <w:sz w:val="20"/>
          <w:szCs w:val="20"/>
          <w:lang w:val="es-ES_tradnl"/>
        </w:rPr>
      </w:pPr>
    </w:p>
    <w:p w14:paraId="196A66F8" w14:textId="77777777" w:rsidR="00484850" w:rsidRPr="00484850" w:rsidRDefault="00484850" w:rsidP="00484850">
      <w:pPr>
        <w:spacing w:after="0" w:line="276" w:lineRule="auto"/>
        <w:jc w:val="both"/>
        <w:rPr>
          <w:rFonts w:ascii="Verdana" w:eastAsia="Aptos" w:hAnsi="Verdana" w:cs="Times New Roman"/>
          <w:kern w:val="2"/>
          <w:sz w:val="20"/>
          <w:szCs w:val="20"/>
          <w14:ligatures w14:val="standardContextual"/>
        </w:rPr>
      </w:pPr>
      <w:r w:rsidRPr="00484850">
        <w:rPr>
          <w:rFonts w:ascii="Verdana" w:eastAsia="Aptos" w:hAnsi="Verdana" w:cs="Times New Roman"/>
          <w:kern w:val="2"/>
          <w:sz w:val="20"/>
          <w:szCs w:val="20"/>
          <w14:ligatures w14:val="standardContextual"/>
        </w:rPr>
        <w:t>(…)</w:t>
      </w:r>
    </w:p>
    <w:p w14:paraId="21FCE940" w14:textId="77777777" w:rsidR="00484850" w:rsidRPr="00484850" w:rsidRDefault="00484850" w:rsidP="00484850">
      <w:pPr>
        <w:spacing w:after="0" w:line="276" w:lineRule="auto"/>
        <w:jc w:val="both"/>
        <w:rPr>
          <w:rFonts w:ascii="Verdana" w:eastAsia="Times New Roman" w:hAnsi="Verdana" w:cs="Times New Roman"/>
          <w:sz w:val="20"/>
          <w:szCs w:val="20"/>
          <w:lang w:eastAsia="es-MX"/>
        </w:rPr>
      </w:pPr>
      <w:r w:rsidRPr="00484850">
        <w:rPr>
          <w:rFonts w:ascii="Verdana" w:eastAsia="Times New Roman" w:hAnsi="Verdana" w:cs="Times New Roman"/>
          <w:sz w:val="20"/>
          <w:szCs w:val="20"/>
          <w:lang w:eastAsia="es-MX"/>
        </w:rPr>
        <w:lastRenderedPageBreak/>
        <w:t>De acuerdo con la nota general, para esta actividad la entidad podrá aceptar que el porcentaje (%) de dimensionamiento exigido en la experiencia específica sea acreditado con la sumatoria de máximo dos (2) de los contratos válidos aportados. No obstante, será la entidad la que determine si procede aceptar su acreditación bajo estas condiciones, debido a la magnitud física empleada como variable para el establecimiento del % de dimensionamiento de la experiencia específica.</w:t>
      </w:r>
    </w:p>
    <w:p w14:paraId="7E8CF5B7" w14:textId="77777777" w:rsidR="00484850" w:rsidRPr="00484850" w:rsidRDefault="00484850" w:rsidP="00484850">
      <w:pPr>
        <w:spacing w:after="0" w:line="276" w:lineRule="auto"/>
        <w:jc w:val="both"/>
        <w:rPr>
          <w:rFonts w:ascii="Verdana" w:eastAsia="Times New Roman" w:hAnsi="Verdana" w:cs="Times New Roman"/>
          <w:sz w:val="20"/>
          <w:szCs w:val="20"/>
          <w:lang w:eastAsia="es-MX"/>
        </w:rPr>
      </w:pPr>
    </w:p>
    <w:p w14:paraId="00BB79E6" w14:textId="77777777" w:rsidR="00484850" w:rsidRPr="00484850" w:rsidRDefault="00484850" w:rsidP="00484850">
      <w:pPr>
        <w:spacing w:after="0" w:line="276" w:lineRule="auto"/>
        <w:jc w:val="both"/>
        <w:rPr>
          <w:rFonts w:ascii="Verdana" w:eastAsia="Times New Roman" w:hAnsi="Verdana" w:cs="Times New Roman"/>
          <w:sz w:val="20"/>
          <w:szCs w:val="20"/>
          <w:lang w:eastAsia="es-MX"/>
        </w:rPr>
      </w:pPr>
      <w:r w:rsidRPr="00484850">
        <w:rPr>
          <w:rFonts w:ascii="Verdana" w:eastAsia="Times New Roman" w:hAnsi="Verdana" w:cs="Times New Roman"/>
          <w:sz w:val="20"/>
          <w:szCs w:val="20"/>
          <w:lang w:eastAsia="es-MX"/>
        </w:rPr>
        <w:t>Por su parte, en relación con los requisitos de experiencia específica señalados para la actividad 2.1, la Matriz 1 – Experiencia dispone que “-Por lo menos uno (1) de los contratos válidos aportados como experiencia general debe contar con una longitud de tubería equivalente al (F%) de la longitud total establecida en el presente proceso de selección y que contemple como mínimo iguales o similares condiciones técnicas (entiéndase como mismas condiciones técnicas la instalación según tipo de tubería: PVC, PEX, CONCRETO,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w:t>
      </w:r>
    </w:p>
    <w:p w14:paraId="33402F2B"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405E4A75"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7C5B3491"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51FCA0E6"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63B58BEB"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46C59395"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24BB9379"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4B15425A"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099F55C8"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40AAA064"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6CD7E1C9"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30FDC479"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12671161"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17126B4A"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38AAC070"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09A55844"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2737D86F" w14:textId="77777777" w:rsidR="00484850" w:rsidRPr="00484850" w:rsidRDefault="00484850" w:rsidP="00484850">
      <w:pPr>
        <w:spacing w:after="0" w:line="240" w:lineRule="auto"/>
        <w:jc w:val="both"/>
        <w:rPr>
          <w:rFonts w:ascii="Verdana" w:eastAsia="Times New Roman" w:hAnsi="Verdana" w:cs="Arial"/>
          <w:sz w:val="20"/>
          <w:szCs w:val="20"/>
          <w:shd w:val="clear" w:color="auto" w:fill="FFFFFF"/>
          <w:lang w:val="es-ES_tradnl" w:eastAsia="es-ES_tradnl"/>
        </w:rPr>
      </w:pPr>
    </w:p>
    <w:p w14:paraId="2476E8DA" w14:textId="77777777" w:rsidR="00484850" w:rsidRPr="00484850" w:rsidRDefault="00484850" w:rsidP="00484850">
      <w:pPr>
        <w:spacing w:after="0" w:line="240" w:lineRule="auto"/>
        <w:jc w:val="both"/>
        <w:rPr>
          <w:rFonts w:ascii="Verdana" w:eastAsia="Aptos" w:hAnsi="Verdana" w:cs="Times New Roman"/>
          <w:kern w:val="2"/>
          <w14:ligatures w14:val="standardContextual"/>
        </w:rPr>
      </w:pPr>
    </w:p>
    <w:p w14:paraId="00CFB476" w14:textId="77777777" w:rsidR="00484850" w:rsidRPr="00484850" w:rsidRDefault="00484850" w:rsidP="00484850">
      <w:pPr>
        <w:spacing w:after="0" w:line="240" w:lineRule="auto"/>
        <w:jc w:val="both"/>
        <w:rPr>
          <w:rFonts w:ascii="Verdana" w:eastAsia="Aptos" w:hAnsi="Verdana" w:cs="Times New Roman"/>
          <w:kern w:val="2"/>
          <w14:ligatures w14:val="standardContextual"/>
        </w:rPr>
      </w:pPr>
    </w:p>
    <w:p w14:paraId="3B4ACE5C" w14:textId="77777777" w:rsidR="00484850" w:rsidRPr="00484850" w:rsidRDefault="00484850" w:rsidP="00484850">
      <w:pPr>
        <w:spacing w:after="0" w:line="240" w:lineRule="auto"/>
        <w:jc w:val="both"/>
        <w:rPr>
          <w:rFonts w:ascii="Verdana" w:eastAsia="Aptos" w:hAnsi="Verdana" w:cs="Times New Roman"/>
          <w:kern w:val="2"/>
          <w14:ligatures w14:val="standardContextual"/>
        </w:rPr>
      </w:pPr>
    </w:p>
    <w:p w14:paraId="3FDB81CE" w14:textId="77777777" w:rsidR="00484850" w:rsidRPr="00484850" w:rsidRDefault="00484850" w:rsidP="00484850">
      <w:pPr>
        <w:spacing w:after="0" w:line="240" w:lineRule="auto"/>
        <w:jc w:val="both"/>
        <w:rPr>
          <w:rFonts w:ascii="Verdana" w:eastAsia="Aptos" w:hAnsi="Verdana" w:cs="Times New Roman"/>
          <w:kern w:val="2"/>
          <w14:ligatures w14:val="standardContextual"/>
        </w:rPr>
      </w:pPr>
    </w:p>
    <w:p w14:paraId="6D238739" w14:textId="77777777" w:rsidR="00C110D0" w:rsidRDefault="00C110D0" w:rsidP="00484850">
      <w:pPr>
        <w:spacing w:after="0" w:line="240" w:lineRule="auto"/>
        <w:jc w:val="both"/>
        <w:rPr>
          <w:rFonts w:ascii="Verdana" w:eastAsia="Aptos" w:hAnsi="Verdana" w:cs="Arial"/>
          <w:color w:val="000000"/>
          <w:lang w:val="es-ES_tradnl"/>
        </w:rPr>
      </w:pPr>
      <w:bookmarkStart w:id="1" w:name="_Hlk117695077"/>
    </w:p>
    <w:p w14:paraId="6BA5E852" w14:textId="155EB3C7" w:rsidR="00FE171D" w:rsidRDefault="00FE171D" w:rsidP="00484850">
      <w:pPr>
        <w:spacing w:after="0" w:line="240" w:lineRule="auto"/>
        <w:jc w:val="both"/>
        <w:rPr>
          <w:rFonts w:ascii="Verdana" w:eastAsia="Verdana" w:hAnsi="Verdana" w:cs="Verdana"/>
        </w:rPr>
      </w:pPr>
      <w:r w:rsidRPr="00FE171D">
        <w:rPr>
          <w:rFonts w:ascii="Aptos" w:eastAsia="Aptos" w:hAnsi="Aptos" w:cs="Times New Roman"/>
        </w:rPr>
        <w:lastRenderedPageBreak/>
        <w:drawing>
          <wp:anchor distT="0" distB="0" distL="114300" distR="114300" simplePos="0" relativeHeight="251658240" behindDoc="0" locked="0" layoutInCell="1" allowOverlap="1" wp14:anchorId="6633D868" wp14:editId="2C13BAB9">
            <wp:simplePos x="0" y="0"/>
            <wp:positionH relativeFrom="column">
              <wp:posOffset>3403105</wp:posOffset>
            </wp:positionH>
            <wp:positionV relativeFrom="paragraph">
              <wp:posOffset>77180</wp:posOffset>
            </wp:positionV>
            <wp:extent cx="2292289" cy="805399"/>
            <wp:effectExtent l="0" t="0" r="0" b="0"/>
            <wp:wrapNone/>
            <wp:docPr id="128040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0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177" cy="812738"/>
                    </a:xfrm>
                    <a:prstGeom prst="rect">
                      <a:avLst/>
                    </a:prstGeom>
                  </pic:spPr>
                </pic:pic>
              </a:graphicData>
            </a:graphic>
            <wp14:sizeRelH relativeFrom="page">
              <wp14:pctWidth>0</wp14:pctWidth>
            </wp14:sizeRelH>
            <wp14:sizeRelV relativeFrom="page">
              <wp14:pctHeight>0</wp14:pctHeight>
            </wp14:sizeRelV>
          </wp:anchor>
        </w:drawing>
      </w:r>
      <w:r w:rsidR="00484850" w:rsidRPr="00484850">
        <w:rPr>
          <w:rFonts w:ascii="Verdana" w:eastAsia="Verdana" w:hAnsi="Verdana" w:cs="Verdana"/>
        </w:rPr>
        <w:t>Bogotá D.C.,</w:t>
      </w:r>
      <w:r>
        <w:rPr>
          <w:rFonts w:ascii="Verdana" w:eastAsia="Verdana" w:hAnsi="Verdana" w:cs="Verdana"/>
        </w:rPr>
        <w:t>8 de septiembre de 2026</w:t>
      </w:r>
    </w:p>
    <w:p w14:paraId="0E681A7D" w14:textId="33591D3E" w:rsidR="00484850" w:rsidRPr="00C110D0" w:rsidRDefault="00484850" w:rsidP="00484850">
      <w:pPr>
        <w:spacing w:after="0" w:line="240" w:lineRule="auto"/>
        <w:jc w:val="both"/>
        <w:rPr>
          <w:rFonts w:ascii="Verdana" w:eastAsia="Verdana" w:hAnsi="Verdana" w:cs="Verdana"/>
          <w:kern w:val="2"/>
          <w14:ligatures w14:val="standardContextual"/>
        </w:rPr>
      </w:pPr>
    </w:p>
    <w:p w14:paraId="4ACCEED3" w14:textId="77777777" w:rsidR="00484850" w:rsidRPr="00484850" w:rsidRDefault="00484850" w:rsidP="00484850">
      <w:pPr>
        <w:spacing w:after="0" w:line="276" w:lineRule="auto"/>
        <w:jc w:val="both"/>
        <w:rPr>
          <w:rFonts w:ascii="Verdana" w:eastAsia="Calibri" w:hAnsi="Verdana" w:cs="Arial"/>
          <w:lang w:eastAsia="es-ES"/>
        </w:rPr>
      </w:pPr>
      <w:r w:rsidRPr="00484850">
        <w:rPr>
          <w:rFonts w:ascii="Verdana" w:eastAsia="Calibri" w:hAnsi="Verdana" w:cs="Arial"/>
          <w:lang w:val="es-ES_tradnl" w:eastAsia="es-ES"/>
        </w:rPr>
        <w:t>Señora</w:t>
      </w:r>
    </w:p>
    <w:p w14:paraId="32F2F516" w14:textId="77777777" w:rsidR="00484850" w:rsidRPr="00484850" w:rsidRDefault="00484850" w:rsidP="00484850">
      <w:pPr>
        <w:spacing w:after="0" w:line="276" w:lineRule="auto"/>
        <w:jc w:val="both"/>
        <w:rPr>
          <w:rFonts w:ascii="Verdana" w:eastAsia="Aptos" w:hAnsi="Verdana" w:cs="Times New Roman"/>
          <w:b/>
          <w:bCs/>
          <w:kern w:val="2"/>
          <w14:ligatures w14:val="standardContextual"/>
        </w:rPr>
      </w:pPr>
      <w:r w:rsidRPr="00484850">
        <w:rPr>
          <w:rFonts w:ascii="Verdana" w:eastAsia="Aptos" w:hAnsi="Verdana" w:cs="Times New Roman"/>
          <w:b/>
          <w:bCs/>
          <w:kern w:val="2"/>
          <w14:ligatures w14:val="standardContextual"/>
        </w:rPr>
        <w:t>Claudia Milena Ricaurte Rincón</w:t>
      </w:r>
    </w:p>
    <w:p w14:paraId="2DB11E11" w14:textId="77777777" w:rsidR="00484850" w:rsidRPr="00484850" w:rsidRDefault="00484850" w:rsidP="00484850">
      <w:pPr>
        <w:spacing w:after="0" w:line="276" w:lineRule="auto"/>
        <w:jc w:val="both"/>
        <w:rPr>
          <w:rFonts w:ascii="Verdana" w:eastAsia="Calibri" w:hAnsi="Verdana" w:cs="Arial"/>
        </w:rPr>
      </w:pPr>
      <w:r w:rsidRPr="00484850">
        <w:rPr>
          <w:rFonts w:ascii="Verdana" w:eastAsia="Calibri" w:hAnsi="Verdana" w:cs="Arial"/>
        </w:rPr>
        <w:t>Villavicencio, Meta</w:t>
      </w:r>
    </w:p>
    <w:p w14:paraId="7EDB3A2E" w14:textId="77777777" w:rsidR="00484850" w:rsidRPr="00484850" w:rsidRDefault="00484850" w:rsidP="00484850">
      <w:pPr>
        <w:spacing w:after="0" w:line="240" w:lineRule="auto"/>
        <w:jc w:val="both"/>
        <w:rPr>
          <w:rFonts w:ascii="Verdana" w:eastAsia="Calibri" w:hAnsi="Verdana" w:cs="Arial"/>
          <w:b/>
          <w:bCs/>
          <w:lang w:eastAsia="es-ES"/>
        </w:rPr>
      </w:pPr>
    </w:p>
    <w:tbl>
      <w:tblPr>
        <w:tblStyle w:val="Tablaconcuadrcula"/>
        <w:tblW w:w="8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5"/>
        <w:gridCol w:w="6183"/>
      </w:tblGrid>
      <w:tr w:rsidR="00484850" w:rsidRPr="00484850" w14:paraId="25EAC025" w14:textId="77777777" w:rsidTr="005672E7">
        <w:trPr>
          <w:trHeight w:val="910"/>
        </w:trPr>
        <w:tc>
          <w:tcPr>
            <w:tcW w:w="2725" w:type="dxa"/>
          </w:tcPr>
          <w:p w14:paraId="3B53E5E8" w14:textId="77777777" w:rsidR="00484850" w:rsidRPr="00484850" w:rsidRDefault="00484850" w:rsidP="00484850">
            <w:pPr>
              <w:jc w:val="both"/>
              <w:rPr>
                <w:rFonts w:ascii="Verdana" w:eastAsia="Calibri" w:hAnsi="Verdana" w:cs="Arial"/>
                <w:b/>
                <w:bCs/>
                <w:color w:val="7030A0"/>
                <w:lang w:eastAsia="es-ES_tradnl"/>
              </w:rPr>
            </w:pPr>
          </w:p>
        </w:tc>
        <w:tc>
          <w:tcPr>
            <w:tcW w:w="6183" w:type="dxa"/>
          </w:tcPr>
          <w:p w14:paraId="6A32476B" w14:textId="704C634E" w:rsidR="00484850" w:rsidRPr="00484850" w:rsidRDefault="00484850" w:rsidP="00484850">
            <w:pPr>
              <w:snapToGrid w:val="0"/>
              <w:jc w:val="both"/>
              <w:rPr>
                <w:rFonts w:ascii="Verdana" w:eastAsia="Calibri" w:hAnsi="Verdana" w:cs="Arial"/>
                <w:b/>
                <w:bCs/>
                <w:lang w:eastAsia="es-ES"/>
              </w:rPr>
            </w:pPr>
            <w:r w:rsidRPr="00484850">
              <w:rPr>
                <w:rFonts w:ascii="Verdana" w:eastAsia="Calibri" w:hAnsi="Verdana" w:cs="Arial"/>
                <w:b/>
                <w:bCs/>
                <w:lang w:eastAsia="es-ES"/>
              </w:rPr>
              <w:t>Concepto C-1</w:t>
            </w:r>
            <w:r w:rsidR="00D50DA2">
              <w:rPr>
                <w:rFonts w:ascii="Verdana" w:eastAsia="Calibri" w:hAnsi="Verdana" w:cs="Arial"/>
                <w:b/>
                <w:bCs/>
                <w:lang w:eastAsia="es-ES"/>
              </w:rPr>
              <w:t>217</w:t>
            </w:r>
            <w:r w:rsidRPr="00484850">
              <w:rPr>
                <w:rFonts w:ascii="Verdana" w:eastAsia="Calibri" w:hAnsi="Verdana" w:cs="Arial"/>
                <w:b/>
                <w:bCs/>
                <w:lang w:eastAsia="es-ES"/>
              </w:rPr>
              <w:t xml:space="preserve"> de 2026</w:t>
            </w:r>
          </w:p>
        </w:tc>
      </w:tr>
      <w:tr w:rsidR="00484850" w:rsidRPr="00484850" w14:paraId="011F4F10" w14:textId="77777777" w:rsidTr="005672E7">
        <w:trPr>
          <w:trHeight w:val="910"/>
        </w:trPr>
        <w:tc>
          <w:tcPr>
            <w:tcW w:w="2725" w:type="dxa"/>
          </w:tcPr>
          <w:p w14:paraId="39DA10FA" w14:textId="77777777" w:rsidR="00484850" w:rsidRPr="00484850" w:rsidRDefault="00484850" w:rsidP="00484850">
            <w:pPr>
              <w:jc w:val="both"/>
              <w:rPr>
                <w:rFonts w:ascii="Verdana" w:eastAsia="Calibri" w:hAnsi="Verdana" w:cs="Arial"/>
                <w:color w:val="000000"/>
                <w:lang w:eastAsia="es-ES_tradnl"/>
              </w:rPr>
            </w:pPr>
            <w:r w:rsidRPr="00484850">
              <w:rPr>
                <w:rFonts w:ascii="Verdana" w:eastAsia="Calibri" w:hAnsi="Verdana" w:cs="Arial"/>
                <w:b/>
                <w:color w:val="000000"/>
                <w:lang w:eastAsia="es-ES_tradnl"/>
              </w:rPr>
              <w:t>Temas:</w:t>
            </w:r>
            <w:r w:rsidRPr="00484850">
              <w:rPr>
                <w:rFonts w:ascii="Verdana" w:eastAsia="Calibri" w:hAnsi="Verdana" w:cs="Arial"/>
                <w:color w:val="000000"/>
                <w:lang w:eastAsia="es-ES_tradnl"/>
              </w:rPr>
              <w:t xml:space="preserve">                   </w:t>
            </w:r>
          </w:p>
        </w:tc>
        <w:tc>
          <w:tcPr>
            <w:tcW w:w="6183" w:type="dxa"/>
          </w:tcPr>
          <w:p w14:paraId="7DCA0FDF" w14:textId="77777777" w:rsidR="00484850" w:rsidRPr="00484850" w:rsidRDefault="00484850" w:rsidP="00484850">
            <w:pPr>
              <w:jc w:val="both"/>
              <w:rPr>
                <w:rFonts w:ascii="Verdana" w:eastAsia="Aptos" w:hAnsi="Verdana" w:cs="Times New Roman"/>
                <w:color w:val="000000"/>
              </w:rPr>
            </w:pPr>
            <w:r w:rsidRPr="00484850">
              <w:rPr>
                <w:rFonts w:ascii="Verdana" w:eastAsia="Aptos" w:hAnsi="Verdana" w:cs="Times New Roman"/>
                <w:color w:val="000000"/>
              </w:rPr>
              <w:t xml:space="preserve">DOCUMENTOS TIPO – Fundamento normativo – Obligatoriedad </w:t>
            </w:r>
            <w:r w:rsidRPr="00484850">
              <w:rPr>
                <w:rFonts w:ascii="Verdana" w:eastAsia="Aptos" w:hAnsi="Verdana" w:cs="Times New Roman"/>
              </w:rPr>
              <w:t xml:space="preserve">/ </w:t>
            </w:r>
            <w:r w:rsidRPr="00484850">
              <w:rPr>
                <w:rFonts w:ascii="Verdana" w:eastAsia="Aptos" w:hAnsi="Verdana" w:cs="Times New Roman"/>
                <w:color w:val="000000"/>
              </w:rPr>
              <w:t>EXPERIENCIA – Acreditación − Documentos tipo − Licitación de obra pública – Infraestructura – Agua potable y saneamiento básico / DOCUMENTOS TIPO – Infraestructura de Agua potable y saneamiento básico – Actividad 1.1 – Matriz 1 – Experiencia – Experiencia general – Experiencia específica / DOCUMENTOS TIPO – Infraestructura de Agua potable y saneamiento básico – Actividad 2.1 – Matriz 1 – Experiencia – Experiencia general – Experiencia específica</w:t>
            </w:r>
          </w:p>
          <w:p w14:paraId="4BCFE209" w14:textId="77777777" w:rsidR="00484850" w:rsidRPr="00484850" w:rsidRDefault="00484850" w:rsidP="00484850">
            <w:pPr>
              <w:snapToGrid w:val="0"/>
              <w:jc w:val="both"/>
              <w:rPr>
                <w:rFonts w:ascii="Verdana" w:eastAsia="Calibri" w:hAnsi="Verdana" w:cs="Arial"/>
                <w:lang w:eastAsia="es-ES"/>
              </w:rPr>
            </w:pPr>
          </w:p>
        </w:tc>
      </w:tr>
      <w:tr w:rsidR="00484850" w:rsidRPr="00484850" w14:paraId="03DBCDED" w14:textId="77777777" w:rsidTr="005672E7">
        <w:trPr>
          <w:trHeight w:val="556"/>
        </w:trPr>
        <w:tc>
          <w:tcPr>
            <w:tcW w:w="2725" w:type="dxa"/>
          </w:tcPr>
          <w:p w14:paraId="2928B97C" w14:textId="77777777" w:rsidR="00484850" w:rsidRPr="00484850" w:rsidRDefault="00484850" w:rsidP="00484850">
            <w:pPr>
              <w:jc w:val="both"/>
              <w:rPr>
                <w:rFonts w:ascii="Verdana" w:eastAsia="Calibri" w:hAnsi="Verdana" w:cs="Arial"/>
                <w:b/>
                <w:bCs/>
                <w:lang w:eastAsia="es-ES_tradnl"/>
              </w:rPr>
            </w:pPr>
            <w:r w:rsidRPr="00484850">
              <w:rPr>
                <w:rFonts w:ascii="Verdana" w:eastAsia="Calibri" w:hAnsi="Verdana" w:cs="Arial"/>
                <w:b/>
                <w:bCs/>
                <w:lang w:eastAsia="es-ES_tradnl"/>
              </w:rPr>
              <w:t xml:space="preserve">Radicación:               </w:t>
            </w:r>
          </w:p>
        </w:tc>
        <w:tc>
          <w:tcPr>
            <w:tcW w:w="6183" w:type="dxa"/>
          </w:tcPr>
          <w:p w14:paraId="1A608505" w14:textId="77777777" w:rsidR="00484850" w:rsidRPr="00484850" w:rsidRDefault="00484850" w:rsidP="00484850">
            <w:pPr>
              <w:snapToGrid w:val="0"/>
              <w:jc w:val="both"/>
              <w:rPr>
                <w:rFonts w:ascii="Verdana" w:eastAsia="Calibri" w:hAnsi="Verdana" w:cs="Arial"/>
                <w:lang w:eastAsia="es-ES_tradnl"/>
              </w:rPr>
            </w:pPr>
            <w:r w:rsidRPr="00484850">
              <w:rPr>
                <w:rFonts w:ascii="Verdana" w:eastAsia="Calibri" w:hAnsi="Verdana" w:cs="Arial"/>
                <w:lang w:eastAsia="es-ES_tradnl"/>
              </w:rPr>
              <w:t>Respuesta a consulta con radicado No. 1_2026_08_03_010154</w:t>
            </w:r>
          </w:p>
        </w:tc>
      </w:tr>
    </w:tbl>
    <w:p w14:paraId="2277A24D" w14:textId="77777777" w:rsidR="00484850" w:rsidRPr="00484850" w:rsidRDefault="00484850" w:rsidP="00484850">
      <w:pPr>
        <w:spacing w:after="0" w:line="240" w:lineRule="auto"/>
        <w:jc w:val="both"/>
        <w:rPr>
          <w:rFonts w:ascii="Verdana" w:eastAsia="Calibri" w:hAnsi="Verdana" w:cs="Arial"/>
          <w:b/>
          <w:bCs/>
          <w:lang w:eastAsia="es-ES"/>
        </w:rPr>
      </w:pPr>
      <w:r w:rsidRPr="00484850">
        <w:rPr>
          <w:rFonts w:ascii="Verdana" w:eastAsia="Calibri" w:hAnsi="Verdana" w:cs="Arial"/>
          <w:b/>
          <w:bCs/>
          <w:lang w:eastAsia="es-ES"/>
        </w:rPr>
        <w:tab/>
      </w:r>
    </w:p>
    <w:p w14:paraId="629A31B5" w14:textId="77777777" w:rsidR="00484850" w:rsidRPr="00484850" w:rsidRDefault="00484850" w:rsidP="00484850">
      <w:pPr>
        <w:spacing w:after="0" w:line="240" w:lineRule="auto"/>
        <w:jc w:val="both"/>
        <w:rPr>
          <w:rFonts w:ascii="Verdana" w:eastAsia="Aptos" w:hAnsi="Verdana" w:cs="Times New Roman"/>
          <w:b/>
          <w:bCs/>
          <w:kern w:val="2"/>
          <w14:ligatures w14:val="standardContextual"/>
        </w:rPr>
      </w:pPr>
      <w:r w:rsidRPr="00484850">
        <w:rPr>
          <w:rFonts w:ascii="Verdana" w:eastAsia="Calibri" w:hAnsi="Verdana" w:cs="Vrinda"/>
          <w:lang w:val="es-ES" w:eastAsia="es-ES"/>
        </w:rPr>
        <w:t xml:space="preserve">Estimada señora </w:t>
      </w:r>
      <w:r w:rsidRPr="00484850">
        <w:rPr>
          <w:rFonts w:ascii="Verdana" w:eastAsia="Aptos" w:hAnsi="Verdana" w:cs="Times New Roman"/>
          <w:kern w:val="2"/>
          <w14:ligatures w14:val="standardContextual"/>
        </w:rPr>
        <w:t>Ricaurte Rincón:</w:t>
      </w:r>
    </w:p>
    <w:p w14:paraId="5071EB1F" w14:textId="77777777" w:rsidR="00484850" w:rsidRPr="00484850" w:rsidRDefault="00484850" w:rsidP="00484850">
      <w:pPr>
        <w:spacing w:after="0" w:line="240" w:lineRule="auto"/>
        <w:jc w:val="both"/>
        <w:rPr>
          <w:rFonts w:ascii="Verdana" w:eastAsia="Aptos" w:hAnsi="Verdana" w:cs="Times New Roman"/>
          <w:b/>
          <w:bCs/>
          <w:kern w:val="2"/>
          <w14:ligatures w14:val="standardContextual"/>
        </w:rPr>
      </w:pPr>
    </w:p>
    <w:p w14:paraId="3D55D7E2" w14:textId="77777777" w:rsidR="00484850" w:rsidRPr="00484850" w:rsidRDefault="00484850" w:rsidP="00484850">
      <w:pPr>
        <w:spacing w:after="0" w:line="276" w:lineRule="auto"/>
        <w:jc w:val="both"/>
        <w:rPr>
          <w:rFonts w:ascii="Verdana" w:eastAsia="Calibri" w:hAnsi="Verdana" w:cs="Arial"/>
          <w:lang w:val="es-ES" w:eastAsia="es-ES"/>
        </w:rPr>
      </w:pPr>
      <w:r w:rsidRPr="00484850">
        <w:rPr>
          <w:rFonts w:ascii="Verdana" w:eastAsia="Calibri" w:hAnsi="Verdana" w:cs="Arial"/>
          <w:lang w:val="es-ES" w:eastAsia="es-ES"/>
        </w:rPr>
        <w:t>En ejercicio de la competencia otorgada por los artículos 3, numeral 5º, y 11, numeral 8º, del Decreto Ley 4170 de 2011,</w:t>
      </w:r>
      <w:r w:rsidRPr="00484850">
        <w:rPr>
          <w:rFonts w:ascii="Verdana" w:eastAsia="Arial MT" w:hAnsi="Verdana" w:cs="Arial MT"/>
          <w:lang w:val="es-ES" w:eastAsia="es-ES"/>
        </w:rPr>
        <w:t xml:space="preserve"> </w:t>
      </w:r>
      <w:r w:rsidRPr="00484850">
        <w:rPr>
          <w:rFonts w:ascii="Verdana" w:eastAsia="Calibri" w:hAnsi="Verdana" w:cs="Arial"/>
          <w:lang w:eastAsia="es-MX"/>
        </w:rPr>
        <w:t xml:space="preserve">así como lo establecido por la </w:t>
      </w:r>
      <w:r w:rsidRPr="00484850">
        <w:rPr>
          <w:rFonts w:ascii="Verdana" w:eastAsia="Aptos" w:hAnsi="Verdana" w:cs="Arial"/>
          <w:bCs/>
          <w:lang w:eastAsia="es-ES" w:bidi="es-ES"/>
        </w:rPr>
        <w:t>Resolución 469 de 2025 expedida por esta Entidad</w:t>
      </w:r>
      <w:r w:rsidRPr="00484850">
        <w:rPr>
          <w:rFonts w:ascii="Verdana" w:eastAsia="Calibri" w:hAnsi="Verdana" w:cs="Arial"/>
          <w:lang w:eastAsia="es-MX"/>
        </w:rPr>
        <w:t xml:space="preserve">, </w:t>
      </w:r>
      <w:r w:rsidRPr="00484850">
        <w:rPr>
          <w:rFonts w:ascii="Verdana" w:eastAsia="Calibri" w:hAnsi="Verdana" w:cs="Arial"/>
          <w:lang w:val="es-ES" w:eastAsia="es-ES"/>
        </w:rPr>
        <w:t xml:space="preserve">la Agencia Nacional de Contratación Pública – Colombia Compra Eficiente– responde su solicitud de consulta del 3 de agosto de 2026, en la cual manifiesta lo siguiente: </w:t>
      </w:r>
    </w:p>
    <w:p w14:paraId="2147C7DA" w14:textId="77777777" w:rsidR="00484850" w:rsidRPr="00484850" w:rsidRDefault="00484850" w:rsidP="00484850">
      <w:pPr>
        <w:spacing w:after="0" w:line="276" w:lineRule="auto"/>
        <w:jc w:val="both"/>
        <w:rPr>
          <w:rFonts w:ascii="Verdana" w:eastAsia="Calibri" w:hAnsi="Verdana" w:cs="Vrinda"/>
          <w:lang w:val="es-ES" w:eastAsia="es-ES"/>
        </w:rPr>
      </w:pPr>
    </w:p>
    <w:p w14:paraId="59CACC5D" w14:textId="77777777" w:rsidR="00484850" w:rsidRPr="00484850" w:rsidRDefault="00484850" w:rsidP="00484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sz w:val="20"/>
          <w:szCs w:val="20"/>
        </w:rPr>
      </w:pPr>
      <w:r w:rsidRPr="00484850">
        <w:rPr>
          <w:rFonts w:ascii="Verdana" w:eastAsia="Aptos" w:hAnsi="Verdana" w:cs="Arial"/>
          <w:color w:val="000000"/>
          <w:sz w:val="20"/>
          <w:szCs w:val="20"/>
          <w:lang w:val="es-MX"/>
          <w14:ligatures w14:val="standardContextual"/>
        </w:rPr>
        <w:t>“</w:t>
      </w:r>
      <w:r w:rsidRPr="00484850">
        <w:rPr>
          <w:rFonts w:ascii="Verdana" w:eastAsia="Aptos" w:hAnsi="Verdana" w:cs="Times New Roman"/>
          <w:sz w:val="20"/>
          <w:szCs w:val="20"/>
        </w:rPr>
        <w:t xml:space="preserve">De manera atenta, solicitamos se sirvan emitir concepto respecto de la interpretación de la Matriz 1 – Experiencia de los Documentos Tipo para los procesos de infraestructura de agua potable y saneamiento básico, con el fin de establecer la correspondencia de las siguientes experiencias: </w:t>
      </w:r>
    </w:p>
    <w:p w14:paraId="540EE147" w14:textId="77777777" w:rsidR="00484850" w:rsidRPr="00484850" w:rsidRDefault="00484850" w:rsidP="00484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sz w:val="20"/>
          <w:szCs w:val="20"/>
        </w:rPr>
      </w:pPr>
      <w:r w:rsidRPr="00484850">
        <w:rPr>
          <w:rFonts w:ascii="Verdana" w:eastAsia="Aptos" w:hAnsi="Verdana" w:cs="Times New Roman"/>
          <w:sz w:val="20"/>
          <w:szCs w:val="20"/>
        </w:rPr>
        <w:t xml:space="preserve">1. Actividad 1.1 – Proyectos de construcción de acueductos. ¿Un contrato cuyo objeto corresponda a la construcción de una red de distribución de acueducto acredita la experiencia exigida en la actividad 1.1 de la Matriz </w:t>
      </w:r>
      <w:r w:rsidRPr="00484850">
        <w:rPr>
          <w:rFonts w:ascii="Verdana" w:eastAsia="Aptos" w:hAnsi="Verdana" w:cs="Times New Roman"/>
          <w:sz w:val="20"/>
          <w:szCs w:val="20"/>
        </w:rPr>
        <w:lastRenderedPageBreak/>
        <w:t xml:space="preserve">1, teniendo en cuenta que la red de distribución constituye un componente del sistema de acueducto? </w:t>
      </w:r>
    </w:p>
    <w:p w14:paraId="59E5444C" w14:textId="77777777" w:rsidR="00484850" w:rsidRPr="00484850" w:rsidRDefault="00484850" w:rsidP="00484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120" w:line="240" w:lineRule="auto"/>
        <w:ind w:left="709" w:right="709"/>
        <w:jc w:val="both"/>
        <w:rPr>
          <w:rFonts w:ascii="Verdana" w:eastAsia="Aptos" w:hAnsi="Verdana" w:cs="Times New Roman"/>
          <w:sz w:val="20"/>
          <w:szCs w:val="20"/>
        </w:rPr>
      </w:pPr>
      <w:r w:rsidRPr="00484850">
        <w:rPr>
          <w:rFonts w:ascii="Verdana" w:eastAsia="Aptos" w:hAnsi="Verdana" w:cs="Times New Roman"/>
          <w:sz w:val="20"/>
          <w:szCs w:val="20"/>
        </w:rPr>
        <w:t xml:space="preserve">2. Actividad 2.1 – Proyectos de construcción de alcantarillados. ¿Un contrato cuyo objeto sea el mejoramiento de un sistema de alcantarillado sanitario, pluvial o combinado puede ser considerado como experiencia válida para acreditar la actividad 2.1 de la Matriz 1, o dicha actividad se limita exclusivamente a contratos cuyo objeto corresponda a la construcción de alcantarillados? </w:t>
      </w:r>
    </w:p>
    <w:p w14:paraId="4B79F9D7" w14:textId="77777777" w:rsidR="00484850" w:rsidRPr="00484850" w:rsidRDefault="00484850" w:rsidP="00484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09" w:right="709"/>
        <w:jc w:val="both"/>
        <w:rPr>
          <w:rFonts w:ascii="Verdana" w:eastAsia="Aptos" w:hAnsi="Verdana" w:cs="Times New Roman"/>
          <w:kern w:val="2"/>
          <w:sz w:val="20"/>
          <w:szCs w:val="20"/>
          <w14:ligatures w14:val="standardContextual"/>
        </w:rPr>
      </w:pPr>
      <w:r w:rsidRPr="00484850">
        <w:rPr>
          <w:rFonts w:ascii="Verdana" w:eastAsia="Aptos" w:hAnsi="Verdana" w:cs="Times New Roman"/>
          <w:sz w:val="20"/>
          <w:szCs w:val="20"/>
        </w:rPr>
        <w:t>3. Actividad 2.1 – Proyectos de construcción de alcantarillados. ¿Un contrato cuyo objeto sea la construcción de un colector central (o colector principal) de alcantarillado corresponde a un proyecto de construcción de alcantarillado y, en consecuencia, acredita la experiencia prevista en la actividad 2.1 de la Matriz 1?”</w:t>
      </w:r>
      <w:r w:rsidRPr="00484850">
        <w:rPr>
          <w:rFonts w:ascii="Verdana" w:eastAsia="Aptos" w:hAnsi="Verdana" w:cs="Arial"/>
          <w:color w:val="000000"/>
          <w:sz w:val="20"/>
          <w:szCs w:val="20"/>
          <w:lang w:val="es-MX"/>
          <w14:ligatures w14:val="standardContextual"/>
        </w:rPr>
        <w:t xml:space="preserve">. </w:t>
      </w:r>
    </w:p>
    <w:p w14:paraId="21728BF8" w14:textId="77777777" w:rsidR="00484850" w:rsidRPr="00484850" w:rsidRDefault="00484850" w:rsidP="00484850">
      <w:pPr>
        <w:spacing w:after="0" w:line="240" w:lineRule="auto"/>
        <w:jc w:val="both"/>
        <w:rPr>
          <w:rFonts w:ascii="Verdana" w:eastAsia="Calibri" w:hAnsi="Verdana" w:cs="Arial"/>
          <w:color w:val="000000"/>
          <w:sz w:val="21"/>
          <w:szCs w:val="21"/>
          <w:lang w:eastAsia="es-ES"/>
        </w:rPr>
      </w:pPr>
    </w:p>
    <w:p w14:paraId="42705AEC" w14:textId="77777777" w:rsidR="00484850" w:rsidRPr="00484850" w:rsidRDefault="00484850" w:rsidP="00484850">
      <w:pPr>
        <w:spacing w:after="120" w:line="276" w:lineRule="auto"/>
        <w:ind w:firstLine="709"/>
        <w:jc w:val="both"/>
        <w:rPr>
          <w:rFonts w:ascii="Verdana" w:eastAsia="Calibri" w:hAnsi="Verdana" w:cs="Arial"/>
          <w:color w:val="000000"/>
          <w:lang w:eastAsia="es-ES"/>
        </w:rPr>
      </w:pPr>
      <w:r w:rsidRPr="00484850">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484850">
        <w:rPr>
          <w:rFonts w:ascii="Verdana" w:eastAsia="Calibri" w:hAnsi="Verdana" w:cs="Arial"/>
          <w:color w:val="000000"/>
          <w:lang w:eastAsia="es-ES"/>
        </w:rPr>
        <w:tab/>
      </w:r>
    </w:p>
    <w:p w14:paraId="6B5CE18E" w14:textId="77777777" w:rsidR="00484850" w:rsidRPr="00484850" w:rsidRDefault="00484850" w:rsidP="00484850">
      <w:pPr>
        <w:spacing w:after="0" w:line="276" w:lineRule="auto"/>
        <w:ind w:firstLine="709"/>
        <w:jc w:val="both"/>
        <w:rPr>
          <w:rFonts w:ascii="Verdana" w:eastAsia="Calibri" w:hAnsi="Verdana" w:cs="Arial"/>
          <w:color w:val="000000"/>
          <w:lang w:eastAsia="es-ES"/>
        </w:rPr>
      </w:pPr>
      <w:r w:rsidRPr="00484850">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6545EBE9" w14:textId="77777777" w:rsidR="00484850" w:rsidRPr="00484850" w:rsidRDefault="00484850" w:rsidP="00484850">
      <w:pPr>
        <w:spacing w:after="0" w:line="276" w:lineRule="auto"/>
        <w:jc w:val="both"/>
        <w:rPr>
          <w:rFonts w:ascii="Verdana" w:eastAsia="Calibri" w:hAnsi="Verdana" w:cs="Arial"/>
          <w:color w:val="000000"/>
          <w:lang w:eastAsia="es-ES"/>
        </w:rPr>
      </w:pPr>
    </w:p>
    <w:p w14:paraId="46783611" w14:textId="77777777" w:rsidR="00484850" w:rsidRPr="00484850" w:rsidRDefault="00484850" w:rsidP="00484850">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484850">
        <w:rPr>
          <w:rFonts w:ascii="Verdana" w:eastAsia="Century Gothic" w:hAnsi="Verdana" w:cs="Century Gothic"/>
          <w:b/>
          <w:bCs/>
        </w:rPr>
        <w:t>Problema planteado:</w:t>
      </w:r>
    </w:p>
    <w:p w14:paraId="0CBEFDA6" w14:textId="77777777" w:rsidR="00484850" w:rsidRPr="00484850" w:rsidRDefault="00484850" w:rsidP="00484850">
      <w:pPr>
        <w:tabs>
          <w:tab w:val="left" w:pos="142"/>
          <w:tab w:val="left" w:pos="284"/>
        </w:tabs>
        <w:spacing w:after="0" w:line="276" w:lineRule="auto"/>
        <w:jc w:val="both"/>
        <w:rPr>
          <w:rFonts w:ascii="Verdana" w:eastAsia="Century Gothic" w:hAnsi="Verdana" w:cs="Century Gothic"/>
          <w:b/>
          <w:bCs/>
        </w:rPr>
      </w:pPr>
    </w:p>
    <w:p w14:paraId="16158A1F" w14:textId="561A151D" w:rsidR="00484850" w:rsidRPr="00484850" w:rsidRDefault="00484850" w:rsidP="00484850">
      <w:pPr>
        <w:spacing w:after="0" w:line="276" w:lineRule="auto"/>
        <w:jc w:val="both"/>
        <w:rPr>
          <w:rFonts w:ascii="Verdana" w:eastAsia="Century Gothic" w:hAnsi="Verdana" w:cs="Century Gothic"/>
          <w:lang w:val="es-ES_tradnl"/>
        </w:rPr>
      </w:pPr>
      <w:r w:rsidRPr="00484850">
        <w:rPr>
          <w:rFonts w:ascii="Verdana" w:eastAsia="Century Gothic" w:hAnsi="Verdana" w:cs="Century Gothic"/>
        </w:rPr>
        <w:t xml:space="preserve">De acuerdo con el contenido de su solicitud, en relación con los </w:t>
      </w:r>
      <w:r w:rsidRPr="00484850">
        <w:rPr>
          <w:rFonts w:ascii="Verdana" w:eastAsia="Aptos" w:hAnsi="Verdana" w:cs="Times New Roman"/>
        </w:rPr>
        <w:t xml:space="preserve">documentos tipo de licitación de obra pública de infraestructura de agua potable y saneamiento básico, </w:t>
      </w:r>
      <w:r w:rsidRPr="00484850">
        <w:rPr>
          <w:rFonts w:ascii="Verdana" w:eastAsia="Century Gothic" w:hAnsi="Verdana" w:cs="Century Gothic"/>
        </w:rPr>
        <w:t xml:space="preserve">esta Agencia resolverá los siguientes problemas jurídicos: i) ¿Cuál es el alcance de la experiencia general y específica solicitada para la actividad 1.1 en </w:t>
      </w:r>
      <w:r w:rsidRPr="00484850">
        <w:rPr>
          <w:rFonts w:ascii="Verdana" w:eastAsia="Century Gothic" w:hAnsi="Verdana" w:cs="Century Gothic"/>
        </w:rPr>
        <w:lastRenderedPageBreak/>
        <w:t xml:space="preserve">la Matriz 1 – Experiencia?, </w:t>
      </w:r>
      <w:proofErr w:type="spellStart"/>
      <w:r w:rsidRPr="00484850">
        <w:rPr>
          <w:rFonts w:ascii="Verdana" w:eastAsia="Century Gothic" w:hAnsi="Verdana" w:cs="Century Gothic"/>
        </w:rPr>
        <w:t>ii</w:t>
      </w:r>
      <w:proofErr w:type="spellEnd"/>
      <w:r w:rsidRPr="00484850">
        <w:rPr>
          <w:rFonts w:ascii="Verdana" w:eastAsia="Century Gothic" w:hAnsi="Verdana" w:cs="Century Gothic"/>
        </w:rPr>
        <w:t>) ¿</w:t>
      </w:r>
      <w:r w:rsidRPr="00484850">
        <w:rPr>
          <w:rFonts w:ascii="Verdana" w:eastAsia="Aptos" w:hAnsi="Verdana" w:cs="Times New Roman"/>
        </w:rPr>
        <w:t xml:space="preserve"> Para la actividad 1.1 contenida en la Matriz 1 – Experiencia es posible acreditar la experiencia con un contrato que corresponda a la construcción de una red de distribución de acueducto?, </w:t>
      </w:r>
      <w:proofErr w:type="spellStart"/>
      <w:r w:rsidRPr="00484850">
        <w:rPr>
          <w:rFonts w:ascii="Verdana" w:eastAsia="Aptos" w:hAnsi="Verdana" w:cs="Times New Roman"/>
        </w:rPr>
        <w:t>iii</w:t>
      </w:r>
      <w:proofErr w:type="spellEnd"/>
      <w:r w:rsidRPr="00484850">
        <w:rPr>
          <w:rFonts w:ascii="Verdana" w:eastAsia="Aptos" w:hAnsi="Verdana" w:cs="Times New Roman"/>
        </w:rPr>
        <w:t xml:space="preserve">) </w:t>
      </w:r>
      <w:r w:rsidRPr="00484850">
        <w:rPr>
          <w:rFonts w:ascii="Verdana" w:eastAsia="Century Gothic" w:hAnsi="Verdana" w:cs="Century Gothic"/>
        </w:rPr>
        <w:t xml:space="preserve">¿Cuál es el alcance de la experiencia general y específica solicitada para la actividad 2.1 en la Matriz 1 – Experiencia?, </w:t>
      </w:r>
      <w:proofErr w:type="spellStart"/>
      <w:r w:rsidRPr="00484850">
        <w:rPr>
          <w:rFonts w:ascii="Verdana" w:eastAsia="Century Gothic" w:hAnsi="Verdana" w:cs="Century Gothic"/>
        </w:rPr>
        <w:t>iv</w:t>
      </w:r>
      <w:proofErr w:type="spellEnd"/>
      <w:r w:rsidRPr="00484850">
        <w:rPr>
          <w:rFonts w:ascii="Verdana" w:eastAsia="Century Gothic" w:hAnsi="Verdana" w:cs="Century Gothic"/>
        </w:rPr>
        <w:t>) ¿</w:t>
      </w:r>
      <w:r w:rsidRPr="00484850">
        <w:rPr>
          <w:rFonts w:ascii="Verdana" w:eastAsia="Aptos" w:hAnsi="Verdana" w:cs="Times New Roman"/>
        </w:rPr>
        <w:t>Un contrato cuyo objeto sea el mejoramiento de un sistema de alcantarillado sanitario, pluvial o combinado puede ser considerado como experiencia válida para la actividad 2.1 contenida en la Matriz 1 – Experiencia? y v) ¿Un contrato cuyo objeto sea la construcción de un colector central (o colector principal) de alcantarillado corresponde a un proyecto de construcción de alcantarillado y, en consecuencia, acredita la experiencia prevista en la actividad 2.1 contenida en la Matriz 1 – Experiencia?</w:t>
      </w:r>
    </w:p>
    <w:p w14:paraId="53607F4F" w14:textId="77777777" w:rsidR="00484850" w:rsidRPr="00484850" w:rsidRDefault="00484850" w:rsidP="00484850">
      <w:pPr>
        <w:tabs>
          <w:tab w:val="left" w:pos="142"/>
          <w:tab w:val="left" w:pos="284"/>
        </w:tabs>
        <w:spacing w:after="0" w:line="276" w:lineRule="auto"/>
        <w:jc w:val="both"/>
        <w:rPr>
          <w:rFonts w:ascii="Verdana" w:eastAsia="Calibri" w:hAnsi="Verdana" w:cs="Arial"/>
          <w:color w:val="7030A0"/>
          <w:lang w:val="es-ES_tradnl"/>
        </w:rPr>
      </w:pPr>
    </w:p>
    <w:p w14:paraId="3800CE72" w14:textId="77777777" w:rsidR="00484850" w:rsidRPr="00484850" w:rsidRDefault="00484850" w:rsidP="00484850">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484850">
        <w:rPr>
          <w:rFonts w:ascii="Verdana" w:eastAsia="Century Gothic" w:hAnsi="Verdana" w:cs="Century Gothic"/>
          <w:b/>
          <w:bCs/>
        </w:rPr>
        <w:t>Respuesta:</w:t>
      </w:r>
    </w:p>
    <w:p w14:paraId="11FCAF9A" w14:textId="77777777" w:rsidR="00484850" w:rsidRPr="00484850" w:rsidRDefault="00484850" w:rsidP="00484850">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84850" w:rsidRPr="00484850" w14:paraId="515BF698" w14:textId="77777777" w:rsidTr="005672E7">
        <w:tc>
          <w:tcPr>
            <w:tcW w:w="8828" w:type="dxa"/>
          </w:tcPr>
          <w:p w14:paraId="25E965AA" w14:textId="77777777" w:rsidR="00484850" w:rsidRPr="00484850" w:rsidRDefault="00484850" w:rsidP="00484850">
            <w:pPr>
              <w:spacing w:line="276" w:lineRule="auto"/>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Por unidad de materia los problemas jurídicos uno (1) y dos (2) se responderán de forma conjunta en los siguientes términos:</w:t>
            </w:r>
          </w:p>
          <w:p w14:paraId="05EDDF83" w14:textId="77777777" w:rsidR="00484850" w:rsidRPr="00484850" w:rsidRDefault="00484850" w:rsidP="00484850">
            <w:pPr>
              <w:spacing w:line="276" w:lineRule="auto"/>
              <w:jc w:val="both"/>
              <w:rPr>
                <w:rFonts w:ascii="Verdana" w:eastAsia="Calibri" w:hAnsi="Verdana" w:cs="Arial"/>
                <w:kern w:val="2"/>
                <w14:ligatures w14:val="standardContextual"/>
              </w:rPr>
            </w:pPr>
          </w:p>
          <w:p w14:paraId="11A45346" w14:textId="77777777" w:rsidR="00484850" w:rsidRPr="00484850" w:rsidRDefault="00484850" w:rsidP="00484850">
            <w:pPr>
              <w:spacing w:line="276" w:lineRule="auto"/>
              <w:jc w:val="both"/>
              <w:rPr>
                <w:rFonts w:ascii="Verdana" w:eastAsia="Calibri" w:hAnsi="Verdana" w:cs="Arial"/>
                <w:bCs/>
              </w:rPr>
            </w:pPr>
            <w:r w:rsidRPr="00484850">
              <w:rPr>
                <w:rFonts w:ascii="Verdana" w:eastAsia="Calibri" w:hAnsi="Verdana" w:cs="Times New Roman"/>
              </w:rPr>
              <w:t xml:space="preserve">i. y </w:t>
            </w:r>
            <w:proofErr w:type="spellStart"/>
            <w:r w:rsidRPr="00484850">
              <w:rPr>
                <w:rFonts w:ascii="Verdana" w:eastAsia="Calibri" w:hAnsi="Verdana" w:cs="Times New Roman"/>
              </w:rPr>
              <w:t>ii</w:t>
            </w:r>
            <w:proofErr w:type="spellEnd"/>
            <w:r w:rsidRPr="00484850">
              <w:rPr>
                <w:rFonts w:ascii="Verdana" w:eastAsia="Calibri" w:hAnsi="Verdana" w:cs="Times New Roman"/>
              </w:rPr>
              <w:t xml:space="preserve">. La actividad </w:t>
            </w:r>
            <w:r w:rsidRPr="00484850">
              <w:rPr>
                <w:rFonts w:ascii="Verdana" w:eastAsia="Calibri" w:hAnsi="Verdana" w:cs="Arial"/>
                <w:bCs/>
              </w:rPr>
              <w:t xml:space="preserve">1.1 contempla los proyectos de construcción de acueductos (urbanos y/o rurales) y/u obras complementarias. </w:t>
            </w:r>
            <w:r w:rsidRPr="00484850">
              <w:rPr>
                <w:rFonts w:ascii="Verdana" w:eastAsia="Calibri" w:hAnsi="Verdana" w:cs="Arial"/>
                <w:color w:val="000000"/>
                <w:lang w:val="es-ES_tradnl" w:eastAsia="en-GB"/>
              </w:rPr>
              <w:t xml:space="preserve">Para esta actividad se determina como </w:t>
            </w:r>
            <w:r w:rsidRPr="00484850">
              <w:rPr>
                <w:rFonts w:ascii="Verdana" w:eastAsia="Calibri" w:hAnsi="Verdana" w:cs="Arial"/>
                <w:i/>
                <w:iCs/>
                <w:color w:val="000000"/>
                <w:lang w:val="es-ES_tradnl" w:eastAsia="en-GB"/>
              </w:rPr>
              <w:t>experiencia general</w:t>
            </w:r>
            <w:r w:rsidRPr="00484850">
              <w:rPr>
                <w:rFonts w:ascii="Verdana" w:eastAsia="Calibri" w:hAnsi="Verdana" w:cs="Arial"/>
                <w:color w:val="000000"/>
                <w:lang w:val="es-ES_tradnl" w:eastAsia="en-GB"/>
              </w:rPr>
              <w:t xml:space="preserve"> que los proyectos correspondan o hayan contenido actividades de construcción de acueducto.</w:t>
            </w:r>
            <w:r w:rsidRPr="00484850">
              <w:rPr>
                <w:rFonts w:ascii="Verdana" w:eastAsia="Calibri" w:hAnsi="Verdana" w:cs="Arial"/>
                <w:bCs/>
              </w:rPr>
              <w:t xml:space="preserve"> Respecto de la experiencia específica se incluyó la siguiente nota general:</w:t>
            </w:r>
          </w:p>
          <w:p w14:paraId="681B5E1F" w14:textId="77777777" w:rsidR="00484850" w:rsidRPr="00484850" w:rsidRDefault="00484850" w:rsidP="00484850">
            <w:pPr>
              <w:spacing w:line="276" w:lineRule="auto"/>
              <w:ind w:firstLine="709"/>
              <w:jc w:val="both"/>
              <w:rPr>
                <w:rFonts w:ascii="Verdana" w:eastAsia="Calibri" w:hAnsi="Verdana" w:cs="Arial"/>
                <w:bCs/>
              </w:rPr>
            </w:pPr>
            <w:r w:rsidRPr="00484850">
              <w:rPr>
                <w:rFonts w:ascii="Verdana" w:eastAsia="Calibri" w:hAnsi="Verdana" w:cs="Arial"/>
                <w:bCs/>
              </w:rPr>
              <w:t xml:space="preserve"> </w:t>
            </w:r>
          </w:p>
          <w:p w14:paraId="7CF6C637" w14:textId="77777777" w:rsidR="00484850" w:rsidRPr="00484850" w:rsidRDefault="00484850" w:rsidP="00484850">
            <w:pPr>
              <w:spacing w:after="120"/>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“En el caso que, debido a la magnitud física empleada como variable para establecimiento del % de dimensionamiento como experiencia específica, se aceptará que el mismo sea acreditado con la sumatoria de máximo dos (2) de los contratos válidos aportados, garantizando condiciones pluralistas y participativas, siendo requisitos adecuados y proporcionales. Cuando la entidad considere procedente esta posibilidad lo señalará en el pliego de condiciones al momento de indicar la experiencia a requerir.</w:t>
            </w:r>
          </w:p>
          <w:p w14:paraId="221F2EF5"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La entidad NO podrá escoger más de 3 requisitos de experiencia específica, por lo que identificará los de mayor relevancia para el proyecto según la actividad a contratar”.</w:t>
            </w:r>
          </w:p>
          <w:p w14:paraId="215933F7" w14:textId="77777777" w:rsidR="00484850" w:rsidRPr="00484850" w:rsidRDefault="00484850" w:rsidP="00484850">
            <w:pPr>
              <w:tabs>
                <w:tab w:val="left" w:pos="0"/>
              </w:tabs>
              <w:ind w:left="709" w:right="709"/>
              <w:jc w:val="both"/>
              <w:rPr>
                <w:rFonts w:ascii="Verdana" w:eastAsia="Calibri" w:hAnsi="Verdana" w:cs="Arial"/>
                <w:bCs/>
                <w:lang w:val="es-ES_tradnl"/>
              </w:rPr>
            </w:pPr>
          </w:p>
          <w:p w14:paraId="762B3EBA" w14:textId="77777777" w:rsidR="00484850" w:rsidRPr="00484850" w:rsidRDefault="00484850" w:rsidP="00484850">
            <w:pPr>
              <w:tabs>
                <w:tab w:val="left" w:pos="0"/>
              </w:tabs>
              <w:spacing w:line="276" w:lineRule="auto"/>
              <w:ind w:right="49" w:firstLine="709"/>
              <w:jc w:val="both"/>
              <w:rPr>
                <w:rFonts w:ascii="Verdana" w:eastAsia="Calibri" w:hAnsi="Verdana" w:cs="Arial"/>
                <w:bCs/>
              </w:rPr>
            </w:pPr>
            <w:r w:rsidRPr="00484850">
              <w:rPr>
                <w:rFonts w:ascii="Verdana" w:eastAsia="Calibri" w:hAnsi="Verdana" w:cs="Arial"/>
                <w:bCs/>
              </w:rPr>
              <w:t xml:space="preserve">Conforme con lo expuesto, para esta actividad la entidad podrá aceptar que el porcentaje (%) de dimensionamiento exigido en la experiencia </w:t>
            </w:r>
            <w:r w:rsidRPr="00484850">
              <w:rPr>
                <w:rFonts w:ascii="Verdana" w:eastAsia="Calibri" w:hAnsi="Verdana" w:cs="Arial"/>
                <w:bCs/>
              </w:rPr>
              <w:lastRenderedPageBreak/>
              <w:t xml:space="preserve">específica sea acreditado con la sumatoria de máximo dos (2) de los contratos válidos aportados. Sin embargo, será la entidad la que determine si procede aceptar su acreditación bajo estas condiciones debido a la magnitud física empleada como variable para establecimiento del % de dimensionamiento de la experiencia específica. </w:t>
            </w:r>
          </w:p>
          <w:p w14:paraId="74126805" w14:textId="77777777" w:rsidR="00484850" w:rsidRPr="00484850" w:rsidRDefault="00484850" w:rsidP="00484850">
            <w:pPr>
              <w:spacing w:before="120" w:line="276" w:lineRule="auto"/>
              <w:ind w:firstLine="709"/>
              <w:jc w:val="both"/>
              <w:rPr>
                <w:rFonts w:ascii="Verdana" w:eastAsia="Aptos" w:hAnsi="Verdana" w:cs="Arial"/>
              </w:rPr>
            </w:pPr>
            <w:r w:rsidRPr="00484850">
              <w:rPr>
                <w:rFonts w:ascii="Verdana" w:eastAsia="Calibri" w:hAnsi="Verdana" w:cs="Arial"/>
                <w:bCs/>
              </w:rPr>
              <w:t xml:space="preserve">En relación con los requisitos de experiencia específica de la actividad 1.1, </w:t>
            </w:r>
            <w:r w:rsidRPr="00484850">
              <w:rPr>
                <w:rFonts w:ascii="Verdana" w:eastAsia="Calibri" w:hAnsi="Verdana" w:cs="Arial"/>
                <w:color w:val="000000"/>
                <w:lang w:val="es-ES_tradnl" w:eastAsia="en-GB"/>
              </w:rPr>
              <w:t>señala la matriz que</w:t>
            </w:r>
            <w:r w:rsidRPr="00484850">
              <w:rPr>
                <w:rFonts w:ascii="Verdana" w:eastAsia="Calibri" w:hAnsi="Verdana" w:cs="Arial"/>
                <w:bCs/>
                <w:lang w:val="es-ES_tradnl"/>
              </w:rPr>
              <w:t xml:space="preserve"> </w:t>
            </w:r>
            <w:r w:rsidRPr="00484850">
              <w:rPr>
                <w:rFonts w:ascii="Verdana" w:eastAsia="Aptos" w:hAnsi="Verdana" w:cs="Arial"/>
              </w:rPr>
              <w:t xml:space="preserve">“-Por lo menos uno (1) de los contratos válidos aportados como experiencia general debe contar con una longitud de tubería equivalente al (F%) de la longitud total establecida en el presente proceso de selección, y que contemple como mínimo las mismas condiciones técnicas (entiéndase como mismas condiciones técnicas la instalación según el tipo de tubería: PVC, HD, PEAD, GRP, ACCP,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 </w:t>
            </w:r>
          </w:p>
          <w:p w14:paraId="012D6ACD" w14:textId="77777777" w:rsidR="00484850" w:rsidRPr="00484850" w:rsidRDefault="00484850" w:rsidP="00484850">
            <w:pPr>
              <w:spacing w:before="120" w:line="276" w:lineRule="auto"/>
              <w:ind w:firstLine="709"/>
              <w:jc w:val="both"/>
              <w:rPr>
                <w:rFonts w:ascii="Verdana" w:eastAsia="Calibri" w:hAnsi="Verdana" w:cs="Arial"/>
                <w:bCs/>
                <w:lang w:val="es-ES_tradnl"/>
              </w:rPr>
            </w:pPr>
            <w:r w:rsidRPr="00484850">
              <w:rPr>
                <w:rFonts w:ascii="Verdana" w:eastAsia="Calibri" w:hAnsi="Verdana" w:cs="Arial"/>
                <w:bCs/>
                <w:lang w:val="es-ES_tradnl"/>
              </w:rPr>
              <w:t xml:space="preserve">Además, según la matriz, la entidad podrá escoger hasta dos (2) combinaciones de experiencia específica de las opciones enlistadas, según la pertinencia de estas y el alcance del futuro contrato. </w:t>
            </w:r>
            <w:r w:rsidRPr="00484850">
              <w:rPr>
                <w:rFonts w:ascii="Verdana" w:eastAsia="Calibri" w:hAnsi="Verdana" w:cs="Arial"/>
                <w:bCs/>
                <w:lang w:val="es-MX"/>
              </w:rPr>
              <w:t>Es decir, que la entidad puede establecer una exigencia de experiencia específica o, por el contrario, exigir hasta dos (2) requisitos adicionales para verificar la idoneidad del proponente, de acuerdo con el análisis de la entidad. Al respecto, la “Matriz 1 – Experiencia” dispone lo siguiente:</w:t>
            </w:r>
          </w:p>
          <w:p w14:paraId="4666EC00" w14:textId="77777777" w:rsidR="00484850" w:rsidRPr="00484850" w:rsidRDefault="00484850" w:rsidP="00484850">
            <w:pPr>
              <w:tabs>
                <w:tab w:val="left" w:pos="0"/>
              </w:tabs>
              <w:ind w:right="709"/>
              <w:jc w:val="both"/>
              <w:rPr>
                <w:rFonts w:ascii="Verdana" w:eastAsia="Calibri" w:hAnsi="Verdana" w:cs="Arial"/>
                <w:bCs/>
                <w:lang w:val="es-ES_tradnl"/>
              </w:rPr>
            </w:pPr>
          </w:p>
          <w:p w14:paraId="7578984F" w14:textId="77777777" w:rsidR="00484850" w:rsidRPr="00484850" w:rsidRDefault="00484850" w:rsidP="00484850">
            <w:pPr>
              <w:tabs>
                <w:tab w:val="left" w:pos="0"/>
              </w:tabs>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xml:space="preserve">“Proyectos de Acueductos: </w:t>
            </w:r>
          </w:p>
          <w:p w14:paraId="2E7811FA" w14:textId="77777777" w:rsidR="00484850" w:rsidRPr="00484850" w:rsidRDefault="00484850" w:rsidP="00484850">
            <w:pPr>
              <w:spacing w:after="120"/>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[Sin perjuicio, de la experiencia específica anterior que será obligatoria, es decir, la inmediatamente anterior, la Entidad escogerá una o más combinaciones de experiencia específica, sin que sobrepase a 2 requisitos de las opciones enlistadas a continuación, según sea analizada la pertinencia de </w:t>
            </w:r>
            <w:proofErr w:type="gramStart"/>
            <w:r w:rsidRPr="00484850">
              <w:rPr>
                <w:rFonts w:ascii="Verdana" w:eastAsia="Calibri" w:hAnsi="Verdana" w:cs="Arial"/>
                <w:sz w:val="21"/>
                <w:szCs w:val="21"/>
                <w:lang w:val="es-ES"/>
              </w:rPr>
              <w:t>las mismas</w:t>
            </w:r>
            <w:proofErr w:type="gramEnd"/>
            <w:r w:rsidRPr="00484850">
              <w:rPr>
                <w:rFonts w:ascii="Verdana" w:eastAsia="Calibri" w:hAnsi="Verdana" w:cs="Arial"/>
                <w:sz w:val="21"/>
                <w:szCs w:val="21"/>
                <w:lang w:val="es-ES"/>
              </w:rPr>
              <w:t xml:space="preserve"> y el alcance del futuro contrato a suscribir de acuerdo con las siguientes alternativas:</w:t>
            </w:r>
          </w:p>
          <w:p w14:paraId="4F566049" w14:textId="77777777" w:rsidR="00484850" w:rsidRPr="00484850" w:rsidRDefault="00484850" w:rsidP="00484850">
            <w:pPr>
              <w:spacing w:after="120"/>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Tenga en cuenta que el factor F% se aplicará </w:t>
            </w:r>
            <w:proofErr w:type="gramStart"/>
            <w:r w:rsidRPr="00484850">
              <w:rPr>
                <w:rFonts w:ascii="Verdana" w:eastAsia="Calibri" w:hAnsi="Verdana" w:cs="Arial"/>
                <w:sz w:val="21"/>
                <w:szCs w:val="21"/>
                <w:lang w:val="es-ES"/>
              </w:rPr>
              <w:t>de acuerdo al</w:t>
            </w:r>
            <w:proofErr w:type="gramEnd"/>
            <w:r w:rsidRPr="00484850">
              <w:rPr>
                <w:rFonts w:ascii="Verdana" w:eastAsia="Calibri" w:hAnsi="Verdana" w:cs="Arial"/>
                <w:sz w:val="21"/>
                <w:szCs w:val="21"/>
                <w:lang w:val="es-ES"/>
              </w:rPr>
              <w:t xml:space="preserve"> rango de SMMLV en el cual se encuentre el proceso de contratación.]</w:t>
            </w:r>
          </w:p>
          <w:p w14:paraId="3FB8C0C3" w14:textId="77777777" w:rsidR="00484850" w:rsidRPr="00484850" w:rsidRDefault="00484850" w:rsidP="00484850">
            <w:pPr>
              <w:spacing w:after="120"/>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lastRenderedPageBreak/>
              <w:t>'- Por lo menos uno (1) de los contratos válidos aportados debe acreditar experiencia general en estructuras de captación, las cuales deben ser iguales o mayores al (F%) de los litros por segundo (</w:t>
            </w:r>
            <w:proofErr w:type="spellStart"/>
            <w:r w:rsidRPr="00484850">
              <w:rPr>
                <w:rFonts w:ascii="Verdana" w:eastAsia="Calibri" w:hAnsi="Verdana" w:cs="Arial"/>
                <w:sz w:val="21"/>
                <w:szCs w:val="21"/>
                <w:lang w:val="es-ES"/>
              </w:rPr>
              <w:t>lps</w:t>
            </w:r>
            <w:proofErr w:type="spellEnd"/>
            <w:r w:rsidRPr="00484850">
              <w:rPr>
                <w:rFonts w:ascii="Verdana" w:eastAsia="Calibri" w:hAnsi="Verdana" w:cs="Arial"/>
                <w:sz w:val="21"/>
                <w:szCs w:val="21"/>
                <w:lang w:val="es-ES"/>
              </w:rPr>
              <w:t>) establecidos en la presente convocatoria para la captación. SI APLICA</w:t>
            </w:r>
          </w:p>
          <w:p w14:paraId="2DC7D66D" w14:textId="77777777" w:rsidR="00484850" w:rsidRPr="00484850" w:rsidRDefault="00484850" w:rsidP="00484850">
            <w:pPr>
              <w:tabs>
                <w:tab w:val="left" w:pos="0"/>
              </w:tabs>
              <w:spacing w:after="120"/>
              <w:ind w:left="709" w:right="709"/>
              <w:jc w:val="both"/>
              <w:rPr>
                <w:rFonts w:ascii="Verdana" w:eastAsia="Calibri" w:hAnsi="Verdana" w:cs="Arial"/>
                <w:sz w:val="21"/>
                <w:szCs w:val="21"/>
                <w:lang w:val="es-ES"/>
              </w:rPr>
            </w:pPr>
            <w:r w:rsidRPr="0A0C1B74">
              <w:rPr>
                <w:rFonts w:ascii="Verdana" w:eastAsia="Calibri" w:hAnsi="Verdana" w:cs="Arial"/>
                <w:sz w:val="21"/>
                <w:szCs w:val="21"/>
                <w:lang w:val="es-ES"/>
              </w:rPr>
              <w:t>'- Para sistemas de abastecimiento diferenciales, tales como sistemas de acueducto con opciones tecnológicas, soluciones alternativas colectivas de agua, soluciones alternativas individuales de agua, o cualquier otro sistema no convencional de abastecimiento, se debe acreditar por lo menos uno (1) de los contratos válidos aportados donde se relacione la experiencia en CONSTRUCCIÓN de sistemas de abastecimiento no convenciones que tengan relación con el objeto a contratar. SI APLICA.</w:t>
            </w:r>
          </w:p>
          <w:p w14:paraId="6679E86A"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Para sistemas de abastecimiento diferenciales, tales como pozos profundos o pilas de abastecimiento debe acreditar por lo menos uno (1) de los contratos válidos aportados donde se relacione la experiencia en CONSTRUCCIÓN de pozos, donde se detalle el caudal y la profundidad, el cual corresponda al (F%) del requerido en el proceso de selección, el cual como referente es [la Entidad establecerá únicamente el caudal de referencia y la profundidad, el cual será aplicado el factor F%].</w:t>
            </w:r>
          </w:p>
          <w:p w14:paraId="6DD61C06"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el componente de aducción y actividades complementarias. SI APLICA.</w:t>
            </w:r>
          </w:p>
          <w:p w14:paraId="49FDF323" w14:textId="77777777" w:rsidR="00484850" w:rsidRPr="00484850" w:rsidRDefault="00484850" w:rsidP="00484850">
            <w:pPr>
              <w:spacing w:after="120"/>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'-Por lo menos uno (1) de los contratos válidos aportados como experiencia general, debe contar con la construcción de al menos un tanque de almacenamiento de agua potable (elevado, a nivel o subterráneo) con volumen igual o mayor a (F%) metros cúbicos del volumen establecido en la presente convocatoria; y la cual debe corresponder con el tipo de materia de la estructura requerida (Concreto, PRFV, ACERO, </w:t>
            </w:r>
            <w:proofErr w:type="spellStart"/>
            <w:r w:rsidRPr="00484850">
              <w:rPr>
                <w:rFonts w:ascii="Verdana" w:eastAsia="Calibri" w:hAnsi="Verdana" w:cs="Arial"/>
                <w:sz w:val="21"/>
                <w:szCs w:val="21"/>
                <w:lang w:val="es-ES"/>
              </w:rPr>
              <w:t>etc</w:t>
            </w:r>
            <w:proofErr w:type="spellEnd"/>
            <w:r w:rsidRPr="00484850">
              <w:rPr>
                <w:rFonts w:ascii="Verdana" w:eastAsia="Calibri" w:hAnsi="Verdana" w:cs="Arial"/>
                <w:sz w:val="21"/>
                <w:szCs w:val="21"/>
                <w:lang w:val="es-ES"/>
              </w:rPr>
              <w:t>) [la Entidad establecerá el material en el cual fue planeada la construcción del mismo así como el volumen requerido del tanque]. SI APLICA.</w:t>
            </w:r>
          </w:p>
          <w:p w14:paraId="2E656134"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el componente de conducción. SI APLICA</w:t>
            </w:r>
          </w:p>
          <w:p w14:paraId="024ED96B"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xml:space="preserve">'-Por lo menos uno (1) de los contratos válidos aportados debe acreditar experiencia general en el componente de Estaciones de Bombeo de Agua Cruda-EBAC, el cual sea igual o mayor al (F%) del caudal requerido en el presente proceso [la Entidad establecerá el caudal de bombeo estimado o esperado correspondientes al </w:t>
            </w:r>
            <w:r w:rsidRPr="00484850">
              <w:rPr>
                <w:rFonts w:ascii="Verdana" w:eastAsia="Calibri" w:hAnsi="Verdana" w:cs="Arial"/>
                <w:bCs/>
                <w:sz w:val="21"/>
                <w:szCs w:val="21"/>
                <w:lang w:val="es-ES_tradnl"/>
              </w:rPr>
              <w:lastRenderedPageBreak/>
              <w:t>componente de estaciones de bombeo de agua cruda, para ser aplicado el factor F%]. SI APLICA</w:t>
            </w:r>
          </w:p>
          <w:p w14:paraId="25F782F6"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'-Para la intervención a sistema de almacenamiento, tales como embalses o tanques de almacenamiento el proponente deberá acreditar que en por lo menos uno (1) de los contratos válidos aportados como experiencia general se acredite la experiencia en sistemas de almacenamiento tipo tanques de almacenamiento o embalses. SI APLICA.</w:t>
            </w:r>
          </w:p>
          <w:p w14:paraId="2367EDD7"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como experiencia general, debe contar con el componente de conexiones domiciliarias, las cuales deben ser iguales o mayores al (F%) de los requeridos en el presente proceso, para los cuales el valor referente es [la Entidad establecerá el número estimado de conexiones domiciliarias para establecer la relación según el factor F%]. SI APLICA.</w:t>
            </w:r>
          </w:p>
          <w:p w14:paraId="651C0CBF"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entibados para construcción de acueductos y/o alcantarillados. SI APLICA.</w:t>
            </w:r>
          </w:p>
          <w:p w14:paraId="0021EBB5" w14:textId="77777777" w:rsidR="00484850" w:rsidRPr="00484850" w:rsidRDefault="00484850" w:rsidP="00484850">
            <w:pPr>
              <w:tabs>
                <w:tab w:val="left" w:pos="0"/>
              </w:tabs>
              <w:spacing w:after="120"/>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Por lo menos uno (1) de los contratos válidos aportados como experiencia general, debe corresponder a la ejecución de un proyecto en zona rural y/o de difícil acceso, para lo cual entiéndase una zona de difícil acceso como aquella donde el transporte debe ser realizado de forma fluvial o aérea para su ejecución. SI APLICA</w:t>
            </w:r>
          </w:p>
          <w:p w14:paraId="305C3CF2" w14:textId="77777777" w:rsidR="00484850" w:rsidRPr="00484850" w:rsidRDefault="00484850" w:rsidP="00484850">
            <w:pPr>
              <w:tabs>
                <w:tab w:val="left" w:pos="0"/>
              </w:tabs>
              <w:spacing w:after="120"/>
              <w:ind w:left="709" w:right="709"/>
              <w:jc w:val="both"/>
              <w:rPr>
                <w:rFonts w:ascii="Verdana" w:eastAsia="Calibri" w:hAnsi="Verdana" w:cs="Arial"/>
                <w:bCs/>
                <w:sz w:val="21"/>
                <w:szCs w:val="21"/>
                <w:highlight w:val="yellow"/>
                <w:lang w:val="es-ES_tradnl"/>
              </w:rPr>
            </w:pPr>
            <w:r w:rsidRPr="00484850">
              <w:rPr>
                <w:rFonts w:ascii="Verdana" w:eastAsia="Calibri" w:hAnsi="Verdana" w:cs="Arial"/>
                <w:bCs/>
                <w:sz w:val="21"/>
                <w:szCs w:val="21"/>
                <w:lang w:val="es-ES_tradnl"/>
              </w:rPr>
              <w:t xml:space="preserve">'- Por lo menos uno (1) de los contratos válidos aportados como experiencia general debe corresponder a la ejecución de un proyecto en zona urbana. SI APLICA”. </w:t>
            </w:r>
          </w:p>
          <w:p w14:paraId="5D9AE09D" w14:textId="77777777" w:rsidR="00484850" w:rsidRPr="00484850" w:rsidRDefault="00484850" w:rsidP="00484850">
            <w:pPr>
              <w:tabs>
                <w:tab w:val="left" w:pos="0"/>
              </w:tabs>
              <w:ind w:right="709"/>
              <w:jc w:val="both"/>
              <w:rPr>
                <w:rFonts w:ascii="Verdana" w:eastAsia="Calibri" w:hAnsi="Verdana" w:cs="Arial"/>
                <w:bCs/>
                <w:lang w:val="es-ES_tradnl"/>
              </w:rPr>
            </w:pPr>
          </w:p>
          <w:p w14:paraId="19A7C0F4" w14:textId="77777777" w:rsidR="00484850" w:rsidRPr="00484850" w:rsidRDefault="00484850" w:rsidP="00484850">
            <w:pPr>
              <w:tabs>
                <w:tab w:val="left" w:pos="0"/>
              </w:tabs>
              <w:spacing w:after="120" w:line="276" w:lineRule="auto"/>
              <w:ind w:firstLine="709"/>
              <w:jc w:val="both"/>
              <w:rPr>
                <w:rFonts w:ascii="Verdana" w:eastAsia="Calibri" w:hAnsi="Verdana" w:cs="Arial"/>
                <w:bCs/>
              </w:rPr>
            </w:pPr>
            <w:r w:rsidRPr="00484850">
              <w:rPr>
                <w:rFonts w:ascii="Verdana" w:eastAsia="Calibri" w:hAnsi="Verdana" w:cs="Arial"/>
                <w:color w:val="000000"/>
                <w:lang w:val="es-ES_tradnl" w:eastAsia="en-GB"/>
              </w:rPr>
              <w:t xml:space="preserve">Como se evidencia, cada uno de los requisitos de experiencia específica exigidos en esta actividad, por regla general, se acreditará en </w:t>
            </w:r>
            <w:r w:rsidRPr="00484850">
              <w:rPr>
                <w:rFonts w:ascii="Verdana" w:eastAsia="Aptos" w:hAnsi="Verdana" w:cs="Arial"/>
              </w:rPr>
              <w:t>“</w:t>
            </w:r>
            <w:r w:rsidRPr="00484850">
              <w:rPr>
                <w:rFonts w:ascii="Verdana" w:eastAsia="Calibri" w:hAnsi="Verdana" w:cs="Arial"/>
                <w:color w:val="000000"/>
                <w:lang w:val="es-ES_tradnl" w:eastAsia="en-GB"/>
              </w:rPr>
              <w:t>por lo menos 1 de los contratos válidos aportados</w:t>
            </w:r>
            <w:r w:rsidRPr="00484850">
              <w:rPr>
                <w:rFonts w:ascii="Verdana" w:eastAsia="Aptos" w:hAnsi="Verdana" w:cs="Arial"/>
              </w:rPr>
              <w:t>”</w:t>
            </w:r>
            <w:r w:rsidRPr="00484850">
              <w:rPr>
                <w:rFonts w:ascii="Verdana" w:eastAsia="Calibri" w:hAnsi="Verdana" w:cs="Arial"/>
                <w:color w:val="000000"/>
                <w:lang w:val="es-ES_tradnl" w:eastAsia="en-GB"/>
              </w:rPr>
              <w:t xml:space="preserve">. Sin embargo, </w:t>
            </w:r>
            <w:r w:rsidRPr="00484850">
              <w:rPr>
                <w:rFonts w:ascii="Verdana" w:eastAsia="Calibri" w:hAnsi="Verdana" w:cs="Arial"/>
                <w:bCs/>
              </w:rPr>
              <w:t>con base en la nota general señalada, el proponente podrá acreditar el porcentaje (%) de dimensionamiento requerido con la sumatoria de máximo dos (2) de los contratos válidos aportados, siempre que así lo haya establecido la entidad estatal en el pliego de condiciones.</w:t>
            </w:r>
          </w:p>
          <w:p w14:paraId="53A202EB"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Ahora bien, retomando la experiencia específica obligatoria que se señaló en líneas anteriores, la</w:t>
            </w:r>
            <w:r w:rsidRPr="00484850">
              <w:rPr>
                <w:rFonts w:ascii="Verdana" w:eastAsia="Calibri" w:hAnsi="Verdana" w:cs="Arial"/>
                <w:bCs/>
                <w:lang w:val="es-ES_tradnl"/>
              </w:rPr>
              <w:t xml:space="preserve"> entidad deberá definir tres aspectos: i) la longitud de tubería equivalente a un determinado porcentaje, el cual establece la entidad de acuerdo con la cuantía del proceso, </w:t>
            </w:r>
            <w:proofErr w:type="spellStart"/>
            <w:r w:rsidRPr="00484850">
              <w:rPr>
                <w:rFonts w:ascii="Verdana" w:eastAsia="Calibri" w:hAnsi="Verdana" w:cs="Arial"/>
                <w:bCs/>
                <w:lang w:val="es-ES_tradnl"/>
              </w:rPr>
              <w:t>ii</w:t>
            </w:r>
            <w:proofErr w:type="spellEnd"/>
            <w:r w:rsidRPr="00484850">
              <w:rPr>
                <w:rFonts w:ascii="Verdana" w:eastAsia="Calibri" w:hAnsi="Verdana" w:cs="Arial"/>
                <w:bCs/>
                <w:lang w:val="es-ES_tradnl"/>
              </w:rPr>
              <w:t xml:space="preserve">) el material más </w:t>
            </w:r>
            <w:r w:rsidRPr="00484850">
              <w:rPr>
                <w:rFonts w:ascii="Verdana" w:eastAsia="Calibri" w:hAnsi="Verdana" w:cs="Arial"/>
                <w:bCs/>
                <w:lang w:val="es-ES_tradnl"/>
              </w:rPr>
              <w:lastRenderedPageBreak/>
              <w:t>representativo de la tubería -</w:t>
            </w:r>
            <w:r w:rsidRPr="00484850">
              <w:rPr>
                <w:rFonts w:ascii="Verdana" w:eastAsia="Calibri" w:hAnsi="Verdana" w:cs="Arial"/>
                <w:bCs/>
              </w:rPr>
              <w:t>PVC, HD, PEAD, GRP, ACCP, entre otras-</w:t>
            </w:r>
            <w:r w:rsidRPr="00484850">
              <w:rPr>
                <w:rFonts w:ascii="Verdana" w:eastAsia="Calibri" w:hAnsi="Verdana" w:cs="Arial"/>
                <w:bCs/>
                <w:lang w:val="es-ES_tradnl"/>
              </w:rPr>
              <w:t xml:space="preserve"> y, </w:t>
            </w:r>
            <w:proofErr w:type="spellStart"/>
            <w:r w:rsidRPr="00484850">
              <w:rPr>
                <w:rFonts w:ascii="Verdana" w:eastAsia="Calibri" w:hAnsi="Verdana" w:cs="Arial"/>
                <w:bCs/>
                <w:lang w:val="es-ES_tradnl"/>
              </w:rPr>
              <w:t>iii</w:t>
            </w:r>
            <w:proofErr w:type="spellEnd"/>
            <w:r w:rsidRPr="00484850">
              <w:rPr>
                <w:rFonts w:ascii="Verdana" w:eastAsia="Calibri" w:hAnsi="Verdana" w:cs="Arial"/>
                <w:bCs/>
                <w:lang w:val="es-ES_tradnl"/>
              </w:rPr>
              <w:t>) el rango de diámetros comerciales para la tubería principal o más representativa del proyecto o en su defecto un diámetro mínimo de referencia. En este caso, los proponentes podrán acreditar la longitud de tubería con la sumatoria de máximo dos contratos, siempre que así lo haya permitido la entidad, conforme lo explicado, y</w:t>
            </w:r>
            <w:r w:rsidRPr="00484850">
              <w:rPr>
                <w:rFonts w:ascii="Verdana" w:eastAsia="Calibri" w:hAnsi="Verdana" w:cs="Arial"/>
                <w:bCs/>
              </w:rPr>
              <w:t xml:space="preserve"> adicionalmente deberá cumplir con lo indicado en los demás aspectos. Por ejemplo, si la longitud de tubería a acreditar corresponde a 10 km, el material del contrato es PVC y el rango del diámetro se estableció entre 20” a 28”, el proponente podrá acreditar en máximo dos (2) contratos que sumen la totalidad de la longitud de tubería de 10 km, pero cada contrato deberá cumplir tanto con el material como con el rango de diámetro determinado. </w:t>
            </w:r>
          </w:p>
          <w:p w14:paraId="0956C6A5"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 xml:space="preserve">De esta manera, el proponente podrá acreditar la longitud de tubería de 10km en máximo dos contratos que sumen la totalidad de estas magnitudes, siempre que así lo haya determinado la entidad. En todo caso, el oferente tendrá en cuenta que el máximo de contratos permitidos para acreditar la experiencia general y específica es máximo cinco (5), </w:t>
            </w:r>
            <w:r w:rsidRPr="00484850">
              <w:rPr>
                <w:rFonts w:ascii="Verdana" w:eastAsia="Calibri" w:hAnsi="Verdana" w:cs="Arial"/>
              </w:rPr>
              <w:t xml:space="preserve">sin perjuicio de lo previsto en las reglas de los criterios diferenciales por ser </w:t>
            </w:r>
            <w:proofErr w:type="spellStart"/>
            <w:r w:rsidRPr="00484850">
              <w:rPr>
                <w:rFonts w:ascii="Verdana" w:eastAsia="Calibri" w:hAnsi="Verdana" w:cs="Arial"/>
              </w:rPr>
              <w:t>Mipyme</w:t>
            </w:r>
            <w:proofErr w:type="spellEnd"/>
            <w:r w:rsidRPr="00484850">
              <w:rPr>
                <w:rFonts w:ascii="Verdana" w:eastAsia="Calibri" w:hAnsi="Verdana" w:cs="Arial"/>
              </w:rPr>
              <w:t xml:space="preserve"> y/o emprendimientos y empresas de mujeres,</w:t>
            </w:r>
            <w:r w:rsidRPr="00484850">
              <w:rPr>
                <w:rFonts w:ascii="Verdana" w:eastAsia="Calibri" w:hAnsi="Verdana" w:cs="Arial"/>
                <w:bCs/>
              </w:rPr>
              <w:t xml:space="preserve"> y que el número de contratos que aporte impactará en el valor del presupuesto oficial del proceso que deberá acreditar para cumplir con el requisito habilitante.</w:t>
            </w:r>
          </w:p>
          <w:p w14:paraId="610F502D"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 xml:space="preserve">Precisado el requisito de experiencia para la actividad 1.1 contenida en la Matriz 1 – Experiencia de los documentos tipo de licitación de obra pública de agua potable y saneamiento básico. </w:t>
            </w:r>
            <w:r w:rsidRPr="00484850">
              <w:rPr>
                <w:rFonts w:ascii="Verdana" w:eastAsia="Aptos" w:hAnsi="Verdana" w:cs="Times New Roman"/>
              </w:rPr>
              <w:t xml:space="preserve">Particularmente, en relación con el segundo problema jurídico planteado en este concepto –esto es, si para la actividad 1.1 señalada con anterioridad es posible acreditar la experiencia con un contrato que corresponda a la construcción de una red de distribución de acueducto–, le indicamos que una red de distribución constituye uno de los componentes que integran un sistema de acueducto, pero no necesariamente equivale, por sí sola, a la construcción de un acueducto. Por lo tanto, no es procedente afirmar de manera general que todo contrato cuyo objeto se limite a la construcción de una red de distribución acredita automáticamente la experiencia general exigida para la construcción de acueductos. </w:t>
            </w:r>
          </w:p>
          <w:p w14:paraId="2383BCF2" w14:textId="77777777" w:rsidR="00484850" w:rsidRPr="00484850" w:rsidRDefault="00484850" w:rsidP="00484850">
            <w:pPr>
              <w:spacing w:after="120" w:line="276" w:lineRule="auto"/>
              <w:ind w:firstLine="708"/>
              <w:jc w:val="both"/>
              <w:rPr>
                <w:rFonts w:ascii="Verdana" w:eastAsia="Calibri" w:hAnsi="Verdana" w:cs="Calibri"/>
                <w:lang w:val="es-ES_tradnl"/>
              </w:rPr>
            </w:pPr>
            <w:r w:rsidRPr="00484850">
              <w:rPr>
                <w:rFonts w:ascii="Verdana" w:eastAsia="Calibri" w:hAnsi="Verdana" w:cs="Calibri"/>
                <w:lang w:val="es-ES_tradnl"/>
              </w:rPr>
              <w:t xml:space="preserve">No obstante, como se indicó, la Matriz 1 – Experiencia para la actividad 1.1 prevé que la entidad puede seleccionar experiencias específicas adicionales </w:t>
            </w:r>
            <w:r w:rsidRPr="00484850">
              <w:rPr>
                <w:rFonts w:ascii="Verdana" w:eastAsia="Calibri" w:hAnsi="Verdana" w:cs="Calibri"/>
                <w:lang w:val="es-ES_tradnl"/>
              </w:rPr>
              <w:lastRenderedPageBreak/>
              <w:t xml:space="preserve">asociadas a determinados componentes del sistema, tales como aducción, conducción, conexiones domiciliarias, estaciones de bombeo, tanques de almacenamiento u otras opciones expresamente contempladas. En consecuencia, cuando la entidad haya definido dentro del proceso requisitos relacionados con componentes específicos del sistema de acueducto, podrá valorar la experiencia acreditada en dichos componentes en los términos establecidos en la Matriz 1 – Experiencia, explicados con anterioridad. </w:t>
            </w:r>
          </w:p>
          <w:p w14:paraId="0FF4474A" w14:textId="77777777" w:rsidR="00484850" w:rsidRPr="00484850" w:rsidRDefault="00484850" w:rsidP="00484850">
            <w:pPr>
              <w:spacing w:after="120" w:line="276" w:lineRule="auto"/>
              <w:ind w:firstLine="708"/>
              <w:jc w:val="both"/>
              <w:rPr>
                <w:rFonts w:ascii="Verdana" w:eastAsia="Calibri" w:hAnsi="Verdana" w:cs="Calibri"/>
                <w:lang w:val="es-ES_tradnl"/>
              </w:rPr>
            </w:pPr>
            <w:r w:rsidRPr="00484850">
              <w:rPr>
                <w:rFonts w:ascii="Verdana" w:eastAsia="Calibri" w:hAnsi="Verdana" w:cs="Calibri"/>
                <w:lang w:val="es-ES_tradnl"/>
              </w:rPr>
              <w:t>Adicionalmente, la Nota General de la Matriz 1 – Experiencia dispone que se tendrán en cuenta contratos en los cuales se hayan ejecutado múltiples actividades, siempre que alguna de ellas se encuentre relacionada con la experiencia requerida, caso en el cual la acreditación deberá efectuarse respecto de las actividades efectivamente ejecutadas y conforme a las reglas establecidas en los Documentos Tipo.</w:t>
            </w:r>
          </w:p>
          <w:p w14:paraId="295F9E47" w14:textId="2E05AE57" w:rsidR="00484850" w:rsidRPr="00484850" w:rsidRDefault="00484850" w:rsidP="00484850">
            <w:pPr>
              <w:spacing w:line="276" w:lineRule="auto"/>
              <w:ind w:firstLine="708"/>
              <w:jc w:val="both"/>
              <w:rPr>
                <w:rFonts w:ascii="Verdana" w:eastAsia="Calibri" w:hAnsi="Verdana" w:cs="Calibri"/>
                <w:lang w:val="es-ES"/>
              </w:rPr>
            </w:pPr>
            <w:r w:rsidRPr="0A0C1B74">
              <w:rPr>
                <w:rFonts w:ascii="Verdana" w:eastAsia="Calibri" w:hAnsi="Verdana" w:cs="Calibri"/>
                <w:lang w:val="es-ES"/>
              </w:rPr>
              <w:t>En consecuencia, la correspondencia entre un contrato de construcción de redes de distribución y la actividad 1.1 contenida en la Matriz 1 – Experiencia deberá analizarse en cada caso particular a partir del alcance real del contrato acreditado y de las actividades exigidas por la entidad en el proceso de selección, sin que pueda concluirse que una red de distribución sea equivalente a un acueducto completo. Sin perjuicio de lo anterior, la experiencia especifica en redes de distribución podrá ser tenida en cuenta cuando corresponda a alguno de los componentes o experiencias específicas previstas por la entidad dentro de las opciones contempladas en la Matriz de Experiencia como, por ejemplo: “Por lo menos uno (1) de los contratos válidos aportados debe acreditar experiencia general en el componente de conducción. SI APLICA”.</w:t>
            </w:r>
            <w:r>
              <w:tab/>
            </w:r>
          </w:p>
          <w:p w14:paraId="5447CCB4" w14:textId="77777777" w:rsidR="00484850" w:rsidRPr="00484850" w:rsidRDefault="00484850" w:rsidP="00484850">
            <w:pPr>
              <w:spacing w:line="276" w:lineRule="auto"/>
              <w:ind w:firstLine="708"/>
              <w:jc w:val="both"/>
              <w:rPr>
                <w:rFonts w:ascii="Verdana" w:eastAsia="Calibri" w:hAnsi="Verdana" w:cs="Calibri"/>
                <w:lang w:val="es-ES_tradnl"/>
              </w:rPr>
            </w:pPr>
          </w:p>
          <w:p w14:paraId="6184F718" w14:textId="77777777" w:rsidR="00484850" w:rsidRPr="00484850" w:rsidRDefault="00484850" w:rsidP="00484850">
            <w:pPr>
              <w:spacing w:line="276" w:lineRule="auto"/>
              <w:jc w:val="both"/>
              <w:rPr>
                <w:rFonts w:ascii="Verdana" w:eastAsia="Calibri" w:hAnsi="Verdana" w:cs="Calibri"/>
                <w:lang w:val="es-ES_tradnl"/>
              </w:rPr>
            </w:pPr>
            <w:r w:rsidRPr="00484850">
              <w:rPr>
                <w:rFonts w:ascii="Verdana" w:eastAsia="Calibri" w:hAnsi="Verdana" w:cs="Calibri"/>
                <w:lang w:val="es-ES_tradnl"/>
              </w:rPr>
              <w:t>Por unidad de materia, los problemas jurídicos tres (3), cuatro (4) y cinco (5) se responderán de forma conjunta en los siguientes términos:</w:t>
            </w:r>
          </w:p>
          <w:p w14:paraId="45084E87" w14:textId="77777777" w:rsidR="00484850" w:rsidRPr="00484850" w:rsidRDefault="00484850" w:rsidP="00484850">
            <w:pPr>
              <w:spacing w:line="276" w:lineRule="auto"/>
              <w:jc w:val="both"/>
              <w:rPr>
                <w:rFonts w:ascii="Verdana" w:eastAsia="Calibri" w:hAnsi="Verdana" w:cs="Calibri"/>
                <w:lang w:val="es-ES_tradnl"/>
              </w:rPr>
            </w:pPr>
          </w:p>
          <w:p w14:paraId="6AB95FB7" w14:textId="77777777" w:rsidR="00484850" w:rsidRPr="00484850" w:rsidRDefault="00484850" w:rsidP="00484850">
            <w:pPr>
              <w:spacing w:line="276" w:lineRule="auto"/>
              <w:jc w:val="both"/>
              <w:rPr>
                <w:rFonts w:ascii="Verdana" w:eastAsia="Aptos" w:hAnsi="Verdana" w:cs="Times New Roman"/>
              </w:rPr>
            </w:pPr>
            <w:proofErr w:type="spellStart"/>
            <w:r w:rsidRPr="00484850">
              <w:rPr>
                <w:rFonts w:ascii="Verdana" w:eastAsia="Aptos" w:hAnsi="Verdana" w:cs="Times New Roman"/>
              </w:rPr>
              <w:t>iii</w:t>
            </w:r>
            <w:proofErr w:type="spellEnd"/>
            <w:r w:rsidRPr="00484850">
              <w:rPr>
                <w:rFonts w:ascii="Verdana" w:eastAsia="Aptos" w:hAnsi="Verdana" w:cs="Times New Roman"/>
              </w:rPr>
              <w:t xml:space="preserve">., </w:t>
            </w:r>
            <w:proofErr w:type="spellStart"/>
            <w:r w:rsidRPr="00484850">
              <w:rPr>
                <w:rFonts w:ascii="Verdana" w:eastAsia="Aptos" w:hAnsi="Verdana" w:cs="Times New Roman"/>
              </w:rPr>
              <w:t>iv</w:t>
            </w:r>
            <w:proofErr w:type="spellEnd"/>
            <w:r w:rsidRPr="00484850">
              <w:rPr>
                <w:rFonts w:ascii="Verdana" w:eastAsia="Aptos" w:hAnsi="Verdana" w:cs="Times New Roman"/>
              </w:rPr>
              <w:t xml:space="preserve">. y v. La actividad 2.1 contempla los proyectos de construcción de alcantarillados sanitarios y/o pluviales y/o combinados (urbanos y/o rurales) y/u obras complementarias. Para esta actividad se determina como </w:t>
            </w:r>
            <w:r w:rsidRPr="00484850">
              <w:rPr>
                <w:rFonts w:ascii="Verdana" w:eastAsia="Aptos" w:hAnsi="Verdana" w:cs="Times New Roman"/>
                <w:i/>
                <w:iCs/>
              </w:rPr>
              <w:t>experiencia general</w:t>
            </w:r>
            <w:r w:rsidRPr="00484850">
              <w:rPr>
                <w:rFonts w:ascii="Verdana" w:eastAsia="Aptos" w:hAnsi="Verdana" w:cs="Times New Roman"/>
              </w:rPr>
              <w:t xml:space="preserve">: PROYECTOS QUE CORRESPONDAN O HAYAN CONTENIDO ACTIVIDADES DE: CONSTRUCCION DE ALCANTARILLADO (SANITARIO Y/O </w:t>
            </w:r>
            <w:r w:rsidRPr="00484850">
              <w:rPr>
                <w:rFonts w:ascii="Verdana" w:eastAsia="Aptos" w:hAnsi="Verdana" w:cs="Times New Roman"/>
              </w:rPr>
              <w:lastRenderedPageBreak/>
              <w:t>PLUVIAL Y/O COMBINADO). Para la experiencia específica se incluyó la siguiente nota general:</w:t>
            </w:r>
          </w:p>
          <w:p w14:paraId="6499E50B" w14:textId="77777777" w:rsidR="00484850" w:rsidRPr="00484850" w:rsidRDefault="00484850" w:rsidP="00484850">
            <w:pPr>
              <w:spacing w:line="276" w:lineRule="auto"/>
              <w:ind w:firstLine="708"/>
              <w:jc w:val="both"/>
              <w:rPr>
                <w:rFonts w:ascii="Verdana" w:eastAsia="Calibri" w:hAnsi="Verdana" w:cs="Calibri"/>
                <w:lang w:val="es-ES_tradnl"/>
              </w:rPr>
            </w:pPr>
          </w:p>
          <w:p w14:paraId="7EF4B09B"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“En el caso que, debido a la magnitud física empleada como variable para establecimiento del % de dimensionamiento como experiencia específica, se aceptará que el mismo sea acreditado con la sumatoria de máximo dos (2) de los contratos válidos aportados, garantizando condiciones pluralistas y participativas, siendo requisitos adecuados y proporcionales. Cuando la entidad considere procedente esta posibilidad lo señalará en el pliego de condiciones al momento de indicar la experiencia a requerir.</w:t>
            </w:r>
          </w:p>
          <w:p w14:paraId="0C2833CE" w14:textId="77777777" w:rsidR="00484850" w:rsidRPr="00484850" w:rsidRDefault="00484850" w:rsidP="00484850">
            <w:pPr>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La entidad NO podrá escoger más de 3 requisitos de experiencia específica, por lo que identificará los de mayor relevancia para el proyecto según la actividad a contratar”.</w:t>
            </w:r>
          </w:p>
          <w:p w14:paraId="7D58254C" w14:textId="77777777" w:rsidR="00484850" w:rsidRPr="00484850" w:rsidRDefault="00484850" w:rsidP="00484850">
            <w:pPr>
              <w:spacing w:line="276" w:lineRule="auto"/>
              <w:ind w:firstLine="708"/>
              <w:jc w:val="both"/>
              <w:rPr>
                <w:rFonts w:ascii="Verdana" w:eastAsia="Aptos" w:hAnsi="Verdana" w:cs="Times New Roman"/>
                <w:kern w:val="2"/>
                <w14:ligatures w14:val="standardContextual"/>
              </w:rPr>
            </w:pPr>
          </w:p>
          <w:p w14:paraId="399BCF0B"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De acuerdo con la nota general, para esta actividad la entidad podrá aceptar que el porcentaje (%) de dimensionamiento exigido en la experiencia específica sea acreditado con la sumatoria de máximo dos (2) de los contratos válidos aportados. No obstante, será la entidad la que determine si procede aceptar su acreditación bajo estas condiciones, debido a la magnitud física empleada como variable para el establecimiento del % de dimensionamiento de la experiencia específica.</w:t>
            </w:r>
          </w:p>
          <w:p w14:paraId="2962AB32"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Por su parte, en relación con los requisitos de experiencia específica señalados para la actividad 2.1, la Matriz 1 – Experiencia dispone que “-Por lo menos uno (1) de los contratos válidos aportados como experiencia general debe contar con una longitud de tubería equivalente al (F%) de la longitud total establecida en el presente proceso de selección y que contemple como mínimo iguales o similares condiciones técnicas (entiéndase como mismas condiciones técnicas la instalación según tipo de tubería: PVC, PEX, CONCRETO,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w:t>
            </w:r>
          </w:p>
          <w:p w14:paraId="494E5A9B" w14:textId="77777777" w:rsidR="00484850" w:rsidRPr="00484850" w:rsidRDefault="00484850" w:rsidP="00484850">
            <w:pPr>
              <w:spacing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lastRenderedPageBreak/>
              <w:t>Adicionalmente, de acuerdo con la matriz, la entidad podrá escoger hasta dos (2) combinaciones de experiencia específica de las opciones enlistadas, según la pertinencia de estas y el alcance del futuro contrato. Es decir, que la entidad puede establecer una exigencia de experiencia específica adicional o, por el contrario, exigir hasta dos (2) requisitos adicionales para verificar la idoneidad del proponente, de acuerdo con el análisis de la entidad. Al respecto, la “Matriz 1 – Experiencia” dispone lo siguiente:</w:t>
            </w:r>
          </w:p>
          <w:p w14:paraId="5DF6C40C" w14:textId="77777777" w:rsidR="00484850" w:rsidRPr="00484850" w:rsidRDefault="00484850" w:rsidP="00484850">
            <w:pPr>
              <w:spacing w:line="276" w:lineRule="auto"/>
              <w:ind w:firstLine="708"/>
              <w:jc w:val="both"/>
              <w:rPr>
                <w:rFonts w:ascii="Verdana" w:eastAsia="Times New Roman" w:hAnsi="Verdana" w:cs="Times New Roman"/>
                <w:lang w:eastAsia="es-MX"/>
              </w:rPr>
            </w:pPr>
          </w:p>
          <w:p w14:paraId="5ECBF519"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“Proyectos de Alcantarillados (Sanitario y/o pluvial y/o combinado): </w:t>
            </w:r>
          </w:p>
          <w:p w14:paraId="518699C5"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[Sin perjuicio, de la experiencia específica anterior que será obligatoria, es decir, la inmediatamente anterior, la Entidad escogerá una o más combinaciones de experiencia específica, sin que sobrepase a 2 requisitos de las opciones enlistadas a continuación, según sea analizada la pertinencia de las mismas y el alcance del futuro contrato a suscribir de acuerdo con las siguientes alternativas:</w:t>
            </w:r>
          </w:p>
          <w:p w14:paraId="33C604AA"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Tenga en cuenta que el factor F% se aplicará de acuerdo al rango de SMMLV en el cual se encuentre el proceso de contratación.]</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4EADCF64"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el componente pozos de inspección, los cuales deben ser iguales o mayores al (F%) de los requeridos en la presente convocatoria para la captación [la Entidad establecerá la cantidad de pozos de inspección proyectados para establecer la relación según el factor F%].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7CF9FCCD" w14:textId="51649642"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-Por lo menos uno (1) de los contratos válidos aportados debe acreditar experiencia general en alguno de estos componentes tales como: cámaras de </w:t>
            </w:r>
            <w:r w:rsidR="73F89BDE" w:rsidRPr="00484850">
              <w:rPr>
                <w:rFonts w:ascii="Verdana" w:eastAsia="Aptos" w:hAnsi="Verdana" w:cs="Times New Roman"/>
                <w:kern w:val="2"/>
                <w:sz w:val="21"/>
                <w:szCs w:val="21"/>
                <w14:ligatures w14:val="standardContextual"/>
              </w:rPr>
              <w:t>caída</w:t>
            </w:r>
            <w:r w:rsidRPr="00484850">
              <w:rPr>
                <w:rFonts w:ascii="Verdana" w:eastAsia="Aptos" w:hAnsi="Verdana" w:cs="Times New Roman"/>
                <w:kern w:val="2"/>
                <w:sz w:val="21"/>
                <w:szCs w:val="21"/>
                <w14:ligatures w14:val="standardContextual"/>
              </w:rPr>
              <w:t>, sifones invertidos, disipadores de energía, entre otras estructuras hidráulicas asociadas con el objeto del proceso de selección.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1D643DA2"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el componente de conexiones domiciliarias, las cuales deben ser iguales o mayores al (F%) de los requeridos en la presente convocatoria para la captación [la Entidad establecerá el número estimada de conexiones domiciliarias para establecer la relación según el factor F%]. SI APLICA.</w:t>
            </w:r>
            <w:r w:rsidRPr="00484850">
              <w:rPr>
                <w:rFonts w:ascii="Verdana" w:eastAsia="Aptos" w:hAnsi="Verdana" w:cs="Times New Roman"/>
                <w:kern w:val="2"/>
                <w:sz w:val="21"/>
                <w:szCs w:val="21"/>
                <w14:ligatures w14:val="standardContextual"/>
              </w:rPr>
              <w:tab/>
            </w:r>
          </w:p>
          <w:p w14:paraId="299D3EC1"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entibados para construcción de acueductos y/o alcantarillados.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107D2FDC" w14:textId="77777777"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-Por lo menos uno (1) de los contratos válidos aportados debe acreditar experiencia general en construcción de canales hidráulicos </w:t>
            </w:r>
            <w:r w:rsidRPr="00484850">
              <w:rPr>
                <w:rFonts w:ascii="Verdana" w:eastAsia="Aptos" w:hAnsi="Verdana" w:cs="Times New Roman"/>
                <w:kern w:val="2"/>
                <w:sz w:val="21"/>
                <w:szCs w:val="21"/>
                <w14:ligatures w14:val="standardContextual"/>
              </w:rPr>
              <w:lastRenderedPageBreak/>
              <w:t>que complementan los sistemas de alcantarillado sanitario y/o pluvial en zonas urbanas y/o rurales.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2DA1B1D0" w14:textId="2FC97244" w:rsidR="00484850" w:rsidRPr="00484850" w:rsidRDefault="00484850" w:rsidP="00484850">
            <w:pPr>
              <w:spacing w:after="120"/>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 Por lo menos uno (1) de los contratos válidos aportados como </w:t>
            </w:r>
            <w:r w:rsidR="42F5380E" w:rsidRPr="00484850">
              <w:rPr>
                <w:rFonts w:ascii="Verdana" w:eastAsia="Aptos" w:hAnsi="Verdana" w:cs="Times New Roman"/>
                <w:kern w:val="2"/>
                <w:sz w:val="21"/>
                <w:szCs w:val="21"/>
                <w14:ligatures w14:val="standardContextual"/>
              </w:rPr>
              <w:t>experiencia</w:t>
            </w:r>
            <w:r w:rsidRPr="00484850">
              <w:rPr>
                <w:rFonts w:ascii="Verdana" w:eastAsia="Aptos" w:hAnsi="Verdana" w:cs="Times New Roman"/>
                <w:kern w:val="2"/>
                <w:sz w:val="21"/>
                <w:szCs w:val="21"/>
                <w14:ligatures w14:val="standardContextual"/>
              </w:rPr>
              <w:t xml:space="preserve"> general, debe corresponder a la ejecución de un proyecto en zona rural y/o de </w:t>
            </w:r>
            <w:r w:rsidR="07252845" w:rsidRPr="00484850">
              <w:rPr>
                <w:rFonts w:ascii="Verdana" w:eastAsia="Aptos" w:hAnsi="Verdana" w:cs="Times New Roman"/>
                <w:kern w:val="2"/>
                <w:sz w:val="21"/>
                <w:szCs w:val="21"/>
                <w14:ligatures w14:val="standardContextual"/>
              </w:rPr>
              <w:t>difícil</w:t>
            </w:r>
            <w:r w:rsidRPr="00484850">
              <w:rPr>
                <w:rFonts w:ascii="Verdana" w:eastAsia="Aptos" w:hAnsi="Verdana" w:cs="Times New Roman"/>
                <w:kern w:val="2"/>
                <w:sz w:val="21"/>
                <w:szCs w:val="21"/>
                <w14:ligatures w14:val="standardContextual"/>
              </w:rPr>
              <w:t xml:space="preserve"> acceso, para lo cual entiéndase una zona de </w:t>
            </w:r>
            <w:r w:rsidR="01AD4866" w:rsidRPr="00484850">
              <w:rPr>
                <w:rFonts w:ascii="Verdana" w:eastAsia="Aptos" w:hAnsi="Verdana" w:cs="Times New Roman"/>
                <w:kern w:val="2"/>
                <w:sz w:val="21"/>
                <w:szCs w:val="21"/>
                <w14:ligatures w14:val="standardContextual"/>
              </w:rPr>
              <w:t>difícil</w:t>
            </w:r>
            <w:r w:rsidRPr="00484850">
              <w:rPr>
                <w:rFonts w:ascii="Verdana" w:eastAsia="Aptos" w:hAnsi="Verdana" w:cs="Times New Roman"/>
                <w:kern w:val="2"/>
                <w:sz w:val="21"/>
                <w:szCs w:val="21"/>
                <w14:ligatures w14:val="standardContextual"/>
              </w:rPr>
              <w:t xml:space="preserve"> acceso como aquella donde el transporte debe ser realizado de forma fluvial o aérea para su ejecución.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2F2F3674" w14:textId="6B6E7EC0" w:rsidR="00484850" w:rsidRPr="00484850" w:rsidRDefault="00484850" w:rsidP="00484850">
            <w:pPr>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 Por lo menos uno (1) de los contratos válidos </w:t>
            </w:r>
            <w:r w:rsidR="1E28DBD1" w:rsidRPr="00484850">
              <w:rPr>
                <w:rFonts w:ascii="Verdana" w:eastAsia="Aptos" w:hAnsi="Verdana" w:cs="Times New Roman"/>
                <w:kern w:val="2"/>
                <w:sz w:val="21"/>
                <w:szCs w:val="21"/>
                <w14:ligatures w14:val="standardContextual"/>
              </w:rPr>
              <w:t>aportados</w:t>
            </w:r>
            <w:r w:rsidRPr="00484850">
              <w:rPr>
                <w:rFonts w:ascii="Verdana" w:eastAsia="Aptos" w:hAnsi="Verdana" w:cs="Times New Roman"/>
                <w:kern w:val="2"/>
                <w:sz w:val="21"/>
                <w:szCs w:val="21"/>
                <w14:ligatures w14:val="standardContextual"/>
              </w:rPr>
              <w:t xml:space="preserve"> como experiencia general debe corresponder a la ejecución de un proyecto en zona urbana. SI APLICA”. </w:t>
            </w:r>
            <w:r w:rsidRPr="00484850">
              <w:rPr>
                <w:rFonts w:ascii="Verdana" w:eastAsia="Aptos" w:hAnsi="Verdana" w:cs="Times New Roman"/>
                <w:kern w:val="2"/>
                <w:sz w:val="21"/>
                <w:szCs w:val="21"/>
                <w14:ligatures w14:val="standardContextual"/>
              </w:rPr>
              <w:tab/>
            </w:r>
          </w:p>
          <w:p w14:paraId="4148DB54" w14:textId="77777777" w:rsidR="00484850" w:rsidRPr="00484850" w:rsidRDefault="00484850" w:rsidP="00484850">
            <w:pPr>
              <w:ind w:left="709" w:right="709"/>
              <w:jc w:val="both"/>
              <w:rPr>
                <w:rFonts w:ascii="Verdana" w:eastAsia="Aptos" w:hAnsi="Verdana" w:cs="Times New Roman"/>
                <w:kern w:val="2"/>
                <w14:ligatures w14:val="standardContextual"/>
              </w:rPr>
            </w:pP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p>
          <w:p w14:paraId="23130188"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De acuerdo con lo anterior, cada uno de los requisitos de experiencia específica exigidos para la actividad 2.1, por regla general, se acreditará en “por lo menos 1 de los contratos válidos aportados”. Sin embargo, con base en la nota general señalada, el proponente podrá acreditar el porcentaje (%) de dimensionamiento requerido con la sumatoria de máximo dos (2) de los contratos válidos aportados, siempre que así lo haya establecido la entidad estatal en el pliego de condiciones.</w:t>
            </w:r>
          </w:p>
          <w:p w14:paraId="2B2E73FB"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 xml:space="preserve">Retomando la experiencia específica obligatoria que se señaló en líneas anteriores, la entidad deberá definir tres aspectos: i) la longitud de tubería equivalente a un determinado porcentaje, el cual establece la entidad de acuerdo con la cuantía del proceso; </w:t>
            </w:r>
            <w:proofErr w:type="spellStart"/>
            <w:r w:rsidRPr="00484850">
              <w:rPr>
                <w:rFonts w:ascii="Verdana" w:eastAsia="Times New Roman" w:hAnsi="Verdana" w:cs="Times New Roman"/>
                <w:lang w:eastAsia="es-MX"/>
              </w:rPr>
              <w:t>ii</w:t>
            </w:r>
            <w:proofErr w:type="spellEnd"/>
            <w:r w:rsidRPr="00484850">
              <w:rPr>
                <w:rFonts w:ascii="Verdana" w:eastAsia="Times New Roman" w:hAnsi="Verdana" w:cs="Times New Roman"/>
                <w:lang w:eastAsia="es-MX"/>
              </w:rPr>
              <w:t xml:space="preserve">) el material más representativo de la tubería —PVC, PEX, concreto, entre otros—; y </w:t>
            </w:r>
            <w:proofErr w:type="spellStart"/>
            <w:r w:rsidRPr="00484850">
              <w:rPr>
                <w:rFonts w:ascii="Verdana" w:eastAsia="Times New Roman" w:hAnsi="Verdana" w:cs="Times New Roman"/>
                <w:lang w:eastAsia="es-MX"/>
              </w:rPr>
              <w:t>iii</w:t>
            </w:r>
            <w:proofErr w:type="spellEnd"/>
            <w:r w:rsidRPr="00484850">
              <w:rPr>
                <w:rFonts w:ascii="Verdana" w:eastAsia="Times New Roman" w:hAnsi="Verdana" w:cs="Times New Roman"/>
                <w:lang w:eastAsia="es-MX"/>
              </w:rPr>
              <w:t xml:space="preserve">) el rango de diámetros comerciales para la tubería principal o más representativa del proyecto, o en su defecto, un diámetro mínimo de referencia. En este caso, los proponentes podrán acreditar la longitud de tubería con la sumatoria de máximo dos contratos, siempre que así lo haya permitido la entidad, conforme lo explicado, y adicionalmente deberán cumplir con lo indicado en los demás aspectos. Por ejemplo, si la longitud de tubería a acreditar corresponde a 8 km, el material del contrato es PVC y el rango del diámetro se estableció entre 18" y 24", el proponente podrá acreditar en máximo dos (2) contratos que sumen la totalidad de la longitud de tubería de 8 km, pero cada contrato deberá cumplir tanto con el material como con el rango de diámetro determinado. </w:t>
            </w:r>
          </w:p>
          <w:p w14:paraId="30243927" w14:textId="0AB0576A" w:rsidR="00484850" w:rsidRPr="00484850" w:rsidRDefault="00484850" w:rsidP="00484850">
            <w:pPr>
              <w:spacing w:before="120" w:after="120" w:line="276" w:lineRule="auto"/>
              <w:ind w:firstLine="708"/>
              <w:jc w:val="both"/>
              <w:rPr>
                <w:rFonts w:ascii="Verdana" w:eastAsia="Aptos" w:hAnsi="Verdana" w:cs="Times New Roman"/>
              </w:rPr>
            </w:pPr>
            <w:r w:rsidRPr="00484850">
              <w:rPr>
                <w:rFonts w:ascii="Verdana" w:eastAsia="Aptos" w:hAnsi="Verdana" w:cs="Times New Roman"/>
              </w:rPr>
              <w:t xml:space="preserve">De acuerdo con los requisitos de experiencia general y específica, además de las notas dispuestas para la actividad 2.1 contenida en la Matriz 1 – Experiencia de los documentos tipo de licitación de obra pública de </w:t>
            </w:r>
            <w:r w:rsidRPr="00484850">
              <w:rPr>
                <w:rFonts w:ascii="Verdana" w:eastAsia="Aptos" w:hAnsi="Verdana" w:cs="Times New Roman"/>
              </w:rPr>
              <w:lastRenderedPageBreak/>
              <w:t xml:space="preserve">infraestructura de agua potable y saneamiento básico, y considerando los problemas jurídicos cuatro (4) y cinco (5) planteados en este concepto –en los que se plantea, respectivamente, si un contrato cuyo objeto sea el mejoramiento de un sistema de alcantarillado sanitario, pluvial o combinado puede ser considerado como experiencia válida para esta actividad, y si un contrato cuyo objeto sea la construcción de un colector central (o colector principal) de alcantarillado corresponde a un proyecto de construcción de alcantarillado y, en consecuencia, acredita la experiencia prevista en la actividad 2.1 de la Matriz 1. Sobre el particular, le indicamos que, tal como se señaló, la experiencia general exigida para esta actividad debe acreditarse con contratos que correspondan o hayan contenido actividades de construcción de alcantarillados –sanitario y/o pluvial y/o combinado–. </w:t>
            </w:r>
          </w:p>
          <w:p w14:paraId="78B16641"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En consecuencia, un contrato cuyo objeto corresponda al mejoramiento de un sistema de alcantarillado sanitario, pluvial o combinado no equivale, por sí mismo, a un contrato de construcción de alcantarillado, toda vez que los documentos tipo distinguen ambas actividades y las regulan en categorías diferentes de la Matriz de Experiencia. En efecto, de acuerdo con el Reglamento Técnico para el Sector de Agua Potable y Saneamiento Básico –RAS–, adoptado mediante la Resolución 330 de 2017 del Ministerio de Vivienda, Ciudad y Territorio, es posible identificar una diferencia técnica clara entre “construcción” y “mejoramiento”, aplicable al análisis del problema jurídico planteado.</w:t>
            </w:r>
          </w:p>
          <w:p w14:paraId="48ACCAB1" w14:textId="06236BA5"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En cuanto a la construcción, el Capítulo 3 del Título 1 de la citada resolución está dedicado específicamente a esta actividad, y en su artículo 25 señala que dicho capítulo fija “los requerimientos mínimos que se deben tener en cuenta para la construcción de la infraestructura relacionada con el suministro de agua potable y saneamiento básico”. Asimismo, el artículo 26 dispone que “todas las obras de ingeniería que se desarrollen en el sector de agua potable y saneamiento básico deberán contar con diseños y planos debidamente firmados por el diseñador, el interventor y aprobados por la entidad contratante”. De lo anterior se desprende que, para efectos del RAS, la construcción corresponde a la materialización física de una obra nueva –o de un componente inexistente dentro de un sistema– con fundamento en un diseño de ingeniería previamente elaborado</w:t>
            </w:r>
            <w:r w:rsidR="00700231">
              <w:rPr>
                <w:rFonts w:ascii="Verdana" w:eastAsia="Times New Roman" w:hAnsi="Verdana" w:cs="Times New Roman"/>
                <w:lang w:eastAsia="es-MX"/>
              </w:rPr>
              <w:t xml:space="preserve"> y </w:t>
            </w:r>
            <w:r w:rsidRPr="00484850">
              <w:rPr>
                <w:rFonts w:ascii="Verdana" w:eastAsia="Times New Roman" w:hAnsi="Verdana" w:cs="Times New Roman"/>
                <w:lang w:eastAsia="es-MX"/>
              </w:rPr>
              <w:t xml:space="preserve">aprobado </w:t>
            </w:r>
            <w:r w:rsidR="00700231">
              <w:rPr>
                <w:rFonts w:ascii="Verdana" w:eastAsia="Times New Roman" w:hAnsi="Verdana" w:cs="Times New Roman"/>
                <w:lang w:eastAsia="es-MX"/>
              </w:rPr>
              <w:t>por la interventoría</w:t>
            </w:r>
            <w:r w:rsidRPr="00484850">
              <w:rPr>
                <w:rFonts w:ascii="Verdana" w:eastAsia="Times New Roman" w:hAnsi="Verdana" w:cs="Times New Roman"/>
                <w:lang w:eastAsia="es-MX"/>
              </w:rPr>
              <w:t>, hasta su puesta en marcha.</w:t>
            </w:r>
          </w:p>
          <w:p w14:paraId="27E8C48A" w14:textId="52954B65"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lastRenderedPageBreak/>
              <w:t xml:space="preserve">Ahora bien, el </w:t>
            </w:r>
            <w:r w:rsidRPr="00484850">
              <w:rPr>
                <w:rFonts w:ascii="Verdana" w:eastAsia="Aptos" w:hAnsi="Verdana" w:cs="Times New Roman"/>
              </w:rPr>
              <w:t>Reglamento Técnico para el Sector de Agua Potable y Saneamiento Básico –RAS–</w:t>
            </w:r>
            <w:r w:rsidRPr="00484850">
              <w:rPr>
                <w:rFonts w:ascii="Verdana" w:eastAsia="Times New Roman" w:hAnsi="Verdana" w:cs="Times New Roman"/>
                <w:lang w:eastAsia="es-MX"/>
              </w:rPr>
              <w:t xml:space="preserve"> no define de manera aislada el término “mejoramiento” en un artículo específico. No obstante, su uso reiterado a lo largo del reglamento permite establecer su alcance técnico. En efecto, el artículo 2° de la Resolución 1096 de 2000, al referirse a la justificación de los proyectos, señala que todo componente de un sistema del sector debe justificarse con la identificación de un problema de salud pública, ambiental o de bienestar social, “el cual tiene solución, ya sea mediante la ejecución del sistema propuesto, la ampliación de cobertura de un servicio o mejoramiento de su calidad y eficiencia”. De igual forma, el artículo 24 </w:t>
            </w:r>
            <w:r w:rsidR="263E1AA5" w:rsidRPr="0A0C1B74">
              <w:rPr>
                <w:rFonts w:ascii="Verdana" w:eastAsia="Times New Roman" w:hAnsi="Verdana" w:cs="Times New Roman"/>
                <w:lang w:eastAsia="es-MX"/>
              </w:rPr>
              <w:t>ibidem</w:t>
            </w:r>
            <w:r w:rsidRPr="00484850">
              <w:rPr>
                <w:rFonts w:ascii="Verdana" w:eastAsia="Times New Roman" w:hAnsi="Verdana" w:cs="Times New Roman"/>
                <w:lang w:eastAsia="es-MX"/>
              </w:rPr>
              <w:t xml:space="preserve"> dispone que “cualquier proyecto dirigido a la ampliación de la cobertura o mejoramiento del servicio de suministro de agua potable debe complementarse con las siguientes actividades (…)”. De lo anterior se concluye que, el mejoramiento se predica siempre sobre un servicio, sistema o infraestructura ya existente, y está orientado a incrementar su calidad, eficiencia o desempeño, sin que ello implique la creación de una obra nueva.</w:t>
            </w:r>
          </w:p>
          <w:p w14:paraId="27C8AC9D"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Esta distinción se ve reforzada por el artículo 8° de la Resolución 330 de 2017, que, al regular el diagnóstico y evaluación del sistema existente como actividad preliminar de todo proyecto, establece que “con el diagnóstico sobre la infraestructura, se deberán plantear acciones de rehabilitación, reposición, optimización y/o ampliación”. Se observa entonces que el mejoramiento –junto con figuras afines como la rehabilitación, la reposición, la optimización y la ampliación– constituye una categoría de intervención que presupone la preexistencia de la infraestructura objeto de la actuación, mientras que la construcción presupone precisamente lo contrario: la inexistencia previa de dicha infraestructura o componente.</w:t>
            </w:r>
          </w:p>
          <w:p w14:paraId="5892CBA4" w14:textId="55CACD2A"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De acuerdo con lo anterior, la experiencia acreditada mediante contratos de mejoramiento de alcantarillado no resulta suficiente para acreditar automáticamente la solicitada para la actividad 2.1. Estos contratos deberán analizarse bajo la actividad 2.2 o la actividad que corresponda según el alcance efectivamente ejecutado y las reglas establecidas en la Matriz 1 – Experiencia.</w:t>
            </w:r>
          </w:p>
          <w:p w14:paraId="129B2CCB"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 xml:space="preserve">En conclusión, para efectos de los documentos tipo, particularmente, para la experiencia requerida para la actividad 2.1, un mejoramiento no es equivalente a una construcción, por lo que la experiencia exigida para esta </w:t>
            </w:r>
            <w:r w:rsidRPr="00484850">
              <w:rPr>
                <w:rFonts w:ascii="Verdana" w:eastAsia="Aptos" w:hAnsi="Verdana" w:cs="Times New Roman"/>
              </w:rPr>
              <w:lastRenderedPageBreak/>
              <w:t>actividad debe corresponder a proyectos que acrediten la construcción de alcantarillados, conforme a las definiciones y requisitos previstos en la Matriz 1 – Experiencia.</w:t>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p>
          <w:p w14:paraId="661235E5"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Por otra parte, en relación con quinto problema jurídico planteado en su solicitud, le indicamos que, un colector central o colector principal constituye uno de los componentes que integran un sistema de alcantarillado. Sin embargo, al igual que ocurre con otros elementos que hacen parte de este tipo de infraestructura, la ejecución de un colector no necesariamente equivale, por sí sola, a la construcción integral de un sistema de alcantarillado.</w:t>
            </w:r>
          </w:p>
          <w:p w14:paraId="63AA7D56"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En consecuencia, no es posible afirmar de manera general que todo contrato cuyo objeto se limite a la construcción de un colector central o colector principal acredita automáticamente la experiencia general prevista para la actividad 2.1. Así, le corresponde a la entidad verificar, con base en el alcance efectivamente ejecutado y en la documentación aportada, si el contrato corresponde a la construcción de un sistema de alcantarillado o si se limita a la ejecución de uno de sus componentes.</w:t>
            </w:r>
          </w:p>
          <w:p w14:paraId="1E9742B5"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No obstante, se resalta que, la Nota General de la Matriz 1 – Experiencia para la actividad 2.1, establece que la entidad podrá valorar contratos en los cuales se hayan ejecutado múltiples actividades, siempre que alguna de ellas se relacione con la experiencia requerida, caso en el cual la acreditación se efectuará respecto de las actividades efectivamente ejecutadas y de conformidad con las reglas previstas en los documentos tipo.</w:t>
            </w:r>
          </w:p>
          <w:p w14:paraId="2BE6D3E6"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Por lo anterior, un contrato de construcción de un colector central o colector principal no puede asimilarse automáticamente a un proyecto de construcción de alcantarillado, pues el colector constituye un componente del sistema. Sin perjuicio de ello, la entidad podrá considerar dicha experiencia cuando, de la documentación aportada, se evidencie que el alcance ejecutado corresponde efectivamente a actividades de construcción de alcantarillado en los términos previstos en la actividad 2.1 de la Matriz 1 – Experiencia.</w:t>
            </w:r>
          </w:p>
        </w:tc>
      </w:tr>
    </w:tbl>
    <w:p w14:paraId="50100F77" w14:textId="77777777" w:rsidR="00484850" w:rsidRPr="00484850" w:rsidRDefault="00484850" w:rsidP="00484850">
      <w:pPr>
        <w:tabs>
          <w:tab w:val="left" w:pos="142"/>
          <w:tab w:val="left" w:pos="284"/>
        </w:tabs>
        <w:spacing w:after="0" w:line="276" w:lineRule="auto"/>
        <w:jc w:val="both"/>
        <w:rPr>
          <w:rFonts w:ascii="Verdana" w:eastAsia="Century Gothic" w:hAnsi="Verdana" w:cs="Century Gothic"/>
          <w:b/>
          <w:bCs/>
        </w:rPr>
      </w:pPr>
    </w:p>
    <w:p w14:paraId="132E37CD" w14:textId="77777777" w:rsidR="00484850" w:rsidRPr="00484850" w:rsidRDefault="00484850" w:rsidP="00484850">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484850">
        <w:rPr>
          <w:rFonts w:ascii="Verdana" w:eastAsia="Century Gothic" w:hAnsi="Verdana" w:cs="Century Gothic"/>
          <w:b/>
          <w:bCs/>
        </w:rPr>
        <w:t>Razones de la respuesta:</w:t>
      </w:r>
    </w:p>
    <w:p w14:paraId="6F1F78B4" w14:textId="77777777" w:rsidR="00484850" w:rsidRPr="00484850" w:rsidRDefault="00484850" w:rsidP="0048485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Verdana" w:eastAsia="Calibri" w:hAnsi="Verdana" w:cs="Helvetica"/>
          <w:color w:val="000000"/>
          <w:sz w:val="21"/>
          <w:szCs w:val="21"/>
        </w:rPr>
      </w:pPr>
    </w:p>
    <w:p w14:paraId="25668B4D" w14:textId="77777777" w:rsidR="00484850" w:rsidRPr="00484850" w:rsidRDefault="00484850" w:rsidP="00484850">
      <w:pPr>
        <w:spacing w:after="0" w:line="276" w:lineRule="auto"/>
        <w:jc w:val="both"/>
        <w:rPr>
          <w:rFonts w:ascii="Verdana" w:eastAsia="Calibri" w:hAnsi="Verdana" w:cs="Arial"/>
        </w:rPr>
      </w:pPr>
      <w:r w:rsidRPr="00484850">
        <w:rPr>
          <w:rFonts w:ascii="Verdana" w:eastAsia="Calibri" w:hAnsi="Verdana" w:cs="Arial"/>
        </w:rPr>
        <w:t xml:space="preserve">Lo anterior se sustenta en las siguientes consideraciones: </w:t>
      </w:r>
    </w:p>
    <w:p w14:paraId="69FAD0D4" w14:textId="77777777" w:rsidR="00484850" w:rsidRPr="00484850" w:rsidRDefault="00484850" w:rsidP="00484850">
      <w:pPr>
        <w:spacing w:after="0" w:line="276" w:lineRule="auto"/>
        <w:jc w:val="both"/>
        <w:rPr>
          <w:rFonts w:ascii="Verdana" w:eastAsia="Calibri" w:hAnsi="Verdana" w:cs="Arial"/>
        </w:rPr>
      </w:pPr>
    </w:p>
    <w:p w14:paraId="562A3646" w14:textId="77777777" w:rsidR="00484850" w:rsidRPr="00484850" w:rsidRDefault="00484850" w:rsidP="00484850">
      <w:pPr>
        <w:spacing w:after="120" w:line="276" w:lineRule="auto"/>
        <w:jc w:val="both"/>
        <w:rPr>
          <w:rFonts w:ascii="Verdana" w:eastAsia="Aptos" w:hAnsi="Verdana" w:cs="ArialMT"/>
        </w:rPr>
      </w:pPr>
      <w:r w:rsidRPr="00484850">
        <w:rPr>
          <w:rFonts w:ascii="Verdana" w:eastAsia="Aptos" w:hAnsi="Verdana" w:cs="Arial"/>
        </w:rPr>
        <w:lastRenderedPageBreak/>
        <w:t xml:space="preserve">i. Los documentos tipo expedidos por la Agencia Nacional de Contratación Pública </w:t>
      </w:r>
      <w:r w:rsidRPr="00484850">
        <w:rPr>
          <w:rFonts w:ascii="Verdana" w:eastAsia="Aptos" w:hAnsi="Verdana" w:cs="ArialMT"/>
        </w:rPr>
        <w:t xml:space="preserve">– Colombia Compra Eficiente </w:t>
      </w:r>
      <w:r w:rsidRPr="00484850">
        <w:rPr>
          <w:rFonts w:ascii="Verdana" w:eastAsia="Aptos" w:hAnsi="Verdana" w:cs="Arial"/>
        </w:rPr>
        <w:t>en ejercicio de la potestad otorgada</w:t>
      </w:r>
      <w:r w:rsidRPr="00484850">
        <w:rPr>
          <w:rFonts w:ascii="Verdana" w:eastAsia="Aptos" w:hAnsi="Verdana" w:cs="ArialMT"/>
        </w:rPr>
        <w:t xml:space="preserve">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Así mismo, los sujetos obligados a su aplicación, no podrán variar los requisitos que en ellos sean fijados, ni establecer reglas o requisitos adicionales a los establecidos en estos para la presentación de las ofertas y la acreditación de los requisitos habilitantes.</w:t>
      </w:r>
    </w:p>
    <w:p w14:paraId="2C70EC6E" w14:textId="77777777" w:rsidR="00484850" w:rsidRPr="00484850" w:rsidRDefault="00484850" w:rsidP="00484850">
      <w:pPr>
        <w:spacing w:after="120" w:line="276" w:lineRule="auto"/>
        <w:ind w:firstLine="708"/>
        <w:jc w:val="both"/>
        <w:rPr>
          <w:rFonts w:ascii="Verdana" w:eastAsia="Aptos" w:hAnsi="Verdana" w:cs="ArialMT"/>
        </w:rPr>
      </w:pPr>
      <w:r w:rsidRPr="00484850">
        <w:rPr>
          <w:rFonts w:ascii="Verdana" w:eastAsia="Aptos" w:hAnsi="Verdana" w:cs="ArialMT"/>
        </w:rPr>
        <w:t>La Agencia Nacional de Contratación Pública – Colombia Compra Eficiente expidió documentos tipo para los sectores de infraestructura de transporte, agua potable y saneamiento básico y social. Asimismo, esta Agencia expidió los documentos tipo de gestión catastral con enfoque multipropósito y para la contratación directa de convenios solidarios para la ejecución de obras hasta la menor cuantía con organismos de acción comunal</w:t>
      </w:r>
      <w:r w:rsidRPr="00484850">
        <w:rPr>
          <w:rFonts w:ascii="Verdana" w:eastAsia="Calibri" w:hAnsi="Verdana" w:cs="Times New Roman"/>
          <w:vertAlign w:val="superscript"/>
        </w:rPr>
        <w:footnoteReference w:id="2"/>
      </w:r>
      <w:r w:rsidRPr="00484850">
        <w:rPr>
          <w:rFonts w:ascii="Verdana" w:eastAsia="Aptos" w:hAnsi="Verdana" w:cs="ArialMT"/>
        </w:rPr>
        <w:t xml:space="preserve">. </w:t>
      </w:r>
    </w:p>
    <w:p w14:paraId="032AF901" w14:textId="77777777" w:rsidR="00484850" w:rsidRPr="00484850" w:rsidRDefault="00484850" w:rsidP="00484850">
      <w:pPr>
        <w:spacing w:after="120" w:line="276" w:lineRule="auto"/>
        <w:ind w:firstLine="708"/>
        <w:jc w:val="both"/>
        <w:rPr>
          <w:rFonts w:ascii="Verdana" w:eastAsia="Aptos" w:hAnsi="Verdana" w:cs="ArialMT"/>
        </w:rPr>
      </w:pPr>
      <w:r w:rsidRPr="00484850">
        <w:rPr>
          <w:rFonts w:ascii="Verdana" w:eastAsia="Aptos" w:hAnsi="Verdana" w:cs="ArialMT"/>
        </w:rPr>
        <w:t>En el sector de infraestructura de Agua Potable y Saneamiento Básico, la Agencia Nacional de Contratación Pública – Colombia Compra Eficiente expidió documentos tipo para contratar obras públicas de infraestructura en este sector bajo las modalidades de selección de licitación pública y licitación pública - llave en mano. Así mismo, esta Agencia expidió documentos tipo de concurso de méritos para contratar la interventoría de infraestructura de Agua Potable y Saneamiento Básico</w:t>
      </w:r>
      <w:r w:rsidRPr="00484850">
        <w:rPr>
          <w:rFonts w:ascii="Verdana" w:eastAsia="Calibri" w:hAnsi="Verdana" w:cs="Times New Roman"/>
          <w:vertAlign w:val="superscript"/>
        </w:rPr>
        <w:footnoteReference w:id="3"/>
      </w:r>
      <w:r w:rsidRPr="00484850">
        <w:rPr>
          <w:rFonts w:ascii="Verdana" w:eastAsia="Aptos" w:hAnsi="Verdana" w:cs="ArialMT"/>
        </w:rPr>
        <w:t xml:space="preserve">. </w:t>
      </w:r>
    </w:p>
    <w:p w14:paraId="229F41F4" w14:textId="77777777" w:rsidR="00484850" w:rsidRPr="00484850" w:rsidRDefault="00484850" w:rsidP="00484850">
      <w:pPr>
        <w:spacing w:before="120" w:after="120" w:line="276" w:lineRule="auto"/>
        <w:ind w:firstLine="709"/>
        <w:jc w:val="both"/>
        <w:rPr>
          <w:rFonts w:ascii="Verdana" w:eastAsia="Aptos" w:hAnsi="Verdana" w:cs="Arial"/>
          <w:lang w:val="es-ES"/>
        </w:rPr>
      </w:pPr>
      <w:r w:rsidRPr="00484850">
        <w:rPr>
          <w:rFonts w:ascii="Verdana" w:eastAsia="Aptos" w:hAnsi="Verdana" w:cs="Arial"/>
          <w:lang w:val="es-ES"/>
        </w:rPr>
        <w:lastRenderedPageBreak/>
        <w:t xml:space="preserve">Mediante la Resolución 248 del 1 de diciembre de 2020, se adoptaron los documentos tipo de licitación de obra pública de infraestructura de agua potable y saneamiento básico, aplicables a los proyectos de ese sector que, por la modalidad de contratación indicada, se publiquen a partir del 11 de diciembre de 2020. </w:t>
      </w:r>
    </w:p>
    <w:p w14:paraId="52B1F606"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Aptos" w:hAnsi="Verdana" w:cs="Arial"/>
          <w:lang w:val="es-ES"/>
        </w:rPr>
        <w:t xml:space="preserve">La parte introductoria del pliego de condiciones de los documentos tipo analizados dispone que estos se aplican </w:t>
      </w:r>
      <w:r w:rsidRPr="00484850">
        <w:rPr>
          <w:rFonts w:ascii="Verdana" w:eastAsia="Arial" w:hAnsi="Verdana" w:cs="Arial"/>
        </w:rPr>
        <w:t>aplican a los procesos de licitación de obra pública de infraestructura para agua potable y saneamiento básico, que correspondan a las actividades definidas en la Matriz 1 – Experiencia</w:t>
      </w:r>
      <w:r w:rsidRPr="00484850">
        <w:rPr>
          <w:rFonts w:ascii="Verdana" w:eastAsia="Aptos" w:hAnsi="Verdana" w:cs="Arial"/>
          <w:lang w:val="es-ES"/>
        </w:rPr>
        <w:t xml:space="preserve">. </w:t>
      </w:r>
      <w:r w:rsidRPr="00484850">
        <w:rPr>
          <w:rFonts w:ascii="Verdana" w:eastAsia="Arial" w:hAnsi="Verdana" w:cs="Arial"/>
        </w:rPr>
        <w:t>En consecuencia, los proyectos de agua potable y saneamiento básico no contemplados en la Matriz 1 – Experiencia no tienen que aplicar los documentos tipo, sin perjuicio de lo previsto en el artículo 4 de la Resolución 248 de 2020</w:t>
      </w:r>
      <w:r w:rsidRPr="00484850">
        <w:rPr>
          <w:rFonts w:ascii="Verdana" w:eastAsia="Aptos" w:hAnsi="Verdana" w:cs="Arial"/>
          <w:lang w:val="es-ES"/>
        </w:rPr>
        <w:t>, relacionado con la posibilidad de exigir experiencia adicional en determinados supuestos</w:t>
      </w:r>
      <w:r w:rsidRPr="00484850">
        <w:rPr>
          <w:rFonts w:ascii="Verdana" w:eastAsia="Aptos" w:hAnsi="Verdana" w:cs="Times New Roman"/>
          <w:vertAlign w:val="superscript"/>
          <w:lang w:val="es-ES"/>
        </w:rPr>
        <w:footnoteReference w:id="4"/>
      </w:r>
      <w:r w:rsidRPr="00484850">
        <w:rPr>
          <w:rFonts w:ascii="Verdana" w:eastAsia="Aptos" w:hAnsi="Verdana" w:cs="Arial"/>
          <w:lang w:val="es-ES"/>
        </w:rPr>
        <w:t>.</w:t>
      </w:r>
    </w:p>
    <w:p w14:paraId="1038207F" w14:textId="77777777" w:rsidR="00484850" w:rsidRPr="00484850" w:rsidRDefault="00484850" w:rsidP="00484850">
      <w:pPr>
        <w:spacing w:before="120" w:after="120" w:line="276" w:lineRule="auto"/>
        <w:ind w:firstLine="709"/>
        <w:jc w:val="both"/>
        <w:rPr>
          <w:rFonts w:ascii="Verdana" w:eastAsia="Aptos" w:hAnsi="Verdana" w:cs="Arial"/>
          <w:lang w:val="es-MX"/>
        </w:rPr>
      </w:pPr>
      <w:r w:rsidRPr="00484850">
        <w:rPr>
          <w:rFonts w:ascii="Verdana" w:eastAsia="Calibri" w:hAnsi="Verdana" w:cs="Arial"/>
          <w:kern w:val="2"/>
          <w14:ligatures w14:val="standardContextual"/>
        </w:rPr>
        <w:lastRenderedPageBreak/>
        <w:t xml:space="preserve">De acuerdo con las condiciones fijadas en el “Documento Base” de la Resolución No. 248 del 1 de diciembre de 2020, la acreditación del requisito habilitante de experiencia se aborda desde distintos criterios. En primer lugar, los contratos presentados por los proponentes deben corresponder a la actividad o actividades de experiencia general y específica que la entidad exija en el pliego de condiciones, de acuerdo con los parámetros señalados en la Matriz 1. En segundo lugar, los proponentes deben acreditar el cumplimiento de las condiciones fijadas con mínimo uno (1) y máximo cinco (5) contratos, que debieron terminar antes de la fecha de cierre del Proceso de Contratación. </w:t>
      </w:r>
      <w:r w:rsidRPr="00484850">
        <w:rPr>
          <w:rFonts w:ascii="Verdana" w:eastAsia="Aptos" w:hAnsi="Verdana" w:cs="Arial"/>
          <w:lang w:val="es-MX"/>
        </w:rPr>
        <w:t xml:space="preserve">En este punto, vale anotar que mediante la Resolución 275 de 2022 </w:t>
      </w:r>
      <w:r w:rsidRPr="00484850">
        <w:rPr>
          <w:rFonts w:ascii="Verdana" w:eastAsia="Aptos" w:hAnsi="Verdana" w:cs="Arial"/>
        </w:rPr>
        <w:t xml:space="preserve">se modificó el número de contratos para acreditar la experiencia teniendo en cuenta los criterios diferenciales habilitantes para </w:t>
      </w:r>
      <w:proofErr w:type="spellStart"/>
      <w:r w:rsidRPr="00484850">
        <w:rPr>
          <w:rFonts w:ascii="Verdana" w:eastAsia="Aptos" w:hAnsi="Verdana" w:cs="Arial"/>
        </w:rPr>
        <w:t>Mipyme</w:t>
      </w:r>
      <w:proofErr w:type="spellEnd"/>
      <w:r w:rsidRPr="00484850">
        <w:rPr>
          <w:rFonts w:ascii="Verdana" w:eastAsia="Aptos" w:hAnsi="Verdana" w:cs="Arial"/>
        </w:rPr>
        <w:t xml:space="preserve"> y emprendimientos y empresas de mujeres establecidos en el Decreto 1860 de 2021. De esta manera, en los procesos cuyo aviso de convocatoria fue publicado después del 29 de agosto de 2022 el proponente acreditará la experiencia solicitada con máximo cinco (5) contratos. Sin embargo, </w:t>
      </w:r>
      <w:r w:rsidRPr="00484850">
        <w:rPr>
          <w:rFonts w:ascii="Verdana" w:eastAsia="Aptos" w:hAnsi="Verdana" w:cs="Arial"/>
          <w:lang w:val="es-MX"/>
        </w:rPr>
        <w:t xml:space="preserve">si el proponente </w:t>
      </w:r>
      <w:r w:rsidRPr="00484850">
        <w:rPr>
          <w:rFonts w:ascii="Verdana" w:eastAsia="Aptos" w:hAnsi="Verdana" w:cs="Arial"/>
        </w:rPr>
        <w:t xml:space="preserve">prueba la calidad de </w:t>
      </w:r>
      <w:proofErr w:type="spellStart"/>
      <w:r w:rsidRPr="00484850">
        <w:rPr>
          <w:rFonts w:ascii="Verdana" w:eastAsia="Aptos" w:hAnsi="Verdana" w:cs="Arial"/>
        </w:rPr>
        <w:t>Mipyme</w:t>
      </w:r>
      <w:proofErr w:type="spellEnd"/>
      <w:r w:rsidRPr="00484850">
        <w:rPr>
          <w:rFonts w:ascii="Verdana" w:eastAsia="Aptos" w:hAnsi="Verdana" w:cs="Arial"/>
        </w:rPr>
        <w:t xml:space="preserve"> o de emprendimiento y empresa de mujer con domicilio en el territorio nacional de conformidad con lo previsto en el artículo 2.2.1.13.2.2 del Decreto 1074 de 2015</w:t>
      </w:r>
      <w:r w:rsidRPr="00484850">
        <w:rPr>
          <w:rFonts w:ascii="Verdana" w:eastAsia="Aptos" w:hAnsi="Verdana" w:cs="Arial"/>
          <w:b/>
          <w:bCs/>
        </w:rPr>
        <w:t xml:space="preserve"> </w:t>
      </w:r>
      <w:r w:rsidRPr="00484850">
        <w:rPr>
          <w:rFonts w:ascii="Verdana" w:eastAsia="Aptos" w:hAnsi="Verdana" w:cs="Arial"/>
        </w:rPr>
        <w:t>y</w:t>
      </w:r>
      <w:r w:rsidRPr="00484850">
        <w:rPr>
          <w:rFonts w:ascii="Verdana" w:eastAsia="Aptos" w:hAnsi="Verdana" w:cs="Arial"/>
          <w:b/>
          <w:bCs/>
        </w:rPr>
        <w:t xml:space="preserve"> </w:t>
      </w:r>
      <w:r w:rsidRPr="00484850">
        <w:rPr>
          <w:rFonts w:ascii="Verdana" w:eastAsia="Aptos" w:hAnsi="Verdana" w:cs="Arial"/>
        </w:rPr>
        <w:t>los artículos 2.2.1.2.</w:t>
      </w:r>
      <w:r w:rsidRPr="00484850">
        <w:rPr>
          <w:rFonts w:ascii="Verdana" w:eastAsia="Aptos" w:hAnsi="Verdana" w:cs="Arial"/>
          <w:bCs/>
          <w:lang w:val="es-MX"/>
        </w:rPr>
        <w:t>4.2.4. y 2.2.1.2.4.2.14 del Decreto 1082 de 2015</w:t>
      </w:r>
      <w:r w:rsidRPr="00484850">
        <w:rPr>
          <w:rFonts w:ascii="Verdana" w:eastAsia="Aptos" w:hAnsi="Verdana" w:cs="Arial"/>
        </w:rPr>
        <w:t>, podrá acreditar la experiencia solicitada con un (1) contrato adicional a los cinco (5) inicialmente previstos, para un máximo de seis (6) contratos</w:t>
      </w:r>
      <w:r w:rsidRPr="00484850">
        <w:rPr>
          <w:rFonts w:ascii="Verdana" w:eastAsia="Aptos" w:hAnsi="Verdana" w:cs="Arial"/>
          <w:lang w:val="es-MX"/>
        </w:rPr>
        <w:t xml:space="preserve">. </w:t>
      </w:r>
      <w:r w:rsidRPr="00484850">
        <w:rPr>
          <w:rFonts w:ascii="Verdana" w:eastAsia="Aptos" w:hAnsi="Verdana" w:cs="Arial"/>
        </w:rPr>
        <w:t xml:space="preserve">En caso de que el proponente pruebe la calidad de </w:t>
      </w:r>
      <w:proofErr w:type="spellStart"/>
      <w:r w:rsidRPr="00484850">
        <w:rPr>
          <w:rFonts w:ascii="Verdana" w:eastAsia="Aptos" w:hAnsi="Verdana" w:cs="Arial"/>
        </w:rPr>
        <w:t>Mipyme</w:t>
      </w:r>
      <w:proofErr w:type="spellEnd"/>
      <w:r w:rsidRPr="00484850">
        <w:rPr>
          <w:rFonts w:ascii="Verdana" w:eastAsia="Aptos" w:hAnsi="Verdana" w:cs="Arial"/>
        </w:rPr>
        <w:t xml:space="preserve"> y de emprendimiento y empresa de mujer con domicilio en el territorio nacional de manera conjunta, podrá demostrar la experiencia solicitada con dos (2) contratos adicionales a los cinco (5) inicialmente previstos, para un máximo de siete (7)</w:t>
      </w:r>
      <w:r w:rsidRPr="00484850">
        <w:rPr>
          <w:rFonts w:ascii="Verdana" w:eastAsia="Aptos" w:hAnsi="Verdana" w:cs="Arial"/>
          <w:lang w:val="es-MX"/>
        </w:rPr>
        <w:t>.</w:t>
      </w:r>
    </w:p>
    <w:p w14:paraId="54435338" w14:textId="77777777" w:rsidR="00484850" w:rsidRPr="00484850" w:rsidRDefault="00484850" w:rsidP="00484850">
      <w:pPr>
        <w:spacing w:before="120" w:after="120" w:line="276" w:lineRule="auto"/>
        <w:ind w:firstLine="709"/>
        <w:jc w:val="both"/>
        <w:rPr>
          <w:rFonts w:ascii="Verdana" w:eastAsia="Calibri" w:hAnsi="Verdana" w:cs="Arial"/>
          <w:lang w:val="es-MX"/>
        </w:rPr>
      </w:pPr>
      <w:r w:rsidRPr="00484850">
        <w:rPr>
          <w:rFonts w:ascii="Verdana" w:eastAsia="Calibri" w:hAnsi="Verdana" w:cs="Arial"/>
          <w:kern w:val="2"/>
          <w14:ligatures w14:val="standardContextual"/>
        </w:rPr>
        <w:t xml:space="preserve"> </w:t>
      </w:r>
      <w:r w:rsidRPr="00484850">
        <w:rPr>
          <w:rFonts w:ascii="Verdana" w:eastAsia="Aptos" w:hAnsi="Verdana" w:cs="Arial"/>
          <w:lang w:val="es-MX"/>
        </w:rPr>
        <w:t xml:space="preserve">Por último, el número de contratos aportados por el proponente debe certificar un valor mínimo correspondiente a un porcentaje del presupuesto oficial del proceso de obra expresado en SMMLV, cuya evaluación se realizará teniendo en cuenta la tabla establecida en el numeral 3.5.8. del pliego de </w:t>
      </w:r>
      <w:r w:rsidRPr="00484850">
        <w:rPr>
          <w:rFonts w:ascii="Verdana" w:eastAsia="Aptos" w:hAnsi="Verdana" w:cs="Arial"/>
          <w:lang w:val="es-MX"/>
        </w:rPr>
        <w:lastRenderedPageBreak/>
        <w:t>condiciones</w:t>
      </w:r>
      <w:r w:rsidRPr="00484850">
        <w:rPr>
          <w:rFonts w:ascii="Verdana" w:eastAsia="Calibri" w:hAnsi="Verdana" w:cs="Arial"/>
          <w:vertAlign w:val="superscript"/>
        </w:rPr>
        <w:footnoteReference w:id="5"/>
      </w:r>
      <w:r w:rsidRPr="00484850">
        <w:rPr>
          <w:rFonts w:ascii="Verdana" w:eastAsia="Aptos" w:hAnsi="Verdana" w:cs="Arial"/>
          <w:lang w:val="es-MX"/>
        </w:rPr>
        <w:t>.</w:t>
      </w:r>
      <w:r w:rsidRPr="00484850">
        <w:rPr>
          <w:rFonts w:ascii="Verdana" w:eastAsia="Aptos" w:hAnsi="Verdana" w:cs="Arial"/>
          <w:bCs/>
          <w:lang w:val="es-ES_tradnl"/>
        </w:rPr>
        <w:t xml:space="preserve"> De esta manera, </w:t>
      </w:r>
      <w:r w:rsidRPr="00484850">
        <w:rPr>
          <w:rFonts w:ascii="Verdana" w:eastAsia="Aptos" w:hAnsi="Verdana" w:cs="Arial"/>
          <w:bCs/>
          <w:lang w:val="es-MX"/>
        </w:rPr>
        <w:t>quienes acrediten la experiencia mediante 1 ó 2 contratos, la sumatoria de los valores ejecutados en debe ser superior al 75% del valor del presupuesto oficial de obra expresado en SMMLV; si emplea 3 ó 4 contratos, la sumatoria de estos debe ser superior al 120% del valor del presupuesto oficial; y si emplea 5 contratos,</w:t>
      </w:r>
      <w:r w:rsidRPr="00484850">
        <w:rPr>
          <w:rFonts w:ascii="Verdana" w:eastAsia="Calibri" w:hAnsi="Verdana" w:cs="Arial"/>
        </w:rPr>
        <w:t xml:space="preserve"> sus valores sumados deberán </w:t>
      </w:r>
      <w:r w:rsidRPr="00484850">
        <w:rPr>
          <w:rFonts w:ascii="Verdana" w:eastAsia="Calibri" w:hAnsi="Verdana" w:cs="Arial"/>
        </w:rPr>
        <w:lastRenderedPageBreak/>
        <w:t>alcanzar o superar el 150% del presupuesto oficial</w:t>
      </w:r>
      <w:r w:rsidRPr="00484850">
        <w:rPr>
          <w:rFonts w:ascii="Verdana" w:eastAsia="Aptos" w:hAnsi="Verdana" w:cs="Arial"/>
          <w:bCs/>
          <w:lang w:val="es-MX"/>
        </w:rPr>
        <w:t xml:space="preserve">. </w:t>
      </w:r>
      <w:r w:rsidRPr="00484850">
        <w:rPr>
          <w:rFonts w:ascii="Verdana" w:eastAsia="Aptos" w:hAnsi="Verdana" w:cs="Arial"/>
          <w:bCs/>
          <w:iCs/>
        </w:rPr>
        <w:t xml:space="preserve">Si el número de contratos aportados supera los cinco (5) inicialmente previstos en este numeral, puesto que el proponente demostró la calidad de </w:t>
      </w:r>
      <w:proofErr w:type="spellStart"/>
      <w:r w:rsidRPr="00484850">
        <w:rPr>
          <w:rFonts w:ascii="Verdana" w:eastAsia="Aptos" w:hAnsi="Verdana" w:cs="Arial"/>
          <w:bCs/>
          <w:iCs/>
        </w:rPr>
        <w:t>Mipyme</w:t>
      </w:r>
      <w:proofErr w:type="spellEnd"/>
      <w:r w:rsidRPr="00484850">
        <w:rPr>
          <w:rFonts w:ascii="Verdana" w:eastAsia="Aptos" w:hAnsi="Verdana" w:cs="Arial"/>
          <w:bCs/>
          <w:iCs/>
        </w:rPr>
        <w:t xml:space="preserve"> y/o emprendimiento y empresa de mujer, estos contratos adicionales, se tendrán en cuenta para demostrar el valor del ciento cincuenta por ciento (150 %) del valor del Presupuesto Oficial.</w:t>
      </w:r>
    </w:p>
    <w:p w14:paraId="35DC7631" w14:textId="77777777" w:rsidR="00484850" w:rsidRPr="00484850" w:rsidRDefault="00484850" w:rsidP="00484850">
      <w:pPr>
        <w:spacing w:before="120" w:after="120" w:line="276" w:lineRule="auto"/>
        <w:ind w:firstLine="709"/>
        <w:jc w:val="both"/>
        <w:rPr>
          <w:rFonts w:ascii="Verdana" w:eastAsia="Aptos" w:hAnsi="Verdana" w:cs="Arial"/>
          <w:color w:val="0D0D0D"/>
          <w:lang w:val="es-MX"/>
        </w:rPr>
      </w:pPr>
      <w:r w:rsidRPr="00484850">
        <w:rPr>
          <w:rFonts w:ascii="Verdana" w:eastAsia="Calibri" w:hAnsi="Verdana" w:cs="Arial"/>
          <w:lang w:val="es-MX"/>
        </w:rPr>
        <w:t xml:space="preserve">En este sentido, </w:t>
      </w:r>
      <w:r w:rsidRPr="00484850">
        <w:rPr>
          <w:rFonts w:ascii="Verdana" w:eastAsia="Calibri" w:hAnsi="Verdana" w:cs="Arial"/>
        </w:rPr>
        <w:t xml:space="preserve">los proponentes podrán optar por acreditar los requisitos de experiencia solicitada mediante mínimo uno (1) y máximo cinco (5) contratos, sin perjuicio de lo previsto en las reglas de los criterios diferenciales por ser </w:t>
      </w:r>
      <w:proofErr w:type="spellStart"/>
      <w:r w:rsidRPr="00484850">
        <w:rPr>
          <w:rFonts w:ascii="Verdana" w:eastAsia="Calibri" w:hAnsi="Verdana" w:cs="Arial"/>
        </w:rPr>
        <w:t>Mipyme</w:t>
      </w:r>
      <w:proofErr w:type="spellEnd"/>
      <w:r w:rsidRPr="00484850">
        <w:rPr>
          <w:rFonts w:ascii="Verdana" w:eastAsia="Calibri" w:hAnsi="Verdana" w:cs="Arial"/>
        </w:rPr>
        <w:t xml:space="preserve"> y/o emprendimientos y empresas de mujeres, y tendrán en cuenta que, de acuerdo con el numeral 3.5.8 del documento base, la cantidad de contratos que aporten para acreditar dicha experiencia determinará el porcentaje del valor del presupuesto oficial que la sumatoria de dichos contratos debe alcanzar para cumplir con el requisito habilitante. </w:t>
      </w:r>
    </w:p>
    <w:p w14:paraId="65AF1063"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 xml:space="preserve">Para fijar las condiciones que deben cumplir los contratos aportados, en términos de actividades ejecutadas, las entidades deberán emplear la Matriz 1, documento que estandariza las condiciones de experiencia general y/o experiencia específica que deben requerir las entidades estatales de acuerdo con: i) el tipo de obra de infraestructura de agua potable y saneamiento básico; </w:t>
      </w:r>
      <w:proofErr w:type="spellStart"/>
      <w:r w:rsidRPr="00484850">
        <w:rPr>
          <w:rFonts w:ascii="Verdana" w:eastAsia="Calibri" w:hAnsi="Verdana" w:cs="Arial"/>
          <w:kern w:val="2"/>
          <w14:ligatures w14:val="standardContextual"/>
        </w:rPr>
        <w:t>ii</w:t>
      </w:r>
      <w:proofErr w:type="spellEnd"/>
      <w:r w:rsidRPr="00484850">
        <w:rPr>
          <w:rFonts w:ascii="Verdana" w:eastAsia="Calibri" w:hAnsi="Verdana" w:cs="Arial"/>
          <w:kern w:val="2"/>
          <w14:ligatures w14:val="standardContextual"/>
        </w:rPr>
        <w:t xml:space="preserve">) la actividad a contratar, y </w:t>
      </w:r>
      <w:proofErr w:type="spellStart"/>
      <w:r w:rsidRPr="00484850">
        <w:rPr>
          <w:rFonts w:ascii="Verdana" w:eastAsia="Calibri" w:hAnsi="Verdana" w:cs="Arial"/>
          <w:kern w:val="2"/>
          <w14:ligatures w14:val="standardContextual"/>
        </w:rPr>
        <w:t>iii</w:t>
      </w:r>
      <w:proofErr w:type="spellEnd"/>
      <w:r w:rsidRPr="00484850">
        <w:rPr>
          <w:rFonts w:ascii="Verdana" w:eastAsia="Calibri" w:hAnsi="Verdana" w:cs="Arial"/>
          <w:kern w:val="2"/>
          <w14:ligatures w14:val="standardContextual"/>
        </w:rPr>
        <w:t>) la cuantía del Proceso de Contratación.</w:t>
      </w:r>
    </w:p>
    <w:p w14:paraId="081496F6"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En relación con el primer aspecto, la Matriz 1 está constituida por siete (7) tipos de obras de infraestructura de agua potable y saneamiento básico, identificadas con un número y su descripción, los cuales son: 1) Obras de acueducto, 2) obras de alcantarillado (sanitarios y/o pluviales y/o combinado), 3) Obras de aseos y/o manejo de residuos, 4) Obras para PTAP (Planta de Tratamiento de Agua Potable) Y/O PTAR (Planta de Tratamiento de Aguas Residuales), 5) Unidades sanitarias para vivienda rural dispersa, 6) Sistemas no convencionales de potabilización y tratamiento de aguas residuales y 7) Estudios y diseños (En el caso de proyectos que requieran labores de: estudios, diseños y construcción). Estas determinan el marco para la aplicación de los documentos tipo, dado que comprenden todas aquellas actividades que constituyen obra pública de infraestructura de agua potable y saneamiento básico y que han sido objeto de estandarización mediante la Resolución No. 248 del 1 de diciembre de 2020 para los procesos de licitación pública.</w:t>
      </w:r>
    </w:p>
    <w:p w14:paraId="18F00B8C"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lastRenderedPageBreak/>
        <w:t>Respecto a la actividad a contratar, la Matriz 1 establece cuáles son las que corresponden a cada uno de los tipos de infraestructura mencionados, con el fin de que la entidad identifique aquellas en las cuales puede encuadrarse, de mejor forma, el objeto que pretende ejecutar y determinar los requisitos de experiencia exigibles. Por ejemplo, para el tipo de infraestructura “2. Obras de alcantarillados (sanitarios y/o pluviales y/o combinado)”, la entidad podrá verificar la experiencia requerida en su proceso, de acuerdo con las dos (2) actividades identificadas en la matriz 1.</w:t>
      </w:r>
    </w:p>
    <w:p w14:paraId="4BF7CBD5"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 xml:space="preserve">De otra parte, el documento establece los rangos dentro de los cuales se debe identificar el presupuesto del Proceso de Contratación. Estos abarcan las cuantías mínimas y máximas que son frecuentes en los procesos de contratación de obra pública de infraestructura de agua potable y saneamiento básico, y son resultado de las exigencias señaladas en el inciso 3 del parágrafo 7 del artículo 2 de la Ley 1150 de 2007 –modificado por el artículo 1 de la Ley 2022 de 2020–, conforme al cual las condiciones fijadas en los documentos tipo deben tener en cuenta la cuantía, la naturaleza y la especialidad de la contratación. </w:t>
      </w:r>
    </w:p>
    <w:p w14:paraId="7C537946"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 xml:space="preserve">Estos tres factores determinan el requisito de experiencia establecido en los documentos tipo desarrollados por la Agencia Nacional de Contratación Pública – Colombia Compra Eficiente, e incluido en la Matriz 1, que es resultado del mandato establecido en la Ley 2022 de 2020, por lo que son de obligatorio cumplimiento. Igualmente, se encuentran sometidos a la regulación prevista en la Resolución No. 248 del 1 de diciembre de 2020 y, por tanto, la regla general es que no pueden ser alterados, modificados o adicionados en su contenido. </w:t>
      </w:r>
    </w:p>
    <w:p w14:paraId="29607CE6" w14:textId="77777777" w:rsidR="00484850" w:rsidRPr="00484850" w:rsidRDefault="00484850" w:rsidP="00484850">
      <w:pPr>
        <w:spacing w:before="120" w:after="120" w:line="276" w:lineRule="auto"/>
        <w:ind w:firstLine="709"/>
        <w:jc w:val="both"/>
        <w:rPr>
          <w:rFonts w:ascii="Verdana" w:eastAsia="Calibri" w:hAnsi="Verdana" w:cs="Arial"/>
          <w:kern w:val="2"/>
          <w14:ligatures w14:val="standardContextual"/>
        </w:rPr>
      </w:pPr>
      <w:r w:rsidRPr="00484850">
        <w:rPr>
          <w:rFonts w:ascii="Verdana" w:eastAsia="Calibri" w:hAnsi="Verdana" w:cs="Arial"/>
          <w:kern w:val="2"/>
          <w14:ligatures w14:val="standardContextual"/>
        </w:rPr>
        <w:t>Ahora bien, en el documento base o pliego tipo adoptado por la Resolución No. 248 del 1 de diciembre de 2024, se desarrolla el numeral 3.5.1 “Determinación de los requisitos mínimos de experiencia según la Matriz 1 – Experiencia”, en el cual se indica que, la entidad indicará el número y nombre de la actividad a contratar, para lo cual transcribirá textualmente lo indicado en la “Matriz 1–Experiencia”. Además, se señala que, en caso de requerir combinar experiencia se procederá según lo establecido en el literal A) del numeral 3.5.2.</w:t>
      </w:r>
    </w:p>
    <w:p w14:paraId="75A450CE" w14:textId="77777777" w:rsidR="00484850" w:rsidRPr="00484850" w:rsidRDefault="00484850" w:rsidP="00484850">
      <w:pPr>
        <w:spacing w:after="120" w:line="276" w:lineRule="auto"/>
        <w:ind w:firstLine="708"/>
        <w:jc w:val="both"/>
        <w:rPr>
          <w:rFonts w:ascii="Verdana" w:eastAsia="Calibri" w:hAnsi="Verdana" w:cs="Times New Roman"/>
        </w:rPr>
      </w:pPr>
      <w:r w:rsidRPr="00484850">
        <w:rPr>
          <w:rFonts w:ascii="Verdana" w:eastAsia="Calibri" w:hAnsi="Verdana" w:cs="Arial"/>
          <w:kern w:val="2"/>
          <w14:ligatures w14:val="standardContextual"/>
        </w:rPr>
        <w:t xml:space="preserve">Considerando el marco señalado con anterioridad sobre la experiencia en los documentos tipo de licitación de obra pública de infraestructura de agua potable y saneamiento básico. Para responder a su solicitud, </w:t>
      </w:r>
      <w:r w:rsidRPr="00484850">
        <w:rPr>
          <w:rFonts w:ascii="Verdana" w:eastAsia="Calibri" w:hAnsi="Verdana" w:cs="Times New Roman"/>
        </w:rPr>
        <w:t xml:space="preserve">le indicamos que, </w:t>
      </w:r>
      <w:r w:rsidRPr="00484850">
        <w:rPr>
          <w:rFonts w:ascii="Verdana" w:eastAsia="Calibri" w:hAnsi="Verdana" w:cs="Arial"/>
          <w:kern w:val="2"/>
          <w14:ligatures w14:val="standardContextual"/>
        </w:rPr>
        <w:t xml:space="preserve">la Matriz 1 – Experiencia de los documentos tipo de licitación de obra pública de infraestructura de agua potable y saneamiento básico, en el capítulo 1 “Obras </w:t>
      </w:r>
      <w:r w:rsidRPr="00484850">
        <w:rPr>
          <w:rFonts w:ascii="Verdana" w:eastAsia="Calibri" w:hAnsi="Verdana" w:cs="Arial"/>
          <w:kern w:val="2"/>
          <w14:ligatures w14:val="standardContextual"/>
        </w:rPr>
        <w:lastRenderedPageBreak/>
        <w:t xml:space="preserve">de acueductos” y 2 “Obras de alcantarillados (sanitarios y/o pluviales y/o combinado) </w:t>
      </w:r>
      <w:r w:rsidRPr="00484850">
        <w:rPr>
          <w:rFonts w:ascii="Verdana" w:eastAsia="Aptos" w:hAnsi="Verdana" w:cs="Arial"/>
          <w:color w:val="000000"/>
          <w:lang w:val="es-ES_tradnl"/>
        </w:rPr>
        <w:t xml:space="preserve">incluyen las dos (2) actividades por las que indaga en su solicitud: “1.1 PROYECTOS DE CONSTRUCCIÓN DE ACUEDUCTOS (URBANOS Y/O RURALES) Y/U OBRAS COMPLEMENTARIAS” y “2.1 PROYECTOS DE CONSTRUCCIÓN DE ALCANTARILLADOS SANITARIOS Y/O PLUVIALES Y/O COMBINADO (URBANOS Y/O RURALES) Y/U OBRAS COMPLEMENTARIAS”. </w:t>
      </w:r>
      <w:r w:rsidRPr="00484850">
        <w:rPr>
          <w:rFonts w:ascii="Verdana" w:eastAsia="Aptos" w:hAnsi="Verdana" w:cs="Times New Roman"/>
          <w:kern w:val="2"/>
          <w14:ligatures w14:val="standardContextual"/>
        </w:rPr>
        <w:t>Para estas actividades, se establece la experiencia general y específica exigida y, adicionalmente, se señala un porcentaje (%) para el dimensionamiento, el cual está en función de los rangos de salarios mínimos mensuales legales vigentes en los que se enmarca el presupuesto oficial del proceso de selección, y una nota general.</w:t>
      </w:r>
      <w:r w:rsidRPr="00484850">
        <w:rPr>
          <w:rFonts w:ascii="Verdana" w:eastAsia="Calibri" w:hAnsi="Verdana" w:cs="Times New Roman"/>
        </w:rPr>
        <w:t xml:space="preserve"> </w:t>
      </w:r>
    </w:p>
    <w:p w14:paraId="3BBCD317" w14:textId="77777777" w:rsidR="00484850" w:rsidRPr="00484850" w:rsidRDefault="00484850" w:rsidP="00484850">
      <w:pPr>
        <w:spacing w:after="0" w:line="276" w:lineRule="auto"/>
        <w:ind w:firstLine="709"/>
        <w:jc w:val="both"/>
        <w:rPr>
          <w:rFonts w:ascii="Verdana" w:eastAsia="Calibri" w:hAnsi="Verdana" w:cs="Arial"/>
          <w:bCs/>
        </w:rPr>
      </w:pPr>
      <w:r w:rsidRPr="00484850">
        <w:rPr>
          <w:rFonts w:ascii="Verdana" w:eastAsia="Calibri" w:hAnsi="Verdana" w:cs="Times New Roman"/>
        </w:rPr>
        <w:t xml:space="preserve">i). La actividad </w:t>
      </w:r>
      <w:r w:rsidRPr="00484850">
        <w:rPr>
          <w:rFonts w:ascii="Verdana" w:eastAsia="Calibri" w:hAnsi="Verdana" w:cs="Arial"/>
          <w:bCs/>
        </w:rPr>
        <w:t xml:space="preserve">1.1 contempla los proyectos de construcción de acueductos (urbanos y/o rurales) y/u obras complementarias. </w:t>
      </w:r>
      <w:r w:rsidRPr="00484850">
        <w:rPr>
          <w:rFonts w:ascii="Verdana" w:eastAsia="Calibri" w:hAnsi="Verdana" w:cs="Arial"/>
          <w:color w:val="000000"/>
          <w:lang w:val="es-ES_tradnl" w:eastAsia="en-GB"/>
        </w:rPr>
        <w:t xml:space="preserve">Para esta actividad se determina como </w:t>
      </w:r>
      <w:r w:rsidRPr="00484850">
        <w:rPr>
          <w:rFonts w:ascii="Verdana" w:eastAsia="Calibri" w:hAnsi="Verdana" w:cs="Arial"/>
          <w:i/>
          <w:iCs/>
          <w:color w:val="000000"/>
          <w:lang w:val="es-ES_tradnl" w:eastAsia="en-GB"/>
        </w:rPr>
        <w:t>experiencia general</w:t>
      </w:r>
      <w:r w:rsidRPr="00484850">
        <w:rPr>
          <w:rFonts w:ascii="Verdana" w:eastAsia="Calibri" w:hAnsi="Verdana" w:cs="Arial"/>
          <w:color w:val="000000"/>
          <w:lang w:val="es-ES_tradnl" w:eastAsia="en-GB"/>
        </w:rPr>
        <w:t xml:space="preserve"> que los proyectos correspondan o hayan contenido actividades de construcción de acueducto.</w:t>
      </w:r>
      <w:r w:rsidRPr="00484850">
        <w:rPr>
          <w:rFonts w:ascii="Verdana" w:eastAsia="Calibri" w:hAnsi="Verdana" w:cs="Arial"/>
          <w:bCs/>
        </w:rPr>
        <w:t xml:space="preserve"> Respecto de la experiencia específica se incluyó la siguiente nota general:</w:t>
      </w:r>
    </w:p>
    <w:p w14:paraId="55FAF48B" w14:textId="77777777" w:rsidR="00484850" w:rsidRPr="00484850" w:rsidRDefault="00484850" w:rsidP="00484850">
      <w:pPr>
        <w:spacing w:after="0" w:line="276" w:lineRule="auto"/>
        <w:ind w:firstLine="709"/>
        <w:jc w:val="both"/>
        <w:rPr>
          <w:rFonts w:ascii="Verdana" w:eastAsia="Calibri" w:hAnsi="Verdana" w:cs="Arial"/>
          <w:bCs/>
        </w:rPr>
      </w:pPr>
      <w:r w:rsidRPr="00484850">
        <w:rPr>
          <w:rFonts w:ascii="Verdana" w:eastAsia="Calibri" w:hAnsi="Verdana" w:cs="Arial"/>
          <w:bCs/>
        </w:rPr>
        <w:t xml:space="preserve"> </w:t>
      </w:r>
    </w:p>
    <w:p w14:paraId="17845483" w14:textId="77777777" w:rsidR="00484850" w:rsidRPr="00484850" w:rsidRDefault="00484850" w:rsidP="00484850">
      <w:pPr>
        <w:spacing w:line="240" w:lineRule="auto"/>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“En el caso que, debido a la magnitud física empleada como variable para establecimiento del % de dimensionamiento como experiencia específica, se aceptará que el mismo sea acreditado con la sumatoria de máximo dos (2) de los contratos válidos aportados, garantizando condiciones pluralistas y participativas, siendo requisitos adecuados y proporcionales. Cuando la entidad considere procedente esta posibilidad lo señalará en el pliego de condiciones al momento de indicar la experiencia a requerir.</w:t>
      </w:r>
    </w:p>
    <w:p w14:paraId="4AAADB2A" w14:textId="77777777" w:rsidR="00484850" w:rsidRPr="00484850" w:rsidRDefault="00484850" w:rsidP="00484850">
      <w:pPr>
        <w:tabs>
          <w:tab w:val="left" w:pos="0"/>
        </w:tabs>
        <w:spacing w:after="0"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La entidad NO podrá escoger más de 3 requisitos de experiencia específica, por lo que identificará los de mayor relevancia para el proyecto según la actividad a contratar”.</w:t>
      </w:r>
    </w:p>
    <w:p w14:paraId="17A6AF3B" w14:textId="77777777" w:rsidR="00484850" w:rsidRPr="00484850" w:rsidRDefault="00484850" w:rsidP="00484850">
      <w:pPr>
        <w:tabs>
          <w:tab w:val="left" w:pos="0"/>
        </w:tabs>
        <w:spacing w:after="0"/>
        <w:ind w:left="709" w:right="709"/>
        <w:jc w:val="both"/>
        <w:rPr>
          <w:rFonts w:ascii="Verdana" w:eastAsia="Calibri" w:hAnsi="Verdana" w:cs="Arial"/>
          <w:bCs/>
          <w:lang w:val="es-ES_tradnl"/>
        </w:rPr>
      </w:pPr>
    </w:p>
    <w:p w14:paraId="709D1D28" w14:textId="77777777" w:rsidR="00484850" w:rsidRPr="00484850" w:rsidRDefault="00484850" w:rsidP="00484850">
      <w:pPr>
        <w:tabs>
          <w:tab w:val="left" w:pos="0"/>
        </w:tabs>
        <w:spacing w:after="0" w:line="276" w:lineRule="auto"/>
        <w:ind w:right="49" w:firstLine="709"/>
        <w:jc w:val="both"/>
        <w:rPr>
          <w:rFonts w:ascii="Verdana" w:eastAsia="Calibri" w:hAnsi="Verdana" w:cs="Arial"/>
          <w:bCs/>
        </w:rPr>
      </w:pPr>
      <w:r w:rsidRPr="00484850">
        <w:rPr>
          <w:rFonts w:ascii="Verdana" w:eastAsia="Calibri" w:hAnsi="Verdana" w:cs="Arial"/>
          <w:bCs/>
        </w:rPr>
        <w:t xml:space="preserve">Conforme con lo expuesto, para esta actividad la entidad podrá aceptar que el porcentaje (%) de dimensionamiento exigido en la experiencia específica sea acreditado con la sumatoria de máximo dos (2) de los contratos válidos aportados. Sin embargo, será la entidad la que determine si procede aceptar su acreditación bajo estas condiciones debido a la magnitud física empleada como variable para establecimiento del % de dimensionamiento de la experiencia específica. </w:t>
      </w:r>
    </w:p>
    <w:p w14:paraId="5674869C" w14:textId="77777777" w:rsidR="00484850" w:rsidRPr="00484850" w:rsidRDefault="00484850" w:rsidP="00484850">
      <w:pPr>
        <w:spacing w:before="120" w:line="276" w:lineRule="auto"/>
        <w:ind w:firstLine="709"/>
        <w:jc w:val="both"/>
        <w:rPr>
          <w:rFonts w:ascii="Verdana" w:eastAsia="Aptos" w:hAnsi="Verdana" w:cs="Arial"/>
        </w:rPr>
      </w:pPr>
      <w:bookmarkStart w:id="5" w:name="_Hlk94276763"/>
      <w:r w:rsidRPr="00484850">
        <w:rPr>
          <w:rFonts w:ascii="Verdana" w:eastAsia="Calibri" w:hAnsi="Verdana" w:cs="Arial"/>
          <w:bCs/>
        </w:rPr>
        <w:lastRenderedPageBreak/>
        <w:t xml:space="preserve">En relación con los requisitos de experiencia específica de la actividad 1.1, </w:t>
      </w:r>
      <w:r w:rsidRPr="00484850">
        <w:rPr>
          <w:rFonts w:ascii="Verdana" w:eastAsia="Calibri" w:hAnsi="Verdana" w:cs="Arial"/>
          <w:color w:val="000000"/>
          <w:lang w:val="es-ES_tradnl" w:eastAsia="en-GB"/>
        </w:rPr>
        <w:t>señala la matriz que</w:t>
      </w:r>
      <w:r w:rsidRPr="00484850">
        <w:rPr>
          <w:rFonts w:ascii="Verdana" w:eastAsia="Calibri" w:hAnsi="Verdana" w:cs="Arial"/>
          <w:bCs/>
          <w:lang w:val="es-ES_tradnl"/>
        </w:rPr>
        <w:t xml:space="preserve"> </w:t>
      </w:r>
      <w:r w:rsidRPr="00484850">
        <w:rPr>
          <w:rFonts w:ascii="Verdana" w:eastAsia="Aptos" w:hAnsi="Verdana" w:cs="Arial"/>
        </w:rPr>
        <w:t xml:space="preserve">“-Por lo menos uno (1) de los contratos válidos aportados como experiencia general debe contar con una longitud de tubería equivalente al (F%) de la longitud total establecida en el presente proceso de selección, y que contemple como mínimo las mismas condiciones técnicas (entiéndase como mismas condiciones técnicas la instalación según el tipo de tubería: PVC, HD, PEAD, GRP, ACCP,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 </w:t>
      </w:r>
    </w:p>
    <w:p w14:paraId="4F5CEAE8" w14:textId="77777777" w:rsidR="00484850" w:rsidRPr="00484850" w:rsidRDefault="00484850" w:rsidP="00484850">
      <w:pPr>
        <w:spacing w:before="120" w:after="0" w:line="276" w:lineRule="auto"/>
        <w:ind w:firstLine="709"/>
        <w:jc w:val="both"/>
        <w:rPr>
          <w:rFonts w:ascii="Verdana" w:eastAsia="Calibri" w:hAnsi="Verdana" w:cs="Arial"/>
          <w:bCs/>
          <w:lang w:val="es-ES_tradnl"/>
        </w:rPr>
      </w:pPr>
      <w:r w:rsidRPr="00484850">
        <w:rPr>
          <w:rFonts w:ascii="Verdana" w:eastAsia="Calibri" w:hAnsi="Verdana" w:cs="Arial"/>
          <w:bCs/>
          <w:lang w:val="es-ES_tradnl"/>
        </w:rPr>
        <w:t xml:space="preserve">Además, según la matriz, la entidad podrá escoger hasta dos (2) combinaciones de experiencia específica de las opciones enlistadas, según la pertinencia de estas y el alcance del futuro contrato. </w:t>
      </w:r>
      <w:r w:rsidRPr="00484850">
        <w:rPr>
          <w:rFonts w:ascii="Verdana" w:eastAsia="Calibri" w:hAnsi="Verdana" w:cs="Arial"/>
          <w:bCs/>
          <w:lang w:val="es-MX"/>
        </w:rPr>
        <w:t>Es decir, que la entidad puede establecer una exigencia de experiencia específica o, por el contrario, exigir hasta dos (2) requisitos adicionales para verificar la idoneidad del proponente, de acuerdo con el análisis de la entidad. Al respecto, la “Matriz 1 – Experiencia” dispone lo siguiente:</w:t>
      </w:r>
    </w:p>
    <w:p w14:paraId="3AACB720" w14:textId="77777777" w:rsidR="00484850" w:rsidRPr="00484850" w:rsidRDefault="00484850" w:rsidP="00484850">
      <w:pPr>
        <w:tabs>
          <w:tab w:val="left" w:pos="0"/>
        </w:tabs>
        <w:spacing w:after="0"/>
        <w:ind w:right="709"/>
        <w:jc w:val="both"/>
        <w:rPr>
          <w:rFonts w:ascii="Verdana" w:eastAsia="Calibri" w:hAnsi="Verdana" w:cs="Arial"/>
          <w:bCs/>
          <w:lang w:val="es-ES_tradnl"/>
        </w:rPr>
      </w:pPr>
    </w:p>
    <w:p w14:paraId="0EFA0F3C"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xml:space="preserve">“Proyectos de Acueductos: </w:t>
      </w:r>
    </w:p>
    <w:p w14:paraId="2A2724A6" w14:textId="77777777" w:rsidR="00484850" w:rsidRPr="00484850" w:rsidRDefault="00484850" w:rsidP="00484850">
      <w:pPr>
        <w:spacing w:line="240" w:lineRule="auto"/>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[Sin perjuicio, de la experiencia específica anterior que será obligatoria, es decir, la inmediatamente anterior, la Entidad escogerá una o más combinaciones de experiencia específica, sin que sobrepase a 2 requisitos de las opciones enlistadas a continuación, según sea analizada la pertinencia de </w:t>
      </w:r>
      <w:proofErr w:type="gramStart"/>
      <w:r w:rsidRPr="00484850">
        <w:rPr>
          <w:rFonts w:ascii="Verdana" w:eastAsia="Calibri" w:hAnsi="Verdana" w:cs="Arial"/>
          <w:sz w:val="21"/>
          <w:szCs w:val="21"/>
          <w:lang w:val="es-ES"/>
        </w:rPr>
        <w:t>las mismas</w:t>
      </w:r>
      <w:proofErr w:type="gramEnd"/>
      <w:r w:rsidRPr="00484850">
        <w:rPr>
          <w:rFonts w:ascii="Verdana" w:eastAsia="Calibri" w:hAnsi="Verdana" w:cs="Arial"/>
          <w:sz w:val="21"/>
          <w:szCs w:val="21"/>
          <w:lang w:val="es-ES"/>
        </w:rPr>
        <w:t xml:space="preserve"> y el alcance del futuro contrato a suscribir de acuerdo con las siguientes alternativas:</w:t>
      </w:r>
    </w:p>
    <w:p w14:paraId="3AB5C275" w14:textId="77777777" w:rsidR="00484850" w:rsidRPr="00484850" w:rsidRDefault="00484850" w:rsidP="00484850">
      <w:pPr>
        <w:spacing w:line="240" w:lineRule="auto"/>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Tenga en cuenta que el factor F% se aplicará </w:t>
      </w:r>
      <w:proofErr w:type="gramStart"/>
      <w:r w:rsidRPr="00484850">
        <w:rPr>
          <w:rFonts w:ascii="Verdana" w:eastAsia="Calibri" w:hAnsi="Verdana" w:cs="Arial"/>
          <w:sz w:val="21"/>
          <w:szCs w:val="21"/>
          <w:lang w:val="es-ES"/>
        </w:rPr>
        <w:t>de acuerdo al</w:t>
      </w:r>
      <w:proofErr w:type="gramEnd"/>
      <w:r w:rsidRPr="00484850">
        <w:rPr>
          <w:rFonts w:ascii="Verdana" w:eastAsia="Calibri" w:hAnsi="Verdana" w:cs="Arial"/>
          <w:sz w:val="21"/>
          <w:szCs w:val="21"/>
          <w:lang w:val="es-ES"/>
        </w:rPr>
        <w:t xml:space="preserve"> rango de SMMLV en el cual se encuentre el proceso de contratación.]</w:t>
      </w:r>
    </w:p>
    <w:p w14:paraId="69F1C749" w14:textId="77777777" w:rsidR="00484850" w:rsidRPr="00484850" w:rsidRDefault="00484850" w:rsidP="00484850">
      <w:pPr>
        <w:spacing w:line="240" w:lineRule="auto"/>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Por lo menos uno (1) de los contratos válidos aportados debe acreditar experiencia general en estructuras de captación, las cuales deben ser iguales o mayores al (F%) de los litros por segundo (</w:t>
      </w:r>
      <w:proofErr w:type="spellStart"/>
      <w:r w:rsidRPr="00484850">
        <w:rPr>
          <w:rFonts w:ascii="Verdana" w:eastAsia="Calibri" w:hAnsi="Verdana" w:cs="Arial"/>
          <w:sz w:val="21"/>
          <w:szCs w:val="21"/>
          <w:lang w:val="es-ES"/>
        </w:rPr>
        <w:t>lps</w:t>
      </w:r>
      <w:proofErr w:type="spellEnd"/>
      <w:r w:rsidRPr="00484850">
        <w:rPr>
          <w:rFonts w:ascii="Verdana" w:eastAsia="Calibri" w:hAnsi="Verdana" w:cs="Arial"/>
          <w:sz w:val="21"/>
          <w:szCs w:val="21"/>
          <w:lang w:val="es-ES"/>
        </w:rPr>
        <w:t>) establecidos en la presente convocatoria para la captación. SI APLICA</w:t>
      </w:r>
    </w:p>
    <w:p w14:paraId="7B7731FA" w14:textId="77777777" w:rsidR="00484850" w:rsidRPr="00484850" w:rsidRDefault="00484850" w:rsidP="00484850">
      <w:pPr>
        <w:tabs>
          <w:tab w:val="left" w:pos="0"/>
        </w:tabs>
        <w:spacing w:line="240" w:lineRule="auto"/>
        <w:ind w:left="709" w:right="709"/>
        <w:jc w:val="both"/>
        <w:rPr>
          <w:rFonts w:ascii="Verdana" w:eastAsia="Calibri" w:hAnsi="Verdana" w:cs="Arial"/>
          <w:sz w:val="21"/>
          <w:szCs w:val="21"/>
          <w:lang w:val="es-ES"/>
        </w:rPr>
      </w:pPr>
      <w:r w:rsidRPr="0A0C1B74">
        <w:rPr>
          <w:rFonts w:ascii="Verdana" w:eastAsia="Calibri" w:hAnsi="Verdana" w:cs="Arial"/>
          <w:sz w:val="21"/>
          <w:szCs w:val="21"/>
          <w:lang w:val="es-ES"/>
        </w:rPr>
        <w:lastRenderedPageBreak/>
        <w:t>'- Para sistemas de abastecimiento diferenciales, tales como sistemas de acueducto con opciones tecnológicas, soluciones alternativas colectivas de agua, soluciones alternativas individuales de agua, o cualquier otro sistema no convencional de abastecimiento, se debe acreditar por lo menos uno (1) de los contratos válidos aportados donde se relacione la experiencia en CONSTRUCCIÓN de sistemas de abastecimiento no convenciones que tengan relación con el objeto a contratar. SI APLICA.</w:t>
      </w:r>
    </w:p>
    <w:p w14:paraId="26C54AB1"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Para sistemas de abastecimiento diferenciales, tales como pozos profundos o pilas de abastecimiento debe acreditar por lo menos uno (1) de los contratos válidos aportados donde se relacione la experiencia en CONSTRUCCIÓN de pozos, donde se detalle el caudal y la profundidad, el cual corresponda al (F%) del requerido en el proceso de selección, el cual como referente es [la Entidad establecerá únicamente el caudal de referencia y la profundidad, el cual será aplicado el factor F%].</w:t>
      </w:r>
    </w:p>
    <w:p w14:paraId="79CF4057"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el componente de aducción y actividades complementarias. SI APLICA.</w:t>
      </w:r>
    </w:p>
    <w:p w14:paraId="1EE433DB" w14:textId="77777777" w:rsidR="00484850" w:rsidRPr="00484850" w:rsidRDefault="00484850" w:rsidP="00484850">
      <w:pPr>
        <w:spacing w:line="240" w:lineRule="auto"/>
        <w:ind w:left="709" w:right="709"/>
        <w:jc w:val="both"/>
        <w:rPr>
          <w:rFonts w:ascii="Verdana" w:eastAsia="Calibri" w:hAnsi="Verdana" w:cs="Arial"/>
          <w:sz w:val="21"/>
          <w:szCs w:val="21"/>
          <w:lang w:val="es-ES"/>
        </w:rPr>
      </w:pPr>
      <w:r w:rsidRPr="00484850">
        <w:rPr>
          <w:rFonts w:ascii="Verdana" w:eastAsia="Calibri" w:hAnsi="Verdana" w:cs="Arial"/>
          <w:sz w:val="21"/>
          <w:szCs w:val="21"/>
          <w:lang w:val="es-ES"/>
        </w:rPr>
        <w:t xml:space="preserve">'-Por lo menos uno (1) de los contratos válidos aportados como experiencia general, debe contar con la construcción de al menos un tanque de almacenamiento de agua potable (elevado, a nivel o subterráneo) con volumen igual o mayor a (F%) metros cúbicos del volumen establecido en la presente convocatoria; y la cual debe corresponder con el tipo de materia de la estructura requerida (Concreto, PRFV, ACERO, </w:t>
      </w:r>
      <w:proofErr w:type="spellStart"/>
      <w:r w:rsidRPr="00484850">
        <w:rPr>
          <w:rFonts w:ascii="Verdana" w:eastAsia="Calibri" w:hAnsi="Verdana" w:cs="Arial"/>
          <w:sz w:val="21"/>
          <w:szCs w:val="21"/>
          <w:lang w:val="es-ES"/>
        </w:rPr>
        <w:t>etc</w:t>
      </w:r>
      <w:proofErr w:type="spellEnd"/>
      <w:r w:rsidRPr="00484850">
        <w:rPr>
          <w:rFonts w:ascii="Verdana" w:eastAsia="Calibri" w:hAnsi="Verdana" w:cs="Arial"/>
          <w:sz w:val="21"/>
          <w:szCs w:val="21"/>
          <w:lang w:val="es-ES"/>
        </w:rPr>
        <w:t>) [la Entidad establecerá el material en el cual fue planeada la construcción del mismo así como el volumen requerido del tanque]. SI APLICA.</w:t>
      </w:r>
    </w:p>
    <w:p w14:paraId="33A621C4"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el componente de conducción. SI APLICA</w:t>
      </w:r>
    </w:p>
    <w:p w14:paraId="076A2171"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el componente de Estaciones de Bombeo de Agua Cruda-EBAC, el cual sea igual o mayor al (F%) del caudal requerido en el presente proceso [la Entidad establecerá el caudal de bombeo estimado o esperado correspondientes al componente de estaciones de bombeo de agua cruda, para ser aplicado el factor F%]. SI APLICA</w:t>
      </w:r>
    </w:p>
    <w:p w14:paraId="0D91993C"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xml:space="preserve">'-Para la intervención a sistema de almacenamiento, tales como embalses o tanques de almacenamiento el proponente deberá </w:t>
      </w:r>
      <w:r w:rsidRPr="00484850">
        <w:rPr>
          <w:rFonts w:ascii="Verdana" w:eastAsia="Calibri" w:hAnsi="Verdana" w:cs="Arial"/>
          <w:bCs/>
          <w:sz w:val="21"/>
          <w:szCs w:val="21"/>
          <w:lang w:val="es-ES_tradnl"/>
        </w:rPr>
        <w:lastRenderedPageBreak/>
        <w:t>acreditar que en por lo menos uno (1) de los contratos válidos aportados como experiencia general se acredite la experiencia en sistemas de almacenamiento tipo tanques de almacenamiento o embalses. SI APLICA.</w:t>
      </w:r>
    </w:p>
    <w:p w14:paraId="25B05A95"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como experiencia general, debe contar con el componente de conexiones domiciliarias, las cuales deben ser iguales o mayores al (F%) de los requeridos en el presente proceso, para los cuales el valor referente es [la Entidad establecerá el número estimado de conexiones domiciliarias para establecer la relación según el factor F%]. SI APLICA.</w:t>
      </w:r>
    </w:p>
    <w:p w14:paraId="798FBA0D"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'-Por lo menos uno (1) de los contratos válidos aportados debe acreditar experiencia general en entibados para construcción de acueductos y/o alcantarillados. SI APLICA.</w:t>
      </w:r>
    </w:p>
    <w:p w14:paraId="19E18035" w14:textId="77777777" w:rsidR="00484850" w:rsidRPr="00484850" w:rsidRDefault="00484850" w:rsidP="00484850">
      <w:pPr>
        <w:tabs>
          <w:tab w:val="left" w:pos="0"/>
        </w:tabs>
        <w:spacing w:line="240" w:lineRule="auto"/>
        <w:ind w:left="709" w:right="709"/>
        <w:jc w:val="both"/>
        <w:rPr>
          <w:rFonts w:ascii="Verdana" w:eastAsia="Calibri" w:hAnsi="Verdana" w:cs="Arial"/>
          <w:bCs/>
          <w:sz w:val="21"/>
          <w:szCs w:val="21"/>
          <w:lang w:val="es-ES_tradnl"/>
        </w:rPr>
      </w:pPr>
      <w:r w:rsidRPr="00484850">
        <w:rPr>
          <w:rFonts w:ascii="Verdana" w:eastAsia="Calibri" w:hAnsi="Verdana" w:cs="Arial"/>
          <w:bCs/>
          <w:sz w:val="21"/>
          <w:szCs w:val="21"/>
          <w:lang w:val="es-ES_tradnl"/>
        </w:rPr>
        <w:t>'- Por lo menos uno (1) de los contratos válidos aportados como experiencia general, debe corresponder a la ejecución de un proyecto en zona rural y/o de difícil acceso, para lo cual entiéndase una zona de difícil acceso como aquella donde el transporte debe ser realizado de forma fluvial o aérea para su ejecución. SI APLICA</w:t>
      </w:r>
    </w:p>
    <w:p w14:paraId="7B0031EA" w14:textId="77777777" w:rsidR="00484850" w:rsidRPr="00484850" w:rsidRDefault="00484850" w:rsidP="00484850">
      <w:pPr>
        <w:tabs>
          <w:tab w:val="left" w:pos="0"/>
        </w:tabs>
        <w:spacing w:after="0" w:line="240" w:lineRule="auto"/>
        <w:ind w:left="709" w:right="709"/>
        <w:jc w:val="both"/>
        <w:rPr>
          <w:rFonts w:ascii="Verdana" w:eastAsia="Calibri" w:hAnsi="Verdana" w:cs="Arial"/>
          <w:bCs/>
          <w:sz w:val="21"/>
          <w:szCs w:val="21"/>
          <w:highlight w:val="yellow"/>
          <w:lang w:val="es-ES_tradnl"/>
        </w:rPr>
      </w:pPr>
      <w:r w:rsidRPr="00484850">
        <w:rPr>
          <w:rFonts w:ascii="Verdana" w:eastAsia="Calibri" w:hAnsi="Verdana" w:cs="Arial"/>
          <w:bCs/>
          <w:sz w:val="21"/>
          <w:szCs w:val="21"/>
          <w:lang w:val="es-ES_tradnl"/>
        </w:rPr>
        <w:t xml:space="preserve">'- Por lo menos uno (1) de los contratos válidos aportados como experiencia general debe corresponder a la ejecución de un proyecto en zona urbana. SI APLICA”. </w:t>
      </w:r>
    </w:p>
    <w:p w14:paraId="5187D4D8" w14:textId="77777777" w:rsidR="00484850" w:rsidRPr="00484850" w:rsidRDefault="00484850" w:rsidP="00484850">
      <w:pPr>
        <w:tabs>
          <w:tab w:val="left" w:pos="0"/>
        </w:tabs>
        <w:spacing w:after="0"/>
        <w:ind w:right="709"/>
        <w:jc w:val="both"/>
        <w:rPr>
          <w:rFonts w:ascii="Verdana" w:eastAsia="Calibri" w:hAnsi="Verdana" w:cs="Arial"/>
          <w:bCs/>
          <w:lang w:val="es-ES_tradnl"/>
        </w:rPr>
      </w:pPr>
    </w:p>
    <w:p w14:paraId="62FD3F74" w14:textId="77777777" w:rsidR="00484850" w:rsidRPr="00484850" w:rsidRDefault="00484850" w:rsidP="00484850">
      <w:pPr>
        <w:tabs>
          <w:tab w:val="left" w:pos="0"/>
        </w:tabs>
        <w:spacing w:after="120" w:line="276" w:lineRule="auto"/>
        <w:ind w:firstLine="709"/>
        <w:jc w:val="both"/>
        <w:rPr>
          <w:rFonts w:ascii="Verdana" w:eastAsia="Calibri" w:hAnsi="Verdana" w:cs="Arial"/>
          <w:bCs/>
        </w:rPr>
      </w:pPr>
      <w:r w:rsidRPr="00484850">
        <w:rPr>
          <w:rFonts w:ascii="Verdana" w:eastAsia="Calibri" w:hAnsi="Verdana" w:cs="Arial"/>
          <w:color w:val="000000"/>
          <w:lang w:val="es-ES_tradnl" w:eastAsia="en-GB"/>
        </w:rPr>
        <w:t xml:space="preserve">Como se evidencia, cada uno de los requisitos de experiencia específica exigidos en esta actividad, por regla general, se acreditará en </w:t>
      </w:r>
      <w:r w:rsidRPr="00484850">
        <w:rPr>
          <w:rFonts w:ascii="Verdana" w:eastAsia="Aptos" w:hAnsi="Verdana" w:cs="Arial"/>
        </w:rPr>
        <w:t>“</w:t>
      </w:r>
      <w:r w:rsidRPr="00484850">
        <w:rPr>
          <w:rFonts w:ascii="Verdana" w:eastAsia="Calibri" w:hAnsi="Verdana" w:cs="Arial"/>
          <w:color w:val="000000"/>
          <w:lang w:val="es-ES_tradnl" w:eastAsia="en-GB"/>
        </w:rPr>
        <w:t>por lo menos 1 de los contratos válidos aportados</w:t>
      </w:r>
      <w:r w:rsidRPr="00484850">
        <w:rPr>
          <w:rFonts w:ascii="Verdana" w:eastAsia="Aptos" w:hAnsi="Verdana" w:cs="Arial"/>
        </w:rPr>
        <w:t>”</w:t>
      </w:r>
      <w:r w:rsidRPr="00484850">
        <w:rPr>
          <w:rFonts w:ascii="Verdana" w:eastAsia="Calibri" w:hAnsi="Verdana" w:cs="Arial"/>
          <w:color w:val="000000"/>
          <w:lang w:val="es-ES_tradnl" w:eastAsia="en-GB"/>
        </w:rPr>
        <w:t xml:space="preserve">. Sin embargo, </w:t>
      </w:r>
      <w:r w:rsidRPr="00484850">
        <w:rPr>
          <w:rFonts w:ascii="Verdana" w:eastAsia="Calibri" w:hAnsi="Verdana" w:cs="Arial"/>
          <w:bCs/>
        </w:rPr>
        <w:t>con base en la nota general señalada, el proponente podrá acreditar el porcentaje (%) de dimensionamiento requerido con la sumatoria de máximo dos (2) de los contratos válidos aportados, siempre que así lo haya establecido la entidad estatal en el pliego de condiciones.</w:t>
      </w:r>
    </w:p>
    <w:bookmarkEnd w:id="5"/>
    <w:p w14:paraId="28782EF1"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Ahora bien, retomando la experiencia específica obligatoria que se señaló en líneas anteriores, la</w:t>
      </w:r>
      <w:r w:rsidRPr="00484850">
        <w:rPr>
          <w:rFonts w:ascii="Verdana" w:eastAsia="Calibri" w:hAnsi="Verdana" w:cs="Arial"/>
          <w:bCs/>
          <w:lang w:val="es-ES_tradnl"/>
        </w:rPr>
        <w:t xml:space="preserve"> entidad deberá definir tres aspectos: i) la longitud de tubería equivalente a un determinado porcentaje, el cual establece la entidad de acuerdo con la cuantía del proceso, </w:t>
      </w:r>
      <w:proofErr w:type="spellStart"/>
      <w:r w:rsidRPr="00484850">
        <w:rPr>
          <w:rFonts w:ascii="Verdana" w:eastAsia="Calibri" w:hAnsi="Verdana" w:cs="Arial"/>
          <w:bCs/>
          <w:lang w:val="es-ES_tradnl"/>
        </w:rPr>
        <w:t>ii</w:t>
      </w:r>
      <w:proofErr w:type="spellEnd"/>
      <w:r w:rsidRPr="00484850">
        <w:rPr>
          <w:rFonts w:ascii="Verdana" w:eastAsia="Calibri" w:hAnsi="Verdana" w:cs="Arial"/>
          <w:bCs/>
          <w:lang w:val="es-ES_tradnl"/>
        </w:rPr>
        <w:t>) el material más representativo de la tubería -</w:t>
      </w:r>
      <w:r w:rsidRPr="00484850">
        <w:rPr>
          <w:rFonts w:ascii="Verdana" w:eastAsia="Calibri" w:hAnsi="Verdana" w:cs="Arial"/>
          <w:bCs/>
        </w:rPr>
        <w:t>PVC, HD, PEAD, GRP, ACCP, entre otras-</w:t>
      </w:r>
      <w:r w:rsidRPr="00484850">
        <w:rPr>
          <w:rFonts w:ascii="Verdana" w:eastAsia="Calibri" w:hAnsi="Verdana" w:cs="Arial"/>
          <w:bCs/>
          <w:lang w:val="es-ES_tradnl"/>
        </w:rPr>
        <w:t xml:space="preserve"> y, </w:t>
      </w:r>
      <w:proofErr w:type="spellStart"/>
      <w:r w:rsidRPr="00484850">
        <w:rPr>
          <w:rFonts w:ascii="Verdana" w:eastAsia="Calibri" w:hAnsi="Verdana" w:cs="Arial"/>
          <w:bCs/>
          <w:lang w:val="es-ES_tradnl"/>
        </w:rPr>
        <w:t>iii</w:t>
      </w:r>
      <w:proofErr w:type="spellEnd"/>
      <w:r w:rsidRPr="00484850">
        <w:rPr>
          <w:rFonts w:ascii="Verdana" w:eastAsia="Calibri" w:hAnsi="Verdana" w:cs="Arial"/>
          <w:bCs/>
          <w:lang w:val="es-ES_tradnl"/>
        </w:rPr>
        <w:t xml:space="preserve">) el rango de diámetros comerciales para la tubería principal o más representativa del proyecto o en su defecto un diámetro mínimo de referencia. En este caso, los proponentes podrán acreditar la longitud de tubería con la sumatoria de máximo dos contratos, </w:t>
      </w:r>
      <w:r w:rsidRPr="00484850">
        <w:rPr>
          <w:rFonts w:ascii="Verdana" w:eastAsia="Calibri" w:hAnsi="Verdana" w:cs="Arial"/>
          <w:bCs/>
          <w:lang w:val="es-ES_tradnl"/>
        </w:rPr>
        <w:lastRenderedPageBreak/>
        <w:t>siempre que así lo haya permitido la entidad, conforme lo explicado, y</w:t>
      </w:r>
      <w:r w:rsidRPr="00484850">
        <w:rPr>
          <w:rFonts w:ascii="Verdana" w:eastAsia="Calibri" w:hAnsi="Verdana" w:cs="Arial"/>
          <w:bCs/>
        </w:rPr>
        <w:t xml:space="preserve"> adicionalmente deberá cumplir con lo indicado en los demás aspectos. Por ejemplo, si la longitud de tubería a acreditar corresponde a 10 km, el material del contrato es PVC y el rango del diámetro se estableció entre 20” a 28”, el proponente podrá acreditar en máximo dos (2) contratos que sumen la totalidad de la longitud de tubería de 10 km, pero cada contrato deberá cumplir tanto con el material como con el rango de diámetro determinado. </w:t>
      </w:r>
    </w:p>
    <w:p w14:paraId="25AD9950"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 xml:space="preserve">De esta manera, el proponente podrá acreditar la longitud de tubería de 10km en máximo dos contratos que sumen la totalidad de estas magnitudes, siempre que así lo haya determinado la entidad. En todo caso, el oferente tendrá en cuenta que el máximo de contratos permitidos para acreditar la experiencia general y específica es máximo cinco (5), </w:t>
      </w:r>
      <w:r w:rsidRPr="00484850">
        <w:rPr>
          <w:rFonts w:ascii="Verdana" w:eastAsia="Calibri" w:hAnsi="Verdana" w:cs="Arial"/>
        </w:rPr>
        <w:t xml:space="preserve">sin perjuicio de lo previsto en las reglas de los criterios diferenciales por ser </w:t>
      </w:r>
      <w:proofErr w:type="spellStart"/>
      <w:r w:rsidRPr="00484850">
        <w:rPr>
          <w:rFonts w:ascii="Verdana" w:eastAsia="Calibri" w:hAnsi="Verdana" w:cs="Arial"/>
        </w:rPr>
        <w:t>Mipyme</w:t>
      </w:r>
      <w:proofErr w:type="spellEnd"/>
      <w:r w:rsidRPr="00484850">
        <w:rPr>
          <w:rFonts w:ascii="Verdana" w:eastAsia="Calibri" w:hAnsi="Verdana" w:cs="Arial"/>
        </w:rPr>
        <w:t xml:space="preserve"> y/o emprendimientos y empresas de mujeres,</w:t>
      </w:r>
      <w:r w:rsidRPr="00484850">
        <w:rPr>
          <w:rFonts w:ascii="Verdana" w:eastAsia="Calibri" w:hAnsi="Verdana" w:cs="Arial"/>
          <w:bCs/>
        </w:rPr>
        <w:t xml:space="preserve"> y que el número de contratos que aporte impactará en el valor del presupuesto oficial del proceso que deberá acreditar para cumplir con el requisito habilitante.</w:t>
      </w:r>
    </w:p>
    <w:p w14:paraId="0FDF49AA" w14:textId="77777777" w:rsidR="00484850" w:rsidRPr="00484850" w:rsidRDefault="00484850" w:rsidP="00484850">
      <w:pPr>
        <w:tabs>
          <w:tab w:val="left" w:pos="0"/>
        </w:tabs>
        <w:spacing w:before="120" w:after="120" w:line="276" w:lineRule="auto"/>
        <w:ind w:firstLine="709"/>
        <w:jc w:val="both"/>
        <w:rPr>
          <w:rFonts w:ascii="Verdana" w:eastAsia="Calibri" w:hAnsi="Verdana" w:cs="Arial"/>
          <w:bCs/>
        </w:rPr>
      </w:pPr>
      <w:r w:rsidRPr="00484850">
        <w:rPr>
          <w:rFonts w:ascii="Verdana" w:eastAsia="Calibri" w:hAnsi="Verdana" w:cs="Arial"/>
          <w:bCs/>
        </w:rPr>
        <w:t xml:space="preserve">Precisado el requisito de experiencia para la actividad 1.1 contenida en la Matriz 1 – Experiencia de los documentos tipo de licitación de obra pública de agua potable y saneamiento básico. </w:t>
      </w:r>
      <w:r w:rsidRPr="00484850">
        <w:rPr>
          <w:rFonts w:ascii="Verdana" w:eastAsia="Aptos" w:hAnsi="Verdana" w:cs="Times New Roman"/>
        </w:rPr>
        <w:t xml:space="preserve">Particularmente, en relación con el primer problema jurídico planteado en este concepto –esto es, si para la actividad 1.1 señalada con anterioridad es posible acreditar la experiencia con un contrato que corresponda a la construcción de una red de distribución de acueducto–, le indicamos que una red de distribución constituye uno de los componentes que integran un sistema de acueducto, pero no necesariamente equivale, por sí sola, a la construcción de un acueducto. Por lo tanto, no es procedente afirmar de manera general que todo contrato cuyo objeto se limite a la construcción de una red de distribución acredita automáticamente la experiencia general exigida para la construcción de acueductos. </w:t>
      </w:r>
    </w:p>
    <w:p w14:paraId="0419A9B2" w14:textId="77777777" w:rsidR="00484850" w:rsidRPr="00484850" w:rsidRDefault="00484850" w:rsidP="00484850">
      <w:pPr>
        <w:spacing w:after="120" w:line="276" w:lineRule="auto"/>
        <w:ind w:firstLine="708"/>
        <w:jc w:val="both"/>
        <w:rPr>
          <w:rFonts w:ascii="Verdana" w:eastAsia="Calibri" w:hAnsi="Verdana" w:cs="Calibri"/>
          <w:lang w:val="es-ES_tradnl"/>
        </w:rPr>
      </w:pPr>
      <w:r w:rsidRPr="00484850">
        <w:rPr>
          <w:rFonts w:ascii="Verdana" w:eastAsia="Calibri" w:hAnsi="Verdana" w:cs="Calibri"/>
          <w:lang w:val="es-ES_tradnl"/>
        </w:rPr>
        <w:t xml:space="preserve">No obstante, como se indicó, la Matriz 1 – Experiencia para la actividad 1.1 prevé que la entidad puede seleccionar experiencias específicas adicionales asociadas a determinados componentes del sistema, tales como aducción, conducción, conexiones domiciliarias, estaciones de bombeo, tanques de almacenamiento u otras opciones expresamente contempladas. En consecuencia, cuando la entidad haya definido dentro del proceso requisitos relacionados con componentes específicos del sistema de acueducto, podrá </w:t>
      </w:r>
      <w:r w:rsidRPr="00484850">
        <w:rPr>
          <w:rFonts w:ascii="Verdana" w:eastAsia="Calibri" w:hAnsi="Verdana" w:cs="Calibri"/>
          <w:lang w:val="es-ES_tradnl"/>
        </w:rPr>
        <w:lastRenderedPageBreak/>
        <w:t xml:space="preserve">valorar la experiencia acreditada en dichos componentes en los términos establecidos en la Matriz 1 – Experiencia, explicados con anterioridad. </w:t>
      </w:r>
    </w:p>
    <w:p w14:paraId="678FC836" w14:textId="77777777" w:rsidR="00484850" w:rsidRPr="00484850" w:rsidRDefault="00484850" w:rsidP="00484850">
      <w:pPr>
        <w:spacing w:after="120" w:line="276" w:lineRule="auto"/>
        <w:ind w:firstLine="708"/>
        <w:jc w:val="both"/>
        <w:rPr>
          <w:rFonts w:ascii="Verdana" w:eastAsia="Calibri" w:hAnsi="Verdana" w:cs="Calibri"/>
          <w:lang w:val="es-ES_tradnl"/>
        </w:rPr>
      </w:pPr>
      <w:r w:rsidRPr="00484850">
        <w:rPr>
          <w:rFonts w:ascii="Verdana" w:eastAsia="Calibri" w:hAnsi="Verdana" w:cs="Calibri"/>
          <w:lang w:val="es-ES_tradnl"/>
        </w:rPr>
        <w:t>Adicionalmente, la Nota General de la Matriz 1 – Experiencia dispone que se tendrán en cuenta contratos en los cuales se hayan ejecutado múltiples actividades, siempre que alguna de ellas se encuentre relacionada con la experiencia requerida, caso en el cual la acreditación deberá efectuarse respecto de las actividades efectivamente ejecutadas y conforme a las reglas establecidas en los Documentos Tipo.</w:t>
      </w:r>
    </w:p>
    <w:p w14:paraId="1200A273" w14:textId="77777777" w:rsidR="00484850" w:rsidRPr="00484850" w:rsidRDefault="00484850" w:rsidP="00484850">
      <w:pPr>
        <w:spacing w:after="120" w:line="276" w:lineRule="auto"/>
        <w:ind w:firstLine="708"/>
        <w:jc w:val="both"/>
        <w:rPr>
          <w:rFonts w:ascii="Verdana" w:eastAsia="Calibri" w:hAnsi="Verdana" w:cs="Calibri"/>
          <w:lang w:val="es-ES"/>
        </w:rPr>
      </w:pPr>
      <w:r w:rsidRPr="0A0C1B74">
        <w:rPr>
          <w:rFonts w:ascii="Verdana" w:eastAsia="Calibri" w:hAnsi="Verdana" w:cs="Calibri"/>
          <w:lang w:val="es-ES"/>
        </w:rPr>
        <w:t>En consecuencia, la correspondencia entre un contrato de construcción de redes de distribución y la actividad 1.1 contenida en la Matriz 1 – Experiencia deberá analizarse en cada caso particular a partir del alcance real del contrato acreditado y de las actividades exigidas por la entidad en el proceso de selección, sin que pueda concluirse que una red de distribución sea equivalente a un acueducto completo. Sin perjuicio de lo anterior, la experiencia especifica en redes de distribución podrá ser tenida en cuenta cuando corresponda a alguno de los componentes o experiencias específicas previstas por la entidad dentro de las opciones contempladas en la Matriz de Experiencia como, por ejemplo</w:t>
      </w:r>
      <w:proofErr w:type="gramStart"/>
      <w:r w:rsidRPr="0A0C1B74">
        <w:rPr>
          <w:rFonts w:ascii="Verdana" w:eastAsia="Calibri" w:hAnsi="Verdana" w:cs="Calibri"/>
          <w:lang w:val="es-ES"/>
        </w:rPr>
        <w:t>:  “</w:t>
      </w:r>
      <w:proofErr w:type="gramEnd"/>
      <w:r w:rsidRPr="0A0C1B74">
        <w:rPr>
          <w:rFonts w:ascii="Verdana" w:eastAsia="Calibri" w:hAnsi="Verdana" w:cs="Calibri"/>
          <w:lang w:val="es-ES"/>
        </w:rPr>
        <w:t>Por lo menos uno (1) de los contratos válidos aportados debe acreditar experiencia general en el componente de conducción. SI APLICA”.</w:t>
      </w:r>
      <w:r>
        <w:tab/>
      </w:r>
    </w:p>
    <w:p w14:paraId="3D64DFA8" w14:textId="77777777" w:rsidR="00484850" w:rsidRPr="00484850" w:rsidRDefault="00484850" w:rsidP="00484850">
      <w:pPr>
        <w:spacing w:after="0" w:line="276" w:lineRule="auto"/>
        <w:ind w:firstLine="708"/>
        <w:jc w:val="both"/>
        <w:rPr>
          <w:rFonts w:ascii="Verdana" w:eastAsia="Aptos" w:hAnsi="Verdana" w:cs="Times New Roman"/>
        </w:rPr>
      </w:pPr>
      <w:proofErr w:type="spellStart"/>
      <w:r w:rsidRPr="00484850">
        <w:rPr>
          <w:rFonts w:ascii="Verdana" w:eastAsia="Calibri" w:hAnsi="Verdana" w:cs="Calibri"/>
          <w:lang w:val="es-ES_tradnl"/>
        </w:rPr>
        <w:t>ii</w:t>
      </w:r>
      <w:proofErr w:type="spellEnd"/>
      <w:r w:rsidRPr="00484850">
        <w:rPr>
          <w:rFonts w:ascii="Verdana" w:eastAsia="Calibri" w:hAnsi="Verdana" w:cs="Calibri"/>
          <w:lang w:val="es-ES_tradnl"/>
        </w:rPr>
        <w:t xml:space="preserve">). </w:t>
      </w:r>
      <w:r w:rsidRPr="00484850">
        <w:rPr>
          <w:rFonts w:ascii="Verdana" w:eastAsia="Aptos" w:hAnsi="Verdana" w:cs="Times New Roman"/>
        </w:rPr>
        <w:t xml:space="preserve">La actividad 2.1 contempla los proyectos de construcción de alcantarillados sanitarios y/o pluviales y/o combinados (urbanos y/o rurales) y/u obras complementarias. Para esta actividad se determina como </w:t>
      </w:r>
      <w:r w:rsidRPr="00484850">
        <w:rPr>
          <w:rFonts w:ascii="Verdana" w:eastAsia="Aptos" w:hAnsi="Verdana" w:cs="Times New Roman"/>
          <w:i/>
          <w:iCs/>
        </w:rPr>
        <w:t>experiencia general</w:t>
      </w:r>
      <w:r w:rsidRPr="00484850">
        <w:rPr>
          <w:rFonts w:ascii="Verdana" w:eastAsia="Aptos" w:hAnsi="Verdana" w:cs="Times New Roman"/>
        </w:rPr>
        <w:t>: PROYECTOS QUE CORRESPONDAN O HAYAN CONTENIDO ACTIVIDADES DE: CONSTRUCCION DE ALCANTARILLADO (SANITARIO Y/O PLUVIAL Y/O COMBINADO). Para la experiencia específica se incluyó la siguiente nota general:</w:t>
      </w:r>
    </w:p>
    <w:p w14:paraId="61E50D9D" w14:textId="77777777" w:rsidR="00484850" w:rsidRPr="00484850" w:rsidRDefault="00484850" w:rsidP="00484850">
      <w:pPr>
        <w:spacing w:after="0" w:line="276" w:lineRule="auto"/>
        <w:ind w:firstLine="708"/>
        <w:jc w:val="both"/>
        <w:rPr>
          <w:rFonts w:ascii="Verdana" w:eastAsia="Calibri" w:hAnsi="Verdana" w:cs="Calibri"/>
          <w:lang w:val="es-ES_tradnl"/>
        </w:rPr>
      </w:pPr>
    </w:p>
    <w:p w14:paraId="2B483B38"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“En el caso que, debido a la magnitud física empleada como variable para establecimiento del % de dimensionamiento como experiencia específica, se aceptará que el mismo sea acreditado con la sumatoria de máximo dos (2) de los contratos válidos aportados, garantizando condiciones pluralistas y participativas, siendo requisitos adecuados y proporcionales. Cuando la entidad considere procedente esta posibilidad lo señalará en el pliego de condiciones al momento de indicar la experiencia a requerir.</w:t>
      </w:r>
    </w:p>
    <w:p w14:paraId="0D149E80" w14:textId="77777777" w:rsidR="00484850" w:rsidRPr="00484850" w:rsidRDefault="00484850" w:rsidP="00484850">
      <w:pPr>
        <w:spacing w:after="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lastRenderedPageBreak/>
        <w:t>La entidad NO podrá escoger más de 3 requisitos de experiencia específica, por lo que identificará los de mayor relevancia para el proyecto según la actividad a contratar”.</w:t>
      </w:r>
    </w:p>
    <w:p w14:paraId="6B114F17" w14:textId="77777777" w:rsidR="00484850" w:rsidRPr="00484850" w:rsidRDefault="00484850" w:rsidP="00484850">
      <w:pPr>
        <w:spacing w:after="0" w:line="276" w:lineRule="auto"/>
        <w:ind w:firstLine="708"/>
        <w:jc w:val="both"/>
        <w:rPr>
          <w:rFonts w:ascii="Verdana" w:eastAsia="Aptos" w:hAnsi="Verdana" w:cs="Times New Roman"/>
          <w:kern w:val="2"/>
          <w14:ligatures w14:val="standardContextual"/>
        </w:rPr>
      </w:pPr>
    </w:p>
    <w:p w14:paraId="12142736"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De acuerdo con la nota general, para esta actividad la entidad podrá aceptar que el porcentaje (%) de dimensionamiento exigido en la experiencia específica sea acreditado con la sumatoria de máximo dos (2) de los contratos válidos aportados. No obstante, será la entidad la que determine si procede aceptar su acreditación bajo estas condiciones, debido a la magnitud física empleada como variable para el establecimiento del % de dimensionamiento de la experiencia específica.</w:t>
      </w:r>
    </w:p>
    <w:p w14:paraId="2A30EDDA"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Por su parte, en relación con los requisitos de experiencia específica señalados para la actividad 2.1, la Matriz 1 – Experiencia dispone que “-Por lo menos uno (1) de los contratos válidos aportados como experiencia general debe contar con una longitud de tubería equivalente al (F%) de la longitud total establecida en el presente proceso de selección y que contemple como mínimo iguales o similares condiciones técnicas (entiéndase como mismas condiciones técnicas la instalación según tipo de tubería: PVC, PEX, CONCRETO, otras) el cual corresponde a [la Entidad establecerá el material más representativo en este apartado], y cuyo diámetro principal, o más representativo, se encuentre entre el siguiente rango (XX" y XX") [la Entidad establecerá el rango de diámetros que correspondan a la tubería principal o de mayor relevancia del proyecto, que correspondan a diámetros comerciales (p.ej.: 26" a 32"), o en su defecto, establecerá un diámetro mínimo de referencia, es decir mayor o igual a XX"]"”. Esta experiencia debe acreditarse de forma obligatoria.</w:t>
      </w:r>
    </w:p>
    <w:p w14:paraId="3221969E" w14:textId="77777777" w:rsidR="00484850" w:rsidRPr="00484850" w:rsidRDefault="00484850" w:rsidP="00484850">
      <w:pPr>
        <w:spacing w:after="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Adicionalmente, de acuerdo con la matriz, la entidad podrá escoger hasta dos (2) combinaciones de experiencia específica de las opciones enlistadas, según la pertinencia de estas y el alcance del futuro contrato. Es decir, que la entidad puede establecer una exigencia de experiencia específica adicional o, por el contrario, exigir hasta dos (2) requisitos adicionales para verificar la idoneidad del proponente, de acuerdo con el análisis de la entidad. Al respecto, la “Matriz 1 – Experiencia” dispone lo siguiente:</w:t>
      </w:r>
    </w:p>
    <w:p w14:paraId="4D9BFDBE" w14:textId="77777777" w:rsidR="00484850" w:rsidRPr="00484850" w:rsidRDefault="00484850" w:rsidP="00484850">
      <w:pPr>
        <w:spacing w:after="0" w:line="276" w:lineRule="auto"/>
        <w:ind w:firstLine="708"/>
        <w:jc w:val="both"/>
        <w:rPr>
          <w:rFonts w:ascii="Verdana" w:eastAsia="Times New Roman" w:hAnsi="Verdana" w:cs="Times New Roman"/>
          <w:lang w:eastAsia="es-MX"/>
        </w:rPr>
      </w:pPr>
    </w:p>
    <w:p w14:paraId="746253C3"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“Proyectos de Alcantarillados (Sanitario y/o pluvial y/o combinado): </w:t>
      </w:r>
    </w:p>
    <w:p w14:paraId="7B3455B3"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[Sin perjuicio, de la experiencia específica anterior que será obligatoria, es decir, la inmediatamente anterior, la Entidad escogerá </w:t>
      </w:r>
      <w:r w:rsidRPr="00484850">
        <w:rPr>
          <w:rFonts w:ascii="Verdana" w:eastAsia="Aptos" w:hAnsi="Verdana" w:cs="Times New Roman"/>
          <w:kern w:val="2"/>
          <w:sz w:val="21"/>
          <w:szCs w:val="21"/>
          <w14:ligatures w14:val="standardContextual"/>
        </w:rPr>
        <w:lastRenderedPageBreak/>
        <w:t>una o más combinaciones de experiencia específica, sin que sobrepase a 2 requisitos de las opciones enlistadas a continuación, según sea analizada la pertinencia de las mismas y el alcance del futuro contrato a suscribir de acuerdo con las siguientes alternativas:</w:t>
      </w:r>
    </w:p>
    <w:p w14:paraId="21C8A998"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Tenga en cuenta que el factor F% se aplicará de acuerdo al rango de SMMLV en el cual se encuentre el proceso de contratación.]</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2A1EDF8C"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el componente pozos de inspección, los cuales deben ser iguales o mayores al (F%) de los requeridos en la presente convocatoria para la captación [la Entidad establecerá la cantidad de pozos de inspección proyectados para establecer la relación según el factor F%].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7D72C197"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-Por lo menos uno (1) de los contratos válidos aportados debe acreditar experiencia general en alguno de estos componentes tales como: cámaras de </w:t>
      </w:r>
      <w:proofErr w:type="spellStart"/>
      <w:r w:rsidRPr="00484850">
        <w:rPr>
          <w:rFonts w:ascii="Verdana" w:eastAsia="Aptos" w:hAnsi="Verdana" w:cs="Times New Roman"/>
          <w:kern w:val="2"/>
          <w:sz w:val="21"/>
          <w:szCs w:val="21"/>
          <w14:ligatures w14:val="standardContextual"/>
        </w:rPr>
        <w:t>caida</w:t>
      </w:r>
      <w:proofErr w:type="spellEnd"/>
      <w:r w:rsidRPr="00484850">
        <w:rPr>
          <w:rFonts w:ascii="Verdana" w:eastAsia="Aptos" w:hAnsi="Verdana" w:cs="Times New Roman"/>
          <w:kern w:val="2"/>
          <w:sz w:val="21"/>
          <w:szCs w:val="21"/>
          <w14:ligatures w14:val="standardContextual"/>
        </w:rPr>
        <w:t>, sifones invertidos, disipadores de energía, entre otras estructuras hidráulicas asociadas con el objeto del proceso de selección.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3679C5DA"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el componente de conexiones domiciliarias, las cuales deben ser iguales o mayores al (F%) de los requeridos en la presente convocatoria para la captación [la Entidad establecerá el número estimada de conexiones domiciliarias para establecer la relación según el factor F%]. SI APLICA.</w:t>
      </w:r>
      <w:r w:rsidRPr="00484850">
        <w:rPr>
          <w:rFonts w:ascii="Verdana" w:eastAsia="Aptos" w:hAnsi="Verdana" w:cs="Times New Roman"/>
          <w:kern w:val="2"/>
          <w:sz w:val="21"/>
          <w:szCs w:val="21"/>
          <w14:ligatures w14:val="standardContextual"/>
        </w:rPr>
        <w:tab/>
      </w:r>
    </w:p>
    <w:p w14:paraId="78A809BE"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entibados para construcción de acueductos y/o alcantarillados.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618ABE26"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-Por lo menos uno (1) de los contratos válidos aportados debe acreditar experiencia general en construcción de canales hidráulicos que complementan los sistemas de alcantarillado sanitario y/o pluvial en zonas urbanas y/o rurales.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22ADA8E0" w14:textId="77777777" w:rsidR="00484850" w:rsidRPr="00484850" w:rsidRDefault="00484850" w:rsidP="00484850">
      <w:pPr>
        <w:spacing w:after="12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 Por lo menos uno (1) de los contratos válidos aportados como </w:t>
      </w:r>
      <w:proofErr w:type="spellStart"/>
      <w:r w:rsidRPr="00484850">
        <w:rPr>
          <w:rFonts w:ascii="Verdana" w:eastAsia="Aptos" w:hAnsi="Verdana" w:cs="Times New Roman"/>
          <w:kern w:val="2"/>
          <w:sz w:val="21"/>
          <w:szCs w:val="21"/>
          <w14:ligatures w14:val="standardContextual"/>
        </w:rPr>
        <w:t>experciencia</w:t>
      </w:r>
      <w:proofErr w:type="spellEnd"/>
      <w:r w:rsidRPr="00484850">
        <w:rPr>
          <w:rFonts w:ascii="Verdana" w:eastAsia="Aptos" w:hAnsi="Verdana" w:cs="Times New Roman"/>
          <w:kern w:val="2"/>
          <w:sz w:val="21"/>
          <w:szCs w:val="21"/>
          <w14:ligatures w14:val="standardContextual"/>
        </w:rPr>
        <w:t xml:space="preserve"> general, debe corresponder a la ejecución de un proyecto en zona rural y/o de </w:t>
      </w:r>
      <w:proofErr w:type="spellStart"/>
      <w:r w:rsidRPr="00484850">
        <w:rPr>
          <w:rFonts w:ascii="Verdana" w:eastAsia="Aptos" w:hAnsi="Verdana" w:cs="Times New Roman"/>
          <w:kern w:val="2"/>
          <w:sz w:val="21"/>
          <w:szCs w:val="21"/>
          <w14:ligatures w14:val="standardContextual"/>
        </w:rPr>
        <w:t>dificil</w:t>
      </w:r>
      <w:proofErr w:type="spellEnd"/>
      <w:r w:rsidRPr="00484850">
        <w:rPr>
          <w:rFonts w:ascii="Verdana" w:eastAsia="Aptos" w:hAnsi="Verdana" w:cs="Times New Roman"/>
          <w:kern w:val="2"/>
          <w:sz w:val="21"/>
          <w:szCs w:val="21"/>
          <w14:ligatures w14:val="standardContextual"/>
        </w:rPr>
        <w:t xml:space="preserve"> acceso, para lo cual entiéndase una zona de </w:t>
      </w:r>
      <w:proofErr w:type="spellStart"/>
      <w:r w:rsidRPr="00484850">
        <w:rPr>
          <w:rFonts w:ascii="Verdana" w:eastAsia="Aptos" w:hAnsi="Verdana" w:cs="Times New Roman"/>
          <w:kern w:val="2"/>
          <w:sz w:val="21"/>
          <w:szCs w:val="21"/>
          <w14:ligatures w14:val="standardContextual"/>
        </w:rPr>
        <w:t>dificil</w:t>
      </w:r>
      <w:proofErr w:type="spellEnd"/>
      <w:r w:rsidRPr="00484850">
        <w:rPr>
          <w:rFonts w:ascii="Verdana" w:eastAsia="Aptos" w:hAnsi="Verdana" w:cs="Times New Roman"/>
          <w:kern w:val="2"/>
          <w:sz w:val="21"/>
          <w:szCs w:val="21"/>
          <w14:ligatures w14:val="standardContextual"/>
        </w:rPr>
        <w:t xml:space="preserve"> acceso como aquella donde el transporte debe ser realizado de forma fluvial o aérea para su ejecución. SI APLICA</w:t>
      </w:r>
      <w:r w:rsidRPr="00484850">
        <w:rPr>
          <w:rFonts w:ascii="Verdana" w:eastAsia="Aptos" w:hAnsi="Verdana" w:cs="Times New Roman"/>
          <w:kern w:val="2"/>
          <w:sz w:val="21"/>
          <w:szCs w:val="21"/>
          <w14:ligatures w14:val="standardContextual"/>
        </w:rPr>
        <w:tab/>
      </w:r>
      <w:r w:rsidRPr="00484850">
        <w:rPr>
          <w:rFonts w:ascii="Verdana" w:eastAsia="Aptos" w:hAnsi="Verdana" w:cs="Times New Roman"/>
          <w:kern w:val="2"/>
          <w:sz w:val="21"/>
          <w:szCs w:val="21"/>
          <w14:ligatures w14:val="standardContextual"/>
        </w:rPr>
        <w:tab/>
      </w:r>
    </w:p>
    <w:p w14:paraId="7B345085" w14:textId="77777777" w:rsidR="00484850" w:rsidRPr="00484850" w:rsidRDefault="00484850" w:rsidP="00484850">
      <w:pPr>
        <w:spacing w:after="0" w:line="240" w:lineRule="auto"/>
        <w:ind w:left="709" w:right="709"/>
        <w:jc w:val="both"/>
        <w:rPr>
          <w:rFonts w:ascii="Verdana" w:eastAsia="Aptos" w:hAnsi="Verdana" w:cs="Times New Roman"/>
          <w:kern w:val="2"/>
          <w:sz w:val="21"/>
          <w:szCs w:val="21"/>
          <w14:ligatures w14:val="standardContextual"/>
        </w:rPr>
      </w:pPr>
      <w:r w:rsidRPr="00484850">
        <w:rPr>
          <w:rFonts w:ascii="Verdana" w:eastAsia="Aptos" w:hAnsi="Verdana" w:cs="Times New Roman"/>
          <w:kern w:val="2"/>
          <w:sz w:val="21"/>
          <w:szCs w:val="21"/>
          <w14:ligatures w14:val="standardContextual"/>
        </w:rPr>
        <w:t xml:space="preserve">- Por lo menos uno (1) de los contratos válidos </w:t>
      </w:r>
      <w:proofErr w:type="spellStart"/>
      <w:r w:rsidRPr="00484850">
        <w:rPr>
          <w:rFonts w:ascii="Verdana" w:eastAsia="Aptos" w:hAnsi="Verdana" w:cs="Times New Roman"/>
          <w:kern w:val="2"/>
          <w:sz w:val="21"/>
          <w:szCs w:val="21"/>
          <w14:ligatures w14:val="standardContextual"/>
        </w:rPr>
        <w:t>apotados</w:t>
      </w:r>
      <w:proofErr w:type="spellEnd"/>
      <w:r w:rsidRPr="00484850">
        <w:rPr>
          <w:rFonts w:ascii="Verdana" w:eastAsia="Aptos" w:hAnsi="Verdana" w:cs="Times New Roman"/>
          <w:kern w:val="2"/>
          <w:sz w:val="21"/>
          <w:szCs w:val="21"/>
          <w14:ligatures w14:val="standardContextual"/>
        </w:rPr>
        <w:t xml:space="preserve"> como experiencia general debe corresponder a la ejecución de un proyecto en zona urbana. SI APLICA”. </w:t>
      </w:r>
      <w:r w:rsidRPr="00484850">
        <w:rPr>
          <w:rFonts w:ascii="Verdana" w:eastAsia="Aptos" w:hAnsi="Verdana" w:cs="Times New Roman"/>
          <w:kern w:val="2"/>
          <w:sz w:val="21"/>
          <w:szCs w:val="21"/>
          <w14:ligatures w14:val="standardContextual"/>
        </w:rPr>
        <w:tab/>
      </w:r>
    </w:p>
    <w:p w14:paraId="2101F288" w14:textId="77777777" w:rsidR="00484850" w:rsidRPr="00484850" w:rsidRDefault="00484850" w:rsidP="00484850">
      <w:pPr>
        <w:spacing w:after="0" w:line="240" w:lineRule="auto"/>
        <w:ind w:left="709" w:right="709"/>
        <w:jc w:val="both"/>
        <w:rPr>
          <w:rFonts w:ascii="Verdana" w:eastAsia="Aptos" w:hAnsi="Verdana" w:cs="Times New Roman"/>
          <w:kern w:val="2"/>
          <w14:ligatures w14:val="standardContextual"/>
        </w:rPr>
      </w:pP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r w:rsidRPr="00484850">
        <w:rPr>
          <w:rFonts w:ascii="Verdana" w:eastAsia="Aptos" w:hAnsi="Verdana" w:cs="Times New Roman"/>
          <w:kern w:val="2"/>
          <w14:ligatures w14:val="standardContextual"/>
        </w:rPr>
        <w:tab/>
      </w:r>
    </w:p>
    <w:p w14:paraId="62C21AC1"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lastRenderedPageBreak/>
        <w:t>De acuerdo con lo anterior, cada uno de los requisitos de experiencia específica exigidos para la actividad 2.1, por regla general, se acreditará en “por lo menos 1 de los contratos válidos aportados”. Sin embargo, con base en la nota general señalada, el proponente podrá acreditar el porcentaje (%) de dimensionamiento requerido con la sumatoria de máximo dos (2) de los contratos válidos aportados, siempre que así lo haya establecido la entidad estatal en el pliego de condiciones.</w:t>
      </w:r>
    </w:p>
    <w:p w14:paraId="4B8945AA" w14:textId="77777777" w:rsidR="00484850" w:rsidRPr="00484850" w:rsidRDefault="00484850" w:rsidP="00484850">
      <w:pPr>
        <w:spacing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 xml:space="preserve">Retomando la experiencia específica obligatoria que se señaló en líneas anteriores, la entidad deberá definir tres aspectos: i) la longitud de tubería equivalente a un determinado porcentaje, el cual establece la entidad de acuerdo con la cuantía del proceso; </w:t>
      </w:r>
      <w:proofErr w:type="spellStart"/>
      <w:r w:rsidRPr="00484850">
        <w:rPr>
          <w:rFonts w:ascii="Verdana" w:eastAsia="Times New Roman" w:hAnsi="Verdana" w:cs="Times New Roman"/>
          <w:lang w:eastAsia="es-MX"/>
        </w:rPr>
        <w:t>ii</w:t>
      </w:r>
      <w:proofErr w:type="spellEnd"/>
      <w:r w:rsidRPr="00484850">
        <w:rPr>
          <w:rFonts w:ascii="Verdana" w:eastAsia="Times New Roman" w:hAnsi="Verdana" w:cs="Times New Roman"/>
          <w:lang w:eastAsia="es-MX"/>
        </w:rPr>
        <w:t xml:space="preserve">) el material más representativo de la tubería —PVC, PEX, concreto, entre otros—; y </w:t>
      </w:r>
      <w:proofErr w:type="spellStart"/>
      <w:r w:rsidRPr="00484850">
        <w:rPr>
          <w:rFonts w:ascii="Verdana" w:eastAsia="Times New Roman" w:hAnsi="Verdana" w:cs="Times New Roman"/>
          <w:lang w:eastAsia="es-MX"/>
        </w:rPr>
        <w:t>iii</w:t>
      </w:r>
      <w:proofErr w:type="spellEnd"/>
      <w:r w:rsidRPr="00484850">
        <w:rPr>
          <w:rFonts w:ascii="Verdana" w:eastAsia="Times New Roman" w:hAnsi="Verdana" w:cs="Times New Roman"/>
          <w:lang w:eastAsia="es-MX"/>
        </w:rPr>
        <w:t xml:space="preserve">) el rango de diámetros comerciales para la tubería principal o más representativa del proyecto, o en su defecto, un diámetro mínimo de referencia. En este caso, los proponentes podrán acreditar la longitud de tubería con la sumatoria de máximo dos contratos, siempre que así lo haya permitido la entidad, conforme lo explicado, y adicionalmente deberán cumplir con lo indicado en los demás aspectos. Por ejemplo, si la longitud de tubería a acreditar corresponde a 8 km, el material del contrato es PVC y el rango del diámetro se estableció entre 18" y 24", el proponente podrá acreditar en máximo dos (2) contratos que sumen la totalidad de la longitud de tubería de 8 km, pero cada contrato deberá cumplir tanto con el material como con el rango de diámetro determinado. </w:t>
      </w:r>
    </w:p>
    <w:p w14:paraId="6C4265A5" w14:textId="77777777" w:rsidR="00484850" w:rsidRPr="00484850" w:rsidRDefault="00484850" w:rsidP="00484850">
      <w:pPr>
        <w:spacing w:before="120" w:after="120" w:line="276" w:lineRule="auto"/>
        <w:ind w:firstLine="708"/>
        <w:jc w:val="both"/>
        <w:rPr>
          <w:rFonts w:ascii="Verdana" w:eastAsia="Aptos" w:hAnsi="Verdana" w:cs="Times New Roman"/>
        </w:rPr>
      </w:pPr>
      <w:r w:rsidRPr="00484850">
        <w:rPr>
          <w:rFonts w:ascii="Verdana" w:eastAsia="Aptos" w:hAnsi="Verdana" w:cs="Times New Roman"/>
        </w:rPr>
        <w:t xml:space="preserve">De acuerdo con los requisitos de experiencia general y específica, además de las notas dispuestas para la actividad 2.1 contenida en la Matriz 1 – Experiencia de los documentos tipo de licitación de obra pública de infraestructura de agua potable y saneamiento básico, y considerando los problemas jurídicos dos (2) y tres (3) planteados en este concepto –en los que se plantea, respectivamente, si un contrato cuyo objeto sea el mejoramiento de un sistema de alcantarillado sanitario, pluvial o combinado puede ser considerado como experiencia válida para esta actividad, y si un contrato cuyo objeto sea la construcción de un colector central (o colector principal) de alcantarillado corresponde a un proyecto de construcción de alcantarillado y, en consecuencia, acredita la experiencia prevista en la actividad 2.1 de la Matriz 1. Sobre el particular, le indicamos que,  tal como se señaló, la experiencia general exigida para esta actividad debe acreditarse con contratos que correspondan o </w:t>
      </w:r>
      <w:r w:rsidRPr="00484850">
        <w:rPr>
          <w:rFonts w:ascii="Verdana" w:eastAsia="Aptos" w:hAnsi="Verdana" w:cs="Times New Roman"/>
        </w:rPr>
        <w:lastRenderedPageBreak/>
        <w:t xml:space="preserve">hayan contenido actividades de construcción de alcantarillados –sanitario y/o pluvial y/o combinado–. </w:t>
      </w:r>
    </w:p>
    <w:p w14:paraId="4A425171"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En consecuencia, un contrato cuyo objeto corresponda al mejoramiento de un sistema de alcantarillado sanitario, pluvial o combinado no equivale, por sí mismo, a un contrato de construcción de alcantarillado, toda vez que los documentos tipo distinguen ambas actividades y las regulan en categorías diferentes de la Matriz de Experiencia. En efecto, de acuerdo con el Reglamento Técnico para el Sector de Agua Potable y Saneamiento Básico –RAS–, adoptado mediante la Resolución 330 de 2017 del Ministerio de Vivienda, Ciudad y Territorio, es posible identificar una diferencia técnica clara entre “construcción” y “mejoramiento”, aplicable al análisis del problema jurídico planteado.</w:t>
      </w:r>
    </w:p>
    <w:p w14:paraId="6D3B4878"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 xml:space="preserve">En cuanto a la construcción, el Capítulo 3 del Título 1 de la citada resolución está dedicado específicamente a esta actividad, y en su artículo 25 señala que dicho capítulo fija “los requerimientos mínimos que se deben tener en cuenta para la construcción de la infraestructura relacionada con el suministro de agua potable y saneamiento básico”. Asimismo, el artículo 26 dispone que “todas las obras de ingeniería que se desarrollen en el sector de agua potable y saneamiento básico deberán contar con diseños y planos debidamente firmados por el diseñador, el interventor y aprobados por la entidad contratante”. De lo anterior se desprende que, para efectos del RAS, la construcción corresponde a la materialización física de una obra nueva –o de un componente inexistente dentro de un sistema– con fundamento en un diseño de ingeniería previamente elaborado, aprobado e </w:t>
      </w:r>
      <w:proofErr w:type="spellStart"/>
      <w:r w:rsidRPr="00484850">
        <w:rPr>
          <w:rFonts w:ascii="Verdana" w:eastAsia="Times New Roman" w:hAnsi="Verdana" w:cs="Times New Roman"/>
          <w:lang w:eastAsia="es-MX"/>
        </w:rPr>
        <w:t>interventoriado</w:t>
      </w:r>
      <w:proofErr w:type="spellEnd"/>
      <w:r w:rsidRPr="00484850">
        <w:rPr>
          <w:rFonts w:ascii="Verdana" w:eastAsia="Times New Roman" w:hAnsi="Verdana" w:cs="Times New Roman"/>
          <w:lang w:eastAsia="es-MX"/>
        </w:rPr>
        <w:t>, hasta su puesta en marcha.</w:t>
      </w:r>
    </w:p>
    <w:p w14:paraId="16581D6E"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 xml:space="preserve">Ahora bien, el </w:t>
      </w:r>
      <w:r w:rsidRPr="00484850">
        <w:rPr>
          <w:rFonts w:ascii="Verdana" w:eastAsia="Aptos" w:hAnsi="Verdana" w:cs="Times New Roman"/>
        </w:rPr>
        <w:t>Reglamento Técnico para el Sector de Agua Potable y Saneamiento Básico –RAS–</w:t>
      </w:r>
      <w:r w:rsidRPr="00484850">
        <w:rPr>
          <w:rFonts w:ascii="Verdana" w:eastAsia="Times New Roman" w:hAnsi="Verdana" w:cs="Times New Roman"/>
          <w:lang w:eastAsia="es-MX"/>
        </w:rPr>
        <w:t xml:space="preserve"> no define de manera aislada el término “mejoramiento” en un artículo específico. No obstante, su uso reiterado a lo largo del reglamento permite establecer su alcance técnico. En efecto, el artículo 2° de la Resolución 1096 de 2000, al referirse a la justificación de los proyectos, señala que todo componente de un sistema del sector debe justificarse con la identificación de un problema de salud pública, ambiental o de bienestar social, “el cual tiene solución, ya sea mediante la ejecución del sistema propuesto, la ampliación de cobertura de un servicio o mejoramiento de su calidad y eficiencia”. De igual forma, el artículo 24 </w:t>
      </w:r>
      <w:proofErr w:type="spellStart"/>
      <w:r w:rsidRPr="00484850">
        <w:rPr>
          <w:rFonts w:ascii="Verdana" w:eastAsia="Times New Roman" w:hAnsi="Verdana" w:cs="Times New Roman"/>
          <w:lang w:eastAsia="es-MX"/>
        </w:rPr>
        <w:t>ibídem</w:t>
      </w:r>
      <w:proofErr w:type="spellEnd"/>
      <w:r w:rsidRPr="00484850">
        <w:rPr>
          <w:rFonts w:ascii="Verdana" w:eastAsia="Times New Roman" w:hAnsi="Verdana" w:cs="Times New Roman"/>
          <w:lang w:eastAsia="es-MX"/>
        </w:rPr>
        <w:t xml:space="preserve"> dispone que “cualquier proyecto dirigido a la ampliación de la cobertura o mejoramiento del servicio de suministro de agua potable debe complementarse con las siguientes actividades (…)”. De </w:t>
      </w:r>
      <w:r w:rsidRPr="00484850">
        <w:rPr>
          <w:rFonts w:ascii="Verdana" w:eastAsia="Times New Roman" w:hAnsi="Verdana" w:cs="Times New Roman"/>
          <w:lang w:eastAsia="es-MX"/>
        </w:rPr>
        <w:lastRenderedPageBreak/>
        <w:t>lo anterior se concluye que, el mejoramiento se predica siempre sobre un servicio, sistema o infraestructura ya existente, y está orientado a incrementar su calidad, eficiencia o desempeño, sin que ello implique la creación de una obra nueva.</w:t>
      </w:r>
    </w:p>
    <w:p w14:paraId="4D6DC5C6" w14:textId="77777777" w:rsidR="00484850" w:rsidRPr="00484850" w:rsidRDefault="00484850" w:rsidP="00484850">
      <w:pPr>
        <w:spacing w:before="120" w:after="120" w:line="276" w:lineRule="auto"/>
        <w:ind w:firstLine="708"/>
        <w:jc w:val="both"/>
        <w:rPr>
          <w:rFonts w:ascii="Verdana" w:eastAsia="Times New Roman" w:hAnsi="Verdana" w:cs="Times New Roman"/>
          <w:lang w:eastAsia="es-MX"/>
        </w:rPr>
      </w:pPr>
      <w:r w:rsidRPr="00484850">
        <w:rPr>
          <w:rFonts w:ascii="Verdana" w:eastAsia="Times New Roman" w:hAnsi="Verdana" w:cs="Times New Roman"/>
          <w:lang w:eastAsia="es-MX"/>
        </w:rPr>
        <w:t>Esta distinción se ve reforzada por el artículo 8° de la Resolución 330 de 2017, que, al regular el diagnóstico y evaluación del sistema existente como actividad preliminar de todo proyecto, establece que “con el diagnóstico sobre la infraestructura, se deberán plantear acciones de rehabilitación, reposición, optimización y/o ampliación”. Se observa entonces que el mejoramiento –junto con figuras afines como la rehabilitación, la reposición, la optimización y la ampliación– constituye una categoría de intervención que presupone la preexistencia de la infraestructura objeto de la actuación, mientras que la construcción presupone precisamente lo contrario: la inexistencia previa de dicha infraestructura o componente.</w:t>
      </w:r>
    </w:p>
    <w:p w14:paraId="07491B58" w14:textId="77777777" w:rsidR="00484850" w:rsidRPr="00484850" w:rsidRDefault="00484850" w:rsidP="00484850">
      <w:pPr>
        <w:spacing w:after="120" w:line="276" w:lineRule="auto"/>
        <w:ind w:firstLine="708"/>
        <w:jc w:val="both"/>
        <w:rPr>
          <w:rFonts w:ascii="Verdana" w:eastAsia="Aptos" w:hAnsi="Verdana" w:cs="Times New Roman"/>
        </w:rPr>
      </w:pPr>
      <w:r w:rsidRPr="00484850">
        <w:rPr>
          <w:rFonts w:ascii="Verdana" w:eastAsia="Aptos" w:hAnsi="Verdana" w:cs="Times New Roman"/>
        </w:rPr>
        <w:t>De acuerdo con lo anterior, la experiencia acreditada mediante contratos de mejoramiento de alcantarillado no resulta suficiente para acreditar automáticamente la solicitada para la actividad 2.1. Estos contratos deberán analizarse bajo la actividad 2.2 o la actividad que corresponda según el alcance efectivamente ejecutado y las reglas establecidas en la Matriz 1 –  Experiencia.</w:t>
      </w:r>
    </w:p>
    <w:p w14:paraId="1AAAAD5A" w14:textId="77777777" w:rsidR="00484850" w:rsidRPr="00484850" w:rsidRDefault="00484850" w:rsidP="00484850">
      <w:pPr>
        <w:spacing w:line="276" w:lineRule="auto"/>
        <w:ind w:firstLine="708"/>
        <w:jc w:val="both"/>
        <w:rPr>
          <w:rFonts w:ascii="Verdana" w:eastAsia="Aptos" w:hAnsi="Verdana" w:cs="Times New Roman"/>
        </w:rPr>
      </w:pPr>
      <w:r w:rsidRPr="00484850">
        <w:rPr>
          <w:rFonts w:ascii="Verdana" w:eastAsia="Aptos" w:hAnsi="Verdana" w:cs="Times New Roman"/>
        </w:rPr>
        <w:t>En conclusión, para efectos de los documentos tipo, particularmente, para la experiencia requerida para la actividad 2.1, un mejoramiento no es equivalente a una construcción, por lo que la experiencia exigida para esta actividad debe corresponder a proyectos que acrediten la construcción de alcantarillados, conforme a las definiciones y requisitos previstos en la Matriz 1 – Experiencia.</w:t>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r w:rsidRPr="00484850">
        <w:rPr>
          <w:rFonts w:ascii="Verdana" w:eastAsia="Aptos" w:hAnsi="Verdana" w:cs="Times New Roman"/>
        </w:rPr>
        <w:tab/>
      </w:r>
    </w:p>
    <w:p w14:paraId="20C919E2" w14:textId="77777777" w:rsidR="00484850" w:rsidRPr="00484850" w:rsidRDefault="00484850" w:rsidP="00484850">
      <w:pPr>
        <w:spacing w:line="276" w:lineRule="auto"/>
        <w:ind w:firstLine="708"/>
        <w:jc w:val="both"/>
        <w:rPr>
          <w:rFonts w:ascii="Verdana" w:eastAsia="Aptos" w:hAnsi="Verdana" w:cs="Times New Roman"/>
        </w:rPr>
      </w:pPr>
      <w:r w:rsidRPr="00484850">
        <w:rPr>
          <w:rFonts w:ascii="Verdana" w:eastAsia="Aptos" w:hAnsi="Verdana" w:cs="Times New Roman"/>
        </w:rPr>
        <w:t>Por otra parte, en relación con el quinto problema jurídico planteado en su solicitud, le indicamos que, un colector central o colector principal constituye uno de los componentes que integran un sistema de alcantarillado. Sin embargo, al igual que ocurre con otros elementos que hacen parte de este tipo de infraestructura, la ejecución de un colector no necesariamente equivale, por sí sola, a la construcción integral de un sistema de alcantarillado.</w:t>
      </w:r>
    </w:p>
    <w:p w14:paraId="5DF2B1D1" w14:textId="77777777" w:rsidR="00484850" w:rsidRPr="00484850" w:rsidRDefault="00484850" w:rsidP="00484850">
      <w:pPr>
        <w:spacing w:line="276" w:lineRule="auto"/>
        <w:ind w:firstLine="708"/>
        <w:jc w:val="both"/>
        <w:rPr>
          <w:rFonts w:ascii="Verdana" w:eastAsia="Aptos" w:hAnsi="Verdana" w:cs="Times New Roman"/>
        </w:rPr>
      </w:pPr>
      <w:r w:rsidRPr="00484850">
        <w:rPr>
          <w:rFonts w:ascii="Verdana" w:eastAsia="Aptos" w:hAnsi="Verdana" w:cs="Times New Roman"/>
        </w:rPr>
        <w:t xml:space="preserve">En consecuencia, no es posible afirmar de manera general que todo contrato cuyo objeto se limite a la construcción de un colector central o colector principal acredita automáticamente la experiencia general prevista para la </w:t>
      </w:r>
      <w:r w:rsidRPr="00484850">
        <w:rPr>
          <w:rFonts w:ascii="Verdana" w:eastAsia="Aptos" w:hAnsi="Verdana" w:cs="Times New Roman"/>
        </w:rPr>
        <w:lastRenderedPageBreak/>
        <w:t>actividad 2.1. Así, le corresponde a la entidad verificar, con base en el alcance efectivamente ejecutado y en la documentación aportada, si el contrato corresponde a la construcción de un sistema de alcantarillado o si se limita a la ejecución de uno de sus componentes.</w:t>
      </w:r>
    </w:p>
    <w:p w14:paraId="429C7A0A" w14:textId="77777777" w:rsidR="00484850" w:rsidRPr="00484850" w:rsidRDefault="00484850" w:rsidP="00484850">
      <w:pPr>
        <w:spacing w:line="276" w:lineRule="auto"/>
        <w:ind w:firstLine="708"/>
        <w:jc w:val="both"/>
        <w:rPr>
          <w:rFonts w:ascii="Verdana" w:eastAsia="Aptos" w:hAnsi="Verdana" w:cs="Times New Roman"/>
        </w:rPr>
      </w:pPr>
      <w:r w:rsidRPr="00484850">
        <w:rPr>
          <w:rFonts w:ascii="Verdana" w:eastAsia="Aptos" w:hAnsi="Verdana" w:cs="Times New Roman"/>
        </w:rPr>
        <w:t>No obstante, se resalta que, la Nota General de la Matriz 1 – Experiencia para la actividad 2.1, establece que la entidad podrá valorar contratos en los cuales se hayan ejecutado múltiples actividades, siempre que alguna de ellas se relacione con la experiencia requerida, caso en el cual la acreditación se efectuará respecto de las actividades efectivamente ejecutadas y de conformidad con las reglas previstas en los documentos tipo.</w:t>
      </w:r>
    </w:p>
    <w:p w14:paraId="0802A6AE" w14:textId="77777777" w:rsidR="00484850" w:rsidRPr="00484850" w:rsidRDefault="00484850" w:rsidP="00484850">
      <w:pPr>
        <w:spacing w:after="0" w:line="276" w:lineRule="auto"/>
        <w:ind w:firstLine="708"/>
        <w:jc w:val="both"/>
        <w:rPr>
          <w:rFonts w:ascii="Verdana" w:eastAsia="Aptos" w:hAnsi="Verdana" w:cs="Times New Roman"/>
        </w:rPr>
      </w:pPr>
      <w:r w:rsidRPr="00484850">
        <w:rPr>
          <w:rFonts w:ascii="Verdana" w:eastAsia="Aptos" w:hAnsi="Verdana" w:cs="Times New Roman"/>
        </w:rPr>
        <w:t>Por lo anterior, un contrato de construcción de un colector central o colector principal no puede asimilarse automáticamente a un proyecto de construcción de alcantarillado, pues el colector constituye un componente del sistema. Sin perjuicio de ello, la entidad podrá considerar dicha experiencia cuando, de la documentación aportada, se evidencie que el alcance ejecutado corresponde efectivamente a actividades de construcción de alcantarillado en los términos previstos en la actividad 2.1 de la Matriz 1 – Experiencia.</w:t>
      </w:r>
    </w:p>
    <w:p w14:paraId="68C11AE7" w14:textId="77777777" w:rsidR="00484850" w:rsidRPr="00484850" w:rsidRDefault="00484850" w:rsidP="00484850">
      <w:pPr>
        <w:spacing w:after="0" w:line="276" w:lineRule="auto"/>
        <w:ind w:firstLine="708"/>
        <w:jc w:val="both"/>
        <w:rPr>
          <w:rFonts w:ascii="Verdana" w:eastAsia="Aptos" w:hAnsi="Verdana" w:cs="Times New Roman"/>
        </w:rPr>
      </w:pPr>
    </w:p>
    <w:p w14:paraId="53320AE0" w14:textId="77777777" w:rsidR="00484850" w:rsidRPr="00484850" w:rsidRDefault="00484850" w:rsidP="00484850">
      <w:pPr>
        <w:tabs>
          <w:tab w:val="left" w:pos="709"/>
        </w:tabs>
        <w:snapToGrid w:val="0"/>
        <w:spacing w:after="120" w:line="276" w:lineRule="auto"/>
        <w:jc w:val="both"/>
        <w:rPr>
          <w:rFonts w:ascii="Verdana" w:eastAsia="Calibri" w:hAnsi="Verdana" w:cs="Arial"/>
          <w:color w:val="000000"/>
          <w:kern w:val="2"/>
          <w:lang w:val="es-ES"/>
          <w14:ligatures w14:val="standardContextual"/>
        </w:rPr>
      </w:pPr>
      <w:proofErr w:type="spellStart"/>
      <w:r w:rsidRPr="00484850">
        <w:rPr>
          <w:rFonts w:ascii="Verdana" w:eastAsia="Calibri" w:hAnsi="Verdana" w:cs="Arial"/>
          <w:color w:val="000000"/>
          <w:kern w:val="2"/>
          <w:lang w:val="es-ES"/>
          <w14:ligatures w14:val="standardContextual"/>
        </w:rPr>
        <w:t>iii</w:t>
      </w:r>
      <w:proofErr w:type="spellEnd"/>
      <w:r w:rsidRPr="00484850">
        <w:rPr>
          <w:rFonts w:ascii="Verdana" w:eastAsia="Calibri" w:hAnsi="Verdana" w:cs="Arial"/>
          <w:color w:val="000000"/>
          <w:kern w:val="2"/>
          <w:lang w:val="es-ES"/>
          <w14:ligatures w14:val="standardContextual"/>
        </w:rPr>
        <w:t>. Finalmente, debe advertirse que, el análisis requerido para resolver problemas específicos en torno a la contratación de las entidades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1D80FFD" w14:textId="77777777" w:rsidR="00484850" w:rsidRPr="00484850" w:rsidRDefault="00484850" w:rsidP="00484850">
      <w:pPr>
        <w:tabs>
          <w:tab w:val="left" w:pos="709"/>
        </w:tabs>
        <w:snapToGrid w:val="0"/>
        <w:spacing w:after="0" w:line="276" w:lineRule="auto"/>
        <w:ind w:firstLine="709"/>
        <w:jc w:val="both"/>
        <w:rPr>
          <w:rFonts w:ascii="Verdana" w:eastAsia="Calibri" w:hAnsi="Verdana" w:cs="Arial"/>
          <w:color w:val="000000"/>
          <w:kern w:val="2"/>
          <w:lang w:val="es-ES"/>
          <w14:ligatures w14:val="standardContextual"/>
        </w:rPr>
      </w:pPr>
      <w:r w:rsidRPr="00484850">
        <w:rPr>
          <w:rFonts w:ascii="Verdana" w:eastAsia="Calibri" w:hAnsi="Verdana" w:cs="Arial"/>
          <w:color w:val="000000"/>
          <w:kern w:val="2"/>
          <w:lang w:val="es-ES"/>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w:t>
      </w:r>
      <w:r w:rsidRPr="00484850">
        <w:rPr>
          <w:rFonts w:ascii="Verdana" w:eastAsia="Calibri" w:hAnsi="Verdana" w:cs="Arial"/>
          <w:color w:val="000000"/>
          <w:kern w:val="2"/>
          <w:lang w:val="es-ES"/>
          <w14:ligatures w14:val="standardContextual"/>
        </w:rPr>
        <w:lastRenderedPageBreak/>
        <w:t>gestión contractual, sin que sea atribución de Colombia Compra Eficiente validar sus actuaciones.</w:t>
      </w:r>
    </w:p>
    <w:p w14:paraId="18EA23DF" w14:textId="77777777" w:rsidR="00484850" w:rsidRPr="00484850" w:rsidRDefault="00484850" w:rsidP="00484850">
      <w:pPr>
        <w:spacing w:after="0"/>
        <w:ind w:firstLine="708"/>
        <w:jc w:val="both"/>
        <w:rPr>
          <w:rFonts w:ascii="Verdana" w:eastAsia="Aptos" w:hAnsi="Verdana" w:cs="Arial"/>
          <w:color w:val="000000"/>
          <w:lang w:val="es-ES"/>
        </w:rPr>
      </w:pPr>
    </w:p>
    <w:p w14:paraId="696ED602" w14:textId="77777777" w:rsidR="00484850" w:rsidRPr="00484850" w:rsidRDefault="00484850" w:rsidP="00484850">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484850">
        <w:rPr>
          <w:rFonts w:ascii="Verdana" w:eastAsia="Century Gothic" w:hAnsi="Verdana" w:cs="Century Gothic"/>
          <w:b/>
          <w:bCs/>
        </w:rPr>
        <w:t>Referencias normativas, jurisprudenciales y otras fuentes:</w:t>
      </w:r>
    </w:p>
    <w:p w14:paraId="5C150D2D" w14:textId="77777777" w:rsidR="00484850" w:rsidRPr="00484850" w:rsidRDefault="00484850" w:rsidP="00484850">
      <w:pPr>
        <w:spacing w:after="0"/>
        <w:ind w:left="-15840"/>
        <w:jc w:val="both"/>
        <w:rPr>
          <w:rFonts w:ascii="Verdana" w:eastAsia="Calibri" w:hAnsi="Verdana" w:cs="Arial"/>
          <w:b/>
          <w:bCs/>
        </w:rPr>
      </w:pPr>
      <w:r w:rsidRPr="00484850">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84850" w:rsidRPr="00484850" w14:paraId="30813A13" w14:textId="77777777" w:rsidTr="005672E7">
        <w:trPr>
          <w:trHeight w:val="870"/>
        </w:trPr>
        <w:tc>
          <w:tcPr>
            <w:tcW w:w="8647" w:type="dxa"/>
            <w:tcBorders>
              <w:top w:val="dotted" w:sz="4" w:space="0" w:color="auto"/>
              <w:left w:val="dotted" w:sz="4" w:space="0" w:color="auto"/>
              <w:bottom w:val="dotted" w:sz="4" w:space="0" w:color="auto"/>
              <w:right w:val="dotted" w:sz="4" w:space="0" w:color="auto"/>
            </w:tcBorders>
          </w:tcPr>
          <w:p w14:paraId="2EA75A41" w14:textId="77777777" w:rsidR="00484850" w:rsidRPr="00484850" w:rsidRDefault="00484850" w:rsidP="00484850">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484850">
              <w:rPr>
                <w:rFonts w:ascii="Verdana" w:eastAsia="Calibri" w:hAnsi="Verdana" w:cs="Arial"/>
                <w:lang w:val="es-ES_tradnl"/>
              </w:rPr>
              <w:t xml:space="preserve">Ley 2022 de 2020, artículo 1. </w:t>
            </w:r>
          </w:p>
          <w:p w14:paraId="653E4075" w14:textId="77777777" w:rsidR="00484850" w:rsidRPr="00484850" w:rsidRDefault="00484850" w:rsidP="00484850">
            <w:pPr>
              <w:widowControl w:val="0"/>
              <w:numPr>
                <w:ilvl w:val="0"/>
                <w:numId w:val="17"/>
              </w:numPr>
              <w:autoSpaceDE w:val="0"/>
              <w:autoSpaceDN w:val="0"/>
              <w:spacing w:line="276" w:lineRule="auto"/>
              <w:jc w:val="both"/>
              <w:rPr>
                <w:rFonts w:ascii="Verdana" w:eastAsia="Calibri" w:hAnsi="Verdana" w:cs="Arial"/>
              </w:rPr>
            </w:pPr>
            <w:r w:rsidRPr="00484850">
              <w:rPr>
                <w:rFonts w:ascii="Verdana" w:eastAsia="Calibri" w:hAnsi="Verdana" w:cs="Arial"/>
              </w:rPr>
              <w:t>Ley 1150 de 2007, artículo 2.</w:t>
            </w:r>
          </w:p>
          <w:p w14:paraId="203BC855" w14:textId="77777777" w:rsidR="00484850" w:rsidRPr="00484850" w:rsidRDefault="00484850" w:rsidP="00484850">
            <w:pPr>
              <w:widowControl w:val="0"/>
              <w:numPr>
                <w:ilvl w:val="0"/>
                <w:numId w:val="17"/>
              </w:numPr>
              <w:autoSpaceDE w:val="0"/>
              <w:autoSpaceDN w:val="0"/>
              <w:spacing w:line="276" w:lineRule="auto"/>
              <w:contextualSpacing/>
              <w:jc w:val="both"/>
              <w:rPr>
                <w:rFonts w:ascii="Verdana" w:eastAsia="Calibri" w:hAnsi="Verdana" w:cs="Arial"/>
                <w:lang w:val="es-ES"/>
              </w:rPr>
            </w:pPr>
            <w:r w:rsidRPr="00484850">
              <w:rPr>
                <w:rFonts w:ascii="Verdana" w:eastAsia="Calibri" w:hAnsi="Verdana" w:cs="Arial"/>
                <w:lang w:val="es-ES_tradnl"/>
              </w:rPr>
              <w:t xml:space="preserve">Documentos Tipo. Disponibles en: </w:t>
            </w:r>
            <w:hyperlink r:id="rId11" w:history="1">
              <w:r w:rsidRPr="00484850">
                <w:rPr>
                  <w:rFonts w:ascii="Verdana" w:eastAsia="Calibri" w:hAnsi="Verdana" w:cs="Arial"/>
                  <w:color w:val="0000FF"/>
                  <w:u w:val="single"/>
                  <w:lang w:val="es-ES_tradnl"/>
                </w:rPr>
                <w:t>https://www.colombiacompra.gov.co/documentos-tipo/documentos-tipo</w:t>
              </w:r>
            </w:hyperlink>
            <w:r w:rsidRPr="00484850">
              <w:rPr>
                <w:rFonts w:ascii="Verdana" w:eastAsia="Calibri" w:hAnsi="Verdana" w:cs="Arial"/>
                <w:lang w:val="es-ES_tradnl"/>
              </w:rPr>
              <w:t>.</w:t>
            </w:r>
          </w:p>
        </w:tc>
      </w:tr>
    </w:tbl>
    <w:p w14:paraId="689DB288" w14:textId="77777777" w:rsidR="00484850" w:rsidRPr="00484850" w:rsidRDefault="00484850" w:rsidP="00484850">
      <w:pPr>
        <w:tabs>
          <w:tab w:val="left" w:pos="142"/>
          <w:tab w:val="left" w:pos="284"/>
        </w:tabs>
        <w:spacing w:after="0" w:line="276" w:lineRule="auto"/>
        <w:jc w:val="both"/>
        <w:rPr>
          <w:rFonts w:ascii="Verdana" w:eastAsia="Calibri" w:hAnsi="Verdana" w:cs="Arial"/>
        </w:rPr>
      </w:pPr>
    </w:p>
    <w:p w14:paraId="04D6FE20" w14:textId="77777777" w:rsidR="00484850" w:rsidRPr="00484850" w:rsidRDefault="00484850" w:rsidP="00484850">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484850">
        <w:rPr>
          <w:rFonts w:ascii="Verdana" w:eastAsia="Century Gothic" w:hAnsi="Verdana" w:cs="Century Gothic"/>
          <w:b/>
          <w:bCs/>
        </w:rPr>
        <w:t>Doctrina de la Agencia Nacional de Contratación Pública:</w:t>
      </w:r>
    </w:p>
    <w:p w14:paraId="46DFC89F" w14:textId="77777777" w:rsidR="00484850" w:rsidRPr="00484850" w:rsidRDefault="00484850" w:rsidP="00484850">
      <w:pPr>
        <w:widowControl w:val="0"/>
        <w:autoSpaceDE w:val="0"/>
        <w:autoSpaceDN w:val="0"/>
        <w:spacing w:after="0" w:line="276" w:lineRule="auto"/>
        <w:jc w:val="both"/>
        <w:rPr>
          <w:rFonts w:ascii="Verdana" w:eastAsia="Calibri" w:hAnsi="Verdana" w:cs="Arial"/>
        </w:rPr>
      </w:pPr>
    </w:p>
    <w:p w14:paraId="1220620B" w14:textId="77777777" w:rsidR="00484850" w:rsidRPr="00484850" w:rsidRDefault="00484850" w:rsidP="00484850">
      <w:pPr>
        <w:widowControl w:val="0"/>
        <w:autoSpaceDE w:val="0"/>
        <w:autoSpaceDN w:val="0"/>
        <w:spacing w:after="120" w:line="276" w:lineRule="auto"/>
        <w:jc w:val="both"/>
        <w:rPr>
          <w:rFonts w:ascii="Verdana" w:eastAsia="Times New Roman" w:hAnsi="Verdana" w:cs="Arial"/>
          <w:shd w:val="clear" w:color="auto" w:fill="FFFFFF"/>
          <w:lang w:val="es-ES"/>
        </w:rPr>
      </w:pPr>
      <w:r w:rsidRPr="00484850">
        <w:rPr>
          <w:rFonts w:ascii="Verdana" w:eastAsia="Calibri" w:hAnsi="Verdana" w:cs="Arial"/>
          <w:shd w:val="clear" w:color="auto" w:fill="FFFFFF"/>
        </w:rPr>
        <w:t>L</w:t>
      </w:r>
      <w:r w:rsidRPr="00484850">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484850">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 C-753 del 4 de enero de 2024 y C-133 del 10 de marzo de 2025. </w:t>
      </w:r>
    </w:p>
    <w:p w14:paraId="7F5DF125" w14:textId="77777777" w:rsidR="00484850" w:rsidRPr="00484850" w:rsidRDefault="00484850" w:rsidP="00484850">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484850">
        <w:rPr>
          <w:rFonts w:ascii="Verdana" w:eastAsia="Times New Roman"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w:t>
      </w:r>
      <w:r w:rsidRPr="00484850">
        <w:rPr>
          <w:rFonts w:ascii="Verdana" w:eastAsia="Times New Roman" w:hAnsi="Verdana" w:cs="Arial"/>
          <w:shd w:val="clear" w:color="auto" w:fill="FFFFFF"/>
          <w:lang w:val="es-ES"/>
        </w:rPr>
        <w:lastRenderedPageBreak/>
        <w:t>través del siguiente enlace: </w:t>
      </w:r>
      <w:hyperlink r:id="rId12" w:tgtFrame="_blank" w:tooltip="Dirección URL original: https://relatoria.colombiacompra.gov.co/. Haga clic o pulse si confía en este vínculo." w:history="1">
        <w:r w:rsidRPr="00484850">
          <w:rPr>
            <w:rFonts w:ascii="Verdana" w:eastAsia="Calibri" w:hAnsi="Verdana" w:cs="Arial"/>
            <w:color w:val="0000FF"/>
            <w:kern w:val="2"/>
            <w:u w:val="single"/>
            <w:shd w:val="clear" w:color="auto" w:fill="FFFFFF"/>
            <w14:ligatures w14:val="standardContextual"/>
          </w:rPr>
          <w:t>https://relatoria.colombiacompra.gov.co/</w:t>
        </w:r>
      </w:hyperlink>
      <w:r w:rsidRPr="00484850">
        <w:rPr>
          <w:rFonts w:ascii="Verdana" w:eastAsia="Calibri" w:hAnsi="Verdana" w:cs="Arial"/>
          <w:color w:val="0000FF"/>
          <w:kern w:val="2"/>
          <w:u w:val="single"/>
          <w:shd w:val="clear" w:color="auto" w:fill="FFFFFF"/>
          <w14:ligatures w14:val="standardContextual"/>
        </w:rPr>
        <w:t> .</w:t>
      </w:r>
    </w:p>
    <w:bookmarkEnd w:id="1"/>
    <w:p w14:paraId="51F91EA3" w14:textId="77777777" w:rsidR="00484850" w:rsidRPr="00484850" w:rsidRDefault="00484850" w:rsidP="00484850">
      <w:pPr>
        <w:spacing w:after="120" w:line="276" w:lineRule="auto"/>
        <w:jc w:val="both"/>
        <w:rPr>
          <w:rFonts w:ascii="Aptos" w:eastAsia="Aptos" w:hAnsi="Aptos" w:cs="Times New Roman"/>
          <w:kern w:val="2"/>
          <w:sz w:val="24"/>
          <w:szCs w:val="24"/>
          <w14:ligatures w14:val="standardContextual"/>
        </w:rPr>
      </w:pPr>
      <w:r w:rsidRPr="00484850">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84850">
        <w:rPr>
          <w:rFonts w:ascii="Verdana" w:eastAsia="Aptos" w:hAnsi="Verdana" w:cs="Times New Roman"/>
          <w:b/>
          <w:bCs/>
          <w:color w:val="000000"/>
          <w:kern w:val="2"/>
          <w14:ligatures w14:val="standardContextual"/>
        </w:rPr>
        <w:t>Guía para la Exigencia y Constitución de Garantías en los Procesos de Contratación</w:t>
      </w:r>
      <w:r w:rsidRPr="00484850">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484850">
          <w:rPr>
            <w:rFonts w:ascii="Verdana" w:eastAsia="Aptos" w:hAnsi="Verdana" w:cs="Times New Roman"/>
            <w:color w:val="0078D7"/>
            <w:kern w:val="2"/>
            <w:u w:val="single"/>
            <w14:ligatures w14:val="standardContextual"/>
          </w:rPr>
          <w:t>https://www.colombiacompra.gov.co/archivos/manual/guia-de-garantias-en-procesos-de-contratacion</w:t>
        </w:r>
      </w:hyperlink>
    </w:p>
    <w:p w14:paraId="5D193957" w14:textId="77777777" w:rsidR="00484850" w:rsidRPr="00484850" w:rsidRDefault="00484850" w:rsidP="00484850">
      <w:pPr>
        <w:spacing w:after="120" w:line="276" w:lineRule="auto"/>
        <w:jc w:val="both"/>
        <w:rPr>
          <w:rFonts w:ascii="Verdana" w:eastAsia="Aptos" w:hAnsi="Verdana" w:cs="Times New Roman"/>
          <w:color w:val="000000"/>
          <w:kern w:val="2"/>
          <w14:ligatures w14:val="standardContextual"/>
        </w:rPr>
      </w:pPr>
      <w:r w:rsidRPr="00484850">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484850">
        <w:rPr>
          <w:rFonts w:ascii="Verdana" w:eastAsia="Aptos" w:hAnsi="Verdana" w:cs="Times New Roman"/>
          <w:b/>
          <w:bCs/>
          <w:color w:val="000000"/>
          <w:kern w:val="2"/>
          <w14:ligatures w14:val="standardContextual"/>
        </w:rPr>
        <w:t>Sistema Integral de Preferencias en favor de las personas con discapacidad</w:t>
      </w:r>
      <w:r w:rsidRPr="00484850">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484850">
        <w:rPr>
          <w:rFonts w:ascii="Verdana" w:eastAsia="Aptos" w:hAnsi="Verdana" w:cs="Times New Roman"/>
          <w:b/>
          <w:bCs/>
          <w:color w:val="000000"/>
          <w:kern w:val="2"/>
          <w14:ligatures w14:val="standardContextual"/>
        </w:rPr>
        <w:t>Circular Externa 003 del 12 de mayo de 2026, </w:t>
      </w:r>
      <w:r w:rsidRPr="00484850">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484850">
          <w:rPr>
            <w:rFonts w:ascii="Verdana" w:eastAsia="Aptos" w:hAnsi="Verdana" w:cs="Times New Roman"/>
            <w:color w:val="0078D7"/>
            <w:kern w:val="2"/>
            <w:u w:val="single"/>
            <w14:ligatures w14:val="standardContextual"/>
          </w:rPr>
          <w:t>https://www.colombiacompra.gov.co/archivos/circular/circular-externa-003-de-2026</w:t>
        </w:r>
      </w:hyperlink>
    </w:p>
    <w:p w14:paraId="2BB9AE8D" w14:textId="77777777" w:rsidR="00484850" w:rsidRPr="00484850" w:rsidRDefault="00484850" w:rsidP="00484850">
      <w:pPr>
        <w:spacing w:after="120" w:line="276" w:lineRule="auto"/>
        <w:jc w:val="both"/>
        <w:rPr>
          <w:rFonts w:ascii="Verdana" w:eastAsia="Aptos" w:hAnsi="Verdana" w:cs="Times New Roman"/>
          <w:color w:val="000000"/>
          <w:kern w:val="2"/>
          <w14:ligatures w14:val="standardContextual"/>
        </w:rPr>
      </w:pPr>
      <w:r w:rsidRPr="00484850">
        <w:rPr>
          <w:rFonts w:ascii="Verdana" w:eastAsia="Aptos" w:hAnsi="Verdana" w:cs="Times New Roman"/>
          <w:color w:val="000000"/>
          <w:kern w:val="2"/>
          <w14:ligatures w14:val="standardContextual"/>
        </w:rPr>
        <w:t>Recuerda también que la</w:t>
      </w:r>
      <w:r w:rsidRPr="00484850">
        <w:rPr>
          <w:rFonts w:ascii="Verdana" w:eastAsia="Aptos" w:hAnsi="Verdana" w:cs="Times New Roman"/>
          <w:b/>
          <w:bCs/>
          <w:color w:val="000000"/>
          <w:kern w:val="2"/>
          <w14:ligatures w14:val="standardContextual"/>
        </w:rPr>
        <w:t> información sobre sanciones e inhabilidades </w:t>
      </w:r>
      <w:r w:rsidRPr="00484850">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484850">
        <w:rPr>
          <w:rFonts w:ascii="Verdana" w:eastAsia="Aptos" w:hAnsi="Verdana" w:cs="Times New Roman"/>
          <w:b/>
          <w:bCs/>
          <w:color w:val="000000"/>
          <w:kern w:val="2"/>
          <w14:ligatures w14:val="standardContextual"/>
        </w:rPr>
        <w:t>Circular Externa 002 del 5 de mayo de 2026,</w:t>
      </w:r>
      <w:r w:rsidRPr="00484850">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484850">
          <w:rPr>
            <w:rFonts w:ascii="Verdana" w:eastAsia="Aptos" w:hAnsi="Verdana" w:cs="Times New Roman"/>
            <w:color w:val="0078D7"/>
            <w:kern w:val="2"/>
            <w:u w:val="single"/>
            <w14:ligatures w14:val="standardContextual"/>
          </w:rPr>
          <w:t>https://www.colombiacompra.gov.co/archivos/circular/circular-externa-002-de-2026</w:t>
        </w:r>
      </w:hyperlink>
    </w:p>
    <w:p w14:paraId="0D6A18F0" w14:textId="77777777" w:rsidR="00484850" w:rsidRPr="00484850" w:rsidRDefault="00484850" w:rsidP="00484850">
      <w:pPr>
        <w:spacing w:after="120" w:line="276" w:lineRule="auto"/>
        <w:jc w:val="both"/>
        <w:rPr>
          <w:rFonts w:ascii="Verdana" w:eastAsia="Aptos" w:hAnsi="Verdana" w:cs="Times New Roman"/>
          <w:color w:val="000000"/>
          <w:kern w:val="2"/>
          <w14:ligatures w14:val="standardContextual"/>
        </w:rPr>
      </w:pPr>
      <w:r w:rsidRPr="00484850">
        <w:rPr>
          <w:rFonts w:ascii="Verdana" w:eastAsia="Aptos" w:hAnsi="Verdana" w:cs="Times New Roman"/>
          <w:color w:val="000000"/>
          <w:kern w:val="2"/>
          <w14:ligatures w14:val="standardContextual"/>
        </w:rPr>
        <w:lastRenderedPageBreak/>
        <w:t>Finalmente, si quieres seguir de cerca la actividad de la Agencia, la tercera edición de 2026 del</w:t>
      </w:r>
      <w:r w:rsidRPr="00484850">
        <w:rPr>
          <w:rFonts w:ascii="Verdana" w:eastAsia="Aptos" w:hAnsi="Verdana" w:cs="Times New Roman"/>
          <w:b/>
          <w:bCs/>
          <w:color w:val="000000"/>
          <w:kern w:val="2"/>
          <w14:ligatures w14:val="standardContextual"/>
        </w:rPr>
        <w:t> Radar de la Compra Pública</w:t>
      </w:r>
      <w:r w:rsidRPr="00484850">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484850">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484850">
        <w:rPr>
          <w:rFonts w:ascii="Verdana" w:eastAsia="Aptos" w:hAnsi="Verdana" w:cs="Times New Roman"/>
          <w:color w:val="000000"/>
          <w:kern w:val="2"/>
          <w14:ligatures w14:val="standardContextual"/>
        </w:rPr>
        <w:t>"</w:t>
      </w:r>
    </w:p>
    <w:p w14:paraId="3A4B6E21" w14:textId="77777777" w:rsidR="00484850" w:rsidRPr="00484850" w:rsidRDefault="00484850" w:rsidP="00484850">
      <w:pPr>
        <w:spacing w:after="120" w:line="240" w:lineRule="auto"/>
        <w:jc w:val="both"/>
        <w:rPr>
          <w:rFonts w:ascii="Verdana" w:eastAsia="Calibri" w:hAnsi="Verdana" w:cs="Times New Roman"/>
          <w:lang w:eastAsia="es-MX"/>
        </w:rPr>
      </w:pPr>
      <w:r w:rsidRPr="00484850">
        <w:rPr>
          <w:rFonts w:ascii="Verdana" w:eastAsia="Aptos" w:hAnsi="Verdana" w:cs="Times New Roman"/>
          <w:lang w:eastAsia="es-MX"/>
        </w:rPr>
        <w:t xml:space="preserve">Por último, lo invitamos a seguirnos en las redes sociales en las cuales se difunde información institucional: </w:t>
      </w:r>
    </w:p>
    <w:p w14:paraId="7ACCB1A4" w14:textId="77777777" w:rsidR="00484850" w:rsidRPr="00484850" w:rsidRDefault="00484850" w:rsidP="00484850">
      <w:pPr>
        <w:spacing w:after="120" w:line="240" w:lineRule="auto"/>
        <w:jc w:val="both"/>
        <w:rPr>
          <w:rFonts w:ascii="Verdana" w:eastAsia="Aptos" w:hAnsi="Verdana" w:cs="Times New Roman"/>
          <w:lang w:eastAsia="es-MX"/>
        </w:rPr>
      </w:pPr>
      <w:r w:rsidRPr="00484850">
        <w:rPr>
          <w:rFonts w:ascii="Verdana" w:eastAsia="Aptos" w:hAnsi="Verdana" w:cs="Times New Roman"/>
          <w:lang w:eastAsia="es-MX"/>
        </w:rPr>
        <w:t xml:space="preserve">Twitter: </w:t>
      </w:r>
      <w:r w:rsidRPr="00484850">
        <w:rPr>
          <w:rFonts w:ascii="Verdana" w:eastAsia="Calibri" w:hAnsi="Verdana" w:cs="Times New Roman"/>
          <w:color w:val="156082"/>
          <w:u w:val="single"/>
          <w:lang w:eastAsia="es-MX"/>
        </w:rPr>
        <w:t>@colombiacompra</w:t>
      </w:r>
      <w:r w:rsidRPr="00484850">
        <w:rPr>
          <w:rFonts w:ascii="Verdana" w:eastAsia="Calibri" w:hAnsi="Verdana" w:cs="Times New Roman"/>
          <w:color w:val="156082"/>
          <w:lang w:eastAsia="es-MX"/>
        </w:rPr>
        <w:t xml:space="preserve"> </w:t>
      </w:r>
    </w:p>
    <w:p w14:paraId="19C7CFA0" w14:textId="77777777" w:rsidR="00484850" w:rsidRPr="00484850" w:rsidRDefault="00484850" w:rsidP="00484850">
      <w:pPr>
        <w:spacing w:after="120" w:line="240" w:lineRule="auto"/>
        <w:jc w:val="both"/>
        <w:rPr>
          <w:rFonts w:ascii="Verdana" w:eastAsia="Aptos" w:hAnsi="Verdana" w:cs="Times New Roman"/>
          <w:lang w:eastAsia="es-MX"/>
        </w:rPr>
      </w:pPr>
      <w:r w:rsidRPr="00484850">
        <w:rPr>
          <w:rFonts w:ascii="Verdana" w:eastAsia="Aptos" w:hAnsi="Verdana" w:cs="Times New Roman"/>
          <w:lang w:eastAsia="es-MX"/>
        </w:rPr>
        <w:t xml:space="preserve">Facebook: </w:t>
      </w:r>
      <w:proofErr w:type="spellStart"/>
      <w:r w:rsidRPr="00484850">
        <w:rPr>
          <w:rFonts w:ascii="Verdana" w:eastAsia="Calibri" w:hAnsi="Verdana" w:cs="Times New Roman"/>
          <w:color w:val="156082"/>
          <w:u w:val="single"/>
          <w:lang w:eastAsia="es-MX"/>
        </w:rPr>
        <w:t>ColombiaCompraEficiente</w:t>
      </w:r>
      <w:proofErr w:type="spellEnd"/>
    </w:p>
    <w:p w14:paraId="2174E7F2" w14:textId="77777777" w:rsidR="00484850" w:rsidRPr="00484850" w:rsidRDefault="00484850" w:rsidP="00484850">
      <w:pPr>
        <w:spacing w:after="120" w:line="240" w:lineRule="auto"/>
        <w:jc w:val="both"/>
        <w:rPr>
          <w:rFonts w:ascii="Verdana" w:eastAsia="Aptos" w:hAnsi="Verdana" w:cs="Times New Roman"/>
          <w:lang w:eastAsia="es-MX"/>
        </w:rPr>
      </w:pPr>
      <w:r w:rsidRPr="00484850">
        <w:rPr>
          <w:rFonts w:ascii="Verdana" w:eastAsia="Aptos" w:hAnsi="Verdana" w:cs="Times New Roman"/>
          <w:lang w:eastAsia="es-MX"/>
        </w:rPr>
        <w:t xml:space="preserve">LinkedIn: </w:t>
      </w:r>
      <w:r w:rsidRPr="00484850">
        <w:rPr>
          <w:rFonts w:ascii="Verdana" w:eastAsia="Calibri" w:hAnsi="Verdana" w:cs="Times New Roman"/>
          <w:color w:val="156082"/>
          <w:u w:val="single"/>
          <w:lang w:eastAsia="es-MX"/>
        </w:rPr>
        <w:t>Agencia Nacional de Contratación Pública - Colombia Compra Eficiente</w:t>
      </w:r>
      <w:r w:rsidRPr="00484850">
        <w:rPr>
          <w:rFonts w:ascii="Verdana" w:eastAsia="Calibri" w:hAnsi="Verdana" w:cs="Times New Roman"/>
          <w:color w:val="156082"/>
          <w:lang w:eastAsia="es-MX"/>
        </w:rPr>
        <w:t xml:space="preserve"> </w:t>
      </w:r>
      <w:r w:rsidRPr="00484850">
        <w:rPr>
          <w:rFonts w:ascii="Verdana" w:eastAsia="Aptos" w:hAnsi="Verdana" w:cs="Times New Roman"/>
          <w:lang w:eastAsia="es-MX"/>
        </w:rPr>
        <w:t xml:space="preserve">Instagram: </w:t>
      </w:r>
      <w:r w:rsidRPr="00484850">
        <w:rPr>
          <w:rFonts w:ascii="Verdana" w:eastAsia="Calibri" w:hAnsi="Verdana" w:cs="Times New Roman"/>
          <w:color w:val="156082"/>
          <w:u w:val="single"/>
          <w:lang w:eastAsia="es-MX"/>
        </w:rPr>
        <w:t>@colombiacompraeficiente_cce</w:t>
      </w:r>
    </w:p>
    <w:p w14:paraId="1CF2F8F2" w14:textId="77777777" w:rsidR="00484850" w:rsidRPr="00484850" w:rsidRDefault="00484850" w:rsidP="00484850">
      <w:pPr>
        <w:spacing w:after="0" w:line="276" w:lineRule="auto"/>
        <w:jc w:val="both"/>
        <w:rPr>
          <w:rFonts w:ascii="Verdana" w:eastAsia="Aptos" w:hAnsi="Verdana" w:cs="Times New Roman"/>
          <w:lang w:eastAsia="es-MX"/>
        </w:rPr>
      </w:pPr>
    </w:p>
    <w:p w14:paraId="30452113" w14:textId="77777777" w:rsidR="00484850" w:rsidRPr="00484850" w:rsidRDefault="00484850" w:rsidP="00484850">
      <w:pPr>
        <w:spacing w:after="0" w:line="276" w:lineRule="auto"/>
        <w:jc w:val="both"/>
        <w:rPr>
          <w:rFonts w:ascii="Verdana" w:eastAsia="Calibri" w:hAnsi="Verdana" w:cs="Times New Roman"/>
          <w:bCs/>
          <w:lang w:val="es-ES_tradnl" w:eastAsia="es-MX"/>
        </w:rPr>
      </w:pPr>
      <w:r w:rsidRPr="00484850">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6712A27A" w14:textId="77777777" w:rsidR="00484850" w:rsidRPr="00484850" w:rsidRDefault="00484850" w:rsidP="00484850">
      <w:pPr>
        <w:spacing w:after="0" w:line="276" w:lineRule="auto"/>
        <w:jc w:val="both"/>
        <w:rPr>
          <w:rFonts w:ascii="Verdana" w:eastAsia="Calibri" w:hAnsi="Verdana" w:cs="Times New Roman"/>
          <w:lang w:eastAsia="es-MX"/>
        </w:rPr>
      </w:pPr>
    </w:p>
    <w:p w14:paraId="50F01496" w14:textId="77777777" w:rsidR="00484850" w:rsidRPr="00484850" w:rsidRDefault="00484850" w:rsidP="00484850">
      <w:pPr>
        <w:spacing w:after="0" w:line="276" w:lineRule="auto"/>
        <w:jc w:val="both"/>
        <w:rPr>
          <w:rFonts w:ascii="Verdana" w:eastAsia="Calibri" w:hAnsi="Verdana" w:cs="Times New Roman"/>
          <w:lang w:eastAsia="es-MX"/>
        </w:rPr>
      </w:pPr>
      <w:r w:rsidRPr="00484850">
        <w:rPr>
          <w:rFonts w:ascii="Verdana" w:eastAsia="Calibri" w:hAnsi="Verdana" w:cs="Times New Roman"/>
          <w:lang w:eastAsia="es-MX"/>
        </w:rPr>
        <w:t>Atentamente,</w:t>
      </w:r>
    </w:p>
    <w:p w14:paraId="25529868" w14:textId="77777777" w:rsidR="00484850" w:rsidRPr="00484850" w:rsidRDefault="00484850" w:rsidP="00484850">
      <w:pPr>
        <w:tabs>
          <w:tab w:val="left" w:pos="1320"/>
        </w:tabs>
        <w:spacing w:after="0"/>
        <w:jc w:val="center"/>
        <w:rPr>
          <w:rFonts w:ascii="Century Gothic" w:eastAsia="Calibri" w:hAnsi="Century Gothic" w:cs="Times New Roman"/>
          <w:lang w:eastAsia="es-MX"/>
        </w:rPr>
      </w:pPr>
    </w:p>
    <w:p w14:paraId="5CD65280" w14:textId="2C30CB80" w:rsidR="00484850" w:rsidRPr="00484850" w:rsidRDefault="008E6418" w:rsidP="008E6418">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026F39FF" wp14:editId="0010A20A">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696757" cy="1157733"/>
                    </a:xfrm>
                    <a:prstGeom prst="rect">
                      <a:avLst/>
                    </a:prstGeom>
                  </pic:spPr>
                </pic:pic>
              </a:graphicData>
            </a:graphic>
          </wp:inline>
        </w:drawing>
      </w: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484850" w:rsidRPr="00484850" w14:paraId="7948944C" w14:textId="77777777" w:rsidTr="005672E7">
        <w:trPr>
          <w:trHeight w:val="323"/>
        </w:trPr>
        <w:tc>
          <w:tcPr>
            <w:tcW w:w="1041" w:type="dxa"/>
            <w:vAlign w:val="center"/>
            <w:hideMark/>
          </w:tcPr>
          <w:p w14:paraId="2527ED77" w14:textId="77777777" w:rsidR="00484850" w:rsidRPr="00484850" w:rsidRDefault="00484850" w:rsidP="00484850">
            <w:pPr>
              <w:rPr>
                <w:rFonts w:ascii="Verdana" w:eastAsia="Calibri" w:hAnsi="Verdana" w:cs="Arial"/>
                <w:sz w:val="16"/>
                <w:szCs w:val="16"/>
                <w:lang w:val="es-ES_tradnl" w:eastAsia="es-ES"/>
              </w:rPr>
            </w:pPr>
            <w:r w:rsidRPr="00484850">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07CDB677" w14:textId="77777777" w:rsidR="00484850" w:rsidRPr="00484850" w:rsidRDefault="00484850" w:rsidP="00484850">
            <w:pPr>
              <w:rPr>
                <w:rFonts w:ascii="Verdana" w:eastAsia="Arial" w:hAnsi="Verdana" w:cs="Arial"/>
                <w:sz w:val="16"/>
                <w:szCs w:val="16"/>
                <w:lang w:val="es-ES" w:eastAsia="es-MX"/>
              </w:rPr>
            </w:pPr>
            <w:r w:rsidRPr="00484850">
              <w:rPr>
                <w:rFonts w:ascii="Verdana" w:eastAsia="Arial" w:hAnsi="Verdana" w:cs="Arial"/>
                <w:sz w:val="16"/>
                <w:szCs w:val="16"/>
                <w:lang w:val="es-ES" w:eastAsia="es-MX"/>
              </w:rPr>
              <w:t xml:space="preserve">Carlos Mario Castrillón Endo </w:t>
            </w:r>
          </w:p>
          <w:p w14:paraId="79DDAA99" w14:textId="77777777" w:rsidR="00484850" w:rsidRPr="00484850" w:rsidRDefault="00484850" w:rsidP="00484850">
            <w:pPr>
              <w:rPr>
                <w:rFonts w:ascii="Verdana" w:eastAsia="Arial" w:hAnsi="Verdana" w:cs="Arial"/>
                <w:sz w:val="16"/>
                <w:szCs w:val="16"/>
                <w:lang w:val="es-ES_tradnl" w:eastAsia="es-MX"/>
              </w:rPr>
            </w:pPr>
            <w:r w:rsidRPr="00484850">
              <w:rPr>
                <w:rFonts w:ascii="Verdana" w:eastAsia="Arial" w:hAnsi="Verdana" w:cs="Arial"/>
                <w:sz w:val="16"/>
                <w:szCs w:val="16"/>
                <w:lang w:val="es-ES_tradnl" w:eastAsia="es-MX"/>
              </w:rPr>
              <w:t>Contratista de la Subdirección de Gestión Contractual</w:t>
            </w:r>
          </w:p>
          <w:p w14:paraId="47E6B8B3" w14:textId="77777777" w:rsidR="00484850" w:rsidRPr="00484850" w:rsidRDefault="00484850" w:rsidP="00484850">
            <w:pPr>
              <w:rPr>
                <w:rFonts w:ascii="Verdana" w:eastAsia="Arial" w:hAnsi="Verdana" w:cs="Arial"/>
                <w:sz w:val="16"/>
                <w:szCs w:val="16"/>
                <w:lang w:val="es-ES_tradnl" w:eastAsia="es-MX"/>
              </w:rPr>
            </w:pPr>
          </w:p>
        </w:tc>
      </w:tr>
      <w:tr w:rsidR="00484850" w:rsidRPr="00484850" w14:paraId="6D3151F2" w14:textId="77777777" w:rsidTr="005672E7">
        <w:trPr>
          <w:trHeight w:val="338"/>
        </w:trPr>
        <w:tc>
          <w:tcPr>
            <w:tcW w:w="1041" w:type="dxa"/>
            <w:vAlign w:val="center"/>
            <w:hideMark/>
          </w:tcPr>
          <w:p w14:paraId="706E2FAD" w14:textId="77777777" w:rsidR="00484850" w:rsidRPr="00484850" w:rsidRDefault="00484850" w:rsidP="00484850">
            <w:pPr>
              <w:rPr>
                <w:rFonts w:ascii="Verdana" w:eastAsia="Calibri" w:hAnsi="Verdana" w:cs="Arial"/>
                <w:sz w:val="16"/>
                <w:szCs w:val="16"/>
                <w:lang w:val="es-ES_tradnl" w:eastAsia="es-ES"/>
              </w:rPr>
            </w:pPr>
            <w:r w:rsidRPr="00484850">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4E27FAA8" w14:textId="77777777" w:rsidR="00484850" w:rsidRPr="00484850" w:rsidRDefault="00484850" w:rsidP="00484850">
            <w:pPr>
              <w:rPr>
                <w:rFonts w:ascii="Verdana" w:eastAsia="Arial" w:hAnsi="Verdana" w:cs="Arial"/>
                <w:sz w:val="16"/>
                <w:szCs w:val="16"/>
                <w:lang w:val="es-ES_tradnl" w:eastAsia="es-MX"/>
              </w:rPr>
            </w:pPr>
            <w:r w:rsidRPr="00484850">
              <w:rPr>
                <w:rFonts w:ascii="Verdana" w:eastAsia="Arial" w:hAnsi="Verdana" w:cs="Arial"/>
                <w:sz w:val="16"/>
                <w:szCs w:val="16"/>
                <w:lang w:val="es-ES_tradnl" w:eastAsia="es-MX"/>
              </w:rPr>
              <w:t>Alexandra Rodríguez Motta</w:t>
            </w:r>
          </w:p>
          <w:p w14:paraId="6EC7CDC7" w14:textId="77777777" w:rsidR="00484850" w:rsidRPr="00484850" w:rsidRDefault="00484850" w:rsidP="00484850">
            <w:pPr>
              <w:rPr>
                <w:rFonts w:ascii="Verdana" w:eastAsia="Arial" w:hAnsi="Verdana" w:cs="Arial"/>
                <w:sz w:val="16"/>
                <w:szCs w:val="16"/>
                <w:lang w:val="es-ES_tradnl" w:eastAsia="es-MX"/>
              </w:rPr>
            </w:pPr>
            <w:r w:rsidRPr="00484850">
              <w:rPr>
                <w:rFonts w:ascii="Verdana" w:eastAsia="Arial" w:hAnsi="Verdana" w:cs="Arial"/>
                <w:sz w:val="16"/>
                <w:szCs w:val="16"/>
                <w:lang w:val="es-ES_tradnl" w:eastAsia="es-MX"/>
              </w:rPr>
              <w:t>Contratista de la Subdirección de Gestión Contractual</w:t>
            </w:r>
          </w:p>
          <w:p w14:paraId="022E47D4" w14:textId="77777777" w:rsidR="00484850" w:rsidRPr="00484850" w:rsidRDefault="00484850" w:rsidP="00484850">
            <w:pPr>
              <w:rPr>
                <w:rFonts w:ascii="Verdana" w:eastAsia="Arial" w:hAnsi="Verdana" w:cs="Arial"/>
                <w:sz w:val="16"/>
                <w:szCs w:val="16"/>
                <w:lang w:val="es-ES_tradnl" w:eastAsia="es-MX"/>
              </w:rPr>
            </w:pPr>
            <w:r w:rsidRPr="00484850">
              <w:rPr>
                <w:rFonts w:ascii="Verdana" w:eastAsia="Arial" w:hAnsi="Verdana" w:cs="Arial"/>
                <w:sz w:val="16"/>
                <w:szCs w:val="16"/>
                <w:lang w:val="es-ES_tradnl" w:eastAsia="es-MX"/>
              </w:rPr>
              <w:t>Martha Alicia Romero Vargas</w:t>
            </w:r>
          </w:p>
          <w:p w14:paraId="44863F25" w14:textId="77777777" w:rsidR="00484850" w:rsidRPr="00484850" w:rsidRDefault="00484850" w:rsidP="00484850">
            <w:pPr>
              <w:rPr>
                <w:rFonts w:ascii="Verdana" w:eastAsia="Arial" w:hAnsi="Verdana" w:cs="Arial"/>
                <w:sz w:val="16"/>
                <w:szCs w:val="16"/>
                <w:lang w:val="es-ES_tradnl" w:eastAsia="es-MX"/>
              </w:rPr>
            </w:pPr>
            <w:r w:rsidRPr="00484850">
              <w:rPr>
                <w:rFonts w:ascii="Verdana" w:eastAsia="Arial" w:hAnsi="Verdana" w:cs="Arial"/>
                <w:sz w:val="16"/>
                <w:szCs w:val="16"/>
                <w:lang w:val="es-ES_tradnl" w:eastAsia="es-MX"/>
              </w:rPr>
              <w:t>Gestor T1-15 de la Subdirección de Gestión Contractual</w:t>
            </w:r>
          </w:p>
        </w:tc>
      </w:tr>
      <w:tr w:rsidR="00484850" w:rsidRPr="00484850" w14:paraId="5235FE54" w14:textId="77777777" w:rsidTr="005672E7">
        <w:trPr>
          <w:trHeight w:val="308"/>
        </w:trPr>
        <w:tc>
          <w:tcPr>
            <w:tcW w:w="1041" w:type="dxa"/>
            <w:vAlign w:val="center"/>
          </w:tcPr>
          <w:p w14:paraId="1821AA27" w14:textId="77777777" w:rsidR="00484850" w:rsidRPr="00484850" w:rsidRDefault="00484850" w:rsidP="00484850">
            <w:pPr>
              <w:rPr>
                <w:rFonts w:ascii="Verdana" w:eastAsia="Calibri" w:hAnsi="Verdana" w:cs="Arial"/>
                <w:sz w:val="16"/>
                <w:szCs w:val="16"/>
                <w:lang w:val="es-ES_tradnl" w:eastAsia="es-ES"/>
              </w:rPr>
            </w:pPr>
            <w:r w:rsidRPr="00484850">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5E894999" w14:textId="77777777" w:rsidR="00484850" w:rsidRPr="00484850" w:rsidRDefault="00484850" w:rsidP="00484850">
            <w:pPr>
              <w:rPr>
                <w:rFonts w:ascii="Verdana" w:eastAsia="Calibri" w:hAnsi="Verdana" w:cs="Arial"/>
                <w:sz w:val="16"/>
                <w:szCs w:val="16"/>
                <w:lang w:val="es-ES" w:eastAsia="es-ES"/>
              </w:rPr>
            </w:pPr>
            <w:r w:rsidRPr="00484850">
              <w:rPr>
                <w:rFonts w:ascii="Verdana" w:eastAsia="Calibri" w:hAnsi="Verdana" w:cs="Arial"/>
                <w:sz w:val="16"/>
                <w:szCs w:val="16"/>
                <w:lang w:val="es-ES" w:eastAsia="es-ES"/>
              </w:rPr>
              <w:t xml:space="preserve">Carolina Quintero </w:t>
            </w:r>
            <w:proofErr w:type="spellStart"/>
            <w:r w:rsidRPr="00484850">
              <w:rPr>
                <w:rFonts w:ascii="Verdana" w:eastAsia="Calibri" w:hAnsi="Verdana" w:cs="Arial"/>
                <w:sz w:val="16"/>
                <w:szCs w:val="16"/>
                <w:lang w:val="es-ES" w:eastAsia="es-ES"/>
              </w:rPr>
              <w:t>Gacharná</w:t>
            </w:r>
            <w:proofErr w:type="spellEnd"/>
          </w:p>
          <w:p w14:paraId="53D94B99" w14:textId="77777777" w:rsidR="00484850" w:rsidRPr="00484850" w:rsidRDefault="00484850" w:rsidP="00484850">
            <w:pPr>
              <w:rPr>
                <w:rFonts w:ascii="Verdana" w:eastAsia="Calibri" w:hAnsi="Verdana" w:cs="Arial"/>
                <w:sz w:val="16"/>
                <w:szCs w:val="16"/>
                <w:lang w:val="es-ES_tradnl" w:eastAsia="es-ES"/>
              </w:rPr>
            </w:pPr>
            <w:r w:rsidRPr="00484850">
              <w:rPr>
                <w:rFonts w:ascii="Verdana" w:eastAsia="Calibri" w:hAnsi="Verdana" w:cs="Arial"/>
                <w:sz w:val="16"/>
                <w:szCs w:val="16"/>
                <w:lang w:val="es-ES_tradnl" w:eastAsia="es-ES"/>
              </w:rPr>
              <w:t>Subdirectora de Gestión Contractual ANCP – CCE</w:t>
            </w:r>
          </w:p>
        </w:tc>
      </w:tr>
    </w:tbl>
    <w:p w14:paraId="71450DB7" w14:textId="05768D48" w:rsidR="00322A85" w:rsidRPr="00EB16B5" w:rsidRDefault="00322A85" w:rsidP="00EB16B5">
      <w:pPr>
        <w:spacing w:after="0" w:line="240" w:lineRule="auto"/>
        <w:textAlignment w:val="baseline"/>
        <w:rPr>
          <w:rStyle w:val="Hipervnculo"/>
          <w:rFonts w:ascii="Verdana" w:eastAsia="Verdana" w:hAnsi="Verdana" w:cs="Verdana"/>
          <w:color w:val="auto"/>
          <w:u w:val="none"/>
          <w:lang w:eastAsia="es-CO"/>
        </w:rPr>
      </w:pPr>
    </w:p>
    <w:bookmarkEnd w:id="0"/>
    <w:p w14:paraId="0F293BF4" w14:textId="11F5ED36" w:rsidR="00127233" w:rsidRPr="0015699B" w:rsidRDefault="00127233" w:rsidP="00C657D6">
      <w:pPr>
        <w:spacing w:after="0" w:line="240" w:lineRule="auto"/>
        <w:jc w:val="both"/>
        <w:textAlignment w:val="baseline"/>
        <w:rPr>
          <w:rFonts w:ascii="Verdana" w:eastAsia="Verdana" w:hAnsi="Verdana" w:cs="Verdana"/>
          <w:lang w:eastAsia="es-CO"/>
        </w:rPr>
      </w:pPr>
    </w:p>
    <w:sectPr w:rsidR="00127233" w:rsidRPr="0015699B"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B2408" w14:textId="77777777" w:rsidR="009A1C6F" w:rsidRDefault="009A1C6F" w:rsidP="004A1847">
      <w:pPr>
        <w:spacing w:after="0" w:line="240" w:lineRule="auto"/>
      </w:pPr>
      <w:r>
        <w:separator/>
      </w:r>
    </w:p>
  </w:endnote>
  <w:endnote w:type="continuationSeparator" w:id="0">
    <w:p w14:paraId="47BA1A50" w14:textId="77777777" w:rsidR="009A1C6F" w:rsidRDefault="009A1C6F" w:rsidP="004A1847">
      <w:pPr>
        <w:spacing w:after="0" w:line="240" w:lineRule="auto"/>
      </w:pPr>
      <w:r>
        <w:continuationSeparator/>
      </w:r>
    </w:p>
  </w:endnote>
  <w:endnote w:type="continuationNotice" w:id="1">
    <w:p w14:paraId="54FFB7FE" w14:textId="77777777" w:rsidR="00AB3D22" w:rsidRDefault="00AB3D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MT">
    <w:altName w:val="Heiti TC Light"/>
    <w:panose1 w:val="020B0604020202020204"/>
    <w:charset w:val="00"/>
    <w:family w:val="auto"/>
    <w:notTrueType/>
    <w:pitch w:val="default"/>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484850">
      <w:rPr>
        <w:rFonts w:ascii="Verdana" w:eastAsia="Verdana" w:hAnsi="Verdana" w:cs="Verdana"/>
        <w:b/>
        <w:bCs/>
        <w:color w:val="000000"/>
        <w:sz w:val="18"/>
        <w:szCs w:val="18"/>
        <w:lang w:eastAsia="es-CO"/>
      </w:rPr>
      <w:t xml:space="preserve">Código: </w:t>
    </w:r>
    <w:r w:rsidRPr="00484850">
      <w:rPr>
        <w:rFonts w:ascii="Verdana" w:eastAsia="Verdana" w:hAnsi="Verdana" w:cs="Verdana"/>
        <w:color w:val="000000"/>
        <w:sz w:val="18"/>
        <w:szCs w:val="18"/>
        <w:lang w:eastAsia="es-CO"/>
      </w:rPr>
      <w:t xml:space="preserve">CCE-REC-FM-17 </w:t>
    </w:r>
    <w:r w:rsidRPr="00484850">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9DC05" w14:textId="77777777" w:rsidR="009A1C6F" w:rsidRDefault="009A1C6F" w:rsidP="004A1847">
      <w:pPr>
        <w:spacing w:after="0" w:line="240" w:lineRule="auto"/>
      </w:pPr>
      <w:r>
        <w:separator/>
      </w:r>
    </w:p>
  </w:footnote>
  <w:footnote w:type="continuationSeparator" w:id="0">
    <w:p w14:paraId="2E5FB229" w14:textId="77777777" w:rsidR="009A1C6F" w:rsidRDefault="009A1C6F" w:rsidP="004A1847">
      <w:pPr>
        <w:spacing w:after="0" w:line="240" w:lineRule="auto"/>
      </w:pPr>
      <w:r>
        <w:continuationSeparator/>
      </w:r>
    </w:p>
  </w:footnote>
  <w:footnote w:type="continuationNotice" w:id="1">
    <w:p w14:paraId="05A361CD" w14:textId="77777777" w:rsidR="00AB3D22" w:rsidRDefault="00AB3D22">
      <w:pPr>
        <w:spacing w:after="0" w:line="240" w:lineRule="auto"/>
      </w:pPr>
    </w:p>
  </w:footnote>
  <w:footnote w:id="2">
    <w:p w14:paraId="225DEBF1" w14:textId="77777777" w:rsidR="00484850" w:rsidRPr="00484850" w:rsidRDefault="00484850" w:rsidP="00484850">
      <w:pPr>
        <w:pStyle w:val="Textonotapie"/>
        <w:ind w:firstLine="708"/>
        <w:jc w:val="both"/>
        <w:rPr>
          <w:rFonts w:ascii="Verdana" w:hAnsi="Verdana"/>
          <w:color w:val="000000"/>
          <w:sz w:val="19"/>
          <w:szCs w:val="19"/>
          <w:lang w:val="es-CO"/>
        </w:rPr>
      </w:pPr>
      <w:r w:rsidRPr="00484850">
        <w:rPr>
          <w:rStyle w:val="Refdenotaalpie"/>
          <w:rFonts w:ascii="Verdana" w:hAnsi="Verdana"/>
          <w:color w:val="000000"/>
          <w:sz w:val="19"/>
          <w:szCs w:val="19"/>
          <w:lang w:val="es-CO"/>
        </w:rPr>
        <w:footnoteRef/>
      </w:r>
      <w:r w:rsidRPr="00484850">
        <w:rPr>
          <w:rFonts w:ascii="Verdana" w:hAnsi="Verdana"/>
          <w:color w:val="000000"/>
          <w:sz w:val="19"/>
          <w:szCs w:val="19"/>
          <w:lang w:val="es-CO"/>
        </w:rPr>
        <w:t xml:space="preserve"> Estos Documentos Tipo pueden ser consultados en la página web de Colombia Compra Eficiente, a través del siguiente enlace: </w:t>
      </w:r>
      <w:hyperlink r:id="rId1" w:history="1">
        <w:r w:rsidRPr="00484850">
          <w:rPr>
            <w:rStyle w:val="Hipervnculo"/>
            <w:rFonts w:ascii="Verdana" w:hAnsi="Verdana"/>
            <w:color w:val="000000"/>
            <w:sz w:val="19"/>
            <w:szCs w:val="19"/>
            <w:lang w:val="es-CO"/>
          </w:rPr>
          <w:t>https://www.colombiacompra.gov.co/documentos-tipo/documentos-tipo</w:t>
        </w:r>
      </w:hyperlink>
      <w:r w:rsidRPr="00484850">
        <w:rPr>
          <w:rFonts w:ascii="Verdana" w:hAnsi="Verdana"/>
          <w:color w:val="000000"/>
          <w:sz w:val="19"/>
          <w:szCs w:val="19"/>
          <w:lang w:val="es-CO"/>
        </w:rPr>
        <w:t xml:space="preserve"> </w:t>
      </w:r>
    </w:p>
  </w:footnote>
  <w:footnote w:id="3">
    <w:p w14:paraId="08313F17" w14:textId="77777777" w:rsidR="00484850" w:rsidRPr="00484850" w:rsidRDefault="00484850" w:rsidP="00484850">
      <w:pPr>
        <w:spacing w:after="0" w:line="240" w:lineRule="auto"/>
        <w:jc w:val="both"/>
        <w:rPr>
          <w:rFonts w:ascii="Verdana" w:hAnsi="Verdana"/>
          <w:color w:val="000000"/>
          <w:sz w:val="19"/>
          <w:szCs w:val="19"/>
        </w:rPr>
      </w:pPr>
    </w:p>
    <w:p w14:paraId="644E1438" w14:textId="77777777" w:rsidR="00484850" w:rsidRPr="00484850" w:rsidRDefault="00484850" w:rsidP="00484850">
      <w:pPr>
        <w:spacing w:after="120" w:line="240" w:lineRule="auto"/>
        <w:ind w:firstLine="708"/>
        <w:jc w:val="both"/>
        <w:rPr>
          <w:rFonts w:ascii="Verdana" w:eastAsia="Aptos" w:hAnsi="Verdana" w:cs="Arial"/>
          <w:color w:val="000000"/>
          <w:kern w:val="2"/>
          <w:sz w:val="19"/>
          <w:szCs w:val="19"/>
          <w14:ligatures w14:val="standardContextual"/>
        </w:rPr>
      </w:pPr>
      <w:r w:rsidRPr="00484850">
        <w:rPr>
          <w:rStyle w:val="Refdenotaalpie"/>
          <w:rFonts w:ascii="Verdana" w:hAnsi="Verdana"/>
          <w:color w:val="000000"/>
          <w:sz w:val="19"/>
          <w:szCs w:val="19"/>
        </w:rPr>
        <w:footnoteRef/>
      </w:r>
      <w:r w:rsidRPr="00484850">
        <w:rPr>
          <w:rFonts w:ascii="Verdana" w:eastAsia="Aptos" w:hAnsi="Verdana" w:cs="Arial"/>
          <w:color w:val="000000"/>
          <w:kern w:val="2"/>
          <w:sz w:val="19"/>
          <w:szCs w:val="19"/>
          <w14:ligatures w14:val="standardContextual"/>
        </w:rPr>
        <w:t xml:space="preserve"> Resolución 248 del 1 de diciembre de 2020: "Por la cual se adoptan los documentos tipo para los procesos de licitación pública para obras de infraestructura de agua potable y saneamiento básico". Fecha de entrada en vigencia: </w:t>
      </w:r>
      <w:r w:rsidRPr="00484850">
        <w:rPr>
          <w:rFonts w:ascii="Verdana" w:eastAsia="Aptos" w:hAnsi="Verdana" w:cs="Times New Roman"/>
          <w:color w:val="000000"/>
          <w:kern w:val="2"/>
          <w:sz w:val="19"/>
          <w:szCs w:val="19"/>
          <w14:ligatures w14:val="standardContextual"/>
        </w:rPr>
        <w:t>Aviso de convocatoria a partir del 11 de diciembre de 2020.</w:t>
      </w:r>
    </w:p>
    <w:p w14:paraId="226A9165" w14:textId="77777777" w:rsidR="00484850" w:rsidRPr="00484850" w:rsidRDefault="00484850" w:rsidP="00484850">
      <w:pPr>
        <w:spacing w:after="120" w:line="240" w:lineRule="auto"/>
        <w:ind w:firstLine="708"/>
        <w:jc w:val="both"/>
        <w:rPr>
          <w:rFonts w:ascii="Verdana" w:eastAsia="Aptos" w:hAnsi="Verdana" w:cs="Arial"/>
          <w:color w:val="000000"/>
          <w:kern w:val="2"/>
          <w:sz w:val="19"/>
          <w:szCs w:val="19"/>
          <w14:ligatures w14:val="standardContextual"/>
        </w:rPr>
      </w:pPr>
      <w:r w:rsidRPr="00484850">
        <w:rPr>
          <w:rFonts w:ascii="Verdana" w:eastAsia="Aptos" w:hAnsi="Verdana" w:cs="Arial"/>
          <w:color w:val="000000"/>
          <w:kern w:val="2"/>
          <w:sz w:val="19"/>
          <w:szCs w:val="19"/>
          <w14:ligatures w14:val="standardContextual"/>
        </w:rPr>
        <w:t xml:space="preserve"> Resolución 249 del 1 de diciembre de 2020: “"Por la cual se adoptan los documentos tipo para los procesos de licitación pública para obras de infraestructura de agua potable y saneamiento básico en la modalidad de llave en mano". Fecha de entrada en vigencia: </w:t>
      </w:r>
      <w:r w:rsidRPr="00484850">
        <w:rPr>
          <w:rFonts w:ascii="Verdana" w:eastAsia="Aptos" w:hAnsi="Verdana" w:cs="Times New Roman"/>
          <w:color w:val="000000"/>
          <w:kern w:val="2"/>
          <w:sz w:val="19"/>
          <w:szCs w:val="19"/>
          <w14:ligatures w14:val="standardContextual"/>
        </w:rPr>
        <w:t>Aviso de convocatoria a partir del 11 de diciembre de 2020.</w:t>
      </w:r>
    </w:p>
    <w:p w14:paraId="6D589C7E" w14:textId="77777777" w:rsidR="00484850" w:rsidRPr="00484850" w:rsidRDefault="00484850" w:rsidP="00484850">
      <w:pPr>
        <w:spacing w:after="120" w:line="240" w:lineRule="auto"/>
        <w:ind w:firstLine="708"/>
        <w:jc w:val="both"/>
        <w:rPr>
          <w:rFonts w:ascii="Verdana" w:eastAsia="Aptos" w:hAnsi="Verdana" w:cs="Arial"/>
          <w:color w:val="000000"/>
          <w:kern w:val="2"/>
          <w:sz w:val="19"/>
          <w:szCs w:val="19"/>
          <w14:ligatures w14:val="standardContextual"/>
        </w:rPr>
      </w:pPr>
      <w:r w:rsidRPr="00484850">
        <w:rPr>
          <w:rFonts w:ascii="Verdana" w:eastAsia="Aptos" w:hAnsi="Verdana" w:cs="Arial"/>
          <w:color w:val="000000"/>
          <w:kern w:val="2"/>
          <w:sz w:val="19"/>
          <w:szCs w:val="19"/>
          <w14:ligatures w14:val="standardContextual"/>
        </w:rPr>
        <w:t xml:space="preserve">Resolución 333 del 27 de julio de 2022: “Por la cual se adoptan los documentos tipo para los procesos de selección de concurso de méritos para contratar la interventoría de obras públicas de infraestructura de agua potable y saneamiento básico”. Fecha de entrada en vigencia: </w:t>
      </w:r>
      <w:r w:rsidRPr="00484850">
        <w:rPr>
          <w:rFonts w:ascii="Verdana" w:eastAsia="Aptos" w:hAnsi="Verdana" w:cs="Times New Roman"/>
          <w:color w:val="000000"/>
          <w:kern w:val="2"/>
          <w:sz w:val="19"/>
          <w:szCs w:val="19"/>
          <w14:ligatures w14:val="standardContextual"/>
        </w:rPr>
        <w:t xml:space="preserve">Aviso de convocatoria a partir del 3 de octubre de 2022”. </w:t>
      </w:r>
    </w:p>
    <w:p w14:paraId="7B786E94" w14:textId="77777777" w:rsidR="00484850" w:rsidRPr="00484850" w:rsidRDefault="00484850" w:rsidP="00484850">
      <w:pPr>
        <w:spacing w:after="0" w:line="240" w:lineRule="auto"/>
        <w:ind w:firstLine="708"/>
        <w:jc w:val="both"/>
        <w:rPr>
          <w:rFonts w:ascii="Verdana" w:eastAsia="Calibri" w:hAnsi="Verdana" w:cs="Arial"/>
          <w:bCs/>
          <w:color w:val="000000"/>
          <w:sz w:val="19"/>
          <w:szCs w:val="19"/>
        </w:rPr>
      </w:pPr>
    </w:p>
    <w:p w14:paraId="563717AE" w14:textId="77777777" w:rsidR="00484850" w:rsidRPr="00484850" w:rsidRDefault="00484850" w:rsidP="00484850">
      <w:pPr>
        <w:pStyle w:val="Textonotapie"/>
        <w:rPr>
          <w:rFonts w:ascii="Verdana" w:hAnsi="Verdana"/>
          <w:color w:val="000000"/>
          <w:sz w:val="19"/>
          <w:szCs w:val="19"/>
          <w:lang w:val="es-CO"/>
        </w:rPr>
      </w:pPr>
    </w:p>
  </w:footnote>
  <w:footnote w:id="4">
    <w:p w14:paraId="1A94480D" w14:textId="77777777" w:rsidR="00484850" w:rsidRPr="00484850" w:rsidRDefault="00484850" w:rsidP="00484850">
      <w:pPr>
        <w:pStyle w:val="Textonotapie"/>
        <w:spacing w:after="120"/>
        <w:ind w:firstLine="708"/>
        <w:jc w:val="both"/>
        <w:rPr>
          <w:rFonts w:ascii="Verdana" w:hAnsi="Verdana"/>
          <w:color w:val="000000"/>
          <w:sz w:val="19"/>
          <w:szCs w:val="19"/>
        </w:rPr>
      </w:pPr>
      <w:r w:rsidRPr="00484850">
        <w:rPr>
          <w:rStyle w:val="Refdenotaalpie"/>
          <w:rFonts w:ascii="Verdana" w:hAnsi="Verdana" w:cs="Arial"/>
          <w:color w:val="000000"/>
          <w:sz w:val="19"/>
          <w:szCs w:val="19"/>
        </w:rPr>
        <w:footnoteRef/>
      </w:r>
      <w:r w:rsidRPr="00484850">
        <w:rPr>
          <w:rFonts w:ascii="Verdana" w:hAnsi="Verdana"/>
          <w:color w:val="000000"/>
          <w:sz w:val="19"/>
          <w:szCs w:val="19"/>
        </w:rPr>
        <w:t xml:space="preserve"> “Artículo 4. Bienes o servicios adicionales a la obra pública de agua potable y saneamiento básico. Cuando el objeto contractual incluya bienes o servicios ajenos a la obra pública de infraestructura de agua potable y saneamiento básico, la entidad estatal deberá aplicar los Documentos Tipo. Si de manera excepcional requiere incluir experiencia adicional para evaluar la idoneidad respecto de los bienes o servicios ajenos a la obra pública, deberá seguir los siguientes parámetros: </w:t>
      </w:r>
    </w:p>
    <w:p w14:paraId="459CEC65" w14:textId="77777777" w:rsidR="00484850" w:rsidRPr="00484850" w:rsidRDefault="00484850" w:rsidP="00484850">
      <w:pPr>
        <w:pStyle w:val="Textonotapie"/>
        <w:spacing w:after="120"/>
        <w:ind w:firstLine="708"/>
        <w:jc w:val="both"/>
        <w:rPr>
          <w:rFonts w:ascii="Verdana" w:hAnsi="Verdana"/>
          <w:color w:val="000000"/>
          <w:sz w:val="19"/>
          <w:szCs w:val="19"/>
        </w:rPr>
      </w:pPr>
      <w:r w:rsidRPr="00484850">
        <w:rPr>
          <w:rFonts w:ascii="Verdana" w:hAnsi="Verdana"/>
          <w:color w:val="000000"/>
          <w:sz w:val="19"/>
          <w:szCs w:val="19"/>
        </w:rPr>
        <w:t xml:space="preserve">1. Demostrar en los estudios previos que ha verificado las condiciones de mercado para la adquisición de los bienes o servicios adicionales al componente de obra pública, de tal manera que la experiencia adicional que se exija para tales bienes o servicios procure la pluralidad de oferentes, y no limite la concurrencia de proponentes al proceso de contratación. </w:t>
      </w:r>
    </w:p>
    <w:p w14:paraId="3025B815" w14:textId="77777777" w:rsidR="00484850" w:rsidRPr="00484850" w:rsidRDefault="00484850" w:rsidP="00484850">
      <w:pPr>
        <w:pStyle w:val="Textonotapie"/>
        <w:spacing w:after="120"/>
        <w:ind w:firstLine="708"/>
        <w:jc w:val="both"/>
        <w:rPr>
          <w:rFonts w:ascii="Verdana" w:hAnsi="Verdana"/>
          <w:color w:val="000000"/>
          <w:sz w:val="19"/>
          <w:szCs w:val="19"/>
        </w:rPr>
      </w:pPr>
      <w:r w:rsidRPr="00484850">
        <w:rPr>
          <w:rFonts w:ascii="Verdana" w:hAnsi="Verdana"/>
          <w:color w:val="000000"/>
          <w:sz w:val="19"/>
          <w:szCs w:val="19"/>
        </w:rPr>
        <w:t xml:space="preserve">2. Conservar los requisitos exigidos en los Documentos Tipo. </w:t>
      </w:r>
    </w:p>
    <w:p w14:paraId="3213CBDB" w14:textId="77777777" w:rsidR="00484850" w:rsidRPr="00484850" w:rsidRDefault="00484850" w:rsidP="00484850">
      <w:pPr>
        <w:pStyle w:val="Textonotapie"/>
        <w:spacing w:after="120"/>
        <w:ind w:firstLine="708"/>
        <w:jc w:val="both"/>
        <w:rPr>
          <w:rFonts w:ascii="Verdana" w:hAnsi="Verdana"/>
          <w:color w:val="000000"/>
          <w:sz w:val="19"/>
          <w:szCs w:val="19"/>
        </w:rPr>
      </w:pPr>
      <w:r w:rsidRPr="00484850">
        <w:rPr>
          <w:rFonts w:ascii="Verdana" w:hAnsi="Verdana"/>
          <w:color w:val="000000"/>
          <w:sz w:val="19"/>
          <w:szCs w:val="19"/>
        </w:rPr>
        <w:t xml:space="preserve">3. Abstenerse de pedir experiencia exclusiva con entidades estatales, experiencia previa en un territorio específico, limitada en el tiempo o que incluya volúmenes o cantidades de obra específica. </w:t>
      </w:r>
    </w:p>
    <w:p w14:paraId="3C805C50" w14:textId="77777777" w:rsidR="00484850" w:rsidRPr="00484850" w:rsidRDefault="00484850" w:rsidP="00484850">
      <w:pPr>
        <w:pStyle w:val="Textonotapie"/>
        <w:spacing w:after="120"/>
        <w:ind w:firstLine="708"/>
        <w:jc w:val="both"/>
        <w:rPr>
          <w:rFonts w:ascii="Verdana" w:hAnsi="Verdana"/>
          <w:color w:val="000000"/>
          <w:sz w:val="19"/>
          <w:szCs w:val="19"/>
        </w:rPr>
      </w:pPr>
      <w:r w:rsidRPr="00484850">
        <w:rPr>
          <w:rFonts w:ascii="Verdana" w:hAnsi="Verdana"/>
          <w:color w:val="000000"/>
          <w:sz w:val="19"/>
          <w:szCs w:val="19"/>
        </w:rPr>
        <w:t xml:space="preserve">4. Clasificar la experiencia requerida solo hasta el tercer nivel del Clasificador de Bienes y Servicios e incluir exclusivamente los códigos que estén relacionados directamente con el objeto a contratar. </w:t>
      </w:r>
    </w:p>
    <w:p w14:paraId="2362350B" w14:textId="77777777" w:rsidR="00484850" w:rsidRPr="00484850" w:rsidRDefault="00484850" w:rsidP="00484850">
      <w:pPr>
        <w:pStyle w:val="Textonotapie"/>
        <w:spacing w:after="120"/>
        <w:ind w:firstLine="708"/>
        <w:jc w:val="both"/>
        <w:rPr>
          <w:rFonts w:ascii="Verdana" w:hAnsi="Verdana" w:cs="Arial"/>
          <w:color w:val="000000"/>
          <w:sz w:val="19"/>
          <w:szCs w:val="19"/>
        </w:rPr>
      </w:pPr>
      <w:r w:rsidRPr="00484850">
        <w:rPr>
          <w:rFonts w:ascii="Verdana" w:hAnsi="Verdana"/>
          <w:color w:val="000000"/>
          <w:sz w:val="19"/>
          <w:szCs w:val="19"/>
        </w:rPr>
        <w:t>Parágrafo. (Modificado por el artículo 144 de la Resolución 275 del 24 de junio de 2022). En los casos que el objeto contractual incluya actividades que son abarcadas por otros Documentos Tipo, la Entidad Estatal aplicará las reglas de combinación de experiencia previstas en el numeral 3.5.2 del documento base”</w:t>
      </w:r>
      <w:r w:rsidRPr="00484850">
        <w:rPr>
          <w:rFonts w:ascii="Verdana" w:hAnsi="Verdana" w:cs="Arial"/>
          <w:color w:val="000000"/>
          <w:sz w:val="19"/>
          <w:szCs w:val="19"/>
        </w:rPr>
        <w:t xml:space="preserve">. </w:t>
      </w:r>
    </w:p>
  </w:footnote>
  <w:footnote w:id="5">
    <w:p w14:paraId="0999A185" w14:textId="77777777" w:rsidR="00484850" w:rsidRPr="00484850" w:rsidRDefault="00484850" w:rsidP="00484850">
      <w:pPr>
        <w:ind w:firstLine="709"/>
        <w:jc w:val="both"/>
        <w:rPr>
          <w:rFonts w:ascii="Verdana" w:eastAsia="Arial" w:hAnsi="Verdana" w:cs="Arial"/>
          <w:b/>
          <w:color w:val="000000"/>
          <w:sz w:val="19"/>
          <w:szCs w:val="19"/>
        </w:rPr>
      </w:pPr>
      <w:r w:rsidRPr="00484850">
        <w:rPr>
          <w:rStyle w:val="Refdenotaalpie"/>
          <w:rFonts w:ascii="Verdana" w:hAnsi="Verdana" w:cs="Arial"/>
          <w:color w:val="000000"/>
          <w:sz w:val="19"/>
          <w:szCs w:val="19"/>
        </w:rPr>
        <w:footnoteRef/>
      </w:r>
      <w:r w:rsidRPr="00484850">
        <w:rPr>
          <w:rFonts w:ascii="Verdana" w:hAnsi="Verdana" w:cs="Arial"/>
          <w:color w:val="000000"/>
          <w:sz w:val="19"/>
          <w:szCs w:val="19"/>
        </w:rPr>
        <w:t xml:space="preserve"> </w:t>
      </w:r>
      <w:r w:rsidRPr="00484850">
        <w:rPr>
          <w:rFonts w:ascii="Verdana" w:eastAsia="Arial" w:hAnsi="Verdana" w:cs="Arial"/>
          <w:color w:val="000000"/>
          <w:sz w:val="19"/>
          <w:szCs w:val="19"/>
        </w:rPr>
        <w:t>«</w:t>
      </w:r>
      <w:bookmarkStart w:id="2" w:name="_Toc67583310"/>
      <w:bookmarkStart w:id="3" w:name="_Toc78789458"/>
      <w:bookmarkStart w:id="4" w:name="_Toc84486074"/>
      <w:r w:rsidRPr="00484850">
        <w:rPr>
          <w:rFonts w:ascii="Verdana" w:eastAsia="Arial" w:hAnsi="Verdana" w:cs="Arial"/>
          <w:color w:val="000000"/>
          <w:sz w:val="19"/>
          <w:szCs w:val="19"/>
        </w:rPr>
        <w:t>3.5.8.</w:t>
      </w:r>
      <w:r w:rsidRPr="00484850">
        <w:rPr>
          <w:rFonts w:ascii="Verdana" w:eastAsia="Arial" w:hAnsi="Verdana" w:cs="Arial"/>
          <w:bCs/>
          <w:color w:val="000000"/>
          <w:sz w:val="19"/>
          <w:szCs w:val="19"/>
        </w:rPr>
        <w:t>RELACIÓN DE LOS CONTRATOS FRENTE AL PRESUPUESTO OFICIAL</w:t>
      </w:r>
      <w:bookmarkEnd w:id="2"/>
      <w:bookmarkEnd w:id="3"/>
      <w:bookmarkEnd w:id="4"/>
    </w:p>
    <w:p w14:paraId="65D61978" w14:textId="77777777" w:rsidR="00484850" w:rsidRPr="00484850" w:rsidRDefault="00484850" w:rsidP="00484850">
      <w:pPr>
        <w:jc w:val="both"/>
        <w:rPr>
          <w:rFonts w:ascii="Verdana" w:eastAsia="Calibri" w:hAnsi="Verdana" w:cs="Arial"/>
          <w:color w:val="000000"/>
          <w:sz w:val="19"/>
          <w:szCs w:val="19"/>
          <w:lang w:val="es-MX"/>
        </w:rPr>
      </w:pPr>
      <w:r w:rsidRPr="00484850">
        <w:rPr>
          <w:rFonts w:ascii="Verdana" w:eastAsia="Calibri" w:hAnsi="Verdana" w:cs="Arial"/>
          <w:color w:val="000000"/>
          <w:sz w:val="19"/>
          <w:szCs w:val="19"/>
          <w:lang w:val="es-MX"/>
        </w:rPr>
        <w:t>La verificación del número de contratos para acreditar la experiencia se realiza de la siguiente manera:</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7"/>
        <w:gridCol w:w="4182"/>
      </w:tblGrid>
      <w:tr w:rsidR="00484850" w:rsidRPr="00484850" w14:paraId="5ACB643A" w14:textId="77777777" w:rsidTr="007E79BA">
        <w:trPr>
          <w:trHeight w:val="774"/>
          <w:tblHeader/>
        </w:trPr>
        <w:tc>
          <w:tcPr>
            <w:tcW w:w="3047" w:type="dxa"/>
            <w:tcBorders>
              <w:top w:val="double" w:sz="4" w:space="0" w:color="auto"/>
              <w:left w:val="double" w:sz="4" w:space="0" w:color="auto"/>
              <w:bottom w:val="single" w:sz="4" w:space="0" w:color="000000"/>
              <w:right w:val="single" w:sz="4" w:space="0" w:color="000000"/>
            </w:tcBorders>
            <w:shd w:val="clear" w:color="auto" w:fill="404040"/>
            <w:vAlign w:val="center"/>
            <w:hideMark/>
          </w:tcPr>
          <w:p w14:paraId="619C0C99" w14:textId="77777777" w:rsidR="00484850" w:rsidRPr="00484850" w:rsidRDefault="00484850" w:rsidP="00B407F6">
            <w:pPr>
              <w:jc w:val="center"/>
              <w:rPr>
                <w:rFonts w:ascii="Verdana" w:eastAsia="Calibri" w:hAnsi="Verdana" w:cs="Arial"/>
                <w:b/>
                <w:bCs/>
                <w:color w:val="000000"/>
                <w:sz w:val="19"/>
                <w:szCs w:val="19"/>
                <w:lang w:val="es-ES"/>
              </w:rPr>
            </w:pPr>
            <w:r w:rsidRPr="00484850">
              <w:rPr>
                <w:rFonts w:ascii="Verdana" w:eastAsia="Calibri" w:hAnsi="Verdana" w:cs="Arial"/>
                <w:b/>
                <w:bCs/>
                <w:color w:val="000000"/>
                <w:sz w:val="19"/>
                <w:szCs w:val="19"/>
                <w:lang w:val="es-ES"/>
              </w:rPr>
              <w:t>Número de contratos con los cuales el Proponente cumple la experiencia acreditada</w:t>
            </w:r>
          </w:p>
        </w:tc>
        <w:tc>
          <w:tcPr>
            <w:tcW w:w="4182" w:type="dxa"/>
            <w:tcBorders>
              <w:top w:val="double" w:sz="4" w:space="0" w:color="auto"/>
              <w:left w:val="single" w:sz="4" w:space="0" w:color="000000"/>
              <w:bottom w:val="single" w:sz="4" w:space="0" w:color="000000"/>
              <w:right w:val="double" w:sz="4" w:space="0" w:color="auto"/>
            </w:tcBorders>
            <w:shd w:val="clear" w:color="auto" w:fill="404040"/>
            <w:vAlign w:val="center"/>
            <w:hideMark/>
          </w:tcPr>
          <w:p w14:paraId="3A9C3B06" w14:textId="77777777" w:rsidR="00484850" w:rsidRPr="00484850" w:rsidRDefault="00484850" w:rsidP="00B407F6">
            <w:pPr>
              <w:jc w:val="center"/>
              <w:rPr>
                <w:rFonts w:ascii="Verdana" w:eastAsia="Calibri" w:hAnsi="Verdana" w:cs="Arial"/>
                <w:b/>
                <w:bCs/>
                <w:color w:val="000000"/>
                <w:sz w:val="19"/>
                <w:szCs w:val="19"/>
                <w:lang w:val="es-ES"/>
              </w:rPr>
            </w:pPr>
            <w:r w:rsidRPr="00484850">
              <w:rPr>
                <w:rFonts w:ascii="Verdana" w:eastAsia="Calibri" w:hAnsi="Verdana" w:cs="Arial"/>
                <w:b/>
                <w:bCs/>
                <w:color w:val="000000"/>
                <w:sz w:val="19"/>
                <w:szCs w:val="19"/>
                <w:lang w:val="es-ES"/>
              </w:rPr>
              <w:t>Valor mínimo a certificar</w:t>
            </w:r>
          </w:p>
          <w:p w14:paraId="16912F2C" w14:textId="77777777" w:rsidR="00484850" w:rsidRPr="00484850" w:rsidRDefault="00484850" w:rsidP="00B407F6">
            <w:pPr>
              <w:jc w:val="center"/>
              <w:rPr>
                <w:rFonts w:ascii="Verdana" w:eastAsia="Calibri" w:hAnsi="Verdana" w:cs="Arial"/>
                <w:b/>
                <w:bCs/>
                <w:color w:val="000000"/>
                <w:sz w:val="19"/>
                <w:szCs w:val="19"/>
                <w:lang w:val="es-ES"/>
              </w:rPr>
            </w:pPr>
            <w:r w:rsidRPr="00484850">
              <w:rPr>
                <w:rFonts w:ascii="Verdana" w:eastAsia="Calibri" w:hAnsi="Verdana" w:cs="Arial"/>
                <w:b/>
                <w:bCs/>
                <w:color w:val="000000"/>
                <w:sz w:val="19"/>
                <w:szCs w:val="19"/>
                <w:lang w:val="es-ES"/>
              </w:rPr>
              <w:t>(como % del Presupuesto Oficial de obra expresado en SMMLV)</w:t>
            </w:r>
          </w:p>
        </w:tc>
      </w:tr>
      <w:tr w:rsidR="00484850" w:rsidRPr="00484850" w14:paraId="5F286384" w14:textId="77777777" w:rsidTr="007E79BA">
        <w:trPr>
          <w:trHeight w:val="267"/>
        </w:trPr>
        <w:tc>
          <w:tcPr>
            <w:tcW w:w="3047" w:type="dxa"/>
            <w:tcBorders>
              <w:top w:val="single" w:sz="4" w:space="0" w:color="000000"/>
              <w:left w:val="double" w:sz="4" w:space="0" w:color="auto"/>
              <w:bottom w:val="single" w:sz="4" w:space="0" w:color="000000"/>
              <w:right w:val="single" w:sz="4" w:space="0" w:color="000000"/>
            </w:tcBorders>
            <w:vAlign w:val="center"/>
            <w:hideMark/>
          </w:tcPr>
          <w:p w14:paraId="47D0FC95"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De 1 hasta 2</w:t>
            </w:r>
          </w:p>
        </w:tc>
        <w:tc>
          <w:tcPr>
            <w:tcW w:w="4182" w:type="dxa"/>
            <w:tcBorders>
              <w:top w:val="single" w:sz="4" w:space="0" w:color="000000"/>
              <w:left w:val="single" w:sz="4" w:space="0" w:color="000000"/>
              <w:bottom w:val="single" w:sz="4" w:space="0" w:color="000000"/>
              <w:right w:val="double" w:sz="4" w:space="0" w:color="auto"/>
            </w:tcBorders>
            <w:vAlign w:val="center"/>
            <w:hideMark/>
          </w:tcPr>
          <w:p w14:paraId="3776AF1B"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75 %</w:t>
            </w:r>
          </w:p>
        </w:tc>
      </w:tr>
      <w:tr w:rsidR="00484850" w:rsidRPr="00484850" w14:paraId="66FAEDA9" w14:textId="77777777" w:rsidTr="007E79BA">
        <w:trPr>
          <w:trHeight w:val="267"/>
        </w:trPr>
        <w:tc>
          <w:tcPr>
            <w:tcW w:w="3047" w:type="dxa"/>
            <w:tcBorders>
              <w:top w:val="single" w:sz="4" w:space="0" w:color="000000"/>
              <w:left w:val="double" w:sz="4" w:space="0" w:color="auto"/>
              <w:bottom w:val="single" w:sz="4" w:space="0" w:color="000000"/>
              <w:right w:val="single" w:sz="4" w:space="0" w:color="000000"/>
            </w:tcBorders>
            <w:vAlign w:val="center"/>
            <w:hideMark/>
          </w:tcPr>
          <w:p w14:paraId="2B7EAE73"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De 3 hasta 4</w:t>
            </w:r>
          </w:p>
        </w:tc>
        <w:tc>
          <w:tcPr>
            <w:tcW w:w="4182" w:type="dxa"/>
            <w:tcBorders>
              <w:top w:val="single" w:sz="4" w:space="0" w:color="000000"/>
              <w:left w:val="single" w:sz="4" w:space="0" w:color="000000"/>
              <w:bottom w:val="single" w:sz="4" w:space="0" w:color="000000"/>
              <w:right w:val="double" w:sz="4" w:space="0" w:color="auto"/>
            </w:tcBorders>
            <w:vAlign w:val="center"/>
            <w:hideMark/>
          </w:tcPr>
          <w:p w14:paraId="35F7300B"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120 %</w:t>
            </w:r>
          </w:p>
        </w:tc>
      </w:tr>
      <w:tr w:rsidR="00484850" w:rsidRPr="00484850" w14:paraId="3A3004E6" w14:textId="77777777" w:rsidTr="007E79BA">
        <w:trPr>
          <w:trHeight w:val="282"/>
        </w:trPr>
        <w:tc>
          <w:tcPr>
            <w:tcW w:w="3047" w:type="dxa"/>
            <w:tcBorders>
              <w:top w:val="single" w:sz="4" w:space="0" w:color="000000"/>
              <w:left w:val="double" w:sz="4" w:space="0" w:color="auto"/>
              <w:bottom w:val="single" w:sz="4" w:space="0" w:color="000000"/>
              <w:right w:val="single" w:sz="4" w:space="0" w:color="000000"/>
            </w:tcBorders>
            <w:vAlign w:val="center"/>
            <w:hideMark/>
          </w:tcPr>
          <w:p w14:paraId="437C5A2A"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Hasta 5</w:t>
            </w:r>
          </w:p>
        </w:tc>
        <w:tc>
          <w:tcPr>
            <w:tcW w:w="4182" w:type="dxa"/>
            <w:tcBorders>
              <w:top w:val="single" w:sz="4" w:space="0" w:color="000000"/>
              <w:left w:val="single" w:sz="4" w:space="0" w:color="000000"/>
              <w:bottom w:val="single" w:sz="4" w:space="0" w:color="000000"/>
              <w:right w:val="double" w:sz="4" w:space="0" w:color="auto"/>
            </w:tcBorders>
            <w:vAlign w:val="center"/>
            <w:hideMark/>
          </w:tcPr>
          <w:p w14:paraId="149BDB12" w14:textId="77777777" w:rsidR="00484850" w:rsidRPr="00484850" w:rsidRDefault="00484850" w:rsidP="00B407F6">
            <w:pPr>
              <w:jc w:val="center"/>
              <w:rPr>
                <w:rFonts w:ascii="Verdana" w:eastAsia="Calibri" w:hAnsi="Verdana" w:cs="Arial"/>
                <w:color w:val="000000"/>
                <w:sz w:val="19"/>
                <w:szCs w:val="19"/>
                <w:lang w:val="es-ES"/>
              </w:rPr>
            </w:pPr>
            <w:r w:rsidRPr="00484850">
              <w:rPr>
                <w:rFonts w:ascii="Verdana" w:eastAsia="Calibri" w:hAnsi="Verdana" w:cs="Arial"/>
                <w:color w:val="000000"/>
                <w:sz w:val="19"/>
                <w:szCs w:val="19"/>
                <w:lang w:val="es-ES"/>
              </w:rPr>
              <w:t>150 %</w:t>
            </w:r>
          </w:p>
        </w:tc>
      </w:tr>
    </w:tbl>
    <w:p w14:paraId="5F38D0B5" w14:textId="77777777" w:rsidR="00484850" w:rsidRPr="00484850" w:rsidRDefault="00484850" w:rsidP="00484850">
      <w:pPr>
        <w:ind w:firstLine="709"/>
        <w:jc w:val="both"/>
        <w:rPr>
          <w:rFonts w:ascii="Verdana" w:eastAsia="Arial" w:hAnsi="Verdana" w:cs="Arial"/>
          <w:color w:val="000000"/>
          <w:sz w:val="19"/>
          <w:szCs w:val="19"/>
        </w:rPr>
      </w:pPr>
    </w:p>
    <w:p w14:paraId="21AB91D6" w14:textId="77777777" w:rsidR="00484850" w:rsidRPr="00484850" w:rsidRDefault="00484850" w:rsidP="00484850">
      <w:pPr>
        <w:ind w:firstLine="709"/>
        <w:jc w:val="both"/>
        <w:rPr>
          <w:rFonts w:ascii="Verdana" w:eastAsia="Calibri" w:hAnsi="Verdana" w:cs="Arial"/>
          <w:iCs/>
          <w:color w:val="000000"/>
          <w:sz w:val="19"/>
          <w:szCs w:val="19"/>
        </w:rPr>
      </w:pPr>
      <w:r w:rsidRPr="00484850">
        <w:rPr>
          <w:rFonts w:ascii="Verdana" w:eastAsia="Arial" w:hAnsi="Verdana" w:cs="Arial"/>
          <w:color w:val="000000"/>
          <w:sz w:val="19"/>
          <w:szCs w:val="19"/>
        </w:rPr>
        <w:t>“</w:t>
      </w:r>
      <w:r w:rsidRPr="00484850">
        <w:rPr>
          <w:rFonts w:ascii="Verdana" w:eastAsia="Calibri" w:hAnsi="Verdana" w:cs="Arial"/>
          <w:iCs/>
          <w:color w:val="000000"/>
          <w:sz w:val="19"/>
          <w:szCs w:val="19"/>
        </w:rPr>
        <w:t>Si el número de contratos aportados supera los cinco (5) inicialmente previstos en este numeral, debido a la posibilidad de allegar contratos adicionales por tratarse de una Mipyme y/o emprendimiento y empresa de mujer, estos contratos adicionales, ya sean seis (6) o siete (7) contratos -dependiendo si acredita una o ambas condiciones-, se tendrán en cuenta para demostrar el valor del ciento cincuenta por ciento (150 %) del valor del Presupuesto Oficial.</w:t>
      </w:r>
    </w:p>
    <w:p w14:paraId="4E068FAA" w14:textId="77777777" w:rsidR="00484850" w:rsidRPr="00484850" w:rsidRDefault="00484850" w:rsidP="00484850">
      <w:pPr>
        <w:ind w:firstLine="709"/>
        <w:jc w:val="both"/>
        <w:rPr>
          <w:rFonts w:ascii="Verdana" w:eastAsia="Calibri" w:hAnsi="Verdana" w:cs="Arial"/>
          <w:iCs/>
          <w:color w:val="000000"/>
          <w:sz w:val="19"/>
          <w:szCs w:val="19"/>
        </w:rPr>
      </w:pPr>
      <w:r w:rsidRPr="00484850">
        <w:rPr>
          <w:rFonts w:ascii="Verdana" w:eastAsia="Calibri" w:hAnsi="Verdana" w:cs="Arial"/>
          <w:iCs/>
          <w:color w:val="000000"/>
          <w:sz w:val="19"/>
          <w:szCs w:val="19"/>
          <w:lang w:val="es-MX"/>
        </w:rPr>
        <w:t>La verificación se hará con base en la sumatoria de los valores totales ejecutados (incluido IVA) en SMMLV de los contratos que cumplan con los requisitos establecidos en este Pliego de Condiciones.</w:t>
      </w:r>
    </w:p>
    <w:p w14:paraId="6CC24D30" w14:textId="77777777" w:rsidR="00484850" w:rsidRPr="00484850" w:rsidRDefault="00484850" w:rsidP="00484850">
      <w:pPr>
        <w:jc w:val="both"/>
        <w:rPr>
          <w:rFonts w:ascii="Verdana" w:eastAsia="Calibri" w:hAnsi="Verdana" w:cs="Arial"/>
          <w:iCs/>
          <w:color w:val="000000"/>
          <w:sz w:val="19"/>
          <w:szCs w:val="19"/>
          <w:lang w:val="es-MX"/>
        </w:rPr>
      </w:pPr>
      <w:r w:rsidRPr="00484850">
        <w:rPr>
          <w:rFonts w:ascii="Verdana" w:eastAsia="Calibri" w:hAnsi="Verdana" w:cs="Arial"/>
          <w:iCs/>
          <w:color w:val="000000"/>
          <w:sz w:val="19"/>
          <w:szCs w:val="19"/>
          <w:lang w:val="es-MX"/>
        </w:rPr>
        <w:t>El Proponente cumple el requisito de experiencia si la sumatoria de los valores totales ejecutados (incluido IVA) de los contratos expresados en SMMLV es mayor o igual al valor mínimo a certificar establecido en la tabla anterior.</w:t>
      </w:r>
    </w:p>
    <w:p w14:paraId="751821DF" w14:textId="77777777" w:rsidR="00484850" w:rsidRPr="00484850" w:rsidRDefault="00484850" w:rsidP="00484850">
      <w:pPr>
        <w:ind w:firstLine="709"/>
        <w:jc w:val="both"/>
        <w:rPr>
          <w:rFonts w:ascii="Verdana" w:eastAsia="Calibri" w:hAnsi="Verdana" w:cs="Arial"/>
          <w:iCs/>
          <w:color w:val="000000"/>
          <w:sz w:val="19"/>
          <w:szCs w:val="19"/>
          <w:lang w:val="es-MX"/>
        </w:rPr>
      </w:pPr>
      <w:r w:rsidRPr="00484850">
        <w:rPr>
          <w:rFonts w:ascii="Verdana" w:eastAsia="Calibri" w:hAnsi="Verdana" w:cs="Arial"/>
          <w:iCs/>
          <w:color w:val="000000"/>
          <w:sz w:val="19"/>
          <w:szCs w:val="19"/>
          <w:lang w:val="es-MX"/>
        </w:rPr>
        <w:t>En caso de que el número de contratos con los cuales el Proponente acredita la experiencia no satisface el porcentaje mínimo a certificar establecido en la tabla anterior, se calificará la propuesta como no hábil y el Proponente podrá subsanarla en los términos contemplados en la sección 1.6.</w:t>
      </w:r>
    </w:p>
    <w:p w14:paraId="39D85662" w14:textId="77777777" w:rsidR="00484850" w:rsidRPr="00484850" w:rsidRDefault="00484850" w:rsidP="00484850">
      <w:pPr>
        <w:ind w:firstLine="709"/>
        <w:jc w:val="both"/>
        <w:rPr>
          <w:rFonts w:ascii="Verdana" w:eastAsia="Calibri" w:hAnsi="Verdana" w:cs="Arial"/>
          <w:iCs/>
          <w:color w:val="000000"/>
          <w:sz w:val="19"/>
          <w:szCs w:val="19"/>
          <w:highlight w:val="lightGray"/>
          <w:lang w:val="es-MX"/>
        </w:rPr>
      </w:pPr>
      <w:r w:rsidRPr="00484850">
        <w:rPr>
          <w:rFonts w:ascii="Verdana" w:eastAsia="Calibri" w:hAnsi="Verdana" w:cs="Arial"/>
          <w:iCs/>
          <w:color w:val="000000"/>
          <w:sz w:val="19"/>
          <w:szCs w:val="19"/>
          <w:highlight w:val="lightGray"/>
          <w:lang w:val="es-MX"/>
        </w:rPr>
        <w:t>[En los procesos estructurados por lotes o por grupos, el valor mínimo a certificar debe ser en relación con el valor del Presupuesto Oficial del respectivo lote o grupo expresado en SMMLV]”.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2"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928" w:hanging="360"/>
      </w:pPr>
      <w:rPr>
        <w:b/>
        <w:color w:val="000000" w:themeColor="text1"/>
      </w:rPr>
    </w:lvl>
    <w:lvl w:ilvl="1">
      <w:start w:val="2"/>
      <w:numFmt w:val="decimal"/>
      <w:isLgl/>
      <w:lvlText w:val="%1.%2"/>
      <w:lvlJc w:val="left"/>
      <w:pPr>
        <w:ind w:left="56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4F214B2"/>
    <w:multiLevelType w:val="hybridMultilevel"/>
    <w:tmpl w:val="60E0E3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1" w15:restartNumberingAfterBreak="0">
    <w:nsid w:val="5F9A7137"/>
    <w:multiLevelType w:val="multilevel"/>
    <w:tmpl w:val="1628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6"/>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4"/>
  </w:num>
  <w:num w:numId="14" w16cid:durableId="895897244">
    <w:abstractNumId w:val="16"/>
  </w:num>
  <w:num w:numId="15" w16cid:durableId="390349800">
    <w:abstractNumId w:val="12"/>
  </w:num>
  <w:num w:numId="16" w16cid:durableId="341274352">
    <w:abstractNumId w:val="0"/>
  </w:num>
  <w:num w:numId="17" w16cid:durableId="827985604">
    <w:abstractNumId w:val="10"/>
  </w:num>
  <w:num w:numId="18" w16cid:durableId="897016268">
    <w:abstractNumId w:val="3"/>
  </w:num>
  <w:num w:numId="19" w16cid:durableId="1578842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4E36"/>
    <w:rsid w:val="000A683E"/>
    <w:rsid w:val="000B19B9"/>
    <w:rsid w:val="000D0334"/>
    <w:rsid w:val="000D5DA7"/>
    <w:rsid w:val="000F6486"/>
    <w:rsid w:val="00106BF2"/>
    <w:rsid w:val="00116940"/>
    <w:rsid w:val="00125105"/>
    <w:rsid w:val="00127233"/>
    <w:rsid w:val="0015699B"/>
    <w:rsid w:val="001A33BF"/>
    <w:rsid w:val="001E4177"/>
    <w:rsid w:val="001F0B24"/>
    <w:rsid w:val="001F7DC6"/>
    <w:rsid w:val="0022400B"/>
    <w:rsid w:val="00224C26"/>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0F1"/>
    <w:rsid w:val="00406575"/>
    <w:rsid w:val="00414C74"/>
    <w:rsid w:val="0042722E"/>
    <w:rsid w:val="0044528D"/>
    <w:rsid w:val="00466E39"/>
    <w:rsid w:val="00484850"/>
    <w:rsid w:val="004A1847"/>
    <w:rsid w:val="004A305D"/>
    <w:rsid w:val="004F21C4"/>
    <w:rsid w:val="004F41F9"/>
    <w:rsid w:val="004F685F"/>
    <w:rsid w:val="005566E8"/>
    <w:rsid w:val="00574867"/>
    <w:rsid w:val="00591460"/>
    <w:rsid w:val="00594E35"/>
    <w:rsid w:val="005A65E0"/>
    <w:rsid w:val="005C3777"/>
    <w:rsid w:val="005C5CDC"/>
    <w:rsid w:val="005D476C"/>
    <w:rsid w:val="006200BF"/>
    <w:rsid w:val="006219F8"/>
    <w:rsid w:val="006302F7"/>
    <w:rsid w:val="00646B9F"/>
    <w:rsid w:val="00665D70"/>
    <w:rsid w:val="006900D9"/>
    <w:rsid w:val="006D1D51"/>
    <w:rsid w:val="00700231"/>
    <w:rsid w:val="00706C16"/>
    <w:rsid w:val="007340C3"/>
    <w:rsid w:val="0075235A"/>
    <w:rsid w:val="00756841"/>
    <w:rsid w:val="007649AB"/>
    <w:rsid w:val="00765EB5"/>
    <w:rsid w:val="00771D0C"/>
    <w:rsid w:val="007833AC"/>
    <w:rsid w:val="007B268C"/>
    <w:rsid w:val="007B7171"/>
    <w:rsid w:val="007C0C0F"/>
    <w:rsid w:val="007C3DC2"/>
    <w:rsid w:val="007E5497"/>
    <w:rsid w:val="00806F5F"/>
    <w:rsid w:val="00820278"/>
    <w:rsid w:val="008258C9"/>
    <w:rsid w:val="008410EE"/>
    <w:rsid w:val="00844AE9"/>
    <w:rsid w:val="00867F95"/>
    <w:rsid w:val="008843B6"/>
    <w:rsid w:val="00891928"/>
    <w:rsid w:val="008A446D"/>
    <w:rsid w:val="008B25F1"/>
    <w:rsid w:val="008D180B"/>
    <w:rsid w:val="008E6418"/>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AB3D22"/>
    <w:rsid w:val="00B00C0E"/>
    <w:rsid w:val="00B01B1A"/>
    <w:rsid w:val="00B0381D"/>
    <w:rsid w:val="00B44A47"/>
    <w:rsid w:val="00B72CD3"/>
    <w:rsid w:val="00B72FFF"/>
    <w:rsid w:val="00B937B1"/>
    <w:rsid w:val="00BC3D36"/>
    <w:rsid w:val="00BD54A6"/>
    <w:rsid w:val="00BD7F72"/>
    <w:rsid w:val="00BF7425"/>
    <w:rsid w:val="00C04FB3"/>
    <w:rsid w:val="00C110D0"/>
    <w:rsid w:val="00C11D8B"/>
    <w:rsid w:val="00C15139"/>
    <w:rsid w:val="00C330EB"/>
    <w:rsid w:val="00C50D69"/>
    <w:rsid w:val="00C5365C"/>
    <w:rsid w:val="00C657D6"/>
    <w:rsid w:val="00C754BE"/>
    <w:rsid w:val="00C76B1C"/>
    <w:rsid w:val="00C925AC"/>
    <w:rsid w:val="00CB6357"/>
    <w:rsid w:val="00CC1B26"/>
    <w:rsid w:val="00D361FD"/>
    <w:rsid w:val="00D423A2"/>
    <w:rsid w:val="00D44E26"/>
    <w:rsid w:val="00D50DA2"/>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B16B5"/>
    <w:rsid w:val="00EC05A0"/>
    <w:rsid w:val="00EC38A7"/>
    <w:rsid w:val="00EE1AA8"/>
    <w:rsid w:val="00EE33B4"/>
    <w:rsid w:val="00F23FEA"/>
    <w:rsid w:val="00F31EDC"/>
    <w:rsid w:val="00F462B3"/>
    <w:rsid w:val="00F5664F"/>
    <w:rsid w:val="00F666C4"/>
    <w:rsid w:val="00F76AFC"/>
    <w:rsid w:val="00FA47C0"/>
    <w:rsid w:val="00FB5DD1"/>
    <w:rsid w:val="00FC2B5D"/>
    <w:rsid w:val="00FE171D"/>
    <w:rsid w:val="00FF1449"/>
    <w:rsid w:val="00FF7963"/>
    <w:rsid w:val="01AD4866"/>
    <w:rsid w:val="071B8F93"/>
    <w:rsid w:val="07252845"/>
    <w:rsid w:val="07C73DD1"/>
    <w:rsid w:val="09908A09"/>
    <w:rsid w:val="0A0C1B74"/>
    <w:rsid w:val="0E0AF0F4"/>
    <w:rsid w:val="0EFE6349"/>
    <w:rsid w:val="0FF4CCA8"/>
    <w:rsid w:val="13CFC91B"/>
    <w:rsid w:val="19A2EC2C"/>
    <w:rsid w:val="1E28DBD1"/>
    <w:rsid w:val="21779BE6"/>
    <w:rsid w:val="263E1AA5"/>
    <w:rsid w:val="2859CA1B"/>
    <w:rsid w:val="2C4D2425"/>
    <w:rsid w:val="2EE1E026"/>
    <w:rsid w:val="2F44F38F"/>
    <w:rsid w:val="30821638"/>
    <w:rsid w:val="32A4F9CF"/>
    <w:rsid w:val="33A1FF93"/>
    <w:rsid w:val="356CEDFD"/>
    <w:rsid w:val="3C591AFD"/>
    <w:rsid w:val="42183F0A"/>
    <w:rsid w:val="42F5380E"/>
    <w:rsid w:val="54441187"/>
    <w:rsid w:val="545B112A"/>
    <w:rsid w:val="5AE492EC"/>
    <w:rsid w:val="5BEB1497"/>
    <w:rsid w:val="69614A15"/>
    <w:rsid w:val="6E293A0E"/>
    <w:rsid w:val="700D74C9"/>
    <w:rsid w:val="73F89BDE"/>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484850"/>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484850"/>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484850"/>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484850"/>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484850"/>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484850"/>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484850"/>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484850"/>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484850"/>
    <w:pPr>
      <w:keepNext/>
      <w:keepLines/>
      <w:spacing w:before="40" w:after="0"/>
      <w:outlineLvl w:val="8"/>
    </w:pPr>
    <w:rPr>
      <w:rFonts w:eastAsia="Times New Roman" w:cs="Times New Roman"/>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484850"/>
    <w:pPr>
      <w:keepNext/>
      <w:keepLines/>
      <w:spacing w:before="360" w:after="80"/>
      <w:outlineLvl w:val="0"/>
    </w:pPr>
    <w:rPr>
      <w:rFonts w:ascii="Aptos Display" w:eastAsia="Times New Roman" w:hAnsi="Aptos Display" w:cs="Times New Roman"/>
      <w:color w:val="0F4761"/>
      <w:sz w:val="40"/>
      <w:szCs w:val="40"/>
    </w:rPr>
  </w:style>
  <w:style w:type="paragraph" w:customStyle="1" w:styleId="Ttulo21">
    <w:name w:val="Título 21"/>
    <w:basedOn w:val="Normal"/>
    <w:next w:val="Normal"/>
    <w:uiPriority w:val="9"/>
    <w:semiHidden/>
    <w:unhideWhenUsed/>
    <w:qFormat/>
    <w:rsid w:val="00484850"/>
    <w:pPr>
      <w:keepNext/>
      <w:keepLines/>
      <w:spacing w:before="160" w:after="80"/>
      <w:outlineLvl w:val="1"/>
    </w:pPr>
    <w:rPr>
      <w:rFonts w:ascii="Aptos Display" w:eastAsia="Times New Roman" w:hAnsi="Aptos Display" w:cs="Times New Roman"/>
      <w:color w:val="0F4761"/>
      <w:sz w:val="32"/>
      <w:szCs w:val="32"/>
    </w:rPr>
  </w:style>
  <w:style w:type="paragraph" w:customStyle="1" w:styleId="Ttulo31">
    <w:name w:val="Título 31"/>
    <w:basedOn w:val="Normal"/>
    <w:next w:val="Normal"/>
    <w:uiPriority w:val="9"/>
    <w:semiHidden/>
    <w:unhideWhenUsed/>
    <w:qFormat/>
    <w:rsid w:val="00484850"/>
    <w:pPr>
      <w:keepNext/>
      <w:keepLines/>
      <w:spacing w:before="160" w:after="80"/>
      <w:outlineLvl w:val="2"/>
    </w:pPr>
    <w:rPr>
      <w:rFonts w:eastAsia="Times New Roman" w:cs="Times New Roman"/>
      <w:color w:val="0F4761"/>
      <w:sz w:val="28"/>
      <w:szCs w:val="28"/>
    </w:rPr>
  </w:style>
  <w:style w:type="paragraph" w:customStyle="1" w:styleId="Ttulo41">
    <w:name w:val="Título 41"/>
    <w:basedOn w:val="Normal"/>
    <w:next w:val="Normal"/>
    <w:uiPriority w:val="9"/>
    <w:semiHidden/>
    <w:unhideWhenUsed/>
    <w:qFormat/>
    <w:rsid w:val="00484850"/>
    <w:pPr>
      <w:keepNext/>
      <w:keepLines/>
      <w:spacing w:before="80" w:after="40"/>
      <w:outlineLvl w:val="3"/>
    </w:pPr>
    <w:rPr>
      <w:rFonts w:eastAsia="Times New Roman" w:cs="Times New Roman"/>
      <w:i/>
      <w:iCs/>
      <w:color w:val="0F4761"/>
    </w:rPr>
  </w:style>
  <w:style w:type="paragraph" w:customStyle="1" w:styleId="Ttulo51">
    <w:name w:val="Título 51"/>
    <w:basedOn w:val="Normal"/>
    <w:next w:val="Normal"/>
    <w:uiPriority w:val="9"/>
    <w:semiHidden/>
    <w:unhideWhenUsed/>
    <w:qFormat/>
    <w:rsid w:val="00484850"/>
    <w:pPr>
      <w:keepNext/>
      <w:keepLines/>
      <w:spacing w:before="80" w:after="40"/>
      <w:outlineLvl w:val="4"/>
    </w:pPr>
    <w:rPr>
      <w:rFonts w:eastAsia="Times New Roman" w:cs="Times New Roman"/>
      <w:color w:val="0F4761"/>
    </w:rPr>
  </w:style>
  <w:style w:type="paragraph" w:customStyle="1" w:styleId="Ttulo61">
    <w:name w:val="Título 61"/>
    <w:basedOn w:val="Normal"/>
    <w:next w:val="Normal"/>
    <w:uiPriority w:val="9"/>
    <w:semiHidden/>
    <w:unhideWhenUsed/>
    <w:qFormat/>
    <w:rsid w:val="00484850"/>
    <w:pPr>
      <w:keepNext/>
      <w:keepLines/>
      <w:spacing w:before="40" w:after="0"/>
      <w:outlineLvl w:val="5"/>
    </w:pPr>
    <w:rPr>
      <w:rFonts w:eastAsia="Times New Roman" w:cs="Times New Roman"/>
      <w:i/>
      <w:iCs/>
      <w:color w:val="595959"/>
    </w:rPr>
  </w:style>
  <w:style w:type="paragraph" w:customStyle="1" w:styleId="Ttulo71">
    <w:name w:val="Título 71"/>
    <w:basedOn w:val="Normal"/>
    <w:next w:val="Normal"/>
    <w:uiPriority w:val="9"/>
    <w:semiHidden/>
    <w:unhideWhenUsed/>
    <w:qFormat/>
    <w:rsid w:val="00484850"/>
    <w:pPr>
      <w:keepNext/>
      <w:keepLines/>
      <w:spacing w:before="40" w:after="0"/>
      <w:outlineLvl w:val="6"/>
    </w:pPr>
    <w:rPr>
      <w:rFonts w:eastAsia="Times New Roman" w:cs="Times New Roman"/>
      <w:color w:val="595959"/>
    </w:rPr>
  </w:style>
  <w:style w:type="paragraph" w:customStyle="1" w:styleId="Ttulo81">
    <w:name w:val="Título 81"/>
    <w:basedOn w:val="Normal"/>
    <w:next w:val="Normal"/>
    <w:uiPriority w:val="9"/>
    <w:semiHidden/>
    <w:unhideWhenUsed/>
    <w:qFormat/>
    <w:rsid w:val="00484850"/>
    <w:pPr>
      <w:keepNext/>
      <w:keepLines/>
      <w:spacing w:after="0"/>
      <w:outlineLvl w:val="7"/>
    </w:pPr>
    <w:rPr>
      <w:rFonts w:eastAsia="Times New Roman" w:cs="Times New Roman"/>
      <w:i/>
      <w:iCs/>
      <w:color w:val="272727"/>
    </w:rPr>
  </w:style>
  <w:style w:type="paragraph" w:customStyle="1" w:styleId="Ttulo91">
    <w:name w:val="Título 91"/>
    <w:basedOn w:val="Normal"/>
    <w:next w:val="Normal"/>
    <w:uiPriority w:val="9"/>
    <w:semiHidden/>
    <w:unhideWhenUsed/>
    <w:qFormat/>
    <w:rsid w:val="00484850"/>
    <w:pPr>
      <w:keepNext/>
      <w:keepLines/>
      <w:spacing w:after="0"/>
      <w:outlineLvl w:val="8"/>
    </w:pPr>
    <w:rPr>
      <w:rFonts w:eastAsia="Times New Roman" w:cs="Times New Roman"/>
      <w:color w:val="272727"/>
    </w:rPr>
  </w:style>
  <w:style w:type="character" w:customStyle="1" w:styleId="Ttulo1Car">
    <w:name w:val="Título 1 Car"/>
    <w:basedOn w:val="Fuentedeprrafopredeter"/>
    <w:link w:val="Ttulo1"/>
    <w:uiPriority w:val="9"/>
    <w:rsid w:val="00484850"/>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484850"/>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484850"/>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484850"/>
    <w:rPr>
      <w:rFonts w:eastAsia="Times New Roman" w:cs="Times New Roman"/>
      <w:i/>
      <w:iCs/>
      <w:color w:val="0F4761"/>
    </w:rPr>
  </w:style>
  <w:style w:type="character" w:customStyle="1" w:styleId="Ttulo5Car">
    <w:name w:val="Título 5 Car"/>
    <w:basedOn w:val="Fuentedeprrafopredeter"/>
    <w:link w:val="Ttulo5"/>
    <w:uiPriority w:val="9"/>
    <w:semiHidden/>
    <w:rsid w:val="00484850"/>
    <w:rPr>
      <w:rFonts w:eastAsia="Times New Roman" w:cs="Times New Roman"/>
      <w:color w:val="0F4761"/>
    </w:rPr>
  </w:style>
  <w:style w:type="character" w:customStyle="1" w:styleId="Ttulo6Car">
    <w:name w:val="Título 6 Car"/>
    <w:basedOn w:val="Fuentedeprrafopredeter"/>
    <w:link w:val="Ttulo6"/>
    <w:uiPriority w:val="9"/>
    <w:semiHidden/>
    <w:rsid w:val="00484850"/>
    <w:rPr>
      <w:rFonts w:eastAsia="Times New Roman" w:cs="Times New Roman"/>
      <w:i/>
      <w:iCs/>
      <w:color w:val="595959"/>
    </w:rPr>
  </w:style>
  <w:style w:type="character" w:customStyle="1" w:styleId="Ttulo7Car">
    <w:name w:val="Título 7 Car"/>
    <w:basedOn w:val="Fuentedeprrafopredeter"/>
    <w:link w:val="Ttulo7"/>
    <w:uiPriority w:val="9"/>
    <w:semiHidden/>
    <w:rsid w:val="00484850"/>
    <w:rPr>
      <w:rFonts w:eastAsia="Times New Roman" w:cs="Times New Roman"/>
      <w:color w:val="595959"/>
    </w:rPr>
  </w:style>
  <w:style w:type="character" w:customStyle="1" w:styleId="Ttulo8Car">
    <w:name w:val="Título 8 Car"/>
    <w:basedOn w:val="Fuentedeprrafopredeter"/>
    <w:link w:val="Ttulo8"/>
    <w:uiPriority w:val="9"/>
    <w:semiHidden/>
    <w:rsid w:val="00484850"/>
    <w:rPr>
      <w:rFonts w:eastAsia="Times New Roman" w:cs="Times New Roman"/>
      <w:i/>
      <w:iCs/>
      <w:color w:val="272727"/>
    </w:rPr>
  </w:style>
  <w:style w:type="character" w:customStyle="1" w:styleId="Ttulo9Car">
    <w:name w:val="Título 9 Car"/>
    <w:basedOn w:val="Fuentedeprrafopredeter"/>
    <w:link w:val="Ttulo9"/>
    <w:uiPriority w:val="9"/>
    <w:semiHidden/>
    <w:rsid w:val="00484850"/>
    <w:rPr>
      <w:rFonts w:eastAsia="Times New Roman" w:cs="Times New Roman"/>
      <w:color w:val="272727"/>
    </w:rPr>
  </w:style>
  <w:style w:type="paragraph" w:customStyle="1" w:styleId="Subttulo1">
    <w:name w:val="Subtítulo1"/>
    <w:basedOn w:val="Normal"/>
    <w:next w:val="Normal"/>
    <w:uiPriority w:val="11"/>
    <w:qFormat/>
    <w:rsid w:val="00484850"/>
    <w:pPr>
      <w:numPr>
        <w:ilvl w:val="1"/>
      </w:numPr>
    </w:pPr>
    <w:rPr>
      <w:rFonts w:eastAsia="Times New Roman" w:cs="Times New Roman"/>
      <w:color w:val="595959"/>
      <w:spacing w:val="15"/>
      <w:sz w:val="28"/>
      <w:szCs w:val="28"/>
    </w:rPr>
  </w:style>
  <w:style w:type="character" w:customStyle="1" w:styleId="SubttuloCar">
    <w:name w:val="Subtítulo Car"/>
    <w:basedOn w:val="Fuentedeprrafopredeter"/>
    <w:link w:val="Subttulo"/>
    <w:uiPriority w:val="11"/>
    <w:rsid w:val="00484850"/>
    <w:rPr>
      <w:rFonts w:eastAsia="Times New Roman" w:cs="Times New Roman"/>
      <w:color w:val="595959"/>
      <w:spacing w:val="15"/>
      <w:sz w:val="28"/>
      <w:szCs w:val="28"/>
    </w:rPr>
  </w:style>
  <w:style w:type="paragraph" w:customStyle="1" w:styleId="Cita1">
    <w:name w:val="Cita1"/>
    <w:basedOn w:val="Normal"/>
    <w:next w:val="Normal"/>
    <w:uiPriority w:val="29"/>
    <w:qFormat/>
    <w:rsid w:val="00484850"/>
    <w:pPr>
      <w:spacing w:before="160"/>
      <w:jc w:val="center"/>
    </w:pPr>
    <w:rPr>
      <w:i/>
      <w:iCs/>
      <w:color w:val="404040"/>
    </w:rPr>
  </w:style>
  <w:style w:type="character" w:customStyle="1" w:styleId="CitaCar">
    <w:name w:val="Cita Car"/>
    <w:basedOn w:val="Fuentedeprrafopredeter"/>
    <w:link w:val="Cita"/>
    <w:uiPriority w:val="29"/>
    <w:rsid w:val="00484850"/>
    <w:rPr>
      <w:i/>
      <w:iCs/>
      <w:color w:val="404040"/>
    </w:rPr>
  </w:style>
  <w:style w:type="character" w:customStyle="1" w:styleId="nfasisintenso1">
    <w:name w:val="Énfasis intenso1"/>
    <w:basedOn w:val="Fuentedeprrafopredeter"/>
    <w:uiPriority w:val="21"/>
    <w:qFormat/>
    <w:rsid w:val="00484850"/>
    <w:rPr>
      <w:i/>
      <w:iCs/>
      <w:color w:val="0F4761"/>
    </w:rPr>
  </w:style>
  <w:style w:type="paragraph" w:customStyle="1" w:styleId="Citadestacada1">
    <w:name w:val="Cita destacada1"/>
    <w:basedOn w:val="Normal"/>
    <w:next w:val="Normal"/>
    <w:uiPriority w:val="30"/>
    <w:qFormat/>
    <w:rsid w:val="00484850"/>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basedOn w:val="Fuentedeprrafopredeter"/>
    <w:link w:val="Citadestacada"/>
    <w:uiPriority w:val="30"/>
    <w:rsid w:val="00484850"/>
    <w:rPr>
      <w:i/>
      <w:iCs/>
      <w:color w:val="0F4761"/>
    </w:rPr>
  </w:style>
  <w:style w:type="character" w:customStyle="1" w:styleId="Referenciaintensa1">
    <w:name w:val="Referencia intensa1"/>
    <w:basedOn w:val="Fuentedeprrafopredeter"/>
    <w:uiPriority w:val="32"/>
    <w:qFormat/>
    <w:rsid w:val="00484850"/>
    <w:rPr>
      <w:b/>
      <w:bCs/>
      <w:smallCaps/>
      <w:color w:val="0F4761"/>
      <w:spacing w:val="5"/>
    </w:rPr>
  </w:style>
  <w:style w:type="table" w:customStyle="1" w:styleId="Tablaconcuadrcula1">
    <w:name w:val="Tabla con cuadrícula1"/>
    <w:basedOn w:val="Tablanormal"/>
    <w:next w:val="Tablaconcuadrcula"/>
    <w:uiPriority w:val="39"/>
    <w:qFormat/>
    <w:rsid w:val="00484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484850"/>
    <w:pPr>
      <w:spacing w:line="240" w:lineRule="exact"/>
    </w:pPr>
    <w:rPr>
      <w:vertAlign w:val="superscript"/>
    </w:rPr>
  </w:style>
  <w:style w:type="character" w:styleId="Textoennegrita">
    <w:name w:val="Strong"/>
    <w:basedOn w:val="Fuentedeprrafopredeter"/>
    <w:uiPriority w:val="22"/>
    <w:qFormat/>
    <w:rsid w:val="00484850"/>
    <w:rPr>
      <w:b/>
      <w:bCs/>
    </w:rPr>
  </w:style>
  <w:style w:type="paragraph" w:customStyle="1" w:styleId="InviasNormal">
    <w:name w:val="Invias Normal"/>
    <w:basedOn w:val="Normal"/>
    <w:link w:val="InviasNormalCar"/>
    <w:qFormat/>
    <w:rsid w:val="00484850"/>
    <w:pPr>
      <w:tabs>
        <w:tab w:val="left" w:pos="-142"/>
      </w:tabs>
      <w:autoSpaceDE w:val="0"/>
      <w:autoSpaceDN w:val="0"/>
      <w:adjustRightInd w:val="0"/>
      <w:spacing w:before="120" w:after="240" w:line="240" w:lineRule="auto"/>
      <w:jc w:val="both"/>
    </w:pPr>
    <w:rPr>
      <w:rFonts w:ascii="Arial Narrow" w:eastAsia="Times New Roman" w:hAnsi="Arial Narrow" w:cs="Times New Roman"/>
      <w:color w:val="3A3A3A"/>
      <w:sz w:val="24"/>
      <w:szCs w:val="24"/>
      <w:lang w:val="x-none" w:eastAsia="es-ES"/>
    </w:rPr>
  </w:style>
  <w:style w:type="character" w:customStyle="1" w:styleId="InviasNormalCar">
    <w:name w:val="Invias Normal Car"/>
    <w:link w:val="InviasNormal"/>
    <w:locked/>
    <w:rsid w:val="00484850"/>
    <w:rPr>
      <w:rFonts w:ascii="Arial Narrow" w:eastAsia="Times New Roman" w:hAnsi="Arial Narrow" w:cs="Times New Roman"/>
      <w:color w:val="3A3A3A"/>
      <w:sz w:val="24"/>
      <w:szCs w:val="24"/>
      <w:lang w:val="x-none" w:eastAsia="es-ES"/>
    </w:rPr>
  </w:style>
  <w:style w:type="character" w:customStyle="1" w:styleId="Ttulo1Car1">
    <w:name w:val="Título 1 Car1"/>
    <w:basedOn w:val="Fuentedeprrafopredeter"/>
    <w:uiPriority w:val="9"/>
    <w:rsid w:val="00484850"/>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48485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484850"/>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48485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484850"/>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484850"/>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48485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48485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484850"/>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484850"/>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484850"/>
    <w:rPr>
      <w:rFonts w:eastAsiaTheme="minorEastAsia"/>
      <w:color w:val="5A5A5A" w:themeColor="text1" w:themeTint="A5"/>
      <w:spacing w:val="15"/>
    </w:rPr>
  </w:style>
  <w:style w:type="paragraph" w:styleId="Cita">
    <w:name w:val="Quote"/>
    <w:basedOn w:val="Normal"/>
    <w:next w:val="Normal"/>
    <w:link w:val="CitaCar"/>
    <w:uiPriority w:val="29"/>
    <w:qFormat/>
    <w:rsid w:val="00484850"/>
    <w:pPr>
      <w:spacing w:before="200"/>
      <w:ind w:left="864" w:right="864"/>
      <w:jc w:val="center"/>
    </w:pPr>
    <w:rPr>
      <w:i/>
      <w:iCs/>
      <w:color w:val="404040"/>
    </w:rPr>
  </w:style>
  <w:style w:type="character" w:customStyle="1" w:styleId="CitaCar1">
    <w:name w:val="Cita Car1"/>
    <w:basedOn w:val="Fuentedeprrafopredeter"/>
    <w:uiPriority w:val="29"/>
    <w:rsid w:val="00484850"/>
    <w:rPr>
      <w:i/>
      <w:iCs/>
      <w:color w:val="404040" w:themeColor="text1" w:themeTint="BF"/>
    </w:rPr>
  </w:style>
  <w:style w:type="character" w:styleId="nfasisintenso">
    <w:name w:val="Intense Emphasis"/>
    <w:basedOn w:val="Fuentedeprrafopredeter"/>
    <w:uiPriority w:val="21"/>
    <w:qFormat/>
    <w:rsid w:val="00484850"/>
    <w:rPr>
      <w:i/>
      <w:iCs/>
      <w:color w:val="4472C4" w:themeColor="accent1"/>
    </w:rPr>
  </w:style>
  <w:style w:type="paragraph" w:styleId="Citadestacada">
    <w:name w:val="Intense Quote"/>
    <w:basedOn w:val="Normal"/>
    <w:next w:val="Normal"/>
    <w:link w:val="CitadestacadaCar"/>
    <w:uiPriority w:val="30"/>
    <w:qFormat/>
    <w:rsid w:val="00484850"/>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484850"/>
    <w:rPr>
      <w:i/>
      <w:iCs/>
      <w:color w:val="4472C4" w:themeColor="accent1"/>
    </w:rPr>
  </w:style>
  <w:style w:type="character" w:styleId="Referenciaintensa">
    <w:name w:val="Intense Reference"/>
    <w:basedOn w:val="Fuentedeprrafopredeter"/>
    <w:uiPriority w:val="32"/>
    <w:qFormat/>
    <w:rsid w:val="00484850"/>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documentos-tipo/documentos-tip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FE290-C62B-48FA-AE15-607A66C22614}"/>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f802891c-ec6d-4a7d-9065-8c7796b72d37"/>
    <ds:schemaRef ds:uri="43a3329e-f091-4e15-9abe-66bee8419108"/>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38</Pages>
  <Words>13710</Words>
  <Characters>75411</Characters>
  <Application>Microsoft Office Word</Application>
  <DocSecurity>0</DocSecurity>
  <Lines>628</Lines>
  <Paragraphs>177</Paragraphs>
  <ScaleCrop>false</ScaleCrop>
  <Company/>
  <LinksUpToDate>false</LinksUpToDate>
  <CharactersWithSpaces>88944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Carlos Mario Castrillon Endo</cp:lastModifiedBy>
  <cp:revision>6</cp:revision>
  <cp:lastPrinted>2023-01-10T21:18:00Z</cp:lastPrinted>
  <dcterms:created xsi:type="dcterms:W3CDTF">2026-09-08T21:54:00Z</dcterms:created>
  <dcterms:modified xsi:type="dcterms:W3CDTF">2026-09-09T13:52:00Z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