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8B6F4" w14:textId="77777777" w:rsidR="002240E3" w:rsidRPr="00B53D4E" w:rsidRDefault="002240E3" w:rsidP="002240E3">
      <w:pPr>
        <w:spacing w:after="0" w:line="240" w:lineRule="auto"/>
        <w:jc w:val="both"/>
        <w:rPr>
          <w:rFonts w:ascii="Verdana" w:eastAsia="Calibri" w:hAnsi="Verdana" w:cs="Arial"/>
          <w:b/>
          <w:bCs/>
        </w:rPr>
      </w:pPr>
      <w:r>
        <w:rPr>
          <w:rFonts w:ascii="Verdana" w:eastAsia="Calibri" w:hAnsi="Verdana" w:cs="Arial"/>
          <w:b/>
          <w:bCs/>
        </w:rPr>
        <w:t>INFORMACIÓN CONTRACTUAL</w:t>
      </w:r>
      <w:r w:rsidRPr="00B53D4E">
        <w:rPr>
          <w:rFonts w:ascii="Verdana" w:eastAsia="Calibri" w:hAnsi="Verdana" w:cs="Arial"/>
          <w:b/>
          <w:bCs/>
        </w:rPr>
        <w:t xml:space="preserve"> – </w:t>
      </w:r>
      <w:r>
        <w:rPr>
          <w:rFonts w:ascii="Verdana" w:eastAsia="Calibri" w:hAnsi="Verdana" w:cs="Arial"/>
          <w:b/>
          <w:bCs/>
        </w:rPr>
        <w:t xml:space="preserve">Publicidad – Alcance </w:t>
      </w:r>
      <w:r w:rsidRPr="00B53D4E">
        <w:rPr>
          <w:rFonts w:ascii="Verdana" w:eastAsia="Calibri" w:hAnsi="Verdana" w:cs="Arial"/>
          <w:b/>
          <w:bCs/>
        </w:rPr>
        <w:t xml:space="preserve"> </w:t>
      </w:r>
    </w:p>
    <w:p w14:paraId="03BF63D8" w14:textId="77777777" w:rsidR="002240E3" w:rsidRPr="00B53D4E" w:rsidRDefault="002240E3" w:rsidP="002240E3">
      <w:pPr>
        <w:spacing w:after="0" w:line="240" w:lineRule="auto"/>
        <w:jc w:val="both"/>
        <w:rPr>
          <w:rFonts w:ascii="Verdana" w:eastAsia="Calibri" w:hAnsi="Verdana" w:cs="Arial"/>
          <w:sz w:val="20"/>
          <w:szCs w:val="20"/>
        </w:rPr>
      </w:pPr>
    </w:p>
    <w:p w14:paraId="60660798" w14:textId="77777777" w:rsidR="002240E3" w:rsidRDefault="002240E3" w:rsidP="002240E3">
      <w:pPr>
        <w:spacing w:after="0" w:line="240" w:lineRule="auto"/>
        <w:jc w:val="both"/>
        <w:rPr>
          <w:rFonts w:ascii="Verdana" w:eastAsia="Calibri" w:hAnsi="Verdana" w:cs="Arial"/>
          <w:sz w:val="20"/>
          <w:szCs w:val="20"/>
        </w:rPr>
      </w:pPr>
      <w:r>
        <w:rPr>
          <w:rFonts w:ascii="Verdana" w:eastAsia="Calibri" w:hAnsi="Verdana" w:cs="Arial"/>
          <w:sz w:val="20"/>
          <w:szCs w:val="20"/>
        </w:rPr>
        <w:t xml:space="preserve">[…] </w:t>
      </w:r>
      <w:r w:rsidRPr="00FA226F">
        <w:rPr>
          <w:rFonts w:ascii="Verdana" w:eastAsia="Calibri" w:hAnsi="Verdana" w:cs="Arial"/>
          <w:sz w:val="20"/>
          <w:szCs w:val="20"/>
        </w:rPr>
        <w:t>las entidades estatales, 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453E3FEA" w14:textId="77777777" w:rsidR="002240E3" w:rsidRDefault="002240E3" w:rsidP="002240E3">
      <w:pPr>
        <w:spacing w:after="0" w:line="240" w:lineRule="auto"/>
        <w:jc w:val="both"/>
        <w:rPr>
          <w:rFonts w:ascii="Verdana" w:eastAsia="Calibri" w:hAnsi="Verdana" w:cs="Arial"/>
          <w:sz w:val="20"/>
          <w:szCs w:val="20"/>
        </w:rPr>
      </w:pPr>
    </w:p>
    <w:p w14:paraId="0026CADB" w14:textId="77777777" w:rsidR="002240E3" w:rsidRDefault="002240E3" w:rsidP="002240E3">
      <w:pPr>
        <w:spacing w:after="0" w:line="240" w:lineRule="auto"/>
        <w:jc w:val="both"/>
        <w:rPr>
          <w:rFonts w:ascii="Verdana" w:eastAsia="Calibri" w:hAnsi="Verdana" w:cs="Arial"/>
          <w:sz w:val="20"/>
          <w:szCs w:val="20"/>
        </w:rPr>
      </w:pPr>
      <w:r>
        <w:rPr>
          <w:rFonts w:ascii="Verdana" w:eastAsia="Calibri" w:hAnsi="Verdana" w:cs="Arial"/>
          <w:sz w:val="20"/>
          <w:szCs w:val="20"/>
        </w:rPr>
        <w:t xml:space="preserve">[…] </w:t>
      </w:r>
    </w:p>
    <w:p w14:paraId="6B40D4AD" w14:textId="77777777" w:rsidR="002240E3" w:rsidRPr="00FA226F" w:rsidRDefault="002240E3" w:rsidP="002240E3">
      <w:pPr>
        <w:spacing w:after="0" w:line="240" w:lineRule="auto"/>
        <w:jc w:val="both"/>
        <w:rPr>
          <w:rFonts w:ascii="Verdana" w:eastAsia="Calibri" w:hAnsi="Verdana" w:cs="Arial"/>
          <w:sz w:val="20"/>
          <w:szCs w:val="20"/>
        </w:rPr>
      </w:pPr>
    </w:p>
    <w:p w14:paraId="312BD5A1" w14:textId="77777777" w:rsidR="002240E3" w:rsidRDefault="002240E3" w:rsidP="002240E3">
      <w:pPr>
        <w:spacing w:after="0" w:line="240" w:lineRule="auto"/>
        <w:jc w:val="both"/>
        <w:rPr>
          <w:rFonts w:ascii="Verdana" w:eastAsia="Calibri" w:hAnsi="Verdana" w:cs="Arial"/>
          <w:sz w:val="20"/>
          <w:szCs w:val="20"/>
        </w:rPr>
      </w:pPr>
      <w:r w:rsidRPr="00FA226F">
        <w:rPr>
          <w:rFonts w:ascii="Verdana" w:eastAsia="Calibri" w:hAnsi="Verdana" w:cs="Arial"/>
          <w:sz w:val="20"/>
          <w:szCs w:val="20"/>
        </w:rPr>
        <w:t>Adicionalmente, el deber de publicar la actividad contractual de las entidades estatales no solo está regulado en el artículo 3 de la Ley 1150 de 2007 y en el 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Documentos del Proceso expedidos por la “entidad estatal”</w:t>
      </w:r>
      <w:r w:rsidRPr="00B53D4E">
        <w:rPr>
          <w:rFonts w:ascii="Verdana" w:eastAsia="Calibri" w:hAnsi="Verdana" w:cs="Arial"/>
          <w:sz w:val="20"/>
          <w:szCs w:val="20"/>
        </w:rPr>
        <w:t>.</w:t>
      </w:r>
    </w:p>
    <w:p w14:paraId="79AF4F30" w14:textId="77777777" w:rsidR="002240E3" w:rsidRPr="00B53D4E" w:rsidRDefault="002240E3" w:rsidP="002240E3">
      <w:pPr>
        <w:spacing w:after="0" w:line="240" w:lineRule="auto"/>
        <w:jc w:val="both"/>
        <w:rPr>
          <w:rFonts w:ascii="Verdana" w:eastAsia="Calibri" w:hAnsi="Verdana" w:cs="Arial"/>
          <w:sz w:val="20"/>
          <w:szCs w:val="20"/>
        </w:rPr>
      </w:pPr>
    </w:p>
    <w:p w14:paraId="557DCC23" w14:textId="698A364C" w:rsidR="002240E3" w:rsidRPr="00C95729" w:rsidRDefault="002240E3" w:rsidP="002240E3">
      <w:pPr>
        <w:pStyle w:val="s16"/>
        <w:spacing w:before="0" w:beforeAutospacing="0" w:after="0" w:afterAutospacing="0"/>
        <w:jc w:val="both"/>
        <w:rPr>
          <w:rFonts w:ascii="Verdana" w:hAnsi="Verdana" w:cs="Arial"/>
          <w:b/>
          <w:bCs/>
          <w:color w:val="000000"/>
          <w:sz w:val="22"/>
          <w:szCs w:val="22"/>
        </w:rPr>
      </w:pPr>
      <w:r w:rsidRPr="00134C8E">
        <w:rPr>
          <w:rStyle w:val="s15"/>
          <w:rFonts w:ascii="Verdana" w:hAnsi="Verdana" w:cs="Arial"/>
          <w:b/>
          <w:bCs/>
          <w:color w:val="000000"/>
          <w:sz w:val="22"/>
          <w:szCs w:val="22"/>
        </w:rPr>
        <w:t>SISTEMA ELECTRÓNICO PARA LA CONTRATACIÓN PÚBLICA</w:t>
      </w:r>
      <w:r>
        <w:rPr>
          <w:rStyle w:val="s15"/>
          <w:rFonts w:ascii="Verdana" w:hAnsi="Verdana" w:cs="Arial"/>
          <w:b/>
          <w:bCs/>
          <w:color w:val="000000"/>
          <w:sz w:val="22"/>
          <w:szCs w:val="22"/>
        </w:rPr>
        <w:t xml:space="preserve"> – Componentes</w:t>
      </w:r>
      <w:r w:rsidRPr="00B53D4E">
        <w:rPr>
          <w:rStyle w:val="s15"/>
          <w:rFonts w:ascii="Verdana" w:hAnsi="Verdana" w:cs="Arial"/>
          <w:b/>
          <w:bCs/>
          <w:color w:val="000000"/>
          <w:sz w:val="22"/>
          <w:szCs w:val="22"/>
        </w:rPr>
        <w:t xml:space="preserve"> – </w:t>
      </w:r>
      <w:r>
        <w:rPr>
          <w:rStyle w:val="s15"/>
          <w:rFonts w:ascii="Verdana" w:hAnsi="Verdana" w:cs="Arial"/>
          <w:b/>
          <w:bCs/>
          <w:color w:val="000000"/>
          <w:sz w:val="22"/>
          <w:szCs w:val="22"/>
        </w:rPr>
        <w:t xml:space="preserve">SECOP II </w:t>
      </w:r>
      <w:r w:rsidRPr="00C95729">
        <w:rPr>
          <w:rStyle w:val="s15"/>
          <w:rFonts w:ascii="Verdana" w:hAnsi="Verdana" w:cs="Arial"/>
          <w:b/>
          <w:bCs/>
          <w:color w:val="000000"/>
          <w:sz w:val="22"/>
          <w:szCs w:val="22"/>
        </w:rPr>
        <w:t xml:space="preserve">– </w:t>
      </w:r>
      <w:r w:rsidR="00C95729" w:rsidRPr="00C95729">
        <w:rPr>
          <w:rFonts w:ascii="Verdana" w:eastAsia="Calibri" w:hAnsi="Verdana" w:cs="Arial"/>
          <w:b/>
          <w:bCs/>
          <w:sz w:val="22"/>
          <w:szCs w:val="22"/>
          <w:lang w:val="es-ES" w:eastAsia="es-ES"/>
        </w:rPr>
        <w:t>Deber de publicar – Documentos del proceso</w:t>
      </w:r>
      <w:r w:rsidRPr="00C95729">
        <w:rPr>
          <w:rStyle w:val="s15"/>
          <w:rFonts w:ascii="Verdana" w:hAnsi="Verdana" w:cs="Arial"/>
          <w:b/>
          <w:bCs/>
          <w:color w:val="000000"/>
          <w:sz w:val="22"/>
          <w:szCs w:val="22"/>
        </w:rPr>
        <w:t xml:space="preserve"> </w:t>
      </w:r>
    </w:p>
    <w:p w14:paraId="560D438A" w14:textId="77777777" w:rsidR="002240E3" w:rsidRDefault="002240E3" w:rsidP="002240E3">
      <w:pPr>
        <w:pStyle w:val="s17"/>
        <w:spacing w:before="0" w:beforeAutospacing="0" w:after="0" w:afterAutospacing="0"/>
        <w:jc w:val="both"/>
        <w:rPr>
          <w:rFonts w:ascii="Verdana" w:hAnsi="Verdana" w:cs="Arial"/>
          <w:color w:val="000000"/>
          <w:sz w:val="20"/>
          <w:szCs w:val="20"/>
        </w:rPr>
      </w:pPr>
    </w:p>
    <w:p w14:paraId="55E4E364" w14:textId="77777777" w:rsidR="002240E3" w:rsidRDefault="002240E3" w:rsidP="002240E3">
      <w:pPr>
        <w:pStyle w:val="s17"/>
        <w:spacing w:before="0" w:beforeAutospacing="0" w:after="0" w:afterAutospacing="0"/>
        <w:jc w:val="both"/>
        <w:rPr>
          <w:rFonts w:ascii="Verdana" w:hAnsi="Verdana" w:cs="Arial"/>
          <w:bCs/>
          <w:color w:val="000000"/>
          <w:sz w:val="20"/>
          <w:szCs w:val="20"/>
        </w:rPr>
      </w:pPr>
      <w:r>
        <w:rPr>
          <w:rFonts w:ascii="Verdana" w:hAnsi="Verdana" w:cs="Arial"/>
          <w:color w:val="000000"/>
          <w:sz w:val="20"/>
          <w:szCs w:val="20"/>
        </w:rPr>
        <w:t>E</w:t>
      </w:r>
      <w:r w:rsidRPr="00134C8E">
        <w:rPr>
          <w:rFonts w:ascii="Verdana" w:hAnsi="Verdana" w:cs="Arial"/>
          <w:color w:val="000000"/>
          <w:sz w:val="20"/>
          <w:szCs w:val="20"/>
        </w:rPr>
        <w:t>n los términos de la Circular Externa Única de la ANCP – CCE</w:t>
      </w:r>
      <w:r>
        <w:rPr>
          <w:rFonts w:ascii="Verdana" w:hAnsi="Verdana" w:cs="Arial"/>
          <w:color w:val="000000"/>
          <w:sz w:val="20"/>
          <w:szCs w:val="20"/>
        </w:rPr>
        <w:t>,</w:t>
      </w:r>
      <w:r w:rsidRPr="00134C8E">
        <w:rPr>
          <w:rFonts w:ascii="Verdana" w:hAnsi="Verdana" w:cs="Arial"/>
          <w:color w:val="000000"/>
          <w:sz w:val="20"/>
          <w:szCs w:val="20"/>
        </w:rPr>
        <w:t xml:space="preserve"> </w:t>
      </w:r>
      <w:r>
        <w:rPr>
          <w:rFonts w:ascii="Verdana" w:hAnsi="Verdana" w:cs="Arial"/>
          <w:color w:val="000000"/>
          <w:sz w:val="20"/>
          <w:szCs w:val="20"/>
        </w:rPr>
        <w:t>e</w:t>
      </w:r>
      <w:r w:rsidRPr="00134C8E">
        <w:rPr>
          <w:rFonts w:ascii="Verdana" w:hAnsi="Verdana" w:cs="Arial"/>
          <w:bCs/>
          <w:color w:val="000000"/>
          <w:sz w:val="20"/>
          <w:szCs w:val="20"/>
        </w:rPr>
        <w:t xml:space="preserve">l SECOP I solo funciona como medio de publicidad, es decir, no tiene carácter transaccional. Esto significa que el procedimiento contractual se adelanta fuera de la plataforma a través de un expediente físico. No obstante, las actuaciones y los documentos se convierten en electrónicos para cargarse posteriormente a la plataforma por quien tenga la función dentro de la entidad. </w:t>
      </w:r>
    </w:p>
    <w:p w14:paraId="48F46080" w14:textId="77777777" w:rsidR="002240E3" w:rsidRPr="00134C8E" w:rsidRDefault="002240E3" w:rsidP="002240E3">
      <w:pPr>
        <w:pStyle w:val="s17"/>
        <w:spacing w:before="0" w:beforeAutospacing="0" w:after="0" w:afterAutospacing="0"/>
        <w:jc w:val="both"/>
        <w:rPr>
          <w:rFonts w:ascii="Verdana" w:hAnsi="Verdana" w:cs="Arial"/>
          <w:color w:val="000000"/>
          <w:sz w:val="20"/>
          <w:szCs w:val="20"/>
        </w:rPr>
      </w:pPr>
    </w:p>
    <w:p w14:paraId="6226DAED" w14:textId="77777777" w:rsidR="002240E3" w:rsidRDefault="002240E3" w:rsidP="002240E3">
      <w:pPr>
        <w:pStyle w:val="s17"/>
        <w:spacing w:before="0" w:beforeAutospacing="0" w:after="0" w:afterAutospacing="0"/>
        <w:jc w:val="both"/>
        <w:rPr>
          <w:rStyle w:val="s18"/>
          <w:rFonts w:ascii="Verdana" w:hAnsi="Verdana" w:cs="Arial"/>
          <w:color w:val="000000"/>
          <w:sz w:val="20"/>
          <w:szCs w:val="20"/>
        </w:rPr>
      </w:pPr>
      <w:r w:rsidRPr="00134C8E">
        <w:rPr>
          <w:rFonts w:ascii="Verdana" w:hAnsi="Verdana" w:cs="Arial"/>
          <w:bCs/>
          <w:color w:val="000000"/>
          <w:sz w:val="20"/>
          <w:szCs w:val="20"/>
        </w:rPr>
        <w:t xml:space="preserve">En contraste, el SECOP II permite generar contratos en línea y realizar la firma electrónica de los mismos. Tiene funciones que permiten al proveedor presentar garantías y facturas; y a la entidad estatal, realizar la revisión y aprobación de ambos tipos de documentos en línea. Además, el módulo permite hacer modificaciones contractuales, tanto unilaterales como bilaterales –estas últimas son enviadas para aprobación del proveedor antes de la publicación por parte de la entidad estatal–. Para registrar el seguimiento al avance de la ejecución, el módulo de gestión contractual habilita el registro de planes de ejecución por porcentaje de avance y el cargue de documentos tanto a proveedor como a la entidad estatal, la cual puede crear usuarios para que los supervisores de los contratos carguen la información pertinente. Finalmente, la liquidación y el cierre de los expedientes contractuales también puede realizarse a través del SECOP II. Es de destacar que la plataforma tiene un módulo de búsqueda pública que permite a los ciudadanos y entes de control revisar el avance en </w:t>
      </w:r>
      <w:r w:rsidRPr="00134C8E">
        <w:rPr>
          <w:rFonts w:ascii="Verdana" w:hAnsi="Verdana" w:cs="Arial"/>
          <w:bCs/>
          <w:color w:val="000000"/>
          <w:sz w:val="20"/>
          <w:szCs w:val="20"/>
        </w:rPr>
        <w:lastRenderedPageBreak/>
        <w:t>tiempo real de cualquier contrato realizado a través del SECOP II, sin necesidad de tener usuarios creados en la plataforma</w:t>
      </w:r>
      <w:r>
        <w:rPr>
          <w:rFonts w:ascii="Verdana" w:hAnsi="Verdana" w:cs="Arial"/>
          <w:color w:val="000000"/>
          <w:sz w:val="20"/>
          <w:szCs w:val="20"/>
        </w:rPr>
        <w:t>.</w:t>
      </w:r>
      <w:r w:rsidRPr="00977908">
        <w:rPr>
          <w:rStyle w:val="s18"/>
          <w:rFonts w:ascii="Verdana" w:hAnsi="Verdana" w:cs="Arial"/>
          <w:color w:val="000000"/>
          <w:sz w:val="20"/>
          <w:szCs w:val="20"/>
        </w:rPr>
        <w:t xml:space="preserve"> </w:t>
      </w:r>
    </w:p>
    <w:p w14:paraId="05BC7123" w14:textId="77777777" w:rsidR="005F47D3" w:rsidRDefault="005F47D3" w:rsidP="00594225">
      <w:pPr>
        <w:spacing w:after="0" w:line="240" w:lineRule="auto"/>
        <w:jc w:val="both"/>
        <w:rPr>
          <w:rFonts w:ascii="Verdana" w:hAnsi="Verdana"/>
        </w:rPr>
      </w:pPr>
    </w:p>
    <w:p w14:paraId="0B091F6A" w14:textId="77777777" w:rsidR="005F47D3" w:rsidRDefault="005F47D3" w:rsidP="00594225">
      <w:pPr>
        <w:spacing w:after="0" w:line="240" w:lineRule="auto"/>
        <w:jc w:val="both"/>
        <w:rPr>
          <w:rFonts w:ascii="Verdana" w:hAnsi="Verdana"/>
        </w:rPr>
      </w:pPr>
    </w:p>
    <w:p w14:paraId="3A8B240A" w14:textId="77777777" w:rsidR="005F47D3" w:rsidRDefault="005F47D3" w:rsidP="00594225">
      <w:pPr>
        <w:spacing w:after="0" w:line="240" w:lineRule="auto"/>
        <w:jc w:val="both"/>
        <w:rPr>
          <w:rFonts w:ascii="Verdana" w:hAnsi="Verdana"/>
        </w:rPr>
      </w:pPr>
    </w:p>
    <w:p w14:paraId="19B576CB" w14:textId="77777777" w:rsidR="005F47D3" w:rsidRDefault="005F47D3" w:rsidP="00594225">
      <w:pPr>
        <w:spacing w:after="0" w:line="240" w:lineRule="auto"/>
        <w:jc w:val="both"/>
        <w:rPr>
          <w:rFonts w:ascii="Verdana" w:hAnsi="Verdana"/>
        </w:rPr>
      </w:pPr>
    </w:p>
    <w:p w14:paraId="11FCC4DD" w14:textId="77777777" w:rsidR="005F47D3" w:rsidRDefault="005F47D3" w:rsidP="00594225">
      <w:pPr>
        <w:spacing w:after="0" w:line="240" w:lineRule="auto"/>
        <w:jc w:val="both"/>
        <w:rPr>
          <w:rFonts w:ascii="Verdana" w:hAnsi="Verdana"/>
        </w:rPr>
      </w:pPr>
    </w:p>
    <w:p w14:paraId="4334F686" w14:textId="77777777" w:rsidR="005F47D3" w:rsidRDefault="005F47D3" w:rsidP="00594225">
      <w:pPr>
        <w:spacing w:after="0" w:line="240" w:lineRule="auto"/>
        <w:jc w:val="both"/>
        <w:rPr>
          <w:rFonts w:ascii="Verdana" w:hAnsi="Verdana"/>
        </w:rPr>
      </w:pPr>
    </w:p>
    <w:p w14:paraId="43254A66" w14:textId="77777777" w:rsidR="005F47D3" w:rsidRDefault="005F47D3" w:rsidP="00594225">
      <w:pPr>
        <w:spacing w:after="0" w:line="240" w:lineRule="auto"/>
        <w:jc w:val="both"/>
        <w:rPr>
          <w:rFonts w:ascii="Verdana" w:hAnsi="Verdana"/>
        </w:rPr>
      </w:pPr>
    </w:p>
    <w:p w14:paraId="198A3DC7" w14:textId="77777777" w:rsidR="005F47D3" w:rsidRDefault="005F47D3" w:rsidP="00594225">
      <w:pPr>
        <w:spacing w:after="0" w:line="240" w:lineRule="auto"/>
        <w:jc w:val="both"/>
        <w:rPr>
          <w:rFonts w:ascii="Verdana" w:hAnsi="Verdana"/>
        </w:rPr>
      </w:pPr>
    </w:p>
    <w:p w14:paraId="69C80368" w14:textId="77777777" w:rsidR="005F47D3" w:rsidRDefault="005F47D3" w:rsidP="00594225">
      <w:pPr>
        <w:spacing w:after="0" w:line="240" w:lineRule="auto"/>
        <w:jc w:val="both"/>
        <w:rPr>
          <w:rFonts w:ascii="Verdana" w:hAnsi="Verdana"/>
        </w:rPr>
      </w:pPr>
    </w:p>
    <w:p w14:paraId="26F15CDC" w14:textId="77777777" w:rsidR="005F47D3" w:rsidRDefault="005F47D3" w:rsidP="00594225">
      <w:pPr>
        <w:spacing w:after="0" w:line="240" w:lineRule="auto"/>
        <w:jc w:val="both"/>
        <w:rPr>
          <w:rFonts w:ascii="Verdana" w:hAnsi="Verdana"/>
        </w:rPr>
      </w:pPr>
    </w:p>
    <w:p w14:paraId="2E484A46" w14:textId="77777777" w:rsidR="005F47D3" w:rsidRDefault="005F47D3" w:rsidP="00594225">
      <w:pPr>
        <w:spacing w:after="0" w:line="240" w:lineRule="auto"/>
        <w:jc w:val="both"/>
        <w:rPr>
          <w:rFonts w:ascii="Verdana" w:hAnsi="Verdana"/>
        </w:rPr>
      </w:pPr>
    </w:p>
    <w:p w14:paraId="5444A4B9" w14:textId="77777777" w:rsidR="005F47D3" w:rsidRDefault="005F47D3" w:rsidP="00594225">
      <w:pPr>
        <w:spacing w:after="0" w:line="240" w:lineRule="auto"/>
        <w:jc w:val="both"/>
        <w:rPr>
          <w:rFonts w:ascii="Verdana" w:hAnsi="Verdana"/>
        </w:rPr>
      </w:pPr>
    </w:p>
    <w:p w14:paraId="30605700" w14:textId="77777777" w:rsidR="005F47D3" w:rsidRDefault="005F47D3" w:rsidP="00594225">
      <w:pPr>
        <w:spacing w:after="0" w:line="240" w:lineRule="auto"/>
        <w:jc w:val="both"/>
        <w:rPr>
          <w:rFonts w:ascii="Verdana" w:hAnsi="Verdana"/>
        </w:rPr>
      </w:pPr>
    </w:p>
    <w:p w14:paraId="599188EF" w14:textId="77777777" w:rsidR="005F47D3" w:rsidRDefault="005F47D3" w:rsidP="00594225">
      <w:pPr>
        <w:spacing w:after="0" w:line="240" w:lineRule="auto"/>
        <w:jc w:val="both"/>
        <w:rPr>
          <w:rFonts w:ascii="Verdana" w:hAnsi="Verdana"/>
        </w:rPr>
      </w:pPr>
    </w:p>
    <w:p w14:paraId="74E0B137" w14:textId="77777777" w:rsidR="005F47D3" w:rsidRDefault="005F47D3" w:rsidP="00594225">
      <w:pPr>
        <w:spacing w:after="0" w:line="240" w:lineRule="auto"/>
        <w:jc w:val="both"/>
        <w:rPr>
          <w:rFonts w:ascii="Verdana" w:hAnsi="Verdana"/>
        </w:rPr>
      </w:pPr>
    </w:p>
    <w:p w14:paraId="4E9321C5" w14:textId="77777777" w:rsidR="005F47D3" w:rsidRDefault="005F47D3" w:rsidP="00594225">
      <w:pPr>
        <w:spacing w:after="0" w:line="240" w:lineRule="auto"/>
        <w:jc w:val="both"/>
        <w:rPr>
          <w:rFonts w:ascii="Verdana" w:hAnsi="Verdana"/>
        </w:rPr>
      </w:pPr>
    </w:p>
    <w:p w14:paraId="34238BF4" w14:textId="77777777" w:rsidR="005F47D3" w:rsidRDefault="005F47D3" w:rsidP="00594225">
      <w:pPr>
        <w:spacing w:after="0" w:line="240" w:lineRule="auto"/>
        <w:jc w:val="both"/>
        <w:rPr>
          <w:rFonts w:ascii="Verdana" w:hAnsi="Verdana"/>
        </w:rPr>
      </w:pPr>
    </w:p>
    <w:p w14:paraId="32F17565" w14:textId="77777777" w:rsidR="005F47D3" w:rsidRDefault="005F47D3" w:rsidP="00594225">
      <w:pPr>
        <w:spacing w:after="0" w:line="240" w:lineRule="auto"/>
        <w:jc w:val="both"/>
        <w:rPr>
          <w:rFonts w:ascii="Verdana" w:hAnsi="Verdana"/>
        </w:rPr>
      </w:pPr>
    </w:p>
    <w:p w14:paraId="25B009DD" w14:textId="77777777" w:rsidR="005F47D3" w:rsidRDefault="005F47D3" w:rsidP="00594225">
      <w:pPr>
        <w:spacing w:after="0" w:line="240" w:lineRule="auto"/>
        <w:jc w:val="both"/>
        <w:rPr>
          <w:rFonts w:ascii="Verdana" w:hAnsi="Verdana"/>
        </w:rPr>
      </w:pPr>
    </w:p>
    <w:p w14:paraId="0CC8077B" w14:textId="77777777" w:rsidR="005F47D3" w:rsidRDefault="005F47D3" w:rsidP="00594225">
      <w:pPr>
        <w:spacing w:after="0" w:line="240" w:lineRule="auto"/>
        <w:jc w:val="both"/>
        <w:rPr>
          <w:rFonts w:ascii="Verdana" w:hAnsi="Verdana"/>
        </w:rPr>
      </w:pPr>
    </w:p>
    <w:p w14:paraId="046A46C7" w14:textId="77777777" w:rsidR="005F47D3" w:rsidRDefault="005F47D3" w:rsidP="00594225">
      <w:pPr>
        <w:spacing w:after="0" w:line="240" w:lineRule="auto"/>
        <w:jc w:val="both"/>
        <w:rPr>
          <w:rFonts w:ascii="Verdana" w:hAnsi="Verdana"/>
        </w:rPr>
      </w:pPr>
    </w:p>
    <w:p w14:paraId="6EADB2EE" w14:textId="77777777" w:rsidR="005F47D3" w:rsidRDefault="005F47D3" w:rsidP="00594225">
      <w:pPr>
        <w:spacing w:after="0" w:line="240" w:lineRule="auto"/>
        <w:jc w:val="both"/>
        <w:rPr>
          <w:rFonts w:ascii="Verdana" w:hAnsi="Verdana"/>
        </w:rPr>
      </w:pPr>
    </w:p>
    <w:p w14:paraId="212385D3" w14:textId="77777777" w:rsidR="005F47D3" w:rsidRDefault="005F47D3" w:rsidP="00594225">
      <w:pPr>
        <w:spacing w:after="0" w:line="240" w:lineRule="auto"/>
        <w:jc w:val="both"/>
        <w:rPr>
          <w:rFonts w:ascii="Verdana" w:hAnsi="Verdana"/>
        </w:rPr>
      </w:pPr>
    </w:p>
    <w:p w14:paraId="091287A7" w14:textId="77777777" w:rsidR="005F47D3" w:rsidRDefault="005F47D3" w:rsidP="00594225">
      <w:pPr>
        <w:spacing w:after="0" w:line="240" w:lineRule="auto"/>
        <w:jc w:val="both"/>
        <w:rPr>
          <w:rFonts w:ascii="Verdana" w:hAnsi="Verdana"/>
        </w:rPr>
      </w:pPr>
    </w:p>
    <w:p w14:paraId="18BF20ED" w14:textId="77777777" w:rsidR="005F47D3" w:rsidRDefault="005F47D3" w:rsidP="00594225">
      <w:pPr>
        <w:spacing w:after="0" w:line="240" w:lineRule="auto"/>
        <w:jc w:val="both"/>
        <w:rPr>
          <w:rFonts w:ascii="Verdana" w:hAnsi="Verdana"/>
        </w:rPr>
      </w:pPr>
    </w:p>
    <w:p w14:paraId="0CAEF202" w14:textId="77777777" w:rsidR="005F47D3" w:rsidRDefault="005F47D3" w:rsidP="00594225">
      <w:pPr>
        <w:spacing w:after="0" w:line="240" w:lineRule="auto"/>
        <w:jc w:val="both"/>
        <w:rPr>
          <w:rFonts w:ascii="Verdana" w:hAnsi="Verdana"/>
        </w:rPr>
      </w:pPr>
    </w:p>
    <w:p w14:paraId="0A660C76" w14:textId="77777777" w:rsidR="005F47D3" w:rsidRDefault="005F47D3" w:rsidP="00594225">
      <w:pPr>
        <w:spacing w:after="0" w:line="240" w:lineRule="auto"/>
        <w:jc w:val="both"/>
        <w:rPr>
          <w:rFonts w:ascii="Verdana" w:hAnsi="Verdana"/>
        </w:rPr>
      </w:pPr>
    </w:p>
    <w:p w14:paraId="6C604B00" w14:textId="77777777" w:rsidR="005F47D3" w:rsidRDefault="005F47D3" w:rsidP="00594225">
      <w:pPr>
        <w:spacing w:after="0" w:line="240" w:lineRule="auto"/>
        <w:jc w:val="both"/>
        <w:rPr>
          <w:rFonts w:ascii="Verdana" w:hAnsi="Verdana"/>
        </w:rPr>
      </w:pPr>
    </w:p>
    <w:p w14:paraId="7F858E1E" w14:textId="77777777" w:rsidR="005F47D3" w:rsidRDefault="005F47D3" w:rsidP="00594225">
      <w:pPr>
        <w:spacing w:after="0" w:line="240" w:lineRule="auto"/>
        <w:jc w:val="both"/>
        <w:rPr>
          <w:rFonts w:ascii="Verdana" w:hAnsi="Verdana"/>
        </w:rPr>
      </w:pPr>
    </w:p>
    <w:p w14:paraId="36206AF3" w14:textId="77777777" w:rsidR="005F47D3" w:rsidRDefault="005F47D3" w:rsidP="00594225">
      <w:pPr>
        <w:spacing w:after="0" w:line="240" w:lineRule="auto"/>
        <w:jc w:val="both"/>
        <w:rPr>
          <w:rFonts w:ascii="Verdana" w:hAnsi="Verdana"/>
        </w:rPr>
      </w:pPr>
    </w:p>
    <w:p w14:paraId="4BAB0DC6" w14:textId="77777777" w:rsidR="005F47D3" w:rsidRDefault="005F47D3" w:rsidP="00594225">
      <w:pPr>
        <w:spacing w:after="0" w:line="240" w:lineRule="auto"/>
        <w:jc w:val="both"/>
        <w:rPr>
          <w:rFonts w:ascii="Verdana" w:hAnsi="Verdana"/>
        </w:rPr>
      </w:pPr>
    </w:p>
    <w:p w14:paraId="2F63302D" w14:textId="77777777" w:rsidR="005F47D3" w:rsidRDefault="005F47D3" w:rsidP="00594225">
      <w:pPr>
        <w:spacing w:after="0" w:line="240" w:lineRule="auto"/>
        <w:jc w:val="both"/>
        <w:rPr>
          <w:rFonts w:ascii="Verdana" w:hAnsi="Verdana"/>
        </w:rPr>
      </w:pPr>
    </w:p>
    <w:p w14:paraId="19E1E1CD" w14:textId="77777777" w:rsidR="005F47D3" w:rsidRDefault="005F47D3" w:rsidP="00594225">
      <w:pPr>
        <w:spacing w:after="0" w:line="240" w:lineRule="auto"/>
        <w:jc w:val="both"/>
        <w:rPr>
          <w:rFonts w:ascii="Verdana" w:hAnsi="Verdana"/>
        </w:rPr>
      </w:pPr>
    </w:p>
    <w:p w14:paraId="61C57323" w14:textId="77777777" w:rsidR="005F47D3" w:rsidRDefault="005F47D3" w:rsidP="00594225">
      <w:pPr>
        <w:spacing w:after="0" w:line="240" w:lineRule="auto"/>
        <w:jc w:val="both"/>
        <w:rPr>
          <w:rFonts w:ascii="Verdana" w:hAnsi="Verdana"/>
        </w:rPr>
      </w:pPr>
    </w:p>
    <w:p w14:paraId="77559AB4" w14:textId="77777777" w:rsidR="005F47D3" w:rsidRDefault="005F47D3" w:rsidP="00594225">
      <w:pPr>
        <w:spacing w:after="0" w:line="240" w:lineRule="auto"/>
        <w:jc w:val="both"/>
        <w:rPr>
          <w:rFonts w:ascii="Verdana" w:hAnsi="Verdana"/>
        </w:rPr>
      </w:pPr>
    </w:p>
    <w:p w14:paraId="30D20BA0" w14:textId="77777777" w:rsidR="005F47D3" w:rsidRDefault="005F47D3" w:rsidP="00594225">
      <w:pPr>
        <w:spacing w:after="0" w:line="240" w:lineRule="auto"/>
        <w:jc w:val="both"/>
        <w:rPr>
          <w:rFonts w:ascii="Verdana" w:hAnsi="Verdana"/>
        </w:rPr>
      </w:pPr>
    </w:p>
    <w:p w14:paraId="080B60A5" w14:textId="77777777" w:rsidR="005F47D3" w:rsidRDefault="005F47D3" w:rsidP="00594225">
      <w:pPr>
        <w:spacing w:after="0" w:line="240" w:lineRule="auto"/>
        <w:jc w:val="both"/>
        <w:rPr>
          <w:rFonts w:ascii="Verdana" w:hAnsi="Verdana"/>
        </w:rPr>
      </w:pPr>
    </w:p>
    <w:p w14:paraId="5A5ECE50" w14:textId="77777777" w:rsidR="005F47D3" w:rsidRDefault="005F47D3" w:rsidP="00594225">
      <w:pPr>
        <w:spacing w:after="0" w:line="240" w:lineRule="auto"/>
        <w:jc w:val="both"/>
        <w:rPr>
          <w:rFonts w:ascii="Verdana" w:hAnsi="Verdana"/>
        </w:rPr>
      </w:pPr>
    </w:p>
    <w:p w14:paraId="46D711D7" w14:textId="14DDCA65" w:rsidR="00594225" w:rsidRPr="008E4F36" w:rsidRDefault="009548C7" w:rsidP="00594225">
      <w:pPr>
        <w:spacing w:after="0" w:line="240" w:lineRule="auto"/>
        <w:jc w:val="both"/>
        <w:rPr>
          <w:rFonts w:ascii="Verdana" w:hAnsi="Verdana"/>
        </w:rPr>
      </w:pPr>
      <w:r w:rsidRPr="009548C7">
        <w:rPr>
          <w:rFonts w:ascii="Verdana" w:eastAsia="Calibri" w:hAnsi="Verdana" w:cs="Arial"/>
          <w:noProof/>
          <w:lang w:eastAsia="es-ES"/>
        </w:rPr>
        <w:lastRenderedPageBreak/>
        <w:drawing>
          <wp:anchor distT="0" distB="0" distL="114300" distR="114300" simplePos="0" relativeHeight="251660288" behindDoc="1" locked="0" layoutInCell="1" allowOverlap="1" wp14:anchorId="3D44F968" wp14:editId="7F5F4391">
            <wp:simplePos x="0" y="0"/>
            <wp:positionH relativeFrom="column">
              <wp:posOffset>3307178</wp:posOffset>
            </wp:positionH>
            <wp:positionV relativeFrom="paragraph">
              <wp:posOffset>46404</wp:posOffset>
            </wp:positionV>
            <wp:extent cx="2543175" cy="742950"/>
            <wp:effectExtent l="0" t="0" r="9525" b="0"/>
            <wp:wrapTight wrapText="bothSides">
              <wp:wrapPolygon edited="0">
                <wp:start x="0" y="0"/>
                <wp:lineTo x="0" y="21046"/>
                <wp:lineTo x="21519" y="21046"/>
                <wp:lineTo x="21519" y="0"/>
                <wp:lineTo x="0" y="0"/>
              </wp:wrapPolygon>
            </wp:wrapTight>
            <wp:docPr id="12574465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446565" name=""/>
                    <pic:cNvPicPr/>
                  </pic:nvPicPr>
                  <pic:blipFill>
                    <a:blip r:embed="rId10">
                      <a:extLst>
                        <a:ext uri="{28A0092B-C50C-407E-A947-70E740481C1C}">
                          <a14:useLocalDpi xmlns:a14="http://schemas.microsoft.com/office/drawing/2010/main" val="0"/>
                        </a:ext>
                      </a:extLst>
                    </a:blip>
                    <a:stretch>
                      <a:fillRect/>
                    </a:stretch>
                  </pic:blipFill>
                  <pic:spPr>
                    <a:xfrm>
                      <a:off x="0" y="0"/>
                      <a:ext cx="2543175" cy="742950"/>
                    </a:xfrm>
                    <a:prstGeom prst="rect">
                      <a:avLst/>
                    </a:prstGeom>
                  </pic:spPr>
                </pic:pic>
              </a:graphicData>
            </a:graphic>
          </wp:anchor>
        </w:drawing>
      </w:r>
      <w:r w:rsidR="00B61AD9" w:rsidRPr="00B61AD9">
        <w:rPr>
          <w:rFonts w:ascii="Verdana" w:hAnsi="Verdana"/>
        </w:rPr>
        <w:t xml:space="preserve">Bogotá D.C., 03 </w:t>
      </w:r>
      <w:r w:rsidR="00B61AD9">
        <w:rPr>
          <w:rFonts w:ascii="Verdana" w:hAnsi="Verdana"/>
        </w:rPr>
        <w:t>s</w:t>
      </w:r>
      <w:r w:rsidR="00B61AD9" w:rsidRPr="00B61AD9">
        <w:rPr>
          <w:rFonts w:ascii="Verdana" w:hAnsi="Verdana"/>
        </w:rPr>
        <w:t>eptiembre 2026</w:t>
      </w:r>
      <w:r w:rsidR="00B61AD9">
        <w:rPr>
          <w:rFonts w:ascii="Verdana" w:hAnsi="Verdana"/>
        </w:rPr>
        <w:t xml:space="preserve"> </w:t>
      </w:r>
    </w:p>
    <w:p w14:paraId="43D4458A" w14:textId="3B0BE042" w:rsidR="00594225" w:rsidRPr="008E4F36" w:rsidRDefault="00594225" w:rsidP="00594225">
      <w:pPr>
        <w:spacing w:after="0" w:line="240" w:lineRule="auto"/>
        <w:jc w:val="both"/>
        <w:rPr>
          <w:rFonts w:ascii="Verdana" w:eastAsia="Calibri" w:hAnsi="Verdana" w:cs="Arial"/>
          <w:lang w:eastAsia="es-ES"/>
        </w:rPr>
      </w:pPr>
      <w:bookmarkStart w:id="0" w:name="_Hlk197462763"/>
      <w:bookmarkStart w:id="1" w:name="_Hlk197529996"/>
    </w:p>
    <w:p w14:paraId="417C9035" w14:textId="58461D45" w:rsidR="00594225" w:rsidRDefault="00594225" w:rsidP="00594225">
      <w:pPr>
        <w:spacing w:after="0" w:line="240" w:lineRule="auto"/>
        <w:jc w:val="both"/>
        <w:rPr>
          <w:rFonts w:ascii="Verdana" w:eastAsia="Calibri" w:hAnsi="Verdana" w:cs="Arial"/>
          <w:lang w:eastAsia="es-ES"/>
        </w:rPr>
      </w:pPr>
    </w:p>
    <w:p w14:paraId="62B50942" w14:textId="30F57A99" w:rsidR="00594225" w:rsidRDefault="00594225" w:rsidP="00594225">
      <w:pPr>
        <w:spacing w:after="0" w:line="240" w:lineRule="auto"/>
        <w:jc w:val="both"/>
        <w:rPr>
          <w:rFonts w:ascii="Verdana" w:eastAsia="Calibri" w:hAnsi="Verdana" w:cs="Arial"/>
          <w:lang w:eastAsia="es-ES"/>
        </w:rPr>
      </w:pPr>
      <w:r w:rsidRPr="008E4F36">
        <w:rPr>
          <w:rFonts w:ascii="Verdana" w:eastAsia="Calibri" w:hAnsi="Verdana" w:cs="Arial"/>
          <w:lang w:eastAsia="es-ES"/>
        </w:rPr>
        <w:t>Seño</w:t>
      </w:r>
      <w:r>
        <w:rPr>
          <w:rFonts w:ascii="Verdana" w:eastAsia="Calibri" w:hAnsi="Verdana" w:cs="Arial"/>
          <w:lang w:eastAsia="es-ES"/>
        </w:rPr>
        <w:t>ra</w:t>
      </w:r>
    </w:p>
    <w:p w14:paraId="5631182B" w14:textId="77777777" w:rsidR="00594225" w:rsidRDefault="00594225" w:rsidP="00594225">
      <w:pPr>
        <w:spacing w:after="0" w:line="240" w:lineRule="auto"/>
        <w:jc w:val="both"/>
        <w:rPr>
          <w:rFonts w:ascii="Verdana" w:eastAsia="Calibri" w:hAnsi="Verdana" w:cs="Arial"/>
          <w:b/>
          <w:bCs/>
          <w:lang w:eastAsia="es-ES"/>
        </w:rPr>
      </w:pPr>
      <w:r w:rsidRPr="00D724B4">
        <w:rPr>
          <w:rFonts w:ascii="Verdana" w:eastAsia="Calibri" w:hAnsi="Verdana" w:cs="Arial"/>
          <w:b/>
          <w:bCs/>
          <w:lang w:eastAsia="es-ES"/>
        </w:rPr>
        <w:t>Isabela Trujillo Vélez</w:t>
      </w:r>
      <w:r w:rsidRPr="006B4269">
        <w:rPr>
          <w:rFonts w:ascii="Verdana" w:eastAsia="Calibri" w:hAnsi="Verdana" w:cs="Arial"/>
          <w:b/>
          <w:bCs/>
          <w:lang w:eastAsia="es-ES"/>
        </w:rPr>
        <w:t xml:space="preserve"> </w:t>
      </w:r>
    </w:p>
    <w:p w14:paraId="347918BE" w14:textId="77777777" w:rsidR="00594225" w:rsidRPr="00E72510" w:rsidRDefault="00594225" w:rsidP="00594225">
      <w:pPr>
        <w:spacing w:after="0" w:line="240" w:lineRule="auto"/>
        <w:jc w:val="both"/>
        <w:rPr>
          <w:rFonts w:ascii="Verdana" w:eastAsia="Calibri" w:hAnsi="Verdana" w:cs="Arial"/>
          <w:lang w:eastAsia="es-ES"/>
        </w:rPr>
      </w:pPr>
      <w:r w:rsidRPr="00E72510">
        <w:rPr>
          <w:rFonts w:ascii="Verdana" w:eastAsia="Calibri" w:hAnsi="Verdana" w:cs="Arial"/>
          <w:lang w:eastAsia="es-ES"/>
        </w:rPr>
        <w:t xml:space="preserve">E.S.E Hospital Departamental Universitario Santa Sofia De Caldas </w:t>
      </w:r>
    </w:p>
    <w:p w14:paraId="24B6F2D0" w14:textId="77777777" w:rsidR="00594225" w:rsidRPr="006B4269" w:rsidRDefault="00594225" w:rsidP="00594225">
      <w:pPr>
        <w:spacing w:after="0" w:line="240" w:lineRule="auto"/>
        <w:jc w:val="both"/>
        <w:rPr>
          <w:rFonts w:ascii="Verdana" w:eastAsia="Calibri" w:hAnsi="Verdana" w:cs="Arial"/>
          <w:bCs/>
          <w:color w:val="000099"/>
          <w:lang w:eastAsia="es-ES_tradnl"/>
        </w:rPr>
      </w:pPr>
      <w:r w:rsidRPr="006B4269">
        <w:rPr>
          <w:rFonts w:ascii="Verdana" w:eastAsia="Calibri" w:hAnsi="Verdana" w:cs="Arial"/>
          <w:bCs/>
          <w:color w:val="000099"/>
          <w:lang w:eastAsia="es-ES_tradnl"/>
        </w:rPr>
        <w:t xml:space="preserve">juridica.contratacion@santasofia.com.co </w:t>
      </w:r>
    </w:p>
    <w:p w14:paraId="198DDB79" w14:textId="77777777" w:rsidR="00594225" w:rsidRPr="00CB0A13" w:rsidRDefault="00594225" w:rsidP="00594225">
      <w:pPr>
        <w:spacing w:after="0" w:line="240" w:lineRule="auto"/>
        <w:jc w:val="both"/>
        <w:rPr>
          <w:rFonts w:ascii="Verdana" w:eastAsia="Calibri" w:hAnsi="Verdana" w:cs="Arial"/>
          <w:bCs/>
          <w:lang w:eastAsia="es-ES_tradnl"/>
        </w:rPr>
      </w:pPr>
      <w:r w:rsidRPr="00CB0A13">
        <w:rPr>
          <w:rFonts w:ascii="Verdana" w:eastAsia="Calibri" w:hAnsi="Verdana" w:cs="Arial"/>
          <w:bCs/>
          <w:lang w:eastAsia="es-ES_tradnl"/>
        </w:rPr>
        <w:t>Ciudad</w:t>
      </w:r>
    </w:p>
    <w:p w14:paraId="7229767D" w14:textId="77777777" w:rsidR="00594225" w:rsidRPr="00CB0A13" w:rsidRDefault="00594225" w:rsidP="00594225">
      <w:pPr>
        <w:spacing w:after="0" w:line="240" w:lineRule="auto"/>
        <w:jc w:val="both"/>
        <w:rPr>
          <w:rFonts w:ascii="Verdana" w:eastAsia="Calibri" w:hAnsi="Verdana" w:cs="Arial"/>
          <w:bCs/>
          <w:lang w:eastAsia="es-ES_tradnl"/>
        </w:rPr>
      </w:pPr>
    </w:p>
    <w:p w14:paraId="3BB388D4" w14:textId="77777777" w:rsidR="00594225" w:rsidRPr="005B4C57" w:rsidRDefault="00594225" w:rsidP="00594225">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594225" w:rsidRPr="002842E0" w14:paraId="1178803E" w14:textId="77777777" w:rsidTr="008546E0">
        <w:trPr>
          <w:trHeight w:val="162"/>
        </w:trPr>
        <w:tc>
          <w:tcPr>
            <w:tcW w:w="3119" w:type="dxa"/>
          </w:tcPr>
          <w:p w14:paraId="71950AC0" w14:textId="77777777" w:rsidR="00594225" w:rsidRPr="005B4C57" w:rsidRDefault="00594225" w:rsidP="008546E0">
            <w:pPr>
              <w:jc w:val="both"/>
              <w:rPr>
                <w:rFonts w:ascii="Verdana" w:eastAsia="Calibri" w:hAnsi="Verdana" w:cs="Arial"/>
                <w:b/>
                <w:bCs/>
                <w:color w:val="7030A0"/>
                <w:lang w:val="it-CH" w:eastAsia="es-ES_tradnl"/>
              </w:rPr>
            </w:pPr>
          </w:p>
        </w:tc>
        <w:tc>
          <w:tcPr>
            <w:tcW w:w="5670" w:type="dxa"/>
          </w:tcPr>
          <w:p w14:paraId="7DCA4A81" w14:textId="77777777" w:rsidR="00594225" w:rsidRPr="00801462" w:rsidRDefault="00594225" w:rsidP="008546E0">
            <w:pPr>
              <w:jc w:val="both"/>
              <w:rPr>
                <w:rFonts w:ascii="Verdana" w:eastAsia="Calibri" w:hAnsi="Verdana" w:cs="Arial"/>
                <w:b/>
                <w:bCs/>
                <w:lang w:eastAsia="es-ES"/>
              </w:rPr>
            </w:pPr>
            <w:r w:rsidRPr="00083AB6">
              <w:rPr>
                <w:rFonts w:ascii="Verdana" w:eastAsia="Calibri" w:hAnsi="Verdana" w:cs="Arial"/>
                <w:b/>
                <w:bCs/>
                <w:lang w:eastAsia="es-ES"/>
              </w:rPr>
              <w:t xml:space="preserve">Concepto C- </w:t>
            </w:r>
            <w:r>
              <w:rPr>
                <w:rFonts w:ascii="Verdana" w:eastAsia="Calibri" w:hAnsi="Verdana" w:cs="Arial"/>
                <w:b/>
                <w:bCs/>
                <w:lang w:eastAsia="es-ES"/>
              </w:rPr>
              <w:t>1218 de 2026</w:t>
            </w:r>
          </w:p>
          <w:p w14:paraId="54992049" w14:textId="77777777" w:rsidR="00594225" w:rsidRPr="00801462" w:rsidRDefault="00594225" w:rsidP="008546E0">
            <w:pPr>
              <w:jc w:val="both"/>
              <w:rPr>
                <w:rFonts w:ascii="Verdana" w:eastAsia="Calibri" w:hAnsi="Verdana" w:cs="Arial"/>
                <w:b/>
                <w:bCs/>
                <w:color w:val="7030A0"/>
                <w:lang w:eastAsia="es-ES"/>
              </w:rPr>
            </w:pPr>
          </w:p>
        </w:tc>
      </w:tr>
      <w:tr w:rsidR="00594225" w:rsidRPr="002842E0" w14:paraId="7F63CF8D" w14:textId="77777777" w:rsidTr="008546E0">
        <w:trPr>
          <w:trHeight w:val="884"/>
        </w:trPr>
        <w:tc>
          <w:tcPr>
            <w:tcW w:w="3119" w:type="dxa"/>
          </w:tcPr>
          <w:p w14:paraId="56DC7754" w14:textId="77777777" w:rsidR="00594225" w:rsidRPr="00801462" w:rsidRDefault="00594225" w:rsidP="008546E0">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62DAC32E" w14:textId="77777777" w:rsidR="00594225" w:rsidRPr="00A11406" w:rsidRDefault="00594225" w:rsidP="008546E0">
            <w:pPr>
              <w:spacing w:line="276" w:lineRule="auto"/>
              <w:jc w:val="both"/>
              <w:rPr>
                <w:rFonts w:ascii="Verdana" w:eastAsia="Calibri" w:hAnsi="Verdana" w:cs="Arial"/>
                <w:lang w:val="es-ES" w:eastAsia="es-ES"/>
              </w:rPr>
            </w:pPr>
            <w:r w:rsidRPr="00134C8E">
              <w:rPr>
                <w:rFonts w:ascii="Verdana" w:eastAsia="Calibri" w:hAnsi="Verdana" w:cs="Arial"/>
                <w:lang w:val="es-ES" w:eastAsia="es-ES"/>
              </w:rPr>
              <w:t>INFORMACIÓN CONTRACTUAL – Publicidad – Alcance</w:t>
            </w:r>
            <w:r>
              <w:rPr>
                <w:rFonts w:ascii="Verdana" w:eastAsia="Calibri" w:hAnsi="Verdana" w:cs="Arial"/>
                <w:lang w:val="es-ES" w:eastAsia="es-ES"/>
              </w:rPr>
              <w:t xml:space="preserve"> / </w:t>
            </w:r>
            <w:r w:rsidRPr="00134C8E">
              <w:rPr>
                <w:rFonts w:ascii="Verdana" w:eastAsia="Calibri" w:hAnsi="Verdana" w:cs="Arial"/>
                <w:lang w:val="es-ES" w:eastAsia="es-ES"/>
              </w:rPr>
              <w:t xml:space="preserve">SISTEMA ELECTRÓNICO PARA LA CONTRATACIÓN PÚBLICA – Componentes – SECOP II – </w:t>
            </w:r>
            <w:r>
              <w:rPr>
                <w:rFonts w:ascii="Verdana" w:eastAsia="Calibri" w:hAnsi="Verdana" w:cs="Arial"/>
                <w:lang w:val="es-ES" w:eastAsia="es-ES"/>
              </w:rPr>
              <w:t xml:space="preserve">Deber de publicar – Documentos del proceso </w:t>
            </w:r>
          </w:p>
          <w:p w14:paraId="7D7EAA9A" w14:textId="77777777" w:rsidR="00594225" w:rsidRPr="00AF7DE2" w:rsidRDefault="00594225" w:rsidP="008546E0">
            <w:pPr>
              <w:jc w:val="both"/>
              <w:rPr>
                <w:rFonts w:ascii="Verdana" w:eastAsia="Calibri" w:hAnsi="Verdana" w:cs="Arial"/>
                <w:lang w:val="es-ES" w:eastAsia="es-ES"/>
              </w:rPr>
            </w:pPr>
          </w:p>
        </w:tc>
      </w:tr>
      <w:tr w:rsidR="00594225" w:rsidRPr="002842E0" w14:paraId="5E081F57" w14:textId="77777777" w:rsidTr="008546E0">
        <w:tc>
          <w:tcPr>
            <w:tcW w:w="3119" w:type="dxa"/>
          </w:tcPr>
          <w:p w14:paraId="331E4CEF" w14:textId="77777777" w:rsidR="00594225" w:rsidRPr="00801462" w:rsidRDefault="00594225" w:rsidP="008546E0">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2C7A3847" w14:textId="77777777" w:rsidR="00594225" w:rsidRPr="00E135CA" w:rsidRDefault="00594225" w:rsidP="008546E0">
            <w:pPr>
              <w:jc w:val="both"/>
              <w:rPr>
                <w:rFonts w:ascii="Verdana" w:eastAsia="Calibri" w:hAnsi="Verdana" w:cs="Arial"/>
                <w:color w:val="000000" w:themeColor="text1"/>
                <w:lang w:eastAsia="es-ES_tradnl"/>
              </w:rPr>
            </w:pPr>
            <w:r w:rsidRPr="00E135CA">
              <w:rPr>
                <w:rFonts w:ascii="Verdana" w:eastAsia="Calibri" w:hAnsi="Verdana" w:cs="Arial"/>
                <w:lang w:eastAsia="es-ES_tradnl"/>
              </w:rPr>
              <w:t xml:space="preserve">Respuesta a consulta con radicado </w:t>
            </w:r>
            <w:r w:rsidRPr="00E135CA">
              <w:rPr>
                <w:rFonts w:ascii="Verdana" w:hAnsi="Verdana"/>
                <w:color w:val="000000"/>
              </w:rPr>
              <w:t>1_2026_08_03_010172</w:t>
            </w:r>
          </w:p>
          <w:p w14:paraId="67CDD242" w14:textId="77777777" w:rsidR="00594225" w:rsidRPr="00E135CA" w:rsidRDefault="00594225" w:rsidP="008546E0">
            <w:pPr>
              <w:jc w:val="both"/>
              <w:rPr>
                <w:rFonts w:ascii="Verdana" w:eastAsia="Calibri" w:hAnsi="Verdana" w:cs="Arial"/>
                <w:color w:val="000000" w:themeColor="text1"/>
                <w:lang w:eastAsia="es-ES_tradnl"/>
              </w:rPr>
            </w:pPr>
          </w:p>
        </w:tc>
      </w:tr>
    </w:tbl>
    <w:p w14:paraId="78A745FC" w14:textId="77777777" w:rsidR="00594225" w:rsidRDefault="00594225" w:rsidP="00594225">
      <w:pPr>
        <w:spacing w:after="0" w:line="276" w:lineRule="auto"/>
        <w:jc w:val="both"/>
        <w:rPr>
          <w:rFonts w:ascii="Verdana" w:eastAsia="Calibri" w:hAnsi="Verdana" w:cs="Arial"/>
          <w:lang w:eastAsia="es-ES_tradnl"/>
        </w:rPr>
      </w:pPr>
    </w:p>
    <w:p w14:paraId="4434DEA4" w14:textId="77777777" w:rsidR="00594225" w:rsidRPr="008E4F36" w:rsidRDefault="00594225" w:rsidP="00594225">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 xml:space="preserve">a </w:t>
      </w:r>
      <w:r w:rsidRPr="00083AB6">
        <w:rPr>
          <w:rFonts w:ascii="Verdana" w:eastAsia="Calibri" w:hAnsi="Verdana" w:cs="Arial"/>
          <w:lang w:eastAsia="es-ES"/>
        </w:rPr>
        <w:t>señor</w:t>
      </w:r>
      <w:r>
        <w:rPr>
          <w:rFonts w:ascii="Verdana" w:eastAsia="Calibri" w:hAnsi="Verdana" w:cs="Arial"/>
          <w:lang w:eastAsia="es-ES"/>
        </w:rPr>
        <w:t xml:space="preserve">a </w:t>
      </w:r>
      <w:r>
        <w:rPr>
          <w:rFonts w:ascii="Verdana" w:eastAsia="Calibri" w:hAnsi="Verdana" w:cs="Arial"/>
          <w:bCs/>
          <w:lang w:eastAsia="es-ES_tradnl"/>
        </w:rPr>
        <w:t>Trujillo</w:t>
      </w:r>
      <w:r w:rsidRPr="00083AB6">
        <w:rPr>
          <w:rFonts w:ascii="Verdana" w:eastAsia="Calibri" w:hAnsi="Verdana" w:cs="Arial"/>
          <w:lang w:eastAsia="es-ES"/>
        </w:rPr>
        <w:t>:</w:t>
      </w:r>
      <w:r w:rsidRPr="008E4F36">
        <w:rPr>
          <w:rFonts w:ascii="Verdana" w:eastAsia="Calibri" w:hAnsi="Verdana" w:cs="Arial"/>
          <w:lang w:eastAsia="es-ES"/>
        </w:rPr>
        <w:t xml:space="preserve"> </w:t>
      </w:r>
    </w:p>
    <w:p w14:paraId="3B4E0A6D" w14:textId="77777777" w:rsidR="00594225" w:rsidRDefault="00594225" w:rsidP="00594225">
      <w:pPr>
        <w:tabs>
          <w:tab w:val="left" w:pos="3768"/>
        </w:tabs>
        <w:spacing w:after="0" w:line="240" w:lineRule="auto"/>
        <w:jc w:val="both"/>
        <w:rPr>
          <w:rFonts w:ascii="Verdana" w:eastAsia="Calibri" w:hAnsi="Verdana" w:cs="Arial"/>
          <w:lang w:eastAsia="es-ES"/>
        </w:rPr>
      </w:pPr>
    </w:p>
    <w:p w14:paraId="3BF2D110" w14:textId="77777777" w:rsidR="00594225" w:rsidRPr="008E4F36" w:rsidRDefault="00594225" w:rsidP="00594225">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30</w:t>
      </w:r>
      <w:r w:rsidRPr="00AF6D58">
        <w:rPr>
          <w:rFonts w:ascii="Verdana" w:eastAsia="Calibri" w:hAnsi="Verdana" w:cs="Arial"/>
          <w:lang w:eastAsia="es-ES"/>
        </w:rPr>
        <w:t xml:space="preserve"> de </w:t>
      </w:r>
      <w:r>
        <w:rPr>
          <w:rFonts w:ascii="Verdana" w:eastAsia="Calibri" w:hAnsi="Verdana" w:cs="Arial"/>
          <w:lang w:eastAsia="es-ES"/>
        </w:rPr>
        <w:t>julio</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6D4B2801" w14:textId="77777777" w:rsidR="00594225" w:rsidRPr="008C54F3" w:rsidRDefault="00594225" w:rsidP="00594225">
      <w:pPr>
        <w:spacing w:line="240" w:lineRule="auto"/>
        <w:ind w:left="709" w:right="709"/>
        <w:jc w:val="both"/>
        <w:rPr>
          <w:rFonts w:ascii="Verdana" w:eastAsia="Calibri" w:hAnsi="Verdana" w:cs="Arial"/>
          <w:color w:val="000000" w:themeColor="text1"/>
          <w:sz w:val="20"/>
          <w:szCs w:val="20"/>
        </w:rPr>
      </w:pPr>
    </w:p>
    <w:p w14:paraId="774A9C5B" w14:textId="77777777" w:rsidR="00594225" w:rsidRPr="00C05705" w:rsidRDefault="00594225" w:rsidP="00594225">
      <w:pPr>
        <w:spacing w:line="240" w:lineRule="auto"/>
        <w:ind w:left="709" w:right="709"/>
        <w:jc w:val="both"/>
        <w:rPr>
          <w:rFonts w:ascii="Verdana" w:eastAsia="Calibri" w:hAnsi="Verdana" w:cs="Arial"/>
          <w:i/>
          <w:iCs/>
          <w:color w:val="000000" w:themeColor="text1"/>
          <w:sz w:val="20"/>
          <w:szCs w:val="20"/>
        </w:rPr>
      </w:pPr>
      <w:bookmarkStart w:id="2" w:name="_Hlk192699624"/>
      <w:bookmarkStart w:id="3" w:name="_Hlk199394899"/>
      <w:r w:rsidRPr="008C54F3">
        <w:rPr>
          <w:rFonts w:ascii="Verdana" w:eastAsia="Calibri" w:hAnsi="Verdana" w:cs="Arial"/>
          <w:i/>
          <w:iCs/>
          <w:color w:val="000000" w:themeColor="text1"/>
          <w:sz w:val="20"/>
          <w:szCs w:val="20"/>
        </w:rPr>
        <w:t>“</w:t>
      </w:r>
      <w:bookmarkEnd w:id="2"/>
      <w:bookmarkEnd w:id="3"/>
    </w:p>
    <w:p w14:paraId="045D41C7" w14:textId="77777777" w:rsidR="00594225" w:rsidRPr="004049C5" w:rsidRDefault="00594225" w:rsidP="00594225">
      <w:pPr>
        <w:pStyle w:val="Prrafodelista"/>
        <w:numPr>
          <w:ilvl w:val="0"/>
          <w:numId w:val="4"/>
        </w:numPr>
        <w:spacing w:line="240" w:lineRule="auto"/>
        <w:ind w:right="709"/>
        <w:jc w:val="both"/>
        <w:rPr>
          <w:rFonts w:ascii="Verdana" w:eastAsia="Calibri" w:hAnsi="Verdana" w:cs="Arial"/>
          <w:i/>
          <w:iCs/>
          <w:color w:val="000000" w:themeColor="text1"/>
          <w:sz w:val="20"/>
          <w:szCs w:val="20"/>
        </w:rPr>
      </w:pPr>
      <w:r w:rsidRPr="004049C5">
        <w:rPr>
          <w:rFonts w:ascii="Verdana" w:eastAsia="Calibri" w:hAnsi="Verdana" w:cs="Arial"/>
          <w:i/>
          <w:iCs/>
          <w:color w:val="000000" w:themeColor="text1"/>
          <w:sz w:val="20"/>
          <w:szCs w:val="20"/>
        </w:rPr>
        <w:t>¿Resulta procedente y obligatorio publicar en el SECOP las actas modificatorias suscritas por mayores y menores cantidades de obra, cuando dicho ajuste se produce dentro de la ejecución normal del contrato y no afecta el valor total inicialmente pactado?</w:t>
      </w:r>
    </w:p>
    <w:p w14:paraId="08B1265E" w14:textId="77777777" w:rsidR="00594225" w:rsidRPr="004049C5" w:rsidRDefault="00594225" w:rsidP="00594225">
      <w:pPr>
        <w:pStyle w:val="Default"/>
        <w:rPr>
          <w:i/>
          <w:iCs/>
          <w:sz w:val="20"/>
          <w:szCs w:val="20"/>
        </w:rPr>
      </w:pPr>
    </w:p>
    <w:p w14:paraId="0F19AB09" w14:textId="77777777" w:rsidR="00594225" w:rsidRPr="00EC0E3E" w:rsidRDefault="00594225" w:rsidP="00594225">
      <w:pPr>
        <w:pStyle w:val="Prrafodelista"/>
        <w:numPr>
          <w:ilvl w:val="0"/>
          <w:numId w:val="4"/>
        </w:numPr>
        <w:spacing w:line="240" w:lineRule="auto"/>
        <w:ind w:right="709"/>
        <w:jc w:val="both"/>
        <w:rPr>
          <w:rFonts w:ascii="Verdana" w:eastAsia="Calibri" w:hAnsi="Verdana" w:cs="Arial"/>
          <w:i/>
          <w:iCs/>
          <w:color w:val="000000" w:themeColor="text1"/>
          <w:sz w:val="20"/>
          <w:szCs w:val="20"/>
        </w:rPr>
      </w:pPr>
      <w:r w:rsidRPr="004049C5">
        <w:rPr>
          <w:rFonts w:ascii="Verdana" w:hAnsi="Verdana"/>
          <w:i/>
          <w:iCs/>
          <w:sz w:val="20"/>
          <w:szCs w:val="20"/>
        </w:rPr>
        <w:t xml:space="preserve"> 2. Teniendo en cuenta que, según los lineamientos de Colombia Compra Eficiente, las actuaciones de publicación obligatoria en el SECOP corresponden a prórrogas, adiciones, suspensiones, </w:t>
      </w:r>
      <w:r w:rsidRPr="004049C5">
        <w:rPr>
          <w:rFonts w:ascii="Verdana" w:hAnsi="Verdana"/>
          <w:i/>
          <w:iCs/>
          <w:sz w:val="20"/>
          <w:szCs w:val="20"/>
        </w:rPr>
        <w:lastRenderedPageBreak/>
        <w:t>terminación, cierre y liquidación del contrato, ¿debe entenderse que las actas de ajuste de cantidades de obra que no modifican el valor ni el plazo se encuentran excluidas de dicho deber de publicación, o existe alguna disposición normativa, circular o concepto que las incluya expresamente dentro de los documentos de publicación obligatoria?</w:t>
      </w:r>
    </w:p>
    <w:p w14:paraId="66C3254D" w14:textId="77777777" w:rsidR="00594225" w:rsidRPr="00EC0E3E" w:rsidRDefault="00594225" w:rsidP="00594225">
      <w:pPr>
        <w:pStyle w:val="Prrafodelista"/>
        <w:rPr>
          <w:rFonts w:ascii="Verdana" w:eastAsia="Calibri" w:hAnsi="Verdana" w:cs="Arial"/>
          <w:i/>
          <w:iCs/>
          <w:color w:val="000000" w:themeColor="text1"/>
          <w:sz w:val="20"/>
          <w:szCs w:val="20"/>
        </w:rPr>
      </w:pPr>
    </w:p>
    <w:p w14:paraId="677ADB2E" w14:textId="77777777" w:rsidR="00594225" w:rsidRPr="00EC0E3E" w:rsidRDefault="00594225" w:rsidP="00594225">
      <w:pPr>
        <w:pStyle w:val="Prrafodelista"/>
        <w:spacing w:line="240" w:lineRule="auto"/>
        <w:ind w:left="1144" w:right="709"/>
        <w:jc w:val="both"/>
        <w:rPr>
          <w:rFonts w:ascii="Verdana" w:eastAsia="Calibri" w:hAnsi="Verdana" w:cs="Arial"/>
          <w:i/>
          <w:iCs/>
          <w:color w:val="000000" w:themeColor="text1"/>
          <w:sz w:val="20"/>
          <w:szCs w:val="20"/>
        </w:rPr>
      </w:pPr>
    </w:p>
    <w:p w14:paraId="6F37563D" w14:textId="77777777" w:rsidR="00594225" w:rsidRPr="000F0F12" w:rsidRDefault="00594225" w:rsidP="00594225">
      <w:pPr>
        <w:pStyle w:val="Prrafodelista"/>
        <w:numPr>
          <w:ilvl w:val="0"/>
          <w:numId w:val="4"/>
        </w:numPr>
        <w:spacing w:line="240" w:lineRule="auto"/>
        <w:ind w:right="709"/>
        <w:jc w:val="both"/>
        <w:rPr>
          <w:rFonts w:ascii="Verdana" w:eastAsia="Calibri" w:hAnsi="Verdana" w:cs="Arial"/>
          <w:i/>
          <w:iCs/>
          <w:color w:val="000000" w:themeColor="text1"/>
          <w:sz w:val="20"/>
          <w:szCs w:val="20"/>
        </w:rPr>
      </w:pPr>
      <w:r w:rsidRPr="00EC0E3E">
        <w:rPr>
          <w:rFonts w:ascii="Verdana" w:hAnsi="Verdana"/>
          <w:i/>
          <w:iCs/>
          <w:sz w:val="20"/>
          <w:szCs w:val="20"/>
        </w:rPr>
        <w:t>En caso de no existir obligación normativa expresa de publicar dichas actas en el SECOP, ¿es jurídicamente aconsejable o constituye buena práctica de gestión contractual realizar su publicación de todas maneras, en aplicación de los principios de transparencia y publicidad, aun cuando ello no sea exigido de forma imperativa?</w:t>
      </w:r>
    </w:p>
    <w:p w14:paraId="38F45CE5" w14:textId="77777777" w:rsidR="00594225" w:rsidRPr="00EC0E3E" w:rsidRDefault="00594225" w:rsidP="00594225">
      <w:pPr>
        <w:pStyle w:val="Prrafodelista"/>
        <w:spacing w:line="240" w:lineRule="auto"/>
        <w:ind w:left="1144" w:right="709"/>
        <w:jc w:val="both"/>
        <w:rPr>
          <w:rFonts w:ascii="Verdana" w:eastAsia="Calibri" w:hAnsi="Verdana" w:cs="Arial"/>
          <w:i/>
          <w:iCs/>
          <w:color w:val="000000" w:themeColor="text1"/>
          <w:sz w:val="20"/>
          <w:szCs w:val="20"/>
        </w:rPr>
      </w:pPr>
    </w:p>
    <w:p w14:paraId="119C850D" w14:textId="77777777" w:rsidR="00594225" w:rsidRDefault="00594225" w:rsidP="00594225">
      <w:pPr>
        <w:pStyle w:val="Prrafodelista"/>
        <w:numPr>
          <w:ilvl w:val="0"/>
          <w:numId w:val="4"/>
        </w:numPr>
        <w:spacing w:line="240" w:lineRule="auto"/>
        <w:ind w:right="709"/>
        <w:jc w:val="both"/>
        <w:rPr>
          <w:rFonts w:ascii="Verdana" w:eastAsia="Calibri" w:hAnsi="Verdana" w:cs="Arial"/>
          <w:i/>
          <w:iCs/>
          <w:color w:val="000000" w:themeColor="text1"/>
          <w:sz w:val="20"/>
          <w:szCs w:val="20"/>
        </w:rPr>
      </w:pPr>
      <w:r w:rsidRPr="000F0F12">
        <w:rPr>
          <w:rFonts w:ascii="Verdana" w:eastAsia="Calibri" w:hAnsi="Verdana" w:cs="Arial"/>
          <w:i/>
          <w:iCs/>
          <w:color w:val="000000" w:themeColor="text1"/>
          <w:sz w:val="20"/>
          <w:szCs w:val="20"/>
        </w:rPr>
        <w:t>¿Cuáles serían las consecuencias jurídicas, disciplinarias o fiscales, si las hubiere, derivadas de la no publicación en el SECOP de las actas modificatorias de mayores y menores cantidades de obra que no afectan el valor del contrato, considerando que dichas actas sí reposan y quedan debidamente documentadas en el expediente contractual de la entidad?</w:t>
      </w:r>
    </w:p>
    <w:p w14:paraId="3CA8FE9E" w14:textId="77777777" w:rsidR="00594225" w:rsidRPr="000F0F12" w:rsidRDefault="00594225" w:rsidP="00594225">
      <w:pPr>
        <w:pStyle w:val="Prrafodelista"/>
        <w:rPr>
          <w:rFonts w:ascii="Verdana" w:eastAsia="Calibri" w:hAnsi="Verdana" w:cs="Arial"/>
          <w:i/>
          <w:iCs/>
          <w:color w:val="000000" w:themeColor="text1"/>
          <w:sz w:val="20"/>
          <w:szCs w:val="20"/>
        </w:rPr>
      </w:pPr>
    </w:p>
    <w:p w14:paraId="3A3CC466" w14:textId="77777777" w:rsidR="00594225" w:rsidRPr="00EC0E3E" w:rsidRDefault="00594225" w:rsidP="00594225">
      <w:pPr>
        <w:pStyle w:val="Prrafodelista"/>
        <w:numPr>
          <w:ilvl w:val="0"/>
          <w:numId w:val="4"/>
        </w:numPr>
        <w:spacing w:line="240" w:lineRule="auto"/>
        <w:ind w:right="709"/>
        <w:jc w:val="both"/>
        <w:rPr>
          <w:rFonts w:ascii="Verdana" w:eastAsia="Calibri" w:hAnsi="Verdana" w:cs="Arial"/>
          <w:i/>
          <w:iCs/>
          <w:color w:val="000000" w:themeColor="text1"/>
          <w:sz w:val="20"/>
          <w:szCs w:val="20"/>
        </w:rPr>
      </w:pPr>
      <w:r w:rsidRPr="000F0F12">
        <w:rPr>
          <w:rFonts w:ascii="Verdana" w:eastAsia="Calibri" w:hAnsi="Verdana" w:cs="Arial"/>
          <w:i/>
          <w:iCs/>
          <w:color w:val="000000" w:themeColor="text1"/>
          <w:sz w:val="20"/>
          <w:szCs w:val="20"/>
        </w:rPr>
        <w:t xml:space="preserve">¿Qué criterios doctrinales, jurisprudenciales o lineamientos institucionales de Colombia Compra Eficiente podrían servir de referencia para diferenciar, en materia de publicidad contractual, entre los documentos cuya publicación en el SECOP es obligatoria y aquellos que, si bien hacen parte de la ejecución del contrato, no generan dicha obligación por no alterar las condiciones esenciales del negocio </w:t>
      </w:r>
      <w:proofErr w:type="gramStart"/>
      <w:r w:rsidRPr="000F0F12">
        <w:rPr>
          <w:rFonts w:ascii="Verdana" w:eastAsia="Calibri" w:hAnsi="Verdana" w:cs="Arial"/>
          <w:i/>
          <w:iCs/>
          <w:color w:val="000000" w:themeColor="text1"/>
          <w:sz w:val="20"/>
          <w:szCs w:val="20"/>
        </w:rPr>
        <w:t>jurídico?</w:t>
      </w:r>
      <w:r>
        <w:rPr>
          <w:rFonts w:ascii="Verdana" w:eastAsia="Calibri" w:hAnsi="Verdana" w:cs="Arial"/>
          <w:i/>
          <w:iCs/>
          <w:color w:val="000000" w:themeColor="text1"/>
          <w:sz w:val="20"/>
          <w:szCs w:val="20"/>
        </w:rPr>
        <w:t>.</w:t>
      </w:r>
      <w:proofErr w:type="gramEnd"/>
      <w:r>
        <w:rPr>
          <w:rFonts w:ascii="Verdana" w:eastAsia="Calibri" w:hAnsi="Verdana" w:cs="Arial"/>
          <w:i/>
          <w:iCs/>
          <w:color w:val="000000" w:themeColor="text1"/>
          <w:sz w:val="20"/>
          <w:szCs w:val="20"/>
        </w:rPr>
        <w:t>”</w:t>
      </w:r>
    </w:p>
    <w:p w14:paraId="48473E18" w14:textId="77777777" w:rsidR="00594225" w:rsidRPr="00C05705" w:rsidRDefault="00594225" w:rsidP="00594225">
      <w:pPr>
        <w:spacing w:line="240" w:lineRule="auto"/>
        <w:ind w:right="709"/>
        <w:jc w:val="both"/>
        <w:rPr>
          <w:rFonts w:ascii="Verdana" w:eastAsia="Calibri" w:hAnsi="Verdana" w:cs="Arial"/>
          <w:i/>
          <w:iCs/>
          <w:color w:val="000000" w:themeColor="text1"/>
          <w:sz w:val="20"/>
          <w:szCs w:val="20"/>
        </w:rPr>
      </w:pPr>
    </w:p>
    <w:p w14:paraId="7025EBAB" w14:textId="77777777" w:rsidR="00594225" w:rsidRDefault="00594225" w:rsidP="00594225">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9CEEDDD" w14:textId="77777777" w:rsidR="00594225" w:rsidRPr="00054383" w:rsidRDefault="00594225" w:rsidP="00594225">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lastRenderedPageBreak/>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1288231C" w14:textId="77777777" w:rsidR="00594225" w:rsidRPr="008E4F36" w:rsidRDefault="00594225" w:rsidP="00594225">
      <w:pPr>
        <w:spacing w:after="0"/>
        <w:ind w:firstLine="709"/>
        <w:jc w:val="both"/>
        <w:rPr>
          <w:rFonts w:ascii="Verdana" w:eastAsia="Calibri" w:hAnsi="Verdana" w:cs="Arial"/>
          <w:color w:val="000000"/>
          <w:lang w:eastAsia="es-ES"/>
        </w:rPr>
      </w:pPr>
    </w:p>
    <w:p w14:paraId="0BB7AB56" w14:textId="77777777" w:rsidR="00594225" w:rsidRDefault="00594225" w:rsidP="0059422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2034C4A2" w14:textId="77777777" w:rsidR="00594225" w:rsidRDefault="00594225" w:rsidP="00594225">
      <w:pPr>
        <w:spacing w:after="0" w:line="276" w:lineRule="auto"/>
        <w:jc w:val="both"/>
        <w:rPr>
          <w:rFonts w:ascii="Verdana" w:eastAsia="Calibri" w:hAnsi="Verdana" w:cs="Arial"/>
          <w:color w:val="000000"/>
          <w:highlight w:val="yellow"/>
          <w:lang w:eastAsia="es-ES"/>
        </w:rPr>
      </w:pPr>
    </w:p>
    <w:p w14:paraId="23682BC8" w14:textId="77777777" w:rsidR="00594225" w:rsidRPr="0004750F" w:rsidRDefault="00594225" w:rsidP="00594225">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w:t>
      </w:r>
      <w:r>
        <w:rPr>
          <w:rFonts w:ascii="Verdana" w:eastAsia="Calibri" w:hAnsi="Verdana" w:cs="Arial"/>
          <w:color w:val="000000"/>
          <w:lang w:eastAsia="es-ES"/>
        </w:rPr>
        <w:t xml:space="preserve"> i)</w:t>
      </w:r>
      <w:r w:rsidRPr="008108C9">
        <w:rPr>
          <w:rFonts w:ascii="Verdana" w:eastAsia="Calibri" w:hAnsi="Verdana" w:cs="Arial"/>
          <w:color w:val="000000"/>
          <w:lang w:eastAsia="es-ES"/>
        </w:rPr>
        <w:t>¿Es obligatorio publicar en el SECOP</w:t>
      </w:r>
      <w:r>
        <w:rPr>
          <w:rFonts w:ascii="Verdana" w:eastAsia="Calibri" w:hAnsi="Verdana" w:cs="Arial"/>
          <w:color w:val="000000"/>
          <w:lang w:eastAsia="es-ES"/>
        </w:rPr>
        <w:t xml:space="preserve"> II</w:t>
      </w:r>
      <w:r w:rsidRPr="008108C9">
        <w:rPr>
          <w:rFonts w:ascii="Verdana" w:eastAsia="Calibri" w:hAnsi="Verdana" w:cs="Arial"/>
          <w:color w:val="000000"/>
          <w:lang w:eastAsia="es-ES"/>
        </w:rPr>
        <w:t xml:space="preserve"> las actas de mayores y menores cantidades de obra que no modifican el valor ni el plazo del contrato?</w:t>
      </w:r>
      <w:r>
        <w:rPr>
          <w:rFonts w:ascii="Verdana" w:eastAsia="Calibri" w:hAnsi="Verdana" w:cs="Arial"/>
          <w:color w:val="000000"/>
          <w:lang w:eastAsia="es-ES"/>
        </w:rPr>
        <w:t xml:space="preserve"> </w:t>
      </w:r>
      <w:proofErr w:type="spellStart"/>
      <w:r w:rsidRPr="009A40E0">
        <w:rPr>
          <w:rFonts w:ascii="Verdana" w:eastAsia="Calibri" w:hAnsi="Verdana" w:cs="Arial"/>
          <w:color w:val="000000"/>
          <w:lang w:eastAsia="es-ES"/>
        </w:rPr>
        <w:t>ii</w:t>
      </w:r>
      <w:proofErr w:type="spellEnd"/>
      <w:r w:rsidRPr="009A40E0">
        <w:rPr>
          <w:rFonts w:ascii="Verdana" w:eastAsia="Calibri" w:hAnsi="Verdana" w:cs="Arial"/>
          <w:color w:val="000000"/>
          <w:lang w:eastAsia="es-ES"/>
        </w:rPr>
        <w:t xml:space="preserve">)¿Qué documentos derivados de la ejecución contractual deben ser publicados obligatoriamente en el SECOP y cuáles están exceptuados de dicha obligación? </w:t>
      </w:r>
      <w:proofErr w:type="spellStart"/>
      <w:r w:rsidRPr="009A40E0">
        <w:rPr>
          <w:rFonts w:ascii="Verdana" w:eastAsia="Calibri" w:hAnsi="Verdana" w:cs="Arial"/>
          <w:color w:val="000000"/>
          <w:lang w:eastAsia="es-ES"/>
        </w:rPr>
        <w:t>iii</w:t>
      </w:r>
      <w:proofErr w:type="spellEnd"/>
      <w:r w:rsidRPr="009A40E0">
        <w:rPr>
          <w:rFonts w:ascii="Verdana" w:eastAsia="Calibri" w:hAnsi="Verdana" w:cs="Arial"/>
          <w:color w:val="000000"/>
          <w:lang w:eastAsia="es-ES"/>
        </w:rPr>
        <w:t>)¿Qué consecuencias jurídicas puede generar la no publicación de actas contractuales que no modifican el valor ni el plazo del contrato?</w:t>
      </w:r>
    </w:p>
    <w:p w14:paraId="6E646295" w14:textId="77777777" w:rsidR="00594225" w:rsidRPr="0004750F" w:rsidRDefault="00594225" w:rsidP="00594225">
      <w:pPr>
        <w:spacing w:after="0" w:line="276" w:lineRule="auto"/>
        <w:jc w:val="both"/>
        <w:rPr>
          <w:rFonts w:ascii="Verdana" w:eastAsia="Calibri" w:hAnsi="Verdana" w:cs="Times New Roman"/>
          <w:lang w:val="es-ES"/>
        </w:rPr>
      </w:pPr>
    </w:p>
    <w:p w14:paraId="1C26E08C" w14:textId="77777777" w:rsidR="00594225" w:rsidRPr="008E4F36" w:rsidRDefault="00594225" w:rsidP="00594225">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1A811C6D" w14:textId="77777777" w:rsidR="00594225" w:rsidRPr="008E4F36" w:rsidRDefault="00594225" w:rsidP="0059422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594225" w:rsidRPr="008E4F36" w14:paraId="40387878" w14:textId="77777777" w:rsidTr="008546E0">
        <w:tc>
          <w:tcPr>
            <w:tcW w:w="8828" w:type="dxa"/>
          </w:tcPr>
          <w:p w14:paraId="662C3299" w14:textId="77777777" w:rsidR="00594225" w:rsidRPr="00E36B10" w:rsidRDefault="00594225" w:rsidP="008546E0">
            <w:pPr>
              <w:spacing w:after="120" w:line="276" w:lineRule="auto"/>
              <w:jc w:val="both"/>
              <w:rPr>
                <w:rFonts w:ascii="Verdana" w:hAnsi="Verdana" w:cs="Arial"/>
                <w:color w:val="000000" w:themeColor="text1"/>
              </w:rPr>
            </w:pPr>
            <w:r w:rsidRPr="00E36B10">
              <w:rPr>
                <w:rFonts w:ascii="Verdana" w:hAnsi="Verdana" w:cs="Arial"/>
                <w:color w:val="000000" w:themeColor="text1"/>
              </w:rPr>
              <w:t>i) Para abordar la respuesta, es necesario señalar que</w:t>
            </w:r>
            <w:r>
              <w:rPr>
                <w:rFonts w:ascii="Verdana" w:hAnsi="Verdana" w:cs="Arial"/>
                <w:color w:val="000000" w:themeColor="text1"/>
              </w:rPr>
              <w:t>,</w:t>
            </w:r>
            <w:r w:rsidRPr="00E36B10">
              <w:rPr>
                <w:rFonts w:ascii="Verdana" w:hAnsi="Verdana" w:cs="Arial"/>
                <w:color w:val="000000" w:themeColor="text1"/>
              </w:rPr>
              <w:t xml:space="preserve"> las mayores cantidades de obra corresponden a la ejecución de cantidades superiores de bienes, ítems o actividades inicialmente previstas en el contrato. Por su parte, la incorporación de ítems o actividades no contemplados inicialmente suele denominarse obra adicional. Estas expresiones corresponden a nociones de uso doctrinal y práctico, particularmente en los contratos de obra.</w:t>
            </w:r>
          </w:p>
          <w:p w14:paraId="489E0FD7" w14:textId="77777777" w:rsidR="00594225" w:rsidRPr="00E36B10" w:rsidRDefault="00594225" w:rsidP="008546E0">
            <w:pPr>
              <w:spacing w:after="120" w:line="276" w:lineRule="auto"/>
              <w:ind w:firstLine="709"/>
              <w:jc w:val="both"/>
              <w:rPr>
                <w:rFonts w:ascii="Verdana" w:hAnsi="Verdana" w:cs="Arial"/>
                <w:color w:val="000000" w:themeColor="text1"/>
              </w:rPr>
            </w:pPr>
            <w:r w:rsidRPr="00E36B10">
              <w:rPr>
                <w:rFonts w:ascii="Verdana" w:hAnsi="Verdana" w:cs="Arial"/>
                <w:color w:val="000000" w:themeColor="text1"/>
              </w:rPr>
              <w:t>En principio, es obligatorio publicar las actas de mayores y menores cantidades de obra en el SECOP II, aun cuando no modifiquen el valor ni el plazo contractual. El artículo 2.2.1.1.1.7.1 del Decreto 1082 de 2015 establece el deber de publicar los documentos del proceso, cuya definición, prevista en el artículo 2.2.1.1.1.3.1 ibidem, comprende los documentos expedidos por la entidad durante el proceso de contratación. Asimismo, e</w:t>
            </w:r>
            <w:r>
              <w:rPr>
                <w:rFonts w:ascii="Verdana" w:hAnsi="Verdana" w:cs="Arial"/>
                <w:color w:val="000000" w:themeColor="text1"/>
              </w:rPr>
              <w:t xml:space="preserve">sta subdirección ha sostenido que, </w:t>
            </w:r>
            <w:r w:rsidRPr="00E36B10">
              <w:rPr>
                <w:rFonts w:ascii="Verdana" w:hAnsi="Verdana" w:cs="Arial"/>
                <w:color w:val="000000" w:themeColor="text1"/>
              </w:rPr>
              <w:t>los documentos generados durante la ejecución contractual deben publicarse dentro de los tres (3) días siguientes a su expedición, cuando no sean publicados automáticamente por la plataforma.</w:t>
            </w:r>
          </w:p>
          <w:p w14:paraId="72D29966" w14:textId="77777777" w:rsidR="00594225" w:rsidRPr="00E36B10" w:rsidRDefault="00594225" w:rsidP="008546E0">
            <w:pPr>
              <w:spacing w:after="120" w:line="276" w:lineRule="auto"/>
              <w:ind w:firstLine="709"/>
              <w:jc w:val="both"/>
              <w:rPr>
                <w:rFonts w:ascii="Verdana" w:hAnsi="Verdana" w:cs="Arial"/>
                <w:color w:val="000000" w:themeColor="text1"/>
              </w:rPr>
            </w:pPr>
            <w:r w:rsidRPr="00E36B10">
              <w:rPr>
                <w:rFonts w:ascii="Verdana" w:hAnsi="Verdana" w:cs="Arial"/>
                <w:color w:val="000000" w:themeColor="text1"/>
              </w:rPr>
              <w:t xml:space="preserve">En consecuencia, la obligación de publicidad no depende de que el acta produzca una modificación del valor o del plazo, sino de que haya sido </w:t>
            </w:r>
            <w:r w:rsidRPr="00E36B10">
              <w:rPr>
                <w:rFonts w:ascii="Verdana" w:hAnsi="Verdana" w:cs="Arial"/>
                <w:color w:val="000000" w:themeColor="text1"/>
              </w:rPr>
              <w:lastRenderedPageBreak/>
              <w:t>expedida durante la ejecución contractual y documente actuaciones relacionadas con el desarrollo del objeto contratado. Así, las actas de mayores y menores cantidades de obra, como documentos que dan cuenta de la ejecución contractual, deben incorporarse al expediente electrónico y publicarse en el SECOP II, de conformidad con las reglas aplicables.</w:t>
            </w:r>
          </w:p>
          <w:p w14:paraId="1453C648" w14:textId="77777777" w:rsidR="00594225" w:rsidRDefault="00594225" w:rsidP="008546E0">
            <w:pPr>
              <w:spacing w:after="120" w:line="276" w:lineRule="auto"/>
              <w:jc w:val="both"/>
              <w:rPr>
                <w:rFonts w:ascii="Verdana" w:hAnsi="Verdana" w:cs="Arial"/>
                <w:color w:val="000000" w:themeColor="text1"/>
              </w:rPr>
            </w:pPr>
            <w:proofErr w:type="spellStart"/>
            <w:r>
              <w:rPr>
                <w:rFonts w:ascii="Verdana" w:hAnsi="Verdana" w:cs="Arial"/>
                <w:color w:val="000000" w:themeColor="text1"/>
              </w:rPr>
              <w:t>ii</w:t>
            </w:r>
            <w:proofErr w:type="spellEnd"/>
            <w:r>
              <w:rPr>
                <w:rFonts w:ascii="Verdana" w:hAnsi="Verdana" w:cs="Arial"/>
                <w:color w:val="000000" w:themeColor="text1"/>
              </w:rPr>
              <w:t xml:space="preserve">) </w:t>
            </w:r>
            <w:r w:rsidRPr="00154DCF">
              <w:rPr>
                <w:rFonts w:ascii="Verdana" w:hAnsi="Verdana" w:cs="Arial"/>
                <w:color w:val="000000" w:themeColor="text1"/>
              </w:rPr>
              <w:t xml:space="preserve">En relación con los documentos derivados de la ejecución contractual que deben ser publicados, la regla general es que las entidades estatales sometidas al Estatuto General de Contratación de la Administración Pública deben publicar en el SECOP los documentos y actuaciones producidos durante las etapas precontractual, contractual y </w:t>
            </w:r>
            <w:proofErr w:type="spellStart"/>
            <w:r w:rsidRPr="00154DCF">
              <w:rPr>
                <w:rFonts w:ascii="Verdana" w:hAnsi="Verdana" w:cs="Arial"/>
                <w:color w:val="000000" w:themeColor="text1"/>
              </w:rPr>
              <w:t>postcontractual</w:t>
            </w:r>
            <w:proofErr w:type="spellEnd"/>
            <w:r w:rsidRPr="00154DCF">
              <w:rPr>
                <w:rFonts w:ascii="Verdana" w:hAnsi="Verdana" w:cs="Arial"/>
                <w:color w:val="000000" w:themeColor="text1"/>
              </w:rPr>
              <w:t>, de conformidad con el artículo 2.2.1.1.1.7.1 del Decreto 1082 de 2015, en concordancia con los artículos 3 de la Ley 1150 de 2007 y 5 y 11 de la Ley 1712 de 2014. Esta obligación comprende, entre otros, las actas de inicio, suspensión, reinicio, recibo parcial y final, mayores y menores cantidades de obra, informes de supervisión o interventoría, garantías y sus modificaciones, facturas y documentos relacionados con los pagos, modificaciones, adiciones, prórrogas, cesiones, actas de terminación y liquidación, así como los demás documentos expedidos durante la ejecución que permitan acreditar o conocer el desarrollo del contrato. Lo anterior se fundamenta en que la definición de “Documentos del Proceso” prevista en el artículo 2.2.1.1.1.3.1 del Decreto 1082 de 2015 no establece un listado taxativo, pues incluye “cualquier otro documento expedido por la Entidad Estatal durante el Proceso de Contratación”, entendido este como el conjunto de actos y actividades adelantados desde la planeación hasta el vencimiento de las garantías o del plazo, según corresponda. Por tanto, la obligación de publicidad no se limita a los documentos que modifiquen el valor, plazo u otras condiciones esenciales del contrato, sino que comprende los documentos relacionados con su ejecución y seguimiento.</w:t>
            </w:r>
          </w:p>
          <w:p w14:paraId="6CEA851B" w14:textId="77777777" w:rsidR="00594225" w:rsidRDefault="00594225" w:rsidP="008546E0">
            <w:pPr>
              <w:spacing w:after="120" w:line="276" w:lineRule="auto"/>
              <w:ind w:firstLine="709"/>
              <w:jc w:val="both"/>
              <w:rPr>
                <w:rFonts w:ascii="Verdana" w:hAnsi="Verdana" w:cs="Arial"/>
                <w:color w:val="000000" w:themeColor="text1"/>
              </w:rPr>
            </w:pPr>
            <w:r w:rsidRPr="00154DCF">
              <w:rPr>
                <w:rFonts w:ascii="Verdana" w:hAnsi="Verdana" w:cs="Arial"/>
                <w:color w:val="000000" w:themeColor="text1"/>
              </w:rPr>
              <w:t xml:space="preserve">Las excepciones expresamente previstas por el artículo 2.2.1.1.1.7.1 del Decreto 1082 de 2015 corresponden principalmente a las ofertas de los proponentes no adjudicatarios y a los documentos de las operaciones realizadas en bolsa de productos. Adicionalmente, respecto de las entidades estatales sometidas a un régimen contractual exceptuado, el artículo 53 de la Ley 2195 de 2022, que adicionó el artículo 13 de la Ley 1150 de 2007, establece un deber de publicidad aún más amplio, al exigir la publicación en el SECOP II de los documentos, contratos, actos e información generada por </w:t>
            </w:r>
            <w:r w:rsidRPr="00154DCF">
              <w:rPr>
                <w:rFonts w:ascii="Verdana" w:hAnsi="Verdana" w:cs="Arial"/>
                <w:color w:val="000000" w:themeColor="text1"/>
              </w:rPr>
              <w:lastRenderedPageBreak/>
              <w:t xml:space="preserve">oferentes, contratistas, contratantes, supervisores o interventores durante las etapas precontractual, contractual y </w:t>
            </w:r>
            <w:proofErr w:type="spellStart"/>
            <w:r w:rsidRPr="00154DCF">
              <w:rPr>
                <w:rFonts w:ascii="Verdana" w:hAnsi="Verdana" w:cs="Arial"/>
                <w:color w:val="000000" w:themeColor="text1"/>
              </w:rPr>
              <w:t>postcontractual</w:t>
            </w:r>
            <w:proofErr w:type="spellEnd"/>
            <w:r w:rsidRPr="00154DCF">
              <w:rPr>
                <w:rFonts w:ascii="Verdana" w:hAnsi="Verdana" w:cs="Arial"/>
                <w:color w:val="000000" w:themeColor="text1"/>
              </w:rPr>
              <w:t>. En consecuencia, salvo que exista una excepción legal expresa, los documentos que documenten la ejecución contractual deben ser publicados en el SECOP correspondiente.</w:t>
            </w:r>
            <w:r>
              <w:rPr>
                <w:rFonts w:ascii="Verdana" w:hAnsi="Verdana" w:cs="Arial"/>
                <w:color w:val="000000" w:themeColor="text1"/>
              </w:rPr>
              <w:t xml:space="preserve"> </w:t>
            </w:r>
          </w:p>
          <w:p w14:paraId="7C014B8D" w14:textId="77777777" w:rsidR="00594225" w:rsidRPr="0002025F" w:rsidRDefault="00594225" w:rsidP="008546E0">
            <w:pPr>
              <w:spacing w:after="120" w:line="276" w:lineRule="auto"/>
              <w:jc w:val="both"/>
              <w:rPr>
                <w:rFonts w:ascii="Verdana" w:hAnsi="Verdana" w:cs="Arial"/>
                <w:color w:val="000000" w:themeColor="text1"/>
              </w:rPr>
            </w:pPr>
            <w:proofErr w:type="spellStart"/>
            <w:r w:rsidRPr="0002025F">
              <w:rPr>
                <w:rFonts w:ascii="Verdana" w:hAnsi="Verdana" w:cs="Arial"/>
                <w:color w:val="000000" w:themeColor="text1"/>
              </w:rPr>
              <w:t>iii</w:t>
            </w:r>
            <w:proofErr w:type="spellEnd"/>
            <w:r w:rsidRPr="0002025F">
              <w:rPr>
                <w:rFonts w:ascii="Verdana" w:hAnsi="Verdana" w:cs="Arial"/>
                <w:color w:val="000000" w:themeColor="text1"/>
              </w:rPr>
              <w:t>)La falta de publicación no convierte automáticamente en inexistente, inválida o nula el acta contractual, por el solo hecho de que haya sido omitida en el SECOP. La obligación de publicidad es, principalmente, un deber legal de la entidad estatal y su incumplimiento puede generar consecuencias en materia administrativa, disciplinaria, fiscal o de control, dependiendo de las circunstancias concretas.</w:t>
            </w:r>
          </w:p>
          <w:p w14:paraId="58BC4C0B" w14:textId="77777777" w:rsidR="00594225" w:rsidRPr="0002025F" w:rsidRDefault="00594225" w:rsidP="008546E0">
            <w:pPr>
              <w:spacing w:after="120" w:line="276" w:lineRule="auto"/>
              <w:ind w:firstLine="709"/>
              <w:jc w:val="both"/>
              <w:rPr>
                <w:rFonts w:ascii="Verdana" w:hAnsi="Verdana" w:cs="Arial"/>
                <w:color w:val="000000" w:themeColor="text1"/>
              </w:rPr>
            </w:pPr>
            <w:r w:rsidRPr="0002025F">
              <w:rPr>
                <w:rFonts w:ascii="Verdana" w:hAnsi="Verdana" w:cs="Arial"/>
                <w:color w:val="000000" w:themeColor="text1"/>
              </w:rPr>
              <w:t xml:space="preserve">En primer lugar, la omisión puede constituir un incumplimiento del deber legal de publicidad y transparencia previsto en la Ley 1150 de 2007, el Decreto 1082 de 2015 y la Ley 1712 de 2014. Además, dificulta el control ciudadano, contractual y fiscal sobre la ejecución del contrato. Colombia Compra Eficiente ha reiterado que los documentos expedidos durante la ejecución deben ser publicados dentro de los tres días siguientes a su expedición. </w:t>
            </w:r>
          </w:p>
          <w:p w14:paraId="4ABE2A85" w14:textId="77777777" w:rsidR="00594225" w:rsidRPr="0002025F" w:rsidRDefault="00594225" w:rsidP="008546E0">
            <w:pPr>
              <w:spacing w:after="120" w:line="276" w:lineRule="auto"/>
              <w:ind w:firstLine="709"/>
              <w:jc w:val="both"/>
              <w:rPr>
                <w:rFonts w:ascii="Verdana" w:hAnsi="Verdana" w:cs="Arial"/>
                <w:color w:val="000000" w:themeColor="text1"/>
              </w:rPr>
            </w:pPr>
            <w:r w:rsidRPr="0002025F">
              <w:rPr>
                <w:rFonts w:ascii="Verdana" w:hAnsi="Verdana" w:cs="Arial"/>
                <w:color w:val="000000" w:themeColor="text1"/>
              </w:rPr>
              <w:t>En segundo lugar, dependiendo de las circunstancias concretas, la omisión puede generar responsabilidad disciplinaria del servidor o funcionario responsable de la publicación, particularmente si existía una obligación funcional clara de efectuarla y la conducta fue realizada con dolo o culpa en los términos del régimen disciplinario. También podría tener incidencia en actuaciones de los organismos de control si la falta de publicidad afecta la vigilancia de los recursos públicos o dificulta establecer cómo se ejecutó el contrato.</w:t>
            </w:r>
          </w:p>
          <w:p w14:paraId="7C721910" w14:textId="77777777" w:rsidR="00594225" w:rsidRPr="00B70775" w:rsidRDefault="00594225" w:rsidP="008546E0">
            <w:pPr>
              <w:spacing w:after="120" w:line="276" w:lineRule="auto"/>
              <w:ind w:firstLine="709"/>
              <w:jc w:val="both"/>
              <w:rPr>
                <w:rFonts w:ascii="Verdana" w:hAnsi="Verdana" w:cs="Arial"/>
                <w:color w:val="000000" w:themeColor="text1"/>
              </w:rPr>
            </w:pPr>
            <w:r w:rsidRPr="0002025F">
              <w:rPr>
                <w:rFonts w:ascii="Verdana" w:hAnsi="Verdana" w:cs="Arial"/>
                <w:color w:val="000000" w:themeColor="text1"/>
              </w:rPr>
              <w:t>Finalmente, debe diferenciarse entre la irregularidad derivada de no publicar el documento y la validez jurídica del contenido del documento. Que un acta de mayores y menores cantidades de obra no haya sido publicada oportunamente en el SECOP no significa, por sí solo, que las mayores o menores cantidades sean jurídicamente inexistentes o que el contrato sea nulo. Sin embargo, la omisión sí constituye un incumplimiento del deber de publicidad, puede afectar la trazabilidad y transparencia de la ejecución y puede adquirir especial relevancia en una eventual controversia contractual o actuación de control.</w:t>
            </w:r>
          </w:p>
        </w:tc>
      </w:tr>
    </w:tbl>
    <w:p w14:paraId="51725E99" w14:textId="77777777" w:rsidR="00594225" w:rsidRDefault="00594225" w:rsidP="00594225">
      <w:pPr>
        <w:tabs>
          <w:tab w:val="left" w:pos="142"/>
          <w:tab w:val="left" w:pos="284"/>
        </w:tabs>
        <w:spacing w:after="0" w:line="276" w:lineRule="auto"/>
        <w:jc w:val="both"/>
        <w:rPr>
          <w:rFonts w:ascii="Verdana" w:eastAsia="Century Gothic" w:hAnsi="Verdana" w:cs="Century Gothic"/>
          <w:b/>
          <w:bCs/>
        </w:rPr>
      </w:pPr>
    </w:p>
    <w:p w14:paraId="2BA3E69B" w14:textId="77777777" w:rsidR="00594225" w:rsidRPr="008E4F36" w:rsidRDefault="00594225" w:rsidP="00594225">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49D285AD" w14:textId="77777777" w:rsidR="00594225" w:rsidRDefault="00594225" w:rsidP="00594225">
      <w:pPr>
        <w:pStyle w:val="Prrafodelista"/>
        <w:tabs>
          <w:tab w:val="left" w:pos="142"/>
          <w:tab w:val="left" w:pos="284"/>
        </w:tabs>
        <w:spacing w:after="0" w:line="276" w:lineRule="auto"/>
        <w:ind w:left="0"/>
        <w:contextualSpacing w:val="0"/>
        <w:jc w:val="both"/>
        <w:rPr>
          <w:rFonts w:ascii="Verdana" w:eastAsia="Calibri" w:hAnsi="Verdana" w:cs="Arial"/>
        </w:rPr>
      </w:pPr>
    </w:p>
    <w:p w14:paraId="2C5F0E9F" w14:textId="77777777" w:rsidR="00594225" w:rsidRDefault="00594225" w:rsidP="00594225">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55C0BC42" w14:textId="77777777" w:rsidR="00594225" w:rsidRDefault="00594225" w:rsidP="00594225">
      <w:pPr>
        <w:spacing w:after="120" w:line="276" w:lineRule="auto"/>
        <w:jc w:val="both"/>
        <w:rPr>
          <w:rFonts w:ascii="Verdana" w:eastAsia="Calibri" w:hAnsi="Verdana" w:cs="Arial"/>
          <w:color w:val="000000"/>
          <w:shd w:val="clear" w:color="auto" w:fill="FFFFFF"/>
          <w:lang w:val="es-ES"/>
        </w:rPr>
      </w:pPr>
    </w:p>
    <w:p w14:paraId="5E03094A" w14:textId="77777777" w:rsidR="00594225" w:rsidRPr="00F16D2E" w:rsidRDefault="00594225" w:rsidP="00594225">
      <w:pPr>
        <w:widowControl w:val="0"/>
        <w:tabs>
          <w:tab w:val="left" w:pos="728"/>
        </w:tabs>
        <w:autoSpaceDE w:val="0"/>
        <w:autoSpaceDN w:val="0"/>
        <w:spacing w:after="120" w:line="276" w:lineRule="auto"/>
        <w:jc w:val="both"/>
        <w:rPr>
          <w:rFonts w:ascii="Verdana" w:eastAsia="Arial" w:hAnsi="Verdana" w:cs="Arial"/>
          <w:lang w:val="es-ES"/>
        </w:rPr>
      </w:pPr>
      <w:bookmarkStart w:id="4" w:name="_Hlk204856061"/>
      <w:bookmarkStart w:id="5" w:name="_Hlk78820161"/>
      <w:bookmarkStart w:id="6" w:name="_Hlk204854194"/>
      <w:r>
        <w:rPr>
          <w:rFonts w:ascii="Verdana" w:eastAsia="Calibri" w:hAnsi="Verdana" w:cs="Arial"/>
        </w:rPr>
        <w:t xml:space="preserve">i. </w:t>
      </w:r>
      <w:r w:rsidRPr="00F16D2E">
        <w:rPr>
          <w:rFonts w:ascii="Verdana" w:eastAsia="Arial" w:hAnsi="Verdana" w:cs="Arial"/>
          <w:lang w:val="es-ES"/>
        </w:rPr>
        <w:t xml:space="preserve">El principio de publicidad impone a las autoridades administrativas el deber de dar a conocer sus actos, contratos y decisiones, para que se divulguen y eventualmente se controlen las actuaciones. El literal c) del artículo 3 de la Ley 1150 de 2007 dispone que el Sistema Electrónico para la Contratación Pública –SECOP– “contará con la información oficial de la contratación realizada con dineros públicos, para lo cual establecerá los patrones a que haya lugar y se encargará de su difusión a través de canales electrónicos”. </w:t>
      </w:r>
    </w:p>
    <w:p w14:paraId="35884981" w14:textId="77777777" w:rsidR="00594225" w:rsidRPr="00F16D2E" w:rsidRDefault="00594225" w:rsidP="00594225">
      <w:pPr>
        <w:widowControl w:val="0"/>
        <w:tabs>
          <w:tab w:val="left" w:pos="728"/>
        </w:tabs>
        <w:autoSpaceDE w:val="0"/>
        <w:autoSpaceDN w:val="0"/>
        <w:spacing w:after="120" w:line="276" w:lineRule="auto"/>
        <w:jc w:val="both"/>
        <w:rPr>
          <w:rFonts w:ascii="Verdana" w:eastAsia="Arial" w:hAnsi="Verdana" w:cs="Arial"/>
          <w:lang w:val="es-ES"/>
        </w:rPr>
      </w:pPr>
      <w:r w:rsidRPr="00F16D2E">
        <w:rPr>
          <w:rFonts w:ascii="Verdana" w:eastAsia="Arial" w:hAnsi="Verdana" w:cs="Arial"/>
          <w:lang w:val="es-ES"/>
        </w:rPr>
        <w:tab/>
        <w:t xml:space="preserve">De otra parte, la Ley 1712 de 2014 identifica como principios que orientan el acceso a la información pública el de máxima publicidad y el de transparencia en la información. El primero establece que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w:t>
      </w:r>
    </w:p>
    <w:p w14:paraId="4878A9BD" w14:textId="77777777" w:rsidR="00594225" w:rsidRPr="00F16D2E" w:rsidRDefault="00594225" w:rsidP="00594225">
      <w:pPr>
        <w:widowControl w:val="0"/>
        <w:tabs>
          <w:tab w:val="left" w:pos="728"/>
        </w:tabs>
        <w:autoSpaceDE w:val="0"/>
        <w:autoSpaceDN w:val="0"/>
        <w:spacing w:after="120" w:line="276" w:lineRule="auto"/>
        <w:jc w:val="both"/>
        <w:rPr>
          <w:rFonts w:ascii="Verdana" w:eastAsia="Arial" w:hAnsi="Verdana" w:cs="Arial"/>
          <w:lang w:val="es-ES"/>
        </w:rPr>
      </w:pPr>
      <w:r w:rsidRPr="00F16D2E">
        <w:rPr>
          <w:rFonts w:ascii="Verdana" w:eastAsia="Arial" w:hAnsi="Verdana" w:cs="Arial"/>
          <w:lang w:val="es-ES"/>
        </w:rPr>
        <w:tab/>
        <w:t xml:space="preserve">La ley citada dispone, en el literal </w:t>
      </w:r>
      <w:r>
        <w:rPr>
          <w:rFonts w:ascii="Verdana" w:eastAsia="Arial" w:hAnsi="Verdana" w:cs="Arial"/>
          <w:lang w:val="es-ES"/>
        </w:rPr>
        <w:t>a</w:t>
      </w:r>
      <w:r w:rsidRPr="00F16D2E">
        <w:rPr>
          <w:rFonts w:ascii="Verdana" w:eastAsia="Arial" w:hAnsi="Verdana" w:cs="Arial"/>
          <w:lang w:val="es-ES"/>
        </w:rPr>
        <w:t xml:space="preserve">) del artículo </w:t>
      </w:r>
      <w:r>
        <w:rPr>
          <w:rFonts w:ascii="Verdana" w:eastAsia="Arial" w:hAnsi="Verdana" w:cs="Arial"/>
          <w:lang w:val="es-ES"/>
        </w:rPr>
        <w:t>5</w:t>
      </w:r>
      <w:r w:rsidRPr="00F16D2E">
        <w:rPr>
          <w:rFonts w:ascii="Verdana" w:eastAsia="Arial" w:hAnsi="Verdana" w:cs="Arial"/>
          <w:lang w:val="es-ES"/>
        </w:rPr>
        <w:t>, que los sujetos obligados, que son todas las entidades públicas</w:t>
      </w:r>
      <w:r w:rsidRPr="00F16D2E">
        <w:rPr>
          <w:rFonts w:ascii="Verdana" w:eastAsia="Arial" w:hAnsi="Verdana" w:cs="Arial"/>
          <w:vertAlign w:val="superscript"/>
          <w:lang w:val="es-ES"/>
        </w:rPr>
        <w:footnoteReference w:id="1"/>
      </w:r>
      <w:r w:rsidRPr="00F16D2E">
        <w:rPr>
          <w:rFonts w:ascii="Verdana" w:eastAsia="Arial" w:hAnsi="Verdana" w:cs="Arial"/>
          <w:lang w:val="es-ES"/>
        </w:rPr>
        <w:t>, deben publicar la información relativa a su contratación. Esta obligación fue en principio desarrollada por el Decreto 103 de 2015, compilado en el Decreto 1081 de 2015, el cual dispuso que la publicación de la información contractual de los sujetos obligados, que contratan con cargo a recursos públicos, debe hacerse en el Sistema Electrónico de Contratación Pública –SECOP–</w:t>
      </w:r>
      <w:r w:rsidRPr="00F16D2E">
        <w:rPr>
          <w:rFonts w:ascii="Verdana" w:eastAsia="Arial" w:hAnsi="Verdana" w:cs="Arial"/>
          <w:vertAlign w:val="superscript"/>
          <w:lang w:val="es-ES"/>
        </w:rPr>
        <w:footnoteReference w:id="2"/>
      </w:r>
      <w:r w:rsidRPr="00F16D2E">
        <w:rPr>
          <w:rFonts w:ascii="Verdana" w:eastAsia="Arial" w:hAnsi="Verdana" w:cs="Arial"/>
          <w:lang w:val="es-ES"/>
        </w:rPr>
        <w:t>.</w:t>
      </w:r>
    </w:p>
    <w:p w14:paraId="58148343" w14:textId="77777777" w:rsidR="00594225" w:rsidRPr="00F16D2E" w:rsidRDefault="00594225" w:rsidP="00594225">
      <w:pPr>
        <w:widowControl w:val="0"/>
        <w:tabs>
          <w:tab w:val="left" w:pos="728"/>
        </w:tabs>
        <w:autoSpaceDE w:val="0"/>
        <w:autoSpaceDN w:val="0"/>
        <w:spacing w:after="120" w:line="276" w:lineRule="auto"/>
        <w:jc w:val="both"/>
        <w:rPr>
          <w:rFonts w:ascii="Verdana" w:eastAsia="Arial" w:hAnsi="Verdana" w:cs="Arial"/>
          <w:lang w:val="es-ES"/>
        </w:rPr>
      </w:pPr>
      <w:r w:rsidRPr="00F16D2E">
        <w:rPr>
          <w:rFonts w:ascii="Verdana" w:eastAsia="Arial" w:hAnsi="Verdana" w:cs="Arial"/>
          <w:lang w:val="es-ES"/>
        </w:rPr>
        <w:lastRenderedPageBreak/>
        <w:tab/>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25FC85BF" w14:textId="77777777" w:rsidR="00594225" w:rsidRPr="00F16D2E" w:rsidRDefault="00594225" w:rsidP="00594225">
      <w:pPr>
        <w:widowControl w:val="0"/>
        <w:tabs>
          <w:tab w:val="left" w:pos="728"/>
        </w:tabs>
        <w:autoSpaceDE w:val="0"/>
        <w:autoSpaceDN w:val="0"/>
        <w:spacing w:after="120" w:line="276" w:lineRule="auto"/>
        <w:jc w:val="both"/>
        <w:rPr>
          <w:rFonts w:ascii="Verdana" w:hAnsi="Verdana" w:cs="Arial"/>
          <w:lang w:val="es-ES"/>
        </w:rPr>
      </w:pPr>
      <w:r w:rsidRPr="00F16D2E">
        <w:rPr>
          <w:rFonts w:ascii="Verdana" w:eastAsia="Arial" w:hAnsi="Verdana" w:cs="Arial"/>
          <w:lang w:val="es-ES"/>
        </w:rPr>
        <w:tab/>
      </w:r>
      <w:r w:rsidRPr="00F16D2E">
        <w:rPr>
          <w:rFonts w:ascii="Verdana" w:hAnsi="Verdana" w:cs="Arial"/>
          <w:lang w:val="es-ES"/>
        </w:rPr>
        <w:t>El deber de publicidad que se desprende del artículo 3 de la Ley 1150 de 2007 está reglamentado por el artículo 2.2.1.1.1.7.1 del Decreto 1082 de 2015, el cual dispone los documentos que deben publicarse y al SECOP como medio de publicación</w:t>
      </w:r>
      <w:r w:rsidRPr="00F16D2E">
        <w:rPr>
          <w:rFonts w:ascii="Verdana" w:hAnsi="Verdana" w:cs="Arial"/>
          <w:vertAlign w:val="superscript"/>
          <w:lang w:val="es-ES"/>
        </w:rPr>
        <w:footnoteReference w:id="3"/>
      </w:r>
      <w:r w:rsidRPr="00F16D2E">
        <w:rPr>
          <w:rFonts w:ascii="Verdana" w:hAnsi="Verdana" w:cs="Arial"/>
          <w:lang w:val="es-ES"/>
        </w:rPr>
        <w:t>. 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w:t>
      </w:r>
    </w:p>
    <w:p w14:paraId="63A3B325" w14:textId="77777777" w:rsidR="00594225" w:rsidRDefault="00594225" w:rsidP="00594225">
      <w:pPr>
        <w:widowControl w:val="0"/>
        <w:tabs>
          <w:tab w:val="left" w:pos="728"/>
        </w:tabs>
        <w:autoSpaceDE w:val="0"/>
        <w:autoSpaceDN w:val="0"/>
        <w:spacing w:after="120" w:line="276" w:lineRule="auto"/>
        <w:jc w:val="both"/>
        <w:rPr>
          <w:rFonts w:ascii="Verdana" w:hAnsi="Verdana" w:cs="Arial"/>
          <w:lang w:val="es-ES"/>
        </w:rPr>
      </w:pPr>
      <w:r w:rsidRPr="00F16D2E">
        <w:rPr>
          <w:rFonts w:ascii="Verdana" w:hAnsi="Verdana" w:cs="Arial"/>
          <w:lang w:val="es-ES"/>
        </w:rPr>
        <w:tab/>
        <w:t>Ahora bien, las entidades estatales, 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1A1C8C94" w14:textId="77777777" w:rsidR="00594225" w:rsidRPr="00F16D2E" w:rsidRDefault="00594225" w:rsidP="00594225">
      <w:pPr>
        <w:widowControl w:val="0"/>
        <w:autoSpaceDE w:val="0"/>
        <w:autoSpaceDN w:val="0"/>
        <w:spacing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No obstante, para identificar los documentos que deben publicarse, es necesario realizar una interpretación sistemática de las disposiciones del Decreto </w:t>
      </w:r>
      <w:r w:rsidRPr="00F16D2E">
        <w:rPr>
          <w:rFonts w:ascii="Verdana" w:eastAsia="Arial" w:hAnsi="Verdana" w:cs="Arial"/>
          <w:lang w:val="es-ES"/>
        </w:rPr>
        <w:lastRenderedPageBreak/>
        <w:t xml:space="preserve">1082 del 2015, comoquiera que el anterior no es un listado taxativo, sino enunciativo. En efecto, además de los documentos enlistados, el artículo 2.2.1.1.1.3.1 </w:t>
      </w:r>
      <w:proofErr w:type="spellStart"/>
      <w:r w:rsidRPr="00F16D2E">
        <w:rPr>
          <w:rFonts w:ascii="Verdana" w:eastAsia="Arial" w:hAnsi="Verdana" w:cs="Arial"/>
          <w:i/>
          <w:iCs/>
          <w:lang w:val="es-ES"/>
        </w:rPr>
        <w:t>Ibídem</w:t>
      </w:r>
      <w:proofErr w:type="spellEnd"/>
      <w:r w:rsidRPr="00F16D2E">
        <w:rPr>
          <w:rFonts w:ascii="Verdana" w:eastAsia="Arial" w:hAnsi="Verdana" w:cs="Arial"/>
          <w:lang w:val="es-ES"/>
        </w:rPr>
        <w:t xml:space="preserve"> recoge en la noción de </w:t>
      </w:r>
      <w:r w:rsidRPr="00F16D2E">
        <w:rPr>
          <w:rFonts w:ascii="Verdana" w:eastAsia="Arial" w:hAnsi="Verdana" w:cs="Arial"/>
          <w:i/>
          <w:iCs/>
          <w:lang w:val="es-ES"/>
        </w:rPr>
        <w:t>Documentos del Proceso</w:t>
      </w:r>
      <w:r w:rsidRPr="00F16D2E">
        <w:rPr>
          <w:rFonts w:ascii="Verdana" w:eastAsia="Arial" w:hAnsi="Verdana" w:cs="Arial"/>
          <w:lang w:val="es-ES"/>
        </w:rPr>
        <w:t xml:space="preserve"> “cualquier otro documento expedido por la Entidad Estatal durante el </w:t>
      </w:r>
      <w:r w:rsidRPr="00F16D2E">
        <w:rPr>
          <w:rFonts w:ascii="Verdana" w:eastAsia="Arial" w:hAnsi="Verdana" w:cs="Arial"/>
          <w:i/>
          <w:iCs/>
          <w:lang w:val="es-ES"/>
        </w:rPr>
        <w:t>Proceso de Contratación”</w:t>
      </w:r>
      <w:r w:rsidRPr="00F16D2E">
        <w:rPr>
          <w:rFonts w:ascii="Verdana" w:eastAsia="Arial" w:hAnsi="Verdana" w:cs="Arial"/>
          <w:lang w:val="es-ES"/>
        </w:rPr>
        <w:t xml:space="preserve">. Este mismo artículo define la expresión </w:t>
      </w:r>
      <w:r w:rsidRPr="00F16D2E">
        <w:rPr>
          <w:rFonts w:ascii="Verdana" w:eastAsia="Arial" w:hAnsi="Verdana" w:cs="Arial"/>
          <w:i/>
          <w:iCs/>
          <w:lang w:val="es-ES"/>
        </w:rPr>
        <w:t>Proceso de Contratación</w:t>
      </w:r>
      <w:r w:rsidRPr="00F16D2E">
        <w:rPr>
          <w:rFonts w:ascii="Verdana" w:eastAsia="Arial" w:hAnsi="Verdana" w:cs="Arial"/>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5449C016" w14:textId="77777777" w:rsidR="00594225" w:rsidRDefault="00594225" w:rsidP="00594225">
      <w:pPr>
        <w:widowControl w:val="0"/>
        <w:autoSpaceDE w:val="0"/>
        <w:autoSpaceDN w:val="0"/>
        <w:spacing w:after="120" w:line="276" w:lineRule="auto"/>
        <w:ind w:firstLine="708"/>
        <w:jc w:val="both"/>
        <w:rPr>
          <w:rFonts w:ascii="Verdana" w:eastAsia="Arial" w:hAnsi="Verdana" w:cs="Arial"/>
          <w:lang w:val="es-ES"/>
        </w:rPr>
      </w:pPr>
      <w:r w:rsidRPr="00F16D2E">
        <w:rPr>
          <w:rFonts w:ascii="Verdana" w:eastAsia="Arial" w:hAnsi="Verdana" w:cs="Arial"/>
          <w:lang w:val="es-ES"/>
        </w:rPr>
        <w:t xml:space="preserve">En todo caso, de conformidad con la segunda parte del inciso primero del artículo 2.2.1.1.1.7.1 </w:t>
      </w:r>
      <w:r w:rsidRPr="00F16D2E">
        <w:rPr>
          <w:rFonts w:ascii="Verdana" w:eastAsia="Arial" w:hAnsi="Verdana" w:cs="Arial"/>
          <w:i/>
          <w:iCs/>
          <w:lang w:val="es-ES"/>
        </w:rPr>
        <w:t>Ibidem</w:t>
      </w:r>
      <w:r w:rsidRPr="00F16D2E">
        <w:rPr>
          <w:rFonts w:ascii="Verdana" w:eastAsia="Arial" w:hAnsi="Verdana" w:cs="Arial"/>
          <w:lang w:val="es-ES"/>
        </w:rPr>
        <w:t xml:space="preserve">, el deber de publicar las actuaciones realizadas en el marco del proceso de contratación, en lo referente a las ofertas presentadas, solo se predica de la propuesta del adjudicatario, así que no es necesario publicar las demás. </w:t>
      </w:r>
      <w:r w:rsidRPr="00F16D2E">
        <w:rPr>
          <w:rFonts w:ascii="Verdana" w:eastAsia="Arial" w:hAnsi="Verdana" w:cs="Arial"/>
          <w:i/>
          <w:iCs/>
          <w:lang w:val="es-ES"/>
        </w:rPr>
        <w:t xml:space="preserve"> </w:t>
      </w:r>
      <w:r w:rsidRPr="00F16D2E">
        <w:rPr>
          <w:rFonts w:ascii="Verdana" w:eastAsia="Arial" w:hAnsi="Verdana" w:cs="Arial"/>
          <w:lang w:val="es-ES"/>
        </w:rPr>
        <w:t>Del deber de publicidad, de conformidad con la tercera parte del inciso primero de la referida norma, también se encuentran exentos los documentos de las operaciones que se realicen en bolsa de productos.</w:t>
      </w:r>
    </w:p>
    <w:p w14:paraId="2C5B0048" w14:textId="77777777" w:rsidR="00594225" w:rsidRPr="00F16D2E" w:rsidRDefault="00594225" w:rsidP="00594225">
      <w:pPr>
        <w:widowControl w:val="0"/>
        <w:autoSpaceDE w:val="0"/>
        <w:autoSpaceDN w:val="0"/>
        <w:spacing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De lo anterior puede concluirse que, en virtud de lo dispuesto en el artículo 3 de la Ley 1150 de 2007, desarrollado por el artículo 2.2.1.1.1.7.1. del Decreto 1082 de 2015, las entidades están obligadas a publicar en el SECOP todos los documentos relacionados con el </w:t>
      </w:r>
      <w:r w:rsidRPr="00F16D2E">
        <w:rPr>
          <w:rFonts w:ascii="Verdana" w:eastAsia="Arial" w:hAnsi="Verdana" w:cs="Arial"/>
          <w:i/>
          <w:iCs/>
          <w:lang w:val="es-ES"/>
        </w:rPr>
        <w:t>Proceso de Contratación</w:t>
      </w:r>
      <w:r w:rsidRPr="00F16D2E">
        <w:rPr>
          <w:rFonts w:ascii="Verdana" w:eastAsia="Arial" w:hAnsi="Verdana" w:cs="Arial"/>
          <w:lang w:val="es-ES"/>
        </w:rPr>
        <w:t xml:space="preserve"> expedidos durante las etapas precontractual, de ejecución y </w:t>
      </w:r>
      <w:proofErr w:type="spellStart"/>
      <w:r w:rsidRPr="00F16D2E">
        <w:rPr>
          <w:rFonts w:ascii="Verdana" w:eastAsia="Arial" w:hAnsi="Verdana" w:cs="Arial"/>
          <w:lang w:val="es-ES"/>
        </w:rPr>
        <w:t>postcontractual</w:t>
      </w:r>
      <w:proofErr w:type="spellEnd"/>
      <w:r w:rsidRPr="00F16D2E">
        <w:rPr>
          <w:rFonts w:ascii="Verdana" w:eastAsia="Arial" w:hAnsi="Verdana" w:cs="Arial"/>
          <w:lang w:val="es-ES"/>
        </w:rPr>
        <w:t xml:space="preserve">. Este deber aplica a todas las modalidades de selección y entidades regidas por el Estatuto General de Contratación de la Administración Pública, y solo se encuentran excluidas las ofertas perdedoras y los documentos expedidos en el marco de operaciones de bolsa de productos. </w:t>
      </w:r>
    </w:p>
    <w:p w14:paraId="3A26A066" w14:textId="77777777" w:rsidR="00594225" w:rsidRDefault="00594225" w:rsidP="00594225">
      <w:pPr>
        <w:spacing w:before="120" w:after="120" w:line="276" w:lineRule="auto"/>
        <w:ind w:firstLine="709"/>
        <w:jc w:val="both"/>
        <w:rPr>
          <w:rFonts w:ascii="Verdana" w:eastAsia="Arial" w:hAnsi="Verdana" w:cs="Arial"/>
          <w:lang w:val="es-ES"/>
        </w:rPr>
      </w:pPr>
      <w:r w:rsidRPr="00F16D2E">
        <w:rPr>
          <w:rFonts w:ascii="Verdana" w:eastAsia="Calibri" w:hAnsi="Verdana" w:cs="Arial"/>
          <w:lang w:val="es-ES"/>
        </w:rPr>
        <w:t xml:space="preserve">Adicionalmente, el deber de publicar la actividad contractual de las entidades estatales no solo está regulado en el artículo 3 de la Ley 1150 de 2007 y en el </w:t>
      </w:r>
      <w:r w:rsidRPr="00F16D2E">
        <w:rPr>
          <w:rFonts w:ascii="Verdana" w:eastAsia="Arial" w:hAnsi="Verdana" w:cs="Arial"/>
          <w:lang w:val="es-ES"/>
        </w:rPr>
        <w:t xml:space="preserve">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w:t>
      </w:r>
      <w:r w:rsidRPr="00F16D2E">
        <w:rPr>
          <w:rFonts w:ascii="Verdana" w:eastAsia="Arial" w:hAnsi="Verdana" w:cs="Arial"/>
          <w:lang w:val="es-ES"/>
        </w:rPr>
        <w:lastRenderedPageBreak/>
        <w:t xml:space="preserve">exclusivamente de los </w:t>
      </w:r>
      <w:r w:rsidRPr="00F16D2E">
        <w:rPr>
          <w:rFonts w:ascii="Verdana" w:eastAsia="Arial" w:hAnsi="Verdana" w:cs="Arial"/>
          <w:i/>
          <w:iCs/>
          <w:lang w:val="es-ES"/>
        </w:rPr>
        <w:t xml:space="preserve">Documentos del Proceso </w:t>
      </w:r>
      <w:r w:rsidRPr="00F16D2E">
        <w:rPr>
          <w:rFonts w:ascii="Verdana" w:eastAsia="Arial" w:hAnsi="Verdana" w:cs="Arial"/>
          <w:lang w:val="es-ES"/>
        </w:rPr>
        <w:t xml:space="preserve">expedidos por la “entidad estatal”. </w:t>
      </w:r>
    </w:p>
    <w:p w14:paraId="76E44583" w14:textId="77777777" w:rsidR="00594225" w:rsidRDefault="00594225" w:rsidP="00594225">
      <w:pPr>
        <w:spacing w:before="120"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Es necesario tener en cuenta que la Ley de Transparencia define el concepto de información pública. Por un lado, el literal a) del artículo 6 de la Ley 1712 de 2014 dispone que la </w:t>
      </w:r>
      <w:r w:rsidRPr="00F16D2E">
        <w:rPr>
          <w:rFonts w:ascii="Verdana" w:eastAsia="Arial" w:hAnsi="Verdana" w:cs="Arial"/>
          <w:i/>
          <w:iCs/>
          <w:lang w:val="es-ES"/>
        </w:rPr>
        <w:t>información</w:t>
      </w:r>
      <w:r w:rsidRPr="00F16D2E">
        <w:rPr>
          <w:rFonts w:ascii="Verdana" w:eastAsia="Arial" w:hAnsi="Verdana" w:cs="Arial"/>
          <w:lang w:val="es-ES"/>
        </w:rPr>
        <w:t xml:space="preserve"> se “Se refiere a un conjunto organizado de datos contenido en cualquier documento que los sujetos obligados generen, obtengan, adquieran, transformen o controlen”. Además, el literal b) </w:t>
      </w:r>
      <w:r w:rsidRPr="00F16D2E">
        <w:rPr>
          <w:rFonts w:ascii="Verdana" w:eastAsia="Arial" w:hAnsi="Verdana" w:cs="Arial"/>
          <w:i/>
          <w:iCs/>
          <w:lang w:val="es-ES"/>
        </w:rPr>
        <w:t>ibidem</w:t>
      </w:r>
      <w:r w:rsidRPr="00F16D2E">
        <w:rPr>
          <w:rFonts w:ascii="Verdana" w:eastAsia="Arial" w:hAnsi="Verdana" w:cs="Arial"/>
          <w:lang w:val="es-ES"/>
        </w:rPr>
        <w:t xml:space="preserve"> define la </w:t>
      </w:r>
      <w:r w:rsidRPr="00F16D2E">
        <w:rPr>
          <w:rFonts w:ascii="Verdana" w:eastAsia="Arial" w:hAnsi="Verdana" w:cs="Arial"/>
          <w:i/>
          <w:iCs/>
          <w:lang w:val="es-ES"/>
        </w:rPr>
        <w:t>información pública</w:t>
      </w:r>
      <w:r w:rsidRPr="00F16D2E">
        <w:rPr>
          <w:rFonts w:ascii="Verdana" w:eastAsia="Arial" w:hAnsi="Verdana" w:cs="Arial"/>
          <w:lang w:val="es-ES"/>
        </w:rPr>
        <w:t xml:space="preserve"> como “[…] toda información que un sujeto obligado </w:t>
      </w:r>
      <w:proofErr w:type="gramStart"/>
      <w:r w:rsidRPr="00F16D2E">
        <w:rPr>
          <w:rFonts w:ascii="Verdana" w:eastAsia="Arial" w:hAnsi="Verdana" w:cs="Arial"/>
          <w:lang w:val="es-ES"/>
        </w:rPr>
        <w:t>genere,</w:t>
      </w:r>
      <w:proofErr w:type="gramEnd"/>
      <w:r w:rsidRPr="00F16D2E">
        <w:rPr>
          <w:rFonts w:ascii="Verdana" w:eastAsia="Arial" w:hAnsi="Verdana" w:cs="Arial"/>
          <w:lang w:val="es-ES"/>
        </w:rPr>
        <w:t xml:space="preserve"> obtenga, adquiera, o controle en su calidad de tal”.</w:t>
      </w:r>
    </w:p>
    <w:p w14:paraId="2E4BB857" w14:textId="77777777" w:rsidR="00594225" w:rsidRPr="00F16D2E" w:rsidRDefault="00594225" w:rsidP="00594225">
      <w:pPr>
        <w:spacing w:before="120" w:after="120" w:line="276" w:lineRule="auto"/>
        <w:ind w:firstLine="709"/>
        <w:jc w:val="both"/>
        <w:rPr>
          <w:rFonts w:ascii="Verdana" w:eastAsia="Calibri" w:hAnsi="Verdana" w:cs="Arial"/>
          <w:lang w:val="es-ES"/>
        </w:rPr>
      </w:pPr>
      <w:r w:rsidRPr="00F16D2E">
        <w:rPr>
          <w:rFonts w:ascii="Verdana" w:eastAsia="Calibri" w:hAnsi="Verdana" w:cs="Arial"/>
          <w:lang w:val="es-ES"/>
        </w:rPr>
        <w:t xml:space="preserve">Las publicaciones que corresponde efectuar a las entidades estatales, como sujetos obligados por la normativa de la transparencia y acceso a la información pública, antes que una derogación o subrogación del contenido del deber de publicidad regulado por el EGCAP, suponen una ampliación de su alcance, que lo extiende de la simple publicación de la información “producida por la entidad estatal” asociada a la noción de </w:t>
      </w:r>
      <w:r w:rsidRPr="00F16D2E">
        <w:rPr>
          <w:rFonts w:ascii="Verdana" w:eastAsia="Calibri" w:hAnsi="Verdana" w:cs="Arial"/>
          <w:i/>
          <w:iCs/>
          <w:lang w:val="es-ES"/>
        </w:rPr>
        <w:t>Documentos del Proceso</w:t>
      </w:r>
      <w:r w:rsidRPr="00F16D2E">
        <w:rPr>
          <w:rFonts w:ascii="Verdana" w:eastAsia="Calibri" w:hAnsi="Verdana" w:cs="Arial"/>
          <w:lang w:val="es-ES"/>
        </w:rPr>
        <w:t xml:space="preserve">. Esto implica que la publicación que corresponde a las entidades estatales, como sujetos obligados en el marco de la Ley 1712 de 2014, se extiende a todo el desarrollo del procedimiento, desde la etapa de planeación hasta el vencimiento de las garantías, incluyendo cada actuación que se produzca en ese lapso.  </w:t>
      </w:r>
    </w:p>
    <w:p w14:paraId="29EB9DED" w14:textId="77777777" w:rsidR="00594225" w:rsidRPr="00F16D2E" w:rsidRDefault="00594225" w:rsidP="00594225">
      <w:pPr>
        <w:spacing w:line="276" w:lineRule="auto"/>
        <w:ind w:firstLine="709"/>
        <w:contextualSpacing/>
        <w:jc w:val="both"/>
        <w:rPr>
          <w:rFonts w:ascii="Verdana" w:eastAsia="Calibri" w:hAnsi="Verdana" w:cs="Arial"/>
          <w:lang w:val="es-ES_tradnl" w:eastAsia="es-ES_tradnl"/>
        </w:rPr>
      </w:pPr>
      <w:r w:rsidRPr="00F16D2E">
        <w:rPr>
          <w:rFonts w:ascii="Verdana" w:hAnsi="Verdana" w:cs="Arial"/>
          <w:lang w:val="es-ES"/>
        </w:rPr>
        <w:t xml:space="preserve">Para los contratos de régimen exceptuado, el deber de publicidad y transparencia </w:t>
      </w:r>
      <w:bookmarkStart w:id="7" w:name="_Hlk114572097"/>
      <w:bookmarkStart w:id="8" w:name="_Hlk112856043"/>
      <w:bookmarkStart w:id="9" w:name="_Hlk112245356"/>
      <w:r w:rsidRPr="00F16D2E">
        <w:rPr>
          <w:rFonts w:ascii="Verdana" w:hAnsi="Verdana" w:cs="Arial"/>
          <w:lang w:val="es-ES"/>
        </w:rPr>
        <w:t>fue complementado</w:t>
      </w:r>
      <w:r w:rsidRPr="00F16D2E">
        <w:rPr>
          <w:rFonts w:ascii="Verdana" w:hAnsi="Verdana" w:cs="Arial"/>
        </w:rPr>
        <w:t xml:space="preserve"> con la Ley 2195 de 2022. </w:t>
      </w:r>
      <w:r w:rsidRPr="00F16D2E">
        <w:rPr>
          <w:rFonts w:ascii="Verdana" w:eastAsia="Calibri" w:hAnsi="Verdana" w:cs="Arial"/>
          <w:lang w:val="es-ES_tradnl" w:eastAsia="es-ES_tradnl"/>
        </w:rPr>
        <w:t>Según el artículo 1, esta Ley “</w:t>
      </w:r>
      <w:r w:rsidRPr="00F16D2E">
        <w:rPr>
          <w:rFonts w:ascii="Verdana" w:eastAsia="Times New Roman" w:hAnsi="Verdana" w:cs="Arial"/>
          <w:lang w:val="es-ES_tradnl" w:eastAsia="es-ES_tradnl"/>
        </w:rPr>
        <w:t xml:space="preserve">[…] </w:t>
      </w:r>
      <w:r w:rsidRPr="00F16D2E">
        <w:rPr>
          <w:rFonts w:ascii="Verdana" w:eastAsia="Calibri" w:hAnsi="Verdana"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w:t>
      </w:r>
    </w:p>
    <w:p w14:paraId="4F16490A" w14:textId="77777777" w:rsidR="00594225" w:rsidRPr="00F16D2E" w:rsidRDefault="00594225" w:rsidP="00594225">
      <w:pPr>
        <w:spacing w:line="276" w:lineRule="auto"/>
        <w:ind w:firstLine="709"/>
        <w:contextualSpacing/>
        <w:jc w:val="both"/>
        <w:rPr>
          <w:rFonts w:ascii="Verdana" w:eastAsia="Calibri" w:hAnsi="Verdana" w:cs="Arial"/>
          <w:sz w:val="12"/>
          <w:szCs w:val="12"/>
          <w:lang w:val="es-ES_tradnl" w:eastAsia="es-ES_tradnl"/>
        </w:rPr>
      </w:pPr>
    </w:p>
    <w:p w14:paraId="24FCEA76" w14:textId="77777777" w:rsidR="00594225" w:rsidRPr="00F16D2E" w:rsidRDefault="00594225" w:rsidP="00594225">
      <w:pPr>
        <w:spacing w:line="276" w:lineRule="auto"/>
        <w:ind w:firstLine="709"/>
        <w:contextualSpacing/>
        <w:jc w:val="both"/>
        <w:rPr>
          <w:rFonts w:ascii="Verdana" w:hAnsi="Verdana" w:cs="Arial"/>
        </w:rPr>
      </w:pPr>
      <w:r w:rsidRPr="00F16D2E">
        <w:rPr>
          <w:rFonts w:ascii="Verdana" w:eastAsia="Calibri" w:hAnsi="Verdana" w:cs="Arial"/>
          <w:lang w:val="es-ES_tradnl" w:eastAsia="es-ES_tradnl"/>
        </w:rPr>
        <w:t xml:space="preserve">Dentro del capítulo VIII, por el cual se expiden “Disposiciones en materia contractual para la moralización y la transparencia”, se ubica </w:t>
      </w:r>
      <w:r w:rsidRPr="00F16D2E">
        <w:rPr>
          <w:rFonts w:ascii="Verdana" w:hAnsi="Verdana" w:cs="Arial"/>
        </w:rPr>
        <w:t>el artículo 53. Este adiciona el artículo 13 de la Ley 1150 de 2007, y obliga a las entidades estatales que por disposición legal cuenten con un régimen contractual excepcional al del Estatuto General de Contratación de la Administración Pública a publicar los documentos relacionados con su actividad contractual en el Sistema Electrónico para la Contratación Pública –SECOP II– o la plataforma transaccional que haga sus veces.</w:t>
      </w:r>
      <w:bookmarkEnd w:id="7"/>
      <w:r w:rsidRPr="00F16D2E">
        <w:rPr>
          <w:rFonts w:ascii="Verdana" w:hAnsi="Verdana" w:cs="Arial"/>
        </w:rPr>
        <w:t xml:space="preserve"> </w:t>
      </w:r>
      <w:bookmarkEnd w:id="8"/>
      <w:bookmarkEnd w:id="9"/>
      <w:r w:rsidRPr="00F16D2E">
        <w:rPr>
          <w:rFonts w:ascii="Verdana" w:hAnsi="Verdana" w:cs="Arial"/>
        </w:rPr>
        <w:t>Al respecto, la norma citada dispone lo siguiente:</w:t>
      </w:r>
    </w:p>
    <w:p w14:paraId="15BB84F1" w14:textId="77777777" w:rsidR="00594225" w:rsidRPr="00F16D2E" w:rsidRDefault="00594225" w:rsidP="00594225">
      <w:pPr>
        <w:spacing w:line="276" w:lineRule="auto"/>
        <w:ind w:firstLine="301"/>
        <w:contextualSpacing/>
        <w:rPr>
          <w:rFonts w:ascii="Verdana" w:hAnsi="Verdana" w:cs="Arial"/>
        </w:rPr>
      </w:pPr>
    </w:p>
    <w:p w14:paraId="55E7BD62" w14:textId="77777777" w:rsidR="00594225" w:rsidRPr="00F16D2E" w:rsidRDefault="00594225" w:rsidP="00594225">
      <w:pPr>
        <w:spacing w:line="240" w:lineRule="auto"/>
        <w:ind w:left="709" w:right="709"/>
        <w:contextualSpacing/>
        <w:jc w:val="both"/>
        <w:rPr>
          <w:rFonts w:ascii="Verdana" w:eastAsia="Calibri" w:hAnsi="Verdana" w:cs="Arial"/>
          <w:sz w:val="21"/>
          <w:szCs w:val="21"/>
        </w:rPr>
      </w:pPr>
      <w:r w:rsidRPr="00F16D2E">
        <w:rPr>
          <w:rFonts w:ascii="Verdana" w:eastAsia="Calibri" w:hAnsi="Verdana" w:cs="Arial"/>
          <w:sz w:val="21"/>
          <w:szCs w:val="21"/>
        </w:rPr>
        <w:t>“Adiciónese los siguientes incisos al artículo 13 de la Ley 1150 de 2007, el cual quedará así:</w:t>
      </w:r>
    </w:p>
    <w:p w14:paraId="36593C68" w14:textId="77777777" w:rsidR="00594225" w:rsidRPr="00F16D2E" w:rsidRDefault="00594225" w:rsidP="00594225">
      <w:pPr>
        <w:spacing w:line="240" w:lineRule="auto"/>
        <w:ind w:left="709" w:right="709"/>
        <w:contextualSpacing/>
        <w:jc w:val="both"/>
        <w:rPr>
          <w:rFonts w:ascii="Verdana" w:eastAsia="Calibri" w:hAnsi="Verdana" w:cs="Arial"/>
          <w:sz w:val="12"/>
          <w:szCs w:val="12"/>
        </w:rPr>
      </w:pPr>
    </w:p>
    <w:p w14:paraId="186F3986" w14:textId="77777777" w:rsidR="00594225" w:rsidRPr="00F16D2E" w:rsidRDefault="00594225" w:rsidP="00594225">
      <w:pPr>
        <w:spacing w:line="240" w:lineRule="auto"/>
        <w:ind w:left="709" w:right="709"/>
        <w:contextualSpacing/>
        <w:jc w:val="both"/>
        <w:rPr>
          <w:rFonts w:ascii="Verdana" w:eastAsia="Calibri" w:hAnsi="Verdana" w:cs="Arial"/>
          <w:sz w:val="21"/>
          <w:szCs w:val="21"/>
        </w:rPr>
      </w:pPr>
      <w:r w:rsidRPr="00F16D2E">
        <w:rPr>
          <w:rFonts w:ascii="Verdana" w:eastAsia="Calibri" w:hAnsi="Verdana" w:cs="Arial"/>
          <w:sz w:val="21"/>
          <w:szCs w:val="21"/>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7DFE980D" w14:textId="77777777" w:rsidR="00594225" w:rsidRPr="00F16D2E" w:rsidRDefault="00594225" w:rsidP="00594225">
      <w:pPr>
        <w:spacing w:line="240" w:lineRule="auto"/>
        <w:ind w:left="709" w:right="709"/>
        <w:contextualSpacing/>
        <w:jc w:val="both"/>
        <w:rPr>
          <w:rFonts w:ascii="Verdana" w:eastAsia="Calibri" w:hAnsi="Verdana" w:cs="Arial"/>
          <w:sz w:val="12"/>
          <w:szCs w:val="12"/>
        </w:rPr>
      </w:pPr>
    </w:p>
    <w:p w14:paraId="2B1C2AC7" w14:textId="77777777" w:rsidR="00594225" w:rsidRPr="00F16D2E" w:rsidRDefault="00594225" w:rsidP="00594225">
      <w:pPr>
        <w:spacing w:line="240" w:lineRule="auto"/>
        <w:ind w:left="709" w:right="709"/>
        <w:contextualSpacing/>
        <w:jc w:val="both"/>
        <w:rPr>
          <w:rFonts w:ascii="Verdana" w:eastAsia="Calibri" w:hAnsi="Verdana" w:cs="Arial"/>
          <w:i/>
          <w:iCs/>
          <w:sz w:val="21"/>
          <w:szCs w:val="21"/>
        </w:rPr>
      </w:pPr>
      <w:r w:rsidRPr="00F16D2E">
        <w:rPr>
          <w:rFonts w:ascii="Verdana" w:eastAsia="Calibri" w:hAnsi="Verdana" w:cs="Arial"/>
          <w:i/>
          <w:iCs/>
          <w:sz w:val="21"/>
          <w:szCs w:val="21"/>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F16D2E">
        <w:rPr>
          <w:rFonts w:ascii="Verdana" w:eastAsia="Calibri" w:hAnsi="Verdana" w:cs="Arial"/>
          <w:i/>
          <w:iCs/>
          <w:sz w:val="21"/>
          <w:szCs w:val="21"/>
        </w:rPr>
        <w:t>postcontractual</w:t>
      </w:r>
      <w:proofErr w:type="spellEnd"/>
      <w:r w:rsidRPr="00F16D2E">
        <w:rPr>
          <w:rFonts w:ascii="Verdana" w:eastAsia="Calibri" w:hAnsi="Verdana" w:cs="Arial"/>
          <w:i/>
          <w:iCs/>
          <w:sz w:val="21"/>
          <w:szCs w:val="21"/>
        </w:rPr>
        <w:t>.</w:t>
      </w:r>
    </w:p>
    <w:p w14:paraId="72A1D81A" w14:textId="77777777" w:rsidR="00594225" w:rsidRPr="00F16D2E" w:rsidRDefault="00594225" w:rsidP="00594225">
      <w:pPr>
        <w:spacing w:line="240" w:lineRule="auto"/>
        <w:ind w:left="709" w:right="709"/>
        <w:contextualSpacing/>
        <w:jc w:val="both"/>
        <w:rPr>
          <w:rFonts w:ascii="Verdana" w:eastAsia="Calibri" w:hAnsi="Verdana" w:cs="Arial"/>
          <w:i/>
          <w:iCs/>
          <w:sz w:val="12"/>
          <w:szCs w:val="12"/>
        </w:rPr>
      </w:pPr>
    </w:p>
    <w:p w14:paraId="45EC460C" w14:textId="77777777" w:rsidR="00594225" w:rsidRPr="00F16D2E" w:rsidRDefault="00594225" w:rsidP="00594225">
      <w:pPr>
        <w:spacing w:line="240" w:lineRule="auto"/>
        <w:ind w:left="709" w:right="709"/>
        <w:contextualSpacing/>
        <w:jc w:val="both"/>
        <w:rPr>
          <w:rFonts w:ascii="Verdana" w:eastAsia="Calibri" w:hAnsi="Verdana" w:cs="Arial"/>
          <w:sz w:val="21"/>
          <w:szCs w:val="21"/>
        </w:rPr>
      </w:pPr>
      <w:r w:rsidRPr="00F16D2E">
        <w:rPr>
          <w:rFonts w:ascii="Verdana" w:eastAsia="Calibri" w:hAnsi="Verdana" w:cs="Arial"/>
          <w:sz w:val="21"/>
          <w:szCs w:val="21"/>
        </w:rPr>
        <w:t xml:space="preserve">A partir de la </w:t>
      </w:r>
      <w:proofErr w:type="gramStart"/>
      <w:r w:rsidRPr="00F16D2E">
        <w:rPr>
          <w:rFonts w:ascii="Verdana" w:eastAsia="Calibri" w:hAnsi="Verdana" w:cs="Arial"/>
          <w:sz w:val="21"/>
          <w:szCs w:val="21"/>
        </w:rPr>
        <w:t>entrada en vigencia</w:t>
      </w:r>
      <w:proofErr w:type="gramEnd"/>
      <w:r w:rsidRPr="00F16D2E">
        <w:rPr>
          <w:rFonts w:ascii="Verdana" w:eastAsia="Calibri" w:hAnsi="Verdana" w:cs="Arial"/>
          <w:sz w:val="21"/>
          <w:szCs w:val="21"/>
        </w:rPr>
        <w:t xml:space="preserve"> de la presente Ley, se establecerá un periodo de transición de seis (6) meses, para que las entidades den cumplimiento efectivo a lo aquí establecido” (Énfasis fuera de texto).</w:t>
      </w:r>
    </w:p>
    <w:p w14:paraId="144803B8" w14:textId="77777777" w:rsidR="00594225" w:rsidRPr="00F16D2E" w:rsidRDefault="00594225" w:rsidP="00594225">
      <w:pPr>
        <w:spacing w:line="276" w:lineRule="auto"/>
        <w:ind w:firstLine="709"/>
        <w:contextualSpacing/>
        <w:jc w:val="both"/>
        <w:rPr>
          <w:rFonts w:ascii="Verdana" w:eastAsia="Calibri" w:hAnsi="Verdana" w:cs="Arial"/>
          <w:lang w:val="es-ES_tradnl"/>
        </w:rPr>
      </w:pPr>
    </w:p>
    <w:p w14:paraId="29C356A7" w14:textId="77777777" w:rsidR="00594225" w:rsidRPr="00F16D2E" w:rsidRDefault="00594225" w:rsidP="00594225">
      <w:pPr>
        <w:spacing w:after="120" w:line="276" w:lineRule="auto"/>
        <w:ind w:firstLine="709"/>
        <w:jc w:val="both"/>
        <w:rPr>
          <w:rFonts w:ascii="Verdana" w:eastAsia="Calibri" w:hAnsi="Verdana" w:cs="Arial"/>
          <w:lang w:val="es-ES_tradnl" w:eastAsia="es-ES_tradnl"/>
        </w:rPr>
      </w:pPr>
      <w:r w:rsidRPr="00F16D2E">
        <w:rPr>
          <w:rFonts w:ascii="Verdana" w:eastAsia="Calibri" w:hAnsi="Verdana" w:cs="Arial"/>
          <w:lang w:val="es-ES_tradnl"/>
        </w:rPr>
        <w:t xml:space="preserve">Cabe destacar que cuando la norma trascrita hace referencia a que el mencionado deber de publicidad debe cumplirse en el SECOP II o </w:t>
      </w:r>
      <w:r w:rsidRPr="00F16D2E">
        <w:rPr>
          <w:rFonts w:ascii="Verdana" w:hAnsi="Verdana" w:cs="Arial"/>
        </w:rPr>
        <w:t>“</w:t>
      </w:r>
      <w:r w:rsidRPr="00F16D2E">
        <w:rPr>
          <w:rFonts w:ascii="Verdana" w:eastAsia="Calibri" w:hAnsi="Verdana" w:cs="Arial"/>
          <w:lang w:val="es-ES_tradnl"/>
        </w:rPr>
        <w:t xml:space="preserve">la plataforma transaccional que haga sus veces”,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sidRPr="00F16D2E">
        <w:rPr>
          <w:rFonts w:ascii="Verdana" w:hAnsi="Verdana" w:cs="Arial"/>
        </w:rPr>
        <w:t>“</w:t>
      </w:r>
      <w:r w:rsidRPr="00F16D2E">
        <w:rPr>
          <w:rFonts w:ascii="Verdana" w:eastAsia="Calibri" w:hAnsi="Verdana" w:cs="Arial"/>
          <w:lang w:val="es-ES_tradnl"/>
        </w:rPr>
        <w:t>la plataforma que haga sus veces</w:t>
      </w:r>
      <w:r w:rsidRPr="00F16D2E">
        <w:rPr>
          <w:rFonts w:ascii="Verdana" w:hAnsi="Verdana" w:cs="Arial"/>
        </w:rPr>
        <w:t>”</w:t>
      </w:r>
      <w:r w:rsidRPr="00F16D2E">
        <w:rPr>
          <w:rFonts w:ascii="Verdana" w:eastAsia="Calibri" w:hAnsi="Verdana" w:cs="Arial"/>
          <w:lang w:val="es-ES_tradnl"/>
        </w:rPr>
        <w:t xml:space="preserve"> no puede interpretarse como una autorización para que las entidades obligadas en virtud del artículo 53 de la Ley 2195 de 2022 puedan emplear sus páginas web o sus propios portales electrónicos para cumplir con el deber de publicidad que les asiste. </w:t>
      </w:r>
      <w:r w:rsidRPr="00F16D2E">
        <w:rPr>
          <w:rFonts w:ascii="Verdana" w:eastAsia="Calibri" w:hAnsi="Verdana" w:cs="Arial"/>
          <w:lang w:val="es-ES_tradnl" w:eastAsia="es-ES_tradnl"/>
        </w:rPr>
        <w:t xml:space="preserve">Con esto se logra que la </w:t>
      </w:r>
      <w:r w:rsidRPr="00F16D2E">
        <w:rPr>
          <w:rFonts w:ascii="Verdana" w:eastAsia="Calibri" w:hAnsi="Verdana" w:cs="Arial"/>
          <w:lang w:val="es-ES_tradnl" w:eastAsia="es-ES_tradnl"/>
        </w:rPr>
        <w:lastRenderedPageBreak/>
        <w:t>ciudadanía pueda encontrar en un mismo sistema la gestión de la actividad contractual del Estado, garantizándose en mayor grado la transparencia y el acceso a la información y documentación pública.</w:t>
      </w:r>
    </w:p>
    <w:p w14:paraId="45E00FF9" w14:textId="77777777" w:rsidR="00594225" w:rsidRPr="00E62340" w:rsidRDefault="00594225" w:rsidP="00594225">
      <w:pPr>
        <w:spacing w:before="120" w:after="0" w:line="276" w:lineRule="auto"/>
        <w:ind w:firstLine="709"/>
        <w:jc w:val="both"/>
        <w:rPr>
          <w:rFonts w:ascii="Verdana" w:eastAsia="Calibri" w:hAnsi="Verdana" w:cs="Arial"/>
          <w:lang w:val="es-ES_tradnl"/>
        </w:rPr>
      </w:pPr>
      <w:bookmarkStart w:id="10" w:name="_Hlk109111956"/>
      <w:bookmarkStart w:id="11" w:name="_Hlk112245392"/>
      <w:r w:rsidRPr="00F16D2E">
        <w:rPr>
          <w:rFonts w:ascii="Verdana" w:eastAsia="Calibri" w:hAnsi="Verdana" w:cs="Arial"/>
          <w:lang w:val="es-ES_tradnl"/>
        </w:rPr>
        <w:t xml:space="preserve">En cuanto a los documentos que deben publicarse en el SECOP II, la norma citada hace referencia a los documentos relacionados con su </w:t>
      </w:r>
      <w:r w:rsidRPr="00F16D2E">
        <w:rPr>
          <w:rFonts w:ascii="Verdana" w:eastAsia="Calibri" w:hAnsi="Verdana" w:cs="Arial"/>
          <w:i/>
          <w:iCs/>
          <w:lang w:val="es-ES_tradnl"/>
        </w:rPr>
        <w:t>actividad contractual,</w:t>
      </w:r>
      <w:r w:rsidRPr="00F16D2E">
        <w:rPr>
          <w:rFonts w:ascii="Verdana" w:eastAsia="Calibri" w:hAnsi="Verdana" w:cs="Arial"/>
          <w:lang w:val="es-ES_tradnl"/>
        </w:rPr>
        <w:t xml:space="preserve"> es decir, “[…] los documentos, contratos, actos e información generada por oferentes, contratista, contratante, supervisor o interventor, tanto en la etapa precontractual, como en la contractual y la </w:t>
      </w:r>
      <w:proofErr w:type="spellStart"/>
      <w:r w:rsidRPr="00F16D2E">
        <w:rPr>
          <w:rFonts w:ascii="Verdana" w:eastAsia="Calibri" w:hAnsi="Verdana" w:cs="Arial"/>
          <w:lang w:val="es-ES_tradnl"/>
        </w:rPr>
        <w:t>postcontractual</w:t>
      </w:r>
      <w:proofErr w:type="spellEnd"/>
      <w:r w:rsidRPr="00F16D2E">
        <w:rPr>
          <w:rFonts w:ascii="Verdana" w:eastAsia="Calibri" w:hAnsi="Verdana" w:cs="Arial"/>
          <w:lang w:val="es-ES_tradnl"/>
        </w:rPr>
        <w:t xml:space="preserve">”. En ese sentido, el artículo 53 de la Ley 2195 de 2022 establece el deber de publicar toda aquella información relacionada con el respectivo contrato, sin incluir ninguna excepción relacionada con la naturaleza u objeto. Por </w:t>
      </w:r>
      <w:bookmarkEnd w:id="10"/>
      <w:r w:rsidRPr="00F16D2E">
        <w:rPr>
          <w:rFonts w:ascii="Verdana" w:eastAsia="Calibri" w:hAnsi="Verdana" w:cs="Arial"/>
          <w:lang w:val="es-ES_tradnl"/>
        </w:rPr>
        <w:t xml:space="preserve">lo tanto, la publicidad de los contratos exceptuados del Estatuto General de que trata el artículo 53 de la Ley 2195 de 2022, requiere que se publique en el SECOP II todo documento expedido durante las diferentes etapas del proceso contractual, abarcando desde la fase previa a su celebración, pasando por la ejecución y hasta la fase posterior a su ejecución. </w:t>
      </w:r>
      <w:r w:rsidRPr="00F16D2E">
        <w:rPr>
          <w:rFonts w:ascii="Verdana" w:eastAsia="Calibri" w:hAnsi="Verdana" w:cs="Arial"/>
          <w:lang w:val="es-ES"/>
        </w:rPr>
        <w:t xml:space="preserve"> </w:t>
      </w:r>
      <w:bookmarkEnd w:id="11"/>
    </w:p>
    <w:p w14:paraId="3FD18BFD" w14:textId="77777777" w:rsidR="00594225" w:rsidRDefault="00594225" w:rsidP="00594225">
      <w:pPr>
        <w:spacing w:after="0" w:line="276" w:lineRule="auto"/>
        <w:jc w:val="both"/>
        <w:rPr>
          <w:rFonts w:ascii="Verdana" w:eastAsia="Calibri" w:hAnsi="Verdana" w:cs="Arial"/>
          <w:lang w:val="es-ES_tradnl"/>
        </w:rPr>
      </w:pPr>
    </w:p>
    <w:p w14:paraId="64F43C27" w14:textId="77777777" w:rsidR="00594225" w:rsidRPr="00F95B1D" w:rsidRDefault="00594225" w:rsidP="00594225">
      <w:pPr>
        <w:spacing w:after="120" w:line="276" w:lineRule="auto"/>
        <w:jc w:val="both"/>
        <w:rPr>
          <w:rFonts w:ascii="Verdana" w:eastAsia="Calibri" w:hAnsi="Verdana" w:cs="Arial"/>
          <w:color w:val="000000" w:themeColor="text1"/>
          <w:lang w:val="es-ES"/>
        </w:rPr>
      </w:pPr>
      <w:proofErr w:type="spellStart"/>
      <w:r w:rsidRPr="7EF3A662">
        <w:rPr>
          <w:rFonts w:ascii="Verdana" w:eastAsia="Calibri" w:hAnsi="Verdana" w:cs="Arial"/>
          <w:lang w:val="es-ES"/>
        </w:rPr>
        <w:t>ii</w:t>
      </w:r>
      <w:proofErr w:type="spellEnd"/>
      <w:r w:rsidRPr="7EF3A662">
        <w:rPr>
          <w:rFonts w:ascii="Verdana" w:eastAsia="Calibri" w:hAnsi="Verdana" w:cs="Arial"/>
          <w:lang w:val="es-ES"/>
        </w:rPr>
        <w:t xml:space="preserve">. </w:t>
      </w:r>
      <w:r w:rsidRPr="7EF3A662">
        <w:rPr>
          <w:rFonts w:ascii="Verdana" w:eastAsia="Calibri" w:hAnsi="Verdana" w:cs="Arial"/>
          <w:color w:val="000000" w:themeColor="text1"/>
          <w:lang w:val="es-ES"/>
        </w:rPr>
        <w:t xml:space="preserve">Hace varios años el Estado tiende a la eliminación de los trámites innecesarios relacionados con las actuaciones que se adelantan ante las </w:t>
      </w:r>
      <w:proofErr w:type="gramStart"/>
      <w:r w:rsidRPr="7EF3A662">
        <w:rPr>
          <w:rFonts w:ascii="Verdana" w:eastAsia="Calibri" w:hAnsi="Verdana" w:cs="Arial"/>
          <w:color w:val="000000" w:themeColor="text1"/>
          <w:lang w:val="es-ES"/>
        </w:rPr>
        <w:t>autoridades públicas</w:t>
      </w:r>
      <w:proofErr w:type="gramEnd"/>
      <w:r w:rsidRPr="7EF3A662">
        <w:rPr>
          <w:rFonts w:ascii="Verdana" w:eastAsia="Calibri" w:hAnsi="Verdana" w:cs="Arial"/>
          <w:color w:val="000000" w:themeColor="text1"/>
          <w:lang w:val="es-ES"/>
        </w:rPr>
        <w:t xml:space="preserve">, buscando que las personas tengan una mejor calidad de vida, de manera que puedan utilizar el tiempo en otras actividades. Anteriormente las actuaciones oficiales, es decir, las que se realizan ante las entidades públicas, debían surtirse de manera presencial o a través del envío de documentación física, muchas veces cumpliendo con el requisito de la presentación personal. En la actualidad, se produce una inversión en la lógica que rige la relación de los ciudadanos con el Estado: i) en lugar de la presencialidad, se ha comenzado a privilegiar la virtualidad y </w:t>
      </w:r>
      <w:proofErr w:type="spellStart"/>
      <w:r w:rsidRPr="7EF3A662">
        <w:rPr>
          <w:rFonts w:ascii="Verdana" w:eastAsia="Calibri" w:hAnsi="Verdana" w:cs="Arial"/>
          <w:color w:val="000000" w:themeColor="text1"/>
          <w:lang w:val="es-ES"/>
        </w:rPr>
        <w:t>ii</w:t>
      </w:r>
      <w:proofErr w:type="spellEnd"/>
      <w:r w:rsidRPr="7EF3A662">
        <w:rPr>
          <w:rFonts w:ascii="Verdana" w:eastAsia="Calibri" w:hAnsi="Verdana" w:cs="Arial"/>
          <w:color w:val="000000" w:themeColor="text1"/>
          <w:lang w:val="es-ES"/>
        </w:rPr>
        <w:t>) del reconocimiento de validez y autenticidad, exclusivamente, a la documentación física, se ha pasado a admitir dichos atributos respecto de la documentación electrónica.</w:t>
      </w:r>
    </w:p>
    <w:p w14:paraId="08B49CCE" w14:textId="77777777" w:rsidR="00594225" w:rsidRPr="00F95B1D" w:rsidRDefault="00594225" w:rsidP="00594225">
      <w:pPr>
        <w:spacing w:after="120" w:line="276" w:lineRule="auto"/>
        <w:ind w:firstLine="708"/>
        <w:jc w:val="both"/>
        <w:rPr>
          <w:rFonts w:ascii="Verdana" w:eastAsia="Calibri" w:hAnsi="Verdana" w:cs="Arial"/>
          <w:color w:val="000000" w:themeColor="text1"/>
          <w:lang w:val="es-ES"/>
        </w:rPr>
      </w:pPr>
      <w:r w:rsidRPr="7EF3A662">
        <w:rPr>
          <w:rFonts w:ascii="Verdana" w:eastAsia="Calibri" w:hAnsi="Verdana" w:cs="Arial"/>
          <w:color w:val="000000" w:themeColor="text1"/>
          <w:lang w:val="es-ES"/>
        </w:rPr>
        <w:t>En este cambio de paradigma, la función de las normas “</w:t>
      </w:r>
      <w:proofErr w:type="spellStart"/>
      <w:r w:rsidRPr="7EF3A662">
        <w:rPr>
          <w:rFonts w:ascii="Verdana" w:eastAsia="Calibri" w:hAnsi="Verdana" w:cs="Arial"/>
          <w:color w:val="000000" w:themeColor="text1"/>
          <w:lang w:val="es-ES"/>
        </w:rPr>
        <w:t>antitrámites</w:t>
      </w:r>
      <w:proofErr w:type="spellEnd"/>
      <w:r w:rsidRPr="7EF3A662">
        <w:rPr>
          <w:rFonts w:ascii="Verdana" w:eastAsia="Calibri" w:hAnsi="Verdana" w:cs="Arial"/>
          <w:color w:val="000000" w:themeColor="text1"/>
          <w:lang w:val="es-ES"/>
        </w:rPr>
        <w:t>” –como la Ley 962 de 2005, el Decreto Ley 019 de 2012, así como el Decreto 2106 de 2019– ha sido decisiva. Pero no solo estas disposiciones han permitido o exigido el uso de medios electrónicos en las actuaciones administrativas. También lo han hecho la Ley 527 de 1999, la Ley 1150 de 2007 y la Ley 1437 de 2011.</w:t>
      </w:r>
    </w:p>
    <w:p w14:paraId="13F04F40" w14:textId="77777777" w:rsidR="00594225" w:rsidRPr="00F95B1D" w:rsidRDefault="00594225" w:rsidP="00594225">
      <w:pPr>
        <w:spacing w:before="120" w:after="120" w:line="276" w:lineRule="auto"/>
        <w:ind w:firstLine="709"/>
        <w:jc w:val="both"/>
        <w:rPr>
          <w:rFonts w:ascii="Verdana" w:eastAsia="Calibri" w:hAnsi="Verdana" w:cs="Arial"/>
          <w:color w:val="000000" w:themeColor="text1"/>
          <w:lang w:val="es-ES_tradnl"/>
        </w:rPr>
      </w:pPr>
      <w:r w:rsidRPr="00F95B1D">
        <w:rPr>
          <w:rFonts w:ascii="Verdana" w:eastAsia="Calibri" w:hAnsi="Verdana" w:cs="Arial"/>
          <w:color w:val="000000" w:themeColor="text1"/>
          <w:lang w:val="es-ES_tradnl"/>
        </w:rPr>
        <w:lastRenderedPageBreak/>
        <w:t xml:space="preserve">En efecto, </w:t>
      </w:r>
      <w:bookmarkStart w:id="12" w:name="_Hlk56157243"/>
      <w:r w:rsidRPr="00F95B1D">
        <w:rPr>
          <w:rFonts w:ascii="Verdana" w:eastAsia="Calibri" w:hAnsi="Verdana" w:cs="Arial"/>
          <w:color w:val="000000" w:themeColor="text1"/>
          <w:lang w:val="es-ES_tradnl"/>
        </w:rPr>
        <w:t xml:space="preserve">el artículo 10 de la Ley 527 de 1999, “Por medio de la cual se define y reglamenta el acceso y uso de los mensajes de datos, del comercio electrónico y de las firmas digitales, y se establecen las entidades de certificación y se dictan otras disposiciones”, dispone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w:t>
      </w:r>
    </w:p>
    <w:p w14:paraId="051CF783" w14:textId="77777777" w:rsidR="00594225" w:rsidRPr="00F95B1D" w:rsidRDefault="00594225" w:rsidP="00594225">
      <w:pPr>
        <w:spacing w:before="120" w:after="120" w:line="276" w:lineRule="auto"/>
        <w:ind w:firstLine="709"/>
        <w:jc w:val="both"/>
        <w:rPr>
          <w:rFonts w:ascii="Verdana" w:eastAsia="Calibri" w:hAnsi="Verdana" w:cs="Arial"/>
          <w:color w:val="000000" w:themeColor="text1"/>
          <w:lang w:val="es-ES"/>
        </w:rPr>
      </w:pPr>
      <w:r w:rsidRPr="7EF3A662">
        <w:rPr>
          <w:rFonts w:ascii="Verdana" w:eastAsia="Calibri" w:hAnsi="Verdana" w:cs="Arial"/>
          <w:color w:val="000000" w:themeColor="text1"/>
          <w:lang w:val="es-ES"/>
        </w:rPr>
        <w:t>De igual manera, el artículo 2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w:t>
      </w:r>
      <w:proofErr w:type="spellStart"/>
      <w:r w:rsidRPr="7EF3A662">
        <w:rPr>
          <w:rFonts w:ascii="Verdana" w:eastAsia="Calibri" w:hAnsi="Verdana" w:cs="Arial"/>
          <w:color w:val="000000" w:themeColor="text1"/>
          <w:lang w:val="es-ES"/>
        </w:rPr>
        <w:t>lit.</w:t>
      </w:r>
      <w:proofErr w:type="spellEnd"/>
      <w:r w:rsidRPr="7EF3A662">
        <w:rPr>
          <w:rFonts w:ascii="Verdana" w:eastAsia="Calibri" w:hAnsi="Verdana" w:cs="Arial"/>
          <w:color w:val="000000" w:themeColor="text1"/>
          <w:lang w:val="es-ES"/>
        </w:rPr>
        <w:t xml:space="preserve"> a)– y “sistema de información” como “todo sistema utilizado para generar, enviar, recibir, archivar o procesar de alguna otra forma mensajes de datos” –</w:t>
      </w:r>
      <w:proofErr w:type="spellStart"/>
      <w:r w:rsidRPr="7EF3A662">
        <w:rPr>
          <w:rFonts w:ascii="Verdana" w:eastAsia="Calibri" w:hAnsi="Verdana" w:cs="Arial"/>
          <w:color w:val="000000" w:themeColor="text1"/>
          <w:lang w:val="es-ES"/>
        </w:rPr>
        <w:t>lit.</w:t>
      </w:r>
      <w:proofErr w:type="spellEnd"/>
      <w:r w:rsidRPr="7EF3A662">
        <w:rPr>
          <w:rFonts w:ascii="Verdana" w:eastAsia="Calibri" w:hAnsi="Verdana" w:cs="Arial"/>
          <w:color w:val="000000" w:themeColor="text1"/>
          <w:lang w:val="es-ES"/>
        </w:rPr>
        <w:t xml:space="preserve"> f)–. Bajo este entendido, las aplicaciones web, que posibilitan el envío de mensajes de datos escritos o audiovisuales, como </w:t>
      </w:r>
      <w:r w:rsidRPr="7EF3A662">
        <w:rPr>
          <w:rFonts w:ascii="Verdana" w:eastAsia="Calibri" w:hAnsi="Verdana" w:cs="Arial"/>
          <w:i/>
          <w:color w:val="000000" w:themeColor="text1"/>
          <w:lang w:val="es-ES"/>
        </w:rPr>
        <w:t>Skype</w:t>
      </w:r>
      <w:r w:rsidRPr="7EF3A662">
        <w:rPr>
          <w:rFonts w:ascii="Verdana" w:eastAsia="Calibri" w:hAnsi="Verdana" w:cs="Arial"/>
          <w:color w:val="000000" w:themeColor="text1"/>
          <w:lang w:val="es-ES"/>
        </w:rPr>
        <w:t xml:space="preserve">, </w:t>
      </w:r>
      <w:proofErr w:type="spellStart"/>
      <w:r w:rsidRPr="7EF3A662">
        <w:rPr>
          <w:rFonts w:ascii="Verdana" w:eastAsia="Calibri" w:hAnsi="Verdana" w:cs="Arial"/>
          <w:i/>
          <w:color w:val="000000" w:themeColor="text1"/>
          <w:lang w:val="es-ES"/>
        </w:rPr>
        <w:t>Facetime</w:t>
      </w:r>
      <w:proofErr w:type="spellEnd"/>
      <w:r w:rsidRPr="7EF3A662">
        <w:rPr>
          <w:rFonts w:ascii="Verdana" w:eastAsia="Calibri" w:hAnsi="Verdana" w:cs="Arial"/>
          <w:color w:val="000000" w:themeColor="text1"/>
          <w:lang w:val="es-ES"/>
        </w:rPr>
        <w:t xml:space="preserve">, </w:t>
      </w:r>
      <w:proofErr w:type="spellStart"/>
      <w:r w:rsidRPr="7EF3A662">
        <w:rPr>
          <w:rFonts w:ascii="Verdana" w:eastAsia="Calibri" w:hAnsi="Verdana" w:cs="Arial"/>
          <w:i/>
          <w:color w:val="000000" w:themeColor="text1"/>
          <w:lang w:val="es-ES"/>
        </w:rPr>
        <w:t>Whatsapp</w:t>
      </w:r>
      <w:proofErr w:type="spellEnd"/>
      <w:r w:rsidRPr="7EF3A662">
        <w:rPr>
          <w:rFonts w:ascii="Verdana" w:eastAsia="Calibri" w:hAnsi="Verdana" w:cs="Arial"/>
          <w:color w:val="000000" w:themeColor="text1"/>
          <w:lang w:val="es-ES"/>
        </w:rPr>
        <w:t xml:space="preserve">, </w:t>
      </w:r>
      <w:proofErr w:type="spellStart"/>
      <w:r w:rsidRPr="7EF3A662">
        <w:rPr>
          <w:rFonts w:ascii="Verdana" w:eastAsia="Calibri" w:hAnsi="Verdana" w:cs="Arial"/>
          <w:i/>
          <w:color w:val="000000" w:themeColor="text1"/>
          <w:lang w:val="es-ES"/>
        </w:rPr>
        <w:t>Teams</w:t>
      </w:r>
      <w:proofErr w:type="spellEnd"/>
      <w:r w:rsidRPr="7EF3A662">
        <w:rPr>
          <w:rFonts w:ascii="Verdana" w:eastAsia="Calibri" w:hAnsi="Verdana" w:cs="Arial"/>
          <w:color w:val="000000" w:themeColor="text1"/>
          <w:lang w:val="es-ES"/>
        </w:rPr>
        <w:t>, entre otras, constituyen sistemas de información, permitidos por el legislador en las actuaciones administrativas.</w:t>
      </w:r>
    </w:p>
    <w:p w14:paraId="435004FA" w14:textId="77777777" w:rsidR="00594225" w:rsidRPr="00F95B1D" w:rsidRDefault="00594225" w:rsidP="00594225">
      <w:pPr>
        <w:spacing w:before="120" w:after="0" w:line="276" w:lineRule="auto"/>
        <w:ind w:firstLine="709"/>
        <w:jc w:val="both"/>
        <w:rPr>
          <w:rFonts w:ascii="Verdana" w:eastAsia="Calibri" w:hAnsi="Verdana" w:cs="Arial"/>
          <w:color w:val="000000" w:themeColor="text1"/>
          <w:lang w:val="es-ES_tradnl"/>
        </w:rPr>
      </w:pPr>
      <w:r w:rsidRPr="00F95B1D">
        <w:rPr>
          <w:rFonts w:ascii="Verdana" w:eastAsia="Calibri" w:hAnsi="Verdana" w:cs="Arial"/>
          <w:color w:val="000000" w:themeColor="text1"/>
          <w:lang w:val="es-ES_tradnl"/>
        </w:rPr>
        <w:t>Adicionalmente, la Ley 1150 de 2007, “Por medio de la cual se introducen medidas para la eficiencia y la transparencia en la Ley 80 de 1993 y se dictan otras disposiciones generales sobre la contratación con Recursos Públicos”, incorporó la posibilidad de utilizar dichos sistemas de información y en general los medios electrónicos en las actuaciones contractuales</w:t>
      </w:r>
      <w:bookmarkEnd w:id="12"/>
      <w:r w:rsidRPr="00F95B1D">
        <w:rPr>
          <w:rFonts w:ascii="Verdana" w:eastAsia="Calibri" w:hAnsi="Verdana" w:cs="Arial"/>
          <w:color w:val="000000" w:themeColor="text1"/>
          <w:lang w:val="es-ES_tradnl"/>
        </w:rPr>
        <w:t>. Así se infiere del artículo 3, el cual dispone lo siguiente:</w:t>
      </w:r>
    </w:p>
    <w:p w14:paraId="6FDBC0FC" w14:textId="77777777" w:rsidR="00594225" w:rsidRPr="00F95B1D" w:rsidRDefault="00594225" w:rsidP="00594225">
      <w:pPr>
        <w:spacing w:after="0"/>
        <w:ind w:left="709" w:right="709"/>
        <w:jc w:val="both"/>
        <w:rPr>
          <w:rFonts w:ascii="Verdana" w:eastAsia="Calibri" w:hAnsi="Verdana" w:cs="Arial"/>
          <w:color w:val="000000" w:themeColor="text1"/>
          <w:sz w:val="21"/>
          <w:szCs w:val="21"/>
          <w:lang w:val="es-ES_tradnl"/>
        </w:rPr>
      </w:pPr>
    </w:p>
    <w:p w14:paraId="5C877F67" w14:textId="77777777" w:rsidR="00594225" w:rsidRPr="00F95B1D" w:rsidRDefault="00594225" w:rsidP="00594225">
      <w:pPr>
        <w:spacing w:after="120" w:line="240" w:lineRule="auto"/>
        <w:ind w:left="709" w:right="709"/>
        <w:jc w:val="both"/>
        <w:rPr>
          <w:rFonts w:ascii="Verdana" w:eastAsia="Calibri" w:hAnsi="Verdana" w:cs="Arial"/>
          <w:color w:val="000000" w:themeColor="text1"/>
          <w:sz w:val="21"/>
          <w:szCs w:val="21"/>
          <w:lang w:val="es-ES"/>
        </w:rPr>
      </w:pPr>
      <w:bookmarkStart w:id="13" w:name="_Hlk56071452"/>
      <w:r w:rsidRPr="7EF3A662">
        <w:rPr>
          <w:rFonts w:ascii="Verdana" w:eastAsia="Calibri" w:hAnsi="Verdana" w:cs="Arial"/>
          <w:color w:val="000000" w:themeColor="text1"/>
          <w:sz w:val="21"/>
          <w:szCs w:val="21"/>
          <w:lang w:val="es-ES"/>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w:t>
      </w:r>
      <w:bookmarkEnd w:id="13"/>
      <w:r w:rsidRPr="7EF3A662">
        <w:rPr>
          <w:rFonts w:ascii="Verdana" w:eastAsia="Calibri" w:hAnsi="Verdana" w:cs="Arial"/>
          <w:color w:val="000000" w:themeColor="text1"/>
          <w:sz w:val="21"/>
          <w:szCs w:val="21"/>
          <w:lang w:val="es-ES"/>
        </w:rPr>
        <w:t>.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52F75FF" w14:textId="77777777" w:rsidR="00594225" w:rsidRPr="00F95B1D" w:rsidRDefault="00594225" w:rsidP="00594225">
      <w:pPr>
        <w:spacing w:after="120" w:line="240" w:lineRule="auto"/>
        <w:ind w:left="709" w:right="709"/>
        <w:jc w:val="both"/>
        <w:rPr>
          <w:rFonts w:ascii="Verdana" w:eastAsia="Calibri" w:hAnsi="Verdana" w:cs="Arial"/>
          <w:color w:val="000000" w:themeColor="text1"/>
          <w:sz w:val="21"/>
          <w:szCs w:val="21"/>
          <w:lang w:val="es-ES_tradnl"/>
        </w:rPr>
      </w:pPr>
      <w:r w:rsidRPr="00F95B1D">
        <w:rPr>
          <w:rFonts w:ascii="Verdana" w:eastAsia="Calibri" w:hAnsi="Verdana" w:cs="Arial"/>
          <w:color w:val="000000" w:themeColor="text1"/>
          <w:sz w:val="21"/>
          <w:szCs w:val="21"/>
          <w:lang w:val="es-ES_tradnl"/>
        </w:rPr>
        <w:t>Lo anterior, sin perjuicio de las publicaciones previstas en el numeral 3 del artículo 30 de la Ley 80 de 1993.</w:t>
      </w:r>
    </w:p>
    <w:p w14:paraId="18CEA0D7" w14:textId="77777777" w:rsidR="00594225" w:rsidRPr="00F95B1D" w:rsidRDefault="00594225" w:rsidP="00594225">
      <w:pPr>
        <w:spacing w:after="120" w:line="240" w:lineRule="auto"/>
        <w:ind w:left="709" w:right="709"/>
        <w:jc w:val="both"/>
        <w:rPr>
          <w:rFonts w:ascii="Verdana" w:eastAsia="Calibri" w:hAnsi="Verdana" w:cs="Arial"/>
          <w:color w:val="000000" w:themeColor="text1"/>
          <w:sz w:val="21"/>
          <w:szCs w:val="21"/>
          <w:lang w:val="es-ES"/>
        </w:rPr>
      </w:pPr>
      <w:r w:rsidRPr="7EF3A662">
        <w:rPr>
          <w:rFonts w:ascii="Verdana" w:eastAsia="Calibri" w:hAnsi="Verdana" w:cs="Arial"/>
          <w:color w:val="000000" w:themeColor="text1"/>
          <w:sz w:val="21"/>
          <w:szCs w:val="21"/>
          <w:lang w:val="es-ES"/>
        </w:rPr>
        <w:lastRenderedPageBreak/>
        <w:t xml:space="preserve">Con el fin de materializar los objetivos a que se refiere el inciso anterior, el Gobierno Nacional desarrollará el </w:t>
      </w:r>
      <w:bookmarkStart w:id="14" w:name="_Hlk55988851"/>
      <w:r w:rsidRPr="7EF3A662">
        <w:rPr>
          <w:rFonts w:ascii="Verdana" w:eastAsia="Calibri" w:hAnsi="Verdana" w:cs="Arial"/>
          <w:color w:val="000000" w:themeColor="text1"/>
          <w:sz w:val="21"/>
          <w:szCs w:val="21"/>
          <w:lang w:val="es-ES"/>
        </w:rPr>
        <w:t>Sistema Electrónico para la Contratación Pública</w:t>
      </w:r>
      <w:bookmarkEnd w:id="14"/>
      <w:r w:rsidRPr="7EF3A662">
        <w:rPr>
          <w:rFonts w:ascii="Verdana" w:eastAsia="Calibri" w:hAnsi="Verdana" w:cs="Arial"/>
          <w:color w:val="000000" w:themeColor="text1"/>
          <w:sz w:val="21"/>
          <w:szCs w:val="21"/>
          <w:lang w:val="es-ES"/>
        </w:rPr>
        <w:t xml:space="preserve">, </w:t>
      </w:r>
      <w:proofErr w:type="spellStart"/>
      <w:r w:rsidRPr="7EF3A662">
        <w:rPr>
          <w:rFonts w:ascii="Verdana" w:eastAsia="Calibri" w:hAnsi="Verdana" w:cs="Arial"/>
          <w:color w:val="000000" w:themeColor="text1"/>
          <w:sz w:val="21"/>
          <w:szCs w:val="21"/>
          <w:lang w:val="es-ES"/>
        </w:rPr>
        <w:t>Secop</w:t>
      </w:r>
      <w:proofErr w:type="spellEnd"/>
      <w:r w:rsidRPr="7EF3A662">
        <w:rPr>
          <w:rFonts w:ascii="Verdana" w:eastAsia="Calibri" w:hAnsi="Verdana" w:cs="Arial"/>
          <w:color w:val="000000" w:themeColor="text1"/>
          <w:sz w:val="21"/>
          <w:szCs w:val="21"/>
          <w:lang w:val="es-ES"/>
        </w:rPr>
        <w:t>, el cual:</w:t>
      </w:r>
    </w:p>
    <w:p w14:paraId="49FD0C7B" w14:textId="77777777" w:rsidR="00594225" w:rsidRPr="00F95B1D" w:rsidRDefault="00594225" w:rsidP="00594225">
      <w:pPr>
        <w:spacing w:after="120" w:line="240" w:lineRule="auto"/>
        <w:ind w:left="709" w:right="709"/>
        <w:jc w:val="both"/>
        <w:rPr>
          <w:rFonts w:ascii="Verdana" w:eastAsia="Calibri" w:hAnsi="Verdana" w:cs="Arial"/>
          <w:color w:val="000000" w:themeColor="text1"/>
          <w:sz w:val="21"/>
          <w:szCs w:val="21"/>
          <w:lang w:val="es-ES_tradnl"/>
        </w:rPr>
      </w:pPr>
      <w:r w:rsidRPr="00F95B1D">
        <w:rPr>
          <w:rFonts w:ascii="Verdana" w:eastAsia="Calibri" w:hAnsi="Verdana" w:cs="Arial"/>
          <w:color w:val="000000" w:themeColor="text1"/>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0BD4A341" w14:textId="77777777" w:rsidR="00594225" w:rsidRPr="00F95B1D" w:rsidRDefault="00594225" w:rsidP="00594225">
      <w:pPr>
        <w:spacing w:after="120" w:line="240" w:lineRule="auto"/>
        <w:ind w:left="709" w:right="709"/>
        <w:jc w:val="both"/>
        <w:rPr>
          <w:rFonts w:ascii="Verdana" w:eastAsia="Calibri" w:hAnsi="Verdana" w:cs="Arial"/>
          <w:color w:val="000000" w:themeColor="text1"/>
          <w:sz w:val="21"/>
          <w:szCs w:val="21"/>
          <w:lang w:val="es-ES_tradnl"/>
        </w:rPr>
      </w:pPr>
      <w:r w:rsidRPr="00F95B1D">
        <w:rPr>
          <w:rFonts w:ascii="Verdana" w:eastAsia="Calibri" w:hAnsi="Verdana" w:cs="Arial"/>
          <w:color w:val="000000" w:themeColor="text1"/>
          <w:sz w:val="21"/>
          <w:szCs w:val="21"/>
          <w:lang w:val="es-ES_tradnl"/>
        </w:rPr>
        <w:t>b) Servirá de punto único de ingreso de información y de generación de reportes para las entidades estatales y la ciudadanía;</w:t>
      </w:r>
    </w:p>
    <w:p w14:paraId="77879C8C" w14:textId="77777777" w:rsidR="00594225" w:rsidRPr="00F95B1D" w:rsidRDefault="00594225" w:rsidP="00594225">
      <w:pPr>
        <w:spacing w:after="120" w:line="240" w:lineRule="auto"/>
        <w:ind w:left="709" w:right="709"/>
        <w:jc w:val="both"/>
        <w:rPr>
          <w:rFonts w:ascii="Verdana" w:eastAsia="Calibri" w:hAnsi="Verdana" w:cs="Arial"/>
          <w:color w:val="000000" w:themeColor="text1"/>
          <w:sz w:val="21"/>
          <w:szCs w:val="21"/>
          <w:lang w:val="es-ES_tradnl"/>
        </w:rPr>
      </w:pPr>
      <w:r w:rsidRPr="00F95B1D">
        <w:rPr>
          <w:rFonts w:ascii="Verdana" w:eastAsia="Calibri" w:hAnsi="Verdana"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288D9FF2" w14:textId="77777777" w:rsidR="00594225" w:rsidRPr="00F95B1D" w:rsidRDefault="00594225" w:rsidP="00594225">
      <w:pPr>
        <w:spacing w:after="120" w:line="240" w:lineRule="auto"/>
        <w:ind w:left="709" w:right="709"/>
        <w:jc w:val="both"/>
        <w:rPr>
          <w:rFonts w:ascii="Verdana" w:eastAsia="Calibri" w:hAnsi="Verdana" w:cs="Arial"/>
          <w:color w:val="000000" w:themeColor="text1"/>
          <w:sz w:val="21"/>
          <w:szCs w:val="21"/>
          <w:lang w:val="es-ES"/>
        </w:rPr>
      </w:pPr>
      <w:r w:rsidRPr="7EF3A662">
        <w:rPr>
          <w:rFonts w:ascii="Verdana" w:eastAsia="Calibri" w:hAnsi="Verdana" w:cs="Arial"/>
          <w:color w:val="000000" w:themeColor="text1"/>
          <w:sz w:val="21"/>
          <w:szCs w:val="21"/>
          <w:lang w:val="es-ES"/>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5C3DCEC5" w14:textId="77777777" w:rsidR="00594225" w:rsidRPr="00F95B1D" w:rsidRDefault="00594225" w:rsidP="00594225">
      <w:pPr>
        <w:spacing w:after="120" w:line="240" w:lineRule="auto"/>
        <w:ind w:left="709" w:right="709"/>
        <w:jc w:val="both"/>
        <w:rPr>
          <w:rFonts w:ascii="Verdana" w:eastAsia="Calibri" w:hAnsi="Verdana" w:cs="Arial"/>
          <w:color w:val="000000" w:themeColor="text1"/>
          <w:sz w:val="21"/>
          <w:szCs w:val="21"/>
          <w:lang w:val="es-ES"/>
        </w:rPr>
      </w:pPr>
      <w:r w:rsidRPr="7EF3A662">
        <w:rPr>
          <w:rFonts w:ascii="Verdana" w:eastAsia="Calibri" w:hAnsi="Verdana" w:cs="Arial"/>
          <w:color w:val="000000" w:themeColor="text1"/>
          <w:sz w:val="21"/>
          <w:szCs w:val="21"/>
          <w:lang w:val="es-ES"/>
        </w:rPr>
        <w:t xml:space="preserve">PARÁGRAFO 1o. En ningún caso la administración del </w:t>
      </w:r>
      <w:proofErr w:type="spellStart"/>
      <w:r w:rsidRPr="7EF3A662">
        <w:rPr>
          <w:rFonts w:ascii="Verdana" w:eastAsia="Calibri" w:hAnsi="Verdana" w:cs="Arial"/>
          <w:color w:val="000000" w:themeColor="text1"/>
          <w:sz w:val="21"/>
          <w:szCs w:val="21"/>
          <w:lang w:val="es-ES"/>
        </w:rPr>
        <w:t>Secop</w:t>
      </w:r>
      <w:proofErr w:type="spellEnd"/>
      <w:r w:rsidRPr="7EF3A662">
        <w:rPr>
          <w:rFonts w:ascii="Verdana" w:eastAsia="Calibri" w:hAnsi="Verdana" w:cs="Arial"/>
          <w:color w:val="000000" w:themeColor="text1"/>
          <w:sz w:val="21"/>
          <w:szCs w:val="21"/>
          <w:lang w:val="es-ES"/>
        </w:rPr>
        <w:t xml:space="preserve"> supondrá la creación de una nueva entidad.</w:t>
      </w:r>
    </w:p>
    <w:p w14:paraId="4A323CD3" w14:textId="77777777" w:rsidR="00594225" w:rsidRPr="00F95B1D" w:rsidRDefault="00594225" w:rsidP="00594225">
      <w:pPr>
        <w:spacing w:after="0" w:line="240" w:lineRule="auto"/>
        <w:ind w:left="709" w:right="709"/>
        <w:jc w:val="both"/>
        <w:rPr>
          <w:rFonts w:ascii="Verdana" w:eastAsia="Calibri" w:hAnsi="Verdana" w:cs="Arial"/>
          <w:color w:val="000000" w:themeColor="text1"/>
          <w:sz w:val="21"/>
          <w:szCs w:val="21"/>
          <w:lang w:val="es-ES"/>
        </w:rPr>
      </w:pPr>
      <w:r w:rsidRPr="7EF3A662">
        <w:rPr>
          <w:rFonts w:ascii="Verdana" w:eastAsia="Calibri" w:hAnsi="Verdana" w:cs="Arial"/>
          <w:color w:val="000000" w:themeColor="text1"/>
          <w:sz w:val="21"/>
          <w:szCs w:val="21"/>
          <w:lang w:val="es-ES"/>
        </w:rPr>
        <w:t xml:space="preserve">El </w:t>
      </w:r>
      <w:proofErr w:type="spellStart"/>
      <w:r w:rsidRPr="7EF3A662">
        <w:rPr>
          <w:rFonts w:ascii="Verdana" w:eastAsia="Calibri" w:hAnsi="Verdana" w:cs="Arial"/>
          <w:color w:val="000000" w:themeColor="text1"/>
          <w:sz w:val="21"/>
          <w:szCs w:val="21"/>
          <w:lang w:val="es-ES"/>
        </w:rPr>
        <w:t>Secop</w:t>
      </w:r>
      <w:proofErr w:type="spellEnd"/>
      <w:r w:rsidRPr="7EF3A662">
        <w:rPr>
          <w:rFonts w:ascii="Verdana" w:eastAsia="Calibri" w:hAnsi="Verdana" w:cs="Arial"/>
          <w:color w:val="000000" w:themeColor="text1"/>
          <w:sz w:val="21"/>
          <w:szCs w:val="21"/>
          <w:lang w:val="es-ES"/>
        </w:rPr>
        <w:t xml:space="preserve"> será administrado por el organismo que designe el Gobierno Nacional, sin perjuicio de la autonomía que respecto del SICE confiere la Ley 598 de 2000 a la Contraloría General de la República.</w:t>
      </w:r>
    </w:p>
    <w:p w14:paraId="04543BA7" w14:textId="77777777" w:rsidR="00594225" w:rsidRPr="00F95B1D" w:rsidRDefault="00594225" w:rsidP="00594225">
      <w:pPr>
        <w:spacing w:after="0" w:line="276" w:lineRule="auto"/>
        <w:ind w:firstLine="709"/>
        <w:jc w:val="both"/>
        <w:rPr>
          <w:rFonts w:ascii="Verdana" w:eastAsia="Calibri" w:hAnsi="Verdana" w:cs="Arial"/>
          <w:color w:val="000000" w:themeColor="text1"/>
          <w:szCs w:val="24"/>
          <w:lang w:val="es-ES_tradnl"/>
        </w:rPr>
      </w:pPr>
    </w:p>
    <w:p w14:paraId="2E8136B5" w14:textId="77777777" w:rsidR="00594225" w:rsidRPr="00F95B1D" w:rsidRDefault="00594225" w:rsidP="00594225">
      <w:pPr>
        <w:spacing w:after="120" w:line="276" w:lineRule="auto"/>
        <w:ind w:firstLine="708"/>
        <w:jc w:val="both"/>
        <w:rPr>
          <w:rFonts w:ascii="Verdana" w:eastAsia="Calibri" w:hAnsi="Verdana" w:cs="Arial"/>
          <w:color w:val="000000" w:themeColor="text1"/>
          <w:lang w:val="es-ES_tradnl"/>
        </w:rPr>
      </w:pPr>
      <w:bookmarkStart w:id="15" w:name="_Hlk56157422"/>
      <w:r w:rsidRPr="00F95B1D">
        <w:rPr>
          <w:rFonts w:ascii="Verdana" w:eastAsia="Calibri" w:hAnsi="Verdana" w:cs="Arial"/>
          <w:color w:val="000000" w:themeColor="text1"/>
          <w:lang w:val="es-ES_tradnl"/>
        </w:rPr>
        <w:t>Como se observa, la norma citada introduce en la contratación estatal la regulación contenida en la Ley 527 de 1999, permitiendo que el trámite de los procedimientos contractuales se realice por medios electrónicos; medios en los que cabe, como se indicó, el uso de sistemas de información para el envío de mensajes de datos</w:t>
      </w:r>
      <w:bookmarkEnd w:id="15"/>
      <w:r w:rsidRPr="00F95B1D">
        <w:rPr>
          <w:rFonts w:ascii="Verdana" w:eastAsia="Calibri" w:hAnsi="Verdana" w:cs="Arial"/>
          <w:color w:val="000000" w:themeColor="text1"/>
          <w:lang w:val="es-ES_tradnl"/>
        </w:rPr>
        <w:t>.</w:t>
      </w:r>
    </w:p>
    <w:p w14:paraId="2E1C8AB5" w14:textId="77777777" w:rsidR="00594225" w:rsidRPr="00F95B1D" w:rsidRDefault="00594225" w:rsidP="00594225">
      <w:pPr>
        <w:spacing w:after="120" w:line="276" w:lineRule="auto"/>
        <w:ind w:firstLine="709"/>
        <w:jc w:val="both"/>
        <w:rPr>
          <w:rFonts w:ascii="Verdana" w:eastAsia="Calibri" w:hAnsi="Verdana" w:cs="Arial"/>
          <w:color w:val="000000" w:themeColor="text1"/>
          <w:lang w:val="es-ES_tradnl"/>
        </w:rPr>
      </w:pPr>
      <w:r w:rsidRPr="00F95B1D">
        <w:rPr>
          <w:rFonts w:ascii="Verdana" w:eastAsia="Calibri" w:hAnsi="Verdana" w:cs="Arial"/>
          <w:color w:val="000000" w:themeColor="text1"/>
          <w:lang w:val="es-ES_tradnl"/>
        </w:rPr>
        <w:t xml:space="preserve">Incluso, la Ley 1437 de 2011, “Por la cual se expide el Código de Procedimiento Administrativo y de lo Contencioso Administrativo” continúan la línea explicada, consistente en el reconocimiento de validez a las actuaciones realizadas en sede virtual, y dedica un capítulo completo a la utilización de medios electrónicos en el procedimiento administrativo.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de las </w:t>
      </w:r>
      <w:r w:rsidRPr="00F95B1D">
        <w:rPr>
          <w:rFonts w:ascii="Verdana" w:eastAsia="Calibri" w:hAnsi="Verdana" w:cs="Arial"/>
          <w:color w:val="000000" w:themeColor="text1"/>
          <w:lang w:val="es-ES_tradnl"/>
        </w:rPr>
        <w:lastRenderedPageBreak/>
        <w:t xml:space="preserve">autoridades de “Tramitar las peticiones que lleguen vía fax o por medios electrónicos”, previsto en el artículo 7º, numeral 6. </w:t>
      </w:r>
    </w:p>
    <w:p w14:paraId="18020A23" w14:textId="77777777" w:rsidR="00594225" w:rsidRPr="00F95B1D" w:rsidRDefault="00594225" w:rsidP="00594225">
      <w:pPr>
        <w:spacing w:line="276" w:lineRule="auto"/>
        <w:ind w:firstLine="708"/>
        <w:jc w:val="both"/>
        <w:rPr>
          <w:rFonts w:ascii="Verdana" w:eastAsia="Calibri" w:hAnsi="Verdana" w:cs="Arial"/>
          <w:lang w:val="es-ES"/>
        </w:rPr>
      </w:pPr>
      <w:r w:rsidRPr="7EF3A662">
        <w:rPr>
          <w:rFonts w:ascii="Verdana" w:eastAsia="Calibri" w:hAnsi="Verdana" w:cs="Arial"/>
          <w:color w:val="000000" w:themeColor="text1"/>
          <w:lang w:val="es-ES"/>
        </w:rPr>
        <w:t xml:space="preserve">Asimismo,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w:t>
      </w:r>
      <w:proofErr w:type="spellStart"/>
      <w:r w:rsidRPr="7EF3A662">
        <w:rPr>
          <w:rFonts w:ascii="Verdana" w:eastAsia="Calibri" w:hAnsi="Verdana" w:cs="Arial"/>
          <w:color w:val="000000" w:themeColor="text1"/>
          <w:lang w:val="es-ES"/>
        </w:rPr>
        <w:t>ii</w:t>
      </w:r>
      <w:proofErr w:type="spellEnd"/>
      <w:r w:rsidRPr="7EF3A662">
        <w:rPr>
          <w:rFonts w:ascii="Verdana" w:eastAsia="Calibri" w:hAnsi="Verdana" w:cs="Arial"/>
          <w:color w:val="000000" w:themeColor="text1"/>
          <w:lang w:val="es-ES"/>
        </w:rPr>
        <w:t xml:space="preserve">) el registro para el uso de medios electrónicos, </w:t>
      </w:r>
      <w:proofErr w:type="spellStart"/>
      <w:r w:rsidRPr="7EF3A662">
        <w:rPr>
          <w:rFonts w:ascii="Verdana" w:eastAsia="Calibri" w:hAnsi="Verdana" w:cs="Arial"/>
          <w:color w:val="000000" w:themeColor="text1"/>
          <w:lang w:val="es-ES"/>
        </w:rPr>
        <w:t>iii</w:t>
      </w:r>
      <w:proofErr w:type="spellEnd"/>
      <w:r w:rsidRPr="7EF3A662">
        <w:rPr>
          <w:rFonts w:ascii="Verdana" w:eastAsia="Calibri" w:hAnsi="Verdana" w:cs="Arial"/>
          <w:color w:val="000000" w:themeColor="text1"/>
          <w:lang w:val="es-ES"/>
        </w:rPr>
        <w:t xml:space="preserve">) el documento público por medio electrónico, </w:t>
      </w:r>
      <w:proofErr w:type="spellStart"/>
      <w:r w:rsidRPr="7EF3A662">
        <w:rPr>
          <w:rFonts w:ascii="Verdana" w:eastAsia="Calibri" w:hAnsi="Verdana" w:cs="Arial"/>
          <w:color w:val="000000" w:themeColor="text1"/>
          <w:lang w:val="es-ES"/>
        </w:rPr>
        <w:t>iv</w:t>
      </w:r>
      <w:proofErr w:type="spellEnd"/>
      <w:r w:rsidRPr="7EF3A662">
        <w:rPr>
          <w:rFonts w:ascii="Verdana" w:eastAsia="Calibri" w:hAnsi="Verdana" w:cs="Arial"/>
          <w:color w:val="000000" w:themeColor="text1"/>
          <w:lang w:val="es-ES"/>
        </w:rPr>
        <w:t xml:space="preserve">) la notificación electrónica, v) el acto administrativo electrónico, vi) el archivo electrónico de documentos, </w:t>
      </w:r>
      <w:proofErr w:type="spellStart"/>
      <w:r w:rsidRPr="7EF3A662">
        <w:rPr>
          <w:rFonts w:ascii="Verdana" w:eastAsia="Calibri" w:hAnsi="Verdana" w:cs="Arial"/>
          <w:color w:val="000000" w:themeColor="text1"/>
          <w:lang w:val="es-ES"/>
        </w:rPr>
        <w:t>vii</w:t>
      </w:r>
      <w:proofErr w:type="spellEnd"/>
      <w:r w:rsidRPr="7EF3A662">
        <w:rPr>
          <w:rFonts w:ascii="Verdana" w:eastAsia="Calibri" w:hAnsi="Verdana" w:cs="Arial"/>
          <w:color w:val="000000" w:themeColor="text1"/>
          <w:lang w:val="es-ES"/>
        </w:rPr>
        <w:t xml:space="preserve">) el expediente electrónico, </w:t>
      </w:r>
      <w:proofErr w:type="spellStart"/>
      <w:r w:rsidRPr="7EF3A662">
        <w:rPr>
          <w:rFonts w:ascii="Verdana" w:eastAsia="Calibri" w:hAnsi="Verdana" w:cs="Arial"/>
          <w:color w:val="000000" w:themeColor="text1"/>
          <w:lang w:val="es-ES"/>
        </w:rPr>
        <w:t>viii</w:t>
      </w:r>
      <w:proofErr w:type="spellEnd"/>
      <w:r w:rsidRPr="7EF3A662">
        <w:rPr>
          <w:rFonts w:ascii="Verdana" w:eastAsia="Calibri" w:hAnsi="Verdana" w:cs="Arial"/>
          <w:color w:val="000000" w:themeColor="text1"/>
          <w:lang w:val="es-ES"/>
        </w:rPr>
        <w:t xml:space="preserve">) la sede electrónica, </w:t>
      </w:r>
      <w:proofErr w:type="spellStart"/>
      <w:r w:rsidRPr="7EF3A662">
        <w:rPr>
          <w:rFonts w:ascii="Verdana" w:eastAsia="Calibri" w:hAnsi="Verdana" w:cs="Arial"/>
          <w:color w:val="000000" w:themeColor="text1"/>
          <w:lang w:val="es-ES"/>
        </w:rPr>
        <w:t>ix</w:t>
      </w:r>
      <w:proofErr w:type="spellEnd"/>
      <w:r w:rsidRPr="7EF3A662">
        <w:rPr>
          <w:rFonts w:ascii="Verdana" w:eastAsia="Calibri" w:hAnsi="Verdana" w:cs="Arial"/>
          <w:color w:val="000000" w:themeColor="text1"/>
          <w:lang w:val="es-ES"/>
        </w:rPr>
        <w:t xml:space="preserve">) la recepción de documentos electrónicos por parte de las autoridades, x) la prueba de recepción en envío de mensajes de datos por la autoridad, xi) las sesiones virtuales y </w:t>
      </w:r>
      <w:proofErr w:type="spellStart"/>
      <w:r w:rsidRPr="7EF3A662">
        <w:rPr>
          <w:rFonts w:ascii="Verdana" w:eastAsia="Calibri" w:hAnsi="Verdana" w:cs="Arial"/>
          <w:color w:val="000000" w:themeColor="text1"/>
          <w:lang w:val="es-ES"/>
        </w:rPr>
        <w:t>xii</w:t>
      </w:r>
      <w:proofErr w:type="spellEnd"/>
      <w:r w:rsidRPr="7EF3A662">
        <w:rPr>
          <w:rFonts w:ascii="Verdana" w:eastAsia="Calibri" w:hAnsi="Verdana" w:cs="Arial"/>
          <w:color w:val="000000" w:themeColor="text1"/>
          <w:lang w:val="es-ES"/>
        </w:rPr>
        <w:t xml:space="preserve">) los estándares y protocolos. </w:t>
      </w:r>
      <w:r w:rsidRPr="7EF3A662">
        <w:rPr>
          <w:rFonts w:ascii="Verdana" w:eastAsia="Calibri" w:hAnsi="Verdana" w:cs="Arial"/>
          <w:lang w:val="es-ES"/>
        </w:rPr>
        <w:t>La utilización de los medios electrónicos regulados en la Ley 1437 de 2011 en la contratación estatal es posible, a partir de la remisión del artículo 77 de la Ley 80 de 1993 a las normas del CPACA</w:t>
      </w:r>
      <w:r w:rsidRPr="7EF3A662">
        <w:rPr>
          <w:rStyle w:val="Refdenotaalpie"/>
          <w:rFonts w:ascii="Verdana" w:eastAsia="Calibri" w:hAnsi="Verdana" w:cs="Arial"/>
          <w:lang w:val="es-ES"/>
        </w:rPr>
        <w:footnoteReference w:id="4"/>
      </w:r>
      <w:r w:rsidRPr="7EF3A662">
        <w:rPr>
          <w:rFonts w:ascii="Verdana" w:eastAsia="Calibri" w:hAnsi="Verdana" w:cs="Arial"/>
          <w:lang w:val="es-ES"/>
        </w:rPr>
        <w:t xml:space="preserve">, </w:t>
      </w:r>
      <w:proofErr w:type="gramStart"/>
      <w:r w:rsidRPr="7EF3A662">
        <w:rPr>
          <w:rFonts w:ascii="Verdana" w:eastAsia="Calibri" w:hAnsi="Verdana" w:cs="Arial"/>
          <w:lang w:val="es-ES"/>
        </w:rPr>
        <w:t>que</w:t>
      </w:r>
      <w:proofErr w:type="gramEnd"/>
      <w:r w:rsidRPr="7EF3A662">
        <w:rPr>
          <w:rFonts w:ascii="Verdana" w:eastAsia="Calibri" w:hAnsi="Verdana" w:cs="Arial"/>
          <w:lang w:val="es-ES"/>
        </w:rPr>
        <w:t xml:space="preserve"> a su vez, como se indicó, remite a las disposiciones de la Ley 527 de 1999. </w:t>
      </w:r>
    </w:p>
    <w:p w14:paraId="214BA607" w14:textId="77777777" w:rsidR="00594225" w:rsidRPr="00F95B1D" w:rsidRDefault="00594225" w:rsidP="00594225">
      <w:pPr>
        <w:spacing w:after="120" w:line="276" w:lineRule="auto"/>
        <w:ind w:firstLine="708"/>
        <w:jc w:val="both"/>
        <w:rPr>
          <w:rFonts w:ascii="Verdana" w:eastAsia="Calibri" w:hAnsi="Verdana" w:cs="Arial"/>
          <w:lang w:val="es-ES_tradnl"/>
        </w:rPr>
      </w:pPr>
      <w:r w:rsidRPr="00F95B1D">
        <w:rPr>
          <w:rFonts w:ascii="Verdana" w:eastAsia="Calibri" w:hAnsi="Verdana" w:cs="Arial"/>
          <w:lang w:val="es-ES_tradnl"/>
        </w:rPr>
        <w:t xml:space="preserve">Concretamente, el precitado artículo 3 de la Ley 1150 de 2007 crea </w:t>
      </w:r>
      <w:bookmarkStart w:id="16" w:name="_Hlk56073112"/>
      <w:r w:rsidRPr="00F95B1D">
        <w:rPr>
          <w:rFonts w:ascii="Verdana" w:eastAsia="Calibri" w:hAnsi="Verdana" w:cs="Arial"/>
          <w:lang w:val="es-ES_tradnl"/>
        </w:rPr>
        <w:t>el Sistema Electrónico para la Contratación Pública</w:t>
      </w:r>
      <w:bookmarkEnd w:id="16"/>
      <w:r w:rsidRPr="00F95B1D">
        <w:rPr>
          <w:rFonts w:ascii="Verdana" w:eastAsia="Calibri" w:hAnsi="Verdana" w:cs="Arial"/>
          <w:lang w:val="es-ES_tradnl"/>
        </w:rPr>
        <w:t xml:space="preserve">, el cual –de conformidad con el artículo 3.8 del Decreto 4170 de 2011– es administrado por esta Agencia. Esta plataforma no solo es un canal de publicidad de la gestión contractual de las entidades públicas, pues también es un medio transaccional para la suscripción de contratos electrónicos. A estas dos (2) facetas del SECOP se refiere la ley citada cuando dispone, respectivamente, que “De conformidad con lo dispuesto en la Ley 527 de 1999, […] la expedición de los […] contratos y en general los actos derivados de la actividad precontractual y contractual, podrán tener lugar por medios electrónicos” y que “Contará con la información oficial de la </w:t>
      </w:r>
      <w:r w:rsidRPr="00F95B1D">
        <w:rPr>
          <w:rFonts w:ascii="Verdana" w:eastAsia="Calibri" w:hAnsi="Verdana" w:cs="Arial"/>
          <w:lang w:val="es-ES_tradnl"/>
        </w:rPr>
        <w:lastRenderedPageBreak/>
        <w:t xml:space="preserve">contratación realizada con dineros públicos, para lo cual establecerá los patrones a que haya lugar y se encargará de su difusión a través de canales electrónicos”. </w:t>
      </w:r>
    </w:p>
    <w:p w14:paraId="6E2D0EB1" w14:textId="77777777" w:rsidR="00594225" w:rsidRPr="00F95B1D" w:rsidRDefault="00594225" w:rsidP="00594225">
      <w:pPr>
        <w:spacing w:before="120" w:after="120" w:line="276" w:lineRule="auto"/>
        <w:jc w:val="both"/>
        <w:rPr>
          <w:rFonts w:ascii="Verdana" w:eastAsia="Calibri" w:hAnsi="Verdana" w:cs="Arial"/>
          <w:bCs/>
          <w:color w:val="000000" w:themeColor="text1"/>
          <w:lang w:val="es-ES_tradnl"/>
        </w:rPr>
      </w:pPr>
      <w:r w:rsidRPr="00F95B1D">
        <w:rPr>
          <w:rFonts w:ascii="Verdana" w:eastAsia="Calibri" w:hAnsi="Verdana" w:cs="Arial"/>
          <w:lang w:val="es-ES_tradnl"/>
        </w:rPr>
        <w:tab/>
        <w:t xml:space="preserve">El numeral 1.2 </w:t>
      </w:r>
      <w:r w:rsidRPr="00F95B1D">
        <w:rPr>
          <w:rFonts w:ascii="Verdana" w:eastAsia="Calibri" w:hAnsi="Verdana" w:cs="Arial"/>
        </w:rPr>
        <w:t>de la Circular Externa Única de la Agencia Nacional de Contratación Pública – Colombia Compra Eficiente dispone que el Sistema Electrónico para la Contratación Pública</w:t>
      </w:r>
      <w:r w:rsidRPr="00F95B1D">
        <w:rPr>
          <w:rFonts w:ascii="Verdana" w:eastAsia="Calibri" w:hAnsi="Verdana" w:cs="Arial"/>
          <w:lang w:val="es-ES_tradnl"/>
        </w:rPr>
        <w:t xml:space="preserve"> está compuesto por el SECOP I, el SECOP II y la Tienda Virtual del Estado Colombiano. Conforme a lo explicado en el párrafo precedente</w:t>
      </w:r>
      <w:r w:rsidRPr="00F95B1D">
        <w:rPr>
          <w:rFonts w:ascii="Verdana" w:eastAsia="Calibri" w:hAnsi="Verdana" w:cs="Arial"/>
          <w:bCs/>
          <w:color w:val="000000" w:themeColor="text1"/>
          <w:lang w:val="es-ES_tradnl"/>
        </w:rPr>
        <w:t xml:space="preserve">, el SECOP I solo funciona como medio de publicidad, es decir, no tiene carácter transaccional. Esto significa que el procedimiento contractual se adelanta fuera de la plataforma a través de un expediente físico. No obstante, las actuaciones y los documentos se convierten en electrónicos para cargarse posteriormente a la plataforma por quien tenga la función dentro de la entidad. </w:t>
      </w:r>
    </w:p>
    <w:p w14:paraId="51998653" w14:textId="77777777" w:rsidR="00594225" w:rsidRDefault="00594225" w:rsidP="00594225">
      <w:pPr>
        <w:spacing w:after="120" w:line="276" w:lineRule="auto"/>
        <w:ind w:firstLine="708"/>
        <w:jc w:val="both"/>
        <w:rPr>
          <w:rFonts w:ascii="Verdana" w:eastAsia="Calibri" w:hAnsi="Verdana" w:cs="Arial"/>
          <w:color w:val="000000" w:themeColor="text1"/>
          <w:lang w:val="es-ES"/>
        </w:rPr>
      </w:pPr>
      <w:r w:rsidRPr="7EF3A662">
        <w:rPr>
          <w:rFonts w:ascii="Verdana" w:eastAsia="Calibri" w:hAnsi="Verdana" w:cs="Arial"/>
          <w:color w:val="000000" w:themeColor="text1"/>
          <w:lang w:val="es-ES"/>
        </w:rPr>
        <w:t>En contraste, el SECOP II permite generar contratos en línea y realizar la firma electrónica de los mismos. Tiene funciones que permiten al proveedor presentar garantías y facturas; y a la entidad estatal, realizar la revisión y aprobación de ambos tipos de documentos en línea. Además, el módulo permite hacer modificaciones contractuales, tanto unilaterales como bilaterales –estas últimas son enviadas para aprobación del proveedor antes de la publicación por parte de la entidad estatal–. Para registrar el seguimiento al avance de la ejecución, el módulo de gestión contractual habilita el registro de planes de ejecución por porcentaje de avance y el cargue de documentos tanto a proveedor como a la entidad estatal, la cual puede crear usuarios para que los supervisores de los contratos carguen la información pertinente. Finalmente, la liquidación y el cierre de los expedientes contractuales también puede realizarse a través del SECOP II. Es de destacar que la plataforma tiene un módulo de búsqueda pública que permite a los ciudadanos y entes de control revisar el avance en tiempo real de cualquier contrato realizado a través del SECOP II, sin necesidad de tener usuarios creados en la plataforma.</w:t>
      </w:r>
    </w:p>
    <w:p w14:paraId="09C2F8E5" w14:textId="77777777" w:rsidR="00594225" w:rsidRPr="00F95B1D" w:rsidRDefault="00594225" w:rsidP="00594225">
      <w:pPr>
        <w:spacing w:after="0" w:line="276" w:lineRule="auto"/>
        <w:ind w:firstLine="708"/>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 xml:space="preserve">Para estos efectos, la Circular Externa Única dispone que “[…] </w:t>
      </w:r>
      <w:r w:rsidRPr="00F95B1D">
        <w:rPr>
          <w:rFonts w:ascii="Verdana" w:eastAsia="Calibri" w:hAnsi="Verdana" w:cs="Arial"/>
          <w:bCs/>
          <w:color w:val="000000" w:themeColor="text1"/>
          <w:lang w:val="es-ES_tradnl"/>
        </w:rPr>
        <w:t>Toda la etapa de gestión</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contractual está contenida en la plataforma, lo que significa que la</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Entidad y el Proveedor deben incluir en el SECOP II la información</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correspondiente que no se genere en línea (garantías, facturas, informes</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de supervisión, modificaciones, etc.)</w:t>
      </w:r>
      <w:r>
        <w:rPr>
          <w:rFonts w:ascii="Verdana" w:eastAsia="Calibri" w:hAnsi="Verdana" w:cs="Arial"/>
          <w:bCs/>
          <w:color w:val="000000" w:themeColor="text1"/>
          <w:lang w:val="es-ES_tradnl"/>
        </w:rPr>
        <w:t xml:space="preserve">”. Esto significa que, a diferencia de SECOP I, en SECOP II no es necesario un expediente físico paralelo con la gestión </w:t>
      </w:r>
      <w:r>
        <w:rPr>
          <w:rFonts w:ascii="Verdana" w:eastAsia="Calibri" w:hAnsi="Verdana" w:cs="Arial"/>
          <w:bCs/>
          <w:color w:val="000000" w:themeColor="text1"/>
          <w:lang w:val="es-ES_tradnl"/>
        </w:rPr>
        <w:lastRenderedPageBreak/>
        <w:t xml:space="preserve">contractual de los procesos adelantados. No obstante, el numeral 2 de la Circular precisa que “[…] </w:t>
      </w:r>
      <w:r w:rsidRPr="00F95B1D">
        <w:rPr>
          <w:rFonts w:ascii="Verdana" w:eastAsia="Calibri" w:hAnsi="Verdana" w:cs="Arial"/>
          <w:bCs/>
          <w:color w:val="000000" w:themeColor="text1"/>
          <w:lang w:val="es-ES_tradnl"/>
        </w:rPr>
        <w:t>En los casos en que el documento original haya sido producido en formato físico,</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la Entidad Estatal debe conservar su original por el tiempo que indiquen las Tablas</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de Retención Documental - TRD, e incorporar una copia digitalizada dentro del</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proceso de contratación en el SECOP II en cumplimiento de la obligación de</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publicidad</w:t>
      </w:r>
      <w:r>
        <w:rPr>
          <w:rFonts w:ascii="Verdana" w:eastAsia="Calibri" w:hAnsi="Verdana" w:cs="Arial"/>
          <w:bCs/>
          <w:color w:val="000000" w:themeColor="text1"/>
          <w:lang w:val="es-ES_tradnl"/>
        </w:rPr>
        <w:t>”</w:t>
      </w:r>
      <w:r w:rsidRPr="00F95B1D">
        <w:rPr>
          <w:rFonts w:ascii="Verdana" w:eastAsia="Calibri" w:hAnsi="Verdana" w:cs="Arial"/>
          <w:bCs/>
          <w:color w:val="000000" w:themeColor="text1"/>
          <w:lang w:val="es-ES_tradnl"/>
        </w:rPr>
        <w:t xml:space="preserve">.  </w:t>
      </w:r>
    </w:p>
    <w:p w14:paraId="17D31B65" w14:textId="77777777" w:rsidR="00594225" w:rsidRPr="00F95B1D" w:rsidRDefault="00594225" w:rsidP="00594225">
      <w:pPr>
        <w:spacing w:after="0" w:line="276" w:lineRule="auto"/>
        <w:jc w:val="both"/>
        <w:rPr>
          <w:rFonts w:ascii="Verdana" w:eastAsia="Calibri" w:hAnsi="Verdana" w:cs="Arial"/>
          <w:bCs/>
          <w:color w:val="000000" w:themeColor="text1"/>
          <w:lang w:val="es-ES_tradnl"/>
        </w:rPr>
      </w:pPr>
    </w:p>
    <w:p w14:paraId="18CEBFFF" w14:textId="77777777" w:rsidR="00594225" w:rsidRDefault="00594225" w:rsidP="00594225">
      <w:pPr>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iii</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EA845FE" w14:textId="77777777" w:rsidR="00594225" w:rsidRPr="00C40879" w:rsidRDefault="00594225" w:rsidP="00594225">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w:t>
      </w:r>
      <w:r>
        <w:rPr>
          <w:rFonts w:ascii="Verdana" w:eastAsia="Calibri" w:hAnsi="Verdana" w:cs="Arial"/>
          <w:bCs/>
          <w:color w:val="000000" w:themeColor="text1"/>
        </w:rPr>
        <w:t xml:space="preserve"> los aspectos puntuales d</w:t>
      </w:r>
      <w:r w:rsidRPr="00E853DE">
        <w:rPr>
          <w:rFonts w:ascii="Verdana" w:eastAsia="Calibri" w:hAnsi="Verdana" w:cs="Arial"/>
          <w:bCs/>
          <w:color w:val="000000" w:themeColor="text1"/>
        </w:rPr>
        <w:t>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28920F7F" w14:textId="77777777" w:rsidR="00594225" w:rsidRPr="00C54887" w:rsidRDefault="00594225" w:rsidP="00594225">
      <w:pPr>
        <w:widowControl w:val="0"/>
        <w:autoSpaceDE w:val="0"/>
        <w:autoSpaceDN w:val="0"/>
        <w:spacing w:after="0" w:line="276" w:lineRule="auto"/>
        <w:ind w:firstLine="708"/>
        <w:jc w:val="both"/>
        <w:rPr>
          <w:rFonts w:ascii="Verdana" w:hAnsi="Verdana" w:cs="Arial"/>
          <w:lang w:eastAsia="es-ES"/>
        </w:rPr>
      </w:pPr>
    </w:p>
    <w:bookmarkEnd w:id="4"/>
    <w:bookmarkEnd w:id="5"/>
    <w:p w14:paraId="06693609" w14:textId="77777777" w:rsidR="00594225" w:rsidRPr="001F283D" w:rsidRDefault="00594225" w:rsidP="00594225">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6"/>
    <w:p w14:paraId="0D4AA1E8" w14:textId="77777777" w:rsidR="00594225" w:rsidRPr="00593A5F" w:rsidRDefault="00594225" w:rsidP="0059422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94225" w:rsidRPr="002407CE" w14:paraId="22F608F2" w14:textId="77777777" w:rsidTr="008546E0">
        <w:trPr>
          <w:trHeight w:val="870"/>
          <w:jc w:val="center"/>
        </w:trPr>
        <w:tc>
          <w:tcPr>
            <w:tcW w:w="8647" w:type="dxa"/>
          </w:tcPr>
          <w:p w14:paraId="03320253" w14:textId="77777777" w:rsidR="00594225" w:rsidRDefault="00594225" w:rsidP="00594225">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80 de 1993, artículo 77.</w:t>
            </w:r>
          </w:p>
          <w:p w14:paraId="308FD0BE" w14:textId="77777777" w:rsidR="00594225" w:rsidRPr="00686372" w:rsidRDefault="00594225" w:rsidP="00594225">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527 de 1999, artículos 2 y 10.</w:t>
            </w:r>
          </w:p>
          <w:p w14:paraId="1847D169" w14:textId="77777777" w:rsidR="00594225" w:rsidRPr="00686372" w:rsidRDefault="00594225" w:rsidP="00594225">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 xml:space="preserve">Ley 1150 de 2007, artículos 3 y 13. </w:t>
            </w:r>
          </w:p>
          <w:p w14:paraId="16395F19" w14:textId="77777777" w:rsidR="00594225" w:rsidRPr="00FF09AA" w:rsidRDefault="00594225" w:rsidP="00594225">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Ley 1437 de 2011, artículos 5, 7, 35, 53 a 64.</w:t>
            </w:r>
          </w:p>
          <w:p w14:paraId="3201ED2B" w14:textId="77777777" w:rsidR="00594225" w:rsidRDefault="00594225" w:rsidP="00594225">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lastRenderedPageBreak/>
              <w:t>Ley 1712 de 2014, artículos 5, 6 y 11.</w:t>
            </w:r>
          </w:p>
          <w:p w14:paraId="0EF44F1C" w14:textId="77777777" w:rsidR="00594225" w:rsidRDefault="00594225" w:rsidP="00594225">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2195 de 2022, artículo 53.</w:t>
            </w:r>
          </w:p>
          <w:p w14:paraId="4D8B9965" w14:textId="77777777" w:rsidR="00594225" w:rsidRDefault="00594225" w:rsidP="00594225">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 xml:space="preserve">Decreto 1081 de 2015, artículo </w:t>
            </w:r>
            <w:r w:rsidRPr="00454E5F">
              <w:rPr>
                <w:rFonts w:ascii="Verdana" w:hAnsi="Verdana" w:cs="Arial"/>
                <w:color w:val="000000" w:themeColor="text1"/>
                <w:lang w:val="es-ES_tradnl"/>
              </w:rPr>
              <w:t>2.1.1.2.1.7</w:t>
            </w:r>
            <w:r>
              <w:rPr>
                <w:rFonts w:ascii="Verdana" w:hAnsi="Verdana" w:cs="Arial"/>
                <w:color w:val="000000" w:themeColor="text1"/>
                <w:lang w:val="es-ES_tradnl"/>
              </w:rPr>
              <w:t>.</w:t>
            </w:r>
          </w:p>
          <w:p w14:paraId="7F88A8AE" w14:textId="77777777" w:rsidR="00594225" w:rsidRPr="00686372" w:rsidRDefault="00594225" w:rsidP="00594225">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 xml:space="preserve">Decreto 1082 de 2015, artículos </w:t>
            </w:r>
            <w:r w:rsidRPr="00BB3117">
              <w:rPr>
                <w:rFonts w:ascii="Verdana" w:hAnsi="Verdana" w:cs="Arial"/>
                <w:color w:val="000000" w:themeColor="text1"/>
                <w:lang w:val="es-ES_tradnl"/>
              </w:rPr>
              <w:t>2.2.1.1.1.3.1</w:t>
            </w:r>
            <w:r>
              <w:rPr>
                <w:rFonts w:ascii="Verdana" w:hAnsi="Verdana" w:cs="Arial"/>
                <w:color w:val="000000" w:themeColor="text1"/>
                <w:lang w:val="es-ES_tradnl"/>
              </w:rPr>
              <w:t xml:space="preserve"> y </w:t>
            </w:r>
            <w:r w:rsidRPr="00F16D2E">
              <w:rPr>
                <w:rFonts w:ascii="Verdana" w:hAnsi="Verdana" w:cs="Arial"/>
              </w:rPr>
              <w:t>2.2.1.1.1.7.1</w:t>
            </w:r>
            <w:r>
              <w:rPr>
                <w:rFonts w:ascii="Verdana" w:hAnsi="Verdana" w:cs="Arial"/>
              </w:rPr>
              <w:t>.</w:t>
            </w:r>
          </w:p>
          <w:p w14:paraId="38BC181E" w14:textId="77777777" w:rsidR="00594225" w:rsidRPr="00A57FA0" w:rsidRDefault="00594225" w:rsidP="00594225">
            <w:pPr>
              <w:pStyle w:val="NormalWeb"/>
              <w:numPr>
                <w:ilvl w:val="0"/>
                <w:numId w:val="2"/>
              </w:numPr>
              <w:spacing w:before="120" w:beforeAutospacing="0" w:after="0" w:afterAutospacing="0" w:line="276" w:lineRule="auto"/>
              <w:jc w:val="both"/>
              <w:rPr>
                <w:rFonts w:ascii="Verdana" w:hAnsi="Verdana" w:cs="Arial"/>
                <w:color w:val="000000" w:themeColor="text1"/>
                <w:sz w:val="22"/>
                <w:szCs w:val="22"/>
              </w:rPr>
            </w:pPr>
            <w:r w:rsidRPr="005615D6">
              <w:rPr>
                <w:rFonts w:ascii="Verdana" w:hAnsi="Verdana" w:cs="Arial"/>
                <w:color w:val="000000" w:themeColor="text1"/>
                <w:lang w:val="es-ES_tradnl"/>
              </w:rPr>
              <w:t xml:space="preserve">Circular Externa Única del 27 de diciembre de 2023. Disponible en: </w:t>
            </w:r>
            <w:hyperlink r:id="rId11" w:history="1">
              <w:r w:rsidRPr="0097369A">
                <w:rPr>
                  <w:rStyle w:val="Hipervnculo"/>
                  <w:rFonts w:ascii="Verdana" w:hAnsi="Verdana" w:cs="Arial"/>
                  <w:lang w:val="es-ES_tradnl"/>
                </w:rPr>
                <w:t>https://www.colombiacompra.gov.co/wp-content/uploads/2024/08/circular_externa_unica_version_3_vf49.pdf</w:t>
              </w:r>
            </w:hyperlink>
            <w:r>
              <w:rPr>
                <w:rFonts w:ascii="Verdana" w:hAnsi="Verdana" w:cs="Arial"/>
                <w:color w:val="000000" w:themeColor="text1"/>
                <w:lang w:val="es-ES_tradnl"/>
              </w:rPr>
              <w:t>.</w:t>
            </w:r>
          </w:p>
        </w:tc>
      </w:tr>
    </w:tbl>
    <w:p w14:paraId="53C201C8" w14:textId="77777777" w:rsidR="00594225" w:rsidRPr="00277E26" w:rsidRDefault="00594225" w:rsidP="00594225">
      <w:pPr>
        <w:widowControl w:val="0"/>
        <w:autoSpaceDE w:val="0"/>
        <w:autoSpaceDN w:val="0"/>
        <w:spacing w:after="0" w:line="276" w:lineRule="auto"/>
        <w:jc w:val="both"/>
        <w:rPr>
          <w:rFonts w:ascii="Verdana" w:hAnsi="Verdana" w:cs="Arial"/>
        </w:rPr>
      </w:pPr>
    </w:p>
    <w:p w14:paraId="54CB35A3" w14:textId="77777777" w:rsidR="00594225" w:rsidRPr="001F283D" w:rsidRDefault="00594225" w:rsidP="00594225">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12D5A235" w14:textId="77777777" w:rsidR="00594225" w:rsidRDefault="00594225" w:rsidP="00594225">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28BC85A0" w14:textId="77777777" w:rsidR="00594225" w:rsidRPr="00724A38" w:rsidRDefault="00594225" w:rsidP="00594225">
      <w:pPr>
        <w:widowControl w:val="0"/>
        <w:autoSpaceDE w:val="0"/>
        <w:autoSpaceDN w:val="0"/>
        <w:spacing w:after="0" w:line="276" w:lineRule="auto"/>
        <w:jc w:val="both"/>
        <w:rPr>
          <w:rStyle w:val="normaltextrun"/>
          <w:rFonts w:ascii="Verdana" w:hAnsi="Verdana" w:cs="Arial"/>
          <w:shd w:val="clear" w:color="auto" w:fill="FFFFFF"/>
        </w:rPr>
      </w:pPr>
      <w:r w:rsidRPr="00003886">
        <w:rPr>
          <w:rFonts w:ascii="Verdana" w:hAnsi="Verdana" w:cs="Arial"/>
          <w:shd w:val="clear" w:color="auto" w:fill="FFFFFF"/>
        </w:rPr>
        <w:t xml:space="preserve">Esta Subdirección </w:t>
      </w:r>
      <w:r w:rsidRPr="00FF112F">
        <w:rPr>
          <w:rFonts w:ascii="Verdana" w:hAnsi="Verdana" w:cs="Arial"/>
          <w:shd w:val="clear" w:color="auto" w:fill="FFFFFF"/>
        </w:rPr>
        <w:t>se ha pronunciado sobre los fundamentos normativos del deber de publicar la documentación contractual en las Sistema Electrónico de Contratación Pública–SECOP–, han sido materia de estudio de la doctrina de esta Subdirección en los Conceptos CU-003 del 15 de enero de 2020 y CU-367 del 23 de julio de 2020, reiterado</w:t>
      </w:r>
      <w:r>
        <w:rPr>
          <w:rFonts w:ascii="Verdana" w:hAnsi="Verdana" w:cs="Arial"/>
          <w:shd w:val="clear" w:color="auto" w:fill="FFFFFF"/>
        </w:rPr>
        <w:t>s</w:t>
      </w:r>
      <w:r w:rsidRPr="00FF112F">
        <w:rPr>
          <w:rFonts w:ascii="Verdana" w:hAnsi="Verdana" w:cs="Arial"/>
          <w:shd w:val="clear" w:color="auto" w:fill="FFFFFF"/>
        </w:rPr>
        <w:t xml:space="preserve">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C-074 del 10 de marzo de 2022, C-083 del 18 de marzo de 2022, C-124 del 22 de marzo de 2022, C-457 del 24 de octubre de 2023, C-460 del 30 de noviembre de 2023 y C-592 del 7 de octubre de 2024</w:t>
      </w:r>
      <w:r>
        <w:rPr>
          <w:rFonts w:ascii="Verdana" w:hAnsi="Verdana"/>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r w:rsidRPr="00724A38">
        <w:rPr>
          <w:rStyle w:val="normaltextrun"/>
          <w:rFonts w:ascii="Verdana" w:hAnsi="Verdana" w:cs="Arial"/>
          <w:color w:val="FF0000"/>
          <w:shd w:val="clear" w:color="auto" w:fill="FFFFFF"/>
          <w:lang w:val="es-ES"/>
        </w:rPr>
        <w:t xml:space="preserve"> </w:t>
      </w:r>
    </w:p>
    <w:p w14:paraId="635F11B5" w14:textId="77777777" w:rsidR="00594225" w:rsidRPr="00900D7D" w:rsidRDefault="00594225" w:rsidP="00594225">
      <w:pPr>
        <w:widowControl w:val="0"/>
        <w:autoSpaceDE w:val="0"/>
        <w:autoSpaceDN w:val="0"/>
        <w:spacing w:after="120" w:line="276" w:lineRule="auto"/>
        <w:jc w:val="both"/>
        <w:rPr>
          <w:rFonts w:ascii="Verdana" w:eastAsia="Calibri" w:hAnsi="Verdana" w:cs="Arial"/>
          <w:color w:val="000000" w:themeColor="text1"/>
          <w:lang w:eastAsia="es-ES_tradnl"/>
        </w:rPr>
      </w:pPr>
    </w:p>
    <w:p w14:paraId="51372AA3" w14:textId="77777777" w:rsidR="00594225" w:rsidRPr="00237766" w:rsidRDefault="00594225" w:rsidP="00594225">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C6B9FE8" w14:textId="77777777" w:rsidR="00594225" w:rsidRPr="008E4F36" w:rsidRDefault="00594225" w:rsidP="00594225">
      <w:pPr>
        <w:pStyle w:val="Prrafodelista"/>
        <w:numPr>
          <w:ilvl w:val="0"/>
          <w:numId w:val="3"/>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57E26850" w14:textId="77777777" w:rsidR="00594225" w:rsidRPr="008E4F36" w:rsidRDefault="00594225" w:rsidP="00594225">
      <w:pPr>
        <w:pStyle w:val="Prrafodelista"/>
        <w:numPr>
          <w:ilvl w:val="0"/>
          <w:numId w:val="3"/>
        </w:numPr>
        <w:spacing w:after="0" w:line="276" w:lineRule="auto"/>
        <w:contextualSpacing w:val="0"/>
        <w:jc w:val="both"/>
        <w:rPr>
          <w:rFonts w:ascii="Verdana" w:hAnsi="Verdana"/>
        </w:rPr>
      </w:pPr>
      <w:r w:rsidRPr="008E4F36">
        <w:rPr>
          <w:rFonts w:ascii="Verdana" w:hAnsi="Verdana"/>
        </w:rPr>
        <w:lastRenderedPageBreak/>
        <w:t>Línea en Bogotá (Mesa de servicio): +57 601 7456788</w:t>
      </w:r>
    </w:p>
    <w:p w14:paraId="23C8A785" w14:textId="77777777" w:rsidR="00594225" w:rsidRPr="008E4F36" w:rsidRDefault="00594225" w:rsidP="00594225">
      <w:pPr>
        <w:pStyle w:val="Prrafodelista"/>
        <w:numPr>
          <w:ilvl w:val="0"/>
          <w:numId w:val="3"/>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63CF66B7" w14:textId="77777777" w:rsidR="00594225" w:rsidRPr="008E4F36" w:rsidRDefault="00594225" w:rsidP="00594225">
      <w:pPr>
        <w:pStyle w:val="Prrafodelista"/>
        <w:numPr>
          <w:ilvl w:val="0"/>
          <w:numId w:val="3"/>
        </w:numPr>
        <w:spacing w:after="0" w:line="276" w:lineRule="auto"/>
        <w:contextualSpacing w:val="0"/>
        <w:jc w:val="both"/>
        <w:rPr>
          <w:rFonts w:ascii="Verdana" w:hAnsi="Verdana"/>
        </w:rPr>
      </w:pPr>
      <w:r w:rsidRPr="008E4F36">
        <w:rPr>
          <w:rFonts w:ascii="Verdana" w:hAnsi="Verdana"/>
        </w:rPr>
        <w:t xml:space="preserve">Página web: </w:t>
      </w:r>
      <w:hyperlink r:id="rId13" w:history="1">
        <w:r w:rsidRPr="008E4F36">
          <w:rPr>
            <w:rStyle w:val="Hipervnculo"/>
            <w:rFonts w:ascii="Verdana" w:hAnsi="Verdana"/>
          </w:rPr>
          <w:t>www.colombiacompra.gov.co</w:t>
        </w:r>
      </w:hyperlink>
    </w:p>
    <w:p w14:paraId="26A46CAC" w14:textId="77777777" w:rsidR="00594225" w:rsidRPr="008E4F36" w:rsidRDefault="00594225" w:rsidP="00594225">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0CE9D56F" w14:textId="77777777" w:rsidR="00594225" w:rsidRPr="008E4F36" w:rsidRDefault="00594225" w:rsidP="00594225">
      <w:pPr>
        <w:spacing w:after="0" w:line="276" w:lineRule="auto"/>
        <w:jc w:val="both"/>
        <w:rPr>
          <w:rFonts w:ascii="Verdana" w:hAnsi="Verdana"/>
        </w:rPr>
      </w:pPr>
    </w:p>
    <w:p w14:paraId="01ADB9BA" w14:textId="77777777" w:rsidR="00594225" w:rsidRPr="008E4F36" w:rsidRDefault="00594225" w:rsidP="00594225">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00BAC31B" w14:textId="77777777" w:rsidR="00594225" w:rsidRPr="008E4F36" w:rsidRDefault="00594225" w:rsidP="00594225">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17DB8E92" w14:textId="77777777" w:rsidR="00594225" w:rsidRPr="008E4F36" w:rsidRDefault="00594225" w:rsidP="00594225">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5CF94482" w14:textId="77777777" w:rsidR="00594225" w:rsidRDefault="00594225" w:rsidP="00594225">
      <w:pPr>
        <w:spacing w:before="120" w:after="0" w:line="276" w:lineRule="auto"/>
        <w:jc w:val="both"/>
        <w:rPr>
          <w:rFonts w:ascii="Verdana" w:hAnsi="Verdana"/>
        </w:rPr>
      </w:pPr>
    </w:p>
    <w:p w14:paraId="61C61542" w14:textId="77777777" w:rsidR="00594225" w:rsidRPr="00FB6C33" w:rsidRDefault="00594225" w:rsidP="00594225">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72A75D3" w14:textId="77777777" w:rsidR="00594225" w:rsidRPr="008E4F36" w:rsidRDefault="00594225" w:rsidP="00594225">
      <w:pPr>
        <w:spacing w:after="0" w:line="276" w:lineRule="auto"/>
        <w:jc w:val="both"/>
        <w:rPr>
          <w:rFonts w:ascii="Verdana" w:eastAsia="Calibri" w:hAnsi="Verdana" w:cs="Times New Roman"/>
        </w:rPr>
      </w:pPr>
    </w:p>
    <w:p w14:paraId="02F6C1E6" w14:textId="77777777" w:rsidR="00594225" w:rsidRDefault="00594225" w:rsidP="00594225">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4F794868" w14:textId="77777777" w:rsidR="00594225" w:rsidRDefault="00594225" w:rsidP="00594225">
      <w:pPr>
        <w:spacing w:after="0" w:line="256" w:lineRule="auto"/>
        <w:jc w:val="both"/>
        <w:rPr>
          <w:rFonts w:ascii="Verdana" w:eastAsia="Calibri" w:hAnsi="Verdana" w:cs="Times New Roman"/>
        </w:rPr>
      </w:pPr>
    </w:p>
    <w:p w14:paraId="0B3F6AAA" w14:textId="34CB77F2" w:rsidR="00594225" w:rsidRPr="00D10388" w:rsidRDefault="00D10388" w:rsidP="00D10388">
      <w:pPr>
        <w:spacing w:after="0" w:line="256" w:lineRule="auto"/>
        <w:jc w:val="center"/>
        <w:rPr>
          <w:noProof/>
        </w:rPr>
      </w:pPr>
      <w:r>
        <w:rPr>
          <w:rFonts w:ascii="Verdana" w:eastAsia="Times New Roman" w:hAnsi="Verdana" w:cs="Arial"/>
          <w:noProof/>
          <w:lang w:eastAsia="es-ES"/>
        </w:rPr>
        <w:drawing>
          <wp:inline distT="0" distB="0" distL="0" distR="0" wp14:anchorId="4809954A" wp14:editId="32B121FB">
            <wp:extent cx="3639058" cy="1343212"/>
            <wp:effectExtent l="0" t="0" r="0" b="0"/>
            <wp:docPr id="154929090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90905"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bookmarkEnd w:id="0"/>
      <w:bookmarkEnd w:id="1"/>
    </w:p>
    <w:p w14:paraId="1AEBAEB6" w14:textId="77777777" w:rsidR="00594225" w:rsidRDefault="00594225" w:rsidP="00594225">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94225" w:rsidRPr="002423D6" w14:paraId="65599F19" w14:textId="77777777" w:rsidTr="008546E0">
        <w:trPr>
          <w:trHeight w:val="315"/>
        </w:trPr>
        <w:tc>
          <w:tcPr>
            <w:tcW w:w="893" w:type="dxa"/>
            <w:vAlign w:val="center"/>
            <w:hideMark/>
          </w:tcPr>
          <w:p w14:paraId="5E9A435F" w14:textId="77777777" w:rsidR="00594225" w:rsidRPr="002423D6" w:rsidRDefault="00594225" w:rsidP="008546E0">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F1789BF" w14:textId="77777777" w:rsidR="00594225" w:rsidRPr="002423D6" w:rsidRDefault="00594225" w:rsidP="008546E0">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dreina Cerpa Muñoz</w:t>
            </w:r>
          </w:p>
          <w:p w14:paraId="250C565B" w14:textId="77777777" w:rsidR="00594225" w:rsidRPr="002423D6" w:rsidRDefault="00594225" w:rsidP="008546E0">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594225" w:rsidRPr="002423D6" w14:paraId="3D705093" w14:textId="77777777" w:rsidTr="008546E0">
        <w:trPr>
          <w:trHeight w:val="330"/>
        </w:trPr>
        <w:tc>
          <w:tcPr>
            <w:tcW w:w="893" w:type="dxa"/>
            <w:vAlign w:val="center"/>
            <w:hideMark/>
          </w:tcPr>
          <w:p w14:paraId="3A396B35" w14:textId="77777777" w:rsidR="00594225" w:rsidRPr="002423D6" w:rsidRDefault="00594225" w:rsidP="008546E0">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7D2A406" w14:textId="77777777" w:rsidR="00594225" w:rsidRPr="00A11861" w:rsidRDefault="00594225" w:rsidP="008546E0">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Adriana Katherine López </w:t>
            </w:r>
          </w:p>
          <w:p w14:paraId="76EB56DD" w14:textId="77777777" w:rsidR="00594225" w:rsidRPr="002423D6" w:rsidRDefault="00594225" w:rsidP="008546E0">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594225" w:rsidRPr="002423D6" w14:paraId="66805827" w14:textId="77777777" w:rsidTr="008546E0">
        <w:trPr>
          <w:trHeight w:val="300"/>
        </w:trPr>
        <w:tc>
          <w:tcPr>
            <w:tcW w:w="893" w:type="dxa"/>
            <w:vAlign w:val="center"/>
          </w:tcPr>
          <w:p w14:paraId="18CFEDA6" w14:textId="77777777" w:rsidR="00594225" w:rsidRPr="002423D6" w:rsidRDefault="00594225" w:rsidP="008546E0">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BDCAF66" w14:textId="77777777" w:rsidR="00594225" w:rsidRPr="002423D6" w:rsidRDefault="00594225" w:rsidP="008546E0">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5C41E1CD" w14:textId="77777777" w:rsidR="00594225" w:rsidRPr="002423D6" w:rsidRDefault="00594225" w:rsidP="008546E0">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53628450" w14:textId="77777777" w:rsidR="000F5A42" w:rsidRPr="005701B0" w:rsidRDefault="000F5A42" w:rsidP="005701B0"/>
    <w:sectPr w:rsidR="000F5A42" w:rsidRPr="005701B0" w:rsidSect="0013445D">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46FDC" w14:textId="77777777" w:rsidR="009D3C64" w:rsidRDefault="009D3C64">
      <w:pPr>
        <w:spacing w:after="0" w:line="240" w:lineRule="auto"/>
      </w:pPr>
      <w:r>
        <w:separator/>
      </w:r>
    </w:p>
  </w:endnote>
  <w:endnote w:type="continuationSeparator" w:id="0">
    <w:p w14:paraId="6E5E0CCF" w14:textId="77777777" w:rsidR="009D3C64" w:rsidRDefault="009D3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wis721 LtEx BT">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2996B" w14:textId="77777777" w:rsidR="0013445D" w:rsidRDefault="0013445D">
    <w:pPr>
      <w:spacing w:after="0"/>
      <w:rPr>
        <w:rFonts w:ascii="Verdana" w:hAnsi="Verdana"/>
        <w:b/>
        <w:bCs/>
        <w:sz w:val="20"/>
        <w:szCs w:val="20"/>
      </w:rPr>
    </w:pPr>
  </w:p>
  <w:p w14:paraId="21548D0C" w14:textId="77777777" w:rsidR="0013445D" w:rsidRPr="00174B77" w:rsidRDefault="0013445D">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3B3D5FB" w14:textId="77777777" w:rsidR="0013445D" w:rsidRDefault="0013445D">
    <w:pPr>
      <w:spacing w:after="0"/>
      <w:jc w:val="both"/>
      <w:rPr>
        <w:rFonts w:ascii="Verdana" w:hAnsi="Verdana"/>
        <w:sz w:val="18"/>
        <w:szCs w:val="18"/>
      </w:rPr>
    </w:pPr>
    <w:r w:rsidRPr="00E41027">
      <w:rPr>
        <w:rFonts w:ascii="Verdana" w:hAnsi="Verdana"/>
        <w:sz w:val="18"/>
        <w:szCs w:val="18"/>
      </w:rPr>
      <w:t>Dirección: Carrera 7 # 26 – 20 - Bogotá, Colombia</w:t>
    </w:r>
  </w:p>
  <w:p w14:paraId="6524E91B" w14:textId="77777777" w:rsidR="0013445D" w:rsidRPr="00E41027" w:rsidRDefault="0013445D">
    <w:pPr>
      <w:spacing w:after="0"/>
      <w:jc w:val="both"/>
      <w:rPr>
        <w:rFonts w:ascii="Verdana" w:hAnsi="Verdana"/>
        <w:sz w:val="18"/>
        <w:szCs w:val="18"/>
      </w:rPr>
    </w:pPr>
    <w:r w:rsidRPr="00E41027">
      <w:rPr>
        <w:rFonts w:ascii="Verdana" w:hAnsi="Verdana"/>
        <w:sz w:val="18"/>
        <w:szCs w:val="18"/>
      </w:rPr>
      <w:t>Mesa de servicio: (+57) 601 7456788</w:t>
    </w:r>
  </w:p>
  <w:p w14:paraId="540F925D" w14:textId="77777777" w:rsidR="0013445D" w:rsidRDefault="0013445D">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746EE6A7" w14:textId="77777777" w:rsidR="0013445D" w:rsidRPr="007D04B2" w:rsidRDefault="0013445D">
    <w:pPr>
      <w:pStyle w:val="Piedepgina"/>
    </w:pPr>
  </w:p>
  <w:p w14:paraId="5D9391F2" w14:textId="77777777" w:rsidR="0013445D" w:rsidRPr="000849D5" w:rsidRDefault="0013445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04395" w14:textId="77777777" w:rsidR="009D3C64" w:rsidRDefault="009D3C64">
      <w:pPr>
        <w:spacing w:after="0" w:line="240" w:lineRule="auto"/>
      </w:pPr>
      <w:r>
        <w:separator/>
      </w:r>
    </w:p>
  </w:footnote>
  <w:footnote w:type="continuationSeparator" w:id="0">
    <w:p w14:paraId="66A96C59" w14:textId="77777777" w:rsidR="009D3C64" w:rsidRDefault="009D3C64">
      <w:pPr>
        <w:spacing w:after="0" w:line="240" w:lineRule="auto"/>
      </w:pPr>
      <w:r>
        <w:continuationSeparator/>
      </w:r>
    </w:p>
  </w:footnote>
  <w:footnote w:id="1">
    <w:p w14:paraId="259CCEEA" w14:textId="77777777" w:rsidR="00594225" w:rsidRPr="00F16D2E" w:rsidRDefault="00594225" w:rsidP="00594225">
      <w:pPr>
        <w:pStyle w:val="Textonotapie"/>
        <w:ind w:right="49" w:firstLine="709"/>
        <w:jc w:val="both"/>
        <w:rPr>
          <w:rFonts w:ascii="Verdana" w:hAnsi="Verdana" w:cs="Arial"/>
          <w:color w:val="000000" w:themeColor="text1"/>
          <w:sz w:val="16"/>
          <w:szCs w:val="16"/>
        </w:rPr>
      </w:pPr>
      <w:r w:rsidRPr="00F16D2E">
        <w:rPr>
          <w:rStyle w:val="Refdenotaalpie"/>
          <w:rFonts w:ascii="Verdana" w:hAnsi="Verdana" w:cs="Arial"/>
          <w:color w:val="000000" w:themeColor="text1"/>
          <w:sz w:val="16"/>
          <w:szCs w:val="16"/>
        </w:rPr>
        <w:footnoteRef/>
      </w:r>
      <w:r w:rsidRPr="00F16D2E">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0BBAA93F" w14:textId="77777777" w:rsidR="00594225" w:rsidRPr="00F16D2E" w:rsidRDefault="00594225" w:rsidP="00594225">
      <w:pPr>
        <w:pStyle w:val="Textonotapie"/>
        <w:ind w:right="49" w:firstLine="709"/>
        <w:jc w:val="both"/>
        <w:rPr>
          <w:rFonts w:ascii="Verdana" w:hAnsi="Verdana" w:cs="Arial"/>
          <w:color w:val="000000" w:themeColor="text1"/>
          <w:sz w:val="16"/>
          <w:szCs w:val="16"/>
        </w:rPr>
      </w:pPr>
      <w:r w:rsidRPr="00F16D2E">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footnote>
  <w:footnote w:id="2">
    <w:p w14:paraId="12FB9F3F" w14:textId="77777777" w:rsidR="00594225" w:rsidRPr="00F16D2E" w:rsidRDefault="00594225" w:rsidP="00594225">
      <w:pPr>
        <w:pStyle w:val="Textonotapie"/>
        <w:ind w:right="49" w:firstLine="709"/>
        <w:jc w:val="both"/>
        <w:rPr>
          <w:rFonts w:ascii="Verdana" w:hAnsi="Verdana" w:cs="Arial"/>
          <w:color w:val="000000" w:themeColor="text1"/>
          <w:sz w:val="16"/>
          <w:szCs w:val="16"/>
        </w:rPr>
      </w:pPr>
      <w:r w:rsidRPr="00F16D2E">
        <w:rPr>
          <w:rFonts w:ascii="Verdana" w:hAnsi="Verdana" w:cs="Arial"/>
          <w:color w:val="000000" w:themeColor="text1"/>
          <w:sz w:val="16"/>
          <w:szCs w:val="16"/>
          <w:vertAlign w:val="superscript"/>
          <w:lang w:val="es-ES" w:eastAsia="es-ES"/>
        </w:rPr>
        <w:footnoteRef/>
      </w:r>
      <w:r w:rsidRPr="00F16D2E">
        <w:rPr>
          <w:rFonts w:ascii="Verdana" w:hAnsi="Verdana" w:cs="Arial"/>
          <w:color w:val="000000" w:themeColor="text1"/>
          <w:sz w:val="16"/>
          <w:szCs w:val="16"/>
          <w:vertAlign w:val="superscript"/>
          <w:lang w:val="es-ES" w:eastAsia="es-ES"/>
        </w:rPr>
        <w:t xml:space="preserve"> </w:t>
      </w:r>
      <w:r w:rsidRPr="00F16D2E">
        <w:rPr>
          <w:rFonts w:ascii="Verdana" w:hAnsi="Verdana" w:cs="Arial"/>
          <w:color w:val="000000" w:themeColor="text1"/>
          <w:sz w:val="16"/>
          <w:szCs w:val="16"/>
          <w:lang w:val="es-ES" w:eastAsia="es-ES"/>
        </w:rPr>
        <w:t>“</w:t>
      </w:r>
      <w:r w:rsidRPr="00F16D2E">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5A18E0B1" w14:textId="77777777" w:rsidR="00594225" w:rsidRPr="00F16D2E" w:rsidRDefault="00594225" w:rsidP="00594225">
      <w:pPr>
        <w:pStyle w:val="Textonotapie"/>
        <w:ind w:right="49" w:firstLine="709"/>
        <w:jc w:val="both"/>
        <w:rPr>
          <w:rFonts w:ascii="Verdana" w:hAnsi="Verdana" w:cs="Arial"/>
          <w:color w:val="000000" w:themeColor="text1"/>
          <w:sz w:val="16"/>
          <w:szCs w:val="16"/>
          <w:lang w:val="es-ES" w:eastAsia="es-ES"/>
        </w:rPr>
      </w:pPr>
      <w:r w:rsidRPr="00F16D2E">
        <w:rPr>
          <w:rFonts w:ascii="Verdana" w:hAnsi="Verdana" w:cs="Arial"/>
          <w:color w:val="000000" w:themeColor="text1"/>
          <w:sz w:val="16"/>
          <w:szCs w:val="16"/>
        </w:rPr>
        <w:t>[…].</w:t>
      </w:r>
    </w:p>
    <w:p w14:paraId="0770D7F9" w14:textId="77777777" w:rsidR="00594225" w:rsidRPr="00F16D2E" w:rsidRDefault="00594225" w:rsidP="00594225">
      <w:pPr>
        <w:pStyle w:val="Textonotapie"/>
        <w:ind w:right="49" w:firstLine="709"/>
        <w:jc w:val="both"/>
        <w:rPr>
          <w:rFonts w:ascii="Verdana" w:hAnsi="Verdana" w:cs="Arial"/>
          <w:color w:val="000000" w:themeColor="text1"/>
          <w:sz w:val="16"/>
          <w:szCs w:val="16"/>
          <w:lang w:val="es-ES" w:eastAsia="es-ES"/>
        </w:rPr>
      </w:pPr>
      <w:r w:rsidRPr="00F16D2E">
        <w:rPr>
          <w:rFonts w:ascii="Verdana" w:hAnsi="Verdana" w:cs="Arial"/>
          <w:color w:val="000000" w:themeColor="text1"/>
          <w:sz w:val="16"/>
          <w:szCs w:val="16"/>
          <w:lang w:val="es-ES" w:eastAsia="es-ES"/>
        </w:rPr>
        <w:t xml:space="preserve">Los sujetos obligados que contratan con recursos públicos y recursos </w:t>
      </w:r>
      <w:r w:rsidRPr="00F16D2E">
        <w:rPr>
          <w:rFonts w:ascii="Verdana" w:hAnsi="Verdana" w:cs="Arial"/>
          <w:color w:val="000000" w:themeColor="text1"/>
          <w:sz w:val="16"/>
          <w:szCs w:val="16"/>
          <w:lang w:val="es-ES" w:eastAsia="es-ES"/>
        </w:rPr>
        <w:t>privados, deben publicar la información de su gestión contractual con cargo a recursos públicos en el Sistema Electrónico para la Contratación Pública [SECOP]”.</w:t>
      </w:r>
    </w:p>
  </w:footnote>
  <w:footnote w:id="3">
    <w:p w14:paraId="0F1A0DA1" w14:textId="77777777" w:rsidR="00594225" w:rsidRPr="00F16D2E" w:rsidRDefault="00594225" w:rsidP="00594225">
      <w:pPr>
        <w:pStyle w:val="Textonotapie"/>
        <w:ind w:right="49" w:firstLine="708"/>
        <w:jc w:val="both"/>
        <w:rPr>
          <w:rFonts w:ascii="Verdana" w:hAnsi="Verdana" w:cs="Arial"/>
          <w:color w:val="000000" w:themeColor="text1"/>
          <w:sz w:val="16"/>
          <w:szCs w:val="16"/>
        </w:rPr>
      </w:pPr>
      <w:r w:rsidRPr="00F16D2E">
        <w:rPr>
          <w:rStyle w:val="Refdenotaalpie"/>
          <w:rFonts w:ascii="Verdana" w:hAnsi="Verdana" w:cs="Arial"/>
          <w:color w:val="000000" w:themeColor="text1"/>
          <w:sz w:val="16"/>
          <w:szCs w:val="16"/>
        </w:rPr>
        <w:footnoteRef/>
      </w:r>
      <w:r w:rsidRPr="00F16D2E">
        <w:rPr>
          <w:rFonts w:ascii="Verdana" w:hAnsi="Verdana" w:cs="Arial"/>
          <w:color w:val="000000" w:themeColor="text1"/>
          <w:sz w:val="16"/>
          <w:szCs w:val="16"/>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7589865E" w14:textId="77777777" w:rsidR="00594225" w:rsidRPr="00F16D2E" w:rsidRDefault="00594225" w:rsidP="00594225">
      <w:pPr>
        <w:pStyle w:val="Textonotapie"/>
        <w:ind w:right="49" w:firstLine="708"/>
        <w:jc w:val="both"/>
        <w:rPr>
          <w:rFonts w:ascii="Verdana" w:hAnsi="Verdana" w:cs="Arial"/>
          <w:color w:val="000000" w:themeColor="text1"/>
          <w:sz w:val="16"/>
          <w:szCs w:val="16"/>
          <w:lang w:val="es-ES"/>
        </w:rPr>
      </w:pPr>
      <w:r w:rsidRPr="00F16D2E">
        <w:rPr>
          <w:rFonts w:ascii="Verdana" w:hAnsi="Verdana" w:cs="Arial"/>
          <w:color w:val="000000" w:themeColor="text1"/>
          <w:sz w:val="16"/>
          <w:szCs w:val="16"/>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4">
    <w:p w14:paraId="37F4BCC9" w14:textId="77777777" w:rsidR="00594225" w:rsidRPr="00CE0BDF" w:rsidRDefault="00594225" w:rsidP="00594225">
      <w:pPr>
        <w:pStyle w:val="Textonotapie"/>
        <w:ind w:firstLine="709"/>
        <w:jc w:val="both"/>
        <w:rPr>
          <w:rFonts w:ascii="Arial" w:hAnsi="Arial" w:cs="Arial"/>
          <w:sz w:val="18"/>
          <w:szCs w:val="18"/>
        </w:rPr>
      </w:pPr>
      <w:r w:rsidRPr="00CE0BDF">
        <w:rPr>
          <w:rStyle w:val="Refdenotaalpie"/>
          <w:rFonts w:ascii="Arial" w:hAnsi="Arial" w:cs="Arial"/>
          <w:sz w:val="18"/>
          <w:szCs w:val="18"/>
        </w:rPr>
        <w:footnoteRef/>
      </w:r>
      <w:r w:rsidRPr="00CE0BDF">
        <w:rPr>
          <w:rFonts w:ascii="Arial" w:hAnsi="Arial" w:cs="Arial"/>
          <w:sz w:val="18"/>
          <w:szCs w:val="18"/>
        </w:rPr>
        <w:t xml:space="preserve"> El artículo 77 de la Ley 80 de 1993 dispone: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42FB2F94" w14:textId="77777777" w:rsidR="00594225" w:rsidRPr="00CE0BDF" w:rsidRDefault="00594225" w:rsidP="00594225">
      <w:pPr>
        <w:pStyle w:val="Textonotapie"/>
        <w:ind w:firstLine="709"/>
        <w:jc w:val="both"/>
        <w:rPr>
          <w:rFonts w:ascii="Arial" w:hAnsi="Arial" w:cs="Arial"/>
          <w:sz w:val="18"/>
          <w:szCs w:val="18"/>
        </w:rPr>
      </w:pPr>
      <w:r w:rsidRPr="00CE0BDF">
        <w:rPr>
          <w:rFonts w:ascii="Arial" w:hAnsi="Arial" w:cs="Arial"/>
          <w:sz w:val="18"/>
          <w:szCs w:val="18"/>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395D2253" w14:textId="77777777" w:rsidR="00594225" w:rsidRDefault="00594225" w:rsidP="00594225">
      <w:pPr>
        <w:pStyle w:val="Textonotapie"/>
        <w:ind w:firstLine="709"/>
        <w:jc w:val="both"/>
        <w:rPr>
          <w:rFonts w:ascii="Arial" w:hAnsi="Arial" w:cs="Arial"/>
          <w:sz w:val="19"/>
          <w:szCs w:val="19"/>
        </w:rPr>
      </w:pPr>
      <w:r w:rsidRPr="00CE0BDF">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E5E5" w14:textId="77777777" w:rsidR="0013445D" w:rsidRDefault="0013445D">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EA94EC1" wp14:editId="003F2925">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21A1A8E" wp14:editId="0E7970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2AA476D" w14:textId="77777777" w:rsidR="0013445D" w:rsidRDefault="0013445D">
    <w:pPr>
      <w:pStyle w:val="Encabezado"/>
    </w:pPr>
  </w:p>
  <w:p w14:paraId="1982F425" w14:textId="77777777" w:rsidR="0013445D" w:rsidRDefault="0013445D">
    <w:pPr>
      <w:pStyle w:val="Encabezado"/>
    </w:pPr>
  </w:p>
  <w:p w14:paraId="4FDCF739" w14:textId="77777777" w:rsidR="0013445D" w:rsidRPr="00515FB5" w:rsidRDefault="0013445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51985141" o:spid="_x0000_i1025" type="#_x0000_t75" style="width:11.1pt;height:11.1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3" w15:restartNumberingAfterBreak="0">
    <w:nsid w:val="703F7329"/>
    <w:multiLevelType w:val="hybridMultilevel"/>
    <w:tmpl w:val="327AFF7E"/>
    <w:lvl w:ilvl="0" w:tplc="CB3A0CBE">
      <w:start w:val="1"/>
      <w:numFmt w:val="decimal"/>
      <w:lvlText w:val="%1."/>
      <w:lvlJc w:val="left"/>
      <w:pPr>
        <w:ind w:left="1144" w:hanging="360"/>
      </w:pPr>
      <w:rPr>
        <w:rFonts w:hint="default"/>
      </w:rPr>
    </w:lvl>
    <w:lvl w:ilvl="1" w:tplc="240A0019" w:tentative="1">
      <w:start w:val="1"/>
      <w:numFmt w:val="lowerLetter"/>
      <w:lvlText w:val="%2."/>
      <w:lvlJc w:val="left"/>
      <w:pPr>
        <w:ind w:left="1864" w:hanging="360"/>
      </w:pPr>
    </w:lvl>
    <w:lvl w:ilvl="2" w:tplc="240A001B" w:tentative="1">
      <w:start w:val="1"/>
      <w:numFmt w:val="lowerRoman"/>
      <w:lvlText w:val="%3."/>
      <w:lvlJc w:val="right"/>
      <w:pPr>
        <w:ind w:left="2584" w:hanging="180"/>
      </w:pPr>
    </w:lvl>
    <w:lvl w:ilvl="3" w:tplc="240A000F" w:tentative="1">
      <w:start w:val="1"/>
      <w:numFmt w:val="decimal"/>
      <w:lvlText w:val="%4."/>
      <w:lvlJc w:val="left"/>
      <w:pPr>
        <w:ind w:left="3304" w:hanging="360"/>
      </w:pPr>
    </w:lvl>
    <w:lvl w:ilvl="4" w:tplc="240A0019" w:tentative="1">
      <w:start w:val="1"/>
      <w:numFmt w:val="lowerLetter"/>
      <w:lvlText w:val="%5."/>
      <w:lvlJc w:val="left"/>
      <w:pPr>
        <w:ind w:left="4024" w:hanging="360"/>
      </w:pPr>
    </w:lvl>
    <w:lvl w:ilvl="5" w:tplc="240A001B" w:tentative="1">
      <w:start w:val="1"/>
      <w:numFmt w:val="lowerRoman"/>
      <w:lvlText w:val="%6."/>
      <w:lvlJc w:val="right"/>
      <w:pPr>
        <w:ind w:left="4744" w:hanging="180"/>
      </w:pPr>
    </w:lvl>
    <w:lvl w:ilvl="6" w:tplc="240A000F" w:tentative="1">
      <w:start w:val="1"/>
      <w:numFmt w:val="decimal"/>
      <w:lvlText w:val="%7."/>
      <w:lvlJc w:val="left"/>
      <w:pPr>
        <w:ind w:left="5464" w:hanging="360"/>
      </w:pPr>
    </w:lvl>
    <w:lvl w:ilvl="7" w:tplc="240A0019" w:tentative="1">
      <w:start w:val="1"/>
      <w:numFmt w:val="lowerLetter"/>
      <w:lvlText w:val="%8."/>
      <w:lvlJc w:val="left"/>
      <w:pPr>
        <w:ind w:left="6184" w:hanging="360"/>
      </w:pPr>
    </w:lvl>
    <w:lvl w:ilvl="8" w:tplc="240A001B" w:tentative="1">
      <w:start w:val="1"/>
      <w:numFmt w:val="lowerRoman"/>
      <w:lvlText w:val="%9."/>
      <w:lvlJc w:val="right"/>
      <w:pPr>
        <w:ind w:left="6904" w:hanging="180"/>
      </w:pPr>
    </w:lvl>
  </w:abstractNum>
  <w:num w:numId="1" w16cid:durableId="341274352">
    <w:abstractNumId w:val="0"/>
  </w:num>
  <w:num w:numId="2" w16cid:durableId="679089576">
    <w:abstractNumId w:val="1"/>
  </w:num>
  <w:num w:numId="3" w16cid:durableId="390349800">
    <w:abstractNumId w:val="2"/>
  </w:num>
  <w:num w:numId="4" w16cid:durableId="19693872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45D"/>
    <w:rsid w:val="00012872"/>
    <w:rsid w:val="0002025F"/>
    <w:rsid w:val="00044309"/>
    <w:rsid w:val="000E5936"/>
    <w:rsid w:val="000F0F12"/>
    <w:rsid w:val="000F5A42"/>
    <w:rsid w:val="00106CDD"/>
    <w:rsid w:val="0013445D"/>
    <w:rsid w:val="00154DCF"/>
    <w:rsid w:val="002227D5"/>
    <w:rsid w:val="002240E3"/>
    <w:rsid w:val="00297B16"/>
    <w:rsid w:val="002D55FB"/>
    <w:rsid w:val="002D71D5"/>
    <w:rsid w:val="003E5DF5"/>
    <w:rsid w:val="003F5CA0"/>
    <w:rsid w:val="004049C5"/>
    <w:rsid w:val="004A140A"/>
    <w:rsid w:val="005701B0"/>
    <w:rsid w:val="00594225"/>
    <w:rsid w:val="005F47D3"/>
    <w:rsid w:val="00607DF7"/>
    <w:rsid w:val="00661A60"/>
    <w:rsid w:val="006B4269"/>
    <w:rsid w:val="006D3956"/>
    <w:rsid w:val="006F1EF5"/>
    <w:rsid w:val="00706121"/>
    <w:rsid w:val="00751617"/>
    <w:rsid w:val="007A7B87"/>
    <w:rsid w:val="007E19AC"/>
    <w:rsid w:val="008108C9"/>
    <w:rsid w:val="0081135E"/>
    <w:rsid w:val="00813054"/>
    <w:rsid w:val="00841E2C"/>
    <w:rsid w:val="00887C1E"/>
    <w:rsid w:val="008B7040"/>
    <w:rsid w:val="008D76C6"/>
    <w:rsid w:val="00913B32"/>
    <w:rsid w:val="00940336"/>
    <w:rsid w:val="00952237"/>
    <w:rsid w:val="009548C7"/>
    <w:rsid w:val="0096747F"/>
    <w:rsid w:val="009A40E0"/>
    <w:rsid w:val="009B4E0C"/>
    <w:rsid w:val="009D3C64"/>
    <w:rsid w:val="00A12218"/>
    <w:rsid w:val="00A90678"/>
    <w:rsid w:val="00AF7DE2"/>
    <w:rsid w:val="00B07594"/>
    <w:rsid w:val="00B61AD9"/>
    <w:rsid w:val="00B73F07"/>
    <w:rsid w:val="00BB0F31"/>
    <w:rsid w:val="00BE0AFA"/>
    <w:rsid w:val="00C055B3"/>
    <w:rsid w:val="00C05705"/>
    <w:rsid w:val="00C40879"/>
    <w:rsid w:val="00C93CB7"/>
    <w:rsid w:val="00C95729"/>
    <w:rsid w:val="00CC501F"/>
    <w:rsid w:val="00CE0BDF"/>
    <w:rsid w:val="00D0467C"/>
    <w:rsid w:val="00D06420"/>
    <w:rsid w:val="00D10388"/>
    <w:rsid w:val="00D724B4"/>
    <w:rsid w:val="00E135CA"/>
    <w:rsid w:val="00E36B10"/>
    <w:rsid w:val="00E72510"/>
    <w:rsid w:val="00EC0E3E"/>
    <w:rsid w:val="00F43D01"/>
    <w:rsid w:val="00F77CD1"/>
    <w:rsid w:val="00FB2B31"/>
    <w:rsid w:val="00FD049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55927"/>
  <w15:chartTrackingRefBased/>
  <w15:docId w15:val="{1A7F305F-885B-4EA3-9CEC-81B2B13CB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45D"/>
    <w:rPr>
      <w:kern w:val="0"/>
      <w14:ligatures w14:val="none"/>
    </w:rPr>
  </w:style>
  <w:style w:type="paragraph" w:styleId="Ttulo1">
    <w:name w:val="heading 1"/>
    <w:basedOn w:val="Normal"/>
    <w:next w:val="Normal"/>
    <w:link w:val="Ttulo1Car"/>
    <w:uiPriority w:val="9"/>
    <w:qFormat/>
    <w:rsid w:val="001344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344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3445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3445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3445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3445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3445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3445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3445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3445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3445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3445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3445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3445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3445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3445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3445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3445D"/>
    <w:rPr>
      <w:rFonts w:eastAsiaTheme="majorEastAsia" w:cstheme="majorBidi"/>
      <w:color w:val="272727" w:themeColor="text1" w:themeTint="D8"/>
    </w:rPr>
  </w:style>
  <w:style w:type="paragraph" w:styleId="Ttulo">
    <w:name w:val="Title"/>
    <w:basedOn w:val="Normal"/>
    <w:next w:val="Normal"/>
    <w:link w:val="TtuloCar"/>
    <w:uiPriority w:val="10"/>
    <w:qFormat/>
    <w:rsid w:val="001344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3445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3445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3445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3445D"/>
    <w:pPr>
      <w:spacing w:before="160"/>
      <w:jc w:val="center"/>
    </w:pPr>
    <w:rPr>
      <w:i/>
      <w:iCs/>
      <w:color w:val="404040" w:themeColor="text1" w:themeTint="BF"/>
    </w:rPr>
  </w:style>
  <w:style w:type="character" w:customStyle="1" w:styleId="CitaCar">
    <w:name w:val="Cita Car"/>
    <w:basedOn w:val="Fuentedeprrafopredeter"/>
    <w:link w:val="Cita"/>
    <w:uiPriority w:val="29"/>
    <w:rsid w:val="0013445D"/>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13445D"/>
    <w:pPr>
      <w:ind w:left="720"/>
      <w:contextualSpacing/>
    </w:pPr>
  </w:style>
  <w:style w:type="character" w:styleId="nfasisintenso">
    <w:name w:val="Intense Emphasis"/>
    <w:basedOn w:val="Fuentedeprrafopredeter"/>
    <w:uiPriority w:val="21"/>
    <w:qFormat/>
    <w:rsid w:val="0013445D"/>
    <w:rPr>
      <w:i/>
      <w:iCs/>
      <w:color w:val="0F4761" w:themeColor="accent1" w:themeShade="BF"/>
    </w:rPr>
  </w:style>
  <w:style w:type="paragraph" w:styleId="Citadestacada">
    <w:name w:val="Intense Quote"/>
    <w:basedOn w:val="Normal"/>
    <w:next w:val="Normal"/>
    <w:link w:val="CitadestacadaCar"/>
    <w:uiPriority w:val="30"/>
    <w:qFormat/>
    <w:rsid w:val="001344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3445D"/>
    <w:rPr>
      <w:i/>
      <w:iCs/>
      <w:color w:val="0F4761" w:themeColor="accent1" w:themeShade="BF"/>
    </w:rPr>
  </w:style>
  <w:style w:type="character" w:styleId="Referenciaintensa">
    <w:name w:val="Intense Reference"/>
    <w:basedOn w:val="Fuentedeprrafopredeter"/>
    <w:uiPriority w:val="32"/>
    <w:qFormat/>
    <w:rsid w:val="0013445D"/>
    <w:rPr>
      <w:b/>
      <w:bCs/>
      <w:smallCaps/>
      <w:color w:val="0F4761" w:themeColor="accent1" w:themeShade="BF"/>
      <w:spacing w:val="5"/>
    </w:rPr>
  </w:style>
  <w:style w:type="paragraph" w:styleId="Encabezado">
    <w:name w:val="header"/>
    <w:basedOn w:val="Normal"/>
    <w:link w:val="EncabezadoCar"/>
    <w:uiPriority w:val="99"/>
    <w:unhideWhenUsed/>
    <w:rsid w:val="0013445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445D"/>
    <w:rPr>
      <w:kern w:val="0"/>
      <w14:ligatures w14:val="none"/>
    </w:rPr>
  </w:style>
  <w:style w:type="paragraph" w:styleId="Piedepgina">
    <w:name w:val="footer"/>
    <w:basedOn w:val="Normal"/>
    <w:link w:val="PiedepginaCar"/>
    <w:uiPriority w:val="99"/>
    <w:unhideWhenUsed/>
    <w:rsid w:val="0013445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3445D"/>
    <w:rPr>
      <w:kern w:val="0"/>
      <w14:ligatures w14:val="none"/>
    </w:rPr>
  </w:style>
  <w:style w:type="table" w:styleId="Tablaconcuadrcula">
    <w:name w:val="Table Grid"/>
    <w:basedOn w:val="Tablanormal"/>
    <w:uiPriority w:val="39"/>
    <w:qFormat/>
    <w:rsid w:val="0013445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3445D"/>
    <w:rPr>
      <w:color w:val="467886" w:themeColor="hyperlink"/>
      <w:u w:val="single"/>
    </w:rPr>
  </w:style>
  <w:style w:type="character" w:customStyle="1" w:styleId="normaltextrun">
    <w:name w:val="normaltextrun"/>
    <w:basedOn w:val="Fuentedeprrafopredeter"/>
    <w:rsid w:val="0013445D"/>
  </w:style>
  <w:style w:type="character" w:customStyle="1" w:styleId="eop">
    <w:name w:val="eop"/>
    <w:basedOn w:val="Fuentedeprrafopredeter"/>
    <w:rsid w:val="0013445D"/>
  </w:style>
  <w:style w:type="paragraph" w:customStyle="1" w:styleId="paragraph">
    <w:name w:val="paragraph"/>
    <w:basedOn w:val="Normal"/>
    <w:rsid w:val="0013445D"/>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3445D"/>
  </w:style>
  <w:style w:type="paragraph" w:styleId="NormalWeb">
    <w:name w:val="Normal (Web)"/>
    <w:basedOn w:val="Normal"/>
    <w:link w:val="NormalWebCar"/>
    <w:uiPriority w:val="99"/>
    <w:unhideWhenUsed/>
    <w:rsid w:val="0013445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13445D"/>
    <w:rPr>
      <w:rFonts w:ascii="Times New Roman" w:eastAsia="Times New Roman" w:hAnsi="Times New Roman" w:cs="Times New Roman"/>
      <w:kern w:val="0"/>
      <w:sz w:val="24"/>
      <w:szCs w:val="24"/>
      <w:lang w:eastAsia="es-CO"/>
      <w14:ligatures w14:val="none"/>
    </w:rPr>
  </w:style>
  <w:style w:type="character" w:styleId="Mencinsinresolver">
    <w:name w:val="Unresolved Mention"/>
    <w:basedOn w:val="Fuentedeprrafopredeter"/>
    <w:uiPriority w:val="99"/>
    <w:semiHidden/>
    <w:unhideWhenUsed/>
    <w:rsid w:val="00012872"/>
    <w:rPr>
      <w:color w:val="605E5C"/>
      <w:shd w:val="clear" w:color="auto" w:fill="E1DFDD"/>
    </w:rPr>
  </w:style>
  <w:style w:type="paragraph" w:customStyle="1" w:styleId="Default">
    <w:name w:val="Default"/>
    <w:rsid w:val="004049C5"/>
    <w:pPr>
      <w:autoSpaceDE w:val="0"/>
      <w:autoSpaceDN w:val="0"/>
      <w:adjustRightInd w:val="0"/>
      <w:spacing w:after="0" w:line="240" w:lineRule="auto"/>
    </w:pPr>
    <w:rPr>
      <w:rFonts w:ascii="Swis721 LtEx BT" w:hAnsi="Swis721 LtEx BT" w:cs="Swis721 LtEx BT"/>
      <w:color w:val="000000"/>
      <w:kern w:val="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4087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C40879"/>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C40879"/>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40879"/>
    <w:rPr>
      <w:vertAlign w:val="superscript"/>
    </w:rPr>
  </w:style>
  <w:style w:type="paragraph" w:customStyle="1" w:styleId="Appelnotedebasde">
    <w:name w:val="Appel note de bas de..."/>
    <w:basedOn w:val="Normal"/>
    <w:link w:val="Refdenotaalpie"/>
    <w:uiPriority w:val="99"/>
    <w:rsid w:val="00C40879"/>
    <w:pPr>
      <w:spacing w:line="240" w:lineRule="exact"/>
    </w:pPr>
    <w:rPr>
      <w:kern w:val="2"/>
      <w:vertAlign w:val="superscript"/>
      <w14:ligatures w14:val="standardContextual"/>
    </w:rPr>
  </w:style>
  <w:style w:type="character" w:customStyle="1" w:styleId="s15">
    <w:name w:val="s15"/>
    <w:basedOn w:val="Fuentedeprrafopredeter"/>
    <w:rsid w:val="002240E3"/>
  </w:style>
  <w:style w:type="paragraph" w:customStyle="1" w:styleId="s16">
    <w:name w:val="s16"/>
    <w:basedOn w:val="Normal"/>
    <w:rsid w:val="002240E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2240E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224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lombiacompra.gov.c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wp-content/uploads/2024/08/circular_externa_unica_version_3_vf49.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BA778F-682A-4568-9608-084909D90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A4BA4A-8C01-4EDA-BF09-53F29AC84DE1}">
  <ds:schemaRefs>
    <ds:schemaRef ds:uri="http://schemas.microsoft.com/sharepoint/v3/contenttype/forms"/>
  </ds:schemaRefs>
</ds:datastoreItem>
</file>

<file path=customXml/itemProps3.xml><?xml version="1.0" encoding="utf-8"?>
<ds:datastoreItem xmlns:ds="http://schemas.openxmlformats.org/officeDocument/2006/customXml" ds:itemID="{8A1DD0D2-AAB0-43D1-B82F-DDE7A288406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291</TotalTime>
  <Pages>20</Pages>
  <Words>6451</Words>
  <Characters>35486</Characters>
  <Application>Microsoft Office Word</Application>
  <DocSecurity>0</DocSecurity>
  <Lines>295</Lines>
  <Paragraphs>83</Paragraphs>
  <ScaleCrop>false</ScaleCrop>
  <Company/>
  <LinksUpToDate>false</LinksUpToDate>
  <CharactersWithSpaces>41854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55</cp:revision>
  <dcterms:created xsi:type="dcterms:W3CDTF">2026-08-20T14:54:00Z</dcterms:created>
  <dcterms:modified xsi:type="dcterms:W3CDTF">2026-09-08T13:35:00Z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