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FDEBC" w14:textId="77777777" w:rsidR="00995A0C" w:rsidRPr="004A0841" w:rsidRDefault="00995A0C" w:rsidP="00995A0C">
      <w:pPr>
        <w:spacing w:after="0" w:line="240" w:lineRule="auto"/>
        <w:jc w:val="both"/>
        <w:rPr>
          <w:rFonts w:ascii="Verdana" w:hAnsi="Verdana" w:cs="Arial"/>
          <w:b/>
          <w:bCs/>
          <w:color w:val="000000"/>
          <w:lang w:val="es-ES"/>
        </w:rPr>
      </w:pPr>
      <w:r w:rsidRPr="004A0841">
        <w:rPr>
          <w:rFonts w:ascii="Verdana" w:hAnsi="Verdana" w:cs="Arial"/>
          <w:b/>
          <w:bCs/>
          <w:color w:val="000000"/>
          <w:lang w:val="es-ES"/>
        </w:rPr>
        <w:t>PERFECCIONAMIENTO DEL CONTRATO ESTATAL – Reserva legal – Modificaciones bilaterales</w:t>
      </w:r>
    </w:p>
    <w:p w14:paraId="38A0D173" w14:textId="77777777" w:rsidR="00995A0C" w:rsidRDefault="00995A0C" w:rsidP="00995A0C">
      <w:pPr>
        <w:spacing w:after="0" w:line="240" w:lineRule="auto"/>
        <w:jc w:val="both"/>
        <w:rPr>
          <w:rFonts w:ascii="Verdana" w:hAnsi="Verdana" w:cs="Arial"/>
          <w:b/>
          <w:bCs/>
          <w:color w:val="000000"/>
          <w:lang w:val="es-ES"/>
        </w:rPr>
      </w:pPr>
    </w:p>
    <w:p w14:paraId="0C900BFC" w14:textId="77777777" w:rsidR="00995A0C" w:rsidRPr="004A0841" w:rsidRDefault="00995A0C" w:rsidP="00995A0C">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perfeccionamiento del contrato estatal se rige por el inciso primero del artículo 41 de la Ley 80 de 1993: se produce cuando se logra acuerdo sobre el objeto y la contraprestación y este se eleva a escrito. Son, pues, tres los elementos exigidos: el acuerdo sobre el objeto, el acuerdo sobre la contraprestación y que ese acuerdo se eleve a escrito. La misma regla gobierna las modificaciones bilaterales, que participan de la naturaleza convencional del contrato que modifican. Los requisitos de existencia y validez del contrato son materia de reserva legal, de manera que ni el reglamento, ni una circular, ni las funcionalidades de una plataforma electrónica pueden adicionar un tercer requisito de perfeccionamiento no previsto por el legislador.</w:t>
      </w:r>
    </w:p>
    <w:p w14:paraId="0D2888E8" w14:textId="77777777" w:rsidR="00995A0C" w:rsidRDefault="00995A0C" w:rsidP="00995A0C">
      <w:pPr>
        <w:spacing w:after="0" w:line="240" w:lineRule="auto"/>
        <w:jc w:val="both"/>
        <w:rPr>
          <w:rFonts w:ascii="Verdana" w:hAnsi="Verdana" w:cs="Arial"/>
          <w:b/>
          <w:bCs/>
          <w:color w:val="000000"/>
          <w:lang w:val="es-ES"/>
        </w:rPr>
      </w:pPr>
    </w:p>
    <w:p w14:paraId="6718F542" w14:textId="77777777" w:rsidR="00995A0C" w:rsidRPr="003C29F1" w:rsidRDefault="00995A0C" w:rsidP="00995A0C">
      <w:pPr>
        <w:spacing w:after="0" w:line="240" w:lineRule="auto"/>
        <w:jc w:val="both"/>
        <w:rPr>
          <w:rFonts w:ascii="Verdana" w:hAnsi="Verdana" w:cs="Arial"/>
          <w:b/>
          <w:color w:val="000000"/>
          <w:lang w:val="es-ES"/>
        </w:rPr>
      </w:pPr>
      <w:r w:rsidRPr="003C29F1">
        <w:rPr>
          <w:rFonts w:ascii="Verdana" w:hAnsi="Verdana" w:cs="Arial"/>
          <w:b/>
          <w:color w:val="000000"/>
          <w:lang w:val="es-ES"/>
        </w:rPr>
        <w:t>SECOP II – Uso transaccional – Regla general – Excepciones</w:t>
      </w:r>
    </w:p>
    <w:p w14:paraId="4385E208" w14:textId="77777777" w:rsidR="00995A0C" w:rsidRDefault="00995A0C" w:rsidP="00995A0C">
      <w:pPr>
        <w:spacing w:after="0" w:line="240" w:lineRule="auto"/>
        <w:jc w:val="both"/>
        <w:rPr>
          <w:rFonts w:ascii="Verdana" w:hAnsi="Verdana" w:cs="Arial"/>
          <w:b/>
          <w:bCs/>
          <w:color w:val="000000"/>
          <w:lang w:val="es-ES"/>
        </w:rPr>
      </w:pPr>
    </w:p>
    <w:p w14:paraId="023D2CD2" w14:textId="77777777" w:rsidR="00995A0C" w:rsidRPr="004A0841" w:rsidRDefault="00995A0C" w:rsidP="00995A0C">
      <w:pPr>
        <w:spacing w:after="0" w:line="240" w:lineRule="auto"/>
        <w:jc w:val="both"/>
        <w:rPr>
          <w:rFonts w:ascii="Verdana" w:hAnsi="Verdana" w:cs="Arial"/>
          <w:bCs/>
          <w:color w:val="000000"/>
          <w:sz w:val="20"/>
          <w:lang w:val="es-ES"/>
        </w:rPr>
      </w:pPr>
      <w:r>
        <w:rPr>
          <w:rFonts w:ascii="Verdana" w:hAnsi="Verdana" w:cs="Arial"/>
          <w:bCs/>
          <w:color w:val="000000"/>
          <w:sz w:val="20"/>
          <w:lang w:val="es-ES"/>
        </w:rPr>
        <w:t>Por regla general, las actuaciones del proceso de contratación deben surtirse en el SECOP II y de manera transaccional. En ejercicio de las funciones de los numerales 2, 5 y 8 del artículo 3 del Decreto Ley 4170 de 2011, la Agencia ha dispuesto mediante circulares externas de obligatorio cumplimiento que los procesos de contratación de las entidades allí relacionadas “deberán gestionarse, exclusivamente en el SECOP II”, para todas las modalidades de selección del Estatuto General de Contratación de la Administración Pública y también para los procesos de régimen especial. El uso publicitario de la plataforma es excepcional y opera en tres supuestos: el de las entidades a las que aún no les ha entrado a regir la obligatoriedad —definida gradualmente según criterios de conectividad y alistamiento tecnológico—, el de las entidades de régimen exceptuado, sobre las que pesa el deber de publicar del artículo 13 de la Ley 1150 de 2007, y el de las actuaciones expresamente excluidas de la medida. De ello se sigue que, en la regla general, la fecha en que el acuerdo se eleva a escrito y la de su registro coinciden.</w:t>
      </w:r>
    </w:p>
    <w:p w14:paraId="7FED1494" w14:textId="77777777" w:rsidR="00995A0C" w:rsidRDefault="00995A0C" w:rsidP="00995A0C">
      <w:pPr>
        <w:spacing w:after="0" w:line="240" w:lineRule="auto"/>
        <w:jc w:val="both"/>
        <w:rPr>
          <w:rFonts w:ascii="Verdana" w:hAnsi="Verdana" w:cs="Arial"/>
          <w:b/>
          <w:bCs/>
          <w:color w:val="000000"/>
          <w:lang w:val="es-ES"/>
        </w:rPr>
      </w:pPr>
    </w:p>
    <w:p w14:paraId="453B7CFC" w14:textId="77777777" w:rsidR="00995A0C" w:rsidRPr="004A0841" w:rsidRDefault="00995A0C" w:rsidP="00995A0C">
      <w:pPr>
        <w:spacing w:after="0" w:line="240" w:lineRule="auto"/>
        <w:jc w:val="both"/>
        <w:rPr>
          <w:rFonts w:ascii="Verdana" w:hAnsi="Verdana" w:cs="Arial"/>
          <w:b/>
          <w:bCs/>
          <w:color w:val="000000"/>
          <w:lang w:val="es-ES"/>
        </w:rPr>
      </w:pPr>
      <w:r w:rsidRPr="004A0841">
        <w:rPr>
          <w:rFonts w:ascii="Verdana" w:hAnsi="Verdana" w:cs="Arial"/>
          <w:b/>
          <w:bCs/>
          <w:color w:val="000000"/>
          <w:lang w:val="es-ES"/>
        </w:rPr>
        <w:t>SECOP II – Carácter transaccional – Alcance y fuente normativa</w:t>
      </w:r>
    </w:p>
    <w:p w14:paraId="1636ACB0" w14:textId="77777777" w:rsidR="00995A0C" w:rsidRDefault="00995A0C" w:rsidP="00995A0C">
      <w:pPr>
        <w:spacing w:after="0" w:line="240" w:lineRule="auto"/>
        <w:jc w:val="both"/>
        <w:rPr>
          <w:rFonts w:ascii="Verdana" w:hAnsi="Verdana" w:cs="Arial"/>
          <w:b/>
          <w:bCs/>
          <w:color w:val="000000"/>
          <w:lang w:val="es-ES"/>
        </w:rPr>
      </w:pPr>
    </w:p>
    <w:p w14:paraId="4A8B86F2" w14:textId="77777777" w:rsidR="00995A0C" w:rsidRPr="004A0841" w:rsidRDefault="00995A0C" w:rsidP="00995A0C">
      <w:pPr>
        <w:spacing w:after="0" w:line="240" w:lineRule="auto"/>
        <w:jc w:val="both"/>
        <w:rPr>
          <w:rFonts w:ascii="Verdana" w:hAnsi="Verdana" w:cs="Arial"/>
          <w:bCs/>
          <w:color w:val="000000"/>
          <w:sz w:val="20"/>
          <w:lang w:val="es-ES"/>
        </w:rPr>
      </w:pPr>
      <w:r>
        <w:rPr>
          <w:rFonts w:ascii="Verdana" w:hAnsi="Verdana" w:cs="Arial"/>
          <w:bCs/>
          <w:color w:val="000000"/>
          <w:sz w:val="20"/>
          <w:lang w:val="es-ES"/>
        </w:rPr>
        <w:t>Sin perjuicio de que su uso transaccional sea la regla general, debe precisarse la fuente de esa caracterización. El artículo 2.2.1.1.1.3.1 del Decreto 1082 de 2015 no define el SECOP II ni lo califica como plataforma transaccional: se limita a definir el SECOP por remisión al artículo 3 de la Ley 1150 de 2007. La caracterización del SECOP II como plataforma “esencialmente transaccional” proviene del numeral 1.2 de la Circular Externa Única de la Agencia. Esa caracterización describe una capacidad operativa —que las actuaciones puedan tramitarse en línea y de forma concomitante a su publicidad—, no una regla sobre el nacimiento de los actos. Prueba de ello es que la propia Circular admite que las entidades creen documentos por fuera de la plataforma para incorporarlos después, y distingue expresamente entre un uso transaccional y un uso publicitario de la plataforma.</w:t>
      </w:r>
    </w:p>
    <w:p w14:paraId="65C4D5CB" w14:textId="77777777" w:rsidR="00995A0C" w:rsidRDefault="00995A0C" w:rsidP="00995A0C">
      <w:pPr>
        <w:spacing w:after="0" w:line="240" w:lineRule="auto"/>
        <w:jc w:val="both"/>
        <w:rPr>
          <w:rFonts w:ascii="Verdana" w:hAnsi="Verdana" w:cs="Arial"/>
          <w:b/>
          <w:bCs/>
          <w:color w:val="000000"/>
          <w:lang w:val="es-ES"/>
        </w:rPr>
      </w:pPr>
    </w:p>
    <w:p w14:paraId="4B4AAB75" w14:textId="77777777" w:rsidR="00995A0C" w:rsidRPr="004A0841" w:rsidRDefault="00995A0C" w:rsidP="00995A0C">
      <w:pPr>
        <w:spacing w:after="0" w:line="240" w:lineRule="auto"/>
        <w:jc w:val="both"/>
        <w:rPr>
          <w:rFonts w:ascii="Verdana" w:hAnsi="Verdana" w:cs="Arial"/>
          <w:b/>
          <w:bCs/>
          <w:color w:val="000000"/>
          <w:lang w:val="es-ES"/>
        </w:rPr>
      </w:pPr>
      <w:r w:rsidRPr="004A0841">
        <w:rPr>
          <w:rFonts w:ascii="Verdana" w:hAnsi="Verdana" w:cs="Arial"/>
          <w:b/>
          <w:bCs/>
          <w:color w:val="000000"/>
          <w:lang w:val="es-ES"/>
        </w:rPr>
        <w:t>PUBLICIDAD EN EL SECOP – Naturaleza declarativa – No constitutiva</w:t>
      </w:r>
    </w:p>
    <w:p w14:paraId="0AA071C3" w14:textId="77777777" w:rsidR="00995A0C" w:rsidRDefault="00995A0C" w:rsidP="00995A0C">
      <w:pPr>
        <w:spacing w:after="0" w:line="240" w:lineRule="auto"/>
        <w:jc w:val="both"/>
        <w:rPr>
          <w:rFonts w:ascii="Verdana" w:hAnsi="Verdana" w:cs="Arial"/>
          <w:b/>
          <w:bCs/>
          <w:color w:val="000000"/>
          <w:lang w:val="es-ES"/>
        </w:rPr>
      </w:pPr>
    </w:p>
    <w:p w14:paraId="4838F98A" w14:textId="77777777" w:rsidR="00995A0C" w:rsidRPr="004A0841" w:rsidRDefault="00995A0C" w:rsidP="00995A0C">
      <w:pPr>
        <w:spacing w:after="0" w:line="240" w:lineRule="auto"/>
        <w:jc w:val="both"/>
        <w:rPr>
          <w:rFonts w:ascii="Verdana" w:hAnsi="Verdana" w:cs="Arial"/>
          <w:bCs/>
          <w:color w:val="000000"/>
          <w:sz w:val="20"/>
          <w:lang w:val="es-ES"/>
        </w:rPr>
      </w:pPr>
      <w:r>
        <w:rPr>
          <w:rFonts w:ascii="Verdana" w:hAnsi="Verdana" w:cs="Arial"/>
          <w:bCs/>
          <w:color w:val="000000"/>
          <w:sz w:val="20"/>
          <w:lang w:val="es-ES"/>
        </w:rPr>
        <w:lastRenderedPageBreak/>
        <w:t>La publicación en el SECOP es un deber legal cuyo incumplimiento genera responsabilidad, pero no un requisito de existencia, validez o perfeccionamiento del acto publicado. Así se desprende del propio texto del artículo 2.2.1.1.1.7.1 del Decreto 1082 de 2015, que ordena publicar los Documentos del Proceso “dentro de los tres (3) días siguientes a su expedición”: la norma presupone que el documento existe antes de ser publicado, pues de otro modo el plazo carecería de punto de partida. En el mismo sentido, el artículo 13 de la Ley 1150 de 2007, adicionado por el artículo 53 de la Ley 2195 de 2022, formula la vinculación al SECOP II como un deber de publicar.</w:t>
      </w:r>
    </w:p>
    <w:p w14:paraId="4CCA09B6" w14:textId="77777777" w:rsidR="00995A0C" w:rsidRDefault="00995A0C" w:rsidP="00995A0C">
      <w:pPr>
        <w:spacing w:after="0" w:line="240" w:lineRule="auto"/>
        <w:jc w:val="both"/>
        <w:rPr>
          <w:rFonts w:ascii="Verdana" w:hAnsi="Verdana" w:cs="Arial"/>
          <w:b/>
          <w:bCs/>
          <w:color w:val="000000"/>
          <w:lang w:val="es-ES"/>
        </w:rPr>
      </w:pPr>
    </w:p>
    <w:p w14:paraId="7DE35824" w14:textId="77777777" w:rsidR="00995A0C" w:rsidRPr="004A0841" w:rsidRDefault="00995A0C" w:rsidP="00995A0C">
      <w:pPr>
        <w:spacing w:after="0" w:line="240" w:lineRule="auto"/>
        <w:jc w:val="both"/>
        <w:rPr>
          <w:rFonts w:ascii="Verdana" w:hAnsi="Verdana" w:cs="Arial"/>
          <w:b/>
          <w:bCs/>
          <w:color w:val="000000"/>
          <w:lang w:val="es-ES"/>
        </w:rPr>
      </w:pPr>
      <w:r w:rsidRPr="004A0841">
        <w:rPr>
          <w:rFonts w:ascii="Verdana" w:hAnsi="Verdana" w:cs="Arial"/>
          <w:b/>
          <w:bCs/>
          <w:color w:val="000000"/>
          <w:lang w:val="es-ES"/>
        </w:rPr>
        <w:t>MODIFICACIÓN CONTRACTUAL – Fecha de perfeccionamiento – Criterio del instrumento</w:t>
      </w:r>
    </w:p>
    <w:p w14:paraId="15B952CB" w14:textId="77777777" w:rsidR="00995A0C" w:rsidRDefault="00995A0C" w:rsidP="00995A0C">
      <w:pPr>
        <w:spacing w:after="0" w:line="240" w:lineRule="auto"/>
        <w:jc w:val="both"/>
        <w:rPr>
          <w:rFonts w:ascii="Verdana" w:hAnsi="Verdana" w:cs="Arial"/>
          <w:b/>
          <w:bCs/>
          <w:color w:val="000000"/>
          <w:lang w:val="es-ES"/>
        </w:rPr>
      </w:pPr>
    </w:p>
    <w:p w14:paraId="01A9F703" w14:textId="77777777" w:rsidR="00995A0C" w:rsidRPr="004A0841" w:rsidRDefault="00995A0C" w:rsidP="00995A0C">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fecha en que se perfecciona una modificación bilateral no se determina en abstracto optando entre “el documento” y “la plataforma”, sino identificando dónde se elevó a escrito el acuerdo. Si las partes lo instrumentaron por fuera de la plataforma —en documento físico o electrónico—, la modificación quedó perfeccionada en esa fecha y el cargue posterior en el SECOP II cumple una función de publicidad e incorporación al expediente electrónico. Si, en cambio, las partes optaron por instrumentarlo en línea, el escrito es el documento electrónico y el perfeccionamiento coincide con la suscripción electrónica en la plataforma.</w:t>
      </w:r>
    </w:p>
    <w:p w14:paraId="7075E995" w14:textId="77777777" w:rsidR="00995A0C" w:rsidRDefault="00995A0C" w:rsidP="00995A0C">
      <w:pPr>
        <w:spacing w:after="0" w:line="240" w:lineRule="auto"/>
        <w:jc w:val="both"/>
        <w:rPr>
          <w:rFonts w:ascii="Verdana" w:hAnsi="Verdana" w:cs="Arial"/>
          <w:b/>
          <w:bCs/>
          <w:color w:val="000000"/>
          <w:lang w:val="es-ES"/>
        </w:rPr>
      </w:pPr>
    </w:p>
    <w:p w14:paraId="768EDB82" w14:textId="77777777" w:rsidR="00995A0C" w:rsidRPr="004A0841" w:rsidRDefault="00995A0C" w:rsidP="00995A0C">
      <w:pPr>
        <w:spacing w:after="0" w:line="240" w:lineRule="auto"/>
        <w:jc w:val="both"/>
        <w:rPr>
          <w:rFonts w:ascii="Verdana" w:hAnsi="Verdana" w:cs="Arial"/>
          <w:b/>
          <w:bCs/>
          <w:color w:val="000000"/>
          <w:lang w:val="es-ES"/>
        </w:rPr>
      </w:pPr>
      <w:r w:rsidRPr="004A0841">
        <w:rPr>
          <w:rFonts w:ascii="Verdana" w:hAnsi="Verdana" w:cs="Arial"/>
          <w:b/>
          <w:bCs/>
          <w:color w:val="000000"/>
          <w:lang w:val="es-ES"/>
        </w:rPr>
        <w:t>EQUIVALENCIA FUNCIONAL – Ley 527 de 1999 – Medios electrónicos</w:t>
      </w:r>
    </w:p>
    <w:p w14:paraId="6188027C" w14:textId="77777777" w:rsidR="00995A0C" w:rsidRDefault="00995A0C" w:rsidP="00995A0C">
      <w:pPr>
        <w:spacing w:after="0" w:line="240" w:lineRule="auto"/>
        <w:jc w:val="both"/>
        <w:rPr>
          <w:rFonts w:ascii="Verdana" w:hAnsi="Verdana" w:cs="Arial"/>
          <w:b/>
          <w:bCs/>
          <w:color w:val="000000"/>
          <w:lang w:val="es-ES"/>
        </w:rPr>
      </w:pPr>
    </w:p>
    <w:p w14:paraId="39D43D6B" w14:textId="77777777" w:rsidR="00995A0C" w:rsidRPr="004A0841" w:rsidRDefault="00995A0C" w:rsidP="00995A0C">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artículo 3 de la Ley 1150 de 2007 dispone que, de conformidad con la Ley 527 de 1999, la sustanciación de las actuaciones, la expedición de los actos administrativos, los documentos y los contratos derivados de la actividad precontractual y contractual “podrán” tener lugar por medios electrónicos. El verbo empleado es facultativo, lo que confirma que el medio electrónico es una vía habilitada y no una condición de existencia. En virtud del principio de equivalencia funcional, el documento electrónico y el documento en papel producen los mismos efectos jurídicos, sin que el empleo de medios electrónicos afecte la validez o el surgimiento del acto.</w:t>
      </w:r>
    </w:p>
    <w:p w14:paraId="1E44FAB4" w14:textId="77777777" w:rsidR="00995A0C" w:rsidRDefault="00995A0C" w:rsidP="00995A0C">
      <w:pPr>
        <w:spacing w:after="0" w:line="240" w:lineRule="auto"/>
        <w:jc w:val="both"/>
        <w:rPr>
          <w:rFonts w:ascii="Verdana" w:hAnsi="Verdana" w:cs="Arial"/>
          <w:b/>
          <w:bCs/>
          <w:color w:val="000000"/>
          <w:lang w:val="es-ES"/>
        </w:rPr>
      </w:pPr>
    </w:p>
    <w:p w14:paraId="57529425" w14:textId="77777777" w:rsidR="00995A0C" w:rsidRPr="004A0841" w:rsidRDefault="00995A0C" w:rsidP="00995A0C">
      <w:pPr>
        <w:spacing w:after="0" w:line="240" w:lineRule="auto"/>
        <w:jc w:val="both"/>
        <w:rPr>
          <w:rFonts w:ascii="Verdana" w:hAnsi="Verdana" w:cs="Arial"/>
          <w:b/>
          <w:bCs/>
          <w:color w:val="000000"/>
          <w:lang w:val="es-ES"/>
        </w:rPr>
      </w:pPr>
      <w:r w:rsidRPr="004A0841">
        <w:rPr>
          <w:rFonts w:ascii="Verdana" w:hAnsi="Verdana" w:cs="Arial"/>
          <w:b/>
          <w:bCs/>
          <w:color w:val="000000"/>
          <w:lang w:val="es-ES"/>
        </w:rPr>
        <w:t>PUBLICIDAD – Plazo de tres días – Actuaciones con aprobación bilateral en línea</w:t>
      </w:r>
    </w:p>
    <w:p w14:paraId="160A3798" w14:textId="77777777" w:rsidR="00995A0C" w:rsidRDefault="00995A0C" w:rsidP="00995A0C">
      <w:pPr>
        <w:spacing w:after="0" w:line="240" w:lineRule="auto"/>
        <w:jc w:val="both"/>
        <w:rPr>
          <w:rFonts w:ascii="Verdana" w:hAnsi="Verdana" w:cs="Arial"/>
          <w:b/>
          <w:bCs/>
          <w:color w:val="000000"/>
          <w:lang w:val="es-ES"/>
        </w:rPr>
      </w:pPr>
    </w:p>
    <w:p w14:paraId="21038821" w14:textId="77777777" w:rsidR="00995A0C" w:rsidRPr="004A0841" w:rsidRDefault="00995A0C" w:rsidP="00995A0C">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plazo de tres días del artículo 2.2.1.1.1.7.1 del Decreto 1082 de 2015 se cuenta desde la expedición del documento y, conforme a la Circular Externa Única, se aplica en el SECOP II a los documentos que no se generan en línea. Cuando la modificación se suscribe por fuera de la plataforma, el término corre desde su suscripción: el flujo de reconocimiento y aprobación electrónica de la contraparte es una condición operativa del cargue, no una causal de suspensión ni de prórroga del deber de publicidad. Cuando la modificación se tramita en línea, trámite y publicidad son concomitantes y el problema no se presenta.</w:t>
      </w:r>
    </w:p>
    <w:p w14:paraId="1F8A1F86" w14:textId="77777777" w:rsidR="00995A0C" w:rsidRDefault="00995A0C" w:rsidP="00995A0C">
      <w:pPr>
        <w:spacing w:after="0" w:line="240" w:lineRule="auto"/>
        <w:jc w:val="both"/>
        <w:rPr>
          <w:rFonts w:ascii="Verdana" w:hAnsi="Verdana" w:cs="Arial"/>
          <w:b/>
          <w:bCs/>
          <w:color w:val="000000"/>
          <w:lang w:val="es-ES"/>
        </w:rPr>
      </w:pPr>
    </w:p>
    <w:p w14:paraId="10E820BD" w14:textId="77777777" w:rsidR="00995A0C" w:rsidRPr="004A0841" w:rsidRDefault="00995A0C" w:rsidP="00995A0C">
      <w:pPr>
        <w:spacing w:after="0" w:line="240" w:lineRule="auto"/>
        <w:jc w:val="both"/>
        <w:rPr>
          <w:rFonts w:ascii="Verdana" w:hAnsi="Verdana" w:cs="Arial"/>
          <w:b/>
          <w:bCs/>
          <w:color w:val="000000"/>
          <w:lang w:val="es-ES"/>
        </w:rPr>
      </w:pPr>
      <w:r w:rsidRPr="004A0841">
        <w:rPr>
          <w:rFonts w:ascii="Verdana" w:hAnsi="Verdana" w:cs="Arial"/>
          <w:b/>
          <w:bCs/>
          <w:color w:val="000000"/>
          <w:lang w:val="es-ES"/>
        </w:rPr>
        <w:lastRenderedPageBreak/>
        <w:t>REQUISITOS HABILITANTES – Contratos en ejecución – Criterio sustancial</w:t>
      </w:r>
    </w:p>
    <w:p w14:paraId="343CA9F5" w14:textId="77777777" w:rsidR="00995A0C" w:rsidRDefault="00995A0C" w:rsidP="00995A0C">
      <w:pPr>
        <w:spacing w:after="0" w:line="240" w:lineRule="auto"/>
        <w:jc w:val="both"/>
        <w:rPr>
          <w:rFonts w:ascii="Verdana" w:hAnsi="Verdana" w:cs="Arial"/>
          <w:b/>
          <w:bCs/>
          <w:color w:val="000000"/>
          <w:lang w:val="es-ES"/>
        </w:rPr>
      </w:pPr>
    </w:p>
    <w:p w14:paraId="1650F7CB" w14:textId="77777777" w:rsidR="00995A0C" w:rsidRPr="004A0841" w:rsidRDefault="00995A0C" w:rsidP="00995A0C">
      <w:pPr>
        <w:spacing w:after="0" w:line="240" w:lineRule="auto"/>
        <w:jc w:val="both"/>
        <w:rPr>
          <w:rFonts w:ascii="Verdana" w:hAnsi="Verdana" w:cs="Arial"/>
          <w:bCs/>
          <w:color w:val="000000"/>
          <w:sz w:val="20"/>
          <w:lang w:val="es-ES"/>
        </w:rPr>
      </w:pPr>
      <w:r>
        <w:rPr>
          <w:rFonts w:ascii="Verdana" w:hAnsi="Verdana" w:cs="Arial"/>
          <w:bCs/>
          <w:color w:val="000000"/>
          <w:sz w:val="20"/>
          <w:lang w:val="es-ES"/>
        </w:rPr>
        <w:t>Para establecer si un contrato se encuentra en ejecución a una fecha de corte, el criterio determinante no es un registro ni un documento formal, sino que el contrato obligue al proponente. Ese criterio, que la Agencia ha aplicado para sostener que deben reportarse los contratos aún sin acta de inicio, opera simétricamente en el extremo final: un contrato terminado por acuerdo bilateral deja de obligar desde el perfeccionamiento de ese acuerdo, con independencia del momento en que la modificación quede registrada en la plataforma. Ello sin perjuicio de que el pliego de condiciones, como ley del proceso, defina expresamente la fuente y la fecha de verificación, caso en el cual la entidad debe atenerse a lo que él disponga.</w:t>
      </w:r>
    </w:p>
    <w:p w14:paraId="3B3EEDC7" w14:textId="77777777" w:rsidR="00995A0C" w:rsidRDefault="00995A0C" w:rsidP="00995A0C">
      <w:pPr>
        <w:spacing w:after="0" w:line="240" w:lineRule="auto"/>
        <w:jc w:val="both"/>
        <w:rPr>
          <w:rFonts w:ascii="Verdana" w:hAnsi="Verdana" w:cs="Arial"/>
          <w:b/>
          <w:bCs/>
          <w:color w:val="000000"/>
          <w:lang w:val="es-ES"/>
        </w:rPr>
      </w:pPr>
    </w:p>
    <w:p w14:paraId="7834CC9F" w14:textId="77777777" w:rsidR="00995A0C" w:rsidRPr="004A0841" w:rsidRDefault="00995A0C" w:rsidP="00995A0C">
      <w:pPr>
        <w:spacing w:after="0" w:line="240" w:lineRule="auto"/>
        <w:jc w:val="both"/>
        <w:rPr>
          <w:rFonts w:ascii="Verdana" w:hAnsi="Verdana" w:cs="Arial"/>
          <w:b/>
          <w:bCs/>
          <w:color w:val="000000"/>
          <w:lang w:val="es-ES"/>
        </w:rPr>
      </w:pPr>
      <w:r w:rsidRPr="004A0841">
        <w:rPr>
          <w:rFonts w:ascii="Verdana" w:hAnsi="Verdana" w:cs="Arial"/>
          <w:b/>
          <w:bCs/>
          <w:color w:val="000000"/>
          <w:lang w:val="es-ES"/>
        </w:rPr>
        <w:t>CAUSALES DE RECHAZO – Taxatividad – Aplicación estricta</w:t>
      </w:r>
    </w:p>
    <w:p w14:paraId="1C9AEE18" w14:textId="77777777" w:rsidR="00995A0C" w:rsidRDefault="00995A0C" w:rsidP="00995A0C">
      <w:pPr>
        <w:spacing w:after="0" w:line="240" w:lineRule="auto"/>
        <w:jc w:val="both"/>
        <w:rPr>
          <w:rFonts w:ascii="Verdana" w:hAnsi="Verdana" w:cs="Arial"/>
          <w:b/>
          <w:bCs/>
          <w:color w:val="000000"/>
          <w:lang w:val="es-ES"/>
        </w:rPr>
      </w:pPr>
    </w:p>
    <w:p w14:paraId="7EACCBA2" w14:textId="77777777" w:rsidR="00995A0C" w:rsidRPr="004A0841" w:rsidRDefault="00995A0C" w:rsidP="00995A0C">
      <w:pPr>
        <w:spacing w:after="0" w:line="240" w:lineRule="auto"/>
        <w:jc w:val="both"/>
        <w:rPr>
          <w:rFonts w:ascii="Verdana" w:hAnsi="Verdana" w:cs="Arial"/>
          <w:bCs/>
          <w:color w:val="000000"/>
          <w:sz w:val="20"/>
          <w:lang w:val="es-ES"/>
        </w:rPr>
      </w:pPr>
      <w:r>
        <w:rPr>
          <w:rFonts w:ascii="Verdana" w:hAnsi="Verdana" w:cs="Arial"/>
          <w:bCs/>
          <w:color w:val="000000"/>
          <w:sz w:val="20"/>
          <w:lang w:val="es-ES"/>
        </w:rPr>
        <w:t>Las causales de rechazo de las ofertas son taxativas y de aplicación estricta, de modo que su interpretación literal prevalece sobre cualquier otra que pretenda extender su alcance. En consecuencia, una discordancia entre la fecha de suscripción de una modificación y la fecha de su registro en la plataforma no constituye por sí misma causal de rechazo si el pliego no la tipificó como tal, y la entidad debe agotar previamente la posibilidad de aclaración o subsanación.</w:t>
      </w:r>
    </w:p>
    <w:p w14:paraId="460CF98A" w14:textId="77777777" w:rsidR="00995A0C" w:rsidRDefault="00995A0C" w:rsidP="00995A0C">
      <w:pPr>
        <w:spacing w:after="0" w:line="240" w:lineRule="auto"/>
        <w:jc w:val="both"/>
        <w:rPr>
          <w:rFonts w:ascii="Verdana" w:hAnsi="Verdana" w:cs="Arial"/>
          <w:b/>
          <w:bCs/>
          <w:color w:val="000000"/>
          <w:lang w:val="es-ES"/>
        </w:rPr>
      </w:pPr>
    </w:p>
    <w:p w14:paraId="7ACE0E5A" w14:textId="77777777" w:rsidR="00995A0C" w:rsidRDefault="00995A0C" w:rsidP="00995A0C">
      <w:pPr>
        <w:spacing w:after="0" w:line="240" w:lineRule="auto"/>
        <w:rPr>
          <w:rFonts w:ascii="Verdana" w:eastAsia="Verdana" w:hAnsi="Verdana" w:cs="Verdana"/>
        </w:rPr>
      </w:pPr>
    </w:p>
    <w:p w14:paraId="4E099020" w14:textId="77777777" w:rsidR="00995A0C" w:rsidRDefault="00995A0C" w:rsidP="00995A0C">
      <w:pPr>
        <w:spacing w:after="0" w:line="240" w:lineRule="auto"/>
        <w:rPr>
          <w:rFonts w:ascii="Verdana" w:eastAsia="Verdana" w:hAnsi="Verdana" w:cs="Verdana"/>
        </w:rPr>
      </w:pPr>
    </w:p>
    <w:p w14:paraId="5FEAF803" w14:textId="77777777" w:rsidR="00995A0C" w:rsidRDefault="00995A0C" w:rsidP="00995A0C">
      <w:pPr>
        <w:spacing w:after="0" w:line="240" w:lineRule="auto"/>
        <w:rPr>
          <w:rFonts w:ascii="Verdana" w:eastAsia="Verdana" w:hAnsi="Verdana" w:cs="Verdana"/>
        </w:rPr>
      </w:pPr>
    </w:p>
    <w:p w14:paraId="54396381" w14:textId="77777777" w:rsidR="00995A0C" w:rsidRDefault="00995A0C" w:rsidP="00995A0C">
      <w:pPr>
        <w:spacing w:after="0" w:line="240" w:lineRule="auto"/>
        <w:rPr>
          <w:rFonts w:ascii="Verdana" w:eastAsia="Verdana" w:hAnsi="Verdana" w:cs="Verdana"/>
        </w:rPr>
      </w:pPr>
    </w:p>
    <w:p w14:paraId="38AB3297" w14:textId="77777777" w:rsidR="00995A0C" w:rsidRDefault="00995A0C" w:rsidP="00995A0C">
      <w:pPr>
        <w:spacing w:after="0" w:line="240" w:lineRule="auto"/>
        <w:rPr>
          <w:rFonts w:ascii="Verdana" w:eastAsia="Verdana" w:hAnsi="Verdana" w:cs="Verdana"/>
        </w:rPr>
      </w:pPr>
    </w:p>
    <w:p w14:paraId="1AC0A5D2" w14:textId="77777777" w:rsidR="00995A0C" w:rsidRDefault="00995A0C" w:rsidP="00995A0C">
      <w:pPr>
        <w:spacing w:after="0" w:line="240" w:lineRule="auto"/>
        <w:rPr>
          <w:rFonts w:ascii="Verdana" w:eastAsia="Verdana" w:hAnsi="Verdana" w:cs="Verdana"/>
        </w:rPr>
      </w:pPr>
    </w:p>
    <w:p w14:paraId="6BA63065" w14:textId="77777777" w:rsidR="00995A0C" w:rsidRDefault="00995A0C" w:rsidP="00995A0C">
      <w:pPr>
        <w:spacing w:after="0" w:line="240" w:lineRule="auto"/>
        <w:rPr>
          <w:rFonts w:ascii="Verdana" w:eastAsia="Verdana" w:hAnsi="Verdana" w:cs="Verdana"/>
        </w:rPr>
      </w:pPr>
    </w:p>
    <w:p w14:paraId="619B7AFD" w14:textId="77777777" w:rsidR="00995A0C" w:rsidRDefault="00995A0C" w:rsidP="00995A0C">
      <w:pPr>
        <w:spacing w:after="0" w:line="240" w:lineRule="auto"/>
        <w:rPr>
          <w:rFonts w:ascii="Verdana" w:eastAsia="Verdana" w:hAnsi="Verdana" w:cs="Verdana"/>
        </w:rPr>
      </w:pPr>
    </w:p>
    <w:p w14:paraId="24CA361F" w14:textId="77777777" w:rsidR="00995A0C" w:rsidRDefault="00995A0C" w:rsidP="00995A0C">
      <w:pPr>
        <w:spacing w:after="0" w:line="240" w:lineRule="auto"/>
        <w:rPr>
          <w:rFonts w:ascii="Verdana" w:eastAsia="Verdana" w:hAnsi="Verdana" w:cs="Verdana"/>
        </w:rPr>
      </w:pPr>
    </w:p>
    <w:p w14:paraId="7C8B008D" w14:textId="77777777" w:rsidR="00995A0C" w:rsidRDefault="00995A0C" w:rsidP="00995A0C">
      <w:pPr>
        <w:spacing w:after="0" w:line="240" w:lineRule="auto"/>
        <w:rPr>
          <w:rFonts w:ascii="Verdana" w:eastAsia="Verdana" w:hAnsi="Verdana" w:cs="Verdana"/>
        </w:rPr>
      </w:pPr>
    </w:p>
    <w:p w14:paraId="7BA11163" w14:textId="77777777" w:rsidR="00995A0C" w:rsidRDefault="00995A0C" w:rsidP="00995A0C">
      <w:pPr>
        <w:spacing w:after="0" w:line="240" w:lineRule="auto"/>
        <w:rPr>
          <w:rFonts w:ascii="Verdana" w:eastAsia="Verdana" w:hAnsi="Verdana" w:cs="Verdana"/>
        </w:rPr>
      </w:pPr>
    </w:p>
    <w:p w14:paraId="6D250005" w14:textId="77777777" w:rsidR="00995A0C" w:rsidRDefault="00995A0C" w:rsidP="00995A0C">
      <w:pPr>
        <w:spacing w:after="0" w:line="240" w:lineRule="auto"/>
        <w:rPr>
          <w:rFonts w:ascii="Verdana" w:eastAsia="Verdana" w:hAnsi="Verdana" w:cs="Verdana"/>
        </w:rPr>
      </w:pPr>
    </w:p>
    <w:p w14:paraId="3F7E9FCD" w14:textId="77777777" w:rsidR="00995A0C" w:rsidRDefault="00995A0C" w:rsidP="00995A0C">
      <w:pPr>
        <w:spacing w:after="0" w:line="240" w:lineRule="auto"/>
        <w:rPr>
          <w:rFonts w:ascii="Verdana" w:eastAsia="Verdana" w:hAnsi="Verdana" w:cs="Verdana"/>
        </w:rPr>
      </w:pPr>
    </w:p>
    <w:p w14:paraId="77C5492C" w14:textId="77777777" w:rsidR="00995A0C" w:rsidRDefault="00995A0C" w:rsidP="00995A0C">
      <w:pPr>
        <w:spacing w:after="0" w:line="240" w:lineRule="auto"/>
        <w:rPr>
          <w:rFonts w:ascii="Verdana" w:eastAsia="Verdana" w:hAnsi="Verdana" w:cs="Verdana"/>
        </w:rPr>
      </w:pPr>
    </w:p>
    <w:p w14:paraId="669504AF" w14:textId="77777777" w:rsidR="00995A0C" w:rsidRDefault="00995A0C" w:rsidP="00995A0C">
      <w:pPr>
        <w:rPr>
          <w:rFonts w:ascii="Verdana" w:eastAsia="Geomanist Light" w:hAnsi="Verdana" w:cs="Arial"/>
          <w:color w:val="000000" w:themeColor="text1"/>
          <w:lang w:val="es-MX"/>
        </w:rPr>
      </w:pPr>
      <w:r>
        <w:rPr>
          <w:rFonts w:ascii="Verdana" w:eastAsia="Geomanist Light" w:hAnsi="Verdana" w:cs="Arial"/>
          <w:color w:val="000000" w:themeColor="text1"/>
          <w:lang w:val="es-MX"/>
        </w:rPr>
        <w:br w:type="page"/>
      </w:r>
    </w:p>
    <w:p w14:paraId="7DE19665" w14:textId="6BAFEBFA" w:rsidR="00995A0C" w:rsidRDefault="00995A0C" w:rsidP="00995A0C">
      <w:pPr>
        <w:spacing w:after="0" w:line="240" w:lineRule="auto"/>
        <w:jc w:val="both"/>
        <w:rPr>
          <w:rFonts w:ascii="Verdana" w:eastAsia="Calibri" w:hAnsi="Verdana" w:cs="Arial"/>
          <w:color w:val="000000"/>
          <w:lang w:val="es-ES"/>
        </w:rPr>
      </w:pPr>
      <w:r w:rsidRPr="00BF7921">
        <w:rPr>
          <w:rFonts w:ascii="Verdana" w:eastAsia="Geomanist Light" w:hAnsi="Verdana" w:cs="Arial"/>
          <w:color w:val="000000" w:themeColor="text1"/>
          <w:lang w:val="es-MX"/>
        </w:rPr>
        <w:lastRenderedPageBreak/>
        <w:t xml:space="preserve">Bogotá D.C., </w:t>
      </w:r>
      <w:r w:rsidR="004E745D">
        <w:rPr>
          <w:rFonts w:ascii="Verdana" w:eastAsia="Geomanist Light" w:hAnsi="Verdana" w:cs="Arial"/>
          <w:color w:val="000000" w:themeColor="text1"/>
          <w:lang w:val="es-MX"/>
        </w:rPr>
        <w:t>11</w:t>
      </w:r>
      <w:r w:rsidRPr="00BF7921">
        <w:rPr>
          <w:rFonts w:ascii="Verdana" w:eastAsia="Geomanist Light" w:hAnsi="Verdana" w:cs="Arial"/>
          <w:color w:val="000000" w:themeColor="text1"/>
          <w:lang w:val="es-MX"/>
        </w:rPr>
        <w:t xml:space="preserve"> de </w:t>
      </w:r>
      <w:r w:rsidR="004E745D">
        <w:rPr>
          <w:rFonts w:ascii="Verdana" w:eastAsia="Geomanist Light" w:hAnsi="Verdana" w:cs="Arial"/>
          <w:color w:val="000000" w:themeColor="text1"/>
          <w:lang w:val="es-MX"/>
        </w:rPr>
        <w:t xml:space="preserve">septiembre </w:t>
      </w:r>
      <w:r w:rsidRPr="00BF7921">
        <w:rPr>
          <w:rFonts w:ascii="Verdana" w:eastAsia="Geomanist Light" w:hAnsi="Verdana" w:cs="Arial"/>
          <w:color w:val="000000" w:themeColor="text1"/>
          <w:lang w:val="es-MX"/>
        </w:rPr>
        <w:t xml:space="preserve">de </w:t>
      </w:r>
      <w:r w:rsidR="004E745D">
        <w:rPr>
          <w:rFonts w:ascii="Verdana" w:eastAsia="Geomanist Light" w:hAnsi="Verdana" w:cs="Arial"/>
          <w:color w:val="000000" w:themeColor="text1"/>
          <w:lang w:val="es-MX"/>
        </w:rPr>
        <w:t xml:space="preserve">2026 </w:t>
      </w:r>
    </w:p>
    <w:p w14:paraId="255C593A" w14:textId="77777777" w:rsidR="00995A0C" w:rsidRPr="002B4BE9" w:rsidRDefault="00995A0C" w:rsidP="00995A0C">
      <w:pPr>
        <w:spacing w:after="0" w:line="240" w:lineRule="auto"/>
        <w:rPr>
          <w:rFonts w:ascii="Verdana" w:hAnsi="Verdana"/>
        </w:rPr>
      </w:pPr>
    </w:p>
    <w:p w14:paraId="6F1F9347" w14:textId="77777777" w:rsidR="000A28E9" w:rsidRDefault="000A28E9" w:rsidP="00995A0C">
      <w:pPr>
        <w:spacing w:after="0" w:line="240" w:lineRule="auto"/>
        <w:rPr>
          <w:rFonts w:ascii="Verdana" w:eastAsia="Calibri" w:hAnsi="Verdana" w:cs="Times New Roman"/>
          <w:lang w:val="es-MX"/>
        </w:rPr>
      </w:pPr>
    </w:p>
    <w:p w14:paraId="62D7C409" w14:textId="5441D5E2" w:rsidR="00995A0C" w:rsidRPr="00524422" w:rsidRDefault="000A28E9" w:rsidP="00995A0C">
      <w:pPr>
        <w:spacing w:after="0" w:line="240" w:lineRule="auto"/>
        <w:rPr>
          <w:rFonts w:ascii="Verdana" w:eastAsia="Calibri" w:hAnsi="Verdana" w:cs="Times New Roman"/>
          <w:lang w:val="es-MX"/>
        </w:rPr>
      </w:pPr>
      <w:r w:rsidRPr="000A28E9">
        <w:rPr>
          <w:rFonts w:ascii="Verdana" w:eastAsia="Calibri" w:hAnsi="Verdana" w:cs="Times New Roman"/>
          <w:b/>
          <w:bCs/>
          <w:lang w:val="es-MX"/>
        </w:rPr>
        <w:drawing>
          <wp:anchor distT="0" distB="0" distL="114300" distR="114300" simplePos="0" relativeHeight="251658240" behindDoc="0" locked="0" layoutInCell="1" allowOverlap="1" wp14:anchorId="2CB8F79E" wp14:editId="5BCDCA22">
            <wp:simplePos x="0" y="0"/>
            <wp:positionH relativeFrom="margin">
              <wp:posOffset>2919095</wp:posOffset>
            </wp:positionH>
            <wp:positionV relativeFrom="paragraph">
              <wp:posOffset>8890</wp:posOffset>
            </wp:positionV>
            <wp:extent cx="2689225" cy="874395"/>
            <wp:effectExtent l="0" t="0" r="0" b="1905"/>
            <wp:wrapSquare wrapText="bothSides"/>
            <wp:docPr id="1680804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804271" name=""/>
                    <pic:cNvPicPr/>
                  </pic:nvPicPr>
                  <pic:blipFill>
                    <a:blip r:embed="rId10">
                      <a:extLst>
                        <a:ext uri="{28A0092B-C50C-407E-A947-70E740481C1C}">
                          <a14:useLocalDpi xmlns:a14="http://schemas.microsoft.com/office/drawing/2010/main" val="0"/>
                        </a:ext>
                      </a:extLst>
                    </a:blip>
                    <a:stretch>
                      <a:fillRect/>
                    </a:stretch>
                  </pic:blipFill>
                  <pic:spPr>
                    <a:xfrm>
                      <a:off x="0" y="0"/>
                      <a:ext cx="2689225" cy="874395"/>
                    </a:xfrm>
                    <a:prstGeom prst="rect">
                      <a:avLst/>
                    </a:prstGeom>
                  </pic:spPr>
                </pic:pic>
              </a:graphicData>
            </a:graphic>
            <wp14:sizeRelH relativeFrom="margin">
              <wp14:pctWidth>0</wp14:pctWidth>
            </wp14:sizeRelH>
            <wp14:sizeRelV relativeFrom="margin">
              <wp14:pctHeight>0</wp14:pctHeight>
            </wp14:sizeRelV>
          </wp:anchor>
        </w:drawing>
      </w:r>
      <w:r w:rsidR="00995A0C" w:rsidRPr="00524422">
        <w:rPr>
          <w:rFonts w:ascii="Verdana" w:eastAsia="Calibri" w:hAnsi="Verdana" w:cs="Times New Roman"/>
          <w:lang w:val="es-MX"/>
        </w:rPr>
        <w:t>Señor</w:t>
      </w:r>
    </w:p>
    <w:p w14:paraId="0A886F6E" w14:textId="3E2CB5A8" w:rsidR="00995A0C" w:rsidRPr="00215B71" w:rsidRDefault="00995A0C" w:rsidP="00995A0C">
      <w:pPr>
        <w:spacing w:after="0" w:line="240" w:lineRule="auto"/>
        <w:rPr>
          <w:rFonts w:ascii="Verdana" w:eastAsia="Calibri" w:hAnsi="Verdana" w:cs="Times New Roman"/>
          <w:b/>
          <w:bCs/>
          <w:lang w:val="es-MX"/>
        </w:rPr>
      </w:pPr>
      <w:r w:rsidRPr="00215B71">
        <w:rPr>
          <w:rFonts w:ascii="Verdana" w:eastAsia="Calibri" w:hAnsi="Verdana" w:cs="Times New Roman"/>
          <w:b/>
          <w:bCs/>
          <w:lang w:val="es-MX"/>
        </w:rPr>
        <w:t>JAVIER HURTADO BORRAS</w:t>
      </w:r>
      <w:r w:rsidR="000A28E9" w:rsidRPr="000A28E9">
        <w:rPr>
          <w:noProof/>
        </w:rPr>
        <w:t xml:space="preserve"> </w:t>
      </w:r>
    </w:p>
    <w:p w14:paraId="2F27807D" w14:textId="77777777" w:rsidR="00995A0C" w:rsidRPr="00524422" w:rsidRDefault="00995A0C" w:rsidP="00995A0C">
      <w:pPr>
        <w:spacing w:after="0" w:line="240" w:lineRule="auto"/>
        <w:rPr>
          <w:rFonts w:ascii="Verdana" w:eastAsia="Calibri" w:hAnsi="Verdana" w:cs="Times New Roman"/>
          <w:lang w:val="es-MX"/>
        </w:rPr>
      </w:pPr>
      <w:r w:rsidRPr="00524422">
        <w:rPr>
          <w:rFonts w:ascii="Verdana" w:eastAsia="Calibri" w:hAnsi="Verdana" w:cs="Times New Roman"/>
          <w:lang w:val="es-MX"/>
        </w:rPr>
        <w:t>Representante legal</w:t>
      </w:r>
    </w:p>
    <w:p w14:paraId="197917B9" w14:textId="0E852791" w:rsidR="00995A0C" w:rsidRPr="00FF67F9" w:rsidRDefault="00995A0C" w:rsidP="00995A0C">
      <w:pPr>
        <w:spacing w:after="0" w:line="240" w:lineRule="auto"/>
        <w:rPr>
          <w:rFonts w:ascii="Verdana" w:eastAsia="Calibri" w:hAnsi="Verdana" w:cs="Times New Roman"/>
          <w:b/>
          <w:lang w:val="es-MX"/>
        </w:rPr>
      </w:pPr>
      <w:r w:rsidRPr="00FF67F9">
        <w:rPr>
          <w:rFonts w:ascii="Verdana" w:eastAsia="Calibri" w:hAnsi="Verdana" w:cs="Times New Roman"/>
          <w:b/>
          <w:lang w:val="es-MX"/>
        </w:rPr>
        <w:t>ROTOFIBRA S.A.S.</w:t>
      </w:r>
      <w:r w:rsidR="002C62F6" w:rsidRPr="00FF67F9">
        <w:rPr>
          <w:rFonts w:ascii="Verdana" w:eastAsia="Calibri" w:hAnsi="Verdana" w:cs="Times New Roman"/>
          <w:b/>
          <w:bCs/>
          <w:lang w:val="es-MX"/>
        </w:rPr>
        <w:t xml:space="preserve"> </w:t>
      </w:r>
    </w:p>
    <w:p w14:paraId="558FE5A7" w14:textId="2BABC186" w:rsidR="00995A0C" w:rsidRPr="00524422" w:rsidRDefault="002C62F6" w:rsidP="00995A0C">
      <w:pPr>
        <w:spacing w:after="0" w:line="240" w:lineRule="auto"/>
        <w:rPr>
          <w:rFonts w:ascii="Verdana" w:eastAsia="Calibri" w:hAnsi="Verdana" w:cs="Times New Roman"/>
          <w:lang w:val="es-MX"/>
        </w:rPr>
      </w:pPr>
      <w:hyperlink r:id="rId11" w:history="1">
        <w:r w:rsidRPr="00495B69">
          <w:rPr>
            <w:rStyle w:val="Hipervnculo"/>
            <w:rFonts w:ascii="Verdana" w:eastAsia="Calibri" w:hAnsi="Verdana" w:cs="Times New Roman"/>
            <w:lang w:val="es-MX"/>
          </w:rPr>
          <w:t>juridicorotofibra@gmail.com</w:t>
        </w:r>
      </w:hyperlink>
      <w:r>
        <w:rPr>
          <w:rFonts w:ascii="Verdana" w:eastAsia="Calibri" w:hAnsi="Verdana" w:cs="Times New Roman"/>
          <w:lang w:val="es-MX"/>
        </w:rPr>
        <w:t xml:space="preserve"> </w:t>
      </w:r>
    </w:p>
    <w:p w14:paraId="0C6A2285" w14:textId="77777777" w:rsidR="00995A0C" w:rsidRPr="00524422" w:rsidRDefault="00995A0C" w:rsidP="00995A0C">
      <w:pPr>
        <w:spacing w:after="0" w:line="240" w:lineRule="auto"/>
        <w:rPr>
          <w:rFonts w:ascii="Verdana" w:eastAsia="Calibri" w:hAnsi="Verdana" w:cs="Times New Roman"/>
          <w:lang w:val="es-MX"/>
        </w:rPr>
      </w:pPr>
      <w:r w:rsidRPr="00524422">
        <w:rPr>
          <w:rFonts w:ascii="Verdana" w:eastAsia="Calibri" w:hAnsi="Verdana" w:cs="Times New Roman"/>
          <w:lang w:val="es-MX"/>
        </w:rPr>
        <w:t>Cartagena de Indias, Bolívar</w:t>
      </w:r>
    </w:p>
    <w:p w14:paraId="5EBAFC8A" w14:textId="77777777" w:rsidR="00995A0C" w:rsidRPr="002B4BE9" w:rsidRDefault="00995A0C" w:rsidP="00995A0C">
      <w:pPr>
        <w:spacing w:after="0" w:line="240" w:lineRule="auto"/>
        <w:rPr>
          <w:rFonts w:ascii="Verdana" w:eastAsia="Calibri" w:hAnsi="Verdana" w:cs="Times New Roman"/>
        </w:rPr>
      </w:pPr>
    </w:p>
    <w:p w14:paraId="46772B20" w14:textId="77777777" w:rsidR="00995A0C" w:rsidRPr="002B4BE9" w:rsidRDefault="00995A0C" w:rsidP="00995A0C">
      <w:pPr>
        <w:spacing w:after="0" w:line="240" w:lineRule="auto"/>
        <w:rPr>
          <w:rFonts w:ascii="Verdana" w:eastAsia="Calibri" w:hAnsi="Verdana" w:cs="Times New Roman"/>
        </w:rPr>
      </w:pPr>
    </w:p>
    <w:p w14:paraId="64BE412A" w14:textId="77777777" w:rsidR="00995A0C" w:rsidRPr="002B4BE9" w:rsidRDefault="00995A0C" w:rsidP="00995A0C">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w:t>
      </w:r>
      <w:r w:rsidRPr="00440961">
        <w:rPr>
          <w:rFonts w:ascii="Verdana" w:eastAsia="Calibri" w:hAnsi="Verdana" w:cs="Times New Roman"/>
          <w:b/>
          <w:bCs/>
          <w:lang w:val="es-ES"/>
        </w:rPr>
        <w:t>C-1222</w:t>
      </w:r>
      <w:r>
        <w:rPr>
          <w:rFonts w:ascii="Verdana" w:eastAsia="Calibri" w:hAnsi="Verdana" w:cs="Times New Roman"/>
          <w:b/>
          <w:bCs/>
          <w:lang w:val="es-ES"/>
        </w:rPr>
        <w:t xml:space="preserve"> de 2026</w:t>
      </w:r>
    </w:p>
    <w:p w14:paraId="71D6E097" w14:textId="77777777" w:rsidR="00995A0C" w:rsidRPr="002B4BE9" w:rsidRDefault="00995A0C" w:rsidP="00995A0C">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995A0C" w:rsidRPr="002B4BE9" w14:paraId="185DA52F" w14:textId="77777777" w:rsidTr="002002AD">
        <w:trPr>
          <w:trHeight w:val="645"/>
        </w:trPr>
        <w:tc>
          <w:tcPr>
            <w:tcW w:w="2685" w:type="dxa"/>
            <w:hideMark/>
          </w:tcPr>
          <w:p w14:paraId="5B72F61E" w14:textId="77777777" w:rsidR="00995A0C" w:rsidRPr="00403388" w:rsidRDefault="00995A0C" w:rsidP="002002AD">
            <w:pPr>
              <w:rPr>
                <w:rFonts w:ascii="Verdana" w:hAnsi="Verdana"/>
                <w:b/>
                <w:bCs/>
                <w:lang w:val="es-ES_tradnl"/>
              </w:rPr>
            </w:pPr>
            <w:r w:rsidRPr="00403388">
              <w:rPr>
                <w:rFonts w:ascii="Verdana" w:hAnsi="Verdana"/>
                <w:b/>
                <w:bCs/>
                <w:lang w:val="es-ES_tradnl"/>
              </w:rPr>
              <w:t xml:space="preserve">Temas:                  </w:t>
            </w:r>
          </w:p>
        </w:tc>
        <w:tc>
          <w:tcPr>
            <w:tcW w:w="6241" w:type="dxa"/>
            <w:hideMark/>
          </w:tcPr>
          <w:p w14:paraId="6458C113" w14:textId="56FCC5B0" w:rsidR="00995A0C" w:rsidRPr="00403388" w:rsidRDefault="00995A0C" w:rsidP="002002AD">
            <w:pPr>
              <w:spacing w:line="276" w:lineRule="auto"/>
              <w:jc w:val="both"/>
              <w:rPr>
                <w:rFonts w:ascii="Verdana" w:hAnsi="Verdana" w:cs="Arial"/>
                <w:lang w:val="es-ES" w:eastAsia="es-ES"/>
              </w:rPr>
            </w:pPr>
            <w:r w:rsidRPr="001B49B3">
              <w:rPr>
                <w:rFonts w:ascii="Verdana" w:hAnsi="Verdana" w:cs="Arial"/>
                <w:bCs/>
                <w:color w:val="000000"/>
                <w:lang w:val="es-ES"/>
              </w:rPr>
              <w:t>PERFECCIONAMIENTO DEL CONTRATO ESTATAL – Reserva legal – Modificaciones bilaterales / SECOP II – Carácter transaccional – Alcance y fuente normativa / PUBLICIDAD EN EL SECOP – Naturaleza declarativa – No constitutiva / MODIFICACIÓN CONTRACTUAL – Fecha de perfeccionamiento – Criterio del instrumento / EQUIVALENCIA FUNCIONAL – Ley 527 de 1999 – Medios electrónicos / PUBLICIDAD – Plazo de tres días – Actuaciones con aprobación bilateral en línea</w:t>
            </w:r>
            <w:r w:rsidR="004E745D">
              <w:rPr>
                <w:rFonts w:ascii="Verdana" w:hAnsi="Verdana" w:cs="Arial"/>
                <w:bCs/>
                <w:color w:val="000000"/>
                <w:lang w:val="es-ES"/>
              </w:rPr>
              <w:t xml:space="preserve"> </w:t>
            </w:r>
          </w:p>
        </w:tc>
        <w:tc>
          <w:tcPr>
            <w:tcW w:w="6237" w:type="dxa"/>
          </w:tcPr>
          <w:p w14:paraId="3BF3F07C" w14:textId="77777777" w:rsidR="00995A0C" w:rsidRPr="002B4BE9" w:rsidRDefault="00995A0C" w:rsidP="002002AD">
            <w:pPr>
              <w:rPr>
                <w:rFonts w:ascii="Verdana" w:hAnsi="Verdana"/>
                <w:lang w:val="es-ES"/>
              </w:rPr>
            </w:pPr>
          </w:p>
        </w:tc>
      </w:tr>
      <w:tr w:rsidR="00995A0C" w:rsidRPr="002B4BE9" w14:paraId="2B4B0092" w14:textId="77777777" w:rsidTr="002002AD">
        <w:tc>
          <w:tcPr>
            <w:tcW w:w="2685" w:type="dxa"/>
          </w:tcPr>
          <w:p w14:paraId="5B96B146" w14:textId="77777777" w:rsidR="00995A0C" w:rsidRPr="002B4BE9" w:rsidRDefault="00995A0C" w:rsidP="002002AD">
            <w:pPr>
              <w:rPr>
                <w:rFonts w:ascii="Verdana" w:hAnsi="Verdana"/>
                <w:b/>
                <w:bCs/>
                <w:lang w:val="es-ES_tradnl"/>
              </w:rPr>
            </w:pPr>
          </w:p>
          <w:p w14:paraId="3F1BA2EC" w14:textId="77777777" w:rsidR="00995A0C" w:rsidRPr="00995618" w:rsidRDefault="00995A0C" w:rsidP="002002AD">
            <w:pPr>
              <w:rPr>
                <w:rFonts w:ascii="Verdana" w:hAnsi="Verdana"/>
                <w:b/>
                <w:bCs/>
                <w:lang w:val="es-ES_tradnl"/>
              </w:rPr>
            </w:pPr>
            <w:r w:rsidRPr="002B4BE9">
              <w:rPr>
                <w:rFonts w:ascii="Verdana" w:hAnsi="Verdana"/>
                <w:b/>
                <w:bCs/>
                <w:lang w:val="es-ES_tradnl"/>
              </w:rPr>
              <w:t xml:space="preserve">Radicación:               </w:t>
            </w:r>
          </w:p>
        </w:tc>
        <w:tc>
          <w:tcPr>
            <w:tcW w:w="6241" w:type="dxa"/>
          </w:tcPr>
          <w:p w14:paraId="2245FF11" w14:textId="77777777" w:rsidR="00995A0C" w:rsidRPr="002B4BE9" w:rsidRDefault="00995A0C" w:rsidP="002002AD">
            <w:pPr>
              <w:spacing w:line="276" w:lineRule="auto"/>
              <w:jc w:val="both"/>
              <w:rPr>
                <w:rFonts w:ascii="Verdana" w:hAnsi="Verdana"/>
                <w:lang w:val="es-ES_tradnl"/>
              </w:rPr>
            </w:pPr>
          </w:p>
          <w:p w14:paraId="72570604" w14:textId="77777777" w:rsidR="00995A0C" w:rsidRDefault="00995A0C" w:rsidP="002002AD">
            <w:pPr>
              <w:spacing w:line="276" w:lineRule="auto"/>
              <w:jc w:val="both"/>
              <w:rPr>
                <w:rFonts w:ascii="Verdana" w:hAnsi="Verdana"/>
                <w:lang w:val="es-ES_tradnl"/>
              </w:rPr>
            </w:pPr>
            <w:r w:rsidRPr="002B4BE9">
              <w:rPr>
                <w:rFonts w:ascii="Verdana" w:hAnsi="Verdana"/>
                <w:lang w:val="es-ES_tradnl"/>
              </w:rPr>
              <w:t>Respuesta a consulta con radicado No. 1_2026_08_03_010250</w:t>
            </w:r>
          </w:p>
          <w:p w14:paraId="0F8EB54D" w14:textId="77777777" w:rsidR="00995A0C" w:rsidRPr="002B4BE9" w:rsidRDefault="00995A0C" w:rsidP="002002AD">
            <w:pPr>
              <w:spacing w:line="276" w:lineRule="auto"/>
              <w:jc w:val="both"/>
              <w:rPr>
                <w:rFonts w:ascii="Verdana" w:hAnsi="Verdana"/>
                <w:lang w:val="es-ES_tradnl"/>
              </w:rPr>
            </w:pPr>
          </w:p>
        </w:tc>
        <w:tc>
          <w:tcPr>
            <w:tcW w:w="6237" w:type="dxa"/>
          </w:tcPr>
          <w:p w14:paraId="70CE0963" w14:textId="77777777" w:rsidR="00995A0C" w:rsidRPr="002B4BE9" w:rsidRDefault="00995A0C" w:rsidP="002002AD">
            <w:pPr>
              <w:rPr>
                <w:rFonts w:ascii="Verdana" w:hAnsi="Verdana"/>
              </w:rPr>
            </w:pPr>
          </w:p>
        </w:tc>
      </w:tr>
    </w:tbl>
    <w:p w14:paraId="7761A033" w14:textId="77777777" w:rsidR="00995A0C" w:rsidRPr="009037F6" w:rsidRDefault="00995A0C" w:rsidP="00995A0C">
      <w:pPr>
        <w:spacing w:after="0" w:line="276" w:lineRule="auto"/>
        <w:rPr>
          <w:rFonts w:ascii="Verdana" w:eastAsia="Calibri" w:hAnsi="Verdana" w:cs="Times New Roman"/>
          <w:lang w:val="es-ES"/>
        </w:rPr>
      </w:pPr>
      <w:r>
        <w:rPr>
          <w:rFonts w:ascii="Verdana" w:eastAsia="Calibri" w:hAnsi="Verdana" w:cs="Times New Roman"/>
          <w:lang w:val="es-ES"/>
        </w:rPr>
        <w:t>Estimado señor Hurtado:</w:t>
      </w:r>
    </w:p>
    <w:p w14:paraId="774BC972" w14:textId="77777777" w:rsidR="00995A0C" w:rsidRPr="009037F6" w:rsidRDefault="00995A0C" w:rsidP="00995A0C">
      <w:pPr>
        <w:spacing w:after="0" w:line="276" w:lineRule="auto"/>
        <w:rPr>
          <w:rFonts w:ascii="Verdana" w:eastAsia="Calibri" w:hAnsi="Verdana" w:cs="Times New Roman"/>
          <w:lang w:val="es-ES"/>
        </w:rPr>
      </w:pPr>
    </w:p>
    <w:p w14:paraId="317C2376" w14:textId="77777777" w:rsidR="00995A0C" w:rsidRDefault="00995A0C" w:rsidP="00995A0C">
      <w:pPr>
        <w:spacing w:after="0" w:line="276" w:lineRule="auto"/>
        <w:jc w:val="both"/>
        <w:rPr>
          <w:rFonts w:ascii="Verdana" w:eastAsia="Calibri" w:hAnsi="Verdana" w:cs="Times New Roman"/>
          <w:lang w:bidi="es-ES"/>
        </w:rPr>
      </w:pPr>
      <w:r w:rsidRPr="009037F6">
        <w:rPr>
          <w:rFonts w:ascii="Verdana" w:eastAsia="Calibri" w:hAnsi="Verdana" w:cs="Times New Roman"/>
          <w:bCs/>
          <w:lang w:bidi="es-ES"/>
        </w:rPr>
        <w:t>La Agencia Nacional de Contratación Pública – Colombia Compra Eficiente –, en ejercicio de las competencias otorgadas por el numeral 5 del artículo 3 y el numeral 8 del artículo 11 del Decreto Ley 4170 de 2011, así como lo establecido en la Resolución 469 de 2025 expedida por esta Entidad, responde su solicitud del 3 de agosto de 2026, en la que formula seis interrogantes sobre el momento en que produce efectos una modificación contractual gestionada a través del SECOP II. Por su extensión, se transcriben en lo esencial:</w:t>
      </w:r>
    </w:p>
    <w:p w14:paraId="026921E4" w14:textId="77777777" w:rsidR="00995A0C" w:rsidRDefault="00995A0C" w:rsidP="00995A0C">
      <w:pPr>
        <w:spacing w:after="0" w:line="276" w:lineRule="auto"/>
        <w:jc w:val="both"/>
        <w:rPr>
          <w:rFonts w:ascii="Verdana" w:eastAsia="Calibri" w:hAnsi="Verdana" w:cs="Times New Roman"/>
          <w:bCs/>
          <w:lang w:val="es-ES" w:bidi="es-ES"/>
        </w:rPr>
      </w:pPr>
    </w:p>
    <w:p w14:paraId="1645C7E6" w14:textId="77777777" w:rsidR="00995A0C" w:rsidRDefault="00995A0C" w:rsidP="00995A0C">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 xml:space="preserve">“1. Para efectos de determinar el momento en que produce efectos jurídicos y oponibilidad frente a terceros una modificación contractual (por </w:t>
      </w:r>
      <w:r w:rsidRPr="007972DD">
        <w:rPr>
          <w:rFonts w:ascii="Verdana" w:hAnsi="Verdana" w:cs="Arial"/>
          <w:sz w:val="20"/>
          <w:szCs w:val="20"/>
          <w:lang w:val="es-ES" w:eastAsia="es-ES"/>
        </w:rPr>
        <w:lastRenderedPageBreak/>
        <w:t>ejemplo, una terminación anticipada y liquidación bilateral) de un contrato estatal gestionado a través de SECOP II, ¿debe atenderse a la fecha de suscripción del documento privado o físico entre las partes, o a la fecha en que dicha modificación es cargada, reconocida por ambas partes y aprobada dentro de la plataforma?</w:t>
      </w:r>
    </w:p>
    <w:p w14:paraId="0E129282" w14:textId="77777777" w:rsidR="00995A0C" w:rsidRPr="007972DD" w:rsidRDefault="00995A0C" w:rsidP="00995A0C">
      <w:pPr>
        <w:tabs>
          <w:tab w:val="left" w:pos="709"/>
        </w:tabs>
        <w:spacing w:after="0" w:line="240" w:lineRule="auto"/>
        <w:ind w:left="709" w:right="709"/>
        <w:jc w:val="both"/>
        <w:rPr>
          <w:rFonts w:ascii="Verdana" w:hAnsi="Verdana" w:cs="Arial"/>
          <w:sz w:val="20"/>
          <w:szCs w:val="20"/>
          <w:lang w:val="es-ES" w:eastAsia="es-ES"/>
        </w:rPr>
      </w:pPr>
    </w:p>
    <w:p w14:paraId="798B486F" w14:textId="77777777" w:rsidR="00995A0C" w:rsidRDefault="00995A0C" w:rsidP="00995A0C">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 xml:space="preserve">2. </w:t>
      </w:r>
      <w:proofErr w:type="gramStart"/>
      <w:r w:rsidRPr="007972DD">
        <w:rPr>
          <w:rFonts w:ascii="Verdana" w:hAnsi="Verdana" w:cs="Arial"/>
          <w:sz w:val="20"/>
          <w:szCs w:val="20"/>
          <w:lang w:val="es-ES" w:eastAsia="es-ES"/>
        </w:rPr>
        <w:t>¿El carácter transaccional de SECOP II, reconocido en el artículo 2.</w:t>
      </w:r>
      <w:proofErr w:type="gramEnd"/>
      <w:r w:rsidRPr="007972DD">
        <w:rPr>
          <w:rFonts w:ascii="Verdana" w:hAnsi="Verdana" w:cs="Arial"/>
          <w:sz w:val="20"/>
          <w:szCs w:val="20"/>
          <w:lang w:val="es-ES" w:eastAsia="es-ES"/>
        </w:rPr>
        <w:t>2.1.1.1.3.1 del Decreto 1082 de 2015, implica que la aprobación de una modificación contractual dentro de la plataforma constituye el momento mismo de perfeccionamiento de dicha actuación frente al Sistema de Compra Pública, y no un simple trámite posterior de publicidad?</w:t>
      </w:r>
    </w:p>
    <w:p w14:paraId="6F66C7E7" w14:textId="77777777" w:rsidR="00995A0C" w:rsidRPr="007972DD" w:rsidRDefault="00995A0C" w:rsidP="00995A0C">
      <w:pPr>
        <w:tabs>
          <w:tab w:val="left" w:pos="709"/>
        </w:tabs>
        <w:spacing w:after="0" w:line="240" w:lineRule="auto"/>
        <w:ind w:left="709" w:right="709"/>
        <w:jc w:val="both"/>
        <w:rPr>
          <w:rFonts w:ascii="Verdana" w:hAnsi="Verdana" w:cs="Arial"/>
          <w:sz w:val="20"/>
          <w:szCs w:val="20"/>
          <w:lang w:val="es-ES" w:eastAsia="es-ES"/>
        </w:rPr>
      </w:pPr>
    </w:p>
    <w:p w14:paraId="550FD33E" w14:textId="77777777" w:rsidR="00995A0C" w:rsidRDefault="00995A0C" w:rsidP="00995A0C">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3. En el supuesto en que un documento privado de terminación y liquidación bilateral se suscriba en una fecha determinada, pero solo sea cargado, reconocido electrónicamente por las partes y aprobado en SECOP II en una fecha posterior, ¿a partir de cuál de las dos fechas debe entenderse que el contrato dejó de estar vigente para efectos de la información pública, oficial y verificable del Sistema de Compra Pública?</w:t>
      </w:r>
    </w:p>
    <w:p w14:paraId="5B27C1C5" w14:textId="77777777" w:rsidR="00995A0C" w:rsidRPr="007972DD" w:rsidRDefault="00995A0C" w:rsidP="00995A0C">
      <w:pPr>
        <w:tabs>
          <w:tab w:val="left" w:pos="709"/>
        </w:tabs>
        <w:spacing w:after="0" w:line="240" w:lineRule="auto"/>
        <w:ind w:left="709" w:right="709"/>
        <w:jc w:val="both"/>
        <w:rPr>
          <w:rFonts w:ascii="Verdana" w:hAnsi="Verdana" w:cs="Arial"/>
          <w:sz w:val="20"/>
          <w:szCs w:val="20"/>
          <w:lang w:val="es-ES" w:eastAsia="es-ES"/>
        </w:rPr>
      </w:pPr>
    </w:p>
    <w:p w14:paraId="1F419103" w14:textId="77777777" w:rsidR="00995A0C" w:rsidRDefault="00995A0C" w:rsidP="00995A0C">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4. ¿Puede una Entidad Estatal, un proponente o un tercero interesado invocar válidamente los efectos de una modificación contractual (terminación, liquidación, etc.) con anterioridad a la fecha en que dicha modificación fue efectivamente reconocida, aprobada y publicada en SECOP II, aun cuando el documento soporte tenga una fecha de suscripción anterior?</w:t>
      </w:r>
    </w:p>
    <w:p w14:paraId="3164EFE4" w14:textId="77777777" w:rsidR="00995A0C" w:rsidRPr="007972DD" w:rsidRDefault="00995A0C" w:rsidP="00995A0C">
      <w:pPr>
        <w:tabs>
          <w:tab w:val="left" w:pos="709"/>
        </w:tabs>
        <w:spacing w:after="0" w:line="240" w:lineRule="auto"/>
        <w:ind w:left="709" w:right="709"/>
        <w:jc w:val="both"/>
        <w:rPr>
          <w:rFonts w:ascii="Verdana" w:hAnsi="Verdana" w:cs="Arial"/>
          <w:sz w:val="20"/>
          <w:szCs w:val="20"/>
          <w:lang w:val="es-ES" w:eastAsia="es-ES"/>
        </w:rPr>
      </w:pPr>
    </w:p>
    <w:p w14:paraId="0853C277" w14:textId="77777777" w:rsidR="00995A0C" w:rsidRDefault="00995A0C" w:rsidP="00995A0C">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 xml:space="preserve">5. </w:t>
      </w:r>
      <w:proofErr w:type="gramStart"/>
      <w:r w:rsidRPr="007972DD">
        <w:rPr>
          <w:rFonts w:ascii="Verdana" w:hAnsi="Verdana" w:cs="Arial"/>
          <w:sz w:val="20"/>
          <w:szCs w:val="20"/>
          <w:lang w:val="es-ES" w:eastAsia="es-ES"/>
        </w:rPr>
        <w:t>¿Qué alcance tiene la regla de publicidad dentro de los tres (3) días señalada en el numeral 1.</w:t>
      </w:r>
      <w:proofErr w:type="gramEnd"/>
      <w:r w:rsidRPr="007972DD">
        <w:rPr>
          <w:rFonts w:ascii="Verdana" w:hAnsi="Verdana" w:cs="Arial"/>
          <w:sz w:val="20"/>
          <w:szCs w:val="20"/>
          <w:lang w:val="es-ES" w:eastAsia="es-ES"/>
        </w:rPr>
        <w:t>3 de la Circular Externa Única […], frente a actuaciones que, por su naturaleza, requieren además ser reconocidas electrónicamente por ambas partes dentro de la plataforma […] antes de quedar en estado ‘Publicado’?</w:t>
      </w:r>
    </w:p>
    <w:p w14:paraId="10581165" w14:textId="77777777" w:rsidR="00995A0C" w:rsidRPr="007972DD" w:rsidRDefault="00995A0C" w:rsidP="00995A0C">
      <w:pPr>
        <w:tabs>
          <w:tab w:val="left" w:pos="709"/>
        </w:tabs>
        <w:spacing w:after="0" w:line="240" w:lineRule="auto"/>
        <w:ind w:left="709" w:right="709"/>
        <w:jc w:val="both"/>
        <w:rPr>
          <w:rFonts w:ascii="Verdana" w:hAnsi="Verdana" w:cs="Arial"/>
          <w:sz w:val="20"/>
          <w:szCs w:val="20"/>
          <w:lang w:val="es-ES" w:eastAsia="es-ES"/>
        </w:rPr>
      </w:pPr>
    </w:p>
    <w:p w14:paraId="1DA01215" w14:textId="77777777" w:rsidR="00995A0C" w:rsidRDefault="00995A0C" w:rsidP="00995A0C">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6. Para efectos de la verificación de requisitos habilitantes que exigen reportar contratos ‘en ejecución’ a una fecha de corte determinada […], ¿debe la Entidad Estatal considerar como fecha de terminación del contrato la fecha de suscripción del acta de terminación entre las partes, o la fecha en que dicha terminación quedó registrada, reconocida y aprobada en SECOP II?”</w:t>
      </w:r>
    </w:p>
    <w:p w14:paraId="20E2608F" w14:textId="77777777" w:rsidR="00995A0C" w:rsidRPr="007972DD" w:rsidRDefault="00995A0C" w:rsidP="00995A0C">
      <w:pPr>
        <w:tabs>
          <w:tab w:val="left" w:pos="709"/>
        </w:tabs>
        <w:spacing w:after="0" w:line="276" w:lineRule="auto"/>
        <w:ind w:left="709" w:right="709"/>
        <w:jc w:val="both"/>
        <w:rPr>
          <w:rFonts w:ascii="Verdana" w:hAnsi="Verdana" w:cs="Arial"/>
          <w:lang w:val="es-ES" w:eastAsia="es-ES"/>
        </w:rPr>
      </w:pPr>
    </w:p>
    <w:p w14:paraId="279F18E1" w14:textId="77777777" w:rsidR="00995A0C" w:rsidRPr="009037F6" w:rsidRDefault="00995A0C" w:rsidP="00995A0C">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9037F6">
        <w:rPr>
          <w:rFonts w:ascii="Verdana" w:eastAsia="Calibri" w:hAnsi="Verdana" w:cs="Times New Roman"/>
          <w:lang w:val="es-ES"/>
        </w:rPr>
        <w:lastRenderedPageBreak/>
        <w:t>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D8A3BCB" w14:textId="77777777" w:rsidR="00995A0C" w:rsidRPr="009037F6" w:rsidRDefault="00995A0C" w:rsidP="00995A0C">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5B249C3B" w14:textId="77777777" w:rsidR="00995A0C" w:rsidRPr="009037F6" w:rsidRDefault="00995A0C" w:rsidP="00995A0C">
      <w:pPr>
        <w:spacing w:after="0" w:line="276" w:lineRule="auto"/>
        <w:rPr>
          <w:rFonts w:ascii="Verdana" w:eastAsia="Calibri" w:hAnsi="Verdana" w:cs="Times New Roman"/>
          <w:lang w:val="es-ES"/>
        </w:rPr>
      </w:pPr>
    </w:p>
    <w:p w14:paraId="268A7A32" w14:textId="77777777" w:rsidR="00995A0C" w:rsidRPr="009037F6" w:rsidRDefault="00995A0C" w:rsidP="00995A0C">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Problemas planteados:</w:t>
      </w:r>
    </w:p>
    <w:p w14:paraId="297EA62F" w14:textId="77777777" w:rsidR="00995A0C" w:rsidRPr="009037F6" w:rsidRDefault="00995A0C" w:rsidP="00995A0C">
      <w:pPr>
        <w:spacing w:after="0" w:line="276" w:lineRule="auto"/>
        <w:rPr>
          <w:rFonts w:ascii="Verdana" w:eastAsia="Calibri" w:hAnsi="Verdana" w:cs="Times New Roman"/>
        </w:rPr>
      </w:pPr>
    </w:p>
    <w:p w14:paraId="7ABA20A1" w14:textId="77777777" w:rsidR="00995A0C" w:rsidRPr="00D1210B" w:rsidRDefault="00995A0C" w:rsidP="00995A0C">
      <w:pPr>
        <w:spacing w:after="0" w:line="276" w:lineRule="auto"/>
        <w:jc w:val="both"/>
        <w:rPr>
          <w:rFonts w:ascii="Verdana" w:eastAsia="Calibri" w:hAnsi="Verdana" w:cs="Times New Roman"/>
        </w:rPr>
      </w:pPr>
      <w:r w:rsidRPr="009037F6">
        <w:rPr>
          <w:rFonts w:ascii="Verdana" w:eastAsia="Calibri" w:hAnsi="Verdana" w:cs="Times New Roman"/>
        </w:rPr>
        <w:t xml:space="preserve">De acuerdo con el contenido de su solicitud, y sintetizando los seis interrogantes en los problemas jurídicos que efectivamente los comprenden, la Agencia procede a resolver: i) ¿En qué momento se perfecciona una modificación bilateral del contrato estatal y qué función cumple, </w:t>
      </w:r>
      <w:r w:rsidRPr="00C22134">
        <w:rPr>
          <w:rFonts w:ascii="Verdana" w:eastAsia="Calibri" w:hAnsi="Verdana" w:cs="Times New Roman"/>
        </w:rPr>
        <w:t xml:space="preserve">respecto de ese momento, su cargue, reconocimiento y aprobación en el SECOP II? </w:t>
      </w:r>
      <w:proofErr w:type="spellStart"/>
      <w:r w:rsidRPr="00C22134">
        <w:rPr>
          <w:rFonts w:ascii="Verdana" w:eastAsia="Calibri" w:hAnsi="Verdana" w:cs="Times New Roman"/>
        </w:rPr>
        <w:t>ii</w:t>
      </w:r>
      <w:proofErr w:type="spellEnd"/>
      <w:r w:rsidRPr="00C22134">
        <w:rPr>
          <w:rFonts w:ascii="Verdana" w:eastAsia="Calibri" w:hAnsi="Verdana" w:cs="Times New Roman"/>
        </w:rPr>
        <w:t xml:space="preserve">) ¿Desde cuándo pueden invocarse frente a terceros los efectos de esa modificación y qué papel desempeña allí el deber de publicidad? </w:t>
      </w:r>
      <w:proofErr w:type="spellStart"/>
      <w:r w:rsidRPr="00C22134">
        <w:rPr>
          <w:rFonts w:ascii="Verdana" w:eastAsia="Calibri" w:hAnsi="Verdana" w:cs="Times New Roman"/>
        </w:rPr>
        <w:t>iii</w:t>
      </w:r>
      <w:proofErr w:type="spellEnd"/>
      <w:r w:rsidRPr="00C22134">
        <w:rPr>
          <w:rFonts w:ascii="Verdana" w:eastAsia="Calibri" w:hAnsi="Verdana" w:cs="Times New Roman"/>
        </w:rPr>
        <w:t>) ¿Cómo se cuenta el</w:t>
      </w:r>
      <w:r w:rsidRPr="009037F6">
        <w:rPr>
          <w:rFonts w:ascii="Verdana" w:eastAsia="Calibri" w:hAnsi="Verdana" w:cs="Times New Roman"/>
        </w:rPr>
        <w:t xml:space="preserve"> plazo de tres días de publicidad cuando la actuación requiere aprobación electrónica de ambas partes, y con qué fecha debe verificar la entidad los requisitos habilitantes que exigen reportar contratos en ejecución a una fecha de corte?</w:t>
      </w:r>
    </w:p>
    <w:p w14:paraId="5182AC3C" w14:textId="77777777" w:rsidR="00995A0C" w:rsidRPr="00E27EDD" w:rsidRDefault="00995A0C" w:rsidP="00995A0C">
      <w:pPr>
        <w:spacing w:after="0" w:line="276" w:lineRule="auto"/>
        <w:jc w:val="both"/>
        <w:rPr>
          <w:rFonts w:ascii="Verdana" w:eastAsia="Calibri" w:hAnsi="Verdana" w:cs="Times New Roman"/>
          <w:i/>
          <w:iCs/>
        </w:rPr>
      </w:pPr>
    </w:p>
    <w:p w14:paraId="1D165B48" w14:textId="77777777" w:rsidR="00995A0C" w:rsidRPr="009037F6" w:rsidRDefault="00995A0C" w:rsidP="00995A0C">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Respuestas:</w:t>
      </w:r>
    </w:p>
    <w:p w14:paraId="7DB898B1" w14:textId="77777777" w:rsidR="00995A0C" w:rsidRPr="009037F6" w:rsidRDefault="00995A0C" w:rsidP="00995A0C">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995A0C" w:rsidRPr="009037F6" w14:paraId="4B52B37E" w14:textId="77777777" w:rsidTr="002002AD">
        <w:trPr>
          <w:trHeight w:val="345"/>
          <w:jc w:val="center"/>
        </w:trPr>
        <w:tc>
          <w:tcPr>
            <w:tcW w:w="8784" w:type="dxa"/>
            <w:tcBorders>
              <w:bottom w:val="single" w:sz="4" w:space="0" w:color="auto"/>
            </w:tcBorders>
          </w:tcPr>
          <w:p w14:paraId="2DC6BFB4" w14:textId="77777777" w:rsidR="00995A0C" w:rsidRPr="00414B42" w:rsidRDefault="00995A0C" w:rsidP="002002AD">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i) </w:t>
            </w:r>
            <w:r>
              <w:rPr>
                <w:rFonts w:ascii="Verdana" w:eastAsia="Times New Roman" w:hAnsi="Verdana" w:cs="Arial"/>
                <w:color w:val="000000" w:themeColor="text1"/>
                <w:lang w:val="es-ES" w:eastAsia="es-ES"/>
              </w:rPr>
              <w:t>Antes de responder en concreto la primera pregunta problema</w:t>
            </w:r>
            <w:r>
              <w:rPr>
                <w:rFonts w:ascii="Verdana" w:eastAsia="Times New Roman" w:hAnsi="Verdana" w:cs="Arial"/>
                <w:bCs/>
                <w:color w:val="000000" w:themeColor="text1"/>
                <w:lang w:val="es-ES" w:eastAsia="es-ES"/>
              </w:rPr>
              <w:t xml:space="preserve"> es necesario </w:t>
            </w:r>
            <w:r w:rsidRPr="003C29F1">
              <w:rPr>
                <w:rFonts w:ascii="Verdana" w:eastAsia="Times New Roman" w:hAnsi="Verdana" w:cs="Arial"/>
                <w:bCs/>
                <w:color w:val="000000" w:themeColor="text1"/>
                <w:lang w:val="es-ES" w:eastAsia="es-ES"/>
              </w:rPr>
              <w:t>sentar primero la regla general que gobierna la materia: las actuaciones del proceso de contratación deben surtirse en el SECOP II y de manera transaccional. En ejercicio de las funciones que le confieren los numerales 2, 5 y 8 del artículo 3 del</w:t>
            </w:r>
            <w:r w:rsidRPr="004F3256">
              <w:rPr>
                <w:rFonts w:ascii="Verdana" w:eastAsia="Times New Roman" w:hAnsi="Verdana" w:cs="Arial"/>
                <w:color w:val="000000" w:themeColor="text1"/>
                <w:lang w:val="es-ES" w:eastAsia="es-ES"/>
              </w:rPr>
              <w:t xml:space="preserve"> Decreto Ley 4170 de 2011, esta Agencia ha dispuesto, </w:t>
            </w:r>
            <w:r w:rsidRPr="004F3256">
              <w:rPr>
                <w:rFonts w:ascii="Verdana" w:eastAsia="Times New Roman" w:hAnsi="Verdana" w:cs="Arial"/>
                <w:color w:val="000000" w:themeColor="text1"/>
                <w:lang w:val="es-ES" w:eastAsia="es-ES"/>
              </w:rPr>
              <w:lastRenderedPageBreak/>
              <w:t>mediante circulares externas de obligatorio cumplimiento, que los procesos de contratación de las entidades allí relacionadas “deberán gestionarse, exclusivamente en el SECOP II”, medida que cobija todas las modalidades de selección del Estatuto General de Contratación de la Administración Pública y también los procesos sujetos a un régimen especial de contratación. El uso meramente publicitario de la plataforma es, por tanto, excepcional</w:t>
            </w:r>
            <w:r w:rsidRPr="004F3256">
              <w:rPr>
                <w:rStyle w:val="Refdenotaalpie"/>
                <w:rFonts w:ascii="Verdana" w:hAnsi="Verdana"/>
                <w:sz w:val="20"/>
              </w:rPr>
              <w:footnoteReference w:id="1"/>
            </w:r>
            <w:r w:rsidRPr="004F3256">
              <w:rPr>
                <w:rFonts w:ascii="Verdana" w:eastAsia="Times New Roman" w:hAnsi="Verdana" w:cs="Arial"/>
                <w:color w:val="000000" w:themeColor="text1"/>
                <w:lang w:val="es-ES" w:eastAsia="es-ES"/>
              </w:rPr>
              <w:t>.</w:t>
            </w:r>
          </w:p>
          <w:p w14:paraId="3CB52A8B" w14:textId="4651312D" w:rsidR="00995A0C" w:rsidRDefault="00995A0C" w:rsidP="00FF67F9">
            <w:pPr>
              <w:spacing w:after="120" w:line="276" w:lineRule="auto"/>
              <w:ind w:firstLine="709"/>
              <w:jc w:val="both"/>
              <w:rPr>
                <w:rFonts w:ascii="Verdana" w:hAnsi="Verdana" w:cs="Arial"/>
                <w:lang w:val="es-ES" w:eastAsia="es-ES"/>
              </w:rPr>
            </w:pPr>
            <w:r w:rsidRPr="00414B42">
              <w:rPr>
                <w:rFonts w:ascii="Verdana" w:eastAsia="Times New Roman" w:hAnsi="Verdana" w:cs="Arial"/>
                <w:color w:val="000000" w:themeColor="text1"/>
                <w:lang w:val="es-ES" w:eastAsia="es-ES"/>
              </w:rPr>
              <w:t>La excepción a esa regla tiene supuestos delimitados: el primero</w:t>
            </w:r>
            <w:r w:rsidRPr="004F3256">
              <w:rPr>
                <w:rFonts w:ascii="Verdana" w:eastAsia="Times New Roman" w:hAnsi="Verdana" w:cs="Arial"/>
                <w:color w:val="000000" w:themeColor="text1"/>
                <w:lang w:val="es-ES" w:eastAsia="es-ES"/>
              </w:rPr>
              <w:t xml:space="preserve"> es el de las entidades respecto de las cuales la obligatoriedad aún no ha entrado a regir, pues se trata de un proceso gradual y coordinado que la Agencia ha definido a partir de criterios de conectividad —el porcentaje de penetración de internet fijo y la disponibilidad de un ancho de banda igual o superior a 10 Mbps de internet dedicado— y de alistamiento tecnológico; mientras no ingresen en las fases previstas, esas entidades continúan gestionando y publicando en el SECOP I. El segundo es el de las entidades de régimen exceptuado, a las que el artículo 13 de la Ley 1150 de 2007, adicionado por el artículo 53 de la Ley 2195 de 2022, impone el deber de publicar en el SECOP II los documentos de su actividad contractual. A ellos se añaden las actuaciones expresamente excluidas de la medida</w:t>
            </w:r>
            <w:r w:rsidRPr="004F3256">
              <w:rPr>
                <w:rStyle w:val="Refdenotaalpie"/>
                <w:rFonts w:ascii="Verdana" w:hAnsi="Verdana"/>
                <w:sz w:val="20"/>
              </w:rPr>
              <w:footnoteReference w:id="2"/>
            </w:r>
            <w:r w:rsidRPr="004F3256">
              <w:rPr>
                <w:rFonts w:ascii="Verdana" w:eastAsia="Times New Roman" w:hAnsi="Verdana" w:cs="Arial"/>
                <w:color w:val="000000" w:themeColor="text1"/>
                <w:lang w:val="es-ES" w:eastAsia="es-ES"/>
              </w:rPr>
              <w:t>.</w:t>
            </w:r>
          </w:p>
          <w:p w14:paraId="0D2DDB49" w14:textId="77777777" w:rsidR="00995A0C" w:rsidRDefault="00995A0C" w:rsidP="00FF67F9">
            <w:pPr>
              <w:spacing w:after="120" w:line="276" w:lineRule="auto"/>
              <w:ind w:firstLine="709"/>
              <w:jc w:val="both"/>
              <w:rPr>
                <w:rFonts w:ascii="Verdana" w:hAnsi="Verdana" w:cs="Arial"/>
                <w:lang w:val="es-ES" w:eastAsia="es-ES"/>
              </w:rPr>
            </w:pPr>
            <w:r w:rsidRPr="00414B42">
              <w:rPr>
                <w:rFonts w:ascii="Verdana" w:eastAsia="Times New Roman" w:hAnsi="Verdana" w:cs="Arial"/>
                <w:bCs/>
                <w:color w:val="000000" w:themeColor="text1"/>
                <w:lang w:val="es-ES" w:eastAsia="es-ES"/>
              </w:rPr>
              <w:t>De lo anterior se sigue una consecuencia que debe enunciarse antes que ninguna otra.</w:t>
            </w:r>
            <w:r w:rsidRPr="004F3256">
              <w:rPr>
                <w:rFonts w:ascii="Verdana" w:eastAsia="Times New Roman" w:hAnsi="Verdana" w:cs="Arial"/>
                <w:color w:val="000000" w:themeColor="text1"/>
                <w:lang w:val="es-ES" w:eastAsia="es-ES"/>
              </w:rPr>
              <w:t xml:space="preserve"> Cuando la entidad está sujeta al uso transaccional</w:t>
            </w:r>
            <w:r>
              <w:rPr>
                <w:rFonts w:ascii="Verdana" w:eastAsia="Times New Roman" w:hAnsi="Verdana" w:cs="Arial"/>
                <w:color w:val="000000" w:themeColor="text1"/>
                <w:lang w:val="es-ES" w:eastAsia="es-ES"/>
              </w:rPr>
              <w:t xml:space="preserve"> del SECOP II</w:t>
            </w:r>
            <w:r w:rsidRPr="004F3256">
              <w:rPr>
                <w:rFonts w:ascii="Verdana" w:eastAsia="Times New Roman" w:hAnsi="Verdana" w:cs="Arial"/>
                <w:color w:val="000000" w:themeColor="text1"/>
                <w:lang w:val="es-ES" w:eastAsia="es-ES"/>
              </w:rPr>
              <w:t xml:space="preserve">, la modificación contractual debe acordarse y suscribirse en la plataforma, de modo que el requisito de elevar el acuerdo a escrito se satisface allí mismo. En ese escenario —que es la regla general— la fecha de suscripción y la del registro coinciden, y la disyuntiva que plantea la consulta no llega a producirse. La separación temporal entre una y otra fecha es, </w:t>
            </w:r>
            <w:r w:rsidRPr="004F3256">
              <w:rPr>
                <w:rFonts w:ascii="Verdana" w:eastAsia="Times New Roman" w:hAnsi="Verdana" w:cs="Arial"/>
                <w:color w:val="000000" w:themeColor="text1"/>
                <w:lang w:val="es-ES" w:eastAsia="es-ES"/>
              </w:rPr>
              <w:lastRenderedPageBreak/>
              <w:t>entonces, el síntoma de una práctica que se aparta de la regla, y no una alternativa que el ordenamiento ofrezca a las partes</w:t>
            </w:r>
            <w:r w:rsidRPr="004F3256">
              <w:rPr>
                <w:rStyle w:val="Refdenotaalpie"/>
                <w:rFonts w:ascii="Verdana" w:hAnsi="Verdana"/>
                <w:sz w:val="20"/>
              </w:rPr>
              <w:footnoteReference w:id="3"/>
            </w:r>
            <w:r w:rsidRPr="004F3256">
              <w:rPr>
                <w:rFonts w:ascii="Verdana" w:eastAsia="Times New Roman" w:hAnsi="Verdana" w:cs="Arial"/>
                <w:color w:val="000000" w:themeColor="text1"/>
                <w:lang w:val="es-ES" w:eastAsia="es-ES"/>
              </w:rPr>
              <w:t>.</w:t>
            </w:r>
          </w:p>
          <w:p w14:paraId="33422941" w14:textId="77777777" w:rsidR="00995A0C" w:rsidRDefault="00995A0C" w:rsidP="00FF67F9">
            <w:pPr>
              <w:spacing w:after="120" w:line="276" w:lineRule="auto"/>
              <w:ind w:firstLine="709"/>
              <w:jc w:val="both"/>
              <w:rPr>
                <w:rFonts w:ascii="Verdana" w:hAnsi="Verdana" w:cs="Arial"/>
                <w:lang w:val="es-ES" w:eastAsia="es-ES"/>
              </w:rPr>
            </w:pPr>
            <w:r w:rsidRPr="00414B42">
              <w:rPr>
                <w:rFonts w:ascii="Verdana" w:eastAsia="Times New Roman" w:hAnsi="Verdana" w:cs="Arial"/>
                <w:bCs/>
                <w:color w:val="000000" w:themeColor="text1"/>
                <w:lang w:val="es-ES" w:eastAsia="es-ES"/>
              </w:rPr>
              <w:t>Ahora bien, que el uso transaccional sea obligatorio no convierte a la plataforma en un elemento del perfeccionamiento.</w:t>
            </w:r>
            <w:r w:rsidRPr="004F3256">
              <w:rPr>
                <w:rFonts w:ascii="Verdana" w:eastAsia="Times New Roman" w:hAnsi="Verdana" w:cs="Arial"/>
                <w:color w:val="000000" w:themeColor="text1"/>
                <w:lang w:val="es-ES" w:eastAsia="es-ES"/>
              </w:rPr>
              <w:t xml:space="preserve"> Los elementos siguen siendo los tres que señala el inciso primero del artículo 41 de la Ley 80 de 1993 —el acuerdo sobre el objeto, el acuerdo sobre la contraprestación y que ese acuerdo se eleve a escrito—, y el deber de tramitar la actuación en el SECOP II opera en un plano distinto: el del cumplimiento de un deber funcional, cuya inobservancia genera responsabilidad, no el de la existencia del negocio jurídico. Por eso, si pese a la obligatoriedad la modificación se suscribió por fuera de la plataforma, el acuerdo existe y produce efectos desde que se elevó a escrito, sin perjuicio de la responsabilidad que se derive de haber desatendido el deber de gestionarlo en línea</w:t>
            </w:r>
            <w:r w:rsidRPr="004F3256">
              <w:rPr>
                <w:rStyle w:val="Refdenotaalpie"/>
                <w:rFonts w:ascii="Verdana" w:hAnsi="Verdana"/>
                <w:sz w:val="20"/>
              </w:rPr>
              <w:footnoteReference w:id="4"/>
            </w:r>
            <w:r w:rsidRPr="004F3256">
              <w:rPr>
                <w:rFonts w:ascii="Verdana" w:eastAsia="Times New Roman" w:hAnsi="Verdana" w:cs="Arial"/>
                <w:color w:val="000000" w:themeColor="text1"/>
                <w:lang w:val="es-ES" w:eastAsia="es-ES"/>
              </w:rPr>
              <w:t>.</w:t>
            </w:r>
          </w:p>
          <w:p w14:paraId="0C358320" w14:textId="77777777" w:rsidR="00995A0C" w:rsidRDefault="00995A0C" w:rsidP="00FF67F9">
            <w:pPr>
              <w:spacing w:after="120" w:line="276" w:lineRule="auto"/>
              <w:ind w:firstLine="709"/>
              <w:jc w:val="both"/>
              <w:rPr>
                <w:rFonts w:ascii="Verdana" w:hAnsi="Verdana" w:cs="Arial"/>
                <w:lang w:val="es-ES" w:eastAsia="es-ES"/>
              </w:rPr>
            </w:pPr>
            <w:r w:rsidRPr="004F3256">
              <w:rPr>
                <w:rFonts w:ascii="Verdana" w:eastAsia="Times New Roman" w:hAnsi="Verdana" w:cs="Arial"/>
                <w:color w:val="000000" w:themeColor="text1"/>
                <w:lang w:val="es-ES" w:eastAsia="es-ES"/>
              </w:rPr>
              <w:t>La modificación bilateral se perfecciona cuando las partes logran el acuerdo y lo elevan a escrito. El inciso primero del artículo 41 de la Ley 80 de 1993 exige dos elementos, y solo dos: acuerdo sobre el objeto y la contraprestación, y que ese acuerdo conste por escrito. La modificación bilateral participa de la naturaleza convencional del contrato que modifica y se rige, por tanto, por la misma regla. No existe en el ordenamiento un tercer requisito consistente en el cargue, el reconocimiento o la aprobación del documento en una plataforma electrónica.</w:t>
            </w:r>
            <w:r w:rsidRPr="004F3256">
              <w:rPr>
                <w:rStyle w:val="Refdenotaalpie"/>
                <w:rFonts w:ascii="Verdana" w:hAnsi="Verdana"/>
                <w:sz w:val="20"/>
              </w:rPr>
              <w:footnoteReference w:id="5"/>
            </w:r>
          </w:p>
          <w:p w14:paraId="7BF4144D" w14:textId="77777777" w:rsidR="00995A0C" w:rsidRPr="004F3256" w:rsidRDefault="00995A0C" w:rsidP="00FF67F9">
            <w:pPr>
              <w:spacing w:after="120" w:line="276" w:lineRule="auto"/>
              <w:ind w:firstLine="709"/>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Los requisitos de existencia y validez del contrato estatal son materia reservada al legislador. De ahí que ni un decreto reglamentario, ni una circular de esta Agencia, ni las funcionalidades de una plataforma puedan adicionar un requisito de perfeccionamiento que la ley no previó. Sostener lo contrario </w:t>
            </w:r>
            <w:r w:rsidRPr="004F3256">
              <w:rPr>
                <w:rFonts w:ascii="Verdana" w:eastAsia="Times New Roman" w:hAnsi="Verdana" w:cs="Arial"/>
                <w:color w:val="000000" w:themeColor="text1"/>
                <w:lang w:val="es-ES" w:eastAsia="es-ES"/>
              </w:rPr>
              <w:lastRenderedPageBreak/>
              <w:t xml:space="preserve">supondría que una regla de rango </w:t>
            </w:r>
            <w:proofErr w:type="spellStart"/>
            <w:r w:rsidRPr="004F3256">
              <w:rPr>
                <w:rFonts w:ascii="Verdana" w:eastAsia="Times New Roman" w:hAnsi="Verdana" w:cs="Arial"/>
                <w:color w:val="000000" w:themeColor="text1"/>
                <w:lang w:val="es-ES" w:eastAsia="es-ES"/>
              </w:rPr>
              <w:t>infralegal</w:t>
            </w:r>
            <w:proofErr w:type="spellEnd"/>
            <w:r w:rsidRPr="004F3256">
              <w:rPr>
                <w:rFonts w:ascii="Verdana" w:eastAsia="Times New Roman" w:hAnsi="Verdana" w:cs="Arial"/>
                <w:color w:val="000000" w:themeColor="text1"/>
                <w:lang w:val="es-ES" w:eastAsia="es-ES"/>
              </w:rPr>
              <w:t xml:space="preserve"> —o, peor aún, una configuración técnica— condiciona el nacimiento de un negocio jurídico</w:t>
            </w:r>
            <w:r w:rsidRPr="004F3256">
              <w:rPr>
                <w:rStyle w:val="Refdenotaalpie"/>
                <w:rFonts w:ascii="Verdana" w:hAnsi="Verdana"/>
                <w:sz w:val="20"/>
              </w:rPr>
              <w:footnoteReference w:id="6"/>
            </w:r>
            <w:r w:rsidRPr="004F3256">
              <w:rPr>
                <w:rFonts w:ascii="Verdana" w:eastAsia="Times New Roman" w:hAnsi="Verdana" w:cs="Arial"/>
                <w:color w:val="000000" w:themeColor="text1"/>
                <w:lang w:val="es-ES" w:eastAsia="es-ES"/>
              </w:rPr>
              <w:t>.</w:t>
            </w:r>
          </w:p>
          <w:p w14:paraId="5DBBB838" w14:textId="77777777" w:rsidR="00995A0C" w:rsidRPr="004F3256" w:rsidRDefault="00995A0C" w:rsidP="00FF67F9">
            <w:pPr>
              <w:spacing w:after="120" w:line="276" w:lineRule="auto"/>
              <w:ind w:firstLine="709"/>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Esa caracterización, que proviene del numeral 1.2 de la Circular Externa Única y no del artículo 2.2.1.1.1.3.1 del Decreto 1082 de 2015, describe una capacidad operativa: que las actuaciones puedan tramitarse en línea y, por ello, de forma concomitante a su publicidad. La propia Circular admite que las entidades creen documentos por fuera de la plataforma para incorporarlos después, y distingue de manera expresa entre un </w:t>
            </w:r>
            <w:r w:rsidRPr="00A3513E">
              <w:rPr>
                <w:rFonts w:ascii="Verdana" w:eastAsia="Times New Roman" w:hAnsi="Verdana" w:cs="Arial"/>
                <w:bCs/>
                <w:color w:val="000000" w:themeColor="text1"/>
                <w:lang w:val="es-ES" w:eastAsia="es-ES"/>
              </w:rPr>
              <w:t>uso transaccional de la plataforma —firmar el contrato electrónicamente— y un uso publicitario —firmarlo en físico y publicar los documentos—.</w:t>
            </w:r>
            <w:r w:rsidRPr="004F3256">
              <w:rPr>
                <w:rFonts w:ascii="Verdana" w:eastAsia="Times New Roman" w:hAnsi="Verdana" w:cs="Arial"/>
                <w:color w:val="000000" w:themeColor="text1"/>
                <w:lang w:val="es-ES" w:eastAsia="es-ES"/>
              </w:rPr>
              <w:t xml:space="preserve"> Si la plataforma perfeccionara por sí misma, esa distinción sería imposible</w:t>
            </w:r>
            <w:r w:rsidRPr="004F3256">
              <w:rPr>
                <w:rStyle w:val="Refdenotaalpie"/>
                <w:rFonts w:ascii="Verdana" w:hAnsi="Verdana"/>
                <w:sz w:val="20"/>
              </w:rPr>
              <w:footnoteReference w:id="7"/>
            </w:r>
            <w:r w:rsidRPr="004F3256">
              <w:rPr>
                <w:rFonts w:ascii="Verdana" w:eastAsia="Times New Roman" w:hAnsi="Verdana" w:cs="Arial"/>
                <w:color w:val="000000" w:themeColor="text1"/>
                <w:lang w:val="es-ES" w:eastAsia="es-ES"/>
              </w:rPr>
              <w:t>.</w:t>
            </w:r>
            <w:r>
              <w:rPr>
                <w:rFonts w:ascii="Verdana" w:eastAsia="Times New Roman" w:hAnsi="Verdana" w:cs="Arial"/>
                <w:color w:val="000000" w:themeColor="text1"/>
                <w:lang w:val="es-ES" w:eastAsia="es-ES"/>
              </w:rPr>
              <w:t xml:space="preserve"> Sin embargo, como se dejó claro arriba la regla general es utilizar la plataforma SECOP II como transaccional. </w:t>
            </w:r>
          </w:p>
          <w:p w14:paraId="05972BEA" w14:textId="77777777" w:rsidR="00995A0C" w:rsidRPr="004F3256" w:rsidRDefault="00995A0C" w:rsidP="00FF67F9">
            <w:pPr>
              <w:spacing w:after="120" w:line="276" w:lineRule="auto"/>
              <w:ind w:firstLine="709"/>
              <w:jc w:val="both"/>
              <w:rPr>
                <w:rFonts w:ascii="Verdana" w:hAnsi="Verdana" w:cs="Arial"/>
                <w:lang w:val="es-ES" w:eastAsia="es-ES"/>
              </w:rPr>
            </w:pPr>
            <w:r w:rsidRPr="004F3256">
              <w:rPr>
                <w:rFonts w:ascii="Verdana" w:eastAsia="Times New Roman" w:hAnsi="Verdana" w:cs="Arial"/>
                <w:color w:val="000000" w:themeColor="text1"/>
                <w:lang w:val="es-ES" w:eastAsia="es-ES"/>
              </w:rPr>
              <w:t>Si las partes suscribieron la modificación por fuera del SECOP II, quedó perfeccionada en esa fecha, y el cargue posterior cumple una función de publicidad e incorporación al expediente electrónico. Si, en cambio, las partes optaron por instrumentarla en línea, el escrito es el documento electrónico y el perfeccionamiento coincide con la suscripción electrónica en la plataforma</w:t>
            </w:r>
            <w:r w:rsidRPr="004F3256">
              <w:rPr>
                <w:rStyle w:val="Refdenotaalpie"/>
                <w:rFonts w:ascii="Verdana" w:hAnsi="Verdana"/>
                <w:sz w:val="20"/>
              </w:rPr>
              <w:footnoteReference w:id="8"/>
            </w:r>
            <w:r w:rsidRPr="004F3256">
              <w:rPr>
                <w:rFonts w:ascii="Verdana" w:eastAsia="Times New Roman" w:hAnsi="Verdana" w:cs="Arial"/>
                <w:color w:val="000000" w:themeColor="text1"/>
                <w:lang w:val="es-ES" w:eastAsia="es-ES"/>
              </w:rPr>
              <w:t>.</w:t>
            </w:r>
          </w:p>
          <w:p w14:paraId="137C753F" w14:textId="77777777" w:rsidR="00995A0C" w:rsidRDefault="00995A0C" w:rsidP="00FF67F9">
            <w:pPr>
              <w:spacing w:after="120" w:line="276" w:lineRule="auto"/>
              <w:ind w:firstLine="709"/>
              <w:jc w:val="both"/>
              <w:rPr>
                <w:rFonts w:ascii="Verdana" w:eastAsia="Times New Roman" w:hAnsi="Verdana" w:cs="Arial"/>
                <w:color w:val="000000" w:themeColor="text1"/>
                <w:lang w:val="es-ES" w:eastAsia="es-ES"/>
              </w:rPr>
            </w:pPr>
            <w:r w:rsidRPr="00A3513E">
              <w:rPr>
                <w:rFonts w:ascii="Verdana" w:eastAsia="Times New Roman" w:hAnsi="Verdana" w:cs="Arial"/>
                <w:bCs/>
                <w:color w:val="000000" w:themeColor="text1"/>
                <w:lang w:val="es-ES" w:eastAsia="es-ES"/>
              </w:rPr>
              <w:t>La publicación en el SECOP es un deber de publicidad, no un acto constitutivo.</w:t>
            </w:r>
            <w:r w:rsidRPr="004F3256">
              <w:rPr>
                <w:rFonts w:ascii="Verdana" w:eastAsia="Times New Roman" w:hAnsi="Verdana" w:cs="Arial"/>
                <w:color w:val="000000" w:themeColor="text1"/>
                <w:lang w:val="es-ES" w:eastAsia="es-ES"/>
              </w:rPr>
              <w:t xml:space="preserve"> Su incumplimiento genera responsabilidad, pero no afecta la existencia ni la validez de lo publicado. Así lo demuestra el texto mismo del artículo 2.2.1.1.1.7.1 del Decreto 1082 de 2015, que ordena publicar los Documentos del Proceso “dentro de los tres (3) días siguientes a su </w:t>
            </w:r>
            <w:r w:rsidRPr="00A3513E">
              <w:rPr>
                <w:rFonts w:ascii="Verdana" w:eastAsia="Times New Roman" w:hAnsi="Verdana" w:cs="Arial"/>
                <w:bCs/>
                <w:color w:val="000000" w:themeColor="text1"/>
                <w:lang w:val="es-ES" w:eastAsia="es-ES"/>
              </w:rPr>
              <w:t>expedición”:</w:t>
            </w:r>
            <w:r w:rsidRPr="004F3256">
              <w:rPr>
                <w:rFonts w:ascii="Verdana" w:eastAsia="Times New Roman" w:hAnsi="Verdana" w:cs="Arial"/>
                <w:color w:val="000000" w:themeColor="text1"/>
                <w:lang w:val="es-ES" w:eastAsia="es-ES"/>
              </w:rPr>
              <w:t xml:space="preserve"> la norma presupone necesariamente que el documento ya existe cuando se publica, pues de otro modo el plazo carecería de punto de partida. </w:t>
            </w:r>
          </w:p>
          <w:p w14:paraId="28AA9F12" w14:textId="77777777" w:rsidR="00995A0C" w:rsidRDefault="00995A0C" w:rsidP="00FF67F9">
            <w:pPr>
              <w:spacing w:line="276" w:lineRule="auto"/>
              <w:ind w:firstLine="709"/>
              <w:jc w:val="both"/>
              <w:rPr>
                <w:rFonts w:ascii="Verdana" w:eastAsia="Times New Roman" w:hAnsi="Verdana" w:cs="Arial"/>
                <w:color w:val="000000" w:themeColor="text1"/>
                <w:lang w:val="es-ES" w:eastAsia="es-ES"/>
              </w:rPr>
            </w:pPr>
            <w:r>
              <w:rPr>
                <w:rFonts w:ascii="Verdana" w:eastAsia="Times New Roman" w:hAnsi="Verdana" w:cs="Arial"/>
                <w:color w:val="000000" w:themeColor="text1"/>
                <w:lang w:val="es-ES" w:eastAsia="es-ES"/>
              </w:rPr>
              <w:lastRenderedPageBreak/>
              <w:t xml:space="preserve">Conforme a lo anterior, se concluye que la fecha de perfeccionamiento de la modificación tratándose de trámites realizados a través de SECOP II cuando su uso es transaccional coincide con la fecha de aprobación en la plataforma. Diferente tratándose del uso publicitario, en dicho caso la fecha de la modificación es aquella en la cual las partes hayan suscrito el documento.   </w:t>
            </w:r>
          </w:p>
          <w:p w14:paraId="34A53D52" w14:textId="77777777" w:rsidR="00995A0C" w:rsidRPr="004F3256" w:rsidRDefault="00995A0C" w:rsidP="00FF67F9">
            <w:pPr>
              <w:spacing w:line="276" w:lineRule="auto"/>
              <w:jc w:val="both"/>
              <w:rPr>
                <w:rFonts w:ascii="Verdana" w:hAnsi="Verdana" w:cs="Arial"/>
                <w:lang w:val="es-ES" w:eastAsia="es-ES"/>
              </w:rPr>
            </w:pPr>
          </w:p>
          <w:p w14:paraId="422E4D14" w14:textId="77777777" w:rsidR="00995A0C" w:rsidRDefault="00995A0C" w:rsidP="002002AD">
            <w:pPr>
              <w:spacing w:line="276" w:lineRule="auto"/>
              <w:jc w:val="both"/>
              <w:rPr>
                <w:rFonts w:ascii="Verdana" w:eastAsia="Times New Roman" w:hAnsi="Verdana" w:cs="Arial"/>
                <w:color w:val="000000" w:themeColor="text1"/>
                <w:lang w:val="es-ES" w:eastAsia="es-ES"/>
              </w:rPr>
            </w:pPr>
            <w:proofErr w:type="spellStart"/>
            <w:r>
              <w:rPr>
                <w:rFonts w:ascii="Verdana" w:eastAsia="Times New Roman" w:hAnsi="Verdana" w:cs="Arial"/>
                <w:color w:val="000000" w:themeColor="text1"/>
                <w:lang w:val="es-ES" w:eastAsia="es-ES"/>
              </w:rPr>
              <w:t>ii</w:t>
            </w:r>
            <w:proofErr w:type="spellEnd"/>
            <w:r>
              <w:rPr>
                <w:rFonts w:ascii="Verdana" w:eastAsia="Times New Roman" w:hAnsi="Verdana" w:cs="Arial"/>
                <w:color w:val="000000" w:themeColor="text1"/>
                <w:lang w:val="es-ES" w:eastAsia="es-ES"/>
              </w:rPr>
              <w:t>)</w:t>
            </w:r>
            <w:r w:rsidRPr="004F3256">
              <w:rPr>
                <w:rFonts w:ascii="Verdana" w:eastAsia="Times New Roman" w:hAnsi="Verdana" w:cs="Arial"/>
                <w:color w:val="000000" w:themeColor="text1"/>
                <w:lang w:val="es-ES" w:eastAsia="es-ES"/>
              </w:rPr>
              <w:t xml:space="preserve"> </w:t>
            </w:r>
            <w:r w:rsidRPr="00A3513E">
              <w:rPr>
                <w:rFonts w:ascii="Verdana" w:eastAsia="Times New Roman" w:hAnsi="Verdana" w:cs="Arial"/>
                <w:bCs/>
                <w:color w:val="000000" w:themeColor="text1"/>
                <w:lang w:val="es-ES" w:eastAsia="es-ES"/>
              </w:rPr>
              <w:t>Frente a terceros debe distinguirse la eficacia del acto de su acreditación.</w:t>
            </w:r>
            <w:r w:rsidRPr="004F3256">
              <w:rPr>
                <w:rFonts w:ascii="Verdana" w:eastAsia="Times New Roman" w:hAnsi="Verdana" w:cs="Arial"/>
                <w:color w:val="000000" w:themeColor="text1"/>
                <w:lang w:val="es-ES" w:eastAsia="es-ES"/>
              </w:rPr>
              <w:t xml:space="preserve"> Entre las partes, la modificación produce efectos desde su perfeccionamiento. Frente a terceros, la publicidad cumple una función de cognoscibilidad: su omisión o su retardo no privan al acto de existencia ni de validez, pero pueden impedir que se oponga a quien, obrando de buena fe, no estuvo en condiciones de conocerlo, y comprometen la responsabilidad de la entidad obligada a publicar. Por ello, quien invoca los efectos de una modificación no publicada puede hacerlo, pero soporta la carga de acreditarla con el documento correspondiente; </w:t>
            </w:r>
            <w:r>
              <w:rPr>
                <w:rFonts w:ascii="Verdana" w:eastAsia="Times New Roman" w:hAnsi="Verdana" w:cs="Arial"/>
                <w:color w:val="000000" w:themeColor="text1"/>
                <w:lang w:val="es-ES" w:eastAsia="es-ES"/>
              </w:rPr>
              <w:t xml:space="preserve">en este caso </w:t>
            </w:r>
            <w:r w:rsidRPr="004F3256">
              <w:rPr>
                <w:rFonts w:ascii="Verdana" w:eastAsia="Times New Roman" w:hAnsi="Verdana" w:cs="Arial"/>
                <w:color w:val="000000" w:themeColor="text1"/>
                <w:lang w:val="es-ES" w:eastAsia="es-ES"/>
              </w:rPr>
              <w:t>el problema deja de ser de oponibilidad y pasa a ser de prueba</w:t>
            </w:r>
            <w:r w:rsidRPr="004F3256">
              <w:rPr>
                <w:rStyle w:val="Refdenotaalpie"/>
                <w:rFonts w:ascii="Verdana" w:hAnsi="Verdana"/>
                <w:sz w:val="20"/>
              </w:rPr>
              <w:footnoteReference w:id="9"/>
            </w:r>
            <w:r w:rsidRPr="004F3256">
              <w:rPr>
                <w:rFonts w:ascii="Verdana" w:eastAsia="Times New Roman" w:hAnsi="Verdana" w:cs="Arial"/>
                <w:color w:val="000000" w:themeColor="text1"/>
                <w:lang w:val="es-ES" w:eastAsia="es-ES"/>
              </w:rPr>
              <w:t>.</w:t>
            </w:r>
          </w:p>
          <w:p w14:paraId="054FCD63" w14:textId="77777777" w:rsidR="00995A0C" w:rsidRPr="004F3256" w:rsidRDefault="00995A0C" w:rsidP="00FF67F9">
            <w:pPr>
              <w:spacing w:line="276" w:lineRule="auto"/>
              <w:ind w:firstLine="709"/>
              <w:jc w:val="both"/>
              <w:rPr>
                <w:rFonts w:ascii="Verdana" w:hAnsi="Verdana" w:cs="Arial"/>
                <w:lang w:val="es-ES" w:eastAsia="es-ES"/>
              </w:rPr>
            </w:pPr>
          </w:p>
          <w:p w14:paraId="6D5AB15A" w14:textId="57F524F5" w:rsidR="00995A0C" w:rsidRPr="00183D9D" w:rsidRDefault="00995A0C" w:rsidP="00FF67F9">
            <w:pPr>
              <w:spacing w:after="120" w:line="276" w:lineRule="auto"/>
              <w:jc w:val="both"/>
              <w:rPr>
                <w:rFonts w:ascii="Verdana" w:eastAsia="Times New Roman" w:hAnsi="Verdana" w:cs="Arial"/>
                <w:color w:val="000000" w:themeColor="text1"/>
                <w:lang w:val="es-ES" w:eastAsia="es-ES"/>
              </w:rPr>
            </w:pPr>
            <w:proofErr w:type="spellStart"/>
            <w:r>
              <w:rPr>
                <w:rFonts w:ascii="Verdana" w:eastAsia="Times New Roman" w:hAnsi="Verdana" w:cs="Arial"/>
                <w:color w:val="000000" w:themeColor="text1"/>
                <w:lang w:val="es-ES" w:eastAsia="es-ES"/>
              </w:rPr>
              <w:t>iii</w:t>
            </w:r>
            <w:proofErr w:type="spellEnd"/>
            <w:r w:rsidRPr="004F3256">
              <w:rPr>
                <w:rFonts w:ascii="Verdana" w:eastAsia="Times New Roman" w:hAnsi="Verdana" w:cs="Arial"/>
                <w:color w:val="000000" w:themeColor="text1"/>
                <w:lang w:val="es-ES" w:eastAsia="es-ES"/>
              </w:rPr>
              <w:t xml:space="preserve">) </w:t>
            </w:r>
            <w:r w:rsidRPr="00A3513E">
              <w:rPr>
                <w:rFonts w:ascii="Verdana" w:eastAsia="Times New Roman" w:hAnsi="Verdana" w:cs="Arial"/>
                <w:bCs/>
                <w:color w:val="000000" w:themeColor="text1"/>
                <w:lang w:val="es-ES" w:eastAsia="es-ES"/>
              </w:rPr>
              <w:t xml:space="preserve">El plazo de tres </w:t>
            </w:r>
            <w:r>
              <w:rPr>
                <w:rFonts w:ascii="Verdana" w:eastAsia="Times New Roman" w:hAnsi="Verdana" w:cs="Arial"/>
                <w:bCs/>
                <w:color w:val="000000" w:themeColor="text1"/>
                <w:lang w:val="es-ES" w:eastAsia="es-ES"/>
              </w:rPr>
              <w:t>(3)</w:t>
            </w:r>
            <w:r w:rsidRPr="00A3513E">
              <w:rPr>
                <w:rFonts w:ascii="Verdana" w:eastAsia="Times New Roman" w:hAnsi="Verdana" w:cs="Arial"/>
                <w:bCs/>
                <w:color w:val="000000" w:themeColor="text1"/>
                <w:lang w:val="es-ES" w:eastAsia="es-ES"/>
              </w:rPr>
              <w:t xml:space="preserve"> días corre desde la expedición del documento.</w:t>
            </w:r>
            <w:r w:rsidRPr="004F3256">
              <w:rPr>
                <w:rFonts w:ascii="Verdana" w:eastAsia="Times New Roman" w:hAnsi="Verdana" w:cs="Arial"/>
                <w:color w:val="000000" w:themeColor="text1"/>
                <w:lang w:val="es-ES" w:eastAsia="es-ES"/>
              </w:rPr>
              <w:t xml:space="preserve"> Conforme a la Circular Externa Única, en el SECOP II la regla de los tres días se aplica a los documentos que no se generan en línea, contados desde su expedición. Cuando la modificación se suscribe por fuera de la plataforma, el término corre desde su suscripción. Ello impone a la entidad iniciar el trámite con la oportunidad necesaria para cumplirlo. Cuando la modificación se tramita íntegramente en línea, trámite y publicidad son concomitantes y el problema no llega a presentarse</w:t>
            </w:r>
            <w:r w:rsidRPr="004F3256">
              <w:rPr>
                <w:rStyle w:val="Refdenotaalpie"/>
                <w:rFonts w:ascii="Verdana" w:hAnsi="Verdana"/>
                <w:sz w:val="20"/>
              </w:rPr>
              <w:footnoteReference w:id="10"/>
            </w:r>
            <w:r w:rsidRPr="004F3256">
              <w:rPr>
                <w:rFonts w:ascii="Verdana" w:eastAsia="Times New Roman" w:hAnsi="Verdana" w:cs="Arial"/>
                <w:color w:val="000000" w:themeColor="text1"/>
                <w:lang w:val="es-ES" w:eastAsia="es-ES"/>
              </w:rPr>
              <w:t>.</w:t>
            </w:r>
          </w:p>
        </w:tc>
      </w:tr>
    </w:tbl>
    <w:p w14:paraId="3EBCD4E5" w14:textId="77777777" w:rsidR="00995A0C" w:rsidRPr="00B57A1B" w:rsidRDefault="00995A0C" w:rsidP="00995A0C">
      <w:pPr>
        <w:spacing w:after="0" w:line="276" w:lineRule="auto"/>
        <w:jc w:val="both"/>
        <w:rPr>
          <w:rFonts w:ascii="Verdana" w:eastAsia="Calibri" w:hAnsi="Verdana" w:cs="Arial"/>
          <w:bCs/>
          <w:color w:val="000000" w:themeColor="text1"/>
        </w:rPr>
      </w:pPr>
      <w:bookmarkStart w:id="0" w:name="_Hlk37703813"/>
    </w:p>
    <w:p w14:paraId="6D403326" w14:textId="77777777" w:rsidR="00995A0C" w:rsidRPr="00B57A1B" w:rsidRDefault="00995A0C" w:rsidP="00995A0C">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las respuestas:</w:t>
      </w:r>
    </w:p>
    <w:p w14:paraId="52F73077" w14:textId="77777777" w:rsidR="00995A0C" w:rsidRPr="003C0ED7" w:rsidRDefault="00995A0C" w:rsidP="00995A0C">
      <w:pPr>
        <w:spacing w:after="0" w:line="276" w:lineRule="auto"/>
        <w:jc w:val="both"/>
        <w:rPr>
          <w:rFonts w:ascii="Verdana" w:eastAsia="Calibri" w:hAnsi="Verdana" w:cs="Arial"/>
          <w:lang w:val="es-ES"/>
        </w:rPr>
      </w:pPr>
    </w:p>
    <w:p w14:paraId="700B2237" w14:textId="77777777" w:rsidR="00995A0C" w:rsidRDefault="00995A0C" w:rsidP="00995A0C">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762C81C7" w14:textId="77777777" w:rsidR="00995A0C" w:rsidRPr="00C22134" w:rsidRDefault="00995A0C" w:rsidP="00995A0C">
      <w:pPr>
        <w:spacing w:after="0" w:line="276" w:lineRule="auto"/>
        <w:jc w:val="both"/>
        <w:rPr>
          <w:rFonts w:ascii="Verdana" w:eastAsia="Calibri" w:hAnsi="Verdana" w:cs="Arial"/>
          <w:lang w:val="es-ES"/>
        </w:rPr>
      </w:pPr>
    </w:p>
    <w:p w14:paraId="35060F8B" w14:textId="1DDC488A" w:rsidR="00995A0C" w:rsidRPr="00C22134" w:rsidRDefault="00995A0C" w:rsidP="00FF67F9">
      <w:pPr>
        <w:spacing w:after="120" w:line="276" w:lineRule="auto"/>
        <w:jc w:val="both"/>
        <w:rPr>
          <w:rFonts w:ascii="Verdana" w:eastAsia="Calibri" w:hAnsi="Verdana" w:cs="Arial"/>
          <w:lang w:val="es-ES"/>
        </w:rPr>
      </w:pPr>
      <w:r>
        <w:rPr>
          <w:rFonts w:ascii="Verdana" w:hAnsi="Verdana" w:cs="Arial"/>
          <w:bCs/>
          <w:szCs w:val="24"/>
          <w:lang w:val="es-ES_tradnl" w:eastAsia="es-ES_tradnl"/>
        </w:rPr>
        <w:t>i) La regla general en materia de gestión contractual es el uso transaccional del SECOP II. Esta Agencia administra el Sistema Electrónico para la Contratación Pública y está facultada para expedir circulares externas en materia de compras y contratación pública, actos administrativos que contienen instrucciones dirigidas a las entidades estatales y al público en general y que son de obligatorio cumplimiento. Con ese fundamento ha venido fijando, por fases, el uso obligatorio de la plataforma</w:t>
      </w:r>
      <w:r>
        <w:rPr>
          <w:rStyle w:val="Refdenotaalpie"/>
          <w:rFonts w:ascii="Verdana" w:hAnsi="Verdana"/>
          <w:sz w:val="20"/>
        </w:rPr>
        <w:footnoteReference w:id="11"/>
      </w:r>
      <w:r>
        <w:rPr>
          <w:rFonts w:ascii="Verdana" w:hAnsi="Verdana" w:cs="Arial"/>
          <w:bCs/>
          <w:szCs w:val="24"/>
          <w:lang w:val="es-ES_tradnl" w:eastAsia="es-ES_tradnl"/>
        </w:rPr>
        <w:t>.</w:t>
      </w:r>
    </w:p>
    <w:p w14:paraId="41C254A1" w14:textId="15210DA2" w:rsidR="00995A0C" w:rsidRPr="00C22134" w:rsidRDefault="00995A0C" w:rsidP="00FF67F9">
      <w:pPr>
        <w:spacing w:after="120" w:line="276" w:lineRule="auto"/>
        <w:ind w:firstLine="567"/>
        <w:jc w:val="both"/>
        <w:rPr>
          <w:rFonts w:ascii="Verdana" w:eastAsia="Calibri" w:hAnsi="Verdana" w:cs="Arial"/>
          <w:lang w:val="es-ES"/>
        </w:rPr>
      </w:pPr>
      <w:r>
        <w:rPr>
          <w:rFonts w:ascii="Verdana" w:hAnsi="Verdana" w:cs="Arial"/>
          <w:bCs/>
          <w:szCs w:val="24"/>
          <w:lang w:val="es-ES_tradnl" w:eastAsia="es-ES_tradnl"/>
        </w:rPr>
        <w:t xml:space="preserve">Así, la Circular Externa No. 003 del 18 de septiembre de 2024 instruyó a las entidades relacionadas en su Anexo No. 1 para que sus procesos de contratación se gestionen “exclusivamente en el SECOP II”, y precisó que “la medida aplica para todas las modalidades de selección del Estatuto General de Contratación de la Administración Pública […] Así mismo, es aplicable para los procesos que cuenten con un régimen especial de contratación”. La obligatoriedad se distribuyó en fases, con </w:t>
      </w:r>
      <w:proofErr w:type="gramStart"/>
      <w:r>
        <w:rPr>
          <w:rFonts w:ascii="Verdana" w:hAnsi="Verdana" w:cs="Arial"/>
          <w:bCs/>
          <w:szCs w:val="24"/>
          <w:lang w:val="es-ES_tradnl" w:eastAsia="es-ES_tradnl"/>
        </w:rPr>
        <w:t>entrada en vigencia</w:t>
      </w:r>
      <w:proofErr w:type="gramEnd"/>
      <w:r>
        <w:rPr>
          <w:rFonts w:ascii="Verdana" w:hAnsi="Verdana" w:cs="Arial"/>
          <w:bCs/>
          <w:szCs w:val="24"/>
          <w:lang w:val="es-ES_tradnl" w:eastAsia="es-ES_tradnl"/>
        </w:rPr>
        <w:t xml:space="preserve"> el 31 de octubre y el 31 de diciembre de 2024 y el 1 de marzo y el 1 de mayo de 2025, y la Circular Externa No. 001 del 28 de febrero de 2025 reiteró su exigibilidad</w:t>
      </w:r>
      <w:r>
        <w:rPr>
          <w:rStyle w:val="Refdenotaalpie"/>
          <w:rFonts w:ascii="Verdana" w:hAnsi="Verdana"/>
          <w:sz w:val="20"/>
        </w:rPr>
        <w:footnoteReference w:id="12"/>
      </w:r>
      <w:r>
        <w:rPr>
          <w:rFonts w:ascii="Verdana" w:hAnsi="Verdana" w:cs="Arial"/>
          <w:bCs/>
          <w:szCs w:val="24"/>
          <w:lang w:val="es-ES_tradnl" w:eastAsia="es-ES_tradnl"/>
        </w:rPr>
        <w:t>.</w:t>
      </w:r>
    </w:p>
    <w:p w14:paraId="3BA37E06" w14:textId="051AE71E" w:rsidR="00995A0C" w:rsidRPr="00C22134" w:rsidRDefault="00995A0C" w:rsidP="00FF67F9">
      <w:pPr>
        <w:spacing w:after="120" w:line="276" w:lineRule="auto"/>
        <w:ind w:firstLine="567"/>
        <w:jc w:val="both"/>
        <w:rPr>
          <w:rFonts w:ascii="Verdana" w:eastAsia="Calibri" w:hAnsi="Verdana" w:cs="Arial"/>
          <w:lang w:val="es-ES"/>
        </w:rPr>
      </w:pPr>
      <w:r>
        <w:rPr>
          <w:rFonts w:ascii="Verdana" w:hAnsi="Verdana" w:cs="Arial"/>
          <w:bCs/>
          <w:szCs w:val="24"/>
          <w:lang w:val="es-ES_tradnl" w:eastAsia="es-ES_tradnl"/>
        </w:rPr>
        <w:t>El criterio con el que se han definido esas fases explica por qué la regla admite excepciones. La Agencia identificó las entidades que ingresarían al uso obligatorio a partir de los boletines del sector TIC sobre penetración de internet fijo en los municipios y del análisis del comportamiento histórico de la contratación, porque “para adelantar una efectiva transición hacia los sistemas transaccionales, las entidades estatales deben garantizar las condiciones técnicas mínimas, así como, contar con disponibilidad y calidad de conectividad con un ancho de banda superior o igual a los 10 Mbps […] de internet dedicado”. De ahí que la Circular Externa Única califique la obligatoriedad como “un proceso gradual y coordinado que implica la formación para el uso de la herramienta y el alistamiento de la infraestructura tecnológica”</w:t>
      </w:r>
      <w:r>
        <w:rPr>
          <w:rStyle w:val="Refdenotaalpie"/>
          <w:rFonts w:ascii="Verdana" w:hAnsi="Verdana"/>
          <w:sz w:val="20"/>
        </w:rPr>
        <w:footnoteReference w:id="13"/>
      </w:r>
      <w:r>
        <w:rPr>
          <w:rFonts w:ascii="Verdana" w:hAnsi="Verdana" w:cs="Arial"/>
          <w:bCs/>
          <w:szCs w:val="24"/>
          <w:lang w:val="es-ES_tradnl" w:eastAsia="es-ES_tradnl"/>
        </w:rPr>
        <w:t>.</w:t>
      </w:r>
    </w:p>
    <w:p w14:paraId="00697C97" w14:textId="027546AE" w:rsidR="00995A0C" w:rsidRPr="00C22134" w:rsidRDefault="00995A0C" w:rsidP="00FF67F9">
      <w:pPr>
        <w:spacing w:after="120" w:line="276" w:lineRule="auto"/>
        <w:ind w:firstLine="567"/>
        <w:jc w:val="both"/>
        <w:rPr>
          <w:rFonts w:ascii="Verdana" w:eastAsia="Calibri" w:hAnsi="Verdana" w:cs="Arial"/>
          <w:lang w:val="es-ES"/>
        </w:rPr>
      </w:pPr>
      <w:r>
        <w:rPr>
          <w:rFonts w:ascii="Verdana" w:hAnsi="Verdana" w:cs="Arial"/>
          <w:bCs/>
          <w:szCs w:val="24"/>
          <w:lang w:val="es-ES_tradnl" w:eastAsia="es-ES_tradnl"/>
        </w:rPr>
        <w:t xml:space="preserve">Son, pues, tres los supuestos en los que la plataforma se emplea con alcance publicitario y no transaccional: </w:t>
      </w:r>
      <w:r>
        <w:rPr>
          <w:rFonts w:ascii="Verdana" w:hAnsi="Verdana" w:cs="Arial"/>
          <w:b/>
          <w:bCs/>
          <w:szCs w:val="24"/>
          <w:lang w:val="es-ES_tradnl" w:eastAsia="es-ES_tradnl"/>
        </w:rPr>
        <w:t>i)</w:t>
      </w:r>
      <w:r>
        <w:rPr>
          <w:rFonts w:ascii="Verdana" w:hAnsi="Verdana" w:cs="Arial"/>
          <w:bCs/>
          <w:szCs w:val="24"/>
          <w:lang w:val="es-ES_tradnl" w:eastAsia="es-ES_tradnl"/>
        </w:rPr>
        <w:t xml:space="preserve"> el de las entidades a las que aún no </w:t>
      </w:r>
      <w:r>
        <w:rPr>
          <w:rFonts w:ascii="Verdana" w:hAnsi="Verdana" w:cs="Arial"/>
          <w:bCs/>
          <w:szCs w:val="24"/>
          <w:lang w:val="es-ES_tradnl" w:eastAsia="es-ES_tradnl"/>
        </w:rPr>
        <w:lastRenderedPageBreak/>
        <w:t xml:space="preserve">les ha entrado a regir la obligatoriedad, que continúan gestionando y publicando en el SECOP I; </w:t>
      </w:r>
      <w:proofErr w:type="spellStart"/>
      <w:r>
        <w:rPr>
          <w:rFonts w:ascii="Verdana" w:hAnsi="Verdana" w:cs="Arial"/>
          <w:b/>
          <w:bCs/>
          <w:szCs w:val="24"/>
          <w:lang w:val="es-ES_tradnl" w:eastAsia="es-ES_tradnl"/>
        </w:rPr>
        <w:t>ii</w:t>
      </w:r>
      <w:proofErr w:type="spellEnd"/>
      <w:r>
        <w:rPr>
          <w:rFonts w:ascii="Verdana" w:hAnsi="Verdana" w:cs="Arial"/>
          <w:b/>
          <w:bCs/>
          <w:szCs w:val="24"/>
          <w:lang w:val="es-ES_tradnl" w:eastAsia="es-ES_tradnl"/>
        </w:rPr>
        <w:t>)</w:t>
      </w:r>
      <w:r>
        <w:rPr>
          <w:rFonts w:ascii="Verdana" w:hAnsi="Verdana" w:cs="Arial"/>
          <w:bCs/>
          <w:szCs w:val="24"/>
          <w:lang w:val="es-ES_tradnl" w:eastAsia="es-ES_tradnl"/>
        </w:rPr>
        <w:t xml:space="preserve"> el de las entidades de régimen exceptuado, sobre las que pesa el deber de publicar en el SECOP II los documentos de su actividad contractual, en los términos del artículo 13 de la Ley 1150 de 2007; y </w:t>
      </w:r>
      <w:proofErr w:type="spellStart"/>
      <w:r>
        <w:rPr>
          <w:rFonts w:ascii="Verdana" w:hAnsi="Verdana" w:cs="Arial"/>
          <w:b/>
          <w:bCs/>
          <w:szCs w:val="24"/>
          <w:lang w:val="es-ES_tradnl" w:eastAsia="es-ES_tradnl"/>
        </w:rPr>
        <w:t>iii</w:t>
      </w:r>
      <w:proofErr w:type="spellEnd"/>
      <w:r>
        <w:rPr>
          <w:rFonts w:ascii="Verdana" w:hAnsi="Verdana" w:cs="Arial"/>
          <w:b/>
          <w:bCs/>
          <w:szCs w:val="24"/>
          <w:lang w:val="es-ES_tradnl" w:eastAsia="es-ES_tradnl"/>
        </w:rPr>
        <w:t>)</w:t>
      </w:r>
      <w:r>
        <w:rPr>
          <w:rFonts w:ascii="Verdana" w:hAnsi="Verdana" w:cs="Arial"/>
          <w:bCs/>
          <w:szCs w:val="24"/>
          <w:lang w:val="es-ES_tradnl" w:eastAsia="es-ES_tradnl"/>
        </w:rPr>
        <w:t xml:space="preserve"> el de las actuaciones expresamente excluidas de la medida —las asociaciones público–privadas de la Ley 1508 de 2012, los contratos donde existan más de dos partes, los concursos de arquitectura y la enajenación de bienes a título gratuito—, que deben publicarse en el SECOP I</w:t>
      </w:r>
      <w:r>
        <w:rPr>
          <w:rStyle w:val="Refdenotaalpie"/>
          <w:rFonts w:ascii="Verdana" w:hAnsi="Verdana"/>
          <w:sz w:val="20"/>
        </w:rPr>
        <w:footnoteReference w:id="14"/>
      </w:r>
      <w:r>
        <w:rPr>
          <w:rFonts w:ascii="Verdana" w:hAnsi="Verdana" w:cs="Arial"/>
          <w:bCs/>
          <w:szCs w:val="24"/>
          <w:lang w:val="es-ES_tradnl" w:eastAsia="es-ES_tradnl"/>
        </w:rPr>
        <w:t>.</w:t>
      </w:r>
    </w:p>
    <w:p w14:paraId="6DAE4413" w14:textId="7D6ECBA4" w:rsidR="00995A0C" w:rsidRPr="00C22134" w:rsidRDefault="00995A0C" w:rsidP="00FF67F9">
      <w:pPr>
        <w:spacing w:after="120" w:line="276" w:lineRule="auto"/>
        <w:ind w:firstLine="567"/>
        <w:jc w:val="both"/>
        <w:rPr>
          <w:rFonts w:ascii="Verdana" w:eastAsia="Calibri" w:hAnsi="Verdana" w:cs="Arial"/>
          <w:lang w:val="es-ES"/>
        </w:rPr>
      </w:pPr>
      <w:r>
        <w:rPr>
          <w:rFonts w:ascii="Verdana" w:hAnsi="Verdana" w:cs="Arial"/>
          <w:bCs/>
          <w:szCs w:val="24"/>
          <w:lang w:val="es-ES_tradnl" w:eastAsia="es-ES_tradnl"/>
        </w:rPr>
        <w:t>Lo anterior conduce a una conclusión que conviene fijar antes de examinar el perfeccionamiento: cuando la entidad está sujeta al uso transaccional, el acuerdo modificatorio debe celebrarse y suscribirse en la plataforma, de suerte que el momento en que se eleva a escrito y el momento en que queda registrado coinciden. La hipótesis que describe la consulta —documento suscrito por fuera y cargado días o semanas después— no corresponde al funcionamiento normal del sistema, sino a una desviación de él. Cuestión distinta, y es la que enseguida se aborda, es cuáles son las consecuencias jurídicas de esa desviación sobre la existencia del acuerdo.</w:t>
      </w:r>
    </w:p>
    <w:p w14:paraId="4A1ECCDB" w14:textId="43AE93C0" w:rsidR="00995A0C" w:rsidRDefault="00995A0C" w:rsidP="00FF67F9">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El inciso primero del artículo 41 de la Ley 80 de 1993 dispone que “Los contratos del Estado se perfeccionan cuando se logre acuerdo sobre el objeto y la contraprestación y éste se eleve a escrito”. A ella se suma el artículo 39, según el cual los contratos estatales “constarán por escrito y no requerirán ser elevados a escritura pública”, salvo las excepciones que allí se indican.</w:t>
      </w:r>
      <w:r>
        <w:rPr>
          <w:rStyle w:val="Refdenotaalpie"/>
          <w:rFonts w:ascii="Verdana" w:hAnsi="Verdana"/>
          <w:sz w:val="20"/>
        </w:rPr>
        <w:footnoteReference w:id="15"/>
      </w:r>
    </w:p>
    <w:p w14:paraId="6269E20C" w14:textId="2FF00F3D" w:rsidR="00995A0C" w:rsidRDefault="00995A0C" w:rsidP="00FF67F9">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 xml:space="preserve">De esos preceptos se sigue que el perfeccionamiento reposa sobre tres elementos: el acuerdo sobre el objeto, el acuerdo sobre la contraprestación y la constancia escrita de ese acuerdo. El inciso segundo del mismo artículo 41 añade requisitos, pero los refiere expresamente a la ejecución —aprobación de la garantía y existencia de las disponibilidades presupuestales—, no al perfeccionamiento. Esa distinción, que el legislador trazó con cuidado, muestra </w:t>
      </w:r>
      <w:r>
        <w:rPr>
          <w:rFonts w:ascii="Verdana" w:hAnsi="Verdana" w:cs="Arial"/>
          <w:bCs/>
          <w:szCs w:val="24"/>
          <w:lang w:val="es-ES_tradnl" w:eastAsia="es-ES_tradnl"/>
        </w:rPr>
        <w:lastRenderedPageBreak/>
        <w:t>que la enumeración no es indicativa sino delimitadora: donde quiso exigir algo más, lo dijo, y precisó a qué momento del contrato se refería.</w:t>
      </w:r>
      <w:r>
        <w:rPr>
          <w:rStyle w:val="Refdenotaalpie"/>
          <w:rFonts w:ascii="Verdana" w:hAnsi="Verdana"/>
          <w:sz w:val="20"/>
        </w:rPr>
        <w:footnoteReference w:id="16"/>
      </w:r>
    </w:p>
    <w:p w14:paraId="190DE52A" w14:textId="4C79EC2A" w:rsidR="00995A0C" w:rsidRDefault="00995A0C" w:rsidP="00FF67F9">
      <w:pPr>
        <w:spacing w:after="120" w:line="240" w:lineRule="auto"/>
        <w:jc w:val="both"/>
        <w:rPr>
          <w:rFonts w:ascii="Verdana" w:hAnsi="Verdana" w:cs="Arial"/>
          <w:b/>
          <w:bCs/>
          <w:color w:val="000000"/>
          <w:lang w:val="es-ES"/>
        </w:rPr>
      </w:pPr>
      <w:r>
        <w:rPr>
          <w:rFonts w:ascii="Verdana" w:hAnsi="Verdana" w:cs="Arial"/>
          <w:bCs/>
          <w:szCs w:val="24"/>
          <w:lang w:val="es-ES_tradnl" w:eastAsia="es-ES_tradnl"/>
        </w:rPr>
        <w:t>Las modificaciones bilaterales del contrato participan de su naturaleza convencional: son acuerdos de voluntades que alteran el contenido de un negocio jurídico preexistente y se rigen, en cuanto a su formación, por las mismas reglas. La terminación anticipada y la liquidación bilateral que menciona la consulta son, precisamente, acuerdos de esa clase. Por tanto, se perfeccionan cuando las partes convienen y elevan a escrito lo convenido</w:t>
      </w:r>
      <w:r>
        <w:rPr>
          <w:rStyle w:val="Refdenotaalpie"/>
          <w:rFonts w:ascii="Verdana" w:hAnsi="Verdana"/>
          <w:sz w:val="20"/>
        </w:rPr>
        <w:footnoteReference w:id="17"/>
      </w:r>
      <w:r>
        <w:rPr>
          <w:rFonts w:ascii="Verdana" w:hAnsi="Verdana" w:cs="Arial"/>
          <w:bCs/>
          <w:szCs w:val="24"/>
          <w:lang w:val="es-ES_tradnl" w:eastAsia="es-ES_tradnl"/>
        </w:rPr>
        <w:t>.</w:t>
      </w:r>
    </w:p>
    <w:p w14:paraId="0D43FF62" w14:textId="72D9537E" w:rsidR="00995A0C" w:rsidRDefault="00995A0C" w:rsidP="00FF67F9">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La consulta plantea si el carácter transaccional del SECOP II implica que la aprobación dentro de la plataforma constituye el momento de perfeccionamiento. La respuesta exige, antes que nada, identificar el rango de la fuente que se invoca.</w:t>
      </w:r>
    </w:p>
    <w:p w14:paraId="6588A5D9" w14:textId="6447871C" w:rsidR="00995A0C" w:rsidRDefault="00995A0C" w:rsidP="00FF67F9">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Los requisitos de existencia y validez del contrato son materia reservada al legislador. Esta Subdirección lo ha afirmado al delimitar hasta dónde pueden llegar los manuales de contratación de las entidades de régimen especial: por más amplia que sea su libertad de configuración, no pueden regular “los requisitos de existencia y validez del contrato”, entre otras materias de reserva legal. Lo que no puede hacer un reglamento interno tampoco puede hacerlo un decreto reglamentario, ni una circular, ni —con mayor razón— la configuración técnica de una plataforma electrónica</w:t>
      </w:r>
      <w:r>
        <w:rPr>
          <w:rStyle w:val="Refdenotaalpie"/>
          <w:rFonts w:ascii="Verdana" w:hAnsi="Verdana"/>
          <w:sz w:val="20"/>
        </w:rPr>
        <w:footnoteReference w:id="18"/>
      </w:r>
      <w:r>
        <w:rPr>
          <w:rFonts w:ascii="Verdana" w:hAnsi="Verdana" w:cs="Arial"/>
          <w:bCs/>
          <w:szCs w:val="24"/>
          <w:lang w:val="es-ES_tradnl" w:eastAsia="es-ES_tradnl"/>
        </w:rPr>
        <w:t>.</w:t>
      </w:r>
    </w:p>
    <w:p w14:paraId="2227869D" w14:textId="7F0CAA0B" w:rsidR="00995A0C" w:rsidRDefault="00995A0C" w:rsidP="00FF67F9">
      <w:pPr>
        <w:spacing w:after="120" w:line="240" w:lineRule="auto"/>
        <w:jc w:val="both"/>
        <w:rPr>
          <w:rFonts w:ascii="Verdana" w:hAnsi="Verdana" w:cs="Arial"/>
          <w:b/>
          <w:bCs/>
          <w:color w:val="000000"/>
          <w:lang w:val="es-ES"/>
        </w:rPr>
      </w:pPr>
      <w:r>
        <w:rPr>
          <w:rFonts w:ascii="Verdana" w:hAnsi="Verdana" w:cs="Arial"/>
          <w:bCs/>
          <w:szCs w:val="24"/>
          <w:lang w:val="es-ES_tradnl" w:eastAsia="es-ES_tradnl"/>
        </w:rPr>
        <w:t>Aceptar la tesis contraria conduciría a consecuencias que el ordenamiento no admite. Significaría que la existencia de un negocio jurídico depende de la disponibilidad de un sistema de información; que una falla técnica, una demora en el flujo de aprobación o la inacción de la contraparte podrían impedir el nacimiento de un acuerdo ya celebrado; y que las partes quedarían sin vínculo durante el lapso que media entre la firma y el registro, pese a haber consentido. Ninguna norma autoriza semejante resultado.</w:t>
      </w:r>
    </w:p>
    <w:p w14:paraId="53655E08" w14:textId="4244457C" w:rsidR="00995A0C" w:rsidRDefault="00995A0C" w:rsidP="00FF67F9">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 xml:space="preserve">Conviene precisar la fuente de esa caracterización, porque la consulta la atribuye a una norma que no la contiene. El artículo 2.2.1.1.1.3.1 del Decreto </w:t>
      </w:r>
      <w:r>
        <w:rPr>
          <w:rFonts w:ascii="Verdana" w:hAnsi="Verdana" w:cs="Arial"/>
          <w:bCs/>
          <w:szCs w:val="24"/>
          <w:lang w:val="es-ES_tradnl" w:eastAsia="es-ES_tradnl"/>
        </w:rPr>
        <w:lastRenderedPageBreak/>
        <w:t>1082 de 2015 es el artículo de definiciones del Título I y, en lo pertinente, se limita a establecer: “SECOP: Sistema Electrónico para la Contratación Pública al que se refiere el artículo 3o de la Ley 1150 de 2007”. No define el SECOP II, no lo califica de transaccional y no le atribuye efecto perfeccionador alguno.</w:t>
      </w:r>
      <w:r>
        <w:rPr>
          <w:rStyle w:val="Refdenotaalpie"/>
          <w:rFonts w:ascii="Verdana" w:hAnsi="Verdana"/>
          <w:sz w:val="20"/>
        </w:rPr>
        <w:footnoteReference w:id="19"/>
      </w:r>
    </w:p>
    <w:p w14:paraId="7C1EEBFB" w14:textId="521E0880" w:rsidR="00995A0C" w:rsidRDefault="00995A0C" w:rsidP="00FF67F9">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 xml:space="preserve">La caracterización proviene del numeral 1.2 de la Circular Externa Única de esta Agencia, que describe el SECOP II como “una plataforma esencialmente transaccional, de contratación en línea”, desde la cual las entidades “crean, publican, adjudican, celebran contratos electrónicos y, en general, tramitan todas las etapas del Proceso de Contratación”. La expresión “plataforma transaccional” aparece también en el artículo 13 de la Ley 1150 de 2007, adicionado por el artículo 53 de la Ley 2195 de 2022; pero allí se emplea para identificar el sistema en el que las entidades de régimen especial “deberán </w:t>
      </w:r>
      <w:r>
        <w:rPr>
          <w:rFonts w:ascii="Verdana" w:hAnsi="Verdana" w:cs="Arial"/>
          <w:bCs/>
          <w:i/>
          <w:szCs w:val="24"/>
          <w:lang w:val="es-ES_tradnl" w:eastAsia="es-ES_tradnl"/>
        </w:rPr>
        <w:t>publicar</w:t>
      </w:r>
      <w:r>
        <w:rPr>
          <w:rFonts w:ascii="Verdana" w:hAnsi="Verdana" w:cs="Arial"/>
          <w:bCs/>
          <w:szCs w:val="24"/>
          <w:lang w:val="es-ES_tradnl" w:eastAsia="es-ES_tradnl"/>
        </w:rPr>
        <w:t xml:space="preserve"> los documentos relacionados con su actividad contractual”</w:t>
      </w:r>
      <w:r>
        <w:rPr>
          <w:rStyle w:val="Refdenotaalpie"/>
          <w:rFonts w:ascii="Verdana" w:hAnsi="Verdana"/>
          <w:sz w:val="20"/>
        </w:rPr>
        <w:footnoteReference w:id="20"/>
      </w:r>
      <w:r>
        <w:rPr>
          <w:rFonts w:ascii="Verdana" w:hAnsi="Verdana" w:cs="Arial"/>
          <w:bCs/>
          <w:szCs w:val="24"/>
          <w:lang w:val="es-ES_tradnl" w:eastAsia="es-ES_tradnl"/>
        </w:rPr>
        <w:t>.</w:t>
      </w:r>
    </w:p>
    <w:p w14:paraId="494FF80A" w14:textId="77777777" w:rsidR="00995A0C" w:rsidRPr="00A0389A" w:rsidRDefault="00995A0C" w:rsidP="00995A0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El propio numeral 1.3 de la Circular delimita el alcance del concepto en términos que resuelven la consulta:</w:t>
      </w:r>
    </w:p>
    <w:p w14:paraId="1BEB7B37" w14:textId="77777777" w:rsidR="00995A0C" w:rsidRDefault="00995A0C" w:rsidP="00995A0C">
      <w:pPr>
        <w:spacing w:after="0" w:line="240" w:lineRule="auto"/>
        <w:jc w:val="both"/>
        <w:rPr>
          <w:rFonts w:ascii="Verdana" w:hAnsi="Verdana" w:cs="Arial"/>
          <w:b/>
          <w:bCs/>
          <w:color w:val="000000"/>
          <w:lang w:val="es-ES"/>
        </w:rPr>
      </w:pPr>
    </w:p>
    <w:p w14:paraId="33E2AFD1" w14:textId="77777777" w:rsidR="00995A0C" w:rsidRPr="00FF67F9" w:rsidRDefault="00995A0C" w:rsidP="00995A0C">
      <w:pPr>
        <w:tabs>
          <w:tab w:val="left" w:pos="709"/>
        </w:tabs>
        <w:spacing w:after="120" w:line="240" w:lineRule="auto"/>
        <w:ind w:left="709" w:right="709"/>
        <w:jc w:val="both"/>
        <w:rPr>
          <w:rFonts w:ascii="Verdana" w:hAnsi="Verdana" w:cs="Arial"/>
          <w:sz w:val="20"/>
          <w:szCs w:val="20"/>
          <w:lang w:val="es-ES" w:eastAsia="es-ES"/>
        </w:rPr>
      </w:pPr>
      <w:r w:rsidRPr="00FF67F9">
        <w:rPr>
          <w:rFonts w:ascii="Verdana" w:hAnsi="Verdana" w:cs="Arial"/>
          <w:sz w:val="20"/>
          <w:szCs w:val="20"/>
          <w:lang w:val="es-ES" w:eastAsia="es-ES"/>
        </w:rPr>
        <w:t>“La información registrada por las Entidades en el SECOP II y en la Tienda Virtual del Estado Colombiano está disponible en tiempo real, debido a que las actuaciones del Proceso de Contratación tienen lugar electrónicamente […]. Sin embargo, a pesar del carácter transaccional, que permite que el trámite de gran parte de las actuaciones de la gestión contractual se realice en línea y de forma concomitante a su publicidad, las Entidades pueden crear documentos en medio físico o electrónico por fuera de la plataforma para, posteriormente, ser incorporados en el módulo dispuesto para el efecto”</w:t>
      </w:r>
      <w:r w:rsidRPr="00701CEB">
        <w:rPr>
          <w:rStyle w:val="Refdenotaalpie"/>
          <w:rFonts w:ascii="Verdana" w:hAnsi="Verdana"/>
          <w:sz w:val="20"/>
          <w:szCs w:val="20"/>
        </w:rPr>
        <w:footnoteReference w:id="21"/>
      </w:r>
      <w:r w:rsidRPr="00FF67F9">
        <w:rPr>
          <w:rFonts w:ascii="Verdana" w:hAnsi="Verdana" w:cs="Arial"/>
          <w:sz w:val="20"/>
          <w:szCs w:val="20"/>
          <w:lang w:val="es-ES" w:eastAsia="es-ES"/>
        </w:rPr>
        <w:t>.</w:t>
      </w:r>
    </w:p>
    <w:p w14:paraId="1A7FBFAB" w14:textId="77777777" w:rsidR="00995A0C" w:rsidRDefault="00995A0C" w:rsidP="00995A0C">
      <w:pPr>
        <w:spacing w:after="0" w:line="240" w:lineRule="auto"/>
        <w:jc w:val="both"/>
        <w:rPr>
          <w:rFonts w:ascii="Verdana" w:hAnsi="Verdana" w:cs="Arial"/>
          <w:b/>
          <w:bCs/>
          <w:color w:val="000000"/>
          <w:lang w:val="es-ES"/>
        </w:rPr>
      </w:pPr>
    </w:p>
    <w:p w14:paraId="4780FF74" w14:textId="546D202E" w:rsidR="00995A0C" w:rsidRDefault="00995A0C" w:rsidP="00FF67F9">
      <w:pPr>
        <w:spacing w:after="120" w:line="276" w:lineRule="auto"/>
        <w:ind w:firstLine="567"/>
        <w:jc w:val="both"/>
        <w:rPr>
          <w:rFonts w:ascii="Verdana" w:hAnsi="Verdana" w:cs="Arial"/>
          <w:b/>
          <w:bCs/>
          <w:color w:val="000000"/>
          <w:lang w:val="es-ES"/>
        </w:rPr>
      </w:pPr>
      <w:r w:rsidRPr="1B845064">
        <w:rPr>
          <w:rFonts w:ascii="Verdana" w:hAnsi="Verdana" w:cs="Arial"/>
          <w:lang w:val="es-ES" w:eastAsia="es-ES"/>
        </w:rPr>
        <w:t xml:space="preserve">Dos consecuencias se desprenden del pasaje. La primera es que el carácter transaccional describe una </w:t>
      </w:r>
      <w:r w:rsidRPr="1B845064">
        <w:rPr>
          <w:rFonts w:ascii="Verdana" w:hAnsi="Verdana" w:cs="Arial"/>
          <w:i/>
          <w:lang w:val="es-ES" w:eastAsia="es-ES"/>
        </w:rPr>
        <w:t>capacidad operativa</w:t>
      </w:r>
      <w:r w:rsidRPr="1B845064">
        <w:rPr>
          <w:rFonts w:ascii="Verdana" w:hAnsi="Verdana" w:cs="Arial"/>
          <w:lang w:val="es-ES" w:eastAsia="es-ES"/>
        </w:rPr>
        <w:t xml:space="preserve">: permite que el trámite se realice en línea y, por ello, de forma concomitante a la publicidad. Que ambas cosas coincidan en el tiempo no las convierte en la misma cosa; al contrario, la Circular las </w:t>
      </w:r>
      <w:proofErr w:type="gramStart"/>
      <w:r w:rsidRPr="1B845064">
        <w:rPr>
          <w:rFonts w:ascii="Verdana" w:hAnsi="Verdana" w:cs="Arial"/>
          <w:lang w:val="es-ES" w:eastAsia="es-ES"/>
        </w:rPr>
        <w:t>nombra como</w:t>
      </w:r>
      <w:proofErr w:type="gramEnd"/>
      <w:r w:rsidRPr="1B845064">
        <w:rPr>
          <w:rFonts w:ascii="Verdana" w:hAnsi="Verdana" w:cs="Arial"/>
          <w:lang w:val="es-ES" w:eastAsia="es-ES"/>
        </w:rPr>
        <w:t xml:space="preserve"> actuaciones distintas que la plataforma aproxima. La segunda es que la Circular admite expresamente que los documentos se creen fuera de </w:t>
      </w:r>
      <w:r w:rsidRPr="1B845064">
        <w:rPr>
          <w:rFonts w:ascii="Verdana" w:hAnsi="Verdana" w:cs="Arial"/>
          <w:lang w:val="es-ES" w:eastAsia="es-ES"/>
        </w:rPr>
        <w:lastRenderedPageBreak/>
        <w:t>la plataforma y se incorporen después, lo que sería contradictorio si el cargue fuera constitutivo.</w:t>
      </w:r>
    </w:p>
    <w:p w14:paraId="126A0125" w14:textId="0911A0C8" w:rsidR="00995A0C" w:rsidRDefault="00995A0C" w:rsidP="00FF67F9">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 xml:space="preserve">La misma Circular es todavía más explícita cuando, al describir el uso del SECOP II, distingue dos alternativas: “i) firma el contrato electrónicamente (es decir, realiza un uso transaccional de la plataforma) o </w:t>
      </w:r>
      <w:proofErr w:type="spellStart"/>
      <w:r>
        <w:rPr>
          <w:rFonts w:ascii="Verdana" w:hAnsi="Verdana" w:cs="Arial"/>
          <w:bCs/>
          <w:szCs w:val="24"/>
          <w:lang w:val="es-ES_tradnl" w:eastAsia="es-ES_tradnl"/>
        </w:rPr>
        <w:t>ii</w:t>
      </w:r>
      <w:proofErr w:type="spellEnd"/>
      <w:r>
        <w:rPr>
          <w:rFonts w:ascii="Verdana" w:hAnsi="Verdana" w:cs="Arial"/>
          <w:bCs/>
          <w:szCs w:val="24"/>
          <w:lang w:val="es-ES_tradnl" w:eastAsia="es-ES_tradnl"/>
        </w:rPr>
        <w:t>) firma el contrato en físico y publica los documentos […] (es decir, realiza un uso publicitario de la plataforma)”. La existencia de esa opción es incompatible con la idea de que la plataforma perfecciona por sí misma: si así fuera, el uso publicitario no produciría contrato alguno</w:t>
      </w:r>
      <w:r>
        <w:rPr>
          <w:rStyle w:val="Refdenotaalpie"/>
          <w:rFonts w:ascii="Verdana" w:hAnsi="Verdana"/>
          <w:sz w:val="20"/>
        </w:rPr>
        <w:footnoteReference w:id="22"/>
      </w:r>
      <w:r>
        <w:rPr>
          <w:rFonts w:ascii="Verdana" w:hAnsi="Verdana" w:cs="Arial"/>
          <w:bCs/>
          <w:szCs w:val="24"/>
          <w:lang w:val="es-ES_tradnl" w:eastAsia="es-ES_tradnl"/>
        </w:rPr>
        <w:t>.</w:t>
      </w:r>
    </w:p>
    <w:p w14:paraId="6A6B5DF2" w14:textId="7903D8FC" w:rsidR="00995A0C" w:rsidRDefault="00995A0C" w:rsidP="00FF67F9">
      <w:pPr>
        <w:spacing w:after="120" w:line="276" w:lineRule="auto"/>
        <w:ind w:firstLine="567"/>
        <w:jc w:val="both"/>
        <w:rPr>
          <w:rFonts w:ascii="Verdana" w:hAnsi="Verdana" w:cs="Arial"/>
          <w:b/>
          <w:bCs/>
          <w:color w:val="000000"/>
          <w:lang w:val="es-ES"/>
        </w:rPr>
      </w:pPr>
      <w:r w:rsidRPr="1B845064">
        <w:rPr>
          <w:rFonts w:ascii="Verdana" w:hAnsi="Verdana" w:cs="Arial"/>
          <w:lang w:val="es-ES" w:eastAsia="es-ES"/>
        </w:rPr>
        <w:t>De lo expuesto se sigue que la disyuntiva que plantea la consulta —fecha del documento privado o fecha de aprobación en la plataforma— no admite una respuesta abstracta y única, porque no es una disyuntiva entre dos regímenes, sino una cuestión de hecho sobre dónde se instrumentó el acuerdo. La regla es una sola: la modificación se perfecciona cuando el acuerdo se eleva a escrito. Lo que varía es el soporte en que ello ocurre.</w:t>
      </w:r>
      <w:r w:rsidR="00B843BA">
        <w:rPr>
          <w:rFonts w:ascii="Verdana" w:hAnsi="Verdana" w:cs="Arial"/>
          <w:lang w:val="es-ES" w:eastAsia="es-ES"/>
        </w:rPr>
        <w:t xml:space="preserve"> </w:t>
      </w:r>
    </w:p>
    <w:p w14:paraId="20FAEA85" w14:textId="447C3A51" w:rsidR="00995A0C" w:rsidRPr="00A0389A" w:rsidRDefault="00995A0C" w:rsidP="00995A0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Si las partes suscribieron la modificación por fuera de la plataforma, en documento físico o electrónico, el acuerdo quedó elevado a escrito en esa fecha y allí se perfeccionó. El cargue posterior en el SECOP II cumple entonces una función de publicidad y de incorporación al expediente electrónico, y la entidad debe realizarlo dentro del plazo reglamentario</w:t>
      </w:r>
      <w:r>
        <w:rPr>
          <w:rStyle w:val="Refdenotaalpie"/>
          <w:rFonts w:ascii="Verdana" w:hAnsi="Verdana"/>
          <w:sz w:val="20"/>
        </w:rPr>
        <w:footnoteReference w:id="23"/>
      </w:r>
      <w:r w:rsidR="00701CEB">
        <w:rPr>
          <w:rFonts w:ascii="Verdana" w:hAnsi="Verdana" w:cs="Arial"/>
          <w:bCs/>
          <w:szCs w:val="24"/>
          <w:lang w:val="es-ES_tradnl" w:eastAsia="es-ES_tradnl"/>
        </w:rPr>
        <w:t xml:space="preserve"> </w:t>
      </w:r>
      <w:r>
        <w:rPr>
          <w:rFonts w:ascii="Verdana" w:hAnsi="Verdana" w:cs="Arial"/>
          <w:bCs/>
          <w:szCs w:val="24"/>
          <w:lang w:val="es-ES_tradnl" w:eastAsia="es-ES_tradnl"/>
        </w:rPr>
        <w:t>Si, por el contrario, l</w:t>
      </w:r>
      <w:r w:rsidR="00701CEB">
        <w:rPr>
          <w:rFonts w:ascii="Verdana" w:hAnsi="Verdana" w:cs="Arial"/>
          <w:bCs/>
          <w:szCs w:val="24"/>
          <w:lang w:val="es-ES_tradnl" w:eastAsia="es-ES_tradnl"/>
        </w:rPr>
        <w:t>a modificación se realizó de forma transaccional a través de SECOP II</w:t>
      </w:r>
      <w:r>
        <w:rPr>
          <w:rFonts w:ascii="Verdana" w:hAnsi="Verdana" w:cs="Arial"/>
          <w:bCs/>
          <w:szCs w:val="24"/>
          <w:lang w:val="es-ES_tradnl" w:eastAsia="es-ES_tradnl"/>
        </w:rPr>
        <w:t xml:space="preserve"> el perfeccionamiento </w:t>
      </w:r>
      <w:r w:rsidR="00701CEB">
        <w:rPr>
          <w:rFonts w:ascii="Verdana" w:hAnsi="Verdana" w:cs="Arial"/>
          <w:bCs/>
          <w:szCs w:val="24"/>
          <w:lang w:val="es-ES_tradnl" w:eastAsia="es-ES_tradnl"/>
        </w:rPr>
        <w:t>se realiza electrónicamente y</w:t>
      </w:r>
      <w:r>
        <w:rPr>
          <w:rFonts w:ascii="Verdana" w:hAnsi="Verdana" w:cs="Arial"/>
          <w:bCs/>
          <w:szCs w:val="24"/>
          <w:lang w:val="es-ES_tradnl" w:eastAsia="es-ES_tradnl"/>
        </w:rPr>
        <w:t xml:space="preserve"> coincide con su suscripción electrónica en la plataforma. </w:t>
      </w:r>
    </w:p>
    <w:p w14:paraId="5503B147" w14:textId="77777777" w:rsidR="00995A0C" w:rsidRDefault="00995A0C" w:rsidP="00995A0C">
      <w:pPr>
        <w:spacing w:after="0" w:line="240" w:lineRule="auto"/>
        <w:jc w:val="both"/>
        <w:rPr>
          <w:rFonts w:ascii="Verdana" w:hAnsi="Verdana" w:cs="Arial"/>
          <w:b/>
          <w:bCs/>
          <w:color w:val="000000"/>
          <w:lang w:val="es-ES"/>
        </w:rPr>
      </w:pPr>
    </w:p>
    <w:p w14:paraId="7A947A94" w14:textId="78EFED03" w:rsidR="00995A0C" w:rsidRDefault="00995A0C" w:rsidP="00FF67F9">
      <w:pPr>
        <w:spacing w:after="120" w:line="276" w:lineRule="auto"/>
        <w:jc w:val="both"/>
        <w:rPr>
          <w:rFonts w:ascii="Verdana" w:hAnsi="Verdana" w:cs="Arial"/>
          <w:b/>
          <w:bCs/>
          <w:color w:val="000000"/>
          <w:lang w:val="es-ES"/>
        </w:rPr>
      </w:pPr>
      <w:proofErr w:type="spellStart"/>
      <w:r w:rsidRPr="4322DB80">
        <w:rPr>
          <w:rFonts w:ascii="Verdana" w:hAnsi="Verdana" w:cs="Arial"/>
          <w:lang w:val="es-ES" w:eastAsia="es-ES"/>
        </w:rPr>
        <w:t>ii</w:t>
      </w:r>
      <w:proofErr w:type="spellEnd"/>
      <w:r w:rsidRPr="4322DB80">
        <w:rPr>
          <w:rFonts w:ascii="Verdana" w:hAnsi="Verdana" w:cs="Arial"/>
          <w:lang w:val="es-ES" w:eastAsia="es-ES"/>
        </w:rPr>
        <w:t>) La cuarta pregunta indaga si puede invocarse válidamente una modificación antes de que quede publicada. Aquí conviene separar dos planos que la consulta reúne.</w:t>
      </w:r>
    </w:p>
    <w:p w14:paraId="0F2B22DA" w14:textId="74DFDDAA" w:rsidR="00995A0C" w:rsidRDefault="00995A0C" w:rsidP="00FF67F9">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 xml:space="preserve">En el primero, entre las partes, la modificación produce efectos desde su perfeccionamiento: desde entonces el contrato modificado obliga en los nuevos </w:t>
      </w:r>
      <w:r>
        <w:rPr>
          <w:rFonts w:ascii="Verdana" w:hAnsi="Verdana" w:cs="Arial"/>
          <w:bCs/>
          <w:szCs w:val="24"/>
          <w:lang w:val="es-ES_tradnl" w:eastAsia="es-ES_tradnl"/>
        </w:rPr>
        <w:lastRenderedPageBreak/>
        <w:t xml:space="preserve">términos y, si lo acordado fue su terminación, deja de obligar. Ninguna norma condiciona ese efecto </w:t>
      </w:r>
      <w:proofErr w:type="gramStart"/>
      <w:r>
        <w:rPr>
          <w:rFonts w:ascii="Verdana" w:hAnsi="Verdana" w:cs="Arial"/>
          <w:bCs/>
          <w:szCs w:val="24"/>
          <w:lang w:val="es-ES_tradnl" w:eastAsia="es-ES_tradnl"/>
        </w:rPr>
        <w:t>inter partes</w:t>
      </w:r>
      <w:proofErr w:type="gramEnd"/>
      <w:r>
        <w:rPr>
          <w:rFonts w:ascii="Verdana" w:hAnsi="Verdana" w:cs="Arial"/>
          <w:bCs/>
          <w:szCs w:val="24"/>
          <w:lang w:val="es-ES_tradnl" w:eastAsia="es-ES_tradnl"/>
        </w:rPr>
        <w:t xml:space="preserve"> a la publicidad</w:t>
      </w:r>
      <w:r>
        <w:rPr>
          <w:rStyle w:val="Refdenotaalpie"/>
          <w:rFonts w:ascii="Verdana" w:hAnsi="Verdana"/>
          <w:sz w:val="20"/>
        </w:rPr>
        <w:footnoteReference w:id="24"/>
      </w:r>
      <w:r>
        <w:rPr>
          <w:rFonts w:ascii="Verdana" w:hAnsi="Verdana" w:cs="Arial"/>
          <w:bCs/>
          <w:szCs w:val="24"/>
          <w:lang w:val="es-ES_tradnl" w:eastAsia="es-ES_tradnl"/>
        </w:rPr>
        <w:t>.</w:t>
      </w:r>
    </w:p>
    <w:p w14:paraId="555112DF" w14:textId="49D81001" w:rsidR="00995A0C" w:rsidRDefault="00995A0C" w:rsidP="00FF67F9">
      <w:pPr>
        <w:spacing w:after="120" w:line="276" w:lineRule="auto"/>
        <w:ind w:firstLine="567"/>
        <w:jc w:val="both"/>
        <w:rPr>
          <w:rFonts w:ascii="Verdana" w:hAnsi="Verdana" w:cs="Arial"/>
          <w:b/>
          <w:bCs/>
          <w:color w:val="000000"/>
          <w:lang w:val="es-ES"/>
        </w:rPr>
      </w:pPr>
      <w:r>
        <w:rPr>
          <w:rFonts w:ascii="Verdana" w:hAnsi="Verdana" w:cs="Arial"/>
          <w:bCs/>
          <w:szCs w:val="24"/>
          <w:lang w:val="es-ES_tradnl" w:eastAsia="es-ES_tradnl"/>
        </w:rPr>
        <w:t>En el segundo, frente a terceros, la publicidad cumple una función de cognoscibilidad, instrumental de los principios de transparencia y publicidad de la función administrativa. Su omisión o su retardo no privan al acto de existencia ni de validez, pero producen dos efectos propios: comprometen la responsabilidad de la entidad obligada a publicar y pueden impedir que el acto se oponga a quien, obrando de buena fe, no estuvo en condiciones de conocerlo y ajustó su conducta a la información disponible</w:t>
      </w:r>
      <w:r>
        <w:rPr>
          <w:rStyle w:val="Refdenotaalpie"/>
          <w:rFonts w:ascii="Verdana" w:hAnsi="Verdana"/>
          <w:sz w:val="20"/>
        </w:rPr>
        <w:footnoteReference w:id="25"/>
      </w:r>
      <w:r>
        <w:rPr>
          <w:rFonts w:ascii="Verdana" w:hAnsi="Verdana" w:cs="Arial"/>
          <w:bCs/>
          <w:szCs w:val="24"/>
          <w:lang w:val="es-ES_tradnl" w:eastAsia="es-ES_tradnl"/>
        </w:rPr>
        <w:t>.</w:t>
      </w:r>
    </w:p>
    <w:p w14:paraId="224DD838" w14:textId="0AFAC19D" w:rsidR="00995A0C" w:rsidRPr="00A0389A" w:rsidRDefault="00995A0C" w:rsidP="00995A0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Ahora bien, en el escenario que describe la consulta —la verificación de requisitos habilitantes en un proceso de selección— el problema no es propiamente de oponibilidad, sino de acreditación. El proponente que invoca la terminación de un contrato no pretende oponer a la entidad evaluadora un acto que la perjudique: pretende demostrar un hecho. Y ese hecho se demuestra con el documento que lo contiene, sin perjuicio de que la entidad pueda contrastarlo con la información del sistema y solicitar las aclaraciones que estime necesarias.</w:t>
      </w:r>
    </w:p>
    <w:p w14:paraId="77C8313B" w14:textId="2D145B03" w:rsidR="00995A0C" w:rsidRPr="00A0389A" w:rsidRDefault="001A1F99" w:rsidP="00FF67F9">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ab/>
      </w:r>
    </w:p>
    <w:bookmarkEnd w:id="0"/>
    <w:p w14:paraId="5615A562" w14:textId="77777777" w:rsidR="00995A0C" w:rsidRDefault="00995A0C" w:rsidP="00995A0C">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177691AC" w14:textId="77777777" w:rsidR="00995A0C" w:rsidRPr="00215B71" w:rsidRDefault="00995A0C" w:rsidP="00995A0C">
      <w:pPr>
        <w:tabs>
          <w:tab w:val="left" w:pos="142"/>
          <w:tab w:val="left" w:pos="284"/>
        </w:tabs>
        <w:spacing w:after="0" w:line="276" w:lineRule="auto"/>
        <w:ind w:left="720"/>
        <w:contextualSpacing/>
        <w:jc w:val="both"/>
        <w:rPr>
          <w:rFonts w:ascii="Verdana" w:eastAsia="Century Gothic" w:hAnsi="Verdana" w:cs="Century Gothic"/>
          <w:b/>
          <w:bCs/>
          <w:lang w:val="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95A0C" w:rsidRPr="009037F6" w14:paraId="18B68858" w14:textId="77777777" w:rsidTr="002002AD">
        <w:trPr>
          <w:trHeight w:val="487"/>
          <w:jc w:val="center"/>
        </w:trPr>
        <w:tc>
          <w:tcPr>
            <w:tcW w:w="8647" w:type="dxa"/>
          </w:tcPr>
          <w:p w14:paraId="3ABF2AA2" w14:textId="77777777" w:rsidR="00995A0C" w:rsidRDefault="00995A0C" w:rsidP="00995A0C">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Normativa: Constitución Política, artículos 150 —numeral 25 e inciso final— y 209. Código Civil, artículo 1602. Ley 80 de 1993, artículos 24 —numeral 5, literal b)—, 39, 40 y 41 —incisos primero y segundo, este último modificado por el artículo 23 de la Ley 1150 de 2007—. Ley 527 de 1999, artículos 6 y 10. Ley 1150 de 2007, artículos 3, 5 —y su parágrafo 1— y 13 —adicionado por el artículo 53 de la Ley 2195 de 2022—. Ley 1437 de 2011, artículos 3 —numerales 4 y 8—, 8 y 28, sustituido por el artículo 1 de la Ley 1755 de 2015. Ley 1508 de 2012. Ley 1712 de 2014. Ley 2195 de 2022, artículo 53. Decreto Ley 4170 de 2011, artículos 3, numeral 5, y 11, numeral 8. Decreto 1081 de 2015. Decreto 1082 de 2015, artículos 2.2.1.1.1.3.1 y 2.2.1.1.1.7.1. Resolución 469 de 2025 de la ANCP-CCE.</w:t>
            </w:r>
          </w:p>
          <w:p w14:paraId="52D356B4" w14:textId="77777777" w:rsidR="00995A0C" w:rsidRDefault="00995A0C" w:rsidP="00995A0C">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lastRenderedPageBreak/>
              <w:t>Documentos de la ANCP-CCE: Circular Externa Única de la Agencia Nacional de Contratación Pública – Colombia Compra Eficiente, numerales 1.2 y 1.3, numerales 1.2, 1.3 y 3. Circular Externa No. 003 del 18 de septiembre de 2024 y Circular Externa No. 001 del 28 de febrero de 2025.</w:t>
            </w:r>
          </w:p>
          <w:p w14:paraId="10B206AB" w14:textId="77777777" w:rsidR="00995A0C" w:rsidRDefault="00995A0C" w:rsidP="00995A0C">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Conceptos de la ANCP-CCE: Subdirección de Gestión Contractual. Conceptos C-1633 de 2025, C-420 de 2026, C-892 de 2026, C-1008 del 31 de julio de 2026, C-1172 de 2026 y C-1218 del 3 de septiembre de 2026.</w:t>
            </w:r>
          </w:p>
        </w:tc>
      </w:tr>
    </w:tbl>
    <w:p w14:paraId="2D99509E" w14:textId="77777777" w:rsidR="00995A0C" w:rsidRPr="009037F6" w:rsidRDefault="00995A0C" w:rsidP="00995A0C">
      <w:pPr>
        <w:widowControl w:val="0"/>
        <w:autoSpaceDE w:val="0"/>
        <w:autoSpaceDN w:val="0"/>
        <w:spacing w:after="0" w:line="276" w:lineRule="auto"/>
        <w:jc w:val="both"/>
        <w:rPr>
          <w:rFonts w:ascii="Verdana" w:hAnsi="Verdana" w:cs="Arial"/>
        </w:rPr>
      </w:pPr>
    </w:p>
    <w:p w14:paraId="6DB67D29" w14:textId="77777777" w:rsidR="00995A0C" w:rsidRPr="009037F6" w:rsidRDefault="00995A0C" w:rsidP="00995A0C">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0CEC7DD7" w14:textId="77777777" w:rsidR="00995A0C" w:rsidRPr="009037F6" w:rsidRDefault="00995A0C" w:rsidP="00995A0C">
      <w:pPr>
        <w:widowControl w:val="0"/>
        <w:autoSpaceDE w:val="0"/>
        <w:autoSpaceDN w:val="0"/>
        <w:spacing w:after="0" w:line="276" w:lineRule="auto"/>
        <w:jc w:val="both"/>
        <w:rPr>
          <w:rFonts w:ascii="Verdana" w:hAnsi="Verdana" w:cs="Arial"/>
        </w:rPr>
      </w:pPr>
    </w:p>
    <w:p w14:paraId="67A462D1" w14:textId="77777777" w:rsidR="00995A0C" w:rsidRDefault="00995A0C" w:rsidP="00995A0C">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Esta Subdirección se ha pronunciado sobre los componentes del SECOP, el deber de publicidad y el módulo de gestión contractual del SECOP II en el Concepto C-1218 del 3 de septiembre de 2026; sobre las materias reservadas al legislador, entre ellas los requisitos de existencia y validez del contrato, en los Conceptos C-892 de 2026 y C-1633 de 2025; sobre la modificación de los contratos estatales, en el Concepto C-1172 de 2026; sobre la equivalencia funcional de los documentos electrónicos, en el Concepto C-420 de 2026; y sobre los contratos en ejecución como requisito habilitante y las causales de rechazo, en el Concepto C-1008 del 31 de julio de 2026. Los conceptos emitidos por la Agencia pueden consultarse en el siguiente enlace:</w:t>
      </w:r>
    </w:p>
    <w:p w14:paraId="286FD13B" w14:textId="77777777" w:rsidR="00995A0C" w:rsidRDefault="00995A0C" w:rsidP="00995A0C">
      <w:pPr>
        <w:widowControl w:val="0"/>
        <w:autoSpaceDE w:val="0"/>
        <w:autoSpaceDN w:val="0"/>
        <w:spacing w:after="0" w:line="276" w:lineRule="auto"/>
        <w:jc w:val="both"/>
        <w:rPr>
          <w:rStyle w:val="normaltextrun"/>
          <w:rFonts w:ascii="Verdana" w:hAnsi="Verdana" w:cs="Arial"/>
          <w:shd w:val="clear" w:color="auto" w:fill="FFFFFF"/>
        </w:rPr>
      </w:pPr>
    </w:p>
    <w:p w14:paraId="64BA8E16" w14:textId="77777777" w:rsidR="00995A0C" w:rsidRPr="009037F6" w:rsidRDefault="00995A0C" w:rsidP="00995A0C">
      <w:pPr>
        <w:spacing w:after="0" w:line="256" w:lineRule="auto"/>
        <w:jc w:val="both"/>
        <w:rPr>
          <w:rFonts w:ascii="Verdana" w:eastAsia="Calibri" w:hAnsi="Verdana" w:cs="Times New Roman"/>
        </w:rPr>
      </w:pPr>
      <w:hyperlink r:id="rId12" w:history="1">
        <w:r w:rsidRPr="009037F6">
          <w:rPr>
            <w:rFonts w:ascii="Verdana" w:eastAsia="Calibri" w:hAnsi="Verdana" w:cs="Times New Roman"/>
            <w:color w:val="0000FF"/>
            <w:u w:val="single"/>
            <w:lang w:val="es-ES"/>
          </w:rPr>
          <w:t>https://relatoria.colombiacompra.gov.co/busqueda/conceptos</w:t>
        </w:r>
      </w:hyperlink>
    </w:p>
    <w:p w14:paraId="63E9D109" w14:textId="77777777" w:rsidR="00995A0C" w:rsidRPr="009037F6" w:rsidRDefault="00995A0C" w:rsidP="00995A0C">
      <w:pPr>
        <w:spacing w:after="0"/>
        <w:jc w:val="both"/>
        <w:rPr>
          <w:rFonts w:ascii="Verdana" w:hAnsi="Verdana"/>
        </w:rPr>
      </w:pPr>
    </w:p>
    <w:p w14:paraId="1C052774" w14:textId="77777777" w:rsidR="00995A0C" w:rsidRDefault="00995A0C" w:rsidP="00995A0C">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w:t>
      </w:r>
      <w:r w:rsidRPr="00215B71">
        <w:rPr>
          <w:rFonts w:ascii="Verdana" w:hAnsi="Verdana"/>
        </w:rPr>
        <w:t>Nacional de Contratación Pública –Colombia Compra Eficiente– te invita a realizar el Curso de Contratación Pública Sostenible y Socialmente Responsable, una herramienta clave para fortalecer las capacidades de todos</w:t>
      </w:r>
      <w:r w:rsidRPr="009A385A">
        <w:rPr>
          <w:rFonts w:ascii="Verdana" w:hAnsi="Verdana"/>
        </w:rPr>
        <w:t xml:space="preserve">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0CC7572C" w14:textId="77777777" w:rsidR="00995A0C" w:rsidRPr="009A385A" w:rsidRDefault="00995A0C" w:rsidP="00995A0C">
      <w:pPr>
        <w:spacing w:after="0"/>
        <w:jc w:val="both"/>
        <w:rPr>
          <w:rFonts w:ascii="Verdana" w:hAnsi="Verdana"/>
        </w:rPr>
      </w:pPr>
    </w:p>
    <w:p w14:paraId="5667F824" w14:textId="77777777" w:rsidR="00995A0C" w:rsidRDefault="00995A0C" w:rsidP="00995A0C">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w:t>
      </w:r>
      <w:r w:rsidRPr="00215B71">
        <w:rPr>
          <w:rFonts w:ascii="Verdana" w:hAnsi="Verdana"/>
        </w:rPr>
        <w:t xml:space="preserve">estandarización y modernización del sector  social con la expedición de las </w:t>
      </w:r>
      <w:r w:rsidRPr="00215B71">
        <w:rPr>
          <w:rFonts w:ascii="Verdana" w:hAnsi="Verdana"/>
        </w:rPr>
        <w:lastRenderedPageBreak/>
        <w:t>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w:t>
      </w:r>
      <w:r w:rsidRPr="00635F16">
        <w:rPr>
          <w:rFonts w:ascii="Verdana" w:hAnsi="Verdana"/>
        </w:rPr>
        <w:t xml:space="preserve">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6DA77004" w14:textId="77777777" w:rsidR="00995A0C" w:rsidRDefault="00995A0C" w:rsidP="00995A0C">
      <w:pPr>
        <w:spacing w:after="0"/>
        <w:jc w:val="both"/>
        <w:rPr>
          <w:rFonts w:ascii="Verdana" w:hAnsi="Verdana"/>
        </w:rPr>
      </w:pPr>
    </w:p>
    <w:p w14:paraId="4B813BB8" w14:textId="77777777" w:rsidR="00995A0C" w:rsidRPr="008E1CD7" w:rsidRDefault="00995A0C" w:rsidP="00995A0C">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w:t>
      </w:r>
      <w:r w:rsidRPr="00215B71">
        <w:rPr>
          <w:rFonts w:ascii="Verdana" w:hAnsi="Verdana"/>
        </w:rPr>
        <w:t>la última versión de la Guía para la comprensión e implementación de los Documentos Tipo de obra pública de infraestructura de transporte. En</w:t>
      </w:r>
      <w:r w:rsidRPr="00797327">
        <w:rPr>
          <w:rFonts w:ascii="Verdana" w:hAnsi="Verdana"/>
        </w:rPr>
        <w:t xml:space="preserve">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37DCDBD5" w14:textId="77777777" w:rsidR="00995A0C" w:rsidRDefault="00995A0C" w:rsidP="00995A0C">
      <w:pPr>
        <w:shd w:val="clear" w:color="auto" w:fill="FFFFFF"/>
        <w:spacing w:after="0" w:line="276" w:lineRule="auto"/>
        <w:jc w:val="both"/>
        <w:rPr>
          <w:rFonts w:ascii="Verdana" w:hAnsi="Verdana"/>
          <w:color w:val="000000"/>
          <w:u w:val="single"/>
        </w:rPr>
      </w:pPr>
    </w:p>
    <w:p w14:paraId="2EEA59FD" w14:textId="77777777" w:rsidR="00995A0C" w:rsidRPr="0038088D" w:rsidRDefault="00995A0C" w:rsidP="00995A0C">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6F8B100E" w14:textId="77777777" w:rsidR="00995A0C" w:rsidRPr="0038088D" w:rsidRDefault="00995A0C" w:rsidP="00995A0C">
      <w:pPr>
        <w:spacing w:after="0"/>
        <w:jc w:val="both"/>
        <w:rPr>
          <w:rFonts w:ascii="Verdana" w:hAnsi="Verdana"/>
        </w:rPr>
      </w:pPr>
    </w:p>
    <w:p w14:paraId="44F3DE6C" w14:textId="77777777" w:rsidR="00995A0C" w:rsidRPr="0038088D" w:rsidRDefault="00995A0C" w:rsidP="00995A0C">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5AA8C04E" w14:textId="77777777" w:rsidR="00995A0C" w:rsidRPr="0038088D" w:rsidRDefault="00995A0C" w:rsidP="00995A0C">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16E65FD5" w14:textId="77777777" w:rsidR="00995A0C" w:rsidRPr="0038088D" w:rsidRDefault="00995A0C" w:rsidP="00995A0C">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6">
        <w:r w:rsidRPr="0038088D">
          <w:rPr>
            <w:rStyle w:val="Hipervnculo"/>
            <w:rFonts w:ascii="Verdana" w:eastAsia="Verdana" w:hAnsi="Verdana" w:cs="Verdana"/>
          </w:rPr>
          <w:t>ventanilladeradicacion@colombiacompra.gov.co</w:t>
        </w:r>
      </w:hyperlink>
    </w:p>
    <w:p w14:paraId="1EF72CA6" w14:textId="77777777" w:rsidR="00995A0C" w:rsidRPr="0038088D" w:rsidRDefault="00995A0C" w:rsidP="00995A0C">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7">
        <w:r w:rsidRPr="0038088D">
          <w:rPr>
            <w:rStyle w:val="Hipervnculo"/>
            <w:rFonts w:ascii="Verdana" w:eastAsia="Verdana" w:hAnsi="Verdana" w:cs="Verdana"/>
          </w:rPr>
          <w:t>https://www.colombiacompra.gov.co/pqrsd/informacion-importante-antes-de-formular-una-pqrsd</w:t>
        </w:r>
      </w:hyperlink>
    </w:p>
    <w:p w14:paraId="0B788D9C" w14:textId="77777777" w:rsidR="00995A0C" w:rsidRPr="0038088D" w:rsidRDefault="00995A0C" w:rsidP="00995A0C">
      <w:pPr>
        <w:spacing w:after="0" w:line="240" w:lineRule="auto"/>
        <w:ind w:left="720"/>
        <w:jc w:val="both"/>
        <w:rPr>
          <w:rFonts w:ascii="Verdana" w:hAnsi="Verdana"/>
        </w:rPr>
      </w:pPr>
    </w:p>
    <w:p w14:paraId="2ADD6115" w14:textId="77777777" w:rsidR="00995A0C" w:rsidRPr="0038088D" w:rsidRDefault="00995A0C" w:rsidP="00995A0C">
      <w:pPr>
        <w:spacing w:after="0" w:line="240" w:lineRule="auto"/>
        <w:rPr>
          <w:rFonts w:ascii="Verdana" w:hAnsi="Verdana"/>
        </w:rPr>
      </w:pPr>
      <w:r w:rsidRPr="0038088D">
        <w:rPr>
          <w:rFonts w:ascii="Verdana" w:hAnsi="Verdana"/>
        </w:rPr>
        <w:lastRenderedPageBreak/>
        <w:t>Evalúa el servicio que ofrece la Agencia por el canal de atención de PQRSD en el siguiente enlace :</w:t>
      </w:r>
      <w:hyperlink r:id="rId18"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09E21A14" w14:textId="77777777" w:rsidR="00995A0C" w:rsidRPr="0038088D" w:rsidRDefault="00995A0C" w:rsidP="00995A0C">
      <w:pPr>
        <w:spacing w:after="0" w:line="240" w:lineRule="auto"/>
        <w:rPr>
          <w:rFonts w:ascii="Verdana" w:hAnsi="Verdana"/>
        </w:rPr>
      </w:pPr>
    </w:p>
    <w:p w14:paraId="420F34A0" w14:textId="77777777" w:rsidR="00995A0C" w:rsidRPr="0038088D" w:rsidRDefault="00995A0C" w:rsidP="00995A0C">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5C62C347" w14:textId="77777777" w:rsidR="00995A0C" w:rsidRPr="00116940" w:rsidRDefault="00995A0C" w:rsidP="00995A0C">
      <w:pPr>
        <w:spacing w:after="0" w:line="240" w:lineRule="auto"/>
        <w:jc w:val="both"/>
        <w:rPr>
          <w:rFonts w:ascii="Verdana" w:hAnsi="Verdana"/>
        </w:rPr>
      </w:pPr>
    </w:p>
    <w:p w14:paraId="53EA5CE0" w14:textId="77777777" w:rsidR="00995A0C" w:rsidRPr="00116940" w:rsidRDefault="00995A0C" w:rsidP="00995A0C">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60F9CE4C" w14:textId="77777777" w:rsidR="00995A0C" w:rsidRPr="00116940" w:rsidRDefault="00995A0C" w:rsidP="00995A0C">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A6C1A0A" w14:textId="77777777" w:rsidR="00995A0C" w:rsidRPr="00E22E6E" w:rsidRDefault="00995A0C" w:rsidP="00995A0C">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502FE911" w14:textId="77777777" w:rsidR="00995A0C" w:rsidRPr="009C4035" w:rsidRDefault="00995A0C" w:rsidP="00995A0C">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590D1F8B" w14:textId="77777777" w:rsidR="00995A0C" w:rsidRPr="00593A5F" w:rsidRDefault="00995A0C" w:rsidP="00995A0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678006B0" w14:textId="77777777" w:rsidR="00995A0C" w:rsidRDefault="00995A0C" w:rsidP="00995A0C">
      <w:pPr>
        <w:widowControl w:val="0"/>
        <w:autoSpaceDE w:val="0"/>
        <w:autoSpaceDN w:val="0"/>
        <w:spacing w:after="0" w:line="276" w:lineRule="auto"/>
        <w:jc w:val="both"/>
        <w:rPr>
          <w:rFonts w:ascii="Verdana" w:hAnsi="Verdana" w:cs="Arial"/>
        </w:rPr>
      </w:pPr>
    </w:p>
    <w:p w14:paraId="358D7D0F" w14:textId="77777777" w:rsidR="00995A0C" w:rsidRPr="00215B71" w:rsidRDefault="00995A0C" w:rsidP="00995A0C">
      <w:pPr>
        <w:spacing w:after="0" w:line="276" w:lineRule="auto"/>
        <w:rPr>
          <w:rFonts w:ascii="Verdana" w:eastAsia="Calibri" w:hAnsi="Verdana" w:cs="Arial"/>
          <w:lang w:val="es-ES" w:eastAsia="es-CO"/>
        </w:rPr>
      </w:pPr>
      <w:r w:rsidRPr="008D539F">
        <w:rPr>
          <w:rFonts w:ascii="Verdana" w:eastAsia="Times New Roman" w:hAnsi="Verdana" w:cs="Arial"/>
          <w:lang w:val="es-ES" w:eastAsia="es-CO"/>
        </w:rPr>
        <w:t>Atentamente,</w:t>
      </w:r>
      <w:r w:rsidRPr="008D539F">
        <w:rPr>
          <w:rFonts w:ascii="Verdana" w:eastAsia="Calibri" w:hAnsi="Verdana" w:cs="Arial"/>
          <w:lang w:val="es-ES" w:eastAsia="es-CO"/>
        </w:rPr>
        <w:t xml:space="preserve"> </w:t>
      </w:r>
    </w:p>
    <w:p w14:paraId="7C7989BF" w14:textId="77777777" w:rsidR="004E745D" w:rsidRDefault="004E745D" w:rsidP="004E745D">
      <w:pPr>
        <w:spacing w:after="0" w:line="254" w:lineRule="auto"/>
        <w:rPr>
          <w:rFonts w:ascii="Verdana" w:eastAsia="Times New Roman" w:hAnsi="Verdana" w:cs="Arial"/>
          <w:lang w:eastAsia="es-ES"/>
        </w:rPr>
      </w:pPr>
    </w:p>
    <w:p w14:paraId="5DB67545" w14:textId="77777777" w:rsidR="004E745D" w:rsidRDefault="004E745D" w:rsidP="00995A0C">
      <w:pPr>
        <w:spacing w:after="0" w:line="254" w:lineRule="auto"/>
        <w:jc w:val="center"/>
        <w:rPr>
          <w:rFonts w:ascii="Verdana" w:eastAsia="Times New Roman" w:hAnsi="Verdana" w:cs="Arial"/>
          <w:lang w:eastAsia="es-ES"/>
        </w:rPr>
      </w:pPr>
    </w:p>
    <w:p w14:paraId="7778C1C9" w14:textId="316F132F" w:rsidR="004E745D" w:rsidRPr="008D539F" w:rsidRDefault="004E745D" w:rsidP="00995A0C">
      <w:pPr>
        <w:spacing w:after="0" w:line="254" w:lineRule="auto"/>
        <w:jc w:val="center"/>
        <w:rPr>
          <w:rFonts w:ascii="Verdana" w:eastAsia="Times New Roman" w:hAnsi="Verdana" w:cs="Arial"/>
          <w:lang w:eastAsia="es-ES"/>
        </w:rPr>
      </w:pPr>
      <w:r w:rsidRPr="002C3AD6">
        <w:rPr>
          <w:rFonts w:ascii="Century Gothic" w:hAnsi="Century Gothic"/>
          <w:noProof/>
        </w:rPr>
        <w:drawing>
          <wp:inline distT="0" distB="0" distL="0" distR="0" wp14:anchorId="0D3FC1F4" wp14:editId="638B1C73">
            <wp:extent cx="2462886" cy="914253"/>
            <wp:effectExtent l="0" t="0" r="1270" b="63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2519768" cy="935368"/>
                    </a:xfrm>
                    <a:prstGeom prst="rect">
                      <a:avLst/>
                    </a:prstGeom>
                  </pic:spPr>
                </pic:pic>
              </a:graphicData>
            </a:graphic>
          </wp:inline>
        </w:drawing>
      </w:r>
    </w:p>
    <w:p w14:paraId="6E0F6C11" w14:textId="77777777" w:rsidR="00995A0C" w:rsidRPr="008D539F" w:rsidRDefault="00995A0C" w:rsidP="00995A0C">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995A0C" w:rsidRPr="008D539F" w14:paraId="545C068B" w14:textId="77777777" w:rsidTr="002002AD">
        <w:trPr>
          <w:trHeight w:val="322"/>
        </w:trPr>
        <w:tc>
          <w:tcPr>
            <w:tcW w:w="733" w:type="dxa"/>
            <w:tcBorders>
              <w:top w:val="nil"/>
              <w:left w:val="nil"/>
              <w:bottom w:val="nil"/>
              <w:right w:val="nil"/>
            </w:tcBorders>
            <w:vAlign w:val="center"/>
            <w:hideMark/>
          </w:tcPr>
          <w:p w14:paraId="60B1B412" w14:textId="77777777" w:rsidR="00995A0C" w:rsidRPr="008D539F" w:rsidRDefault="00995A0C" w:rsidP="002002AD">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Elaboró:         </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C5605F6" w14:textId="77777777" w:rsidR="00995A0C" w:rsidRPr="008D539F" w:rsidRDefault="00995A0C" w:rsidP="002002AD">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val="es-ES_tradnl" w:eastAsia="es-ES"/>
              </w:rPr>
              <w:t>Camilo José Martínez Martínez</w:t>
            </w:r>
          </w:p>
          <w:p w14:paraId="2B2F65AA" w14:textId="10B01C58" w:rsidR="00995A0C" w:rsidRPr="008D539F" w:rsidRDefault="00AB1BCA" w:rsidP="002002AD">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995A0C" w:rsidRPr="008D539F" w14:paraId="69437E33" w14:textId="77777777" w:rsidTr="002002AD">
        <w:trPr>
          <w:trHeight w:val="322"/>
        </w:trPr>
        <w:tc>
          <w:tcPr>
            <w:tcW w:w="733" w:type="dxa"/>
            <w:tcBorders>
              <w:top w:val="nil"/>
              <w:left w:val="nil"/>
              <w:bottom w:val="nil"/>
              <w:right w:val="nil"/>
            </w:tcBorders>
            <w:vAlign w:val="center"/>
            <w:hideMark/>
          </w:tcPr>
          <w:p w14:paraId="6973EFE4" w14:textId="77777777" w:rsidR="00995A0C" w:rsidRPr="008D539F" w:rsidRDefault="00995A0C" w:rsidP="002002AD">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Revisó: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FC6DF2A" w14:textId="77777777" w:rsidR="00995A0C" w:rsidRPr="008D539F" w:rsidRDefault="00995A0C" w:rsidP="002002AD">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Diana Saavedra</w:t>
            </w:r>
          </w:p>
          <w:p w14:paraId="2B6BFFDD" w14:textId="77777777" w:rsidR="00995A0C" w:rsidRPr="008D539F" w:rsidRDefault="00995A0C" w:rsidP="002002AD">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995A0C" w:rsidRPr="008D539F" w14:paraId="396B1764" w14:textId="77777777" w:rsidTr="002002AD">
        <w:trPr>
          <w:trHeight w:val="307"/>
        </w:trPr>
        <w:tc>
          <w:tcPr>
            <w:tcW w:w="733" w:type="dxa"/>
            <w:tcBorders>
              <w:top w:val="nil"/>
              <w:left w:val="nil"/>
              <w:bottom w:val="nil"/>
              <w:right w:val="nil"/>
            </w:tcBorders>
            <w:vAlign w:val="center"/>
            <w:hideMark/>
          </w:tcPr>
          <w:p w14:paraId="5D4D5E37" w14:textId="77777777" w:rsidR="00995A0C" w:rsidRPr="008D539F" w:rsidRDefault="00995A0C" w:rsidP="002002AD">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7C244F33" w14:textId="77777777" w:rsidR="00995A0C" w:rsidRPr="008D539F" w:rsidRDefault="00995A0C" w:rsidP="002002AD">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Carolina Quintero Gacharná</w:t>
            </w:r>
          </w:p>
          <w:p w14:paraId="17FF54F6" w14:textId="77777777" w:rsidR="00995A0C" w:rsidRPr="008D539F" w:rsidRDefault="00995A0C" w:rsidP="002002AD">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Subdirectora de Gestión Contractual ANCP – CCE</w:t>
            </w:r>
          </w:p>
        </w:tc>
      </w:tr>
    </w:tbl>
    <w:p w14:paraId="5C6D2FBE" w14:textId="77777777" w:rsidR="00995A0C" w:rsidRPr="008D539F" w:rsidRDefault="00995A0C" w:rsidP="00995A0C">
      <w:pPr>
        <w:autoSpaceDE w:val="0"/>
        <w:autoSpaceDN w:val="0"/>
        <w:adjustRightInd w:val="0"/>
        <w:spacing w:after="0" w:line="276" w:lineRule="auto"/>
        <w:jc w:val="center"/>
        <w:rPr>
          <w:rFonts w:ascii="Verdana" w:eastAsia="Calibri" w:hAnsi="Verdana" w:cs="Arial"/>
        </w:rPr>
      </w:pPr>
    </w:p>
    <w:p w14:paraId="63CD72C0" w14:textId="3A38D21F" w:rsidR="00995A0C" w:rsidRPr="00593A5F" w:rsidRDefault="00995A0C" w:rsidP="00995A0C">
      <w:pPr>
        <w:widowControl w:val="0"/>
        <w:autoSpaceDE w:val="0"/>
        <w:autoSpaceDN w:val="0"/>
        <w:spacing w:after="0" w:line="276" w:lineRule="auto"/>
        <w:jc w:val="both"/>
        <w:rPr>
          <w:rFonts w:ascii="Verdana" w:hAnsi="Verdana" w:cs="Arial"/>
        </w:rPr>
      </w:pPr>
    </w:p>
    <w:p w14:paraId="5BB80AB6" w14:textId="77777777" w:rsidR="00995A0C" w:rsidRPr="00772FFD" w:rsidRDefault="00995A0C" w:rsidP="00995A0C"/>
    <w:p w14:paraId="3E7FD596" w14:textId="77777777" w:rsidR="00995A0C" w:rsidRPr="00F2171E" w:rsidRDefault="00995A0C" w:rsidP="00995A0C"/>
    <w:p w14:paraId="0F293BF4" w14:textId="572A6880" w:rsidR="00127233" w:rsidRPr="00995A0C" w:rsidRDefault="00127233" w:rsidP="00995A0C"/>
    <w:sectPr w:rsidR="00127233" w:rsidRPr="00995A0C"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7C2B8" w14:textId="77777777" w:rsidR="00BC3536" w:rsidRDefault="00BC3536" w:rsidP="004A1847">
      <w:pPr>
        <w:spacing w:after="0" w:line="240" w:lineRule="auto"/>
      </w:pPr>
      <w:r>
        <w:separator/>
      </w:r>
    </w:p>
  </w:endnote>
  <w:endnote w:type="continuationSeparator" w:id="0">
    <w:p w14:paraId="50E02A81" w14:textId="77777777" w:rsidR="00BC3536" w:rsidRDefault="00BC353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2D534" w14:textId="77777777" w:rsidR="00BC3536" w:rsidRDefault="00BC3536" w:rsidP="004A1847">
      <w:pPr>
        <w:spacing w:after="0" w:line="240" w:lineRule="auto"/>
      </w:pPr>
      <w:r>
        <w:separator/>
      </w:r>
    </w:p>
  </w:footnote>
  <w:footnote w:type="continuationSeparator" w:id="0">
    <w:p w14:paraId="4C7442E0" w14:textId="77777777" w:rsidR="00BC3536" w:rsidRDefault="00BC3536" w:rsidP="004A1847">
      <w:pPr>
        <w:spacing w:after="0" w:line="240" w:lineRule="auto"/>
      </w:pPr>
      <w:r>
        <w:continuationSeparator/>
      </w:r>
    </w:p>
  </w:footnote>
  <w:footnote w:id="1">
    <w:p w14:paraId="2E40EA4F"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No. 003 del 18 de septiembre de 2024, “Obligatoriedad del SECOP II para la vigencia 2024 y primer semestre del 2025”, numeral 1, reiterada por la Circular Externa No. 001 del 28 de febrero de 2025. Decreto Ley 4170 de 2011, artículo 3, numerales 2, 5 y 8. AGENCIA NACIONAL DE CONTRATACIÓN PÚBLICA – COLOMBIA COMPRA EFICIENTE. Circular Externa Única, numeral 3.</w:t>
      </w:r>
    </w:p>
  </w:footnote>
  <w:footnote w:id="2">
    <w:p w14:paraId="0B69B1A5"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Única, numeral 3, conforme al cual “la obligatoriedad del uso de SECOP II por parte de las Entidades Estatales es un proceso gradual y coordinado que implica la formación para el uso de la herramienta y el alistamiento de la infraestructura tecnológica”. AGENCIA NACIONAL DE CONTRATACIÓN PÚBLICA – COLOMBIA COMPRA EFICIENTE. Circular Externa No. 003 de 2024, que exige como condición técnica mínima “disponibilidad y calidad de conectividad con un ancho de banda superior o igual a los 10 Mbps […] de internet dedicado”, y cuyo numeral 2 exceptúa de la medida las asociaciones público–privadas de la Ley 1508 de 2012, los contratos donde existan más de dos partes, los concursos de arquitectura y la enajenación de bienes a título gratuito. Ley 1150 de 2007, artículo 13, adicionado por el artículo 53 de la Ley 2195 de 2022.</w:t>
      </w:r>
    </w:p>
  </w:footnote>
  <w:footnote w:id="3">
    <w:p w14:paraId="70D0AB5B"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Única, numeral 1.3, que destaca que el carácter transaccional “permite que el trámite de gran parte de las actuaciones de la gestión contractual se realice en línea y de forma concomitante a su publicidad”. AGENCIA NACIONAL DE CONTRATACIÓN PÚBLICA – COLOMBIA COMPRA EFICIENTE. Subdirección de Gestión Contractual. Concepto C-1218 del 3 de septiembre de 2026.</w:t>
      </w:r>
    </w:p>
  </w:footnote>
  <w:footnote w:id="4">
    <w:p w14:paraId="104AA68A"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Ley 80 de 1993, artículo 41, inciso primero. Las circulares externas de esta Agencia contienen instrucciones dirigidas a las entidades estatales que son de obligatorio cumplimiento, conforme al numeral 5 del artículo 3 del Decreto Ley 4170 de 2011, de modo que su inobservancia puede comprometer la responsabilidad de los servidores públicos, cuya determinación corresponde a las autoridades de control.</w:t>
      </w:r>
    </w:p>
  </w:footnote>
  <w:footnote w:id="5">
    <w:p w14:paraId="1AE3C5F1"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Ley 80 de 1993, artículos 39 y 41, inciso primero. Sobre la aplicación de las reglas del contrato a sus modificaciones, AGENCIA NACIONAL DE CONTRATACIÓN PÚBLICA – COLOMBIA COMPRA EFICIENTE. Subdirección de Gestión Contractual. Concepto C-1172 de 2026.</w:t>
      </w:r>
    </w:p>
  </w:footnote>
  <w:footnote w:id="6">
    <w:p w14:paraId="2F2D5ECE"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Subdirección de Gestión Contractual. Conceptos C-892 de 2026 y C-1633 de 2025, sobre las materias reservadas al legislador, entre ellas los requisitos de existencia y validez del contrato. Constitución Política, artículo 150, numeral 25, e inciso final.</w:t>
      </w:r>
    </w:p>
  </w:footnote>
  <w:footnote w:id="7">
    <w:p w14:paraId="7A9ADDC6"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Única, numerales 1.2 y 1.3. AGENCIA NACIONAL DE CONTRATACIÓN PÚBLICA – COLOMBIA COMPRA EFICIENTE. Subdirección de Gestión Contractual. Concepto C-1218 del 3 de septiembre de 2026, que atribuye a la Circular Externa Única la caracterización de las plataformas y describe el módulo de modificaciones bilaterales como actuaciones “enviadas para aprobación del proveedor antes de la publicación por parte de la entidad estatal”.</w:t>
      </w:r>
    </w:p>
  </w:footnote>
  <w:footnote w:id="8">
    <w:p w14:paraId="223AE613"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Ley 1150 de 2007, artículo 3, conforme al cual los documentos y contratos derivados de la actividad contractual “podrán” tener lugar por medios electrónicos, de conformidad con la Ley 527 de 1999. Sobre el principio de equivalencia funcional, AGENCIA NACIONAL DE CONTRATACIÓN PÚBLICA – COLOMBIA COMPRA EFICIENTE. Subdirección de Gestión Contractual. Concepto C-420 de 2026.</w:t>
      </w:r>
    </w:p>
  </w:footnote>
  <w:footnote w:id="9">
    <w:p w14:paraId="48992505"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Constitución Política, artículo 209; Ley 1437 de 2011, artículos 3, numerales 4 y 8, y 8. Sobre el deber de publicidad y su fundamento, AGENCIA NACIONAL DE CONTRATACIÓN PÚBLICA – COLOMBIA COMPRA EFICIENTE. Subdirección de Gestión Contractual. Conceptos C-1218 del 3 de septiembre de 2026 y C-1633 de 2025.</w:t>
      </w:r>
    </w:p>
  </w:footnote>
  <w:footnote w:id="10">
    <w:p w14:paraId="362DFA8C"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Única, numeral 1.3, que remite al artículo 2.2.1.1.1.7.1 del Decreto 1082 de 2015 y precisa que, respecto de los documentos que no son generados en línea, “se aplicará la misma regla de los tres (3) días siguientes a la expedición”.</w:t>
      </w:r>
    </w:p>
  </w:footnote>
  <w:footnote w:id="11">
    <w:p w14:paraId="40C75549"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Decreto Ley 4170 de 2011, artículo 3, numerales 2, 5 y 8. AGENCIA NACIONAL DE CONTRATACIÓN PÚBLICA – COLOMBIA COMPRA EFICIENTE. Circular Externa Única, numeral 3.</w:t>
      </w:r>
    </w:p>
  </w:footnote>
  <w:footnote w:id="12">
    <w:p w14:paraId="3A1FB998"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No. 003 del 18 de septiembre de 2024, numerales 1 y 3; Circular Externa No. 001 del 28 de febrero de 2025.</w:t>
      </w:r>
    </w:p>
  </w:footnote>
  <w:footnote w:id="13">
    <w:p w14:paraId="6E1FE185"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No. 003 de 2024, consideraciones; Circular Externa Única, numeral 3.</w:t>
      </w:r>
    </w:p>
  </w:footnote>
  <w:footnote w:id="14">
    <w:p w14:paraId="581B9B55"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No. 003 de 2024, numeral 2. Ley 1150 de 2007, artículo 13, adicionado por el artículo 53 de la Ley 2195 de 2022. AGENCIA NACIONAL DE CONTRATACIÓN PÚBLICA – COLOMBIA COMPRA EFICIENTE. Circular Externa Única, numeral 3.</w:t>
      </w:r>
    </w:p>
  </w:footnote>
  <w:footnote w:id="15">
    <w:p w14:paraId="3622FB00"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Ley 80 de 1993, artículos 39 y 41, inciso primero.</w:t>
      </w:r>
    </w:p>
  </w:footnote>
  <w:footnote w:id="16">
    <w:p w14:paraId="7703F0C9"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Ley 80 de 1993, artículo 41, inciso segundo, modificado por el artículo 23 de la Ley 1150 de 2007. Sobre el registro presupuestal como requisito de ejecución y no de perfeccionamiento, AGENCIA NACIONAL DE CONTRATACIÓN PÚBLICA – COLOMBIA COMPRA EFICIENTE. Subdirección de Gestión Contractual. Conceptos C-703 y C-826 de 2025.</w:t>
      </w:r>
    </w:p>
  </w:footnote>
  <w:footnote w:id="17">
    <w:p w14:paraId="6D393B4A"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Subdirección de Gestión Contractual. Concepto C-1172 de 2026, sobre la modificación de los contratos estatales y la irrelevancia de la denominación que las partes le den al acuerdo.</w:t>
      </w:r>
    </w:p>
  </w:footnote>
  <w:footnote w:id="18">
    <w:p w14:paraId="47A471DB"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Subdirección de Gestión Contractual. Conceptos C-892 de 2026 y C-1633 de 2025.</w:t>
      </w:r>
    </w:p>
  </w:footnote>
  <w:footnote w:id="19">
    <w:p w14:paraId="0AB0AEA9"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Decreto 1082 de 2015, artículo 2.2.1.1.1.3.1.</w:t>
      </w:r>
    </w:p>
  </w:footnote>
  <w:footnote w:id="20">
    <w:p w14:paraId="3729438A"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Única, numeral 1.2. Ley 1150 de 2007, artículo 13, adicionado por el artículo 53 de la Ley 2195 de 2022.</w:t>
      </w:r>
    </w:p>
  </w:footnote>
  <w:footnote w:id="21">
    <w:p w14:paraId="4510DD2C"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Única, numeral 1.3.</w:t>
      </w:r>
    </w:p>
  </w:footnote>
  <w:footnote w:id="22">
    <w:p w14:paraId="3301CB3C"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Única, numeral 1.3. La distinción se formula allí a propósito del módulo de Régimen Especial, pero expresa una diferencia conceptual —uso transaccional frente a uso publicitario— predicable del empleo de la plataforma en general.</w:t>
      </w:r>
    </w:p>
  </w:footnote>
  <w:footnote w:id="23">
    <w:p w14:paraId="109B90FA"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Decreto 1082 de 2015, artículo 2.2.1.1.1.7.1; AGENCIA NACIONAL DE CONTRATACIÓN PÚBLICA – COLOMBIA COMPRA EFICIENTE. Circular Externa Única, numeral 1.3.</w:t>
      </w:r>
    </w:p>
  </w:footnote>
  <w:footnote w:id="24">
    <w:p w14:paraId="3B15884F"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Código Civil, artículo 1602; Ley 80 de 1993, artículo 41, inciso primero.</w:t>
      </w:r>
    </w:p>
  </w:footnote>
  <w:footnote w:id="25">
    <w:p w14:paraId="441B0F19" w14:textId="77777777" w:rsidR="00995A0C" w:rsidRPr="00FF67F9" w:rsidRDefault="00995A0C" w:rsidP="00FF67F9">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Constitución Política, artículo 209; Ley 1437 de 2011, artículos 3, numerales 4 y 8, y 8. AGENCIA NACIONAL DE CONTRATACIÓN PÚBLICA – COLOMBIA COMPRA EFICIENTE. Subdirección de Gestión Contractual. Concepto C-1218 del 3 de septiembre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28CEAC70"/>
    <w:lvl w:ilvl="0" w:tplc="080A000F">
      <w:start w:val="1"/>
      <w:numFmt w:val="decimal"/>
      <w:lvlText w:val="%1."/>
      <w:lvlJc w:val="left"/>
      <w:pPr>
        <w:ind w:left="720" w:hanging="36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986013926">
    <w:abstractNumId w:val="3"/>
  </w:num>
  <w:num w:numId="17" w16cid:durableId="1732335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28E9"/>
    <w:rsid w:val="000A683E"/>
    <w:rsid w:val="000B19B9"/>
    <w:rsid w:val="000D0334"/>
    <w:rsid w:val="000D5DA7"/>
    <w:rsid w:val="000F6486"/>
    <w:rsid w:val="00116940"/>
    <w:rsid w:val="00125105"/>
    <w:rsid w:val="00127233"/>
    <w:rsid w:val="0015699B"/>
    <w:rsid w:val="001A1F99"/>
    <w:rsid w:val="001A33BF"/>
    <w:rsid w:val="001E4177"/>
    <w:rsid w:val="001F0B24"/>
    <w:rsid w:val="001F7DC6"/>
    <w:rsid w:val="0022400B"/>
    <w:rsid w:val="00240D0B"/>
    <w:rsid w:val="002421BB"/>
    <w:rsid w:val="0025796E"/>
    <w:rsid w:val="002707A2"/>
    <w:rsid w:val="002951A0"/>
    <w:rsid w:val="002962BC"/>
    <w:rsid w:val="002A093D"/>
    <w:rsid w:val="002A0DD0"/>
    <w:rsid w:val="002A49AC"/>
    <w:rsid w:val="002A4AF3"/>
    <w:rsid w:val="002A64FD"/>
    <w:rsid w:val="002C62F6"/>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14DE"/>
    <w:rsid w:val="003F3941"/>
    <w:rsid w:val="00406575"/>
    <w:rsid w:val="00414C74"/>
    <w:rsid w:val="0042722E"/>
    <w:rsid w:val="0044528D"/>
    <w:rsid w:val="00466E39"/>
    <w:rsid w:val="004A1847"/>
    <w:rsid w:val="004A305D"/>
    <w:rsid w:val="004D2267"/>
    <w:rsid w:val="004E745D"/>
    <w:rsid w:val="004F21C4"/>
    <w:rsid w:val="004F34A4"/>
    <w:rsid w:val="004F685F"/>
    <w:rsid w:val="00510553"/>
    <w:rsid w:val="00513E77"/>
    <w:rsid w:val="005566E8"/>
    <w:rsid w:val="00574867"/>
    <w:rsid w:val="00591460"/>
    <w:rsid w:val="005A65E0"/>
    <w:rsid w:val="005C3777"/>
    <w:rsid w:val="005C5CDC"/>
    <w:rsid w:val="005D476C"/>
    <w:rsid w:val="006200BF"/>
    <w:rsid w:val="006219F8"/>
    <w:rsid w:val="006302F7"/>
    <w:rsid w:val="00646B9F"/>
    <w:rsid w:val="00661515"/>
    <w:rsid w:val="00665D70"/>
    <w:rsid w:val="006900D9"/>
    <w:rsid w:val="006B17C7"/>
    <w:rsid w:val="00701CEB"/>
    <w:rsid w:val="00706C16"/>
    <w:rsid w:val="0073115A"/>
    <w:rsid w:val="007340C3"/>
    <w:rsid w:val="0075235A"/>
    <w:rsid w:val="00756841"/>
    <w:rsid w:val="007649AB"/>
    <w:rsid w:val="00771D0C"/>
    <w:rsid w:val="00772FFD"/>
    <w:rsid w:val="007833AC"/>
    <w:rsid w:val="007972DD"/>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1E76"/>
    <w:rsid w:val="00923EEF"/>
    <w:rsid w:val="00936ADE"/>
    <w:rsid w:val="009419F9"/>
    <w:rsid w:val="009461A3"/>
    <w:rsid w:val="0095685E"/>
    <w:rsid w:val="00961B09"/>
    <w:rsid w:val="009637A9"/>
    <w:rsid w:val="00965334"/>
    <w:rsid w:val="0097093E"/>
    <w:rsid w:val="00995A0C"/>
    <w:rsid w:val="009A0DFA"/>
    <w:rsid w:val="009A1C6F"/>
    <w:rsid w:val="009B2D26"/>
    <w:rsid w:val="009C71FA"/>
    <w:rsid w:val="009C72E7"/>
    <w:rsid w:val="009C7F7E"/>
    <w:rsid w:val="009D3058"/>
    <w:rsid w:val="009F3A13"/>
    <w:rsid w:val="00A122D3"/>
    <w:rsid w:val="00A14468"/>
    <w:rsid w:val="00A17F13"/>
    <w:rsid w:val="00A20739"/>
    <w:rsid w:val="00A23AF9"/>
    <w:rsid w:val="00A32E64"/>
    <w:rsid w:val="00A33C78"/>
    <w:rsid w:val="00A42320"/>
    <w:rsid w:val="00A47F5F"/>
    <w:rsid w:val="00A64797"/>
    <w:rsid w:val="00AB0ADB"/>
    <w:rsid w:val="00AB1BCA"/>
    <w:rsid w:val="00B00C0E"/>
    <w:rsid w:val="00B01B1A"/>
    <w:rsid w:val="00B0381D"/>
    <w:rsid w:val="00B44A47"/>
    <w:rsid w:val="00B72CD3"/>
    <w:rsid w:val="00B72FFF"/>
    <w:rsid w:val="00B843BA"/>
    <w:rsid w:val="00BC3536"/>
    <w:rsid w:val="00BC3D36"/>
    <w:rsid w:val="00BD54A6"/>
    <w:rsid w:val="00BD7F72"/>
    <w:rsid w:val="00BF7425"/>
    <w:rsid w:val="00C00F10"/>
    <w:rsid w:val="00C04FB3"/>
    <w:rsid w:val="00C11D8B"/>
    <w:rsid w:val="00C15139"/>
    <w:rsid w:val="00C330EB"/>
    <w:rsid w:val="00C50D69"/>
    <w:rsid w:val="00C5365C"/>
    <w:rsid w:val="00C754BE"/>
    <w:rsid w:val="00C76B1C"/>
    <w:rsid w:val="00C925AC"/>
    <w:rsid w:val="00CA1445"/>
    <w:rsid w:val="00CB6357"/>
    <w:rsid w:val="00CC1B26"/>
    <w:rsid w:val="00CE6947"/>
    <w:rsid w:val="00D361FD"/>
    <w:rsid w:val="00D423A2"/>
    <w:rsid w:val="00D44E26"/>
    <w:rsid w:val="00D520D8"/>
    <w:rsid w:val="00D63AC2"/>
    <w:rsid w:val="00D7383B"/>
    <w:rsid w:val="00D7788A"/>
    <w:rsid w:val="00D8635B"/>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C6310"/>
    <w:rsid w:val="00EE1AA8"/>
    <w:rsid w:val="00F23FEA"/>
    <w:rsid w:val="00F31EDC"/>
    <w:rsid w:val="00F462B3"/>
    <w:rsid w:val="00F5664F"/>
    <w:rsid w:val="00F666C4"/>
    <w:rsid w:val="00F76AFC"/>
    <w:rsid w:val="00FA47C0"/>
    <w:rsid w:val="00FB5DD1"/>
    <w:rsid w:val="00FC2B5D"/>
    <w:rsid w:val="00FF1449"/>
    <w:rsid w:val="00FF67F9"/>
    <w:rsid w:val="00FF7963"/>
    <w:rsid w:val="071B8F93"/>
    <w:rsid w:val="07C73DD1"/>
    <w:rsid w:val="09908A09"/>
    <w:rsid w:val="0E0AF0F4"/>
    <w:rsid w:val="0EFE6349"/>
    <w:rsid w:val="0FF4CCA8"/>
    <w:rsid w:val="13CFC91B"/>
    <w:rsid w:val="19A2EC2C"/>
    <w:rsid w:val="1B845064"/>
    <w:rsid w:val="21779BE6"/>
    <w:rsid w:val="2859CA1B"/>
    <w:rsid w:val="2C4D2425"/>
    <w:rsid w:val="2EE1E026"/>
    <w:rsid w:val="2F44F38F"/>
    <w:rsid w:val="30821638"/>
    <w:rsid w:val="32A4F9CF"/>
    <w:rsid w:val="33A1FF93"/>
    <w:rsid w:val="356CEDFD"/>
    <w:rsid w:val="3C591AFD"/>
    <w:rsid w:val="42183F0A"/>
    <w:rsid w:val="4322DB80"/>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72FF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72FFD"/>
    <w:rPr>
      <w:rFonts w:ascii="Geomanist Light" w:hAnsi="Geomanist Light"/>
      <w:lang w:val="es-ES"/>
    </w:rPr>
  </w:style>
  <w:style w:type="table" w:customStyle="1" w:styleId="Tablaconcuadrcula11">
    <w:name w:val="Tabla con cuadrícula11"/>
    <w:basedOn w:val="Tablanormal"/>
    <w:next w:val="Tablaconcuadrcula"/>
    <w:uiPriority w:val="59"/>
    <w:qFormat/>
    <w:rsid w:val="00772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772FF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EC6310"/>
    <w:rPr>
      <w:sz w:val="16"/>
      <w:szCs w:val="16"/>
    </w:rPr>
  </w:style>
  <w:style w:type="paragraph" w:styleId="Textocomentario">
    <w:name w:val="annotation text"/>
    <w:basedOn w:val="Normal"/>
    <w:link w:val="TextocomentarioCar"/>
    <w:uiPriority w:val="99"/>
    <w:semiHidden/>
    <w:unhideWhenUsed/>
    <w:rsid w:val="00EC631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C6310"/>
    <w:rPr>
      <w:sz w:val="20"/>
      <w:szCs w:val="20"/>
    </w:rPr>
  </w:style>
  <w:style w:type="paragraph" w:styleId="Asuntodelcomentario">
    <w:name w:val="annotation subject"/>
    <w:basedOn w:val="Textocomentario"/>
    <w:next w:val="Textocomentario"/>
    <w:link w:val="AsuntodelcomentarioCar"/>
    <w:uiPriority w:val="99"/>
    <w:semiHidden/>
    <w:unhideWhenUsed/>
    <w:rsid w:val="00EC6310"/>
    <w:rPr>
      <w:b/>
      <w:bCs/>
    </w:rPr>
  </w:style>
  <w:style w:type="character" w:customStyle="1" w:styleId="AsuntodelcomentarioCar">
    <w:name w:val="Asunto del comentario Car"/>
    <w:basedOn w:val="TextocomentarioCar"/>
    <w:link w:val="Asuntodelcomentario"/>
    <w:uiPriority w:val="99"/>
    <w:semiHidden/>
    <w:rsid w:val="00EC63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ridicorotofibra@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5EA34AA-0FC1-495E-88F3-B59A6FF180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20</TotalTime>
  <Pages>19</Pages>
  <Words>6013</Words>
  <Characters>33077</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2026-09-11T23:43:00Z</dcterms:created>
  <dcterms:modified xsi:type="dcterms:W3CDTF">2026-09-16T23:19:00Z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