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4DC08" w14:textId="77777777" w:rsidR="00A3751E" w:rsidRPr="00A3751E" w:rsidRDefault="00A3751E" w:rsidP="002B2D28">
      <w:pPr>
        <w:spacing w:after="0" w:line="240" w:lineRule="auto"/>
        <w:jc w:val="both"/>
        <w:rPr>
          <w:rFonts w:ascii="Verdana" w:eastAsia="Verdana" w:hAnsi="Verdana" w:cs="Verdana"/>
          <w:b/>
          <w:bCs/>
          <w:lang w:val="es-ES_tradnl"/>
        </w:rPr>
      </w:pPr>
      <w:bookmarkStart w:id="0" w:name="_Hlk143780582"/>
      <w:r w:rsidRPr="00A3751E">
        <w:rPr>
          <w:rFonts w:ascii="Verdana" w:eastAsia="Verdana" w:hAnsi="Verdana" w:cs="Verdana"/>
          <w:b/>
          <w:bCs/>
          <w:lang w:val="es-ES_tradnl"/>
        </w:rPr>
        <w:t>DEFENSA Y SEGURIDAD – Concepto Jurídico Indeterminado</w:t>
      </w:r>
    </w:p>
    <w:p w14:paraId="12C97144" w14:textId="77777777" w:rsidR="00A3751E" w:rsidRPr="006D3F70" w:rsidRDefault="00A3751E" w:rsidP="002B2D28">
      <w:pPr>
        <w:spacing w:after="0" w:line="240" w:lineRule="auto"/>
        <w:jc w:val="both"/>
        <w:rPr>
          <w:rFonts w:ascii="Verdana" w:eastAsia="Verdana" w:hAnsi="Verdana" w:cs="Verdana"/>
          <w:sz w:val="20"/>
          <w:szCs w:val="20"/>
          <w:lang w:val="es-ES_tradnl"/>
        </w:rPr>
      </w:pPr>
    </w:p>
    <w:p w14:paraId="6E4464C3" w14:textId="77777777" w:rsidR="008C0831" w:rsidRPr="006D3F70" w:rsidRDefault="008C0831" w:rsidP="002B2D28">
      <w:pPr>
        <w:spacing w:after="0" w:line="240" w:lineRule="auto"/>
        <w:jc w:val="both"/>
        <w:rPr>
          <w:rFonts w:ascii="Verdana" w:eastAsia="Verdana" w:hAnsi="Verdana" w:cs="Verdana"/>
          <w:sz w:val="20"/>
          <w:szCs w:val="20"/>
        </w:rPr>
      </w:pPr>
      <w:r w:rsidRPr="006D3F70">
        <w:rPr>
          <w:rFonts w:ascii="Verdana" w:eastAsia="Verdana" w:hAnsi="Verdana" w:cs="Verdana"/>
          <w:sz w:val="20"/>
          <w:szCs w:val="20"/>
        </w:rPr>
        <w:t>A esto se suma que la defensa y seguridad nacional es un concepto jurídico indeterminado que exige del operador jurídico un ejercicio de concreción en cada caso. Su carácter abierto responde a la necesidad de adaptar su alcance a las circunstancias sociales, políticas y económicas de un momento histórico determinado, lo que explica que se haya reconocido la discrecionalidad de la administración para definir qué bienes y servicios se consideran esenciales en este ámbito, siempre bajo el control posterior de la jurisdicción contencioso</w:t>
      </w:r>
      <w:r w:rsidRPr="006D3F70">
        <w:rPr>
          <w:rFonts w:ascii="Verdana" w:eastAsia="Verdana" w:hAnsi="Verdana" w:cs="Verdana"/>
          <w:sz w:val="20"/>
          <w:szCs w:val="20"/>
        </w:rPr>
        <w:noBreakHyphen/>
        <w:t>administrativa.</w:t>
      </w:r>
    </w:p>
    <w:p w14:paraId="35031200" w14:textId="77777777" w:rsidR="008C0831" w:rsidRPr="008C0831" w:rsidRDefault="008C0831" w:rsidP="002B2D28">
      <w:pPr>
        <w:spacing w:after="0" w:line="240" w:lineRule="auto"/>
        <w:jc w:val="both"/>
        <w:rPr>
          <w:rFonts w:ascii="Verdana" w:eastAsia="Verdana" w:hAnsi="Verdana" w:cs="Verdana"/>
          <w:b/>
          <w:bCs/>
        </w:rPr>
      </w:pPr>
    </w:p>
    <w:p w14:paraId="15A5C99A" w14:textId="77777777" w:rsidR="00A3751E" w:rsidRPr="00A3751E" w:rsidRDefault="00A3751E" w:rsidP="002B2D28">
      <w:pPr>
        <w:spacing w:after="0" w:line="240" w:lineRule="auto"/>
        <w:jc w:val="both"/>
        <w:rPr>
          <w:rFonts w:ascii="Verdana" w:eastAsia="Verdana" w:hAnsi="Verdana" w:cs="Verdana"/>
          <w:b/>
          <w:bCs/>
          <w:lang w:val="es-ES_tradnl"/>
        </w:rPr>
      </w:pPr>
      <w:r w:rsidRPr="00A3751E">
        <w:rPr>
          <w:rFonts w:ascii="Verdana" w:eastAsia="Verdana" w:hAnsi="Verdana" w:cs="Verdana"/>
          <w:b/>
          <w:bCs/>
          <w:lang w:val="es-ES_tradnl"/>
        </w:rPr>
        <w:t>DEFENSA Y SEGURIDAD NACIONAL – Alcance – Diferencia – Seguridad Ciudadana</w:t>
      </w:r>
    </w:p>
    <w:p w14:paraId="2224DDAF" w14:textId="77777777" w:rsidR="00A3751E" w:rsidRDefault="00A3751E" w:rsidP="002B2D28">
      <w:pPr>
        <w:spacing w:after="0" w:line="240" w:lineRule="auto"/>
        <w:jc w:val="both"/>
        <w:rPr>
          <w:rFonts w:ascii="Verdana" w:eastAsia="Verdana" w:hAnsi="Verdana" w:cs="Verdana"/>
          <w:b/>
          <w:bCs/>
          <w:lang w:val="es-ES_tradnl"/>
        </w:rPr>
      </w:pPr>
    </w:p>
    <w:p w14:paraId="01ACD7AD" w14:textId="59648A58" w:rsidR="008C0831" w:rsidRDefault="008C0831" w:rsidP="002B2D28">
      <w:pPr>
        <w:spacing w:after="0" w:line="240" w:lineRule="auto"/>
        <w:jc w:val="both"/>
        <w:rPr>
          <w:rFonts w:ascii="Verdana" w:eastAsia="Verdana" w:hAnsi="Verdana" w:cs="Verdana"/>
          <w:sz w:val="20"/>
          <w:szCs w:val="20"/>
        </w:rPr>
      </w:pPr>
      <w:r w:rsidRPr="006D3F70">
        <w:rPr>
          <w:rFonts w:ascii="Verdana" w:eastAsia="Verdana" w:hAnsi="Verdana" w:cs="Verdana"/>
          <w:sz w:val="20"/>
          <w:szCs w:val="20"/>
          <w:lang w:val="es-ES"/>
        </w:rPr>
        <w:t xml:space="preserve">Dentro de la doctrina, el concepto de defensa y seguridad nacional tiene una relación con otros conceptos como el interés nacional, la soberanía y la preservación y conservación del Estado. </w:t>
      </w:r>
      <w:r w:rsidRPr="006D3F70">
        <w:rPr>
          <w:rFonts w:ascii="Verdana" w:eastAsia="Verdana" w:hAnsi="Verdana" w:cs="Verdana"/>
          <w:sz w:val="20"/>
          <w:szCs w:val="20"/>
        </w:rPr>
        <w:t xml:space="preserve">En esta línea, se destaca que la defensa y la seguridad constituyen la actividad más política dentro del Estado, en tanto representan una manifestación directa del ejercicio del poder político. Dicho poder se materializa en la creación de leyes, políticas, planes y estrategias que configuran esquemas de alerta y respuesta institucional. </w:t>
      </w:r>
    </w:p>
    <w:p w14:paraId="31423071" w14:textId="77777777" w:rsidR="006D3F70" w:rsidRPr="006D3F70" w:rsidRDefault="006D3F70" w:rsidP="002B2D28">
      <w:pPr>
        <w:spacing w:after="0" w:line="240" w:lineRule="auto"/>
        <w:jc w:val="both"/>
        <w:rPr>
          <w:rFonts w:ascii="Verdana" w:eastAsia="Verdana" w:hAnsi="Verdana" w:cs="Verdana"/>
          <w:sz w:val="20"/>
          <w:szCs w:val="20"/>
        </w:rPr>
      </w:pPr>
    </w:p>
    <w:p w14:paraId="5EDACBCE" w14:textId="5586E0CD" w:rsidR="008C0831" w:rsidRDefault="008C0831" w:rsidP="002B2D28">
      <w:pPr>
        <w:spacing w:after="0" w:line="240" w:lineRule="auto"/>
        <w:jc w:val="both"/>
        <w:rPr>
          <w:rFonts w:ascii="Verdana" w:eastAsia="Verdana" w:hAnsi="Verdana" w:cs="Verdana"/>
          <w:sz w:val="20"/>
          <w:szCs w:val="20"/>
        </w:rPr>
      </w:pPr>
      <w:r w:rsidRPr="006D3F70">
        <w:rPr>
          <w:rFonts w:ascii="Verdana" w:eastAsia="Verdana" w:hAnsi="Verdana" w:cs="Verdana"/>
          <w:sz w:val="20"/>
          <w:szCs w:val="20"/>
        </w:rPr>
        <w:t xml:space="preserve">Este poder político no debe entenderse como una expresión unívoca, sino como una estructura dialógica en la que confluyen diversas formas de manifestación. La guerra, aunque no es la única, constituye una de las expresiones del poder estatal, coexistiendo con otros dispositivos e instituciones que operan de manera diferenciada en la configuración de la seguridad y la defensa. De este modo, la defensa y seguridad se conciben como un entramado complejo en el que el poder político se despliega a través de múltiples canales, reafirmando su carácter estratégico y transversal dentro de la organización estatal. </w:t>
      </w:r>
    </w:p>
    <w:p w14:paraId="381602A9" w14:textId="77777777" w:rsidR="006D3F70" w:rsidRPr="006D3F70" w:rsidRDefault="006D3F70" w:rsidP="002B2D28">
      <w:pPr>
        <w:spacing w:after="0" w:line="240" w:lineRule="auto"/>
        <w:jc w:val="both"/>
        <w:rPr>
          <w:rFonts w:ascii="Verdana" w:eastAsia="Verdana" w:hAnsi="Verdana" w:cs="Verdana"/>
          <w:sz w:val="20"/>
          <w:szCs w:val="20"/>
        </w:rPr>
      </w:pPr>
    </w:p>
    <w:p w14:paraId="0AC99461" w14:textId="163CE821" w:rsidR="008C0831" w:rsidRPr="006D3F70" w:rsidRDefault="008C0831" w:rsidP="002B2D28">
      <w:pPr>
        <w:spacing w:after="0" w:line="240" w:lineRule="auto"/>
        <w:jc w:val="both"/>
        <w:rPr>
          <w:rFonts w:ascii="Verdana" w:eastAsia="Verdana" w:hAnsi="Verdana" w:cs="Verdana"/>
          <w:sz w:val="20"/>
          <w:szCs w:val="20"/>
        </w:rPr>
      </w:pPr>
      <w:r w:rsidRPr="006D3F70">
        <w:rPr>
          <w:rFonts w:ascii="Verdana" w:eastAsia="Verdana" w:hAnsi="Verdana" w:cs="Verdana"/>
          <w:sz w:val="20"/>
          <w:szCs w:val="20"/>
        </w:rPr>
        <w:t>Este concepto de defensa y seguridad nacional mantiene una relación estrecha con categorías fundamentales como la soberanía, la protección de la integridad territorial y la preservación de la convivencia social del país. No obstante, este concepto no puede confundirse con la seguridad ciudadana, que se orienta a la protección directa de las personas y sus bienes frente a fenómenos como la delincuencia común y las diversas formas de violencia en los espacios urbanos y rurales. Ambas nociones parten de bienes jurídicos distintos: mientras la defensa y seguridad nacional buscan garantizar la estabilidad y continuidad del Estado, la seguridad ciudadana se centra en la convivencia y en la protección inmediata de los individuos.</w:t>
      </w:r>
    </w:p>
    <w:p w14:paraId="2D5A70F9" w14:textId="77777777" w:rsidR="008C0831" w:rsidRPr="008C0831" w:rsidRDefault="008C0831" w:rsidP="002B2D28">
      <w:pPr>
        <w:spacing w:after="0" w:line="240" w:lineRule="auto"/>
        <w:jc w:val="both"/>
        <w:rPr>
          <w:rFonts w:ascii="Verdana" w:eastAsia="Verdana" w:hAnsi="Verdana" w:cs="Verdana"/>
          <w:b/>
          <w:bCs/>
        </w:rPr>
      </w:pPr>
    </w:p>
    <w:p w14:paraId="74B5989C" w14:textId="1433CBF9" w:rsidR="00A3751E" w:rsidRPr="00A3751E" w:rsidRDefault="00A3751E" w:rsidP="002B2D28">
      <w:pPr>
        <w:spacing w:after="0" w:line="240" w:lineRule="auto"/>
        <w:jc w:val="both"/>
        <w:rPr>
          <w:rFonts w:ascii="Verdana" w:eastAsia="Verdana" w:hAnsi="Verdana" w:cs="Verdana"/>
          <w:b/>
          <w:bCs/>
          <w:lang w:val="es-ES"/>
        </w:rPr>
      </w:pPr>
      <w:r w:rsidRPr="00A3751E">
        <w:rPr>
          <w:rFonts w:ascii="Verdana" w:eastAsia="Verdana" w:hAnsi="Verdana" w:cs="Verdana"/>
          <w:b/>
          <w:bCs/>
          <w:lang w:val="es-ES"/>
        </w:rPr>
        <w:t>ADQUISICIÓN DE BIENES Y SERVICIOS PARA LA DEFENSA Y SEGURIDAD NACIONAL – Causal de Selección abreviada – procedencia</w:t>
      </w:r>
    </w:p>
    <w:p w14:paraId="7A68CFFF" w14:textId="77777777" w:rsidR="00A3751E" w:rsidRPr="00A3751E" w:rsidRDefault="00A3751E" w:rsidP="002B2D28">
      <w:pPr>
        <w:spacing w:after="0" w:line="240" w:lineRule="auto"/>
        <w:jc w:val="both"/>
        <w:rPr>
          <w:rFonts w:ascii="Verdana" w:eastAsia="Verdana" w:hAnsi="Verdana" w:cs="Verdana"/>
          <w:b/>
          <w:bCs/>
          <w:lang w:val="es-ES"/>
        </w:rPr>
      </w:pPr>
    </w:p>
    <w:p w14:paraId="657393A0" w14:textId="77777777" w:rsidR="00675D24" w:rsidRDefault="00675D24" w:rsidP="002B2D28">
      <w:pPr>
        <w:spacing w:after="0" w:line="240" w:lineRule="auto"/>
        <w:jc w:val="both"/>
        <w:rPr>
          <w:rFonts w:ascii="Verdana" w:eastAsia="Verdana" w:hAnsi="Verdana" w:cs="Verdana"/>
          <w:sz w:val="20"/>
          <w:szCs w:val="20"/>
        </w:rPr>
      </w:pPr>
      <w:r w:rsidRPr="00675D24">
        <w:rPr>
          <w:rFonts w:ascii="Verdana" w:eastAsia="Verdana" w:hAnsi="Verdana" w:cs="Verdana"/>
          <w:sz w:val="20"/>
          <w:szCs w:val="20"/>
        </w:rPr>
        <w:t xml:space="preserve">De esta forma, cuando una entidad estatal requiere bienes y servicios para la defensa y seguridad nacional, debe acudir al proceso de selección abreviada de menor cuantía o, </w:t>
      </w:r>
      <w:r w:rsidRPr="00675D24">
        <w:rPr>
          <w:rFonts w:ascii="Verdana" w:eastAsia="Verdana" w:hAnsi="Verdana" w:cs="Verdana"/>
          <w:sz w:val="20"/>
          <w:szCs w:val="20"/>
        </w:rPr>
        <w:lastRenderedPageBreak/>
        <w:t>cuando se trate de bienes o servicios de características técnicas uniformes o no uniformes, al proceso de selección abreviada por subasta inversa, acuerdos marco de precios o bolsas de productos, cuando estos existan. De todas formas, para acudir a esta causal las entidades estatales, deben justificar en los documentos del proceso, particularmente, en los estudios previos porqué los bienes y servicios son requeridos para la defensa y seguridad nacional, de manera que se justifique adecuadamente la posibilidad de acudir a esta casual de selección abreviada.</w:t>
      </w:r>
    </w:p>
    <w:p w14:paraId="231BE6FF" w14:textId="77777777" w:rsidR="00675D24" w:rsidRPr="00675D24" w:rsidRDefault="00675D24" w:rsidP="002B2D28">
      <w:pPr>
        <w:spacing w:after="0" w:line="240" w:lineRule="auto"/>
        <w:jc w:val="both"/>
        <w:rPr>
          <w:rFonts w:ascii="Verdana" w:eastAsia="Verdana" w:hAnsi="Verdana" w:cs="Verdana"/>
          <w:sz w:val="20"/>
          <w:szCs w:val="20"/>
        </w:rPr>
      </w:pPr>
    </w:p>
    <w:p w14:paraId="04877341" w14:textId="1DF3489A" w:rsidR="00A3751E" w:rsidRDefault="00675D24" w:rsidP="002B2D28">
      <w:pPr>
        <w:spacing w:after="0" w:line="240" w:lineRule="auto"/>
        <w:jc w:val="both"/>
        <w:rPr>
          <w:rFonts w:ascii="Verdana" w:eastAsia="Verdana" w:hAnsi="Verdana" w:cs="Verdana"/>
          <w:sz w:val="20"/>
          <w:szCs w:val="20"/>
        </w:rPr>
      </w:pPr>
      <w:r w:rsidRPr="00675D24">
        <w:rPr>
          <w:rFonts w:ascii="Verdana" w:eastAsia="Verdana" w:hAnsi="Verdana" w:cs="Verdana"/>
          <w:sz w:val="20"/>
          <w:szCs w:val="20"/>
        </w:rPr>
        <w:t xml:space="preserve">En relación con este punto, conviene precisar que para efectos de determinar cuáles bienes y servicios se consideran de características técnicas uniformes y acudir a los procedimientos señalados en el inciso segundo del </w:t>
      </w:r>
      <w:r w:rsidRPr="00675D24">
        <w:rPr>
          <w:rFonts w:ascii="Verdana" w:eastAsia="Verdana" w:hAnsi="Verdana" w:cs="Verdana"/>
          <w:sz w:val="20"/>
          <w:szCs w:val="20"/>
          <w:lang w:val="es-ES"/>
        </w:rPr>
        <w:t>artículo 2.2.1.2.1.2.26 del Decreto 1082 de 2015</w:t>
      </w:r>
      <w:r w:rsidRPr="00675D24">
        <w:rPr>
          <w:rFonts w:ascii="Verdana" w:eastAsia="Verdana" w:hAnsi="Verdana" w:cs="Verdana"/>
          <w:sz w:val="20"/>
          <w:szCs w:val="20"/>
        </w:rPr>
        <w:t>, la norma se remite a la definición que el mismo Decreto establece sobre este concepto.</w:t>
      </w:r>
    </w:p>
    <w:p w14:paraId="4EF082FB" w14:textId="77777777" w:rsidR="00675D24" w:rsidRPr="00A3751E" w:rsidRDefault="00675D24" w:rsidP="002B2D28">
      <w:pPr>
        <w:spacing w:after="0" w:line="240" w:lineRule="auto"/>
        <w:jc w:val="both"/>
        <w:rPr>
          <w:rFonts w:ascii="Verdana" w:eastAsia="Verdana" w:hAnsi="Verdana" w:cs="Verdana"/>
          <w:b/>
          <w:bCs/>
          <w:lang w:val="es-ES"/>
        </w:rPr>
      </w:pPr>
    </w:p>
    <w:p w14:paraId="4677B34B" w14:textId="77777777" w:rsidR="00A3751E" w:rsidRPr="00A3751E" w:rsidRDefault="00A3751E" w:rsidP="002B2D28">
      <w:pPr>
        <w:spacing w:after="0" w:line="240" w:lineRule="auto"/>
        <w:jc w:val="both"/>
        <w:rPr>
          <w:rFonts w:ascii="Verdana" w:eastAsia="Verdana" w:hAnsi="Verdana" w:cs="Verdana"/>
          <w:b/>
          <w:bCs/>
        </w:rPr>
      </w:pPr>
      <w:r w:rsidRPr="00A3751E">
        <w:rPr>
          <w:rFonts w:ascii="Verdana" w:eastAsia="Verdana" w:hAnsi="Verdana" w:cs="Verdana"/>
          <w:b/>
          <w:bCs/>
        </w:rPr>
        <w:t xml:space="preserve"> </w:t>
      </w:r>
      <w:r w:rsidRPr="00A3751E">
        <w:rPr>
          <w:rFonts w:ascii="Verdana" w:eastAsia="Verdana" w:hAnsi="Verdana" w:cs="Verdana"/>
          <w:b/>
          <w:bCs/>
          <w:lang w:val="es-ES"/>
        </w:rPr>
        <w:t xml:space="preserve">BIENES Y SERVICIOS DE CARACTERÍSTICAS TÉCNICAS UNIFORMES </w:t>
      </w:r>
      <w:r w:rsidRPr="00A3751E">
        <w:rPr>
          <w:rFonts w:ascii="Verdana" w:eastAsia="Verdana" w:hAnsi="Verdana" w:cs="Verdana"/>
          <w:b/>
          <w:bCs/>
        </w:rPr>
        <w:t>― Definición</w:t>
      </w:r>
    </w:p>
    <w:p w14:paraId="447FD922" w14:textId="77777777" w:rsidR="00A3751E" w:rsidRPr="00510C7F" w:rsidRDefault="00A3751E" w:rsidP="002B2D28">
      <w:pPr>
        <w:spacing w:after="0" w:line="240" w:lineRule="auto"/>
        <w:jc w:val="both"/>
        <w:rPr>
          <w:rFonts w:ascii="Verdana" w:eastAsia="Verdana" w:hAnsi="Verdana" w:cs="Verdana"/>
          <w:sz w:val="20"/>
          <w:szCs w:val="20"/>
        </w:rPr>
      </w:pPr>
    </w:p>
    <w:p w14:paraId="054D908E" w14:textId="77777777" w:rsidR="00510C7F" w:rsidRPr="00510C7F" w:rsidRDefault="00510C7F" w:rsidP="002B2D28">
      <w:pPr>
        <w:spacing w:after="0" w:line="240" w:lineRule="auto"/>
        <w:jc w:val="both"/>
        <w:rPr>
          <w:rFonts w:ascii="Verdana" w:eastAsia="Verdana" w:hAnsi="Verdana" w:cs="Verdana"/>
          <w:sz w:val="20"/>
          <w:szCs w:val="20"/>
        </w:rPr>
      </w:pPr>
      <w:r w:rsidRPr="00510C7F">
        <w:rPr>
          <w:rFonts w:ascii="Verdana" w:eastAsia="Verdana" w:hAnsi="Verdana" w:cs="Verdana"/>
          <w:sz w:val="20"/>
          <w:szCs w:val="20"/>
        </w:rPr>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w:t>
      </w:r>
    </w:p>
    <w:p w14:paraId="2C13005F" w14:textId="77777777" w:rsidR="00A3751E" w:rsidRPr="00A3751E" w:rsidRDefault="00A3751E" w:rsidP="002B2D28">
      <w:pPr>
        <w:spacing w:after="0" w:line="240" w:lineRule="auto"/>
        <w:jc w:val="both"/>
        <w:rPr>
          <w:rFonts w:ascii="Verdana" w:eastAsia="Verdana" w:hAnsi="Verdana" w:cs="Verdana"/>
          <w:b/>
          <w:bCs/>
        </w:rPr>
      </w:pPr>
    </w:p>
    <w:p w14:paraId="78CDAE1E" w14:textId="77777777" w:rsidR="00A3751E" w:rsidRPr="00A3751E" w:rsidRDefault="00A3751E" w:rsidP="002B2D28">
      <w:pPr>
        <w:spacing w:after="0" w:line="240" w:lineRule="auto"/>
        <w:jc w:val="both"/>
        <w:rPr>
          <w:rFonts w:ascii="Verdana" w:eastAsia="Verdana" w:hAnsi="Verdana" w:cs="Verdana"/>
          <w:b/>
          <w:bCs/>
        </w:rPr>
      </w:pPr>
      <w:r w:rsidRPr="00A3751E">
        <w:rPr>
          <w:rFonts w:ascii="Verdana" w:eastAsia="Verdana" w:hAnsi="Verdana" w:cs="Verdana"/>
          <w:b/>
          <w:bCs/>
        </w:rPr>
        <w:t xml:space="preserve"> DEFENSA Y SEGURIDAD – Entidades del orden nacional – Selección abreviada – Bienes y servicios</w:t>
      </w:r>
    </w:p>
    <w:p w14:paraId="0FE8A4CC" w14:textId="77777777" w:rsidR="00A3751E" w:rsidRPr="00A3751E" w:rsidRDefault="00A3751E" w:rsidP="002B2D28">
      <w:pPr>
        <w:spacing w:after="0" w:line="240" w:lineRule="auto"/>
        <w:jc w:val="both"/>
        <w:rPr>
          <w:rFonts w:ascii="Verdana" w:eastAsia="Verdana" w:hAnsi="Verdana" w:cs="Verdana"/>
          <w:b/>
          <w:bCs/>
        </w:rPr>
      </w:pPr>
    </w:p>
    <w:p w14:paraId="246F8230" w14:textId="77777777" w:rsidR="003D2041" w:rsidRDefault="003D2041" w:rsidP="002B2D28">
      <w:pPr>
        <w:spacing w:after="0" w:line="240" w:lineRule="auto"/>
        <w:jc w:val="both"/>
        <w:rPr>
          <w:rFonts w:ascii="Verdana" w:eastAsia="Verdana" w:hAnsi="Verdana" w:cs="Verdana"/>
          <w:sz w:val="20"/>
          <w:szCs w:val="20"/>
          <w:lang w:val="es-ES_tradnl"/>
        </w:rPr>
      </w:pPr>
      <w:r w:rsidRPr="003D2041">
        <w:rPr>
          <w:rFonts w:ascii="Verdana" w:eastAsia="Verdana" w:hAnsi="Verdana" w:cs="Verdana"/>
          <w:sz w:val="20"/>
          <w:szCs w:val="20"/>
          <w:lang w:val="es-ES"/>
        </w:rPr>
        <w:t xml:space="preserve">Así las cosas, la tesis actual de la jurisprudencia de lo contencioso administrativo en relación con esta causal de selección abreviada, consiste en considerar que es aplicable por entidades del </w:t>
      </w:r>
      <w:r w:rsidRPr="003D2041">
        <w:rPr>
          <w:rFonts w:ascii="Verdana" w:eastAsia="Verdana" w:hAnsi="Verdana" w:cs="Verdana"/>
          <w:i/>
          <w:iCs/>
          <w:sz w:val="20"/>
          <w:szCs w:val="20"/>
          <w:lang w:val="es-ES"/>
        </w:rPr>
        <w:t>orden nacional</w:t>
      </w:r>
      <w:r w:rsidRPr="003D2041">
        <w:rPr>
          <w:rFonts w:ascii="Verdana" w:eastAsia="Verdana" w:hAnsi="Verdana" w:cs="Verdana"/>
          <w:sz w:val="20"/>
          <w:szCs w:val="20"/>
          <w:lang w:val="es-ES"/>
        </w:rPr>
        <w:t xml:space="preserve"> que conforme a las funciones y competencias a su cargo requieran bienes y servicios para satisfacer necesidades que tengan como finalidad la defensa y seguridad nacional. De esta forma, si bien se hace referencia a las entidades del </w:t>
      </w:r>
      <w:r w:rsidRPr="003D2041">
        <w:rPr>
          <w:rFonts w:ascii="Verdana" w:eastAsia="Verdana" w:hAnsi="Verdana" w:cs="Verdana"/>
          <w:i/>
          <w:iCs/>
          <w:sz w:val="20"/>
          <w:szCs w:val="20"/>
          <w:lang w:val="es-ES"/>
        </w:rPr>
        <w:t>orden nacional,</w:t>
      </w:r>
      <w:r w:rsidRPr="003D2041">
        <w:rPr>
          <w:rFonts w:ascii="Verdana" w:eastAsia="Verdana" w:hAnsi="Verdana" w:cs="Verdana"/>
          <w:sz w:val="20"/>
          <w:szCs w:val="20"/>
          <w:lang w:val="es-ES"/>
        </w:rPr>
        <w:t xml:space="preserve"> no se establece un listado de las entidades que pueden emplear esta causal de contratación porque la norma no lo dispone. En este contexto, la jurisprudencia es enfática en señalar que debido que el concepto de defensa y seguridad nacional es indeterminado</w:t>
      </w:r>
      <w:r w:rsidRPr="003D2041">
        <w:rPr>
          <w:rFonts w:ascii="Verdana" w:eastAsia="Verdana" w:hAnsi="Verdana" w:cs="Verdana"/>
          <w:sz w:val="20"/>
          <w:szCs w:val="20"/>
          <w:lang w:val="es-ES_tradnl"/>
        </w:rPr>
        <w:t xml:space="preserve">, en cada caso, se deberá estimar si el marco competencial de una entidad del </w:t>
      </w:r>
      <w:r w:rsidRPr="003D2041">
        <w:rPr>
          <w:rFonts w:ascii="Verdana" w:eastAsia="Verdana" w:hAnsi="Verdana" w:cs="Verdana"/>
          <w:i/>
          <w:iCs/>
          <w:sz w:val="20"/>
          <w:szCs w:val="20"/>
          <w:lang w:val="es-ES_tradnl"/>
        </w:rPr>
        <w:t>orden nacional</w:t>
      </w:r>
      <w:r w:rsidRPr="003D2041">
        <w:rPr>
          <w:rFonts w:ascii="Verdana" w:eastAsia="Verdana" w:hAnsi="Verdana" w:cs="Verdana"/>
          <w:sz w:val="20"/>
          <w:szCs w:val="20"/>
          <w:lang w:val="es-ES_tradnl"/>
        </w:rPr>
        <w:t xml:space="preserve"> resulta compresivo de actividades tendientes a garantizar la defensa y la seguridad nacional. Esto implica señalar que en principio dicha causal no es aplicable por entidades del orden territorial, las cuales, por su competencia, ejercen funciones relacionadas con la seguridad ciudadana, categoría conceptual que no se asimila a la defensa y seguridad nacional, como se expuso previamente.</w:t>
      </w:r>
    </w:p>
    <w:p w14:paraId="70EC80DB" w14:textId="6883D42C" w:rsidR="003D2041" w:rsidRPr="003D2041" w:rsidRDefault="003D2041" w:rsidP="002B2D28">
      <w:pPr>
        <w:spacing w:after="0" w:line="240" w:lineRule="auto"/>
        <w:jc w:val="both"/>
        <w:rPr>
          <w:rFonts w:ascii="Verdana" w:eastAsia="Verdana" w:hAnsi="Verdana" w:cs="Verdana"/>
          <w:sz w:val="20"/>
          <w:szCs w:val="20"/>
          <w:lang w:val="es-ES_tradnl"/>
        </w:rPr>
      </w:pPr>
      <w:r w:rsidRPr="003D2041">
        <w:rPr>
          <w:rFonts w:ascii="Verdana" w:eastAsia="Verdana" w:hAnsi="Verdana" w:cs="Verdana"/>
          <w:sz w:val="20"/>
          <w:szCs w:val="20"/>
          <w:lang w:val="es-ES_tradnl"/>
        </w:rPr>
        <w:lastRenderedPageBreak/>
        <w:t xml:space="preserve"> </w:t>
      </w:r>
    </w:p>
    <w:p w14:paraId="3C183AD5" w14:textId="77777777" w:rsidR="003D2041" w:rsidRPr="003D2041" w:rsidRDefault="003D2041" w:rsidP="002B2D28">
      <w:pPr>
        <w:spacing w:after="0" w:line="240" w:lineRule="auto"/>
        <w:jc w:val="both"/>
        <w:rPr>
          <w:rFonts w:ascii="Verdana" w:eastAsia="Verdana" w:hAnsi="Verdana" w:cs="Verdana"/>
          <w:sz w:val="20"/>
          <w:szCs w:val="20"/>
          <w:lang w:val="es-ES_tradnl"/>
        </w:rPr>
      </w:pPr>
      <w:r w:rsidRPr="003D2041">
        <w:rPr>
          <w:rFonts w:ascii="Verdana" w:eastAsia="Verdana" w:hAnsi="Verdana" w:cs="Verdana"/>
          <w:sz w:val="20"/>
          <w:szCs w:val="20"/>
          <w:lang w:val="es-ES_tradnl"/>
        </w:rPr>
        <w:t xml:space="preserve">Del anterior se concluye que la expresión “defensa y seguridad del Estado”, es un </w:t>
      </w:r>
      <w:r w:rsidRPr="003D2041">
        <w:rPr>
          <w:rFonts w:ascii="Verdana" w:eastAsia="Verdana" w:hAnsi="Verdana" w:cs="Verdana"/>
          <w:i/>
          <w:iCs/>
          <w:sz w:val="20"/>
          <w:szCs w:val="20"/>
          <w:lang w:val="es-ES_tradnl"/>
        </w:rPr>
        <w:t>concepto jurídico indeterminado</w:t>
      </w:r>
      <w:r w:rsidRPr="003D2041">
        <w:rPr>
          <w:rFonts w:ascii="Verdana" w:eastAsia="Verdana" w:hAnsi="Verdana" w:cs="Verdana"/>
          <w:sz w:val="20"/>
          <w:szCs w:val="20"/>
          <w:lang w:val="es-ES_tradnl"/>
        </w:rPr>
        <w:t xml:space="preserve"> que las entidades estatales deben aplicar teniendo en cuenta la situación fáctica particular. Para el alto tribunal, aquel es un concepto que debe interpretarse bajo una comprensión sistemática del orden público. Por lo tanto, al ser un concepto amplio e indeterminado, su concreción compete a las entidades estatales durante la planeación de los procesos de contratación que adelanten, por lo que no es posible establecer un listado de los bienes y servicios requeridos para la defensa y seguridad nacional. De igual manera, </w:t>
      </w:r>
      <w:r w:rsidRPr="003D2041">
        <w:rPr>
          <w:rFonts w:ascii="Verdana" w:eastAsia="Verdana" w:hAnsi="Verdana" w:cs="Verdana"/>
          <w:sz w:val="20"/>
          <w:szCs w:val="20"/>
        </w:rPr>
        <w:t xml:space="preserve">en el caso en que sea necesario cumplir con requisitos establecidos en una norma técnica, le corresponde a la entidad contratante determinar si los bienes o servicios a adquirir presentan características técnicas uniformes, en los términos del Decreto 1082 de 2015, o si, debido a su especialidad técnica, no es posible encuadrarlos dentro de esta categoría. En todo caso, la entidad deberá evaluar si los requisitos técnicos aplicables comparten patrones de desempeño y calidad o, por el contrario, si las particularidades técnicas de los bienes o servicios exigen un procedimiento distinto para su adquisición. </w:t>
      </w:r>
    </w:p>
    <w:p w14:paraId="01297D6B" w14:textId="77777777" w:rsidR="00A3751E" w:rsidRPr="003D2041" w:rsidRDefault="00A3751E" w:rsidP="002B2D28">
      <w:pPr>
        <w:spacing w:after="0" w:line="240" w:lineRule="auto"/>
        <w:jc w:val="both"/>
        <w:rPr>
          <w:rFonts w:ascii="Verdana" w:eastAsia="Verdana" w:hAnsi="Verdana" w:cs="Verdana"/>
          <w:b/>
          <w:bCs/>
          <w:lang w:val="es-ES_tradnl"/>
        </w:rPr>
      </w:pPr>
    </w:p>
    <w:p w14:paraId="2D0CAD83" w14:textId="77777777" w:rsidR="00A3751E" w:rsidRPr="00A3751E" w:rsidRDefault="00A3751E" w:rsidP="002B2D28">
      <w:pPr>
        <w:spacing w:after="0" w:line="240" w:lineRule="auto"/>
        <w:jc w:val="both"/>
        <w:rPr>
          <w:rFonts w:ascii="Verdana" w:eastAsia="Verdana" w:hAnsi="Verdana" w:cs="Verdana"/>
          <w:b/>
          <w:bCs/>
          <w:lang w:val="es-ES"/>
        </w:rPr>
      </w:pPr>
      <w:r w:rsidRPr="00A3751E">
        <w:rPr>
          <w:rFonts w:ascii="Verdana" w:eastAsia="Verdana" w:hAnsi="Verdana" w:cs="Verdana"/>
          <w:b/>
          <w:bCs/>
          <w:lang w:val="es-ES"/>
        </w:rPr>
        <w:t>CONTRATACIÓN DIRECTA – Defensa y seguridad – literales d y j – artículo 2.4</w:t>
      </w:r>
    </w:p>
    <w:p w14:paraId="1315B173" w14:textId="77777777" w:rsidR="00A3751E" w:rsidRDefault="00A3751E" w:rsidP="002B2D28">
      <w:pPr>
        <w:spacing w:after="0" w:line="240" w:lineRule="auto"/>
        <w:jc w:val="both"/>
        <w:rPr>
          <w:rFonts w:ascii="Verdana" w:eastAsia="Verdana" w:hAnsi="Verdana" w:cs="Verdana"/>
          <w:b/>
          <w:bCs/>
          <w:lang w:val="es-ES"/>
        </w:rPr>
      </w:pPr>
    </w:p>
    <w:p w14:paraId="796FD355" w14:textId="77777777" w:rsidR="003D2041" w:rsidRPr="003D2041" w:rsidRDefault="003D2041" w:rsidP="002B2D28">
      <w:pPr>
        <w:spacing w:after="0" w:line="240" w:lineRule="auto"/>
        <w:jc w:val="both"/>
        <w:rPr>
          <w:rFonts w:ascii="Verdana" w:eastAsia="Verdana" w:hAnsi="Verdana" w:cs="Verdana"/>
          <w:sz w:val="20"/>
          <w:szCs w:val="20"/>
        </w:rPr>
      </w:pPr>
      <w:r w:rsidRPr="003D2041">
        <w:rPr>
          <w:rFonts w:ascii="Verdana" w:eastAsia="Verdana" w:hAnsi="Verdana" w:cs="Verdana"/>
          <w:sz w:val="20"/>
          <w:szCs w:val="20"/>
        </w:rPr>
        <w:t>En el marco de la modalidad de contratación directa regulada en el artículo 2.4. de la Ley 80 de 1993, se reconocen dos causales específicas: i) La contratación de bienes y servicios en el sector Defensa que requieran reserva para su adquisición regulada en el literal d. ii) La contratación de bienes y servicios de la Dirección Nacional de Inteligencia (DNI) que, igualmente, demanden reserva para su adquisición contemplada en el literal j). Cabe señalar que esta última causal fue adicionada por el artículo 125 de la Ley 1753 de 2015.</w:t>
      </w:r>
    </w:p>
    <w:p w14:paraId="694634D7" w14:textId="77777777" w:rsidR="003D2041" w:rsidRPr="00A3751E" w:rsidRDefault="003D2041" w:rsidP="002B2D28">
      <w:pPr>
        <w:spacing w:after="0" w:line="240" w:lineRule="auto"/>
        <w:jc w:val="both"/>
        <w:rPr>
          <w:rFonts w:ascii="Verdana" w:eastAsia="Verdana" w:hAnsi="Verdana" w:cs="Verdana"/>
          <w:b/>
          <w:bCs/>
          <w:lang w:val="es-ES"/>
        </w:rPr>
      </w:pPr>
    </w:p>
    <w:p w14:paraId="53EDE0DC" w14:textId="77777777" w:rsidR="00A3751E" w:rsidRPr="00A3751E" w:rsidRDefault="00A3751E" w:rsidP="002B2D28">
      <w:pPr>
        <w:spacing w:after="0" w:line="240" w:lineRule="auto"/>
        <w:jc w:val="both"/>
        <w:rPr>
          <w:rFonts w:ascii="Verdana" w:eastAsia="Verdana" w:hAnsi="Verdana" w:cs="Verdana"/>
          <w:b/>
          <w:bCs/>
          <w:lang w:val="es-ES"/>
        </w:rPr>
      </w:pPr>
      <w:r w:rsidRPr="00A3751E">
        <w:rPr>
          <w:rFonts w:ascii="Verdana" w:eastAsia="Verdana" w:hAnsi="Verdana" w:cs="Verdana"/>
          <w:b/>
          <w:bCs/>
          <w:lang w:val="es-ES"/>
        </w:rPr>
        <w:t xml:space="preserve">CONTRATACIÓN DIRECTA - Ley 1150 de 2007 – Artículo 2.4 – Literal d) – Alcance </w:t>
      </w:r>
    </w:p>
    <w:p w14:paraId="6FCB2B8A" w14:textId="77777777" w:rsidR="00A3751E" w:rsidRPr="00D81973" w:rsidRDefault="00A3751E" w:rsidP="002B2D28">
      <w:pPr>
        <w:spacing w:after="0" w:line="240" w:lineRule="auto"/>
        <w:jc w:val="both"/>
        <w:rPr>
          <w:rFonts w:ascii="Verdana" w:eastAsia="Verdana" w:hAnsi="Verdana" w:cs="Verdana"/>
          <w:sz w:val="20"/>
          <w:szCs w:val="20"/>
          <w:lang w:val="es-ES"/>
        </w:rPr>
      </w:pPr>
    </w:p>
    <w:p w14:paraId="7037A038" w14:textId="7C5A3F76" w:rsidR="00D81973" w:rsidRPr="00D81973" w:rsidRDefault="00D81973" w:rsidP="002B2D28">
      <w:pPr>
        <w:spacing w:after="0" w:line="240" w:lineRule="auto"/>
        <w:jc w:val="both"/>
        <w:rPr>
          <w:rFonts w:ascii="Verdana" w:eastAsia="Verdana" w:hAnsi="Verdana" w:cs="Verdana"/>
          <w:sz w:val="20"/>
          <w:szCs w:val="20"/>
        </w:rPr>
      </w:pPr>
      <w:r w:rsidRPr="00D81973">
        <w:rPr>
          <w:rFonts w:ascii="Verdana" w:eastAsia="Verdana" w:hAnsi="Verdana" w:cs="Verdana"/>
          <w:sz w:val="20"/>
          <w:szCs w:val="20"/>
          <w:lang w:val="es-ES"/>
        </w:rPr>
        <w:t xml:space="preserve">La causal contemplada en </w:t>
      </w:r>
      <w:r w:rsidRPr="00D81973">
        <w:rPr>
          <w:rFonts w:ascii="Verdana" w:eastAsia="Verdana" w:hAnsi="Verdana" w:cs="Verdana"/>
          <w:sz w:val="20"/>
          <w:szCs w:val="20"/>
        </w:rPr>
        <w:t>el literal d) del artículo 2.4 de la Ley 1150 de 2007 permite la contratación directa tratándose de la contratación de bienes y servicios en el sector defensa que necesiten reserva para su adquisición. Dicha causal se sujeta al cumplimiento de dos (2) requisitos: uno de carácter orgánico y otro de carácter material. Por un lado, los bienes o servicios deben ser adquiridos por entidades del sector defensa y, por otro, su adquisición debe ser reservada.</w:t>
      </w:r>
    </w:p>
    <w:p w14:paraId="4D5A116C" w14:textId="77777777" w:rsidR="00A3751E" w:rsidRPr="00D81973" w:rsidRDefault="00A3751E" w:rsidP="002B2D28">
      <w:pPr>
        <w:spacing w:after="0" w:line="240" w:lineRule="auto"/>
        <w:jc w:val="both"/>
        <w:rPr>
          <w:rFonts w:ascii="Verdana" w:eastAsia="Verdana" w:hAnsi="Verdana" w:cs="Verdana"/>
          <w:b/>
          <w:bCs/>
        </w:rPr>
      </w:pPr>
    </w:p>
    <w:p w14:paraId="34910E3B" w14:textId="77777777" w:rsidR="00A3751E" w:rsidRPr="00A3751E" w:rsidRDefault="00A3751E" w:rsidP="002B2D28">
      <w:pPr>
        <w:spacing w:after="0" w:line="240" w:lineRule="auto"/>
        <w:jc w:val="both"/>
        <w:rPr>
          <w:rFonts w:ascii="Verdana" w:eastAsia="Verdana" w:hAnsi="Verdana" w:cs="Verdana"/>
          <w:b/>
          <w:bCs/>
          <w:lang w:val="es-ES"/>
        </w:rPr>
      </w:pPr>
      <w:r w:rsidRPr="00A3751E">
        <w:rPr>
          <w:rFonts w:ascii="Verdana" w:eastAsia="Verdana" w:hAnsi="Verdana" w:cs="Verdana"/>
          <w:b/>
          <w:bCs/>
          <w:lang w:val="es-ES"/>
        </w:rPr>
        <w:t>SECTOR DEFENSA – Estructura – Entidades adscritas – Entidades vinculadas</w:t>
      </w:r>
    </w:p>
    <w:p w14:paraId="7795AFD3" w14:textId="77777777" w:rsidR="00A3751E" w:rsidRPr="00A3751E" w:rsidRDefault="00A3751E" w:rsidP="002B2D28">
      <w:pPr>
        <w:spacing w:after="0" w:line="240" w:lineRule="auto"/>
        <w:jc w:val="both"/>
        <w:rPr>
          <w:rFonts w:ascii="Verdana" w:eastAsia="Verdana" w:hAnsi="Verdana" w:cs="Verdana"/>
          <w:b/>
          <w:bCs/>
          <w:lang w:val="es-ES"/>
        </w:rPr>
      </w:pPr>
    </w:p>
    <w:p w14:paraId="6520C745" w14:textId="77777777" w:rsidR="002B2D28" w:rsidRPr="00D81973" w:rsidRDefault="002B2D28" w:rsidP="002B2D28">
      <w:pPr>
        <w:spacing w:after="0" w:line="240" w:lineRule="auto"/>
        <w:jc w:val="both"/>
        <w:rPr>
          <w:rFonts w:ascii="Verdana" w:eastAsia="Verdana" w:hAnsi="Verdana" w:cs="Verdana"/>
          <w:sz w:val="20"/>
          <w:szCs w:val="20"/>
        </w:rPr>
      </w:pPr>
      <w:r w:rsidRPr="00D81973">
        <w:rPr>
          <w:rFonts w:ascii="Verdana" w:eastAsia="Verdana" w:hAnsi="Verdana" w:cs="Verdana"/>
          <w:i/>
          <w:iCs/>
          <w:sz w:val="20"/>
          <w:szCs w:val="20"/>
        </w:rPr>
        <w:t>En lo que respecta al requisito orgánico</w:t>
      </w:r>
      <w:r w:rsidRPr="00D81973">
        <w:rPr>
          <w:rFonts w:ascii="Verdana" w:eastAsia="Verdana" w:hAnsi="Verdana" w:cs="Verdana"/>
          <w:sz w:val="20"/>
          <w:szCs w:val="20"/>
        </w:rPr>
        <w:t xml:space="preserve">, para entender qué entidades conforman el sector de defensa nacional, es necesario remitirse al artículo 42 de la Ley 489 de 1998. Dicha norma dispone que “El Sector Administrativo está integrado por el Ministerio o Departamento Administrativo, las superintendencias y demás entidades que la ley defina </w:t>
      </w:r>
      <w:r w:rsidRPr="00D81973">
        <w:rPr>
          <w:rFonts w:ascii="Verdana" w:eastAsia="Verdana" w:hAnsi="Verdana" w:cs="Verdana"/>
          <w:sz w:val="20"/>
          <w:szCs w:val="20"/>
        </w:rPr>
        <w:lastRenderedPageBreak/>
        <w:t xml:space="preserve">como adscritas o vinculadas a aquéllos según correspondiere a cada área”. En la misma línea, el parágrafo del artículo 50 </w:t>
      </w:r>
      <w:r w:rsidRPr="00D81973">
        <w:rPr>
          <w:rFonts w:ascii="Verdana" w:eastAsia="Verdana" w:hAnsi="Verdana" w:cs="Verdana"/>
          <w:i/>
          <w:iCs/>
          <w:sz w:val="20"/>
          <w:szCs w:val="20"/>
        </w:rPr>
        <w:t>ibidem</w:t>
      </w:r>
      <w:r w:rsidRPr="00D81973">
        <w:rPr>
          <w:rFonts w:ascii="Verdana" w:eastAsia="Verdana" w:hAnsi="Verdana" w:cs="Verdana"/>
          <w:sz w:val="20"/>
          <w:szCs w:val="20"/>
        </w:rPr>
        <w:t xml:space="preserve"> indica lo siguiente: “Las superintendencias, los establecimientos públicos y las unidades administrativas especiales estarán adscritos a los ministerios o departamentos administrativos; las empresas industriales y comerciales del Estado y las sociedades de economía mixta estarán vinculadas a aquellos; los demás organismos y entidades estarán adscritos o vinculados, según lo determine su acto de creación”. </w:t>
      </w:r>
    </w:p>
    <w:p w14:paraId="11C42DFB" w14:textId="77777777" w:rsidR="00A3751E" w:rsidRPr="002B2D28" w:rsidRDefault="00A3751E" w:rsidP="002B2D28">
      <w:pPr>
        <w:spacing w:after="0" w:line="240" w:lineRule="auto"/>
        <w:jc w:val="both"/>
        <w:rPr>
          <w:rFonts w:ascii="Verdana" w:eastAsia="Verdana" w:hAnsi="Verdana" w:cs="Verdana"/>
          <w:b/>
          <w:bCs/>
        </w:rPr>
      </w:pPr>
    </w:p>
    <w:p w14:paraId="27513772" w14:textId="00E6E5B4" w:rsidR="00A3751E" w:rsidRPr="00A3751E" w:rsidRDefault="00A3751E" w:rsidP="002B2D28">
      <w:pPr>
        <w:spacing w:after="0" w:line="240" w:lineRule="auto"/>
        <w:jc w:val="both"/>
        <w:rPr>
          <w:rFonts w:ascii="Verdana" w:eastAsia="Verdana" w:hAnsi="Verdana" w:cs="Verdana"/>
          <w:b/>
          <w:bCs/>
          <w:lang w:val="es-ES"/>
        </w:rPr>
      </w:pPr>
      <w:r w:rsidRPr="00A3751E">
        <w:rPr>
          <w:rFonts w:ascii="Verdana" w:eastAsia="Verdana" w:hAnsi="Verdana" w:cs="Verdana"/>
          <w:b/>
          <w:bCs/>
          <w:lang w:val="es-ES"/>
        </w:rPr>
        <w:t>SEGURIDAD Y DEFENSA NACIONAL – Alcance – Reserva – No aplicable – Entidades territoriales</w:t>
      </w:r>
    </w:p>
    <w:p w14:paraId="1D359D4A" w14:textId="77777777" w:rsidR="00A3751E" w:rsidRPr="00A3751E" w:rsidRDefault="00A3751E" w:rsidP="002B2D28">
      <w:pPr>
        <w:spacing w:after="0" w:line="240" w:lineRule="auto"/>
        <w:rPr>
          <w:rFonts w:ascii="Verdana" w:eastAsia="Verdana" w:hAnsi="Verdana" w:cs="Verdana"/>
          <w:lang w:val="es-ES"/>
        </w:rPr>
      </w:pPr>
    </w:p>
    <w:p w14:paraId="70B9ADCB" w14:textId="77777777" w:rsidR="00E73031" w:rsidRDefault="00E73031" w:rsidP="002B2D28">
      <w:pPr>
        <w:spacing w:after="0" w:line="240" w:lineRule="auto"/>
        <w:jc w:val="both"/>
        <w:rPr>
          <w:rFonts w:ascii="Verdana" w:eastAsia="Verdana" w:hAnsi="Verdana" w:cs="Verdana"/>
          <w:sz w:val="20"/>
          <w:szCs w:val="20"/>
          <w:lang w:val="es-ES"/>
        </w:rPr>
      </w:pPr>
      <w:r w:rsidRPr="00E73031">
        <w:rPr>
          <w:rFonts w:ascii="Verdana" w:eastAsia="Verdana" w:hAnsi="Verdana" w:cs="Verdana"/>
          <w:sz w:val="20"/>
          <w:szCs w:val="20"/>
        </w:rPr>
        <w:t>En este sentido, no resulta procedente que las entidades territoriales invoquen la causal de contratación directa prevista en el literal d) del artículo 2.4 de la Ley 1150 de 2007, por dos razones fundamentales. En primer lugar, dichas entidades no forman parte del sector Defensa, cuya competencia constitucional y legal está reservada a organismos del orden nacional encargados de la preservación de la soberanía y la integridad del Estado. En segundo lugar, la noción de defensa y seguridad nacional constituye un concepto jurídico indeterminado que no puede asimilarse a la seguridad ciudadana, pues esta última se relaciona con la protección inmediata de las personas y sus bienes frente a fenómenos de delincuencia común y violencia social, mientras que la defensa nacional se vincula con la estabilidad institucional y la protección del territorio, relacionado en otros conceptos indeterminados, como el interés nacional y soberanía nacional.</w:t>
      </w:r>
      <w:r w:rsidRPr="00E73031">
        <w:rPr>
          <w:rFonts w:ascii="Verdana" w:eastAsia="Verdana" w:hAnsi="Verdana" w:cs="Verdana"/>
          <w:sz w:val="20"/>
          <w:szCs w:val="20"/>
          <w:lang w:val="es-ES"/>
        </w:rPr>
        <w:t xml:space="preserve"> </w:t>
      </w:r>
    </w:p>
    <w:p w14:paraId="7AE23916" w14:textId="77777777" w:rsidR="00E73031" w:rsidRPr="00E73031" w:rsidRDefault="00E73031" w:rsidP="002B2D28">
      <w:pPr>
        <w:spacing w:after="0" w:line="240" w:lineRule="auto"/>
        <w:jc w:val="both"/>
        <w:rPr>
          <w:rFonts w:ascii="Verdana" w:eastAsia="Verdana" w:hAnsi="Verdana" w:cs="Verdana"/>
          <w:sz w:val="20"/>
          <w:szCs w:val="20"/>
          <w:lang w:val="es-ES"/>
        </w:rPr>
      </w:pPr>
    </w:p>
    <w:p w14:paraId="1E4D3691" w14:textId="77777777" w:rsidR="00E73031" w:rsidRPr="00E73031" w:rsidRDefault="00E73031" w:rsidP="002B2D28">
      <w:pPr>
        <w:spacing w:after="0" w:line="240" w:lineRule="auto"/>
        <w:jc w:val="both"/>
        <w:rPr>
          <w:rFonts w:ascii="Verdana" w:eastAsia="Verdana" w:hAnsi="Verdana" w:cs="Verdana"/>
          <w:sz w:val="20"/>
          <w:szCs w:val="20"/>
        </w:rPr>
      </w:pPr>
      <w:r w:rsidRPr="00E73031">
        <w:rPr>
          <w:rFonts w:ascii="Verdana" w:eastAsia="Verdana" w:hAnsi="Verdana" w:cs="Verdana"/>
          <w:sz w:val="20"/>
          <w:szCs w:val="20"/>
        </w:rPr>
        <w:t xml:space="preserve">Esto no significa que las entidades territoriales carezcan de competencia para adquirir bienes y servicios destinados al cumplimiento de sus funciones en materia de seguridad ciudadana y preservación del orden público. Por el contrario, dichas entidades conservan la facultad de adelantar procesos contractuales orientados a garantizar la convivencia, la vigilancia, la videovigilancia, las comunicaciones, la infraestructura tecnológica y, en general, todos aquellos elementos necesarios para la protección de la comunidad en su ámbito territorial. En esta línea, la contratación que realicen las entidades territoriales debe ajustarse estrictamente a las causales y modalidades de selección previstas en el Sistema de Compras Públicas. </w:t>
      </w:r>
    </w:p>
    <w:p w14:paraId="25095C13" w14:textId="77777777" w:rsidR="00A3751E" w:rsidRDefault="00A3751E" w:rsidP="0031491B">
      <w:pPr>
        <w:spacing w:after="0" w:line="240" w:lineRule="auto"/>
        <w:rPr>
          <w:rFonts w:ascii="Verdana" w:eastAsia="Verdana" w:hAnsi="Verdana" w:cs="Verdana"/>
        </w:rPr>
      </w:pPr>
    </w:p>
    <w:p w14:paraId="62245802" w14:textId="77777777" w:rsidR="00A3751E" w:rsidRDefault="00A3751E" w:rsidP="0031491B">
      <w:pPr>
        <w:spacing w:after="0" w:line="240" w:lineRule="auto"/>
        <w:rPr>
          <w:rFonts w:ascii="Verdana" w:eastAsia="Verdana" w:hAnsi="Verdana" w:cs="Verdana"/>
        </w:rPr>
      </w:pPr>
    </w:p>
    <w:p w14:paraId="4B9F5696" w14:textId="77777777" w:rsidR="002B2D28" w:rsidRDefault="002B2D28" w:rsidP="0031491B">
      <w:pPr>
        <w:spacing w:after="0" w:line="240" w:lineRule="auto"/>
        <w:rPr>
          <w:rFonts w:ascii="Verdana" w:eastAsia="Verdana" w:hAnsi="Verdana" w:cs="Verdana"/>
        </w:rPr>
      </w:pPr>
    </w:p>
    <w:p w14:paraId="626713E5" w14:textId="77777777" w:rsidR="002B2D28" w:rsidRDefault="002B2D28" w:rsidP="0031491B">
      <w:pPr>
        <w:spacing w:after="0" w:line="240" w:lineRule="auto"/>
        <w:rPr>
          <w:rFonts w:ascii="Verdana" w:eastAsia="Verdana" w:hAnsi="Verdana" w:cs="Verdana"/>
        </w:rPr>
      </w:pPr>
    </w:p>
    <w:p w14:paraId="0539C690" w14:textId="77777777" w:rsidR="002B2D28" w:rsidRDefault="002B2D28" w:rsidP="0031491B">
      <w:pPr>
        <w:spacing w:after="0" w:line="240" w:lineRule="auto"/>
        <w:rPr>
          <w:rFonts w:ascii="Verdana" w:eastAsia="Verdana" w:hAnsi="Verdana" w:cs="Verdana"/>
        </w:rPr>
      </w:pPr>
    </w:p>
    <w:p w14:paraId="0A964255" w14:textId="77777777" w:rsidR="002B2D28" w:rsidRDefault="002B2D28" w:rsidP="0031491B">
      <w:pPr>
        <w:spacing w:after="0" w:line="240" w:lineRule="auto"/>
        <w:rPr>
          <w:rFonts w:ascii="Verdana" w:eastAsia="Verdana" w:hAnsi="Verdana" w:cs="Verdana"/>
        </w:rPr>
      </w:pPr>
    </w:p>
    <w:p w14:paraId="3655BA9C" w14:textId="77777777" w:rsidR="002B2D28" w:rsidRDefault="002B2D28" w:rsidP="0031491B">
      <w:pPr>
        <w:spacing w:after="0" w:line="240" w:lineRule="auto"/>
        <w:rPr>
          <w:rFonts w:ascii="Verdana" w:eastAsia="Verdana" w:hAnsi="Verdana" w:cs="Verdana"/>
        </w:rPr>
      </w:pPr>
    </w:p>
    <w:p w14:paraId="12BD014C" w14:textId="77777777" w:rsidR="002B2D28" w:rsidRDefault="002B2D28" w:rsidP="0031491B">
      <w:pPr>
        <w:spacing w:after="0" w:line="240" w:lineRule="auto"/>
        <w:rPr>
          <w:rFonts w:ascii="Verdana" w:eastAsia="Verdana" w:hAnsi="Verdana" w:cs="Verdana"/>
        </w:rPr>
      </w:pPr>
    </w:p>
    <w:p w14:paraId="07966810" w14:textId="77777777" w:rsidR="002B2D28" w:rsidRDefault="002B2D28" w:rsidP="0031491B">
      <w:pPr>
        <w:spacing w:after="0" w:line="240" w:lineRule="auto"/>
        <w:rPr>
          <w:rFonts w:ascii="Verdana" w:eastAsia="Verdana" w:hAnsi="Verdana" w:cs="Verdana"/>
        </w:rPr>
      </w:pPr>
    </w:p>
    <w:p w14:paraId="438BB82D" w14:textId="77777777" w:rsidR="002B2D28" w:rsidRDefault="002B2D28" w:rsidP="0031491B">
      <w:pPr>
        <w:spacing w:after="0" w:line="240" w:lineRule="auto"/>
        <w:rPr>
          <w:rFonts w:ascii="Verdana" w:eastAsia="Verdana" w:hAnsi="Verdana" w:cs="Verdana"/>
        </w:rPr>
      </w:pPr>
    </w:p>
    <w:p w14:paraId="53EE54D9" w14:textId="77777777" w:rsidR="002B2D28" w:rsidRDefault="002B2D28" w:rsidP="0031491B">
      <w:pPr>
        <w:spacing w:after="0" w:line="240" w:lineRule="auto"/>
        <w:rPr>
          <w:rFonts w:ascii="Verdana" w:eastAsia="Verdana" w:hAnsi="Verdana" w:cs="Verdana"/>
        </w:rPr>
      </w:pPr>
    </w:p>
    <w:p w14:paraId="3BDF3BFC" w14:textId="77777777" w:rsidR="002B2D28" w:rsidRDefault="002B2D28" w:rsidP="0031491B">
      <w:pPr>
        <w:spacing w:after="0" w:line="240" w:lineRule="auto"/>
        <w:rPr>
          <w:rFonts w:ascii="Verdana" w:eastAsia="Verdana" w:hAnsi="Verdana" w:cs="Verdana"/>
        </w:rPr>
      </w:pPr>
    </w:p>
    <w:p w14:paraId="418E999A" w14:textId="0984FA9F" w:rsidR="0031491B" w:rsidRPr="009C7241" w:rsidRDefault="0031491B" w:rsidP="0031491B">
      <w:pPr>
        <w:spacing w:after="0" w:line="240" w:lineRule="auto"/>
        <w:rPr>
          <w:rFonts w:ascii="Verdana" w:eastAsia="Calibri" w:hAnsi="Verdana" w:cs="Arial"/>
          <w:sz w:val="20"/>
          <w:szCs w:val="20"/>
          <w:lang w:val="es-ES_tradnl" w:eastAsia="es-ES"/>
        </w:rPr>
      </w:pPr>
      <w:r w:rsidRPr="30821638">
        <w:rPr>
          <w:rFonts w:ascii="Verdana" w:eastAsia="Verdana" w:hAnsi="Verdana" w:cs="Verdana"/>
        </w:rPr>
        <w:lastRenderedPageBreak/>
        <w:t>Bogotá D.C.,</w:t>
      </w:r>
      <w:r w:rsidR="00F06575">
        <w:rPr>
          <w:rFonts w:ascii="Verdana" w:eastAsia="Verdana" w:hAnsi="Verdana" w:cs="Verdana"/>
        </w:rPr>
        <w:t xml:space="preserve"> 15 de septiembre de 2026</w:t>
      </w:r>
      <w:r>
        <w:tab/>
      </w:r>
    </w:p>
    <w:p w14:paraId="16A770CE" w14:textId="52D4141D" w:rsidR="0031491B" w:rsidRDefault="0031491B" w:rsidP="0031491B">
      <w:pPr>
        <w:spacing w:after="0" w:line="240" w:lineRule="auto"/>
        <w:rPr>
          <w:rFonts w:ascii="Verdana" w:eastAsia="Calibri" w:hAnsi="Verdana" w:cs="Arial"/>
          <w:color w:val="000000"/>
          <w:lang w:val="es-ES"/>
        </w:rPr>
      </w:pPr>
    </w:p>
    <w:p w14:paraId="309F49BB" w14:textId="4D8F5EC8" w:rsidR="0031491B" w:rsidRPr="00593A5F" w:rsidRDefault="00175806" w:rsidP="0031491B">
      <w:pPr>
        <w:spacing w:after="0" w:line="240" w:lineRule="auto"/>
        <w:jc w:val="both"/>
        <w:rPr>
          <w:rFonts w:ascii="Verdana" w:eastAsia="Calibri" w:hAnsi="Verdana" w:cs="Arial"/>
          <w:color w:val="000000"/>
          <w:lang w:val="es-ES"/>
        </w:rPr>
      </w:pPr>
      <w:r w:rsidRPr="00A42A4C">
        <w:rPr>
          <w:rFonts w:ascii="Verdana" w:eastAsia="Calibri" w:hAnsi="Verdana" w:cs="Arial"/>
          <w:noProof/>
          <w:color w:val="000000"/>
          <w:lang w:val="es-ES"/>
        </w:rPr>
        <w:drawing>
          <wp:anchor distT="0" distB="0" distL="114300" distR="114300" simplePos="0" relativeHeight="251658240" behindDoc="0" locked="0" layoutInCell="1" allowOverlap="1" wp14:anchorId="62EAFB62" wp14:editId="58020EE1">
            <wp:simplePos x="0" y="0"/>
            <wp:positionH relativeFrom="margin">
              <wp:align>right</wp:align>
            </wp:positionH>
            <wp:positionV relativeFrom="paragraph">
              <wp:posOffset>10767</wp:posOffset>
            </wp:positionV>
            <wp:extent cx="2713355" cy="930275"/>
            <wp:effectExtent l="0" t="0" r="0" b="3175"/>
            <wp:wrapSquare wrapText="bothSides"/>
            <wp:docPr id="19482549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8565" cy="931941"/>
                    </a:xfrm>
                    <a:prstGeom prst="rect">
                      <a:avLst/>
                    </a:prstGeom>
                    <a:noFill/>
                    <a:ln>
                      <a:noFill/>
                    </a:ln>
                  </pic:spPr>
                </pic:pic>
              </a:graphicData>
            </a:graphic>
            <wp14:sizeRelV relativeFrom="margin">
              <wp14:pctHeight>0</wp14:pctHeight>
            </wp14:sizeRelV>
          </wp:anchor>
        </w:drawing>
      </w:r>
    </w:p>
    <w:p w14:paraId="748C6A2D" w14:textId="77777777" w:rsidR="00175806" w:rsidRDefault="00175806" w:rsidP="0031491B">
      <w:pPr>
        <w:spacing w:after="0" w:line="240" w:lineRule="auto"/>
        <w:jc w:val="both"/>
        <w:rPr>
          <w:rFonts w:ascii="Verdana" w:eastAsia="Calibri" w:hAnsi="Verdana" w:cs="Arial"/>
          <w:lang w:eastAsia="es-ES"/>
        </w:rPr>
      </w:pPr>
    </w:p>
    <w:p w14:paraId="69DC5BEE" w14:textId="6201A7BA" w:rsidR="0031491B" w:rsidRPr="002E09B3" w:rsidRDefault="0031491B" w:rsidP="0031491B">
      <w:pPr>
        <w:spacing w:after="0" w:line="240" w:lineRule="auto"/>
        <w:jc w:val="both"/>
        <w:rPr>
          <w:rFonts w:ascii="Verdana" w:eastAsia="Calibri" w:hAnsi="Verdana" w:cs="Arial"/>
          <w:lang w:eastAsia="es-ES"/>
        </w:rPr>
      </w:pPr>
      <w:r w:rsidRPr="002E09B3">
        <w:rPr>
          <w:rFonts w:ascii="Verdana" w:eastAsia="Calibri" w:hAnsi="Verdana" w:cs="Arial"/>
          <w:lang w:eastAsia="es-ES"/>
        </w:rPr>
        <w:t>Señor</w:t>
      </w:r>
    </w:p>
    <w:p w14:paraId="45BFA0DD" w14:textId="77777777" w:rsidR="0031491B" w:rsidRPr="002E09B3" w:rsidRDefault="0031491B" w:rsidP="0031491B">
      <w:pPr>
        <w:spacing w:after="0" w:line="240" w:lineRule="auto"/>
        <w:rPr>
          <w:rFonts w:ascii="Verdana" w:eastAsia="Calibri" w:hAnsi="Verdana" w:cs="Arial"/>
          <w:b/>
          <w:lang w:eastAsia="es-ES_tradnl"/>
        </w:rPr>
      </w:pPr>
      <w:bookmarkStart w:id="1" w:name="OLE_LINK1"/>
      <w:r w:rsidRPr="002E09B3">
        <w:rPr>
          <w:rFonts w:ascii="Verdana" w:eastAsia="Calibri" w:hAnsi="Verdana" w:cs="Arial"/>
          <w:b/>
          <w:lang w:eastAsia="es-ES_tradnl"/>
        </w:rPr>
        <w:t>Santiago Alarcón Niño</w:t>
      </w:r>
    </w:p>
    <w:bookmarkEnd w:id="1"/>
    <w:p w14:paraId="638B0B3C" w14:textId="77777777" w:rsidR="0031491B" w:rsidRDefault="0031491B" w:rsidP="0031491B">
      <w:pPr>
        <w:spacing w:after="0" w:line="240" w:lineRule="auto"/>
        <w:rPr>
          <w:rFonts w:ascii="Verdana" w:hAnsi="Verdana"/>
        </w:rPr>
      </w:pPr>
      <w:r>
        <w:rPr>
          <w:rFonts w:ascii="Verdana" w:hAnsi="Verdana"/>
        </w:rPr>
        <w:fldChar w:fldCharType="begin"/>
      </w:r>
      <w:r>
        <w:rPr>
          <w:rFonts w:ascii="Verdana" w:hAnsi="Verdana"/>
        </w:rPr>
        <w:instrText>HYPERLINK "mailto:</w:instrText>
      </w:r>
      <w:r w:rsidRPr="00AE3C2D">
        <w:rPr>
          <w:rFonts w:ascii="Verdana" w:hAnsi="Verdana"/>
        </w:rPr>
        <w:instrText>alarconninosantiago@gmail.com</w:instrText>
      </w:r>
      <w:r>
        <w:rPr>
          <w:rFonts w:ascii="Verdana" w:hAnsi="Verdana"/>
        </w:rPr>
        <w:instrText>"</w:instrText>
      </w:r>
      <w:r>
        <w:rPr>
          <w:rFonts w:ascii="Verdana" w:hAnsi="Verdana"/>
        </w:rPr>
      </w:r>
      <w:r>
        <w:rPr>
          <w:rFonts w:ascii="Verdana" w:hAnsi="Verdana"/>
        </w:rPr>
        <w:fldChar w:fldCharType="separate"/>
      </w:r>
      <w:r w:rsidRPr="007458B0">
        <w:rPr>
          <w:rStyle w:val="Hipervnculo"/>
          <w:rFonts w:ascii="Verdana" w:hAnsi="Verdana"/>
        </w:rPr>
        <w:t>alarconninosantiago@gmail.com</w:t>
      </w:r>
      <w:r>
        <w:rPr>
          <w:rFonts w:ascii="Verdana" w:hAnsi="Verdana"/>
        </w:rPr>
        <w:fldChar w:fldCharType="end"/>
      </w:r>
      <w:r>
        <w:rPr>
          <w:rFonts w:ascii="Verdana" w:hAnsi="Verdana"/>
        </w:rPr>
        <w:t xml:space="preserve"> </w:t>
      </w:r>
    </w:p>
    <w:p w14:paraId="683AEB8A" w14:textId="77777777" w:rsidR="0031491B" w:rsidRDefault="0031491B" w:rsidP="0031491B">
      <w:pPr>
        <w:spacing w:after="0" w:line="240" w:lineRule="auto"/>
        <w:rPr>
          <w:rFonts w:ascii="Verdana" w:eastAsia="Calibri" w:hAnsi="Verdana" w:cs="Arial"/>
          <w:lang w:val="es-ES" w:eastAsia="es-ES"/>
        </w:rPr>
      </w:pPr>
      <w:r w:rsidRPr="004A3093">
        <w:rPr>
          <w:rFonts w:ascii="Verdana" w:eastAsia="Calibri" w:hAnsi="Verdana" w:cs="Arial"/>
          <w:lang w:val="es-ES" w:eastAsia="es-ES"/>
        </w:rPr>
        <w:t>Bogotá D.C.</w:t>
      </w:r>
      <w:r>
        <w:rPr>
          <w:rFonts w:ascii="Verdana" w:eastAsia="Calibri" w:hAnsi="Verdana" w:cs="Arial"/>
          <w:lang w:val="es-ES" w:eastAsia="es-ES"/>
        </w:rPr>
        <w:t xml:space="preserve"> </w:t>
      </w:r>
    </w:p>
    <w:p w14:paraId="376AF8CE" w14:textId="77777777" w:rsidR="0031491B" w:rsidRPr="00593A5F" w:rsidRDefault="0031491B" w:rsidP="0031491B">
      <w:pPr>
        <w:spacing w:after="0" w:line="240" w:lineRule="auto"/>
        <w:rPr>
          <w:rFonts w:ascii="Verdana" w:eastAsia="Calibri" w:hAnsi="Verdana" w:cs="Arial"/>
          <w:b/>
          <w:bCs/>
          <w:color w:val="000000"/>
          <w:lang w:val="es-ES_tradnl" w:eastAsia="es-ES_tradnl"/>
        </w:rPr>
      </w:pPr>
    </w:p>
    <w:p w14:paraId="1DD7D15A" w14:textId="77777777" w:rsidR="0031491B" w:rsidRPr="00593A5F" w:rsidRDefault="0031491B" w:rsidP="0031491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1491B" w:rsidRPr="00593A5F" w14:paraId="3EB148F4" w14:textId="77777777" w:rsidTr="00743F26">
        <w:trPr>
          <w:trHeight w:val="884"/>
        </w:trPr>
        <w:tc>
          <w:tcPr>
            <w:tcW w:w="2689" w:type="dxa"/>
          </w:tcPr>
          <w:p w14:paraId="7B872D5A" w14:textId="77777777" w:rsidR="0031491B" w:rsidRPr="00C00976" w:rsidRDefault="0031491B" w:rsidP="00743F26">
            <w:pPr>
              <w:jc w:val="both"/>
              <w:rPr>
                <w:rFonts w:ascii="Verdana" w:eastAsia="Calibri" w:hAnsi="Verdana" w:cs="Arial"/>
                <w:b/>
                <w:bCs/>
                <w:color w:val="7030A0"/>
                <w:lang w:val="es-ES_tradnl" w:eastAsia="es-ES_tradnl"/>
              </w:rPr>
            </w:pPr>
          </w:p>
        </w:tc>
        <w:tc>
          <w:tcPr>
            <w:tcW w:w="6100" w:type="dxa"/>
          </w:tcPr>
          <w:p w14:paraId="0BE3D6BA" w14:textId="015DDCDA" w:rsidR="0031491B" w:rsidRPr="00C00976" w:rsidRDefault="0031491B" w:rsidP="00743F26">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sidR="00175806">
              <w:rPr>
                <w:rFonts w:ascii="Verdana" w:eastAsia="Calibri" w:hAnsi="Verdana" w:cs="Arial"/>
                <w:b/>
                <w:bCs/>
                <w:lang w:val="es-ES" w:eastAsia="es-ES"/>
              </w:rPr>
              <w:t>-</w:t>
            </w:r>
            <w:r>
              <w:rPr>
                <w:rFonts w:ascii="Verdana" w:eastAsia="Calibri" w:hAnsi="Verdana" w:cs="Arial"/>
                <w:b/>
                <w:bCs/>
                <w:lang w:val="es-ES" w:eastAsia="es-ES"/>
              </w:rPr>
              <w:t xml:space="preserve">1223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31491B" w:rsidRPr="00593A5F" w14:paraId="360C9338" w14:textId="77777777" w:rsidTr="00743F26">
        <w:trPr>
          <w:trHeight w:val="884"/>
        </w:trPr>
        <w:tc>
          <w:tcPr>
            <w:tcW w:w="2689" w:type="dxa"/>
          </w:tcPr>
          <w:p w14:paraId="32489900" w14:textId="77777777" w:rsidR="0031491B" w:rsidRPr="00593A5F" w:rsidRDefault="0031491B" w:rsidP="00743F2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6225F1B" w14:textId="3820E0C1" w:rsidR="0031491B" w:rsidRPr="00B039CC" w:rsidRDefault="0031491B" w:rsidP="00743F26">
            <w:pPr>
              <w:spacing w:line="276" w:lineRule="auto"/>
              <w:jc w:val="both"/>
              <w:rPr>
                <w:rFonts w:ascii="Verdana" w:eastAsia="Calibri" w:hAnsi="Verdana" w:cs="Arial"/>
                <w:lang w:val="es-ES" w:eastAsia="es-ES"/>
              </w:rPr>
            </w:pPr>
            <w:r>
              <w:rPr>
                <w:rFonts w:ascii="Verdana" w:eastAsia="Times New Roman" w:hAnsi="Verdana" w:cs="Arial"/>
                <w:noProof/>
                <w:color w:val="000000"/>
                <w:lang w:val="es-ES_tradnl" w:eastAsia="es-ES_tradnl"/>
              </w:rPr>
              <w:t xml:space="preserve">DEFENSA Y SEGURIDAD – Concepto Jurídico Indeterminado / DEFENSA Y SEGURIDAD NACIONAL – Alcance – Diferencia – Seguridad Ciudadana/ </w:t>
            </w:r>
            <w:r w:rsidRPr="00FC6F9B">
              <w:rPr>
                <w:rFonts w:ascii="Verdana" w:eastAsia="Times New Roman" w:hAnsi="Verdana" w:cs="Arial"/>
                <w:noProof/>
                <w:color w:val="000000"/>
                <w:lang w:val="es-ES" w:eastAsia="es-ES_tradnl"/>
              </w:rPr>
              <w:t xml:space="preserve">ADQUISICIÓN DE BIENES Y SERVICIOS PARA LA DEFENSA Y SEGURIDAD NACIONAL – Causal de </w:t>
            </w:r>
            <w:r>
              <w:rPr>
                <w:rFonts w:ascii="Verdana" w:eastAsia="Times New Roman" w:hAnsi="Verdana" w:cs="Arial"/>
                <w:noProof/>
                <w:color w:val="000000"/>
                <w:lang w:val="es-ES" w:eastAsia="es-ES_tradnl"/>
              </w:rPr>
              <w:t>S</w:t>
            </w:r>
            <w:r w:rsidRPr="00FC6F9B">
              <w:rPr>
                <w:rFonts w:ascii="Verdana" w:eastAsia="Times New Roman" w:hAnsi="Verdana" w:cs="Arial"/>
                <w:noProof/>
                <w:color w:val="000000"/>
                <w:lang w:val="es-ES" w:eastAsia="es-ES_tradnl"/>
              </w:rPr>
              <w:t xml:space="preserve">elección abreviada – procedencia </w:t>
            </w:r>
            <w:r w:rsidRPr="00FC6F9B">
              <w:rPr>
                <w:rFonts w:ascii="Verdana" w:eastAsia="Times New Roman" w:hAnsi="Verdana" w:cs="Arial"/>
                <w:bCs/>
                <w:noProof/>
                <w:color w:val="000000"/>
                <w:lang w:eastAsia="es-ES_tradnl"/>
              </w:rPr>
              <w:t xml:space="preserve">/ </w:t>
            </w:r>
            <w:r w:rsidRPr="00FC6F9B">
              <w:rPr>
                <w:rFonts w:ascii="Verdana" w:eastAsia="Times New Roman" w:hAnsi="Verdana" w:cs="Arial"/>
                <w:noProof/>
                <w:color w:val="000000"/>
                <w:lang w:val="es-ES" w:eastAsia="es-ES_tradnl"/>
              </w:rPr>
              <w:t xml:space="preserve">BIENES Y SERVICIOS DE CARACTERÍSTICAS TÉCNICAS UNIFORMES </w:t>
            </w:r>
            <w:r w:rsidRPr="00FC6F9B">
              <w:rPr>
                <w:rFonts w:ascii="Verdana" w:eastAsia="Times New Roman" w:hAnsi="Verdana" w:cs="Arial"/>
                <w:bCs/>
                <w:noProof/>
                <w:color w:val="000000"/>
                <w:lang w:eastAsia="es-ES_tradnl"/>
              </w:rPr>
              <w:t xml:space="preserve">― Definición / </w:t>
            </w:r>
            <w:r>
              <w:rPr>
                <w:rFonts w:ascii="Verdana" w:eastAsia="Times New Roman" w:hAnsi="Verdana" w:cs="Arial"/>
                <w:bCs/>
                <w:noProof/>
                <w:color w:val="000000"/>
                <w:lang w:eastAsia="es-ES_tradnl"/>
              </w:rPr>
              <w:t xml:space="preserve">DEFENSA Y SEGURIDAD – Entidades del orden nacional – Selección abreviada – Bienes y servicios/ </w:t>
            </w:r>
            <w:r w:rsidRPr="00AF6312">
              <w:rPr>
                <w:rFonts w:ascii="Verdana" w:eastAsia="Calibri" w:hAnsi="Verdana" w:cs="Arial"/>
                <w:lang w:val="es-ES" w:eastAsia="es-ES"/>
              </w:rPr>
              <w:t>CONTRATACIÓN DIRECTA –</w:t>
            </w:r>
            <w:r>
              <w:rPr>
                <w:rFonts w:ascii="Verdana" w:eastAsia="Calibri" w:hAnsi="Verdana" w:cs="Arial"/>
                <w:lang w:val="es-ES" w:eastAsia="es-ES"/>
              </w:rPr>
              <w:t xml:space="preserve"> Defensa y seguridad – literales d y j – artículo 2.4 / CONTRATACIÓN DIRECTA - </w:t>
            </w:r>
            <w:r w:rsidRPr="00AF6312">
              <w:rPr>
                <w:rFonts w:ascii="Verdana" w:eastAsia="Calibri" w:hAnsi="Verdana" w:cs="Arial"/>
                <w:lang w:val="es-ES" w:eastAsia="es-ES"/>
              </w:rPr>
              <w:t>Ley 1150 de 2007 – Artículo 2.4 – Literal d) – Alcance</w:t>
            </w:r>
            <w:r>
              <w:rPr>
                <w:rFonts w:ascii="Verdana" w:eastAsia="Calibri" w:hAnsi="Verdana" w:cs="Arial"/>
                <w:lang w:val="es-ES" w:eastAsia="es-ES"/>
              </w:rPr>
              <w:t xml:space="preserve"> / </w:t>
            </w:r>
            <w:r w:rsidRPr="00AF6312">
              <w:rPr>
                <w:rFonts w:ascii="Verdana" w:eastAsia="Calibri" w:hAnsi="Verdana" w:cs="Arial"/>
                <w:lang w:val="es-ES" w:eastAsia="es-ES"/>
              </w:rPr>
              <w:t>SECTOR DEFENSA – Estructura – Entidades adscritas – Entidades vinculadas</w:t>
            </w:r>
            <w:r>
              <w:rPr>
                <w:rFonts w:ascii="Verdana" w:eastAsia="Calibri" w:hAnsi="Verdana" w:cs="Arial"/>
                <w:lang w:val="es-ES" w:eastAsia="es-ES"/>
              </w:rPr>
              <w:t xml:space="preserve"> / </w:t>
            </w:r>
            <w:r w:rsidRPr="00AF6312">
              <w:rPr>
                <w:rFonts w:ascii="Verdana" w:eastAsia="Calibri" w:hAnsi="Verdana" w:cs="Arial"/>
                <w:lang w:val="es-ES" w:eastAsia="es-ES"/>
              </w:rPr>
              <w:t xml:space="preserve">SEGURIDAD Y DEFENSA NACIONAL – </w:t>
            </w:r>
            <w:r>
              <w:rPr>
                <w:rFonts w:ascii="Verdana" w:eastAsia="Calibri" w:hAnsi="Verdana" w:cs="Arial"/>
                <w:lang w:val="es-ES" w:eastAsia="es-ES"/>
              </w:rPr>
              <w:t>Alcance – Reserva – No aplicable – Entidades territoriales</w:t>
            </w:r>
          </w:p>
          <w:p w14:paraId="0FA75AF0" w14:textId="77777777" w:rsidR="0031491B" w:rsidRDefault="0031491B" w:rsidP="00743F26">
            <w:pPr>
              <w:spacing w:line="276" w:lineRule="auto"/>
              <w:jc w:val="both"/>
              <w:rPr>
                <w:rFonts w:ascii="Verdana" w:eastAsia="Calibri" w:hAnsi="Verdana" w:cs="Arial"/>
                <w:lang w:val="es-ES" w:eastAsia="es-ES"/>
              </w:rPr>
            </w:pPr>
          </w:p>
          <w:p w14:paraId="225871A5" w14:textId="77777777" w:rsidR="0031491B" w:rsidRPr="00593A5F" w:rsidRDefault="0031491B" w:rsidP="00743F26">
            <w:pPr>
              <w:spacing w:line="276" w:lineRule="auto"/>
              <w:jc w:val="both"/>
              <w:rPr>
                <w:rFonts w:ascii="Verdana" w:eastAsia="Calibri" w:hAnsi="Verdana" w:cs="Arial"/>
                <w:lang w:val="es-ES" w:eastAsia="es-ES"/>
              </w:rPr>
            </w:pPr>
          </w:p>
        </w:tc>
      </w:tr>
      <w:tr w:rsidR="0031491B" w:rsidRPr="008E6AD9" w14:paraId="51EBEACE" w14:textId="77777777" w:rsidTr="00743F26">
        <w:tc>
          <w:tcPr>
            <w:tcW w:w="2689" w:type="dxa"/>
          </w:tcPr>
          <w:p w14:paraId="1B78A1BD" w14:textId="77777777" w:rsidR="0031491B" w:rsidRPr="008E6AD9" w:rsidRDefault="0031491B" w:rsidP="00743F26">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DE193B1" w14:textId="77777777" w:rsidR="0031491B" w:rsidRPr="005E4484" w:rsidRDefault="0031491B" w:rsidP="00743F26">
            <w:pPr>
              <w:spacing w:line="276" w:lineRule="auto"/>
              <w:jc w:val="both"/>
              <w:rPr>
                <w:rFonts w:ascii="Verdana" w:eastAsia="Calibri" w:hAnsi="Verdana" w:cs="Arial"/>
                <w:lang w:val="es-ES_tradnl" w:eastAsia="es-ES_tradnl"/>
              </w:rPr>
            </w:pPr>
            <w:r w:rsidRPr="005E4484">
              <w:rPr>
                <w:rFonts w:ascii="Verdana" w:eastAsia="Calibri" w:hAnsi="Verdana" w:cs="Arial"/>
                <w:lang w:val="es-ES_tradnl" w:eastAsia="es-ES_tradnl"/>
              </w:rPr>
              <w:t xml:space="preserve">Respuesta a la consulta con radicado No. </w:t>
            </w:r>
            <w:r w:rsidRPr="005E4484">
              <w:rPr>
                <w:rFonts w:ascii="Verdana" w:eastAsia="Calibri" w:hAnsi="Verdana" w:cs="Arial"/>
                <w:lang w:eastAsia="es-ES_tradnl"/>
              </w:rPr>
              <w:t>1_2026_08_04_010258</w:t>
            </w:r>
            <w:r w:rsidRPr="005E4484">
              <w:rPr>
                <w:rFonts w:ascii="Verdana" w:eastAsia="Calibri" w:hAnsi="Verdana" w:cs="Arial"/>
                <w:lang w:val="es-ES_tradnl" w:eastAsia="es-ES_tradnl"/>
              </w:rPr>
              <w:t xml:space="preserve">                                    </w:t>
            </w:r>
          </w:p>
        </w:tc>
      </w:tr>
    </w:tbl>
    <w:p w14:paraId="629BC444" w14:textId="77777777" w:rsidR="0031491B" w:rsidRPr="00593A5F" w:rsidRDefault="0031491B" w:rsidP="0031491B">
      <w:pPr>
        <w:spacing w:after="0" w:line="240" w:lineRule="auto"/>
        <w:jc w:val="both"/>
        <w:rPr>
          <w:rFonts w:ascii="Verdana" w:eastAsia="Calibri" w:hAnsi="Verdana" w:cs="Arial"/>
          <w:color w:val="000000"/>
          <w:lang w:val="es-ES_tradnl" w:eastAsia="es-ES_tradnl"/>
        </w:rPr>
      </w:pPr>
    </w:p>
    <w:p w14:paraId="0CC53FF8" w14:textId="77777777" w:rsidR="0031491B" w:rsidRPr="00593A5F" w:rsidRDefault="0031491B" w:rsidP="0031491B">
      <w:pPr>
        <w:spacing w:after="0" w:line="240" w:lineRule="auto"/>
        <w:jc w:val="both"/>
        <w:rPr>
          <w:rFonts w:ascii="Verdana" w:eastAsia="Calibri" w:hAnsi="Verdana" w:cs="Arial"/>
          <w:color w:val="000000"/>
          <w:lang w:val="es-ES_tradnl" w:eastAsia="es-ES_tradnl"/>
        </w:rPr>
      </w:pPr>
    </w:p>
    <w:p w14:paraId="0633C9B7" w14:textId="77777777" w:rsidR="0031491B" w:rsidRPr="008E6AD9" w:rsidRDefault="0031491B" w:rsidP="0031491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 Señor Alarcón Niño</w:t>
      </w:r>
      <w:r w:rsidRPr="008E6AD9">
        <w:rPr>
          <w:rFonts w:ascii="Verdana" w:eastAsia="Calibri" w:hAnsi="Verdana" w:cs="Arial"/>
          <w:lang w:val="es-ES" w:eastAsia="es-ES"/>
        </w:rPr>
        <w:t xml:space="preserve">: </w:t>
      </w:r>
    </w:p>
    <w:p w14:paraId="0BCE22F0" w14:textId="77777777" w:rsidR="0031491B" w:rsidRDefault="0031491B" w:rsidP="0031491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E1F002A" w14:textId="77777777" w:rsidR="0031491B" w:rsidRPr="00593A5F" w:rsidRDefault="0031491B" w:rsidP="0031491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lastRenderedPageBreak/>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FF469C">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del 4 de agosto de 2026 que fue remitida por competencia</w:t>
      </w:r>
      <w:r>
        <w:rPr>
          <w:rFonts w:ascii="Verdana" w:eastAsia="Calibri" w:hAnsi="Verdana" w:cs="Arial"/>
          <w:lang w:val="es-ES" w:eastAsia="es-ES"/>
        </w:rPr>
        <w:t>, en la cual solicita:</w:t>
      </w:r>
      <w:r w:rsidRPr="008E6AD9">
        <w:rPr>
          <w:rFonts w:ascii="Verdana" w:eastAsia="Calibri" w:hAnsi="Verdana" w:cs="Arial"/>
          <w:lang w:val="es-ES" w:eastAsia="es-ES"/>
        </w:rPr>
        <w:t xml:space="preserve"> </w:t>
      </w:r>
    </w:p>
    <w:p w14:paraId="06564731" w14:textId="77777777" w:rsidR="0031491B" w:rsidRPr="00272A7B" w:rsidRDefault="0031491B" w:rsidP="0031491B">
      <w:pPr>
        <w:pStyle w:val="Prrafodelista"/>
        <w:tabs>
          <w:tab w:val="left" w:pos="142"/>
          <w:tab w:val="left" w:pos="284"/>
        </w:tabs>
        <w:spacing w:after="0" w:line="276" w:lineRule="auto"/>
        <w:ind w:left="0"/>
        <w:jc w:val="both"/>
        <w:rPr>
          <w:rFonts w:ascii="Verdana" w:eastAsia="Century Gothic" w:hAnsi="Verdana" w:cs="Century Gothic"/>
          <w:b/>
          <w:bCs/>
        </w:rPr>
      </w:pPr>
    </w:p>
    <w:p w14:paraId="36F5E710" w14:textId="77777777" w:rsidR="0031491B" w:rsidRPr="00082F5C" w:rsidRDefault="0031491B" w:rsidP="0031491B">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lang w:val="es-ES"/>
        </w:rPr>
        <w:t>“</w:t>
      </w:r>
      <w:r w:rsidRPr="00082F5C">
        <w:rPr>
          <w:rFonts w:ascii="Verdana" w:eastAsia="Century Gothic" w:hAnsi="Verdana" w:cs="Century Gothic"/>
          <w:sz w:val="20"/>
          <w:szCs w:val="20"/>
        </w:rPr>
        <w:t>1. Informar si la Contraloría General de la República ha expedido conceptos, circulares,</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estudios, informes, directrices, orientaciones o pronunciamientos relacionados con la</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aplicación de la causal de contratación directa asociada a la seguridad nacional por parte</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de entidades territoriales.</w:t>
      </w:r>
    </w:p>
    <w:p w14:paraId="12AE1680" w14:textId="77777777" w:rsidR="0031491B" w:rsidRPr="00082F5C" w:rsidRDefault="0031491B" w:rsidP="0031491B">
      <w:pPr>
        <w:spacing w:after="0" w:line="240" w:lineRule="auto"/>
        <w:ind w:left="709" w:right="709"/>
        <w:jc w:val="both"/>
        <w:rPr>
          <w:rFonts w:ascii="Verdana" w:eastAsia="Century Gothic" w:hAnsi="Verdana" w:cs="Century Gothic"/>
          <w:sz w:val="20"/>
          <w:szCs w:val="20"/>
        </w:rPr>
      </w:pPr>
      <w:r w:rsidRPr="00082F5C">
        <w:rPr>
          <w:rFonts w:ascii="Verdana" w:eastAsia="Century Gothic" w:hAnsi="Verdana" w:cs="Century Gothic"/>
          <w:sz w:val="20"/>
          <w:szCs w:val="20"/>
        </w:rPr>
        <w:t>2. Informar si existen pronunciamientos acerca de la posibilidad de que alcaldías, municipios,</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distritos u otras entidades territoriales acudan a la contratación directa para adquirir bienes</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o servicios destinados a la seguridad ciudadana, la convivencia, la vigilancia, la</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videovigilancia, las comunicaciones, la infraestructura tecnológica o la protección del orden</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público.</w:t>
      </w:r>
    </w:p>
    <w:p w14:paraId="3BA1DD21" w14:textId="77777777" w:rsidR="0031491B" w:rsidRPr="00082F5C" w:rsidRDefault="0031491B" w:rsidP="0031491B">
      <w:pPr>
        <w:spacing w:after="0" w:line="240" w:lineRule="auto"/>
        <w:ind w:left="709" w:right="709"/>
        <w:jc w:val="both"/>
        <w:rPr>
          <w:rFonts w:ascii="Verdana" w:eastAsia="Century Gothic" w:hAnsi="Verdana" w:cs="Century Gothic"/>
          <w:sz w:val="20"/>
          <w:szCs w:val="20"/>
        </w:rPr>
      </w:pPr>
      <w:r w:rsidRPr="00082F5C">
        <w:rPr>
          <w:rFonts w:ascii="Verdana" w:eastAsia="Century Gothic" w:hAnsi="Verdana" w:cs="Century Gothic"/>
          <w:sz w:val="20"/>
          <w:szCs w:val="20"/>
        </w:rPr>
        <w:t>3. Remitir copia íntegra de los documentos identificados; en respuesta a los numerales</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anteriores, indicando, cuando corresponda, su fecha, número de radicación, dependencia</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 xml:space="preserve">emisora y estado de vigencia. </w:t>
      </w:r>
    </w:p>
    <w:p w14:paraId="4BAD1068" w14:textId="77777777" w:rsidR="0031491B" w:rsidRPr="00082F5C" w:rsidRDefault="0031491B" w:rsidP="0031491B">
      <w:pPr>
        <w:spacing w:after="0" w:line="240" w:lineRule="auto"/>
        <w:ind w:left="709" w:right="709"/>
        <w:jc w:val="both"/>
        <w:rPr>
          <w:rFonts w:ascii="Verdana" w:eastAsia="Century Gothic" w:hAnsi="Verdana" w:cs="Century Gothic"/>
          <w:sz w:val="20"/>
          <w:szCs w:val="20"/>
        </w:rPr>
      </w:pPr>
      <w:r w:rsidRPr="00082F5C">
        <w:rPr>
          <w:rFonts w:ascii="Verdana" w:eastAsia="Century Gothic" w:hAnsi="Verdana" w:cs="Century Gothic"/>
          <w:sz w:val="20"/>
          <w:szCs w:val="20"/>
        </w:rPr>
        <w:t>4. Precisar si, según la doctrina institucional de esa entidad, la destinación de un contrato a</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 xml:space="preserve">finalidades de seguridad ciudadana o convivencia es suficiente para acudir a </w:t>
      </w:r>
      <w:r>
        <w:rPr>
          <w:rFonts w:ascii="Verdana" w:eastAsia="Century Gothic" w:hAnsi="Verdana" w:cs="Century Gothic"/>
          <w:sz w:val="20"/>
          <w:szCs w:val="20"/>
        </w:rPr>
        <w:t>l</w:t>
      </w:r>
      <w:r w:rsidRPr="00082F5C">
        <w:rPr>
          <w:rFonts w:ascii="Verdana" w:eastAsia="Century Gothic" w:hAnsi="Verdana" w:cs="Century Gothic"/>
          <w:sz w:val="20"/>
          <w:szCs w:val="20"/>
        </w:rPr>
        <w:t>a contratación</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directa, o si deben acreditarse condiciones adicionales relacionadas con la naturaleza de la</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entidad contratante, el carácter reservado del objeto, la clase de bienes o servicios y la</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existencia de una causal legal expresa.</w:t>
      </w:r>
    </w:p>
    <w:p w14:paraId="495B4251" w14:textId="77777777" w:rsidR="0031491B" w:rsidRDefault="0031491B" w:rsidP="0031491B">
      <w:pPr>
        <w:spacing w:after="0" w:line="240" w:lineRule="auto"/>
        <w:ind w:left="709" w:right="709"/>
        <w:jc w:val="both"/>
        <w:rPr>
          <w:rFonts w:ascii="Verdana" w:eastAsia="Century Gothic" w:hAnsi="Verdana" w:cs="Century Gothic"/>
          <w:sz w:val="20"/>
          <w:szCs w:val="20"/>
          <w:lang w:val="es-ES"/>
        </w:rPr>
      </w:pPr>
      <w:r w:rsidRPr="00082F5C">
        <w:rPr>
          <w:rFonts w:ascii="Verdana" w:eastAsia="Century Gothic" w:hAnsi="Verdana" w:cs="Century Gothic"/>
          <w:sz w:val="20"/>
          <w:szCs w:val="20"/>
        </w:rPr>
        <w:t>5. Informar si esa entidad ha establecido criterios para diferenciar la contratación directa por</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causal legal, la selección abreviada para bienes y servicios destinados a la defensa y</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seguridad nacional, la contratación de bienes y servicios que requieran reserva y la</w:t>
      </w:r>
      <w:r>
        <w:rPr>
          <w:rFonts w:ascii="Verdana" w:eastAsia="Century Gothic" w:hAnsi="Verdana" w:cs="Century Gothic"/>
          <w:sz w:val="20"/>
          <w:szCs w:val="20"/>
        </w:rPr>
        <w:t xml:space="preserve"> </w:t>
      </w:r>
      <w:r w:rsidRPr="00082F5C">
        <w:rPr>
          <w:rFonts w:ascii="Verdana" w:eastAsia="Century Gothic" w:hAnsi="Verdana" w:cs="Century Gothic"/>
          <w:sz w:val="20"/>
          <w:szCs w:val="20"/>
        </w:rPr>
        <w:t>contratación ordinaria de elementos destinados a la seguridad ciudadana.</w:t>
      </w:r>
      <w:r>
        <w:rPr>
          <w:rFonts w:ascii="Verdana" w:eastAsia="Century Gothic" w:hAnsi="Verdana" w:cs="Century Gothic"/>
          <w:sz w:val="20"/>
          <w:szCs w:val="20"/>
          <w:lang w:val="es-ES"/>
        </w:rPr>
        <w:t xml:space="preserve"> </w:t>
      </w:r>
    </w:p>
    <w:p w14:paraId="4D0C03C7" w14:textId="77777777" w:rsidR="0031491B" w:rsidRPr="005E4484" w:rsidRDefault="0031491B" w:rsidP="0031491B">
      <w:pPr>
        <w:spacing w:after="0" w:line="240" w:lineRule="auto"/>
        <w:ind w:left="709" w:right="709"/>
        <w:jc w:val="both"/>
        <w:rPr>
          <w:rFonts w:ascii="Verdana" w:eastAsia="Century Gothic" w:hAnsi="Verdana" w:cs="Century Gothic"/>
          <w:sz w:val="20"/>
          <w:szCs w:val="20"/>
        </w:rPr>
      </w:pPr>
      <w:r w:rsidRPr="005E4484">
        <w:rPr>
          <w:rFonts w:ascii="Verdana" w:eastAsia="Century Gothic" w:hAnsi="Verdana" w:cs="Century Gothic"/>
          <w:sz w:val="20"/>
          <w:szCs w:val="20"/>
        </w:rPr>
        <w:t>6. Informar si existen auditorías, hallazgos, actuaciones de control fiscal o documentos</w:t>
      </w:r>
      <w:r>
        <w:rPr>
          <w:rFonts w:ascii="Verdana" w:eastAsia="Century Gothic" w:hAnsi="Verdana" w:cs="Century Gothic"/>
          <w:sz w:val="20"/>
          <w:szCs w:val="20"/>
        </w:rPr>
        <w:t xml:space="preserve"> </w:t>
      </w:r>
      <w:r w:rsidRPr="005E4484">
        <w:rPr>
          <w:rFonts w:ascii="Verdana" w:eastAsia="Century Gothic" w:hAnsi="Verdana" w:cs="Century Gothic"/>
          <w:sz w:val="20"/>
          <w:szCs w:val="20"/>
        </w:rPr>
        <w:t>públicos en los que se haya analizado la utilización improcedente de la contratación directa</w:t>
      </w:r>
      <w:r>
        <w:rPr>
          <w:rFonts w:ascii="Verdana" w:eastAsia="Century Gothic" w:hAnsi="Verdana" w:cs="Century Gothic"/>
          <w:sz w:val="20"/>
          <w:szCs w:val="20"/>
        </w:rPr>
        <w:t xml:space="preserve"> </w:t>
      </w:r>
      <w:r w:rsidRPr="005E4484">
        <w:rPr>
          <w:rFonts w:ascii="Verdana" w:eastAsia="Century Gothic" w:hAnsi="Verdana" w:cs="Century Gothic"/>
          <w:sz w:val="20"/>
          <w:szCs w:val="20"/>
        </w:rPr>
        <w:t>por parte de entidades territoriales con fundamento en razones de seguridad nacional,</w:t>
      </w:r>
      <w:r>
        <w:rPr>
          <w:rFonts w:ascii="Verdana" w:eastAsia="Century Gothic" w:hAnsi="Verdana" w:cs="Century Gothic"/>
          <w:sz w:val="20"/>
          <w:szCs w:val="20"/>
        </w:rPr>
        <w:t xml:space="preserve"> </w:t>
      </w:r>
      <w:r w:rsidRPr="005E4484">
        <w:rPr>
          <w:rFonts w:ascii="Verdana" w:eastAsia="Century Gothic" w:hAnsi="Verdana" w:cs="Century Gothic"/>
          <w:sz w:val="20"/>
          <w:szCs w:val="20"/>
        </w:rPr>
        <w:t>seguridad ciudadana, reserva u orden público.</w:t>
      </w:r>
    </w:p>
    <w:p w14:paraId="60F9C7C7" w14:textId="77777777" w:rsidR="0031491B" w:rsidRPr="005E4484" w:rsidRDefault="0031491B" w:rsidP="0031491B">
      <w:pPr>
        <w:spacing w:after="0" w:line="240" w:lineRule="auto"/>
        <w:ind w:left="709" w:right="709"/>
        <w:jc w:val="both"/>
        <w:rPr>
          <w:rFonts w:ascii="Verdana" w:eastAsia="Century Gothic" w:hAnsi="Verdana" w:cs="Century Gothic"/>
          <w:sz w:val="20"/>
          <w:szCs w:val="20"/>
        </w:rPr>
      </w:pPr>
      <w:r w:rsidRPr="005E4484">
        <w:rPr>
          <w:rFonts w:ascii="Verdana" w:eastAsia="Century Gothic" w:hAnsi="Verdana" w:cs="Century Gothic"/>
          <w:sz w:val="20"/>
          <w:szCs w:val="20"/>
        </w:rPr>
        <w:t>7. Señalar, de manera general, cuáles son los requisitos jurídicos, técnicos y probatorios que,</w:t>
      </w:r>
      <w:r>
        <w:rPr>
          <w:rFonts w:ascii="Verdana" w:eastAsia="Century Gothic" w:hAnsi="Verdana" w:cs="Century Gothic"/>
          <w:sz w:val="20"/>
          <w:szCs w:val="20"/>
        </w:rPr>
        <w:t xml:space="preserve"> </w:t>
      </w:r>
      <w:r w:rsidRPr="005E4484">
        <w:rPr>
          <w:rFonts w:ascii="Verdana" w:eastAsia="Century Gothic" w:hAnsi="Verdana" w:cs="Century Gothic"/>
          <w:sz w:val="20"/>
          <w:szCs w:val="20"/>
        </w:rPr>
        <w:t>conforme a los pronunciamientos de esa entidad, debe acreditar una alcaidía o entidad</w:t>
      </w:r>
      <w:r>
        <w:rPr>
          <w:rFonts w:ascii="Verdana" w:eastAsia="Century Gothic" w:hAnsi="Verdana" w:cs="Century Gothic"/>
          <w:sz w:val="20"/>
          <w:szCs w:val="20"/>
        </w:rPr>
        <w:t xml:space="preserve"> </w:t>
      </w:r>
      <w:r w:rsidRPr="005E4484">
        <w:rPr>
          <w:rFonts w:ascii="Verdana" w:eastAsia="Century Gothic" w:hAnsi="Verdana" w:cs="Century Gothic"/>
          <w:sz w:val="20"/>
          <w:szCs w:val="20"/>
        </w:rPr>
        <w:t>territorial para justificar la modalidad de selección aplicada a contratos relacionados con la</w:t>
      </w:r>
      <w:r>
        <w:rPr>
          <w:rFonts w:ascii="Verdana" w:eastAsia="Century Gothic" w:hAnsi="Verdana" w:cs="Century Gothic"/>
          <w:sz w:val="20"/>
          <w:szCs w:val="20"/>
        </w:rPr>
        <w:t xml:space="preserve"> </w:t>
      </w:r>
      <w:r w:rsidRPr="005E4484">
        <w:rPr>
          <w:rFonts w:ascii="Verdana" w:eastAsia="Century Gothic" w:hAnsi="Verdana" w:cs="Century Gothic"/>
          <w:sz w:val="20"/>
          <w:szCs w:val="20"/>
        </w:rPr>
        <w:t>seguridad</w:t>
      </w:r>
      <w:r>
        <w:rPr>
          <w:rFonts w:ascii="Verdana" w:eastAsia="Century Gothic" w:hAnsi="Verdana" w:cs="Century Gothic"/>
          <w:sz w:val="20"/>
          <w:szCs w:val="20"/>
        </w:rPr>
        <w:t>”</w:t>
      </w:r>
      <w:r w:rsidRPr="005E4484">
        <w:rPr>
          <w:rFonts w:ascii="Verdana" w:eastAsia="Century Gothic" w:hAnsi="Verdana" w:cs="Century Gothic"/>
          <w:sz w:val="20"/>
          <w:szCs w:val="20"/>
        </w:rPr>
        <w:t>.</w:t>
      </w:r>
    </w:p>
    <w:p w14:paraId="6971F901" w14:textId="77777777" w:rsidR="0031491B" w:rsidRPr="008E6AD9" w:rsidRDefault="0031491B" w:rsidP="0031491B">
      <w:pPr>
        <w:pStyle w:val="Prrafodelista"/>
        <w:tabs>
          <w:tab w:val="left" w:pos="142"/>
          <w:tab w:val="left" w:pos="284"/>
        </w:tabs>
        <w:spacing w:after="0" w:line="276" w:lineRule="auto"/>
        <w:ind w:left="0"/>
        <w:jc w:val="both"/>
        <w:rPr>
          <w:rFonts w:ascii="Verdana" w:eastAsia="Century Gothic" w:hAnsi="Verdana" w:cs="Century Gothic"/>
          <w:b/>
          <w:bCs/>
        </w:rPr>
      </w:pPr>
    </w:p>
    <w:p w14:paraId="546A81CA" w14:textId="77777777" w:rsidR="0031491B" w:rsidRPr="00A652FF" w:rsidRDefault="0031491B" w:rsidP="0031491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50207D7" w14:textId="77777777" w:rsidR="0031491B" w:rsidRDefault="0031491B" w:rsidP="0031491B">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los problemas jurídicos de su consulta. </w:t>
      </w:r>
    </w:p>
    <w:p w14:paraId="09F37456" w14:textId="77777777" w:rsidR="0031491B" w:rsidRDefault="0031491B" w:rsidP="0031491B">
      <w:pPr>
        <w:shd w:val="clear" w:color="auto" w:fill="FFFFFF"/>
        <w:spacing w:after="0" w:line="276" w:lineRule="auto"/>
        <w:ind w:firstLine="709"/>
        <w:jc w:val="both"/>
        <w:rPr>
          <w:rFonts w:ascii="Verdana" w:eastAsia="Times New Roman" w:hAnsi="Verdana" w:cs="Arial"/>
          <w:lang w:eastAsia="es-MX"/>
        </w:rPr>
      </w:pPr>
      <w:r w:rsidRPr="00FB1704">
        <w:rPr>
          <w:rFonts w:ascii="Verdana" w:eastAsia="Times New Roman" w:hAnsi="Verdana" w:cs="Arial"/>
          <w:lang w:eastAsia="es-MX"/>
        </w:rPr>
        <w:t>Bajo esa perspectiva, se advierte que la presente consulta fue remitida a esta Agencia por competencia y que varias de las preguntas formuladas —en particular, las relativas a la existencia de conceptos, circulares, estudios, informes, directrices, auditorías, hallazgos o actuaciones de control fiscal— indagan por pronunciamientos y actuaciones propias de la Contraloría General de la República, entidad a la que inicialmente se dirigió la solicitud. Como la información sobre los pronunciamientos, el ejercicio del control fiscal y los hallazgos de esa entidad escapa a las funciones consultivas de Colombia Compra Eficiente, tales requerimientos deben ser resueltos directamente por la Contraloría General de la República. En consecuencia, esta respuesta se contrae a interpretar, en abstracto, las normas generales de compra pública que gobiernan las modalidades de selección aplicables a la adquisición de bienes y servicios vinculados con la defensa y la seguridad, sin que ello suponga pronunciamiento alguno sobre casos concretos ni sobre la actividad de otras entidades del Estado.</w:t>
      </w:r>
    </w:p>
    <w:p w14:paraId="5BC2C7AE" w14:textId="77777777" w:rsidR="0031491B" w:rsidRPr="00593A5F" w:rsidRDefault="0031491B" w:rsidP="0031491B">
      <w:pPr>
        <w:spacing w:after="0" w:line="276" w:lineRule="auto"/>
        <w:ind w:firstLine="709"/>
        <w:jc w:val="both"/>
        <w:rPr>
          <w:rFonts w:ascii="Verdana" w:eastAsia="Calibri" w:hAnsi="Verdana" w:cs="Arial"/>
          <w:color w:val="000000"/>
          <w:lang w:val="es-ES" w:eastAsia="es-ES"/>
        </w:rPr>
      </w:pPr>
    </w:p>
    <w:p w14:paraId="5A734024" w14:textId="77777777" w:rsidR="0031491B" w:rsidRPr="00593A5F" w:rsidRDefault="0031491B" w:rsidP="0031491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2708E6E" w14:textId="77777777" w:rsidR="0031491B" w:rsidRPr="00593A5F" w:rsidRDefault="0031491B" w:rsidP="0031491B">
      <w:pPr>
        <w:tabs>
          <w:tab w:val="left" w:pos="426"/>
        </w:tabs>
        <w:spacing w:after="0" w:line="276" w:lineRule="auto"/>
        <w:jc w:val="both"/>
        <w:rPr>
          <w:rFonts w:ascii="Verdana" w:eastAsia="Century Gothic" w:hAnsi="Verdana" w:cs="Century Gothic"/>
          <w:lang w:val="es-ES"/>
        </w:rPr>
      </w:pPr>
    </w:p>
    <w:p w14:paraId="0314D447" w14:textId="77777777" w:rsidR="0031491B" w:rsidRPr="00593A5F" w:rsidRDefault="0031491B" w:rsidP="0031491B">
      <w:pPr>
        <w:spacing w:after="0" w:line="276" w:lineRule="auto"/>
        <w:jc w:val="both"/>
        <w:rPr>
          <w:rFonts w:ascii="Verdana" w:eastAsia="Century Gothic" w:hAnsi="Verdana" w:cs="Century Gothic"/>
        </w:rPr>
      </w:pPr>
      <w:r w:rsidRPr="00EF1386">
        <w:rPr>
          <w:rFonts w:ascii="Verdana" w:eastAsia="Century Gothic" w:hAnsi="Verdana" w:cs="Century Gothic"/>
        </w:rPr>
        <w:lastRenderedPageBreak/>
        <w:t>De acuerdo con el contenido de su solicitud, esta Agencia resolverá</w:t>
      </w:r>
      <w:r>
        <w:rPr>
          <w:rFonts w:ascii="Verdana" w:eastAsia="Century Gothic" w:hAnsi="Verdana" w:cs="Century Gothic"/>
        </w:rPr>
        <w:t xml:space="preserve"> los siguientes problemas jurídicos</w:t>
      </w:r>
      <w:r w:rsidRPr="00EF1386">
        <w:rPr>
          <w:rFonts w:ascii="Verdana" w:eastAsia="Century Gothic" w:hAnsi="Verdana" w:cs="Century Gothic"/>
        </w:rPr>
        <w:t>:</w:t>
      </w:r>
      <w:r>
        <w:rPr>
          <w:rFonts w:ascii="Verdana" w:eastAsia="Century Gothic" w:hAnsi="Verdana" w:cs="Century Gothic"/>
        </w:rPr>
        <w:t xml:space="preserve"> i) </w:t>
      </w:r>
      <w:r w:rsidRPr="00656DAE">
        <w:rPr>
          <w:rFonts w:ascii="Verdana" w:eastAsia="Century Gothic" w:hAnsi="Verdana" w:cs="Century Gothic"/>
        </w:rPr>
        <w:t xml:space="preserve">¿Resulta procedente que las entidades territoriales acudan a la contratación directa, invocando </w:t>
      </w:r>
      <w:r>
        <w:rPr>
          <w:rFonts w:ascii="Verdana" w:eastAsia="Century Gothic" w:hAnsi="Verdana" w:cs="Century Gothic"/>
        </w:rPr>
        <w:t xml:space="preserve">las causales previstas </w:t>
      </w:r>
      <w:r w:rsidRPr="00656DAE">
        <w:rPr>
          <w:rFonts w:ascii="Verdana" w:eastAsia="Century Gothic" w:hAnsi="Verdana" w:cs="Century Gothic"/>
        </w:rPr>
        <w:t>relativa a la defensa y seguridad del Estado, y cuáles son los límites normativos y jurisprudenciales que condicionan su aplicación en el ámbito territorial?</w:t>
      </w:r>
      <w:r>
        <w:rPr>
          <w:rFonts w:ascii="Verdana" w:eastAsia="Century Gothic" w:hAnsi="Verdana" w:cs="Century Gothic"/>
        </w:rPr>
        <w:t xml:space="preserve">; ii) </w:t>
      </w:r>
      <w:r w:rsidRPr="00404CEC">
        <w:rPr>
          <w:rFonts w:ascii="Verdana" w:eastAsia="Century Gothic" w:hAnsi="Verdana" w:cs="Century Gothic"/>
        </w:rPr>
        <w:t>¿</w:t>
      </w:r>
      <w:r>
        <w:rPr>
          <w:rFonts w:ascii="Verdana" w:eastAsia="Century Gothic" w:hAnsi="Verdana" w:cs="Century Gothic"/>
        </w:rPr>
        <w:t>Existen</w:t>
      </w:r>
      <w:r w:rsidRPr="00404CEC">
        <w:rPr>
          <w:rFonts w:ascii="Verdana" w:eastAsia="Century Gothic" w:hAnsi="Verdana" w:cs="Century Gothic"/>
        </w:rPr>
        <w:t xml:space="preserve"> criterios que permitan diferenciar entre la contratación directa por </w:t>
      </w:r>
      <w:r>
        <w:rPr>
          <w:rFonts w:ascii="Verdana" w:eastAsia="Century Gothic" w:hAnsi="Verdana" w:cs="Century Gothic"/>
        </w:rPr>
        <w:t>la causal de defensa y seguridad del Estado</w:t>
      </w:r>
      <w:r w:rsidRPr="00404CEC">
        <w:rPr>
          <w:rFonts w:ascii="Verdana" w:eastAsia="Century Gothic" w:hAnsi="Verdana" w:cs="Century Gothic"/>
        </w:rPr>
        <w:t>, la selección abreviada para bienes y servicios destinados a la defensa y seguridad nacional, y la contratación de elementos vinculados a la seguridad ciudadana?</w:t>
      </w:r>
    </w:p>
    <w:p w14:paraId="512051C1" w14:textId="77777777" w:rsidR="0031491B" w:rsidRPr="004B140F" w:rsidRDefault="0031491B" w:rsidP="0031491B">
      <w:pPr>
        <w:spacing w:after="0" w:line="276" w:lineRule="auto"/>
        <w:jc w:val="both"/>
        <w:rPr>
          <w:rFonts w:ascii="Verdana" w:eastAsia="Calibri" w:hAnsi="Verdana" w:cs="Arial"/>
          <w:color w:val="7030A0"/>
        </w:rPr>
      </w:pPr>
    </w:p>
    <w:p w14:paraId="5FED282A" w14:textId="77777777" w:rsidR="0031491B" w:rsidRPr="00593A5F" w:rsidRDefault="0031491B" w:rsidP="003149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82AB5F1" w14:textId="77777777" w:rsidR="0031491B" w:rsidRPr="00593A5F" w:rsidRDefault="0031491B" w:rsidP="0031491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491B" w:rsidRPr="00593A5F" w14:paraId="5B76884A" w14:textId="77777777" w:rsidTr="00743F26">
        <w:trPr>
          <w:jc w:val="center"/>
        </w:trPr>
        <w:tc>
          <w:tcPr>
            <w:tcW w:w="8828" w:type="dxa"/>
          </w:tcPr>
          <w:p w14:paraId="09929A7F" w14:textId="77777777" w:rsidR="0031491B" w:rsidRDefault="0031491B" w:rsidP="00743F26">
            <w:pPr>
              <w:spacing w:line="276" w:lineRule="auto"/>
              <w:jc w:val="both"/>
              <w:rPr>
                <w:rFonts w:ascii="Verdana" w:eastAsia="Calibri" w:hAnsi="Verdana" w:cs="Arial"/>
                <w:lang w:val="es-MX"/>
              </w:rPr>
            </w:pPr>
            <w:bookmarkStart w:id="2" w:name="_Hlk171694685"/>
            <w:r w:rsidRPr="00C53E3E">
              <w:rPr>
                <w:rFonts w:ascii="Verdana" w:eastAsia="Calibri" w:hAnsi="Verdana" w:cs="Arial"/>
                <w:lang w:val="es-MX"/>
              </w:rPr>
              <w:t>Conforme a l</w:t>
            </w:r>
            <w:r>
              <w:rPr>
                <w:rFonts w:ascii="Verdana" w:eastAsia="Calibri" w:hAnsi="Verdana" w:cs="Arial"/>
                <w:lang w:val="es-MX"/>
              </w:rPr>
              <w:t>os problemas jurídicos de su consulta, se expresa lo siguiente:</w:t>
            </w:r>
          </w:p>
          <w:p w14:paraId="583DB99A" w14:textId="77777777" w:rsidR="0031491B" w:rsidRDefault="0031491B" w:rsidP="00743F26">
            <w:pPr>
              <w:spacing w:line="276" w:lineRule="auto"/>
              <w:jc w:val="both"/>
              <w:rPr>
                <w:rFonts w:ascii="Verdana" w:eastAsia="Calibri" w:hAnsi="Verdana" w:cs="Arial"/>
                <w:lang w:val="es-MX"/>
              </w:rPr>
            </w:pPr>
          </w:p>
          <w:p w14:paraId="53061D04" w14:textId="77777777" w:rsidR="0031491B" w:rsidRDefault="0031491B" w:rsidP="00743F26">
            <w:pPr>
              <w:shd w:val="clear" w:color="auto" w:fill="FFFFFF"/>
              <w:spacing w:after="120" w:line="276" w:lineRule="auto"/>
              <w:jc w:val="both"/>
              <w:rPr>
                <w:rFonts w:ascii="Verdana" w:eastAsia="Times New Roman" w:hAnsi="Verdana" w:cs="Arial"/>
                <w:lang w:eastAsia="es-MX"/>
              </w:rPr>
            </w:pPr>
            <w:r>
              <w:rPr>
                <w:rFonts w:ascii="Verdana" w:eastAsia="Calibri" w:hAnsi="Verdana" w:cs="Arial"/>
                <w:color w:val="000000"/>
              </w:rPr>
              <w:t>i. En relación con el primer problema jurídico de su consulta, se expresa que, c</w:t>
            </w:r>
            <w:r w:rsidRPr="005C1412">
              <w:rPr>
                <w:rFonts w:ascii="Verdana" w:eastAsia="Calibri" w:hAnsi="Verdana" w:cs="Arial"/>
                <w:color w:val="000000"/>
              </w:rPr>
              <w:t>on base en lo anterior, la contratación de bienes y servicios en el sector defensa que requieran reserva, enmarcados en el literal d) del artículo 2.4 de la Ley 1150 de 2007, no puede ser invocada por cualquier autoridad. Esta causal está reservada a las entidades del orden nacional qu</w:t>
            </w:r>
            <w:r>
              <w:rPr>
                <w:rFonts w:ascii="Verdana" w:eastAsia="Calibri" w:hAnsi="Verdana" w:cs="Arial"/>
                <w:color w:val="000000"/>
              </w:rPr>
              <w:t>e hagan parte del Sector Defensa</w:t>
            </w:r>
            <w:r w:rsidRPr="005C1412">
              <w:rPr>
                <w:rFonts w:ascii="Verdana" w:eastAsia="Calibri" w:hAnsi="Verdana" w:cs="Arial"/>
                <w:color w:val="000000"/>
              </w:rPr>
              <w:t xml:space="preserve">. Por tanto, las entidades territoriales carecen de facultad para acudir a esta excepción, dado que su ámbito de actuación se circunscribe a la seguridad ciudadana y al orden público local, sin que puedan extender sus competencias hacia la defensa nacional. </w:t>
            </w:r>
          </w:p>
          <w:p w14:paraId="2C93F4A7" w14:textId="77777777" w:rsidR="0031491B" w:rsidRDefault="0031491B" w:rsidP="00743F26">
            <w:pPr>
              <w:shd w:val="clear" w:color="auto" w:fill="FFFFFF"/>
              <w:spacing w:after="120" w:line="276" w:lineRule="auto"/>
              <w:ind w:firstLine="709"/>
              <w:jc w:val="both"/>
              <w:rPr>
                <w:rFonts w:ascii="Verdana" w:eastAsia="Times New Roman" w:hAnsi="Verdana" w:cs="Arial"/>
                <w:lang w:val="es-ES" w:eastAsia="es-MX"/>
              </w:rPr>
            </w:pPr>
            <w:r>
              <w:rPr>
                <w:rFonts w:ascii="Verdana" w:eastAsia="Times New Roman" w:hAnsi="Verdana" w:cs="Arial"/>
                <w:lang w:eastAsia="es-MX"/>
              </w:rPr>
              <w:t xml:space="preserve">En este sentido, no resulta procedente que </w:t>
            </w:r>
            <w:r w:rsidRPr="00F526C2">
              <w:rPr>
                <w:rFonts w:ascii="Verdana" w:eastAsia="Times New Roman" w:hAnsi="Verdana" w:cs="Arial"/>
                <w:lang w:eastAsia="es-MX"/>
              </w:rPr>
              <w:t xml:space="preserve">las entidades territoriales invoquen la causal de contratación directa prevista en el literal d) del artículo 2.4 de la Ley 1150 de 2007, </w:t>
            </w:r>
            <w:r w:rsidRPr="008F6576">
              <w:rPr>
                <w:rFonts w:ascii="Verdana" w:eastAsia="Times New Roman" w:hAnsi="Verdana" w:cs="Arial"/>
                <w:lang w:eastAsia="es-MX"/>
              </w:rPr>
              <w:t>por dos razones fundamentales. En primer lugar, dichas entidades no forman parte del sector Defensa, cuya competencia constitucional y legal está reservada a organismos del orden nacional encargados de la preservación de la soberanía y la integridad del Estado. En segundo lugar, la noción de defensa y seguridad nacional constituye un concepto jurídico indeterminado que no puede asimilarse a la seguridad ciudadana,</w:t>
            </w:r>
            <w:r>
              <w:rPr>
                <w:rFonts w:ascii="Verdana" w:eastAsia="Times New Roman" w:hAnsi="Verdana" w:cs="Arial"/>
                <w:lang w:eastAsia="es-MX"/>
              </w:rPr>
              <w:t xml:space="preserve"> como lo ha expresado el Consejo de Estado en la jurisprudencia citada en las razones de la respuesta, ya que</w:t>
            </w:r>
            <w:r w:rsidRPr="008F6576">
              <w:rPr>
                <w:rFonts w:ascii="Verdana" w:eastAsia="Times New Roman" w:hAnsi="Verdana" w:cs="Arial"/>
                <w:lang w:eastAsia="es-MX"/>
              </w:rPr>
              <w:t xml:space="preserve"> esta última se relaciona con la protección inmediata de las personas y sus bienes frente a fenómenos de delincuencia común y violencia social, mientras que la defensa nacional se vincula con la estabilidad institucional y la protección del territorio</w:t>
            </w:r>
            <w:r>
              <w:rPr>
                <w:rFonts w:ascii="Verdana" w:eastAsia="Times New Roman" w:hAnsi="Verdana" w:cs="Arial"/>
                <w:lang w:eastAsia="es-MX"/>
              </w:rPr>
              <w:t xml:space="preserve">, vinculado </w:t>
            </w:r>
            <w:r>
              <w:rPr>
                <w:rFonts w:ascii="Verdana" w:eastAsia="Times New Roman" w:hAnsi="Verdana" w:cs="Arial"/>
                <w:lang w:eastAsia="es-MX"/>
              </w:rPr>
              <w:lastRenderedPageBreak/>
              <w:t>en otros conceptos indeterminados, como el interés nacional y soberanía nacional</w:t>
            </w:r>
            <w:r w:rsidRPr="008F6576">
              <w:rPr>
                <w:rFonts w:ascii="Verdana" w:eastAsia="Times New Roman" w:hAnsi="Verdana" w:cs="Arial"/>
                <w:lang w:eastAsia="es-MX"/>
              </w:rPr>
              <w:t>.</w:t>
            </w:r>
            <w:r>
              <w:rPr>
                <w:rFonts w:ascii="Verdana" w:eastAsia="Times New Roman" w:hAnsi="Verdana" w:cs="Arial"/>
                <w:lang w:val="es-ES" w:eastAsia="es-MX"/>
              </w:rPr>
              <w:t xml:space="preserve"> </w:t>
            </w:r>
          </w:p>
          <w:p w14:paraId="431D681C" w14:textId="77777777" w:rsidR="0031491B" w:rsidRDefault="0031491B" w:rsidP="00743F26">
            <w:pPr>
              <w:shd w:val="clear" w:color="auto" w:fill="FFFFFF"/>
              <w:spacing w:line="276" w:lineRule="auto"/>
              <w:ind w:firstLine="709"/>
              <w:jc w:val="both"/>
              <w:rPr>
                <w:rFonts w:ascii="Verdana" w:eastAsia="Times New Roman" w:hAnsi="Verdana" w:cs="Arial"/>
                <w:lang w:eastAsia="es-MX"/>
              </w:rPr>
            </w:pPr>
            <w:r w:rsidRPr="009E3703">
              <w:rPr>
                <w:rFonts w:ascii="Verdana" w:eastAsia="Times New Roman" w:hAnsi="Verdana" w:cs="Arial"/>
                <w:lang w:eastAsia="es-MX"/>
              </w:rPr>
              <w:t xml:space="preserve">Esto no </w:t>
            </w:r>
            <w:r>
              <w:rPr>
                <w:rFonts w:ascii="Verdana" w:eastAsia="Times New Roman" w:hAnsi="Verdana" w:cs="Arial"/>
                <w:lang w:eastAsia="es-MX"/>
              </w:rPr>
              <w:t xml:space="preserve">implica </w:t>
            </w:r>
            <w:r w:rsidRPr="009E3703">
              <w:rPr>
                <w:rFonts w:ascii="Verdana" w:eastAsia="Times New Roman" w:hAnsi="Verdana" w:cs="Arial"/>
                <w:lang w:eastAsia="es-MX"/>
              </w:rPr>
              <w:t>que las entidades territoriales carezcan de competencia para adquirir bienes y servicios destinados al cumplimiento de sus funciones en materia de seguridad ciudadana y preservación del orden público. Por el contrario, dichas entidades conservan la facultad de adelantar procesos contractuales orientados a garantizar la convivencia, la vigilancia, la videovigilancia, las comunicaciones, la infraestructura tecnológica y, en general, todos aquellos elementos necesarios para la protección de la comunidad en su ámbito territorial.</w:t>
            </w:r>
            <w:r>
              <w:rPr>
                <w:rFonts w:ascii="Verdana" w:eastAsia="Times New Roman" w:hAnsi="Verdana" w:cs="Arial"/>
                <w:lang w:eastAsia="es-MX"/>
              </w:rPr>
              <w:t xml:space="preserve"> En efecto, </w:t>
            </w:r>
            <w:r w:rsidRPr="009E3703">
              <w:rPr>
                <w:rFonts w:ascii="Verdana" w:eastAsia="Times New Roman" w:hAnsi="Verdana" w:cs="Arial"/>
                <w:lang w:eastAsia="es-MX"/>
              </w:rPr>
              <w:t>las entidades territoriales deben ajustarse estrictamente a las causales y modalidades de selección previstas en el Sistema de Compras Públicas</w:t>
            </w:r>
            <w:r>
              <w:rPr>
                <w:rFonts w:ascii="Verdana" w:eastAsia="Times New Roman" w:hAnsi="Verdana" w:cs="Arial"/>
                <w:lang w:eastAsia="es-MX"/>
              </w:rPr>
              <w:t xml:space="preserve"> (Respuestas a las preguntas 1 a 4). </w:t>
            </w:r>
          </w:p>
          <w:p w14:paraId="5A2FD1E9" w14:textId="77777777" w:rsidR="0031491B" w:rsidRDefault="0031491B" w:rsidP="00743F26">
            <w:pPr>
              <w:shd w:val="clear" w:color="auto" w:fill="FFFFFF"/>
              <w:spacing w:line="276" w:lineRule="auto"/>
              <w:ind w:firstLine="709"/>
              <w:jc w:val="both"/>
              <w:rPr>
                <w:rFonts w:ascii="Verdana" w:eastAsia="Times New Roman" w:hAnsi="Verdana" w:cs="Arial"/>
                <w:lang w:eastAsia="es-MX"/>
              </w:rPr>
            </w:pPr>
          </w:p>
          <w:p w14:paraId="7794CC61" w14:textId="77777777" w:rsidR="0031491B" w:rsidRPr="00831D69" w:rsidRDefault="0031491B" w:rsidP="00743F26">
            <w:pPr>
              <w:shd w:val="clear" w:color="auto" w:fill="FFFFFF"/>
              <w:spacing w:after="120" w:line="276" w:lineRule="auto"/>
              <w:jc w:val="both"/>
              <w:rPr>
                <w:rFonts w:ascii="Verdana" w:hAnsi="Verdana" w:cs="Arial"/>
                <w:lang w:eastAsia="es-MX"/>
              </w:rPr>
            </w:pPr>
            <w:r w:rsidRPr="0062667E">
              <w:rPr>
                <w:rFonts w:ascii="Verdana" w:eastAsia="Times New Roman" w:hAnsi="Verdana" w:cs="Arial"/>
                <w:lang w:eastAsia="es-MX"/>
              </w:rPr>
              <w:t xml:space="preserve">ii. </w:t>
            </w:r>
            <w:r>
              <w:rPr>
                <w:rFonts w:ascii="Verdana" w:eastAsia="Times New Roman" w:hAnsi="Verdana" w:cs="Arial"/>
                <w:lang w:eastAsia="es-MX"/>
              </w:rPr>
              <w:t>En torno al segundo problema jurídico de su consulta, se precisa que l</w:t>
            </w:r>
            <w:r w:rsidRPr="0062667E">
              <w:rPr>
                <w:rFonts w:ascii="Verdana" w:hAnsi="Verdana" w:cs="Arial"/>
                <w:lang w:eastAsia="es-MX"/>
              </w:rPr>
              <w:t>a contratación de bienes y servicios vinculados a la defensa y seguridad nacional presenta un régimen especial dentro del Estatuto General de Contratación de la Administración Pública. En principio, la regla general es la selección abreviada, prevista en el literal i) del artículo 2.2 de la Ley 1150 de 2007, que permite adelantar procesos competitivos con trámites simplificados y plazos reducidos, garantizando agilidad en la adquisición de elementos estratégicos para el Estado.</w:t>
            </w:r>
            <w:r>
              <w:rPr>
                <w:rFonts w:ascii="Verdana" w:hAnsi="Verdana" w:cs="Arial"/>
                <w:lang w:eastAsia="es-MX"/>
              </w:rPr>
              <w:t xml:space="preserve"> </w:t>
            </w:r>
            <w:r w:rsidRPr="0062667E">
              <w:rPr>
                <w:rFonts w:ascii="Verdana" w:eastAsia="Times New Roman" w:hAnsi="Verdana" w:cs="Arial"/>
                <w:lang w:eastAsia="es-MX"/>
              </w:rPr>
              <w:t xml:space="preserve">No obstante, </w:t>
            </w:r>
            <w:r>
              <w:rPr>
                <w:rFonts w:ascii="Verdana" w:eastAsia="Times New Roman" w:hAnsi="Verdana" w:cs="Arial"/>
                <w:lang w:eastAsia="es-MX"/>
              </w:rPr>
              <w:t xml:space="preserve">se </w:t>
            </w:r>
            <w:r w:rsidRPr="0062667E">
              <w:rPr>
                <w:rFonts w:ascii="Verdana" w:eastAsia="Times New Roman" w:hAnsi="Verdana" w:cs="Arial"/>
                <w:lang w:eastAsia="es-MX"/>
              </w:rPr>
              <w:t>reconoc</w:t>
            </w:r>
            <w:r>
              <w:rPr>
                <w:rFonts w:ascii="Verdana" w:eastAsia="Times New Roman" w:hAnsi="Verdana" w:cs="Arial"/>
                <w:lang w:eastAsia="es-MX"/>
              </w:rPr>
              <w:t>e</w:t>
            </w:r>
            <w:r w:rsidRPr="0062667E">
              <w:rPr>
                <w:rFonts w:ascii="Verdana" w:eastAsia="Times New Roman" w:hAnsi="Verdana" w:cs="Arial"/>
                <w:lang w:eastAsia="es-MX"/>
              </w:rPr>
              <w:t xml:space="preserve"> que ciertos bienes y servicios requieren un nivel de reserva y confidencialidad que hace incompatible su adquisición mediante procedimientos abiertos. Por ello, se estableció la posibilidad de acudir a la contratación directa, regulada en el artículo 2.4 de la Ley 1150 de 2007, en dos causales específicas: la contratación de bienes y servicios en el sector Defensa que requieran reserva (literal d), y la contratación de bienes y servicios de la Dirección Nacional de Inteligencia (literal j), adicionada por el artículo 125 de la Ley 1753 de 2015.</w:t>
            </w:r>
          </w:p>
          <w:p w14:paraId="2271A54B" w14:textId="77777777" w:rsidR="0031491B" w:rsidRPr="0062667E" w:rsidRDefault="0031491B" w:rsidP="00743F26">
            <w:pPr>
              <w:shd w:val="clear" w:color="auto" w:fill="FFFFFF"/>
              <w:spacing w:after="120" w:line="276" w:lineRule="auto"/>
              <w:ind w:firstLine="709"/>
              <w:jc w:val="both"/>
              <w:rPr>
                <w:rFonts w:ascii="Verdana" w:eastAsia="Times New Roman" w:hAnsi="Verdana" w:cs="Arial"/>
                <w:lang w:eastAsia="es-MX"/>
              </w:rPr>
            </w:pPr>
            <w:r w:rsidRPr="0062667E">
              <w:rPr>
                <w:rFonts w:ascii="Verdana" w:eastAsia="Times New Roman" w:hAnsi="Verdana" w:cs="Arial"/>
                <w:lang w:eastAsia="es-MX"/>
              </w:rPr>
              <w:t xml:space="preserve">El criterio orgánico de la contratación directa es más restringido que el de la selección abreviada. Mientras esta última puede </w:t>
            </w:r>
            <w:r>
              <w:rPr>
                <w:rFonts w:ascii="Verdana" w:eastAsia="Times New Roman" w:hAnsi="Verdana" w:cs="Arial"/>
                <w:lang w:eastAsia="es-MX"/>
              </w:rPr>
              <w:t>utilizarse</w:t>
            </w:r>
            <w:r w:rsidRPr="0062667E">
              <w:rPr>
                <w:rFonts w:ascii="Verdana" w:eastAsia="Times New Roman" w:hAnsi="Verdana" w:cs="Arial"/>
                <w:lang w:eastAsia="es-MX"/>
              </w:rPr>
              <w:t xml:space="preserve"> por entidades del orden nacional que, conforme a sus funciones, requieran bienes y servicios para la defensa y seguridad nacional, la contratación directa se reserva exclusivamente a las entidades que integran el sector Defensa y a la </w:t>
            </w:r>
            <w:r>
              <w:rPr>
                <w:rFonts w:ascii="Verdana" w:eastAsia="Times New Roman" w:hAnsi="Verdana" w:cs="Arial"/>
                <w:lang w:eastAsia="es-MX"/>
              </w:rPr>
              <w:t>Dirección Nacional de Inteligencia</w:t>
            </w:r>
            <w:r w:rsidRPr="0062667E">
              <w:rPr>
                <w:rFonts w:ascii="Verdana" w:eastAsia="Times New Roman" w:hAnsi="Verdana" w:cs="Arial"/>
                <w:lang w:eastAsia="es-MX"/>
              </w:rPr>
              <w:t xml:space="preserve">. Esta delimitación asegura que la excepción al principio de concurrencia se aplique únicamente en escenarios donde la </w:t>
            </w:r>
            <w:r w:rsidRPr="0062667E">
              <w:rPr>
                <w:rFonts w:ascii="Verdana" w:eastAsia="Times New Roman" w:hAnsi="Verdana" w:cs="Arial"/>
                <w:lang w:eastAsia="es-MX"/>
              </w:rPr>
              <w:lastRenderedPageBreak/>
              <w:t>reserva resulta indispensable para proteger la soberanía y la integridad del Estado.</w:t>
            </w:r>
          </w:p>
          <w:p w14:paraId="7CDEF20E" w14:textId="77777777" w:rsidR="0031491B" w:rsidRDefault="0031491B" w:rsidP="00743F26">
            <w:pPr>
              <w:shd w:val="clear" w:color="auto" w:fill="FFFFFF"/>
              <w:spacing w:after="120" w:line="276" w:lineRule="auto"/>
              <w:ind w:firstLine="709"/>
              <w:jc w:val="both"/>
              <w:rPr>
                <w:rFonts w:ascii="Verdana" w:eastAsia="Times New Roman" w:hAnsi="Verdana" w:cs="Arial"/>
                <w:lang w:eastAsia="es-MX"/>
              </w:rPr>
            </w:pPr>
            <w:r w:rsidRPr="0062667E">
              <w:rPr>
                <w:rFonts w:ascii="Verdana" w:eastAsia="Times New Roman" w:hAnsi="Verdana" w:cs="Arial"/>
                <w:lang w:eastAsia="es-MX"/>
              </w:rPr>
              <w:t>Por su parte, las entidades territoriales no pueden invocar estas causales de contratación directa, pues su ámbito de actuación se limita a la seguridad ciudadana y al orden público local. Ello no significa que carezcan de competencia para adquirir bienes y servicios relacionados con la convivencia, la vigilancia, la videovigilancia, las comunicaciones o la infraestructura tecnológica; simplemente deben hacerlo conforme a las modalidades ordinarias del Sistema de Compras Públicas</w:t>
            </w:r>
            <w:r>
              <w:rPr>
                <w:rFonts w:ascii="Verdana" w:eastAsia="Times New Roman" w:hAnsi="Verdana" w:cs="Arial"/>
                <w:lang w:eastAsia="es-MX"/>
              </w:rPr>
              <w:t xml:space="preserve">. En efecto, la </w:t>
            </w:r>
            <w:r w:rsidRPr="003E0971">
              <w:rPr>
                <w:rFonts w:ascii="Verdana" w:eastAsia="Times New Roman" w:hAnsi="Verdana" w:cs="Arial"/>
                <w:lang w:eastAsia="es-MX"/>
              </w:rPr>
              <w:t>entidad</w:t>
            </w:r>
            <w:r>
              <w:rPr>
                <w:rFonts w:ascii="Verdana" w:eastAsia="Times New Roman" w:hAnsi="Verdana" w:cs="Arial"/>
                <w:lang w:eastAsia="es-MX"/>
              </w:rPr>
              <w:t xml:space="preserve"> sometida al EGCAP</w:t>
            </w:r>
            <w:r w:rsidRPr="003E0971">
              <w:rPr>
                <w:rFonts w:ascii="Verdana" w:eastAsia="Times New Roman" w:hAnsi="Verdana" w:cs="Arial"/>
                <w:lang w:eastAsia="es-MX"/>
              </w:rPr>
              <w:t xml:space="preserve"> debe tener en cuenta el artículo 2 de la Ley 1150 de 2007, el cual establece que </w:t>
            </w:r>
            <w:r w:rsidRPr="003E0971">
              <w:rPr>
                <w:rFonts w:ascii="Verdana" w:eastAsia="Times New Roman" w:hAnsi="Verdana" w:cs="Arial"/>
                <w:i/>
                <w:iCs/>
                <w:lang w:eastAsia="es-MX"/>
              </w:rPr>
              <w:t>la escogencia del contratista se efectuará con arreglo a las modalidades de selección de licitación pública, selección abreviada, concurso de méritos y contratación directa […]La escogencia del contratista se efectuará por regla general a través de licitación pública, con las excepciones que se señalan en los numerales 2, 3 y 4 del citado artículo.</w:t>
            </w:r>
            <w:r>
              <w:rPr>
                <w:rFonts w:ascii="Verdana" w:eastAsia="Times New Roman" w:hAnsi="Verdana" w:cs="Arial"/>
                <w:i/>
                <w:iCs/>
                <w:lang w:eastAsia="es-MX"/>
              </w:rPr>
              <w:t xml:space="preserve"> </w:t>
            </w:r>
            <w:r w:rsidRPr="0062667E">
              <w:rPr>
                <w:rFonts w:ascii="Verdana" w:eastAsia="Times New Roman" w:hAnsi="Verdana" w:cs="Arial"/>
                <w:lang w:eastAsia="es-MX"/>
              </w:rPr>
              <w:t>De esta manera, se diferencian claramente tres escenarios: la contratación directa por reserva en defensa nacional, la selección abreviada para bienes estratégicos de</w:t>
            </w:r>
            <w:r>
              <w:rPr>
                <w:rFonts w:ascii="Verdana" w:eastAsia="Times New Roman" w:hAnsi="Verdana" w:cs="Arial"/>
                <w:lang w:eastAsia="es-MX"/>
              </w:rPr>
              <w:t xml:space="preserve"> defensa y</w:t>
            </w:r>
            <w:r w:rsidRPr="0062667E">
              <w:rPr>
                <w:rFonts w:ascii="Verdana" w:eastAsia="Times New Roman" w:hAnsi="Verdana" w:cs="Arial"/>
                <w:lang w:eastAsia="es-MX"/>
              </w:rPr>
              <w:t xml:space="preserve"> seguridad nacional, y la contratación ordinaria para elementos vinculados a la seguridad ciudadana</w:t>
            </w:r>
            <w:r>
              <w:rPr>
                <w:rFonts w:ascii="Verdana" w:eastAsia="Times New Roman" w:hAnsi="Verdana" w:cs="Arial"/>
                <w:lang w:eastAsia="es-MX"/>
              </w:rPr>
              <w:t xml:space="preserve"> (Respuesta a preguntas 5 a 7). </w:t>
            </w:r>
          </w:p>
          <w:p w14:paraId="0FF8EBB0" w14:textId="77777777" w:rsidR="0031491B" w:rsidRPr="00031D68" w:rsidRDefault="0031491B" w:rsidP="00743F26">
            <w:pPr>
              <w:shd w:val="clear" w:color="auto" w:fill="FFFFFF"/>
              <w:spacing w:after="120" w:line="276" w:lineRule="auto"/>
              <w:ind w:firstLine="709"/>
              <w:jc w:val="both"/>
              <w:rPr>
                <w:rFonts w:ascii="Verdana" w:eastAsia="Times New Roman" w:hAnsi="Verdana" w:cs="Arial"/>
                <w:lang w:eastAsia="es-MX"/>
              </w:rPr>
            </w:pP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w:t>
            </w:r>
            <w:r>
              <w:rPr>
                <w:rFonts w:ascii="Verdana" w:eastAsia="Calibri" w:hAnsi="Verdana" w:cs="Arial"/>
                <w:bCs/>
                <w:color w:val="000000" w:themeColor="text1"/>
              </w:rPr>
              <w:t xml:space="preserve">de bienes y servicios de seguridad nacional </w:t>
            </w:r>
            <w:r w:rsidRPr="00F4158D">
              <w:rPr>
                <w:rFonts w:ascii="Verdana" w:eastAsia="Calibri" w:hAnsi="Verdana" w:cs="Arial"/>
                <w:bCs/>
                <w:color w:val="000000" w:themeColor="text1"/>
              </w:rPr>
              <w:t xml:space="preserve">de las entidades públicas debe </w:t>
            </w:r>
            <w:r>
              <w:rPr>
                <w:rFonts w:ascii="Verdana" w:eastAsia="Calibri" w:hAnsi="Verdana" w:cs="Arial"/>
                <w:bCs/>
                <w:color w:val="000000" w:themeColor="text1"/>
              </w:rPr>
              <w:t xml:space="preserve">realizarse </w:t>
            </w:r>
            <w:r w:rsidRPr="00F4158D">
              <w:rPr>
                <w:rFonts w:ascii="Verdana" w:eastAsia="Calibri" w:hAnsi="Verdana" w:cs="Arial"/>
                <w:bCs/>
                <w:color w:val="000000" w:themeColor="text1"/>
              </w:rPr>
              <w:t>por quienes tengan interés en ello, de acuerdo con lo explicado l</w:t>
            </w:r>
            <w:r>
              <w:rPr>
                <w:rFonts w:ascii="Verdana" w:eastAsia="Calibri" w:hAnsi="Verdana" w:cs="Arial"/>
                <w:bCs/>
                <w:color w:val="000000" w:themeColor="text1"/>
              </w:rPr>
              <w:t xml:space="preserve">en </w:t>
            </w:r>
            <w:r w:rsidRPr="00F4158D">
              <w:rPr>
                <w:rFonts w:ascii="Verdana" w:eastAsia="Calibri" w:hAnsi="Verdana" w:cs="Arial"/>
                <w:bCs/>
                <w:color w:val="000000" w:themeColor="text1"/>
              </w:rPr>
              <w:t>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6D57786A" w14:textId="77777777" w:rsidR="0031491B" w:rsidRPr="00593A5F" w:rsidRDefault="0031491B" w:rsidP="0031491B">
      <w:pPr>
        <w:tabs>
          <w:tab w:val="left" w:pos="142"/>
          <w:tab w:val="left" w:pos="284"/>
        </w:tabs>
        <w:spacing w:after="0" w:line="276" w:lineRule="auto"/>
        <w:jc w:val="both"/>
        <w:rPr>
          <w:rFonts w:ascii="Verdana" w:eastAsia="Century Gothic" w:hAnsi="Verdana" w:cs="Century Gothic"/>
          <w:b/>
          <w:bCs/>
          <w:lang w:val="es-ES"/>
        </w:rPr>
      </w:pPr>
    </w:p>
    <w:bookmarkEnd w:id="2"/>
    <w:p w14:paraId="4FB36C2C" w14:textId="77777777" w:rsidR="0031491B" w:rsidRPr="00593A5F" w:rsidRDefault="0031491B" w:rsidP="003149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149C2F4" w14:textId="77777777" w:rsidR="0031491B" w:rsidRPr="00593A5F" w:rsidRDefault="0031491B" w:rsidP="0031491B">
      <w:pPr>
        <w:spacing w:after="0" w:line="276" w:lineRule="auto"/>
        <w:jc w:val="both"/>
        <w:rPr>
          <w:rFonts w:ascii="Verdana" w:eastAsia="Calibri" w:hAnsi="Verdana" w:cs="Arial"/>
          <w:color w:val="7030A0"/>
          <w:lang w:val="es-ES"/>
        </w:rPr>
      </w:pPr>
    </w:p>
    <w:p w14:paraId="75C8E4DA" w14:textId="77777777" w:rsidR="0031491B" w:rsidRDefault="0031491B" w:rsidP="0031491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70073B6" w14:textId="77777777" w:rsidR="0031491B" w:rsidRDefault="0031491B" w:rsidP="0031491B">
      <w:pPr>
        <w:spacing w:after="0" w:line="276" w:lineRule="auto"/>
        <w:jc w:val="both"/>
        <w:rPr>
          <w:rFonts w:ascii="Verdana" w:eastAsia="Calibri" w:hAnsi="Verdana" w:cs="Arial"/>
          <w:lang w:val="es-ES"/>
        </w:rPr>
      </w:pPr>
    </w:p>
    <w:p w14:paraId="2763D1FA" w14:textId="77777777" w:rsidR="0031491B" w:rsidRDefault="0031491B" w:rsidP="0031491B">
      <w:pPr>
        <w:spacing w:line="276" w:lineRule="auto"/>
        <w:jc w:val="both"/>
        <w:rPr>
          <w:rFonts w:ascii="Verdana" w:eastAsia="Calibri" w:hAnsi="Verdana" w:cs="Arial"/>
          <w:bCs/>
          <w:color w:val="000000" w:themeColor="text1"/>
        </w:rPr>
      </w:pPr>
      <w:r>
        <w:rPr>
          <w:rFonts w:ascii="Verdana" w:eastAsia="Calibri" w:hAnsi="Verdana" w:cs="Arial"/>
          <w:bCs/>
          <w:color w:val="000000" w:themeColor="text1"/>
          <w:lang w:val="es-ES_tradnl"/>
        </w:rPr>
        <w:lastRenderedPageBreak/>
        <w:t xml:space="preserve">i. </w:t>
      </w:r>
      <w:r w:rsidRPr="007059A3">
        <w:rPr>
          <w:rFonts w:ascii="Verdana" w:eastAsia="Calibri" w:hAnsi="Verdana" w:cs="Arial"/>
          <w:bCs/>
          <w:color w:val="000000" w:themeColor="text1"/>
        </w:rPr>
        <w:t>La contratación vinculada con la defensa y la seguridad nacional constituye un ámbito particularmente sensible dentro del</w:t>
      </w:r>
      <w:r>
        <w:rPr>
          <w:rFonts w:ascii="Verdana" w:eastAsia="Calibri" w:hAnsi="Verdana" w:cs="Arial"/>
          <w:bCs/>
          <w:color w:val="000000" w:themeColor="text1"/>
        </w:rPr>
        <w:t xml:space="preserve"> sistema de compras públicas</w:t>
      </w:r>
      <w:r w:rsidRPr="007059A3">
        <w:rPr>
          <w:rFonts w:ascii="Verdana" w:eastAsia="Calibri" w:hAnsi="Verdana" w:cs="Arial"/>
          <w:bCs/>
          <w:color w:val="000000" w:themeColor="text1"/>
        </w:rPr>
        <w:t xml:space="preserve">, en la medida en que involucra bienes, servicios y obras estratégicas para la preservación de la soberanía, la integridad territorial y el orden constitucional. Su tratamiento jurídico suele generar debate, no solo por las condiciones excepcionales que justifican </w:t>
      </w:r>
      <w:r>
        <w:rPr>
          <w:rFonts w:ascii="Verdana" w:eastAsia="Calibri" w:hAnsi="Verdana" w:cs="Arial"/>
          <w:bCs/>
          <w:color w:val="000000" w:themeColor="text1"/>
        </w:rPr>
        <w:t xml:space="preserve">su </w:t>
      </w:r>
      <w:r w:rsidRPr="007059A3">
        <w:rPr>
          <w:rFonts w:ascii="Verdana" w:eastAsia="Calibri" w:hAnsi="Verdana" w:cs="Arial"/>
          <w:bCs/>
          <w:color w:val="000000" w:themeColor="text1"/>
        </w:rPr>
        <w:t xml:space="preserve">selección, sino también por las dificultades inherentes a la identificación de los objetos contractuales que, por su naturaleza, se consideran esenciales para la </w:t>
      </w:r>
      <w:r>
        <w:rPr>
          <w:rFonts w:ascii="Verdana" w:eastAsia="Calibri" w:hAnsi="Verdana" w:cs="Arial"/>
          <w:bCs/>
          <w:color w:val="000000" w:themeColor="text1"/>
        </w:rPr>
        <w:t xml:space="preserve">defensa y </w:t>
      </w:r>
      <w:r w:rsidRPr="007059A3">
        <w:rPr>
          <w:rFonts w:ascii="Verdana" w:eastAsia="Calibri" w:hAnsi="Verdana" w:cs="Arial"/>
          <w:bCs/>
          <w:color w:val="000000" w:themeColor="text1"/>
        </w:rPr>
        <w:t>seguridad del Estado</w:t>
      </w:r>
      <w:r>
        <w:rPr>
          <w:rFonts w:ascii="Verdana" w:eastAsia="Calibri" w:hAnsi="Verdana" w:cs="Arial"/>
          <w:bCs/>
          <w:color w:val="000000" w:themeColor="text1"/>
        </w:rPr>
        <w:t xml:space="preserve">. </w:t>
      </w:r>
    </w:p>
    <w:p w14:paraId="3B7B3AE3" w14:textId="77777777" w:rsidR="0031491B" w:rsidRDefault="0031491B" w:rsidP="0031491B">
      <w:pPr>
        <w:spacing w:line="276" w:lineRule="auto"/>
        <w:jc w:val="both"/>
        <w:rPr>
          <w:rFonts w:ascii="Verdana" w:eastAsia="Calibri" w:hAnsi="Verdana" w:cs="Arial"/>
          <w:bCs/>
          <w:color w:val="000000" w:themeColor="text1"/>
        </w:rPr>
      </w:pPr>
      <w:r>
        <w:rPr>
          <w:rFonts w:ascii="Verdana" w:eastAsia="Calibri" w:hAnsi="Verdana" w:cs="Arial"/>
          <w:bCs/>
          <w:color w:val="000000" w:themeColor="text1"/>
        </w:rPr>
        <w:tab/>
        <w:t>A e</w:t>
      </w:r>
      <w:r w:rsidRPr="00916FE4">
        <w:rPr>
          <w:rFonts w:ascii="Verdana" w:eastAsia="Calibri" w:hAnsi="Verdana" w:cs="Arial"/>
          <w:bCs/>
          <w:color w:val="000000" w:themeColor="text1"/>
        </w:rPr>
        <w:t>sto se suma</w:t>
      </w:r>
      <w:r>
        <w:rPr>
          <w:rFonts w:ascii="Verdana" w:eastAsia="Calibri" w:hAnsi="Verdana" w:cs="Arial"/>
          <w:bCs/>
          <w:color w:val="000000" w:themeColor="text1"/>
        </w:rPr>
        <w:t xml:space="preserve"> que</w:t>
      </w:r>
      <w:r w:rsidRPr="00916FE4">
        <w:rPr>
          <w:rFonts w:ascii="Verdana" w:eastAsia="Calibri" w:hAnsi="Verdana" w:cs="Arial"/>
          <w:bCs/>
          <w:color w:val="000000" w:themeColor="text1"/>
        </w:rPr>
        <w:t xml:space="preserve"> la </w:t>
      </w:r>
      <w:r>
        <w:rPr>
          <w:rFonts w:ascii="Verdana" w:eastAsia="Calibri" w:hAnsi="Verdana" w:cs="Arial"/>
          <w:bCs/>
          <w:color w:val="000000" w:themeColor="text1"/>
        </w:rPr>
        <w:t>d</w:t>
      </w:r>
      <w:r w:rsidRPr="00916FE4">
        <w:rPr>
          <w:rFonts w:ascii="Verdana" w:eastAsia="Calibri" w:hAnsi="Verdana" w:cs="Arial"/>
          <w:bCs/>
          <w:color w:val="000000" w:themeColor="text1"/>
        </w:rPr>
        <w:t xml:space="preserve">efensa y </w:t>
      </w:r>
      <w:r>
        <w:rPr>
          <w:rFonts w:ascii="Verdana" w:eastAsia="Calibri" w:hAnsi="Verdana" w:cs="Arial"/>
          <w:bCs/>
          <w:color w:val="000000" w:themeColor="text1"/>
        </w:rPr>
        <w:t>s</w:t>
      </w:r>
      <w:r w:rsidRPr="00916FE4">
        <w:rPr>
          <w:rFonts w:ascii="Verdana" w:eastAsia="Calibri" w:hAnsi="Verdana" w:cs="Arial"/>
          <w:bCs/>
          <w:color w:val="000000" w:themeColor="text1"/>
        </w:rPr>
        <w:t xml:space="preserve">eguridad </w:t>
      </w:r>
      <w:r>
        <w:rPr>
          <w:rFonts w:ascii="Verdana" w:eastAsia="Calibri" w:hAnsi="Verdana" w:cs="Arial"/>
          <w:bCs/>
          <w:color w:val="000000" w:themeColor="text1"/>
        </w:rPr>
        <w:t>n</w:t>
      </w:r>
      <w:r w:rsidRPr="00916FE4">
        <w:rPr>
          <w:rFonts w:ascii="Verdana" w:eastAsia="Calibri" w:hAnsi="Verdana" w:cs="Arial"/>
          <w:bCs/>
          <w:color w:val="000000" w:themeColor="text1"/>
        </w:rPr>
        <w:t>acional es un concepto jurídico indeterminado que exige del operador jurídico un ejercicio de concreción en cada caso.</w:t>
      </w:r>
      <w:r w:rsidRPr="006113DD">
        <w:rPr>
          <w:rFonts w:ascii="Verdana" w:eastAsia="Calibri" w:hAnsi="Verdana" w:cs="Arial"/>
          <w:bCs/>
          <w:color w:val="000000" w:themeColor="text1"/>
        </w:rPr>
        <w:t xml:space="preserve"> Su carácter abierto responde a la necesidad de adaptar su alcance a las circunstancias sociales, políticas y económicas de un momento histórico determinado, lo que explica que </w:t>
      </w:r>
      <w:r>
        <w:rPr>
          <w:rFonts w:ascii="Verdana" w:eastAsia="Calibri" w:hAnsi="Verdana" w:cs="Arial"/>
          <w:bCs/>
          <w:color w:val="000000" w:themeColor="text1"/>
        </w:rPr>
        <w:t xml:space="preserve">se haya </w:t>
      </w:r>
      <w:r w:rsidRPr="006113DD">
        <w:rPr>
          <w:rFonts w:ascii="Verdana" w:eastAsia="Calibri" w:hAnsi="Verdana" w:cs="Arial"/>
          <w:bCs/>
          <w:color w:val="000000" w:themeColor="text1"/>
        </w:rPr>
        <w:t>reconocido la discrecionalidad de la administración para definir qué bienes y servicios se consideran esenciales en este ámbito, siempre bajo el control posterior de la jurisdicción contencioso</w:t>
      </w:r>
      <w:r w:rsidRPr="006113DD">
        <w:rPr>
          <w:rFonts w:ascii="Verdana" w:eastAsia="Calibri" w:hAnsi="Verdana" w:cs="Arial"/>
          <w:bCs/>
          <w:color w:val="000000" w:themeColor="text1"/>
        </w:rPr>
        <w:noBreakHyphen/>
        <w:t>administrativa.</w:t>
      </w:r>
    </w:p>
    <w:p w14:paraId="018EF2DB" w14:textId="77777777" w:rsidR="0031491B" w:rsidRPr="003723A0" w:rsidRDefault="0031491B" w:rsidP="0031491B">
      <w:pPr>
        <w:shd w:val="clear" w:color="auto" w:fill="FFFFFF"/>
        <w:spacing w:after="120" w:line="276" w:lineRule="auto"/>
        <w:ind w:firstLine="709"/>
        <w:jc w:val="both"/>
        <w:rPr>
          <w:rFonts w:ascii="Verdana" w:eastAsia="Calibri" w:hAnsi="Verdana" w:cs="Arial"/>
          <w:color w:val="000000"/>
        </w:rPr>
      </w:pPr>
      <w:r>
        <w:rPr>
          <w:rFonts w:ascii="Verdana" w:eastAsia="Calibri" w:hAnsi="Verdana" w:cs="Arial"/>
          <w:color w:val="000000"/>
          <w:lang w:val="es-ES"/>
        </w:rPr>
        <w:t xml:space="preserve">Dentro de la doctrina, el concepto de defensa y seguridad nacional tiene una relación con otros conceptos como el interés nacional, la soberanía y la preservación y conservación del Estado. </w:t>
      </w:r>
      <w:r w:rsidRPr="003723A0">
        <w:rPr>
          <w:rFonts w:ascii="Verdana" w:eastAsia="Calibri" w:hAnsi="Verdana" w:cs="Arial"/>
          <w:color w:val="000000"/>
        </w:rPr>
        <w:t>En esta línea, se destaca que la defensa y la seguridad constituyen la actividad más política dentro del Estado, en tanto representan una manifestación directa del ejercicio del poder político. Dicho poder se materializa en la creación de leyes, políticas, planes y estrategias que configuran esquemas de alerta y respuesta institucional</w:t>
      </w:r>
      <w:r>
        <w:rPr>
          <w:rStyle w:val="Refdenotaalpie"/>
          <w:rFonts w:ascii="Verdana" w:eastAsia="Calibri" w:hAnsi="Verdana" w:cs="Arial"/>
          <w:color w:val="000000"/>
        </w:rPr>
        <w:footnoteReference w:id="1"/>
      </w:r>
      <w:r>
        <w:rPr>
          <w:rFonts w:ascii="Verdana" w:eastAsia="Calibri" w:hAnsi="Verdana" w:cs="Arial"/>
          <w:color w:val="000000"/>
        </w:rPr>
        <w:t xml:space="preserve">. </w:t>
      </w:r>
    </w:p>
    <w:p w14:paraId="64076D9C" w14:textId="77777777" w:rsidR="0031491B" w:rsidRDefault="0031491B" w:rsidP="0031491B">
      <w:pPr>
        <w:shd w:val="clear" w:color="auto" w:fill="FFFFFF"/>
        <w:spacing w:after="120" w:line="276" w:lineRule="auto"/>
        <w:ind w:firstLine="709"/>
        <w:jc w:val="both"/>
        <w:rPr>
          <w:rFonts w:ascii="Verdana" w:eastAsia="Calibri" w:hAnsi="Verdana" w:cs="Arial"/>
          <w:color w:val="000000"/>
        </w:rPr>
      </w:pPr>
      <w:r w:rsidRPr="003723A0">
        <w:rPr>
          <w:rFonts w:ascii="Verdana" w:eastAsia="Calibri" w:hAnsi="Verdana" w:cs="Arial"/>
          <w:color w:val="000000"/>
        </w:rPr>
        <w:t>Este poder político no debe entenderse como una expresión unívoca, sino como una estructura dialógica en la que confluyen diversas formas de manifestación. La guerra, aunque no es la única, constituye una de las expresiones del poder estatal, coexistiendo con otros dispositivos e instituciones que operan de manera diferenciada en la configuración de la seguridad y la defensa</w:t>
      </w:r>
      <w:r>
        <w:rPr>
          <w:rStyle w:val="Refdenotaalpie"/>
          <w:rFonts w:ascii="Verdana" w:eastAsia="Calibri" w:hAnsi="Verdana" w:cs="Arial"/>
          <w:color w:val="000000"/>
        </w:rPr>
        <w:footnoteReference w:id="2"/>
      </w:r>
      <w:r>
        <w:rPr>
          <w:rFonts w:ascii="Verdana" w:eastAsia="Calibri" w:hAnsi="Verdana" w:cs="Arial"/>
          <w:color w:val="000000"/>
        </w:rPr>
        <w:t xml:space="preserve">. </w:t>
      </w:r>
      <w:r w:rsidRPr="003723A0">
        <w:rPr>
          <w:rFonts w:ascii="Verdana" w:eastAsia="Calibri" w:hAnsi="Verdana" w:cs="Arial"/>
          <w:color w:val="000000"/>
        </w:rPr>
        <w:t>De este modo, la defensa y seguridad se concibe</w:t>
      </w:r>
      <w:r>
        <w:rPr>
          <w:rFonts w:ascii="Verdana" w:eastAsia="Calibri" w:hAnsi="Verdana" w:cs="Arial"/>
          <w:color w:val="000000"/>
        </w:rPr>
        <w:t>n</w:t>
      </w:r>
      <w:r w:rsidRPr="003723A0">
        <w:rPr>
          <w:rFonts w:ascii="Verdana" w:eastAsia="Calibri" w:hAnsi="Verdana" w:cs="Arial"/>
          <w:color w:val="000000"/>
        </w:rPr>
        <w:t xml:space="preserve"> como un entramado complejo en el que el poder político se despliega a través de múltiples canales, </w:t>
      </w:r>
      <w:r w:rsidRPr="003723A0">
        <w:rPr>
          <w:rFonts w:ascii="Verdana" w:eastAsia="Calibri" w:hAnsi="Verdana" w:cs="Arial"/>
          <w:color w:val="000000"/>
        </w:rPr>
        <w:lastRenderedPageBreak/>
        <w:t>reafirmando su carácter estratégico y transversal dentro de la organización estatal.</w:t>
      </w:r>
      <w:r>
        <w:rPr>
          <w:rFonts w:ascii="Verdana" w:eastAsia="Calibri" w:hAnsi="Verdana" w:cs="Arial"/>
          <w:color w:val="000000"/>
        </w:rPr>
        <w:t xml:space="preserve"> </w:t>
      </w:r>
    </w:p>
    <w:p w14:paraId="0C04E067" w14:textId="77777777" w:rsidR="0031491B" w:rsidRPr="001E3C75" w:rsidRDefault="0031491B" w:rsidP="0031491B">
      <w:pPr>
        <w:shd w:val="clear" w:color="auto" w:fill="FFFFFF"/>
        <w:spacing w:after="120" w:line="276" w:lineRule="auto"/>
        <w:ind w:firstLine="709"/>
        <w:jc w:val="both"/>
        <w:rPr>
          <w:rFonts w:ascii="Verdana" w:eastAsia="Calibri" w:hAnsi="Verdana" w:cs="Arial"/>
          <w:color w:val="000000"/>
        </w:rPr>
      </w:pPr>
      <w:r w:rsidRPr="006864DC">
        <w:rPr>
          <w:rFonts w:ascii="Verdana" w:eastAsia="Calibri" w:hAnsi="Verdana" w:cs="Arial"/>
          <w:color w:val="000000"/>
        </w:rPr>
        <w:t>Este concepto de defensa y seguridad nacional mantiene una relación estrecha con categorías fundamentales como la soberanía, la protección de la integridad territorial y la preservación de la convivencia social del país</w:t>
      </w:r>
      <w:r>
        <w:rPr>
          <w:rStyle w:val="Refdenotaalpie"/>
          <w:rFonts w:ascii="Verdana" w:eastAsia="Calibri" w:hAnsi="Verdana" w:cs="Arial"/>
          <w:color w:val="000000"/>
        </w:rPr>
        <w:footnoteReference w:id="3"/>
      </w:r>
      <w:r w:rsidRPr="006864DC">
        <w:rPr>
          <w:rFonts w:ascii="Verdana" w:eastAsia="Calibri" w:hAnsi="Verdana" w:cs="Arial"/>
          <w:color w:val="000000"/>
        </w:rPr>
        <w:t>. No obstante, este concepto no puede confundirse con la seguridad ciudadana,</w:t>
      </w:r>
      <w:r w:rsidRPr="001E3C75">
        <w:rPr>
          <w:rFonts w:ascii="Verdana" w:eastAsia="Calibri" w:hAnsi="Verdana" w:cs="Arial"/>
          <w:color w:val="000000"/>
        </w:rPr>
        <w:t xml:space="preserve"> que se orienta a la protección directa de las personas y sus bienes frente a fenómenos como la delincuencia común y las diversas formas de violencia en los espacios urbanos y rurales. Ambas nociones parten de bienes jurídicos distintos: mientras la defensa y seguridad nacional buscan garantizar la estabilidad y continuidad del Estado, la seguridad ciudadana se centra en la convivencia y en la protección inmediata de los individuos.</w:t>
      </w:r>
    </w:p>
    <w:p w14:paraId="32218F7C" w14:textId="77777777" w:rsidR="0031491B" w:rsidRPr="006864DC" w:rsidRDefault="0031491B" w:rsidP="0031491B">
      <w:pPr>
        <w:shd w:val="clear" w:color="auto" w:fill="FFFFFF"/>
        <w:spacing w:after="0" w:line="276" w:lineRule="auto"/>
        <w:ind w:firstLine="709"/>
        <w:jc w:val="both"/>
        <w:rPr>
          <w:rFonts w:ascii="Verdana" w:eastAsia="Calibri" w:hAnsi="Verdana" w:cs="Arial"/>
          <w:color w:val="000000"/>
        </w:rPr>
      </w:pPr>
      <w:r w:rsidRPr="006864DC">
        <w:rPr>
          <w:rFonts w:ascii="Verdana" w:eastAsia="Calibri" w:hAnsi="Verdana" w:cs="Arial"/>
          <w:color w:val="000000"/>
        </w:rPr>
        <w:t xml:space="preserve">A partir de esta delimitación conceptual, resulta necesario examinar la forma en que se adquieren los bienes y servicios relacionados con la defensa y seguridad nacional. </w:t>
      </w:r>
      <w:r>
        <w:rPr>
          <w:rFonts w:ascii="Verdana" w:eastAsia="Calibri" w:hAnsi="Verdana" w:cs="Arial"/>
          <w:color w:val="000000"/>
        </w:rPr>
        <w:t xml:space="preserve">Al respecto, el </w:t>
      </w:r>
      <w:r w:rsidRPr="006864DC">
        <w:rPr>
          <w:rFonts w:ascii="Verdana" w:eastAsia="Calibri" w:hAnsi="Verdana" w:cs="Arial"/>
          <w:color w:val="000000"/>
        </w:rPr>
        <w:t xml:space="preserve">Estatuto General de Contratación de la Administración Pública prevé modalidades específicas que permiten atender las particularidades de este tipo de objetos contractuales. Así, la adquisición puede realizarse mediante procesos competitivos, como la selección abreviada, o, en determinados casos, </w:t>
      </w:r>
      <w:r>
        <w:rPr>
          <w:rFonts w:ascii="Verdana" w:eastAsia="Calibri" w:hAnsi="Verdana" w:cs="Arial"/>
          <w:color w:val="000000"/>
        </w:rPr>
        <w:t xml:space="preserve">mediante </w:t>
      </w:r>
      <w:r w:rsidRPr="006864DC">
        <w:rPr>
          <w:rFonts w:ascii="Verdana" w:eastAsia="Calibri" w:hAnsi="Verdana" w:cs="Arial"/>
          <w:color w:val="000000"/>
        </w:rPr>
        <w:t>la contratación directa, cuando concurren causales legales que justifican la excepción al principio de concurrencia.</w:t>
      </w:r>
    </w:p>
    <w:p w14:paraId="4C8A4723" w14:textId="77777777" w:rsidR="0031491B" w:rsidRDefault="0031491B" w:rsidP="0031491B">
      <w:pPr>
        <w:spacing w:after="0" w:line="276" w:lineRule="auto"/>
        <w:jc w:val="both"/>
        <w:rPr>
          <w:rFonts w:ascii="Verdana" w:eastAsia="Calibri" w:hAnsi="Verdana" w:cs="Arial"/>
          <w:bCs/>
          <w:color w:val="000000" w:themeColor="text1"/>
        </w:rPr>
      </w:pPr>
    </w:p>
    <w:p w14:paraId="6FD7E14E" w14:textId="77777777" w:rsidR="0031491B" w:rsidRPr="00C13712" w:rsidRDefault="0031491B" w:rsidP="0031491B">
      <w:pPr>
        <w:spacing w:line="276" w:lineRule="auto"/>
        <w:jc w:val="both"/>
        <w:rPr>
          <w:rFonts w:ascii="Verdana" w:eastAsia="Calibri" w:hAnsi="Verdana" w:cs="Arial"/>
          <w:color w:val="000000"/>
          <w:lang w:val="es-ES"/>
        </w:rPr>
      </w:pPr>
      <w:r>
        <w:rPr>
          <w:rFonts w:ascii="Verdana" w:eastAsia="Calibri" w:hAnsi="Verdana" w:cs="Arial"/>
          <w:bCs/>
          <w:color w:val="000000" w:themeColor="text1"/>
        </w:rPr>
        <w:t xml:space="preserve">ii. La </w:t>
      </w:r>
      <w:r w:rsidRPr="00C13712">
        <w:rPr>
          <w:rFonts w:ascii="Verdana" w:eastAsia="Calibri" w:hAnsi="Verdana" w:cs="Arial"/>
          <w:bCs/>
          <w:color w:val="000000" w:themeColor="text1"/>
          <w:lang w:val="es-ES_tradnl"/>
        </w:rPr>
        <w:t>adquisición de bienes o servicios requeridos para la actividad de defensa y seguridad nacional, en la redacción original de la Ley 80 de 1993, se consideró una causal de contratación directa</w:t>
      </w:r>
      <w:r w:rsidRPr="00C13712">
        <w:rPr>
          <w:rFonts w:ascii="Verdana" w:eastAsia="Calibri" w:hAnsi="Verdana" w:cs="Arial"/>
          <w:bCs/>
          <w:color w:val="000000" w:themeColor="text1"/>
          <w:vertAlign w:val="superscript"/>
          <w:lang w:val="es-ES_tradnl"/>
        </w:rPr>
        <w:footnoteReference w:id="4"/>
      </w:r>
      <w:r w:rsidRPr="00C13712">
        <w:rPr>
          <w:rFonts w:ascii="Verdana" w:eastAsia="Calibri" w:hAnsi="Verdana" w:cs="Arial"/>
          <w:bCs/>
          <w:color w:val="000000" w:themeColor="text1"/>
          <w:lang w:val="es-ES_tradnl"/>
        </w:rPr>
        <w:t xml:space="preserve">. El artículo 32 de la Ley 1150 de 2007 derogó el numeral 1 del artículo 24 de la Ley 80 de 1993, que era el que establecía la adquisición de bienes y servicios requeridos para la defensa y seguridad nacional como causal de contratación directa; causal que pasó a ser de </w:t>
      </w:r>
      <w:r w:rsidRPr="00C13712">
        <w:rPr>
          <w:rFonts w:ascii="Verdana" w:eastAsia="Calibri" w:hAnsi="Verdana" w:cs="Arial"/>
          <w:bCs/>
          <w:i/>
          <w:iCs/>
          <w:color w:val="000000" w:themeColor="text1"/>
          <w:lang w:val="es-ES_tradnl"/>
        </w:rPr>
        <w:t>selección abreviada</w:t>
      </w:r>
      <w:r w:rsidRPr="00C13712">
        <w:rPr>
          <w:rFonts w:ascii="Verdana" w:eastAsia="Calibri" w:hAnsi="Verdana" w:cs="Arial"/>
          <w:bCs/>
          <w:color w:val="000000" w:themeColor="text1"/>
          <w:lang w:val="es-ES_tradnl"/>
        </w:rPr>
        <w:t>, de conformidad con el artículo 2, numeral 2, literal i), de la mencionada Ley 1150, salvo los que requieran reserva para su adquisición, frente a los cuales esta Ley mantuvo, en el artículo 2, numeral 4, literales d) y j), la posibilidad de contratación directa.</w:t>
      </w:r>
    </w:p>
    <w:p w14:paraId="47EB5423" w14:textId="77777777" w:rsidR="0031491B" w:rsidRDefault="0031491B" w:rsidP="0031491B">
      <w:pPr>
        <w:spacing w:after="0" w:line="276" w:lineRule="auto"/>
        <w:ind w:firstLine="709"/>
        <w:jc w:val="both"/>
        <w:rPr>
          <w:rFonts w:ascii="Verdana" w:eastAsia="Calibri" w:hAnsi="Verdana" w:cs="Arial"/>
          <w:color w:val="000000"/>
          <w:lang w:val="es-ES"/>
        </w:rPr>
      </w:pPr>
      <w:r w:rsidRPr="00C13712">
        <w:rPr>
          <w:rFonts w:ascii="Verdana" w:eastAsia="Calibri" w:hAnsi="Verdana" w:cs="Arial"/>
          <w:color w:val="000000"/>
          <w:lang w:val="es-ES"/>
        </w:rPr>
        <w:lastRenderedPageBreak/>
        <w:t xml:space="preserve">La adquisición de bienes y servicios para la defensa y seguridad nacional actualmente es una causal para acudir a la modalidad de escogencia del contratista por selección abreviada en la contratación estatal. De esta manera, el artículo 2.2.1.2.1.2.26 del Decreto 1082 de 2015, modificado por el artículo 11 del Decreto 142 de 2023, replica la causal y define los procedimientos a seguir para el proceso de selección en los siguientes términos: </w:t>
      </w:r>
    </w:p>
    <w:p w14:paraId="2A07A4A6" w14:textId="77777777" w:rsidR="0031491B" w:rsidRPr="00C13712" w:rsidRDefault="0031491B" w:rsidP="0031491B">
      <w:pPr>
        <w:spacing w:after="0" w:line="276" w:lineRule="auto"/>
        <w:ind w:firstLine="709"/>
        <w:jc w:val="both"/>
        <w:rPr>
          <w:rFonts w:ascii="Verdana" w:eastAsia="Calibri" w:hAnsi="Verdana" w:cs="Arial"/>
          <w:color w:val="000000"/>
          <w:lang w:val="es-ES"/>
        </w:rPr>
      </w:pPr>
    </w:p>
    <w:p w14:paraId="0244374B" w14:textId="77777777" w:rsidR="0031491B" w:rsidRPr="00C13712" w:rsidRDefault="0031491B" w:rsidP="0031491B">
      <w:pPr>
        <w:spacing w:after="0" w:line="240" w:lineRule="auto"/>
        <w:ind w:left="709" w:right="680"/>
        <w:jc w:val="both"/>
        <w:rPr>
          <w:rFonts w:ascii="Verdana" w:eastAsia="Calibri" w:hAnsi="Verdana" w:cs="Arial"/>
          <w:color w:val="000000"/>
          <w:sz w:val="20"/>
          <w:szCs w:val="20"/>
        </w:rPr>
      </w:pPr>
      <w:r w:rsidRPr="00C13712">
        <w:rPr>
          <w:rFonts w:ascii="Verdana" w:eastAsia="Calibri" w:hAnsi="Verdana" w:cs="Arial"/>
          <w:color w:val="000000"/>
        </w:rPr>
        <w:t>“</w:t>
      </w:r>
      <w:r w:rsidRPr="00C13712">
        <w:rPr>
          <w:rFonts w:ascii="Verdana" w:eastAsia="Calibri" w:hAnsi="Verdana" w:cs="Arial"/>
          <w:color w:val="000000"/>
          <w:sz w:val="20"/>
          <w:szCs w:val="20"/>
        </w:rPr>
        <w:t>Artículo 2.2.1.2.1.2.26.</w:t>
      </w:r>
      <w:r w:rsidRPr="00C13712">
        <w:rPr>
          <w:rFonts w:ascii="Work Sans" w:eastAsia="Times New Roman" w:hAnsi="Work Sans" w:cs="Times New Roman"/>
          <w:color w:val="333333"/>
          <w:sz w:val="20"/>
          <w:szCs w:val="20"/>
          <w:lang w:eastAsia="es-CO"/>
        </w:rPr>
        <w:t xml:space="preserve"> </w:t>
      </w:r>
      <w:r w:rsidRPr="00C13712">
        <w:rPr>
          <w:rFonts w:ascii="Verdana" w:eastAsia="Calibri" w:hAnsi="Verdana" w:cs="Arial"/>
          <w:color w:val="000000"/>
          <w:sz w:val="20"/>
          <w:szCs w:val="20"/>
        </w:rPr>
        <w:t>Las Entidades Estatales que requieran contratar Bienes y Servicios para la Defensa y Seguridad Nacional deben hacerlo a través del procedimiento para la selección abreviada de menor cuantía señalado en el artículo 2.2.1.2.1.2.20 del presente decreto.</w:t>
      </w:r>
    </w:p>
    <w:p w14:paraId="0E09FA90" w14:textId="77777777" w:rsidR="0031491B" w:rsidRPr="00C13712" w:rsidRDefault="0031491B" w:rsidP="0031491B">
      <w:pPr>
        <w:spacing w:after="0" w:line="240" w:lineRule="auto"/>
        <w:ind w:left="709" w:right="680"/>
        <w:jc w:val="both"/>
        <w:rPr>
          <w:rFonts w:ascii="Verdana" w:eastAsia="Calibri" w:hAnsi="Verdana" w:cs="Arial"/>
          <w:color w:val="000000"/>
          <w:sz w:val="20"/>
          <w:szCs w:val="20"/>
        </w:rPr>
      </w:pPr>
    </w:p>
    <w:p w14:paraId="2FDE1047" w14:textId="77777777" w:rsidR="0031491B" w:rsidRDefault="0031491B" w:rsidP="0031491B">
      <w:pPr>
        <w:spacing w:after="0"/>
        <w:ind w:left="708" w:right="680"/>
        <w:jc w:val="both"/>
        <w:rPr>
          <w:rFonts w:ascii="Verdana" w:eastAsia="Calibri" w:hAnsi="Verdana" w:cs="Arial"/>
          <w:color w:val="000000"/>
          <w:sz w:val="20"/>
          <w:szCs w:val="20"/>
        </w:rPr>
      </w:pPr>
      <w:r w:rsidRPr="00C13712">
        <w:rPr>
          <w:rFonts w:ascii="Verdana" w:eastAsia="Calibri" w:hAnsi="Verdana" w:cs="Arial"/>
          <w:color w:val="000000"/>
          <w:sz w:val="20"/>
          <w:szCs w:val="20"/>
        </w:rPr>
        <w:t>Si los bienes y servicios que se requieran para la defensa y seguridad nacional son Bienes y Servicios de Características Técnicas Uniformes o no uniformes en los términos del presente Decreto, la Entidad Estatal deberá utilizar el procedimiento de subasta inversa, compra por Catálogo derivado de la celebración de Acuerdos Marco de Precios o a través de bolsa de productos.</w:t>
      </w:r>
    </w:p>
    <w:p w14:paraId="7523337B" w14:textId="77777777" w:rsidR="0031491B" w:rsidRPr="00C13712" w:rsidRDefault="0031491B" w:rsidP="0031491B">
      <w:pPr>
        <w:spacing w:after="0"/>
        <w:ind w:left="708" w:right="680"/>
        <w:jc w:val="both"/>
        <w:rPr>
          <w:rFonts w:ascii="Verdana" w:eastAsia="Calibri" w:hAnsi="Verdana" w:cs="Arial"/>
          <w:color w:val="000000"/>
          <w:sz w:val="20"/>
          <w:szCs w:val="20"/>
        </w:rPr>
      </w:pPr>
    </w:p>
    <w:p w14:paraId="627ADEA8" w14:textId="77777777" w:rsidR="0031491B" w:rsidRDefault="0031491B" w:rsidP="0031491B">
      <w:pPr>
        <w:spacing w:after="0"/>
        <w:ind w:left="708" w:right="680"/>
        <w:jc w:val="both"/>
        <w:rPr>
          <w:rFonts w:ascii="Verdana" w:eastAsia="Calibri" w:hAnsi="Verdana" w:cs="Arial"/>
          <w:color w:val="000000"/>
          <w:sz w:val="20"/>
          <w:szCs w:val="20"/>
        </w:rPr>
      </w:pPr>
      <w:r w:rsidRPr="00C13712">
        <w:rPr>
          <w:rFonts w:ascii="Verdana" w:eastAsia="Calibri" w:hAnsi="Verdana" w:cs="Arial"/>
          <w:color w:val="000000"/>
          <w:sz w:val="20"/>
          <w:szCs w:val="20"/>
        </w:rPr>
        <w:t>Las Entidades Estatales deben consignar en los Documentos del Proceso las razones por las cuales los bienes o servicios objeto del Proceso de Contratación son requeridos para la defensa y seguridad nacional.”</w:t>
      </w:r>
    </w:p>
    <w:p w14:paraId="1EBCBF4E" w14:textId="77777777" w:rsidR="0031491B" w:rsidRPr="00C13712" w:rsidRDefault="0031491B" w:rsidP="0031491B">
      <w:pPr>
        <w:spacing w:after="0"/>
        <w:ind w:left="708" w:right="680"/>
        <w:jc w:val="both"/>
        <w:rPr>
          <w:rFonts w:ascii="Verdana" w:eastAsia="Calibri" w:hAnsi="Verdana" w:cs="Arial"/>
          <w:color w:val="000000"/>
        </w:rPr>
      </w:pPr>
    </w:p>
    <w:p w14:paraId="4A03D8DE" w14:textId="77777777" w:rsidR="0031491B" w:rsidRPr="00C13712" w:rsidRDefault="0031491B" w:rsidP="0031491B">
      <w:pPr>
        <w:spacing w:after="120" w:line="276" w:lineRule="auto"/>
        <w:ind w:firstLine="709"/>
        <w:jc w:val="both"/>
        <w:rPr>
          <w:rFonts w:ascii="Verdana" w:eastAsia="Calibri" w:hAnsi="Verdana" w:cs="Arial"/>
          <w:color w:val="000000"/>
        </w:rPr>
      </w:pPr>
      <w:r w:rsidRPr="00C13712">
        <w:rPr>
          <w:rFonts w:ascii="Verdana" w:eastAsia="Calibri" w:hAnsi="Verdana" w:cs="Arial"/>
          <w:color w:val="000000"/>
        </w:rPr>
        <w:t>De esta forma, cuando una entidad estatal requiere bienes y servicios para la defensa y seguridad nacional, debe acudir al proceso de selección abreviada de menor cuantía o, cuando se trate de bienes o servicios de características técnicas uniformes o no uniformes, al proceso de selección abreviada por subasta inversa, acuerdos marco de precios o bolsas de productos, cuando estos existan. De todas formas, para acudir a esta causal las entidades estatales, deben justificar en los documentos del proceso, particularmente, en los estudios previos porqué los bienes y servicios son requeridos para la defensa y seguridad nacional, de manera que se justifique adecuadamente la posibilidad de acudir a esta casual de selección abreviada.</w:t>
      </w:r>
    </w:p>
    <w:p w14:paraId="10A3AC12" w14:textId="77777777" w:rsidR="0031491B" w:rsidRPr="00C13712" w:rsidRDefault="0031491B" w:rsidP="0031491B">
      <w:pPr>
        <w:spacing w:line="276" w:lineRule="auto"/>
        <w:ind w:firstLine="709"/>
        <w:jc w:val="both"/>
        <w:rPr>
          <w:rFonts w:ascii="Verdana" w:eastAsia="Calibri" w:hAnsi="Verdana" w:cs="Arial"/>
          <w:color w:val="000000"/>
        </w:rPr>
      </w:pPr>
      <w:r w:rsidRPr="00C13712">
        <w:rPr>
          <w:rFonts w:ascii="Verdana" w:eastAsia="Calibri" w:hAnsi="Verdana" w:cs="Arial"/>
          <w:color w:val="000000"/>
        </w:rPr>
        <w:t xml:space="preserve">En relación con este punto, conviene precisar que para efectos de determinar cuáles bienes y servicios se consideran de características técnicas uniformes y acudir a los procedimientos señalados en el inciso segundo del </w:t>
      </w:r>
      <w:r w:rsidRPr="00C13712">
        <w:rPr>
          <w:rFonts w:ascii="Verdana" w:eastAsia="Calibri" w:hAnsi="Verdana" w:cs="Arial"/>
          <w:color w:val="000000"/>
          <w:lang w:val="es-ES"/>
        </w:rPr>
        <w:t>artículo 2.2.1.2.1.2.26 del Decreto 1082 de 2015</w:t>
      </w:r>
      <w:r w:rsidRPr="00C13712">
        <w:rPr>
          <w:rFonts w:ascii="Verdana" w:eastAsia="Calibri" w:hAnsi="Verdana" w:cs="Arial"/>
          <w:color w:val="000000"/>
        </w:rPr>
        <w:t xml:space="preserve">, la norma se remite a la definición que el mismo Decreto establece sobre este concepto. </w:t>
      </w:r>
    </w:p>
    <w:p w14:paraId="720CE5D5" w14:textId="77777777" w:rsidR="0031491B" w:rsidRPr="00C13712" w:rsidRDefault="0031491B" w:rsidP="0031491B">
      <w:pPr>
        <w:spacing w:after="120" w:line="276" w:lineRule="auto"/>
        <w:ind w:firstLine="709"/>
        <w:jc w:val="both"/>
        <w:rPr>
          <w:rFonts w:ascii="Verdana" w:eastAsia="Calibri" w:hAnsi="Verdana" w:cs="Arial"/>
          <w:bCs/>
          <w:color w:val="000000" w:themeColor="text1"/>
        </w:rPr>
      </w:pPr>
      <w:r w:rsidRPr="00C13712">
        <w:rPr>
          <w:rFonts w:ascii="Verdana" w:eastAsia="Calibri" w:hAnsi="Verdana" w:cs="Arial"/>
          <w:bCs/>
          <w:color w:val="000000" w:themeColor="text1"/>
        </w:rPr>
        <w:lastRenderedPageBreak/>
        <w:t>Según el literal a) del artículo 2, numeral 2 de la Ley 1150 de 2007, los bienes y servicios de características técnicas uniformes “</w:t>
      </w:r>
      <w:r>
        <w:rPr>
          <w:rFonts w:ascii="Verdana" w:eastAsia="Calibri" w:hAnsi="Verdana" w:cs="Arial"/>
          <w:bCs/>
          <w:color w:val="000000" w:themeColor="text1"/>
        </w:rPr>
        <w:t>[</w:t>
      </w:r>
      <w:r w:rsidRPr="00C13712">
        <w:rPr>
          <w:rFonts w:ascii="Verdana" w:eastAsia="Calibri" w:hAnsi="Verdana" w:cs="Arial"/>
          <w:bCs/>
          <w:color w:val="000000" w:themeColor="text1"/>
        </w:rPr>
        <w:t>…</w:t>
      </w:r>
      <w:r>
        <w:rPr>
          <w:rFonts w:ascii="Verdana" w:eastAsia="Calibri" w:hAnsi="Verdana" w:cs="Arial"/>
          <w:bCs/>
          <w:color w:val="000000" w:themeColor="text1"/>
        </w:rPr>
        <w:t>]</w:t>
      </w:r>
      <w:r w:rsidRPr="00C13712">
        <w:rPr>
          <w:rFonts w:ascii="Verdana" w:eastAsia="Calibri" w:hAnsi="Verdana" w:cs="Arial"/>
          <w:bCs/>
          <w:color w:val="000000" w:themeColor="text1"/>
        </w:rPr>
        <w:t xml:space="preserve">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73DA1E87" w14:textId="77777777" w:rsidR="0031491B" w:rsidRDefault="0031491B" w:rsidP="0031491B">
      <w:pPr>
        <w:spacing w:after="120" w:line="276" w:lineRule="auto"/>
        <w:ind w:firstLine="709"/>
        <w:jc w:val="both"/>
        <w:rPr>
          <w:rFonts w:ascii="Verdana" w:eastAsia="Calibri" w:hAnsi="Verdana" w:cs="Arial"/>
          <w:bCs/>
          <w:color w:val="000000" w:themeColor="text1"/>
        </w:rPr>
      </w:pPr>
      <w:r w:rsidRPr="00C13712">
        <w:rPr>
          <w:rFonts w:ascii="Verdana" w:eastAsia="Calibri" w:hAnsi="Verdana" w:cs="Arial"/>
          <w:bCs/>
          <w:color w:val="000000" w:themeColor="text1"/>
        </w:rPr>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w:t>
      </w:r>
    </w:p>
    <w:p w14:paraId="11D20E84" w14:textId="77777777" w:rsidR="0031491B" w:rsidRPr="00C13712" w:rsidRDefault="0031491B" w:rsidP="0031491B">
      <w:pPr>
        <w:spacing w:after="120" w:line="276" w:lineRule="auto"/>
        <w:ind w:firstLine="709"/>
        <w:jc w:val="both"/>
        <w:rPr>
          <w:rFonts w:ascii="Verdana" w:eastAsia="Calibri" w:hAnsi="Verdana" w:cs="Arial"/>
        </w:rPr>
      </w:pPr>
      <w:r w:rsidRPr="002259C3">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Suárez Beltrán, la </w:t>
      </w:r>
      <w:r w:rsidRPr="002259C3">
        <w:rPr>
          <w:rFonts w:ascii="Verdana" w:eastAsia="Calibri" w:hAnsi="Verdana" w:cs="Arial"/>
          <w:bCs/>
          <w:i/>
          <w:iCs/>
          <w:color w:val="000000" w:themeColor="text1"/>
        </w:rPr>
        <w:t>común utilización</w:t>
      </w:r>
      <w:r w:rsidRPr="002259C3">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w:t>
      </w:r>
      <w:r w:rsidRPr="002259C3">
        <w:rPr>
          <w:rFonts w:ascii="Verdana" w:eastAsia="Calibri" w:hAnsi="Verdana" w:cs="Arial"/>
          <w:bCs/>
          <w:color w:val="000000" w:themeColor="text1"/>
          <w:vertAlign w:val="superscript"/>
        </w:rPr>
        <w:footnoteReference w:id="5"/>
      </w:r>
      <w:r w:rsidRPr="002259C3">
        <w:rPr>
          <w:rFonts w:ascii="Verdana" w:eastAsia="Calibri" w:hAnsi="Verdana" w:cs="Arial"/>
          <w:bCs/>
          <w:color w:val="000000" w:themeColor="text1"/>
        </w:rPr>
        <w:t xml:space="preserve">. Por su parte, la </w:t>
      </w:r>
      <w:r w:rsidRPr="002259C3">
        <w:rPr>
          <w:rFonts w:ascii="Verdana" w:eastAsia="Calibri" w:hAnsi="Verdana" w:cs="Arial"/>
          <w:bCs/>
          <w:i/>
          <w:iCs/>
          <w:color w:val="000000" w:themeColor="text1"/>
        </w:rPr>
        <w:t>homogeneidad</w:t>
      </w:r>
      <w:r w:rsidRPr="002259C3">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w:t>
      </w:r>
      <w:r w:rsidRPr="002259C3">
        <w:rPr>
          <w:rFonts w:ascii="Verdana" w:eastAsia="Calibri" w:hAnsi="Verdana" w:cs="Arial"/>
          <w:bCs/>
          <w:color w:val="000000" w:themeColor="text1"/>
        </w:rPr>
        <w:lastRenderedPageBreak/>
        <w:t>medida en la cual se busca que la administración logre que compitan bienes o servicios de igual calidad, ofrecidos por los proponentes capaces de satisfacer el requerimiento de la entidad contratante”</w:t>
      </w:r>
      <w:r w:rsidRPr="002259C3">
        <w:rPr>
          <w:rFonts w:ascii="Verdana" w:eastAsia="Calibri" w:hAnsi="Verdana" w:cs="Arial"/>
          <w:bCs/>
          <w:color w:val="000000" w:themeColor="text1"/>
          <w:vertAlign w:val="superscript"/>
        </w:rPr>
        <w:footnoteReference w:id="6"/>
      </w:r>
      <w:r w:rsidRPr="002259C3">
        <w:rPr>
          <w:rFonts w:ascii="Verdana" w:eastAsia="Calibri" w:hAnsi="Verdana" w:cs="Arial"/>
          <w:bCs/>
          <w:color w:val="000000" w:themeColor="text1"/>
        </w:rPr>
        <w:t>.</w:t>
      </w:r>
      <w:r w:rsidRPr="00C13712">
        <w:rPr>
          <w:rFonts w:ascii="Verdana" w:eastAsia="Calibri" w:hAnsi="Verdana" w:cs="Arial"/>
          <w:bCs/>
          <w:color w:val="000000" w:themeColor="text1"/>
        </w:rPr>
        <w:t xml:space="preserve">Al respecto, la exposición de motivos de la Ley 1150 de 2007 explica que: </w:t>
      </w:r>
    </w:p>
    <w:p w14:paraId="42839FF7" w14:textId="77777777" w:rsidR="0031491B" w:rsidRPr="00C13712" w:rsidRDefault="0031491B" w:rsidP="0031491B">
      <w:pPr>
        <w:spacing w:after="0" w:line="276" w:lineRule="auto"/>
        <w:ind w:firstLine="708"/>
        <w:jc w:val="both"/>
        <w:rPr>
          <w:rFonts w:ascii="Verdana" w:eastAsia="Calibri" w:hAnsi="Verdana" w:cs="Arial"/>
        </w:rPr>
      </w:pPr>
    </w:p>
    <w:p w14:paraId="4E9CA18B" w14:textId="77777777" w:rsidR="0031491B" w:rsidRPr="00C13712" w:rsidRDefault="0031491B" w:rsidP="0031491B">
      <w:pPr>
        <w:spacing w:after="0" w:line="240" w:lineRule="auto"/>
        <w:ind w:left="709" w:right="709"/>
        <w:jc w:val="both"/>
        <w:rPr>
          <w:rFonts w:ascii="Verdana" w:eastAsia="Calibri" w:hAnsi="Verdana" w:cs="Arial"/>
          <w:sz w:val="20"/>
          <w:szCs w:val="20"/>
        </w:rPr>
      </w:pPr>
      <w:r w:rsidRPr="00C13712">
        <w:rPr>
          <w:rFonts w:ascii="Verdana" w:eastAsia="Calibri" w:hAnsi="Verdana" w:cs="Arial"/>
          <w:sz w:val="20"/>
          <w:szCs w:val="20"/>
        </w:rPr>
        <w:t xml:space="preserve">“[…] las innovaciones del proceso de selección abreviada empiezan por una medida trascendental, para llevar a sólo horas los contratos referidos a la adquisición de bienes de ‘características técnicas uniformes y de común utilización’ que según cálculos del Departamento Nacional de Planeación, corresponden a más del 80% en número de contratos. </w:t>
      </w:r>
      <w:r w:rsidRPr="00C13712">
        <w:rPr>
          <w:rFonts w:ascii="Verdana" w:eastAsia="Calibri" w:hAnsi="Verdana" w:cs="Arial"/>
          <w:i/>
          <w:iCs/>
          <w:sz w:val="20"/>
          <w:szCs w:val="20"/>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C13712">
        <w:rPr>
          <w:rFonts w:ascii="Verdana" w:eastAsia="Calibri" w:hAnsi="Verdana" w:cs="Arial"/>
          <w:sz w:val="20"/>
          <w:szCs w:val="20"/>
        </w:rPr>
        <w:t xml:space="preserve"> […]”</w:t>
      </w:r>
      <w:r w:rsidRPr="00C13712">
        <w:rPr>
          <w:rFonts w:ascii="Verdana" w:eastAsia="Calibri" w:hAnsi="Verdana" w:cs="Arial"/>
          <w:sz w:val="20"/>
          <w:szCs w:val="20"/>
          <w:vertAlign w:val="superscript"/>
        </w:rPr>
        <w:footnoteReference w:id="7"/>
      </w:r>
      <w:r w:rsidRPr="00C13712">
        <w:rPr>
          <w:rFonts w:ascii="Verdana" w:eastAsia="Calibri" w:hAnsi="Verdana" w:cs="Arial"/>
          <w:sz w:val="20"/>
          <w:szCs w:val="20"/>
        </w:rPr>
        <w:t>. (Énfasis fuera de texto)</w:t>
      </w:r>
    </w:p>
    <w:p w14:paraId="69EE3107" w14:textId="77777777" w:rsidR="0031491B" w:rsidRDefault="0031491B" w:rsidP="0031491B">
      <w:pPr>
        <w:spacing w:after="120" w:line="276" w:lineRule="auto"/>
        <w:ind w:firstLine="709"/>
        <w:jc w:val="both"/>
        <w:rPr>
          <w:rFonts w:ascii="Verdana" w:eastAsia="Calibri" w:hAnsi="Verdana" w:cs="Arial"/>
          <w:bCs/>
          <w:color w:val="000000" w:themeColor="text1"/>
        </w:rPr>
      </w:pPr>
    </w:p>
    <w:p w14:paraId="71DBCA15" w14:textId="77777777" w:rsidR="0031491B" w:rsidRDefault="0031491B" w:rsidP="0031491B">
      <w:pPr>
        <w:spacing w:after="120" w:line="276" w:lineRule="auto"/>
        <w:ind w:firstLine="709"/>
        <w:jc w:val="both"/>
        <w:rPr>
          <w:rFonts w:ascii="Verdana" w:eastAsia="Calibri" w:hAnsi="Verdana" w:cs="Arial"/>
          <w:bCs/>
          <w:color w:val="000000" w:themeColor="text1"/>
        </w:rPr>
      </w:pPr>
      <w:r w:rsidRPr="00C13712">
        <w:rPr>
          <w:rFonts w:ascii="Verdana" w:eastAsia="Calibri" w:hAnsi="Verdana" w:cs="Arial"/>
          <w:bCs/>
          <w:color w:val="000000" w:themeColor="text1"/>
        </w:rPr>
        <w:t xml:space="preserve">En este sentido, la nota común de este conjunto de bienes y servicios de características técnicas uniformes es que, con independencia de sus características descriptivas, comparten patrones de desempeño y calidad similares para la satisfacción de la necesidad a la que atienden. De esta forma, cuando los bienes requeridos para la defensa y seguridad nacional compartan patrones de desempeño y calidad similares, éstos son de características técnicas uniformes. </w:t>
      </w:r>
    </w:p>
    <w:p w14:paraId="17E48117" w14:textId="77777777" w:rsidR="0031491B" w:rsidRPr="00C13712" w:rsidRDefault="0031491B" w:rsidP="0031491B">
      <w:pPr>
        <w:spacing w:after="120" w:line="276" w:lineRule="auto"/>
        <w:ind w:firstLine="709"/>
        <w:jc w:val="both"/>
        <w:rPr>
          <w:rFonts w:ascii="Verdana" w:eastAsia="Calibri" w:hAnsi="Verdana" w:cs="Arial"/>
          <w:bCs/>
          <w:color w:val="000000" w:themeColor="text1"/>
        </w:rPr>
      </w:pPr>
      <w:r w:rsidRPr="00C13712">
        <w:rPr>
          <w:rFonts w:ascii="Verdana" w:eastAsia="Calibri" w:hAnsi="Verdana" w:cs="Arial"/>
          <w:bCs/>
          <w:color w:val="000000" w:themeColor="text1"/>
        </w:rPr>
        <w:t xml:space="preserve">Respecto del alcance del concepto </w:t>
      </w:r>
      <w:r w:rsidRPr="00C13712">
        <w:rPr>
          <w:rFonts w:ascii="Verdana" w:eastAsia="Calibri" w:hAnsi="Verdana" w:cs="Arial"/>
          <w:color w:val="000000"/>
          <w:lang w:val="es-ES"/>
        </w:rPr>
        <w:t xml:space="preserve">de </w:t>
      </w:r>
      <w:r w:rsidRPr="00C13712">
        <w:rPr>
          <w:rFonts w:ascii="Verdana" w:eastAsia="Calibri" w:hAnsi="Verdana" w:cs="Arial"/>
          <w:i/>
          <w:iCs/>
          <w:color w:val="000000"/>
          <w:lang w:val="es-ES"/>
        </w:rPr>
        <w:t>“defensa y seguridad nacional</w:t>
      </w:r>
      <w:r w:rsidRPr="00C13712">
        <w:rPr>
          <w:rFonts w:ascii="Verdana" w:eastAsia="Calibri" w:hAnsi="Verdana" w:cs="Arial"/>
          <w:color w:val="000000"/>
          <w:lang w:val="es-ES"/>
        </w:rPr>
        <w:t>” es preciso indicar que este no tiene una definición legal en el Estatuto General de Contratación de la Administración Pública –EGCAP–. En tal sentido, es un concepto jurídico indeterminado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sidRPr="00C13712">
        <w:rPr>
          <w:rFonts w:ascii="Verdana" w:eastAsia="Calibri" w:hAnsi="Verdana" w:cs="Arial"/>
          <w:color w:val="000000"/>
          <w:vertAlign w:val="superscript"/>
          <w:lang w:val="es-ES"/>
        </w:rPr>
        <w:footnoteReference w:id="8"/>
      </w:r>
      <w:r w:rsidRPr="00C13712">
        <w:rPr>
          <w:rFonts w:ascii="Verdana" w:eastAsia="Calibri" w:hAnsi="Verdana" w:cs="Arial"/>
          <w:color w:val="000000"/>
          <w:lang w:val="es-ES"/>
        </w:rPr>
        <w:t xml:space="preserve">.  </w:t>
      </w:r>
    </w:p>
    <w:p w14:paraId="343913C4" w14:textId="77777777" w:rsidR="0031491B" w:rsidRPr="00C13712" w:rsidRDefault="0031491B" w:rsidP="0031491B">
      <w:pPr>
        <w:spacing w:line="276" w:lineRule="auto"/>
        <w:ind w:firstLine="709"/>
        <w:jc w:val="both"/>
        <w:rPr>
          <w:rFonts w:ascii="Verdana" w:hAnsi="Verdana" w:cs="Arial"/>
          <w:color w:val="000000" w:themeColor="text1"/>
          <w:lang w:val="es-ES_tradnl"/>
        </w:rPr>
      </w:pPr>
      <w:r w:rsidRPr="00C13712">
        <w:rPr>
          <w:rFonts w:ascii="Verdana" w:hAnsi="Verdana" w:cs="Arial"/>
          <w:color w:val="000000" w:themeColor="text1"/>
          <w:lang w:val="es-ES_tradnl"/>
        </w:rPr>
        <w:lastRenderedPageBreak/>
        <w:t xml:space="preserve">Al </w:t>
      </w:r>
      <w:r w:rsidRPr="00C13712">
        <w:rPr>
          <w:rFonts w:ascii="Verdana" w:eastAsia="Calibri" w:hAnsi="Verdana" w:cs="Arial"/>
          <w:color w:val="000000"/>
          <w:lang w:val="es-ES"/>
        </w:rPr>
        <w:t xml:space="preserve">respecto, </w:t>
      </w:r>
      <w:r w:rsidRPr="00C13712">
        <w:rPr>
          <w:rFonts w:ascii="Verdana" w:hAnsi="Verdana" w:cs="Arial"/>
          <w:color w:val="000000" w:themeColor="text1"/>
          <w:lang w:val="es-ES_tradnl"/>
        </w:rPr>
        <w:t>en sentencia del 26 de julio de 2011, la Sección Tercera sostuvo:</w:t>
      </w:r>
    </w:p>
    <w:p w14:paraId="0CB819D4" w14:textId="77777777" w:rsidR="0031491B" w:rsidRPr="00C13712" w:rsidRDefault="0031491B" w:rsidP="0031491B">
      <w:pPr>
        <w:ind w:left="709" w:right="709"/>
        <w:jc w:val="both"/>
        <w:rPr>
          <w:rFonts w:ascii="Verdana" w:hAnsi="Verdana" w:cs="Arial"/>
          <w:bCs/>
          <w:sz w:val="20"/>
          <w:szCs w:val="20"/>
        </w:rPr>
      </w:pPr>
      <w:r w:rsidRPr="00C13712">
        <w:rPr>
          <w:rFonts w:ascii="Verdana" w:hAnsi="Verdana" w:cs="Arial"/>
          <w:bCs/>
          <w:sz w:val="20"/>
          <w:szCs w:val="20"/>
        </w:rPr>
        <w:t xml:space="preserve">“(…) en vigencia de la ley 80 original –que rigió el proceso de selección </w:t>
      </w:r>
      <w:r w:rsidRPr="00C13712">
        <w:rPr>
          <w:rFonts w:ascii="Verdana" w:hAnsi="Verdana" w:cs="Arial"/>
          <w:bCs/>
          <w:i/>
          <w:sz w:val="20"/>
          <w:szCs w:val="20"/>
        </w:rPr>
        <w:t>sub iudice</w:t>
      </w:r>
      <w:r w:rsidRPr="00C13712">
        <w:rPr>
          <w:rFonts w:ascii="Verdana" w:hAnsi="Verdana" w:cs="Arial"/>
          <w:bCs/>
          <w:sz w:val="20"/>
          <w:szCs w:val="20"/>
        </w:rPr>
        <w:t xml:space="preserve">- la noción de bienes para la defensa y seguridad nacional fue un concepto jurídico indeterminado, </w:t>
      </w:r>
      <w:r w:rsidRPr="00C13712">
        <w:rPr>
          <w:rFonts w:ascii="Verdana" w:hAnsi="Verdana" w:cs="Arial"/>
          <w:bCs/>
          <w:i/>
          <w:iCs/>
          <w:sz w:val="20"/>
          <w:szCs w:val="20"/>
        </w:rPr>
        <w:t>cuyo alcance, como acontece normalmente con estas nociones vagas y amplias, suele quedar en manos del operador jurídico del caso, que tiene el deber de precisar su contenido para aplicarlo al asunto concreto</w:t>
      </w:r>
      <w:r w:rsidRPr="00C13712">
        <w:rPr>
          <w:rFonts w:ascii="Verdana" w:hAnsi="Verdana" w:cs="Arial"/>
          <w:bCs/>
          <w:sz w:val="20"/>
          <w:szCs w:val="20"/>
        </w:rPr>
        <w:t>. Claro está que luego procede el control judicial sobre los actos que definen el tema, y será el juez quien determinará la corrección o incorrección que la administración hace de su alcance</w:t>
      </w:r>
      <w:r w:rsidRPr="00C13712">
        <w:rPr>
          <w:rFonts w:ascii="Verdana" w:hAnsi="Verdana"/>
          <w:sz w:val="20"/>
          <w:szCs w:val="20"/>
          <w:vertAlign w:val="superscript"/>
        </w:rPr>
        <w:footnoteReference w:id="9"/>
      </w:r>
      <w:r w:rsidRPr="00C13712">
        <w:rPr>
          <w:rFonts w:ascii="Verdana" w:hAnsi="Verdana" w:cs="Arial"/>
          <w:bCs/>
          <w:sz w:val="20"/>
          <w:szCs w:val="20"/>
        </w:rPr>
        <w:t>”. (Énfasis por fuera de texto)</w:t>
      </w:r>
    </w:p>
    <w:p w14:paraId="0DC38268" w14:textId="77777777" w:rsidR="0031491B" w:rsidRPr="00C13712" w:rsidRDefault="0031491B" w:rsidP="0031491B">
      <w:pPr>
        <w:spacing w:line="276" w:lineRule="auto"/>
        <w:ind w:firstLine="709"/>
        <w:jc w:val="both"/>
        <w:rPr>
          <w:rFonts w:ascii="Verdana" w:hAnsi="Verdana" w:cs="Arial"/>
          <w:color w:val="000000" w:themeColor="text1"/>
          <w:lang w:val="es-ES_tradnl"/>
        </w:rPr>
      </w:pPr>
      <w:r w:rsidRPr="00C13712">
        <w:rPr>
          <w:rFonts w:ascii="Verdana" w:eastAsia="Calibri" w:hAnsi="Verdana" w:cs="Arial"/>
          <w:color w:val="000000"/>
          <w:lang w:val="es-ES"/>
        </w:rPr>
        <w:t xml:space="preserve">Asimismo, </w:t>
      </w:r>
      <w:r w:rsidRPr="00C13712">
        <w:rPr>
          <w:rFonts w:ascii="Verdana" w:hAnsi="Verdana" w:cs="Arial"/>
          <w:color w:val="000000" w:themeColor="text1"/>
          <w:lang w:val="es-ES_tradnl"/>
        </w:rPr>
        <w:t>en la sentencia del 23 de julio de 2015, la Sección Tercera indicó:</w:t>
      </w:r>
    </w:p>
    <w:p w14:paraId="206E7F96" w14:textId="77777777" w:rsidR="0031491B" w:rsidRPr="00C13712" w:rsidRDefault="0031491B" w:rsidP="0031491B">
      <w:pPr>
        <w:ind w:left="709" w:right="709"/>
        <w:jc w:val="both"/>
        <w:rPr>
          <w:rFonts w:ascii="Verdana" w:hAnsi="Verdana" w:cs="Arial"/>
          <w:sz w:val="20"/>
          <w:szCs w:val="20"/>
          <w:lang w:val="es-ES" w:eastAsia="es-ES"/>
        </w:rPr>
      </w:pPr>
      <w:r w:rsidRPr="0403F7D0">
        <w:rPr>
          <w:rFonts w:ascii="Verdana" w:hAnsi="Verdana" w:cs="Arial"/>
          <w:sz w:val="20"/>
          <w:szCs w:val="20"/>
          <w:lang w:val="es-ES" w:eastAsia="es-ES"/>
        </w:rPr>
        <w:t xml:space="preserve">La defensa y seguridad nacional son </w:t>
      </w:r>
      <w:r w:rsidRPr="0403F7D0">
        <w:rPr>
          <w:rFonts w:ascii="Verdana" w:hAnsi="Verdana" w:cs="Arial"/>
          <w:i/>
          <w:sz w:val="20"/>
          <w:szCs w:val="20"/>
          <w:lang w:val="es-ES" w:eastAsia="es-ES"/>
        </w:rPr>
        <w:t>conceptos normativos indeterminados</w:t>
      </w:r>
      <w:r w:rsidRPr="0403F7D0">
        <w:rPr>
          <w:rFonts w:ascii="Verdana" w:hAnsi="Verdana" w:cs="Arial"/>
          <w:sz w:val="20"/>
          <w:szCs w:val="20"/>
          <w:lang w:val="es-ES" w:eastAsia="es-ES"/>
        </w:rPr>
        <w:t xml:space="preserve"> que adquieren significación conforme el contexto social, cultural y económico que, en cualquier caso, reflejará las necesidades de una colectividad en una circunstancia espacio-temporal definida. Como concepto anfibológico requiere de un contexto específico que permita nutrirlo de contenido, de suerte que cada realidad social le dará un sentido particular. Son conceptos simbióticos pues se sirven mutuamente y la acción de uno afecta al otro, por manera que su adecuado entendimiento merece un tratamiento unívoco. </w:t>
      </w:r>
    </w:p>
    <w:p w14:paraId="4A2172FC" w14:textId="77777777" w:rsidR="0031491B" w:rsidRPr="00C13712" w:rsidRDefault="0031491B" w:rsidP="0031491B">
      <w:pPr>
        <w:ind w:left="709" w:right="709"/>
        <w:jc w:val="both"/>
        <w:rPr>
          <w:rFonts w:ascii="Verdana" w:hAnsi="Verdana" w:cs="Arial"/>
          <w:sz w:val="20"/>
          <w:szCs w:val="20"/>
          <w:lang w:val="es-ES_tradnl" w:eastAsia="es-ES"/>
        </w:rPr>
      </w:pPr>
      <w:r w:rsidRPr="00C13712">
        <w:rPr>
          <w:rFonts w:ascii="Verdana" w:hAnsi="Verdana" w:cs="Arial"/>
          <w:sz w:val="20"/>
          <w:szCs w:val="20"/>
          <w:lang w:val="es-ES_tradnl" w:eastAsia="es-ES"/>
        </w:rPr>
        <w:t xml:space="preserve">El núcleo básico de la expresión se encuentra en la razón misma del Estado, como pacto político garante de la vida, honra y bienes de las personas, por manera que a través de la defensa y seguridad nacional se busca obtener el bienestar de los ciudadanos y la estabilidad misma del Estado. Es un concepto base sobre el que se construye la estrategia del Estado para proteger a los ciudadanos y rebaza, en mucho, </w:t>
      </w:r>
      <w:r w:rsidRPr="00C13712">
        <w:rPr>
          <w:rFonts w:ascii="Verdana" w:hAnsi="Verdana" w:cs="Arial"/>
          <w:i/>
          <w:sz w:val="20"/>
          <w:szCs w:val="20"/>
          <w:lang w:val="es-ES_tradnl" w:eastAsia="es-ES"/>
        </w:rPr>
        <w:t>el criterio conforme al cual la seguridad es apenas un conjunto de dispositivos para la guerra</w:t>
      </w:r>
      <w:r w:rsidRPr="00C13712">
        <w:rPr>
          <w:rFonts w:ascii="Verdana" w:hAnsi="Verdana" w:cs="Arial"/>
          <w:sz w:val="20"/>
          <w:szCs w:val="20"/>
          <w:lang w:val="es-ES_tradnl" w:eastAsia="es-ES"/>
        </w:rPr>
        <w:t xml:space="preserve">: es un fenómeno que, dadas las condiciones actuales de nuestras </w:t>
      </w:r>
      <w:r w:rsidRPr="00C13712">
        <w:rPr>
          <w:rFonts w:ascii="Verdana" w:hAnsi="Verdana" w:cs="Arial"/>
          <w:sz w:val="20"/>
          <w:szCs w:val="20"/>
          <w:lang w:val="es-ES_tradnl" w:eastAsia="es-ES"/>
        </w:rPr>
        <w:lastRenderedPageBreak/>
        <w:t>sociedades, puede referir, incluso, a asuntos económicos, energéticos, ambientales y hasta de salud pública</w:t>
      </w:r>
      <w:r w:rsidRPr="00C13712">
        <w:rPr>
          <w:rFonts w:ascii="Verdana" w:hAnsi="Verdana"/>
          <w:sz w:val="20"/>
          <w:szCs w:val="20"/>
          <w:vertAlign w:val="superscript"/>
        </w:rPr>
        <w:footnoteReference w:id="10"/>
      </w:r>
      <w:r w:rsidRPr="00C13712">
        <w:rPr>
          <w:rFonts w:ascii="Verdana" w:hAnsi="Verdana" w:cs="Arial"/>
          <w:sz w:val="20"/>
          <w:szCs w:val="20"/>
          <w:lang w:val="es-ES_tradnl" w:eastAsia="es-ES"/>
        </w:rPr>
        <w:t>.</w:t>
      </w:r>
    </w:p>
    <w:p w14:paraId="0045110E" w14:textId="77777777" w:rsidR="0031491B" w:rsidRPr="00C13712" w:rsidRDefault="0031491B" w:rsidP="0031491B">
      <w:pPr>
        <w:spacing w:line="276" w:lineRule="auto"/>
        <w:ind w:firstLine="709"/>
        <w:jc w:val="both"/>
        <w:rPr>
          <w:rFonts w:ascii="Verdana" w:eastAsia="Calibri" w:hAnsi="Verdana" w:cs="Arial"/>
          <w:color w:val="000000"/>
          <w:lang w:val="es-ES"/>
        </w:rPr>
      </w:pPr>
      <w:r w:rsidRPr="00C13712">
        <w:rPr>
          <w:rFonts w:ascii="Verdana" w:eastAsia="Calibri" w:hAnsi="Verdana" w:cs="Arial"/>
          <w:color w:val="000000"/>
          <w:lang w:val="es-ES"/>
        </w:rPr>
        <w:t xml:space="preserve">Con base en lo anterior, la jurisprudencia administrativa ha considerado que, a pesar de la amplitud del significado de la defensa y la seguridad nacional, desde una visión sistemática, no todas las entidades públicas pueden decidir libremente sobre el uso de la causal del literal i) del numeral 2 del artículo 2 de la Ley 1150 de 2007 para adquirir bienes y servicios destinados a la defensa y seguridad nacional. En efecto, la Sección Tercera del Consejo de Estado ha considerado que es necesario tener en cuenta el marco de competencias de las entidades públicas, para analizar el objeto, los cometidos y las funciones atribuidas por el ordenamiento jurídico, con miras a dilucidar si determinada entidad pública del </w:t>
      </w:r>
      <w:r w:rsidRPr="00C13712">
        <w:rPr>
          <w:rFonts w:ascii="Verdana" w:eastAsia="Calibri" w:hAnsi="Verdana" w:cs="Arial"/>
          <w:i/>
          <w:iCs/>
          <w:color w:val="000000"/>
          <w:lang w:val="es-ES"/>
        </w:rPr>
        <w:t>orden nacional</w:t>
      </w:r>
      <w:r w:rsidRPr="00C13712">
        <w:rPr>
          <w:rFonts w:ascii="Verdana" w:eastAsia="Calibri" w:hAnsi="Verdana" w:cs="Arial"/>
          <w:color w:val="000000"/>
          <w:lang w:val="es-ES"/>
        </w:rPr>
        <w:t xml:space="preserve"> está a cargo de la conservación y manejo del orden público. Lo anterior porque existen precisas autoridades, instituciones y organismos del Estado que tienen competencias en todo el espectro territorial para asumir la defensa y seguridad nacional, </w:t>
      </w:r>
      <w:r w:rsidRPr="00C13712">
        <w:rPr>
          <w:rFonts w:ascii="Verdana" w:eastAsia="Arial" w:hAnsi="Verdana" w:cs="Arial"/>
          <w:lang w:val="es-ES"/>
        </w:rPr>
        <w:t>“</w:t>
      </w:r>
      <w:r w:rsidRPr="00C13712">
        <w:rPr>
          <w:rFonts w:ascii="Verdana" w:eastAsia="Calibri" w:hAnsi="Verdana" w:cs="Arial"/>
          <w:color w:val="000000"/>
          <w:lang w:val="es-ES"/>
        </w:rPr>
        <w:t xml:space="preserve">lo cual permite distinguir este concepto de, por ejemplo, aquel otro de seguridad ciudadana, en el que podrían intervenir entidades del </w:t>
      </w:r>
      <w:r w:rsidRPr="00C13712">
        <w:rPr>
          <w:rFonts w:ascii="Verdana" w:eastAsia="Calibri" w:hAnsi="Verdana" w:cs="Arial"/>
          <w:i/>
          <w:iCs/>
          <w:color w:val="000000"/>
          <w:lang w:val="es-ES"/>
        </w:rPr>
        <w:t>orden territorial</w:t>
      </w:r>
      <w:r w:rsidRPr="00C13712">
        <w:rPr>
          <w:rFonts w:ascii="Verdana" w:eastAsia="Calibri" w:hAnsi="Verdana" w:cs="Arial"/>
          <w:color w:val="000000"/>
        </w:rPr>
        <w:t>”</w:t>
      </w:r>
      <w:r w:rsidRPr="00C13712">
        <w:rPr>
          <w:rFonts w:ascii="Verdana" w:eastAsia="Calibri" w:hAnsi="Verdana" w:cs="Arial"/>
          <w:color w:val="000000"/>
          <w:vertAlign w:val="superscript"/>
          <w:lang w:val="es-ES"/>
        </w:rPr>
        <w:footnoteReference w:id="11"/>
      </w:r>
      <w:r w:rsidRPr="00C13712">
        <w:rPr>
          <w:rFonts w:ascii="Verdana" w:eastAsia="Calibri" w:hAnsi="Verdana" w:cs="Arial"/>
          <w:color w:val="000000"/>
        </w:rPr>
        <w:t>.</w:t>
      </w:r>
      <w:r w:rsidRPr="00C13712">
        <w:rPr>
          <w:rFonts w:ascii="Verdana" w:eastAsia="Calibri" w:hAnsi="Verdana" w:cs="Arial"/>
          <w:color w:val="000000"/>
          <w:lang w:val="es-ES"/>
        </w:rPr>
        <w:t xml:space="preserve"> </w:t>
      </w:r>
    </w:p>
    <w:p w14:paraId="74AC01F3" w14:textId="77777777" w:rsidR="0031491B" w:rsidRPr="003E5E57" w:rsidRDefault="0031491B" w:rsidP="0031491B">
      <w:pPr>
        <w:spacing w:after="120" w:line="276" w:lineRule="auto"/>
        <w:ind w:firstLine="709"/>
        <w:jc w:val="both"/>
        <w:rPr>
          <w:rFonts w:ascii="Verdana" w:eastAsia="Calibri" w:hAnsi="Verdana" w:cs="Arial"/>
          <w:color w:val="000000"/>
          <w:lang w:val="es-ES"/>
        </w:rPr>
      </w:pPr>
      <w:r w:rsidRPr="003E5E57">
        <w:rPr>
          <w:rFonts w:ascii="Verdana" w:eastAsia="Calibri" w:hAnsi="Verdana" w:cs="Arial"/>
          <w:color w:val="000000"/>
          <w:lang w:val="es-ES"/>
        </w:rPr>
        <w:t xml:space="preserve">Además, el Consejo de Estado, al revisar lo dispuesto en el artículo </w:t>
      </w:r>
      <w:r w:rsidRPr="003E5E57">
        <w:rPr>
          <w:rFonts w:ascii="Verdana" w:eastAsia="Calibri" w:hAnsi="Verdana" w:cs="Arial"/>
          <w:color w:val="000000"/>
        </w:rPr>
        <w:t>53 del Decreto 2474 de 2008 que regulaba los bienes y servicios para la defensa y seguridad nacional</w:t>
      </w:r>
      <w:r w:rsidRPr="003E5E57">
        <w:rPr>
          <w:rFonts w:ascii="Verdana" w:eastAsia="Calibri" w:hAnsi="Verdana" w:cs="Arial"/>
          <w:color w:val="000000"/>
          <w:lang w:val="es-ES"/>
        </w:rPr>
        <w:t xml:space="preserve"> y determinaba un listado de entidades del orden nacional </w:t>
      </w:r>
      <w:r w:rsidRPr="003E5E57">
        <w:rPr>
          <w:rFonts w:ascii="Verdana" w:eastAsia="Calibri" w:hAnsi="Verdana" w:cs="Arial"/>
          <w:color w:val="000000"/>
          <w:lang w:val="es-ES"/>
        </w:rPr>
        <w:lastRenderedPageBreak/>
        <w:t>facultadas para emplear la causal i) del numeral 2 del artículo 2 de la Ley 1150 de 2007</w:t>
      </w:r>
      <w:r w:rsidRPr="003E5E57">
        <w:rPr>
          <w:rFonts w:ascii="Verdana" w:eastAsia="Calibri" w:hAnsi="Verdana" w:cs="Arial"/>
          <w:color w:val="000000"/>
          <w:vertAlign w:val="superscript"/>
        </w:rPr>
        <w:footnoteReference w:id="12"/>
      </w:r>
      <w:r w:rsidRPr="003E5E57">
        <w:rPr>
          <w:rFonts w:ascii="Verdana" w:eastAsia="Calibri" w:hAnsi="Verdana" w:cs="Arial"/>
          <w:color w:val="000000"/>
        </w:rPr>
        <w:t xml:space="preserve">, </w:t>
      </w:r>
      <w:r w:rsidRPr="003E5E57">
        <w:rPr>
          <w:rFonts w:ascii="Verdana" w:eastAsia="Calibri" w:hAnsi="Verdana" w:cs="Arial"/>
          <w:color w:val="000000"/>
          <w:lang w:val="es-ES"/>
        </w:rPr>
        <w:t>precisó que “</w:t>
      </w:r>
      <w:r w:rsidRPr="003E5E57">
        <w:rPr>
          <w:rFonts w:ascii="Verdana" w:eastAsia="Calibri" w:hAnsi="Verdana" w:cs="Arial"/>
          <w:color w:val="000000"/>
          <w:lang w:val="es-ES_tradnl"/>
        </w:rPr>
        <w:t xml:space="preserve">Convertir en </w:t>
      </w:r>
      <w:r w:rsidRPr="003E5E57">
        <w:rPr>
          <w:rFonts w:ascii="Verdana" w:eastAsia="Calibri" w:hAnsi="Verdana" w:cs="Arial"/>
          <w:i/>
          <w:color w:val="000000"/>
          <w:lang w:val="es-ES_tradnl"/>
        </w:rPr>
        <w:t>numerus clausus</w:t>
      </w:r>
      <w:r w:rsidRPr="003E5E57">
        <w:rPr>
          <w:rFonts w:ascii="Verdana" w:eastAsia="Calibri" w:hAnsi="Verdana" w:cs="Arial"/>
          <w:color w:val="000000"/>
          <w:lang w:val="es-ES_tradnl"/>
        </w:rPr>
        <w:t xml:space="preserve"> aquello que por voluntad del Legislador es </w:t>
      </w:r>
      <w:r w:rsidRPr="003E5E57">
        <w:rPr>
          <w:rFonts w:ascii="Verdana" w:eastAsia="Calibri" w:hAnsi="Verdana" w:cs="Arial"/>
          <w:i/>
          <w:color w:val="000000"/>
          <w:lang w:val="es-ES_tradnl"/>
        </w:rPr>
        <w:t>numerus</w:t>
      </w:r>
      <w:r w:rsidRPr="003E5E57">
        <w:rPr>
          <w:rFonts w:ascii="Verdana" w:eastAsia="Calibri" w:hAnsi="Verdana" w:cs="Arial"/>
          <w:color w:val="000000"/>
          <w:lang w:val="es-ES_tradnl"/>
        </w:rPr>
        <w:t xml:space="preserve"> </w:t>
      </w:r>
      <w:r w:rsidRPr="003E5E57">
        <w:rPr>
          <w:rFonts w:ascii="Verdana" w:eastAsia="Calibri" w:hAnsi="Verdana" w:cs="Arial"/>
          <w:i/>
          <w:color w:val="000000"/>
          <w:lang w:val="es-ES_tradnl"/>
        </w:rPr>
        <w:t>apertus</w:t>
      </w:r>
      <w:r w:rsidRPr="003E5E57">
        <w:rPr>
          <w:rFonts w:ascii="Verdana" w:eastAsia="Calibri" w:hAnsi="Verdana" w:cs="Arial"/>
          <w:color w:val="000000"/>
          <w:lang w:val="es-ES_tradnl"/>
        </w:rPr>
        <w:t xml:space="preserve"> comporta una evidente transgresión a los límites de la potestad reglamentaria, en tanto se ejerce confrontando los dictados legales que se dice desarrollar conforme con una facultad </w:t>
      </w:r>
      <w:r w:rsidRPr="003E5E57">
        <w:rPr>
          <w:rFonts w:ascii="Verdana" w:eastAsia="Calibri" w:hAnsi="Verdana" w:cs="Arial"/>
          <w:i/>
          <w:color w:val="000000"/>
          <w:lang w:val="es-ES_tradnl"/>
        </w:rPr>
        <w:t>sublegal</w:t>
      </w:r>
      <w:r w:rsidRPr="003E5E57">
        <w:rPr>
          <w:rFonts w:ascii="Verdana" w:eastAsia="Calibri" w:hAnsi="Verdana" w:cs="Arial"/>
          <w:color w:val="000000"/>
          <w:lang w:val="es-ES_tradnl"/>
        </w:rPr>
        <w:t>, se invade la órbita del legislador al pretender darle rango legal a aquello que por su naturaleza no lo tiene y, por contera, se desquicia, con tal actitud, el ordenamiento constitucional”</w:t>
      </w:r>
      <w:r w:rsidRPr="003E5E57">
        <w:rPr>
          <w:rFonts w:ascii="Verdana" w:eastAsia="Calibri" w:hAnsi="Verdana" w:cs="Arial"/>
          <w:color w:val="000000"/>
          <w:vertAlign w:val="superscript"/>
          <w:lang w:val="es-ES_tradnl"/>
        </w:rPr>
        <w:footnoteReference w:id="13"/>
      </w:r>
      <w:r w:rsidRPr="003E5E57">
        <w:rPr>
          <w:rFonts w:ascii="Verdana" w:eastAsia="Calibri" w:hAnsi="Verdana" w:cs="Arial"/>
          <w:color w:val="000000"/>
          <w:lang w:val="es-ES_tradnl"/>
        </w:rPr>
        <w:t>.</w:t>
      </w:r>
    </w:p>
    <w:p w14:paraId="05D3CC81" w14:textId="77777777" w:rsidR="0031491B" w:rsidRPr="003E5E57" w:rsidRDefault="0031491B" w:rsidP="0031491B">
      <w:pPr>
        <w:spacing w:after="120" w:line="276" w:lineRule="auto"/>
        <w:ind w:firstLine="709"/>
        <w:jc w:val="both"/>
        <w:rPr>
          <w:rFonts w:ascii="Verdana" w:eastAsia="Arial" w:hAnsi="Verdana" w:cs="Arial"/>
          <w:lang w:val="es-ES"/>
        </w:rPr>
      </w:pPr>
      <w:r w:rsidRPr="003E5E57">
        <w:rPr>
          <w:rFonts w:ascii="Verdana" w:eastAsia="Calibri" w:hAnsi="Verdana" w:cs="Arial"/>
          <w:color w:val="000000"/>
          <w:lang w:val="es-ES"/>
        </w:rPr>
        <w:t xml:space="preserve">Igualmente, para el Consejo de Estado, cuando el legislador ideó la causal i) del numeral 2 del artículo 2 de la Ley 1150 de 2007 para escoger por selección abreviada al proveedor de bienes y servicios que se requieran para la defensa y seguridad nacional plasmó un criterio finalista –para– y otro de necesidad –requerido–, según la redacción y sintaxis de la causal. Por tanto, esos mismos criterios deben inspirar la interpretación y aplicación de la norma y de esta forma </w:t>
      </w:r>
      <w:r w:rsidRPr="003E5E57">
        <w:rPr>
          <w:rFonts w:ascii="Verdana" w:eastAsia="Arial" w:hAnsi="Verdana" w:cs="Arial"/>
          <w:lang w:val="es-ES"/>
        </w:rPr>
        <w:t>“le atañe a la entidad del orden nacional contratante respectiva, en cada caso, el deber de establecer la relación existente entre los bienes y servicios específicos a adquirir, la satisfacción de las necesidades que ellos procurarán para la defensa y seguridad nacional y las funciones a su cargo</w:t>
      </w:r>
      <w:r w:rsidRPr="003E5E57">
        <w:rPr>
          <w:rFonts w:ascii="Verdana" w:eastAsia="Calibri" w:hAnsi="Verdana" w:cs="Arial"/>
          <w:color w:val="000000"/>
        </w:rPr>
        <w:t>”</w:t>
      </w:r>
      <w:r w:rsidRPr="003E5E57">
        <w:rPr>
          <w:rFonts w:ascii="Verdana" w:eastAsia="Calibri" w:hAnsi="Verdana" w:cs="Arial"/>
          <w:color w:val="000000"/>
          <w:vertAlign w:val="superscript"/>
        </w:rPr>
        <w:footnoteReference w:id="14"/>
      </w:r>
      <w:r w:rsidRPr="003E5E57">
        <w:rPr>
          <w:rFonts w:ascii="Verdana" w:eastAsia="Calibri" w:hAnsi="Verdana" w:cs="Arial"/>
          <w:color w:val="000000"/>
        </w:rPr>
        <w:t xml:space="preserve">. Dicho juicio </w:t>
      </w:r>
      <w:r w:rsidRPr="003E5E57">
        <w:rPr>
          <w:rFonts w:ascii="Verdana" w:eastAsia="Calibri" w:hAnsi="Verdana" w:cs="Arial"/>
          <w:color w:val="000000"/>
        </w:rPr>
        <w:lastRenderedPageBreak/>
        <w:t xml:space="preserve">de adecuación sirve para determinar la necesidad de los bienes que debe realizarse en la etapa precontractual del proceso de contratación y servirá para cumplir con la justificación de la causal prevista, tanto en el </w:t>
      </w:r>
      <w:r w:rsidRPr="003E5E57">
        <w:rPr>
          <w:rFonts w:ascii="Verdana" w:eastAsia="Arial" w:hAnsi="Verdana" w:cs="Arial"/>
          <w:lang w:val="es-ES"/>
        </w:rPr>
        <w:t xml:space="preserve">parágrafo 1° del artículo 2 de la Ley 1150 de 2007 como en el artículo </w:t>
      </w:r>
      <w:r w:rsidRPr="003E5E57">
        <w:rPr>
          <w:rFonts w:ascii="Verdana" w:eastAsia="Calibri" w:hAnsi="Verdana" w:cs="Arial"/>
          <w:color w:val="000000"/>
          <w:lang w:val="es-ES"/>
        </w:rPr>
        <w:t>2.2.1.2.1.2.26 del Decreto 1082 de 2015</w:t>
      </w:r>
      <w:r w:rsidRPr="003E5E57">
        <w:rPr>
          <w:rFonts w:ascii="Verdana" w:eastAsia="Arial" w:hAnsi="Verdana" w:cs="Arial"/>
          <w:lang w:val="es-ES"/>
        </w:rPr>
        <w:t xml:space="preserve">. </w:t>
      </w:r>
    </w:p>
    <w:p w14:paraId="29593114" w14:textId="77777777" w:rsidR="0031491B" w:rsidRDefault="0031491B" w:rsidP="0031491B">
      <w:pPr>
        <w:spacing w:after="120" w:line="276" w:lineRule="auto"/>
        <w:ind w:firstLine="709"/>
        <w:jc w:val="both"/>
        <w:rPr>
          <w:rFonts w:ascii="Verdana" w:hAnsi="Verdana" w:cs="Arial"/>
          <w:lang w:val="es-ES_tradnl" w:eastAsia="es-ES"/>
        </w:rPr>
      </w:pPr>
      <w:r w:rsidRPr="003E5E57">
        <w:rPr>
          <w:rFonts w:ascii="Verdana" w:eastAsia="Arial" w:hAnsi="Verdana" w:cs="Arial"/>
          <w:lang w:val="es-ES" w:eastAsia="es-ES_tradnl"/>
        </w:rPr>
        <w:t xml:space="preserve">Así las cosas, la tesis actual de la jurisprudencia de lo contencioso administrativo en relación con esta causal de selección abreviada, consiste en considerar que es aplicable por entidades del </w:t>
      </w:r>
      <w:r w:rsidRPr="003E5E57">
        <w:rPr>
          <w:rFonts w:ascii="Verdana" w:eastAsia="Arial" w:hAnsi="Verdana" w:cs="Arial"/>
          <w:i/>
          <w:iCs/>
          <w:lang w:val="es-ES" w:eastAsia="es-ES_tradnl"/>
        </w:rPr>
        <w:t>orden nacional</w:t>
      </w:r>
      <w:r w:rsidRPr="003E5E57">
        <w:rPr>
          <w:rFonts w:ascii="Verdana" w:eastAsia="Arial" w:hAnsi="Verdana" w:cs="Arial"/>
          <w:lang w:val="es-ES" w:eastAsia="es-ES_tradnl"/>
        </w:rPr>
        <w:t xml:space="preserve"> que conforme a las funciones y competencias a su cargo requieran bienes y servicios para satisfacer necesidades que tengan como finalidad la defensa y seguridad nacional. De esta forma, si bien se hace referencia a las entidades del </w:t>
      </w:r>
      <w:r w:rsidRPr="003E5E57">
        <w:rPr>
          <w:rFonts w:ascii="Verdana" w:eastAsia="Arial" w:hAnsi="Verdana" w:cs="Arial"/>
          <w:i/>
          <w:iCs/>
          <w:lang w:val="es-ES" w:eastAsia="es-ES_tradnl"/>
        </w:rPr>
        <w:t>orden nacional,</w:t>
      </w:r>
      <w:r w:rsidRPr="003E5E57">
        <w:rPr>
          <w:rFonts w:ascii="Verdana" w:eastAsia="Arial" w:hAnsi="Verdana" w:cs="Arial"/>
          <w:lang w:val="es-ES" w:eastAsia="es-ES_tradnl"/>
        </w:rPr>
        <w:t xml:space="preserve"> no se establece un listado de las entidades que pueden emplear esta causal de contratación</w:t>
      </w:r>
      <w:r>
        <w:rPr>
          <w:rFonts w:ascii="Verdana" w:eastAsia="Arial" w:hAnsi="Verdana" w:cs="Arial"/>
          <w:lang w:val="es-ES" w:eastAsia="es-ES_tradnl"/>
        </w:rPr>
        <w:t xml:space="preserve"> porque la norma no lo dispone</w:t>
      </w:r>
      <w:r w:rsidRPr="003E5E57">
        <w:rPr>
          <w:rFonts w:ascii="Verdana" w:eastAsia="Arial" w:hAnsi="Verdana" w:cs="Arial"/>
          <w:lang w:val="es-ES" w:eastAsia="es-ES_tradnl"/>
        </w:rPr>
        <w:t>. En este contexto, la jurisprudencia es enfática en señalar que debido que el concepto de defensa y seguridad nacional es indeterminado</w:t>
      </w:r>
      <w:r w:rsidRPr="003E5E57">
        <w:rPr>
          <w:rFonts w:ascii="Verdana" w:hAnsi="Verdana" w:cs="Arial"/>
          <w:lang w:val="es-ES_tradnl" w:eastAsia="es-ES"/>
        </w:rPr>
        <w:t xml:space="preserve">, en cada caso, se deberá estimar si el marco competencial de una entidad del </w:t>
      </w:r>
      <w:r w:rsidRPr="003E5E57">
        <w:rPr>
          <w:rFonts w:ascii="Verdana" w:hAnsi="Verdana" w:cs="Arial"/>
          <w:i/>
          <w:iCs/>
          <w:lang w:val="es-ES_tradnl" w:eastAsia="es-ES"/>
        </w:rPr>
        <w:t>orden nacional</w:t>
      </w:r>
      <w:r w:rsidRPr="003E5E57">
        <w:rPr>
          <w:rFonts w:ascii="Verdana" w:hAnsi="Verdana" w:cs="Arial"/>
          <w:lang w:val="es-ES_tradnl" w:eastAsia="es-ES"/>
        </w:rPr>
        <w:t xml:space="preserve"> resulta compresivo de actividades tendientes a garantizar la defensa y la seguridad nacional.</w:t>
      </w:r>
      <w:r>
        <w:rPr>
          <w:rFonts w:ascii="Verdana" w:hAnsi="Verdana" w:cs="Arial"/>
          <w:lang w:val="es-ES_tradnl" w:eastAsia="es-ES"/>
        </w:rPr>
        <w:t xml:space="preserve"> Esto implica señalar que en principio dicha causal no es aplicable por entidades del orden territorial, </w:t>
      </w:r>
      <w:r w:rsidRPr="00FF7F5F">
        <w:rPr>
          <w:rFonts w:ascii="Verdana" w:hAnsi="Verdana" w:cs="Arial"/>
          <w:lang w:val="es-ES_tradnl" w:eastAsia="es-ES"/>
        </w:rPr>
        <w:t>las cuales</w:t>
      </w:r>
      <w:r w:rsidRPr="00FB1704">
        <w:rPr>
          <w:rFonts w:ascii="Verdana" w:hAnsi="Verdana" w:cs="Arial"/>
          <w:lang w:val="es-ES_tradnl" w:eastAsia="es-ES"/>
        </w:rPr>
        <w:t>, por su competencia, ejercen funciones relacionadas con la seguridad ciudadana</w:t>
      </w:r>
      <w:r w:rsidRPr="009A2BE0">
        <w:rPr>
          <w:rFonts w:ascii="Verdana" w:hAnsi="Verdana" w:cs="Arial"/>
          <w:lang w:val="es-ES_tradnl" w:eastAsia="es-ES"/>
        </w:rPr>
        <w:t>, categoría conceptual que no se asimila a la defensa y seguridad nacional, como se expuso previamente</w:t>
      </w:r>
      <w:r>
        <w:rPr>
          <w:rFonts w:ascii="Verdana" w:hAnsi="Verdana" w:cs="Arial"/>
          <w:lang w:val="es-ES_tradnl" w:eastAsia="es-ES"/>
        </w:rPr>
        <w:t xml:space="preserve">. </w:t>
      </w:r>
    </w:p>
    <w:p w14:paraId="5DBC994A" w14:textId="77777777" w:rsidR="0031491B" w:rsidRPr="00F621F4" w:rsidRDefault="0031491B" w:rsidP="0031491B">
      <w:pPr>
        <w:spacing w:line="276" w:lineRule="auto"/>
        <w:ind w:firstLine="709"/>
        <w:jc w:val="both"/>
        <w:rPr>
          <w:rFonts w:ascii="Verdana" w:hAnsi="Verdana" w:cs="Arial"/>
          <w:color w:val="000000" w:themeColor="text1"/>
          <w:lang w:val="es-ES_tradnl"/>
        </w:rPr>
      </w:pPr>
      <w:r w:rsidRPr="00C13712">
        <w:rPr>
          <w:rFonts w:ascii="Verdana" w:hAnsi="Verdana" w:cs="Arial"/>
          <w:color w:val="000000" w:themeColor="text1"/>
          <w:lang w:val="es-ES_tradnl"/>
        </w:rPr>
        <w:t xml:space="preserve">Del anterior se concluye que la expresión “defensa y seguridad del Estado”, es un </w:t>
      </w:r>
      <w:r w:rsidRPr="00C13712">
        <w:rPr>
          <w:rFonts w:ascii="Verdana" w:hAnsi="Verdana" w:cs="Arial"/>
          <w:i/>
          <w:iCs/>
          <w:color w:val="000000" w:themeColor="text1"/>
          <w:lang w:val="es-ES_tradnl"/>
        </w:rPr>
        <w:t>concepto jurídico indeterminado</w:t>
      </w:r>
      <w:r w:rsidRPr="00C13712">
        <w:rPr>
          <w:rFonts w:ascii="Verdana" w:hAnsi="Verdana" w:cs="Arial"/>
          <w:color w:val="000000" w:themeColor="text1"/>
          <w:lang w:val="es-ES_tradnl"/>
        </w:rPr>
        <w:t xml:space="preserve"> que las entidades estatales deben aplicar teniendo en cuenta la situación fáctica particular. Para el alto tribunal, aquel es un concepto que debe interpretarse bajo una comprensión sistemática del orden público. Por lo tanto, al ser un concepto amplio e indeterminado, su concreción compete a las entidades estatales durante la planeación de los procesos de contratación que adelanten, por lo que no es posible establecer un listado de los bienes y servicios requeridos para la defensa y seguridad nacional. De igual manera, </w:t>
      </w:r>
      <w:r w:rsidRPr="00C13712">
        <w:rPr>
          <w:rFonts w:ascii="Verdana" w:hAnsi="Verdana" w:cs="Arial"/>
          <w:color w:val="000000" w:themeColor="text1"/>
        </w:rPr>
        <w:t xml:space="preserve">en el caso en que sea necesario cumplir con requisitos establecidos en una norma técnica, le corresponde a la entidad contratante determinar si los bienes o servicios a adquirir presentan características técnicas uniformes, en los términos del Decreto 1082 de 2015, o </w:t>
      </w:r>
      <w:r w:rsidRPr="00C13712">
        <w:rPr>
          <w:rFonts w:ascii="Verdana" w:hAnsi="Verdana" w:cs="Arial"/>
          <w:color w:val="000000" w:themeColor="text1"/>
        </w:rPr>
        <w:lastRenderedPageBreak/>
        <w:t xml:space="preserve">si, debido a su especialidad técnica, no es posible encuadrarlos dentro de esta categoría. En todo caso, la entidad deberá evaluar si los requisitos técnicos aplicables comparten patrones de desempeño y calidad o, por el contrario, si las particularidades técnicas de los bienes o servicios exigen un procedimiento distinto para su adquisición. </w:t>
      </w:r>
    </w:p>
    <w:p w14:paraId="2751A199" w14:textId="77777777" w:rsidR="0031491B" w:rsidRDefault="0031491B" w:rsidP="0031491B">
      <w:pPr>
        <w:spacing w:line="276" w:lineRule="auto"/>
        <w:ind w:firstLine="709"/>
        <w:jc w:val="both"/>
        <w:rPr>
          <w:rFonts w:ascii="Verdana" w:eastAsia="Calibri" w:hAnsi="Verdana" w:cs="Arial"/>
          <w:bCs/>
          <w:color w:val="000000" w:themeColor="text1"/>
        </w:rPr>
      </w:pPr>
      <w:r w:rsidRPr="00C13712">
        <w:rPr>
          <w:rFonts w:ascii="Verdana" w:hAnsi="Verdana" w:cs="Arial"/>
          <w:color w:val="000000" w:themeColor="text1"/>
        </w:rPr>
        <w:t xml:space="preserve">Vale aclarar que, como se expuso, </w:t>
      </w:r>
      <w:r w:rsidRPr="00C13712">
        <w:rPr>
          <w:rFonts w:ascii="Verdana" w:eastAsia="Calibri" w:hAnsi="Verdana" w:cs="Arial"/>
          <w:bCs/>
          <w:color w:val="000000" w:themeColor="text1"/>
          <w:lang w:val="es-ES_tradnl"/>
        </w:rPr>
        <w:t xml:space="preserve">la adquisición de bienes o servicios requeridos para la actividad de defensa y seguridad nacional debe realizarse mediante la selección abreviada de menor cuantía </w:t>
      </w:r>
      <w:r w:rsidRPr="00C13712">
        <w:rPr>
          <w:rFonts w:ascii="Verdana" w:eastAsia="Calibri" w:hAnsi="Verdana" w:cs="Arial"/>
          <w:bCs/>
          <w:color w:val="000000" w:themeColor="text1"/>
        </w:rPr>
        <w:t xml:space="preserve">señalada en el artículo 2.2.1.2.1.2.20 del Decreto 1082 de 2015. </w:t>
      </w:r>
      <w:r w:rsidRPr="002D6E60">
        <w:rPr>
          <w:rFonts w:ascii="Verdana" w:eastAsia="Calibri" w:hAnsi="Verdana" w:cs="Arial"/>
          <w:bCs/>
          <w:i/>
          <w:iCs/>
          <w:color w:val="000000" w:themeColor="text1"/>
        </w:rPr>
        <w:t>Si los bienes y servicios cuentan con características técnicas uniformes</w:t>
      </w:r>
      <w:r>
        <w:rPr>
          <w:rFonts w:ascii="Verdana" w:eastAsia="Calibri" w:hAnsi="Verdana" w:cs="Arial"/>
          <w:bCs/>
          <w:i/>
          <w:iCs/>
          <w:color w:val="000000" w:themeColor="text1"/>
        </w:rPr>
        <w:t xml:space="preserve"> y de común utilización</w:t>
      </w:r>
      <w:r w:rsidRPr="002D6E60">
        <w:rPr>
          <w:rFonts w:ascii="Verdana" w:eastAsia="Calibri" w:hAnsi="Verdana" w:cs="Arial"/>
          <w:bCs/>
          <w:i/>
          <w:iCs/>
          <w:color w:val="000000" w:themeColor="text1"/>
        </w:rPr>
        <w:t>,</w:t>
      </w:r>
      <w:r w:rsidRPr="00C42028">
        <w:rPr>
          <w:rFonts w:ascii="Verdana" w:eastAsia="Calibri" w:hAnsi="Verdana" w:cs="Arial"/>
          <w:bCs/>
          <w:color w:val="000000" w:themeColor="text1"/>
        </w:rPr>
        <w:t xml:space="preserve"> la entidad deberá utilizar el procedimiento de subasta inversa, compra por Catálogo derivado de la celebración de Acuerdos Marco de Precios o a través de bolsa de productos.</w:t>
      </w:r>
      <w:r w:rsidRPr="00C13712">
        <w:rPr>
          <w:rFonts w:ascii="Verdana" w:eastAsia="Calibri" w:hAnsi="Verdana" w:cs="Arial"/>
          <w:bCs/>
          <w:color w:val="000000" w:themeColor="text1"/>
        </w:rPr>
        <w:t xml:space="preserve"> </w:t>
      </w:r>
      <w:r w:rsidRPr="004F4D33">
        <w:rPr>
          <w:rFonts w:ascii="Verdana" w:eastAsia="Calibri" w:hAnsi="Verdana" w:cs="Arial"/>
          <w:bCs/>
          <w:color w:val="000000" w:themeColor="text1"/>
        </w:rPr>
        <w:t>En cualquier caso, en la etapa de planeación del proceso de contratación, la entidad deberá realizar un juicio de adecuación que le permita determinar la necesidad específica de los bienes y servicios a adquirir y sus condiciones técnicas. Este análisis será fundamental para establecer el procedimiento más adecuado y seleccionar la modalidad de contratación que corresponda, conforme a los parámetros normativos establecidos.</w:t>
      </w:r>
    </w:p>
    <w:p w14:paraId="01B12BC6" w14:textId="77777777" w:rsidR="0031491B" w:rsidRPr="00F074D0" w:rsidRDefault="0031491B" w:rsidP="0031491B">
      <w:pPr>
        <w:spacing w:line="276" w:lineRule="auto"/>
        <w:ind w:firstLine="709"/>
        <w:jc w:val="both"/>
        <w:rPr>
          <w:rFonts w:ascii="Verdana" w:eastAsia="Calibri" w:hAnsi="Verdana" w:cs="Arial"/>
          <w:bCs/>
          <w:color w:val="000000" w:themeColor="text1"/>
        </w:rPr>
      </w:pPr>
      <w:r w:rsidRPr="00F074D0">
        <w:rPr>
          <w:rFonts w:ascii="Verdana" w:eastAsia="Calibri" w:hAnsi="Verdana" w:cs="Arial"/>
          <w:bCs/>
          <w:color w:val="000000" w:themeColor="text1"/>
        </w:rPr>
        <w:t xml:space="preserve">En principio, la adquisición de bienes y servicios relacionados con la </w:t>
      </w:r>
      <w:r>
        <w:rPr>
          <w:rFonts w:ascii="Verdana" w:eastAsia="Calibri" w:hAnsi="Verdana" w:cs="Arial"/>
          <w:bCs/>
          <w:color w:val="000000" w:themeColor="text1"/>
        </w:rPr>
        <w:t xml:space="preserve">defensa y </w:t>
      </w:r>
      <w:r w:rsidRPr="00F074D0">
        <w:rPr>
          <w:rFonts w:ascii="Verdana" w:eastAsia="Calibri" w:hAnsi="Verdana" w:cs="Arial"/>
          <w:bCs/>
          <w:color w:val="000000" w:themeColor="text1"/>
        </w:rPr>
        <w:t>seguridad nacional se adelanta mediante la modalidad de selección abreviada, conforme a lo dispuesto en el literal i) del artículo 2.2 de la Ley 1150 de 2007. No obstante, en aquellos casos en los que la naturaleza de los bienes o servicios exige reserva para su adquisición, el legislador mantuvo la posibilidad de acudir a la contratación directa, prevista en los literales d) y j) del artículo 2.4 de la misma ley. Actualmente, ambos procedimientos de selección se encuentran regulados por el Decreto 1082 de 2015, particularmente en los artículos 2.2.1.2.1.2.26 y 2.2.1.2.1.4.6, que establecen las condiciones específicas para su aplicación.</w:t>
      </w:r>
      <w:r>
        <w:rPr>
          <w:rFonts w:ascii="Verdana" w:eastAsia="Calibri" w:hAnsi="Verdana" w:cs="Arial"/>
          <w:bCs/>
          <w:color w:val="000000" w:themeColor="text1"/>
        </w:rPr>
        <w:t xml:space="preserve"> </w:t>
      </w:r>
      <w:r w:rsidRPr="00F074D0">
        <w:rPr>
          <w:rFonts w:ascii="Verdana" w:eastAsia="Calibri" w:hAnsi="Verdana" w:cs="Arial"/>
          <w:bCs/>
          <w:color w:val="000000" w:themeColor="text1"/>
        </w:rPr>
        <w:t>Este aspecto será objeto de análisis en el próximo apartado, con el fin de revisar su alcance, las particularidades que lo caracterizan y las implicaciones que tiene en el marco del Estatuto General de Contratación de la Administración Pública</w:t>
      </w:r>
      <w:r>
        <w:rPr>
          <w:rFonts w:ascii="Verdana" w:eastAsia="Calibri" w:hAnsi="Verdana" w:cs="Arial"/>
          <w:bCs/>
          <w:color w:val="000000" w:themeColor="text1"/>
        </w:rPr>
        <w:t xml:space="preserve"> -EGCAP-. </w:t>
      </w:r>
    </w:p>
    <w:p w14:paraId="04E8FF75" w14:textId="77777777" w:rsidR="0031491B" w:rsidRPr="000C0086" w:rsidRDefault="0031491B" w:rsidP="0031491B">
      <w:pPr>
        <w:shd w:val="clear" w:color="auto" w:fill="FFFFFF"/>
        <w:spacing w:after="0" w:line="276" w:lineRule="auto"/>
        <w:jc w:val="both"/>
        <w:rPr>
          <w:rFonts w:ascii="Verdana" w:eastAsia="Times New Roman" w:hAnsi="Verdana" w:cs="Arial"/>
          <w:lang w:eastAsia="es-MX"/>
        </w:rPr>
      </w:pPr>
    </w:p>
    <w:p w14:paraId="799CEBA4" w14:textId="77777777" w:rsidR="0031491B" w:rsidRPr="007043FF" w:rsidRDefault="0031491B" w:rsidP="0031491B">
      <w:pPr>
        <w:spacing w:after="120" w:line="276" w:lineRule="auto"/>
        <w:jc w:val="both"/>
        <w:rPr>
          <w:rFonts w:ascii="Verdana" w:hAnsi="Verdana" w:cs="Arial"/>
          <w:lang w:eastAsia="es-MX"/>
        </w:rPr>
      </w:pPr>
      <w:r>
        <w:rPr>
          <w:rFonts w:ascii="Verdana" w:eastAsia="Times New Roman" w:hAnsi="Verdana" w:cs="Arial"/>
          <w:lang w:val="es-ES" w:eastAsia="es-MX"/>
        </w:rPr>
        <w:t xml:space="preserve">iii. </w:t>
      </w:r>
      <w:r w:rsidRPr="00FB7203">
        <w:rPr>
          <w:rFonts w:ascii="Verdana" w:hAnsi="Verdana" w:cs="Arial"/>
          <w:lang w:eastAsia="es-MX"/>
        </w:rPr>
        <w:t xml:space="preserve">En el marco de la modalidad de contratación directa regulada en el artículo 2.4. de la Ley 80 de 1993, se reconocen dos causales específicas: </w:t>
      </w:r>
      <w:r w:rsidRPr="00FB7203">
        <w:rPr>
          <w:rFonts w:ascii="Verdana" w:eastAsia="Times New Roman" w:hAnsi="Verdana" w:cs="Arial"/>
          <w:lang w:eastAsia="es-MX"/>
        </w:rPr>
        <w:t xml:space="preserve">i) La contratación de bienes y servicios en el sector Defensa que requieran reserva </w:t>
      </w:r>
      <w:r w:rsidRPr="00FB7203">
        <w:rPr>
          <w:rFonts w:ascii="Verdana" w:eastAsia="Times New Roman" w:hAnsi="Verdana" w:cs="Arial"/>
          <w:lang w:eastAsia="es-MX"/>
        </w:rPr>
        <w:lastRenderedPageBreak/>
        <w:t>para su adquisición regulada en el literal d. ii) La contratación de bienes y servicios de la Dirección Nacional de Inteligencia (DNI) que, igualmente, demanden reserva para su adquisición contemplada en el literal j).</w:t>
      </w:r>
      <w:r w:rsidRPr="00FB7203">
        <w:rPr>
          <w:rFonts w:ascii="Verdana" w:hAnsi="Verdana" w:cs="Arial"/>
          <w:lang w:eastAsia="es-MX"/>
        </w:rPr>
        <w:t xml:space="preserve"> </w:t>
      </w:r>
      <w:r w:rsidRPr="00FB7203">
        <w:rPr>
          <w:rFonts w:ascii="Verdana" w:eastAsia="Times New Roman" w:hAnsi="Verdana" w:cs="Arial"/>
          <w:lang w:eastAsia="es-MX"/>
        </w:rPr>
        <w:t>Cabe señalar que esta última causal fue adicionada por el artículo 125 de la Ley 1753 de 2015.</w:t>
      </w:r>
    </w:p>
    <w:p w14:paraId="1408F5FF" w14:textId="77777777" w:rsidR="0031491B" w:rsidRDefault="0031491B" w:rsidP="0031491B">
      <w:pPr>
        <w:spacing w:after="120" w:line="276" w:lineRule="auto"/>
        <w:ind w:firstLine="708"/>
        <w:jc w:val="both"/>
        <w:rPr>
          <w:rFonts w:ascii="Verdana" w:eastAsia="Times New Roman" w:hAnsi="Verdana" w:cs="Arial"/>
          <w:lang w:eastAsia="es-MX"/>
        </w:rPr>
      </w:pPr>
      <w:r>
        <w:rPr>
          <w:rFonts w:ascii="Verdana" w:eastAsia="Times New Roman" w:hAnsi="Verdana" w:cs="Arial"/>
          <w:lang w:val="es-ES" w:eastAsia="es-MX"/>
        </w:rPr>
        <w:t xml:space="preserve">La causal contemplada en </w:t>
      </w:r>
      <w:r>
        <w:rPr>
          <w:rFonts w:ascii="Verdana" w:eastAsia="Times New Roman" w:hAnsi="Verdana" w:cs="Arial"/>
          <w:lang w:eastAsia="es-MX"/>
        </w:rPr>
        <w:t>el literal d) del artículo 2.4 de la Ley 1150 de 2007 permite la contratación directa tratándose de la</w:t>
      </w:r>
      <w:r w:rsidRPr="00DB1EA1">
        <w:rPr>
          <w:rFonts w:ascii="Verdana" w:eastAsia="Times New Roman" w:hAnsi="Verdana" w:cs="Arial"/>
          <w:lang w:eastAsia="es-MX"/>
        </w:rPr>
        <w:t xml:space="preserve"> contratación de bienes y servicios en el sector </w:t>
      </w:r>
      <w:r>
        <w:rPr>
          <w:rFonts w:ascii="Verdana" w:eastAsia="Times New Roman" w:hAnsi="Verdana" w:cs="Arial"/>
          <w:lang w:eastAsia="es-MX"/>
        </w:rPr>
        <w:t>d</w:t>
      </w:r>
      <w:r w:rsidRPr="00DB1EA1">
        <w:rPr>
          <w:rFonts w:ascii="Verdana" w:eastAsia="Times New Roman" w:hAnsi="Verdana" w:cs="Arial"/>
          <w:lang w:eastAsia="es-MX"/>
        </w:rPr>
        <w:t>efensa que necesiten reserva para su adquisición</w:t>
      </w:r>
      <w:r>
        <w:rPr>
          <w:rFonts w:ascii="Verdana" w:eastAsia="Times New Roman" w:hAnsi="Verdana" w:cs="Arial"/>
          <w:lang w:eastAsia="es-MX"/>
        </w:rPr>
        <w:t>. Dicha causal se sujeta al cumplimiento de dos (2) requisitos: uno de carácter orgánico y otro de carácter material. Por un lado, los bienes o servicios deben ser adquiridos por entidades del sector defensa y, por otro, su adquisición debe ser reservada</w:t>
      </w:r>
      <w:r>
        <w:rPr>
          <w:rStyle w:val="Refdenotaalpie"/>
          <w:rFonts w:ascii="Verdana" w:eastAsia="Times New Roman" w:hAnsi="Verdana" w:cs="Arial"/>
          <w:lang w:eastAsia="es-MX"/>
        </w:rPr>
        <w:footnoteReference w:id="15"/>
      </w:r>
      <w:r>
        <w:rPr>
          <w:rFonts w:ascii="Verdana" w:eastAsia="Times New Roman" w:hAnsi="Verdana" w:cs="Arial"/>
          <w:lang w:eastAsia="es-MX"/>
        </w:rPr>
        <w:t>.</w:t>
      </w:r>
    </w:p>
    <w:p w14:paraId="36D1F2E8" w14:textId="77777777" w:rsidR="0031491B" w:rsidRDefault="0031491B" w:rsidP="0031491B">
      <w:pPr>
        <w:spacing w:after="120" w:line="276" w:lineRule="auto"/>
        <w:ind w:firstLine="709"/>
        <w:jc w:val="both"/>
        <w:rPr>
          <w:rFonts w:ascii="Verdana" w:eastAsia="Times New Roman" w:hAnsi="Verdana" w:cs="Arial"/>
          <w:lang w:eastAsia="es-MX"/>
        </w:rPr>
      </w:pPr>
      <w:r w:rsidRPr="00DB1EA1">
        <w:rPr>
          <w:rFonts w:ascii="Verdana" w:eastAsia="Times New Roman" w:hAnsi="Verdana" w:cs="Arial"/>
          <w:i/>
          <w:iCs/>
          <w:lang w:eastAsia="es-MX"/>
        </w:rPr>
        <w:t xml:space="preserve">En lo que respecta </w:t>
      </w:r>
      <w:r>
        <w:rPr>
          <w:rFonts w:ascii="Verdana" w:eastAsia="Times New Roman" w:hAnsi="Verdana" w:cs="Arial"/>
          <w:i/>
          <w:iCs/>
          <w:lang w:eastAsia="es-MX"/>
        </w:rPr>
        <w:t>al requisito</w:t>
      </w:r>
      <w:r w:rsidRPr="00DB1EA1">
        <w:rPr>
          <w:rFonts w:ascii="Verdana" w:eastAsia="Times New Roman" w:hAnsi="Verdana" w:cs="Arial"/>
          <w:i/>
          <w:iCs/>
          <w:lang w:eastAsia="es-MX"/>
        </w:rPr>
        <w:t xml:space="preserve"> orgánico</w:t>
      </w:r>
      <w:r>
        <w:rPr>
          <w:rFonts w:ascii="Verdana" w:eastAsia="Times New Roman" w:hAnsi="Verdana" w:cs="Arial"/>
          <w:lang w:eastAsia="es-MX"/>
        </w:rPr>
        <w:t>, para entender qué entidades conforman el sector de defensa nacional, es necesario remitirse al artículo 42 de la Ley 489 de 1998. Dicha norma dispone que “</w:t>
      </w:r>
      <w:r w:rsidRPr="00535337">
        <w:rPr>
          <w:rFonts w:ascii="Verdana" w:eastAsia="Times New Roman" w:hAnsi="Verdana" w:cs="Arial"/>
          <w:lang w:eastAsia="es-MX"/>
        </w:rPr>
        <w:t>El Sector Administrativo está integrado por el Ministerio o Departamento Administrativo, las superintendencias y demás entidades que la ley defina como adscritas o vinculadas a aquéllos según correspondiere a cada área</w:t>
      </w:r>
      <w:r>
        <w:rPr>
          <w:rFonts w:ascii="Verdana" w:eastAsia="Times New Roman" w:hAnsi="Verdana" w:cs="Arial"/>
          <w:lang w:eastAsia="es-MX"/>
        </w:rPr>
        <w:t>”</w:t>
      </w:r>
      <w:r w:rsidRPr="00535337">
        <w:rPr>
          <w:rFonts w:ascii="Verdana" w:eastAsia="Times New Roman" w:hAnsi="Verdana" w:cs="Arial"/>
          <w:lang w:eastAsia="es-MX"/>
        </w:rPr>
        <w:t>.</w:t>
      </w:r>
      <w:r>
        <w:rPr>
          <w:rFonts w:ascii="Verdana" w:eastAsia="Times New Roman" w:hAnsi="Verdana" w:cs="Arial"/>
          <w:lang w:eastAsia="es-MX"/>
        </w:rPr>
        <w:t xml:space="preserve"> En la misma línea, el parágrafo del artículo 50 </w:t>
      </w:r>
      <w:r w:rsidRPr="00535337">
        <w:rPr>
          <w:rFonts w:ascii="Verdana" w:eastAsia="Times New Roman" w:hAnsi="Verdana" w:cs="Arial"/>
          <w:i/>
          <w:iCs/>
          <w:lang w:eastAsia="es-MX"/>
        </w:rPr>
        <w:t>ibidem</w:t>
      </w:r>
      <w:r>
        <w:rPr>
          <w:rFonts w:ascii="Verdana" w:eastAsia="Times New Roman" w:hAnsi="Verdana" w:cs="Arial"/>
          <w:lang w:eastAsia="es-MX"/>
        </w:rPr>
        <w:t xml:space="preserve"> indica lo siguiente: “</w:t>
      </w:r>
      <w:r w:rsidRPr="00535337">
        <w:rPr>
          <w:rFonts w:ascii="Verdana" w:eastAsia="Times New Roman" w:hAnsi="Verdana" w:cs="Arial"/>
          <w:lang w:eastAsia="es-MX"/>
        </w:rPr>
        <w:t>Las superintendencias, los establecimientos públicos y las unidades administrativas especiales estarán adscritos a los ministerios o departamentos administrativos; las empresas industriales y comerciales del Estado y las sociedades de economía mixta estarán vinculadas a aquellos; los demás organismos y entidades estarán adscritos o vinculados, según lo determine su acto de creación</w:t>
      </w:r>
      <w:r>
        <w:rPr>
          <w:rFonts w:ascii="Verdana" w:eastAsia="Times New Roman" w:hAnsi="Verdana" w:cs="Arial"/>
          <w:lang w:eastAsia="es-MX"/>
        </w:rPr>
        <w:t>”</w:t>
      </w:r>
      <w:r w:rsidRPr="00535337">
        <w:rPr>
          <w:rFonts w:ascii="Verdana" w:eastAsia="Times New Roman" w:hAnsi="Verdana" w:cs="Arial"/>
          <w:lang w:eastAsia="es-MX"/>
        </w:rPr>
        <w:t>.</w:t>
      </w:r>
      <w:r>
        <w:rPr>
          <w:rFonts w:ascii="Verdana" w:eastAsia="Times New Roman" w:hAnsi="Verdana" w:cs="Arial"/>
          <w:lang w:eastAsia="es-MX"/>
        </w:rPr>
        <w:t xml:space="preserve"> </w:t>
      </w:r>
    </w:p>
    <w:p w14:paraId="2F607BC2" w14:textId="77777777" w:rsidR="0031491B" w:rsidRDefault="0031491B" w:rsidP="0031491B">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Respecto a la estructura administrativa del sector de defensa nacional, el Decreto 1070 de 2015 ubica al ministerio respectivo como cabeza de este–artículo </w:t>
      </w:r>
      <w:r w:rsidRPr="003B03E0">
        <w:rPr>
          <w:rFonts w:ascii="Verdana" w:eastAsia="Times New Roman" w:hAnsi="Verdana" w:cs="Arial"/>
          <w:lang w:eastAsia="es-MX"/>
        </w:rPr>
        <w:t>1.1.1.1</w:t>
      </w:r>
      <w:r>
        <w:rPr>
          <w:rFonts w:ascii="Verdana" w:eastAsia="Times New Roman" w:hAnsi="Verdana" w:cs="Arial"/>
          <w:lang w:eastAsia="es-MX"/>
        </w:rPr>
        <w:t xml:space="preserve">–. Al ministerio se encuentran adscritas la </w:t>
      </w:r>
      <w:r w:rsidRPr="00B53481">
        <w:rPr>
          <w:rFonts w:ascii="Verdana" w:eastAsia="Times New Roman" w:hAnsi="Verdana" w:cs="Arial"/>
          <w:lang w:eastAsia="es-MX"/>
        </w:rPr>
        <w:t>Superintendencia de Vigilancia y Seguridad Privada</w:t>
      </w:r>
      <w:r>
        <w:rPr>
          <w:rFonts w:ascii="Verdana" w:eastAsia="Times New Roman" w:hAnsi="Verdana" w:cs="Arial"/>
          <w:lang w:eastAsia="es-MX"/>
        </w:rPr>
        <w:t xml:space="preserve"> –artículo </w:t>
      </w:r>
      <w:r w:rsidRPr="00B53481">
        <w:rPr>
          <w:rFonts w:ascii="Verdana" w:eastAsia="Times New Roman" w:hAnsi="Verdana" w:cs="Arial"/>
          <w:lang w:eastAsia="es-MX"/>
        </w:rPr>
        <w:t>1.2.1.1.1</w:t>
      </w:r>
      <w:r>
        <w:rPr>
          <w:rFonts w:ascii="Verdana" w:eastAsia="Times New Roman" w:hAnsi="Verdana" w:cs="Arial"/>
          <w:lang w:eastAsia="es-MX"/>
        </w:rPr>
        <w:t xml:space="preserve">–; la </w:t>
      </w:r>
      <w:r w:rsidRPr="00B53481">
        <w:rPr>
          <w:rFonts w:ascii="Verdana" w:eastAsia="Times New Roman" w:hAnsi="Verdana" w:cs="Arial"/>
          <w:lang w:eastAsia="es-MX"/>
        </w:rPr>
        <w:t>Caja de Retiro de las Fuerzas Militares</w:t>
      </w:r>
      <w:r>
        <w:rPr>
          <w:rFonts w:ascii="Verdana" w:eastAsia="Times New Roman" w:hAnsi="Verdana" w:cs="Arial"/>
          <w:lang w:eastAsia="es-MX"/>
        </w:rPr>
        <w:t xml:space="preserve">, la </w:t>
      </w:r>
      <w:r w:rsidRPr="00B53481">
        <w:rPr>
          <w:rFonts w:ascii="Verdana" w:eastAsia="Times New Roman" w:hAnsi="Verdana" w:cs="Arial"/>
          <w:lang w:eastAsia="es-MX"/>
        </w:rPr>
        <w:t>Caja de Sueldos de Retiro de la Policía Naciona</w:t>
      </w:r>
      <w:r>
        <w:rPr>
          <w:rFonts w:ascii="Verdana" w:eastAsia="Times New Roman" w:hAnsi="Verdana" w:cs="Arial"/>
          <w:lang w:eastAsia="es-MX"/>
        </w:rPr>
        <w:t xml:space="preserve">l, el </w:t>
      </w:r>
      <w:r w:rsidRPr="00B53481">
        <w:rPr>
          <w:rFonts w:ascii="Verdana" w:eastAsia="Times New Roman" w:hAnsi="Verdana" w:cs="Arial"/>
          <w:lang w:eastAsia="es-MX"/>
        </w:rPr>
        <w:t>Hospital Militar Central</w:t>
      </w:r>
      <w:r>
        <w:rPr>
          <w:rFonts w:ascii="Verdana" w:eastAsia="Times New Roman" w:hAnsi="Verdana" w:cs="Arial"/>
          <w:lang w:eastAsia="es-MX"/>
        </w:rPr>
        <w:t xml:space="preserve">, la </w:t>
      </w:r>
      <w:r w:rsidRPr="00B53481">
        <w:rPr>
          <w:rFonts w:ascii="Verdana" w:eastAsia="Times New Roman" w:hAnsi="Verdana" w:cs="Arial"/>
          <w:lang w:eastAsia="es-MX"/>
        </w:rPr>
        <w:t>Agencia Logística de las Fuerzas Militares</w:t>
      </w:r>
      <w:r>
        <w:rPr>
          <w:rFonts w:ascii="Verdana" w:eastAsia="Times New Roman" w:hAnsi="Verdana" w:cs="Arial"/>
          <w:lang w:eastAsia="es-MX"/>
        </w:rPr>
        <w:t xml:space="preserve">, el </w:t>
      </w:r>
      <w:r w:rsidRPr="00B53481">
        <w:rPr>
          <w:rFonts w:ascii="Verdana" w:eastAsia="Times New Roman" w:hAnsi="Verdana" w:cs="Arial"/>
          <w:lang w:eastAsia="es-MX"/>
        </w:rPr>
        <w:t xml:space="preserve">Fondo Rotatorio </w:t>
      </w:r>
      <w:r w:rsidRPr="00B53481">
        <w:rPr>
          <w:rFonts w:ascii="Verdana" w:eastAsia="Times New Roman" w:hAnsi="Verdana" w:cs="Arial"/>
          <w:lang w:eastAsia="es-MX"/>
        </w:rPr>
        <w:lastRenderedPageBreak/>
        <w:t>de la Policía Nacional</w:t>
      </w:r>
      <w:r>
        <w:rPr>
          <w:rFonts w:ascii="Verdana" w:eastAsia="Times New Roman" w:hAnsi="Verdana" w:cs="Arial"/>
          <w:lang w:eastAsia="es-MX"/>
        </w:rPr>
        <w:t xml:space="preserve">, el </w:t>
      </w:r>
      <w:r w:rsidRPr="00B53481">
        <w:rPr>
          <w:rFonts w:ascii="Verdana" w:eastAsia="Times New Roman" w:hAnsi="Verdana" w:cs="Arial"/>
          <w:lang w:eastAsia="es-MX"/>
        </w:rPr>
        <w:t>Instituto de Casas Fiscales del Ejército</w:t>
      </w:r>
      <w:r>
        <w:rPr>
          <w:rFonts w:ascii="Verdana" w:eastAsia="Times New Roman" w:hAnsi="Verdana" w:cs="Arial"/>
          <w:lang w:eastAsia="es-MX"/>
        </w:rPr>
        <w:t xml:space="preserve">, el </w:t>
      </w:r>
      <w:r w:rsidRPr="00B53481">
        <w:rPr>
          <w:rFonts w:ascii="Verdana" w:eastAsia="Times New Roman" w:hAnsi="Verdana" w:cs="Arial"/>
          <w:lang w:eastAsia="es-MX"/>
        </w:rPr>
        <w:t>Club Militar</w:t>
      </w:r>
      <w:r>
        <w:rPr>
          <w:rFonts w:ascii="Verdana" w:eastAsia="Times New Roman" w:hAnsi="Verdana" w:cs="Arial"/>
          <w:lang w:eastAsia="es-MX"/>
        </w:rPr>
        <w:t xml:space="preserve">, y la </w:t>
      </w:r>
      <w:r w:rsidRPr="00B53481">
        <w:rPr>
          <w:rFonts w:ascii="Verdana" w:eastAsia="Times New Roman" w:hAnsi="Verdana" w:cs="Arial"/>
          <w:lang w:eastAsia="es-MX"/>
        </w:rPr>
        <w:t>Defensa Civil Colombiana</w:t>
      </w:r>
      <w:r>
        <w:rPr>
          <w:rFonts w:ascii="Verdana" w:eastAsia="Times New Roman" w:hAnsi="Verdana" w:cs="Arial"/>
          <w:lang w:eastAsia="es-MX"/>
        </w:rPr>
        <w:t xml:space="preserve"> –artículo </w:t>
      </w:r>
      <w:r w:rsidRPr="00B53481">
        <w:rPr>
          <w:rFonts w:ascii="Verdana" w:eastAsia="Times New Roman" w:hAnsi="Verdana" w:cs="Arial"/>
          <w:lang w:eastAsia="es-MX"/>
        </w:rPr>
        <w:t>1.2.1.2.1</w:t>
      </w:r>
      <w:r>
        <w:rPr>
          <w:rFonts w:ascii="Verdana" w:eastAsia="Times New Roman" w:hAnsi="Verdana" w:cs="Arial"/>
          <w:lang w:eastAsia="es-MX"/>
        </w:rPr>
        <w:t xml:space="preserve">–. También están vinculadas la </w:t>
      </w:r>
      <w:r w:rsidRPr="00B53481">
        <w:rPr>
          <w:rFonts w:ascii="Verdana" w:eastAsia="Times New Roman" w:hAnsi="Verdana" w:cs="Arial"/>
          <w:lang w:eastAsia="es-MX"/>
        </w:rPr>
        <w:t>Industria Militar</w:t>
      </w:r>
      <w:r>
        <w:rPr>
          <w:rFonts w:ascii="Verdana" w:eastAsia="Times New Roman" w:hAnsi="Verdana" w:cs="Arial"/>
          <w:lang w:eastAsia="es-MX"/>
        </w:rPr>
        <w:t xml:space="preserve"> y la </w:t>
      </w:r>
      <w:r w:rsidRPr="00B53481">
        <w:rPr>
          <w:rFonts w:ascii="Verdana" w:eastAsia="Times New Roman" w:hAnsi="Verdana" w:cs="Arial"/>
          <w:lang w:eastAsia="es-MX"/>
        </w:rPr>
        <w:t>Caja Promotora de Vivienda Militar y de Policía</w:t>
      </w:r>
      <w:r>
        <w:rPr>
          <w:rFonts w:ascii="Verdana" w:eastAsia="Times New Roman" w:hAnsi="Verdana" w:cs="Arial"/>
          <w:lang w:eastAsia="es-MX"/>
        </w:rPr>
        <w:t xml:space="preserve"> –artículo </w:t>
      </w:r>
      <w:r w:rsidRPr="00B53481">
        <w:rPr>
          <w:rFonts w:ascii="Verdana" w:eastAsia="Times New Roman" w:hAnsi="Verdana" w:cs="Arial"/>
          <w:lang w:eastAsia="es-MX"/>
        </w:rPr>
        <w:t>1.2.2.1.1</w:t>
      </w:r>
      <w:r>
        <w:rPr>
          <w:rFonts w:ascii="Verdana" w:eastAsia="Times New Roman" w:hAnsi="Verdana" w:cs="Arial"/>
          <w:lang w:eastAsia="es-MX"/>
        </w:rPr>
        <w:t xml:space="preserve">–; el </w:t>
      </w:r>
      <w:r w:rsidRPr="00B53481">
        <w:rPr>
          <w:rFonts w:ascii="Verdana" w:eastAsia="Times New Roman" w:hAnsi="Verdana" w:cs="Arial"/>
          <w:lang w:eastAsia="es-MX"/>
        </w:rPr>
        <w:t>Servicio Aéreo a Territorios Nacionales S.A</w:t>
      </w:r>
      <w:r>
        <w:rPr>
          <w:rFonts w:ascii="Verdana" w:eastAsia="Times New Roman" w:hAnsi="Verdana" w:cs="Arial"/>
          <w:lang w:eastAsia="es-MX"/>
        </w:rPr>
        <w:t xml:space="preserve">, la </w:t>
      </w:r>
      <w:r w:rsidRPr="00B53481">
        <w:rPr>
          <w:rFonts w:ascii="Verdana" w:eastAsia="Times New Roman" w:hAnsi="Verdana" w:cs="Arial"/>
          <w:lang w:eastAsia="es-MX"/>
        </w:rPr>
        <w:t>Corporación de la Industria Aeronáutica Colombiana S.A</w:t>
      </w:r>
      <w:r>
        <w:rPr>
          <w:rFonts w:ascii="Verdana" w:eastAsia="Times New Roman" w:hAnsi="Verdana" w:cs="Arial"/>
          <w:lang w:eastAsia="es-MX"/>
        </w:rPr>
        <w:t xml:space="preserve"> y la </w:t>
      </w:r>
      <w:r w:rsidRPr="00B53481">
        <w:rPr>
          <w:rFonts w:ascii="Verdana" w:eastAsia="Times New Roman" w:hAnsi="Verdana" w:cs="Arial"/>
          <w:lang w:eastAsia="es-MX"/>
        </w:rPr>
        <w:t>Sociedad Hotelera S.A</w:t>
      </w:r>
      <w:r>
        <w:rPr>
          <w:rFonts w:ascii="Verdana" w:eastAsia="Times New Roman" w:hAnsi="Verdana" w:cs="Arial"/>
          <w:lang w:eastAsia="es-MX"/>
        </w:rPr>
        <w:t xml:space="preserve"> –artículo </w:t>
      </w:r>
      <w:r w:rsidRPr="00B53481">
        <w:rPr>
          <w:rFonts w:ascii="Verdana" w:eastAsia="Times New Roman" w:hAnsi="Verdana" w:cs="Arial"/>
          <w:lang w:eastAsia="es-MX"/>
        </w:rPr>
        <w:t>1.2.2.2.1</w:t>
      </w:r>
      <w:r>
        <w:rPr>
          <w:rFonts w:ascii="Verdana" w:eastAsia="Times New Roman" w:hAnsi="Verdana" w:cs="Arial"/>
          <w:lang w:eastAsia="es-MX"/>
        </w:rPr>
        <w:t xml:space="preserve">–; así como la </w:t>
      </w:r>
      <w:r w:rsidRPr="001F0185">
        <w:rPr>
          <w:rFonts w:ascii="Verdana" w:eastAsia="Times New Roman" w:hAnsi="Verdana" w:cs="Arial"/>
          <w:lang w:eastAsia="es-MX"/>
        </w:rPr>
        <w:t>Corporación de Ciencia y Tecnología para el Desarrollo de la Industria Naval, Marítima y Fluvial</w:t>
      </w:r>
      <w:r>
        <w:rPr>
          <w:rFonts w:ascii="Verdana" w:eastAsia="Times New Roman" w:hAnsi="Verdana" w:cs="Arial"/>
          <w:lang w:eastAsia="es-MX"/>
        </w:rPr>
        <w:t xml:space="preserve"> y la </w:t>
      </w:r>
      <w:r w:rsidRPr="001F0185">
        <w:rPr>
          <w:rFonts w:ascii="Verdana" w:eastAsia="Times New Roman" w:hAnsi="Verdana" w:cs="Arial"/>
          <w:lang w:eastAsia="es-MX"/>
        </w:rPr>
        <w:t>Corporación de Alta Tecnología para la Defensa</w:t>
      </w:r>
      <w:r>
        <w:rPr>
          <w:rFonts w:ascii="Verdana" w:eastAsia="Times New Roman" w:hAnsi="Verdana" w:cs="Arial"/>
          <w:lang w:eastAsia="es-MX"/>
        </w:rPr>
        <w:t xml:space="preserve"> –artículo </w:t>
      </w:r>
      <w:r w:rsidRPr="001F0185">
        <w:rPr>
          <w:rFonts w:ascii="Verdana" w:eastAsia="Times New Roman" w:hAnsi="Verdana" w:cs="Arial"/>
          <w:lang w:eastAsia="es-MX"/>
        </w:rPr>
        <w:t>1.2.3.1</w:t>
      </w:r>
      <w:r>
        <w:rPr>
          <w:rFonts w:ascii="Verdana" w:eastAsia="Times New Roman" w:hAnsi="Verdana" w:cs="Arial"/>
          <w:lang w:eastAsia="es-MX"/>
        </w:rPr>
        <w:t>–.</w:t>
      </w:r>
    </w:p>
    <w:p w14:paraId="23789446" w14:textId="77777777" w:rsidR="0031491B" w:rsidRDefault="0031491B" w:rsidP="0031491B">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Sin perjuicio de lo regulado en el artículo 14 de la ley 1150 de 2007 sobre el </w:t>
      </w:r>
      <w:r w:rsidRPr="001F0185">
        <w:rPr>
          <w:rFonts w:ascii="Verdana" w:eastAsia="Times New Roman" w:hAnsi="Verdana" w:cs="Arial"/>
          <w:lang w:eastAsia="es-MX"/>
        </w:rPr>
        <w:t>régimen contractual de las empresas industriales y comerciales del estado, las sociedades de economía mixta, sus filiales y empresas con participación mayoritaria del Estado</w:t>
      </w:r>
      <w:r>
        <w:rPr>
          <w:rFonts w:ascii="Verdana" w:eastAsia="Times New Roman" w:hAnsi="Verdana" w:cs="Arial"/>
          <w:lang w:eastAsia="es-MX"/>
        </w:rPr>
        <w:t xml:space="preserve">, el artículo 16 </w:t>
      </w:r>
      <w:r w:rsidRPr="001F0185">
        <w:rPr>
          <w:rFonts w:ascii="Verdana" w:eastAsia="Times New Roman" w:hAnsi="Verdana" w:cs="Arial"/>
          <w:i/>
          <w:iCs/>
          <w:lang w:eastAsia="es-MX"/>
        </w:rPr>
        <w:t>ibidem</w:t>
      </w:r>
      <w:r>
        <w:rPr>
          <w:rFonts w:ascii="Verdana" w:eastAsia="Times New Roman" w:hAnsi="Verdana" w:cs="Arial"/>
          <w:lang w:eastAsia="es-MX"/>
        </w:rPr>
        <w:t xml:space="preserve"> indica lo siguiente: “</w:t>
      </w:r>
      <w:r w:rsidRPr="001F0185">
        <w:rPr>
          <w:rFonts w:ascii="Verdana" w:eastAsia="Times New Roman" w:hAnsi="Verdana" w:cs="Arial"/>
          <w:lang w:eastAsia="es-MX"/>
        </w:rPr>
        <w:t>Los contratos que celebren Satena, Indumil, El Hotel Tequendama, la Corporación de Ciencia y Tecnología para el desarrollo de la industria naval, marítima y fluvial –Cotecmar– y la Corporación de la Industria Aeronáutica Colombiana –CIAC–, no estarán sujetos a las disposiciones del Estatuto General de Contratación de la Administración Pública y se regirán por las disposiciones legales y reglamentarias aplicables a su actividad</w:t>
      </w:r>
      <w:r>
        <w:rPr>
          <w:rFonts w:ascii="Verdana" w:eastAsia="Times New Roman" w:hAnsi="Verdana" w:cs="Arial"/>
          <w:lang w:eastAsia="es-MX"/>
        </w:rPr>
        <w:t>”</w:t>
      </w:r>
      <w:r w:rsidRPr="001F0185">
        <w:rPr>
          <w:rFonts w:ascii="Verdana" w:eastAsia="Times New Roman" w:hAnsi="Verdana" w:cs="Arial"/>
          <w:lang w:eastAsia="es-MX"/>
        </w:rPr>
        <w:t>.</w:t>
      </w:r>
      <w:r>
        <w:rPr>
          <w:rFonts w:ascii="Verdana" w:eastAsia="Times New Roman" w:hAnsi="Verdana" w:cs="Arial"/>
          <w:lang w:eastAsia="es-MX"/>
        </w:rPr>
        <w:t xml:space="preserve"> Luego, la causal de contratación directa del literal d) del artículo 2.4 de la Ley 1150 de 2007 se circunscribe principalmente a las entidades del sector defensa regidas por la Ley 80 de 1993. </w:t>
      </w:r>
    </w:p>
    <w:p w14:paraId="63DD1041" w14:textId="77777777" w:rsidR="0031491B" w:rsidRPr="00AD01D8" w:rsidRDefault="0031491B" w:rsidP="0031491B">
      <w:pPr>
        <w:spacing w:after="120" w:line="276" w:lineRule="auto"/>
        <w:ind w:firstLine="709"/>
        <w:jc w:val="both"/>
        <w:rPr>
          <w:rFonts w:ascii="Verdana" w:eastAsia="Times New Roman" w:hAnsi="Verdana" w:cs="Arial"/>
          <w:lang w:eastAsia="es-MX"/>
        </w:rPr>
      </w:pPr>
      <w:r w:rsidRPr="00AD01D8">
        <w:rPr>
          <w:rFonts w:ascii="Verdana" w:eastAsia="Times New Roman" w:hAnsi="Verdana" w:cs="Arial"/>
          <w:lang w:eastAsia="es-MX"/>
        </w:rPr>
        <w:t>El criterio orgánico previsto en la causal de contratación directa resulta más restringido que el aplicable a la modalidad de selección abreviada para la adquisición de bienes y servicios destinados a la seguridad nacional. En efecto, mientras la selección abreviada no limita expresamente la competencia a un sector específico, la contratación directa exige que los bienes y servicios correspondan al sector Defensa, lo que implica una delimitación institucional mucho más estricta. Como se expuso en las consideraciones anteriores, la selección abreviada puede ser utilizada por entidades del orden nacional que, conforme a sus funciones y competencias, requieran bienes y servicios orientados a la defensa y seguridad nacional. En contraste, la causal de contratación directa del literal d) se reserva exclusivamente a las entidades que integran el sector Defensa, debido a su papel constitucional y legal en la preservación de la soberanía y la integridad del Estado.</w:t>
      </w:r>
    </w:p>
    <w:p w14:paraId="32C56AC0" w14:textId="77777777" w:rsidR="0031491B" w:rsidRDefault="0031491B" w:rsidP="0031491B">
      <w:pPr>
        <w:spacing w:after="120" w:line="276" w:lineRule="auto"/>
        <w:ind w:firstLine="709"/>
        <w:jc w:val="both"/>
        <w:rPr>
          <w:rFonts w:ascii="Verdana" w:eastAsia="Times New Roman" w:hAnsi="Verdana" w:cs="Arial"/>
          <w:lang w:eastAsia="es-MX"/>
        </w:rPr>
      </w:pPr>
      <w:r w:rsidRPr="0023720F">
        <w:rPr>
          <w:rFonts w:ascii="Verdana" w:eastAsia="Times New Roman" w:hAnsi="Verdana" w:cs="Arial"/>
          <w:i/>
          <w:iCs/>
          <w:lang w:eastAsia="es-MX"/>
        </w:rPr>
        <w:t>En lo que respecta al criterio material</w:t>
      </w:r>
      <w:r>
        <w:rPr>
          <w:rFonts w:ascii="Verdana" w:eastAsia="Times New Roman" w:hAnsi="Verdana" w:cs="Arial"/>
          <w:lang w:eastAsia="es-MX"/>
        </w:rPr>
        <w:t xml:space="preserve">, no es suficiente que una entidad de sector defensa sometida al EGCAP adquiera bienes o servicios, pues éstos </w:t>
      </w:r>
      <w:r>
        <w:rPr>
          <w:rFonts w:ascii="Verdana" w:eastAsia="Times New Roman" w:hAnsi="Verdana" w:cs="Arial"/>
          <w:lang w:eastAsia="es-MX"/>
        </w:rPr>
        <w:lastRenderedPageBreak/>
        <w:t>deben requerir reserva en su adquisición. En principio, dicha categoría de bienes y servicios fue desarrollada en el inciso segundo del artículo 78 del Decreto 1510 de 2013</w:t>
      </w:r>
      <w:r>
        <w:rPr>
          <w:rStyle w:val="Refdenotaalpie"/>
          <w:rFonts w:ascii="Verdana" w:eastAsia="Times New Roman" w:hAnsi="Verdana" w:cs="Arial"/>
          <w:lang w:eastAsia="es-MX"/>
        </w:rPr>
        <w:footnoteReference w:id="16"/>
      </w:r>
      <w:r>
        <w:rPr>
          <w:rFonts w:ascii="Verdana" w:eastAsia="Times New Roman" w:hAnsi="Verdana" w:cs="Arial"/>
          <w:lang w:eastAsia="es-MX"/>
        </w:rPr>
        <w:t xml:space="preserve">. Sin embargo, el listado fue anulado por la Subsección A de la Sección </w:t>
      </w:r>
      <w:r>
        <w:rPr>
          <w:rFonts w:ascii="Verdana" w:eastAsia="Times New Roman" w:hAnsi="Verdana" w:cs="Arial"/>
          <w:lang w:eastAsia="es-MX"/>
        </w:rPr>
        <w:lastRenderedPageBreak/>
        <w:t xml:space="preserve">Tercera del Consejo de Estado en Sentencia del 24 de mayo de 2018, Exp. 50222, con ponencia de la Consejera </w:t>
      </w:r>
      <w:r w:rsidRPr="00D25821">
        <w:rPr>
          <w:rFonts w:ascii="Verdana" w:eastAsia="Times New Roman" w:hAnsi="Verdana" w:cs="Arial"/>
          <w:lang w:eastAsia="es-MX"/>
        </w:rPr>
        <w:t>Marta Nubia Velásquez Rico</w:t>
      </w:r>
      <w:r>
        <w:rPr>
          <w:rFonts w:ascii="Verdana" w:eastAsia="Times New Roman" w:hAnsi="Verdana" w:cs="Arial"/>
          <w:lang w:eastAsia="es-MX"/>
        </w:rPr>
        <w:t xml:space="preserve">, bajo el argumento de que el Gobierno Nacional “[…] </w:t>
      </w:r>
      <w:r w:rsidRPr="008F68A8">
        <w:rPr>
          <w:rFonts w:ascii="Verdana" w:eastAsia="Times New Roman" w:hAnsi="Verdana" w:cs="Arial"/>
          <w:lang w:eastAsia="es-MX"/>
        </w:rPr>
        <w:t>desbordó la potestad reglamentaria al limitar el derecho fundamental de acceso a la información pública tratándose de bienes y servicios a adquirir por vía de la modalidad de selección de la contratación directa, limitación que por corresponder a la reserva legal, está en cabeza del legislador</w:t>
      </w:r>
      <w:r>
        <w:rPr>
          <w:rFonts w:ascii="Verdana" w:eastAsia="Times New Roman" w:hAnsi="Verdana" w:cs="Arial"/>
          <w:lang w:eastAsia="es-MX"/>
        </w:rPr>
        <w:t>”.</w:t>
      </w:r>
    </w:p>
    <w:p w14:paraId="5A9D191F" w14:textId="77777777" w:rsidR="0031491B" w:rsidRDefault="0031491B" w:rsidP="0031491B">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Aunque se ha acudido al listado del artículo 1 del Decreto 695 de 1983, compilado en el artículo </w:t>
      </w:r>
      <w:r w:rsidRPr="00564AC4">
        <w:rPr>
          <w:rFonts w:ascii="Verdana" w:eastAsia="Times New Roman" w:hAnsi="Verdana" w:cs="Arial"/>
          <w:lang w:eastAsia="es-MX"/>
        </w:rPr>
        <w:t>1.3.1.14.18</w:t>
      </w:r>
      <w:r>
        <w:rPr>
          <w:rFonts w:ascii="Verdana" w:eastAsia="Times New Roman" w:hAnsi="Verdana" w:cs="Arial"/>
          <w:lang w:eastAsia="es-MX"/>
        </w:rPr>
        <w:t xml:space="preserve"> del Decreto 1625 de 2016, “P</w:t>
      </w:r>
      <w:r w:rsidRPr="00564AC4">
        <w:rPr>
          <w:rFonts w:ascii="Verdana" w:eastAsia="Times New Roman" w:hAnsi="Verdana" w:cs="Arial"/>
          <w:lang w:eastAsia="es-MX"/>
        </w:rPr>
        <w:t>or medio del cual se expide el Decreto Único Reglamentario en materia tributaria</w:t>
      </w:r>
      <w:r>
        <w:rPr>
          <w:rFonts w:ascii="Verdana" w:eastAsia="Times New Roman" w:hAnsi="Verdana" w:cs="Arial"/>
          <w:lang w:eastAsia="es-MX"/>
        </w:rPr>
        <w:t>”, esta norma fue expedida por el Gobierno Nacional en ejercicio de la potestad reglamentaria para determinar: i) los bienes importados que no causan impuesto sobre las ventas conforme al inciso segundo del artículo 17 del Decreto Legislativo 2368 de 1974</w:t>
      </w:r>
      <w:r>
        <w:rPr>
          <w:rStyle w:val="Refdenotaalpie"/>
          <w:rFonts w:ascii="Verdana" w:eastAsia="Times New Roman" w:hAnsi="Verdana" w:cs="Arial"/>
          <w:lang w:eastAsia="es-MX"/>
        </w:rPr>
        <w:footnoteReference w:id="17"/>
      </w:r>
      <w:r>
        <w:rPr>
          <w:rFonts w:ascii="Verdana" w:eastAsia="Times New Roman" w:hAnsi="Verdana" w:cs="Arial"/>
          <w:lang w:eastAsia="es-MX"/>
        </w:rPr>
        <w:t xml:space="preserve"> y ii) el alcance de la causal de contratación directa del otrora artículo 259 del Decreto Ley 222 de 1983</w:t>
      </w:r>
      <w:r>
        <w:rPr>
          <w:rStyle w:val="Refdenotaalpie"/>
          <w:rFonts w:ascii="Verdana" w:eastAsia="Times New Roman" w:hAnsi="Verdana" w:cs="Arial"/>
          <w:lang w:eastAsia="es-MX"/>
        </w:rPr>
        <w:footnoteReference w:id="18"/>
      </w:r>
      <w:r>
        <w:rPr>
          <w:rFonts w:ascii="Verdana" w:eastAsia="Times New Roman" w:hAnsi="Verdana" w:cs="Arial"/>
          <w:lang w:eastAsia="es-MX"/>
        </w:rPr>
        <w:t xml:space="preserve">. </w:t>
      </w:r>
    </w:p>
    <w:p w14:paraId="57D99E24" w14:textId="77777777" w:rsidR="0031491B" w:rsidRDefault="0031491B" w:rsidP="0031491B">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De estas dos (2) finalidades sólo subsiste la primera, pues –al recoger la lista del artículo 1 del Decreto 695 de 1983– el artículo </w:t>
      </w:r>
      <w:r w:rsidRPr="00564AC4">
        <w:rPr>
          <w:rFonts w:ascii="Verdana" w:eastAsia="Times New Roman" w:hAnsi="Verdana" w:cs="Arial"/>
          <w:lang w:eastAsia="es-MX"/>
        </w:rPr>
        <w:t>1.3.1.14.18</w:t>
      </w:r>
      <w:r>
        <w:rPr>
          <w:rFonts w:ascii="Verdana" w:eastAsia="Times New Roman" w:hAnsi="Verdana" w:cs="Arial"/>
          <w:lang w:eastAsia="es-MX"/>
        </w:rPr>
        <w:t xml:space="preserve"> se encuentra en el capítulo 14 del título 1 de la parte 3 del libro 1 del Decreto 1625 de 2016, por el cual se definen las i</w:t>
      </w:r>
      <w:r w:rsidRPr="00031AE7">
        <w:rPr>
          <w:rFonts w:ascii="Verdana" w:eastAsia="Times New Roman" w:hAnsi="Verdana" w:cs="Arial"/>
          <w:lang w:eastAsia="es-MX"/>
        </w:rPr>
        <w:t xml:space="preserve">mportaciones que no causan </w:t>
      </w:r>
      <w:r>
        <w:rPr>
          <w:rFonts w:ascii="Verdana" w:eastAsia="Times New Roman" w:hAnsi="Verdana" w:cs="Arial"/>
          <w:lang w:eastAsia="es-MX"/>
        </w:rPr>
        <w:t xml:space="preserve">IVA. Este tema es ajeno a la contratación estatal, además de que el Decreto Ley 222 de 1983 fue derogado por el artículo 81 de la Ley 80 de 1993. Por tanto, el artículo 1 del </w:t>
      </w:r>
      <w:r>
        <w:rPr>
          <w:rFonts w:ascii="Verdana" w:eastAsia="Times New Roman" w:hAnsi="Verdana" w:cs="Arial"/>
          <w:lang w:eastAsia="es-MX"/>
        </w:rPr>
        <w:lastRenderedPageBreak/>
        <w:t>Decreto 695 de 1983 no delimita el alcance de la causal de contratación directa del literal d) del artículo 2.4 de la Ley 1150 de 2007, especialmente, cuando la Sentencia del 24 de mayo de 2018 exige que las reservas sean objeto de desarrollo legal.</w:t>
      </w:r>
    </w:p>
    <w:p w14:paraId="5294A9C9" w14:textId="77777777" w:rsidR="0031491B" w:rsidRDefault="0031491B" w:rsidP="0031491B">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En todo caso, la nulidad del inciso segundo del artículo 78 del Decreto 1510 de 2013 o la imposibilidad de aplicar el artículo 1 del Decreto 695 de 1983 fuera del ámbito tributario no condicionan la vigencia de la causal </w:t>
      </w:r>
      <w:r w:rsidRPr="00E479E8">
        <w:rPr>
          <w:rFonts w:ascii="Verdana" w:eastAsia="Times New Roman" w:hAnsi="Verdana" w:cs="Arial"/>
          <w:i/>
          <w:iCs/>
          <w:lang w:eastAsia="es-MX"/>
        </w:rPr>
        <w:t>sub examine</w:t>
      </w:r>
      <w:r>
        <w:rPr>
          <w:rFonts w:ascii="Verdana" w:eastAsia="Times New Roman" w:hAnsi="Verdana" w:cs="Arial"/>
          <w:lang w:eastAsia="es-MX"/>
        </w:rPr>
        <w:t>, la cual rige sin necesidad de desarrollo reglamentario. Por un lado, mientras el parágrafo transitorio del artículo 2 de la Ley 1150 de 2007 dispone que “</w:t>
      </w:r>
      <w:r w:rsidRPr="00B64014">
        <w:rPr>
          <w:rFonts w:ascii="Verdana" w:eastAsia="Times New Roman" w:hAnsi="Verdana" w:cs="Arial"/>
          <w:lang w:eastAsia="es-MX"/>
        </w:rPr>
        <w:t>Hasta tanto el Gobierno Nacional no expidiere el reglamento respectivo, no se podrá hacer uso de la selección abreviada como modalidad de selección</w:t>
      </w:r>
      <w:r>
        <w:rPr>
          <w:rFonts w:ascii="Verdana" w:eastAsia="Times New Roman" w:hAnsi="Verdana" w:cs="Arial"/>
          <w:lang w:eastAsia="es-MX"/>
        </w:rPr>
        <w:t xml:space="preserve">”, una condición similar no se predica del literal d) del artículo 2.4 </w:t>
      </w:r>
      <w:r w:rsidRPr="00B64014">
        <w:rPr>
          <w:rFonts w:ascii="Verdana" w:eastAsia="Times New Roman" w:hAnsi="Verdana" w:cs="Arial"/>
          <w:i/>
          <w:iCs/>
          <w:lang w:eastAsia="es-MX"/>
        </w:rPr>
        <w:t>ibidem</w:t>
      </w:r>
      <w:r w:rsidRPr="00B64014">
        <w:rPr>
          <w:rFonts w:ascii="Verdana" w:eastAsia="Times New Roman" w:hAnsi="Verdana" w:cs="Arial"/>
          <w:lang w:eastAsia="es-MX"/>
        </w:rPr>
        <w:t>.</w:t>
      </w:r>
      <w:r>
        <w:rPr>
          <w:rFonts w:ascii="Verdana" w:eastAsia="Times New Roman" w:hAnsi="Verdana" w:cs="Arial"/>
          <w:lang w:eastAsia="es-MX"/>
        </w:rPr>
        <w:t xml:space="preserve"> </w:t>
      </w:r>
    </w:p>
    <w:p w14:paraId="2C4274A3" w14:textId="77777777" w:rsidR="0031491B" w:rsidRDefault="0031491B" w:rsidP="0031491B">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Por otra parte, la Sentencia del 24 de mayo de 2018 explica que “[…] </w:t>
      </w:r>
      <w:r w:rsidRPr="0067726C">
        <w:rPr>
          <w:rFonts w:ascii="Verdana" w:eastAsia="Times New Roman" w:hAnsi="Verdana" w:cs="Arial"/>
          <w:lang w:eastAsia="es-MX"/>
        </w:rPr>
        <w:t>para el caso de lo establecido en la letra d) del número 4 del artículo 2 de la Ley 1150 de 2007, debe entenderse la existencia de un reenvío a las normas de orden legal que establecen los eventos en que por causa de la protección de derechos fundamentales o bienes constitucionales debe reservarse la información contractual que corresponda</w:t>
      </w:r>
      <w:r>
        <w:rPr>
          <w:rFonts w:ascii="Verdana" w:eastAsia="Times New Roman" w:hAnsi="Verdana" w:cs="Arial"/>
          <w:lang w:eastAsia="es-MX"/>
        </w:rPr>
        <w:t>”</w:t>
      </w:r>
      <w:r w:rsidRPr="0067726C">
        <w:rPr>
          <w:rFonts w:ascii="Verdana" w:eastAsia="Times New Roman" w:hAnsi="Verdana" w:cs="Arial"/>
          <w:lang w:eastAsia="es-MX"/>
        </w:rPr>
        <w:t>.</w:t>
      </w:r>
      <w:r>
        <w:rPr>
          <w:rFonts w:ascii="Verdana" w:eastAsia="Times New Roman" w:hAnsi="Verdana" w:cs="Arial"/>
          <w:lang w:eastAsia="es-MX"/>
        </w:rPr>
        <w:t xml:space="preserve"> Luego, el reglamento no puede intervenir en el desarrollo de las reservas a través de una norma igual o semejante a la anulada por la Subsección A de la Sección Tercera del Consejo de Estado, pues implica desconocer las prohibiciones de los artículos 9.6 y 237 del Código Procedimiento Administrativo y Contencioso Administrativo</w:t>
      </w:r>
      <w:r>
        <w:rPr>
          <w:rStyle w:val="Refdenotaalpie"/>
          <w:rFonts w:ascii="Verdana" w:eastAsia="Times New Roman" w:hAnsi="Verdana" w:cs="Arial"/>
          <w:lang w:eastAsia="es-MX"/>
        </w:rPr>
        <w:footnoteReference w:id="19"/>
      </w:r>
      <w:r>
        <w:rPr>
          <w:rFonts w:ascii="Verdana" w:eastAsia="Times New Roman" w:hAnsi="Verdana" w:cs="Arial"/>
          <w:lang w:eastAsia="es-MX"/>
        </w:rPr>
        <w:t xml:space="preserve">. </w:t>
      </w:r>
    </w:p>
    <w:p w14:paraId="0C816B48" w14:textId="77777777" w:rsidR="0031491B" w:rsidRPr="00AD6B46" w:rsidRDefault="0031491B" w:rsidP="0031491B">
      <w:pPr>
        <w:spacing w:after="0" w:line="276" w:lineRule="auto"/>
        <w:ind w:firstLine="708"/>
        <w:jc w:val="both"/>
        <w:rPr>
          <w:rFonts w:ascii="Verdana" w:eastAsia="Calibri" w:hAnsi="Verdana" w:cs="Arial"/>
          <w:color w:val="000000"/>
        </w:rPr>
      </w:pPr>
      <w:r>
        <w:rPr>
          <w:rFonts w:ascii="Verdana" w:eastAsia="Calibri" w:hAnsi="Verdana" w:cs="Arial"/>
          <w:color w:val="000000"/>
        </w:rPr>
        <w:t>En consecuencia, conforme a la directriz jurisprudencial del párrafo precedente</w:t>
      </w:r>
      <w:r w:rsidRPr="00AD6B46">
        <w:rPr>
          <w:rFonts w:ascii="Verdana" w:eastAsia="Calibri" w:hAnsi="Verdana" w:cs="Arial"/>
          <w:color w:val="000000"/>
        </w:rPr>
        <w:t xml:space="preserve">, </w:t>
      </w:r>
      <w:r>
        <w:rPr>
          <w:rFonts w:ascii="Verdana" w:eastAsia="Calibri" w:hAnsi="Verdana" w:cs="Arial"/>
          <w:color w:val="000000"/>
        </w:rPr>
        <w:t xml:space="preserve">es necesario tener en cuenta que </w:t>
      </w:r>
      <w:r w:rsidRPr="00AD6B46">
        <w:rPr>
          <w:rFonts w:ascii="Verdana" w:eastAsia="Calibri" w:hAnsi="Verdana" w:cs="Arial"/>
          <w:color w:val="000000"/>
        </w:rPr>
        <w:t xml:space="preserve">la Ley Estatutaria 1712 de 2014 define en el </w:t>
      </w:r>
      <w:r w:rsidRPr="00FF7F5F">
        <w:rPr>
          <w:rFonts w:ascii="Verdana" w:eastAsia="Calibri" w:hAnsi="Verdana" w:cs="Arial"/>
          <w:color w:val="000000"/>
        </w:rPr>
        <w:t xml:space="preserve">artículo </w:t>
      </w:r>
      <w:r w:rsidRPr="00FB1704">
        <w:rPr>
          <w:rFonts w:ascii="Verdana" w:eastAsia="Calibri" w:hAnsi="Verdana" w:cs="Arial"/>
          <w:color w:val="000000"/>
        </w:rPr>
        <w:t>6° dos categorías de información que pueden ser objeto de excepción al acceso, como son</w:t>
      </w:r>
      <w:r w:rsidRPr="00B66258">
        <w:rPr>
          <w:rFonts w:ascii="Verdana" w:eastAsia="Calibri" w:hAnsi="Verdana" w:cs="Arial"/>
          <w:color w:val="000000"/>
        </w:rPr>
        <w:t xml:space="preserve"> la </w:t>
      </w:r>
      <w:r w:rsidRPr="00AD6B46">
        <w:rPr>
          <w:rFonts w:ascii="Verdana" w:eastAsia="Calibri" w:hAnsi="Verdana" w:cs="Arial"/>
          <w:color w:val="000000"/>
        </w:rPr>
        <w:t xml:space="preserve">información pública clasificada y la información pública reservada: </w:t>
      </w:r>
    </w:p>
    <w:p w14:paraId="5BFD695E" w14:textId="77777777" w:rsidR="0031491B" w:rsidRPr="004D1947" w:rsidRDefault="0031491B" w:rsidP="0031491B">
      <w:pPr>
        <w:spacing w:after="0" w:line="276" w:lineRule="auto"/>
        <w:ind w:right="709"/>
        <w:jc w:val="both"/>
        <w:rPr>
          <w:rFonts w:ascii="Verdana" w:eastAsia="Calibri" w:hAnsi="Verdana" w:cs="Arial"/>
          <w:color w:val="000000"/>
        </w:rPr>
      </w:pPr>
    </w:p>
    <w:p w14:paraId="23C02E8A" w14:textId="77777777" w:rsidR="0031491B" w:rsidRPr="004D1947" w:rsidRDefault="0031491B" w:rsidP="0031491B">
      <w:pPr>
        <w:spacing w:after="0" w:line="240" w:lineRule="auto"/>
        <w:ind w:left="709" w:right="709"/>
        <w:jc w:val="both"/>
        <w:rPr>
          <w:rFonts w:ascii="Verdana" w:eastAsia="Calibri" w:hAnsi="Verdana" w:cs="Arial"/>
          <w:color w:val="000000"/>
          <w:sz w:val="20"/>
          <w:szCs w:val="20"/>
        </w:rPr>
      </w:pPr>
      <w:r w:rsidRPr="004D1947">
        <w:rPr>
          <w:rFonts w:ascii="Verdana" w:eastAsia="Calibri" w:hAnsi="Verdana" w:cs="Arial"/>
          <w:bCs/>
          <w:color w:val="000000"/>
          <w:sz w:val="20"/>
          <w:szCs w:val="20"/>
        </w:rPr>
        <w:t xml:space="preserve">“Artículo 6°. </w:t>
      </w:r>
      <w:r w:rsidRPr="004D1947">
        <w:rPr>
          <w:rFonts w:ascii="Verdana" w:eastAsia="Calibri" w:hAnsi="Verdana" w:cs="Arial"/>
          <w:i/>
          <w:iCs/>
          <w:color w:val="000000"/>
          <w:sz w:val="20"/>
          <w:szCs w:val="20"/>
        </w:rPr>
        <w:t>Definiciones</w:t>
      </w:r>
      <w:r w:rsidRPr="004D1947">
        <w:rPr>
          <w:rFonts w:ascii="Verdana" w:eastAsia="Calibri" w:hAnsi="Verdana" w:cs="Arial"/>
          <w:color w:val="000000"/>
          <w:sz w:val="20"/>
          <w:szCs w:val="20"/>
        </w:rPr>
        <w:t xml:space="preserve">. </w:t>
      </w:r>
    </w:p>
    <w:p w14:paraId="1EC6337C" w14:textId="77777777" w:rsidR="0031491B" w:rsidRPr="004D1947" w:rsidRDefault="0031491B" w:rsidP="0031491B">
      <w:pPr>
        <w:spacing w:after="120" w:line="240" w:lineRule="auto"/>
        <w:ind w:left="709" w:right="709"/>
        <w:jc w:val="both"/>
        <w:rPr>
          <w:rFonts w:ascii="Verdana" w:eastAsia="Calibri" w:hAnsi="Verdana" w:cs="Arial"/>
          <w:color w:val="000000"/>
          <w:sz w:val="20"/>
          <w:szCs w:val="20"/>
        </w:rPr>
      </w:pPr>
      <w:r w:rsidRPr="004D1947">
        <w:rPr>
          <w:rFonts w:ascii="Verdana" w:eastAsia="Calibri" w:hAnsi="Verdana" w:cs="Arial"/>
          <w:bCs/>
          <w:color w:val="000000"/>
          <w:sz w:val="20"/>
          <w:szCs w:val="20"/>
        </w:rPr>
        <w:t>[</w:t>
      </w:r>
      <w:r w:rsidRPr="004D1947">
        <w:rPr>
          <w:rFonts w:ascii="Verdana" w:eastAsia="Calibri" w:hAnsi="Verdana" w:cs="Arial"/>
          <w:color w:val="000000"/>
          <w:sz w:val="20"/>
          <w:szCs w:val="20"/>
        </w:rPr>
        <w:t>…]</w:t>
      </w:r>
    </w:p>
    <w:p w14:paraId="34B1DD3C" w14:textId="77777777" w:rsidR="0031491B" w:rsidRPr="004D1947" w:rsidRDefault="0031491B" w:rsidP="0031491B">
      <w:pPr>
        <w:spacing w:after="120" w:line="240" w:lineRule="auto"/>
        <w:ind w:left="709" w:right="709"/>
        <w:jc w:val="both"/>
        <w:rPr>
          <w:rFonts w:ascii="Verdana" w:eastAsia="Calibri" w:hAnsi="Verdana" w:cs="Arial"/>
          <w:color w:val="000000"/>
          <w:sz w:val="20"/>
          <w:szCs w:val="20"/>
        </w:rPr>
      </w:pPr>
      <w:r w:rsidRPr="004D1947">
        <w:rPr>
          <w:rFonts w:ascii="Verdana" w:eastAsia="Calibri" w:hAnsi="Verdana" w:cs="Arial"/>
          <w:color w:val="000000"/>
          <w:sz w:val="20"/>
          <w:szCs w:val="20"/>
        </w:rPr>
        <w:t>c) </w:t>
      </w:r>
      <w:r w:rsidRPr="004D1947">
        <w:rPr>
          <w:rFonts w:ascii="Verdana" w:eastAsia="Calibri" w:hAnsi="Verdana" w:cs="Arial"/>
          <w:bCs/>
          <w:color w:val="000000"/>
          <w:sz w:val="20"/>
          <w:szCs w:val="20"/>
        </w:rPr>
        <w:t>Información pública clasificada. </w:t>
      </w:r>
      <w:r w:rsidRPr="004D1947">
        <w:rPr>
          <w:rFonts w:ascii="Verdana" w:eastAsia="Calibri" w:hAnsi="Verdana" w:cs="Arial"/>
          <w:color w:val="000000"/>
          <w:sz w:val="20"/>
          <w:szCs w:val="20"/>
        </w:rPr>
        <w:t xml:space="preserve">Es aquella información que estando en poder o custodia de un sujeto obligado en su calidad de tal, pertenece al </w:t>
      </w:r>
      <w:r w:rsidRPr="004D1947">
        <w:rPr>
          <w:rFonts w:ascii="Verdana" w:eastAsia="Calibri" w:hAnsi="Verdana" w:cs="Arial"/>
          <w:color w:val="000000"/>
          <w:sz w:val="20"/>
          <w:szCs w:val="20"/>
        </w:rPr>
        <w:lastRenderedPageBreak/>
        <w:t>ámbito propio, particular y privado o semiprivado de una persona natural o jurídica por lo que su acceso podrá ser negado o exceptuado, siempre que se trate de las circunstancias legítimas y necesarias y los derechos particulares o privados consagrados en el artículo 18 de esta ley; </w:t>
      </w:r>
    </w:p>
    <w:p w14:paraId="268121B0" w14:textId="77777777" w:rsidR="0031491B" w:rsidRPr="004D1947" w:rsidRDefault="0031491B" w:rsidP="0031491B">
      <w:pPr>
        <w:spacing w:after="0" w:line="240" w:lineRule="auto"/>
        <w:ind w:left="709" w:right="709"/>
        <w:jc w:val="both"/>
        <w:rPr>
          <w:rFonts w:ascii="Verdana" w:eastAsia="Calibri" w:hAnsi="Verdana" w:cs="Arial"/>
          <w:color w:val="000000"/>
          <w:sz w:val="20"/>
          <w:szCs w:val="20"/>
        </w:rPr>
      </w:pPr>
      <w:r w:rsidRPr="004D1947">
        <w:rPr>
          <w:rFonts w:ascii="Verdana" w:eastAsia="Calibri" w:hAnsi="Verdana" w:cs="Arial"/>
          <w:color w:val="000000"/>
          <w:sz w:val="20"/>
          <w:szCs w:val="20"/>
        </w:rPr>
        <w:t>d) </w:t>
      </w:r>
      <w:r w:rsidRPr="004D1947">
        <w:rPr>
          <w:rFonts w:ascii="Verdana" w:eastAsia="Calibri" w:hAnsi="Verdana" w:cs="Arial"/>
          <w:bCs/>
          <w:color w:val="000000"/>
          <w:sz w:val="20"/>
          <w:szCs w:val="20"/>
        </w:rPr>
        <w:t>Información pública reservada. </w:t>
      </w:r>
      <w:r w:rsidRPr="004D1947">
        <w:rPr>
          <w:rFonts w:ascii="Verdana" w:eastAsia="Calibri" w:hAnsi="Verdana" w:cs="Arial"/>
          <w:color w:val="000000"/>
          <w:sz w:val="20"/>
          <w:szCs w:val="20"/>
        </w:rPr>
        <w:t>Es aquella información que estando en poder o custodia de un sujeto obligado en su calidad de tal, es exceptuada de acceso a la ciudadanía por daño a intereses públicos y bajo cumplimiento de la totalidad de los requisitos consagrados en el artículo 19 de esta ley”. </w:t>
      </w:r>
    </w:p>
    <w:p w14:paraId="42F61D14" w14:textId="77777777" w:rsidR="0031491B" w:rsidRPr="00AD6B46" w:rsidRDefault="0031491B" w:rsidP="0031491B">
      <w:pPr>
        <w:spacing w:after="0" w:line="276" w:lineRule="auto"/>
        <w:jc w:val="both"/>
        <w:rPr>
          <w:rFonts w:ascii="Verdana" w:eastAsia="Calibri" w:hAnsi="Verdana" w:cs="Arial"/>
          <w:color w:val="000000"/>
        </w:rPr>
      </w:pPr>
    </w:p>
    <w:p w14:paraId="76C64E52" w14:textId="77777777" w:rsidR="0031491B" w:rsidRPr="00AD6B46" w:rsidRDefault="0031491B" w:rsidP="0031491B">
      <w:pPr>
        <w:spacing w:after="120" w:line="276" w:lineRule="auto"/>
        <w:ind w:firstLine="708"/>
        <w:jc w:val="both"/>
        <w:rPr>
          <w:rFonts w:ascii="Verdana" w:eastAsia="Calibri" w:hAnsi="Verdana" w:cs="Arial"/>
          <w:color w:val="000000"/>
        </w:rPr>
      </w:pPr>
      <w:r w:rsidRPr="00AD6B46">
        <w:rPr>
          <w:rFonts w:ascii="Verdana" w:eastAsia="Calibri" w:hAnsi="Verdana" w:cs="Arial"/>
          <w:color w:val="000000"/>
        </w:rPr>
        <w:t>Estos dos tipos de información están contenidos en los artículos 18</w:t>
      </w:r>
      <w:r w:rsidRPr="00AD6B46">
        <w:rPr>
          <w:rFonts w:ascii="Verdana" w:eastAsia="Calibri" w:hAnsi="Verdana" w:cs="Arial"/>
          <w:color w:val="000000"/>
          <w:vertAlign w:val="superscript"/>
        </w:rPr>
        <w:footnoteReference w:id="20"/>
      </w:r>
      <w:r w:rsidRPr="00AD6B46">
        <w:rPr>
          <w:rFonts w:ascii="Verdana" w:eastAsia="Calibri" w:hAnsi="Verdana" w:cs="Arial"/>
          <w:color w:val="000000"/>
        </w:rPr>
        <w:t xml:space="preserve"> y 19 de la Ley 1712 de 2014</w:t>
      </w:r>
      <w:r w:rsidRPr="00AD6B46">
        <w:rPr>
          <w:rFonts w:ascii="Verdana" w:eastAsia="Calibri" w:hAnsi="Verdana" w:cs="Arial"/>
          <w:color w:val="000000"/>
          <w:vertAlign w:val="superscript"/>
        </w:rPr>
        <w:footnoteReference w:id="21"/>
      </w:r>
      <w:r w:rsidRPr="00AD6B46">
        <w:rPr>
          <w:rFonts w:ascii="Verdana" w:eastAsia="Calibri" w:hAnsi="Verdana" w:cs="Arial"/>
          <w:color w:val="000000"/>
        </w:rPr>
        <w:t xml:space="preserve">. Lo anterior significa que, respecto de datos que contengan información clasificada por protección de derechos particulares o reservada por defensa de intereses públicos, las entidades deberán proceder de conformidad con lo dispuesto en la Ley 1712 de 2014 y sus decretos reglamentarios sobre el manejo de la información que está sometida a reserva. </w:t>
      </w:r>
    </w:p>
    <w:p w14:paraId="30B799A0" w14:textId="77777777" w:rsidR="0031491B" w:rsidRDefault="0031491B" w:rsidP="0031491B">
      <w:pPr>
        <w:spacing w:after="120" w:line="276" w:lineRule="auto"/>
        <w:ind w:firstLine="709"/>
        <w:jc w:val="both"/>
        <w:rPr>
          <w:rFonts w:ascii="Verdana" w:eastAsia="Times New Roman" w:hAnsi="Verdana" w:cs="Arial"/>
          <w:lang w:eastAsia="es-MX"/>
        </w:rPr>
      </w:pPr>
      <w:r w:rsidRPr="00AD6B46">
        <w:rPr>
          <w:rFonts w:ascii="Verdana" w:eastAsia="Calibri" w:hAnsi="Verdana" w:cs="Arial"/>
          <w:color w:val="000000"/>
        </w:rPr>
        <w:t>En esta misma línea, el artículo 24 de la Ley 1437 de 2011 sustituido por el artículo 2 de la Ley 1755 de 2015 establece algunas materias que son sujetas de reserva de información</w:t>
      </w:r>
      <w:r w:rsidRPr="00AD6B46">
        <w:rPr>
          <w:rFonts w:ascii="Verdana" w:eastAsia="Calibri" w:hAnsi="Verdana" w:cs="Arial"/>
          <w:color w:val="000000"/>
          <w:vertAlign w:val="superscript"/>
        </w:rPr>
        <w:footnoteReference w:id="22"/>
      </w:r>
      <w:r w:rsidRPr="00AD6B46">
        <w:rPr>
          <w:rFonts w:ascii="Verdana" w:eastAsia="Calibri" w:hAnsi="Verdana" w:cs="Arial"/>
          <w:color w:val="000000"/>
        </w:rPr>
        <w:t xml:space="preserve">. De tal forma, que las reservas de información no </w:t>
      </w:r>
      <w:r w:rsidRPr="00AD6B46">
        <w:rPr>
          <w:rFonts w:ascii="Verdana" w:eastAsia="Calibri" w:hAnsi="Verdana" w:cs="Arial"/>
          <w:color w:val="000000"/>
        </w:rPr>
        <w:lastRenderedPageBreak/>
        <w:t xml:space="preserve">están solo reguladas en la Ley 1712 de 2014 y en el artículo 24 de la Ley 1437 de 2011 sustituido por el artículo 2 de la Ley 1755 de 2015, pues existen otras normatividades, como la Ley 1581 de 2012, Ley 1621 de 2013, entre otras, que establecen reservas a la información pública.  </w:t>
      </w:r>
      <w:r>
        <w:rPr>
          <w:rFonts w:ascii="Verdana" w:eastAsia="Times New Roman" w:hAnsi="Verdana" w:cs="Arial"/>
          <w:lang w:eastAsia="es-MX"/>
        </w:rPr>
        <w:t xml:space="preserve"> </w:t>
      </w:r>
    </w:p>
    <w:p w14:paraId="0E8D5017" w14:textId="77777777" w:rsidR="0031491B" w:rsidRPr="00876F35" w:rsidRDefault="0031491B" w:rsidP="0031491B">
      <w:pPr>
        <w:spacing w:after="120" w:line="276" w:lineRule="auto"/>
        <w:ind w:firstLine="709"/>
        <w:jc w:val="both"/>
        <w:rPr>
          <w:rFonts w:ascii="Verdana" w:hAnsi="Verdana" w:cs="Arial"/>
          <w:sz w:val="20"/>
          <w:szCs w:val="20"/>
          <w:lang w:val="es-ES_tradnl" w:eastAsia="es-ES"/>
        </w:rPr>
      </w:pPr>
      <w:r>
        <w:rPr>
          <w:rFonts w:ascii="Verdana" w:eastAsia="Times New Roman" w:hAnsi="Verdana" w:cs="Arial"/>
          <w:lang w:eastAsia="es-MX"/>
        </w:rPr>
        <w:t xml:space="preserve">En este contexto, es la necesidad de la reserva de los documentos del proceso la que habilita la causal de contratación directa para las entidades de sector defensa sometida al EGCAP. Dicha reserva por lo general se refiere a temas de defensa y seguridad nacional. </w:t>
      </w:r>
      <w:r w:rsidRPr="003E5E57">
        <w:rPr>
          <w:rFonts w:ascii="Verdana" w:eastAsia="Calibri" w:hAnsi="Verdana" w:cs="Arial"/>
          <w:color w:val="000000"/>
          <w:lang w:val="es-ES"/>
        </w:rPr>
        <w:t xml:space="preserve">Este concepto no tiene una definición legal en el Estatuto General de Contratación de la Administración Pública. En tal sentido, es un </w:t>
      </w:r>
      <w:r w:rsidRPr="00633222">
        <w:rPr>
          <w:rFonts w:ascii="Verdana" w:eastAsia="Calibri" w:hAnsi="Verdana" w:cs="Arial"/>
          <w:i/>
          <w:iCs/>
          <w:color w:val="000000"/>
          <w:lang w:val="es-ES"/>
        </w:rPr>
        <w:t>concepto jurídico indeterminado</w:t>
      </w:r>
      <w:r w:rsidRPr="003E5E57">
        <w:rPr>
          <w:rFonts w:ascii="Verdana" w:eastAsia="Calibri" w:hAnsi="Verdana" w:cs="Arial"/>
          <w:color w:val="000000"/>
          <w:lang w:val="es-ES"/>
        </w:rPr>
        <w:t xml:space="preserve">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sidRPr="003E5E57">
        <w:rPr>
          <w:rFonts w:ascii="Verdana" w:eastAsia="Calibri" w:hAnsi="Verdana" w:cs="Arial"/>
          <w:color w:val="000000"/>
          <w:vertAlign w:val="superscript"/>
          <w:lang w:val="es-ES"/>
        </w:rPr>
        <w:footnoteReference w:id="23"/>
      </w:r>
      <w:r w:rsidRPr="003E5E57">
        <w:rPr>
          <w:rFonts w:ascii="Verdana" w:eastAsia="Calibri" w:hAnsi="Verdana" w:cs="Arial"/>
          <w:color w:val="000000"/>
          <w:lang w:val="es-ES"/>
        </w:rPr>
        <w:t>.</w:t>
      </w:r>
      <w:r>
        <w:rPr>
          <w:rFonts w:ascii="Verdana" w:eastAsia="Calibri" w:hAnsi="Verdana" w:cs="Arial"/>
          <w:color w:val="000000"/>
          <w:lang w:val="es-ES"/>
        </w:rPr>
        <w:t xml:space="preserve"> </w:t>
      </w:r>
    </w:p>
    <w:p w14:paraId="5E464856" w14:textId="77777777" w:rsidR="0031491B" w:rsidRDefault="0031491B" w:rsidP="0031491B">
      <w:pPr>
        <w:shd w:val="clear" w:color="auto" w:fill="FFFFFF"/>
        <w:spacing w:after="120" w:line="276" w:lineRule="auto"/>
        <w:ind w:firstLine="709"/>
        <w:jc w:val="both"/>
        <w:rPr>
          <w:rFonts w:ascii="Verdana" w:eastAsia="Calibri" w:hAnsi="Verdana" w:cs="Arial"/>
          <w:color w:val="000000"/>
        </w:rPr>
      </w:pPr>
      <w:r w:rsidRPr="00841ECF">
        <w:rPr>
          <w:rFonts w:ascii="Verdana" w:eastAsia="Calibri" w:hAnsi="Verdana" w:cs="Arial"/>
          <w:color w:val="000000"/>
        </w:rPr>
        <w:t xml:space="preserve">Al respecto, el Consejo de Estado ha señalado que es indispensable considerar la competencia de las entidades públicas para determinar el objeto, los cometidos y las funciones que les atribuye el orden jurídico. </w:t>
      </w:r>
      <w:r>
        <w:rPr>
          <w:rFonts w:ascii="Verdana" w:eastAsia="Calibri" w:hAnsi="Verdana" w:cs="Arial"/>
          <w:color w:val="000000"/>
        </w:rPr>
        <w:t xml:space="preserve">En este sentido, </w:t>
      </w:r>
      <w:r>
        <w:rPr>
          <w:rFonts w:ascii="Verdana" w:eastAsia="Calibri" w:hAnsi="Verdana" w:cs="Arial"/>
          <w:color w:val="000000"/>
        </w:rPr>
        <w:lastRenderedPageBreak/>
        <w:t xml:space="preserve">el Consejo de Estado expresó: “[…] </w:t>
      </w:r>
      <w:r w:rsidRPr="00BA2C06">
        <w:rPr>
          <w:rFonts w:ascii="Verdana" w:eastAsia="Calibri" w:hAnsi="Verdana" w:cs="Arial"/>
          <w:color w:val="000000"/>
        </w:rPr>
        <w:t>sólo aquellas que tengan ese amplio espectro territorial de competencia podrían asumir funciones relativas a la defensa y seguridad nacional, lo cual permite distinguir este concepto de, por ejemplo, aquel otro de seguridad ciudadana, en el que podrían intervenir entidades del orden territorial</w:t>
      </w:r>
      <w:r>
        <w:rPr>
          <w:rFonts w:ascii="Verdana" w:eastAsia="Calibri" w:hAnsi="Verdana" w:cs="Arial"/>
          <w:color w:val="000000"/>
        </w:rPr>
        <w:t>”</w:t>
      </w:r>
      <w:r w:rsidRPr="00BA2C06">
        <w:rPr>
          <w:rFonts w:ascii="Verdana" w:eastAsia="Calibri" w:hAnsi="Verdana" w:cs="Arial"/>
          <w:color w:val="000000"/>
        </w:rPr>
        <w:t>. Bajo esta lógica, podría afirmarse que las entidades del orden territorial no tienen la facultad de invocar reservas de información en defensa y seguridad nacional para restringir la información, pues su función está enfocada en la seguridad ciudadana</w:t>
      </w:r>
      <w:r>
        <w:rPr>
          <w:rFonts w:ascii="Verdana" w:eastAsia="Calibri" w:hAnsi="Verdana" w:cs="Arial"/>
          <w:color w:val="000000"/>
        </w:rPr>
        <w:t>”</w:t>
      </w:r>
      <w:r>
        <w:rPr>
          <w:rStyle w:val="Refdenotaalpie"/>
          <w:rFonts w:ascii="Verdana" w:eastAsia="Calibri" w:hAnsi="Verdana" w:cs="Arial"/>
          <w:color w:val="000000"/>
        </w:rPr>
        <w:footnoteReference w:id="24"/>
      </w:r>
      <w:r w:rsidRPr="00BA2C06">
        <w:rPr>
          <w:rFonts w:ascii="Verdana" w:eastAsia="Calibri" w:hAnsi="Verdana" w:cs="Arial"/>
          <w:color w:val="000000"/>
        </w:rPr>
        <w:t>.</w:t>
      </w:r>
    </w:p>
    <w:p w14:paraId="4951FE1B" w14:textId="77777777" w:rsidR="0031491B" w:rsidRDefault="0031491B" w:rsidP="0031491B">
      <w:pPr>
        <w:shd w:val="clear" w:color="auto" w:fill="FFFFFF"/>
        <w:spacing w:after="120" w:line="276" w:lineRule="auto"/>
        <w:ind w:firstLine="709"/>
        <w:jc w:val="both"/>
        <w:rPr>
          <w:rFonts w:ascii="Verdana" w:eastAsia="Times New Roman" w:hAnsi="Verdana" w:cs="Arial"/>
          <w:lang w:eastAsia="es-MX"/>
        </w:rPr>
      </w:pPr>
      <w:r w:rsidRPr="005C1412">
        <w:rPr>
          <w:rFonts w:ascii="Verdana" w:eastAsia="Calibri" w:hAnsi="Verdana" w:cs="Arial"/>
          <w:color w:val="000000"/>
        </w:rPr>
        <w:t>Con base en lo anterior, la contratación de bienes y servicios en el sector defensa que requieran reserva, enmarcados en el literal d) del artículo 2.4 de la Ley 1150 de 2007, no puede ser invocada por cualquier autoridad. Esta causal está reservada exclusivamente a las entidades del orden nacional qu</w:t>
      </w:r>
      <w:r>
        <w:rPr>
          <w:rFonts w:ascii="Verdana" w:eastAsia="Calibri" w:hAnsi="Verdana" w:cs="Arial"/>
          <w:color w:val="000000"/>
        </w:rPr>
        <w:t>e hagan parte del Sector Defensa</w:t>
      </w:r>
      <w:r w:rsidRPr="005C1412">
        <w:rPr>
          <w:rFonts w:ascii="Verdana" w:eastAsia="Calibri" w:hAnsi="Verdana" w:cs="Arial"/>
          <w:color w:val="000000"/>
        </w:rPr>
        <w:t>. Por tanto, las entidades territoriales carecen de facultad para acudir a esta excepción, dado que su ámbito de actuación se circunscribe a la seguridad ciudadana y al orden público local, sin que puedan extender sus competencias hacia la defensa nacional. Esta deli</w:t>
      </w:r>
      <w:r>
        <w:rPr>
          <w:rFonts w:ascii="Verdana" w:eastAsia="Calibri" w:hAnsi="Verdana" w:cs="Arial"/>
          <w:color w:val="000000"/>
        </w:rPr>
        <w:t>m</w:t>
      </w:r>
      <w:r w:rsidRPr="005C1412">
        <w:rPr>
          <w:rFonts w:ascii="Verdana" w:eastAsia="Calibri" w:hAnsi="Verdana" w:cs="Arial"/>
          <w:color w:val="000000"/>
        </w:rPr>
        <w:t xml:space="preserve">itación asegura la correcta aplicación del régimen de contratación directa, preserva la transparencia y evita la utilización indebida de una excepción que, por su naturaleza, es de interpretación </w:t>
      </w:r>
      <w:r>
        <w:rPr>
          <w:rFonts w:ascii="Verdana" w:eastAsia="Calibri" w:hAnsi="Verdana" w:cs="Arial"/>
          <w:color w:val="000000"/>
        </w:rPr>
        <w:t xml:space="preserve">restrictiva. </w:t>
      </w:r>
    </w:p>
    <w:p w14:paraId="698E3D1B" w14:textId="77777777" w:rsidR="0031491B" w:rsidRDefault="0031491B" w:rsidP="0031491B">
      <w:pPr>
        <w:shd w:val="clear" w:color="auto" w:fill="FFFFFF"/>
        <w:spacing w:after="120" w:line="276" w:lineRule="auto"/>
        <w:ind w:firstLine="709"/>
        <w:jc w:val="both"/>
        <w:rPr>
          <w:rFonts w:ascii="Verdana" w:eastAsia="Times New Roman" w:hAnsi="Verdana" w:cs="Arial"/>
          <w:lang w:val="es-ES" w:eastAsia="es-MX"/>
        </w:rPr>
      </w:pPr>
      <w:r>
        <w:rPr>
          <w:rFonts w:ascii="Verdana" w:eastAsia="Times New Roman" w:hAnsi="Verdana" w:cs="Arial"/>
          <w:lang w:eastAsia="es-MX"/>
        </w:rPr>
        <w:t xml:space="preserve">En este sentido, no resulta procedente que </w:t>
      </w:r>
      <w:r w:rsidRPr="00F526C2">
        <w:rPr>
          <w:rFonts w:ascii="Verdana" w:eastAsia="Times New Roman" w:hAnsi="Verdana" w:cs="Arial"/>
          <w:lang w:eastAsia="es-MX"/>
        </w:rPr>
        <w:t xml:space="preserve">las entidades territoriales invoquen la causal de contratación directa prevista en el literal d) del artículo 2.4 de la Ley 1150 de 2007, </w:t>
      </w:r>
      <w:r w:rsidRPr="008F6576">
        <w:rPr>
          <w:rFonts w:ascii="Verdana" w:eastAsia="Times New Roman" w:hAnsi="Verdana" w:cs="Arial"/>
          <w:lang w:eastAsia="es-MX"/>
        </w:rPr>
        <w:t>por dos razones fundamentales. En primer lugar, dichas entidades no forman parte del sector Defensa, cuya competencia constitucional y legal está reservada a organismos del orden nacional encargados de la preservación de la soberanía y la integridad del Estado. En segundo lugar, la noción de defensa y seguridad nacional constituye un concepto jurídico indeterminado que no puede asimilarse a la seguridad ciudadana, pues esta última se relaciona con la protección inmediata de las personas y sus bienes frente a fenómenos de delincuencia común y violencia social, mientras que la defensa nacional se vincula con la estabilidad institucional y la protección del territorio</w:t>
      </w:r>
      <w:r>
        <w:rPr>
          <w:rFonts w:ascii="Verdana" w:eastAsia="Times New Roman" w:hAnsi="Verdana" w:cs="Arial"/>
          <w:lang w:eastAsia="es-MX"/>
        </w:rPr>
        <w:t>, relacionado en otros conceptos indeterminados, como el interés nacional y soberanía nacional</w:t>
      </w:r>
      <w:r w:rsidRPr="008F6576">
        <w:rPr>
          <w:rFonts w:ascii="Verdana" w:eastAsia="Times New Roman" w:hAnsi="Verdana" w:cs="Arial"/>
          <w:lang w:eastAsia="es-MX"/>
        </w:rPr>
        <w:t>.</w:t>
      </w:r>
      <w:r>
        <w:rPr>
          <w:rFonts w:ascii="Verdana" w:eastAsia="Times New Roman" w:hAnsi="Verdana" w:cs="Arial"/>
          <w:lang w:val="es-ES" w:eastAsia="es-MX"/>
        </w:rPr>
        <w:t xml:space="preserve"> </w:t>
      </w:r>
    </w:p>
    <w:p w14:paraId="10CB12D9" w14:textId="77777777" w:rsidR="0031491B" w:rsidRDefault="0031491B" w:rsidP="0031491B">
      <w:pPr>
        <w:shd w:val="clear" w:color="auto" w:fill="FFFFFF"/>
        <w:spacing w:after="120" w:line="276" w:lineRule="auto"/>
        <w:ind w:firstLine="709"/>
        <w:jc w:val="both"/>
        <w:rPr>
          <w:rFonts w:ascii="Verdana" w:eastAsia="Times New Roman" w:hAnsi="Verdana" w:cs="Arial"/>
          <w:lang w:eastAsia="es-MX"/>
        </w:rPr>
      </w:pPr>
      <w:r w:rsidRPr="009E3703">
        <w:rPr>
          <w:rFonts w:ascii="Verdana" w:eastAsia="Times New Roman" w:hAnsi="Verdana" w:cs="Arial"/>
          <w:lang w:eastAsia="es-MX"/>
        </w:rPr>
        <w:lastRenderedPageBreak/>
        <w:t>Esto no significa que las entidades territoriales carezcan de competencia para adquirir bienes y servicios destinados al cumplimiento de sus funciones en materia de seguridad ciudadana y preservación del orden público. Por el contrario, dichas entidades conservan la facultad de adelantar procesos contractuales orientados a garantizar la convivencia, la vigilancia, la videovigilancia, las comunicaciones, la infraestructura tecnológica y, en general, todos aquellos elementos necesarios para la protección de la comunidad en su ámbito territorial.</w:t>
      </w:r>
      <w:r>
        <w:rPr>
          <w:rFonts w:ascii="Verdana" w:eastAsia="Times New Roman" w:hAnsi="Verdana" w:cs="Arial"/>
          <w:lang w:eastAsia="es-MX"/>
        </w:rPr>
        <w:t xml:space="preserve"> </w:t>
      </w:r>
      <w:r w:rsidRPr="009E3703">
        <w:rPr>
          <w:rFonts w:ascii="Verdana" w:eastAsia="Times New Roman" w:hAnsi="Verdana" w:cs="Arial"/>
          <w:lang w:eastAsia="es-MX"/>
        </w:rPr>
        <w:t>En est</w:t>
      </w:r>
      <w:r>
        <w:rPr>
          <w:rFonts w:ascii="Verdana" w:eastAsia="Times New Roman" w:hAnsi="Verdana" w:cs="Arial"/>
          <w:lang w:eastAsia="es-MX"/>
        </w:rPr>
        <w:t>a línea</w:t>
      </w:r>
      <w:r w:rsidRPr="009E3703">
        <w:rPr>
          <w:rFonts w:ascii="Verdana" w:eastAsia="Times New Roman" w:hAnsi="Verdana" w:cs="Arial"/>
          <w:lang w:eastAsia="es-MX"/>
        </w:rPr>
        <w:t xml:space="preserve">, la contratación que realicen las entidades territoriales debe ajustarse estrictamente a las causales y modalidades de selección previstas en el Sistema de Compras Públicas. </w:t>
      </w:r>
    </w:p>
    <w:p w14:paraId="599EC0BC" w14:textId="77777777" w:rsidR="0031491B" w:rsidRDefault="0031491B" w:rsidP="0031491B">
      <w:pPr>
        <w:shd w:val="clear" w:color="auto" w:fill="FFFFFF"/>
        <w:spacing w:after="120" w:line="276" w:lineRule="auto"/>
        <w:ind w:firstLine="709"/>
        <w:jc w:val="both"/>
        <w:rPr>
          <w:rFonts w:ascii="Verdana" w:eastAsia="Times New Roman" w:hAnsi="Verdana" w:cs="Arial"/>
          <w:lang w:eastAsia="es-MX"/>
        </w:rPr>
      </w:pPr>
      <w:r w:rsidRPr="00FB1704">
        <w:rPr>
          <w:rFonts w:ascii="Verdana" w:eastAsia="Times New Roman" w:hAnsi="Verdana" w:cs="Arial"/>
          <w:lang w:eastAsia="es-MX"/>
        </w:rPr>
        <w:t>Conviene precisar el fundamento de esa competencia territorial. Conforme al numeral 2 del artículo 315 de la Constitución Política, el alcalde es la primera autoridad de policía del municipio y le corresponde conservar el orden público local de acuerdo con la ley y las instrucciones del Presidente de la República y del respectivo gobernador</w:t>
      </w:r>
      <w:r w:rsidRPr="00FB1704">
        <w:rPr>
          <w:rStyle w:val="Refdenotaalpie"/>
          <w:rFonts w:ascii="Verdana" w:eastAsia="Calibri" w:hAnsi="Verdana" w:cs="Arial"/>
          <w:color w:val="000000"/>
        </w:rPr>
        <w:footnoteReference w:id="25"/>
      </w:r>
      <w:r w:rsidRPr="00FB1704">
        <w:rPr>
          <w:rFonts w:ascii="Verdana" w:eastAsia="Times New Roman" w:hAnsi="Verdana" w:cs="Arial"/>
          <w:lang w:eastAsia="es-MX"/>
        </w:rPr>
        <w:t>. En el mismo sentido, los artículos 296 y 303 superiores articulan el manejo del orden público entre la Nación y las entidades territoriales, y la Ley 1801 de 2016 —Código Nacional de Seguridad y Convivencia Ciudadana— asigna a las autoridades departamentales, distritales y municipales competencias en materia de convivencia y seguridad ciudadana. Para financiar esas actividades, la Ley 418 de 1997 creó los fondos de seguridad de las entidades territoriales (FONSET), cuyos recursos se ejecutan conforme al régimen compilado en el Decreto 1066 de 2015. De ahí que, para atender necesidades de convivencia, vigilancia, videovigilancia, comunicaciones e infraestructura tecnológica, las entidades territoriales deban acudir a las modalidades ordinarias de selección del Estatuto General de Contratación de la Administración Pública —licitación pública, selección abreviada o mínima cuantía, según el objeto y la cuantía—, sin que la sola destinación del contrato a la seguridad ciudadana habilite, por sí misma, una causal de contratación directa.</w:t>
      </w:r>
    </w:p>
    <w:p w14:paraId="3A54C516" w14:textId="77777777" w:rsidR="0031491B" w:rsidRPr="009E3703" w:rsidRDefault="0031491B" w:rsidP="0031491B">
      <w:pPr>
        <w:shd w:val="clear" w:color="auto" w:fill="FFFFFF"/>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En efecto, las entidades territoriales sujetas al EGCAP deben </w:t>
      </w:r>
      <w:r w:rsidRPr="00355A91">
        <w:rPr>
          <w:rFonts w:ascii="Verdana" w:eastAsia="Times New Roman" w:hAnsi="Verdana" w:cs="Arial"/>
          <w:lang w:eastAsia="es-MX"/>
        </w:rPr>
        <w:t xml:space="preserve">tener en cuenta el artículo 2 de la Ley 1150 de 2007, el cual establece que </w:t>
      </w:r>
      <w:r>
        <w:rPr>
          <w:rFonts w:ascii="Verdana" w:eastAsia="Times New Roman" w:hAnsi="Verdana" w:cs="Arial"/>
          <w:lang w:eastAsia="es-MX"/>
        </w:rPr>
        <w:t>“</w:t>
      </w:r>
      <w:r w:rsidRPr="00355A91">
        <w:rPr>
          <w:rFonts w:ascii="Verdana" w:eastAsia="Times New Roman" w:hAnsi="Verdana" w:cs="Arial"/>
          <w:i/>
          <w:iCs/>
          <w:lang w:eastAsia="es-MX"/>
        </w:rPr>
        <w:t xml:space="preserve">la escogencia del contratista se efectuará con arreglo a las modalidades de selección de </w:t>
      </w:r>
      <w:r w:rsidRPr="00355A91">
        <w:rPr>
          <w:rFonts w:ascii="Verdana" w:eastAsia="Times New Roman" w:hAnsi="Verdana" w:cs="Arial"/>
          <w:i/>
          <w:iCs/>
          <w:lang w:eastAsia="es-MX"/>
        </w:rPr>
        <w:lastRenderedPageBreak/>
        <w:t>licitación pública, selección abreviada, concurso de méritos y contratación directa […]La escogencia del contratista se efectuará por regla general a través de licitación pública, con las excepciones que se señalan en los numerales 2, 3 y 4 del citado artículo</w:t>
      </w:r>
      <w:r>
        <w:rPr>
          <w:rFonts w:ascii="Verdana" w:eastAsia="Times New Roman" w:hAnsi="Verdana" w:cs="Arial"/>
          <w:i/>
          <w:iCs/>
          <w:lang w:eastAsia="es-MX"/>
        </w:rPr>
        <w:t>”</w:t>
      </w:r>
      <w:r w:rsidRPr="00355A91">
        <w:rPr>
          <w:rFonts w:ascii="Verdana" w:eastAsia="Times New Roman" w:hAnsi="Verdana" w:cs="Arial"/>
          <w:i/>
          <w:iCs/>
          <w:lang w:eastAsia="es-MX"/>
        </w:rPr>
        <w:t>.</w:t>
      </w:r>
      <w:r w:rsidRPr="00355A91">
        <w:rPr>
          <w:rFonts w:ascii="Verdana" w:eastAsia="Times New Roman" w:hAnsi="Verdana" w:cs="Arial"/>
          <w:lang w:eastAsia="es-MX"/>
        </w:rPr>
        <w:t xml:space="preserve"> </w:t>
      </w:r>
      <w:r w:rsidRPr="009E3703">
        <w:rPr>
          <w:rFonts w:ascii="Verdana" w:eastAsia="Times New Roman" w:hAnsi="Verdana" w:cs="Arial"/>
          <w:lang w:eastAsia="es-MX"/>
        </w:rPr>
        <w:t>Así</w:t>
      </w:r>
      <w:r>
        <w:rPr>
          <w:rFonts w:ascii="Verdana" w:eastAsia="Times New Roman" w:hAnsi="Verdana" w:cs="Arial"/>
          <w:lang w:eastAsia="es-MX"/>
        </w:rPr>
        <w:t xml:space="preserve"> pues</w:t>
      </w:r>
      <w:r w:rsidRPr="009E3703">
        <w:rPr>
          <w:rFonts w:ascii="Verdana" w:eastAsia="Times New Roman" w:hAnsi="Verdana" w:cs="Arial"/>
          <w:lang w:eastAsia="es-MX"/>
        </w:rPr>
        <w:t xml:space="preserve">, aunque no puedan invocar las causales de contratación directa reservadas al sector Defensa o a la Dirección Nacional de Inteligencia, sí pueden acudir a los procedimientos ordinarios que la normativa habilita para atender las necesidades </w:t>
      </w:r>
      <w:r>
        <w:rPr>
          <w:rFonts w:ascii="Verdana" w:eastAsia="Times New Roman" w:hAnsi="Verdana" w:cs="Arial"/>
          <w:lang w:eastAsia="es-MX"/>
        </w:rPr>
        <w:t xml:space="preserve">relacionadas con la seguridad ciudadana. </w:t>
      </w:r>
    </w:p>
    <w:p w14:paraId="6119C032" w14:textId="77777777" w:rsidR="0031491B" w:rsidRPr="003E5E57" w:rsidRDefault="0031491B" w:rsidP="0031491B">
      <w:pPr>
        <w:spacing w:after="0" w:line="276" w:lineRule="auto"/>
        <w:jc w:val="both"/>
        <w:rPr>
          <w:rFonts w:ascii="Verdana" w:hAnsi="Verdana" w:cs="Arial"/>
          <w:color w:val="000000" w:themeColor="text1"/>
          <w:lang w:val="es-ES_tradnl"/>
        </w:rPr>
      </w:pPr>
    </w:p>
    <w:p w14:paraId="33EF2AE3" w14:textId="77777777" w:rsidR="0031491B" w:rsidRPr="00F4158D" w:rsidRDefault="0031491B" w:rsidP="0031491B">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iv. </w:t>
      </w: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w:t>
      </w:r>
      <w:r>
        <w:rPr>
          <w:rFonts w:ascii="Verdana" w:eastAsia="Calibri" w:hAnsi="Verdana" w:cs="Arial"/>
          <w:bCs/>
          <w:color w:val="000000" w:themeColor="text1"/>
        </w:rPr>
        <w:t xml:space="preserve">de bienes y servicios de seguridad nacional </w:t>
      </w:r>
      <w:r w:rsidRPr="00F4158D">
        <w:rPr>
          <w:rFonts w:ascii="Verdana" w:eastAsia="Calibri" w:hAnsi="Verdana" w:cs="Arial"/>
          <w:bCs/>
          <w:color w:val="000000" w:themeColor="text1"/>
        </w:rPr>
        <w:t xml:space="preserve">de las entidades públicas debe </w:t>
      </w:r>
      <w:r>
        <w:rPr>
          <w:rFonts w:ascii="Verdana" w:eastAsia="Calibri" w:hAnsi="Verdana" w:cs="Arial"/>
          <w:bCs/>
          <w:color w:val="000000" w:themeColor="text1"/>
        </w:rPr>
        <w:t xml:space="preserve">realizarse </w:t>
      </w:r>
      <w:r w:rsidRPr="00F4158D">
        <w:rPr>
          <w:rFonts w:ascii="Verdana" w:eastAsia="Calibri" w:hAnsi="Verdana" w:cs="Arial"/>
          <w:bCs/>
          <w:color w:val="000000" w:themeColor="text1"/>
        </w:rPr>
        <w:t xml:space="preserve">por quienes tengan interés en ello, de acuerdo con lo explicado </w:t>
      </w:r>
      <w:r>
        <w:rPr>
          <w:rFonts w:ascii="Verdana" w:eastAsia="Calibri" w:hAnsi="Verdana" w:cs="Arial"/>
          <w:bCs/>
          <w:color w:val="000000" w:themeColor="text1"/>
        </w:rPr>
        <w:t>en</w:t>
      </w:r>
      <w:r w:rsidRPr="00F4158D">
        <w:rPr>
          <w:rFonts w:ascii="Verdana" w:eastAsia="Calibri" w:hAnsi="Verdana" w:cs="Arial"/>
          <w:bCs/>
          <w:color w:val="000000" w:themeColor="text1"/>
        </w:rPr>
        <w:t xml:space="preserve">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94D0F71" w14:textId="77777777" w:rsidR="0031491B" w:rsidRPr="00F4158D" w:rsidRDefault="0031491B" w:rsidP="0031491B">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C565F1C" w14:textId="77777777" w:rsidR="0031491B" w:rsidRPr="00F4158D" w:rsidRDefault="0031491B" w:rsidP="0031491B">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388B6ECB" w14:textId="77777777" w:rsidR="0031491B" w:rsidRPr="00593A5F" w:rsidRDefault="0031491B" w:rsidP="003149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8262F5F" w14:textId="77777777" w:rsidR="0031491B" w:rsidRPr="00593A5F" w:rsidRDefault="0031491B" w:rsidP="0031491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491B" w:rsidRPr="002407CE" w14:paraId="2CDACDF8" w14:textId="77777777" w:rsidTr="00743F26">
        <w:trPr>
          <w:trHeight w:val="870"/>
          <w:jc w:val="center"/>
        </w:trPr>
        <w:tc>
          <w:tcPr>
            <w:tcW w:w="8647" w:type="dxa"/>
          </w:tcPr>
          <w:p w14:paraId="4BF4303E" w14:textId="77777777" w:rsidR="0031491B"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42595">
              <w:rPr>
                <w:rFonts w:ascii="Verdana" w:hAnsi="Verdana" w:cs="Arial"/>
              </w:rPr>
              <w:t>Decreto Legislativo 2368 de 1974</w:t>
            </w:r>
            <w:r>
              <w:rPr>
                <w:rFonts w:ascii="Verdana" w:hAnsi="Verdana" w:cs="Arial"/>
              </w:rPr>
              <w:t>, artículo 17.</w:t>
            </w:r>
          </w:p>
          <w:p w14:paraId="71EBA777" w14:textId="77777777" w:rsidR="0031491B"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81.</w:t>
            </w:r>
          </w:p>
          <w:p w14:paraId="7884847A" w14:textId="77777777" w:rsidR="0031491B" w:rsidRPr="0052318B"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artículos 42 y 50</w:t>
            </w:r>
            <w:r w:rsidRPr="0052318B">
              <w:rPr>
                <w:rFonts w:ascii="Verdana" w:hAnsi="Verdana" w:cs="Arial"/>
              </w:rPr>
              <w:t>.</w:t>
            </w:r>
          </w:p>
          <w:p w14:paraId="0EDB2D17" w14:textId="77777777" w:rsidR="0031491B"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 14 y 16.</w:t>
            </w:r>
          </w:p>
          <w:p w14:paraId="095D8D12" w14:textId="77777777" w:rsidR="0031491B"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036236">
              <w:rPr>
                <w:rFonts w:ascii="Verdana" w:hAnsi="Verdana" w:cs="Arial"/>
              </w:rPr>
              <w:lastRenderedPageBreak/>
              <w:t>Ley 1437 de 2011, artículo 24.</w:t>
            </w:r>
          </w:p>
          <w:p w14:paraId="64F9AA7A" w14:textId="77777777" w:rsidR="0031491B" w:rsidRPr="00036236"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1621 de 2013. </w:t>
            </w:r>
          </w:p>
          <w:p w14:paraId="590DFA56" w14:textId="77777777" w:rsidR="0031491B"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036236">
              <w:rPr>
                <w:rFonts w:ascii="Verdana" w:hAnsi="Verdana" w:cs="Arial"/>
              </w:rPr>
              <w:t>Ley 1712 de 2014, artículo 5, 18 y 19.</w:t>
            </w:r>
          </w:p>
          <w:p w14:paraId="0849A44A" w14:textId="77777777" w:rsidR="0031491B"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1753 de 2015, artículo 125.</w:t>
            </w:r>
          </w:p>
          <w:p w14:paraId="0C3065B4" w14:textId="77777777" w:rsidR="0031491B" w:rsidRPr="00036236"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036236">
              <w:rPr>
                <w:rFonts w:ascii="Verdana" w:hAnsi="Verdana" w:cs="Arial"/>
              </w:rPr>
              <w:t>Decreto 1070 de 2015, artículos 1.2.1.1.1, 1.2.1.2.1, 1.2.2.1.1, 1.2.2.2.1 y 1.2.3.1.</w:t>
            </w:r>
          </w:p>
          <w:p w14:paraId="37BA746C" w14:textId="77777777" w:rsidR="0031491B" w:rsidRPr="006B404B" w:rsidRDefault="0031491B" w:rsidP="00743F26">
            <w:pPr>
              <w:pStyle w:val="Prrafodelista"/>
              <w:numPr>
                <w:ilvl w:val="0"/>
                <w:numId w:val="17"/>
              </w:numPr>
              <w:spacing w:after="120" w:line="276" w:lineRule="auto"/>
              <w:ind w:left="714" w:hanging="357"/>
              <w:contextualSpacing w:val="0"/>
              <w:jc w:val="both"/>
              <w:rPr>
                <w:rFonts w:ascii="Verdana" w:hAnsi="Verdana" w:cs="Arial"/>
                <w:lang w:val="es-ES_tradnl"/>
              </w:rPr>
            </w:pPr>
            <w:r w:rsidRPr="00036236">
              <w:rPr>
                <w:rFonts w:ascii="Verdana" w:hAnsi="Verdana" w:cs="Arial"/>
              </w:rPr>
              <w:t>Decreto 1082 de 2015, artículo</w:t>
            </w:r>
            <w:r>
              <w:rPr>
                <w:rFonts w:ascii="Verdana" w:hAnsi="Verdana" w:cs="Arial"/>
              </w:rPr>
              <w:t>s</w:t>
            </w:r>
            <w:r w:rsidRPr="00036236">
              <w:rPr>
                <w:rFonts w:ascii="Verdana" w:hAnsi="Verdana" w:cs="Arial"/>
              </w:rPr>
              <w:t xml:space="preserve"> 2.2.1.2.1.4.6</w:t>
            </w:r>
            <w:r>
              <w:rPr>
                <w:rFonts w:ascii="Verdana" w:hAnsi="Verdana" w:cs="Arial"/>
              </w:rPr>
              <w:t xml:space="preserve">, </w:t>
            </w:r>
            <w:r w:rsidRPr="006B404B">
              <w:rPr>
                <w:rFonts w:ascii="Verdana" w:hAnsi="Verdana" w:cs="Arial"/>
                <w:bCs/>
                <w:lang w:val="es-CO"/>
              </w:rPr>
              <w:t xml:space="preserve">2.2.1.2.1.2.20 y </w:t>
            </w:r>
            <w:r w:rsidRPr="006B404B">
              <w:rPr>
                <w:rFonts w:ascii="Verdana" w:hAnsi="Verdana" w:cs="Arial"/>
              </w:rPr>
              <w:t>2.2.1.2.1.2.26</w:t>
            </w:r>
            <w:r>
              <w:rPr>
                <w:rFonts w:ascii="Verdana" w:hAnsi="Verdana" w:cs="Arial"/>
              </w:rPr>
              <w:t>.</w:t>
            </w:r>
            <w:r w:rsidRPr="006B404B">
              <w:rPr>
                <w:rFonts w:ascii="Verdana" w:hAnsi="Verdana" w:cs="Arial"/>
              </w:rPr>
              <w:t xml:space="preserve"> </w:t>
            </w:r>
          </w:p>
          <w:p w14:paraId="07111866" w14:textId="77777777" w:rsidR="0031491B" w:rsidRPr="00F313AA"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036236">
              <w:rPr>
                <w:rFonts w:ascii="Verdana" w:eastAsia="Times New Roman" w:hAnsi="Verdana" w:cs="Arial"/>
                <w:lang w:eastAsia="es-MX"/>
              </w:rPr>
              <w:t>Decreto 1625 de 2016</w:t>
            </w:r>
            <w:r>
              <w:rPr>
                <w:rFonts w:ascii="Verdana" w:eastAsia="Times New Roman" w:hAnsi="Verdana" w:cs="Arial"/>
                <w:lang w:eastAsia="es-MX"/>
              </w:rPr>
              <w:t xml:space="preserve">, artículo </w:t>
            </w:r>
            <w:r w:rsidRPr="00E433AA">
              <w:rPr>
                <w:rFonts w:ascii="Verdana" w:eastAsia="Times New Roman" w:hAnsi="Verdana" w:cs="Arial"/>
                <w:lang w:val="es-CO" w:eastAsia="es-MX"/>
              </w:rPr>
              <w:t>1.3.1.14.18</w:t>
            </w:r>
          </w:p>
          <w:p w14:paraId="35E1A745" w14:textId="77777777" w:rsidR="0031491B" w:rsidRPr="007005D4" w:rsidRDefault="0031491B" w:rsidP="00743F2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eastAsia="Times New Roman" w:hAnsi="Verdana" w:cs="Arial"/>
                <w:lang w:eastAsia="es-MX"/>
              </w:rPr>
              <w:t xml:space="preserve">Decreto 142 de 2023, artículo 11. </w:t>
            </w:r>
          </w:p>
        </w:tc>
      </w:tr>
    </w:tbl>
    <w:p w14:paraId="611C7D02" w14:textId="77777777" w:rsidR="0031491B" w:rsidRPr="002407CE" w:rsidRDefault="0031491B" w:rsidP="0031491B">
      <w:pPr>
        <w:widowControl w:val="0"/>
        <w:autoSpaceDE w:val="0"/>
        <w:autoSpaceDN w:val="0"/>
        <w:spacing w:after="0" w:line="276" w:lineRule="auto"/>
        <w:jc w:val="both"/>
        <w:rPr>
          <w:rFonts w:ascii="Verdana" w:hAnsi="Verdana" w:cs="Arial"/>
        </w:rPr>
      </w:pPr>
    </w:p>
    <w:p w14:paraId="1CF48E5F" w14:textId="77777777" w:rsidR="0031491B" w:rsidRPr="00593A5F" w:rsidRDefault="0031491B" w:rsidP="003149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D06816A" w14:textId="77777777" w:rsidR="0031491B" w:rsidRPr="003E4CC9" w:rsidRDefault="0031491B" w:rsidP="0031491B">
      <w:pPr>
        <w:widowControl w:val="0"/>
        <w:autoSpaceDE w:val="0"/>
        <w:autoSpaceDN w:val="0"/>
        <w:spacing w:after="0" w:line="276" w:lineRule="auto"/>
        <w:jc w:val="both"/>
        <w:rPr>
          <w:rFonts w:ascii="Verdana" w:hAnsi="Verdana" w:cs="Arial"/>
          <w:bCs/>
          <w:shd w:val="clear" w:color="auto" w:fill="FFFFFF"/>
        </w:rPr>
      </w:pPr>
    </w:p>
    <w:p w14:paraId="2D9FB479" w14:textId="77777777" w:rsidR="0031491B" w:rsidRPr="00CB524C" w:rsidRDefault="0031491B" w:rsidP="0031491B">
      <w:pPr>
        <w:widowControl w:val="0"/>
        <w:autoSpaceDE w:val="0"/>
        <w:autoSpaceDN w:val="0"/>
        <w:spacing w:after="0" w:line="276" w:lineRule="auto"/>
        <w:jc w:val="both"/>
        <w:rPr>
          <w:rFonts w:ascii="Verdana" w:hAnsi="Verdana" w:cs="Arial"/>
          <w:bCs/>
          <w:shd w:val="clear" w:color="auto" w:fill="FFFFFF"/>
        </w:rPr>
      </w:pPr>
      <w:r w:rsidRPr="00A339CB">
        <w:rPr>
          <w:rFonts w:ascii="Verdana" w:eastAsia="Calibri" w:hAnsi="Verdana" w:cs="Arial"/>
          <w:color w:val="000000" w:themeColor="text1"/>
          <w:lang w:val="es-ES" w:eastAsia="es-ES_tradnl"/>
        </w:rPr>
        <w:t>La Agencia Nacional de Contratación Pública – Colombia Compra Eficiente ha</w:t>
      </w:r>
      <w:r w:rsidRPr="00A339CB">
        <w:rPr>
          <w:rFonts w:ascii="Verdana" w:eastAsia="Calibri" w:hAnsi="Verdana" w:cs="Arial"/>
          <w:color w:val="000000" w:themeColor="text1"/>
          <w:lang w:val="es-MX" w:eastAsia="es-ES_tradnl"/>
        </w:rPr>
        <w:t xml:space="preserve"> analizado </w:t>
      </w:r>
      <w:r w:rsidRPr="00A339CB">
        <w:rPr>
          <w:rFonts w:ascii="Verdana" w:eastAsia="Calibri" w:hAnsi="Verdana" w:cs="Arial"/>
          <w:color w:val="000000" w:themeColor="text1"/>
          <w:lang w:val="es-ES" w:eastAsia="es-ES_tradnl"/>
        </w:rPr>
        <w:t xml:space="preserve">la adquisición de bienes y servicios requeridos para la defensa y seguridad nacional en los conceptos </w:t>
      </w:r>
      <w:r w:rsidRPr="00A339CB">
        <w:rPr>
          <w:rFonts w:ascii="Verdana" w:eastAsia="Calibri" w:hAnsi="Verdana" w:cs="Arial"/>
          <w:color w:val="000000" w:themeColor="text1"/>
          <w:lang w:val="es-ES_tradnl" w:eastAsia="es-ES_tradnl"/>
        </w:rPr>
        <w:t xml:space="preserve">4201912000006219 de 10 de octubre de 2019, </w:t>
      </w:r>
      <w:r w:rsidRPr="00A339CB">
        <w:rPr>
          <w:rFonts w:ascii="Verdana" w:eastAsia="Calibri" w:hAnsi="Verdana" w:cs="Arial"/>
          <w:color w:val="000000" w:themeColor="text1"/>
          <w:lang w:val="es-ES" w:eastAsia="es-ES_tradnl"/>
        </w:rPr>
        <w:t xml:space="preserve">C-450 del 12 de julio de 2022, C-721 del 24 de enero de 2022, C-032 del 17 de febrero de 2025 y C-282 del 11 de abril de 2025, </w:t>
      </w:r>
      <w:r>
        <w:rPr>
          <w:rFonts w:ascii="Verdana" w:eastAsia="Calibri" w:hAnsi="Verdana" w:cs="Arial"/>
          <w:color w:val="000000" w:themeColor="text1"/>
          <w:lang w:val="es-ES" w:eastAsia="es-ES_tradnl"/>
        </w:rPr>
        <w:t xml:space="preserve">C-194 del 11 de marzo de 2026, </w:t>
      </w:r>
      <w:r w:rsidRPr="00A339CB">
        <w:rPr>
          <w:rFonts w:ascii="Verdana" w:eastAsia="Calibri" w:hAnsi="Verdana" w:cs="Arial"/>
          <w:color w:val="000000" w:themeColor="text1"/>
          <w:lang w:val="es-ES" w:eastAsia="es-ES_tradnl"/>
        </w:rPr>
        <w:t>entre otros.</w:t>
      </w:r>
      <w:r>
        <w:rPr>
          <w:rFonts w:ascii="Verdana" w:eastAsia="Calibri" w:hAnsi="Verdana" w:cs="Arial"/>
          <w:color w:val="000000" w:themeColor="text1"/>
          <w:lang w:val="es-ES" w:eastAsia="es-ES_tradnl"/>
        </w:rPr>
        <w:t xml:space="preserve"> En relación con la contratación directa relacionada con la defensa y seguridad nacional se encuentran los siguientes conceptos: C-062 del 27 de enero de 2026, C-1089 del 28 de julio de 2026, entre otros.</w:t>
      </w:r>
      <w:r w:rsidRPr="00E07C6C">
        <w:rPr>
          <w:rFonts w:ascii="Verdana" w:eastAsia="Calibri" w:hAnsi="Verdana" w:cs="Arial"/>
          <w:color w:val="000000" w:themeColor="text1"/>
          <w:lang w:val="es-ES" w:eastAsia="es-ES_tradnl"/>
        </w:rPr>
        <w:t xml:space="preserve"> </w:t>
      </w:r>
      <w:r w:rsidRPr="00E07C6C">
        <w:rPr>
          <w:rFonts w:ascii="Verdana" w:eastAsia="Calibri" w:hAnsi="Verdana" w:cs="Arial"/>
          <w:color w:val="000000" w:themeColor="text1"/>
          <w:lang w:eastAsia="es-ES_tradnl"/>
        </w:rPr>
        <w:t xml:space="preserve">En todo caso, este concepto permite realizar una reflexión sobre la defensa y seguridad nacional, destacando tanto su alcance como la diferenciación frente a las distintas causales de contratación que se vinculan con dicha materia. Al mismo tiempo, se subraya la diferencia respecto de la contratación adelantada por las entidades territoriales, cuyo ámbito de actuación se orienta a la preservación de la seguridad ciudadana y el orden público, categorías que protegen bienes jurídicos distintos y responden a finalidades específicas dentro del sistema de compras públicas. </w:t>
      </w:r>
      <w:r w:rsidRPr="003E4CC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3E4CC9">
        <w:rPr>
          <w:rFonts w:ascii="Verdana" w:hAnsi="Verdana" w:cs="Arial"/>
          <w:bCs/>
          <w:shd w:val="clear" w:color="auto" w:fill="FFFFFF"/>
        </w:rPr>
        <w:t xml:space="preserve"> </w:t>
      </w:r>
      <w:hyperlink r:id="rId12" w:history="1">
        <w:r w:rsidRPr="003E4CC9">
          <w:rPr>
            <w:rFonts w:ascii="Verdana" w:eastAsia="Calibri" w:hAnsi="Verdana" w:cs="Times New Roman"/>
            <w:color w:val="0000FF"/>
            <w:u w:val="single"/>
            <w:lang w:val="es-ES"/>
          </w:rPr>
          <w:t>https://relatoria.colombiacompra.gov.co/busqueda/conceptos</w:t>
        </w:r>
      </w:hyperlink>
      <w:r w:rsidRPr="003E4CC9">
        <w:rPr>
          <w:rFonts w:ascii="Verdana" w:eastAsia="Calibri" w:hAnsi="Verdana" w:cs="Times New Roman"/>
        </w:rPr>
        <w:t xml:space="preserve">. </w:t>
      </w:r>
    </w:p>
    <w:p w14:paraId="62DB4E43" w14:textId="77777777" w:rsidR="0031491B" w:rsidRDefault="0031491B" w:rsidP="0031491B">
      <w:pPr>
        <w:widowControl w:val="0"/>
        <w:autoSpaceDE w:val="0"/>
        <w:autoSpaceDN w:val="0"/>
        <w:spacing w:after="0" w:line="276" w:lineRule="auto"/>
        <w:jc w:val="both"/>
        <w:rPr>
          <w:rFonts w:ascii="Verdana" w:eastAsia="Calibri" w:hAnsi="Verdana" w:cs="Times New Roman"/>
        </w:rPr>
      </w:pPr>
    </w:p>
    <w:p w14:paraId="1256450C" w14:textId="77777777" w:rsidR="0031491B" w:rsidRPr="003D5C91" w:rsidRDefault="0031491B" w:rsidP="0031491B">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12A395A2" w14:textId="77777777" w:rsidR="0031491B" w:rsidRDefault="0031491B" w:rsidP="0031491B">
      <w:pPr>
        <w:spacing w:after="0" w:line="276" w:lineRule="auto"/>
        <w:jc w:val="both"/>
        <w:rPr>
          <w:rFonts w:ascii="Verdana" w:eastAsia="Calibri" w:hAnsi="Verdana" w:cs="Arial"/>
          <w:color w:val="000000"/>
          <w:lang w:eastAsia="es-ES_tradnl"/>
        </w:rPr>
      </w:pPr>
    </w:p>
    <w:p w14:paraId="28B02B24" w14:textId="77777777" w:rsidR="0031491B" w:rsidRPr="003D5C91" w:rsidRDefault="0031491B" w:rsidP="0031491B">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en cumplimiento del artículo 13 de la Ley Estatutaria 1618 de 2013. Para orientar su aplicación, esta Agencia expidió 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0973BBE7" w14:textId="77777777" w:rsidR="0031491B" w:rsidRDefault="0031491B" w:rsidP="0031491B">
      <w:pPr>
        <w:spacing w:after="0" w:line="276" w:lineRule="auto"/>
        <w:jc w:val="both"/>
        <w:rPr>
          <w:rFonts w:ascii="Verdana" w:eastAsia="Calibri" w:hAnsi="Verdana" w:cs="Arial"/>
          <w:color w:val="000000"/>
          <w:lang w:eastAsia="es-ES_tradnl"/>
        </w:rPr>
      </w:pPr>
    </w:p>
    <w:p w14:paraId="37FC4CC2" w14:textId="77777777" w:rsidR="0031491B" w:rsidRDefault="0031491B" w:rsidP="0031491B">
      <w:pPr>
        <w:spacing w:after="0" w:line="276" w:lineRule="auto"/>
        <w:jc w:val="both"/>
      </w:pPr>
      <w:r w:rsidRPr="003D5C91">
        <w:rPr>
          <w:rFonts w:ascii="Verdana" w:eastAsia="Calibri" w:hAnsi="Verdana" w:cs="Arial"/>
          <w:color w:val="000000"/>
          <w:lang w:eastAsia="es-ES_tradnl"/>
        </w:rPr>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3D5C91">
        <w:rPr>
          <w:rFonts w:ascii="Verdana" w:eastAsia="Calibri" w:hAnsi="Verdana" w:cs="Arial"/>
          <w:color w:val="000000"/>
          <w:lang w:eastAsia="es-ES_tradnl"/>
        </w:rPr>
        <w:lastRenderedPageBreak/>
        <w:t>aquí: </w:t>
      </w:r>
      <w:hyperlink r:id="rId15"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65197F06" w14:textId="77777777" w:rsidR="0031491B" w:rsidRPr="003D5C91" w:rsidRDefault="0031491B" w:rsidP="0031491B">
      <w:pPr>
        <w:spacing w:after="0" w:line="276" w:lineRule="auto"/>
        <w:jc w:val="both"/>
        <w:rPr>
          <w:rFonts w:ascii="Verdana" w:eastAsia="Calibri" w:hAnsi="Verdana" w:cs="Arial"/>
          <w:color w:val="000000"/>
          <w:lang w:eastAsia="es-ES_tradnl"/>
        </w:rPr>
      </w:pPr>
    </w:p>
    <w:p w14:paraId="1E2AED23" w14:textId="77777777" w:rsidR="0031491B" w:rsidRPr="003D5C91" w:rsidRDefault="0031491B" w:rsidP="0031491B">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6FD81707" w14:textId="77777777" w:rsidR="0031491B" w:rsidRDefault="0031491B" w:rsidP="0031491B">
      <w:pPr>
        <w:spacing w:after="0"/>
        <w:jc w:val="both"/>
        <w:rPr>
          <w:rFonts w:ascii="Verdana" w:hAnsi="Verdana"/>
        </w:rPr>
      </w:pPr>
    </w:p>
    <w:p w14:paraId="4FF8540A" w14:textId="77777777" w:rsidR="0031491B" w:rsidRPr="00116940" w:rsidRDefault="0031491B" w:rsidP="0031491B">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4BCDE13" w14:textId="77777777" w:rsidR="0031491B" w:rsidRPr="00116940" w:rsidRDefault="0031491B" w:rsidP="0031491B">
      <w:pPr>
        <w:spacing w:after="0"/>
        <w:jc w:val="both"/>
        <w:rPr>
          <w:rFonts w:ascii="Verdana" w:hAnsi="Verdana"/>
        </w:rPr>
      </w:pPr>
    </w:p>
    <w:p w14:paraId="5CA03B98" w14:textId="77777777" w:rsidR="0031491B" w:rsidRPr="00116940" w:rsidRDefault="0031491B" w:rsidP="0031491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A1B1502" w14:textId="77777777" w:rsidR="0031491B" w:rsidRPr="00116940" w:rsidRDefault="0031491B" w:rsidP="0031491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4C019896" w14:textId="77777777" w:rsidR="0031491B" w:rsidRPr="00116940" w:rsidRDefault="0031491B" w:rsidP="0031491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7447886F" w14:textId="77777777" w:rsidR="0031491B" w:rsidRPr="00116940" w:rsidRDefault="0031491B" w:rsidP="0031491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7749F146" w14:textId="77777777" w:rsidR="0031491B" w:rsidRPr="00116940" w:rsidRDefault="0031491B" w:rsidP="0031491B">
      <w:pPr>
        <w:spacing w:after="0" w:line="240" w:lineRule="auto"/>
        <w:ind w:left="720"/>
        <w:jc w:val="both"/>
        <w:rPr>
          <w:rFonts w:ascii="Verdana" w:hAnsi="Verdana"/>
        </w:rPr>
      </w:pPr>
    </w:p>
    <w:p w14:paraId="6AB9FA72" w14:textId="77777777" w:rsidR="0031491B" w:rsidRPr="00116940" w:rsidRDefault="0031491B" w:rsidP="0031491B">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7BC9D688" w14:textId="77777777" w:rsidR="0031491B" w:rsidRPr="00116940" w:rsidRDefault="0031491B" w:rsidP="0031491B">
      <w:pPr>
        <w:spacing w:after="0" w:line="240" w:lineRule="auto"/>
        <w:rPr>
          <w:rFonts w:ascii="Verdana" w:hAnsi="Verdana"/>
        </w:rPr>
      </w:pPr>
    </w:p>
    <w:p w14:paraId="0938078F" w14:textId="77777777" w:rsidR="0031491B" w:rsidRPr="00116940" w:rsidRDefault="0031491B" w:rsidP="0031491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586BF02" w14:textId="77777777" w:rsidR="0031491B" w:rsidRPr="00116940" w:rsidRDefault="0031491B" w:rsidP="0031491B">
      <w:pPr>
        <w:spacing w:after="0" w:line="240" w:lineRule="auto"/>
        <w:jc w:val="both"/>
        <w:rPr>
          <w:rFonts w:ascii="Verdana" w:hAnsi="Verdana"/>
        </w:rPr>
      </w:pPr>
    </w:p>
    <w:p w14:paraId="5D5A8332" w14:textId="77777777" w:rsidR="0031491B" w:rsidRPr="00116940" w:rsidRDefault="0031491B" w:rsidP="0031491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467FC56" w14:textId="77777777" w:rsidR="0031491B" w:rsidRPr="00116940" w:rsidRDefault="0031491B" w:rsidP="0031491B">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54487404" w14:textId="77777777" w:rsidR="0031491B" w:rsidRPr="00116940" w:rsidRDefault="0031491B" w:rsidP="0031491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A979232" w14:textId="77777777" w:rsidR="0031491B" w:rsidRPr="00116940" w:rsidRDefault="0031491B" w:rsidP="0031491B">
      <w:pPr>
        <w:spacing w:after="0" w:line="240" w:lineRule="auto"/>
        <w:jc w:val="both"/>
        <w:rPr>
          <w:rFonts w:ascii="Verdana" w:hAnsi="Verdana"/>
        </w:rPr>
      </w:pPr>
    </w:p>
    <w:p w14:paraId="23D072B7" w14:textId="77777777" w:rsidR="0031491B" w:rsidRPr="009037F6" w:rsidRDefault="0031491B" w:rsidP="0031491B">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ECD9559" w14:textId="77777777" w:rsidR="0031491B" w:rsidRPr="00492C4A" w:rsidRDefault="0031491B" w:rsidP="0031491B">
      <w:pPr>
        <w:spacing w:after="0" w:line="256" w:lineRule="auto"/>
        <w:jc w:val="both"/>
        <w:rPr>
          <w:rFonts w:ascii="Verdana" w:eastAsia="Calibri" w:hAnsi="Verdana" w:cs="Times New Roman"/>
          <w:lang w:val="es-ES_tradnl"/>
        </w:rPr>
      </w:pPr>
    </w:p>
    <w:p w14:paraId="7FE73A04" w14:textId="77777777" w:rsidR="0031491B" w:rsidRPr="00B513EA" w:rsidRDefault="0031491B" w:rsidP="0031491B">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64A99E9E" w14:textId="77777777" w:rsidR="0031491B" w:rsidRDefault="0031491B" w:rsidP="0031491B">
      <w:pPr>
        <w:spacing w:after="0" w:line="256" w:lineRule="auto"/>
        <w:jc w:val="center"/>
        <w:rPr>
          <w:rFonts w:ascii="Century Gothic" w:hAnsi="Century Gothic"/>
          <w:noProof/>
          <w:sz w:val="16"/>
          <w:szCs w:val="16"/>
          <w:lang w:val="en-US"/>
        </w:rPr>
      </w:pPr>
    </w:p>
    <w:p w14:paraId="5A36F448" w14:textId="4D26CEB8" w:rsidR="0031491B" w:rsidRDefault="00EF1024" w:rsidP="0031491B">
      <w:pPr>
        <w:spacing w:after="0" w:line="256" w:lineRule="auto"/>
        <w:jc w:val="center"/>
        <w:rPr>
          <w:rFonts w:ascii="Century Gothic" w:hAnsi="Century Gothic"/>
          <w:noProof/>
          <w:sz w:val="16"/>
          <w:szCs w:val="16"/>
          <w:lang w:val="en-US"/>
        </w:rPr>
      </w:pPr>
      <w:r w:rsidRPr="002C3AD6">
        <w:rPr>
          <w:rFonts w:ascii="Century Gothic" w:hAnsi="Century Gothic"/>
          <w:noProof/>
          <w:lang w:val="en-US"/>
        </w:rPr>
        <w:drawing>
          <wp:inline distT="0" distB="0" distL="0" distR="0" wp14:anchorId="64D53B43" wp14:editId="634F720C">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891299" cy="1509270"/>
                    </a:xfrm>
                    <a:prstGeom prst="rect">
                      <a:avLst/>
                    </a:prstGeom>
                  </pic:spPr>
                </pic:pic>
              </a:graphicData>
            </a:graphic>
          </wp:inline>
        </w:drawing>
      </w:r>
    </w:p>
    <w:p w14:paraId="094642AE" w14:textId="77777777" w:rsidR="0031491B" w:rsidRPr="002961A6" w:rsidRDefault="0031491B" w:rsidP="0031491B">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1491B" w:rsidRPr="00D56F8A" w14:paraId="0A70F3B0" w14:textId="77777777" w:rsidTr="00743F26">
        <w:trPr>
          <w:trHeight w:val="409"/>
        </w:trPr>
        <w:tc>
          <w:tcPr>
            <w:tcW w:w="817" w:type="dxa"/>
            <w:tcBorders>
              <w:top w:val="nil"/>
              <w:left w:val="nil"/>
              <w:bottom w:val="nil"/>
              <w:right w:val="nil"/>
            </w:tcBorders>
            <w:vAlign w:val="center"/>
            <w:hideMark/>
          </w:tcPr>
          <w:p w14:paraId="6778BC7D"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DE3F8DB"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4DCE9D2F"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31491B" w:rsidRPr="00D56F8A" w14:paraId="36E07827" w14:textId="77777777" w:rsidTr="00743F26">
        <w:trPr>
          <w:trHeight w:val="409"/>
        </w:trPr>
        <w:tc>
          <w:tcPr>
            <w:tcW w:w="817" w:type="dxa"/>
            <w:tcBorders>
              <w:top w:val="nil"/>
              <w:left w:val="nil"/>
              <w:bottom w:val="nil"/>
              <w:right w:val="nil"/>
            </w:tcBorders>
            <w:vAlign w:val="center"/>
            <w:hideMark/>
          </w:tcPr>
          <w:p w14:paraId="2A4151B9"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6E8F52F"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 Sarmiento Cantillo</w:t>
            </w:r>
          </w:p>
          <w:p w14:paraId="5212D0C8"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31491B" w:rsidRPr="00D56F8A" w14:paraId="2818F306" w14:textId="77777777" w:rsidTr="00743F26">
        <w:trPr>
          <w:trHeight w:val="389"/>
        </w:trPr>
        <w:tc>
          <w:tcPr>
            <w:tcW w:w="817" w:type="dxa"/>
            <w:tcBorders>
              <w:top w:val="nil"/>
              <w:left w:val="nil"/>
              <w:bottom w:val="nil"/>
              <w:right w:val="nil"/>
            </w:tcBorders>
            <w:vAlign w:val="center"/>
            <w:hideMark/>
          </w:tcPr>
          <w:p w14:paraId="5C6E2E6F"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9F82FFE"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1155EAAF" w14:textId="77777777" w:rsidR="0031491B" w:rsidRPr="00D56F8A" w:rsidRDefault="0031491B" w:rsidP="00743F2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tbl>
    <w:p w14:paraId="602FF08A" w14:textId="77777777" w:rsidR="0031491B" w:rsidRPr="000E2B93" w:rsidRDefault="0031491B" w:rsidP="0031491B">
      <w:pPr>
        <w:spacing w:after="0" w:line="240" w:lineRule="auto"/>
        <w:jc w:val="both"/>
        <w:textAlignment w:val="baseline"/>
        <w:rPr>
          <w:rFonts w:ascii="Verdana" w:eastAsia="Verdana" w:hAnsi="Verdana" w:cs="Verdana"/>
          <w:lang w:eastAsia="es-CO"/>
        </w:rPr>
      </w:pPr>
    </w:p>
    <w:p w14:paraId="2A2BC34A" w14:textId="03CF019B" w:rsidR="0031491B" w:rsidRPr="000E2B93" w:rsidRDefault="0031491B" w:rsidP="0031491B">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79628E04" w:rsidR="00127233" w:rsidRPr="0031491B" w:rsidRDefault="00127233" w:rsidP="0031491B"/>
    <w:sectPr w:rsidR="00127233" w:rsidRPr="0031491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8DA3D" w14:textId="77777777" w:rsidR="00D47C86" w:rsidRDefault="00D47C86" w:rsidP="004A1847">
      <w:pPr>
        <w:spacing w:after="0" w:line="240" w:lineRule="auto"/>
      </w:pPr>
      <w:r>
        <w:separator/>
      </w:r>
    </w:p>
  </w:endnote>
  <w:endnote w:type="continuationSeparator" w:id="0">
    <w:p w14:paraId="1204F907" w14:textId="77777777" w:rsidR="00D47C86" w:rsidRDefault="00D47C8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Work Sans">
    <w:charset w:val="00"/>
    <w:family w:val="auto"/>
    <w:pitch w:val="variable"/>
    <w:sig w:usb0="A00000FF" w:usb1="5000E07B"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6110444F"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00B95CDA" w:rsidRPr="00B95CDA">
      <w:rPr>
        <w:rFonts w:ascii="Verdana" w:eastAsia="Verdana" w:hAnsi="Verdana" w:cs="Verdana"/>
        <w:b/>
        <w:bCs/>
        <w:noProof/>
        <w:sz w:val="18"/>
        <w:szCs w:val="18"/>
      </w:rPr>
      <w:t>5</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E86B2C"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E86B2C">
      <w:rPr>
        <w:rFonts w:ascii="Verdana" w:eastAsia="Verdana" w:hAnsi="Verdana" w:cs="Verdana"/>
        <w:b/>
        <w:color w:val="000000" w:themeColor="text1"/>
        <w:sz w:val="18"/>
        <w:szCs w:val="18"/>
        <w:lang w:val="pt-BR" w:eastAsia="es-CO"/>
      </w:rPr>
      <w:t xml:space="preserve">Código: </w:t>
    </w:r>
    <w:r w:rsidRPr="00E86B2C">
      <w:rPr>
        <w:rFonts w:ascii="Verdana" w:eastAsia="Verdana" w:hAnsi="Verdana" w:cs="Verdana"/>
        <w:color w:val="000000" w:themeColor="text1"/>
        <w:sz w:val="18"/>
        <w:szCs w:val="18"/>
        <w:lang w:val="pt-BR" w:eastAsia="es-CO"/>
      </w:rPr>
      <w:t xml:space="preserve">CCE-REC-FM-17 </w:t>
    </w:r>
    <w:r w:rsidRPr="00E86B2C">
      <w:rPr>
        <w:rFonts w:ascii="Verdana" w:eastAsia="Verdana" w:hAnsi="Verdana" w:cs="Verdana"/>
        <w:b/>
        <w:color w:val="000000" w:themeColor="text1"/>
        <w:sz w:val="18"/>
        <w:szCs w:val="18"/>
        <w:lang w:val="pt-BR" w:eastAsia="es-CO"/>
      </w:rPr>
      <w:t xml:space="preserve">V: </w:t>
    </w:r>
    <w:r w:rsidRPr="00E86B2C">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E33B5" w14:textId="77777777" w:rsidR="00D47C86" w:rsidRDefault="00D47C86" w:rsidP="004A1847">
      <w:pPr>
        <w:spacing w:after="0" w:line="240" w:lineRule="auto"/>
      </w:pPr>
      <w:r>
        <w:separator/>
      </w:r>
    </w:p>
  </w:footnote>
  <w:footnote w:type="continuationSeparator" w:id="0">
    <w:p w14:paraId="428271DE" w14:textId="77777777" w:rsidR="00D47C86" w:rsidRDefault="00D47C86" w:rsidP="004A1847">
      <w:pPr>
        <w:spacing w:after="0" w:line="240" w:lineRule="auto"/>
      </w:pPr>
      <w:r>
        <w:continuationSeparator/>
      </w:r>
    </w:p>
  </w:footnote>
  <w:footnote w:id="1">
    <w:p w14:paraId="7B7F9965" w14:textId="77777777" w:rsidR="0031491B" w:rsidRPr="00DE5C1C" w:rsidRDefault="0031491B" w:rsidP="0031491B">
      <w:pPr>
        <w:pStyle w:val="Textonotapie"/>
        <w:ind w:firstLine="708"/>
        <w:jc w:val="both"/>
        <w:rPr>
          <w:rFonts w:ascii="Verdana" w:hAnsi="Verdana"/>
          <w:sz w:val="16"/>
          <w:szCs w:val="16"/>
          <w:lang w:val="es-ES"/>
        </w:rPr>
      </w:pPr>
      <w:r w:rsidRPr="00DE5C1C">
        <w:rPr>
          <w:rStyle w:val="Refdenotaalpie"/>
          <w:rFonts w:ascii="Verdana" w:hAnsi="Verdana"/>
          <w:sz w:val="16"/>
          <w:szCs w:val="16"/>
        </w:rPr>
        <w:footnoteRef/>
      </w:r>
      <w:r w:rsidRPr="00DE5C1C">
        <w:rPr>
          <w:rFonts w:ascii="Verdana" w:hAnsi="Verdana"/>
          <w:sz w:val="16"/>
          <w:szCs w:val="16"/>
        </w:rPr>
        <w:t xml:space="preserve"> </w:t>
      </w:r>
      <w:r w:rsidRPr="00DE5C1C">
        <w:rPr>
          <w:rFonts w:ascii="Verdana" w:hAnsi="Verdana"/>
          <w:sz w:val="16"/>
          <w:szCs w:val="16"/>
          <w:lang w:val="es-ES"/>
        </w:rPr>
        <w:t xml:space="preserve">CANCELADO FRANCO, Henry, &amp; T.C. GALVIS REYES, Manuel Alfonso. Hacia una gran estrategia: el poder político en la seguridad y la defensa. En L. A. Montero Moncada, </w:t>
      </w:r>
      <w:r w:rsidRPr="00DE5C1C">
        <w:rPr>
          <w:rFonts w:ascii="Verdana" w:hAnsi="Verdana"/>
          <w:i/>
          <w:iCs/>
          <w:sz w:val="16"/>
          <w:szCs w:val="16"/>
          <w:lang w:val="es-ES"/>
        </w:rPr>
        <w:t>Seguridad y Defensa I</w:t>
      </w:r>
      <w:r w:rsidRPr="00DE5C1C">
        <w:rPr>
          <w:rFonts w:ascii="Verdana" w:hAnsi="Verdana"/>
          <w:sz w:val="16"/>
          <w:szCs w:val="16"/>
          <w:lang w:val="es-ES"/>
        </w:rPr>
        <w:t xml:space="preserve">. Bogotá: Escuela Superior de Guerra General "Rafael Reyes Prieto" y Planeta, 2021. p. 75. </w:t>
      </w:r>
    </w:p>
  </w:footnote>
  <w:footnote w:id="2">
    <w:p w14:paraId="692CA6E2" w14:textId="77777777" w:rsidR="0031491B" w:rsidRPr="00DE5C1C" w:rsidRDefault="0031491B" w:rsidP="0031491B">
      <w:pPr>
        <w:pStyle w:val="Textonotapie"/>
        <w:ind w:firstLine="708"/>
        <w:jc w:val="both"/>
        <w:rPr>
          <w:rFonts w:ascii="Verdana" w:hAnsi="Verdana"/>
          <w:sz w:val="16"/>
          <w:szCs w:val="16"/>
          <w:lang w:val="es-CO"/>
        </w:rPr>
      </w:pPr>
      <w:r w:rsidRPr="00DE5C1C">
        <w:rPr>
          <w:rStyle w:val="Refdenotaalpie"/>
          <w:rFonts w:ascii="Verdana" w:hAnsi="Verdana"/>
          <w:sz w:val="16"/>
          <w:szCs w:val="16"/>
        </w:rPr>
        <w:footnoteRef/>
      </w:r>
      <w:r w:rsidRPr="00DE5C1C">
        <w:rPr>
          <w:rFonts w:ascii="Verdana" w:hAnsi="Verdana"/>
          <w:sz w:val="16"/>
          <w:szCs w:val="16"/>
        </w:rPr>
        <w:t xml:space="preserve"> </w:t>
      </w:r>
      <w:r w:rsidRPr="00DE5C1C">
        <w:rPr>
          <w:rFonts w:ascii="Verdana" w:hAnsi="Verdana"/>
          <w:sz w:val="16"/>
          <w:szCs w:val="16"/>
          <w:lang w:val="es-CO"/>
        </w:rPr>
        <w:t xml:space="preserve">Ibídem., pp. 77-78. </w:t>
      </w:r>
    </w:p>
  </w:footnote>
  <w:footnote w:id="3">
    <w:p w14:paraId="710B1B38" w14:textId="77777777" w:rsidR="0031491B" w:rsidRPr="00B40D70" w:rsidRDefault="0031491B" w:rsidP="0031491B">
      <w:pPr>
        <w:pStyle w:val="Textonotapie"/>
        <w:ind w:firstLine="708"/>
        <w:jc w:val="both"/>
        <w:rPr>
          <w:rFonts w:ascii="Verdana" w:hAnsi="Verdana"/>
          <w:sz w:val="15"/>
          <w:szCs w:val="15"/>
          <w:lang w:val="es-CO"/>
        </w:rPr>
      </w:pPr>
      <w:r w:rsidRPr="00B40D70">
        <w:rPr>
          <w:rStyle w:val="Refdenotaalpie"/>
          <w:rFonts w:ascii="Verdana" w:hAnsi="Verdana"/>
          <w:sz w:val="15"/>
          <w:szCs w:val="15"/>
        </w:rPr>
        <w:footnoteRef/>
      </w:r>
      <w:r w:rsidRPr="00B40D70">
        <w:rPr>
          <w:rFonts w:ascii="Verdana" w:hAnsi="Verdana"/>
          <w:sz w:val="15"/>
          <w:szCs w:val="15"/>
          <w:lang w:val="es-CO"/>
        </w:rPr>
        <w:t xml:space="preserve"> TC ARDILA CASTRO, Carlos Alberto; TC Reyes Murcia, Rafael Andrés. Influencia del Interés Nacional en el concepto de la seguridad y defensa con proyección del poder del Estado. </w:t>
      </w:r>
      <w:r w:rsidRPr="00B40D70">
        <w:rPr>
          <w:rFonts w:ascii="Verdana" w:hAnsi="Verdana"/>
          <w:sz w:val="15"/>
          <w:szCs w:val="15"/>
          <w:lang w:val="es-ES"/>
        </w:rPr>
        <w:t xml:space="preserve">En L. A. Montero Moncada, </w:t>
      </w:r>
      <w:r w:rsidRPr="00B40D70">
        <w:rPr>
          <w:rFonts w:ascii="Verdana" w:hAnsi="Verdana"/>
          <w:i/>
          <w:iCs/>
          <w:sz w:val="15"/>
          <w:szCs w:val="15"/>
          <w:lang w:val="es-ES"/>
        </w:rPr>
        <w:t>Seguridad y Defensa I</w:t>
      </w:r>
      <w:r w:rsidRPr="00B40D70">
        <w:rPr>
          <w:rFonts w:ascii="Verdana" w:hAnsi="Verdana"/>
          <w:sz w:val="15"/>
          <w:szCs w:val="15"/>
          <w:lang w:val="es-ES"/>
        </w:rPr>
        <w:t xml:space="preserve">. Bogotá: Escuela Superior de Guerra General "Rafael Reyes Prieto" y Planeta, 2021. p. 115. </w:t>
      </w:r>
    </w:p>
  </w:footnote>
  <w:footnote w:id="4">
    <w:p w14:paraId="52201B7E" w14:textId="77777777" w:rsidR="0031491B" w:rsidRPr="00B40D70" w:rsidRDefault="0031491B" w:rsidP="0031491B">
      <w:pPr>
        <w:pStyle w:val="Textonotapie"/>
        <w:ind w:firstLine="709"/>
        <w:jc w:val="both"/>
        <w:rPr>
          <w:rFonts w:ascii="Verdana" w:hAnsi="Verdana" w:cs="Arial"/>
          <w:sz w:val="15"/>
          <w:szCs w:val="15"/>
          <w:lang w:val="es-ES"/>
        </w:rPr>
      </w:pPr>
      <w:r w:rsidRPr="00B40D70">
        <w:rPr>
          <w:rStyle w:val="Refdenotaalpie"/>
          <w:rFonts w:ascii="Verdana" w:hAnsi="Verdana" w:cs="Arial"/>
          <w:sz w:val="15"/>
          <w:szCs w:val="15"/>
        </w:rPr>
        <w:footnoteRef/>
      </w:r>
      <w:r w:rsidRPr="00B40D70">
        <w:rPr>
          <w:rFonts w:ascii="Verdana" w:hAnsi="Verdana" w:cs="Arial"/>
          <w:sz w:val="15"/>
          <w:szCs w:val="15"/>
        </w:rPr>
        <w:t xml:space="preserve"> </w:t>
      </w:r>
      <w:r w:rsidRPr="00B40D70">
        <w:rPr>
          <w:rFonts w:ascii="Verdana" w:hAnsi="Verdana" w:cs="Arial"/>
          <w:sz w:val="15"/>
          <w:szCs w:val="15"/>
          <w:lang w:val="es-ES"/>
        </w:rPr>
        <w:t>En efecto, el artículo 24, numeral 1º, literal i), así lo establecía.</w:t>
      </w:r>
    </w:p>
    <w:p w14:paraId="34CB9D32" w14:textId="77777777" w:rsidR="0031491B" w:rsidRPr="00B40D70" w:rsidRDefault="0031491B" w:rsidP="0031491B">
      <w:pPr>
        <w:pStyle w:val="Textonotapie"/>
        <w:ind w:firstLine="709"/>
        <w:jc w:val="both"/>
        <w:rPr>
          <w:rFonts w:ascii="Verdana" w:hAnsi="Verdana" w:cs="Arial"/>
          <w:sz w:val="15"/>
          <w:szCs w:val="15"/>
          <w:lang w:val="es-ES"/>
        </w:rPr>
      </w:pPr>
    </w:p>
  </w:footnote>
  <w:footnote w:id="5">
    <w:p w14:paraId="025A5AA3" w14:textId="77777777" w:rsidR="0031491B" w:rsidRPr="00B40D70" w:rsidRDefault="0031491B" w:rsidP="0031491B">
      <w:pPr>
        <w:pStyle w:val="Textonotapie"/>
        <w:ind w:firstLine="708"/>
        <w:jc w:val="both"/>
        <w:rPr>
          <w:rFonts w:ascii="Verdana" w:hAnsi="Verdana"/>
          <w:sz w:val="15"/>
          <w:szCs w:val="15"/>
        </w:rPr>
      </w:pPr>
      <w:r w:rsidRPr="00B40D70">
        <w:rPr>
          <w:rStyle w:val="Refdenotaalpie"/>
          <w:rFonts w:ascii="Verdana" w:hAnsi="Verdana"/>
          <w:sz w:val="15"/>
          <w:szCs w:val="15"/>
        </w:rPr>
        <w:footnoteRef/>
      </w:r>
      <w:r w:rsidRPr="00B40D70">
        <w:rPr>
          <w:rFonts w:ascii="Verdana" w:hAnsi="Verdana"/>
          <w:sz w:val="15"/>
          <w:szCs w:val="15"/>
        </w:rPr>
        <w:t xml:space="preserve"> SUÁREZ BELTRÁN, Gonzalo. Estudios de derecho contractual público. Bogotá: Legis y Universidad Pontificia Javeriana, 2014. p. 72-73.</w:t>
      </w:r>
    </w:p>
  </w:footnote>
  <w:footnote w:id="6">
    <w:p w14:paraId="5F53E007" w14:textId="77777777" w:rsidR="0031491B" w:rsidRPr="00B40D70" w:rsidRDefault="0031491B" w:rsidP="0031491B">
      <w:pPr>
        <w:pStyle w:val="Textonotapie"/>
        <w:ind w:firstLine="708"/>
        <w:jc w:val="both"/>
        <w:rPr>
          <w:rFonts w:ascii="Verdana" w:hAnsi="Verdana"/>
          <w:sz w:val="15"/>
          <w:szCs w:val="15"/>
          <w:lang w:val="es-CO"/>
        </w:rPr>
      </w:pPr>
      <w:r w:rsidRPr="00B40D70">
        <w:rPr>
          <w:rStyle w:val="Refdenotaalpie"/>
          <w:rFonts w:ascii="Verdana" w:hAnsi="Verdana"/>
          <w:sz w:val="15"/>
          <w:szCs w:val="15"/>
        </w:rPr>
        <w:footnoteRef/>
      </w:r>
      <w:r w:rsidRPr="00B40D70">
        <w:rPr>
          <w:rFonts w:ascii="Verdana" w:hAnsi="Verdana"/>
          <w:sz w:val="15"/>
          <w:szCs w:val="15"/>
        </w:rPr>
        <w:t xml:space="preserve"> </w:t>
      </w:r>
      <w:r w:rsidRPr="00B40D70">
        <w:rPr>
          <w:rFonts w:ascii="Verdana" w:hAnsi="Verdana"/>
          <w:i/>
          <w:iCs/>
          <w:sz w:val="15"/>
          <w:szCs w:val="15"/>
        </w:rPr>
        <w:t>Ibidem</w:t>
      </w:r>
      <w:r w:rsidRPr="00B40D70">
        <w:rPr>
          <w:rFonts w:ascii="Verdana" w:hAnsi="Verdana"/>
          <w:sz w:val="15"/>
          <w:szCs w:val="15"/>
        </w:rPr>
        <w:t xml:space="preserve">. p. 72-73. </w:t>
      </w:r>
    </w:p>
  </w:footnote>
  <w:footnote w:id="7">
    <w:p w14:paraId="2FC64AF5" w14:textId="77777777" w:rsidR="0031491B" w:rsidRPr="00B40D70" w:rsidRDefault="0031491B" w:rsidP="0031491B">
      <w:pPr>
        <w:pStyle w:val="Textonotapie"/>
        <w:ind w:firstLine="708"/>
        <w:jc w:val="both"/>
        <w:rPr>
          <w:rFonts w:ascii="Verdana" w:hAnsi="Verdana" w:cs="Arial"/>
          <w:sz w:val="15"/>
          <w:szCs w:val="15"/>
        </w:rPr>
      </w:pPr>
      <w:r w:rsidRPr="00B40D70">
        <w:rPr>
          <w:rStyle w:val="Refdenotaalpie"/>
          <w:rFonts w:ascii="Verdana" w:hAnsi="Verdana"/>
          <w:sz w:val="15"/>
          <w:szCs w:val="15"/>
        </w:rPr>
        <w:footnoteRef/>
      </w:r>
      <w:r w:rsidRPr="00B40D70">
        <w:rPr>
          <w:rFonts w:ascii="Verdana" w:hAnsi="Verdana"/>
          <w:sz w:val="15"/>
          <w:szCs w:val="15"/>
        </w:rPr>
        <w:t xml:space="preserve"> </w:t>
      </w:r>
      <w:r w:rsidRPr="00B40D70">
        <w:rPr>
          <w:rFonts w:ascii="Verdana" w:hAnsi="Verdana" w:cs="Arial"/>
          <w:sz w:val="15"/>
          <w:szCs w:val="15"/>
        </w:rPr>
        <w:t xml:space="preserve">CONGRESO DE LA REPÚBLICA. Exposición de motivos de la Ley 1150 de 2007. Gaceta del Congreso No. 458 del 1º de agosto de 2005. p. 8. </w:t>
      </w:r>
    </w:p>
  </w:footnote>
  <w:footnote w:id="8">
    <w:p w14:paraId="65365E63" w14:textId="77777777" w:rsidR="0031491B" w:rsidRPr="00B40D70" w:rsidRDefault="0031491B" w:rsidP="0031491B">
      <w:pPr>
        <w:pStyle w:val="Textonotapie"/>
        <w:ind w:firstLine="708"/>
        <w:jc w:val="both"/>
        <w:rPr>
          <w:rFonts w:ascii="Verdana" w:eastAsia="Calibri" w:hAnsi="Verdana" w:cs="Arial"/>
          <w:color w:val="000000"/>
          <w:sz w:val="15"/>
          <w:szCs w:val="15"/>
        </w:rPr>
      </w:pPr>
      <w:r w:rsidRPr="00B40D70">
        <w:rPr>
          <w:rStyle w:val="Refdenotaalpie"/>
          <w:rFonts w:ascii="Verdana" w:hAnsi="Verdana" w:cs="Arial"/>
          <w:sz w:val="15"/>
          <w:szCs w:val="15"/>
        </w:rPr>
        <w:footnoteRef/>
      </w:r>
      <w:r w:rsidRPr="00B40D70">
        <w:rPr>
          <w:rFonts w:ascii="Verdana" w:hAnsi="Verdana" w:cs="Arial"/>
          <w:sz w:val="15"/>
          <w:szCs w:val="15"/>
        </w:rPr>
        <w:t xml:space="preserve"> </w:t>
      </w:r>
      <w:r w:rsidRPr="00B40D70">
        <w:rPr>
          <w:rFonts w:ascii="Verdana" w:eastAsia="Calibri" w:hAnsi="Verdana" w:cs="Arial"/>
          <w:color w:val="000000"/>
          <w:sz w:val="15"/>
          <w:szCs w:val="15"/>
        </w:rPr>
        <w:t>La Sección Tercera del Consejo de Estado, en sentencia del 27 de marzo de 2008. Exp. 29.393, C. P. Ruth Stella Correa Palacio, consideró: «[L]a seguridad y la defensa nacionales constituyen sin lugar a dudas presupuesto material de la vigencia efectiva del orden constitucional. Sin embargo no existe norma alguna que defina estos vocablos. Se trata de conceptos que tienen distintas significaciones, en tanto varias nociones los informan. En el caso de la seguridad, además, esta acusa cierto grado de relatividad según la “intensidad en los antagonismos”, se trata igualmente de un “concepto dinámico” que impone la actualización de mecanismos para su efectividad y que encuentra significado en los objetivos que se propone alcanzar el Estado en una época determinada. Noción a la vez relativa y coyuntural, merced a que su contenido jurídico no es inmutable sino que necesariamente sufre constantes transformaciones. En tanto “noción ambigua” es difícil de definir la seguridad, pues depende del entorno de cada país (en Canadá por ejemplo suele ser asociada a “estabilidad económica”). Con todo, y aunque se trate de una noción en constante cambio según cada país, conviene agregar que se trata del concepto base sobre el que se construye la estrategia para proteger a los ciudadanos».</w:t>
      </w:r>
    </w:p>
  </w:footnote>
  <w:footnote w:id="9">
    <w:p w14:paraId="71CFDD72" w14:textId="77777777" w:rsidR="0031491B" w:rsidRPr="00B40D70" w:rsidRDefault="0031491B" w:rsidP="0031491B">
      <w:pPr>
        <w:pStyle w:val="Textonotapie"/>
        <w:ind w:firstLine="709"/>
        <w:jc w:val="both"/>
        <w:rPr>
          <w:rFonts w:ascii="Verdana" w:hAnsi="Verdana" w:cs="Arial"/>
          <w:sz w:val="15"/>
          <w:szCs w:val="15"/>
        </w:rPr>
      </w:pPr>
      <w:r w:rsidRPr="00B40D70">
        <w:rPr>
          <w:rStyle w:val="Refdenotaalpie"/>
          <w:rFonts w:ascii="Verdana" w:hAnsi="Verdana"/>
          <w:sz w:val="15"/>
          <w:szCs w:val="15"/>
        </w:rPr>
        <w:footnoteRef/>
      </w:r>
      <w:r w:rsidRPr="00B40D70">
        <w:rPr>
          <w:rFonts w:ascii="Verdana" w:hAnsi="Verdana" w:cs="Arial"/>
          <w:sz w:val="15"/>
          <w:szCs w:val="15"/>
        </w:rPr>
        <w:t xml:space="preserve"> Consejo de Estado. Sección Tercera. Subsección C. Sentencia del 26 de julio de 2011. C.P. Enrique Gil Botero. Expediente: </w:t>
      </w:r>
      <w:r w:rsidRPr="00B40D70">
        <w:rPr>
          <w:rFonts w:ascii="Verdana" w:hAnsi="Verdana" w:cs="Arial"/>
          <w:iCs/>
          <w:sz w:val="15"/>
          <w:szCs w:val="15"/>
        </w:rPr>
        <w:t>17661.</w:t>
      </w:r>
      <w:r w:rsidRPr="00B40D70">
        <w:rPr>
          <w:rFonts w:ascii="Verdana" w:hAnsi="Verdana" w:cs="Arial"/>
          <w:sz w:val="15"/>
          <w:szCs w:val="15"/>
        </w:rPr>
        <w:t xml:space="preserve"> </w:t>
      </w:r>
    </w:p>
    <w:p w14:paraId="4E6F4451" w14:textId="77777777" w:rsidR="0031491B" w:rsidRPr="00B40D70" w:rsidRDefault="0031491B" w:rsidP="0031491B">
      <w:pPr>
        <w:pStyle w:val="Textonotapie"/>
        <w:ind w:firstLine="709"/>
        <w:jc w:val="both"/>
        <w:rPr>
          <w:rFonts w:ascii="Verdana" w:hAnsi="Verdana" w:cs="Arial"/>
          <w:sz w:val="15"/>
          <w:szCs w:val="15"/>
          <w:lang w:val="es-ES"/>
        </w:rPr>
      </w:pPr>
    </w:p>
  </w:footnote>
  <w:footnote w:id="10">
    <w:p w14:paraId="1D9CB277" w14:textId="77777777" w:rsidR="0031491B" w:rsidRPr="00B40D70" w:rsidRDefault="0031491B" w:rsidP="0031491B">
      <w:pPr>
        <w:pStyle w:val="Textonotapie"/>
        <w:ind w:firstLine="709"/>
        <w:jc w:val="both"/>
        <w:rPr>
          <w:rFonts w:ascii="Verdana" w:hAnsi="Verdana" w:cs="Arial"/>
          <w:sz w:val="15"/>
          <w:szCs w:val="15"/>
          <w:lang w:val="es-ES"/>
        </w:rPr>
      </w:pPr>
      <w:r w:rsidRPr="00B40D70">
        <w:rPr>
          <w:rStyle w:val="Refdenotaalpie"/>
          <w:rFonts w:ascii="Verdana" w:hAnsi="Verdana"/>
          <w:sz w:val="15"/>
          <w:szCs w:val="15"/>
        </w:rPr>
        <w:footnoteRef/>
      </w:r>
      <w:r w:rsidRPr="00B40D70">
        <w:rPr>
          <w:rFonts w:ascii="Verdana" w:hAnsi="Verdana" w:cs="Arial"/>
          <w:sz w:val="15"/>
          <w:szCs w:val="15"/>
        </w:rPr>
        <w:t xml:space="preserve"> </w:t>
      </w:r>
      <w:r w:rsidRPr="00B40D70">
        <w:rPr>
          <w:rFonts w:ascii="Verdana" w:hAnsi="Verdana" w:cs="Arial"/>
          <w:sz w:val="15"/>
          <w:szCs w:val="15"/>
          <w:lang w:val="es-ES"/>
        </w:rPr>
        <w:t xml:space="preserve">Consejo de Estado. Sección Tercera. Sala Plena. Sentencia del 23 de julio de 2015. C.P. Hernán Andrade Rincón. Expediente: </w:t>
      </w:r>
      <w:r w:rsidRPr="00B40D70">
        <w:rPr>
          <w:rFonts w:ascii="Verdana" w:hAnsi="Verdana" w:cs="Arial"/>
          <w:spacing w:val="4"/>
          <w:sz w:val="15"/>
          <w:szCs w:val="15"/>
          <w:lang w:val="es-ES_tradnl"/>
        </w:rPr>
        <w:t>36805.</w:t>
      </w:r>
    </w:p>
  </w:footnote>
  <w:footnote w:id="11">
    <w:p w14:paraId="1F774D4F" w14:textId="77777777" w:rsidR="0031491B" w:rsidRPr="00B40D70" w:rsidRDefault="0031491B" w:rsidP="0031491B">
      <w:pPr>
        <w:spacing w:after="0" w:line="240" w:lineRule="auto"/>
        <w:ind w:firstLine="709"/>
        <w:jc w:val="both"/>
        <w:rPr>
          <w:rFonts w:ascii="Verdana" w:hAnsi="Verdana" w:cs="Arial"/>
          <w:sz w:val="15"/>
          <w:szCs w:val="15"/>
          <w:lang w:val="es-ES_tradnl" w:eastAsia="es-ES"/>
        </w:rPr>
      </w:pPr>
      <w:r w:rsidRPr="00B40D70">
        <w:rPr>
          <w:rStyle w:val="Refdenotaalpie"/>
          <w:rFonts w:ascii="Verdana" w:hAnsi="Verdana" w:cs="Arial"/>
          <w:sz w:val="15"/>
          <w:szCs w:val="15"/>
        </w:rPr>
        <w:footnoteRef/>
      </w:r>
      <w:r w:rsidRPr="00B40D70">
        <w:rPr>
          <w:rFonts w:ascii="Verdana" w:hAnsi="Verdana" w:cs="Arial"/>
          <w:sz w:val="15"/>
          <w:szCs w:val="15"/>
        </w:rPr>
        <w:t xml:space="preserve"> Ibídem. Además, en la sentencia citada del 23 de julio de 2015 se señaló sobre este asunto lo siguiente, que por su relevancia se transcribe </w:t>
      </w:r>
      <w:r w:rsidRPr="00B40D70">
        <w:rPr>
          <w:rFonts w:ascii="Verdana" w:hAnsi="Verdana" w:cs="Arial"/>
          <w:i/>
          <w:iCs/>
          <w:sz w:val="15"/>
          <w:szCs w:val="15"/>
        </w:rPr>
        <w:t>in extenso</w:t>
      </w:r>
      <w:r w:rsidRPr="00B40D70">
        <w:rPr>
          <w:rFonts w:ascii="Verdana" w:hAnsi="Verdana" w:cs="Arial"/>
          <w:sz w:val="15"/>
          <w:szCs w:val="15"/>
        </w:rPr>
        <w:t xml:space="preserve">: “[…] </w:t>
      </w:r>
      <w:r w:rsidRPr="00B40D70">
        <w:rPr>
          <w:rFonts w:ascii="Verdana" w:hAnsi="Verdana" w:cs="Arial"/>
          <w:sz w:val="15"/>
          <w:szCs w:val="15"/>
          <w:lang w:val="es-ES_tradnl" w:eastAsia="es-ES"/>
        </w:rPr>
        <w:t>la Sala considera pertinente precisar, en adición, que el mismo marco normativo que fue analizado en su oportunidad impone que tales entidades sean sólo las de carácter nacional, en tanto que sólo aquellas que tengan ese amplio espectro territorial de competencia podrían asumir funciones relativas a la defensa y seguridad nacional, lo cual permite distinguir este concepto de, por ejemplo, aquel otro de seguridad ciudadana, en el que podrían intervenir entidades del orden territorial.</w:t>
      </w:r>
    </w:p>
    <w:p w14:paraId="3EDD8D84" w14:textId="77777777" w:rsidR="0031491B" w:rsidRPr="00B40D70" w:rsidRDefault="0031491B" w:rsidP="0031491B">
      <w:pPr>
        <w:spacing w:after="0" w:line="240" w:lineRule="auto"/>
        <w:ind w:firstLine="709"/>
        <w:jc w:val="both"/>
        <w:rPr>
          <w:rFonts w:ascii="Verdana" w:hAnsi="Verdana" w:cs="Arial"/>
          <w:sz w:val="15"/>
          <w:szCs w:val="15"/>
          <w:lang w:val="es-ES_tradnl" w:eastAsia="es-ES"/>
        </w:rPr>
      </w:pPr>
      <w:r w:rsidRPr="00B40D70">
        <w:rPr>
          <w:rFonts w:ascii="Verdana" w:hAnsi="Verdana" w:cs="Arial"/>
          <w:sz w:val="15"/>
          <w:szCs w:val="15"/>
          <w:lang w:val="es-ES_tradnl" w:eastAsia="es-ES"/>
        </w:rPr>
        <w:t xml:space="preserve">La coherencia interna del sistema, la correspondencia entre los diferentes preceptos legales y su concordancia objetiva, todos elementos definitorios para una razonable interpretación sistemática, no permiten advertir una </w:t>
      </w:r>
      <w:r w:rsidRPr="00B40D70">
        <w:rPr>
          <w:rFonts w:ascii="Verdana" w:hAnsi="Verdana" w:cs="Arial"/>
          <w:i/>
          <w:sz w:val="15"/>
          <w:szCs w:val="15"/>
          <w:lang w:val="es-ES_tradnl" w:eastAsia="es-ES"/>
        </w:rPr>
        <w:t>voluntas legislatoris</w:t>
      </w:r>
      <w:r w:rsidRPr="00B40D70">
        <w:rPr>
          <w:rFonts w:ascii="Verdana" w:hAnsi="Verdana" w:cs="Arial"/>
          <w:sz w:val="15"/>
          <w:szCs w:val="15"/>
          <w:lang w:val="es-ES_tradnl" w:eastAsia="es-ES"/>
        </w:rPr>
        <w:t xml:space="preserve"> diversa al texto claro y expreso de la letra i, número 2 del artículo 2º de la Ley 1150 de 2007”.</w:t>
      </w:r>
    </w:p>
    <w:p w14:paraId="548AD52C" w14:textId="77777777" w:rsidR="0031491B" w:rsidRPr="00B40D70" w:rsidRDefault="0031491B" w:rsidP="0031491B">
      <w:pPr>
        <w:spacing w:after="0" w:line="240" w:lineRule="auto"/>
        <w:ind w:firstLine="709"/>
        <w:jc w:val="both"/>
        <w:rPr>
          <w:rFonts w:ascii="Verdana" w:hAnsi="Verdana" w:cs="Arial"/>
          <w:sz w:val="15"/>
          <w:szCs w:val="15"/>
          <w:lang w:eastAsia="es-ES_tradnl"/>
        </w:rPr>
      </w:pPr>
      <w:r w:rsidRPr="00B40D70">
        <w:rPr>
          <w:rFonts w:ascii="Verdana" w:hAnsi="Verdana" w:cs="Arial"/>
          <w:sz w:val="15"/>
          <w:szCs w:val="15"/>
          <w:lang w:val="es-ES_tradnl" w:eastAsia="es-ES"/>
        </w:rPr>
        <w:t>Sin perjuicio de lo anterior, advierte la Sala que resulta evidente el exceso en el ejercicio de la potestad reglamentaria, pues la norma demandada entró a distinguir cuando el Legislador no lo hizo. Así, en tanto que la norma de rango legal, simplemente, señaló como causal de selección abreviada la “…</w:t>
      </w:r>
      <w:r w:rsidRPr="00B40D70">
        <w:rPr>
          <w:rFonts w:ascii="Verdana" w:hAnsi="Verdana" w:cs="Arial"/>
          <w:i/>
          <w:sz w:val="15"/>
          <w:szCs w:val="15"/>
          <w:lang w:val="es-ES_tradnl" w:eastAsia="es-ES"/>
        </w:rPr>
        <w:t>contratación de bienes y servicios que se requieran para la defensa y seguridad nacional</w:t>
      </w:r>
      <w:r w:rsidRPr="00B40D70">
        <w:rPr>
          <w:rFonts w:ascii="Verdana" w:hAnsi="Verdana" w:cs="Arial"/>
          <w:sz w:val="15"/>
          <w:szCs w:val="15"/>
          <w:lang w:val="es-ES_tradnl" w:eastAsia="es-ES"/>
        </w:rPr>
        <w:t>”, el reglamento, por su parte, dispuso que tales bienes y servicios tendrían dicha destinación siempre que fuesen adquiridos por “</w:t>
      </w:r>
      <w:r w:rsidRPr="00B40D70">
        <w:rPr>
          <w:rFonts w:ascii="Verdana" w:hAnsi="Verdana" w:cs="Arial"/>
          <w:i/>
          <w:sz w:val="15"/>
          <w:szCs w:val="15"/>
          <w:lang w:val="es-ES_tradnl" w:eastAsia="es-ES"/>
        </w:rPr>
        <w:t>…la Presidencia de la República, las entidades del sector defensa, el DAS, la Fiscalía General de la Nación, el INPEC, el Ministerio del Interior y de Justicia, la Registraduría Nacional del Estado Civil y el Consejo Superior de la Judicatura</w:t>
      </w:r>
      <w:r w:rsidRPr="00B40D70">
        <w:rPr>
          <w:rFonts w:ascii="Verdana" w:hAnsi="Verdana" w:cs="Arial"/>
          <w:sz w:val="15"/>
          <w:szCs w:val="15"/>
          <w:lang w:val="es-ES_tradnl" w:eastAsia="es-ES"/>
        </w:rPr>
        <w:t>”</w:t>
      </w:r>
      <w:r w:rsidRPr="00B40D70">
        <w:rPr>
          <w:rFonts w:ascii="Verdana" w:hAnsi="Verdana" w:cs="Arial"/>
          <w:i/>
          <w:sz w:val="15"/>
          <w:szCs w:val="15"/>
          <w:lang w:val="es-ES_tradnl" w:eastAsia="es-ES"/>
        </w:rPr>
        <w:t>,</w:t>
      </w:r>
      <w:r w:rsidRPr="00B40D70">
        <w:rPr>
          <w:rFonts w:ascii="Verdana" w:hAnsi="Verdana" w:cs="Arial"/>
          <w:sz w:val="15"/>
          <w:szCs w:val="15"/>
          <w:lang w:val="es-ES_tradnl" w:eastAsia="es-ES"/>
        </w:rPr>
        <w:t xml:space="preserve"> contrariando el concepto normativo indeterminado contenido en la Ley y que permite, en cada caso, estimar si el marco competencial de una entidad del orden nacional resulta compresivo de actividades tendientes a garantizar la defensa y la seguridad nacional. Convertir en </w:t>
      </w:r>
      <w:r w:rsidRPr="00B40D70">
        <w:rPr>
          <w:rFonts w:ascii="Verdana" w:hAnsi="Verdana" w:cs="Arial"/>
          <w:i/>
          <w:sz w:val="15"/>
          <w:szCs w:val="15"/>
          <w:lang w:val="es-ES_tradnl" w:eastAsia="es-ES"/>
        </w:rPr>
        <w:t>numerus clausus</w:t>
      </w:r>
      <w:r w:rsidRPr="00B40D70">
        <w:rPr>
          <w:rFonts w:ascii="Verdana" w:hAnsi="Verdana" w:cs="Arial"/>
          <w:sz w:val="15"/>
          <w:szCs w:val="15"/>
          <w:lang w:val="es-ES_tradnl" w:eastAsia="es-ES"/>
        </w:rPr>
        <w:t xml:space="preserve"> aquello que por voluntad del Legislador es </w:t>
      </w:r>
      <w:r w:rsidRPr="00B40D70">
        <w:rPr>
          <w:rFonts w:ascii="Verdana" w:hAnsi="Verdana" w:cs="Arial"/>
          <w:i/>
          <w:sz w:val="15"/>
          <w:szCs w:val="15"/>
          <w:lang w:val="es-ES_tradnl" w:eastAsia="es-ES"/>
        </w:rPr>
        <w:t>numerus</w:t>
      </w:r>
      <w:r w:rsidRPr="00B40D70">
        <w:rPr>
          <w:rFonts w:ascii="Verdana" w:hAnsi="Verdana" w:cs="Arial"/>
          <w:sz w:val="15"/>
          <w:szCs w:val="15"/>
          <w:lang w:val="es-ES_tradnl" w:eastAsia="es-ES"/>
        </w:rPr>
        <w:t xml:space="preserve"> </w:t>
      </w:r>
      <w:r w:rsidRPr="00B40D70">
        <w:rPr>
          <w:rFonts w:ascii="Verdana" w:hAnsi="Verdana" w:cs="Arial"/>
          <w:i/>
          <w:sz w:val="15"/>
          <w:szCs w:val="15"/>
          <w:lang w:val="es-ES_tradnl" w:eastAsia="es-ES"/>
        </w:rPr>
        <w:t>apertus</w:t>
      </w:r>
      <w:r w:rsidRPr="00B40D70">
        <w:rPr>
          <w:rFonts w:ascii="Verdana" w:hAnsi="Verdana" w:cs="Arial"/>
          <w:sz w:val="15"/>
          <w:szCs w:val="15"/>
          <w:lang w:val="es-ES_tradnl" w:eastAsia="es-ES"/>
        </w:rPr>
        <w:t xml:space="preserve"> comporta una evidente transgresión a los límites de la potestad reglamentaria, en tanto se ejerce confrontando los dictados legales que se dice desarrollar conforme con una facultad </w:t>
      </w:r>
      <w:r w:rsidRPr="00B40D70">
        <w:rPr>
          <w:rFonts w:ascii="Verdana" w:hAnsi="Verdana" w:cs="Arial"/>
          <w:i/>
          <w:sz w:val="15"/>
          <w:szCs w:val="15"/>
          <w:lang w:val="es-ES_tradnl" w:eastAsia="es-ES"/>
        </w:rPr>
        <w:t>sublegal</w:t>
      </w:r>
      <w:r w:rsidRPr="00B40D70">
        <w:rPr>
          <w:rFonts w:ascii="Verdana" w:hAnsi="Verdana" w:cs="Arial"/>
          <w:sz w:val="15"/>
          <w:szCs w:val="15"/>
          <w:lang w:val="es-ES_tradnl" w:eastAsia="es-ES"/>
        </w:rPr>
        <w:t>, se invade la órbita del legislador al pretender darle rango legal a aquello que por su naturaleza no lo tiene y, por contera, se desquicia, con tal actitud, el ordenamiento constitucional”.</w:t>
      </w:r>
    </w:p>
  </w:footnote>
  <w:footnote w:id="12">
    <w:p w14:paraId="6D20D91D" w14:textId="77777777" w:rsidR="0031491B" w:rsidRPr="00B40D70" w:rsidRDefault="0031491B" w:rsidP="0031491B">
      <w:pPr>
        <w:pStyle w:val="Textonotapie"/>
        <w:ind w:firstLine="709"/>
        <w:jc w:val="both"/>
        <w:rPr>
          <w:rFonts w:ascii="Verdana" w:hAnsi="Verdana"/>
          <w:sz w:val="15"/>
          <w:szCs w:val="15"/>
          <w:lang w:val="es-CO"/>
        </w:rPr>
      </w:pPr>
      <w:r w:rsidRPr="00B40D70">
        <w:rPr>
          <w:rStyle w:val="Refdenotaalpie"/>
          <w:sz w:val="15"/>
          <w:szCs w:val="15"/>
        </w:rPr>
        <w:footnoteRef/>
      </w:r>
      <w:r w:rsidRPr="00B40D70">
        <w:rPr>
          <w:sz w:val="15"/>
          <w:szCs w:val="15"/>
        </w:rPr>
        <w:t xml:space="preserve"> </w:t>
      </w:r>
      <w:r w:rsidRPr="00B40D70">
        <w:rPr>
          <w:rFonts w:ascii="Verdana" w:hAnsi="Verdana"/>
          <w:sz w:val="15"/>
          <w:szCs w:val="15"/>
        </w:rPr>
        <w:t>Este artículo disponía lo siguiente: “</w:t>
      </w:r>
      <w:r w:rsidRPr="00B40D70">
        <w:rPr>
          <w:rFonts w:ascii="Verdana" w:hAnsi="Verdana"/>
          <w:i/>
          <w:iCs/>
          <w:sz w:val="15"/>
          <w:szCs w:val="15"/>
          <w:lang w:val="es-CO"/>
        </w:rPr>
        <w:t>Bienes y servicios para la defensa y seguridad nacional. </w:t>
      </w:r>
      <w:r w:rsidRPr="00B40D70">
        <w:rPr>
          <w:rFonts w:ascii="Verdana" w:hAnsi="Verdana"/>
          <w:sz w:val="15"/>
          <w:szCs w:val="15"/>
          <w:lang w:val="es-CO"/>
        </w:rPr>
        <w:t>Para los efectos previstos en el literal i) del numeral 2 del artículo 2° de la Ley 1150 de 2007, son bienes y servicios que se requieren para la defensa y seguridad nacional, los adquiridos para ese propósito por la Presidencia de la República, las entidades del sector defensa, el DAS, la Fiscalía General de la Nación, el INPEC, el Ministerio del Interior y de Justicia, la Registraduría Nacional del Estado Civil y el Consejo Superior de la Judicatura, en las siguientes categorías: (…)”</w:t>
      </w:r>
    </w:p>
  </w:footnote>
  <w:footnote w:id="13">
    <w:p w14:paraId="20362F77" w14:textId="77777777" w:rsidR="0031491B" w:rsidRPr="00B40D70" w:rsidRDefault="0031491B" w:rsidP="0031491B">
      <w:pPr>
        <w:spacing w:after="0" w:line="240" w:lineRule="auto"/>
        <w:ind w:firstLine="709"/>
        <w:jc w:val="both"/>
        <w:rPr>
          <w:rFonts w:ascii="Verdana" w:hAnsi="Verdana" w:cs="Arial"/>
          <w:sz w:val="15"/>
          <w:szCs w:val="15"/>
          <w:lang w:val="es-ES_tradnl" w:eastAsia="es-ES"/>
        </w:rPr>
      </w:pPr>
      <w:r w:rsidRPr="00B40D70">
        <w:rPr>
          <w:rStyle w:val="Refdenotaalpie"/>
          <w:sz w:val="15"/>
          <w:szCs w:val="15"/>
        </w:rPr>
        <w:footnoteRef/>
      </w:r>
      <w:r w:rsidRPr="00B40D70">
        <w:rPr>
          <w:sz w:val="15"/>
          <w:szCs w:val="15"/>
        </w:rPr>
        <w:t xml:space="preserve"> </w:t>
      </w:r>
      <w:r w:rsidRPr="00B40D70">
        <w:rPr>
          <w:rFonts w:ascii="Verdana" w:hAnsi="Verdana" w:cs="Arial"/>
          <w:sz w:val="15"/>
          <w:szCs w:val="15"/>
        </w:rPr>
        <w:t xml:space="preserve">En la sentencia citada del 23 de julio de 2015 se señaló sobre este asunto lo siguiente, que por su relevancia se transcribe </w:t>
      </w:r>
      <w:r w:rsidRPr="00B40D70">
        <w:rPr>
          <w:rFonts w:ascii="Verdana" w:hAnsi="Verdana" w:cs="Arial"/>
          <w:i/>
          <w:iCs/>
          <w:sz w:val="15"/>
          <w:szCs w:val="15"/>
        </w:rPr>
        <w:t>in extenso</w:t>
      </w:r>
      <w:r w:rsidRPr="00B40D70">
        <w:rPr>
          <w:rFonts w:ascii="Verdana" w:hAnsi="Verdana" w:cs="Arial"/>
          <w:sz w:val="15"/>
          <w:szCs w:val="15"/>
        </w:rPr>
        <w:t xml:space="preserve">: “[…] </w:t>
      </w:r>
      <w:r w:rsidRPr="00B40D70">
        <w:rPr>
          <w:rFonts w:ascii="Verdana" w:hAnsi="Verdana" w:cs="Arial"/>
          <w:sz w:val="15"/>
          <w:szCs w:val="15"/>
          <w:lang w:val="es-ES_tradnl" w:eastAsia="es-ES"/>
        </w:rPr>
        <w:t>la Sala considera pertinente precisar, en adición, que el mismo marco normativo que fue analizado en su oportunidad impone que tales entidades sean sólo las de carácter nacional, en tanto que sólo aquellas que tengan ese amplio espectro territorial de competencia podrían asumir funciones relativas a la defensa y seguridad nacional, lo cual permite distinguir este concepto de, por ejemplo, aquel otro de seguridad ciudadana, en el que podrían intervenir entidades del orden territorial.</w:t>
      </w:r>
    </w:p>
    <w:p w14:paraId="59C79A82" w14:textId="77777777" w:rsidR="0031491B" w:rsidRPr="00B40D70" w:rsidRDefault="0031491B" w:rsidP="0031491B">
      <w:pPr>
        <w:spacing w:after="0" w:line="240" w:lineRule="auto"/>
        <w:ind w:firstLine="709"/>
        <w:jc w:val="both"/>
        <w:rPr>
          <w:rFonts w:ascii="Verdana" w:hAnsi="Verdana" w:cs="Arial"/>
          <w:sz w:val="15"/>
          <w:szCs w:val="15"/>
          <w:lang w:val="es-ES_tradnl" w:eastAsia="es-ES"/>
        </w:rPr>
      </w:pPr>
      <w:r w:rsidRPr="00B40D70">
        <w:rPr>
          <w:rFonts w:ascii="Verdana" w:hAnsi="Verdana" w:cs="Arial"/>
          <w:sz w:val="15"/>
          <w:szCs w:val="15"/>
          <w:lang w:val="es-ES_tradnl" w:eastAsia="es-ES"/>
        </w:rPr>
        <w:t xml:space="preserve">La coherencia interna del sistema, la correspondencia entre los diferentes preceptos legales y su concordancia objetiva, todos elementos definitorios para una razonable interpretación sistemática, no permiten advertir una </w:t>
      </w:r>
      <w:r w:rsidRPr="00B40D70">
        <w:rPr>
          <w:rFonts w:ascii="Verdana" w:hAnsi="Verdana" w:cs="Arial"/>
          <w:i/>
          <w:sz w:val="15"/>
          <w:szCs w:val="15"/>
          <w:lang w:val="es-ES_tradnl" w:eastAsia="es-ES"/>
        </w:rPr>
        <w:t>voluntas legislatoris</w:t>
      </w:r>
      <w:r w:rsidRPr="00B40D70">
        <w:rPr>
          <w:rFonts w:ascii="Verdana" w:hAnsi="Verdana" w:cs="Arial"/>
          <w:sz w:val="15"/>
          <w:szCs w:val="15"/>
          <w:lang w:val="es-ES_tradnl" w:eastAsia="es-ES"/>
        </w:rPr>
        <w:t xml:space="preserve"> diversa al texto claro y expreso de la letra i, número 2 del artículo 2º de la Ley 1150 de 2007”.</w:t>
      </w:r>
    </w:p>
    <w:p w14:paraId="597F427E" w14:textId="77777777" w:rsidR="0031491B" w:rsidRPr="00B40D70" w:rsidRDefault="0031491B" w:rsidP="0031491B">
      <w:pPr>
        <w:pStyle w:val="Textonotapie"/>
        <w:ind w:firstLine="709"/>
        <w:jc w:val="both"/>
        <w:rPr>
          <w:sz w:val="15"/>
          <w:szCs w:val="15"/>
          <w:lang w:val="es-CO"/>
        </w:rPr>
      </w:pPr>
      <w:r w:rsidRPr="00B40D70">
        <w:rPr>
          <w:rFonts w:ascii="Verdana" w:hAnsi="Verdana" w:cs="Arial"/>
          <w:sz w:val="15"/>
          <w:szCs w:val="15"/>
          <w:lang w:val="es-ES_tradnl" w:eastAsia="es-ES"/>
        </w:rPr>
        <w:t>Sin perjuicio de lo anterior, advierte la Sala que resulta evidente el exceso en el ejercicio de la potestad reglamentaria, pues la norma demandada entró a distinguir cuando el Legislador no lo hizo. Así, en tanto que la norma de rango legal, simplemente, señaló como causal de selección abreviada la “…</w:t>
      </w:r>
      <w:r w:rsidRPr="00B40D70">
        <w:rPr>
          <w:rFonts w:ascii="Verdana" w:hAnsi="Verdana" w:cs="Arial"/>
          <w:i/>
          <w:sz w:val="15"/>
          <w:szCs w:val="15"/>
          <w:lang w:val="es-ES_tradnl" w:eastAsia="es-ES"/>
        </w:rPr>
        <w:t>contratación de bienes y servicios que se requieran para la defensa y seguridad nacional</w:t>
      </w:r>
      <w:r w:rsidRPr="00B40D70">
        <w:rPr>
          <w:rFonts w:ascii="Verdana" w:hAnsi="Verdana" w:cs="Arial"/>
          <w:sz w:val="15"/>
          <w:szCs w:val="15"/>
          <w:lang w:val="es-ES_tradnl" w:eastAsia="es-ES"/>
        </w:rPr>
        <w:t>”, el reglamento, por su parte, dispuso que tales bienes y servicios tendrían dicha destinación siempre que fuesen adquiridos por “</w:t>
      </w:r>
      <w:r w:rsidRPr="00B40D70">
        <w:rPr>
          <w:rFonts w:ascii="Verdana" w:hAnsi="Verdana" w:cs="Arial"/>
          <w:i/>
          <w:sz w:val="15"/>
          <w:szCs w:val="15"/>
          <w:lang w:val="es-ES_tradnl" w:eastAsia="es-ES"/>
        </w:rPr>
        <w:t>…la Presidencia de la República, las entidades del sector defensa, el DAS, la Fiscalía General de la Nación, el INPEC, el Ministerio del Interior y de Justicia, la Registraduría Nacional del Estado Civil y el Consejo Superior de la Judicatura</w:t>
      </w:r>
      <w:r w:rsidRPr="00B40D70">
        <w:rPr>
          <w:rFonts w:ascii="Verdana" w:hAnsi="Verdana" w:cs="Arial"/>
          <w:sz w:val="15"/>
          <w:szCs w:val="15"/>
          <w:lang w:val="es-ES_tradnl" w:eastAsia="es-ES"/>
        </w:rPr>
        <w:t>”</w:t>
      </w:r>
      <w:r w:rsidRPr="00B40D70">
        <w:rPr>
          <w:rFonts w:ascii="Verdana" w:hAnsi="Verdana" w:cs="Arial"/>
          <w:i/>
          <w:sz w:val="15"/>
          <w:szCs w:val="15"/>
          <w:lang w:val="es-ES_tradnl" w:eastAsia="es-ES"/>
        </w:rPr>
        <w:t>,</w:t>
      </w:r>
      <w:r w:rsidRPr="00B40D70">
        <w:rPr>
          <w:rFonts w:ascii="Verdana" w:hAnsi="Verdana" w:cs="Arial"/>
          <w:sz w:val="15"/>
          <w:szCs w:val="15"/>
          <w:lang w:val="es-ES_tradnl" w:eastAsia="es-ES"/>
        </w:rPr>
        <w:t xml:space="preserve"> contrariando el concepto normativo indeterminado contenido en la Ley y que permite, en cada caso, estimar si el marco competencial de una entidad del orden nacional resulta compresivo de actividades tendientes a garantizar la defensa y la seguridad nacional. Convertir en </w:t>
      </w:r>
      <w:r w:rsidRPr="00B40D70">
        <w:rPr>
          <w:rFonts w:ascii="Verdana" w:hAnsi="Verdana" w:cs="Arial"/>
          <w:i/>
          <w:sz w:val="15"/>
          <w:szCs w:val="15"/>
          <w:lang w:val="es-ES_tradnl" w:eastAsia="es-ES"/>
        </w:rPr>
        <w:t>numerus clausus</w:t>
      </w:r>
      <w:r w:rsidRPr="00B40D70">
        <w:rPr>
          <w:rFonts w:ascii="Verdana" w:hAnsi="Verdana" w:cs="Arial"/>
          <w:sz w:val="15"/>
          <w:szCs w:val="15"/>
          <w:lang w:val="es-ES_tradnl" w:eastAsia="es-ES"/>
        </w:rPr>
        <w:t xml:space="preserve"> aquello que por voluntad del Legislador es </w:t>
      </w:r>
      <w:r w:rsidRPr="00B40D70">
        <w:rPr>
          <w:rFonts w:ascii="Verdana" w:hAnsi="Verdana" w:cs="Arial"/>
          <w:i/>
          <w:sz w:val="15"/>
          <w:szCs w:val="15"/>
          <w:lang w:val="es-ES_tradnl" w:eastAsia="es-ES"/>
        </w:rPr>
        <w:t>numerus</w:t>
      </w:r>
      <w:r w:rsidRPr="00B40D70">
        <w:rPr>
          <w:rFonts w:ascii="Verdana" w:hAnsi="Verdana" w:cs="Arial"/>
          <w:sz w:val="15"/>
          <w:szCs w:val="15"/>
          <w:lang w:val="es-ES_tradnl" w:eastAsia="es-ES"/>
        </w:rPr>
        <w:t xml:space="preserve"> </w:t>
      </w:r>
      <w:r w:rsidRPr="00B40D70">
        <w:rPr>
          <w:rFonts w:ascii="Verdana" w:hAnsi="Verdana" w:cs="Arial"/>
          <w:i/>
          <w:sz w:val="15"/>
          <w:szCs w:val="15"/>
          <w:lang w:val="es-ES_tradnl" w:eastAsia="es-ES"/>
        </w:rPr>
        <w:t>apertus</w:t>
      </w:r>
      <w:r w:rsidRPr="00B40D70">
        <w:rPr>
          <w:rFonts w:ascii="Verdana" w:hAnsi="Verdana" w:cs="Arial"/>
          <w:sz w:val="15"/>
          <w:szCs w:val="15"/>
          <w:lang w:val="es-ES_tradnl" w:eastAsia="es-ES"/>
        </w:rPr>
        <w:t xml:space="preserve"> comporta una evidente transgresión a los límites de la potestad reglamentaria, en tanto se ejerce confrontando los dictados legales que se dice desarrollar conforme con una facultad </w:t>
      </w:r>
      <w:r w:rsidRPr="00B40D70">
        <w:rPr>
          <w:rFonts w:ascii="Verdana" w:hAnsi="Verdana" w:cs="Arial"/>
          <w:i/>
          <w:sz w:val="15"/>
          <w:szCs w:val="15"/>
          <w:lang w:val="es-ES_tradnl" w:eastAsia="es-ES"/>
        </w:rPr>
        <w:t>sublegal</w:t>
      </w:r>
      <w:r w:rsidRPr="00B40D70">
        <w:rPr>
          <w:rFonts w:ascii="Verdana" w:hAnsi="Verdana" w:cs="Arial"/>
          <w:sz w:val="15"/>
          <w:szCs w:val="15"/>
          <w:lang w:val="es-ES_tradnl" w:eastAsia="es-ES"/>
        </w:rPr>
        <w:t>, se invade la órbita del legislador al pretender darle rango legal a aquello que por su naturaleza no lo tiene y, por contera, se desquicia, con tal actitud, el ordenamiento constitucional”.</w:t>
      </w:r>
    </w:p>
  </w:footnote>
  <w:footnote w:id="14">
    <w:p w14:paraId="0226D0BE" w14:textId="77777777" w:rsidR="0031491B" w:rsidRPr="00B40D70" w:rsidRDefault="0031491B" w:rsidP="0031491B">
      <w:pPr>
        <w:pStyle w:val="Textonotapie"/>
        <w:ind w:firstLine="708"/>
        <w:jc w:val="both"/>
        <w:rPr>
          <w:rFonts w:ascii="Verdana" w:hAnsi="Verdana" w:cs="Arial"/>
          <w:sz w:val="15"/>
          <w:szCs w:val="15"/>
        </w:rPr>
      </w:pPr>
    </w:p>
    <w:p w14:paraId="2622AAE5" w14:textId="77777777" w:rsidR="0031491B" w:rsidRPr="00B40D70" w:rsidRDefault="0031491B" w:rsidP="0031491B">
      <w:pPr>
        <w:pStyle w:val="Textonotapie"/>
        <w:ind w:firstLine="708"/>
        <w:jc w:val="both"/>
        <w:rPr>
          <w:rFonts w:ascii="Verdana" w:hAnsi="Verdana" w:cs="Arial"/>
          <w:sz w:val="15"/>
          <w:szCs w:val="15"/>
        </w:rPr>
      </w:pPr>
      <w:r w:rsidRPr="00B40D70">
        <w:rPr>
          <w:rStyle w:val="Refdenotaalpie"/>
          <w:rFonts w:ascii="Verdana" w:hAnsi="Verdana" w:cs="Arial"/>
          <w:sz w:val="15"/>
          <w:szCs w:val="15"/>
        </w:rPr>
        <w:footnoteRef/>
      </w:r>
      <w:r w:rsidRPr="00B40D70">
        <w:rPr>
          <w:rFonts w:ascii="Verdana" w:eastAsia="Calibri" w:hAnsi="Verdana" w:cs="Arial"/>
          <w:color w:val="000000"/>
          <w:sz w:val="15"/>
          <w:szCs w:val="15"/>
        </w:rPr>
        <w:t xml:space="preserve"> Consejo de Estado. Sección Tercera. Subsección A. Sentencia del 24 de mayo de 2018. </w:t>
      </w:r>
      <w:r w:rsidRPr="00B40D70">
        <w:rPr>
          <w:rFonts w:ascii="Verdana" w:eastAsia="Calibri" w:hAnsi="Verdana" w:cs="Arial"/>
          <w:color w:val="000000"/>
          <w:sz w:val="15"/>
          <w:szCs w:val="15"/>
          <w:lang w:val="es-CO"/>
        </w:rPr>
        <w:t xml:space="preserve">C.P. Marta Nubia Velásquez Rico. </w:t>
      </w:r>
      <w:r w:rsidRPr="00B40D70">
        <w:rPr>
          <w:rFonts w:ascii="Verdana" w:eastAsia="Calibri" w:hAnsi="Verdana" w:cs="Arial"/>
          <w:color w:val="000000"/>
          <w:sz w:val="15"/>
          <w:szCs w:val="15"/>
        </w:rPr>
        <w:t xml:space="preserve">Exp. 50222, </w:t>
      </w:r>
    </w:p>
  </w:footnote>
  <w:footnote w:id="15">
    <w:p w14:paraId="1B02CA91" w14:textId="77777777" w:rsidR="0031491B" w:rsidRPr="00B40D70" w:rsidRDefault="0031491B" w:rsidP="0031491B">
      <w:pPr>
        <w:pStyle w:val="Textonotapie"/>
        <w:ind w:firstLine="708"/>
        <w:jc w:val="both"/>
        <w:rPr>
          <w:rFonts w:ascii="Verdana" w:hAnsi="Verdana"/>
          <w:sz w:val="15"/>
          <w:szCs w:val="15"/>
        </w:rPr>
      </w:pPr>
      <w:r w:rsidRPr="00B40D70">
        <w:rPr>
          <w:rStyle w:val="Refdenotaalpie"/>
          <w:rFonts w:ascii="Verdana" w:hAnsi="Verdana"/>
          <w:sz w:val="15"/>
          <w:szCs w:val="15"/>
        </w:rPr>
        <w:footnoteRef/>
      </w:r>
      <w:r w:rsidRPr="00B40D70">
        <w:rPr>
          <w:rFonts w:ascii="Verdana" w:hAnsi="Verdana"/>
          <w:sz w:val="15"/>
          <w:szCs w:val="15"/>
        </w:rPr>
        <w:t xml:space="preserve"> Respecto a la causal de selección abreviada del literal i) del artículo 2.2 de la Ley 1150 de 2007, la doctrina explica que “El legislador decidió, entonces, para contribuir a la pulcritud de los procedimientos de selección a cargo del sector defensa, abrir la causal en dos. Por un lado, aquellos bienes que si bien son requeridos para la defensa y seguridad del Estado, pueden tener una contratación pública, los cuales sometió al procedimiento especial de selección abreviada, y los que, por su naturaleza, deben ser adquiridos de forma reservada […]” (Cfr. ESTRADA SÁNCHEZ, Juan Pablo. Contratación directa, convenios interadministrativos y contratos de cooperación internacional. En: Contratación estatal. Estudios sobre la reforma del Estatuto Contractual Ley 1150 de 2007. Bogotá: Universidad Externado de Colombia, 2009. p. 309).</w:t>
      </w:r>
    </w:p>
  </w:footnote>
  <w:footnote w:id="16">
    <w:p w14:paraId="5521F012" w14:textId="77777777" w:rsidR="0031491B" w:rsidRPr="00B40D70" w:rsidRDefault="0031491B" w:rsidP="0031491B">
      <w:pPr>
        <w:pStyle w:val="Textonotapie"/>
        <w:ind w:firstLine="708"/>
        <w:jc w:val="both"/>
        <w:rPr>
          <w:rFonts w:ascii="Verdana" w:hAnsi="Verdana"/>
          <w:sz w:val="15"/>
          <w:szCs w:val="15"/>
        </w:rPr>
      </w:pPr>
      <w:r w:rsidRPr="00B40D70">
        <w:rPr>
          <w:rStyle w:val="Refdenotaalpie"/>
          <w:rFonts w:ascii="Verdana" w:hAnsi="Verdana"/>
          <w:sz w:val="15"/>
          <w:szCs w:val="15"/>
        </w:rPr>
        <w:footnoteRef/>
      </w:r>
      <w:r w:rsidRPr="00B40D70">
        <w:rPr>
          <w:rFonts w:ascii="Verdana" w:hAnsi="Verdana"/>
          <w:sz w:val="15"/>
          <w:szCs w:val="15"/>
        </w:rPr>
        <w:t xml:space="preserve"> En lo pertinente, el artículo 78 del Decreto 1510 de 2013 disponía que “Los siguientes bienes, obras y servicios requieren reserva para su adquisición:</w:t>
      </w:r>
    </w:p>
    <w:p w14:paraId="1203C2C0"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 Armas, sistemas de armamento y sus repuestos, municiones, elementos para la instrucción de las mismas, manejo, incluyendo los elementos contra motines, torpedos y minas, herramientas y equipos para pruebas y mantenimiento de estos y estas.</w:t>
      </w:r>
    </w:p>
    <w:p w14:paraId="3552FBEB"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2. Equipos optrónicos y de visión nocturna, sus accesorios, repuestos e implementos necesarios para su funcionamiento.</w:t>
      </w:r>
    </w:p>
    <w:p w14:paraId="4B973ABD"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3. Redes, sistemas de información y comunicaciones, incluyendo hardware y software, servicios y accesorios, infraestructura para la ciberdefensa y ciberseguridad informática y física, incluyendo la consultoría, el diseño, las metodologías de análisis, implementación y configuración, requeridos para el Sector Defensa y la Dirección Nacional de Inteligencia.</w:t>
      </w:r>
    </w:p>
    <w:p w14:paraId="03B552BC"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4. Naves, artefactos navales y fluviales, y aeronaves, y cualquier otro equipo para el transporte aéreo, marítimo o fluvial requerido para la defensa nacional, así como sus accesorios, repuestos, elementos de su operación y funcionamiento, combustible y lubricantes.</w:t>
      </w:r>
    </w:p>
    <w:p w14:paraId="5E33A341"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5. Vehículos militares y policiales de transporte terrestre, marítimo, fluvial y aéreo con sus accesorios repuestos, combustibles, lubricantes y grasas, necesarios para el transporte de personal y material del Sector Defensa, de la Dirección Nacional de Inteligencia.</w:t>
      </w:r>
    </w:p>
    <w:p w14:paraId="7E0ACDD9"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6. Servicios de transporte especializado que requieren reserva para garantizar la vida y la integridad de personas protegidas por la Unidad Nacional de Protección.</w:t>
      </w:r>
    </w:p>
    <w:p w14:paraId="7F880AD8"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7. Material blindado y la adquisición de vehículos para blindar para el Sector Defensa, la Dirección Nacional de Inteligencia y la Unidad Nacional de Protección que requieren reserva.</w:t>
      </w:r>
    </w:p>
    <w:p w14:paraId="2114FAFB"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8. Equipos de detección aérea, de superficie y submarinas, sus repuestos y accesorios, equipos de sintonía y calibración para el Sector Defensa.</w:t>
      </w:r>
    </w:p>
    <w:p w14:paraId="3CED220F"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9. Los bienes, obras y servicios relacionados con la señalización y las ayudas de navegación aérea, marítima y fluvial, con sus accesorios, repuestos y demás insumos para su operación, información técnica tendiente a proteger y salvaguardar los límites y fronteras y garantizar la soberanía, la integridad del territorio nacional y el orden constitucional, así como las compras y los contratos relacionados con proyectos de ciencia y tecnología destinados a establecer la conformación física y morfológica del territorio nacional para su defensa.</w:t>
      </w:r>
    </w:p>
    <w:p w14:paraId="70408019"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10. Los bienes, obras y servicios que tengan por finalidad garantizar la vida e integridad del Comandante Supremo de las Fuerzas Armadas de la República.</w:t>
      </w:r>
    </w:p>
    <w:p w14:paraId="757F3970"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11. Los bienes y servicios para la administración, conservación, clasificación, ordenación, guarda y sistematización de los archivos generales como de inteligencia que hacen parte del Departamento Administrativo de Seguridad en supresión y de la Dirección Nacional de Inteligencia.</w:t>
      </w:r>
    </w:p>
    <w:p w14:paraId="2CCB6F5B"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12. Los bienes y servicios que por razón de su especificación técnica permiten mantener líneas logísticas estandarizadas con equipamiento existente de la Fuerza Pública, sin consideración de marcas u origen.</w:t>
      </w:r>
    </w:p>
    <w:p w14:paraId="137BBEAB"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13. Equipo y vestuario con funcionalidades orientadas a la protección personal, balística, nuclear, biológica o química y textiles con acabados funcionales especiales para la confección de vestuario.</w:t>
      </w:r>
    </w:p>
    <w:p w14:paraId="0D4E59FA"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14. Las obras públicas que tengan relación directa con la defensa y seguridad nacional, inteligencia y contrainteligencia, la seguridad de las instalaciones, la integridad del personal y de las operaciones de la Fuerza Pública y de la Dirección Nacional de Inteligencia, así como las consultorías e interventorías relacionadas con las mismas.</w:t>
      </w:r>
    </w:p>
    <w:p w14:paraId="11DE739C"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15. Los bienes, obras y servicios relacionados con la capacitación, instrucción y entrenamiento del personal de la Fuerza Pública, de la Unidad Nacional de Protección y de la Dirección Nacional de Inteligencia, así como para el diseño de estrategias relacionadas con la defensa, la seguridad nacional, inteligencia y contrainteligencia.</w:t>
      </w:r>
    </w:p>
    <w:p w14:paraId="1E05EC75"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16. Los bienes, obras y servicios derivados de la compensación a cargo de países y proveedores de los bienes y servicios previstos en el artículo 65 y en el presente artículo. Estos bienes y servicios deben ser adquiridos a través de convenios de cooperación industrial y social, llamados offset, que tienen como propósito incentivar la transferencia de tecnología tanto al sector público como al sector real, así como favorecer el desarrollo industrial y social del país.</w:t>
      </w:r>
    </w:p>
    <w:p w14:paraId="644D149A"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17. Los bienes, obras y servicios para garantizar la defensa y seguridad de la infraestructura petrolera, minera, energética, vial, de comunicaciones y para la erradicación de cultivos ilícitos, incluyendo la dotación de las unidades militares comprometidas en esta tarea y los equipos, elementos y servicios necesarios para garantizar su permanencia y operación en las áreas objeto de protección.</w:t>
      </w:r>
    </w:p>
    <w:p w14:paraId="7C1C3873"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18. Los servicios de mantenimiento de los bienes, obras y servicios señalados en el presente artículo y las interventorías necesarias para la ejecución de los respectivos contratos.</w:t>
      </w:r>
    </w:p>
    <w:p w14:paraId="61AE922E"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19. Los equipos de inteligencia, los estudios de confiabilidad y credibilidad para personal de inteligencia y la consultoría e interventoría en materia de inteligencia.</w:t>
      </w:r>
    </w:p>
    <w:p w14:paraId="012AD90A" w14:textId="77777777" w:rsidR="0031491B" w:rsidRPr="00B40D70" w:rsidRDefault="0031491B" w:rsidP="0031491B">
      <w:pPr>
        <w:pStyle w:val="Textonotapie"/>
        <w:ind w:firstLine="708"/>
        <w:jc w:val="both"/>
        <w:rPr>
          <w:rFonts w:ascii="Verdana" w:hAnsi="Verdana"/>
          <w:sz w:val="15"/>
          <w:szCs w:val="15"/>
          <w:lang w:val="es-CO"/>
        </w:rPr>
      </w:pPr>
      <w:r w:rsidRPr="00B40D70">
        <w:rPr>
          <w:rFonts w:ascii="Verdana" w:hAnsi="Verdana"/>
          <w:sz w:val="15"/>
          <w:szCs w:val="15"/>
        </w:rPr>
        <w:t>20. Los bienes y servicios enumerados en el presente artículo contratados con personas extranjeras de derecho público, o con proveedores autorizados por estas”.</w:t>
      </w:r>
    </w:p>
  </w:footnote>
  <w:footnote w:id="17">
    <w:p w14:paraId="63D4FE71" w14:textId="77777777" w:rsidR="0031491B" w:rsidRPr="00B40D70" w:rsidRDefault="0031491B" w:rsidP="0031491B">
      <w:pPr>
        <w:pStyle w:val="Textonotapie"/>
        <w:ind w:firstLine="708"/>
        <w:jc w:val="both"/>
        <w:rPr>
          <w:rFonts w:ascii="Verdana" w:hAnsi="Verdana"/>
          <w:sz w:val="15"/>
          <w:szCs w:val="15"/>
        </w:rPr>
      </w:pPr>
      <w:r w:rsidRPr="00B40D70">
        <w:rPr>
          <w:rStyle w:val="Refdenotaalpie"/>
          <w:rFonts w:ascii="Verdana" w:hAnsi="Verdana"/>
          <w:sz w:val="15"/>
          <w:szCs w:val="15"/>
        </w:rPr>
        <w:footnoteRef/>
      </w:r>
      <w:r w:rsidRPr="00B40D70">
        <w:rPr>
          <w:rFonts w:ascii="Verdana" w:hAnsi="Verdana"/>
          <w:sz w:val="15"/>
          <w:szCs w:val="15"/>
        </w:rPr>
        <w:t xml:space="preserve"> El artículo 17 del Decreto Ley 2368 de 1974 dispone que “No causan impuesto sobre las ventas la importación de maquinaria pesada para industrias básicas, siempre y cuando dicha maquinaria no sea producible en el país. Para efectos del presente artículo, son industrias básicas las de minería, hidrocarburos, química pesada, siderurgia, metalurgia extractiva y generación y transmisión de energía eléctrica.</w:t>
      </w:r>
    </w:p>
    <w:p w14:paraId="7D321C86" w14:textId="77777777" w:rsidR="0031491B" w:rsidRPr="00B40D70" w:rsidRDefault="0031491B" w:rsidP="0031491B">
      <w:pPr>
        <w:pStyle w:val="Textonotapie"/>
        <w:ind w:firstLine="708"/>
        <w:jc w:val="both"/>
        <w:rPr>
          <w:rFonts w:ascii="Verdana" w:hAnsi="Verdana"/>
          <w:sz w:val="15"/>
          <w:szCs w:val="15"/>
          <w:lang w:val="es-CO"/>
        </w:rPr>
      </w:pPr>
      <w:r w:rsidRPr="00B40D70">
        <w:rPr>
          <w:rFonts w:ascii="Verdana" w:hAnsi="Verdana"/>
          <w:sz w:val="15"/>
          <w:szCs w:val="15"/>
        </w:rPr>
        <w:t>Tampoco lo causan las importaciones de armas y municiones que se hagan para la defensa nacional”.</w:t>
      </w:r>
    </w:p>
  </w:footnote>
  <w:footnote w:id="18">
    <w:p w14:paraId="067D466E" w14:textId="77777777" w:rsidR="0031491B" w:rsidRPr="00B40D70" w:rsidRDefault="0031491B" w:rsidP="0031491B">
      <w:pPr>
        <w:pStyle w:val="Textonotapie"/>
        <w:ind w:firstLine="708"/>
        <w:jc w:val="both"/>
        <w:rPr>
          <w:rFonts w:ascii="Verdana" w:hAnsi="Verdana"/>
          <w:sz w:val="15"/>
          <w:szCs w:val="15"/>
        </w:rPr>
      </w:pPr>
      <w:r w:rsidRPr="00B40D70">
        <w:rPr>
          <w:rStyle w:val="Refdenotaalpie"/>
          <w:rFonts w:ascii="Verdana" w:hAnsi="Verdana"/>
          <w:sz w:val="15"/>
          <w:szCs w:val="15"/>
        </w:rPr>
        <w:footnoteRef/>
      </w:r>
      <w:r w:rsidRPr="00B40D70">
        <w:rPr>
          <w:rFonts w:ascii="Verdana" w:hAnsi="Verdana"/>
          <w:sz w:val="15"/>
          <w:szCs w:val="15"/>
        </w:rPr>
        <w:t xml:space="preserve"> El artículo 259 del derogado Decreto Ley 222 de 1983 disponía que “Los contratos que, exclusivamente para la adquisición de material de guerra o reservado, celebren la Nación-Ministerio de Defensa Nacional-, la Industria Militar, el Servicio Aéreo a Territorios Nacionales,-SATENA-y los Fondos Rotatorios de las Fuerzas Armadas y de la Policía Nacional, no requerirán para su validez la licitación pública o privada y se perfeccionarán con el registro presupuestal y la constitución de las garantías a que hubiere lugar. Al mismo procedimiento se someterán los contratos que tengan por objeto asegurar, transportar, mantener o reparar el citado material de guerra.</w:t>
      </w:r>
    </w:p>
    <w:p w14:paraId="0F03A648" w14:textId="77777777" w:rsidR="0031491B" w:rsidRPr="00B40D70" w:rsidRDefault="0031491B" w:rsidP="0031491B">
      <w:pPr>
        <w:pStyle w:val="Textonotapie"/>
        <w:ind w:firstLine="708"/>
        <w:jc w:val="both"/>
        <w:rPr>
          <w:rFonts w:ascii="Verdana" w:hAnsi="Verdana"/>
          <w:sz w:val="15"/>
          <w:szCs w:val="15"/>
        </w:rPr>
      </w:pPr>
      <w:r w:rsidRPr="00B40D70">
        <w:rPr>
          <w:rFonts w:ascii="Verdana" w:hAnsi="Verdana"/>
          <w:sz w:val="15"/>
          <w:szCs w:val="15"/>
        </w:rPr>
        <w:t>Los contratos aquí previstos de cuantía igual o superior a cincuenta millones de pesos ($ 50.000.000.00) o su equivalente en moneda extranjera, también requerirán para su validez aprobación del Consejo de Ministros y firma del Presidente de la República.</w:t>
      </w:r>
    </w:p>
    <w:p w14:paraId="1A0ED41A" w14:textId="77777777" w:rsidR="0031491B" w:rsidRPr="00B40D70" w:rsidRDefault="0031491B" w:rsidP="0031491B">
      <w:pPr>
        <w:pStyle w:val="Textonotapie"/>
        <w:ind w:firstLine="708"/>
        <w:jc w:val="both"/>
        <w:rPr>
          <w:rFonts w:ascii="Verdana" w:hAnsi="Verdana"/>
          <w:sz w:val="15"/>
          <w:szCs w:val="15"/>
          <w:lang w:val="es-CO"/>
        </w:rPr>
      </w:pPr>
      <w:r w:rsidRPr="00B40D70">
        <w:rPr>
          <w:rFonts w:ascii="Verdana" w:hAnsi="Verdana"/>
          <w:sz w:val="15"/>
          <w:szCs w:val="15"/>
        </w:rPr>
        <w:t>La celebración de contratos de empréstito por parte de las entidades enunciadas en este artículo y para los efectos previstos en el mismo, sólo requerirá autorización previa otorgada mediante resolución ejecutiva originaria del Ministerio de Hacienda y Crédito Público. Los respectivos convenios se perfeccionarán con la firma del Presidente de la República o su delegado, después de su aprobación por el Consejo de Ministros”.</w:t>
      </w:r>
    </w:p>
  </w:footnote>
  <w:footnote w:id="19">
    <w:p w14:paraId="45EBA8E9" w14:textId="77777777" w:rsidR="0031491B" w:rsidRPr="00B40D70" w:rsidRDefault="0031491B" w:rsidP="0031491B">
      <w:pPr>
        <w:pStyle w:val="Textonotapie"/>
        <w:ind w:firstLine="708"/>
        <w:jc w:val="both"/>
        <w:rPr>
          <w:rFonts w:ascii="Verdana" w:hAnsi="Verdana"/>
          <w:sz w:val="15"/>
          <w:szCs w:val="15"/>
          <w:lang w:val="es-CO"/>
        </w:rPr>
      </w:pPr>
      <w:r w:rsidRPr="00B40D70">
        <w:rPr>
          <w:rStyle w:val="Refdenotaalpie"/>
          <w:rFonts w:ascii="Verdana" w:hAnsi="Verdana"/>
          <w:sz w:val="15"/>
          <w:szCs w:val="15"/>
        </w:rPr>
        <w:footnoteRef/>
      </w:r>
      <w:r w:rsidRPr="00B40D70">
        <w:rPr>
          <w:rFonts w:ascii="Verdana" w:hAnsi="Verdana"/>
          <w:sz w:val="15"/>
          <w:szCs w:val="15"/>
        </w:rPr>
        <w:t xml:space="preserve"> El artículo 9.6 de la Ley 1437 de 2011 prohíbe a las autoridades públicas “Reproducir actos suspendidos o anulados por la Jurisdicción de lo Contencioso Administrativo cuando no hayan desaparecido los fundamentos legales de la anulación o suspensión”. Ello se reitera en el artículo 238 </w:t>
      </w:r>
      <w:r w:rsidRPr="00B40D70">
        <w:rPr>
          <w:rFonts w:ascii="Verdana" w:hAnsi="Verdana"/>
          <w:i/>
          <w:iCs/>
          <w:sz w:val="15"/>
          <w:szCs w:val="15"/>
        </w:rPr>
        <w:t>ibidem</w:t>
      </w:r>
      <w:r w:rsidRPr="00B40D70">
        <w:rPr>
          <w:rFonts w:ascii="Verdana" w:hAnsi="Verdana"/>
          <w:sz w:val="15"/>
          <w:szCs w:val="15"/>
        </w:rPr>
        <w:t>, pues “Ningún acto anulado o suspendido podrá ser reproducido si conserva en esencia las mismas disposiciones anuladas o suspendidas, a menos que con posterioridad a la sentencia o al auto, hayan desaparecido los fundamentos legales de la anulación o suspensión”.</w:t>
      </w:r>
    </w:p>
  </w:footnote>
  <w:footnote w:id="20">
    <w:p w14:paraId="7CBBC6B6" w14:textId="77777777" w:rsidR="0031491B" w:rsidRPr="00B40D70" w:rsidRDefault="0031491B" w:rsidP="0031491B">
      <w:pPr>
        <w:pStyle w:val="Textonotapie"/>
        <w:ind w:firstLine="708"/>
        <w:jc w:val="both"/>
        <w:rPr>
          <w:rFonts w:ascii="Verdana" w:hAnsi="Verdana"/>
          <w:sz w:val="15"/>
          <w:szCs w:val="15"/>
          <w:lang w:val="es-CO"/>
        </w:rPr>
      </w:pPr>
      <w:r w:rsidRPr="00B40D70">
        <w:rPr>
          <w:rStyle w:val="Refdenotaalpie"/>
          <w:rFonts w:ascii="Verdana" w:hAnsi="Verdana"/>
          <w:sz w:val="15"/>
          <w:szCs w:val="15"/>
        </w:rPr>
        <w:footnoteRef/>
      </w:r>
      <w:r w:rsidRPr="00B40D70">
        <w:rPr>
          <w:rFonts w:ascii="Verdana" w:hAnsi="Verdana"/>
          <w:sz w:val="15"/>
          <w:szCs w:val="15"/>
        </w:rPr>
        <w:t xml:space="preserve"> </w:t>
      </w:r>
      <w:r w:rsidRPr="00B40D70">
        <w:rPr>
          <w:rFonts w:ascii="Verdana" w:hAnsi="Verdana"/>
          <w:sz w:val="15"/>
          <w:szCs w:val="15"/>
          <w:lang w:val="es-CO"/>
        </w:rPr>
        <w:t>Artículo 18. </w:t>
      </w:r>
      <w:r w:rsidRPr="00B40D70">
        <w:rPr>
          <w:rFonts w:ascii="Verdana" w:hAnsi="Verdana"/>
          <w:i/>
          <w:iCs/>
          <w:sz w:val="15"/>
          <w:szCs w:val="15"/>
          <w:lang w:val="es-CO"/>
        </w:rPr>
        <w:t>Información exceptuada por daño de derechos a personas naturales o jurídicas. </w:t>
      </w:r>
      <w:r w:rsidRPr="00B40D70">
        <w:rPr>
          <w:rFonts w:ascii="Verdana" w:hAnsi="Verdana"/>
          <w:sz w:val="15"/>
          <w:szCs w:val="15"/>
          <w:lang w:val="es-CO"/>
        </w:rPr>
        <w:t>Es toda aquella información pública clasificada, cuyo acceso podrá ser rechazado o denegado de manera motivada y por escrito, siempre que el acceso pudiere causar un daño a los siguientes derechos: </w:t>
      </w:r>
    </w:p>
    <w:p w14:paraId="4AC32CAD" w14:textId="77777777" w:rsidR="0031491B" w:rsidRPr="00B40D70" w:rsidRDefault="0031491B" w:rsidP="0031491B">
      <w:pPr>
        <w:pStyle w:val="Textonotapie"/>
        <w:ind w:firstLine="708"/>
        <w:jc w:val="both"/>
        <w:rPr>
          <w:rFonts w:ascii="Verdana" w:hAnsi="Verdana"/>
          <w:sz w:val="15"/>
          <w:szCs w:val="15"/>
          <w:lang w:val="es-CO"/>
        </w:rPr>
      </w:pPr>
      <w:r w:rsidRPr="00B40D70">
        <w:rPr>
          <w:rFonts w:ascii="Verdana" w:hAnsi="Verdana"/>
          <w:sz w:val="15"/>
          <w:szCs w:val="15"/>
          <w:lang w:val="es-CO"/>
        </w:rPr>
        <w:t>a) El derecho de toda persona a la intimidad, bajo las limitaciones propias que impone la condición de servidor público, en concordancia con lo estipulado por el artículo 24 de la Ley 1437 de 2011; </w:t>
      </w:r>
    </w:p>
    <w:p w14:paraId="3C95CCBA" w14:textId="77777777" w:rsidR="0031491B" w:rsidRPr="00B40D70" w:rsidRDefault="0031491B" w:rsidP="0031491B">
      <w:pPr>
        <w:pStyle w:val="Textonotapie"/>
        <w:ind w:firstLine="708"/>
        <w:jc w:val="both"/>
        <w:rPr>
          <w:rFonts w:ascii="Verdana" w:hAnsi="Verdana"/>
          <w:sz w:val="15"/>
          <w:szCs w:val="15"/>
          <w:lang w:val="es-CO"/>
        </w:rPr>
      </w:pPr>
      <w:r w:rsidRPr="00B40D70">
        <w:rPr>
          <w:rFonts w:ascii="Verdana" w:hAnsi="Verdana"/>
          <w:sz w:val="15"/>
          <w:szCs w:val="15"/>
          <w:lang w:val="es-CO"/>
        </w:rPr>
        <w:t>b) El derecho de toda persona a la vida, la salud o la seguridad; </w:t>
      </w:r>
    </w:p>
    <w:p w14:paraId="59DBDA47" w14:textId="77777777" w:rsidR="0031491B" w:rsidRPr="00B40D70" w:rsidRDefault="0031491B" w:rsidP="0031491B">
      <w:pPr>
        <w:pStyle w:val="Textonotapie"/>
        <w:ind w:firstLine="708"/>
        <w:jc w:val="both"/>
        <w:rPr>
          <w:rFonts w:ascii="Verdana" w:hAnsi="Verdana"/>
          <w:sz w:val="15"/>
          <w:szCs w:val="15"/>
          <w:lang w:val="es-CO"/>
        </w:rPr>
      </w:pPr>
      <w:r w:rsidRPr="00B40D70">
        <w:rPr>
          <w:rFonts w:ascii="Verdana" w:hAnsi="Verdana"/>
          <w:sz w:val="15"/>
          <w:szCs w:val="15"/>
          <w:lang w:val="es-CO"/>
        </w:rPr>
        <w:t>c) Los secretos comerciales, industriales y profesionales, así como los estipulados en el parágrafo del artículo 77 de la Ley 1474 de 2011. </w:t>
      </w:r>
    </w:p>
    <w:p w14:paraId="6251C669" w14:textId="77777777" w:rsidR="0031491B" w:rsidRPr="00B40D70" w:rsidRDefault="0031491B" w:rsidP="0031491B">
      <w:pPr>
        <w:pStyle w:val="Textonotapie"/>
        <w:ind w:firstLine="708"/>
        <w:jc w:val="both"/>
        <w:rPr>
          <w:rFonts w:ascii="Verdana" w:hAnsi="Verdana"/>
          <w:sz w:val="15"/>
          <w:szCs w:val="15"/>
          <w:lang w:val="es-CO"/>
        </w:rPr>
      </w:pPr>
      <w:r w:rsidRPr="00B40D70">
        <w:rPr>
          <w:rFonts w:ascii="Verdana" w:hAnsi="Verdana"/>
          <w:sz w:val="15"/>
          <w:szCs w:val="15"/>
          <w:lang w:val="es-CO"/>
        </w:rPr>
        <w:t>Parágrafo. Estas excepciones tienen una duración ilimitada y no deberán aplicarse cuando la persona natural o jurídica ha consentido en la revelación de sus datos personales o privados o bien cuando es claro que la información fue entregada como parte de aquella información que debe estar bajo el régimen de publicidad aplicable.</w:t>
      </w:r>
    </w:p>
  </w:footnote>
  <w:footnote w:id="21">
    <w:p w14:paraId="76358435" w14:textId="77777777" w:rsidR="0031491B" w:rsidRPr="00B40D70" w:rsidRDefault="0031491B" w:rsidP="0031491B">
      <w:pPr>
        <w:pStyle w:val="Textonotapie"/>
        <w:ind w:firstLine="708"/>
        <w:rPr>
          <w:rFonts w:ascii="Verdana" w:hAnsi="Verdana"/>
          <w:sz w:val="15"/>
          <w:szCs w:val="15"/>
          <w:lang w:val="es-CO"/>
        </w:rPr>
      </w:pPr>
      <w:r w:rsidRPr="00B40D70">
        <w:rPr>
          <w:rStyle w:val="Refdenotaalpie"/>
          <w:rFonts w:ascii="Verdana" w:hAnsi="Verdana"/>
          <w:sz w:val="15"/>
          <w:szCs w:val="15"/>
        </w:rPr>
        <w:footnoteRef/>
      </w:r>
      <w:r w:rsidRPr="00B40D70">
        <w:rPr>
          <w:rFonts w:ascii="Verdana" w:hAnsi="Verdana"/>
          <w:sz w:val="15"/>
          <w:szCs w:val="15"/>
        </w:rPr>
        <w:t xml:space="preserve"> </w:t>
      </w:r>
      <w:r w:rsidRPr="00B40D70">
        <w:rPr>
          <w:rFonts w:ascii="Verdana" w:hAnsi="Verdana"/>
          <w:sz w:val="15"/>
          <w:szCs w:val="15"/>
          <w:lang w:val="es-CO"/>
        </w:rPr>
        <w:t>Artículo 19. </w:t>
      </w:r>
      <w:r w:rsidRPr="00B40D70">
        <w:rPr>
          <w:rFonts w:ascii="Verdana" w:hAnsi="Verdana"/>
          <w:i/>
          <w:iCs/>
          <w:sz w:val="15"/>
          <w:szCs w:val="15"/>
          <w:lang w:val="es-CO"/>
        </w:rPr>
        <w:t>Información exceptuada por daño a los intereses públicos. </w:t>
      </w:r>
      <w:r w:rsidRPr="00B40D70">
        <w:rPr>
          <w:rFonts w:ascii="Verdana" w:hAnsi="Verdana"/>
          <w:sz w:val="15"/>
          <w:szCs w:val="15"/>
          <w:lang w:val="es-CO"/>
        </w:rPr>
        <w:t>Es toda aquella información pública reservada, cuyo acceso podrá ser rechazado o denegado de manera motivada y por escrito en las siguientes circunstancias, siempre que dicho acceso estuviere expresamente prohibido por una norma legal o constitucional:  </w:t>
      </w:r>
    </w:p>
    <w:p w14:paraId="7E1DCBD4"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a) La defensa y seguridad nacional; </w:t>
      </w:r>
    </w:p>
    <w:p w14:paraId="5821777B"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b) La seguridad pública; </w:t>
      </w:r>
    </w:p>
    <w:p w14:paraId="16F18014"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c) Las relaciones internacionales; </w:t>
      </w:r>
    </w:p>
    <w:p w14:paraId="49CB434D"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d) La prevención, investigación y persecución de los delitos y las faltas disciplinarias, mientras que no se haga efectiva la medida de aseguramiento o se formule pliego de cargos, según el caso; </w:t>
      </w:r>
    </w:p>
    <w:p w14:paraId="15E1B81E"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e) El debido proceso y la igualdad de las partes en los procesos judiciales; </w:t>
      </w:r>
    </w:p>
    <w:p w14:paraId="0F6113E5"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f) La administración efectiva de la justicia; </w:t>
      </w:r>
    </w:p>
    <w:p w14:paraId="1A44E620"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g) Los derechos de la infancia y la adolescencia; </w:t>
      </w:r>
    </w:p>
    <w:p w14:paraId="603D1A5D"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h) La estabilidad macroeconómica y financiera del país; </w:t>
      </w:r>
    </w:p>
    <w:p w14:paraId="2329393B"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i) La salud pública. </w:t>
      </w:r>
    </w:p>
    <w:p w14:paraId="7F853EEF" w14:textId="77777777" w:rsidR="0031491B" w:rsidRPr="00B40D70" w:rsidRDefault="0031491B" w:rsidP="0031491B">
      <w:pPr>
        <w:pStyle w:val="Textonotapie"/>
        <w:ind w:firstLine="708"/>
        <w:rPr>
          <w:rFonts w:ascii="Verdana" w:hAnsi="Verdana"/>
          <w:sz w:val="15"/>
          <w:szCs w:val="15"/>
          <w:lang w:val="es-CO"/>
        </w:rPr>
      </w:pPr>
      <w:r w:rsidRPr="00B40D70">
        <w:rPr>
          <w:rFonts w:ascii="Verdana" w:hAnsi="Verdana"/>
          <w:sz w:val="15"/>
          <w:szCs w:val="15"/>
          <w:lang w:val="es-CO"/>
        </w:rPr>
        <w:t>Parágrafo. Se exceptúan también los documentos que contengan las opiniones o puntos de vista que formen parte del proceso deliberativo de los servidores públicos. </w:t>
      </w:r>
    </w:p>
  </w:footnote>
  <w:footnote w:id="22">
    <w:p w14:paraId="35CC4100" w14:textId="77777777" w:rsidR="0031491B" w:rsidRPr="00B40D70" w:rsidRDefault="0031491B" w:rsidP="0031491B">
      <w:pPr>
        <w:pStyle w:val="Textonotapie"/>
        <w:ind w:firstLine="709"/>
        <w:jc w:val="both"/>
        <w:rPr>
          <w:rFonts w:ascii="Verdana" w:hAnsi="Verdana"/>
          <w:sz w:val="15"/>
          <w:szCs w:val="15"/>
          <w:lang w:val="es-CO"/>
        </w:rPr>
      </w:pPr>
      <w:r w:rsidRPr="00B40D70">
        <w:rPr>
          <w:rStyle w:val="Refdenotaalpie"/>
          <w:sz w:val="15"/>
          <w:szCs w:val="15"/>
        </w:rPr>
        <w:footnoteRef/>
      </w:r>
      <w:r w:rsidRPr="00B40D70">
        <w:rPr>
          <w:sz w:val="15"/>
          <w:szCs w:val="15"/>
        </w:rPr>
        <w:t xml:space="preserve"> </w:t>
      </w:r>
      <w:r w:rsidRPr="00B40D70">
        <w:rPr>
          <w:rFonts w:ascii="Verdana" w:hAnsi="Verdana"/>
          <w:bCs/>
          <w:sz w:val="15"/>
          <w:szCs w:val="15"/>
          <w:lang w:val="es-CO"/>
        </w:rPr>
        <w:t>Artículo 24. </w:t>
      </w:r>
      <w:r w:rsidRPr="00B40D70">
        <w:rPr>
          <w:rFonts w:ascii="Verdana" w:hAnsi="Verdana"/>
          <w:bCs/>
          <w:i/>
          <w:iCs/>
          <w:sz w:val="15"/>
          <w:szCs w:val="15"/>
          <w:lang w:val="es-CO"/>
        </w:rPr>
        <w:t xml:space="preserve">Informaciones y documentos reservados. </w:t>
      </w:r>
      <w:r w:rsidRPr="00B40D70">
        <w:rPr>
          <w:rFonts w:ascii="Verdana" w:hAnsi="Verdana"/>
          <w:sz w:val="15"/>
          <w:szCs w:val="15"/>
          <w:lang w:val="es-CO"/>
        </w:rPr>
        <w:t>Solo tendrán carácter reservado las informaciones y documentos expresamente sometidos a reserva por la Constitución Política o la ley, y en especial:</w:t>
      </w:r>
    </w:p>
    <w:p w14:paraId="77E65F4F" w14:textId="77777777" w:rsidR="0031491B" w:rsidRPr="00B40D70" w:rsidRDefault="0031491B" w:rsidP="0031491B">
      <w:pPr>
        <w:pStyle w:val="Textonotapie"/>
        <w:ind w:firstLine="709"/>
        <w:jc w:val="both"/>
        <w:rPr>
          <w:rFonts w:ascii="Verdana" w:hAnsi="Verdana"/>
          <w:sz w:val="15"/>
          <w:szCs w:val="15"/>
          <w:lang w:val="es-CO"/>
        </w:rPr>
      </w:pPr>
      <w:r w:rsidRPr="00B40D70">
        <w:rPr>
          <w:rFonts w:ascii="Verdana" w:hAnsi="Verdana"/>
          <w:sz w:val="15"/>
          <w:szCs w:val="15"/>
          <w:lang w:val="es-CO"/>
        </w:rPr>
        <w:t>1. Los relacionados con la defensa o seguridad nacionales.</w:t>
      </w:r>
    </w:p>
    <w:p w14:paraId="5BE35062" w14:textId="77777777" w:rsidR="0031491B" w:rsidRPr="00B40D70" w:rsidRDefault="0031491B" w:rsidP="0031491B">
      <w:pPr>
        <w:pStyle w:val="Textonotapie"/>
        <w:ind w:firstLine="709"/>
        <w:jc w:val="both"/>
        <w:rPr>
          <w:rFonts w:ascii="Verdana" w:hAnsi="Verdana"/>
          <w:sz w:val="15"/>
          <w:szCs w:val="15"/>
          <w:lang w:val="es-CO"/>
        </w:rPr>
      </w:pPr>
      <w:r w:rsidRPr="00B40D70">
        <w:rPr>
          <w:rFonts w:ascii="Verdana" w:hAnsi="Verdana"/>
          <w:sz w:val="15"/>
          <w:szCs w:val="15"/>
          <w:lang w:val="es-CO"/>
        </w:rPr>
        <w:t>2. Las instrucciones en materia diplomática o sobre negociaciones reservadas.  </w:t>
      </w:r>
    </w:p>
    <w:p w14:paraId="3A8FB504" w14:textId="77777777" w:rsidR="0031491B" w:rsidRPr="00B40D70" w:rsidRDefault="0031491B" w:rsidP="0031491B">
      <w:pPr>
        <w:pStyle w:val="Textonotapie"/>
        <w:ind w:firstLine="709"/>
        <w:jc w:val="both"/>
        <w:rPr>
          <w:rFonts w:ascii="Verdana" w:hAnsi="Verdana"/>
          <w:sz w:val="15"/>
          <w:szCs w:val="15"/>
          <w:lang w:val="es-CO"/>
        </w:rPr>
      </w:pPr>
      <w:r w:rsidRPr="00B40D70">
        <w:rPr>
          <w:rFonts w:ascii="Verdana" w:hAnsi="Verdana"/>
          <w:sz w:val="15"/>
          <w:szCs w:val="15"/>
          <w:lang w:val="es-CO"/>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36202622" w14:textId="77777777" w:rsidR="0031491B" w:rsidRPr="00B40D70" w:rsidRDefault="0031491B" w:rsidP="0031491B">
      <w:pPr>
        <w:pStyle w:val="Textonotapie"/>
        <w:ind w:firstLine="709"/>
        <w:jc w:val="both"/>
        <w:rPr>
          <w:rFonts w:ascii="Verdana" w:hAnsi="Verdana"/>
          <w:sz w:val="15"/>
          <w:szCs w:val="15"/>
          <w:lang w:val="es-CO"/>
        </w:rPr>
      </w:pPr>
      <w:r w:rsidRPr="00B40D70">
        <w:rPr>
          <w:rFonts w:ascii="Verdana" w:hAnsi="Verdana"/>
          <w:sz w:val="15"/>
          <w:szCs w:val="15"/>
          <w:lang w:val="es-CO"/>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A63AB5D" w14:textId="77777777" w:rsidR="0031491B" w:rsidRPr="00B40D70" w:rsidRDefault="0031491B" w:rsidP="0031491B">
      <w:pPr>
        <w:pStyle w:val="Textonotapie"/>
        <w:ind w:firstLine="709"/>
        <w:jc w:val="both"/>
        <w:rPr>
          <w:rFonts w:ascii="Verdana" w:hAnsi="Verdana"/>
          <w:sz w:val="15"/>
          <w:szCs w:val="15"/>
          <w:lang w:val="es-CO"/>
        </w:rPr>
      </w:pPr>
      <w:r w:rsidRPr="00B40D70">
        <w:rPr>
          <w:rFonts w:ascii="Verdana" w:hAnsi="Verdana"/>
          <w:sz w:val="15"/>
          <w:szCs w:val="15"/>
          <w:lang w:val="es-CO"/>
        </w:rPr>
        <w:t>S. Los datos referentes a la información financiera y comercial, en los términos de la Ley Estatutaria 1266 de 2008.  </w:t>
      </w:r>
    </w:p>
    <w:p w14:paraId="2CB1CD6D" w14:textId="77777777" w:rsidR="0031491B" w:rsidRPr="00B40D70" w:rsidRDefault="0031491B" w:rsidP="0031491B">
      <w:pPr>
        <w:pStyle w:val="Textonotapie"/>
        <w:ind w:firstLine="709"/>
        <w:jc w:val="both"/>
        <w:rPr>
          <w:rFonts w:ascii="Verdana" w:hAnsi="Verdana"/>
          <w:sz w:val="15"/>
          <w:szCs w:val="15"/>
          <w:lang w:val="es-CO"/>
        </w:rPr>
      </w:pPr>
      <w:r w:rsidRPr="00B40D70">
        <w:rPr>
          <w:rFonts w:ascii="Verdana" w:hAnsi="Verdana"/>
          <w:sz w:val="15"/>
          <w:szCs w:val="15"/>
          <w:lang w:val="es-CO"/>
        </w:rPr>
        <w:t>6. Los protegidos por el secreto comercial o industrial, así como los planes estratégicos de las empresas públicas de servicios públicos.  </w:t>
      </w:r>
    </w:p>
    <w:p w14:paraId="3C22A2BE" w14:textId="77777777" w:rsidR="0031491B" w:rsidRPr="00B40D70" w:rsidRDefault="0031491B" w:rsidP="0031491B">
      <w:pPr>
        <w:pStyle w:val="Textonotapie"/>
        <w:ind w:firstLine="709"/>
        <w:jc w:val="both"/>
        <w:rPr>
          <w:rFonts w:ascii="Verdana" w:hAnsi="Verdana"/>
          <w:sz w:val="15"/>
          <w:szCs w:val="15"/>
          <w:lang w:val="es-CO"/>
        </w:rPr>
      </w:pPr>
      <w:r w:rsidRPr="00B40D70">
        <w:rPr>
          <w:rFonts w:ascii="Verdana" w:hAnsi="Verdana"/>
          <w:sz w:val="15"/>
          <w:szCs w:val="15"/>
          <w:lang w:val="es-CO"/>
        </w:rPr>
        <w:t>7. Los amparados por el secreto profesional.  </w:t>
      </w:r>
    </w:p>
    <w:p w14:paraId="17CA2C31" w14:textId="77777777" w:rsidR="0031491B" w:rsidRPr="00B40D70" w:rsidRDefault="0031491B" w:rsidP="0031491B">
      <w:pPr>
        <w:pStyle w:val="Textonotapie"/>
        <w:ind w:firstLine="709"/>
        <w:jc w:val="both"/>
        <w:rPr>
          <w:rFonts w:ascii="Verdana" w:hAnsi="Verdana"/>
          <w:sz w:val="15"/>
          <w:szCs w:val="15"/>
          <w:lang w:val="es-CO"/>
        </w:rPr>
      </w:pPr>
      <w:r w:rsidRPr="00B40D70">
        <w:rPr>
          <w:rFonts w:ascii="Verdana" w:hAnsi="Verdana"/>
          <w:sz w:val="15"/>
          <w:szCs w:val="15"/>
          <w:lang w:val="es-CO"/>
        </w:rPr>
        <w:t>8. Los datos genéticos humanos.  </w:t>
      </w:r>
    </w:p>
    <w:p w14:paraId="420E0D1F" w14:textId="77777777" w:rsidR="0031491B" w:rsidRPr="00B40D70" w:rsidRDefault="0031491B" w:rsidP="0031491B">
      <w:pPr>
        <w:pStyle w:val="Textonotapie"/>
        <w:ind w:firstLine="709"/>
        <w:jc w:val="both"/>
        <w:rPr>
          <w:sz w:val="15"/>
          <w:szCs w:val="15"/>
          <w:lang w:val="es-CO"/>
        </w:rPr>
      </w:pPr>
      <w:r w:rsidRPr="00B40D70">
        <w:rPr>
          <w:rFonts w:ascii="Verdana" w:hAnsi="Verdana"/>
          <w:bCs/>
          <w:sz w:val="15"/>
          <w:szCs w:val="15"/>
          <w:lang w:val="es-CO"/>
        </w:rPr>
        <w:t>Parágrafo.</w:t>
      </w:r>
      <w:r w:rsidRPr="00B40D70">
        <w:rPr>
          <w:rFonts w:ascii="Verdana" w:hAnsi="Verdana"/>
          <w:sz w:val="15"/>
          <w:szCs w:val="15"/>
          <w:lang w:val="es-CO"/>
        </w:rPr>
        <w:t>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23">
    <w:p w14:paraId="301A3661" w14:textId="77777777" w:rsidR="0031491B" w:rsidRPr="00B40D70" w:rsidRDefault="0031491B" w:rsidP="0031491B">
      <w:pPr>
        <w:pStyle w:val="Textonotapie"/>
        <w:ind w:firstLine="708"/>
        <w:jc w:val="both"/>
        <w:rPr>
          <w:rFonts w:ascii="Verdana" w:eastAsia="Calibri" w:hAnsi="Verdana" w:cs="Arial"/>
          <w:color w:val="000000"/>
          <w:sz w:val="15"/>
          <w:szCs w:val="15"/>
        </w:rPr>
      </w:pPr>
      <w:r w:rsidRPr="00B40D70">
        <w:rPr>
          <w:rStyle w:val="Refdenotaalpie"/>
          <w:rFonts w:ascii="Verdana" w:hAnsi="Verdana" w:cs="Arial"/>
          <w:sz w:val="15"/>
          <w:szCs w:val="15"/>
        </w:rPr>
        <w:footnoteRef/>
      </w:r>
      <w:r w:rsidRPr="00B40D70">
        <w:rPr>
          <w:rFonts w:ascii="Verdana" w:hAnsi="Verdana" w:cs="Arial"/>
          <w:sz w:val="15"/>
          <w:szCs w:val="15"/>
        </w:rPr>
        <w:t xml:space="preserve"> </w:t>
      </w:r>
      <w:r w:rsidRPr="00B40D70">
        <w:rPr>
          <w:rFonts w:ascii="Verdana" w:eastAsia="Calibri" w:hAnsi="Verdana" w:cs="Arial"/>
          <w:color w:val="000000"/>
          <w:sz w:val="15"/>
          <w:szCs w:val="15"/>
        </w:rPr>
        <w:t>La Sección Tercera del Consejo de Estado, en sentencia del 27 de marzo de 2008. Exp. 29.393, C. P. Ruth Stella Correa Palacio, consideró: “[L]a seguridad y la defensa nacional constituyen sin lugar a dudas presupuesto material de la vigencia efectiva del orden constitucional. Sin embargo no existe norma alguna que defina estos vocablos. Se trata de conceptos que tienen distintas significaciones, en tanto varias nociones los informan. En el caso de la seguridad, además, esta acusa cierto grado de relatividad según la ‘intensidad en los antagonismos’, se trata igualmente de un ‘concepto dinámico’ que impone la actualización de mecanismos para su efectividad y que encuentra significado en los objetivos que se propone alcanzar el Estado en una época determinada. Noción a la vez relativa y coyuntural, merced a que su contenido jurídico no es inmutable sino que necesariamente sufre constantes transformaciones. En tanto ‘noción ambigua’ es difícil de definir la seguridad, pues depende del entorno de cada país (en Canadá por ejemplo suele ser asociada a ‘estabilidad económica’). Con todo, y aunque se trate de una noción en constante cambio según cada país, conviene agregar que se trata del concepto base sobre el que se construye la estrategia para proteger a los ciudadanos”.</w:t>
      </w:r>
    </w:p>
    <w:p w14:paraId="78A4F217" w14:textId="77777777" w:rsidR="0031491B" w:rsidRPr="00B40D70" w:rsidRDefault="0031491B" w:rsidP="0031491B">
      <w:pPr>
        <w:pStyle w:val="Textonotapie"/>
        <w:ind w:firstLine="708"/>
        <w:jc w:val="both"/>
        <w:rPr>
          <w:rFonts w:ascii="Verdana" w:eastAsia="Calibri" w:hAnsi="Verdana" w:cs="Arial"/>
          <w:color w:val="000000"/>
          <w:sz w:val="15"/>
          <w:szCs w:val="15"/>
        </w:rPr>
      </w:pPr>
    </w:p>
  </w:footnote>
  <w:footnote w:id="24">
    <w:p w14:paraId="6AE847CD" w14:textId="77777777" w:rsidR="0031491B" w:rsidRPr="00B40D70" w:rsidRDefault="0031491B" w:rsidP="0031491B">
      <w:pPr>
        <w:pStyle w:val="Textonotapie"/>
        <w:ind w:firstLine="708"/>
        <w:jc w:val="both"/>
        <w:rPr>
          <w:sz w:val="15"/>
          <w:szCs w:val="15"/>
        </w:rPr>
      </w:pPr>
      <w:r w:rsidRPr="00B40D70">
        <w:rPr>
          <w:rStyle w:val="Refdenotaalpie"/>
          <w:rFonts w:ascii="Verdana" w:hAnsi="Verdana"/>
          <w:sz w:val="15"/>
          <w:szCs w:val="15"/>
        </w:rPr>
        <w:footnoteRef/>
      </w:r>
      <w:r w:rsidRPr="00B40D70">
        <w:rPr>
          <w:rFonts w:ascii="Verdana" w:hAnsi="Verdana"/>
          <w:sz w:val="15"/>
          <w:szCs w:val="15"/>
        </w:rPr>
        <w:t xml:space="preserve"> </w:t>
      </w:r>
      <w:r w:rsidRPr="00B40D70">
        <w:rPr>
          <w:rFonts w:ascii="Verdana" w:hAnsi="Verdana"/>
          <w:sz w:val="15"/>
          <w:szCs w:val="15"/>
          <w:lang w:val="es-ES"/>
        </w:rPr>
        <w:t xml:space="preserve">Consejo de Estado. Sección Tercera. Sala Plena. Sentencia del 23 de julio de 2015. C.P. Hernán Andrade Rincón. Expediente: </w:t>
      </w:r>
      <w:r w:rsidRPr="00B40D70">
        <w:rPr>
          <w:rFonts w:ascii="Verdana" w:hAnsi="Verdana"/>
          <w:sz w:val="15"/>
          <w:szCs w:val="15"/>
          <w:lang w:val="es-ES_tradnl"/>
        </w:rPr>
        <w:t>36805.</w:t>
      </w:r>
    </w:p>
  </w:footnote>
  <w:footnote w:id="25">
    <w:p w14:paraId="6C176F98" w14:textId="77777777" w:rsidR="0031491B" w:rsidRPr="00B40D70" w:rsidRDefault="0031491B" w:rsidP="0031491B">
      <w:pPr>
        <w:pStyle w:val="Textonotapie"/>
        <w:ind w:firstLine="708"/>
        <w:jc w:val="both"/>
        <w:rPr>
          <w:rFonts w:ascii="Verdana" w:hAnsi="Verdana"/>
          <w:sz w:val="15"/>
          <w:szCs w:val="15"/>
        </w:rPr>
      </w:pPr>
      <w:r w:rsidRPr="00B40D70">
        <w:rPr>
          <w:rStyle w:val="Refdenotaalpie"/>
          <w:rFonts w:ascii="Verdana" w:hAnsi="Verdana"/>
          <w:sz w:val="15"/>
          <w:szCs w:val="15"/>
        </w:rPr>
        <w:footnoteRef/>
      </w:r>
      <w:r w:rsidRPr="00B40D70">
        <w:rPr>
          <w:rFonts w:ascii="Verdana" w:hAnsi="Verdana"/>
          <w:sz w:val="15"/>
          <w:szCs w:val="15"/>
          <w:lang w:val="es-ES"/>
        </w:rPr>
        <w:t xml:space="preserve"> Constitución Política, artículo 315, numeral 2: “Conservar el orden público en el municipio, de conformidad con la ley y las instrucciones y órdenes que reciba del Presidente de la República y del respectivo gobernador. El alcalde es la primera autoridad de policía del municipio. La Policía Nacional cumplirá con prontitud y diligencia las órdenes que le imparta el alcalde por conducto del respectivo comandante”.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62C6F08"/>
    <w:multiLevelType w:val="hybridMultilevel"/>
    <w:tmpl w:val="1A3E4554"/>
    <w:lvl w:ilvl="0" w:tplc="F052FAF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4869927">
    <w:abstractNumId w:val="7"/>
  </w:num>
  <w:num w:numId="2" w16cid:durableId="1679043163">
    <w:abstractNumId w:val="2"/>
  </w:num>
  <w:num w:numId="3" w16cid:durableId="721825068">
    <w:abstractNumId w:val="5"/>
  </w:num>
  <w:num w:numId="4" w16cid:durableId="18310998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6137640">
    <w:abstractNumId w:val="2"/>
  </w:num>
  <w:num w:numId="6" w16cid:durableId="569776655">
    <w:abstractNumId w:val="16"/>
  </w:num>
  <w:num w:numId="7" w16cid:durableId="1312059012">
    <w:abstractNumId w:val="6"/>
  </w:num>
  <w:num w:numId="8" w16cid:durableId="2026008029">
    <w:abstractNumId w:val="15"/>
  </w:num>
  <w:num w:numId="9" w16cid:durableId="2099867316">
    <w:abstractNumId w:val="9"/>
  </w:num>
  <w:num w:numId="10" w16cid:durableId="837158844">
    <w:abstractNumId w:val="14"/>
  </w:num>
  <w:num w:numId="11" w16cid:durableId="1490363418">
    <w:abstractNumId w:val="10"/>
  </w:num>
  <w:num w:numId="12" w16cid:durableId="2058774802">
    <w:abstractNumId w:val="1"/>
  </w:num>
  <w:num w:numId="13" w16cid:durableId="967201648">
    <w:abstractNumId w:val="3"/>
  </w:num>
  <w:num w:numId="14" w16cid:durableId="1045330939">
    <w:abstractNumId w:val="17"/>
  </w:num>
  <w:num w:numId="15" w16cid:durableId="1154832368">
    <w:abstractNumId w:val="13"/>
  </w:num>
  <w:num w:numId="16" w16cid:durableId="1511411592">
    <w:abstractNumId w:val="0"/>
  </w:num>
  <w:num w:numId="17" w16cid:durableId="1282030367">
    <w:abstractNumId w:val="11"/>
  </w:num>
  <w:num w:numId="18" w16cid:durableId="74788305">
    <w:abstractNumId w:val="4"/>
  </w:num>
  <w:num w:numId="19" w16cid:durableId="399910336">
    <w:abstractNumId w:val="8"/>
  </w:num>
  <w:num w:numId="20" w16cid:durableId="1532558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6F78"/>
    <w:rsid w:val="00031D68"/>
    <w:rsid w:val="00046945"/>
    <w:rsid w:val="000535E9"/>
    <w:rsid w:val="00061B2A"/>
    <w:rsid w:val="00064880"/>
    <w:rsid w:val="0006532D"/>
    <w:rsid w:val="00077FC6"/>
    <w:rsid w:val="00082362"/>
    <w:rsid w:val="00082F5C"/>
    <w:rsid w:val="00086F05"/>
    <w:rsid w:val="0009585C"/>
    <w:rsid w:val="000A1417"/>
    <w:rsid w:val="000A683E"/>
    <w:rsid w:val="000B19B9"/>
    <w:rsid w:val="000B418E"/>
    <w:rsid w:val="000C0086"/>
    <w:rsid w:val="000C04CE"/>
    <w:rsid w:val="000C20B2"/>
    <w:rsid w:val="000C35F5"/>
    <w:rsid w:val="000D0334"/>
    <w:rsid w:val="000D5DA7"/>
    <w:rsid w:val="000E49DB"/>
    <w:rsid w:val="000E761B"/>
    <w:rsid w:val="000E7D3E"/>
    <w:rsid w:val="000F6486"/>
    <w:rsid w:val="000F7920"/>
    <w:rsid w:val="00100688"/>
    <w:rsid w:val="00104937"/>
    <w:rsid w:val="00113479"/>
    <w:rsid w:val="001141C8"/>
    <w:rsid w:val="0011522F"/>
    <w:rsid w:val="001155DF"/>
    <w:rsid w:val="00116940"/>
    <w:rsid w:val="00125105"/>
    <w:rsid w:val="00127233"/>
    <w:rsid w:val="001371CF"/>
    <w:rsid w:val="0014242F"/>
    <w:rsid w:val="00145082"/>
    <w:rsid w:val="001465A6"/>
    <w:rsid w:val="00146F78"/>
    <w:rsid w:val="00155AC5"/>
    <w:rsid w:val="0015699B"/>
    <w:rsid w:val="00161169"/>
    <w:rsid w:val="0016531D"/>
    <w:rsid w:val="00175806"/>
    <w:rsid w:val="00197E62"/>
    <w:rsid w:val="001A33BF"/>
    <w:rsid w:val="001A7908"/>
    <w:rsid w:val="001B5486"/>
    <w:rsid w:val="001E3C75"/>
    <w:rsid w:val="001E4177"/>
    <w:rsid w:val="001F02FF"/>
    <w:rsid w:val="001F0B24"/>
    <w:rsid w:val="001F3C80"/>
    <w:rsid w:val="001F77DC"/>
    <w:rsid w:val="001F7DC6"/>
    <w:rsid w:val="002055CF"/>
    <w:rsid w:val="0021426F"/>
    <w:rsid w:val="0022361B"/>
    <w:rsid w:val="0022400B"/>
    <w:rsid w:val="002259C3"/>
    <w:rsid w:val="00230CF1"/>
    <w:rsid w:val="002410C7"/>
    <w:rsid w:val="002421BB"/>
    <w:rsid w:val="0025796E"/>
    <w:rsid w:val="0026315F"/>
    <w:rsid w:val="002707A2"/>
    <w:rsid w:val="0029095E"/>
    <w:rsid w:val="002951A0"/>
    <w:rsid w:val="002962BC"/>
    <w:rsid w:val="00297591"/>
    <w:rsid w:val="002975E1"/>
    <w:rsid w:val="002A093D"/>
    <w:rsid w:val="002A0DD0"/>
    <w:rsid w:val="002A49AC"/>
    <w:rsid w:val="002A64FD"/>
    <w:rsid w:val="002B29D7"/>
    <w:rsid w:val="002B2D28"/>
    <w:rsid w:val="002B2DC2"/>
    <w:rsid w:val="002C5EF4"/>
    <w:rsid w:val="002C7A84"/>
    <w:rsid w:val="002E09B3"/>
    <w:rsid w:val="002E2BF8"/>
    <w:rsid w:val="002E4FD9"/>
    <w:rsid w:val="002F482F"/>
    <w:rsid w:val="002F50CD"/>
    <w:rsid w:val="0030657A"/>
    <w:rsid w:val="00311B03"/>
    <w:rsid w:val="0031491B"/>
    <w:rsid w:val="00322A85"/>
    <w:rsid w:val="00324168"/>
    <w:rsid w:val="00326E74"/>
    <w:rsid w:val="00330834"/>
    <w:rsid w:val="00331E39"/>
    <w:rsid w:val="003361DA"/>
    <w:rsid w:val="003448F4"/>
    <w:rsid w:val="00350544"/>
    <w:rsid w:val="00355A91"/>
    <w:rsid w:val="00360C73"/>
    <w:rsid w:val="003723A0"/>
    <w:rsid w:val="00374B6B"/>
    <w:rsid w:val="00374D66"/>
    <w:rsid w:val="00374F5E"/>
    <w:rsid w:val="003778EA"/>
    <w:rsid w:val="00377E3E"/>
    <w:rsid w:val="00394FDD"/>
    <w:rsid w:val="0039657C"/>
    <w:rsid w:val="003A779E"/>
    <w:rsid w:val="003B0355"/>
    <w:rsid w:val="003B3419"/>
    <w:rsid w:val="003C37E1"/>
    <w:rsid w:val="003D044F"/>
    <w:rsid w:val="003D0F4D"/>
    <w:rsid w:val="003D2041"/>
    <w:rsid w:val="003D5AFD"/>
    <w:rsid w:val="003D5B0D"/>
    <w:rsid w:val="003E0499"/>
    <w:rsid w:val="003E0971"/>
    <w:rsid w:val="003E2B0B"/>
    <w:rsid w:val="003E2F4C"/>
    <w:rsid w:val="003E4F80"/>
    <w:rsid w:val="003E6439"/>
    <w:rsid w:val="003F3941"/>
    <w:rsid w:val="00402D8A"/>
    <w:rsid w:val="00404CEC"/>
    <w:rsid w:val="00406575"/>
    <w:rsid w:val="0040707D"/>
    <w:rsid w:val="0041294F"/>
    <w:rsid w:val="00414C74"/>
    <w:rsid w:val="004155AC"/>
    <w:rsid w:val="00417021"/>
    <w:rsid w:val="00422382"/>
    <w:rsid w:val="0042722E"/>
    <w:rsid w:val="00433C4C"/>
    <w:rsid w:val="0044528D"/>
    <w:rsid w:val="00466E39"/>
    <w:rsid w:val="004734C7"/>
    <w:rsid w:val="0047708B"/>
    <w:rsid w:val="00490F1D"/>
    <w:rsid w:val="004A1847"/>
    <w:rsid w:val="004A1D39"/>
    <w:rsid w:val="004A305D"/>
    <w:rsid w:val="004A6A6C"/>
    <w:rsid w:val="004B0C48"/>
    <w:rsid w:val="004B7467"/>
    <w:rsid w:val="004C786B"/>
    <w:rsid w:val="004D606B"/>
    <w:rsid w:val="004D6D1E"/>
    <w:rsid w:val="004D6F7C"/>
    <w:rsid w:val="004E53E7"/>
    <w:rsid w:val="004F21C4"/>
    <w:rsid w:val="004F4D33"/>
    <w:rsid w:val="004F685F"/>
    <w:rsid w:val="00510C7F"/>
    <w:rsid w:val="005139E6"/>
    <w:rsid w:val="00515854"/>
    <w:rsid w:val="0052318B"/>
    <w:rsid w:val="00526C7B"/>
    <w:rsid w:val="0055546F"/>
    <w:rsid w:val="005554E3"/>
    <w:rsid w:val="005566E8"/>
    <w:rsid w:val="00574867"/>
    <w:rsid w:val="00577CF3"/>
    <w:rsid w:val="00587F46"/>
    <w:rsid w:val="00591460"/>
    <w:rsid w:val="005A08A5"/>
    <w:rsid w:val="005A65E0"/>
    <w:rsid w:val="005C1412"/>
    <w:rsid w:val="005C1689"/>
    <w:rsid w:val="005C3777"/>
    <w:rsid w:val="005C5CDC"/>
    <w:rsid w:val="005D24A8"/>
    <w:rsid w:val="005D476C"/>
    <w:rsid w:val="005E4484"/>
    <w:rsid w:val="006026DF"/>
    <w:rsid w:val="00602EC7"/>
    <w:rsid w:val="006113DD"/>
    <w:rsid w:val="006200BF"/>
    <w:rsid w:val="006219F8"/>
    <w:rsid w:val="0062667E"/>
    <w:rsid w:val="006302F7"/>
    <w:rsid w:val="00633222"/>
    <w:rsid w:val="006440B1"/>
    <w:rsid w:val="006462A5"/>
    <w:rsid w:val="00646B9F"/>
    <w:rsid w:val="00656DAE"/>
    <w:rsid w:val="00665D70"/>
    <w:rsid w:val="00675D24"/>
    <w:rsid w:val="00676B4E"/>
    <w:rsid w:val="00680A44"/>
    <w:rsid w:val="00683371"/>
    <w:rsid w:val="006864DC"/>
    <w:rsid w:val="006873C4"/>
    <w:rsid w:val="006900D9"/>
    <w:rsid w:val="006A2A09"/>
    <w:rsid w:val="006A6E2F"/>
    <w:rsid w:val="006B03B6"/>
    <w:rsid w:val="006B404B"/>
    <w:rsid w:val="006D3F70"/>
    <w:rsid w:val="006F1F72"/>
    <w:rsid w:val="006F699B"/>
    <w:rsid w:val="007043FF"/>
    <w:rsid w:val="007059A3"/>
    <w:rsid w:val="00706880"/>
    <w:rsid w:val="00706C16"/>
    <w:rsid w:val="00710AEF"/>
    <w:rsid w:val="007172F3"/>
    <w:rsid w:val="00722AE9"/>
    <w:rsid w:val="00731FF5"/>
    <w:rsid w:val="007340C3"/>
    <w:rsid w:val="007340E6"/>
    <w:rsid w:val="0075235A"/>
    <w:rsid w:val="00756841"/>
    <w:rsid w:val="007642BC"/>
    <w:rsid w:val="007649AB"/>
    <w:rsid w:val="00770BB4"/>
    <w:rsid w:val="00771D0C"/>
    <w:rsid w:val="007833AC"/>
    <w:rsid w:val="007A736C"/>
    <w:rsid w:val="007B268C"/>
    <w:rsid w:val="007B7171"/>
    <w:rsid w:val="007C072B"/>
    <w:rsid w:val="007C0C0F"/>
    <w:rsid w:val="007C3DC2"/>
    <w:rsid w:val="007C49B4"/>
    <w:rsid w:val="007C67A0"/>
    <w:rsid w:val="007E5497"/>
    <w:rsid w:val="007F2C86"/>
    <w:rsid w:val="007F6C31"/>
    <w:rsid w:val="008029E1"/>
    <w:rsid w:val="00803064"/>
    <w:rsid w:val="00806F5F"/>
    <w:rsid w:val="00820278"/>
    <w:rsid w:val="008258C9"/>
    <w:rsid w:val="00831D69"/>
    <w:rsid w:val="00841ECF"/>
    <w:rsid w:val="00844AE9"/>
    <w:rsid w:val="0084772E"/>
    <w:rsid w:val="00847BED"/>
    <w:rsid w:val="0085193E"/>
    <w:rsid w:val="00867F95"/>
    <w:rsid w:val="0087597E"/>
    <w:rsid w:val="00876F35"/>
    <w:rsid w:val="008843B6"/>
    <w:rsid w:val="00891928"/>
    <w:rsid w:val="00894FE6"/>
    <w:rsid w:val="0089690B"/>
    <w:rsid w:val="008A446D"/>
    <w:rsid w:val="008B25F1"/>
    <w:rsid w:val="008B2850"/>
    <w:rsid w:val="008B7454"/>
    <w:rsid w:val="008C0831"/>
    <w:rsid w:val="008C68BF"/>
    <w:rsid w:val="008D180B"/>
    <w:rsid w:val="008F0EA7"/>
    <w:rsid w:val="008F338F"/>
    <w:rsid w:val="008F6576"/>
    <w:rsid w:val="008F6EFB"/>
    <w:rsid w:val="00907362"/>
    <w:rsid w:val="00912E7E"/>
    <w:rsid w:val="00916FE4"/>
    <w:rsid w:val="00923EEF"/>
    <w:rsid w:val="00934025"/>
    <w:rsid w:val="00940B9A"/>
    <w:rsid w:val="009419F9"/>
    <w:rsid w:val="00954B1C"/>
    <w:rsid w:val="0095685E"/>
    <w:rsid w:val="00961B09"/>
    <w:rsid w:val="00964A84"/>
    <w:rsid w:val="00965334"/>
    <w:rsid w:val="0097093E"/>
    <w:rsid w:val="00977294"/>
    <w:rsid w:val="00990BEC"/>
    <w:rsid w:val="00992C7B"/>
    <w:rsid w:val="00993A0E"/>
    <w:rsid w:val="009A0DFA"/>
    <w:rsid w:val="009A1C6F"/>
    <w:rsid w:val="009A761D"/>
    <w:rsid w:val="009B275A"/>
    <w:rsid w:val="009B2D26"/>
    <w:rsid w:val="009B58F5"/>
    <w:rsid w:val="009C23FA"/>
    <w:rsid w:val="009C71FA"/>
    <w:rsid w:val="009C72E7"/>
    <w:rsid w:val="009C7F7E"/>
    <w:rsid w:val="009D3058"/>
    <w:rsid w:val="009E3703"/>
    <w:rsid w:val="009E3E70"/>
    <w:rsid w:val="009E5249"/>
    <w:rsid w:val="009E6FFC"/>
    <w:rsid w:val="009F24E8"/>
    <w:rsid w:val="009F3A13"/>
    <w:rsid w:val="00A122D3"/>
    <w:rsid w:val="00A14468"/>
    <w:rsid w:val="00A14941"/>
    <w:rsid w:val="00A17F13"/>
    <w:rsid w:val="00A20739"/>
    <w:rsid w:val="00A23AF9"/>
    <w:rsid w:val="00A339CB"/>
    <w:rsid w:val="00A33C78"/>
    <w:rsid w:val="00A3751E"/>
    <w:rsid w:val="00A42A4C"/>
    <w:rsid w:val="00A45838"/>
    <w:rsid w:val="00A636BF"/>
    <w:rsid w:val="00A75B7F"/>
    <w:rsid w:val="00AA475C"/>
    <w:rsid w:val="00AA6E8E"/>
    <w:rsid w:val="00AB0ADB"/>
    <w:rsid w:val="00AB1573"/>
    <w:rsid w:val="00AB3756"/>
    <w:rsid w:val="00AD01D8"/>
    <w:rsid w:val="00AD2E94"/>
    <w:rsid w:val="00AE3C2D"/>
    <w:rsid w:val="00B00C0E"/>
    <w:rsid w:val="00B01B1A"/>
    <w:rsid w:val="00B0381D"/>
    <w:rsid w:val="00B039CC"/>
    <w:rsid w:val="00B1219D"/>
    <w:rsid w:val="00B2384E"/>
    <w:rsid w:val="00B24119"/>
    <w:rsid w:val="00B44A47"/>
    <w:rsid w:val="00B72CD3"/>
    <w:rsid w:val="00B72FFF"/>
    <w:rsid w:val="00B7581F"/>
    <w:rsid w:val="00B87C32"/>
    <w:rsid w:val="00B9485E"/>
    <w:rsid w:val="00B95CDA"/>
    <w:rsid w:val="00BA2C06"/>
    <w:rsid w:val="00BA3116"/>
    <w:rsid w:val="00BA37B6"/>
    <w:rsid w:val="00BA3D59"/>
    <w:rsid w:val="00BA6726"/>
    <w:rsid w:val="00BB378A"/>
    <w:rsid w:val="00BB56A1"/>
    <w:rsid w:val="00BC3D36"/>
    <w:rsid w:val="00BD4373"/>
    <w:rsid w:val="00BD54A6"/>
    <w:rsid w:val="00BD7F72"/>
    <w:rsid w:val="00BE49C0"/>
    <w:rsid w:val="00BF39F0"/>
    <w:rsid w:val="00BF7425"/>
    <w:rsid w:val="00C04FB3"/>
    <w:rsid w:val="00C11D8B"/>
    <w:rsid w:val="00C15139"/>
    <w:rsid w:val="00C2341F"/>
    <w:rsid w:val="00C3126E"/>
    <w:rsid w:val="00C330EB"/>
    <w:rsid w:val="00C354D7"/>
    <w:rsid w:val="00C42028"/>
    <w:rsid w:val="00C50D69"/>
    <w:rsid w:val="00C5365C"/>
    <w:rsid w:val="00C5699F"/>
    <w:rsid w:val="00C7239C"/>
    <w:rsid w:val="00C723B9"/>
    <w:rsid w:val="00C754BE"/>
    <w:rsid w:val="00C76B1C"/>
    <w:rsid w:val="00C9136D"/>
    <w:rsid w:val="00C925AC"/>
    <w:rsid w:val="00CA4800"/>
    <w:rsid w:val="00CB28F3"/>
    <w:rsid w:val="00CB6357"/>
    <w:rsid w:val="00CB7EA9"/>
    <w:rsid w:val="00CC1B26"/>
    <w:rsid w:val="00D02CEA"/>
    <w:rsid w:val="00D12C0E"/>
    <w:rsid w:val="00D361FD"/>
    <w:rsid w:val="00D3708F"/>
    <w:rsid w:val="00D423A2"/>
    <w:rsid w:val="00D44E26"/>
    <w:rsid w:val="00D451EF"/>
    <w:rsid w:val="00D47C86"/>
    <w:rsid w:val="00D50246"/>
    <w:rsid w:val="00D520D8"/>
    <w:rsid w:val="00D63AC2"/>
    <w:rsid w:val="00D7383B"/>
    <w:rsid w:val="00D7788A"/>
    <w:rsid w:val="00D81973"/>
    <w:rsid w:val="00DA231B"/>
    <w:rsid w:val="00DC0E7B"/>
    <w:rsid w:val="00DC39FC"/>
    <w:rsid w:val="00DE5C1C"/>
    <w:rsid w:val="00DF5254"/>
    <w:rsid w:val="00DF5956"/>
    <w:rsid w:val="00E02524"/>
    <w:rsid w:val="00E02658"/>
    <w:rsid w:val="00E07C6C"/>
    <w:rsid w:val="00E16408"/>
    <w:rsid w:val="00E20894"/>
    <w:rsid w:val="00E245AB"/>
    <w:rsid w:val="00E2764C"/>
    <w:rsid w:val="00E27F2E"/>
    <w:rsid w:val="00E433AA"/>
    <w:rsid w:val="00E46975"/>
    <w:rsid w:val="00E50AFE"/>
    <w:rsid w:val="00E575BD"/>
    <w:rsid w:val="00E73031"/>
    <w:rsid w:val="00E75C92"/>
    <w:rsid w:val="00E771DC"/>
    <w:rsid w:val="00E862BD"/>
    <w:rsid w:val="00E86B2C"/>
    <w:rsid w:val="00E8772A"/>
    <w:rsid w:val="00E90F6B"/>
    <w:rsid w:val="00E925F7"/>
    <w:rsid w:val="00E92C27"/>
    <w:rsid w:val="00E954B4"/>
    <w:rsid w:val="00EA0E3D"/>
    <w:rsid w:val="00EA2D1C"/>
    <w:rsid w:val="00EB173B"/>
    <w:rsid w:val="00EC38A7"/>
    <w:rsid w:val="00EE1AA8"/>
    <w:rsid w:val="00EE20B6"/>
    <w:rsid w:val="00EE6981"/>
    <w:rsid w:val="00EF1024"/>
    <w:rsid w:val="00EF5522"/>
    <w:rsid w:val="00F04DB8"/>
    <w:rsid w:val="00F06575"/>
    <w:rsid w:val="00F074D0"/>
    <w:rsid w:val="00F157C6"/>
    <w:rsid w:val="00F206B3"/>
    <w:rsid w:val="00F23FEA"/>
    <w:rsid w:val="00F313AA"/>
    <w:rsid w:val="00F31EDC"/>
    <w:rsid w:val="00F370ED"/>
    <w:rsid w:val="00F4371B"/>
    <w:rsid w:val="00F462B3"/>
    <w:rsid w:val="00F47ABE"/>
    <w:rsid w:val="00F526C2"/>
    <w:rsid w:val="00F54439"/>
    <w:rsid w:val="00F5664F"/>
    <w:rsid w:val="00F621F4"/>
    <w:rsid w:val="00F666C4"/>
    <w:rsid w:val="00F76AFC"/>
    <w:rsid w:val="00F844F9"/>
    <w:rsid w:val="00F8740A"/>
    <w:rsid w:val="00F91B6A"/>
    <w:rsid w:val="00F93E53"/>
    <w:rsid w:val="00F9748F"/>
    <w:rsid w:val="00FA2659"/>
    <w:rsid w:val="00FA47C0"/>
    <w:rsid w:val="00FB070A"/>
    <w:rsid w:val="00FB5DD1"/>
    <w:rsid w:val="00FB7203"/>
    <w:rsid w:val="00FC0A94"/>
    <w:rsid w:val="00FC2B5D"/>
    <w:rsid w:val="00FC3743"/>
    <w:rsid w:val="00FC6F9B"/>
    <w:rsid w:val="00FD7D41"/>
    <w:rsid w:val="00FE1357"/>
    <w:rsid w:val="00FE1A22"/>
    <w:rsid w:val="00FE25B7"/>
    <w:rsid w:val="00FE51C5"/>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0BB5D8B"/>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D2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B157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1573"/>
    <w:rPr>
      <w:rFonts w:ascii="Geomanist Light" w:hAnsi="Geomanist Light"/>
      <w:lang w:val="es-ES"/>
    </w:rPr>
  </w:style>
  <w:style w:type="character" w:customStyle="1" w:styleId="s15">
    <w:name w:val="s15"/>
    <w:basedOn w:val="Fuentedeprrafopredeter"/>
    <w:rsid w:val="00AB1573"/>
  </w:style>
  <w:style w:type="character" w:customStyle="1" w:styleId="NormalWebCar">
    <w:name w:val="Normal (Web) Car"/>
    <w:link w:val="NormalWeb"/>
    <w:uiPriority w:val="99"/>
    <w:locked/>
    <w:rsid w:val="00AB1573"/>
    <w:rPr>
      <w:rFonts w:ascii="Times New Roman" w:eastAsia="Times New Roman" w:hAnsi="Times New Roman" w:cs="Times New Roman"/>
      <w:sz w:val="24"/>
      <w:szCs w:val="24"/>
      <w:lang w:eastAsia="es-CO"/>
    </w:rPr>
  </w:style>
  <w:style w:type="character" w:customStyle="1" w:styleId="baj">
    <w:name w:val="b_aj"/>
    <w:basedOn w:val="Fuentedeprrafopredeter"/>
    <w:rsid w:val="00AB1573"/>
  </w:style>
  <w:style w:type="character" w:styleId="Mencinsinresolver">
    <w:name w:val="Unresolved Mention"/>
    <w:basedOn w:val="Fuentedeprrafopredeter"/>
    <w:uiPriority w:val="99"/>
    <w:semiHidden/>
    <w:unhideWhenUsed/>
    <w:rsid w:val="00AE3C2D"/>
    <w:rPr>
      <w:color w:val="605E5C"/>
      <w:shd w:val="clear" w:color="auto" w:fill="E1DFDD"/>
    </w:rPr>
  </w:style>
  <w:style w:type="paragraph" w:styleId="Bibliografa">
    <w:name w:val="Bibliography"/>
    <w:basedOn w:val="Normal"/>
    <w:next w:val="Normal"/>
    <w:uiPriority w:val="37"/>
    <w:unhideWhenUsed/>
    <w:rsid w:val="00D02CEA"/>
    <w:pPr>
      <w:spacing w:after="200" w:line="276" w:lineRule="auto"/>
    </w:pPr>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de-garantias-en-procesos-de-contratacion"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archivos/circular/circular-externa-002-de-202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circular/circular-externa-003-de-2026"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6763D5-F2A1-435A-A741-E44A3599593A}">
  <ds:schemaRefs>
    <ds:schemaRef ds:uri="http://schemas.openxmlformats.org/officeDocument/2006/bibliography"/>
  </ds:schemaRefs>
</ds:datastoreItem>
</file>

<file path=customXml/itemProps2.xml><?xml version="1.0" encoding="utf-8"?>
<ds:datastoreItem xmlns:ds="http://schemas.openxmlformats.org/officeDocument/2006/customXml" ds:itemID="{AE3A57AF-BAA0-4553-92F9-DA90CAB11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25</TotalTime>
  <Pages>34</Pages>
  <Words>10959</Words>
  <Characters>60275</Characters>
  <Application>Microsoft Office Word</Application>
  <DocSecurity>0</DocSecurity>
  <Lines>502</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17</cp:revision>
  <cp:lastPrinted>2023-01-10T21:18:00Z</cp:lastPrinted>
  <dcterms:created xsi:type="dcterms:W3CDTF">2026-09-15T18:09:00Z</dcterms:created>
  <dcterms:modified xsi:type="dcterms:W3CDTF">2026-09-16T15:39:00Z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