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5DAF0" w14:textId="77777777" w:rsidR="00C073FD" w:rsidRDefault="00C073FD" w:rsidP="00C073FD">
      <w:pPr>
        <w:spacing w:line="276" w:lineRule="auto"/>
        <w:jc w:val="both"/>
        <w:rPr>
          <w:rFonts w:ascii="Verdana" w:eastAsia="Calibri" w:hAnsi="Verdana" w:cs="Arial"/>
          <w:b/>
          <w:bCs/>
          <w:lang w:val="es-ES" w:eastAsia="es-ES"/>
        </w:rPr>
      </w:pPr>
      <w:r w:rsidRPr="00810BC3">
        <w:rPr>
          <w:rFonts w:ascii="Verdana" w:eastAsia="Calibri" w:hAnsi="Verdana" w:cs="Arial"/>
          <w:b/>
          <w:bCs/>
          <w:lang w:val="es-ES" w:eastAsia="es-ES"/>
        </w:rPr>
        <w:t>LEY DE GARANTÍAS ELECTORALES – Prohibición artículo 33 – Contratación directa – Alcance</w:t>
      </w:r>
    </w:p>
    <w:p w14:paraId="435CDE3D" w14:textId="77777777" w:rsidR="00C073FD" w:rsidRPr="00647611" w:rsidRDefault="00C073FD" w:rsidP="00C073FD">
      <w:pPr>
        <w:spacing w:after="0" w:line="240" w:lineRule="auto"/>
        <w:jc w:val="both"/>
        <w:rPr>
          <w:rFonts w:ascii="Verdana" w:eastAsia="Times New Roman" w:hAnsi="Verdana" w:cs="Arial"/>
          <w:bCs/>
          <w:sz w:val="20"/>
          <w:szCs w:val="20"/>
          <w:lang w:eastAsia="x-none"/>
        </w:rPr>
      </w:pPr>
      <w:r w:rsidRPr="00647611">
        <w:rPr>
          <w:rFonts w:ascii="Verdana" w:eastAsia="Times New Roman" w:hAnsi="Verdana" w:cs="Arial"/>
          <w:sz w:val="20"/>
          <w:szCs w:val="20"/>
          <w:lang w:eastAsia="x-none"/>
        </w:rPr>
        <w:t xml:space="preserve">De acuerdo con el citado concepto, la prohibición del artículo 33 de la Ley de Garantías Electorales se refiere a </w:t>
      </w:r>
      <w:r w:rsidRPr="00647611">
        <w:rPr>
          <w:rFonts w:ascii="Verdana" w:eastAsia="Times New Roman" w:hAnsi="Verdana" w:cs="Arial"/>
          <w:sz w:val="20"/>
          <w:szCs w:val="20"/>
          <w:lang w:eastAsia="en-GB"/>
        </w:rPr>
        <w:t>“</w:t>
      </w:r>
      <w:r w:rsidRPr="00647611">
        <w:rPr>
          <w:rFonts w:ascii="Verdana" w:eastAsia="Times New Roman" w:hAnsi="Verdana" w:cs="Arial"/>
          <w:sz w:val="20"/>
          <w:szCs w:val="20"/>
          <w:lang w:eastAsia="x-none"/>
        </w:rPr>
        <w:t>cualquier sistema que no implique convocatoria pública y posibilidad de pluralidad de oferentes</w:t>
      </w:r>
      <w:r w:rsidRPr="00647611">
        <w:rPr>
          <w:rFonts w:ascii="Verdana" w:eastAsia="Times New Roman" w:hAnsi="Verdana" w:cs="Arial"/>
          <w:sz w:val="20"/>
          <w:szCs w:val="20"/>
          <w:lang w:eastAsia="en-GB"/>
        </w:rPr>
        <w:t>”</w:t>
      </w:r>
      <w:r w:rsidRPr="00647611">
        <w:rPr>
          <w:rFonts w:ascii="Verdana" w:eastAsia="Times New Roman" w:hAnsi="Verdana" w:cs="Arial"/>
          <w:sz w:val="20"/>
          <w:szCs w:val="20"/>
          <w:lang w:eastAsia="x-none"/>
        </w:rPr>
        <w:t xml:space="preserve">, por lo que excluye las demás modalidades de contratación previstas en la Ley 1150 de 2007, es decir, la licitación pública, la selección abreviada, el concurso de méritos </w:t>
      </w:r>
      <w:r w:rsidRPr="00647611">
        <w:rPr>
          <w:rFonts w:ascii="Verdana" w:eastAsia="Times New Roman" w:hAnsi="Verdana" w:cs="Arial"/>
          <w:sz w:val="20"/>
          <w:szCs w:val="20"/>
          <w:lang w:val="es-ES_tradnl" w:eastAsia="x-none"/>
        </w:rPr>
        <w:t>y la mínima cuantía</w:t>
      </w:r>
      <w:r w:rsidRPr="00647611" w:rsidDel="00A85D9F">
        <w:rPr>
          <w:rFonts w:ascii="Verdana" w:eastAsia="Times New Roman" w:hAnsi="Verdana" w:cs="Arial"/>
          <w:sz w:val="20"/>
          <w:szCs w:val="20"/>
          <w:lang w:eastAsia="x-none"/>
        </w:rPr>
        <w:t xml:space="preserve"> </w:t>
      </w:r>
      <w:r w:rsidRPr="00647611">
        <w:rPr>
          <w:rFonts w:ascii="Verdana" w:eastAsia="Times New Roman" w:hAnsi="Verdana" w:cs="Arial"/>
          <w:sz w:val="20"/>
          <w:szCs w:val="20"/>
          <w:lang w:eastAsia="x-none"/>
        </w:rPr>
        <w:t xml:space="preserve">u otros previstos en normas especiales. Esta posición es congruente con la expedición de la Ley 1150 de 2007 que, entre otras reformas, introdujo la selección abreviada, rediseñó el concurso de méritos y sistematizó las causales de contratación directa, </w:t>
      </w:r>
      <w:r w:rsidRPr="00647611">
        <w:rPr>
          <w:rFonts w:ascii="Verdana" w:eastAsia="Calibri" w:hAnsi="Verdana" w:cs="Arial"/>
          <w:sz w:val="20"/>
          <w:szCs w:val="20"/>
          <w:lang w:eastAsia="x-none"/>
        </w:rPr>
        <w:t>además lo es con la posterior creación de la modalidad de mínima cuantía establecida actualmente en el numeral 5 del artículo 2 de la Ley 1150 de 2007, de acuerdo con las modificaciones realizadas por leyes posteriores.</w:t>
      </w:r>
    </w:p>
    <w:p w14:paraId="5CC694B6" w14:textId="77777777" w:rsidR="00C073FD" w:rsidRDefault="00C073FD" w:rsidP="00C073FD">
      <w:pPr>
        <w:spacing w:before="240" w:line="276" w:lineRule="auto"/>
        <w:jc w:val="both"/>
        <w:rPr>
          <w:rFonts w:ascii="Verdana" w:eastAsia="Calibri" w:hAnsi="Verdana" w:cs="Arial"/>
          <w:b/>
          <w:bCs/>
          <w:lang w:val="es-ES" w:eastAsia="es-ES"/>
        </w:rPr>
      </w:pPr>
      <w:r w:rsidRPr="00810BC3">
        <w:rPr>
          <w:rFonts w:ascii="Verdana" w:eastAsia="Calibri" w:hAnsi="Verdana" w:cs="Arial"/>
          <w:b/>
          <w:bCs/>
          <w:lang w:val="es-ES" w:eastAsia="es-ES"/>
        </w:rPr>
        <w:t>LEY DE GARANTÍAS ELECTORALES – Excepciones</w:t>
      </w:r>
    </w:p>
    <w:p w14:paraId="4944000E" w14:textId="77777777" w:rsidR="00C073FD" w:rsidRPr="00810BC3" w:rsidRDefault="00C073FD" w:rsidP="00C073FD">
      <w:pPr>
        <w:spacing w:after="0" w:line="240" w:lineRule="auto"/>
        <w:jc w:val="both"/>
        <w:rPr>
          <w:rFonts w:ascii="Verdana" w:eastAsia="Times New Roman" w:hAnsi="Verdana" w:cs="Arial"/>
          <w:bCs/>
          <w:sz w:val="20"/>
          <w:szCs w:val="20"/>
          <w:lang w:val="es-MX" w:eastAsia="es-CO"/>
        </w:rPr>
      </w:pPr>
      <w:r w:rsidRPr="00647611">
        <w:rPr>
          <w:rFonts w:ascii="Verdana" w:eastAsia="Times New Roman" w:hAnsi="Verdana" w:cs="Arial"/>
          <w:bCs/>
          <w:sz w:val="20"/>
          <w:szCs w:val="20"/>
          <w:lang w:val="es-MX" w:eastAsia="x-none"/>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w:t>
      </w:r>
      <w:proofErr w:type="spellStart"/>
      <w:r w:rsidRPr="00647611">
        <w:rPr>
          <w:rFonts w:ascii="Verdana" w:eastAsia="Times New Roman" w:hAnsi="Verdana" w:cs="Arial"/>
          <w:bCs/>
          <w:sz w:val="20"/>
          <w:szCs w:val="20"/>
          <w:lang w:val="es-MX" w:eastAsia="x-none"/>
        </w:rPr>
        <w:t>ii</w:t>
      </w:r>
      <w:proofErr w:type="spellEnd"/>
      <w:r w:rsidRPr="00647611">
        <w:rPr>
          <w:rFonts w:ascii="Verdana" w:eastAsia="Times New Roman" w:hAnsi="Verdana" w:cs="Arial"/>
          <w:bCs/>
          <w:sz w:val="20"/>
          <w:szCs w:val="20"/>
          <w:lang w:val="es-MX" w:eastAsia="x-none"/>
        </w:rPr>
        <w:t xml:space="preserve">) los contratos de crédito público; </w:t>
      </w:r>
      <w:proofErr w:type="spellStart"/>
      <w:r w:rsidRPr="00647611">
        <w:rPr>
          <w:rFonts w:ascii="Verdana" w:eastAsia="Times New Roman" w:hAnsi="Verdana" w:cs="Arial"/>
          <w:bCs/>
          <w:sz w:val="20"/>
          <w:szCs w:val="20"/>
          <w:lang w:val="es-MX" w:eastAsia="x-none"/>
        </w:rPr>
        <w:t>iii</w:t>
      </w:r>
      <w:proofErr w:type="spellEnd"/>
      <w:r w:rsidRPr="00647611">
        <w:rPr>
          <w:rFonts w:ascii="Verdana" w:eastAsia="Times New Roman" w:hAnsi="Verdana" w:cs="Arial"/>
          <w:bCs/>
          <w:sz w:val="20"/>
          <w:szCs w:val="20"/>
          <w:lang w:val="es-MX" w:eastAsia="x-none"/>
        </w:rPr>
        <w:t xml:space="preserve">) los requeridos para cubrir las emergencias educativas, sanitarias y desastres; </w:t>
      </w:r>
      <w:proofErr w:type="spellStart"/>
      <w:r w:rsidRPr="00647611">
        <w:rPr>
          <w:rFonts w:ascii="Verdana" w:eastAsia="Times New Roman" w:hAnsi="Verdana" w:cs="Arial"/>
          <w:bCs/>
          <w:sz w:val="20"/>
          <w:szCs w:val="20"/>
          <w:lang w:val="es-MX" w:eastAsia="x-none"/>
        </w:rPr>
        <w:t>iv</w:t>
      </w:r>
      <w:proofErr w:type="spellEnd"/>
      <w:r w:rsidRPr="00647611">
        <w:rPr>
          <w:rFonts w:ascii="Verdana" w:eastAsia="Times New Roman" w:hAnsi="Verdana" w:cs="Arial"/>
          <w:bCs/>
          <w:sz w:val="20"/>
          <w:szCs w:val="20"/>
          <w:lang w:val="es-MX"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647611">
        <w:rPr>
          <w:rFonts w:ascii="Verdana" w:eastAsia="Times New Roman" w:hAnsi="Verdana" w:cs="Arial"/>
          <w:bCs/>
          <w:sz w:val="20"/>
          <w:szCs w:val="20"/>
          <w:lang w:val="es-MX"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50C2EF2E" w14:textId="4B23CB96" w:rsidR="00C073FD" w:rsidRDefault="00C073FD" w:rsidP="00C073FD">
      <w:pPr>
        <w:spacing w:before="240" w:line="276" w:lineRule="auto"/>
        <w:jc w:val="both"/>
        <w:rPr>
          <w:rFonts w:ascii="Verdana" w:eastAsia="Calibri" w:hAnsi="Verdana" w:cs="Arial"/>
          <w:b/>
          <w:bCs/>
          <w:lang w:val="es-ES" w:eastAsia="es-ES"/>
        </w:rPr>
      </w:pPr>
      <w:r w:rsidRPr="00810BC3">
        <w:rPr>
          <w:rFonts w:ascii="Verdana" w:eastAsia="Calibri" w:hAnsi="Verdana" w:cs="Arial"/>
          <w:b/>
          <w:bCs/>
          <w:lang w:val="es-ES" w:eastAsia="es-ES"/>
        </w:rPr>
        <w:t xml:space="preserve">LEY DE GARANTÍAS ELECTORALES – Prohibición del artículo 33 </w:t>
      </w:r>
    </w:p>
    <w:p w14:paraId="615E863C" w14:textId="77777777" w:rsidR="00C073FD" w:rsidRPr="00647611" w:rsidRDefault="00C073FD" w:rsidP="00C073FD">
      <w:pPr>
        <w:spacing w:after="0" w:line="240" w:lineRule="auto"/>
        <w:jc w:val="both"/>
        <w:rPr>
          <w:rFonts w:ascii="Verdana" w:hAnsi="Verdana" w:cs="Arial"/>
          <w:sz w:val="20"/>
          <w:szCs w:val="20"/>
          <w:lang w:val="es-MX" w:eastAsia="es-ES_tradnl"/>
        </w:rPr>
      </w:pPr>
      <w:r w:rsidRPr="00647611">
        <w:rPr>
          <w:rFonts w:ascii="Verdana" w:eastAsia="Calibri" w:hAnsi="Verdana" w:cs="Arial"/>
          <w:sz w:val="20"/>
          <w:szCs w:val="20"/>
          <w:lang w:val="es-MX"/>
        </w:rPr>
        <w:t xml:space="preserve">De acuerdo con estos pronunciamientos de la Sala de Consulta y Servicio Civil del Consejo de Estado, la prohibición de la contratación directa también aplica frente a las entidades exceptuadas de la aplicación del EGCAP y que se rigen en materia contractual por el derecho privado. Sin embargo, señaló que algunas de estas entidades, como sucede con las empresas de servicios públicos domiciliarios, los </w:t>
      </w:r>
      <w:r w:rsidRPr="00647611">
        <w:rPr>
          <w:rFonts w:ascii="Verdana" w:eastAsia="Times New Roman" w:hAnsi="Verdana" w:cs="Arial"/>
          <w:bCs/>
          <w:sz w:val="20"/>
          <w:szCs w:val="20"/>
          <w:lang w:val="es-MX" w:eastAsia="x-none"/>
        </w:rPr>
        <w:t>establecimientos de crédito, las sociedades de servicios financieros y las entidades aseguradoras</w:t>
      </w:r>
      <w:r w:rsidRPr="00647611">
        <w:rPr>
          <w:rFonts w:ascii="Verdana" w:eastAsia="Calibri" w:hAnsi="Verdana" w:cs="Arial"/>
          <w:sz w:val="20"/>
          <w:szCs w:val="20"/>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w:t>
      </w:r>
      <w:r w:rsidRPr="00647611">
        <w:rPr>
          <w:rFonts w:ascii="Verdana" w:eastAsia="Calibri" w:hAnsi="Verdana" w:cs="Arial"/>
          <w:sz w:val="20"/>
          <w:szCs w:val="20"/>
          <w:lang w:val="es-MX"/>
        </w:rPr>
        <w:lastRenderedPageBreak/>
        <w:t>pues significaría la parálisis de una actividad propia de la administración, que incluso podría desconocer los derechos fundamentales”</w:t>
      </w:r>
    </w:p>
    <w:p w14:paraId="56010408" w14:textId="77777777" w:rsidR="00011851" w:rsidRPr="00C073FD" w:rsidRDefault="00011851" w:rsidP="004A7ABE">
      <w:pPr>
        <w:spacing w:after="0" w:line="240" w:lineRule="auto"/>
        <w:jc w:val="both"/>
        <w:rPr>
          <w:rFonts w:ascii="Verdana" w:hAnsi="Verdana"/>
          <w:lang w:val="es-MX"/>
        </w:rPr>
      </w:pPr>
    </w:p>
    <w:p w14:paraId="55FC06C5" w14:textId="77777777" w:rsidR="00C073FD" w:rsidRDefault="00C073FD" w:rsidP="004A7ABE">
      <w:pPr>
        <w:spacing w:after="0" w:line="240" w:lineRule="auto"/>
        <w:jc w:val="both"/>
        <w:rPr>
          <w:rFonts w:ascii="Verdana" w:hAnsi="Verdana"/>
        </w:rPr>
      </w:pPr>
    </w:p>
    <w:p w14:paraId="54FD1182" w14:textId="77777777" w:rsidR="00C073FD" w:rsidRDefault="00C073FD" w:rsidP="004A7ABE">
      <w:pPr>
        <w:spacing w:after="0" w:line="240" w:lineRule="auto"/>
        <w:jc w:val="both"/>
        <w:rPr>
          <w:rFonts w:ascii="Verdana" w:hAnsi="Verdana"/>
        </w:rPr>
      </w:pPr>
    </w:p>
    <w:p w14:paraId="01A2F83D" w14:textId="77777777" w:rsidR="00C073FD" w:rsidRDefault="00C073FD" w:rsidP="004A7ABE">
      <w:pPr>
        <w:spacing w:after="0" w:line="240" w:lineRule="auto"/>
        <w:jc w:val="both"/>
        <w:rPr>
          <w:rFonts w:ascii="Verdana" w:hAnsi="Verdana"/>
        </w:rPr>
      </w:pPr>
    </w:p>
    <w:p w14:paraId="53D41D53" w14:textId="77777777" w:rsidR="00C073FD" w:rsidRDefault="00C073FD" w:rsidP="004A7ABE">
      <w:pPr>
        <w:spacing w:after="0" w:line="240" w:lineRule="auto"/>
        <w:jc w:val="both"/>
        <w:rPr>
          <w:rFonts w:ascii="Verdana" w:hAnsi="Verdana"/>
        </w:rPr>
      </w:pPr>
    </w:p>
    <w:p w14:paraId="610A43EB" w14:textId="77777777" w:rsidR="00C073FD" w:rsidRDefault="00C073FD" w:rsidP="004A7ABE">
      <w:pPr>
        <w:spacing w:after="0" w:line="240" w:lineRule="auto"/>
        <w:jc w:val="both"/>
        <w:rPr>
          <w:rFonts w:ascii="Verdana" w:hAnsi="Verdana"/>
        </w:rPr>
      </w:pPr>
    </w:p>
    <w:p w14:paraId="64D514E4" w14:textId="77777777" w:rsidR="00C073FD" w:rsidRDefault="00C073FD" w:rsidP="004A7ABE">
      <w:pPr>
        <w:spacing w:after="0" w:line="240" w:lineRule="auto"/>
        <w:jc w:val="both"/>
        <w:rPr>
          <w:rFonts w:ascii="Verdana" w:hAnsi="Verdana"/>
        </w:rPr>
      </w:pPr>
    </w:p>
    <w:p w14:paraId="619DC358" w14:textId="77777777" w:rsidR="00C073FD" w:rsidRDefault="00C073FD" w:rsidP="004A7ABE">
      <w:pPr>
        <w:spacing w:after="0" w:line="240" w:lineRule="auto"/>
        <w:jc w:val="both"/>
        <w:rPr>
          <w:rFonts w:ascii="Verdana" w:hAnsi="Verdana"/>
        </w:rPr>
      </w:pPr>
    </w:p>
    <w:p w14:paraId="7030244D" w14:textId="77777777" w:rsidR="00C073FD" w:rsidRDefault="00C073FD" w:rsidP="004A7ABE">
      <w:pPr>
        <w:spacing w:after="0" w:line="240" w:lineRule="auto"/>
        <w:jc w:val="both"/>
        <w:rPr>
          <w:rFonts w:ascii="Verdana" w:hAnsi="Verdana"/>
        </w:rPr>
      </w:pPr>
    </w:p>
    <w:p w14:paraId="13C8B6E0" w14:textId="77777777" w:rsidR="00C073FD" w:rsidRDefault="00C073FD" w:rsidP="004A7ABE">
      <w:pPr>
        <w:spacing w:after="0" w:line="240" w:lineRule="auto"/>
        <w:jc w:val="both"/>
        <w:rPr>
          <w:rFonts w:ascii="Verdana" w:hAnsi="Verdana"/>
        </w:rPr>
      </w:pPr>
    </w:p>
    <w:p w14:paraId="58F81A28" w14:textId="77777777" w:rsidR="00C073FD" w:rsidRDefault="00C073FD" w:rsidP="004A7ABE">
      <w:pPr>
        <w:spacing w:after="0" w:line="240" w:lineRule="auto"/>
        <w:jc w:val="both"/>
        <w:rPr>
          <w:rFonts w:ascii="Verdana" w:hAnsi="Verdana"/>
        </w:rPr>
      </w:pPr>
    </w:p>
    <w:p w14:paraId="28C2B308" w14:textId="77777777" w:rsidR="00C073FD" w:rsidRDefault="00C073FD" w:rsidP="004A7ABE">
      <w:pPr>
        <w:spacing w:after="0" w:line="240" w:lineRule="auto"/>
        <w:jc w:val="both"/>
        <w:rPr>
          <w:rFonts w:ascii="Verdana" w:hAnsi="Verdana"/>
        </w:rPr>
      </w:pPr>
    </w:p>
    <w:p w14:paraId="4D5702FF" w14:textId="77777777" w:rsidR="00C073FD" w:rsidRDefault="00C073FD" w:rsidP="004A7ABE">
      <w:pPr>
        <w:spacing w:after="0" w:line="240" w:lineRule="auto"/>
        <w:jc w:val="both"/>
        <w:rPr>
          <w:rFonts w:ascii="Verdana" w:hAnsi="Verdana"/>
        </w:rPr>
      </w:pPr>
    </w:p>
    <w:p w14:paraId="02D6D304" w14:textId="77777777" w:rsidR="00C073FD" w:rsidRDefault="00C073FD" w:rsidP="004A7ABE">
      <w:pPr>
        <w:spacing w:after="0" w:line="240" w:lineRule="auto"/>
        <w:jc w:val="both"/>
        <w:rPr>
          <w:rFonts w:ascii="Verdana" w:hAnsi="Verdana"/>
        </w:rPr>
      </w:pPr>
    </w:p>
    <w:p w14:paraId="2A60BBE5" w14:textId="77777777" w:rsidR="00C073FD" w:rsidRDefault="00C073FD" w:rsidP="004A7ABE">
      <w:pPr>
        <w:spacing w:after="0" w:line="240" w:lineRule="auto"/>
        <w:jc w:val="both"/>
        <w:rPr>
          <w:rFonts w:ascii="Verdana" w:hAnsi="Verdana"/>
        </w:rPr>
      </w:pPr>
    </w:p>
    <w:p w14:paraId="2E1E96ED" w14:textId="77777777" w:rsidR="00C073FD" w:rsidRDefault="00C073FD" w:rsidP="004A7ABE">
      <w:pPr>
        <w:spacing w:after="0" w:line="240" w:lineRule="auto"/>
        <w:jc w:val="both"/>
        <w:rPr>
          <w:rFonts w:ascii="Verdana" w:hAnsi="Verdana"/>
        </w:rPr>
      </w:pPr>
    </w:p>
    <w:p w14:paraId="5E9A34A0" w14:textId="77777777" w:rsidR="00C073FD" w:rsidRDefault="00C073FD" w:rsidP="004A7ABE">
      <w:pPr>
        <w:spacing w:after="0" w:line="240" w:lineRule="auto"/>
        <w:jc w:val="both"/>
        <w:rPr>
          <w:rFonts w:ascii="Verdana" w:hAnsi="Verdana"/>
        </w:rPr>
      </w:pPr>
    </w:p>
    <w:p w14:paraId="5C18DC5B" w14:textId="77777777" w:rsidR="00C073FD" w:rsidRDefault="00C073FD" w:rsidP="004A7ABE">
      <w:pPr>
        <w:spacing w:after="0" w:line="240" w:lineRule="auto"/>
        <w:jc w:val="both"/>
        <w:rPr>
          <w:rFonts w:ascii="Verdana" w:hAnsi="Verdana"/>
        </w:rPr>
      </w:pPr>
    </w:p>
    <w:p w14:paraId="32185ADB" w14:textId="77777777" w:rsidR="00C073FD" w:rsidRDefault="00C073FD" w:rsidP="004A7ABE">
      <w:pPr>
        <w:spacing w:after="0" w:line="240" w:lineRule="auto"/>
        <w:jc w:val="both"/>
        <w:rPr>
          <w:rFonts w:ascii="Verdana" w:hAnsi="Verdana"/>
        </w:rPr>
      </w:pPr>
    </w:p>
    <w:p w14:paraId="34392B2C" w14:textId="77777777" w:rsidR="00C073FD" w:rsidRDefault="00C073FD" w:rsidP="004A7ABE">
      <w:pPr>
        <w:spacing w:after="0" w:line="240" w:lineRule="auto"/>
        <w:jc w:val="both"/>
        <w:rPr>
          <w:rFonts w:ascii="Verdana" w:hAnsi="Verdana"/>
        </w:rPr>
      </w:pPr>
    </w:p>
    <w:p w14:paraId="1D3A109F" w14:textId="77777777" w:rsidR="00C073FD" w:rsidRDefault="00C073FD" w:rsidP="004A7ABE">
      <w:pPr>
        <w:spacing w:after="0" w:line="240" w:lineRule="auto"/>
        <w:jc w:val="both"/>
        <w:rPr>
          <w:rFonts w:ascii="Verdana" w:hAnsi="Verdana"/>
        </w:rPr>
      </w:pPr>
    </w:p>
    <w:p w14:paraId="26CDEE2D" w14:textId="77777777" w:rsidR="00C073FD" w:rsidRDefault="00C073FD" w:rsidP="004A7ABE">
      <w:pPr>
        <w:spacing w:after="0" w:line="240" w:lineRule="auto"/>
        <w:jc w:val="both"/>
        <w:rPr>
          <w:rFonts w:ascii="Verdana" w:hAnsi="Verdana"/>
        </w:rPr>
      </w:pPr>
    </w:p>
    <w:p w14:paraId="678D8E21" w14:textId="77777777" w:rsidR="00C073FD" w:rsidRDefault="00C073FD" w:rsidP="004A7ABE">
      <w:pPr>
        <w:spacing w:after="0" w:line="240" w:lineRule="auto"/>
        <w:jc w:val="both"/>
        <w:rPr>
          <w:rFonts w:ascii="Verdana" w:hAnsi="Verdana"/>
        </w:rPr>
      </w:pPr>
    </w:p>
    <w:p w14:paraId="5CAD8F67" w14:textId="77777777" w:rsidR="00C073FD" w:rsidRDefault="00C073FD" w:rsidP="004A7ABE">
      <w:pPr>
        <w:spacing w:after="0" w:line="240" w:lineRule="auto"/>
        <w:jc w:val="both"/>
        <w:rPr>
          <w:rFonts w:ascii="Verdana" w:hAnsi="Verdana"/>
        </w:rPr>
      </w:pPr>
    </w:p>
    <w:p w14:paraId="40982FCD" w14:textId="77777777" w:rsidR="00C073FD" w:rsidRDefault="00C073FD" w:rsidP="004A7ABE">
      <w:pPr>
        <w:spacing w:after="0" w:line="240" w:lineRule="auto"/>
        <w:jc w:val="both"/>
        <w:rPr>
          <w:rFonts w:ascii="Verdana" w:hAnsi="Verdana"/>
        </w:rPr>
      </w:pPr>
    </w:p>
    <w:p w14:paraId="15BA34E0" w14:textId="77777777" w:rsidR="00C073FD" w:rsidRDefault="00C073FD" w:rsidP="004A7ABE">
      <w:pPr>
        <w:spacing w:after="0" w:line="240" w:lineRule="auto"/>
        <w:jc w:val="both"/>
        <w:rPr>
          <w:rFonts w:ascii="Verdana" w:hAnsi="Verdana"/>
        </w:rPr>
      </w:pPr>
    </w:p>
    <w:p w14:paraId="2C774732" w14:textId="77777777" w:rsidR="00C073FD" w:rsidRDefault="00C073FD" w:rsidP="004A7ABE">
      <w:pPr>
        <w:spacing w:after="0" w:line="240" w:lineRule="auto"/>
        <w:jc w:val="both"/>
        <w:rPr>
          <w:rFonts w:ascii="Verdana" w:hAnsi="Verdana"/>
        </w:rPr>
      </w:pPr>
    </w:p>
    <w:p w14:paraId="681FB435" w14:textId="77777777" w:rsidR="00C073FD" w:rsidRDefault="00C073FD" w:rsidP="004A7ABE">
      <w:pPr>
        <w:spacing w:after="0" w:line="240" w:lineRule="auto"/>
        <w:jc w:val="both"/>
        <w:rPr>
          <w:rFonts w:ascii="Verdana" w:hAnsi="Verdana"/>
        </w:rPr>
      </w:pPr>
    </w:p>
    <w:p w14:paraId="7E31EA3F" w14:textId="77777777" w:rsidR="00C073FD" w:rsidRDefault="00C073FD" w:rsidP="004A7ABE">
      <w:pPr>
        <w:spacing w:after="0" w:line="240" w:lineRule="auto"/>
        <w:jc w:val="both"/>
        <w:rPr>
          <w:rFonts w:ascii="Verdana" w:hAnsi="Verdana"/>
        </w:rPr>
      </w:pPr>
    </w:p>
    <w:p w14:paraId="4C744527" w14:textId="77777777" w:rsidR="00C073FD" w:rsidRDefault="00C073FD" w:rsidP="004A7ABE">
      <w:pPr>
        <w:spacing w:after="0" w:line="240" w:lineRule="auto"/>
        <w:jc w:val="both"/>
        <w:rPr>
          <w:rFonts w:ascii="Verdana" w:hAnsi="Verdana"/>
        </w:rPr>
      </w:pPr>
    </w:p>
    <w:p w14:paraId="11CF4645" w14:textId="77777777" w:rsidR="00C073FD" w:rsidRDefault="00C073FD" w:rsidP="004A7ABE">
      <w:pPr>
        <w:spacing w:after="0" w:line="240" w:lineRule="auto"/>
        <w:jc w:val="both"/>
        <w:rPr>
          <w:rFonts w:ascii="Verdana" w:hAnsi="Verdana"/>
        </w:rPr>
      </w:pPr>
    </w:p>
    <w:p w14:paraId="1CD2425E" w14:textId="77777777" w:rsidR="00C073FD" w:rsidRDefault="00C073FD" w:rsidP="004A7ABE">
      <w:pPr>
        <w:spacing w:after="0" w:line="240" w:lineRule="auto"/>
        <w:jc w:val="both"/>
        <w:rPr>
          <w:rFonts w:ascii="Verdana" w:hAnsi="Verdana"/>
        </w:rPr>
      </w:pPr>
    </w:p>
    <w:p w14:paraId="06E789EA" w14:textId="77777777" w:rsidR="00C073FD" w:rsidRDefault="00C073FD" w:rsidP="004A7ABE">
      <w:pPr>
        <w:spacing w:after="0" w:line="240" w:lineRule="auto"/>
        <w:jc w:val="both"/>
        <w:rPr>
          <w:rFonts w:ascii="Verdana" w:hAnsi="Verdana"/>
        </w:rPr>
      </w:pPr>
    </w:p>
    <w:p w14:paraId="24E8D293" w14:textId="77777777" w:rsidR="00C073FD" w:rsidRDefault="00C073FD" w:rsidP="004A7ABE">
      <w:pPr>
        <w:spacing w:after="0" w:line="240" w:lineRule="auto"/>
        <w:jc w:val="both"/>
        <w:rPr>
          <w:rFonts w:ascii="Verdana" w:hAnsi="Verdana"/>
        </w:rPr>
      </w:pPr>
    </w:p>
    <w:p w14:paraId="2E2D1026" w14:textId="77777777" w:rsidR="00C073FD" w:rsidRDefault="00C073FD" w:rsidP="004A7ABE">
      <w:pPr>
        <w:spacing w:after="0" w:line="240" w:lineRule="auto"/>
        <w:jc w:val="both"/>
        <w:rPr>
          <w:rFonts w:ascii="Verdana" w:hAnsi="Verdana"/>
        </w:rPr>
      </w:pPr>
    </w:p>
    <w:p w14:paraId="2434C2F7" w14:textId="77777777" w:rsidR="00C073FD" w:rsidRDefault="00C073FD" w:rsidP="004A7ABE">
      <w:pPr>
        <w:spacing w:after="0" w:line="240" w:lineRule="auto"/>
        <w:jc w:val="both"/>
        <w:rPr>
          <w:rFonts w:ascii="Verdana" w:hAnsi="Verdana"/>
        </w:rPr>
      </w:pPr>
    </w:p>
    <w:p w14:paraId="7EDA2E8E" w14:textId="77777777" w:rsidR="00C073FD" w:rsidRDefault="00C073FD" w:rsidP="004A7ABE">
      <w:pPr>
        <w:spacing w:after="0" w:line="240" w:lineRule="auto"/>
        <w:jc w:val="both"/>
        <w:rPr>
          <w:rFonts w:ascii="Verdana" w:hAnsi="Verdana"/>
        </w:rPr>
      </w:pPr>
    </w:p>
    <w:p w14:paraId="0EB0467F" w14:textId="77777777" w:rsidR="00C073FD" w:rsidRDefault="00C073FD" w:rsidP="004A7ABE">
      <w:pPr>
        <w:spacing w:after="0" w:line="240" w:lineRule="auto"/>
        <w:jc w:val="both"/>
        <w:rPr>
          <w:rFonts w:ascii="Verdana" w:hAnsi="Verdana"/>
        </w:rPr>
      </w:pPr>
    </w:p>
    <w:p w14:paraId="119CB73E" w14:textId="77777777" w:rsidR="00D83E89" w:rsidRDefault="00D83E89" w:rsidP="004A7ABE">
      <w:pPr>
        <w:spacing w:after="0" w:line="240" w:lineRule="auto"/>
        <w:jc w:val="both"/>
        <w:rPr>
          <w:rFonts w:ascii="Verdana" w:hAnsi="Verdana"/>
        </w:rPr>
      </w:pPr>
    </w:p>
    <w:p w14:paraId="59F05828" w14:textId="6B96C1FB" w:rsidR="004A7ABE" w:rsidRPr="008E4F36" w:rsidRDefault="00011851" w:rsidP="004A7ABE">
      <w:pPr>
        <w:spacing w:after="0" w:line="240" w:lineRule="auto"/>
        <w:jc w:val="both"/>
        <w:rPr>
          <w:rFonts w:ascii="Verdana" w:hAnsi="Verdana"/>
        </w:rPr>
      </w:pPr>
      <w:r w:rsidRPr="00011851">
        <w:rPr>
          <w:rFonts w:ascii="Verdana" w:hAnsi="Verdana"/>
        </w:rPr>
        <w:lastRenderedPageBreak/>
        <w:t xml:space="preserve">Bogotá D.C., 07 </w:t>
      </w:r>
      <w:r w:rsidRPr="00011851">
        <w:rPr>
          <w:rFonts w:ascii="Verdana" w:hAnsi="Verdana"/>
        </w:rPr>
        <w:t>septiembre</w:t>
      </w:r>
      <w:r w:rsidRPr="00011851">
        <w:rPr>
          <w:rFonts w:ascii="Verdana" w:hAnsi="Verdana"/>
        </w:rPr>
        <w:t xml:space="preserve"> 2026</w:t>
      </w:r>
      <w:r>
        <w:rPr>
          <w:rFonts w:ascii="Verdana" w:hAnsi="Verdana"/>
        </w:rPr>
        <w:t xml:space="preserve"> </w:t>
      </w:r>
    </w:p>
    <w:p w14:paraId="7472D982" w14:textId="5C673034" w:rsidR="004A7ABE" w:rsidRPr="008E4F36" w:rsidRDefault="004A7ABE" w:rsidP="004A7ABE">
      <w:pPr>
        <w:spacing w:after="0" w:line="240" w:lineRule="auto"/>
        <w:jc w:val="both"/>
        <w:rPr>
          <w:rFonts w:ascii="Verdana" w:eastAsia="Calibri" w:hAnsi="Verdana" w:cs="Arial"/>
          <w:lang w:eastAsia="es-ES"/>
        </w:rPr>
      </w:pPr>
      <w:bookmarkStart w:id="0" w:name="_Hlk197462763"/>
      <w:bookmarkStart w:id="1" w:name="_Hlk197529996"/>
    </w:p>
    <w:p w14:paraId="750F4E67" w14:textId="7DB1346C" w:rsidR="004A7ABE" w:rsidRDefault="00011851" w:rsidP="004A7ABE">
      <w:pPr>
        <w:spacing w:after="0" w:line="240" w:lineRule="auto"/>
        <w:jc w:val="both"/>
        <w:rPr>
          <w:rFonts w:ascii="Verdana" w:eastAsia="Calibri" w:hAnsi="Verdana" w:cs="Arial"/>
          <w:lang w:eastAsia="es-ES"/>
        </w:rPr>
      </w:pPr>
      <w:r w:rsidRPr="00011851">
        <w:rPr>
          <w:rFonts w:ascii="Verdana" w:eastAsia="Calibri" w:hAnsi="Verdana" w:cs="Arial"/>
          <w:lang w:eastAsia="es-ES"/>
        </w:rPr>
        <w:drawing>
          <wp:anchor distT="0" distB="0" distL="114300" distR="114300" simplePos="0" relativeHeight="251660288" behindDoc="1" locked="0" layoutInCell="1" allowOverlap="1" wp14:anchorId="07C1AF5D" wp14:editId="7BE457D3">
            <wp:simplePos x="0" y="0"/>
            <wp:positionH relativeFrom="column">
              <wp:posOffset>3113747</wp:posOffset>
            </wp:positionH>
            <wp:positionV relativeFrom="paragraph">
              <wp:posOffset>64086</wp:posOffset>
            </wp:positionV>
            <wp:extent cx="2495550" cy="723900"/>
            <wp:effectExtent l="0" t="0" r="0" b="0"/>
            <wp:wrapTight wrapText="bothSides">
              <wp:wrapPolygon edited="0">
                <wp:start x="0" y="0"/>
                <wp:lineTo x="0" y="21032"/>
                <wp:lineTo x="21435" y="21032"/>
                <wp:lineTo x="21435" y="0"/>
                <wp:lineTo x="0" y="0"/>
              </wp:wrapPolygon>
            </wp:wrapTight>
            <wp:docPr id="5286939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93996" name=""/>
                    <pic:cNvPicPr/>
                  </pic:nvPicPr>
                  <pic:blipFill>
                    <a:blip r:embed="rId7">
                      <a:extLst>
                        <a:ext uri="{28A0092B-C50C-407E-A947-70E740481C1C}">
                          <a14:useLocalDpi xmlns:a14="http://schemas.microsoft.com/office/drawing/2010/main" val="0"/>
                        </a:ext>
                      </a:extLst>
                    </a:blip>
                    <a:stretch>
                      <a:fillRect/>
                    </a:stretch>
                  </pic:blipFill>
                  <pic:spPr>
                    <a:xfrm>
                      <a:off x="0" y="0"/>
                      <a:ext cx="2495550" cy="723900"/>
                    </a:xfrm>
                    <a:prstGeom prst="rect">
                      <a:avLst/>
                    </a:prstGeom>
                  </pic:spPr>
                </pic:pic>
              </a:graphicData>
            </a:graphic>
          </wp:anchor>
        </w:drawing>
      </w:r>
    </w:p>
    <w:p w14:paraId="3C879B1B" w14:textId="72B57C39" w:rsidR="004A7ABE" w:rsidRDefault="004A7ABE" w:rsidP="004A7ABE">
      <w:pPr>
        <w:spacing w:after="0" w:line="240" w:lineRule="auto"/>
        <w:jc w:val="both"/>
        <w:rPr>
          <w:rFonts w:ascii="Verdana" w:eastAsia="Calibri" w:hAnsi="Verdana" w:cs="Arial"/>
          <w:lang w:eastAsia="es-ES"/>
        </w:rPr>
      </w:pPr>
      <w:r w:rsidRPr="008E4F36">
        <w:rPr>
          <w:rFonts w:ascii="Verdana" w:eastAsia="Calibri" w:hAnsi="Verdana" w:cs="Arial"/>
          <w:lang w:eastAsia="es-ES"/>
        </w:rPr>
        <w:t>Seño</w:t>
      </w:r>
      <w:r>
        <w:rPr>
          <w:rFonts w:ascii="Verdana" w:eastAsia="Calibri" w:hAnsi="Verdana" w:cs="Arial"/>
          <w:lang w:eastAsia="es-ES"/>
        </w:rPr>
        <w:t>r</w:t>
      </w:r>
    </w:p>
    <w:p w14:paraId="7BBB6465" w14:textId="2A8E6793" w:rsidR="004A7ABE" w:rsidRPr="004A7ABE" w:rsidRDefault="004A7ABE" w:rsidP="004A7ABE">
      <w:pPr>
        <w:spacing w:after="0" w:line="240" w:lineRule="auto"/>
        <w:jc w:val="both"/>
        <w:rPr>
          <w:rFonts w:ascii="Verdana" w:eastAsia="Calibri" w:hAnsi="Verdana" w:cs="Arial"/>
          <w:b/>
          <w:bCs/>
          <w:lang w:eastAsia="es-ES"/>
        </w:rPr>
      </w:pPr>
      <w:r w:rsidRPr="004A7ABE">
        <w:rPr>
          <w:rFonts w:ascii="Verdana" w:eastAsia="Calibri" w:hAnsi="Verdana" w:cs="Arial"/>
          <w:b/>
          <w:bCs/>
          <w:lang w:eastAsia="es-ES"/>
        </w:rPr>
        <w:t>Juan David Valencia Gómez</w:t>
      </w:r>
    </w:p>
    <w:p w14:paraId="2FF02825" w14:textId="4AD9778B" w:rsidR="004A7ABE" w:rsidRPr="006B4269" w:rsidRDefault="004A7ABE" w:rsidP="004A7ABE">
      <w:pPr>
        <w:spacing w:after="0" w:line="240" w:lineRule="auto"/>
        <w:jc w:val="both"/>
        <w:rPr>
          <w:rFonts w:ascii="Verdana" w:eastAsia="Calibri" w:hAnsi="Verdana" w:cs="Arial"/>
          <w:bCs/>
          <w:color w:val="000099"/>
          <w:lang w:eastAsia="es-ES_tradnl"/>
        </w:rPr>
      </w:pPr>
      <w:hyperlink r:id="rId8" w:history="1">
        <w:r w:rsidRPr="0073414B">
          <w:rPr>
            <w:rStyle w:val="Hipervnculo"/>
            <w:rFonts w:ascii="Verdana" w:eastAsia="Calibri" w:hAnsi="Verdana" w:cs="Arial"/>
            <w:bCs/>
            <w:lang w:eastAsia="es-ES_tradnl"/>
          </w:rPr>
          <w:t>Juanvalencia09@hotmail.com</w:t>
        </w:r>
      </w:hyperlink>
      <w:r>
        <w:rPr>
          <w:rFonts w:ascii="Verdana" w:eastAsia="Calibri" w:hAnsi="Verdana" w:cs="Arial"/>
          <w:bCs/>
          <w:color w:val="000099"/>
          <w:lang w:eastAsia="es-ES_tradnl"/>
        </w:rPr>
        <w:t xml:space="preserve"> </w:t>
      </w:r>
    </w:p>
    <w:p w14:paraId="2B40ED6F" w14:textId="5FAAA048" w:rsidR="004A7ABE" w:rsidRPr="0060486D" w:rsidRDefault="004A7ABE" w:rsidP="004A7ABE">
      <w:pPr>
        <w:spacing w:after="0" w:line="240" w:lineRule="auto"/>
        <w:jc w:val="both"/>
        <w:rPr>
          <w:rFonts w:ascii="Verdana" w:eastAsia="Calibri" w:hAnsi="Verdana" w:cs="Arial"/>
          <w:bCs/>
          <w:lang w:eastAsia="es-ES_tradnl"/>
        </w:rPr>
      </w:pPr>
      <w:r>
        <w:rPr>
          <w:rFonts w:ascii="Verdana" w:eastAsia="Calibri" w:hAnsi="Verdana" w:cs="Arial"/>
          <w:bCs/>
          <w:lang w:eastAsia="es-ES_tradnl"/>
        </w:rPr>
        <w:t>Montenegro, Quindío</w:t>
      </w:r>
    </w:p>
    <w:p w14:paraId="74E17491" w14:textId="77777777" w:rsidR="004A7ABE" w:rsidRPr="0060486D" w:rsidRDefault="004A7ABE" w:rsidP="004A7ABE">
      <w:pPr>
        <w:spacing w:after="0" w:line="240" w:lineRule="auto"/>
        <w:jc w:val="both"/>
        <w:rPr>
          <w:rFonts w:ascii="Verdana" w:eastAsia="Calibri" w:hAnsi="Verdana" w:cs="Arial"/>
          <w:bCs/>
          <w:lang w:eastAsia="es-ES_tradnl"/>
        </w:rPr>
      </w:pPr>
    </w:p>
    <w:p w14:paraId="0841D631" w14:textId="77777777" w:rsidR="004A7ABE" w:rsidRPr="005B4C57" w:rsidRDefault="004A7ABE" w:rsidP="004A7ABE">
      <w:pPr>
        <w:spacing w:after="0" w:line="240" w:lineRule="auto"/>
        <w:jc w:val="both"/>
        <w:rPr>
          <w:rFonts w:ascii="Verdana" w:eastAsia="Calibri" w:hAnsi="Verdana" w:cs="Arial"/>
          <w:b/>
          <w:bCs/>
          <w:color w:val="000000"/>
          <w:lang w:val="it-CH"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4A7ABE" w:rsidRPr="002842E0" w14:paraId="45D284CA" w14:textId="77777777" w:rsidTr="008546E0">
        <w:trPr>
          <w:trHeight w:val="162"/>
        </w:trPr>
        <w:tc>
          <w:tcPr>
            <w:tcW w:w="3119" w:type="dxa"/>
          </w:tcPr>
          <w:p w14:paraId="60C2BE7C" w14:textId="77777777" w:rsidR="004A7ABE" w:rsidRPr="005B4C57" w:rsidRDefault="004A7ABE" w:rsidP="008546E0">
            <w:pPr>
              <w:jc w:val="both"/>
              <w:rPr>
                <w:rFonts w:ascii="Verdana" w:eastAsia="Calibri" w:hAnsi="Verdana" w:cs="Arial"/>
                <w:b/>
                <w:bCs/>
                <w:color w:val="7030A0"/>
                <w:lang w:val="it-CH" w:eastAsia="es-ES_tradnl"/>
              </w:rPr>
            </w:pPr>
          </w:p>
        </w:tc>
        <w:tc>
          <w:tcPr>
            <w:tcW w:w="5670" w:type="dxa"/>
          </w:tcPr>
          <w:p w14:paraId="2A128D17" w14:textId="77777777" w:rsidR="004A7ABE" w:rsidRPr="00801462" w:rsidRDefault="004A7ABE" w:rsidP="008546E0">
            <w:pPr>
              <w:jc w:val="both"/>
              <w:rPr>
                <w:rFonts w:ascii="Verdana" w:eastAsia="Calibri" w:hAnsi="Verdana" w:cs="Arial"/>
                <w:b/>
                <w:bCs/>
                <w:lang w:eastAsia="es-ES"/>
              </w:rPr>
            </w:pPr>
            <w:r w:rsidRPr="00083AB6">
              <w:rPr>
                <w:rFonts w:ascii="Verdana" w:eastAsia="Calibri" w:hAnsi="Verdana" w:cs="Arial"/>
                <w:b/>
                <w:bCs/>
                <w:lang w:eastAsia="es-ES"/>
              </w:rPr>
              <w:t xml:space="preserve">Concepto C- </w:t>
            </w:r>
            <w:r>
              <w:rPr>
                <w:rFonts w:ascii="Verdana" w:eastAsia="Calibri" w:hAnsi="Verdana" w:cs="Arial"/>
                <w:b/>
                <w:bCs/>
                <w:lang w:eastAsia="es-ES"/>
              </w:rPr>
              <w:t>1224 de 2026</w:t>
            </w:r>
          </w:p>
          <w:p w14:paraId="24BB705E" w14:textId="77777777" w:rsidR="004A7ABE" w:rsidRPr="00801462" w:rsidRDefault="004A7ABE" w:rsidP="008546E0">
            <w:pPr>
              <w:jc w:val="both"/>
              <w:rPr>
                <w:rFonts w:ascii="Verdana" w:eastAsia="Calibri" w:hAnsi="Verdana" w:cs="Arial"/>
                <w:b/>
                <w:bCs/>
                <w:color w:val="7030A0"/>
                <w:lang w:eastAsia="es-ES"/>
              </w:rPr>
            </w:pPr>
          </w:p>
        </w:tc>
      </w:tr>
      <w:tr w:rsidR="004A7ABE" w:rsidRPr="002842E0" w14:paraId="4C9949F0" w14:textId="77777777" w:rsidTr="008546E0">
        <w:trPr>
          <w:trHeight w:val="884"/>
        </w:trPr>
        <w:tc>
          <w:tcPr>
            <w:tcW w:w="3119" w:type="dxa"/>
          </w:tcPr>
          <w:p w14:paraId="383D0D87" w14:textId="77777777" w:rsidR="004A7ABE" w:rsidRPr="00801462" w:rsidRDefault="004A7ABE" w:rsidP="008546E0">
            <w:pPr>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0AF6EA6F" w14:textId="77777777" w:rsidR="004A7ABE" w:rsidRDefault="00B17470" w:rsidP="008546E0">
            <w:pPr>
              <w:jc w:val="both"/>
              <w:rPr>
                <w:rFonts w:ascii="Verdana" w:eastAsia="Calibri" w:hAnsi="Verdana" w:cs="Arial"/>
                <w:lang w:val="es-ES" w:eastAsia="es-ES"/>
              </w:rPr>
            </w:pPr>
            <w:r>
              <w:rPr>
                <w:rFonts w:ascii="Verdana" w:eastAsia="Calibri" w:hAnsi="Verdana" w:cs="Arial"/>
                <w:lang w:val="es-ES" w:eastAsia="es-ES"/>
              </w:rPr>
              <w:t xml:space="preserve">LEY DE GARANTÍAS ELECTORALES – Prohibición artículo 33 – Contratación directa – Alcance / LEY DE GARANTÍAS ELECTORALES – Excepciones / LEY DE GARANTÍAS ELECTORALES – Prohibición del artículo 33 </w:t>
            </w:r>
          </w:p>
          <w:p w14:paraId="193CCD36" w14:textId="7C943A34" w:rsidR="00B17470" w:rsidRPr="00801462" w:rsidRDefault="00B17470" w:rsidP="008546E0">
            <w:pPr>
              <w:jc w:val="both"/>
              <w:rPr>
                <w:rFonts w:ascii="Verdana" w:eastAsia="Calibri" w:hAnsi="Verdana" w:cs="Arial"/>
                <w:lang w:val="es-ES_tradnl" w:eastAsia="es-ES"/>
              </w:rPr>
            </w:pPr>
          </w:p>
        </w:tc>
      </w:tr>
      <w:tr w:rsidR="004A7ABE" w:rsidRPr="002842E0" w14:paraId="27DC2D14" w14:textId="77777777" w:rsidTr="008546E0">
        <w:tc>
          <w:tcPr>
            <w:tcW w:w="3119" w:type="dxa"/>
          </w:tcPr>
          <w:p w14:paraId="2FB6544E" w14:textId="77777777" w:rsidR="004A7ABE" w:rsidRPr="00801462" w:rsidRDefault="004A7ABE" w:rsidP="008546E0">
            <w:pPr>
              <w:jc w:val="both"/>
              <w:rPr>
                <w:rFonts w:ascii="Verdana" w:eastAsia="Calibri" w:hAnsi="Verdana" w:cs="Arial"/>
                <w:b/>
                <w:lang w:eastAsia="es-ES_tradnl"/>
              </w:rPr>
            </w:pPr>
            <w:r w:rsidRPr="00801462">
              <w:rPr>
                <w:rFonts w:ascii="Verdana" w:eastAsia="Calibri" w:hAnsi="Verdana" w:cs="Arial"/>
                <w:b/>
                <w:lang w:eastAsia="es-ES_tradnl"/>
              </w:rPr>
              <w:t>Radicación:</w:t>
            </w:r>
            <w:r w:rsidRPr="00801462">
              <w:rPr>
                <w:rFonts w:ascii="Verdana" w:eastAsia="Calibri" w:hAnsi="Verdana" w:cs="Arial"/>
                <w:lang w:eastAsia="es-ES_tradnl"/>
              </w:rPr>
              <w:t xml:space="preserve">               </w:t>
            </w:r>
          </w:p>
        </w:tc>
        <w:tc>
          <w:tcPr>
            <w:tcW w:w="5670" w:type="dxa"/>
          </w:tcPr>
          <w:p w14:paraId="00CCFF32" w14:textId="5C68BCDB" w:rsidR="004A7ABE" w:rsidRPr="004A7ABE" w:rsidRDefault="004A7ABE" w:rsidP="008546E0">
            <w:pPr>
              <w:jc w:val="both"/>
              <w:rPr>
                <w:rFonts w:ascii="Verdana" w:eastAsia="Calibri" w:hAnsi="Verdana" w:cs="Arial"/>
                <w:color w:val="000000" w:themeColor="text1"/>
                <w:lang w:eastAsia="es-ES_tradnl"/>
              </w:rPr>
            </w:pPr>
            <w:r w:rsidRPr="004A7ABE">
              <w:rPr>
                <w:rFonts w:ascii="Verdana" w:eastAsia="Calibri" w:hAnsi="Verdana" w:cs="Arial"/>
                <w:lang w:eastAsia="es-ES_tradnl"/>
              </w:rPr>
              <w:t xml:space="preserve">Respuesta a consulta con radicado </w:t>
            </w:r>
            <w:r w:rsidRPr="004A7ABE">
              <w:rPr>
                <w:rFonts w:ascii="Verdana" w:hAnsi="Verdana"/>
                <w:color w:val="242424"/>
              </w:rPr>
              <w:t>1_2026_08_04_010259</w:t>
            </w:r>
          </w:p>
          <w:p w14:paraId="5366BFE2" w14:textId="77777777" w:rsidR="004A7ABE" w:rsidRPr="00E135CA" w:rsidRDefault="004A7ABE" w:rsidP="008546E0">
            <w:pPr>
              <w:jc w:val="both"/>
              <w:rPr>
                <w:rFonts w:ascii="Verdana" w:eastAsia="Calibri" w:hAnsi="Verdana" w:cs="Arial"/>
                <w:color w:val="000000" w:themeColor="text1"/>
                <w:lang w:eastAsia="es-ES_tradnl"/>
              </w:rPr>
            </w:pPr>
          </w:p>
        </w:tc>
      </w:tr>
    </w:tbl>
    <w:p w14:paraId="44BA0D64" w14:textId="77777777" w:rsidR="004A7ABE" w:rsidRDefault="004A7ABE" w:rsidP="004A7ABE">
      <w:pPr>
        <w:spacing w:after="0" w:line="276" w:lineRule="auto"/>
        <w:jc w:val="both"/>
        <w:rPr>
          <w:rFonts w:ascii="Verdana" w:eastAsia="Calibri" w:hAnsi="Verdana" w:cs="Arial"/>
          <w:lang w:eastAsia="es-ES_tradnl"/>
        </w:rPr>
      </w:pPr>
    </w:p>
    <w:p w14:paraId="30A086DA" w14:textId="56B39CBF" w:rsidR="004A7ABE" w:rsidRPr="008E4F36" w:rsidRDefault="004A7ABE" w:rsidP="004A7ABE">
      <w:pPr>
        <w:spacing w:after="0" w:line="276" w:lineRule="auto"/>
        <w:jc w:val="both"/>
        <w:rPr>
          <w:rFonts w:ascii="Verdana" w:eastAsia="Calibri" w:hAnsi="Verdana" w:cs="Arial"/>
          <w:lang w:eastAsia="es-ES"/>
        </w:rPr>
      </w:pPr>
      <w:r w:rsidRPr="00083AB6">
        <w:rPr>
          <w:rFonts w:ascii="Verdana" w:eastAsia="Calibri" w:hAnsi="Verdana" w:cs="Arial"/>
          <w:lang w:eastAsia="es-ES"/>
        </w:rPr>
        <w:t>Estimad</w:t>
      </w:r>
      <w:r w:rsidR="00770278">
        <w:rPr>
          <w:rFonts w:ascii="Verdana" w:eastAsia="Calibri" w:hAnsi="Verdana" w:cs="Arial"/>
          <w:lang w:eastAsia="es-ES"/>
        </w:rPr>
        <w:t>o</w:t>
      </w:r>
      <w:r>
        <w:rPr>
          <w:rFonts w:ascii="Verdana" w:eastAsia="Calibri" w:hAnsi="Verdana" w:cs="Arial"/>
          <w:lang w:eastAsia="es-ES"/>
        </w:rPr>
        <w:t xml:space="preserve"> </w:t>
      </w:r>
      <w:r w:rsidRPr="00083AB6">
        <w:rPr>
          <w:rFonts w:ascii="Verdana" w:eastAsia="Calibri" w:hAnsi="Verdana" w:cs="Arial"/>
          <w:lang w:eastAsia="es-ES"/>
        </w:rPr>
        <w:t>señor</w:t>
      </w:r>
      <w:r w:rsidR="00770278">
        <w:rPr>
          <w:rFonts w:ascii="Verdana" w:eastAsia="Calibri" w:hAnsi="Verdana" w:cs="Arial"/>
          <w:lang w:eastAsia="es-ES"/>
        </w:rPr>
        <w:t xml:space="preserve"> Valencia</w:t>
      </w:r>
      <w:r w:rsidRPr="00083AB6">
        <w:rPr>
          <w:rFonts w:ascii="Verdana" w:eastAsia="Calibri" w:hAnsi="Verdana" w:cs="Arial"/>
          <w:lang w:eastAsia="es-ES"/>
        </w:rPr>
        <w:t>:</w:t>
      </w:r>
      <w:r w:rsidRPr="008E4F36">
        <w:rPr>
          <w:rFonts w:ascii="Verdana" w:eastAsia="Calibri" w:hAnsi="Verdana" w:cs="Arial"/>
          <w:lang w:eastAsia="es-ES"/>
        </w:rPr>
        <w:t xml:space="preserve"> </w:t>
      </w:r>
    </w:p>
    <w:p w14:paraId="196224A7" w14:textId="77777777" w:rsidR="004A7ABE" w:rsidRDefault="004A7ABE" w:rsidP="004A7ABE">
      <w:pPr>
        <w:tabs>
          <w:tab w:val="left" w:pos="3768"/>
        </w:tabs>
        <w:spacing w:after="0" w:line="240" w:lineRule="auto"/>
        <w:jc w:val="both"/>
        <w:rPr>
          <w:rFonts w:ascii="Verdana" w:eastAsia="Calibri" w:hAnsi="Verdana" w:cs="Arial"/>
          <w:lang w:eastAsia="es-ES"/>
        </w:rPr>
      </w:pPr>
    </w:p>
    <w:p w14:paraId="6524CAC5" w14:textId="115E7C8C" w:rsidR="004A7ABE" w:rsidRPr="008E4F36" w:rsidRDefault="004A7ABE" w:rsidP="004A7ABE">
      <w:pPr>
        <w:tabs>
          <w:tab w:val="left" w:pos="3768"/>
        </w:tabs>
        <w:spacing w:after="0" w:line="276" w:lineRule="auto"/>
        <w:jc w:val="both"/>
        <w:rPr>
          <w:rFonts w:ascii="Verdana" w:eastAsia="Calibri" w:hAnsi="Verdana" w:cs="Arial"/>
          <w:lang w:eastAsia="es-ES"/>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Pr>
          <w:rFonts w:ascii="Verdana" w:eastAsia="Calibri" w:hAnsi="Verdana" w:cs="Arial"/>
          <w:lang w:eastAsia="es-ES"/>
        </w:rPr>
        <w:t>4</w:t>
      </w:r>
      <w:r w:rsidRPr="00AF6D58">
        <w:rPr>
          <w:rFonts w:ascii="Verdana" w:eastAsia="Calibri" w:hAnsi="Verdana" w:cs="Arial"/>
          <w:lang w:eastAsia="es-ES"/>
        </w:rPr>
        <w:t xml:space="preserve"> de </w:t>
      </w:r>
      <w:r>
        <w:rPr>
          <w:rFonts w:ascii="Verdana" w:eastAsia="Calibri" w:hAnsi="Verdana" w:cs="Arial"/>
          <w:lang w:eastAsia="es-ES"/>
        </w:rPr>
        <w:t>agosto</w:t>
      </w:r>
      <w:r w:rsidRPr="00AF6D58">
        <w:rPr>
          <w:rFonts w:ascii="Verdana" w:eastAsia="Calibri" w:hAnsi="Verdana" w:cs="Arial"/>
          <w:lang w:eastAsia="es-ES"/>
        </w:rPr>
        <w:t xml:space="preserve"> de 202</w:t>
      </w:r>
      <w:r>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p>
    <w:p w14:paraId="4F83D8EF" w14:textId="77777777" w:rsidR="004A7ABE" w:rsidRPr="008C54F3" w:rsidRDefault="004A7ABE" w:rsidP="004A7ABE">
      <w:pPr>
        <w:spacing w:line="240" w:lineRule="auto"/>
        <w:ind w:left="709" w:right="709"/>
        <w:jc w:val="both"/>
        <w:rPr>
          <w:rFonts w:ascii="Verdana" w:eastAsia="Calibri" w:hAnsi="Verdana" w:cs="Arial"/>
          <w:color w:val="000000" w:themeColor="text1"/>
          <w:sz w:val="20"/>
          <w:szCs w:val="20"/>
        </w:rPr>
      </w:pPr>
    </w:p>
    <w:p w14:paraId="52629404" w14:textId="4F8CA5CA" w:rsidR="004A7ABE" w:rsidRPr="00C05705" w:rsidRDefault="000355C1" w:rsidP="004A7ABE">
      <w:pPr>
        <w:spacing w:line="240" w:lineRule="auto"/>
        <w:ind w:left="709" w:right="709"/>
        <w:jc w:val="both"/>
        <w:rPr>
          <w:rFonts w:ascii="Verdana" w:eastAsia="Calibri" w:hAnsi="Verdana" w:cs="Arial"/>
          <w:i/>
          <w:iCs/>
          <w:color w:val="000000" w:themeColor="text1"/>
          <w:sz w:val="20"/>
          <w:szCs w:val="20"/>
        </w:rPr>
      </w:pPr>
      <w:r w:rsidRPr="008C54F3">
        <w:rPr>
          <w:rFonts w:ascii="Verdana" w:eastAsia="Calibri" w:hAnsi="Verdana" w:cs="Arial"/>
          <w:i/>
          <w:iCs/>
          <w:color w:val="000000" w:themeColor="text1"/>
          <w:sz w:val="20"/>
          <w:szCs w:val="20"/>
        </w:rPr>
        <w:t>“</w:t>
      </w:r>
      <w:r w:rsidRPr="0060486D">
        <w:rPr>
          <w:rFonts w:ascii="Verdana" w:eastAsia="Calibri" w:hAnsi="Verdana" w:cs="Arial"/>
          <w:i/>
          <w:iCs/>
          <w:color w:val="000000" w:themeColor="text1"/>
          <w:sz w:val="20"/>
          <w:szCs w:val="20"/>
        </w:rPr>
        <w:t>Amablemente</w:t>
      </w:r>
      <w:r w:rsidR="007E2D9B">
        <w:rPr>
          <w:rFonts w:ascii="Verdana" w:eastAsia="Calibri" w:hAnsi="Verdana" w:cs="Arial"/>
          <w:i/>
          <w:iCs/>
          <w:color w:val="000000" w:themeColor="text1"/>
          <w:sz w:val="20"/>
          <w:szCs w:val="20"/>
        </w:rPr>
        <w:t xml:space="preserve"> solicito se sirvan </w:t>
      </w:r>
      <w:r>
        <w:rPr>
          <w:rFonts w:ascii="Verdana" w:eastAsia="Calibri" w:hAnsi="Verdana" w:cs="Arial"/>
          <w:i/>
          <w:iCs/>
          <w:color w:val="000000" w:themeColor="text1"/>
          <w:sz w:val="20"/>
          <w:szCs w:val="20"/>
        </w:rPr>
        <w:t>explicar, enumerar y enunciar, cuales son las excepciones para la contratación directa en las entidades públicas en la ley de garantías.”</w:t>
      </w:r>
    </w:p>
    <w:p w14:paraId="2AD54575" w14:textId="77777777" w:rsidR="004A7ABE" w:rsidRDefault="004A7ABE" w:rsidP="004A7ABE">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w:t>
      </w:r>
      <w:r w:rsidRPr="008E4F36">
        <w:rPr>
          <w:rFonts w:ascii="Verdana" w:eastAsia="Calibri" w:hAnsi="Verdana" w:cs="Arial"/>
          <w:color w:val="000000"/>
          <w:lang w:eastAsia="es-ES"/>
        </w:rPr>
        <w:lastRenderedPageBreak/>
        <w:t xml:space="preserve">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52D65179" w14:textId="77777777" w:rsidR="004A7ABE" w:rsidRPr="00054383" w:rsidRDefault="004A7ABE" w:rsidP="004A7ABE">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0300831A" w14:textId="77777777" w:rsidR="004A7ABE" w:rsidRPr="008E4F36" w:rsidRDefault="004A7ABE" w:rsidP="004A7ABE">
      <w:pPr>
        <w:spacing w:after="0"/>
        <w:ind w:firstLine="709"/>
        <w:jc w:val="both"/>
        <w:rPr>
          <w:rFonts w:ascii="Verdana" w:eastAsia="Calibri" w:hAnsi="Verdana" w:cs="Arial"/>
          <w:color w:val="000000"/>
          <w:lang w:eastAsia="es-ES"/>
        </w:rPr>
      </w:pPr>
    </w:p>
    <w:p w14:paraId="45B21E63" w14:textId="77777777" w:rsidR="004A7ABE" w:rsidRDefault="004A7ABE" w:rsidP="004A7ABE">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5D44A0AB" w14:textId="77777777" w:rsidR="004A7ABE" w:rsidRDefault="004A7ABE" w:rsidP="004A7ABE">
      <w:pPr>
        <w:spacing w:after="0" w:line="276" w:lineRule="auto"/>
        <w:jc w:val="both"/>
        <w:rPr>
          <w:rFonts w:ascii="Verdana" w:eastAsia="Calibri" w:hAnsi="Verdana" w:cs="Arial"/>
          <w:color w:val="000000"/>
          <w:highlight w:val="yellow"/>
          <w:lang w:eastAsia="es-ES"/>
        </w:rPr>
      </w:pPr>
    </w:p>
    <w:p w14:paraId="2CD4B5C3" w14:textId="01984FFD" w:rsidR="004A7ABE" w:rsidRPr="0004750F" w:rsidRDefault="004A7ABE" w:rsidP="004A7ABE">
      <w:pPr>
        <w:spacing w:after="0" w:line="276" w:lineRule="auto"/>
        <w:jc w:val="both"/>
        <w:rPr>
          <w:rFonts w:ascii="Verdana" w:eastAsia="Calibri" w:hAnsi="Verdana" w:cs="Arial"/>
          <w:color w:val="000000"/>
          <w:lang w:eastAsia="es-ES"/>
        </w:rPr>
      </w:pPr>
      <w:r w:rsidRPr="00005FE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el siguiente</w:t>
      </w:r>
      <w:r w:rsidRPr="00005FE3">
        <w:rPr>
          <w:rFonts w:ascii="Verdana" w:eastAsia="Calibri" w:hAnsi="Verdana" w:cs="Arial"/>
          <w:color w:val="000000"/>
          <w:lang w:eastAsia="es-ES"/>
        </w:rPr>
        <w:t xml:space="preserve"> problema jurídico: </w:t>
      </w:r>
      <w:r w:rsidR="00FF7167" w:rsidRPr="00FF7167">
        <w:rPr>
          <w:rFonts w:ascii="Verdana" w:eastAsia="Calibri" w:hAnsi="Verdana" w:cs="Arial"/>
          <w:color w:val="000000"/>
          <w:lang w:eastAsia="es-ES"/>
        </w:rPr>
        <w:t xml:space="preserve">i) ¿Cuáles son las excepciones a la prohibición de contratación directa establecida en el artículo 33 de la Ley 996 de 2005 durante el período de aplicación de la Ley de Garantías Electorales? </w:t>
      </w:r>
    </w:p>
    <w:p w14:paraId="774DB40E" w14:textId="77777777" w:rsidR="004A7ABE" w:rsidRPr="0004750F" w:rsidRDefault="004A7ABE" w:rsidP="004A7ABE">
      <w:pPr>
        <w:spacing w:after="0" w:line="276" w:lineRule="auto"/>
        <w:jc w:val="both"/>
        <w:rPr>
          <w:rFonts w:ascii="Verdana" w:eastAsia="Calibri" w:hAnsi="Verdana" w:cs="Times New Roman"/>
          <w:lang w:val="es-ES"/>
        </w:rPr>
      </w:pPr>
    </w:p>
    <w:p w14:paraId="7B018274" w14:textId="77777777" w:rsidR="004A7ABE" w:rsidRPr="008E4F36" w:rsidRDefault="004A7ABE" w:rsidP="004A7ABE">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03F6A8A3" w14:textId="77777777" w:rsidR="004A7ABE" w:rsidRPr="008E4F36" w:rsidRDefault="004A7ABE" w:rsidP="004A7ABE">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4A7ABE" w:rsidRPr="008E4F36" w14:paraId="1BD4D477" w14:textId="77777777" w:rsidTr="008546E0">
        <w:tc>
          <w:tcPr>
            <w:tcW w:w="8828" w:type="dxa"/>
          </w:tcPr>
          <w:p w14:paraId="5ED5D9E7" w14:textId="77777777" w:rsidR="00CF3AE2" w:rsidRDefault="00CF3AE2" w:rsidP="00CF3AE2">
            <w:pPr>
              <w:spacing w:after="120" w:line="276" w:lineRule="auto"/>
              <w:jc w:val="both"/>
              <w:rPr>
                <w:rFonts w:ascii="Verdana" w:eastAsia="Times New Roman" w:hAnsi="Verdana" w:cs="Arial"/>
                <w:bCs/>
                <w:lang w:val="es-MX" w:eastAsia="x-none"/>
              </w:rPr>
            </w:pPr>
            <w:r>
              <w:rPr>
                <w:rFonts w:ascii="Verdana" w:eastAsia="Calibri" w:hAnsi="Verdana" w:cs="Arial"/>
                <w:lang w:val="es-MX"/>
              </w:rPr>
              <w:t xml:space="preserve">Conforme a la interpretación general de las normas del sistema de compras públicas, </w:t>
            </w:r>
            <w:r>
              <w:rPr>
                <w:rFonts w:ascii="Verdana" w:eastAsia="Times New Roman" w:hAnsi="Verdana" w:cs="Arial"/>
                <w:bCs/>
                <w:lang w:val="es-MX" w:eastAsia="x-none"/>
              </w:rPr>
              <w:t>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p>
          <w:p w14:paraId="7DEBF341" w14:textId="77777777" w:rsidR="00D862DD" w:rsidRDefault="00D862DD" w:rsidP="0037610B">
            <w:pPr>
              <w:spacing w:after="120" w:line="276" w:lineRule="auto"/>
              <w:ind w:firstLine="709"/>
              <w:jc w:val="both"/>
              <w:rPr>
                <w:rFonts w:ascii="Verdana" w:eastAsia="Times New Roman" w:hAnsi="Verdana" w:cs="Arial"/>
                <w:bCs/>
                <w:lang w:val="es-MX" w:eastAsia="x-none"/>
              </w:rPr>
            </w:pPr>
            <w:r>
              <w:rPr>
                <w:rFonts w:ascii="Verdana" w:eastAsia="Times New Roman" w:hAnsi="Verdana" w:cs="Arial"/>
                <w:bCs/>
                <w:lang w:val="es-MX" w:eastAsia="x-none"/>
              </w:rPr>
              <w:t>Ahora bien, e</w:t>
            </w:r>
            <w:r w:rsidR="0037610B">
              <w:rPr>
                <w:rFonts w:ascii="Verdana" w:eastAsia="Times New Roman" w:hAnsi="Verdana" w:cs="Arial"/>
                <w:bCs/>
                <w:lang w:val="es-MX" w:eastAsia="x-none"/>
              </w:rPr>
              <w:t xml:space="preserve">n ese sentido, </w:t>
            </w:r>
            <w:r w:rsidR="0037610B" w:rsidRPr="0037610B">
              <w:rPr>
                <w:rFonts w:ascii="Verdana" w:eastAsia="Times New Roman" w:hAnsi="Verdana" w:cs="Arial"/>
                <w:bCs/>
                <w:lang w:val="es-MX" w:eastAsia="x-none"/>
              </w:rPr>
              <w:t xml:space="preserve">el artículo 33 de la Ley 996 de 2005 establece que, durante los cuatro (4) meses anteriores a la elección presidencial y hasta la realización de la segunda vuelta, cuando esta sea necesaria, se encuentra prohibida la contratación directa por parte de todos los entes del Estado; sin embargo, la misma disposición contempla de manera expresa y taxativa cinco excepciones: i) los contratos relacionados con la defensa y seguridad del Estado; </w:t>
            </w:r>
            <w:proofErr w:type="spellStart"/>
            <w:r w:rsidR="0037610B" w:rsidRPr="0037610B">
              <w:rPr>
                <w:rFonts w:ascii="Verdana" w:eastAsia="Times New Roman" w:hAnsi="Verdana" w:cs="Arial"/>
                <w:bCs/>
                <w:lang w:val="es-MX" w:eastAsia="x-none"/>
              </w:rPr>
              <w:t>ii</w:t>
            </w:r>
            <w:proofErr w:type="spellEnd"/>
            <w:r w:rsidR="0037610B" w:rsidRPr="0037610B">
              <w:rPr>
                <w:rFonts w:ascii="Verdana" w:eastAsia="Times New Roman" w:hAnsi="Verdana" w:cs="Arial"/>
                <w:bCs/>
                <w:lang w:val="es-MX" w:eastAsia="x-none"/>
              </w:rPr>
              <w:t xml:space="preserve">) los contratos de crédito público; </w:t>
            </w:r>
            <w:proofErr w:type="spellStart"/>
            <w:r w:rsidR="0037610B" w:rsidRPr="0037610B">
              <w:rPr>
                <w:rFonts w:ascii="Verdana" w:eastAsia="Times New Roman" w:hAnsi="Verdana" w:cs="Arial"/>
                <w:bCs/>
                <w:lang w:val="es-MX" w:eastAsia="x-none"/>
              </w:rPr>
              <w:t>iii</w:t>
            </w:r>
            <w:proofErr w:type="spellEnd"/>
            <w:r w:rsidR="0037610B" w:rsidRPr="0037610B">
              <w:rPr>
                <w:rFonts w:ascii="Verdana" w:eastAsia="Times New Roman" w:hAnsi="Verdana" w:cs="Arial"/>
                <w:bCs/>
                <w:lang w:val="es-MX" w:eastAsia="x-none"/>
              </w:rPr>
              <w:t xml:space="preserve">) los </w:t>
            </w:r>
            <w:r w:rsidR="0037610B" w:rsidRPr="0037610B">
              <w:rPr>
                <w:rFonts w:ascii="Verdana" w:eastAsia="Times New Roman" w:hAnsi="Verdana" w:cs="Arial"/>
                <w:bCs/>
                <w:lang w:val="es-MX" w:eastAsia="x-none"/>
              </w:rPr>
              <w:lastRenderedPageBreak/>
              <w:t xml:space="preserve">contratos requeridos para atender emergencias educativas, sanitarias y desastres; </w:t>
            </w:r>
            <w:proofErr w:type="spellStart"/>
            <w:r w:rsidR="0037610B" w:rsidRPr="0037610B">
              <w:rPr>
                <w:rFonts w:ascii="Verdana" w:eastAsia="Times New Roman" w:hAnsi="Verdana" w:cs="Arial"/>
                <w:bCs/>
                <w:lang w:val="es-MX" w:eastAsia="x-none"/>
              </w:rPr>
              <w:t>iv</w:t>
            </w:r>
            <w:proofErr w:type="spellEnd"/>
            <w:r w:rsidR="0037610B" w:rsidRPr="0037610B">
              <w:rPr>
                <w:rFonts w:ascii="Verdana" w:eastAsia="Times New Roman" w:hAnsi="Verdana" w:cs="Arial"/>
                <w:bCs/>
                <w:lang w:val="es-MX" w:eastAsia="x-none"/>
              </w:rPr>
              <w:t xml:space="preserve">) los contratos destinados a la reconstrucción de vías, puentes, carreteras e infraestructura energética y de comunicaciones, cuando estas hayan sido afectadas por atentados, acciones terroristas, desastres naturales o casos de fuerza mayor; y v) los contratos que deban realizar las entidades sanitarias y hospitalarias. Estas excepciones, por tratarse de disposiciones que exceptúan una prohibición legal, son de interpretación restrictiva y, por tanto, no pueden ampliarse por analogía o interpretación extensiva. </w:t>
            </w:r>
          </w:p>
          <w:p w14:paraId="06A8FBE9" w14:textId="5560CED7" w:rsidR="004A7ABE" w:rsidRPr="0037610B" w:rsidRDefault="0037610B" w:rsidP="0037610B">
            <w:pPr>
              <w:spacing w:after="120" w:line="276" w:lineRule="auto"/>
              <w:ind w:firstLine="709"/>
              <w:jc w:val="both"/>
              <w:rPr>
                <w:rFonts w:ascii="Verdana" w:eastAsia="Times New Roman" w:hAnsi="Verdana" w:cs="Arial"/>
                <w:bCs/>
                <w:lang w:val="es-MX" w:eastAsia="x-none"/>
              </w:rPr>
            </w:pPr>
            <w:r w:rsidRPr="0037610B">
              <w:rPr>
                <w:rFonts w:ascii="Verdana" w:eastAsia="Times New Roman" w:hAnsi="Verdana" w:cs="Arial"/>
                <w:bCs/>
                <w:lang w:val="es-MX" w:eastAsia="x-none"/>
              </w:rPr>
              <w:t>En consecuencia, corresponde a cada entidad pública verificar y justificar, en el caso concreto, que la contratación directa que pretende adelantar se encuentra efectivamente comprendida dentro de alguna de las cinco hipótesis previstas por el legislador. Debe precisarse, además, que no todo contrato celebrado durante el período de Ley de Garantías constituye una excepción, pues la prohibición del artículo 33 recae específicamente sobre la contratación directa, mientras que las modalidades de selección que incorporan convocatoria pública y pluralidad de oferentes, como la licitación pública, la selección abreviada, el concurso de méritos y la mínima cuantía, no se encuentran comprendidas, por sí mismas, dentro de dicha prohibición.</w:t>
            </w:r>
          </w:p>
        </w:tc>
      </w:tr>
    </w:tbl>
    <w:p w14:paraId="4EE7A342" w14:textId="77777777" w:rsidR="004A7ABE" w:rsidRDefault="004A7ABE" w:rsidP="004A7ABE">
      <w:pPr>
        <w:tabs>
          <w:tab w:val="left" w:pos="142"/>
          <w:tab w:val="left" w:pos="284"/>
        </w:tabs>
        <w:spacing w:after="0" w:line="276" w:lineRule="auto"/>
        <w:jc w:val="both"/>
        <w:rPr>
          <w:rFonts w:ascii="Verdana" w:eastAsia="Century Gothic" w:hAnsi="Verdana" w:cs="Century Gothic"/>
          <w:b/>
          <w:bCs/>
        </w:rPr>
      </w:pPr>
    </w:p>
    <w:p w14:paraId="276F0680" w14:textId="77777777" w:rsidR="004A7ABE" w:rsidRPr="008E4F36" w:rsidRDefault="004A7ABE" w:rsidP="004A7ABE">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69592913" w14:textId="77777777" w:rsidR="004A7ABE" w:rsidRDefault="004A7ABE" w:rsidP="004A7ABE">
      <w:pPr>
        <w:pStyle w:val="Prrafodelista"/>
        <w:tabs>
          <w:tab w:val="left" w:pos="142"/>
          <w:tab w:val="left" w:pos="284"/>
        </w:tabs>
        <w:spacing w:after="0" w:line="276" w:lineRule="auto"/>
        <w:ind w:left="0"/>
        <w:contextualSpacing w:val="0"/>
        <w:jc w:val="both"/>
        <w:rPr>
          <w:rFonts w:ascii="Verdana" w:eastAsia="Calibri" w:hAnsi="Verdana" w:cs="Arial"/>
        </w:rPr>
      </w:pPr>
    </w:p>
    <w:p w14:paraId="1C89B02C" w14:textId="77777777" w:rsidR="004A7ABE" w:rsidRDefault="004A7ABE" w:rsidP="004A7ABE">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69383B88" w14:textId="77777777" w:rsidR="004A7ABE" w:rsidRDefault="004A7ABE" w:rsidP="004A7ABE">
      <w:pPr>
        <w:spacing w:after="120" w:line="276" w:lineRule="auto"/>
        <w:jc w:val="both"/>
        <w:rPr>
          <w:rFonts w:ascii="Verdana" w:eastAsia="Calibri" w:hAnsi="Verdana" w:cs="Arial"/>
          <w:color w:val="000000"/>
          <w:shd w:val="clear" w:color="auto" w:fill="FFFFFF"/>
          <w:lang w:val="es-ES"/>
        </w:rPr>
      </w:pPr>
    </w:p>
    <w:p w14:paraId="535FCC52" w14:textId="74594541" w:rsidR="00DA12C8" w:rsidRPr="00FC6F34" w:rsidRDefault="000F4741" w:rsidP="00DA12C8">
      <w:pPr>
        <w:tabs>
          <w:tab w:val="left" w:pos="426"/>
        </w:tabs>
        <w:spacing w:after="120" w:line="276" w:lineRule="auto"/>
        <w:jc w:val="both"/>
        <w:rPr>
          <w:rFonts w:ascii="Verdana" w:eastAsia="Times New Roman" w:hAnsi="Verdana" w:cs="Arial"/>
          <w:lang w:val="es-ES" w:eastAsia="es-CO"/>
        </w:rPr>
      </w:pPr>
      <w:bookmarkStart w:id="2" w:name="_Hlk204856061"/>
      <w:bookmarkStart w:id="3" w:name="_Hlk78820161"/>
      <w:bookmarkStart w:id="4" w:name="_Hlk204854194"/>
      <w:r>
        <w:rPr>
          <w:rFonts w:ascii="Verdana" w:eastAsia="Calibri" w:hAnsi="Verdana" w:cs="Arial"/>
          <w:lang w:val="es-ES"/>
        </w:rPr>
        <w:t>i.</w:t>
      </w:r>
      <w:r w:rsidR="008C73FA">
        <w:rPr>
          <w:rFonts w:ascii="Verdana" w:eastAsia="Calibri" w:hAnsi="Verdana" w:cs="Arial"/>
          <w:lang w:val="es-ES"/>
        </w:rPr>
        <w:t xml:space="preserve"> </w:t>
      </w:r>
      <w:r w:rsidR="00DA12C8" w:rsidRPr="00FC6F34">
        <w:rPr>
          <w:rFonts w:ascii="Verdana" w:eastAsia="Calibri" w:hAnsi="Verdana" w:cs="Arial"/>
          <w:lang w:val="es-ES"/>
        </w:rPr>
        <w:t>El ordenamiento jurídico colombiano contempla medidas para evitar la obtención de beneficios personales en asuntos propios de la administración pública</w:t>
      </w:r>
      <w:r w:rsidR="00DA12C8" w:rsidRPr="00FC6F34">
        <w:rPr>
          <w:rFonts w:ascii="Verdana" w:eastAsia="Calibri" w:hAnsi="Verdana" w:cs="Arial"/>
          <w:i/>
          <w:lang w:val="es-ES"/>
        </w:rPr>
        <w:t xml:space="preserve">. </w:t>
      </w:r>
      <w:r w:rsidR="00DA12C8" w:rsidRPr="00FC6F34">
        <w:rPr>
          <w:rFonts w:ascii="Verdana" w:eastAsia="Calibri" w:hAnsi="Verdana" w:cs="Arial"/>
          <w:lang w:val="es-ES"/>
        </w:rPr>
        <w:t>Por ejemplo, el artículo 127 de la Constitución Política establece una prohibición contractual a los servidores públicos y, en cuanto a aspectos políticos, señala restricciones a ciertos empleados del Estado, incluso en época no electoral</w:t>
      </w:r>
      <w:r w:rsidR="00DA12C8" w:rsidRPr="00FC6F34">
        <w:rPr>
          <w:rFonts w:ascii="Verdana" w:hAnsi="Verdana"/>
          <w:vertAlign w:val="superscript"/>
          <w:lang w:val="es-ES"/>
        </w:rPr>
        <w:footnoteReference w:id="1"/>
      </w:r>
      <w:r w:rsidR="00DA12C8" w:rsidRPr="00FC6F34">
        <w:rPr>
          <w:rFonts w:ascii="Verdana" w:eastAsia="Calibri" w:hAnsi="Verdana" w:cs="Arial"/>
          <w:lang w:val="es-ES"/>
        </w:rPr>
        <w:t xml:space="preserve">. </w:t>
      </w:r>
    </w:p>
    <w:p w14:paraId="1D2E3D15" w14:textId="77777777" w:rsidR="00DA12C8" w:rsidRPr="00FC6F34" w:rsidRDefault="00DA12C8" w:rsidP="00DA12C8">
      <w:pPr>
        <w:tabs>
          <w:tab w:val="left" w:pos="426"/>
        </w:tabs>
        <w:spacing w:after="120" w:line="276" w:lineRule="auto"/>
        <w:ind w:firstLine="709"/>
        <w:jc w:val="both"/>
        <w:rPr>
          <w:rFonts w:ascii="Verdana" w:eastAsia="Calibri" w:hAnsi="Verdana" w:cs="Arial"/>
          <w:lang w:val="es-ES"/>
        </w:rPr>
      </w:pPr>
      <w:r w:rsidRPr="00FC6F34">
        <w:rPr>
          <w:rFonts w:ascii="Verdana" w:eastAsia="Times New Roman" w:hAnsi="Verdana" w:cs="Arial"/>
          <w:lang w:val="es-ES" w:eastAsia="es-CO"/>
        </w:rPr>
        <w:lastRenderedPageBreak/>
        <w:t>En el mismo sentido, la Ley 996 de 2005, conocida como “Ley de Garantías Electorales”, se suma al andamiaje constitucional y legal que busca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FC6F34">
        <w:rPr>
          <w:rFonts w:ascii="Verdana" w:eastAsia="Times New Roman" w:hAnsi="Verdana" w:cs="Arial"/>
          <w:vertAlign w:val="superscript"/>
          <w:lang w:val="es-ES" w:eastAsia="es-CO"/>
        </w:rPr>
        <w:footnoteReference w:id="2"/>
      </w:r>
      <w:r w:rsidRPr="00FC6F34">
        <w:rPr>
          <w:rFonts w:ascii="Verdana" w:eastAsia="Times New Roman" w:hAnsi="Verdana" w:cs="Arial"/>
          <w:lang w:val="es-ES" w:eastAsia="es-CO"/>
        </w:rPr>
        <w:t>. En esta medida, introduce limitaciones para realizar nombramientos, postulaciones, contrataciones o cualquier otro tipo de actividad que implique destinación de recursos públicos bajo el devenir propio de las Entidades Estatales.</w:t>
      </w:r>
      <w:r w:rsidRPr="00FC6F34">
        <w:rPr>
          <w:rFonts w:ascii="Verdana" w:eastAsia="Calibri" w:hAnsi="Verdana" w:cs="Arial"/>
          <w:lang w:val="es-ES"/>
        </w:rPr>
        <w:t xml:space="preserve"> </w:t>
      </w:r>
    </w:p>
    <w:p w14:paraId="11EA198F" w14:textId="77777777" w:rsidR="00DA12C8" w:rsidRPr="00FC6F34" w:rsidRDefault="00DA12C8" w:rsidP="00DA12C8">
      <w:pPr>
        <w:tabs>
          <w:tab w:val="left" w:pos="426"/>
        </w:tabs>
        <w:spacing w:after="0" w:line="276" w:lineRule="auto"/>
        <w:ind w:firstLine="709"/>
        <w:jc w:val="both"/>
        <w:rPr>
          <w:rFonts w:ascii="Verdana" w:eastAsia="Calibri" w:hAnsi="Verdana" w:cs="Arial"/>
          <w:lang w:val="es-ES"/>
        </w:rPr>
      </w:pPr>
      <w:r w:rsidRPr="00FC6F34">
        <w:rPr>
          <w:rFonts w:ascii="Verdana" w:eastAsia="Times New Roman" w:hAnsi="Verdana" w:cs="Arial"/>
          <w:lang w:val="es-ES" w:eastAsia="es-CO"/>
        </w:rPr>
        <w:t>En armonía con lo anterior, la Corte Constitucional ha abordado la definición de la Ley de Garantías Electorales. De esta manera, explica que tiene como propósito:</w:t>
      </w:r>
    </w:p>
    <w:p w14:paraId="5CE34F00" w14:textId="77777777" w:rsidR="00DA12C8" w:rsidRPr="00FC6F34" w:rsidRDefault="00DA12C8" w:rsidP="00DA12C8">
      <w:pPr>
        <w:spacing w:after="0" w:line="276" w:lineRule="auto"/>
        <w:ind w:right="709"/>
        <w:jc w:val="both"/>
        <w:rPr>
          <w:rFonts w:ascii="Verdana" w:eastAsia="Times New Roman" w:hAnsi="Verdana" w:cs="Arial"/>
          <w:lang w:val="es-ES" w:eastAsia="es-CO"/>
        </w:rPr>
      </w:pPr>
    </w:p>
    <w:p w14:paraId="175A9ADA" w14:textId="77777777" w:rsidR="00DA12C8" w:rsidRPr="00FC6F34" w:rsidRDefault="00DA12C8" w:rsidP="00DA12C8">
      <w:pPr>
        <w:spacing w:after="0" w:line="240" w:lineRule="auto"/>
        <w:ind w:left="709" w:right="709"/>
        <w:contextualSpacing/>
        <w:jc w:val="both"/>
        <w:rPr>
          <w:rFonts w:ascii="Verdana" w:eastAsia="Times New Roman" w:hAnsi="Verdana" w:cs="Arial"/>
          <w:sz w:val="20"/>
          <w:szCs w:val="20"/>
          <w:lang w:val="es-ES" w:eastAsia="es-CO"/>
        </w:rPr>
      </w:pPr>
      <w:r w:rsidRPr="00FC6F34">
        <w:rPr>
          <w:rFonts w:ascii="Verdana" w:eastAsia="Times New Roman" w:hAnsi="Verdana" w:cs="Arial"/>
          <w:sz w:val="20"/>
          <w:szCs w:val="20"/>
          <w:lang w:val="es-ES" w:eastAsia="es-CO"/>
        </w:rPr>
        <w:t>“[…] la definición de reglas claras que permitan acceder a los canales de expresión democrática de manera efectiva e igualitaria. El objetivo de una ley de garantías es definir esas reglas.</w:t>
      </w:r>
    </w:p>
    <w:p w14:paraId="09F36D99" w14:textId="77777777" w:rsidR="00DA12C8" w:rsidRPr="00FC6F34" w:rsidRDefault="00DA12C8" w:rsidP="00DA12C8">
      <w:pPr>
        <w:spacing w:after="0" w:line="240" w:lineRule="auto"/>
        <w:ind w:left="709" w:right="709"/>
        <w:contextualSpacing/>
        <w:jc w:val="both"/>
        <w:rPr>
          <w:rFonts w:ascii="Verdana" w:eastAsia="Times New Roman" w:hAnsi="Verdana" w:cs="Arial"/>
          <w:sz w:val="20"/>
          <w:szCs w:val="20"/>
          <w:lang w:val="es-ES" w:eastAsia="es-CO"/>
        </w:rPr>
      </w:pPr>
      <w:r w:rsidRPr="00FC6F34">
        <w:rPr>
          <w:rFonts w:ascii="Verdana" w:eastAsia="Times New Roman" w:hAnsi="Verdana" w:cs="Arial"/>
          <w:sz w:val="20"/>
          <w:szCs w:val="20"/>
          <w:lang w:val="es-ES" w:eastAsia="es-CO"/>
        </w:rPr>
        <w:t xml:space="preserve">[…] </w:t>
      </w:r>
    </w:p>
    <w:p w14:paraId="5AC0363C" w14:textId="77777777" w:rsidR="00DA12C8" w:rsidRPr="00FC6F34" w:rsidRDefault="00DA12C8" w:rsidP="00DA12C8">
      <w:pPr>
        <w:spacing w:after="0" w:line="240" w:lineRule="auto"/>
        <w:ind w:left="709" w:right="709"/>
        <w:contextualSpacing/>
        <w:jc w:val="both"/>
        <w:rPr>
          <w:rFonts w:ascii="Verdana" w:eastAsia="Times New Roman" w:hAnsi="Verdana" w:cs="Arial"/>
          <w:sz w:val="20"/>
          <w:szCs w:val="20"/>
          <w:lang w:val="es-ES" w:eastAsia="es-CO"/>
        </w:rPr>
      </w:pPr>
      <w:r w:rsidRPr="00FC6F34">
        <w:rPr>
          <w:rFonts w:ascii="Verdana" w:eastAsia="Times New Roman" w:hAnsi="Verdana" w:cs="Arial"/>
          <w:sz w:val="20"/>
          <w:szCs w:val="20"/>
          <w:lang w:val="es-ES"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FC6F34">
        <w:rPr>
          <w:rFonts w:ascii="Verdana" w:eastAsia="Calibri" w:hAnsi="Verdana" w:cs="Arial"/>
          <w:sz w:val="20"/>
          <w:szCs w:val="20"/>
          <w:vertAlign w:val="superscript"/>
          <w:lang w:val="es-ES"/>
        </w:rPr>
        <w:footnoteReference w:id="3"/>
      </w:r>
    </w:p>
    <w:p w14:paraId="1AED89B8" w14:textId="77777777" w:rsidR="00DA12C8" w:rsidRPr="00FC6F34" w:rsidRDefault="00DA12C8" w:rsidP="00DA12C8">
      <w:pPr>
        <w:spacing w:after="0" w:line="276" w:lineRule="auto"/>
        <w:ind w:firstLine="709"/>
        <w:jc w:val="both"/>
        <w:rPr>
          <w:rFonts w:ascii="Verdana" w:eastAsia="Times New Roman" w:hAnsi="Verdana" w:cs="Arial"/>
          <w:lang w:val="es-ES" w:eastAsia="es-CO"/>
        </w:rPr>
      </w:pPr>
    </w:p>
    <w:p w14:paraId="25C91D3B" w14:textId="77777777" w:rsidR="00DA12C8" w:rsidRPr="00FC6F34" w:rsidRDefault="00DA12C8" w:rsidP="00DA12C8">
      <w:pPr>
        <w:spacing w:after="0" w:line="276" w:lineRule="auto"/>
        <w:ind w:firstLine="709"/>
        <w:jc w:val="both"/>
        <w:rPr>
          <w:rFonts w:ascii="Verdana" w:eastAsia="Times New Roman" w:hAnsi="Verdana" w:cs="Arial"/>
          <w:lang w:val="es-ES" w:eastAsia="es-CO"/>
        </w:rPr>
      </w:pPr>
      <w:r w:rsidRPr="00FC6F34">
        <w:rPr>
          <w:rFonts w:ascii="Verdana" w:eastAsia="Times New Roman" w:hAnsi="Verdana" w:cs="Arial"/>
          <w:lang w:val="es-ES" w:eastAsia="es-CO"/>
        </w:rPr>
        <w:t>En este contexto, la Ley de Garantías Electorales establece el marco jurídico para el desarrollo de las elecciones, procurando condiciones de igualdad y transparencia para los aspirantes. Paralelamente, incluye restricciones en las actuaciones de los servidores públicos, evitando interferencias en la contienda electoral, así como la posible desviación de recursos públicos en aspiraciones electorales. Por ello, varias disposiciones de la Ley 996 de 2005, al contener normas prohibitivas, deben interpretarse restrictivamente. En efecto, la Sala de Consulta y Servicio Civil del Consejo de Estado, precisó:</w:t>
      </w:r>
    </w:p>
    <w:p w14:paraId="2F731B8E" w14:textId="77777777" w:rsidR="00DA12C8" w:rsidRPr="00FC6F34" w:rsidRDefault="00DA12C8" w:rsidP="00DA12C8">
      <w:pPr>
        <w:spacing w:after="0" w:line="276" w:lineRule="auto"/>
        <w:ind w:firstLine="709"/>
        <w:jc w:val="both"/>
        <w:rPr>
          <w:rFonts w:ascii="Verdana" w:eastAsia="Times New Roman" w:hAnsi="Verdana" w:cs="Arial"/>
          <w:lang w:val="es-ES" w:eastAsia="es-CO"/>
        </w:rPr>
      </w:pPr>
    </w:p>
    <w:p w14:paraId="6DF4D61F" w14:textId="77777777" w:rsidR="00DA12C8" w:rsidRPr="00FC6F34" w:rsidRDefault="00DA12C8" w:rsidP="00DA12C8">
      <w:pPr>
        <w:spacing w:after="0" w:line="240" w:lineRule="auto"/>
        <w:ind w:left="709" w:right="709"/>
        <w:jc w:val="both"/>
        <w:rPr>
          <w:rFonts w:ascii="Verdana" w:eastAsia="Times New Roman" w:hAnsi="Verdana" w:cs="Arial"/>
          <w:sz w:val="20"/>
          <w:szCs w:val="20"/>
          <w:lang w:val="es-ES" w:eastAsia="es-CO"/>
        </w:rPr>
      </w:pPr>
      <w:r w:rsidRPr="00FC6F34">
        <w:rPr>
          <w:rFonts w:ascii="Verdana" w:eastAsia="Times New Roman" w:hAnsi="Verdana" w:cs="Arial"/>
          <w:sz w:val="20"/>
          <w:szCs w:val="20"/>
          <w:lang w:val="es-ES"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00FC6F34">
        <w:rPr>
          <w:rFonts w:ascii="Verdana" w:eastAsia="Times New Roman" w:hAnsi="Verdana" w:cs="Arial"/>
          <w:sz w:val="20"/>
          <w:szCs w:val="20"/>
          <w:lang w:val="es-ES" w:eastAsia="es-CO"/>
        </w:rPr>
        <w:t>legis</w:t>
      </w:r>
      <w:proofErr w:type="spellEnd"/>
      <w:r w:rsidRPr="00FC6F34">
        <w:rPr>
          <w:rFonts w:ascii="Verdana" w:eastAsia="Times New Roman" w:hAnsi="Verdana" w:cs="Arial"/>
          <w:sz w:val="20"/>
          <w:szCs w:val="20"/>
          <w:lang w:val="es-ES"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64C764A9" w14:textId="77777777" w:rsidR="00DA12C8" w:rsidRPr="00FC6F34" w:rsidRDefault="00DA12C8" w:rsidP="00DA12C8">
      <w:pPr>
        <w:spacing w:after="0" w:line="240" w:lineRule="auto"/>
        <w:ind w:right="709"/>
        <w:jc w:val="both"/>
        <w:rPr>
          <w:rFonts w:ascii="Verdana" w:eastAsia="Times New Roman" w:hAnsi="Verdana" w:cs="Arial"/>
          <w:lang w:val="es-ES" w:eastAsia="es-CO"/>
        </w:rPr>
      </w:pPr>
    </w:p>
    <w:p w14:paraId="506D9BE8" w14:textId="77777777" w:rsidR="00DA12C8" w:rsidRPr="00FC6F34" w:rsidRDefault="00DA12C8" w:rsidP="00DA12C8">
      <w:pPr>
        <w:spacing w:after="0" w:line="240" w:lineRule="auto"/>
        <w:ind w:left="709" w:right="709"/>
        <w:jc w:val="both"/>
        <w:rPr>
          <w:rFonts w:ascii="Verdana" w:eastAsia="Times New Roman" w:hAnsi="Verdana" w:cs="Arial"/>
          <w:sz w:val="20"/>
          <w:szCs w:val="20"/>
          <w:lang w:val="es-ES" w:eastAsia="es-CO"/>
        </w:rPr>
      </w:pPr>
      <w:r w:rsidRPr="00FC6F34">
        <w:rPr>
          <w:rFonts w:ascii="Verdana" w:eastAsia="Times New Roman" w:hAnsi="Verdana" w:cs="Arial"/>
          <w:sz w:val="20"/>
          <w:szCs w:val="20"/>
          <w:lang w:val="es-ES" w:eastAsia="es-CO"/>
        </w:rPr>
        <w:t>La jurisprudencia de la Corte Constitucional</w:t>
      </w:r>
      <w:r w:rsidRPr="00FC6F34">
        <w:rPr>
          <w:rFonts w:ascii="Verdana" w:eastAsia="Times New Roman" w:hAnsi="Verdana" w:cs="Arial"/>
          <w:sz w:val="20"/>
          <w:szCs w:val="20"/>
          <w:vertAlign w:val="superscript"/>
          <w:lang w:val="es-ES" w:eastAsia="es-CO"/>
        </w:rPr>
        <w:footnoteReference w:id="4"/>
      </w:r>
      <w:r w:rsidRPr="00FC6F34">
        <w:rPr>
          <w:rFonts w:ascii="Verdana" w:eastAsia="Times New Roman" w:hAnsi="Verdana" w:cs="Arial"/>
          <w:sz w:val="20"/>
          <w:szCs w:val="20"/>
          <w:lang w:val="es-ES" w:eastAsia="es-CO"/>
        </w:rPr>
        <w:t> y del Consejo de Estado</w:t>
      </w:r>
      <w:r w:rsidRPr="00FC6F34">
        <w:rPr>
          <w:rFonts w:ascii="Verdana" w:eastAsia="Times New Roman" w:hAnsi="Verdana" w:cs="Arial"/>
          <w:sz w:val="20"/>
          <w:szCs w:val="20"/>
          <w:vertAlign w:val="superscript"/>
          <w:lang w:val="es-ES" w:eastAsia="es-CO"/>
        </w:rPr>
        <w:footnoteReference w:id="5"/>
      </w:r>
      <w:r w:rsidRPr="00FC6F34">
        <w:rPr>
          <w:rFonts w:ascii="Verdana" w:eastAsia="Times New Roman" w:hAnsi="Verdana" w:cs="Arial"/>
          <w:sz w:val="20"/>
          <w:szCs w:val="20"/>
          <w:lang w:val="es-ES"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FC6F34">
        <w:rPr>
          <w:rFonts w:ascii="Verdana" w:eastAsia="Times New Roman" w:hAnsi="Verdana" w:cs="Arial"/>
          <w:sz w:val="20"/>
          <w:szCs w:val="20"/>
          <w:vertAlign w:val="superscript"/>
          <w:lang w:val="es-ES" w:eastAsia="es-CO"/>
        </w:rPr>
        <w:footnoteReference w:id="6"/>
      </w:r>
      <w:r w:rsidRPr="00FC6F34">
        <w:rPr>
          <w:rFonts w:ascii="Verdana" w:eastAsia="Times New Roman" w:hAnsi="Verdana" w:cs="Arial"/>
          <w:sz w:val="20"/>
          <w:szCs w:val="20"/>
          <w:lang w:val="es-ES" w:eastAsia="es-CO"/>
        </w:rPr>
        <w:t>.</w:t>
      </w:r>
    </w:p>
    <w:p w14:paraId="1802FE6E" w14:textId="77777777" w:rsidR="00DA12C8" w:rsidRPr="00FC6F34" w:rsidRDefault="00DA12C8" w:rsidP="00DA12C8">
      <w:pPr>
        <w:spacing w:after="0" w:line="276" w:lineRule="auto"/>
        <w:jc w:val="both"/>
        <w:rPr>
          <w:rFonts w:ascii="Verdana" w:eastAsia="Calibri" w:hAnsi="Verdana" w:cs="Arial"/>
          <w:bCs/>
          <w:lang w:val="es-ES"/>
        </w:rPr>
      </w:pPr>
    </w:p>
    <w:p w14:paraId="45E7920F" w14:textId="77777777" w:rsidR="00DA12C8" w:rsidRPr="00FC6F34" w:rsidRDefault="00DA12C8" w:rsidP="00DA12C8">
      <w:pPr>
        <w:spacing w:after="120" w:line="276" w:lineRule="auto"/>
        <w:ind w:firstLine="709"/>
        <w:jc w:val="both"/>
        <w:rPr>
          <w:rFonts w:ascii="Verdana" w:eastAsia="Arial" w:hAnsi="Verdana" w:cs="Arial"/>
          <w:lang w:val="es-ES" w:eastAsia="es-ES" w:bidi="es-ES"/>
        </w:rPr>
      </w:pPr>
      <w:r w:rsidRPr="00FC6F34">
        <w:rPr>
          <w:rFonts w:ascii="Verdana" w:eastAsia="Times New Roman" w:hAnsi="Verdana" w:cs="Arial"/>
          <w:lang w:val="es-ES" w:eastAsia="es-CO"/>
        </w:rPr>
        <w:t>De</w:t>
      </w:r>
      <w:r w:rsidRPr="00FC6F34">
        <w:rPr>
          <w:rFonts w:ascii="Verdana" w:eastAsia="Arial" w:hAnsi="Verdana" w:cs="Arial"/>
          <w:lang w:val="es-ES" w:eastAsia="es-ES" w:bidi="es-ES"/>
        </w:rPr>
        <w:t xml:space="preserve"> conformidad con lo anterior, 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alteren las condiciones de igualdad entre los candidatos. </w:t>
      </w:r>
    </w:p>
    <w:p w14:paraId="5FDB29F5" w14:textId="77777777" w:rsidR="00DA12C8" w:rsidRPr="00FB5047" w:rsidRDefault="00DA12C8" w:rsidP="00DA12C8">
      <w:pPr>
        <w:spacing w:after="120" w:line="276" w:lineRule="auto"/>
        <w:ind w:firstLine="709"/>
        <w:jc w:val="both"/>
        <w:rPr>
          <w:rFonts w:ascii="Verdana" w:eastAsia="Arial" w:hAnsi="Verdana" w:cs="Arial"/>
          <w:lang w:val="es-ES" w:eastAsia="es-ES" w:bidi="es-ES"/>
        </w:rPr>
      </w:pPr>
      <w:r w:rsidRPr="00FC6F34">
        <w:rPr>
          <w:rFonts w:ascii="Verdana" w:eastAsia="Arial" w:hAnsi="Verdana" w:cs="Arial"/>
          <w:lang w:val="es-ES" w:eastAsia="es-ES" w:bidi="es-ES"/>
        </w:rPr>
        <w:t>Las restricciones consagradas en la Ley de Garantías se dirigen a dos (2) tipos de campañas electorales diferenciadas: las presidenciales y las que se adelanten para la elección de los demás cargos de elección popular, tanto a nivel nacional como territorial.</w:t>
      </w:r>
    </w:p>
    <w:p w14:paraId="75E5740B" w14:textId="77777777" w:rsidR="00DA12C8" w:rsidRDefault="00DA12C8" w:rsidP="00DA12C8">
      <w:pPr>
        <w:tabs>
          <w:tab w:val="left" w:pos="426"/>
        </w:tabs>
        <w:spacing w:after="120" w:line="276" w:lineRule="auto"/>
        <w:ind w:firstLine="709"/>
        <w:jc w:val="both"/>
        <w:rPr>
          <w:rFonts w:ascii="Verdana" w:eastAsia="Arial" w:hAnsi="Verdana" w:cs="Arial"/>
          <w:lang w:val="es-ES" w:eastAsia="es-ES" w:bidi="es-ES"/>
        </w:rPr>
      </w:pPr>
      <w:r w:rsidRPr="00FC6F34">
        <w:rPr>
          <w:rFonts w:ascii="Verdana" w:eastAsia="Calibri" w:hAnsi="Verdana" w:cs="Arial"/>
          <w:lang w:val="es-ES"/>
        </w:rPr>
        <w:lastRenderedPageBreak/>
        <w:t xml:space="preserve">Por un lado, </w:t>
      </w:r>
      <w:bookmarkStart w:id="5" w:name="_Hlk100679383"/>
      <w:r>
        <w:rPr>
          <w:rFonts w:ascii="Verdana" w:eastAsia="Calibri" w:hAnsi="Verdana" w:cs="Arial"/>
        </w:rPr>
        <w:t xml:space="preserve">el </w:t>
      </w:r>
      <w:r>
        <w:rPr>
          <w:rFonts w:ascii="Verdana" w:eastAsia="Calibri" w:hAnsi="Verdana" w:cs="Arial"/>
          <w:i/>
          <w:iCs/>
        </w:rPr>
        <w:t>artículo 33 de la Ley 996 de 2005</w:t>
      </w:r>
      <w:r>
        <w:rPr>
          <w:rFonts w:ascii="Verdana" w:eastAsia="Calibri" w:hAnsi="Verdana" w:cs="Arial"/>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Pr>
          <w:vertAlign w:val="superscript"/>
        </w:rPr>
        <w:footnoteReference w:id="7"/>
      </w:r>
      <w:r>
        <w:rPr>
          <w:rFonts w:ascii="Verdana" w:eastAsia="Calibri" w:hAnsi="Verdana" w:cs="Arial"/>
        </w:rPr>
        <w:t>.</w:t>
      </w:r>
      <w:bookmarkEnd w:id="5"/>
      <w:r>
        <w:rPr>
          <w:rFonts w:ascii="Verdana" w:eastAsia="Arial" w:hAnsi="Verdana" w:cs="Arial"/>
          <w:lang w:val="es-ES" w:eastAsia="es-ES" w:bidi="es-ES"/>
        </w:rPr>
        <w:t xml:space="preserve"> </w:t>
      </w:r>
    </w:p>
    <w:p w14:paraId="7EA1B43E" w14:textId="77777777" w:rsidR="00DA12C8" w:rsidRDefault="00DA12C8" w:rsidP="00DA12C8">
      <w:pPr>
        <w:tabs>
          <w:tab w:val="left" w:pos="426"/>
        </w:tabs>
        <w:spacing w:after="120" w:line="276" w:lineRule="auto"/>
        <w:ind w:firstLine="709"/>
        <w:jc w:val="both"/>
        <w:rPr>
          <w:rFonts w:ascii="Verdana" w:eastAsia="Calibri" w:hAnsi="Verdana" w:cs="Arial"/>
          <w:lang w:val="es-ES"/>
        </w:rPr>
      </w:pPr>
      <w:r w:rsidRPr="00FC6F34">
        <w:rPr>
          <w:rFonts w:ascii="Verdana" w:eastAsia="Calibri" w:hAnsi="Verdana" w:cs="Arial"/>
          <w:lang w:val="es-ES"/>
        </w:rPr>
        <w:t xml:space="preserve">Por otro lado, </w:t>
      </w:r>
      <w:r w:rsidRPr="00FC6F34">
        <w:rPr>
          <w:rFonts w:ascii="Verdana" w:eastAsia="Calibri" w:hAnsi="Verdana" w:cs="Arial"/>
          <w:i/>
          <w:iCs/>
          <w:lang w:val="es-ES"/>
        </w:rPr>
        <w:t xml:space="preserve">el parágrafo del artículo 38 </w:t>
      </w:r>
      <w:r w:rsidRPr="00FC6F34">
        <w:rPr>
          <w:rFonts w:ascii="Verdana" w:eastAsia="Calibri" w:hAnsi="Verdana" w:cs="Arial"/>
          <w:lang w:val="es-ES"/>
        </w:rPr>
        <w:t xml:space="preserve">de la Ley 996 de 2005 prevé una restricción, aplicable respecto de </w:t>
      </w:r>
      <w:r w:rsidRPr="00FC6F34">
        <w:rPr>
          <w:rFonts w:ascii="Verdana" w:eastAsia="Calibri" w:hAnsi="Verdana" w:cs="Arial"/>
          <w:i/>
          <w:iCs/>
          <w:lang w:val="es-ES"/>
        </w:rPr>
        <w:t>cualquier tipo de contienda electoral</w:t>
      </w:r>
      <w:r w:rsidRPr="00FC6F34">
        <w:rPr>
          <w:rFonts w:ascii="Verdana" w:eastAsia="Calibri" w:hAnsi="Verdana" w:cs="Arial"/>
          <w:lang w:val="es-ES"/>
        </w:rPr>
        <w:t>,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FC6F34">
        <w:rPr>
          <w:rFonts w:ascii="Verdana" w:eastAsia="Calibri" w:hAnsi="Verdana" w:cs="Arial"/>
          <w:vertAlign w:val="superscript"/>
          <w:lang w:val="es-ES"/>
        </w:rPr>
        <w:footnoteReference w:id="8"/>
      </w:r>
      <w:r w:rsidRPr="00FC6F34">
        <w:rPr>
          <w:rFonts w:ascii="Verdana" w:eastAsia="Calibri" w:hAnsi="Verdana" w:cs="Arial"/>
          <w:lang w:val="es-ES"/>
        </w:rPr>
        <w:t>.</w:t>
      </w:r>
    </w:p>
    <w:p w14:paraId="1C8C9E3E" w14:textId="77777777" w:rsidR="00DA12C8" w:rsidRDefault="00DA12C8" w:rsidP="00DA12C8">
      <w:pPr>
        <w:widowControl w:val="0"/>
        <w:autoSpaceDE w:val="0"/>
        <w:autoSpaceDN w:val="0"/>
        <w:spacing w:after="0" w:line="276" w:lineRule="auto"/>
        <w:ind w:right="113" w:firstLine="708"/>
        <w:contextualSpacing/>
        <w:jc w:val="both"/>
        <w:rPr>
          <w:rFonts w:ascii="Verdana" w:eastAsia="Arial" w:hAnsi="Verdana" w:cs="Arial"/>
          <w:lang w:val="es-ES" w:eastAsia="es-ES" w:bidi="es-ES"/>
        </w:rPr>
      </w:pPr>
      <w:r w:rsidRPr="00FC6F34">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señala:</w:t>
      </w:r>
    </w:p>
    <w:p w14:paraId="599F83C4" w14:textId="77777777" w:rsidR="00DA12C8" w:rsidRPr="00FC6F34" w:rsidRDefault="00DA12C8" w:rsidP="00DA12C8">
      <w:pPr>
        <w:widowControl w:val="0"/>
        <w:autoSpaceDE w:val="0"/>
        <w:autoSpaceDN w:val="0"/>
        <w:spacing w:after="0" w:line="276" w:lineRule="auto"/>
        <w:ind w:right="113" w:firstLine="708"/>
        <w:contextualSpacing/>
        <w:jc w:val="both"/>
        <w:rPr>
          <w:rFonts w:ascii="Verdana" w:eastAsia="Arial" w:hAnsi="Verdana" w:cs="Arial"/>
          <w:lang w:val="es-ES" w:eastAsia="es-ES" w:bidi="es-ES"/>
        </w:rPr>
      </w:pPr>
    </w:p>
    <w:p w14:paraId="578EEED6" w14:textId="77777777" w:rsidR="00DA12C8" w:rsidRDefault="00DA12C8" w:rsidP="00DA12C8">
      <w:pPr>
        <w:widowControl w:val="0"/>
        <w:autoSpaceDE w:val="0"/>
        <w:autoSpaceDN w:val="0"/>
        <w:spacing w:line="240" w:lineRule="auto"/>
        <w:ind w:left="709" w:right="709"/>
        <w:jc w:val="both"/>
        <w:rPr>
          <w:rFonts w:ascii="Verdana" w:eastAsia="Arial" w:hAnsi="Verdana" w:cs="Arial"/>
          <w:sz w:val="20"/>
          <w:szCs w:val="20"/>
          <w:lang w:val="es-ES" w:eastAsia="es-ES" w:bidi="es-ES"/>
        </w:rPr>
      </w:pPr>
      <w:r w:rsidRPr="00FC6F34">
        <w:rPr>
          <w:rFonts w:ascii="Verdana" w:eastAsia="Arial" w:hAnsi="Verdana" w:cs="Arial"/>
          <w:sz w:val="20"/>
          <w:szCs w:val="20"/>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w:t>
      </w:r>
      <w:r w:rsidRPr="00FC6F34">
        <w:rPr>
          <w:rFonts w:ascii="Verdana" w:eastAsia="Arial" w:hAnsi="Verdana" w:cs="Arial"/>
          <w:sz w:val="20"/>
          <w:szCs w:val="20"/>
          <w:lang w:val="es-ES" w:eastAsia="es-ES" w:bidi="es-ES"/>
        </w:rPr>
        <w:lastRenderedPageBreak/>
        <w:t xml:space="preserve">se excluyen sino que se integran parcialmente,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w:t>
      </w:r>
      <w:proofErr w:type="gramStart"/>
      <w:r w:rsidRPr="00FC6F34">
        <w:rPr>
          <w:rFonts w:ascii="Verdana" w:eastAsia="Arial" w:hAnsi="Verdana" w:cs="Arial"/>
          <w:sz w:val="20"/>
          <w:szCs w:val="20"/>
          <w:lang w:val="es-ES" w:eastAsia="es-ES" w:bidi="es-ES"/>
        </w:rPr>
        <w:t>Presidente</w:t>
      </w:r>
      <w:proofErr w:type="gramEnd"/>
      <w:r w:rsidRPr="00FC6F34">
        <w:rPr>
          <w:rFonts w:ascii="Verdana" w:eastAsia="Arial" w:hAnsi="Verdana" w:cs="Arial"/>
          <w:sz w:val="20"/>
          <w:szCs w:val="20"/>
          <w:lang w:val="es-ES" w:eastAsia="es-ES" w:bidi="es-ES"/>
        </w:rPr>
        <w:t xml:space="preserve"> de la República, a las autoridades territoriales allí mencionadas sólo se aplican las restricciones contenidas en el parágrafo del artículo 38”.</w:t>
      </w:r>
      <w:r w:rsidRPr="00FC6F34">
        <w:rPr>
          <w:rFonts w:ascii="Verdana" w:eastAsia="Arial" w:hAnsi="Verdana" w:cs="Arial"/>
          <w:sz w:val="20"/>
          <w:szCs w:val="20"/>
          <w:vertAlign w:val="superscript"/>
          <w:lang w:val="es-ES" w:eastAsia="es-ES" w:bidi="es-ES"/>
        </w:rPr>
        <w:footnoteReference w:id="9"/>
      </w:r>
    </w:p>
    <w:p w14:paraId="216D7284" w14:textId="77777777" w:rsidR="00DA12C8" w:rsidRPr="00810BC3" w:rsidRDefault="00DA12C8" w:rsidP="00DA12C8">
      <w:pPr>
        <w:widowControl w:val="0"/>
        <w:autoSpaceDE w:val="0"/>
        <w:autoSpaceDN w:val="0"/>
        <w:spacing w:before="240" w:after="0" w:line="240" w:lineRule="auto"/>
        <w:ind w:left="709" w:right="709"/>
        <w:jc w:val="both"/>
        <w:rPr>
          <w:rFonts w:ascii="Verdana" w:eastAsia="Arial" w:hAnsi="Verdana" w:cs="Arial"/>
          <w:sz w:val="20"/>
          <w:szCs w:val="20"/>
          <w:lang w:val="es-ES" w:eastAsia="es-ES" w:bidi="es-ES"/>
        </w:rPr>
      </w:pPr>
    </w:p>
    <w:p w14:paraId="7ECF0592" w14:textId="77777777" w:rsidR="00DA12C8" w:rsidRPr="00FC6F34" w:rsidRDefault="00DA12C8" w:rsidP="00DA12C8">
      <w:pPr>
        <w:spacing w:after="120" w:line="276" w:lineRule="auto"/>
        <w:ind w:firstLine="709"/>
        <w:jc w:val="both"/>
        <w:rPr>
          <w:rFonts w:ascii="Verdana" w:eastAsia="Arial" w:hAnsi="Verdana" w:cs="Arial"/>
          <w:lang w:val="es-ES" w:eastAsia="es-ES" w:bidi="es-ES"/>
        </w:rPr>
      </w:pPr>
      <w:r w:rsidRPr="00FC6F34">
        <w:rPr>
          <w:rFonts w:ascii="Verdana" w:eastAsia="Arial" w:hAnsi="Verdana" w:cs="Arial"/>
          <w:lang w:val="es-ES" w:eastAsia="es-ES" w:bidi="es-ES"/>
        </w:rPr>
        <w:t xml:space="preserve">De conformidad con lo anterior, la Ley 996 de 2005 establece dos (2) tipos de restricciones en materia de contratación, las cuales coinciden parcialmente. </w:t>
      </w:r>
      <w:r w:rsidRPr="00FC6F34">
        <w:rPr>
          <w:rFonts w:ascii="Verdana" w:eastAsia="Arial" w:hAnsi="Verdana" w:cs="Arial"/>
          <w:i/>
          <w:lang w:val="es-ES" w:eastAsia="es-ES" w:bidi="es-ES"/>
        </w:rPr>
        <w:t>En primer lugar</w:t>
      </w:r>
      <w:r w:rsidRPr="00FC6F34">
        <w:rPr>
          <w:rFonts w:ascii="Verdana" w:eastAsia="Arial" w:hAnsi="Verdana" w:cs="Arial"/>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FC6F34">
        <w:rPr>
          <w:rFonts w:ascii="Verdana" w:eastAsia="Arial" w:hAnsi="Verdana" w:cs="Arial"/>
          <w:i/>
          <w:lang w:val="es-ES" w:eastAsia="es-ES" w:bidi="es-ES"/>
        </w:rPr>
        <w:t>En segundo lugar</w:t>
      </w:r>
      <w:r w:rsidRPr="00FC6F34">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6715A726" w14:textId="77777777" w:rsidR="00DA12C8" w:rsidRPr="00FC6F34" w:rsidRDefault="00DA12C8" w:rsidP="00DA12C8">
      <w:pPr>
        <w:spacing w:after="120" w:line="276" w:lineRule="auto"/>
        <w:ind w:firstLine="709"/>
        <w:jc w:val="both"/>
        <w:rPr>
          <w:rFonts w:ascii="Verdana" w:eastAsia="Arial" w:hAnsi="Verdana" w:cs="Arial"/>
          <w:lang w:val="es-ES" w:eastAsia="es-ES" w:bidi="es-ES"/>
        </w:rPr>
      </w:pPr>
      <w:r w:rsidRPr="00FC6F34">
        <w:rPr>
          <w:rFonts w:ascii="Verdana" w:eastAsia="Arial" w:hAnsi="Verdana" w:cs="Arial"/>
          <w:lang w:val="es-ES" w:eastAsia="es-ES" w:bidi="es-ES"/>
        </w:rPr>
        <w:t xml:space="preserve">Ambas restricciones no son excluyentes, lo que permite concluir que, en el período preelectoral para elección de </w:t>
      </w:r>
      <w:proofErr w:type="gramStart"/>
      <w:r w:rsidRPr="00FC6F34">
        <w:rPr>
          <w:rFonts w:ascii="Verdana" w:eastAsia="Arial" w:hAnsi="Verdana" w:cs="Arial"/>
          <w:lang w:val="es-ES" w:eastAsia="es-ES" w:bidi="es-ES"/>
        </w:rPr>
        <w:t>Presidente</w:t>
      </w:r>
      <w:proofErr w:type="gramEnd"/>
      <w:r w:rsidRPr="00FC6F34">
        <w:rPr>
          <w:rFonts w:ascii="Verdana" w:eastAsia="Arial" w:hAnsi="Verdana" w:cs="Arial"/>
          <w:lang w:val="es-ES" w:eastAsia="es-ES" w:bidi="es-ES"/>
        </w:rPr>
        <w:t xml:space="preserve"> de la República, aplican las restricciones del artículo 33 con sus excepciones, así como las del parágrafo del artículo 38, a todos los entes del Estado. En cambio, tratándose de elecciones en general, excluyendo las correspondientes al </w:t>
      </w:r>
      <w:proofErr w:type="gramStart"/>
      <w:r w:rsidRPr="00FC6F34">
        <w:rPr>
          <w:rFonts w:ascii="Verdana" w:eastAsia="Arial" w:hAnsi="Verdana" w:cs="Arial"/>
          <w:lang w:val="es-ES" w:eastAsia="es-ES" w:bidi="es-ES"/>
        </w:rPr>
        <w:t>Presidente</w:t>
      </w:r>
      <w:proofErr w:type="gramEnd"/>
      <w:r w:rsidRPr="00FC6F34">
        <w:rPr>
          <w:rFonts w:ascii="Verdana" w:eastAsia="Arial" w:hAnsi="Verdana" w:cs="Arial"/>
          <w:lang w:val="es-ES" w:eastAsia="es-ES" w:bidi="es-ES"/>
        </w:rPr>
        <w:t xml:space="preserve"> de la República, las autoridades allí mencionadas sólo deben aplicar las restricciones contenidas en el parágrafo del artículo 38.</w:t>
      </w:r>
    </w:p>
    <w:p w14:paraId="44BA5969" w14:textId="77777777" w:rsidR="00DA12C8" w:rsidRDefault="00DA12C8" w:rsidP="00DA12C8">
      <w:pPr>
        <w:spacing w:after="120" w:line="276" w:lineRule="auto"/>
        <w:ind w:firstLine="709"/>
        <w:jc w:val="both"/>
        <w:rPr>
          <w:rFonts w:ascii="Verdana" w:eastAsia="Arial" w:hAnsi="Verdana" w:cs="Arial"/>
          <w:lang w:val="es-ES" w:eastAsia="es-ES" w:bidi="es-ES"/>
        </w:rPr>
      </w:pPr>
      <w:r w:rsidRPr="00FC6F34">
        <w:rPr>
          <w:rFonts w:ascii="Verdana" w:eastAsia="Arial" w:hAnsi="Verdana" w:cs="Arial"/>
          <w:lang w:val="es-ES" w:eastAsia="es-ES" w:bidi="es-ES"/>
        </w:rPr>
        <w:t xml:space="preserve">La Corte Constitucional, en la Sentencia C-1153 del 11 de noviembre de 2005, señaló que, para que la garantía sea plena, era necesario que la </w:t>
      </w:r>
      <w:r w:rsidRPr="00FC6F34">
        <w:rPr>
          <w:rFonts w:ascii="Verdana" w:eastAsia="Arial" w:hAnsi="Verdana" w:cs="Arial"/>
          <w:lang w:val="es-ES" w:eastAsia="es-ES" w:bidi="es-ES"/>
        </w:rPr>
        <w:lastRenderedPageBreak/>
        <w:t xml:space="preserve">prohibición se aplicara para el </w:t>
      </w:r>
      <w:proofErr w:type="gramStart"/>
      <w:r w:rsidRPr="00FC6F34">
        <w:rPr>
          <w:rFonts w:ascii="Verdana" w:eastAsia="Arial" w:hAnsi="Verdana" w:cs="Arial"/>
          <w:lang w:val="es-ES" w:eastAsia="es-ES" w:bidi="es-ES"/>
        </w:rPr>
        <w:t>Presidente</w:t>
      </w:r>
      <w:proofErr w:type="gramEnd"/>
      <w:r w:rsidRPr="00FC6F34">
        <w:rPr>
          <w:rFonts w:ascii="Verdana" w:eastAsia="Arial" w:hAnsi="Verdana" w:cs="Arial"/>
          <w:lang w:val="es-ES" w:eastAsia="es-ES" w:bidi="es-ES"/>
        </w:rPr>
        <w:t xml:space="preserve"> o el </w:t>
      </w:r>
      <w:proofErr w:type="gramStart"/>
      <w:r w:rsidRPr="00FC6F34">
        <w:rPr>
          <w:rFonts w:ascii="Verdana" w:eastAsia="Arial" w:hAnsi="Verdana" w:cs="Arial"/>
          <w:lang w:val="es-ES" w:eastAsia="es-ES" w:bidi="es-ES"/>
        </w:rPr>
        <w:t>Vicepresidente</w:t>
      </w:r>
      <w:proofErr w:type="gramEnd"/>
      <w:r w:rsidRPr="00FC6F34">
        <w:rPr>
          <w:rFonts w:ascii="Verdana" w:eastAsia="Arial" w:hAnsi="Verdana" w:cs="Arial"/>
          <w:lang w:val="es-ES" w:eastAsia="es-ES" w:bidi="es-ES"/>
        </w:rPr>
        <w:t xml:space="preserv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w:t>
      </w:r>
      <w:proofErr w:type="gramStart"/>
      <w:r w:rsidRPr="00FC6F34">
        <w:rPr>
          <w:rFonts w:ascii="Verdana" w:eastAsia="Arial" w:hAnsi="Verdana" w:cs="Arial"/>
          <w:lang w:val="es-ES" w:eastAsia="es-ES" w:bidi="es-ES"/>
        </w:rPr>
        <w:t>Presidente</w:t>
      </w:r>
      <w:proofErr w:type="gramEnd"/>
      <w:r w:rsidRPr="00FC6F34">
        <w:rPr>
          <w:rFonts w:ascii="Verdana" w:eastAsia="Arial" w:hAnsi="Verdana" w:cs="Arial"/>
          <w:lang w:val="es-ES" w:eastAsia="es-ES" w:bidi="es-ES"/>
        </w:rPr>
        <w:t xml:space="preserve"> y el </w:t>
      </w:r>
      <w:proofErr w:type="gramStart"/>
      <w:r w:rsidRPr="00FC6F34">
        <w:rPr>
          <w:rFonts w:ascii="Verdana" w:eastAsia="Arial" w:hAnsi="Verdana" w:cs="Arial"/>
          <w:lang w:val="es-ES" w:eastAsia="es-ES" w:bidi="es-ES"/>
        </w:rPr>
        <w:t>Vicepresidente</w:t>
      </w:r>
      <w:proofErr w:type="gramEnd"/>
      <w:r w:rsidRPr="00FC6F34">
        <w:rPr>
          <w:rFonts w:ascii="Verdana" w:eastAsia="Arial" w:hAnsi="Verdana" w:cs="Arial"/>
          <w:lang w:val="es-ES" w:eastAsia="es-ES" w:bidi="es-ES"/>
        </w:rPr>
        <w:t xml:space="preserve"> de la República, ha perdido vigencia ante la prohibición de la reelección presidencial, restablecida por el Acto Legislativo 2 de 2015. Esto, excepto para el </w:t>
      </w:r>
      <w:proofErr w:type="gramStart"/>
      <w:r w:rsidRPr="00FC6F34">
        <w:rPr>
          <w:rFonts w:ascii="Verdana" w:eastAsia="Arial" w:hAnsi="Verdana" w:cs="Arial"/>
          <w:lang w:val="es-ES" w:eastAsia="es-ES" w:bidi="es-ES"/>
        </w:rPr>
        <w:t>Vicepresidente</w:t>
      </w:r>
      <w:proofErr w:type="gramEnd"/>
      <w:r w:rsidRPr="00FC6F34">
        <w:rPr>
          <w:rFonts w:ascii="Verdana" w:eastAsia="Arial" w:hAnsi="Verdana" w:cs="Arial"/>
          <w:lang w:val="es-ES" w:eastAsia="es-ES" w:bidi="es-ES"/>
        </w:rPr>
        <w:t xml:space="preserve"> que no haya ejercido la presidencia o que la haya ejercido por un tiempo inferior a tres (3) meses durante el respectivo cuatrienio, en forma continua o discontinua, conforme al artículo 197 de la Constitución Política. </w:t>
      </w:r>
    </w:p>
    <w:p w14:paraId="3C04ED9B" w14:textId="77777777" w:rsidR="00DA12C8" w:rsidRPr="003E7D05" w:rsidRDefault="00DA12C8" w:rsidP="00DA12C8">
      <w:pPr>
        <w:spacing w:after="120" w:line="276" w:lineRule="auto"/>
        <w:ind w:firstLine="709"/>
        <w:jc w:val="both"/>
        <w:rPr>
          <w:rFonts w:ascii="Verdana" w:eastAsia="Arial" w:hAnsi="Verdana" w:cs="Arial"/>
          <w:lang w:val="es-ES" w:eastAsia="es-ES" w:bidi="es-ES"/>
        </w:rPr>
      </w:pPr>
      <w:r>
        <w:rPr>
          <w:rFonts w:ascii="Verdana" w:eastAsia="Times New Roman" w:hAnsi="Verdana" w:cs="Arial"/>
          <w:bCs/>
          <w:lang w:val="es-MX" w:eastAsia="x-none"/>
        </w:rPr>
        <w:t xml:space="preserve">Respecto del ámbito material de la prohibición contenida en el artículo 33 de la ley 996 de 2005, está delimitado por la expresión </w:t>
      </w:r>
      <w:r>
        <w:rPr>
          <w:rFonts w:ascii="Verdana" w:eastAsia="Calibri" w:hAnsi="Verdana" w:cs="Arial"/>
          <w:bCs/>
          <w:sz w:val="20"/>
          <w:szCs w:val="20"/>
          <w:lang w:val="es-MX"/>
        </w:rPr>
        <w:t>“</w:t>
      </w:r>
      <w:r>
        <w:rPr>
          <w:rFonts w:ascii="Verdana" w:eastAsia="Times New Roman" w:hAnsi="Verdana" w:cs="Arial"/>
          <w:bCs/>
          <w:lang w:val="es-MX" w:eastAsia="x-none"/>
        </w:rPr>
        <w:t>queda prohibida la contratación directa</w:t>
      </w:r>
      <w:r>
        <w:rPr>
          <w:rFonts w:ascii="Verdana" w:eastAsia="Calibri" w:hAnsi="Verdana" w:cs="Arial"/>
          <w:sz w:val="20"/>
          <w:szCs w:val="20"/>
          <w:lang w:val="es-MX"/>
        </w:rPr>
        <w:t>”</w:t>
      </w:r>
      <w:r>
        <w:rPr>
          <w:rFonts w:ascii="Verdana" w:eastAsia="Times New Roman" w:hAnsi="Verdana" w:cs="Arial"/>
          <w:bCs/>
          <w:lang w:val="es-MX" w:eastAsia="x-none"/>
        </w:rPr>
        <w:t xml:space="preserve">. </w:t>
      </w:r>
      <w:r>
        <w:rPr>
          <w:rFonts w:ascii="Verdana" w:eastAsia="Times New Roman" w:hAnsi="Verdana" w:cs="Arial"/>
          <w:lang w:val="es-MX" w:eastAsia="es-CO"/>
        </w:rPr>
        <w:t xml:space="preserve"> A propósito de </w:t>
      </w:r>
      <w:r>
        <w:rPr>
          <w:rFonts w:ascii="Verdana" w:eastAsia="Times New Roman" w:hAnsi="Verdana" w:cs="Arial"/>
          <w:lang w:eastAsia="es-CO"/>
        </w:rPr>
        <w:t>esta restricción de la Ley de Garantías Electorales, la Sala de Consulta y Servicio Civil del Consejo de Estado ha considerado que:</w:t>
      </w:r>
    </w:p>
    <w:p w14:paraId="241C32B2" w14:textId="77777777" w:rsidR="00DA12C8" w:rsidRDefault="00DA12C8" w:rsidP="00DA12C8">
      <w:pPr>
        <w:spacing w:after="120" w:line="240" w:lineRule="auto"/>
        <w:ind w:left="709" w:right="709"/>
        <w:jc w:val="both"/>
        <w:rPr>
          <w:rFonts w:ascii="Verdana" w:eastAsia="Calibri" w:hAnsi="Verdana" w:cs="Arial"/>
          <w:sz w:val="20"/>
          <w:szCs w:val="20"/>
          <w:lang w:val="es-MX"/>
        </w:rPr>
      </w:pPr>
      <w:r>
        <w:rPr>
          <w:rFonts w:ascii="Verdana" w:eastAsia="Calibri" w:hAnsi="Verdana" w:cs="Arial"/>
          <w:sz w:val="20"/>
          <w:szCs w:val="20"/>
          <w:lang w:val="es-MX"/>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Pr>
          <w:rFonts w:ascii="Verdana" w:eastAsia="Times New Roman" w:hAnsi="Verdana" w:cs="Arial"/>
          <w:sz w:val="20"/>
          <w:szCs w:val="20"/>
          <w:vertAlign w:val="superscript"/>
          <w:lang w:eastAsia="es-CO"/>
        </w:rPr>
        <w:footnoteReference w:id="10"/>
      </w:r>
      <w:r>
        <w:rPr>
          <w:rFonts w:ascii="Verdana" w:eastAsia="Calibri" w:hAnsi="Verdana" w:cs="Arial"/>
          <w:sz w:val="20"/>
          <w:szCs w:val="20"/>
          <w:lang w:val="es-MX"/>
        </w:rPr>
        <w:t>.</w:t>
      </w:r>
    </w:p>
    <w:p w14:paraId="68D192E7" w14:textId="77777777" w:rsidR="00DA12C8" w:rsidRDefault="00DA12C8" w:rsidP="00DA12C8">
      <w:pPr>
        <w:spacing w:after="0" w:line="240" w:lineRule="auto"/>
        <w:ind w:left="708" w:right="709"/>
        <w:jc w:val="both"/>
        <w:rPr>
          <w:rFonts w:ascii="Verdana" w:eastAsia="Calibri" w:hAnsi="Verdana" w:cs="Arial"/>
          <w:sz w:val="20"/>
          <w:szCs w:val="20"/>
          <w:lang w:val="es-MX"/>
        </w:rPr>
      </w:pPr>
      <w:r>
        <w:rPr>
          <w:rFonts w:ascii="Verdana" w:eastAsia="Calibri" w:hAnsi="Verdana" w:cs="Arial"/>
          <w:sz w:val="20"/>
          <w:szCs w:val="20"/>
          <w:lang w:val="es-MX"/>
        </w:rPr>
        <w:t xml:space="preserve">Esta Sala ha entendido </w:t>
      </w:r>
      <w:proofErr w:type="gramStart"/>
      <w:r>
        <w:rPr>
          <w:rFonts w:ascii="Verdana" w:eastAsia="Calibri" w:hAnsi="Verdana" w:cs="Arial"/>
          <w:sz w:val="20"/>
          <w:szCs w:val="20"/>
          <w:lang w:val="es-MX"/>
        </w:rPr>
        <w:t>que</w:t>
      </w:r>
      <w:proofErr w:type="gramEnd"/>
      <w:r>
        <w:rPr>
          <w:rFonts w:ascii="Verdana" w:eastAsia="Calibri" w:hAnsi="Verdana" w:cs="Arial"/>
          <w:sz w:val="20"/>
          <w:szCs w:val="20"/>
          <w:lang w:val="es-MX"/>
        </w:rPr>
        <w:t xml:space="preserve"> para los efectos de la ley de garantías, y dada su finalidad, el enunciado ´contratación directa´ es sinónimo de cualquier sistema que no implique convocatoria pública y posibilidad de pluralidad de oferentes, y que, además, </w:t>
      </w:r>
      <w:r w:rsidRPr="008601ED">
        <w:rPr>
          <w:rFonts w:ascii="Verdana" w:eastAsia="Calibri" w:hAnsi="Verdana" w:cs="Arial"/>
          <w:b/>
          <w:bCs/>
          <w:i/>
          <w:iCs/>
          <w:sz w:val="20"/>
          <w:szCs w:val="20"/>
          <w:lang w:val="es-MX"/>
        </w:rPr>
        <w:t>no necesariamente hace referencia al procedimiento especial regulado por la ley de contratación estatal, sino a cualquier otro que prescinda de un proceso de licitación pública o concurso</w:t>
      </w:r>
      <w:r>
        <w:rPr>
          <w:rFonts w:ascii="Verdana" w:eastAsia="Times New Roman" w:hAnsi="Verdana" w:cs="Arial"/>
          <w:sz w:val="20"/>
          <w:szCs w:val="20"/>
          <w:vertAlign w:val="superscript"/>
          <w:lang w:val="es-MX"/>
        </w:rPr>
        <w:footnoteReference w:id="11"/>
      </w:r>
      <w:r>
        <w:rPr>
          <w:rFonts w:ascii="Verdana" w:eastAsia="Times New Roman" w:hAnsi="Verdana" w:cs="Arial"/>
          <w:sz w:val="20"/>
          <w:szCs w:val="20"/>
          <w:vertAlign w:val="superscript"/>
          <w:lang w:val="es-MX"/>
        </w:rPr>
        <w:t>.</w:t>
      </w:r>
      <w:r>
        <w:rPr>
          <w:rFonts w:ascii="Verdana" w:eastAsia="Calibri" w:hAnsi="Verdana" w:cs="Arial"/>
          <w:sz w:val="20"/>
          <w:szCs w:val="20"/>
          <w:lang w:val="es-MX"/>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w:t>
      </w:r>
      <w:r>
        <w:rPr>
          <w:rFonts w:ascii="Verdana" w:eastAsia="Calibri" w:hAnsi="Verdana" w:cs="Arial"/>
          <w:sz w:val="20"/>
          <w:szCs w:val="20"/>
          <w:lang w:val="es-MX"/>
        </w:rPr>
        <w:lastRenderedPageBreak/>
        <w:t>pueden las entidades públicas seguir contratando bajo estos sistemas [...]”</w:t>
      </w:r>
      <w:r>
        <w:rPr>
          <w:rFonts w:ascii="Verdana" w:eastAsia="Times New Roman" w:hAnsi="Verdana" w:cs="Arial"/>
          <w:sz w:val="20"/>
          <w:szCs w:val="20"/>
          <w:vertAlign w:val="superscript"/>
          <w:lang w:eastAsia="es-CO"/>
        </w:rPr>
        <w:footnoteReference w:id="12"/>
      </w:r>
      <w:r>
        <w:rPr>
          <w:rFonts w:ascii="Verdana" w:eastAsia="Calibri" w:hAnsi="Verdana" w:cs="Arial"/>
          <w:sz w:val="20"/>
          <w:szCs w:val="20"/>
          <w:lang w:val="es-MX"/>
        </w:rPr>
        <w:t>.[Énfasis por fuera de texto]</w:t>
      </w:r>
    </w:p>
    <w:p w14:paraId="4AFDA99E" w14:textId="77777777" w:rsidR="00DA12C8" w:rsidRDefault="00DA12C8" w:rsidP="00DA12C8">
      <w:pPr>
        <w:shd w:val="clear" w:color="auto" w:fill="FFFFFF"/>
        <w:spacing w:after="0" w:line="276" w:lineRule="auto"/>
        <w:ind w:firstLine="709"/>
        <w:jc w:val="both"/>
        <w:rPr>
          <w:rFonts w:ascii="Verdana" w:eastAsia="Times New Roman" w:hAnsi="Verdana" w:cs="Arial"/>
          <w:lang w:eastAsia="x-none"/>
        </w:rPr>
      </w:pPr>
    </w:p>
    <w:p w14:paraId="0060FC5A" w14:textId="77777777" w:rsidR="00DA12C8" w:rsidRDefault="00DA12C8" w:rsidP="00DA12C8">
      <w:pPr>
        <w:spacing w:after="120" w:line="276" w:lineRule="auto"/>
        <w:ind w:firstLine="708"/>
        <w:jc w:val="both"/>
        <w:rPr>
          <w:rFonts w:ascii="Verdana" w:eastAsia="Times New Roman" w:hAnsi="Verdana" w:cs="Arial"/>
          <w:bCs/>
          <w:lang w:eastAsia="x-none"/>
        </w:rPr>
      </w:pPr>
      <w:r>
        <w:rPr>
          <w:rFonts w:ascii="Verdana" w:eastAsia="Times New Roman" w:hAnsi="Verdana" w:cs="Arial"/>
          <w:lang w:eastAsia="x-none"/>
        </w:rPr>
        <w:t xml:space="preserve">De acuerdo con el citado concepto, la prohibición del artículo 33 de la Ley de Garantías Electorales se refiere a </w:t>
      </w:r>
      <w:r>
        <w:rPr>
          <w:rFonts w:ascii="Verdana" w:eastAsia="Times New Roman" w:hAnsi="Verdana" w:cs="Arial"/>
          <w:sz w:val="19"/>
          <w:szCs w:val="19"/>
          <w:lang w:eastAsia="en-GB"/>
        </w:rPr>
        <w:t>“</w:t>
      </w:r>
      <w:r>
        <w:rPr>
          <w:rFonts w:ascii="Verdana" w:eastAsia="Times New Roman" w:hAnsi="Verdana" w:cs="Arial"/>
          <w:lang w:eastAsia="x-none"/>
        </w:rPr>
        <w:t>cualquier sistema que no implique convocatoria pública y posibilidad de pluralidad de oferentes</w:t>
      </w:r>
      <w:r>
        <w:rPr>
          <w:rFonts w:ascii="Verdana" w:eastAsia="Times New Roman" w:hAnsi="Verdana" w:cs="Arial"/>
          <w:lang w:eastAsia="en-GB"/>
        </w:rPr>
        <w:t>”</w:t>
      </w:r>
      <w:r>
        <w:rPr>
          <w:rFonts w:ascii="Verdana" w:eastAsia="Times New Roman" w:hAnsi="Verdana" w:cs="Arial"/>
          <w:lang w:eastAsia="x-none"/>
        </w:rPr>
        <w:t xml:space="preserve">, por lo que excluye las demás modalidades de contratación previstas en la Ley 1150 de 2007, es decir, la licitación pública, la selección abreviada, el concurso de méritos </w:t>
      </w:r>
      <w:r>
        <w:rPr>
          <w:rFonts w:ascii="Verdana" w:eastAsia="Times New Roman" w:hAnsi="Verdana" w:cs="Arial"/>
          <w:lang w:val="es-ES_tradnl" w:eastAsia="x-none"/>
        </w:rPr>
        <w:t xml:space="preserve">y la mínima cuantía </w:t>
      </w:r>
      <w:r>
        <w:rPr>
          <w:rFonts w:ascii="Verdana" w:eastAsia="Times New Roman" w:hAnsi="Verdana" w:cs="Arial"/>
          <w:lang w:eastAsia="x-none"/>
        </w:rPr>
        <w:t>u otros previstos en normas especiales. Esta posición es congruente con la expedición de la Ley 1150 de 2007 que, entre otras reformas, introdujo la selección abreviada, rediseñó el concurso de méritos</w:t>
      </w:r>
      <w:r>
        <w:rPr>
          <w:rFonts w:ascii="Verdana" w:eastAsia="Times New Roman" w:hAnsi="Verdana" w:cs="Arial"/>
          <w:vertAlign w:val="superscript"/>
          <w:lang w:val="en-GB" w:eastAsia="x-none"/>
        </w:rPr>
        <w:footnoteReference w:id="13"/>
      </w:r>
      <w:r>
        <w:rPr>
          <w:rFonts w:ascii="Verdana" w:eastAsia="Times New Roman" w:hAnsi="Verdana" w:cs="Arial"/>
          <w:lang w:eastAsia="x-none"/>
        </w:rPr>
        <w:t xml:space="preserve"> y sistematizó las causales de contratación directa</w:t>
      </w:r>
      <w:r>
        <w:rPr>
          <w:rFonts w:ascii="Verdana" w:eastAsia="Times New Roman" w:hAnsi="Verdana" w:cs="Arial"/>
          <w:vertAlign w:val="superscript"/>
          <w:lang w:val="en-GB" w:eastAsia="x-none"/>
        </w:rPr>
        <w:footnoteReference w:id="14"/>
      </w:r>
      <w:r>
        <w:rPr>
          <w:rFonts w:ascii="Verdana" w:eastAsia="Times New Roman" w:hAnsi="Verdana" w:cs="Arial"/>
          <w:lang w:eastAsia="x-none"/>
        </w:rPr>
        <w:t xml:space="preserve">, </w:t>
      </w:r>
      <w:r>
        <w:rPr>
          <w:rFonts w:ascii="Verdana" w:eastAsia="Calibri" w:hAnsi="Verdana" w:cs="Arial"/>
          <w:szCs w:val="24"/>
          <w:lang w:eastAsia="x-none"/>
        </w:rPr>
        <w:t>además lo es con la posterior creación de la modalidad de mínima cuantía establecida actualmente en el numeral 5 del artículo 2 de la Ley 1150 de 2007, de acuerdo con las modificaciones realizadas por leyes posteriores.</w:t>
      </w:r>
    </w:p>
    <w:p w14:paraId="23BDB607" w14:textId="77777777" w:rsidR="00DA12C8" w:rsidRDefault="00DA12C8" w:rsidP="00DA12C8">
      <w:pPr>
        <w:spacing w:after="120" w:line="276" w:lineRule="auto"/>
        <w:ind w:firstLine="708"/>
        <w:jc w:val="both"/>
        <w:rPr>
          <w:rFonts w:ascii="Verdana" w:eastAsia="Times New Roman" w:hAnsi="Verdana" w:cs="Arial"/>
          <w:lang w:val="es-MX" w:eastAsia="x-none"/>
        </w:rPr>
      </w:pPr>
      <w:r>
        <w:rPr>
          <w:rFonts w:ascii="Verdana" w:eastAsia="Times New Roman" w:hAnsi="Verdana" w:cs="Arial"/>
          <w:lang w:eastAsia="x-none"/>
        </w:rPr>
        <w:t xml:space="preserve">De esta forma, con fundamento en la evolución de la normativa sobre la contratación pública, se ha depurado la noción de </w:t>
      </w:r>
      <w:r>
        <w:rPr>
          <w:rFonts w:ascii="Verdana" w:eastAsia="Times New Roman" w:hAnsi="Verdana" w:cs="Arial"/>
          <w:sz w:val="19"/>
          <w:szCs w:val="19"/>
          <w:lang w:eastAsia="en-GB"/>
        </w:rPr>
        <w:t>“</w:t>
      </w:r>
      <w:r>
        <w:rPr>
          <w:rFonts w:ascii="Verdana" w:eastAsia="Times New Roman" w:hAnsi="Verdana" w:cs="Arial"/>
          <w:lang w:eastAsia="x-none"/>
        </w:rPr>
        <w:t>contratación directa</w:t>
      </w:r>
      <w:r>
        <w:rPr>
          <w:rFonts w:ascii="Verdana" w:eastAsia="Times New Roman" w:hAnsi="Verdana" w:cs="Arial"/>
          <w:lang w:eastAsia="en-GB"/>
        </w:rPr>
        <w:t>”</w:t>
      </w:r>
      <w:r>
        <w:rPr>
          <w:rFonts w:ascii="Verdana" w:eastAsia="Times New Roman" w:hAnsi="Verdana" w:cs="Arial"/>
          <w:lang w:eastAsia="x-none"/>
        </w:rPr>
        <w:t>,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Pr>
          <w:rFonts w:ascii="Verdana" w:eastAsia="Times New Roman" w:hAnsi="Verdana" w:cs="Arial"/>
          <w:vertAlign w:val="superscript"/>
          <w:lang w:val="en-GB" w:eastAsia="x-none"/>
        </w:rPr>
        <w:footnoteReference w:id="15"/>
      </w:r>
      <w:r>
        <w:rPr>
          <w:rFonts w:ascii="Verdana" w:eastAsia="Times New Roman" w:hAnsi="Verdana" w:cs="Arial"/>
          <w:lang w:eastAsia="x-none"/>
        </w:rPr>
        <w:t>, han establecido sistemas de contratación que implican convocatoria pública y participación de varios oferentes</w:t>
      </w:r>
      <w:r>
        <w:rPr>
          <w:rFonts w:ascii="Verdana" w:eastAsia="Times New Roman" w:hAnsi="Verdana" w:cs="Arial"/>
          <w:lang w:eastAsia="en-GB"/>
        </w:rPr>
        <w:t>”</w:t>
      </w:r>
      <w:r>
        <w:rPr>
          <w:rFonts w:ascii="Verdana" w:eastAsia="Times New Roman" w:hAnsi="Verdana" w:cs="Arial"/>
          <w:lang w:eastAsia="x-none"/>
        </w:rPr>
        <w:t xml:space="preserve">. </w:t>
      </w:r>
    </w:p>
    <w:p w14:paraId="3FFD0043" w14:textId="77777777" w:rsidR="00DA12C8" w:rsidRDefault="00DA12C8" w:rsidP="00DA12C8">
      <w:pPr>
        <w:spacing w:after="120" w:line="276" w:lineRule="auto"/>
        <w:ind w:firstLine="708"/>
        <w:jc w:val="both"/>
        <w:rPr>
          <w:rFonts w:ascii="Verdana" w:eastAsia="Times New Roman" w:hAnsi="Verdana" w:cs="Arial"/>
          <w:bCs/>
          <w:lang w:val="es-MX" w:eastAsia="es-CO"/>
        </w:rPr>
      </w:pPr>
      <w:r>
        <w:rPr>
          <w:rFonts w:ascii="Verdana" w:eastAsia="Times New Roman" w:hAnsi="Verdana" w:cs="Arial"/>
          <w:bCs/>
          <w:lang w:val="es-MX" w:eastAsia="x-none"/>
        </w:rPr>
        <w:t>E</w:t>
      </w:r>
      <w:r>
        <w:rPr>
          <w:rFonts w:ascii="Verdana" w:eastAsia="Times New Roman" w:hAnsi="Verdana" w:cs="Arial"/>
          <w:lang w:eastAsia="x-none"/>
        </w:rPr>
        <w:t xml:space="preserve">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w:t>
      </w:r>
      <w:r>
        <w:rPr>
          <w:rFonts w:ascii="Verdana" w:eastAsia="Times New Roman" w:hAnsi="Verdana" w:cs="Arial"/>
          <w:lang w:eastAsia="x-none"/>
        </w:rPr>
        <w:lastRenderedPageBreak/>
        <w:t>dicho sistema no constituye “contratación directa”, es que la convocatoria para inscribirse en forma previa se haga de manera pública, y que se permita la participación de una pluralidad de oferentes</w:t>
      </w:r>
      <w:r>
        <w:rPr>
          <w:vertAlign w:val="superscript"/>
        </w:rPr>
        <w:footnoteReference w:id="16"/>
      </w:r>
      <w:r>
        <w:rPr>
          <w:rFonts w:ascii="Verdana" w:eastAsia="Times New Roman" w:hAnsi="Verdana" w:cs="Arial"/>
          <w:lang w:eastAsia="x-none"/>
        </w:rPr>
        <w:t xml:space="preserve">. </w:t>
      </w:r>
    </w:p>
    <w:p w14:paraId="67FFEAC5" w14:textId="77777777" w:rsidR="00DA12C8" w:rsidRDefault="00DA12C8" w:rsidP="00DA12C8">
      <w:pPr>
        <w:spacing w:after="120" w:line="276" w:lineRule="auto"/>
        <w:ind w:firstLine="708"/>
        <w:jc w:val="both"/>
        <w:rPr>
          <w:rFonts w:ascii="Verdana" w:eastAsia="Times New Roman" w:hAnsi="Verdana" w:cs="Arial"/>
          <w:bCs/>
          <w:lang w:val="es-MX" w:eastAsia="es-CO"/>
        </w:rPr>
      </w:pPr>
      <w:r>
        <w:rPr>
          <w:rFonts w:ascii="Verdana" w:eastAsia="Times New Roman" w:hAnsi="Verdana" w:cs="Arial"/>
          <w:bCs/>
          <w:lang w:val="es-MX" w:eastAsia="es-CO"/>
        </w:rPr>
        <w:t>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“contratación directa”.</w:t>
      </w:r>
    </w:p>
    <w:p w14:paraId="5FDE7F00" w14:textId="77777777" w:rsidR="00DA12C8" w:rsidRDefault="00DA12C8" w:rsidP="00DA12C8">
      <w:pPr>
        <w:spacing w:after="120" w:line="276" w:lineRule="auto"/>
        <w:ind w:firstLine="708"/>
        <w:jc w:val="both"/>
        <w:rPr>
          <w:rFonts w:ascii="Verdana" w:eastAsia="Times New Roman" w:hAnsi="Verdana" w:cs="Arial"/>
          <w:bCs/>
          <w:lang w:val="es-MX" w:eastAsia="x-none"/>
        </w:rPr>
      </w:pPr>
      <w:r>
        <w:rPr>
          <w:rFonts w:ascii="Verdana" w:eastAsia="Times New Roman" w:hAnsi="Verdana" w:cs="Arial"/>
          <w:bCs/>
          <w:lang w:val="es-MX"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Pr>
          <w:rFonts w:ascii="Verdana" w:eastAsia="Times New Roman" w:hAnsi="Verdana" w:cs="Arial"/>
          <w:vertAlign w:val="superscript"/>
          <w:lang w:eastAsia="x-none"/>
        </w:rPr>
        <w:footnoteReference w:id="17"/>
      </w:r>
      <w:r>
        <w:rPr>
          <w:rFonts w:ascii="Verdana" w:eastAsia="Times New Roman" w:hAnsi="Verdana" w:cs="Arial"/>
          <w:bCs/>
          <w:lang w:val="es-MX" w:eastAsia="x-none"/>
        </w:rPr>
        <w:t>.</w:t>
      </w:r>
      <w:r>
        <w:rPr>
          <w:rFonts w:ascii="Verdana" w:eastAsia="Times New Roman" w:hAnsi="Verdana" w:cs="Arial"/>
          <w:vertAlign w:val="superscript"/>
          <w:lang w:val="es-MX" w:eastAsia="x-none"/>
        </w:rPr>
        <w:t xml:space="preserve"> </w:t>
      </w:r>
    </w:p>
    <w:p w14:paraId="75BB115E" w14:textId="77777777" w:rsidR="00DA12C8" w:rsidRDefault="00DA12C8" w:rsidP="00DA12C8">
      <w:pPr>
        <w:spacing w:after="120" w:line="276" w:lineRule="auto"/>
        <w:ind w:firstLine="708"/>
        <w:jc w:val="both"/>
        <w:rPr>
          <w:rFonts w:ascii="Verdana" w:eastAsia="Times New Roman" w:hAnsi="Verdana" w:cs="Arial"/>
          <w:lang w:eastAsia="x-none"/>
        </w:rPr>
      </w:pPr>
      <w:r>
        <w:rPr>
          <w:rFonts w:ascii="Verdana" w:eastAsia="Times New Roman" w:hAnsi="Verdana" w:cs="Arial"/>
          <w:bCs/>
          <w:lang w:val="es-MX" w:eastAsia="x-none"/>
        </w:rPr>
        <w:t>De lo anterior se desprende que la restricción aplica, sin perjuicio de las excepciones establecidas en la misma ley, para celebrar cualquier contrato de forma directa, esto es, sin que exista un proceso abierto y competitivo.</w:t>
      </w:r>
      <w:r>
        <w:rPr>
          <w:rFonts w:ascii="Verdana" w:eastAsia="Times New Roman" w:hAnsi="Verdana" w:cs="Arial"/>
          <w:lang w:eastAsia="x-none"/>
        </w:rPr>
        <w:t xml:space="preserve">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24963258" w14:textId="77777777" w:rsidR="00DA12C8" w:rsidRDefault="00DA12C8" w:rsidP="00DA12C8">
      <w:pPr>
        <w:spacing w:after="120" w:line="276" w:lineRule="auto"/>
        <w:ind w:firstLine="708"/>
        <w:jc w:val="both"/>
        <w:rPr>
          <w:rFonts w:ascii="Verdana" w:eastAsia="Times New Roman" w:hAnsi="Verdana" w:cs="Arial"/>
          <w:bCs/>
          <w:lang w:val="es-MX" w:eastAsia="es-CO"/>
        </w:rPr>
      </w:pPr>
      <w:r>
        <w:rPr>
          <w:rFonts w:ascii="Verdana" w:eastAsia="Times New Roman" w:hAnsi="Verdana" w:cs="Arial"/>
          <w:bCs/>
          <w:lang w:val="es-MX" w:eastAsia="x-none"/>
        </w:rPr>
        <w:t xml:space="preserve">En este contexto,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w:t>
      </w:r>
      <w:proofErr w:type="spellStart"/>
      <w:r>
        <w:rPr>
          <w:rFonts w:ascii="Verdana" w:eastAsia="Times New Roman" w:hAnsi="Verdana" w:cs="Arial"/>
          <w:bCs/>
          <w:lang w:val="es-MX" w:eastAsia="x-none"/>
        </w:rPr>
        <w:t>ii</w:t>
      </w:r>
      <w:proofErr w:type="spellEnd"/>
      <w:r>
        <w:rPr>
          <w:rFonts w:ascii="Verdana" w:eastAsia="Times New Roman" w:hAnsi="Verdana" w:cs="Arial"/>
          <w:bCs/>
          <w:lang w:val="es-MX" w:eastAsia="x-none"/>
        </w:rPr>
        <w:t xml:space="preserve">) los contratos de crédito público; </w:t>
      </w:r>
      <w:proofErr w:type="spellStart"/>
      <w:r>
        <w:rPr>
          <w:rFonts w:ascii="Verdana" w:eastAsia="Times New Roman" w:hAnsi="Verdana" w:cs="Arial"/>
          <w:bCs/>
          <w:lang w:val="es-MX" w:eastAsia="x-none"/>
        </w:rPr>
        <w:t>iii</w:t>
      </w:r>
      <w:proofErr w:type="spellEnd"/>
      <w:r>
        <w:rPr>
          <w:rFonts w:ascii="Verdana" w:eastAsia="Times New Roman" w:hAnsi="Verdana" w:cs="Arial"/>
          <w:bCs/>
          <w:lang w:val="es-MX" w:eastAsia="x-none"/>
        </w:rPr>
        <w:t xml:space="preserve">) los requeridos para </w:t>
      </w:r>
      <w:r>
        <w:rPr>
          <w:rFonts w:ascii="Verdana" w:eastAsia="Times New Roman" w:hAnsi="Verdana" w:cs="Arial"/>
          <w:bCs/>
          <w:lang w:val="es-MX" w:eastAsia="x-none"/>
        </w:rPr>
        <w:lastRenderedPageBreak/>
        <w:t xml:space="preserve">cubrir las emergencias educativas, sanitarias y desastres; </w:t>
      </w:r>
      <w:proofErr w:type="spellStart"/>
      <w:r>
        <w:rPr>
          <w:rFonts w:ascii="Verdana" w:eastAsia="Times New Roman" w:hAnsi="Verdana" w:cs="Arial"/>
          <w:bCs/>
          <w:lang w:val="es-MX" w:eastAsia="x-none"/>
        </w:rPr>
        <w:t>iv</w:t>
      </w:r>
      <w:proofErr w:type="spellEnd"/>
      <w:r>
        <w:rPr>
          <w:rFonts w:ascii="Verdana" w:eastAsia="Times New Roman" w:hAnsi="Verdana" w:cs="Arial"/>
          <w:bCs/>
          <w:lang w:val="es-MX"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Pr>
          <w:rFonts w:ascii="Verdana" w:eastAsia="Times New Roman" w:hAnsi="Verdana" w:cs="Arial"/>
          <w:bCs/>
          <w:lang w:val="es-MX"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311622BA" w14:textId="77777777" w:rsidR="00DA12C8" w:rsidRDefault="00DA12C8" w:rsidP="00DA12C8">
      <w:pPr>
        <w:spacing w:after="120" w:line="276" w:lineRule="auto"/>
        <w:ind w:firstLine="709"/>
        <w:jc w:val="both"/>
        <w:rPr>
          <w:rFonts w:ascii="Verdana" w:eastAsia="Times New Roman" w:hAnsi="Verdana" w:cs="Arial"/>
          <w:bCs/>
          <w:lang w:val="es-MX" w:eastAsia="x-none"/>
        </w:rPr>
      </w:pPr>
      <w:r>
        <w:rPr>
          <w:rFonts w:ascii="Verdana" w:eastAsia="Times New Roman" w:hAnsi="Verdana" w:cs="Arial"/>
          <w:bCs/>
          <w:lang w:val="es-MX" w:eastAsia="x-none"/>
        </w:rPr>
        <w:t>En esta labor es importante tener en cuenta, como lo anotó la Corte Constitucional, en Sentencia C-1153 de noviembre 11 de 2005 que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Pr>
          <w:rFonts w:ascii="Verdana" w:eastAsia="Calibri" w:hAnsi="Verdana" w:cs="Arial"/>
          <w:vertAlign w:val="superscript"/>
          <w:lang w:val="es-MX"/>
        </w:rPr>
        <w:footnoteReference w:id="18"/>
      </w:r>
      <w:r>
        <w:rPr>
          <w:rFonts w:ascii="Verdana" w:eastAsia="Times New Roman" w:hAnsi="Verdana" w:cs="Arial"/>
          <w:bCs/>
          <w:lang w:val="es-MX" w:eastAsia="x-none"/>
        </w:rPr>
        <w:t>. De ahí que la Corte haya señalado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p>
    <w:p w14:paraId="393EFB5C" w14:textId="77777777" w:rsidR="00DA12C8" w:rsidRDefault="00DA12C8" w:rsidP="00DA12C8">
      <w:pPr>
        <w:spacing w:after="120" w:line="276" w:lineRule="auto"/>
        <w:ind w:firstLine="708"/>
        <w:jc w:val="both"/>
        <w:rPr>
          <w:rFonts w:ascii="Verdana" w:eastAsia="Calibri" w:hAnsi="Verdana" w:cs="Arial"/>
          <w:lang w:val="es-MX"/>
        </w:rPr>
      </w:pPr>
      <w:r>
        <w:rPr>
          <w:rFonts w:ascii="Verdana" w:eastAsia="Times New Roman" w:hAnsi="Verdana" w:cs="Arial"/>
          <w:bCs/>
          <w:lang w:val="es-MX" w:eastAsia="x-none"/>
        </w:rPr>
        <w:t>En relación con los destinatarios de la restricción analizada, el artículo 33 de la Ley 996 de 2005 los señala expresamente, en el sentido de que son “todos los entes del Estado”, expresión que contempla a los diferentes organismos o entidades autorizadas por la ley para suscribir contratos.</w:t>
      </w:r>
      <w:r>
        <w:rPr>
          <w:rFonts w:ascii="Verdana" w:eastAsia="Calibri" w:hAnsi="Verdana" w:cs="Arial"/>
          <w:sz w:val="24"/>
          <w:lang w:val="es-MX"/>
        </w:rPr>
        <w:t xml:space="preserve"> </w:t>
      </w:r>
      <w:r>
        <w:rPr>
          <w:rFonts w:ascii="Verdana" w:eastAsia="Times New Roman" w:hAnsi="Verdana" w:cs="Arial"/>
          <w:bCs/>
          <w:lang w:val="es-MX" w:eastAsia="x-none"/>
        </w:rPr>
        <w:t>En efecto, tal como lo ha sostenido el Consejo de Estado, el vocablo “todos” utilizado por el legislador comprende</w:t>
      </w:r>
      <w:r>
        <w:rPr>
          <w:rFonts w:ascii="Verdana" w:eastAsia="Calibri" w:hAnsi="Verdana" w:cs="Arial"/>
          <w:sz w:val="24"/>
          <w:lang w:val="es-MX"/>
        </w:rPr>
        <w:t xml:space="preserve"> </w:t>
      </w:r>
      <w:r>
        <w:rPr>
          <w:rFonts w:ascii="Verdana" w:eastAsia="Times New Roman" w:hAnsi="Verdana" w:cs="Arial"/>
          <w:bCs/>
          <w:lang w:val="es-MX" w:eastAsia="x-none"/>
        </w:rPr>
        <w:t xml:space="preserve">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403DBE55" w14:textId="77777777" w:rsidR="00DA12C8" w:rsidRPr="005E6430" w:rsidRDefault="00DA12C8" w:rsidP="00DA12C8">
      <w:pPr>
        <w:spacing w:after="120" w:line="276" w:lineRule="auto"/>
        <w:ind w:firstLine="708"/>
        <w:jc w:val="both"/>
        <w:rPr>
          <w:rFonts w:ascii="Verdana" w:eastAsia="Calibri" w:hAnsi="Verdana" w:cs="Arial"/>
          <w:lang w:val="es-MX"/>
        </w:rPr>
      </w:pPr>
      <w:r>
        <w:rPr>
          <w:rFonts w:ascii="Verdana" w:eastAsia="Calibri" w:hAnsi="Verdana" w:cs="Arial"/>
          <w:lang w:val="es-MX"/>
        </w:rPr>
        <w:lastRenderedPageBreak/>
        <w:t>Así las cosas, de acuerdo con los pronunciamientos de la Sala de Consulta y Servicio Civil del Consejo de Estado</w:t>
      </w:r>
      <w:r>
        <w:rPr>
          <w:rStyle w:val="Refdenotaalpie"/>
          <w:rFonts w:eastAsia="Calibri" w:cs="Arial"/>
          <w:lang w:val="es-MX"/>
        </w:rPr>
        <w:footnoteReference w:id="19"/>
      </w:r>
      <w:r>
        <w:rPr>
          <w:rFonts w:ascii="Verdana" w:eastAsia="Calibri" w:hAnsi="Verdana" w:cs="Arial"/>
          <w:lang w:val="es-MX"/>
        </w:rPr>
        <w:t xml:space="preserve">, la prohibición de la contratación directa también aplica frente a las entidades exceptuadas de la aplicación del EGCAP y que se rigen en materia contractual por el derecho privado. Sin embargo, señaló que algunas de estas entidades, como sucede con las empresas de servicios públicos domiciliarios, los </w:t>
      </w:r>
      <w:r>
        <w:rPr>
          <w:rFonts w:ascii="Verdana" w:eastAsia="Times New Roman" w:hAnsi="Verdana" w:cs="Arial"/>
          <w:bCs/>
          <w:lang w:val="es-MX" w:eastAsia="x-none"/>
        </w:rPr>
        <w:t>establecimientos de crédito, las sociedades de servicios financieros y las entidades aseguradoras</w:t>
      </w:r>
      <w:r>
        <w:rPr>
          <w:rFonts w:ascii="Verdana" w:eastAsia="Calibri" w:hAnsi="Verdana" w:cs="Arial"/>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r>
        <w:rPr>
          <w:vertAlign w:val="superscript"/>
        </w:rPr>
        <w:footnoteReference w:id="20"/>
      </w:r>
      <w:r>
        <w:rPr>
          <w:rFonts w:ascii="Verdana" w:eastAsia="Calibri" w:hAnsi="Verdana" w:cs="Arial"/>
          <w:lang w:val="es-MX"/>
        </w:rPr>
        <w:t>.</w:t>
      </w:r>
      <w:r>
        <w:rPr>
          <w:rFonts w:ascii="Verdana" w:eastAsia="Times New Roman" w:hAnsi="Verdana" w:cs="Arial"/>
          <w:lang w:val="es-MX" w:eastAsia="es-CO"/>
        </w:rPr>
        <w:t xml:space="preserve"> </w:t>
      </w:r>
    </w:p>
    <w:p w14:paraId="2D50CF69" w14:textId="653F3058" w:rsidR="004A7ABE" w:rsidRDefault="00DA12C8" w:rsidP="00547043">
      <w:pPr>
        <w:spacing w:after="120" w:line="276" w:lineRule="auto"/>
        <w:ind w:firstLine="709"/>
        <w:jc w:val="both"/>
        <w:rPr>
          <w:rFonts w:ascii="Verdana" w:eastAsia="Times New Roman" w:hAnsi="Verdana" w:cs="Arial"/>
          <w:bCs/>
          <w:lang w:val="es-MX" w:eastAsia="x-none"/>
        </w:rPr>
      </w:pPr>
      <w:r>
        <w:rPr>
          <w:rFonts w:ascii="Verdana" w:eastAsia="Times New Roman" w:hAnsi="Verdana" w:cs="Arial"/>
          <w:lang w:eastAsia="es-CO"/>
        </w:rPr>
        <w:t>Sin perjuicio de estos pronunciamientos de la Sala de Consulta y Servicio Civil</w:t>
      </w:r>
      <w:r>
        <w:rPr>
          <w:rFonts w:ascii="Verdana" w:eastAsia="Calibri" w:hAnsi="Verdana" w:cs="Arial"/>
          <w:lang w:val="es-MX"/>
        </w:rPr>
        <w:t xml:space="preserve">, como la ha señalado esa misma Corporación, la restricción prevista en la Ley 996 de 2005 </w:t>
      </w:r>
      <w:r>
        <w:rPr>
          <w:rFonts w:ascii="Verdana" w:eastAsia="Times New Roman" w:hAnsi="Verdana" w:cs="Arial"/>
          <w:bCs/>
          <w:lang w:val="es-MX" w:eastAsia="x-none"/>
        </w:rPr>
        <w:t>cobija a cualquier entidad pública independiente del régimen jurídico, que pueda mediante la contratación directa romper el equilibrio entre los candidatos en desarrollo de las elecciones presidenciales. Tampoco existe un supuesto de exoneración a la prohibición por tener un régimen especial de los actos o contratos o por la ejecución de un cierto tipo de recursos en sus contrataciones, pues, la posibilidad de que los entes del Estado usen la contratación con fines políticos, esto es, con la intención de influir a los electores y alterar la voluntad popular en las contiendas electorales, puede presentarse tanto en la contratación regulada por la Ley 80 de 1993 como en la regida por normas especiales.</w:t>
      </w:r>
    </w:p>
    <w:p w14:paraId="64032568" w14:textId="0433B583" w:rsidR="00B70189" w:rsidRPr="00C278CC" w:rsidRDefault="00B70189" w:rsidP="00B70189">
      <w:pPr>
        <w:spacing w:after="120" w:line="276" w:lineRule="auto"/>
        <w:jc w:val="both"/>
        <w:rPr>
          <w:rFonts w:ascii="Verdana" w:eastAsia="Calibri" w:hAnsi="Verdana" w:cs="Arial"/>
          <w:bCs/>
          <w:color w:val="000000" w:themeColor="text1"/>
        </w:rPr>
      </w:pPr>
      <w:proofErr w:type="spellStart"/>
      <w:r>
        <w:rPr>
          <w:rFonts w:ascii="Verdana" w:eastAsia="Times New Roman" w:hAnsi="Verdana" w:cs="Arial"/>
          <w:bCs/>
          <w:lang w:val="es-MX" w:eastAsia="x-none"/>
        </w:rPr>
        <w:t>ii</w:t>
      </w:r>
      <w:proofErr w:type="spellEnd"/>
      <w:r>
        <w:rPr>
          <w:rFonts w:ascii="Verdana" w:eastAsia="Times New Roman" w:hAnsi="Verdana" w:cs="Arial"/>
          <w:bCs/>
          <w:lang w:val="es-MX" w:eastAsia="x-none"/>
        </w:rPr>
        <w:t>.</w:t>
      </w:r>
      <w:r w:rsidRPr="00B70189">
        <w:rPr>
          <w:rFonts w:ascii="Verdana" w:eastAsia="Calibri" w:hAnsi="Verdana" w:cs="Arial"/>
          <w:bCs/>
          <w:color w:val="000000" w:themeColor="text1"/>
        </w:rPr>
        <w:t xml:space="preserve"> </w:t>
      </w:r>
      <w:r w:rsidRPr="00C278CC">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w:t>
      </w:r>
      <w:r w:rsidRPr="00C278CC">
        <w:rPr>
          <w:rFonts w:ascii="Verdana" w:eastAsia="Calibri" w:hAnsi="Verdana" w:cs="Arial"/>
          <w:bCs/>
          <w:color w:val="000000" w:themeColor="text1"/>
        </w:rPr>
        <w:lastRenderedPageBreak/>
        <w:t>motivan la consulta. Por lo anterior, previo concepto de sus asesores, la solución de situaciones particulares corresponde a los interesados adoptar la decisión correspondiente y, en caso de conflicto, a las autoridades judiciales, fiscales y disciplinarias.</w:t>
      </w:r>
    </w:p>
    <w:p w14:paraId="1031C46B" w14:textId="08D0AB5C" w:rsidR="004A7ABE" w:rsidRDefault="00B70189" w:rsidP="00B70189">
      <w:pPr>
        <w:spacing w:after="0" w:line="276" w:lineRule="auto"/>
        <w:ind w:firstLine="708"/>
        <w:jc w:val="both"/>
        <w:rPr>
          <w:rFonts w:ascii="Verdana" w:eastAsia="Calibri" w:hAnsi="Verdana" w:cs="Arial"/>
          <w:bCs/>
          <w:color w:val="000000" w:themeColor="text1"/>
        </w:rPr>
      </w:pPr>
      <w:r w:rsidRPr="00C278CC">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38B4B52F" w14:textId="77777777" w:rsidR="00B70189" w:rsidRPr="00B70189" w:rsidRDefault="00B70189" w:rsidP="00B70189">
      <w:pPr>
        <w:spacing w:after="0" w:line="276" w:lineRule="auto"/>
        <w:ind w:firstLine="708"/>
        <w:jc w:val="both"/>
        <w:rPr>
          <w:rFonts w:ascii="Verdana" w:eastAsia="Calibri" w:hAnsi="Verdana" w:cs="Arial"/>
          <w:bCs/>
          <w:color w:val="000000" w:themeColor="text1"/>
        </w:rPr>
      </w:pPr>
    </w:p>
    <w:bookmarkEnd w:id="2"/>
    <w:bookmarkEnd w:id="3"/>
    <w:p w14:paraId="6048E51B" w14:textId="77777777" w:rsidR="004A7ABE" w:rsidRPr="001F283D" w:rsidRDefault="004A7ABE" w:rsidP="004A7ABE">
      <w:pPr>
        <w:tabs>
          <w:tab w:val="left" w:pos="142"/>
          <w:tab w:val="left" w:pos="284"/>
        </w:tabs>
        <w:spacing w:after="0" w:line="276" w:lineRule="auto"/>
        <w:rPr>
          <w:rFonts w:ascii="Verdana" w:eastAsia="Century Gothic" w:hAnsi="Verdana" w:cs="Century Gothic"/>
          <w:b/>
          <w:bCs/>
        </w:rPr>
      </w:pPr>
      <w:r>
        <w:rPr>
          <w:rFonts w:ascii="Verdana" w:eastAsia="Century Gothic" w:hAnsi="Verdana" w:cs="Century Gothic"/>
          <w:b/>
          <w:bCs/>
        </w:rPr>
        <w:t xml:space="preserve">4. </w:t>
      </w:r>
      <w:r w:rsidRPr="001F283D">
        <w:rPr>
          <w:rFonts w:ascii="Verdana" w:eastAsia="Century Gothic" w:hAnsi="Verdana" w:cs="Century Gothic"/>
          <w:b/>
          <w:bCs/>
        </w:rPr>
        <w:t>Referencias normativas:</w:t>
      </w:r>
    </w:p>
    <w:bookmarkEnd w:id="4"/>
    <w:p w14:paraId="678A2B67" w14:textId="77777777" w:rsidR="004A7ABE" w:rsidRPr="00593A5F" w:rsidRDefault="004A7ABE" w:rsidP="004A7ABE">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A7ABE" w:rsidRPr="002407CE" w14:paraId="0A0376ED" w14:textId="77777777" w:rsidTr="008546E0">
        <w:trPr>
          <w:trHeight w:val="870"/>
          <w:jc w:val="center"/>
        </w:trPr>
        <w:tc>
          <w:tcPr>
            <w:tcW w:w="8647" w:type="dxa"/>
          </w:tcPr>
          <w:p w14:paraId="28A5CA0C" w14:textId="77777777" w:rsidR="00C27EA4" w:rsidRPr="0064729D" w:rsidRDefault="00C27EA4" w:rsidP="00C27EA4">
            <w:pPr>
              <w:pStyle w:val="Prrafodelista"/>
              <w:widowControl w:val="0"/>
              <w:numPr>
                <w:ilvl w:val="0"/>
                <w:numId w:val="2"/>
              </w:numPr>
              <w:autoSpaceDE w:val="0"/>
              <w:autoSpaceDN w:val="0"/>
              <w:spacing w:line="276" w:lineRule="auto"/>
              <w:jc w:val="both"/>
              <w:rPr>
                <w:rFonts w:ascii="Verdana" w:hAnsi="Verdana" w:cs="Arial"/>
              </w:rPr>
            </w:pPr>
            <w:r w:rsidRPr="0064729D">
              <w:rPr>
                <w:rFonts w:ascii="Verdana" w:hAnsi="Verdana" w:cs="Arial"/>
              </w:rPr>
              <w:t>Constitución Política de 1991, artículos 127, 197 y 209.</w:t>
            </w:r>
          </w:p>
          <w:p w14:paraId="7B44E5BA" w14:textId="77777777" w:rsidR="00C27EA4" w:rsidRPr="0064729D" w:rsidRDefault="00C27EA4" w:rsidP="00C27EA4">
            <w:pPr>
              <w:pStyle w:val="Prrafodelista"/>
              <w:widowControl w:val="0"/>
              <w:numPr>
                <w:ilvl w:val="0"/>
                <w:numId w:val="2"/>
              </w:numPr>
              <w:autoSpaceDE w:val="0"/>
              <w:autoSpaceDN w:val="0"/>
              <w:spacing w:line="276" w:lineRule="auto"/>
              <w:jc w:val="both"/>
              <w:rPr>
                <w:rFonts w:ascii="Verdana" w:hAnsi="Verdana" w:cs="Arial"/>
              </w:rPr>
            </w:pPr>
            <w:r w:rsidRPr="0064729D">
              <w:rPr>
                <w:rFonts w:ascii="Verdana" w:hAnsi="Verdana" w:cs="Arial"/>
              </w:rPr>
              <w:t>Ley 80 de 1993, artículos 2, 32, 39 y 41.</w:t>
            </w:r>
          </w:p>
          <w:p w14:paraId="1D2E19B1" w14:textId="77777777" w:rsidR="00C27EA4" w:rsidRPr="0064729D" w:rsidRDefault="00C27EA4" w:rsidP="00C27EA4">
            <w:pPr>
              <w:pStyle w:val="Prrafodelista"/>
              <w:widowControl w:val="0"/>
              <w:numPr>
                <w:ilvl w:val="0"/>
                <w:numId w:val="2"/>
              </w:numPr>
              <w:autoSpaceDE w:val="0"/>
              <w:autoSpaceDN w:val="0"/>
              <w:spacing w:line="276" w:lineRule="auto"/>
              <w:jc w:val="both"/>
              <w:rPr>
                <w:rFonts w:ascii="Verdana" w:hAnsi="Verdana" w:cs="Arial"/>
              </w:rPr>
            </w:pPr>
            <w:r w:rsidRPr="0064729D">
              <w:rPr>
                <w:rFonts w:ascii="Verdana" w:hAnsi="Verdana" w:cs="Arial"/>
              </w:rPr>
              <w:t>Ley 338 de 1997, artículos 58 y ss.</w:t>
            </w:r>
          </w:p>
          <w:p w14:paraId="0C9C5E5D" w14:textId="77777777" w:rsidR="00C27EA4" w:rsidRPr="0064729D" w:rsidRDefault="00C27EA4" w:rsidP="00C27EA4">
            <w:pPr>
              <w:pStyle w:val="Prrafodelista"/>
              <w:widowControl w:val="0"/>
              <w:numPr>
                <w:ilvl w:val="0"/>
                <w:numId w:val="2"/>
              </w:numPr>
              <w:autoSpaceDE w:val="0"/>
              <w:autoSpaceDN w:val="0"/>
              <w:spacing w:line="276" w:lineRule="auto"/>
              <w:jc w:val="both"/>
              <w:rPr>
                <w:rFonts w:ascii="Verdana" w:hAnsi="Verdana" w:cs="Arial"/>
              </w:rPr>
            </w:pPr>
            <w:r w:rsidRPr="0064729D">
              <w:rPr>
                <w:rFonts w:ascii="Verdana" w:hAnsi="Verdana" w:cs="Arial"/>
              </w:rPr>
              <w:t xml:space="preserve">Ley 996 de 2005, artículo 33 </w:t>
            </w:r>
          </w:p>
          <w:p w14:paraId="65DCDF10" w14:textId="77777777" w:rsidR="00C27EA4" w:rsidRPr="0064729D" w:rsidRDefault="00C27EA4" w:rsidP="00C27EA4">
            <w:pPr>
              <w:pStyle w:val="Prrafodelista"/>
              <w:widowControl w:val="0"/>
              <w:numPr>
                <w:ilvl w:val="0"/>
                <w:numId w:val="2"/>
              </w:numPr>
              <w:autoSpaceDE w:val="0"/>
              <w:autoSpaceDN w:val="0"/>
              <w:spacing w:line="276" w:lineRule="auto"/>
              <w:jc w:val="both"/>
              <w:rPr>
                <w:rFonts w:ascii="Verdana" w:hAnsi="Verdana" w:cs="Arial"/>
              </w:rPr>
            </w:pPr>
            <w:r w:rsidRPr="0064729D">
              <w:rPr>
                <w:rFonts w:ascii="Verdana" w:hAnsi="Verdana" w:cs="Arial"/>
              </w:rPr>
              <w:t>Ley 1150 de 2007, artículos 1 y 2.</w:t>
            </w:r>
          </w:p>
          <w:p w14:paraId="3AAFEC27" w14:textId="65665B60" w:rsidR="004A7ABE" w:rsidRPr="00A57FA0" w:rsidRDefault="00C27EA4" w:rsidP="00C27EA4">
            <w:pPr>
              <w:pStyle w:val="NormalWeb"/>
              <w:numPr>
                <w:ilvl w:val="0"/>
                <w:numId w:val="2"/>
              </w:numPr>
              <w:spacing w:before="120" w:beforeAutospacing="0" w:after="0" w:afterAutospacing="0" w:line="276" w:lineRule="auto"/>
              <w:jc w:val="both"/>
              <w:rPr>
                <w:rFonts w:ascii="Verdana" w:hAnsi="Verdana" w:cs="Arial"/>
                <w:color w:val="000000" w:themeColor="text1"/>
                <w:sz w:val="22"/>
                <w:szCs w:val="22"/>
              </w:rPr>
            </w:pPr>
            <w:r w:rsidRPr="0064729D">
              <w:rPr>
                <w:rFonts w:ascii="Verdana" w:hAnsi="Verdana" w:cs="Arial"/>
              </w:rPr>
              <w:t>Código Civil, artículo 1501.</w:t>
            </w:r>
          </w:p>
        </w:tc>
      </w:tr>
    </w:tbl>
    <w:p w14:paraId="41F62502" w14:textId="77777777" w:rsidR="004A7ABE" w:rsidRPr="00277E26" w:rsidRDefault="004A7ABE" w:rsidP="004A7ABE">
      <w:pPr>
        <w:widowControl w:val="0"/>
        <w:autoSpaceDE w:val="0"/>
        <w:autoSpaceDN w:val="0"/>
        <w:spacing w:after="0" w:line="276" w:lineRule="auto"/>
        <w:jc w:val="both"/>
        <w:rPr>
          <w:rFonts w:ascii="Verdana" w:hAnsi="Verdana" w:cs="Arial"/>
        </w:rPr>
      </w:pPr>
    </w:p>
    <w:p w14:paraId="1AF69F70" w14:textId="77777777" w:rsidR="004A7ABE" w:rsidRPr="001F283D" w:rsidRDefault="004A7ABE" w:rsidP="004A7ABE">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Pr="001F283D">
        <w:rPr>
          <w:rFonts w:ascii="Verdana" w:eastAsia="Century Gothic" w:hAnsi="Verdana" w:cs="Century Gothic"/>
          <w:b/>
          <w:bCs/>
        </w:rPr>
        <w:t>Doctrina de la Agencia Nacional de Contratación Pública:</w:t>
      </w:r>
    </w:p>
    <w:p w14:paraId="0EF13116" w14:textId="77777777" w:rsidR="00B42C59" w:rsidRDefault="00B42C59" w:rsidP="00B42C59">
      <w:pPr>
        <w:widowControl w:val="0"/>
        <w:autoSpaceDE w:val="0"/>
        <w:autoSpaceDN w:val="0"/>
        <w:spacing w:after="0" w:line="276" w:lineRule="auto"/>
        <w:jc w:val="both"/>
        <w:rPr>
          <w:rStyle w:val="normaltextrun"/>
          <w:rFonts w:ascii="Verdana" w:hAnsi="Verdana" w:cs="Arial"/>
          <w:shd w:val="clear" w:color="auto" w:fill="FFFFFF"/>
        </w:rPr>
      </w:pPr>
    </w:p>
    <w:p w14:paraId="16375EBA" w14:textId="201052E2" w:rsidR="004A7ABE" w:rsidRDefault="00B42C59" w:rsidP="00B42C59">
      <w:pPr>
        <w:widowControl w:val="0"/>
        <w:autoSpaceDE w:val="0"/>
        <w:autoSpaceDN w:val="0"/>
        <w:spacing w:after="0" w:line="276" w:lineRule="auto"/>
        <w:jc w:val="both"/>
        <w:rPr>
          <w:rStyle w:val="normaltextrun"/>
          <w:rFonts w:ascii="Verdana" w:hAnsi="Verdana" w:cs="Arial"/>
          <w:color w:val="FF0000"/>
          <w:shd w:val="clear" w:color="auto" w:fill="FFFFFF"/>
          <w:lang w:val="es-ES"/>
        </w:rPr>
      </w:pPr>
      <w:r w:rsidRPr="0064729D">
        <w:rPr>
          <w:rFonts w:ascii="Verdana" w:hAnsi="Verdana" w:cs="Arial"/>
          <w:shd w:val="clear" w:color="auto" w:fill="FFFFFF"/>
        </w:rPr>
        <w:t xml:space="preserve">Sobre la finalidad y propósito de la Ley de Garantías Electorales, la ANCP- CCE se ha pronunciado en los Conceptos 4201913000004536 de 17 de julio de 2019, 4201912000005556 del 12 de septiembre de 2019, 4201913000005175 del 13 de septiembre de 2019, 4201913000006452 del 07 de octubre de 2019, 4201913000005082 del 17 de octubre de 2019,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w:t>
      </w:r>
      <w:r w:rsidRPr="0064729D">
        <w:rPr>
          <w:rFonts w:ascii="Verdana" w:hAnsi="Verdana" w:cs="Arial"/>
          <w:shd w:val="clear" w:color="auto" w:fill="FFFFFF"/>
        </w:rPr>
        <w:lastRenderedPageBreak/>
        <w:t>de 2021, C-606 del 28 de octubre de 2021 y C-614 del 2 de noviembre de 2021, C-636 del 16 de noviembre de 2021, 681 del 7 de diciembre de 2021, C-686 del 21 de diciembre de 2021, C-697 del 3 de enero de 2022, C-317 del 25 de abril de 2025, C-510 del 4 de junio de 2025, 646 del 26 de junio de 2025, C-957 del 23 de agosto de 2025, C-975 del 28 de agosto de 2025, C-1015 del 4 de septiembre de 2025, C-1096 del 28 de agosto de 2025, C-1174 del 29 de septiembre de 2025, C- 1170 del 16 de septiembre de 2025, C-1194 del 3 de octubre de 2025, C-1343 del 20 de octubre de 2025, C-1512 del 27 de octubre de 2025, C-1529 del 4 de noviembre de 2025, C-1799 y C-1501 de 2026, C-091 del 27 de enero de 2026,</w:t>
      </w:r>
      <w:r w:rsidR="0030355C">
        <w:rPr>
          <w:rFonts w:ascii="Verdana" w:hAnsi="Verdana" w:cs="Arial"/>
          <w:shd w:val="clear" w:color="auto" w:fill="FFFFFF"/>
        </w:rPr>
        <w:t xml:space="preserve">C-240 de </w:t>
      </w:r>
      <w:r w:rsidR="00012D0C">
        <w:rPr>
          <w:rFonts w:ascii="Verdana" w:hAnsi="Verdana" w:cs="Arial"/>
          <w:shd w:val="clear" w:color="auto" w:fill="FFFFFF"/>
        </w:rPr>
        <w:t>27 de marzo de 2026</w:t>
      </w:r>
      <w:r w:rsidR="00B731A7">
        <w:rPr>
          <w:rFonts w:ascii="Verdana" w:hAnsi="Verdana" w:cs="Arial"/>
          <w:shd w:val="clear" w:color="auto" w:fill="FFFFFF"/>
        </w:rPr>
        <w:t>,</w:t>
      </w:r>
      <w:r w:rsidRPr="0064729D">
        <w:rPr>
          <w:rFonts w:ascii="Verdana" w:hAnsi="Verdana" w:cs="Arial"/>
          <w:shd w:val="clear" w:color="auto" w:fill="FFFFFF"/>
        </w:rPr>
        <w:t xml:space="preserve"> entre otros</w:t>
      </w:r>
      <w:r w:rsidRPr="0064729D">
        <w:rPr>
          <w:rFonts w:ascii="Verdana" w:hAnsi="Verdana"/>
        </w:rPr>
        <w:t>.</w:t>
      </w:r>
      <w:r w:rsidRPr="0064729D">
        <w:rPr>
          <w:rFonts w:ascii="Verdana" w:hAnsi="Verdana" w:cs="Arial"/>
          <w:shd w:val="clear" w:color="auto" w:fill="FFFFFF"/>
        </w:rPr>
        <w:t xml:space="preserve"> Estos y otros </w:t>
      </w:r>
      <w:r w:rsidRPr="0064729D">
        <w:rPr>
          <w:rStyle w:val="normaltextrun"/>
          <w:rFonts w:ascii="Verdana" w:hAnsi="Verdana" w:cs="Arial"/>
          <w:shd w:val="clear" w:color="auto" w:fill="FFFFFF"/>
        </w:rPr>
        <w:t xml:space="preserve">se encuentran disponibles para consulta en el Sistema de relatoría de la Agencia, al cual puede accederse a través del siguiente enlace: </w:t>
      </w:r>
      <w:hyperlink r:id="rId9" w:history="1">
        <w:r w:rsidRPr="0064729D">
          <w:rPr>
            <w:rStyle w:val="Hipervnculo"/>
            <w:rFonts w:ascii="Verdana" w:hAnsi="Verdana" w:cs="Arial"/>
            <w:shd w:val="clear" w:color="auto" w:fill="FFFFFF"/>
          </w:rPr>
          <w:t>https://relatoria.colombiacompra.gov.co/busqueda/conceptos</w:t>
        </w:r>
      </w:hyperlink>
      <w:r w:rsidRPr="0064729D">
        <w:rPr>
          <w:rStyle w:val="normaltextrun"/>
          <w:rFonts w:ascii="Verdana" w:hAnsi="Verdana" w:cs="Arial"/>
          <w:shd w:val="clear" w:color="auto" w:fill="FFFFFF"/>
        </w:rPr>
        <w:t xml:space="preserve">. </w:t>
      </w:r>
      <w:r w:rsidRPr="0064729D">
        <w:rPr>
          <w:rStyle w:val="normaltextrun"/>
          <w:rFonts w:ascii="Verdana" w:hAnsi="Verdana" w:cs="Arial"/>
          <w:color w:val="FF0000"/>
          <w:shd w:val="clear" w:color="auto" w:fill="FFFFFF"/>
          <w:lang w:val="es-ES"/>
        </w:rPr>
        <w:t xml:space="preserve"> </w:t>
      </w:r>
    </w:p>
    <w:p w14:paraId="20D6714C" w14:textId="77777777" w:rsidR="00B42C59" w:rsidRPr="00B42C59" w:rsidRDefault="00B42C59" w:rsidP="00B42C59">
      <w:pPr>
        <w:widowControl w:val="0"/>
        <w:autoSpaceDE w:val="0"/>
        <w:autoSpaceDN w:val="0"/>
        <w:spacing w:after="0" w:line="276" w:lineRule="auto"/>
        <w:jc w:val="both"/>
        <w:rPr>
          <w:rFonts w:ascii="Verdana" w:hAnsi="Verdana" w:cs="Arial"/>
          <w:color w:val="FF0000"/>
          <w:shd w:val="clear" w:color="auto" w:fill="FFFFFF"/>
          <w:lang w:val="es-ES"/>
        </w:rPr>
      </w:pPr>
    </w:p>
    <w:p w14:paraId="6539CFD3" w14:textId="77777777" w:rsidR="004A7ABE" w:rsidRPr="00237766" w:rsidRDefault="004A7ABE" w:rsidP="004A7ABE">
      <w:pPr>
        <w:spacing w:after="120" w:line="276" w:lineRule="auto"/>
        <w:jc w:val="both"/>
        <w:rPr>
          <w:rFonts w:ascii="Verdana" w:eastAsia="Calibri" w:hAnsi="Verdana" w:cs="Times New Roman"/>
        </w:rPr>
      </w:pPr>
      <w:r w:rsidRPr="008E4F36">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75E6ABB7" w14:textId="77777777" w:rsidR="004A7ABE" w:rsidRPr="008E4F36" w:rsidRDefault="004A7ABE" w:rsidP="004A7ABE">
      <w:pPr>
        <w:pStyle w:val="Prrafodelista"/>
        <w:numPr>
          <w:ilvl w:val="0"/>
          <w:numId w:val="3"/>
        </w:numPr>
        <w:spacing w:after="0" w:line="276" w:lineRule="auto"/>
        <w:contextualSpacing w:val="0"/>
        <w:jc w:val="both"/>
        <w:rPr>
          <w:rFonts w:ascii="Verdana" w:hAnsi="Verdana"/>
        </w:rPr>
      </w:pPr>
      <w:r w:rsidRPr="008E4F36">
        <w:rPr>
          <w:rFonts w:ascii="Verdana" w:hAnsi="Verdana"/>
        </w:rPr>
        <w:t>Línea nacional gratuita o servicio a la ciudadanía: 01800 0520808</w:t>
      </w:r>
    </w:p>
    <w:p w14:paraId="2D56720F" w14:textId="77777777" w:rsidR="004A7ABE" w:rsidRPr="008E4F36" w:rsidRDefault="004A7ABE" w:rsidP="004A7ABE">
      <w:pPr>
        <w:pStyle w:val="Prrafodelista"/>
        <w:numPr>
          <w:ilvl w:val="0"/>
          <w:numId w:val="3"/>
        </w:numPr>
        <w:spacing w:after="0" w:line="276" w:lineRule="auto"/>
        <w:contextualSpacing w:val="0"/>
        <w:jc w:val="both"/>
        <w:rPr>
          <w:rFonts w:ascii="Verdana" w:hAnsi="Verdana"/>
        </w:rPr>
      </w:pPr>
      <w:r w:rsidRPr="008E4F36">
        <w:rPr>
          <w:rFonts w:ascii="Verdana" w:hAnsi="Verdana"/>
        </w:rPr>
        <w:t>Línea en Bogotá (Mesa de servicio): +57 601 7456788</w:t>
      </w:r>
    </w:p>
    <w:p w14:paraId="6862768C" w14:textId="77777777" w:rsidR="004A7ABE" w:rsidRPr="008E4F36" w:rsidRDefault="004A7ABE" w:rsidP="004A7ABE">
      <w:pPr>
        <w:pStyle w:val="Prrafodelista"/>
        <w:numPr>
          <w:ilvl w:val="0"/>
          <w:numId w:val="3"/>
        </w:numPr>
        <w:spacing w:after="0" w:line="276" w:lineRule="auto"/>
        <w:contextualSpacing w:val="0"/>
        <w:jc w:val="both"/>
        <w:rPr>
          <w:rFonts w:ascii="Verdana" w:hAnsi="Verdana"/>
        </w:rPr>
      </w:pPr>
      <w:r w:rsidRPr="008E4F36">
        <w:rPr>
          <w:rFonts w:ascii="Verdana" w:hAnsi="Verdana"/>
        </w:rPr>
        <w:t>Línea de servicio y atención al ciudadano: +57 601 7956600</w:t>
      </w:r>
    </w:p>
    <w:p w14:paraId="246AD58B" w14:textId="77777777" w:rsidR="004A7ABE" w:rsidRPr="008E4F36" w:rsidRDefault="004A7ABE" w:rsidP="004A7ABE">
      <w:pPr>
        <w:pStyle w:val="Prrafodelista"/>
        <w:numPr>
          <w:ilvl w:val="0"/>
          <w:numId w:val="3"/>
        </w:numPr>
        <w:spacing w:after="0" w:line="276" w:lineRule="auto"/>
        <w:contextualSpacing w:val="0"/>
        <w:jc w:val="both"/>
        <w:rPr>
          <w:rFonts w:ascii="Verdana" w:hAnsi="Verdana"/>
        </w:rPr>
      </w:pPr>
      <w:r w:rsidRPr="008E4F36">
        <w:rPr>
          <w:rFonts w:ascii="Verdana" w:hAnsi="Verdana"/>
        </w:rPr>
        <w:t xml:space="preserve">Página web: </w:t>
      </w:r>
      <w:hyperlink r:id="rId10" w:history="1">
        <w:r w:rsidRPr="008E4F36">
          <w:rPr>
            <w:rStyle w:val="Hipervnculo"/>
            <w:rFonts w:ascii="Verdana" w:hAnsi="Verdana"/>
          </w:rPr>
          <w:t>www.colombiacompra.gov.co</w:t>
        </w:r>
      </w:hyperlink>
    </w:p>
    <w:p w14:paraId="318EF290" w14:textId="77777777" w:rsidR="004A7ABE" w:rsidRPr="008E4F36" w:rsidRDefault="004A7ABE" w:rsidP="004A7ABE">
      <w:pPr>
        <w:spacing w:before="120" w:after="0" w:line="276" w:lineRule="auto"/>
        <w:jc w:val="both"/>
        <w:rPr>
          <w:rFonts w:ascii="Verdana" w:hAnsi="Verdana"/>
        </w:rPr>
      </w:pPr>
      <w:r w:rsidRPr="008E4F36">
        <w:rPr>
          <w:rFonts w:ascii="Verdana" w:hAnsi="Verdana"/>
        </w:rPr>
        <w:t>Por ú</w:t>
      </w:r>
      <w:r>
        <w:rPr>
          <w:rFonts w:ascii="Verdana" w:hAnsi="Verdana"/>
        </w:rPr>
        <w:t>l</w:t>
      </w:r>
      <w:r w:rsidRPr="008E4F36">
        <w:rPr>
          <w:rFonts w:ascii="Verdana" w:hAnsi="Verdana"/>
        </w:rPr>
        <w:t xml:space="preserve">timo, lo invitamos a seguirnos en las redes sociales en las cuales se difunde información institucional: </w:t>
      </w:r>
    </w:p>
    <w:p w14:paraId="53FC5993" w14:textId="77777777" w:rsidR="004A7ABE" w:rsidRPr="008E4F36" w:rsidRDefault="004A7ABE" w:rsidP="004A7ABE">
      <w:pPr>
        <w:spacing w:after="0" w:line="276" w:lineRule="auto"/>
        <w:jc w:val="both"/>
        <w:rPr>
          <w:rFonts w:ascii="Verdana" w:hAnsi="Verdana"/>
        </w:rPr>
      </w:pPr>
    </w:p>
    <w:p w14:paraId="13053F63" w14:textId="77777777" w:rsidR="004A7ABE" w:rsidRPr="008E4F36" w:rsidRDefault="004A7ABE" w:rsidP="004A7ABE">
      <w:pPr>
        <w:spacing w:after="0" w:line="276" w:lineRule="auto"/>
        <w:jc w:val="both"/>
        <w:rPr>
          <w:rFonts w:ascii="Verdana" w:hAnsi="Verdana"/>
        </w:rPr>
      </w:pPr>
      <w:r w:rsidRPr="008E4F36">
        <w:rPr>
          <w:rFonts w:ascii="Verdana" w:hAnsi="Verdana"/>
        </w:rPr>
        <w:t xml:space="preserve">Twitter: </w:t>
      </w:r>
      <w:r w:rsidRPr="008E4F36">
        <w:rPr>
          <w:rStyle w:val="Hipervnculo"/>
          <w:rFonts w:ascii="Verdana" w:hAnsi="Verdana"/>
        </w:rPr>
        <w:t>@colombiacompra</w:t>
      </w:r>
      <w:r w:rsidRPr="008E4F36">
        <w:rPr>
          <w:rFonts w:ascii="Verdana" w:hAnsi="Verdana"/>
        </w:rPr>
        <w:t xml:space="preserve"> </w:t>
      </w:r>
    </w:p>
    <w:p w14:paraId="4B5D6A6B" w14:textId="77777777" w:rsidR="004A7ABE" w:rsidRPr="008E4F36" w:rsidRDefault="004A7ABE" w:rsidP="004A7ABE">
      <w:pPr>
        <w:spacing w:after="0" w:line="276" w:lineRule="auto"/>
        <w:jc w:val="both"/>
        <w:rPr>
          <w:rFonts w:ascii="Verdana" w:hAnsi="Verdana"/>
        </w:rPr>
      </w:pPr>
      <w:r w:rsidRPr="008E4F36">
        <w:rPr>
          <w:rFonts w:ascii="Verdana" w:hAnsi="Verdana"/>
        </w:rPr>
        <w:t xml:space="preserve">Facebook: </w:t>
      </w:r>
      <w:proofErr w:type="spellStart"/>
      <w:r w:rsidRPr="008E4F36">
        <w:rPr>
          <w:rStyle w:val="Hipervnculo"/>
          <w:rFonts w:ascii="Verdana" w:hAnsi="Verdana"/>
        </w:rPr>
        <w:t>ColombiaCompraEficiente</w:t>
      </w:r>
      <w:proofErr w:type="spellEnd"/>
    </w:p>
    <w:p w14:paraId="59C86037" w14:textId="77777777" w:rsidR="004A7ABE" w:rsidRPr="008E4F36" w:rsidRDefault="004A7ABE" w:rsidP="004A7ABE">
      <w:pPr>
        <w:spacing w:after="0" w:line="276" w:lineRule="auto"/>
        <w:jc w:val="both"/>
        <w:rPr>
          <w:rFonts w:ascii="Verdana" w:hAnsi="Verdana"/>
        </w:rPr>
      </w:pPr>
      <w:r w:rsidRPr="008E4F36">
        <w:rPr>
          <w:rFonts w:ascii="Verdana" w:hAnsi="Verdana"/>
        </w:rPr>
        <w:t xml:space="preserve">LinkedIn: </w:t>
      </w:r>
      <w:r w:rsidRPr="008E4F36">
        <w:rPr>
          <w:rStyle w:val="Hipervnculo"/>
          <w:rFonts w:ascii="Verdana" w:hAnsi="Verdana"/>
        </w:rPr>
        <w:t>Agencia Nacional de Contratación Pública - Colombia Compra Eficiente</w:t>
      </w:r>
      <w:r w:rsidRPr="008E4F36">
        <w:rPr>
          <w:rFonts w:ascii="Verdana" w:hAnsi="Verdana"/>
        </w:rPr>
        <w:t xml:space="preserve"> Instagram: </w:t>
      </w:r>
      <w:r w:rsidRPr="008E4F36">
        <w:rPr>
          <w:rStyle w:val="Hipervnculo"/>
          <w:rFonts w:ascii="Verdana" w:hAnsi="Verdana"/>
        </w:rPr>
        <w:t>@colombiacompraeficiente_cce</w:t>
      </w:r>
    </w:p>
    <w:p w14:paraId="771FF38C" w14:textId="77777777" w:rsidR="004A7ABE" w:rsidRDefault="004A7ABE" w:rsidP="004A7ABE">
      <w:pPr>
        <w:spacing w:before="120" w:after="0" w:line="276" w:lineRule="auto"/>
        <w:jc w:val="both"/>
        <w:rPr>
          <w:rFonts w:ascii="Verdana" w:hAnsi="Verdana"/>
        </w:rPr>
      </w:pPr>
    </w:p>
    <w:p w14:paraId="1FCF2C56" w14:textId="77777777" w:rsidR="004A7ABE" w:rsidRPr="00FB6C33" w:rsidRDefault="004A7ABE" w:rsidP="004A7ABE">
      <w:pPr>
        <w:spacing w:before="120" w:after="0" w:line="276" w:lineRule="auto"/>
        <w:jc w:val="both"/>
        <w:rPr>
          <w:rFonts w:ascii="Verdana" w:hAnsi="Verdana"/>
        </w:rPr>
      </w:pPr>
      <w:r w:rsidRPr="00FB6C33">
        <w:rPr>
          <w:rFonts w:ascii="Verdana" w:hAnsi="Verdana"/>
        </w:rPr>
        <w:t xml:space="preserve">Este concepto tiene el alcance previsto en el artículo 28 del Código de Procedimiento Administrativo y de lo Contencioso Administrativo y las </w:t>
      </w:r>
      <w:r w:rsidRPr="00FB6C33">
        <w:rPr>
          <w:rFonts w:ascii="Verdana" w:hAnsi="Verdana"/>
        </w:rPr>
        <w:lastRenderedPageBreak/>
        <w:t>expresiones utilizadas con mayúscula inicial deben ser entendidas con el significado que les otorga el artículo 2.2.1.1.1.3.1 del Decreto 1082 de 2015.</w:t>
      </w:r>
    </w:p>
    <w:p w14:paraId="69E49710" w14:textId="77777777" w:rsidR="004A7ABE" w:rsidRPr="008E4F36" w:rsidRDefault="004A7ABE" w:rsidP="004A7ABE">
      <w:pPr>
        <w:spacing w:after="0" w:line="276" w:lineRule="auto"/>
        <w:jc w:val="both"/>
        <w:rPr>
          <w:rFonts w:ascii="Verdana" w:eastAsia="Calibri" w:hAnsi="Verdana" w:cs="Times New Roman"/>
        </w:rPr>
      </w:pPr>
    </w:p>
    <w:p w14:paraId="45D99500" w14:textId="4F50002E" w:rsidR="004A7ABE" w:rsidRDefault="004A7ABE" w:rsidP="00815781">
      <w:pPr>
        <w:spacing w:after="0" w:line="276" w:lineRule="auto"/>
        <w:jc w:val="both"/>
        <w:rPr>
          <w:rFonts w:ascii="Verdana" w:eastAsia="Calibri" w:hAnsi="Verdana" w:cs="Times New Roman"/>
        </w:rPr>
      </w:pPr>
      <w:r w:rsidRPr="008E4F36">
        <w:rPr>
          <w:rFonts w:ascii="Verdana" w:eastAsia="Calibri" w:hAnsi="Verdana" w:cs="Times New Roman"/>
        </w:rPr>
        <w:t>Atentamente,</w:t>
      </w:r>
    </w:p>
    <w:p w14:paraId="5F91F9A9" w14:textId="747F66D4" w:rsidR="004A7ABE" w:rsidRPr="00815781" w:rsidRDefault="00815781" w:rsidP="00815781">
      <w:pPr>
        <w:spacing w:after="0" w:line="256" w:lineRule="auto"/>
        <w:jc w:val="center"/>
        <w:rPr>
          <w:noProof/>
        </w:rPr>
      </w:pPr>
      <w:r>
        <w:rPr>
          <w:noProof/>
        </w:rPr>
        <w:drawing>
          <wp:inline distT="0" distB="0" distL="0" distR="0" wp14:anchorId="07C52848" wp14:editId="31A70A21">
            <wp:extent cx="3493311" cy="1298561"/>
            <wp:effectExtent l="0" t="0" r="0" b="0"/>
            <wp:docPr id="393600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00283" name="Imagen 393600283"/>
                    <pic:cNvPicPr/>
                  </pic:nvPicPr>
                  <pic:blipFill>
                    <a:blip r:embed="rId11">
                      <a:extLst>
                        <a:ext uri="{28A0092B-C50C-407E-A947-70E740481C1C}">
                          <a14:useLocalDpi xmlns:a14="http://schemas.microsoft.com/office/drawing/2010/main" val="0"/>
                        </a:ext>
                      </a:extLst>
                    </a:blip>
                    <a:stretch>
                      <a:fillRect/>
                    </a:stretch>
                  </pic:blipFill>
                  <pic:spPr>
                    <a:xfrm>
                      <a:off x="0" y="0"/>
                      <a:ext cx="3493311" cy="1298561"/>
                    </a:xfrm>
                    <a:prstGeom prst="rect">
                      <a:avLst/>
                    </a:prstGeom>
                  </pic:spPr>
                </pic:pic>
              </a:graphicData>
            </a:graphic>
          </wp:inline>
        </w:drawing>
      </w:r>
      <w:bookmarkEnd w:id="0"/>
      <w:bookmarkEnd w:id="1"/>
    </w:p>
    <w:p w14:paraId="7E23B87C" w14:textId="77777777" w:rsidR="004A7ABE" w:rsidRDefault="004A7ABE" w:rsidP="004A7ABE">
      <w:pPr>
        <w:spacing w:after="0"/>
        <w:rPr>
          <w:rFonts w:ascii="Verdana" w:hAnsi="Verdana"/>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A7ABE" w:rsidRPr="002423D6" w14:paraId="16122C2B" w14:textId="77777777" w:rsidTr="008546E0">
        <w:trPr>
          <w:trHeight w:val="315"/>
        </w:trPr>
        <w:tc>
          <w:tcPr>
            <w:tcW w:w="893" w:type="dxa"/>
            <w:vAlign w:val="center"/>
            <w:hideMark/>
          </w:tcPr>
          <w:p w14:paraId="3B69630F" w14:textId="77777777" w:rsidR="004A7ABE" w:rsidRPr="002423D6" w:rsidRDefault="004A7ABE" w:rsidP="008546E0">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50A1396" w14:textId="77777777" w:rsidR="004A7ABE" w:rsidRPr="002423D6" w:rsidRDefault="004A7ABE" w:rsidP="008546E0">
            <w:pPr>
              <w:contextualSpacing/>
              <w:rPr>
                <w:rFonts w:ascii="Verdana" w:eastAsia="Arial" w:hAnsi="Verdana" w:cs="Arial"/>
                <w:color w:val="000000" w:themeColor="text1"/>
                <w:sz w:val="16"/>
                <w:szCs w:val="16"/>
              </w:rPr>
            </w:pPr>
            <w:r w:rsidRPr="002423D6">
              <w:rPr>
                <w:rFonts w:ascii="Verdana" w:eastAsia="Arial" w:hAnsi="Verdana" w:cs="Arial"/>
                <w:color w:val="000000" w:themeColor="text1"/>
                <w:sz w:val="16"/>
                <w:szCs w:val="16"/>
              </w:rPr>
              <w:t>An</w:t>
            </w:r>
            <w:r>
              <w:rPr>
                <w:rFonts w:ascii="Verdana" w:eastAsia="Arial" w:hAnsi="Verdana" w:cs="Arial"/>
                <w:color w:val="000000" w:themeColor="text1"/>
                <w:sz w:val="16"/>
                <w:szCs w:val="16"/>
              </w:rPr>
              <w:t>dreina Cerpa Muñoz</w:t>
            </w:r>
          </w:p>
          <w:p w14:paraId="7E9E32DC" w14:textId="77777777" w:rsidR="004A7ABE" w:rsidRPr="002423D6" w:rsidRDefault="004A7ABE" w:rsidP="008546E0">
            <w:pPr>
              <w:contextualSpacing/>
              <w:rPr>
                <w:rFonts w:ascii="Verdana" w:eastAsia="Arial" w:hAnsi="Verdana" w:cs="Arial"/>
                <w:color w:val="000000" w:themeColor="text1"/>
                <w:sz w:val="16"/>
                <w:szCs w:val="16"/>
              </w:rPr>
            </w:pPr>
            <w:r w:rsidRPr="002423D6">
              <w:rPr>
                <w:rStyle w:val="normaltextrun"/>
                <w:rFonts w:ascii="Verdana" w:eastAsia="Arial" w:hAnsi="Verdana" w:cs="Arial"/>
                <w:color w:val="000000" w:themeColor="text1"/>
                <w:sz w:val="16"/>
                <w:szCs w:val="16"/>
              </w:rPr>
              <w:t>Analista T2-02 de la Subdirección de Gestión Contractual</w:t>
            </w:r>
          </w:p>
        </w:tc>
      </w:tr>
      <w:tr w:rsidR="004A7ABE" w:rsidRPr="002423D6" w14:paraId="405A1679" w14:textId="77777777" w:rsidTr="008546E0">
        <w:trPr>
          <w:trHeight w:val="330"/>
        </w:trPr>
        <w:tc>
          <w:tcPr>
            <w:tcW w:w="893" w:type="dxa"/>
            <w:vAlign w:val="center"/>
            <w:hideMark/>
          </w:tcPr>
          <w:p w14:paraId="5235260B" w14:textId="77777777" w:rsidR="004A7ABE" w:rsidRPr="002423D6" w:rsidRDefault="004A7ABE" w:rsidP="008546E0">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C014538" w14:textId="0377BEAA" w:rsidR="004A7ABE" w:rsidRPr="00A11861" w:rsidRDefault="00DA7BAD" w:rsidP="008546E0">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 xml:space="preserve">Juan David Cárdenas </w:t>
            </w:r>
            <w:r w:rsidR="00DA2870">
              <w:rPr>
                <w:rFonts w:ascii="Verdana" w:eastAsia="Arial" w:hAnsi="Verdana" w:cs="Arial"/>
                <w:color w:val="000000" w:themeColor="text1"/>
                <w:sz w:val="16"/>
                <w:szCs w:val="16"/>
              </w:rPr>
              <w:t xml:space="preserve">Cabeza </w:t>
            </w:r>
          </w:p>
          <w:p w14:paraId="37C94B4A" w14:textId="77777777" w:rsidR="004A7ABE" w:rsidRPr="002423D6" w:rsidRDefault="004A7ABE" w:rsidP="008546E0">
            <w:pPr>
              <w:pStyle w:val="paragraph"/>
              <w:spacing w:before="0" w:beforeAutospacing="0" w:after="0" w:afterAutospacing="0"/>
              <w:contextualSpacing/>
              <w:textAlignment w:val="baseline"/>
              <w:rPr>
                <w:rFonts w:ascii="Verdana" w:hAnsi="Verdana" w:cs="Segoe UI"/>
                <w:color w:val="000000" w:themeColor="text1"/>
                <w:sz w:val="16"/>
                <w:szCs w:val="16"/>
              </w:rPr>
            </w:pPr>
            <w:r w:rsidRPr="002423D6">
              <w:rPr>
                <w:rStyle w:val="normaltextrun"/>
                <w:rFonts w:ascii="Verdana" w:hAnsi="Verdana" w:cs="Arial"/>
                <w:color w:val="000000" w:themeColor="text1"/>
                <w:sz w:val="16"/>
                <w:szCs w:val="16"/>
                <w:lang w:val="es-ES"/>
              </w:rPr>
              <w:t>Contratista de la Subdirección de Gestión Contractual</w:t>
            </w:r>
            <w:r w:rsidRPr="002423D6">
              <w:rPr>
                <w:rStyle w:val="eop"/>
                <w:rFonts w:ascii="Verdana" w:hAnsi="Verdana" w:cs="Arial"/>
                <w:color w:val="000000" w:themeColor="text1"/>
                <w:sz w:val="16"/>
                <w:szCs w:val="16"/>
              </w:rPr>
              <w:t> </w:t>
            </w:r>
          </w:p>
        </w:tc>
      </w:tr>
      <w:tr w:rsidR="004A7ABE" w:rsidRPr="002423D6" w14:paraId="650D3074" w14:textId="77777777" w:rsidTr="008546E0">
        <w:trPr>
          <w:trHeight w:val="300"/>
        </w:trPr>
        <w:tc>
          <w:tcPr>
            <w:tcW w:w="893" w:type="dxa"/>
            <w:vAlign w:val="center"/>
          </w:tcPr>
          <w:p w14:paraId="5B1CE976" w14:textId="77777777" w:rsidR="004A7ABE" w:rsidRPr="002423D6" w:rsidRDefault="004A7ABE" w:rsidP="008546E0">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F3534F9" w14:textId="77777777" w:rsidR="004A7ABE" w:rsidRPr="002423D6" w:rsidRDefault="004A7ABE" w:rsidP="008546E0">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val="pt-BR" w:eastAsia="es-ES"/>
              </w:rPr>
              <w:t xml:space="preserve">Carolina Quintero </w:t>
            </w:r>
            <w:proofErr w:type="spellStart"/>
            <w:r w:rsidRPr="002423D6">
              <w:rPr>
                <w:rFonts w:ascii="Verdana" w:eastAsia="Calibri" w:hAnsi="Verdana" w:cs="Arial"/>
                <w:color w:val="000000" w:themeColor="text1"/>
                <w:sz w:val="16"/>
                <w:szCs w:val="16"/>
                <w:lang w:val="pt-BR" w:eastAsia="es-ES"/>
              </w:rPr>
              <w:t>Gacharná</w:t>
            </w:r>
            <w:proofErr w:type="spellEnd"/>
          </w:p>
          <w:p w14:paraId="373E1DE2" w14:textId="77777777" w:rsidR="004A7ABE" w:rsidRPr="002423D6" w:rsidRDefault="004A7ABE" w:rsidP="008546E0">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eastAsia="es-ES"/>
              </w:rPr>
              <w:t>Subdirectora</w:t>
            </w:r>
            <w:r w:rsidRPr="002423D6">
              <w:rPr>
                <w:rFonts w:ascii="Verdana" w:eastAsia="Calibri" w:hAnsi="Verdana" w:cs="Arial"/>
                <w:color w:val="000000" w:themeColor="text1"/>
                <w:sz w:val="16"/>
                <w:szCs w:val="16"/>
                <w:lang w:val="pt-BR" w:eastAsia="es-ES"/>
              </w:rPr>
              <w:t xml:space="preserve"> de Gestión </w:t>
            </w:r>
            <w:proofErr w:type="spellStart"/>
            <w:r w:rsidRPr="002423D6">
              <w:rPr>
                <w:rFonts w:ascii="Verdana" w:eastAsia="Calibri" w:hAnsi="Verdana" w:cs="Arial"/>
                <w:color w:val="000000" w:themeColor="text1"/>
                <w:sz w:val="16"/>
                <w:szCs w:val="16"/>
                <w:lang w:val="pt-BR" w:eastAsia="es-ES"/>
              </w:rPr>
              <w:t>Contractual</w:t>
            </w:r>
            <w:proofErr w:type="spellEnd"/>
            <w:r w:rsidRPr="002423D6">
              <w:rPr>
                <w:rFonts w:ascii="Verdana" w:eastAsia="Calibri" w:hAnsi="Verdana" w:cs="Arial"/>
                <w:color w:val="000000" w:themeColor="text1"/>
                <w:sz w:val="16"/>
                <w:szCs w:val="16"/>
                <w:lang w:val="pt-BR" w:eastAsia="es-ES"/>
              </w:rPr>
              <w:t xml:space="preserve"> ANCP – CCE</w:t>
            </w:r>
          </w:p>
        </w:tc>
      </w:tr>
    </w:tbl>
    <w:p w14:paraId="4608CBAD" w14:textId="77777777" w:rsidR="004A7ABE" w:rsidRDefault="004A7ABE" w:rsidP="004A7ABE"/>
    <w:p w14:paraId="363FB453" w14:textId="58B60C42" w:rsidR="0089380F" w:rsidRDefault="0089380F" w:rsidP="004A7ABE"/>
    <w:p w14:paraId="5A7A7726" w14:textId="77777777" w:rsidR="004A7ABE" w:rsidRPr="00C84654" w:rsidRDefault="004A7ABE" w:rsidP="004A7ABE">
      <w:pPr>
        <w:rPr>
          <w:b/>
          <w:bCs/>
        </w:rPr>
      </w:pPr>
    </w:p>
    <w:p w14:paraId="2739DBB3" w14:textId="77777777" w:rsidR="004A7ABE" w:rsidRDefault="004A7ABE" w:rsidP="004A7ABE"/>
    <w:p w14:paraId="71AE3545" w14:textId="77777777" w:rsidR="004A7ABE" w:rsidRDefault="004A7ABE" w:rsidP="004A7ABE"/>
    <w:p w14:paraId="433E90B3" w14:textId="77777777" w:rsidR="004A7ABE" w:rsidRDefault="004A7ABE" w:rsidP="004A7ABE"/>
    <w:p w14:paraId="52420DF3" w14:textId="77777777" w:rsidR="004A7ABE" w:rsidRDefault="004A7ABE" w:rsidP="004A7ABE"/>
    <w:p w14:paraId="4B1E04D5" w14:textId="77777777" w:rsidR="004A7ABE" w:rsidRDefault="004A7ABE" w:rsidP="004A7ABE"/>
    <w:p w14:paraId="59AC4C40" w14:textId="77777777" w:rsidR="004A7ABE" w:rsidRDefault="004A7ABE" w:rsidP="004A7ABE"/>
    <w:p w14:paraId="0596ED6B" w14:textId="77777777" w:rsidR="000F5A42" w:rsidRDefault="000F5A42"/>
    <w:sectPr w:rsidR="000F5A42" w:rsidSect="004A7ABE">
      <w:headerReference w:type="default" r:id="rId12"/>
      <w:footerReference w:type="default" r:id="rId13"/>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3D001" w14:textId="77777777" w:rsidR="00BC3AC1" w:rsidRDefault="00BC3AC1" w:rsidP="00DA12C8">
      <w:pPr>
        <w:spacing w:after="0" w:line="240" w:lineRule="auto"/>
      </w:pPr>
      <w:r>
        <w:separator/>
      </w:r>
    </w:p>
  </w:endnote>
  <w:endnote w:type="continuationSeparator" w:id="0">
    <w:p w14:paraId="3773E449" w14:textId="77777777" w:rsidR="00BC3AC1" w:rsidRDefault="00BC3AC1" w:rsidP="00DA1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E0E4" w14:textId="77777777" w:rsidR="004A7ABE" w:rsidRDefault="004A7ABE">
    <w:pPr>
      <w:spacing w:after="0"/>
      <w:rPr>
        <w:rFonts w:ascii="Verdana" w:hAnsi="Verdana"/>
        <w:b/>
        <w:bCs/>
        <w:sz w:val="20"/>
        <w:szCs w:val="20"/>
      </w:rPr>
    </w:pPr>
  </w:p>
  <w:p w14:paraId="2436790D" w14:textId="77777777" w:rsidR="004A7ABE" w:rsidRPr="00174B77" w:rsidRDefault="004A7ABE">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58CEA29D" w14:textId="77777777" w:rsidR="004A7ABE" w:rsidRDefault="004A7ABE">
    <w:pPr>
      <w:spacing w:after="0"/>
      <w:jc w:val="both"/>
      <w:rPr>
        <w:rFonts w:ascii="Verdana" w:hAnsi="Verdana"/>
        <w:sz w:val="18"/>
        <w:szCs w:val="18"/>
      </w:rPr>
    </w:pPr>
    <w:r w:rsidRPr="00E41027">
      <w:rPr>
        <w:rFonts w:ascii="Verdana" w:hAnsi="Verdana"/>
        <w:sz w:val="18"/>
        <w:szCs w:val="18"/>
      </w:rPr>
      <w:t>Dirección: Carrera 7 # 26 – 20 - Bogotá, Colombia</w:t>
    </w:r>
  </w:p>
  <w:p w14:paraId="0A415866" w14:textId="77777777" w:rsidR="004A7ABE" w:rsidRPr="00E41027" w:rsidRDefault="004A7ABE">
    <w:pPr>
      <w:spacing w:after="0"/>
      <w:jc w:val="both"/>
      <w:rPr>
        <w:rFonts w:ascii="Verdana" w:hAnsi="Verdana"/>
        <w:sz w:val="18"/>
        <w:szCs w:val="18"/>
      </w:rPr>
    </w:pPr>
    <w:r w:rsidRPr="00E41027">
      <w:rPr>
        <w:rFonts w:ascii="Verdana" w:hAnsi="Verdana"/>
        <w:sz w:val="18"/>
        <w:szCs w:val="18"/>
      </w:rPr>
      <w:t>Mesa de servicio: (+57) 601 7456788</w:t>
    </w:r>
  </w:p>
  <w:p w14:paraId="07E90219" w14:textId="77777777" w:rsidR="004A7ABE" w:rsidRDefault="004A7ABE">
    <w:pPr>
      <w:pStyle w:val="Piedepgina"/>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Pr>
        <w:rFonts w:ascii="Century Gothic" w:hAnsi="Century Gothic"/>
        <w:sz w:val="18"/>
        <w:szCs w:val="18"/>
      </w:rPr>
      <w:t>Código: CCE-DES-FM-17 Versión: 4</w:t>
    </w:r>
    <w:r w:rsidRPr="0086556C">
      <w:rPr>
        <w:rFonts w:ascii="Century Gothic" w:hAnsi="Century Gothic"/>
        <w:sz w:val="18"/>
        <w:szCs w:val="18"/>
      </w:rPr>
      <w:t xml:space="preserve"> </w:t>
    </w:r>
    <w:r>
      <w:rPr>
        <w:rFonts w:ascii="Century Gothic" w:hAnsi="Century Gothic"/>
        <w:sz w:val="18"/>
        <w:szCs w:val="18"/>
      </w:rPr>
      <w:t>Fecha: 13-12-2023</w:t>
    </w:r>
  </w:p>
  <w:p w14:paraId="11021FAC" w14:textId="77777777" w:rsidR="004A7ABE" w:rsidRPr="007D04B2" w:rsidRDefault="004A7ABE">
    <w:pPr>
      <w:pStyle w:val="Piedepgina"/>
    </w:pPr>
  </w:p>
  <w:p w14:paraId="1985D1DE" w14:textId="77777777" w:rsidR="004A7ABE" w:rsidRPr="000849D5" w:rsidRDefault="004A7A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88799" w14:textId="77777777" w:rsidR="00BC3AC1" w:rsidRDefault="00BC3AC1" w:rsidP="00DA12C8">
      <w:pPr>
        <w:spacing w:after="0" w:line="240" w:lineRule="auto"/>
      </w:pPr>
      <w:r>
        <w:separator/>
      </w:r>
    </w:p>
  </w:footnote>
  <w:footnote w:type="continuationSeparator" w:id="0">
    <w:p w14:paraId="0F560FD3" w14:textId="77777777" w:rsidR="00BC3AC1" w:rsidRDefault="00BC3AC1" w:rsidP="00DA12C8">
      <w:pPr>
        <w:spacing w:after="0" w:line="240" w:lineRule="auto"/>
      </w:pPr>
      <w:r>
        <w:continuationSeparator/>
      </w:r>
    </w:p>
  </w:footnote>
  <w:footnote w:id="1">
    <w:p w14:paraId="4126243F" w14:textId="77777777" w:rsidR="00DA12C8" w:rsidRPr="00633474" w:rsidRDefault="00DA12C8" w:rsidP="00DA12C8">
      <w:pPr>
        <w:pStyle w:val="Textonotapie"/>
        <w:ind w:firstLine="709"/>
        <w:contextualSpacing/>
        <w:jc w:val="both"/>
        <w:rPr>
          <w:rFonts w:ascii="Verdana" w:hAnsi="Verdana" w:cs="Arial"/>
          <w:sz w:val="14"/>
          <w:szCs w:val="14"/>
        </w:rPr>
      </w:pPr>
      <w:r w:rsidRPr="00633474">
        <w:rPr>
          <w:rStyle w:val="Refdenotaalpie"/>
          <w:rFonts w:cs="Arial"/>
          <w:sz w:val="14"/>
          <w:szCs w:val="14"/>
        </w:rPr>
        <w:footnoteRef/>
      </w:r>
      <w:r w:rsidRPr="00633474">
        <w:rPr>
          <w:rFonts w:ascii="Verdana" w:hAnsi="Verdana" w:cs="Arial"/>
          <w:sz w:val="14"/>
          <w:szCs w:val="14"/>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6F494BEB" w14:textId="77777777" w:rsidR="00DA12C8" w:rsidRPr="00633474" w:rsidRDefault="00DA12C8" w:rsidP="00DA12C8">
      <w:pPr>
        <w:pStyle w:val="Textonotapie"/>
        <w:ind w:firstLine="709"/>
        <w:contextualSpacing/>
        <w:jc w:val="both"/>
        <w:rPr>
          <w:rFonts w:ascii="Verdana" w:hAnsi="Verdana" w:cs="Arial"/>
          <w:sz w:val="14"/>
          <w:szCs w:val="14"/>
        </w:rPr>
      </w:pPr>
      <w:r w:rsidRPr="00633474">
        <w:rPr>
          <w:rFonts w:ascii="Verdana" w:hAnsi="Verdana" w:cs="Arial"/>
          <w:sz w:val="14"/>
          <w:szCs w:val="14"/>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2">
    <w:p w14:paraId="69F257B3" w14:textId="77777777" w:rsidR="00DA12C8" w:rsidRPr="0016660C" w:rsidRDefault="00DA12C8" w:rsidP="00DA12C8">
      <w:pPr>
        <w:pStyle w:val="Textonotapie"/>
        <w:ind w:firstLine="709"/>
        <w:contextualSpacing/>
        <w:jc w:val="both"/>
        <w:rPr>
          <w:rFonts w:ascii="Verdana" w:hAnsi="Verdana" w:cs="Arial"/>
          <w:sz w:val="16"/>
          <w:szCs w:val="16"/>
        </w:rPr>
      </w:pPr>
      <w:r w:rsidRPr="00633474">
        <w:rPr>
          <w:rStyle w:val="Refdenotaalpie"/>
          <w:rFonts w:cs="Arial"/>
          <w:sz w:val="14"/>
          <w:szCs w:val="14"/>
        </w:rPr>
        <w:footnoteRef/>
      </w:r>
      <w:r w:rsidRPr="00633474">
        <w:rPr>
          <w:rFonts w:ascii="Verdana" w:hAnsi="Verdana" w:cs="Arial"/>
          <w:sz w:val="14"/>
          <w:szCs w:val="14"/>
        </w:rPr>
        <w:t xml:space="preserve"> Gaceta del Congreso de la República No. 71 del 2005.</w:t>
      </w:r>
    </w:p>
  </w:footnote>
  <w:footnote w:id="3">
    <w:p w14:paraId="111B6C6F" w14:textId="77777777" w:rsidR="00DA12C8" w:rsidRPr="00633474" w:rsidRDefault="00DA12C8" w:rsidP="00DA12C8">
      <w:pPr>
        <w:pStyle w:val="Textonotapie"/>
        <w:ind w:firstLine="709"/>
        <w:contextualSpacing/>
        <w:jc w:val="both"/>
        <w:rPr>
          <w:rFonts w:ascii="Verdana" w:hAnsi="Verdana" w:cs="Arial"/>
          <w:sz w:val="14"/>
          <w:szCs w:val="14"/>
          <w:lang w:val="pt-BR"/>
        </w:rPr>
      </w:pPr>
      <w:r w:rsidRPr="00633474">
        <w:rPr>
          <w:rStyle w:val="Refdenotaalpie"/>
          <w:rFonts w:cs="Arial"/>
          <w:sz w:val="14"/>
          <w:szCs w:val="14"/>
        </w:rPr>
        <w:footnoteRef/>
      </w:r>
      <w:r w:rsidRPr="00633474">
        <w:rPr>
          <w:rFonts w:ascii="Verdana" w:hAnsi="Verdana" w:cs="Arial"/>
          <w:sz w:val="14"/>
          <w:szCs w:val="14"/>
          <w:lang w:val="pt-BR"/>
        </w:rPr>
        <w:t xml:space="preserve"> Corte Constitucional, Sentencia C- 1153 de 2005, M.P. Marco Gerardo </w:t>
      </w:r>
      <w:proofErr w:type="spellStart"/>
      <w:r w:rsidRPr="00633474">
        <w:rPr>
          <w:rFonts w:ascii="Verdana" w:hAnsi="Verdana" w:cs="Arial"/>
          <w:sz w:val="14"/>
          <w:szCs w:val="14"/>
          <w:lang w:val="pt-BR"/>
        </w:rPr>
        <w:t>Monroy</w:t>
      </w:r>
      <w:proofErr w:type="spellEnd"/>
      <w:r w:rsidRPr="00633474">
        <w:rPr>
          <w:rFonts w:ascii="Verdana" w:hAnsi="Verdana" w:cs="Arial"/>
          <w:sz w:val="14"/>
          <w:szCs w:val="14"/>
          <w:lang w:val="pt-BR"/>
        </w:rPr>
        <w:t xml:space="preserve"> Cabra.</w:t>
      </w:r>
    </w:p>
  </w:footnote>
  <w:footnote w:id="4">
    <w:p w14:paraId="641BA235" w14:textId="77777777" w:rsidR="00DA12C8" w:rsidRPr="00633474" w:rsidRDefault="00DA12C8" w:rsidP="00DA12C8">
      <w:pPr>
        <w:pStyle w:val="Textonotapie"/>
        <w:ind w:firstLine="709"/>
        <w:contextualSpacing/>
        <w:jc w:val="both"/>
        <w:rPr>
          <w:rFonts w:ascii="Verdana" w:hAnsi="Verdana" w:cs="Arial"/>
          <w:sz w:val="14"/>
          <w:szCs w:val="14"/>
          <w:lang w:val="pt-BR"/>
        </w:rPr>
      </w:pPr>
      <w:r w:rsidRPr="00633474">
        <w:rPr>
          <w:rStyle w:val="Refdenotaalpie"/>
          <w:rFonts w:cs="Arial"/>
          <w:sz w:val="14"/>
          <w:szCs w:val="14"/>
        </w:rPr>
        <w:footnoteRef/>
      </w:r>
      <w:r w:rsidRPr="00633474">
        <w:rPr>
          <w:rFonts w:ascii="Verdana" w:hAnsi="Verdana" w:cs="Arial"/>
          <w:sz w:val="14"/>
          <w:szCs w:val="14"/>
          <w:lang w:val="pt-BR"/>
        </w:rPr>
        <w:t xml:space="preserve"> Corte Constitucional. Sentencias: C-233 de 4 de abril de 2002, expediente: D-3704; C-551 de 9 de </w:t>
      </w:r>
      <w:proofErr w:type="spellStart"/>
      <w:r w:rsidRPr="00633474">
        <w:rPr>
          <w:rFonts w:ascii="Verdana" w:hAnsi="Verdana" w:cs="Arial"/>
          <w:sz w:val="14"/>
          <w:szCs w:val="14"/>
          <w:lang w:val="pt-BR"/>
        </w:rPr>
        <w:t>julio</w:t>
      </w:r>
      <w:proofErr w:type="spellEnd"/>
      <w:r w:rsidRPr="00633474">
        <w:rPr>
          <w:rFonts w:ascii="Verdana" w:hAnsi="Verdana" w:cs="Arial"/>
          <w:sz w:val="14"/>
          <w:szCs w:val="14"/>
          <w:lang w:val="pt-BR"/>
        </w:rPr>
        <w:t xml:space="preserve"> de 2003, expediente: CRF-001 de 9 de </w:t>
      </w:r>
      <w:proofErr w:type="spellStart"/>
      <w:r w:rsidRPr="00633474">
        <w:rPr>
          <w:rFonts w:ascii="Verdana" w:hAnsi="Verdana" w:cs="Arial"/>
          <w:sz w:val="14"/>
          <w:szCs w:val="14"/>
          <w:lang w:val="pt-BR"/>
        </w:rPr>
        <w:t>julio</w:t>
      </w:r>
      <w:proofErr w:type="spellEnd"/>
      <w:r w:rsidRPr="00633474">
        <w:rPr>
          <w:rFonts w:ascii="Verdana" w:hAnsi="Verdana" w:cs="Arial"/>
          <w:sz w:val="14"/>
          <w:szCs w:val="14"/>
          <w:lang w:val="pt-BR"/>
        </w:rPr>
        <w:t xml:space="preserve"> de 2003; C-652 de 5 de agosto de 2003, expediente: D-4330; C-353 de 20 de </w:t>
      </w:r>
      <w:proofErr w:type="spellStart"/>
      <w:r w:rsidRPr="00633474">
        <w:rPr>
          <w:rFonts w:ascii="Verdana" w:hAnsi="Verdana" w:cs="Arial"/>
          <w:sz w:val="14"/>
          <w:szCs w:val="14"/>
          <w:lang w:val="pt-BR"/>
        </w:rPr>
        <w:t>mayo</w:t>
      </w:r>
      <w:proofErr w:type="spellEnd"/>
      <w:r w:rsidRPr="00633474">
        <w:rPr>
          <w:rFonts w:ascii="Verdana" w:hAnsi="Verdana" w:cs="Arial"/>
          <w:sz w:val="14"/>
          <w:szCs w:val="14"/>
          <w:lang w:val="pt-BR"/>
        </w:rPr>
        <w:t xml:space="preserve"> de 2009, expediente: D-7518, C-541 de 30 de </w:t>
      </w:r>
      <w:proofErr w:type="spellStart"/>
      <w:r w:rsidRPr="00633474">
        <w:rPr>
          <w:rFonts w:ascii="Verdana" w:hAnsi="Verdana" w:cs="Arial"/>
          <w:sz w:val="14"/>
          <w:szCs w:val="14"/>
          <w:lang w:val="pt-BR"/>
        </w:rPr>
        <w:t>junio</w:t>
      </w:r>
      <w:proofErr w:type="spellEnd"/>
      <w:r w:rsidRPr="00633474">
        <w:rPr>
          <w:rFonts w:ascii="Verdana" w:hAnsi="Verdana" w:cs="Arial"/>
          <w:sz w:val="14"/>
          <w:szCs w:val="14"/>
          <w:lang w:val="pt-BR"/>
        </w:rPr>
        <w:t xml:space="preserve"> de 2010, expediente: DD7966; entre </w:t>
      </w:r>
      <w:proofErr w:type="spellStart"/>
      <w:r w:rsidRPr="00633474">
        <w:rPr>
          <w:rFonts w:ascii="Verdana" w:hAnsi="Verdana" w:cs="Arial"/>
          <w:sz w:val="14"/>
          <w:szCs w:val="14"/>
          <w:lang w:val="pt-BR"/>
        </w:rPr>
        <w:t>otras</w:t>
      </w:r>
      <w:proofErr w:type="spellEnd"/>
      <w:r w:rsidRPr="00633474">
        <w:rPr>
          <w:rFonts w:ascii="Verdana" w:hAnsi="Verdana" w:cs="Arial"/>
          <w:sz w:val="14"/>
          <w:szCs w:val="14"/>
          <w:lang w:val="pt-BR"/>
        </w:rPr>
        <w:t>.</w:t>
      </w:r>
    </w:p>
  </w:footnote>
  <w:footnote w:id="5">
    <w:p w14:paraId="132ABAD3" w14:textId="77777777" w:rsidR="00DA12C8" w:rsidRPr="0016660C" w:rsidRDefault="00DA12C8" w:rsidP="00DA12C8">
      <w:pPr>
        <w:pStyle w:val="Textonotapie"/>
        <w:ind w:firstLine="709"/>
        <w:contextualSpacing/>
        <w:jc w:val="both"/>
        <w:rPr>
          <w:rFonts w:ascii="Verdana" w:hAnsi="Verdana" w:cs="Arial"/>
          <w:sz w:val="16"/>
          <w:szCs w:val="16"/>
          <w:lang w:val="es-CO"/>
        </w:rPr>
      </w:pPr>
      <w:r w:rsidRPr="00633474">
        <w:rPr>
          <w:rStyle w:val="Refdenotaalpie"/>
          <w:rFonts w:cs="Arial"/>
          <w:sz w:val="14"/>
          <w:szCs w:val="14"/>
        </w:rPr>
        <w:footnoteRef/>
      </w:r>
      <w:r w:rsidRPr="00633474">
        <w:rPr>
          <w:rFonts w:ascii="Verdana" w:hAnsi="Verdana" w:cs="Arial"/>
          <w:sz w:val="14"/>
          <w:szCs w:val="14"/>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6">
    <w:p w14:paraId="694DF5E2" w14:textId="77777777" w:rsidR="00DA12C8" w:rsidRPr="00633474" w:rsidRDefault="00DA12C8" w:rsidP="00DA12C8">
      <w:pPr>
        <w:pStyle w:val="Textonotapie"/>
        <w:ind w:firstLine="709"/>
        <w:contextualSpacing/>
        <w:jc w:val="both"/>
        <w:rPr>
          <w:rFonts w:ascii="Verdana" w:hAnsi="Verdana" w:cs="Arial"/>
          <w:sz w:val="14"/>
          <w:szCs w:val="14"/>
        </w:rPr>
      </w:pPr>
      <w:r w:rsidRPr="00633474">
        <w:rPr>
          <w:rStyle w:val="Refdenotaalpie"/>
          <w:rFonts w:cs="Arial"/>
          <w:sz w:val="14"/>
          <w:szCs w:val="14"/>
        </w:rPr>
        <w:footnoteRef/>
      </w:r>
      <w:r w:rsidRPr="00633474">
        <w:rPr>
          <w:rFonts w:ascii="Verdana" w:hAnsi="Verdana" w:cs="Arial"/>
          <w:sz w:val="14"/>
          <w:szCs w:val="14"/>
        </w:rPr>
        <w:t xml:space="preserve"> Consejo de Estado, Sala de Consulta y Servicio Civil de fecha 24 de julio de 2013, Rad. 2166, C. P. Álvaro Namén Vargas.  </w:t>
      </w:r>
    </w:p>
  </w:footnote>
  <w:footnote w:id="7">
    <w:p w14:paraId="6EDED902" w14:textId="77777777" w:rsidR="00DA12C8" w:rsidRPr="00633474" w:rsidRDefault="00DA12C8" w:rsidP="00DA12C8">
      <w:pPr>
        <w:spacing w:after="0" w:line="240" w:lineRule="auto"/>
        <w:ind w:firstLine="709"/>
        <w:jc w:val="both"/>
        <w:rPr>
          <w:rFonts w:ascii="Verdana" w:eastAsia="Times New Roman" w:hAnsi="Verdana" w:cs="Arial"/>
          <w:sz w:val="14"/>
          <w:szCs w:val="14"/>
        </w:rPr>
      </w:pPr>
      <w:r w:rsidRPr="00633474">
        <w:rPr>
          <w:rStyle w:val="Refdenotaalpie"/>
          <w:rFonts w:cs="Arial"/>
          <w:sz w:val="14"/>
          <w:szCs w:val="14"/>
        </w:rPr>
        <w:footnoteRef/>
      </w:r>
      <w:r w:rsidRPr="00633474">
        <w:rPr>
          <w:rFonts w:ascii="Verdana" w:hAnsi="Verdana" w:cs="Arial"/>
          <w:sz w:val="14"/>
          <w:szCs w:val="14"/>
        </w:rPr>
        <w:t xml:space="preserve"> </w:t>
      </w:r>
      <w:r w:rsidRPr="00633474">
        <w:rPr>
          <w:rFonts w:ascii="Verdana" w:eastAsia="Calibri" w:hAnsi="Verdana" w:cs="Arial"/>
          <w:color w:val="000000"/>
          <w:sz w:val="14"/>
          <w:szCs w:val="14"/>
        </w:rPr>
        <w:t>“</w:t>
      </w:r>
      <w:bookmarkStart w:id="6" w:name="33"/>
      <w:r w:rsidRPr="00633474">
        <w:rPr>
          <w:rFonts w:ascii="Verdana" w:eastAsia="Times New Roman" w:hAnsi="Verdana" w:cs="Arial"/>
          <w:sz w:val="14"/>
          <w:szCs w:val="14"/>
        </w:rPr>
        <w:t>Artículo 33. Restricciones a la contratación pública.</w:t>
      </w:r>
      <w:bookmarkEnd w:id="6"/>
      <w:r w:rsidRPr="00633474">
        <w:rPr>
          <w:rFonts w:ascii="Verdana" w:eastAsia="Times New Roman" w:hAnsi="Verdana" w:cs="Arial"/>
          <w:sz w:val="14"/>
          <w:szCs w:val="14"/>
        </w:rPr>
        <w:t> Durante los cuatro (4) meses anteriores a la elección presidencial y hasta la realización de la elección en la segunda vuelta, si fuere el caso, queda prohibida la contratación directa por parte de todos los entes del Estado.</w:t>
      </w:r>
    </w:p>
    <w:p w14:paraId="76380FDE" w14:textId="77777777" w:rsidR="00DA12C8" w:rsidRDefault="00DA12C8" w:rsidP="00DA12C8">
      <w:pPr>
        <w:spacing w:after="0" w:line="240" w:lineRule="auto"/>
        <w:ind w:firstLine="709"/>
        <w:jc w:val="both"/>
        <w:rPr>
          <w:rFonts w:ascii="Verdana" w:eastAsia="Times New Roman" w:hAnsi="Verdana" w:cs="Arial"/>
          <w:sz w:val="16"/>
          <w:szCs w:val="16"/>
        </w:rPr>
      </w:pPr>
      <w:r w:rsidRPr="00633474">
        <w:rPr>
          <w:rFonts w:ascii="Verdana" w:eastAsia="Times New Roman" w:hAnsi="Verdana" w:cs="Arial"/>
          <w:sz w:val="14"/>
          <w:szCs w:val="14"/>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633474">
        <w:rPr>
          <w:rFonts w:ascii="Verdana" w:eastAsia="Calibri" w:hAnsi="Verdana" w:cs="Arial"/>
          <w:color w:val="000000"/>
          <w:sz w:val="14"/>
          <w:szCs w:val="14"/>
        </w:rPr>
        <w:t>”</w:t>
      </w:r>
      <w:r w:rsidRPr="00633474">
        <w:rPr>
          <w:rFonts w:ascii="Verdana" w:eastAsia="Times New Roman" w:hAnsi="Verdana" w:cs="Arial"/>
          <w:sz w:val="14"/>
          <w:szCs w:val="14"/>
        </w:rPr>
        <w:t>.</w:t>
      </w:r>
    </w:p>
  </w:footnote>
  <w:footnote w:id="8">
    <w:p w14:paraId="5FC5B873" w14:textId="77777777" w:rsidR="00DA12C8" w:rsidRPr="00810BC3" w:rsidRDefault="00DA12C8" w:rsidP="00DA12C8">
      <w:pPr>
        <w:pStyle w:val="NormalWeb"/>
        <w:spacing w:before="0" w:beforeAutospacing="0" w:after="0" w:afterAutospacing="0"/>
        <w:ind w:firstLine="709"/>
        <w:contextualSpacing/>
        <w:jc w:val="both"/>
        <w:rPr>
          <w:rFonts w:ascii="Verdana" w:hAnsi="Verdana" w:cs="Arial"/>
          <w:sz w:val="12"/>
          <w:szCs w:val="12"/>
          <w:lang w:val="es-MX"/>
        </w:rPr>
      </w:pPr>
      <w:r w:rsidRPr="00810BC3">
        <w:rPr>
          <w:rStyle w:val="Refdenotaalpie"/>
          <w:rFonts w:eastAsiaTheme="majorEastAsia" w:cs="Arial"/>
          <w:sz w:val="12"/>
          <w:szCs w:val="12"/>
        </w:rPr>
        <w:footnoteRef/>
      </w:r>
      <w:r w:rsidRPr="00810BC3">
        <w:rPr>
          <w:rFonts w:ascii="Verdana" w:hAnsi="Verdana" w:cs="Arial"/>
          <w:sz w:val="12"/>
          <w:szCs w:val="12"/>
        </w:rPr>
        <w:t xml:space="preserve"> </w:t>
      </w:r>
      <w:r w:rsidRPr="00810BC3">
        <w:rPr>
          <w:rFonts w:ascii="Verdana" w:eastAsia="Calibri" w:hAnsi="Verdana" w:cs="Arial"/>
          <w:color w:val="000000"/>
          <w:sz w:val="12"/>
          <w:szCs w:val="12"/>
        </w:rPr>
        <w:t>“</w:t>
      </w:r>
      <w:r w:rsidRPr="00810BC3">
        <w:rPr>
          <w:rFonts w:ascii="Verdana" w:hAnsi="Verdana" w:cs="Arial"/>
          <w:sz w:val="12"/>
          <w:szCs w:val="12"/>
          <w:lang w:val="es-MX"/>
        </w:rPr>
        <w:t>Artículo 38. Prohibiciones para los servidores públicos. A los empleados del Estado les está prohibido: […]</w:t>
      </w:r>
    </w:p>
    <w:p w14:paraId="3F41F6E8" w14:textId="77777777" w:rsidR="00DA12C8" w:rsidRPr="00810BC3" w:rsidRDefault="00DA12C8" w:rsidP="00DA12C8">
      <w:pPr>
        <w:pStyle w:val="NormalWeb"/>
        <w:spacing w:before="0" w:beforeAutospacing="0" w:after="0" w:afterAutospacing="0"/>
        <w:ind w:firstLine="709"/>
        <w:contextualSpacing/>
        <w:jc w:val="both"/>
        <w:rPr>
          <w:rFonts w:ascii="Verdana" w:hAnsi="Verdana" w:cs="Arial"/>
          <w:sz w:val="12"/>
          <w:szCs w:val="12"/>
          <w:lang w:val="es-MX"/>
        </w:rPr>
      </w:pPr>
      <w:r w:rsidRPr="00810BC3">
        <w:rPr>
          <w:rStyle w:val="baj"/>
          <w:rFonts w:ascii="Verdana" w:hAnsi="Verdana" w:cs="Arial"/>
          <w:sz w:val="12"/>
          <w:szCs w:val="12"/>
          <w:lang w:val="es-MX"/>
        </w:rPr>
        <w:t>Parágrafo.</w:t>
      </w:r>
      <w:r w:rsidRPr="00810BC3">
        <w:rPr>
          <w:rFonts w:ascii="Verdana" w:hAnsi="Verdana" w:cs="Arial"/>
          <w:sz w:val="12"/>
          <w:szCs w:val="12"/>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810BC3">
        <w:rPr>
          <w:rFonts w:ascii="Verdana" w:eastAsia="Calibri" w:hAnsi="Verdana" w:cs="Arial"/>
          <w:color w:val="000000"/>
          <w:sz w:val="12"/>
          <w:szCs w:val="12"/>
        </w:rPr>
        <w:t>”</w:t>
      </w:r>
      <w:r w:rsidRPr="00810BC3">
        <w:rPr>
          <w:rFonts w:ascii="Verdana" w:hAnsi="Verdana" w:cs="Arial"/>
          <w:sz w:val="12"/>
          <w:szCs w:val="12"/>
          <w:lang w:val="es-MX"/>
        </w:rPr>
        <w:t>.</w:t>
      </w:r>
    </w:p>
  </w:footnote>
  <w:footnote w:id="9">
    <w:p w14:paraId="60AA0808" w14:textId="77777777" w:rsidR="00DA12C8" w:rsidRPr="0016660C" w:rsidRDefault="00DA12C8" w:rsidP="00DA12C8">
      <w:pPr>
        <w:spacing w:after="0" w:line="240" w:lineRule="auto"/>
        <w:ind w:left="100" w:right="244" w:firstLine="709"/>
        <w:contextualSpacing/>
        <w:jc w:val="both"/>
        <w:rPr>
          <w:rFonts w:ascii="Verdana" w:hAnsi="Verdana" w:cs="Arial"/>
          <w:sz w:val="16"/>
          <w:szCs w:val="16"/>
          <w:lang w:val="es-ES"/>
        </w:rPr>
      </w:pPr>
      <w:r w:rsidRPr="00810BC3">
        <w:rPr>
          <w:rStyle w:val="Refdenotaalpie"/>
          <w:rFonts w:cs="Arial"/>
          <w:sz w:val="12"/>
          <w:szCs w:val="12"/>
        </w:rPr>
        <w:footnoteRef/>
      </w:r>
      <w:r w:rsidRPr="00810BC3">
        <w:rPr>
          <w:rFonts w:ascii="Verdana" w:hAnsi="Verdana" w:cs="Arial"/>
          <w:sz w:val="12"/>
          <w:szCs w:val="12"/>
        </w:rPr>
        <w:t xml:space="preserve"> Consejo de Estado. Sala de Consulta y Servicio Civil. Concepto del 17 de febrero de 2015. C.P. William Zambrano Cetina. Radicación No. 11001-03-06-000-2015-00164-00(2269).</w:t>
      </w:r>
    </w:p>
  </w:footnote>
  <w:footnote w:id="10">
    <w:p w14:paraId="76030E5E" w14:textId="77777777" w:rsidR="00DA12C8" w:rsidRPr="00810BC3" w:rsidRDefault="00DA12C8" w:rsidP="00DA12C8">
      <w:pPr>
        <w:pStyle w:val="Textonotapie"/>
        <w:ind w:right="51" w:firstLine="709"/>
        <w:jc w:val="both"/>
        <w:rPr>
          <w:rFonts w:ascii="Verdana" w:hAnsi="Verdana" w:cs="Arial"/>
          <w:sz w:val="12"/>
          <w:szCs w:val="12"/>
        </w:rPr>
      </w:pPr>
      <w:r w:rsidRPr="00810BC3">
        <w:rPr>
          <w:rStyle w:val="Refdenotaalpie"/>
          <w:rFonts w:cs="Arial"/>
          <w:sz w:val="12"/>
          <w:szCs w:val="12"/>
        </w:rPr>
        <w:footnoteRef/>
      </w:r>
      <w:r w:rsidRPr="00810BC3">
        <w:rPr>
          <w:rFonts w:ascii="Verdana" w:hAnsi="Verdana" w:cs="Arial"/>
          <w:sz w:val="12"/>
          <w:szCs w:val="12"/>
        </w:rPr>
        <w:t xml:space="preserve"> “</w:t>
      </w:r>
      <w:r w:rsidRPr="00810BC3">
        <w:rPr>
          <w:rFonts w:ascii="Verdana" w:hAnsi="Verdana" w:cs="Arial"/>
          <w:sz w:val="12"/>
          <w:szCs w:val="12"/>
          <w:lang w:val="es-ES"/>
        </w:rPr>
        <w:t xml:space="preserve">[25] </w:t>
      </w:r>
      <w:r w:rsidRPr="00810BC3">
        <w:rPr>
          <w:rFonts w:ascii="Verdana" w:hAnsi="Verdana" w:cs="Arial"/>
          <w:sz w:val="12"/>
          <w:szCs w:val="12"/>
        </w:rPr>
        <w:t>Cfr. Consejo de Estado. Sección Tercera. Sentencia de 3 de diciembre de 2007. Radicados: 24.715, 25.206, 25.409, 24.524, 27.834, 25.410, 26.105, 28.244, 31.447 -acumulados</w:t>
      </w:r>
      <w:proofErr w:type="gramStart"/>
      <w:r w:rsidRPr="00810BC3">
        <w:rPr>
          <w:rFonts w:ascii="Verdana" w:hAnsi="Verdana" w:cs="Arial"/>
          <w:sz w:val="12"/>
          <w:szCs w:val="12"/>
        </w:rPr>
        <w:t>-“</w:t>
      </w:r>
      <w:proofErr w:type="gramEnd"/>
      <w:r w:rsidRPr="00810BC3">
        <w:rPr>
          <w:rFonts w:ascii="Verdana" w:hAnsi="Verdana" w:cs="Arial"/>
          <w:sz w:val="12"/>
          <w:szCs w:val="12"/>
        </w:rPr>
        <w:t>.</w:t>
      </w:r>
    </w:p>
  </w:footnote>
  <w:footnote w:id="11">
    <w:p w14:paraId="6E4B28D4" w14:textId="77777777" w:rsidR="00DA12C8" w:rsidRPr="00810BC3" w:rsidRDefault="00DA12C8" w:rsidP="00DA12C8">
      <w:pPr>
        <w:pStyle w:val="Textonotapie"/>
        <w:ind w:right="51" w:firstLine="709"/>
        <w:jc w:val="both"/>
        <w:rPr>
          <w:rFonts w:ascii="Verdana" w:hAnsi="Verdana" w:cs="Arial"/>
          <w:sz w:val="12"/>
          <w:szCs w:val="12"/>
        </w:rPr>
      </w:pPr>
      <w:r w:rsidRPr="00810BC3">
        <w:rPr>
          <w:rStyle w:val="Refdenotaalpie"/>
          <w:rFonts w:cs="Arial"/>
          <w:sz w:val="12"/>
          <w:szCs w:val="12"/>
        </w:rPr>
        <w:footnoteRef/>
      </w:r>
      <w:r w:rsidRPr="00810BC3">
        <w:rPr>
          <w:rFonts w:ascii="Verdana" w:hAnsi="Verdana" w:cs="Arial"/>
          <w:sz w:val="12"/>
          <w:szCs w:val="12"/>
        </w:rPr>
        <w:t xml:space="preserve"> “</w:t>
      </w:r>
      <w:r w:rsidRPr="00810BC3">
        <w:rPr>
          <w:rFonts w:ascii="Verdana" w:hAnsi="Verdana" w:cs="Arial"/>
          <w:sz w:val="12"/>
          <w:szCs w:val="12"/>
          <w:lang w:val="es-ES"/>
        </w:rPr>
        <w:t xml:space="preserve">[26] </w:t>
      </w:r>
      <w:r w:rsidRPr="00810BC3">
        <w:rPr>
          <w:rFonts w:ascii="Verdana" w:hAnsi="Verdana" w:cs="Arial"/>
          <w:sz w:val="12"/>
          <w:szCs w:val="12"/>
        </w:rPr>
        <w:t>Al respecto ver el concepto 1712 de 2 de febrero de 2006. Consejo de Estado Sala de Consulta y Servicio Civil”.</w:t>
      </w:r>
    </w:p>
  </w:footnote>
  <w:footnote w:id="12">
    <w:p w14:paraId="546A3072" w14:textId="77777777" w:rsidR="00DA12C8" w:rsidRPr="00810BC3" w:rsidRDefault="00DA12C8" w:rsidP="00DA12C8">
      <w:pPr>
        <w:pStyle w:val="Textonotapie"/>
        <w:ind w:firstLine="709"/>
        <w:jc w:val="both"/>
        <w:rPr>
          <w:rFonts w:ascii="Verdana" w:hAnsi="Verdana" w:cs="Arial"/>
          <w:sz w:val="12"/>
          <w:szCs w:val="12"/>
        </w:rPr>
      </w:pPr>
      <w:r w:rsidRPr="00810BC3">
        <w:rPr>
          <w:rStyle w:val="Refdenotaalpie"/>
          <w:rFonts w:cs="Arial"/>
          <w:sz w:val="12"/>
          <w:szCs w:val="12"/>
        </w:rPr>
        <w:footnoteRef/>
      </w:r>
      <w:r w:rsidRPr="00810BC3">
        <w:rPr>
          <w:rFonts w:ascii="Verdana" w:hAnsi="Verdana" w:cs="Arial"/>
          <w:sz w:val="12"/>
          <w:szCs w:val="12"/>
        </w:rPr>
        <w:t xml:space="preserve"> Consejo de Estado. Sala de Consulta y Servicio Civil. Concepto del 2 de septiembre de 2013. Radicación número: 11001-03-06-000-2013-00412-00 (2168). Consejero Ponente: Álvaro Namén Vargas.</w:t>
      </w:r>
    </w:p>
  </w:footnote>
  <w:footnote w:id="13">
    <w:p w14:paraId="08D160C1" w14:textId="77777777" w:rsidR="00DA12C8" w:rsidRPr="00810BC3" w:rsidRDefault="00DA12C8" w:rsidP="00DA12C8">
      <w:pPr>
        <w:pStyle w:val="Textonotapie"/>
        <w:ind w:firstLine="709"/>
        <w:jc w:val="both"/>
        <w:rPr>
          <w:rFonts w:ascii="Verdana" w:hAnsi="Verdana" w:cs="Arial"/>
          <w:sz w:val="12"/>
          <w:szCs w:val="12"/>
          <w:lang w:val="es-ES"/>
        </w:rPr>
      </w:pPr>
      <w:r w:rsidRPr="00810BC3">
        <w:rPr>
          <w:rStyle w:val="Refdenotaalpie"/>
          <w:rFonts w:cs="Arial"/>
          <w:sz w:val="12"/>
          <w:szCs w:val="12"/>
        </w:rPr>
        <w:footnoteRef/>
      </w:r>
      <w:r w:rsidRPr="00810BC3">
        <w:rPr>
          <w:rFonts w:ascii="Verdana" w:hAnsi="Verdana" w:cs="Arial"/>
          <w:sz w:val="12"/>
          <w:szCs w:val="12"/>
        </w:rPr>
        <w:t xml:space="preserve"> </w:t>
      </w:r>
      <w:r w:rsidRPr="00810BC3">
        <w:rPr>
          <w:rFonts w:ascii="Verdana" w:hAnsi="Verdana" w:cs="Arial"/>
          <w:sz w:val="12"/>
          <w:szCs w:val="12"/>
          <w:lang w:val="es-ES"/>
        </w:rPr>
        <w:t xml:space="preserve">Artículo 2. </w:t>
      </w:r>
    </w:p>
  </w:footnote>
  <w:footnote w:id="14">
    <w:p w14:paraId="63798FB2" w14:textId="77777777" w:rsidR="00DA12C8" w:rsidRPr="00810BC3" w:rsidRDefault="00DA12C8" w:rsidP="00DA12C8">
      <w:pPr>
        <w:pStyle w:val="Textonotapie"/>
        <w:ind w:firstLine="709"/>
        <w:jc w:val="both"/>
        <w:rPr>
          <w:rFonts w:ascii="Verdana" w:hAnsi="Verdana" w:cs="Arial"/>
          <w:sz w:val="12"/>
          <w:szCs w:val="12"/>
          <w:lang w:val="es-ES"/>
        </w:rPr>
      </w:pPr>
      <w:r w:rsidRPr="00810BC3">
        <w:rPr>
          <w:rStyle w:val="Refdenotaalpie"/>
          <w:rFonts w:cs="Arial"/>
          <w:sz w:val="12"/>
          <w:szCs w:val="12"/>
        </w:rPr>
        <w:footnoteRef/>
      </w:r>
      <w:r w:rsidRPr="00810BC3">
        <w:rPr>
          <w:rFonts w:ascii="Verdana" w:hAnsi="Verdana" w:cs="Arial"/>
          <w:sz w:val="12"/>
          <w:szCs w:val="12"/>
        </w:rPr>
        <w:t xml:space="preserve"> </w:t>
      </w:r>
      <w:r w:rsidRPr="00810BC3">
        <w:rPr>
          <w:rFonts w:ascii="Verdana" w:hAnsi="Verdana" w:cs="Arial"/>
          <w:i/>
          <w:sz w:val="12"/>
          <w:szCs w:val="12"/>
          <w:lang w:val="es-ES"/>
        </w:rPr>
        <w:t>Ídem</w:t>
      </w:r>
      <w:r w:rsidRPr="00810BC3">
        <w:rPr>
          <w:rFonts w:ascii="Verdana" w:hAnsi="Verdana" w:cs="Arial"/>
          <w:sz w:val="12"/>
          <w:szCs w:val="12"/>
          <w:lang w:val="es-ES"/>
        </w:rPr>
        <w:t>.</w:t>
      </w:r>
    </w:p>
  </w:footnote>
  <w:footnote w:id="15">
    <w:p w14:paraId="498A99B9" w14:textId="77777777" w:rsidR="00DA12C8" w:rsidRPr="003E7D05" w:rsidRDefault="00DA12C8" w:rsidP="00DA12C8">
      <w:pPr>
        <w:pStyle w:val="Textonotapie"/>
        <w:ind w:firstLine="709"/>
        <w:jc w:val="both"/>
        <w:rPr>
          <w:rFonts w:ascii="Verdana" w:hAnsi="Verdana" w:cs="Arial"/>
          <w:sz w:val="14"/>
          <w:szCs w:val="14"/>
          <w:lang w:val="es-ES"/>
        </w:rPr>
      </w:pPr>
      <w:r w:rsidRPr="00810BC3">
        <w:rPr>
          <w:rStyle w:val="Refdenotaalpie"/>
          <w:rFonts w:cs="Arial"/>
          <w:sz w:val="12"/>
          <w:szCs w:val="12"/>
        </w:rPr>
        <w:footnoteRef/>
      </w:r>
      <w:r w:rsidRPr="00810BC3">
        <w:rPr>
          <w:rStyle w:val="Refdenotaalpie"/>
          <w:rFonts w:cs="Arial"/>
          <w:sz w:val="12"/>
          <w:szCs w:val="12"/>
        </w:rPr>
        <w:t xml:space="preserve"> </w:t>
      </w:r>
      <w:r w:rsidRPr="00810BC3">
        <w:rPr>
          <w:rFonts w:ascii="Verdana" w:hAnsi="Verdana" w:cs="Arial"/>
          <w:sz w:val="12"/>
          <w:szCs w:val="12"/>
          <w:lang w:val="es-ES"/>
        </w:rPr>
        <w:t>“[…] A este respecto, cabe recordar que el artículo 860 del Código de Comercio regula la licitación en el derecho privado”.</w:t>
      </w:r>
      <w:r w:rsidRPr="003E7D05">
        <w:rPr>
          <w:rFonts w:ascii="Verdana" w:hAnsi="Verdana" w:cs="Arial"/>
          <w:sz w:val="14"/>
          <w:szCs w:val="14"/>
          <w:lang w:val="es-ES"/>
        </w:rPr>
        <w:t xml:space="preserve"> </w:t>
      </w:r>
    </w:p>
  </w:footnote>
  <w:footnote w:id="16">
    <w:p w14:paraId="653823EC" w14:textId="77777777" w:rsidR="00DA12C8" w:rsidRPr="003E7D05" w:rsidRDefault="00DA12C8" w:rsidP="00DA12C8">
      <w:pPr>
        <w:shd w:val="clear" w:color="auto" w:fill="FFFFFF"/>
        <w:spacing w:after="0" w:line="240" w:lineRule="auto"/>
        <w:ind w:firstLine="709"/>
        <w:jc w:val="both"/>
        <w:rPr>
          <w:rFonts w:ascii="Verdana" w:hAnsi="Verdana" w:cs="Arial"/>
          <w:sz w:val="14"/>
          <w:szCs w:val="14"/>
          <w:lang w:val="es-ES"/>
        </w:rPr>
      </w:pPr>
      <w:r w:rsidRPr="003E7D05">
        <w:rPr>
          <w:rStyle w:val="Refdenotaalpie"/>
          <w:rFonts w:cs="Arial"/>
          <w:sz w:val="14"/>
          <w:szCs w:val="14"/>
        </w:rPr>
        <w:footnoteRef/>
      </w:r>
      <w:r w:rsidRPr="003E7D05">
        <w:rPr>
          <w:rStyle w:val="Refdenotaalpie"/>
          <w:rFonts w:cs="Arial"/>
          <w:sz w:val="14"/>
          <w:szCs w:val="14"/>
        </w:rPr>
        <w:t xml:space="preserve"> </w:t>
      </w:r>
      <w:r w:rsidRPr="003E7D05">
        <w:rPr>
          <w:rFonts w:ascii="Verdana" w:hAnsi="Verdana" w:cs="Arial"/>
          <w:sz w:val="14"/>
          <w:szCs w:val="14"/>
          <w:lang w:val="es-ES"/>
        </w:rPr>
        <w:t>Consejo de Estado. Sala de Consulta y Servicio Civil, Concepto de 8 de mayo de 2018. Radicación Número: 11001-03-06-000-2018-00095-00(2382). C.P. Álvaro Namén Vargas.</w:t>
      </w:r>
    </w:p>
  </w:footnote>
  <w:footnote w:id="17">
    <w:p w14:paraId="35C70D25" w14:textId="77777777" w:rsidR="00DA12C8" w:rsidRDefault="00DA12C8" w:rsidP="00DA12C8">
      <w:pPr>
        <w:pStyle w:val="Textonotapie"/>
        <w:ind w:firstLine="709"/>
        <w:jc w:val="both"/>
        <w:rPr>
          <w:rFonts w:ascii="Verdana" w:hAnsi="Verdana" w:cs="Arial"/>
          <w:sz w:val="16"/>
          <w:szCs w:val="16"/>
        </w:rPr>
      </w:pPr>
      <w:r w:rsidRPr="003E7D05">
        <w:rPr>
          <w:rStyle w:val="Refdenotaalpie"/>
          <w:rFonts w:cs="Arial"/>
          <w:sz w:val="14"/>
          <w:szCs w:val="14"/>
        </w:rPr>
        <w:footnoteRef/>
      </w:r>
      <w:r w:rsidRPr="003E7D05">
        <w:rPr>
          <w:rFonts w:ascii="Verdana" w:hAnsi="Verdana" w:cs="Arial"/>
          <w:sz w:val="14"/>
          <w:szCs w:val="14"/>
        </w:rPr>
        <w:t xml:space="preserve"> Consejo de Estado. Sala de Consulta y Servicio Civil. Concepto del 08 de mayo de 2018. </w:t>
      </w:r>
      <w:proofErr w:type="spellStart"/>
      <w:r w:rsidRPr="003E7D05">
        <w:rPr>
          <w:rFonts w:ascii="Verdana" w:hAnsi="Verdana" w:cs="Arial"/>
          <w:sz w:val="14"/>
          <w:szCs w:val="14"/>
        </w:rPr>
        <w:t>Exp</w:t>
      </w:r>
      <w:proofErr w:type="spellEnd"/>
      <w:r w:rsidRPr="003E7D05">
        <w:rPr>
          <w:rFonts w:ascii="Verdana" w:hAnsi="Verdana" w:cs="Arial"/>
          <w:sz w:val="14"/>
          <w:szCs w:val="14"/>
        </w:rPr>
        <w:t>. 2.382. C.P. Álvaro Namén Vargas.</w:t>
      </w:r>
    </w:p>
  </w:footnote>
  <w:footnote w:id="18">
    <w:p w14:paraId="30501A4F" w14:textId="77777777" w:rsidR="00DA12C8" w:rsidRPr="003E7D05" w:rsidRDefault="00DA12C8" w:rsidP="00DA12C8">
      <w:pPr>
        <w:pStyle w:val="Textonotapie"/>
        <w:ind w:firstLine="709"/>
        <w:jc w:val="both"/>
        <w:rPr>
          <w:rFonts w:ascii="Verdana" w:hAnsi="Verdana" w:cs="Arial"/>
          <w:sz w:val="14"/>
          <w:szCs w:val="14"/>
        </w:rPr>
      </w:pPr>
      <w:r w:rsidRPr="003E7D05">
        <w:rPr>
          <w:rStyle w:val="Refdenotaalpie"/>
          <w:rFonts w:cs="Arial"/>
          <w:sz w:val="14"/>
          <w:szCs w:val="14"/>
        </w:rPr>
        <w:footnoteRef/>
      </w:r>
      <w:r w:rsidRPr="003E7D05">
        <w:rPr>
          <w:rFonts w:ascii="Verdana" w:hAnsi="Verdana" w:cs="Arial"/>
          <w:sz w:val="14"/>
          <w:szCs w:val="14"/>
        </w:rPr>
        <w:t xml:space="preserve"> La Corte Constitucional mediante Sentencia C-1153-05 de 11 de noviembre de 2005, Magistrado Ponente Marco Gerardo Monroy Cabra, efectuó el Control constitucional al Proyecto de Ley Estatutaria </w:t>
      </w:r>
      <w:proofErr w:type="spellStart"/>
      <w:r w:rsidRPr="003E7D05">
        <w:rPr>
          <w:rFonts w:ascii="Verdana" w:hAnsi="Verdana" w:cs="Arial"/>
          <w:sz w:val="14"/>
          <w:szCs w:val="14"/>
        </w:rPr>
        <w:t>N°</w:t>
      </w:r>
      <w:proofErr w:type="spellEnd"/>
      <w:r w:rsidRPr="003E7D05">
        <w:rPr>
          <w:rFonts w:ascii="Verdana" w:hAnsi="Verdana" w:cs="Arial"/>
          <w:sz w:val="14"/>
          <w:szCs w:val="14"/>
        </w:rPr>
        <w:t xml:space="preserve"> 216/05 Senado, </w:t>
      </w:r>
      <w:proofErr w:type="spellStart"/>
      <w:r w:rsidRPr="003E7D05">
        <w:rPr>
          <w:rFonts w:ascii="Verdana" w:hAnsi="Verdana" w:cs="Arial"/>
          <w:sz w:val="14"/>
          <w:szCs w:val="14"/>
        </w:rPr>
        <w:t>N°</w:t>
      </w:r>
      <w:proofErr w:type="spellEnd"/>
      <w:r w:rsidRPr="003E7D05">
        <w:rPr>
          <w:rFonts w:ascii="Verdana" w:hAnsi="Verdana" w:cs="Arial"/>
          <w:sz w:val="14"/>
          <w:szCs w:val="14"/>
        </w:rPr>
        <w:t xml:space="preserve"> 235-Cámara que dio lugar a la Ley de Garantías Electorales.</w:t>
      </w:r>
    </w:p>
  </w:footnote>
  <w:footnote w:id="19">
    <w:p w14:paraId="0C0E28B0" w14:textId="77777777" w:rsidR="00DA12C8" w:rsidRPr="003E7D05" w:rsidRDefault="00DA12C8" w:rsidP="00DA12C8">
      <w:pPr>
        <w:pStyle w:val="Textonotapie"/>
        <w:ind w:firstLine="709"/>
        <w:jc w:val="both"/>
        <w:rPr>
          <w:sz w:val="14"/>
          <w:szCs w:val="14"/>
          <w:lang w:val="es-CO"/>
        </w:rPr>
      </w:pPr>
      <w:r w:rsidRPr="003E7D05">
        <w:rPr>
          <w:rStyle w:val="Refdenotaalpie"/>
          <w:sz w:val="14"/>
          <w:szCs w:val="14"/>
        </w:rPr>
        <w:footnoteRef/>
      </w:r>
      <w:r w:rsidRPr="003E7D05">
        <w:rPr>
          <w:sz w:val="14"/>
          <w:szCs w:val="14"/>
        </w:rPr>
        <w:t xml:space="preserve"> </w:t>
      </w:r>
      <w:r w:rsidRPr="003E7D05">
        <w:rPr>
          <w:rFonts w:ascii="Verdana" w:hAnsi="Verdana" w:cs="Arial"/>
          <w:sz w:val="14"/>
          <w:szCs w:val="14"/>
        </w:rPr>
        <w:t>Consejo de Estado. Sala de Consulta y Servicio Civil</w:t>
      </w:r>
      <w:r w:rsidRPr="003E7D05">
        <w:rPr>
          <w:rFonts w:ascii="Verdana" w:eastAsia="Times New Roman" w:hAnsi="Verdana" w:cs="Arial"/>
          <w:bCs/>
          <w:sz w:val="14"/>
          <w:szCs w:val="14"/>
          <w:lang w:val="es-ES_tradnl" w:eastAsia="x-none"/>
        </w:rPr>
        <w:t xml:space="preserve">. Conceptos 1727 de fecha 20 de febrero de 2006, </w:t>
      </w:r>
      <w:r w:rsidRPr="003E7D05">
        <w:rPr>
          <w:rFonts w:ascii="Verdana" w:eastAsia="Times New Roman" w:hAnsi="Verdana" w:cs="Arial"/>
          <w:bCs/>
          <w:sz w:val="14"/>
          <w:szCs w:val="14"/>
          <w:lang w:eastAsia="x-none"/>
        </w:rPr>
        <w:t>1738 del 6 de abril de 2006</w:t>
      </w:r>
    </w:p>
  </w:footnote>
  <w:footnote w:id="20">
    <w:p w14:paraId="163B8F34" w14:textId="77777777" w:rsidR="00DA12C8" w:rsidRDefault="00DA12C8" w:rsidP="00DA12C8">
      <w:pPr>
        <w:pStyle w:val="Textonotapie"/>
        <w:ind w:right="51" w:firstLine="709"/>
        <w:jc w:val="both"/>
        <w:rPr>
          <w:rFonts w:ascii="Verdana" w:hAnsi="Verdana" w:cs="Arial"/>
          <w:sz w:val="16"/>
          <w:szCs w:val="16"/>
        </w:rPr>
      </w:pPr>
      <w:r w:rsidRPr="003E7D05">
        <w:rPr>
          <w:rStyle w:val="Refdenotaalpie"/>
          <w:rFonts w:cs="Arial"/>
          <w:sz w:val="14"/>
          <w:szCs w:val="14"/>
        </w:rPr>
        <w:footnoteRef/>
      </w:r>
      <w:r w:rsidRPr="003E7D05">
        <w:rPr>
          <w:rFonts w:ascii="Verdana" w:hAnsi="Verdana" w:cs="Arial"/>
          <w:sz w:val="14"/>
          <w:szCs w:val="14"/>
        </w:rPr>
        <w:t xml:space="preserve"> Consejo de Estado. Sala de Consulta y Servicio Civil,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C5F2" w14:textId="77777777" w:rsidR="004A7ABE" w:rsidRDefault="004A7ABE">
    <w:pPr>
      <w:pStyle w:val="Encabezado"/>
    </w:pPr>
    <w:r>
      <w:rPr>
        <w:rFonts w:ascii="Geomanist Bold" w:hAnsi="Geomanist Bold"/>
        <w:b/>
        <w:bCs/>
        <w:noProof/>
        <w:color w:val="002060"/>
        <w:sz w:val="24"/>
        <w:szCs w:val="24"/>
      </w:rPr>
      <w:drawing>
        <wp:anchor distT="0" distB="0" distL="114300" distR="114300" simplePos="0" relativeHeight="251660288" behindDoc="1" locked="0" layoutInCell="1" allowOverlap="1" wp14:anchorId="36D0EF08" wp14:editId="086ED94E">
          <wp:simplePos x="0" y="0"/>
          <wp:positionH relativeFrom="margin">
            <wp:align>center</wp:align>
          </wp:positionH>
          <wp:positionV relativeFrom="paragraph">
            <wp:posOffset>-325755</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1F933F2F" wp14:editId="6EEBAA3D">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49914" name="Imagen 962149914" descr="Imagen en blanco y negro&#10;&#10;Descripción generada automáticamente con confianza media"/>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6846B977" w14:textId="77777777" w:rsidR="004A7ABE" w:rsidRDefault="004A7ABE">
    <w:pPr>
      <w:pStyle w:val="Encabezado"/>
    </w:pPr>
  </w:p>
  <w:p w14:paraId="7C46014A" w14:textId="77777777" w:rsidR="004A7ABE" w:rsidRDefault="004A7ABE">
    <w:pPr>
      <w:pStyle w:val="Encabezado"/>
    </w:pPr>
  </w:p>
  <w:p w14:paraId="24AC65C7" w14:textId="77777777" w:rsidR="004A7ABE" w:rsidRPr="00515FB5" w:rsidRDefault="004A7A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51985141" o:spid="_x0000_i1025" type="#_x0000_t75" style="width:11.1pt;height:11.1pt;visibility:visible;mso-wrap-style:square" o:bullet="t">
        <v:imagedata r:id="rId1" o:title=""/>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34DA50AD"/>
    <w:multiLevelType w:val="hybridMultilevel"/>
    <w:tmpl w:val="88361A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341274352">
    <w:abstractNumId w:val="0"/>
  </w:num>
  <w:num w:numId="2" w16cid:durableId="679089576">
    <w:abstractNumId w:val="2"/>
  </w:num>
  <w:num w:numId="3" w16cid:durableId="390349800">
    <w:abstractNumId w:val="3"/>
  </w:num>
  <w:num w:numId="4" w16cid:durableId="1790315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ABE"/>
    <w:rsid w:val="00011851"/>
    <w:rsid w:val="00012D0C"/>
    <w:rsid w:val="000355C1"/>
    <w:rsid w:val="000F4741"/>
    <w:rsid w:val="000F5A42"/>
    <w:rsid w:val="0030355C"/>
    <w:rsid w:val="0037610B"/>
    <w:rsid w:val="004A7ABE"/>
    <w:rsid w:val="00547043"/>
    <w:rsid w:val="006D3956"/>
    <w:rsid w:val="00770278"/>
    <w:rsid w:val="007E2D9B"/>
    <w:rsid w:val="00815781"/>
    <w:rsid w:val="0089380F"/>
    <w:rsid w:val="008C73FA"/>
    <w:rsid w:val="009B4E0C"/>
    <w:rsid w:val="009E2956"/>
    <w:rsid w:val="00A12218"/>
    <w:rsid w:val="00A703A6"/>
    <w:rsid w:val="00A90678"/>
    <w:rsid w:val="00AF2C56"/>
    <w:rsid w:val="00B17470"/>
    <w:rsid w:val="00B42C59"/>
    <w:rsid w:val="00B70189"/>
    <w:rsid w:val="00B731A7"/>
    <w:rsid w:val="00BC3AC1"/>
    <w:rsid w:val="00C073FD"/>
    <w:rsid w:val="00C27EA4"/>
    <w:rsid w:val="00CF3AE2"/>
    <w:rsid w:val="00D670AB"/>
    <w:rsid w:val="00D83E89"/>
    <w:rsid w:val="00D862DD"/>
    <w:rsid w:val="00DA12C8"/>
    <w:rsid w:val="00DA2870"/>
    <w:rsid w:val="00DA7BAD"/>
    <w:rsid w:val="00F60E91"/>
    <w:rsid w:val="00FB7D01"/>
    <w:rsid w:val="00FF71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6E66B"/>
  <w15:chartTrackingRefBased/>
  <w15:docId w15:val="{F8D5FB89-7B84-4910-AA37-58093AB8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ABE"/>
    <w:rPr>
      <w:kern w:val="0"/>
      <w14:ligatures w14:val="none"/>
    </w:rPr>
  </w:style>
  <w:style w:type="paragraph" w:styleId="Ttulo1">
    <w:name w:val="heading 1"/>
    <w:basedOn w:val="Normal"/>
    <w:next w:val="Normal"/>
    <w:link w:val="Ttulo1Car"/>
    <w:uiPriority w:val="9"/>
    <w:qFormat/>
    <w:rsid w:val="004A7A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A7A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A7A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A7A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A7A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A7A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7A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7A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7A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7AB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A7AB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A7A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A7A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A7A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A7A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7A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7A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7ABE"/>
    <w:rPr>
      <w:rFonts w:eastAsiaTheme="majorEastAsia" w:cstheme="majorBidi"/>
      <w:color w:val="272727" w:themeColor="text1" w:themeTint="D8"/>
    </w:rPr>
  </w:style>
  <w:style w:type="paragraph" w:styleId="Ttulo">
    <w:name w:val="Title"/>
    <w:basedOn w:val="Normal"/>
    <w:next w:val="Normal"/>
    <w:link w:val="TtuloCar"/>
    <w:uiPriority w:val="10"/>
    <w:qFormat/>
    <w:rsid w:val="004A7A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A7A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7A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7A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7ABE"/>
    <w:pPr>
      <w:spacing w:before="160"/>
      <w:jc w:val="center"/>
    </w:pPr>
    <w:rPr>
      <w:i/>
      <w:iCs/>
      <w:color w:val="404040" w:themeColor="text1" w:themeTint="BF"/>
    </w:rPr>
  </w:style>
  <w:style w:type="character" w:customStyle="1" w:styleId="CitaCar">
    <w:name w:val="Cita Car"/>
    <w:basedOn w:val="Fuentedeprrafopredeter"/>
    <w:link w:val="Cita"/>
    <w:uiPriority w:val="29"/>
    <w:rsid w:val="004A7ABE"/>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1"/>
    <w:qFormat/>
    <w:rsid w:val="004A7ABE"/>
    <w:pPr>
      <w:ind w:left="720"/>
      <w:contextualSpacing/>
    </w:pPr>
  </w:style>
  <w:style w:type="character" w:styleId="nfasisintenso">
    <w:name w:val="Intense Emphasis"/>
    <w:basedOn w:val="Fuentedeprrafopredeter"/>
    <w:uiPriority w:val="21"/>
    <w:qFormat/>
    <w:rsid w:val="004A7ABE"/>
    <w:rPr>
      <w:i/>
      <w:iCs/>
      <w:color w:val="0F4761" w:themeColor="accent1" w:themeShade="BF"/>
    </w:rPr>
  </w:style>
  <w:style w:type="paragraph" w:styleId="Citadestacada">
    <w:name w:val="Intense Quote"/>
    <w:basedOn w:val="Normal"/>
    <w:next w:val="Normal"/>
    <w:link w:val="CitadestacadaCar"/>
    <w:uiPriority w:val="30"/>
    <w:qFormat/>
    <w:rsid w:val="004A7A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A7ABE"/>
    <w:rPr>
      <w:i/>
      <w:iCs/>
      <w:color w:val="0F4761" w:themeColor="accent1" w:themeShade="BF"/>
    </w:rPr>
  </w:style>
  <w:style w:type="character" w:styleId="Referenciaintensa">
    <w:name w:val="Intense Reference"/>
    <w:basedOn w:val="Fuentedeprrafopredeter"/>
    <w:uiPriority w:val="32"/>
    <w:qFormat/>
    <w:rsid w:val="004A7ABE"/>
    <w:rPr>
      <w:b/>
      <w:bCs/>
      <w:smallCaps/>
      <w:color w:val="0F4761" w:themeColor="accent1" w:themeShade="BF"/>
      <w:spacing w:val="5"/>
    </w:rPr>
  </w:style>
  <w:style w:type="paragraph" w:styleId="Encabezado">
    <w:name w:val="header"/>
    <w:basedOn w:val="Normal"/>
    <w:link w:val="EncabezadoCar"/>
    <w:uiPriority w:val="99"/>
    <w:unhideWhenUsed/>
    <w:rsid w:val="004A7A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7ABE"/>
    <w:rPr>
      <w:kern w:val="0"/>
      <w14:ligatures w14:val="none"/>
    </w:rPr>
  </w:style>
  <w:style w:type="paragraph" w:styleId="Piedepgina">
    <w:name w:val="footer"/>
    <w:basedOn w:val="Normal"/>
    <w:link w:val="PiedepginaCar"/>
    <w:uiPriority w:val="99"/>
    <w:unhideWhenUsed/>
    <w:rsid w:val="004A7A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7ABE"/>
    <w:rPr>
      <w:kern w:val="0"/>
      <w14:ligatures w14:val="none"/>
    </w:rPr>
  </w:style>
  <w:style w:type="table" w:styleId="Tablaconcuadrcula">
    <w:name w:val="Table Grid"/>
    <w:basedOn w:val="Tablanormal"/>
    <w:uiPriority w:val="39"/>
    <w:qFormat/>
    <w:rsid w:val="004A7AB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A7ABE"/>
    <w:rPr>
      <w:color w:val="467886" w:themeColor="hyperlink"/>
      <w:u w:val="single"/>
    </w:rPr>
  </w:style>
  <w:style w:type="character" w:customStyle="1" w:styleId="normaltextrun">
    <w:name w:val="normaltextrun"/>
    <w:basedOn w:val="Fuentedeprrafopredeter"/>
    <w:rsid w:val="004A7ABE"/>
  </w:style>
  <w:style w:type="character" w:customStyle="1" w:styleId="eop">
    <w:name w:val="eop"/>
    <w:basedOn w:val="Fuentedeprrafopredeter"/>
    <w:rsid w:val="004A7ABE"/>
  </w:style>
  <w:style w:type="paragraph" w:customStyle="1" w:styleId="paragraph">
    <w:name w:val="paragraph"/>
    <w:basedOn w:val="Normal"/>
    <w:uiPriority w:val="99"/>
    <w:rsid w:val="004A7ABE"/>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4A7ABE"/>
  </w:style>
  <w:style w:type="paragraph" w:styleId="NormalWeb">
    <w:name w:val="Normal (Web)"/>
    <w:basedOn w:val="Normal"/>
    <w:link w:val="NormalWebCar"/>
    <w:uiPriority w:val="99"/>
    <w:unhideWhenUsed/>
    <w:rsid w:val="004A7AB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WebCar">
    <w:name w:val="Normal (Web) Car"/>
    <w:link w:val="NormalWeb"/>
    <w:uiPriority w:val="99"/>
    <w:locked/>
    <w:rsid w:val="004A7ABE"/>
    <w:rPr>
      <w:rFonts w:ascii="Times New Roman" w:eastAsia="Times New Roman" w:hAnsi="Times New Roman" w:cs="Times New Roman"/>
      <w:kern w:val="0"/>
      <w:sz w:val="24"/>
      <w:szCs w:val="24"/>
      <w:lang w:eastAsia="es-CO"/>
      <w14:ligatures w14:val="none"/>
    </w:rPr>
  </w:style>
  <w:style w:type="character" w:styleId="Mencinsinresolver">
    <w:name w:val="Unresolved Mention"/>
    <w:basedOn w:val="Fuentedeprrafopredeter"/>
    <w:uiPriority w:val="99"/>
    <w:semiHidden/>
    <w:unhideWhenUsed/>
    <w:rsid w:val="004A7ABE"/>
    <w:rPr>
      <w:color w:val="605E5C"/>
      <w:shd w:val="clear" w:color="auto" w:fill="E1DFDD"/>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DA12C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DA12C8"/>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DA12C8"/>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DA12C8"/>
    <w:rPr>
      <w:vertAlign w:val="superscript"/>
    </w:rPr>
  </w:style>
  <w:style w:type="paragraph" w:customStyle="1" w:styleId="Appelnotedebasde">
    <w:name w:val="Appel note de bas de..."/>
    <w:basedOn w:val="Normal"/>
    <w:link w:val="Refdenotaalpie"/>
    <w:uiPriority w:val="99"/>
    <w:rsid w:val="00DA12C8"/>
    <w:pPr>
      <w:spacing w:line="240" w:lineRule="exact"/>
    </w:pPr>
    <w:rPr>
      <w:kern w:val="2"/>
      <w:vertAlign w:val="superscript"/>
      <w14:ligatures w14:val="standardContextual"/>
    </w:rPr>
  </w:style>
  <w:style w:type="character" w:customStyle="1" w:styleId="baj">
    <w:name w:val="b_aj"/>
    <w:basedOn w:val="Fuentedeprrafopredeter"/>
    <w:rsid w:val="00DA1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anvalencia09@hotmail.com"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lombiacompra.gov.co" TargetMode="External"/><Relationship Id="rId4" Type="http://schemas.openxmlformats.org/officeDocument/2006/relationships/webSettings" Target="webSettings.xml"/><Relationship Id="rId9" Type="http://schemas.openxmlformats.org/officeDocument/2006/relationships/hyperlink" Target="https://relatoria.colombiacompra.gov.co/busqueda/concepto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654AFA-A717-475E-8705-A01D57A80E0E}"/>
</file>

<file path=customXml/itemProps2.xml><?xml version="1.0" encoding="utf-8"?>
<ds:datastoreItem xmlns:ds="http://schemas.openxmlformats.org/officeDocument/2006/customXml" ds:itemID="{732C7B1C-1BE0-4324-96B2-EE9EF462AC7D}"/>
</file>

<file path=customXml/itemProps3.xml><?xml version="1.0" encoding="utf-8"?>
<ds:datastoreItem xmlns:ds="http://schemas.openxmlformats.org/officeDocument/2006/customXml" ds:itemID="{FF199960-5BD4-439C-AEB8-491F08F6AA38}"/>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47</TotalTime>
  <Pages>17</Pages>
  <Words>5207</Words>
  <Characters>28640</Characters>
  <Application>Microsoft Office Word</Application>
  <DocSecurity>0</DocSecurity>
  <Lines>238</Lines>
  <Paragraphs>67</Paragraphs>
  <ScaleCrop>false</ScaleCrop>
  <Company/>
  <LinksUpToDate>false</LinksUpToDate>
  <CharactersWithSpaces>33780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Andreina Cerpa Muñoz</dc:creator>
  <cp:keywords/>
  <dc:description/>
  <cp:lastModifiedBy>Andreina Cerpa Muñoz</cp:lastModifiedBy>
  <cp:revision>31</cp:revision>
  <dcterms:created xsi:type="dcterms:W3CDTF">2026-09-03T21:14:00Z</dcterms:created>
  <dcterms:modified xsi:type="dcterms:W3CDTF">2026-09-07T21:51:00Z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