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23568" w14:textId="77777777" w:rsidR="00382050" w:rsidRPr="00942EA0" w:rsidRDefault="00382050" w:rsidP="00382050">
      <w:pPr>
        <w:spacing w:after="0" w:line="240" w:lineRule="auto"/>
        <w:jc w:val="both"/>
        <w:rPr>
          <w:rFonts w:ascii="Verdana" w:eastAsia="Calibri" w:hAnsi="Verdana" w:cs="Arial"/>
          <w:b/>
          <w:lang w:val="es-ES_tradnl" w:eastAsia="es-ES_tradnl"/>
        </w:rPr>
      </w:pPr>
      <w:bookmarkStart w:id="0" w:name="_Hlk143780582"/>
      <w:r w:rsidRPr="00942EA0">
        <w:rPr>
          <w:rFonts w:ascii="Verdana" w:eastAsia="Calibri" w:hAnsi="Verdana" w:cs="Arial"/>
          <w:b/>
          <w:lang w:val="es-ES_tradnl" w:eastAsia="es-ES_tradnl"/>
        </w:rPr>
        <w:t xml:space="preserve">CONTRATOS DE PRESTACIÓN DE SERVICIOS – Generalidades </w:t>
      </w:r>
    </w:p>
    <w:p w14:paraId="20C7B7D1" w14:textId="77777777" w:rsidR="00382050" w:rsidRPr="00942EA0" w:rsidRDefault="00382050" w:rsidP="00382050">
      <w:pPr>
        <w:spacing w:after="0" w:line="240" w:lineRule="auto"/>
        <w:jc w:val="both"/>
        <w:rPr>
          <w:rFonts w:ascii="Verdana" w:eastAsia="Arial" w:hAnsi="Verdana" w:cs="Arial"/>
          <w:color w:val="000000"/>
          <w:sz w:val="20"/>
          <w:szCs w:val="20"/>
        </w:rPr>
      </w:pPr>
    </w:p>
    <w:p w14:paraId="28E38905" w14:textId="77777777" w:rsidR="00382050" w:rsidRPr="00942EA0" w:rsidRDefault="00382050" w:rsidP="00382050">
      <w:pPr>
        <w:spacing w:after="0" w:line="240" w:lineRule="auto"/>
        <w:jc w:val="both"/>
        <w:rPr>
          <w:rFonts w:ascii="Verdana" w:eastAsia="Arial" w:hAnsi="Verdana" w:cs="Arial"/>
          <w:color w:val="000000"/>
          <w:sz w:val="20"/>
          <w:szCs w:val="20"/>
        </w:rPr>
      </w:pPr>
      <w:r w:rsidRPr="00942EA0">
        <w:rPr>
          <w:rFonts w:ascii="Verdana" w:eastAsia="Arial" w:hAnsi="Verdana" w:cs="Arial"/>
          <w:color w:val="000000"/>
          <w:sz w:val="20"/>
          <w:szCs w:val="20"/>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3C0C5238" w14:textId="77777777" w:rsidR="00382050" w:rsidRPr="00942EA0" w:rsidRDefault="00382050" w:rsidP="00382050">
      <w:pPr>
        <w:spacing w:after="0" w:line="240" w:lineRule="auto"/>
        <w:jc w:val="both"/>
        <w:rPr>
          <w:rFonts w:ascii="Verdana" w:eastAsia="Arial" w:hAnsi="Verdana" w:cs="Arial"/>
          <w:color w:val="000000"/>
          <w:sz w:val="20"/>
          <w:szCs w:val="20"/>
        </w:rPr>
      </w:pPr>
    </w:p>
    <w:p w14:paraId="3FBAFA2C" w14:textId="77777777" w:rsidR="00382050" w:rsidRPr="00942EA0" w:rsidRDefault="00382050" w:rsidP="00382050">
      <w:pPr>
        <w:spacing w:after="0" w:line="240" w:lineRule="auto"/>
        <w:jc w:val="both"/>
        <w:rPr>
          <w:rFonts w:ascii="Verdana" w:eastAsia="Calibri" w:hAnsi="Verdana" w:cs="Arial"/>
          <w:bCs/>
          <w:sz w:val="20"/>
          <w:szCs w:val="20"/>
          <w:lang w:val="es-ES_tradnl" w:eastAsia="es-ES_tradnl"/>
        </w:rPr>
      </w:pPr>
      <w:r w:rsidRPr="00942EA0">
        <w:rPr>
          <w:rFonts w:ascii="Verdana" w:eastAsia="Arial" w:hAnsi="Verdana" w:cs="Arial"/>
          <w:color w:val="000000"/>
          <w:sz w:val="20"/>
          <w:szCs w:val="20"/>
        </w:rPr>
        <w:t>La celebración de dicho contrato debe efectuarse a través de la modalidad de contratación directa.</w:t>
      </w:r>
    </w:p>
    <w:p w14:paraId="031C3CEF" w14:textId="77777777" w:rsidR="00382050" w:rsidRPr="00942EA0" w:rsidRDefault="00382050" w:rsidP="00382050">
      <w:pPr>
        <w:spacing w:after="0" w:line="240" w:lineRule="auto"/>
        <w:jc w:val="both"/>
        <w:rPr>
          <w:rFonts w:ascii="Verdana" w:eastAsia="Calibri" w:hAnsi="Verdana" w:cs="Arial"/>
          <w:bCs/>
          <w:sz w:val="20"/>
          <w:szCs w:val="20"/>
          <w:lang w:val="es-ES_tradnl" w:eastAsia="es-ES_tradnl"/>
        </w:rPr>
      </w:pPr>
    </w:p>
    <w:p w14:paraId="6D5A5338" w14:textId="77777777" w:rsidR="00382050" w:rsidRPr="00942EA0" w:rsidRDefault="00382050" w:rsidP="00382050">
      <w:pPr>
        <w:spacing w:after="0" w:line="240" w:lineRule="auto"/>
        <w:jc w:val="both"/>
        <w:rPr>
          <w:rFonts w:ascii="Verdana" w:eastAsia="Calibri" w:hAnsi="Verdana" w:cs="Arial"/>
          <w:b/>
          <w:lang w:val="es-ES_tradnl" w:eastAsia="es-ES_tradnl"/>
        </w:rPr>
      </w:pPr>
      <w:r w:rsidRPr="00942EA0">
        <w:rPr>
          <w:rFonts w:ascii="Verdana" w:eastAsia="Calibri" w:hAnsi="Verdana" w:cs="Arial"/>
          <w:b/>
          <w:lang w:val="es-ES_tradnl" w:eastAsia="es-ES_tradnl"/>
        </w:rPr>
        <w:t xml:space="preserve">CONTRATOS DE PRESTACIÓN DE SERVICIOS – Autonomía del contratista </w:t>
      </w:r>
    </w:p>
    <w:p w14:paraId="3D37869B" w14:textId="77777777" w:rsidR="00382050" w:rsidRPr="00942EA0" w:rsidRDefault="00382050" w:rsidP="00382050">
      <w:pPr>
        <w:spacing w:after="0" w:line="240" w:lineRule="auto"/>
        <w:jc w:val="both"/>
        <w:rPr>
          <w:rFonts w:ascii="Verdana" w:hAnsi="Verdana" w:cs="Arial"/>
          <w:noProof/>
          <w:sz w:val="20"/>
          <w:szCs w:val="20"/>
          <w:lang w:val="es-ES_tradnl"/>
        </w:rPr>
      </w:pPr>
    </w:p>
    <w:p w14:paraId="1633AB13" w14:textId="77777777" w:rsidR="00382050" w:rsidRPr="00942EA0" w:rsidRDefault="00382050" w:rsidP="00382050">
      <w:pPr>
        <w:spacing w:after="0" w:line="240" w:lineRule="auto"/>
        <w:jc w:val="both"/>
        <w:rPr>
          <w:rFonts w:ascii="Verdana" w:hAnsi="Verdana" w:cs="Arial"/>
          <w:noProof/>
          <w:sz w:val="20"/>
          <w:szCs w:val="20"/>
          <w:lang w:val="es-ES_tradnl"/>
        </w:rPr>
      </w:pPr>
      <w:r w:rsidRPr="00942EA0">
        <w:rPr>
          <w:rFonts w:ascii="Verdana" w:hAnsi="Verdana"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942EA0">
        <w:rPr>
          <w:rFonts w:ascii="Verdana" w:hAnsi="Verdana" w:cs="Arial"/>
          <w:i/>
          <w:noProof/>
          <w:sz w:val="20"/>
          <w:szCs w:val="20"/>
          <w:lang w:val="es-ES_tradnl"/>
        </w:rPr>
        <w:t xml:space="preserve">subordinación </w:t>
      </w:r>
      <w:r w:rsidRPr="00942EA0">
        <w:rPr>
          <w:rFonts w:ascii="Verdana" w:hAnsi="Verdana" w:cs="Arial"/>
          <w:iCs/>
          <w:noProof/>
          <w:sz w:val="20"/>
          <w:szCs w:val="20"/>
          <w:lang w:val="es-ES_tradnl"/>
        </w:rPr>
        <w:t>ni</w:t>
      </w:r>
      <w:r w:rsidRPr="00942EA0">
        <w:rPr>
          <w:rFonts w:ascii="Verdana" w:hAnsi="Verdana" w:cs="Arial"/>
          <w:i/>
          <w:noProof/>
          <w:sz w:val="20"/>
          <w:szCs w:val="20"/>
          <w:lang w:val="es-ES_tradnl"/>
        </w:rPr>
        <w:t xml:space="preserve"> dependencia</w:t>
      </w:r>
      <w:r w:rsidRPr="00942EA0">
        <w:rPr>
          <w:rFonts w:ascii="Verdana" w:hAnsi="Verdana" w:cs="Arial"/>
          <w:iCs/>
          <w:noProof/>
          <w:sz w:val="20"/>
          <w:szCs w:val="20"/>
          <w:lang w:val="es-ES_tradnl"/>
        </w:rPr>
        <w:t>,</w:t>
      </w:r>
      <w:r w:rsidRPr="00942EA0">
        <w:rPr>
          <w:rFonts w:ascii="Verdana" w:hAnsi="Verdana" w:cs="Arial"/>
          <w:noProof/>
          <w:sz w:val="20"/>
          <w:szCs w:val="20"/>
          <w:lang w:val="es-ES_tradnl"/>
        </w:rPr>
        <w:t xml:space="preserve"> que es uno de los elementos constitutivos del vínculo laboral.</w:t>
      </w:r>
    </w:p>
    <w:p w14:paraId="5736A54F" w14:textId="77777777" w:rsidR="00382050" w:rsidRPr="00942EA0" w:rsidRDefault="00382050" w:rsidP="00382050">
      <w:pPr>
        <w:spacing w:after="0" w:line="240" w:lineRule="auto"/>
        <w:jc w:val="both"/>
        <w:rPr>
          <w:rFonts w:ascii="Verdana" w:hAnsi="Verdana" w:cs="Arial"/>
          <w:noProof/>
          <w:sz w:val="20"/>
          <w:szCs w:val="20"/>
          <w:lang w:val="es-ES_tradnl"/>
        </w:rPr>
      </w:pPr>
    </w:p>
    <w:p w14:paraId="6670A462" w14:textId="77777777" w:rsidR="00382050" w:rsidRPr="00942EA0" w:rsidRDefault="00382050" w:rsidP="00382050">
      <w:pPr>
        <w:spacing w:after="0" w:line="240" w:lineRule="auto"/>
        <w:jc w:val="both"/>
        <w:rPr>
          <w:rFonts w:ascii="Verdana" w:hAnsi="Verdana" w:cs="Arial"/>
          <w:noProof/>
          <w:sz w:val="20"/>
          <w:szCs w:val="20"/>
          <w:lang w:val="es-ES_tradnl"/>
        </w:rPr>
      </w:pPr>
      <w:r w:rsidRPr="00942EA0">
        <w:rPr>
          <w:rFonts w:ascii="Verdana" w:hAnsi="Verdana" w:cs="Arial"/>
          <w:noProof/>
          <w:sz w:val="20"/>
          <w:szCs w:val="20"/>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942EA0">
        <w:rPr>
          <w:rFonts w:ascii="Verdana" w:hAnsi="Verdana" w:cs="Arial"/>
          <w:i/>
          <w:noProof/>
          <w:sz w:val="20"/>
          <w:szCs w:val="20"/>
          <w:lang w:val="es-ES_tradnl"/>
        </w:rPr>
        <w:t>no pueden</w:t>
      </w:r>
      <w:r w:rsidRPr="00942EA0">
        <w:rPr>
          <w:rFonts w:ascii="Verdana" w:hAnsi="Verdana"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 </w:t>
      </w:r>
    </w:p>
    <w:p w14:paraId="0A5F37E5" w14:textId="77777777" w:rsidR="00382050" w:rsidRPr="00942EA0" w:rsidRDefault="00382050" w:rsidP="00382050">
      <w:pPr>
        <w:spacing w:after="0" w:line="240" w:lineRule="auto"/>
        <w:jc w:val="both"/>
        <w:rPr>
          <w:rFonts w:ascii="Verdana" w:eastAsia="Calibri" w:hAnsi="Verdana" w:cs="Arial"/>
          <w:bCs/>
          <w:sz w:val="20"/>
          <w:szCs w:val="20"/>
          <w:lang w:val="es-ES_tradnl" w:eastAsia="es-ES_tradnl"/>
        </w:rPr>
      </w:pPr>
    </w:p>
    <w:p w14:paraId="01EFFC13" w14:textId="77777777" w:rsidR="00382050" w:rsidRPr="00942EA0" w:rsidRDefault="00382050" w:rsidP="00382050">
      <w:pPr>
        <w:spacing w:after="0" w:line="240" w:lineRule="auto"/>
        <w:jc w:val="both"/>
        <w:rPr>
          <w:rFonts w:ascii="Verdana" w:eastAsia="Calibri" w:hAnsi="Verdana" w:cs="Arial"/>
          <w:b/>
          <w:lang w:val="es-ES_tradnl" w:eastAsia="es-ES_tradnl"/>
        </w:rPr>
      </w:pPr>
      <w:r w:rsidRPr="00942EA0">
        <w:rPr>
          <w:rFonts w:ascii="Verdana" w:eastAsia="Calibri" w:hAnsi="Verdana" w:cs="Arial"/>
          <w:b/>
          <w:lang w:val="es-ES_tradnl" w:eastAsia="es-ES_tradnl"/>
        </w:rPr>
        <w:t xml:space="preserve">CONTRATOS DE PRESTACIÓN DE SERVICIOS – Temporalidad </w:t>
      </w:r>
    </w:p>
    <w:p w14:paraId="6EA61B00" w14:textId="77777777" w:rsidR="00382050" w:rsidRPr="00942EA0" w:rsidRDefault="00382050" w:rsidP="00382050">
      <w:pPr>
        <w:spacing w:after="0" w:line="240" w:lineRule="auto"/>
        <w:jc w:val="both"/>
        <w:rPr>
          <w:rFonts w:ascii="Verdana" w:hAnsi="Verdana" w:cs="Arial"/>
          <w:noProof/>
          <w:sz w:val="20"/>
          <w:szCs w:val="20"/>
          <w:lang w:val="es-ES_tradnl"/>
        </w:rPr>
      </w:pPr>
    </w:p>
    <w:p w14:paraId="6A1D9225" w14:textId="25B8B4EF" w:rsidR="00A21856" w:rsidRPr="00942EA0" w:rsidRDefault="00382050" w:rsidP="00A21856">
      <w:pPr>
        <w:spacing w:after="0" w:line="240" w:lineRule="auto"/>
        <w:jc w:val="both"/>
        <w:rPr>
          <w:rFonts w:ascii="Verdana" w:hAnsi="Verdana" w:cs="Arial"/>
          <w:sz w:val="20"/>
          <w:szCs w:val="20"/>
          <w:lang w:val="es-MX"/>
        </w:rPr>
      </w:pPr>
      <w:r w:rsidRPr="00942EA0">
        <w:rPr>
          <w:rFonts w:ascii="Verdana" w:hAnsi="Verdana" w:cs="Arial"/>
          <w:noProof/>
          <w:sz w:val="20"/>
          <w:szCs w:val="20"/>
          <w:lang w:val="es-ES_tradnl"/>
        </w:rPr>
        <w:t xml:space="preserve">Deben ser temporales. La </w:t>
      </w:r>
      <w:r w:rsidRPr="00942EA0">
        <w:rPr>
          <w:rFonts w:ascii="Verdana" w:eastAsia="Arial" w:hAnsi="Verdana" w:cs="Arial"/>
          <w:color w:val="000000"/>
          <w:sz w:val="20"/>
          <w:szCs w:val="20"/>
        </w:rPr>
        <w:t>Sentencia de Unificación Jurisprudencial de 09 de septiembre de 2021, proferida por el Consejo de Estado</w:t>
      </w:r>
      <w:r w:rsidRPr="00942EA0">
        <w:rPr>
          <w:rFonts w:ascii="Verdana" w:hAnsi="Verdana" w:cs="Arial"/>
          <w:noProof/>
          <w:sz w:val="20"/>
          <w:szCs w:val="20"/>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w:t>
      </w:r>
      <w:r w:rsidRPr="00942EA0">
        <w:rPr>
          <w:rFonts w:ascii="Verdana" w:hAnsi="Verdana" w:cs="Arial"/>
          <w:noProof/>
          <w:sz w:val="20"/>
          <w:szCs w:val="20"/>
          <w:lang w:val="es-ES_tradnl"/>
        </w:rPr>
        <w:lastRenderedPageBreak/>
        <w:t xml:space="preserve">para garantizar su cumplimiento”. </w:t>
      </w:r>
      <w:r w:rsidRPr="00942EA0">
        <w:rPr>
          <w:rFonts w:ascii="Verdana" w:hAnsi="Verdana" w:cs="Arial"/>
          <w:sz w:val="20"/>
          <w:szCs w:val="20"/>
          <w:lang w:val="es-MX"/>
        </w:rPr>
        <w:t>De igual manera, señaló que “no cabe su empleo para la cobertura indefinida de necesidades permanentes o recurrentes”.</w:t>
      </w:r>
    </w:p>
    <w:p w14:paraId="7F3CDF35" w14:textId="77777777" w:rsidR="00382050" w:rsidRPr="00942EA0" w:rsidRDefault="00382050" w:rsidP="00382050">
      <w:pPr>
        <w:spacing w:after="0" w:line="240" w:lineRule="auto"/>
        <w:jc w:val="both"/>
        <w:rPr>
          <w:rFonts w:ascii="Verdana" w:eastAsia="Calibri" w:hAnsi="Verdana" w:cs="Arial"/>
          <w:bCs/>
          <w:sz w:val="20"/>
          <w:szCs w:val="20"/>
          <w:lang w:val="es-ES_tradnl" w:eastAsia="es-ES_tradnl"/>
        </w:rPr>
      </w:pPr>
    </w:p>
    <w:p w14:paraId="5D4BECF6" w14:textId="77777777" w:rsidR="00382050" w:rsidRPr="00942EA0" w:rsidRDefault="00382050" w:rsidP="00382050">
      <w:pPr>
        <w:spacing w:after="0" w:line="240" w:lineRule="auto"/>
        <w:jc w:val="both"/>
        <w:rPr>
          <w:rFonts w:ascii="Verdana" w:eastAsia="Calibri" w:hAnsi="Verdana" w:cs="Arial"/>
          <w:b/>
          <w:lang w:val="es-ES_tradnl" w:eastAsia="es-ES_tradnl"/>
        </w:rPr>
      </w:pPr>
      <w:r w:rsidRPr="00942EA0">
        <w:rPr>
          <w:rFonts w:ascii="Verdana" w:eastAsia="Calibri" w:hAnsi="Verdana" w:cs="Arial"/>
          <w:b/>
          <w:lang w:val="es-ES_tradnl" w:eastAsia="es-ES_tradnl"/>
        </w:rPr>
        <w:t xml:space="preserve">SUSPENSIÓN – Procedencia - Causales </w:t>
      </w:r>
    </w:p>
    <w:p w14:paraId="44CE8B2F" w14:textId="77777777" w:rsidR="00382050" w:rsidRPr="00942EA0" w:rsidRDefault="00382050" w:rsidP="00382050">
      <w:pPr>
        <w:spacing w:after="0" w:line="240" w:lineRule="auto"/>
        <w:jc w:val="both"/>
        <w:rPr>
          <w:rFonts w:ascii="Verdana" w:eastAsia="Calibri" w:hAnsi="Verdana" w:cs="Arial"/>
          <w:sz w:val="20"/>
          <w:szCs w:val="20"/>
          <w:lang w:val="es-MX"/>
        </w:rPr>
      </w:pPr>
    </w:p>
    <w:p w14:paraId="42BE608B" w14:textId="77777777" w:rsidR="00382050" w:rsidRPr="00942EA0" w:rsidRDefault="00382050" w:rsidP="00382050">
      <w:pPr>
        <w:spacing w:after="0" w:line="240" w:lineRule="auto"/>
        <w:jc w:val="both"/>
        <w:rPr>
          <w:rFonts w:ascii="Verdana" w:hAnsi="Verdana" w:cs="Arial"/>
          <w:sz w:val="20"/>
          <w:szCs w:val="20"/>
        </w:rPr>
      </w:pPr>
      <w:r w:rsidRPr="00942EA0">
        <w:rPr>
          <w:rFonts w:ascii="Verdana" w:eastAsia="Calibri" w:hAnsi="Verdana" w:cs="Arial"/>
          <w:sz w:val="20"/>
          <w:szCs w:val="20"/>
          <w:lang w:val="es-MX"/>
        </w:rPr>
        <w:t xml:space="preserve">En primer lugar, debe indicarse que, </w:t>
      </w:r>
      <w:r w:rsidRPr="00942EA0">
        <w:rPr>
          <w:rFonts w:ascii="Verdana" w:hAnsi="Verdana" w:cs="Arial"/>
          <w:sz w:val="20"/>
          <w:szCs w:val="20"/>
        </w:rPr>
        <w:t xml:space="preserve">no existe disposición normativa que consagre de forma expresa las causales de suspensión del contrato estatal. </w:t>
      </w:r>
      <w:r w:rsidRPr="00942EA0">
        <w:rPr>
          <w:rFonts w:ascii="Verdana" w:eastAsia="Calibri" w:hAnsi="Verdana" w:cs="Arial"/>
          <w:sz w:val="20"/>
          <w:szCs w:val="20"/>
          <w:lang w:val="es-MX"/>
        </w:rPr>
        <w:t>Sobre el particular, e</w:t>
      </w:r>
      <w:r w:rsidRPr="00942EA0">
        <w:rPr>
          <w:rFonts w:ascii="Verdana" w:hAnsi="Verdana" w:cs="Arial"/>
          <w:sz w:val="20"/>
          <w:szCs w:val="20"/>
        </w:rPr>
        <w:t xml:space="preserve">l la Sección Tercera del Consejo de Estado, se refirió a los eventos en los cuales procede la suspensión del contrato, en los siguientes términos: “La suspensión del contrato, más estrictamente de la ejecución del contrato, procede, por regla general, de consuno entre las partes, </w:t>
      </w:r>
      <w:r w:rsidRPr="00942EA0">
        <w:rPr>
          <w:rFonts w:ascii="Verdana" w:hAnsi="Verdana" w:cs="Arial"/>
          <w:i/>
          <w:sz w:val="20"/>
          <w:szCs w:val="20"/>
        </w:rPr>
        <w:t>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w:t>
      </w:r>
      <w:r w:rsidRPr="00942EA0">
        <w:rPr>
          <w:rFonts w:ascii="Verdana" w:hAnsi="Verdana" w:cs="Arial"/>
          <w:sz w:val="20"/>
          <w:szCs w:val="20"/>
        </w:rPr>
        <w:t xml:space="preserve">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 [Énfasis fuera del texto].</w:t>
      </w:r>
    </w:p>
    <w:p w14:paraId="1E428E88" w14:textId="77777777" w:rsidR="003E07CE" w:rsidRPr="00942EA0" w:rsidRDefault="003E07CE" w:rsidP="00382050">
      <w:pPr>
        <w:spacing w:after="0" w:line="240" w:lineRule="auto"/>
        <w:jc w:val="both"/>
        <w:rPr>
          <w:rFonts w:ascii="Verdana" w:eastAsia="Calibri" w:hAnsi="Verdana" w:cs="Arial"/>
          <w:color w:val="000000"/>
          <w:sz w:val="20"/>
          <w:szCs w:val="20"/>
          <w:lang w:val="es-ES_tradnl"/>
        </w:rPr>
      </w:pPr>
    </w:p>
    <w:p w14:paraId="38507A1C" w14:textId="77777777" w:rsidR="003E07CE" w:rsidRPr="00942EA0" w:rsidRDefault="003E07CE" w:rsidP="00382050">
      <w:pPr>
        <w:spacing w:after="0" w:line="240" w:lineRule="auto"/>
        <w:jc w:val="both"/>
        <w:rPr>
          <w:rFonts w:ascii="Verdana" w:eastAsia="Calibri" w:hAnsi="Verdana" w:cs="Arial"/>
          <w:color w:val="000000"/>
          <w:sz w:val="20"/>
          <w:szCs w:val="20"/>
          <w:lang w:val="es-ES_tradnl"/>
        </w:rPr>
      </w:pPr>
    </w:p>
    <w:p w14:paraId="7DF0D0C7" w14:textId="5729283B" w:rsidR="00382050" w:rsidRPr="00942EA0" w:rsidRDefault="00382050" w:rsidP="00382050">
      <w:pPr>
        <w:rPr>
          <w:rFonts w:ascii="Verdana" w:hAnsi="Verdana"/>
        </w:rPr>
      </w:pPr>
    </w:p>
    <w:p w14:paraId="5339AE0F" w14:textId="77777777" w:rsidR="00382050" w:rsidRPr="00942EA0" w:rsidRDefault="00382050" w:rsidP="00382050">
      <w:pPr>
        <w:rPr>
          <w:rFonts w:ascii="Verdana" w:hAnsi="Verdana"/>
        </w:rPr>
      </w:pPr>
    </w:p>
    <w:p w14:paraId="20DCF716" w14:textId="77777777" w:rsidR="00076069" w:rsidRPr="00942EA0" w:rsidRDefault="00076069" w:rsidP="00382050">
      <w:pPr>
        <w:rPr>
          <w:rFonts w:ascii="Verdana" w:hAnsi="Verdana"/>
        </w:rPr>
      </w:pPr>
    </w:p>
    <w:p w14:paraId="08792114" w14:textId="77777777" w:rsidR="00076069" w:rsidRPr="00942EA0" w:rsidRDefault="00076069" w:rsidP="00382050">
      <w:pPr>
        <w:rPr>
          <w:rFonts w:ascii="Verdana" w:hAnsi="Verdana"/>
        </w:rPr>
      </w:pPr>
    </w:p>
    <w:p w14:paraId="25A67881" w14:textId="77777777" w:rsidR="00F27C0E" w:rsidRPr="00942EA0" w:rsidRDefault="00F27C0E" w:rsidP="00382050">
      <w:pPr>
        <w:rPr>
          <w:rFonts w:ascii="Verdana" w:hAnsi="Verdana"/>
        </w:rPr>
      </w:pPr>
    </w:p>
    <w:p w14:paraId="39CAE6A4" w14:textId="77777777" w:rsidR="00F27C0E" w:rsidRPr="00942EA0" w:rsidRDefault="00F27C0E" w:rsidP="00382050">
      <w:pPr>
        <w:rPr>
          <w:rFonts w:ascii="Verdana" w:hAnsi="Verdana"/>
        </w:rPr>
      </w:pPr>
    </w:p>
    <w:p w14:paraId="4D8CB7B2" w14:textId="77777777" w:rsidR="00F27C0E" w:rsidRPr="00942EA0" w:rsidRDefault="00F27C0E" w:rsidP="00382050">
      <w:pPr>
        <w:rPr>
          <w:rFonts w:ascii="Verdana" w:hAnsi="Verdana"/>
        </w:rPr>
      </w:pPr>
    </w:p>
    <w:p w14:paraId="26E7F8AC" w14:textId="77777777" w:rsidR="00F27C0E" w:rsidRPr="00942EA0" w:rsidRDefault="00F27C0E" w:rsidP="00382050">
      <w:pPr>
        <w:rPr>
          <w:rFonts w:ascii="Verdana" w:hAnsi="Verdana"/>
        </w:rPr>
      </w:pPr>
    </w:p>
    <w:p w14:paraId="09E75C28" w14:textId="77777777" w:rsidR="00F27C0E" w:rsidRPr="00942EA0" w:rsidRDefault="00F27C0E" w:rsidP="00382050">
      <w:pPr>
        <w:rPr>
          <w:rFonts w:ascii="Verdana" w:hAnsi="Verdana"/>
        </w:rPr>
      </w:pPr>
    </w:p>
    <w:p w14:paraId="04642A7E" w14:textId="77777777" w:rsidR="00F27C0E" w:rsidRPr="00942EA0" w:rsidRDefault="00F27C0E" w:rsidP="00382050">
      <w:pPr>
        <w:rPr>
          <w:rFonts w:ascii="Verdana" w:hAnsi="Verdana"/>
        </w:rPr>
      </w:pPr>
    </w:p>
    <w:p w14:paraId="7A953D1A" w14:textId="77777777" w:rsidR="00076069" w:rsidRDefault="00076069" w:rsidP="00382050">
      <w:pPr>
        <w:rPr>
          <w:rFonts w:ascii="Verdana" w:hAnsi="Verdana"/>
        </w:rPr>
      </w:pPr>
    </w:p>
    <w:p w14:paraId="4A16DDA5" w14:textId="77777777" w:rsidR="009734C7" w:rsidRDefault="009734C7" w:rsidP="00382050">
      <w:pPr>
        <w:rPr>
          <w:rFonts w:ascii="Verdana" w:hAnsi="Verdana"/>
        </w:rPr>
      </w:pPr>
    </w:p>
    <w:p w14:paraId="7E5A9852" w14:textId="77777777" w:rsidR="009734C7" w:rsidRPr="00942EA0" w:rsidRDefault="009734C7" w:rsidP="00382050">
      <w:pPr>
        <w:rPr>
          <w:rFonts w:ascii="Verdana" w:hAnsi="Verdana"/>
        </w:rPr>
      </w:pPr>
    </w:p>
    <w:p w14:paraId="10ADB642" w14:textId="77777777" w:rsidR="00511458" w:rsidRPr="00942EA0" w:rsidRDefault="00511458" w:rsidP="30821638">
      <w:pPr>
        <w:spacing w:after="0"/>
        <w:rPr>
          <w:rFonts w:ascii="Verdana" w:eastAsia="Verdana" w:hAnsi="Verdana" w:cs="Verdana"/>
        </w:rPr>
      </w:pPr>
    </w:p>
    <w:p w14:paraId="4B4EA2DA" w14:textId="3C092480" w:rsidR="009734C7" w:rsidRDefault="00C15139" w:rsidP="30821638">
      <w:pPr>
        <w:spacing w:after="0"/>
        <w:rPr>
          <w:rFonts w:ascii="Verdana" w:eastAsia="Verdana" w:hAnsi="Verdana" w:cs="Verdana"/>
        </w:rPr>
      </w:pPr>
      <w:r w:rsidRPr="00942EA0">
        <w:rPr>
          <w:rFonts w:ascii="Verdana" w:eastAsia="Verdana" w:hAnsi="Verdana" w:cs="Verdana"/>
        </w:rPr>
        <w:lastRenderedPageBreak/>
        <w:t xml:space="preserve">Bogotá D.C., </w:t>
      </w:r>
      <w:r w:rsidR="009734C7">
        <w:rPr>
          <w:rFonts w:ascii="Verdana" w:eastAsia="Verdana" w:hAnsi="Verdana" w:cs="Verdana"/>
        </w:rPr>
        <w:t>01 de septiembre del 2026</w:t>
      </w:r>
    </w:p>
    <w:p w14:paraId="1468C46D" w14:textId="7D949614" w:rsidR="00C15139" w:rsidRPr="00942EA0" w:rsidRDefault="00C15139" w:rsidP="00670DA7">
      <w:pPr>
        <w:spacing w:after="0"/>
        <w:jc w:val="right"/>
        <w:rPr>
          <w:rFonts w:ascii="Verdana" w:eastAsia="Verdana" w:hAnsi="Verdana" w:cs="Verdana"/>
        </w:rPr>
      </w:pPr>
      <w:r w:rsidRPr="00942EA0">
        <w:rPr>
          <w:rFonts w:ascii="Verdana" w:hAnsi="Verdana"/>
        </w:rPr>
        <w:tab/>
      </w:r>
      <w:r w:rsidR="00670DA7" w:rsidRPr="00670DA7">
        <w:rPr>
          <w:rFonts w:ascii="Verdana" w:hAnsi="Verdana"/>
          <w:noProof/>
        </w:rPr>
        <w:drawing>
          <wp:inline distT="0" distB="0" distL="0" distR="0" wp14:anchorId="70AAE1B7" wp14:editId="11953105">
            <wp:extent cx="2705100" cy="828675"/>
            <wp:effectExtent l="0" t="0" r="0" b="9525"/>
            <wp:docPr id="20273282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inline>
        </w:drawing>
      </w:r>
      <w:r w:rsidRPr="00942EA0">
        <w:rPr>
          <w:rFonts w:ascii="Verdana" w:hAnsi="Verdana"/>
        </w:rPr>
        <w:br/>
      </w:r>
      <w:r w:rsidRPr="00942EA0">
        <w:rPr>
          <w:rFonts w:ascii="Verdana" w:hAnsi="Verdana"/>
        </w:rPr>
        <w:tab/>
      </w:r>
    </w:p>
    <w:p w14:paraId="59FB4101" w14:textId="77777777" w:rsidR="006F015F" w:rsidRPr="00942EA0" w:rsidRDefault="006F015F" w:rsidP="006F015F">
      <w:pPr>
        <w:spacing w:after="0" w:line="240" w:lineRule="auto"/>
        <w:rPr>
          <w:rFonts w:ascii="Verdana" w:hAnsi="Verdana"/>
        </w:rPr>
      </w:pPr>
      <w:r w:rsidRPr="00942EA0">
        <w:rPr>
          <w:rFonts w:ascii="Verdana" w:eastAsia="Calibri" w:hAnsi="Verdana" w:cs="Arial"/>
          <w:lang w:val="es-ES" w:eastAsia="es-ES"/>
        </w:rPr>
        <w:t>Señor:</w:t>
      </w:r>
    </w:p>
    <w:p w14:paraId="73AF1AFD" w14:textId="77777777" w:rsidR="00220EB5" w:rsidRPr="00942EA0" w:rsidRDefault="00220EB5" w:rsidP="006F015F">
      <w:pPr>
        <w:spacing w:after="0" w:line="240" w:lineRule="auto"/>
        <w:rPr>
          <w:rFonts w:ascii="Verdana" w:eastAsia="Calibri" w:hAnsi="Verdana" w:cs="Arial"/>
          <w:b/>
          <w:bCs/>
          <w:lang w:eastAsia="es-ES"/>
        </w:rPr>
      </w:pPr>
      <w:r w:rsidRPr="00942EA0">
        <w:rPr>
          <w:rFonts w:ascii="Verdana" w:eastAsia="Calibri" w:hAnsi="Verdana" w:cs="Arial"/>
          <w:b/>
          <w:bCs/>
          <w:lang w:eastAsia="es-ES"/>
        </w:rPr>
        <w:t xml:space="preserve">Diego Vergara Aldana </w:t>
      </w:r>
    </w:p>
    <w:p w14:paraId="7190BC98" w14:textId="68A74280" w:rsidR="008C4765" w:rsidRPr="00942EA0" w:rsidRDefault="008C4765" w:rsidP="006F015F">
      <w:pPr>
        <w:spacing w:after="0" w:line="240" w:lineRule="auto"/>
        <w:rPr>
          <w:rFonts w:ascii="Verdana" w:hAnsi="Verdana"/>
        </w:rPr>
      </w:pPr>
      <w:hyperlink r:id="rId11" w:history="1">
        <w:r w:rsidRPr="00942EA0">
          <w:rPr>
            <w:rStyle w:val="Hipervnculo"/>
            <w:rFonts w:ascii="Verdana" w:hAnsi="Verdana"/>
          </w:rPr>
          <w:t>diegovergaraaldana@gmail.com</w:t>
        </w:r>
      </w:hyperlink>
    </w:p>
    <w:p w14:paraId="0C149FD6" w14:textId="7511CADE" w:rsidR="006F015F" w:rsidRPr="00942EA0" w:rsidRDefault="00886CAD" w:rsidP="006F015F">
      <w:pPr>
        <w:spacing w:after="0" w:line="240" w:lineRule="auto"/>
        <w:rPr>
          <w:rFonts w:ascii="Verdana" w:eastAsia="Calibri" w:hAnsi="Verdana" w:cs="Arial"/>
          <w:lang w:val="es-ES_tradnl" w:eastAsia="es-ES"/>
        </w:rPr>
      </w:pPr>
      <w:r w:rsidRPr="00942EA0">
        <w:rPr>
          <w:rFonts w:ascii="Verdana" w:eastAsia="Calibri" w:hAnsi="Verdana" w:cs="Arial"/>
          <w:lang w:val="es-ES_tradnl" w:eastAsia="es-ES"/>
        </w:rPr>
        <w:t>Bogotá D.C.</w:t>
      </w:r>
    </w:p>
    <w:p w14:paraId="0E448933" w14:textId="77777777" w:rsidR="006F015F" w:rsidRPr="00942EA0" w:rsidRDefault="006F015F" w:rsidP="006F015F">
      <w:pPr>
        <w:spacing w:after="0" w:line="240" w:lineRule="auto"/>
        <w:rPr>
          <w:rFonts w:ascii="Verdana" w:eastAsia="Calibri" w:hAnsi="Verdana" w:cs="Arial"/>
          <w:b/>
          <w:bCs/>
          <w:highlight w:val="cyan"/>
          <w:lang w:val="es-ES_tradnl" w:eastAsia="es-ES_tradnl"/>
        </w:rPr>
      </w:pPr>
    </w:p>
    <w:p w14:paraId="76501353" w14:textId="4FD59BEC" w:rsidR="006F015F" w:rsidRPr="00942EA0" w:rsidRDefault="006F015F" w:rsidP="006F015F">
      <w:pPr>
        <w:spacing w:after="0" w:line="240" w:lineRule="auto"/>
        <w:rPr>
          <w:rFonts w:ascii="Verdana" w:eastAsia="Calibri" w:hAnsi="Verdana" w:cs="Arial"/>
          <w:b/>
          <w:bCs/>
          <w:lang w:val="es-ES_tradnl" w:eastAsia="es-ES_tradnl"/>
        </w:rPr>
      </w:pPr>
      <w:r w:rsidRPr="00942EA0">
        <w:rPr>
          <w:rFonts w:ascii="Verdana" w:eastAsia="Calibri" w:hAnsi="Verdana" w:cs="Arial"/>
          <w:b/>
          <w:bCs/>
          <w:lang w:val="es-ES_tradnl" w:eastAsia="es-ES_tradnl"/>
        </w:rPr>
        <w:t xml:space="preserve">                                   Concepto </w:t>
      </w:r>
      <w:r w:rsidR="006D0201" w:rsidRPr="00942EA0">
        <w:rPr>
          <w:rFonts w:ascii="Verdana" w:eastAsia="Calibri" w:hAnsi="Verdana" w:cs="Arial"/>
          <w:b/>
          <w:bCs/>
          <w:lang w:val="es-ES_tradnl" w:eastAsia="es-ES_tradnl"/>
        </w:rPr>
        <w:t>C-1230</w:t>
      </w:r>
      <w:r w:rsidRPr="00942EA0">
        <w:rPr>
          <w:rFonts w:ascii="Verdana" w:eastAsia="Calibri" w:hAnsi="Verdana" w:cs="Arial"/>
          <w:b/>
          <w:bCs/>
          <w:lang w:val="es-ES_tradnl" w:eastAsia="es-ES_tradnl"/>
        </w:rPr>
        <w:t xml:space="preserve"> del 2026</w:t>
      </w:r>
    </w:p>
    <w:p w14:paraId="790255BE" w14:textId="77777777" w:rsidR="006F015F" w:rsidRPr="00942EA0" w:rsidRDefault="006F015F" w:rsidP="006F015F">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F015F" w:rsidRPr="00942EA0" w14:paraId="1EADB88D" w14:textId="77777777" w:rsidTr="00D93A23">
        <w:trPr>
          <w:trHeight w:val="884"/>
        </w:trPr>
        <w:tc>
          <w:tcPr>
            <w:tcW w:w="2689" w:type="dxa"/>
          </w:tcPr>
          <w:p w14:paraId="69A0428C" w14:textId="77777777" w:rsidR="006F015F" w:rsidRPr="00942EA0" w:rsidRDefault="006F015F" w:rsidP="00D93A23">
            <w:pPr>
              <w:jc w:val="both"/>
              <w:rPr>
                <w:rFonts w:ascii="Verdana" w:eastAsia="Calibri" w:hAnsi="Verdana" w:cs="Arial"/>
                <w:highlight w:val="cyan"/>
                <w:lang w:val="es-ES_tradnl" w:eastAsia="es-ES_tradnl"/>
              </w:rPr>
            </w:pPr>
            <w:r w:rsidRPr="00942EA0">
              <w:rPr>
                <w:rFonts w:ascii="Verdana" w:eastAsia="Calibri" w:hAnsi="Verdana" w:cs="Arial"/>
                <w:b/>
                <w:lang w:val="es-ES_tradnl" w:eastAsia="es-ES_tradnl"/>
              </w:rPr>
              <w:t>Temas:</w:t>
            </w:r>
            <w:r w:rsidRPr="00942EA0">
              <w:rPr>
                <w:rFonts w:ascii="Verdana" w:eastAsia="Calibri" w:hAnsi="Verdana" w:cs="Arial"/>
                <w:lang w:val="es-ES_tradnl" w:eastAsia="es-ES_tradnl"/>
              </w:rPr>
              <w:t xml:space="preserve">                   </w:t>
            </w:r>
          </w:p>
        </w:tc>
        <w:tc>
          <w:tcPr>
            <w:tcW w:w="6100" w:type="dxa"/>
          </w:tcPr>
          <w:p w14:paraId="1B6653AA" w14:textId="20489C10" w:rsidR="006F015F" w:rsidRPr="00942EA0" w:rsidRDefault="005C0F7E" w:rsidP="00D93A23">
            <w:pPr>
              <w:jc w:val="both"/>
              <w:rPr>
                <w:rFonts w:ascii="Verdana" w:hAnsi="Verdana" w:cs="Arial"/>
                <w:color w:val="000000" w:themeColor="text1"/>
              </w:rPr>
            </w:pPr>
            <w:r w:rsidRPr="00942EA0">
              <w:rPr>
                <w:rFonts w:ascii="Verdana" w:hAnsi="Verdana" w:cs="Arial"/>
                <w:color w:val="000000" w:themeColor="text1"/>
              </w:rPr>
              <w:t>CONTRATOS DE PRESTACIÓN DE SERVICIOS – Generalidades / CONTRATOS DE PRESTACIÓN DE SERVICIOS – Autonomía del contratista / CONTRATOS DE PRESTACIÓN DE SERVICIOS – Temporalidad / SUSPENSIÓN – Procedencia – Causales</w:t>
            </w:r>
          </w:p>
          <w:p w14:paraId="7BB660D5" w14:textId="373BEC30" w:rsidR="005C0F7E" w:rsidRPr="00942EA0" w:rsidRDefault="005C0F7E" w:rsidP="00D93A23">
            <w:pPr>
              <w:jc w:val="both"/>
              <w:rPr>
                <w:rFonts w:ascii="Verdana" w:eastAsia="Aptos" w:hAnsi="Verdana" w:cs="Times New Roman"/>
                <w:highlight w:val="cyan"/>
              </w:rPr>
            </w:pPr>
          </w:p>
        </w:tc>
      </w:tr>
      <w:tr w:rsidR="006F015F" w:rsidRPr="00942EA0" w14:paraId="26FC73E6" w14:textId="77777777" w:rsidTr="00D93A23">
        <w:trPr>
          <w:trHeight w:val="342"/>
        </w:trPr>
        <w:tc>
          <w:tcPr>
            <w:tcW w:w="2689" w:type="dxa"/>
          </w:tcPr>
          <w:p w14:paraId="098DC5BA" w14:textId="77777777" w:rsidR="006F015F" w:rsidRPr="00942EA0" w:rsidRDefault="006F015F" w:rsidP="00D93A23">
            <w:pPr>
              <w:jc w:val="both"/>
              <w:rPr>
                <w:rFonts w:ascii="Verdana" w:eastAsia="Calibri" w:hAnsi="Verdana" w:cs="Arial"/>
                <w:b/>
                <w:lang w:val="es-ES_tradnl" w:eastAsia="es-ES_tradnl"/>
              </w:rPr>
            </w:pPr>
            <w:r w:rsidRPr="00942EA0">
              <w:rPr>
                <w:rFonts w:ascii="Verdana" w:eastAsia="Calibri" w:hAnsi="Verdana" w:cs="Arial"/>
                <w:b/>
                <w:lang w:val="es-ES_tradnl" w:eastAsia="es-ES_tradnl"/>
              </w:rPr>
              <w:t>Radicación:</w:t>
            </w:r>
            <w:r w:rsidRPr="00942EA0">
              <w:rPr>
                <w:rFonts w:ascii="Verdana" w:eastAsia="Calibri" w:hAnsi="Verdana" w:cs="Arial"/>
                <w:lang w:val="es-ES_tradnl" w:eastAsia="es-ES_tradnl"/>
              </w:rPr>
              <w:t xml:space="preserve">               </w:t>
            </w:r>
          </w:p>
        </w:tc>
        <w:tc>
          <w:tcPr>
            <w:tcW w:w="6100" w:type="dxa"/>
          </w:tcPr>
          <w:p w14:paraId="1EE73582" w14:textId="3C742565" w:rsidR="006F015F" w:rsidRPr="00942EA0" w:rsidRDefault="006F015F" w:rsidP="00D93A23">
            <w:pPr>
              <w:jc w:val="both"/>
              <w:rPr>
                <w:rFonts w:ascii="Verdana" w:eastAsia="Calibri" w:hAnsi="Verdana" w:cs="Arial"/>
                <w:lang w:eastAsia="es-ES_tradnl"/>
              </w:rPr>
            </w:pPr>
            <w:r w:rsidRPr="00942EA0">
              <w:rPr>
                <w:rFonts w:ascii="Verdana" w:eastAsia="Calibri" w:hAnsi="Verdana" w:cs="Arial"/>
                <w:lang w:val="es-ES_tradnl" w:eastAsia="es-ES_tradnl"/>
              </w:rPr>
              <w:t>Respuesta a la consulta con radicado No.</w:t>
            </w:r>
            <w:r w:rsidRPr="00942EA0">
              <w:rPr>
                <w:rFonts w:ascii="Verdana" w:hAnsi="Verdana"/>
              </w:rPr>
              <w:t xml:space="preserve"> </w:t>
            </w:r>
            <w:r w:rsidR="00981816" w:rsidRPr="00942EA0">
              <w:rPr>
                <w:rFonts w:ascii="Verdana" w:hAnsi="Verdana"/>
              </w:rPr>
              <w:t>1_2026_08_04_010324</w:t>
            </w:r>
          </w:p>
        </w:tc>
      </w:tr>
    </w:tbl>
    <w:p w14:paraId="3DF716D2" w14:textId="77777777" w:rsidR="006F015F" w:rsidRPr="00942EA0" w:rsidRDefault="006F015F" w:rsidP="006F015F">
      <w:pPr>
        <w:spacing w:after="0" w:line="240" w:lineRule="auto"/>
        <w:jc w:val="both"/>
        <w:rPr>
          <w:rFonts w:ascii="Verdana" w:eastAsia="Calibri" w:hAnsi="Verdana" w:cs="Arial"/>
          <w:highlight w:val="cyan"/>
          <w:lang w:val="es-ES" w:eastAsia="es-ES"/>
        </w:rPr>
      </w:pPr>
    </w:p>
    <w:p w14:paraId="4B334F14" w14:textId="306A091C" w:rsidR="006F015F" w:rsidRPr="00942EA0" w:rsidRDefault="006F015F" w:rsidP="006F015F">
      <w:pPr>
        <w:spacing w:after="0" w:line="276" w:lineRule="auto"/>
        <w:jc w:val="both"/>
        <w:rPr>
          <w:rFonts w:ascii="Verdana" w:eastAsia="Calibri" w:hAnsi="Verdana" w:cs="Arial"/>
          <w:lang w:val="es-ES" w:eastAsia="es-ES"/>
        </w:rPr>
      </w:pPr>
      <w:r w:rsidRPr="00942EA0">
        <w:rPr>
          <w:rFonts w:ascii="Verdana" w:eastAsia="Calibri" w:hAnsi="Verdana" w:cs="Arial"/>
          <w:lang w:val="es-ES" w:eastAsia="es-ES"/>
        </w:rPr>
        <w:t xml:space="preserve">Estimado señor </w:t>
      </w:r>
      <w:r w:rsidR="00220EB5" w:rsidRPr="00942EA0">
        <w:rPr>
          <w:rFonts w:ascii="Verdana" w:eastAsia="Calibri" w:hAnsi="Verdana" w:cs="Arial"/>
          <w:lang w:eastAsia="es-ES"/>
        </w:rPr>
        <w:t>Vergara Aldana</w:t>
      </w:r>
      <w:r w:rsidRPr="00942EA0">
        <w:rPr>
          <w:rFonts w:ascii="Verdana" w:eastAsia="Calibri" w:hAnsi="Verdana" w:cs="Arial"/>
          <w:lang w:val="es-ES" w:eastAsia="es-ES"/>
        </w:rPr>
        <w:t xml:space="preserve">: </w:t>
      </w:r>
    </w:p>
    <w:p w14:paraId="0A6D9579" w14:textId="77777777" w:rsidR="006F015F" w:rsidRPr="00942EA0" w:rsidRDefault="006F015F" w:rsidP="006F015F">
      <w:pPr>
        <w:spacing w:after="0" w:line="276" w:lineRule="auto"/>
        <w:rPr>
          <w:rFonts w:ascii="Verdana" w:eastAsia="Times New Roman" w:hAnsi="Verdana" w:cs="Segoe UI"/>
          <w:highlight w:val="cyan"/>
          <w:lang w:eastAsia="es-CO"/>
        </w:rPr>
      </w:pPr>
    </w:p>
    <w:p w14:paraId="290C0951" w14:textId="2738B5CC" w:rsidR="006F015F" w:rsidRPr="00942EA0" w:rsidRDefault="006F015F" w:rsidP="006F015F">
      <w:pPr>
        <w:spacing w:after="0" w:line="276" w:lineRule="auto"/>
        <w:jc w:val="both"/>
        <w:rPr>
          <w:rFonts w:ascii="Verdana" w:eastAsia="Calibri" w:hAnsi="Verdana" w:cs="Arial"/>
          <w:lang w:val="es-ES" w:eastAsia="es-ES"/>
        </w:rPr>
      </w:pPr>
      <w:r w:rsidRPr="00942EA0">
        <w:rPr>
          <w:rFonts w:ascii="Verdana" w:eastAsia="Calibri" w:hAnsi="Verdana" w:cs="Arial"/>
          <w:lang w:val="es-ES" w:eastAsia="es-ES"/>
        </w:rPr>
        <w:t>En ejercicio de la competencia otorgada por los artículos 3, numeral 5º, y 11, numeral 8º, del Decreto Ley 4170 de 2011,</w:t>
      </w:r>
      <w:r w:rsidRPr="00942EA0">
        <w:rPr>
          <w:rFonts w:ascii="Verdana" w:eastAsia="Arial MT" w:hAnsi="Verdana" w:cs="Arial"/>
          <w:lang w:val="es-ES" w:eastAsia="es-ES"/>
        </w:rPr>
        <w:t xml:space="preserve"> </w:t>
      </w:r>
      <w:r w:rsidRPr="00942EA0">
        <w:rPr>
          <w:rFonts w:ascii="Verdana" w:hAnsi="Verdana" w:cs="Arial"/>
        </w:rPr>
        <w:t xml:space="preserve">así como lo establecido en el artículo 4 de la Resolución 1707 de 2018 expedida por esta Entidad, </w:t>
      </w:r>
      <w:r w:rsidRPr="00942EA0">
        <w:rPr>
          <w:rFonts w:ascii="Verdana" w:eastAsia="Calibri" w:hAnsi="Verdana" w:cs="Arial"/>
          <w:lang w:val="es-ES" w:eastAsia="es-ES"/>
        </w:rPr>
        <w:t xml:space="preserve">la Agencia Nacional de Contratación Pública – Colombia Compra Eficiente– responde su solicitud radicada el </w:t>
      </w:r>
      <w:r w:rsidR="0081708F" w:rsidRPr="00942EA0">
        <w:rPr>
          <w:rFonts w:ascii="Verdana" w:eastAsia="Calibri" w:hAnsi="Verdana" w:cs="Arial"/>
          <w:lang w:val="es-ES" w:eastAsia="es-ES"/>
        </w:rPr>
        <w:t>04 de agosto del 2026</w:t>
      </w:r>
      <w:r w:rsidRPr="00942EA0">
        <w:rPr>
          <w:rFonts w:ascii="Verdana" w:eastAsia="Calibri" w:hAnsi="Verdana" w:cs="Arial"/>
          <w:lang w:val="es-ES" w:eastAsia="es-ES"/>
        </w:rPr>
        <w:t xml:space="preserve">, en la cual manifiesta lo siguiente: </w:t>
      </w:r>
    </w:p>
    <w:p w14:paraId="052ED2F6" w14:textId="77777777" w:rsidR="005025AD" w:rsidRPr="00942EA0" w:rsidRDefault="005025AD" w:rsidP="006F015F">
      <w:pPr>
        <w:spacing w:after="0" w:line="276" w:lineRule="auto"/>
        <w:jc w:val="both"/>
        <w:rPr>
          <w:rFonts w:ascii="Verdana" w:eastAsia="Calibri" w:hAnsi="Verdana" w:cs="Arial"/>
          <w:lang w:val="es-ES" w:eastAsia="es-ES"/>
        </w:rPr>
      </w:pPr>
    </w:p>
    <w:p w14:paraId="167A9E40" w14:textId="77777777" w:rsidR="005025AD" w:rsidRPr="00942EA0" w:rsidRDefault="006F015F" w:rsidP="005025AD">
      <w:pPr>
        <w:spacing w:after="0" w:line="240" w:lineRule="auto"/>
        <w:ind w:left="709" w:right="709"/>
        <w:jc w:val="both"/>
        <w:rPr>
          <w:rFonts w:ascii="Verdana" w:eastAsia="Century Gothic" w:hAnsi="Verdana" w:cs="Arial"/>
          <w:sz w:val="20"/>
          <w:szCs w:val="20"/>
        </w:rPr>
      </w:pPr>
      <w:r w:rsidRPr="00942EA0">
        <w:rPr>
          <w:rFonts w:ascii="Verdana" w:eastAsia="Century Gothic" w:hAnsi="Verdana" w:cs="Arial"/>
          <w:sz w:val="20"/>
          <w:szCs w:val="20"/>
          <w:lang w:val="es-ES"/>
        </w:rPr>
        <w:t xml:space="preserve">“[…] </w:t>
      </w:r>
      <w:r w:rsidR="005025AD" w:rsidRPr="00942EA0">
        <w:rPr>
          <w:rFonts w:ascii="Verdana" w:eastAsia="Century Gothic" w:hAnsi="Verdana" w:cs="Arial"/>
          <w:sz w:val="20"/>
          <w:szCs w:val="20"/>
        </w:rPr>
        <w:t xml:space="preserve">Petición 1: ¿El contratista tiene el derecho de solicitar el pago durante el periodo de suspensión por los servicios prestados antes de la suspensión? </w:t>
      </w:r>
    </w:p>
    <w:p w14:paraId="4FD3651F" w14:textId="77777777" w:rsidR="005025AD" w:rsidRPr="00942EA0" w:rsidRDefault="005025AD" w:rsidP="005025AD">
      <w:pPr>
        <w:spacing w:after="0" w:line="240" w:lineRule="auto"/>
        <w:ind w:left="709" w:right="709"/>
        <w:jc w:val="both"/>
        <w:rPr>
          <w:rFonts w:ascii="Verdana" w:eastAsia="Century Gothic" w:hAnsi="Verdana" w:cs="Arial"/>
          <w:sz w:val="20"/>
          <w:szCs w:val="20"/>
        </w:rPr>
      </w:pPr>
    </w:p>
    <w:p w14:paraId="24079927" w14:textId="77777777" w:rsidR="005025AD" w:rsidRPr="00942EA0" w:rsidRDefault="005025AD" w:rsidP="005025AD">
      <w:pPr>
        <w:spacing w:after="0" w:line="240" w:lineRule="auto"/>
        <w:ind w:left="709" w:right="709"/>
        <w:jc w:val="both"/>
        <w:rPr>
          <w:rFonts w:ascii="Verdana" w:eastAsia="Century Gothic" w:hAnsi="Verdana" w:cs="Arial"/>
          <w:sz w:val="20"/>
          <w:szCs w:val="20"/>
        </w:rPr>
      </w:pPr>
      <w:r w:rsidRPr="00942EA0">
        <w:rPr>
          <w:rFonts w:ascii="Verdana" w:eastAsia="Century Gothic" w:hAnsi="Verdana" w:cs="Arial"/>
          <w:sz w:val="20"/>
          <w:szCs w:val="20"/>
        </w:rPr>
        <w:t xml:space="preserve">Petición 2: ¿Está prohibido tramitar por parte de la entidad pagos a contratistas durante la suspensión contractual por servicios prestados antes de la suspensión? </w:t>
      </w:r>
    </w:p>
    <w:p w14:paraId="40AF11C0" w14:textId="77777777" w:rsidR="005025AD" w:rsidRPr="00942EA0" w:rsidRDefault="005025AD" w:rsidP="005025AD">
      <w:pPr>
        <w:spacing w:after="0" w:line="240" w:lineRule="auto"/>
        <w:ind w:left="709" w:right="709"/>
        <w:jc w:val="both"/>
        <w:rPr>
          <w:rFonts w:ascii="Verdana" w:eastAsia="Century Gothic" w:hAnsi="Verdana" w:cs="Arial"/>
          <w:sz w:val="20"/>
          <w:szCs w:val="20"/>
        </w:rPr>
      </w:pPr>
    </w:p>
    <w:p w14:paraId="5C036F60" w14:textId="77777777" w:rsidR="005025AD" w:rsidRPr="00942EA0" w:rsidRDefault="005025AD" w:rsidP="005025AD">
      <w:pPr>
        <w:spacing w:after="0" w:line="240" w:lineRule="auto"/>
        <w:ind w:left="709" w:right="709"/>
        <w:jc w:val="both"/>
        <w:rPr>
          <w:rFonts w:ascii="Verdana" w:eastAsia="Century Gothic" w:hAnsi="Verdana" w:cs="Arial"/>
          <w:sz w:val="20"/>
          <w:szCs w:val="20"/>
        </w:rPr>
      </w:pPr>
      <w:r w:rsidRPr="00942EA0">
        <w:rPr>
          <w:rFonts w:ascii="Verdana" w:eastAsia="Century Gothic" w:hAnsi="Verdana" w:cs="Arial"/>
          <w:sz w:val="20"/>
          <w:szCs w:val="20"/>
        </w:rPr>
        <w:lastRenderedPageBreak/>
        <w:t xml:space="preserve">Petición 3: ¿Los funcionarios públicos incurrirían en alguna falta disciplinaria si se procede con el trámite del pago por servicios prestados antes de la suspensión durante la suspensión? </w:t>
      </w:r>
    </w:p>
    <w:p w14:paraId="192C9F0D" w14:textId="77777777" w:rsidR="005025AD" w:rsidRPr="00942EA0" w:rsidRDefault="005025AD" w:rsidP="005025AD">
      <w:pPr>
        <w:spacing w:after="0" w:line="240" w:lineRule="auto"/>
        <w:ind w:left="709" w:right="709"/>
        <w:jc w:val="both"/>
        <w:rPr>
          <w:rFonts w:ascii="Verdana" w:eastAsia="Century Gothic" w:hAnsi="Verdana" w:cs="Arial"/>
          <w:sz w:val="20"/>
          <w:szCs w:val="20"/>
        </w:rPr>
      </w:pPr>
    </w:p>
    <w:p w14:paraId="40A9D8AE" w14:textId="4E5CB06D" w:rsidR="006F015F" w:rsidRPr="00942EA0" w:rsidRDefault="005025AD" w:rsidP="005025AD">
      <w:pPr>
        <w:spacing w:after="0" w:line="240" w:lineRule="auto"/>
        <w:ind w:left="709" w:right="709"/>
        <w:jc w:val="both"/>
        <w:rPr>
          <w:rFonts w:ascii="Verdana" w:eastAsia="Century Gothic" w:hAnsi="Verdana" w:cs="Arial"/>
          <w:sz w:val="20"/>
          <w:szCs w:val="20"/>
        </w:rPr>
      </w:pPr>
      <w:r w:rsidRPr="00942EA0">
        <w:rPr>
          <w:rFonts w:ascii="Verdana" w:eastAsia="Century Gothic" w:hAnsi="Verdana" w:cs="Arial"/>
          <w:sz w:val="20"/>
          <w:szCs w:val="20"/>
        </w:rPr>
        <w:t xml:space="preserve">Petición 4: ¿El contratista y/o los funcionarios estarían presuntamente actuando en contravía de los lineamientos normativos enmarcados en la Ley 80 de 1993 por tramitar el pago por servicios prestados antes de la suspensión durante la suspensión? </w:t>
      </w:r>
      <w:r w:rsidRPr="00942EA0">
        <w:rPr>
          <w:rFonts w:ascii="Verdana" w:eastAsia="Century Gothic" w:hAnsi="Verdana" w:cs="Arial"/>
          <w:sz w:val="20"/>
          <w:szCs w:val="20"/>
          <w:lang w:val="es-ES"/>
        </w:rPr>
        <w:t>[…]”</w:t>
      </w:r>
    </w:p>
    <w:p w14:paraId="722BDE8F" w14:textId="77777777" w:rsidR="005025AD" w:rsidRPr="00942EA0" w:rsidRDefault="005025AD" w:rsidP="005025AD">
      <w:pPr>
        <w:spacing w:after="0" w:line="240" w:lineRule="auto"/>
        <w:ind w:left="709" w:right="709"/>
        <w:jc w:val="both"/>
        <w:rPr>
          <w:rFonts w:ascii="Verdana" w:eastAsia="Century Gothic" w:hAnsi="Verdana" w:cs="Arial"/>
          <w:sz w:val="20"/>
          <w:szCs w:val="20"/>
        </w:rPr>
      </w:pPr>
    </w:p>
    <w:p w14:paraId="4EEA5910" w14:textId="77777777" w:rsidR="006F015F" w:rsidRPr="00942EA0" w:rsidRDefault="006F015F" w:rsidP="006F015F">
      <w:pPr>
        <w:spacing w:after="120" w:line="276" w:lineRule="auto"/>
        <w:ind w:firstLine="709"/>
        <w:jc w:val="both"/>
        <w:rPr>
          <w:rFonts w:ascii="Verdana" w:eastAsia="Calibri" w:hAnsi="Verdana" w:cs="Arial"/>
          <w:lang w:val="es-ES_tradnl" w:eastAsia="es-ES_tradnl"/>
        </w:rPr>
      </w:pPr>
      <w:r w:rsidRPr="00942EA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F678A17" w14:textId="77777777" w:rsidR="006F015F" w:rsidRPr="00942EA0" w:rsidRDefault="006F015F" w:rsidP="006F015F">
      <w:pPr>
        <w:spacing w:after="0" w:line="276" w:lineRule="auto"/>
        <w:ind w:firstLine="709"/>
        <w:jc w:val="both"/>
        <w:rPr>
          <w:rFonts w:ascii="Verdana" w:eastAsia="Calibri" w:hAnsi="Verdana" w:cs="Arial"/>
          <w:lang w:val="es-ES" w:eastAsia="es-ES"/>
        </w:rPr>
      </w:pPr>
      <w:r w:rsidRPr="00942EA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2294E94" w14:textId="77777777" w:rsidR="006F015F" w:rsidRPr="00942EA0" w:rsidRDefault="006F015F" w:rsidP="006F015F">
      <w:pPr>
        <w:spacing w:after="0" w:line="276" w:lineRule="auto"/>
        <w:jc w:val="both"/>
        <w:rPr>
          <w:rStyle w:val="Hipervnculo"/>
          <w:rFonts w:ascii="Verdana" w:hAnsi="Verdana"/>
          <w:color w:val="auto"/>
          <w:u w:val="none"/>
          <w:lang w:val="es-ES"/>
        </w:rPr>
      </w:pPr>
    </w:p>
    <w:p w14:paraId="55B83C69" w14:textId="77777777" w:rsidR="006F015F" w:rsidRPr="00942EA0" w:rsidRDefault="006F015F" w:rsidP="006F015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942EA0">
        <w:rPr>
          <w:rFonts w:ascii="Verdana" w:eastAsia="Century Gothic" w:hAnsi="Verdana" w:cs="Arial"/>
          <w:b/>
          <w:bCs/>
        </w:rPr>
        <w:t>Problemas planteados:</w:t>
      </w:r>
    </w:p>
    <w:p w14:paraId="17F26E46" w14:textId="77777777" w:rsidR="006F015F" w:rsidRPr="00942EA0" w:rsidRDefault="006F015F" w:rsidP="006F015F">
      <w:pPr>
        <w:spacing w:after="0" w:line="276" w:lineRule="auto"/>
        <w:jc w:val="both"/>
        <w:rPr>
          <w:rStyle w:val="Hipervnculo"/>
          <w:rFonts w:ascii="Verdana" w:hAnsi="Verdana" w:cs="Arial"/>
          <w:color w:val="auto"/>
        </w:rPr>
      </w:pPr>
    </w:p>
    <w:p w14:paraId="4A7D3D02" w14:textId="66D2A353" w:rsidR="006F015F" w:rsidRPr="00942EA0" w:rsidRDefault="006F015F" w:rsidP="006F015F">
      <w:pPr>
        <w:spacing w:after="0" w:line="276" w:lineRule="auto"/>
        <w:jc w:val="both"/>
        <w:rPr>
          <w:rFonts w:ascii="Verdana" w:eastAsia="Century Gothic" w:hAnsi="Verdana" w:cs="Century Gothic"/>
        </w:rPr>
      </w:pPr>
      <w:r w:rsidRPr="00942EA0">
        <w:rPr>
          <w:rFonts w:ascii="Verdana" w:eastAsia="Calibri" w:hAnsi="Verdana" w:cs="Times New Roman"/>
        </w:rPr>
        <w:t xml:space="preserve">De acuerdo con el contenido de su solicitud, la Agencia procede a resolver los siguientes problemas jurídicos: </w:t>
      </w:r>
      <w:r w:rsidRPr="00942EA0">
        <w:rPr>
          <w:rFonts w:ascii="Verdana" w:eastAsia="Century Gothic" w:hAnsi="Verdana" w:cs="Century Gothic"/>
        </w:rPr>
        <w:t xml:space="preserve">i) </w:t>
      </w:r>
      <w:r w:rsidR="003E59D1" w:rsidRPr="00942EA0">
        <w:rPr>
          <w:rFonts w:ascii="Verdana" w:eastAsia="Century Gothic" w:hAnsi="Verdana" w:cs="Century Gothic"/>
        </w:rPr>
        <w:t xml:space="preserve">¿Durante la suspensión de un contrato, el contratista puede solicitar el pago correspondiente a los periodos efectivamente ejecutados con anterioridad?; </w:t>
      </w:r>
      <w:proofErr w:type="spellStart"/>
      <w:r w:rsidR="003E59D1" w:rsidRPr="00942EA0">
        <w:rPr>
          <w:rFonts w:ascii="Verdana" w:eastAsia="Century Gothic" w:hAnsi="Verdana" w:cs="Century Gothic"/>
        </w:rPr>
        <w:t>ii</w:t>
      </w:r>
      <w:proofErr w:type="spellEnd"/>
      <w:r w:rsidR="003E59D1" w:rsidRPr="00942EA0">
        <w:rPr>
          <w:rFonts w:ascii="Verdana" w:eastAsia="Century Gothic" w:hAnsi="Verdana" w:cs="Century Gothic"/>
        </w:rPr>
        <w:t xml:space="preserve">) </w:t>
      </w:r>
      <w:r w:rsidR="00F7157D" w:rsidRPr="00942EA0">
        <w:rPr>
          <w:rFonts w:ascii="Verdana" w:eastAsia="Century Gothic" w:hAnsi="Verdana" w:cs="Century Gothic"/>
        </w:rPr>
        <w:t>¿La autorización de honorarios sobre periodos debidamente ejecutados configura una eventual falta disciplinaria de la supervisión, en caso de aprobarse el pago dentro del periodo de suspensión contractual?</w:t>
      </w:r>
    </w:p>
    <w:p w14:paraId="419A5DCD" w14:textId="77777777" w:rsidR="006F015F" w:rsidRPr="00942EA0" w:rsidRDefault="006F015F" w:rsidP="006F015F">
      <w:pPr>
        <w:spacing w:after="0" w:line="276" w:lineRule="auto"/>
        <w:jc w:val="both"/>
        <w:rPr>
          <w:rStyle w:val="Hipervnculo"/>
          <w:rFonts w:ascii="Verdana" w:hAnsi="Verdana" w:cs="Arial"/>
          <w:color w:val="auto"/>
          <w:highlight w:val="cyan"/>
        </w:rPr>
      </w:pPr>
    </w:p>
    <w:p w14:paraId="5A0D66C6" w14:textId="77777777" w:rsidR="006F015F" w:rsidRPr="00942EA0" w:rsidRDefault="006F015F" w:rsidP="006F015F">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942EA0">
        <w:rPr>
          <w:rFonts w:ascii="Verdana" w:eastAsia="Arial" w:hAnsi="Verdana" w:cs="Arial"/>
          <w:b/>
          <w:bCs/>
        </w:rPr>
        <w:t>Respuesta:</w:t>
      </w:r>
    </w:p>
    <w:p w14:paraId="4F2CA9F2" w14:textId="77777777" w:rsidR="006F015F" w:rsidRPr="00942EA0" w:rsidRDefault="006F015F" w:rsidP="006F015F">
      <w:pPr>
        <w:spacing w:after="0" w:line="240" w:lineRule="auto"/>
        <w:jc w:val="both"/>
        <w:rPr>
          <w:rFonts w:ascii="Verdana" w:eastAsia="Verdana" w:hAnsi="Verdana" w:cs="Verdana"/>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015F" w:rsidRPr="00942EA0" w14:paraId="2D56943D" w14:textId="77777777" w:rsidTr="00D93A23">
        <w:tc>
          <w:tcPr>
            <w:tcW w:w="8828" w:type="dxa"/>
          </w:tcPr>
          <w:p w14:paraId="7F8097F4" w14:textId="77777777" w:rsidR="006F015F" w:rsidRPr="00942EA0" w:rsidRDefault="006F015F" w:rsidP="00D93A23">
            <w:pPr>
              <w:spacing w:after="120" w:line="276" w:lineRule="auto"/>
              <w:jc w:val="both"/>
              <w:rPr>
                <w:rFonts w:ascii="Verdana" w:hAnsi="Verdana" w:cs="Arial"/>
              </w:rPr>
            </w:pPr>
            <w:bookmarkStart w:id="1" w:name="_Hlk171067516"/>
            <w:r w:rsidRPr="00942EA0">
              <w:rPr>
                <w:rFonts w:ascii="Verdana" w:hAnsi="Verdana" w:cs="Arial"/>
              </w:rPr>
              <w:t>En respuesta a los problemas antes planteados esta Subdirección manifiesta lo siguiente:</w:t>
            </w:r>
          </w:p>
          <w:p w14:paraId="26A93D67" w14:textId="0F06BBF0" w:rsidR="0071437C" w:rsidRPr="00942EA0" w:rsidRDefault="006F015F" w:rsidP="007A304A">
            <w:pPr>
              <w:spacing w:after="120" w:line="276" w:lineRule="auto"/>
              <w:jc w:val="both"/>
              <w:rPr>
                <w:rFonts w:ascii="Verdana" w:hAnsi="Verdana"/>
              </w:rPr>
            </w:pPr>
            <w:r w:rsidRPr="00942EA0">
              <w:rPr>
                <w:rFonts w:ascii="Verdana" w:hAnsi="Verdana"/>
              </w:rPr>
              <w:t xml:space="preserve">i) </w:t>
            </w:r>
            <w:r w:rsidR="00070ADD" w:rsidRPr="00942EA0">
              <w:rPr>
                <w:rFonts w:ascii="Verdana" w:hAnsi="Verdana"/>
              </w:rPr>
              <w:t xml:space="preserve">En </w:t>
            </w:r>
            <w:r w:rsidR="00070ADD" w:rsidRPr="00942EA0">
              <w:rPr>
                <w:rFonts w:ascii="Verdana" w:hAnsi="Verdana"/>
                <w:i/>
                <w:iCs/>
              </w:rPr>
              <w:t>primer lugar</w:t>
            </w:r>
            <w:r w:rsidR="00070ADD" w:rsidRPr="00942EA0">
              <w:rPr>
                <w:rFonts w:ascii="Verdana" w:hAnsi="Verdana"/>
              </w:rPr>
              <w:t xml:space="preserve"> debe indicarse que la suspensión del contrato estatal es una figura excepcional mediante la cual las partes acuerdan la paralización temporal de la ejecución del objeto contractual, sin que ello implique su terminación ni la extinción de las obligaciones ya causadas. Su efecto jurídico principal consiste en interrumpir el plazo de ejecución y, en consecuencia, suspender la exigibilidad de nuevas prestaciones y contraprestaciones derivadas de la ejecución futura del contrato. No obstante, la suspensión no opera con efectos retroactivos y, por tanto, no afecta las obligaciones que ya se causaron, se ejecutaron y fueron recibidas a satisfacción con anterioridad a su suscripción.</w:t>
            </w:r>
          </w:p>
          <w:p w14:paraId="3F077D8A" w14:textId="6751DCC7" w:rsidR="0071437C" w:rsidRPr="00942EA0" w:rsidRDefault="007A304A" w:rsidP="00CF1D90">
            <w:pPr>
              <w:spacing w:after="240" w:line="276" w:lineRule="auto"/>
              <w:ind w:firstLine="708"/>
              <w:jc w:val="both"/>
              <w:rPr>
                <w:rFonts w:ascii="Verdana" w:hAnsi="Verdana"/>
              </w:rPr>
            </w:pPr>
            <w:r w:rsidRPr="00942EA0">
              <w:rPr>
                <w:rFonts w:ascii="Verdana" w:hAnsi="Verdana"/>
              </w:rPr>
              <w:t xml:space="preserve">En ese orden, el contratista conserva el derecho a solicitar y obtener el pago de los servicios efectivamente prestados y recibidos a satisfacción con anterioridad a la fecha de suspensión, en tanto se trata de obligaciones ya causadas y exigibles, ajenas al período suspendido. Este derecho encuentra sustento en el principio de equilibrio económico del contrato (artículo 27 de la Ley 80 de 1993) y en el deber correlativo de la entidad de </w:t>
            </w:r>
            <w:r w:rsidR="00CF1D90" w:rsidRPr="00942EA0">
              <w:rPr>
                <w:rFonts w:ascii="Verdana" w:hAnsi="Verdana"/>
              </w:rPr>
              <w:t>cumplir</w:t>
            </w:r>
            <w:r w:rsidRPr="00942EA0">
              <w:rPr>
                <w:rFonts w:ascii="Verdana" w:hAnsi="Verdana"/>
              </w:rPr>
              <w:t xml:space="preserve"> las contraprestaciones derivadas de prestaciones ya cumplidas, con independencia de que el plazo de ejecución se encuentre suspendido.</w:t>
            </w:r>
          </w:p>
          <w:p w14:paraId="5C4630B3" w14:textId="609A4408" w:rsidR="00423837" w:rsidRPr="00942EA0" w:rsidRDefault="00FF5F25" w:rsidP="00CF1D90">
            <w:pPr>
              <w:spacing w:after="240" w:line="276" w:lineRule="auto"/>
              <w:ind w:firstLine="708"/>
              <w:jc w:val="both"/>
              <w:rPr>
                <w:rFonts w:ascii="Verdana" w:hAnsi="Verdana"/>
              </w:rPr>
            </w:pPr>
            <w:r w:rsidRPr="00942EA0">
              <w:rPr>
                <w:rFonts w:ascii="Verdana" w:hAnsi="Verdana"/>
              </w:rPr>
              <w:t>En síntesis</w:t>
            </w:r>
            <w:r w:rsidR="00423837" w:rsidRPr="00942EA0">
              <w:rPr>
                <w:rFonts w:ascii="Verdana" w:hAnsi="Verdana"/>
              </w:rPr>
              <w:t>,</w:t>
            </w:r>
            <w:r w:rsidRPr="00942EA0">
              <w:rPr>
                <w:rFonts w:ascii="Verdana" w:hAnsi="Verdana"/>
              </w:rPr>
              <w:t xml:space="preserve"> no existe prohibición para que el supervisor autorice el pago de los servicios efectivamente prestados por el contratista. La suspensión impide la ejecución de nuevas actividades y la </w:t>
            </w:r>
            <w:proofErr w:type="spellStart"/>
            <w:r w:rsidRPr="00942EA0">
              <w:rPr>
                <w:rFonts w:ascii="Verdana" w:hAnsi="Verdana"/>
              </w:rPr>
              <w:t>causación</w:t>
            </w:r>
            <w:proofErr w:type="spellEnd"/>
            <w:r w:rsidRPr="00942EA0">
              <w:rPr>
                <w:rFonts w:ascii="Verdana" w:hAnsi="Verdana"/>
              </w:rPr>
              <w:t xml:space="preserve"> de obligaciones adicionales durante el período suspendido, pero no paraliza los trámites administrativos, presupuestales y financieros orientados al reconocimiento de obligaciones causadas con anterioridad. El acta de suspensión afecta el plazo de ejecución del objeto contractual, mas no la exigibilidad de los pagos ya generados. Por el contrario, la omisión injustificada de dichos trámites podría generar mora y, con ella, la </w:t>
            </w:r>
            <w:proofErr w:type="spellStart"/>
            <w:r w:rsidRPr="00942EA0">
              <w:rPr>
                <w:rFonts w:ascii="Verdana" w:hAnsi="Verdana"/>
              </w:rPr>
              <w:t>causación</w:t>
            </w:r>
            <w:proofErr w:type="spellEnd"/>
            <w:r w:rsidRPr="00942EA0">
              <w:rPr>
                <w:rFonts w:ascii="Verdana" w:hAnsi="Verdana"/>
              </w:rPr>
              <w:t xml:space="preserve"> de intereses moratorios a cargo de la entidad.</w:t>
            </w:r>
            <w:r w:rsidR="00423837" w:rsidRPr="00942EA0">
              <w:rPr>
                <w:rFonts w:ascii="Verdana" w:hAnsi="Verdana"/>
              </w:rPr>
              <w:t xml:space="preserve"> </w:t>
            </w:r>
          </w:p>
          <w:p w14:paraId="6A13A815" w14:textId="63BF64A0" w:rsidR="00CF1D90" w:rsidRPr="00942EA0" w:rsidRDefault="00CF1D90" w:rsidP="00CF1D90">
            <w:pPr>
              <w:spacing w:after="160" w:line="276" w:lineRule="auto"/>
              <w:jc w:val="both"/>
              <w:rPr>
                <w:rFonts w:ascii="Verdana" w:hAnsi="Verdana"/>
              </w:rPr>
            </w:pPr>
            <w:proofErr w:type="spellStart"/>
            <w:r w:rsidRPr="00942EA0">
              <w:rPr>
                <w:rFonts w:ascii="Verdana" w:hAnsi="Verdana"/>
              </w:rPr>
              <w:lastRenderedPageBreak/>
              <w:t>ii</w:t>
            </w:r>
            <w:proofErr w:type="spellEnd"/>
            <w:r w:rsidRPr="00942EA0">
              <w:rPr>
                <w:rFonts w:ascii="Verdana" w:hAnsi="Verdana"/>
              </w:rPr>
              <w:t xml:space="preserve">) </w:t>
            </w:r>
            <w:r w:rsidR="001819BB" w:rsidRPr="00942EA0">
              <w:rPr>
                <w:rFonts w:ascii="Verdana" w:hAnsi="Verdana"/>
              </w:rPr>
              <w:t xml:space="preserve">Frente al segundo problema planteado, resulta pertinente </w:t>
            </w:r>
            <w:r w:rsidR="00C14927" w:rsidRPr="00942EA0">
              <w:rPr>
                <w:rFonts w:ascii="Verdana" w:hAnsi="Verdana"/>
              </w:rPr>
              <w:t xml:space="preserve">indicar que </w:t>
            </w:r>
            <w:r w:rsidR="002A167A" w:rsidRPr="00942EA0">
              <w:rPr>
                <w:rFonts w:ascii="Verdana" w:hAnsi="Verdana"/>
              </w:rPr>
              <w:t xml:space="preserve">no se </w:t>
            </w:r>
            <w:r w:rsidR="000E3E5B" w:rsidRPr="00942EA0">
              <w:rPr>
                <w:rFonts w:ascii="Verdana" w:hAnsi="Verdana"/>
              </w:rPr>
              <w:t>configuraría</w:t>
            </w:r>
            <w:r w:rsidR="002A167A" w:rsidRPr="00942EA0">
              <w:rPr>
                <w:rFonts w:ascii="Verdana" w:hAnsi="Verdana"/>
              </w:rPr>
              <w:t xml:space="preserve"> una presunta falta disciplinaria</w:t>
            </w:r>
            <w:r w:rsidR="000E3E5B" w:rsidRPr="00942EA0">
              <w:rPr>
                <w:rFonts w:ascii="Verdana" w:hAnsi="Verdana"/>
              </w:rPr>
              <w:t xml:space="preserve"> al supervisor que autorice el pago</w:t>
            </w:r>
            <w:r w:rsidR="002A167A" w:rsidRPr="00942EA0">
              <w:rPr>
                <w:rFonts w:ascii="Verdana" w:hAnsi="Verdana"/>
              </w:rPr>
              <w:t xml:space="preserve"> siempre que </w:t>
            </w:r>
            <w:r w:rsidR="000E3E5B" w:rsidRPr="00942EA0">
              <w:rPr>
                <w:rFonts w:ascii="Verdana" w:hAnsi="Verdana"/>
              </w:rPr>
              <w:t>este</w:t>
            </w:r>
            <w:r w:rsidR="002A167A" w:rsidRPr="00942EA0">
              <w:rPr>
                <w:rFonts w:ascii="Verdana" w:hAnsi="Verdana"/>
              </w:rPr>
              <w:t xml:space="preserve"> corresponda a servicios efectivamente ejecutados y recibidos a satisfacción antes de la suspensión, con el respectivo soporte de supervisión, y que se surtan los trámites presupuestales y contables correspondientes conforme a los procedimientos internos de la entidad. En sentido contrario, es la omisión o dilación injustificada en el trámite de un pago debido</w:t>
            </w:r>
            <w:r w:rsidR="006D0F18">
              <w:rPr>
                <w:rFonts w:ascii="Verdana" w:hAnsi="Verdana"/>
              </w:rPr>
              <w:t xml:space="preserve">, </w:t>
            </w:r>
            <w:r w:rsidR="002A167A" w:rsidRPr="00942EA0">
              <w:rPr>
                <w:rFonts w:ascii="Verdana" w:hAnsi="Verdana"/>
              </w:rPr>
              <w:t>no su procesamiento</w:t>
            </w:r>
            <w:r w:rsidR="006D0F18">
              <w:rPr>
                <w:rFonts w:ascii="Verdana" w:hAnsi="Verdana"/>
              </w:rPr>
              <w:t xml:space="preserve">, </w:t>
            </w:r>
            <w:r w:rsidR="002A167A" w:rsidRPr="00942EA0">
              <w:rPr>
                <w:rFonts w:ascii="Verdana" w:hAnsi="Verdana"/>
              </w:rPr>
              <w:t>la conducta que podría dar lugar a un eventual reproche disciplinario, en la medida en que comprometiera el cumplimiento de los deberes funcionales del servidor público.</w:t>
            </w:r>
          </w:p>
          <w:p w14:paraId="6CC0B842" w14:textId="77777777" w:rsidR="006C361E" w:rsidRPr="00942EA0" w:rsidRDefault="00D000A9" w:rsidP="006C361E">
            <w:pPr>
              <w:spacing w:after="160" w:line="276" w:lineRule="auto"/>
              <w:ind w:firstLine="708"/>
              <w:jc w:val="both"/>
              <w:rPr>
                <w:rFonts w:ascii="Verdana" w:hAnsi="Verdana"/>
              </w:rPr>
            </w:pPr>
            <w:r w:rsidRPr="00942EA0">
              <w:rPr>
                <w:rFonts w:ascii="Verdana" w:hAnsi="Verdana"/>
              </w:rPr>
              <w:t>En conclusión, el trámite del pago por servicios prestados antes de la suspensión resulta consecuente con los principios que rigen la contratación estatal, particularmente el de responsabilidad y el de economía, y con el mandato de mantener la ecuación contractual (artículo 27, Ley 80 de 1993), así como con los derechos del contratista consagrados en el artículo 5 de dicho estatuto. Es, en todo caso, la abstención de pagar lo efectivamente ejecutado la que podría considerarse contraria a dichos lineamientos normativos, al configurar un eventual incumplimiento contractual imputable a la entidad.</w:t>
            </w:r>
          </w:p>
          <w:p w14:paraId="228A43C5" w14:textId="300204C5" w:rsidR="0071437C" w:rsidRPr="00942EA0" w:rsidRDefault="006C361E" w:rsidP="006C361E">
            <w:pPr>
              <w:spacing w:after="160" w:line="276" w:lineRule="auto"/>
              <w:ind w:firstLine="708"/>
              <w:jc w:val="both"/>
              <w:rPr>
                <w:rFonts w:ascii="Verdana" w:hAnsi="Verdana"/>
              </w:rPr>
            </w:pPr>
            <w:r w:rsidRPr="00942EA0">
              <w:rPr>
                <w:rFonts w:ascii="Verdana" w:eastAsia="Arial" w:hAnsi="Verdana" w:cs="Arial"/>
              </w:rPr>
              <w:t xml:space="preserve">Al margen de lo expuesto,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 Además es </w:t>
            </w:r>
            <w:r w:rsidRPr="00942EA0">
              <w:rPr>
                <w:rFonts w:ascii="Verdana" w:eastAsia="Calibri" w:hAnsi="Verdana" w:cs="Arial"/>
                <w:color w:val="000000"/>
              </w:rPr>
              <w:t>importante resaltar que si se considera que el acto jurídico está viciado de</w:t>
            </w:r>
            <w:r w:rsidR="0076057C" w:rsidRPr="00942EA0">
              <w:rPr>
                <w:rFonts w:ascii="Verdana" w:eastAsia="Calibri" w:hAnsi="Verdana" w:cs="Arial"/>
                <w:color w:val="000000"/>
              </w:rPr>
              <w:t xml:space="preserve"> nulidad por incompetencia, la declaratoria de esa nulidad corresponde al juez del contrato.</w:t>
            </w:r>
          </w:p>
        </w:tc>
      </w:tr>
      <w:bookmarkEnd w:id="1"/>
    </w:tbl>
    <w:p w14:paraId="6F912692" w14:textId="77777777" w:rsidR="00512C72" w:rsidRPr="00942EA0" w:rsidRDefault="00512C72" w:rsidP="006F015F">
      <w:pPr>
        <w:widowControl w:val="0"/>
        <w:autoSpaceDE w:val="0"/>
        <w:autoSpaceDN w:val="0"/>
        <w:spacing w:after="0" w:line="276" w:lineRule="auto"/>
        <w:outlineLvl w:val="0"/>
        <w:rPr>
          <w:rFonts w:ascii="Verdana" w:eastAsia="Arial" w:hAnsi="Verdana" w:cs="Arial"/>
          <w:b/>
          <w:bCs/>
          <w:highlight w:val="cyan"/>
        </w:rPr>
      </w:pPr>
    </w:p>
    <w:p w14:paraId="25BFEE64" w14:textId="77777777" w:rsidR="006F015F" w:rsidRPr="00942EA0" w:rsidRDefault="006F015F" w:rsidP="006F015F">
      <w:pPr>
        <w:widowControl w:val="0"/>
        <w:autoSpaceDE w:val="0"/>
        <w:autoSpaceDN w:val="0"/>
        <w:spacing w:after="0" w:line="276" w:lineRule="auto"/>
        <w:ind w:left="360" w:hanging="360"/>
        <w:outlineLvl w:val="0"/>
        <w:rPr>
          <w:rFonts w:ascii="Verdana" w:eastAsia="Arial" w:hAnsi="Verdana" w:cs="Arial"/>
          <w:b/>
          <w:bCs/>
          <w:lang w:val="es-ES"/>
        </w:rPr>
      </w:pPr>
      <w:r w:rsidRPr="00942EA0">
        <w:rPr>
          <w:rFonts w:ascii="Verdana" w:eastAsia="Arial" w:hAnsi="Verdana" w:cs="Arial"/>
          <w:b/>
          <w:bCs/>
          <w:lang w:val="es-ES"/>
        </w:rPr>
        <w:t>3. Razones de la respuesta:</w:t>
      </w:r>
    </w:p>
    <w:p w14:paraId="4F292F3F" w14:textId="77777777" w:rsidR="006F015F" w:rsidRPr="00942EA0" w:rsidRDefault="006F015F" w:rsidP="006F015F">
      <w:pPr>
        <w:spacing w:after="0" w:line="276" w:lineRule="auto"/>
        <w:jc w:val="both"/>
        <w:rPr>
          <w:rFonts w:ascii="Verdana" w:eastAsia="Calibri" w:hAnsi="Verdana" w:cs="Arial"/>
          <w:lang w:val="es-ES"/>
        </w:rPr>
      </w:pPr>
    </w:p>
    <w:p w14:paraId="7A065136" w14:textId="77777777" w:rsidR="006F015F" w:rsidRPr="00942EA0" w:rsidRDefault="006F015F" w:rsidP="006F015F">
      <w:pPr>
        <w:spacing w:after="0" w:line="276" w:lineRule="auto"/>
        <w:jc w:val="both"/>
        <w:rPr>
          <w:rFonts w:ascii="Verdana" w:eastAsia="Calibri" w:hAnsi="Verdana" w:cs="Arial"/>
          <w:lang w:val="es-ES"/>
        </w:rPr>
      </w:pPr>
      <w:r w:rsidRPr="00942EA0">
        <w:rPr>
          <w:rFonts w:ascii="Verdana" w:eastAsia="Calibri" w:hAnsi="Verdana" w:cs="Arial"/>
          <w:lang w:val="es-ES"/>
        </w:rPr>
        <w:t xml:space="preserve">La respuesta anterior se sustenta en las siguientes consideraciones: </w:t>
      </w:r>
    </w:p>
    <w:p w14:paraId="70D74E5F" w14:textId="77777777" w:rsidR="002A0DD0" w:rsidRPr="00942EA0" w:rsidRDefault="002A0DD0" w:rsidP="30821638">
      <w:pPr>
        <w:spacing w:after="0" w:line="240" w:lineRule="auto"/>
        <w:jc w:val="both"/>
        <w:rPr>
          <w:rFonts w:ascii="Verdana" w:eastAsia="Verdana" w:hAnsi="Verdana" w:cs="Verdana"/>
          <w:lang w:val="es-ES"/>
        </w:rPr>
      </w:pPr>
    </w:p>
    <w:p w14:paraId="35738E73" w14:textId="32204DD7" w:rsidR="00512C72" w:rsidRPr="00942EA0" w:rsidRDefault="00F92691" w:rsidP="00512C72">
      <w:pPr>
        <w:spacing w:after="120" w:line="276" w:lineRule="auto"/>
        <w:jc w:val="both"/>
        <w:rPr>
          <w:rFonts w:ascii="Verdana" w:eastAsia="Arial" w:hAnsi="Verdana" w:cs="Arial"/>
          <w:color w:val="000000"/>
        </w:rPr>
      </w:pPr>
      <w:r w:rsidRPr="00942EA0">
        <w:rPr>
          <w:rFonts w:ascii="Verdana" w:eastAsia="Arial" w:hAnsi="Verdana" w:cs="Arial"/>
          <w:color w:val="000000"/>
        </w:rPr>
        <w:lastRenderedPageBreak/>
        <w:t xml:space="preserve">i. </w:t>
      </w:r>
      <w:r w:rsidR="00512C72" w:rsidRPr="00942EA0">
        <w:rPr>
          <w:rFonts w:ascii="Verdana" w:eastAsia="Arial" w:hAnsi="Verdana" w:cs="Arial"/>
          <w:color w:val="000000"/>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2D2CA5A0" w14:textId="77777777" w:rsidR="00512C72" w:rsidRPr="00942EA0" w:rsidRDefault="00512C72" w:rsidP="00512C72">
      <w:pPr>
        <w:spacing w:after="0" w:line="276" w:lineRule="auto"/>
        <w:ind w:firstLine="709"/>
        <w:jc w:val="both"/>
        <w:rPr>
          <w:rFonts w:ascii="Verdana" w:eastAsia="Arial" w:hAnsi="Verdana" w:cs="Arial"/>
          <w:color w:val="000000"/>
        </w:rPr>
      </w:pPr>
      <w:r w:rsidRPr="00942EA0">
        <w:rPr>
          <w:rFonts w:ascii="Verdana" w:eastAsia="Arial" w:hAnsi="Verdana" w:cs="Arial"/>
          <w:color w:val="000000"/>
        </w:rPr>
        <w:t xml:space="preserve">La celebración de dicho contrato debe efectuarse a través de la modalidad de contratación directa. Así lo dispone el artículo 2, numeral 4°, literal h) de la Ley 1150 de 2007, el cual señala que: </w:t>
      </w:r>
    </w:p>
    <w:p w14:paraId="24DAA86B" w14:textId="77777777" w:rsidR="00512C72" w:rsidRPr="00942EA0" w:rsidRDefault="00512C72" w:rsidP="00512C72">
      <w:pPr>
        <w:spacing w:after="0" w:line="276" w:lineRule="auto"/>
        <w:jc w:val="both"/>
        <w:rPr>
          <w:rFonts w:ascii="Verdana" w:eastAsia="Arial" w:hAnsi="Verdana" w:cs="Arial"/>
          <w:color w:val="000000"/>
        </w:rPr>
      </w:pPr>
    </w:p>
    <w:p w14:paraId="737BDAAC" w14:textId="77777777" w:rsidR="00512C72" w:rsidRPr="00942EA0" w:rsidRDefault="00512C72" w:rsidP="00512C72">
      <w:pPr>
        <w:spacing w:after="0" w:line="240" w:lineRule="auto"/>
        <w:ind w:left="709" w:right="709"/>
        <w:contextualSpacing/>
        <w:jc w:val="both"/>
        <w:rPr>
          <w:rFonts w:ascii="Verdana" w:eastAsia="Calibri" w:hAnsi="Verdana" w:cs="Arial"/>
          <w:color w:val="000000" w:themeColor="text1"/>
          <w:sz w:val="20"/>
          <w:szCs w:val="20"/>
          <w:lang w:val="es-MX"/>
        </w:rPr>
      </w:pPr>
      <w:r w:rsidRPr="00942EA0">
        <w:rPr>
          <w:rFonts w:ascii="Verdana" w:eastAsia="Yu Gothic UI Semibold" w:hAnsi="Verdana" w:cs="Arial"/>
          <w:iCs/>
          <w:sz w:val="20"/>
          <w:szCs w:val="20"/>
          <w:lang w:eastAsia="es-MX"/>
        </w:rPr>
        <w:t>“</w:t>
      </w:r>
      <w:r w:rsidRPr="00942EA0">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7180F576" w14:textId="77777777" w:rsidR="00512C72" w:rsidRPr="00942EA0" w:rsidRDefault="00512C72" w:rsidP="00512C72">
      <w:pPr>
        <w:spacing w:after="0" w:line="240" w:lineRule="auto"/>
        <w:ind w:left="709" w:right="709"/>
        <w:contextualSpacing/>
        <w:jc w:val="both"/>
        <w:rPr>
          <w:rFonts w:ascii="Verdana" w:eastAsia="Calibri" w:hAnsi="Verdana" w:cs="Arial"/>
          <w:color w:val="000000" w:themeColor="text1"/>
          <w:sz w:val="20"/>
          <w:szCs w:val="20"/>
          <w:lang w:val="es-MX"/>
        </w:rPr>
      </w:pPr>
      <w:r w:rsidRPr="00942EA0">
        <w:rPr>
          <w:rFonts w:ascii="Verdana" w:eastAsia="Calibri" w:hAnsi="Verdana" w:cs="Arial"/>
          <w:color w:val="000000" w:themeColor="text1"/>
          <w:sz w:val="20"/>
          <w:szCs w:val="20"/>
          <w:lang w:val="es-MX"/>
        </w:rPr>
        <w:t>[…]</w:t>
      </w:r>
    </w:p>
    <w:p w14:paraId="7B55AF2B" w14:textId="77777777" w:rsidR="00512C72" w:rsidRPr="00942EA0" w:rsidRDefault="00512C72" w:rsidP="00512C72">
      <w:pPr>
        <w:spacing w:after="0" w:line="240" w:lineRule="auto"/>
        <w:ind w:left="709" w:right="709"/>
        <w:contextualSpacing/>
        <w:jc w:val="both"/>
        <w:rPr>
          <w:rFonts w:ascii="Verdana" w:eastAsia="Calibri" w:hAnsi="Verdana" w:cs="Arial"/>
          <w:color w:val="000000" w:themeColor="text1"/>
          <w:sz w:val="20"/>
          <w:szCs w:val="20"/>
          <w:lang w:val="es-MX"/>
        </w:rPr>
      </w:pPr>
    </w:p>
    <w:p w14:paraId="212DF5D7" w14:textId="77777777" w:rsidR="00512C72" w:rsidRPr="00942EA0" w:rsidRDefault="00512C72" w:rsidP="00512C72">
      <w:pPr>
        <w:spacing w:after="0" w:line="240" w:lineRule="auto"/>
        <w:ind w:left="709" w:right="709"/>
        <w:contextualSpacing/>
        <w:jc w:val="both"/>
        <w:rPr>
          <w:rFonts w:ascii="Verdana" w:eastAsia="Calibri" w:hAnsi="Verdana" w:cs="Arial"/>
          <w:color w:val="000000" w:themeColor="text1"/>
          <w:sz w:val="20"/>
          <w:szCs w:val="20"/>
          <w:lang w:val="es-MX"/>
        </w:rPr>
      </w:pPr>
      <w:r w:rsidRPr="00942EA0">
        <w:rPr>
          <w:rFonts w:ascii="Verdana" w:eastAsia="Calibri" w:hAnsi="Verdana" w:cs="Arial"/>
          <w:color w:val="000000" w:themeColor="text1"/>
          <w:sz w:val="20"/>
          <w:szCs w:val="20"/>
          <w:lang w:val="es-MX"/>
        </w:rPr>
        <w:t>4. Contratación directa. La modalidad de selección de contratación directa, solamente procederá en los siguientes casos:</w:t>
      </w:r>
    </w:p>
    <w:p w14:paraId="7B3CFE43" w14:textId="77777777" w:rsidR="00512C72" w:rsidRPr="00942EA0" w:rsidRDefault="00512C72" w:rsidP="00512C72">
      <w:pPr>
        <w:spacing w:after="0" w:line="240" w:lineRule="auto"/>
        <w:ind w:left="709" w:right="709"/>
        <w:contextualSpacing/>
        <w:jc w:val="both"/>
        <w:rPr>
          <w:rFonts w:ascii="Verdana" w:eastAsia="Calibri" w:hAnsi="Verdana" w:cs="Arial"/>
          <w:color w:val="000000" w:themeColor="text1"/>
          <w:sz w:val="20"/>
          <w:szCs w:val="20"/>
          <w:lang w:val="es-MX"/>
        </w:rPr>
      </w:pPr>
      <w:r w:rsidRPr="00942EA0">
        <w:rPr>
          <w:rFonts w:ascii="Verdana" w:eastAsia="Calibri" w:hAnsi="Verdana" w:cs="Arial"/>
          <w:color w:val="000000" w:themeColor="text1"/>
          <w:sz w:val="20"/>
          <w:szCs w:val="20"/>
          <w:lang w:val="es-MX"/>
        </w:rPr>
        <w:t>[…]</w:t>
      </w:r>
    </w:p>
    <w:p w14:paraId="6DF34347" w14:textId="77777777" w:rsidR="00512C72" w:rsidRPr="00942EA0" w:rsidRDefault="00512C72" w:rsidP="00512C72">
      <w:pPr>
        <w:spacing w:after="0" w:line="240" w:lineRule="auto"/>
        <w:ind w:left="709" w:right="709"/>
        <w:contextualSpacing/>
        <w:jc w:val="both"/>
        <w:rPr>
          <w:rFonts w:ascii="Verdana" w:eastAsia="Calibri" w:hAnsi="Verdana" w:cs="Arial"/>
          <w:color w:val="000000" w:themeColor="text1"/>
          <w:sz w:val="20"/>
          <w:szCs w:val="20"/>
          <w:lang w:val="es-MX"/>
        </w:rPr>
      </w:pPr>
    </w:p>
    <w:p w14:paraId="2868ED36" w14:textId="77777777" w:rsidR="00512C72" w:rsidRPr="00942EA0" w:rsidRDefault="00512C72" w:rsidP="00512C72">
      <w:pPr>
        <w:spacing w:after="0" w:line="240" w:lineRule="auto"/>
        <w:ind w:left="709" w:right="709"/>
        <w:contextualSpacing/>
        <w:jc w:val="both"/>
        <w:rPr>
          <w:rFonts w:ascii="Verdana" w:eastAsia="Calibri" w:hAnsi="Verdana" w:cs="Arial"/>
          <w:color w:val="000000" w:themeColor="text1"/>
          <w:sz w:val="20"/>
          <w:szCs w:val="20"/>
          <w:lang w:val="es-MX"/>
        </w:rPr>
      </w:pPr>
      <w:r w:rsidRPr="00942EA0">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r w:rsidRPr="00942EA0">
        <w:rPr>
          <w:rFonts w:ascii="Verdana" w:eastAsia="Yu Gothic UI Semibold" w:hAnsi="Verdana" w:cs="Arial"/>
          <w:iCs/>
          <w:sz w:val="20"/>
          <w:szCs w:val="20"/>
          <w:lang w:eastAsia="es-MX"/>
        </w:rPr>
        <w:t>”</w:t>
      </w:r>
      <w:r w:rsidRPr="00942EA0">
        <w:rPr>
          <w:rFonts w:ascii="Verdana" w:eastAsia="Calibri" w:hAnsi="Verdana" w:cs="Arial"/>
          <w:color w:val="000000" w:themeColor="text1"/>
          <w:sz w:val="20"/>
          <w:szCs w:val="20"/>
          <w:lang w:val="es-MX"/>
        </w:rPr>
        <w:t>.</w:t>
      </w:r>
    </w:p>
    <w:p w14:paraId="5C60F22E" w14:textId="77777777" w:rsidR="00512C72" w:rsidRPr="00942EA0" w:rsidRDefault="00512C72" w:rsidP="00512C72">
      <w:pPr>
        <w:spacing w:after="0" w:line="276" w:lineRule="auto"/>
        <w:ind w:left="709" w:right="709"/>
        <w:jc w:val="both"/>
        <w:rPr>
          <w:rFonts w:ascii="Verdana" w:eastAsia="Yu Gothic UI Semibold" w:hAnsi="Verdana" w:cs="Arial"/>
          <w:iCs/>
          <w:lang w:eastAsia="es-MX"/>
        </w:rPr>
      </w:pPr>
      <w:r w:rsidRPr="00942EA0">
        <w:rPr>
          <w:rFonts w:ascii="Verdana" w:eastAsia="Arial" w:hAnsi="Verdana" w:cs="Arial"/>
          <w:color w:val="000000"/>
        </w:rPr>
        <w:t xml:space="preserve">  </w:t>
      </w:r>
    </w:p>
    <w:p w14:paraId="0E37A615" w14:textId="77777777" w:rsidR="00512C72" w:rsidRPr="00942EA0" w:rsidRDefault="00512C72" w:rsidP="00512C72">
      <w:pPr>
        <w:spacing w:after="0" w:line="240" w:lineRule="auto"/>
        <w:ind w:left="709" w:right="709"/>
        <w:contextualSpacing/>
        <w:jc w:val="both"/>
        <w:rPr>
          <w:rFonts w:ascii="Verdana" w:hAnsi="Verdana" w:cs="Arial"/>
          <w:sz w:val="20"/>
          <w:szCs w:val="20"/>
          <w:lang w:val="es-MX"/>
        </w:rPr>
      </w:pPr>
      <w:r w:rsidRPr="00942EA0">
        <w:rPr>
          <w:rFonts w:ascii="Verdana" w:eastAsia="Yu Gothic UI Semibold" w:hAnsi="Verdana" w:cs="Arial"/>
          <w:iCs/>
          <w:sz w:val="20"/>
          <w:szCs w:val="20"/>
          <w:lang w:eastAsia="es-MX"/>
        </w:rPr>
        <w:t>“</w:t>
      </w:r>
      <w:r w:rsidRPr="00942EA0">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7EB1F2A" w14:textId="77777777" w:rsidR="00512C72" w:rsidRPr="00942EA0" w:rsidRDefault="00512C72" w:rsidP="00512C72">
      <w:pPr>
        <w:spacing w:after="0" w:line="240" w:lineRule="auto"/>
        <w:ind w:left="709" w:right="709"/>
        <w:contextualSpacing/>
        <w:jc w:val="both"/>
        <w:rPr>
          <w:rFonts w:ascii="Verdana" w:hAnsi="Verdana" w:cs="Arial"/>
          <w:sz w:val="20"/>
          <w:szCs w:val="20"/>
          <w:lang w:val="es-MX"/>
        </w:rPr>
      </w:pPr>
    </w:p>
    <w:p w14:paraId="62175630" w14:textId="77777777" w:rsidR="00512C72" w:rsidRPr="00942EA0" w:rsidRDefault="00512C72" w:rsidP="00512C72">
      <w:pPr>
        <w:spacing w:after="0" w:line="240" w:lineRule="auto"/>
        <w:ind w:left="709" w:right="709"/>
        <w:contextualSpacing/>
        <w:jc w:val="both"/>
        <w:rPr>
          <w:rFonts w:ascii="Verdana" w:hAnsi="Verdana" w:cs="Arial"/>
          <w:sz w:val="20"/>
          <w:szCs w:val="20"/>
          <w:lang w:val="es-MX"/>
        </w:rPr>
      </w:pPr>
      <w:r w:rsidRPr="00942EA0">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45257AA" w14:textId="77777777" w:rsidR="00512C72" w:rsidRPr="00942EA0" w:rsidRDefault="00512C72" w:rsidP="00512C72">
      <w:pPr>
        <w:spacing w:after="0" w:line="240" w:lineRule="auto"/>
        <w:ind w:left="709" w:right="709"/>
        <w:contextualSpacing/>
        <w:jc w:val="both"/>
        <w:rPr>
          <w:rFonts w:ascii="Verdana" w:hAnsi="Verdana" w:cs="Arial"/>
          <w:sz w:val="20"/>
          <w:szCs w:val="20"/>
          <w:lang w:val="es-MX"/>
        </w:rPr>
      </w:pPr>
    </w:p>
    <w:p w14:paraId="55F9E1A2" w14:textId="77777777" w:rsidR="00512C72" w:rsidRPr="00942EA0" w:rsidRDefault="00512C72" w:rsidP="00512C72">
      <w:pPr>
        <w:spacing w:after="0" w:line="240" w:lineRule="auto"/>
        <w:ind w:left="709" w:right="709"/>
        <w:contextualSpacing/>
        <w:jc w:val="both"/>
        <w:rPr>
          <w:rFonts w:ascii="Verdana" w:hAnsi="Verdana" w:cs="Arial"/>
          <w:sz w:val="20"/>
          <w:szCs w:val="20"/>
          <w:lang w:val="es-MX"/>
        </w:rPr>
      </w:pPr>
      <w:r w:rsidRPr="00942EA0">
        <w:rPr>
          <w:rFonts w:ascii="Verdana" w:hAnsi="Verdana" w:cs="Arial"/>
          <w:sz w:val="20"/>
          <w:szCs w:val="20"/>
          <w:lang w:val="es-MX"/>
        </w:rPr>
        <w:t>La Entidad Estatal, para la contratación de trabajos artísticos que solamente puedan en</w:t>
      </w:r>
      <w:r w:rsidRPr="00942EA0">
        <w:rPr>
          <w:rFonts w:ascii="Verdana" w:hAnsi="Verdana" w:cs="Arial"/>
          <w:sz w:val="20"/>
          <w:szCs w:val="20"/>
          <w:lang w:val="es-MX"/>
        </w:rPr>
        <w:softHyphen/>
        <w:t>comendarse a determinadas personas naturales, debe justificar esta situación en los estudios y documentos previos</w:t>
      </w:r>
      <w:r w:rsidRPr="00942EA0">
        <w:rPr>
          <w:rFonts w:ascii="Verdana" w:eastAsia="Yu Gothic UI Semibold" w:hAnsi="Verdana" w:cs="Arial"/>
          <w:iCs/>
          <w:sz w:val="20"/>
          <w:szCs w:val="20"/>
          <w:lang w:eastAsia="es-MX"/>
        </w:rPr>
        <w:t>”</w:t>
      </w:r>
      <w:r w:rsidRPr="00942EA0">
        <w:rPr>
          <w:rFonts w:ascii="Verdana" w:hAnsi="Verdana" w:cs="Arial"/>
          <w:sz w:val="20"/>
          <w:szCs w:val="20"/>
          <w:lang w:val="es-MX"/>
        </w:rPr>
        <w:t>.</w:t>
      </w:r>
    </w:p>
    <w:p w14:paraId="6E51EBA0" w14:textId="77777777" w:rsidR="00512C72" w:rsidRPr="00942EA0" w:rsidRDefault="00512C72" w:rsidP="00512C72">
      <w:pPr>
        <w:spacing w:after="0" w:line="276" w:lineRule="auto"/>
        <w:ind w:firstLine="709"/>
        <w:jc w:val="both"/>
        <w:rPr>
          <w:rFonts w:ascii="Verdana" w:eastAsia="Calibri" w:hAnsi="Verdana" w:cs="Arial"/>
          <w:color w:val="000000"/>
          <w:lang w:val="es-ES_tradnl" w:eastAsia="es-ES_tradnl"/>
        </w:rPr>
      </w:pPr>
      <w:r w:rsidRPr="00942EA0">
        <w:rPr>
          <w:rFonts w:ascii="Verdana" w:eastAsia="Arial" w:hAnsi="Verdana" w:cs="Arial"/>
          <w:color w:val="000000"/>
        </w:rPr>
        <w:lastRenderedPageBreak/>
        <w:tab/>
      </w:r>
    </w:p>
    <w:p w14:paraId="57C948EB" w14:textId="77777777" w:rsidR="00512C72" w:rsidRPr="00942EA0" w:rsidRDefault="00512C72" w:rsidP="00512C72">
      <w:pPr>
        <w:spacing w:after="120" w:line="276" w:lineRule="auto"/>
        <w:ind w:firstLine="709"/>
        <w:jc w:val="both"/>
        <w:rPr>
          <w:rFonts w:ascii="Verdana" w:eastAsia="Calibri" w:hAnsi="Verdana" w:cs="Arial"/>
          <w:color w:val="000000"/>
          <w:lang w:val="es-ES_tradnl" w:eastAsia="es-ES_tradnl"/>
        </w:rPr>
      </w:pPr>
      <w:r w:rsidRPr="00942EA0">
        <w:rPr>
          <w:rFonts w:ascii="Verdana" w:eastAsia="Calibri" w:hAnsi="Verdana" w:cs="Arial"/>
          <w:color w:val="00000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5FFF3982" w14:textId="77777777" w:rsidR="00512C72" w:rsidRPr="00942EA0" w:rsidRDefault="00512C72" w:rsidP="00512C72">
      <w:pPr>
        <w:tabs>
          <w:tab w:val="left" w:pos="0"/>
        </w:tabs>
        <w:spacing w:after="120" w:line="276" w:lineRule="auto"/>
        <w:jc w:val="both"/>
        <w:rPr>
          <w:rFonts w:ascii="Verdana" w:hAnsi="Verdana" w:cs="Arial"/>
          <w:noProof/>
          <w:lang w:val="es-ES_tradnl"/>
        </w:rPr>
      </w:pPr>
      <w:r w:rsidRPr="00942EA0">
        <w:rPr>
          <w:rFonts w:ascii="Verdana" w:eastAsia="Arial" w:hAnsi="Verdana" w:cs="Arial"/>
          <w:color w:val="000000"/>
          <w:lang w:val="es-ES"/>
        </w:rPr>
        <w:tab/>
        <w:t>i</w:t>
      </w:r>
      <w:r w:rsidRPr="00942EA0">
        <w:rPr>
          <w:rFonts w:ascii="Verdana" w:eastAsia="Arial" w:hAnsi="Verdana" w:cs="Arial"/>
          <w:color w:val="000000"/>
        </w:rPr>
        <w:t>) Sólo puede celebrarse para realizar “actividades relacionadas con la administración o funcionamiento de la entidad”, es decir, que hagan parte de su giro ordinario o que hacer diario</w:t>
      </w:r>
      <w:r w:rsidRPr="00942EA0">
        <w:rPr>
          <w:rFonts w:ascii="Verdana" w:hAnsi="Verdana"/>
          <w:noProof/>
          <w:vertAlign w:val="superscript"/>
          <w:lang w:val="es-ES_tradnl"/>
        </w:rPr>
        <w:footnoteReference w:id="1"/>
      </w:r>
      <w:r w:rsidRPr="00942EA0">
        <w:rPr>
          <w:rFonts w:ascii="Verdana" w:hAnsi="Verdana" w:cs="Arial"/>
          <w:noProof/>
          <w:lang w:val="es-ES_tradnl"/>
        </w:rPr>
        <w:t>.</w:t>
      </w:r>
    </w:p>
    <w:p w14:paraId="5D4E1DC5" w14:textId="77777777" w:rsidR="00512C72" w:rsidRPr="00942EA0" w:rsidRDefault="00512C72" w:rsidP="00512C72">
      <w:pPr>
        <w:spacing w:after="120" w:line="276" w:lineRule="auto"/>
        <w:ind w:firstLine="709"/>
        <w:jc w:val="both"/>
        <w:rPr>
          <w:rFonts w:ascii="Verdana" w:eastAsia="Calibri" w:hAnsi="Verdana" w:cs="Arial"/>
          <w:color w:val="000000"/>
          <w:lang w:val="es-ES" w:eastAsia="es-ES"/>
        </w:rPr>
      </w:pPr>
      <w:r w:rsidRPr="00942EA0">
        <w:rPr>
          <w:rFonts w:ascii="Verdana" w:hAnsi="Verdana"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r w:rsidRPr="00942EA0">
        <w:rPr>
          <w:rFonts w:ascii="Verdana" w:eastAsia="Calibri" w:hAnsi="Verdana" w:cs="Arial"/>
          <w:color w:val="000000"/>
          <w:lang w:val="es-ES" w:eastAsia="es-ES"/>
        </w:rPr>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18D8FDD6"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942EA0">
        <w:rPr>
          <w:rFonts w:ascii="Verdana" w:hAnsi="Verdana" w:cs="Arial"/>
          <w:i/>
          <w:noProof/>
          <w:lang w:val="es-ES_tradnl"/>
        </w:rPr>
        <w:t xml:space="preserve">subordinación </w:t>
      </w:r>
      <w:r w:rsidRPr="00942EA0">
        <w:rPr>
          <w:rFonts w:ascii="Verdana" w:hAnsi="Verdana" w:cs="Arial"/>
          <w:iCs/>
          <w:noProof/>
          <w:lang w:val="es-ES_tradnl"/>
        </w:rPr>
        <w:t>ni</w:t>
      </w:r>
      <w:r w:rsidRPr="00942EA0">
        <w:rPr>
          <w:rFonts w:ascii="Verdana" w:hAnsi="Verdana" w:cs="Arial"/>
          <w:i/>
          <w:noProof/>
          <w:lang w:val="es-ES_tradnl"/>
        </w:rPr>
        <w:t xml:space="preserve"> dependencia</w:t>
      </w:r>
      <w:r w:rsidRPr="00942EA0">
        <w:rPr>
          <w:rFonts w:ascii="Verdana" w:hAnsi="Verdana" w:cs="Arial"/>
          <w:iCs/>
          <w:noProof/>
          <w:lang w:val="es-ES_tradnl"/>
        </w:rPr>
        <w:t>,</w:t>
      </w:r>
      <w:r w:rsidRPr="00942EA0">
        <w:rPr>
          <w:rFonts w:ascii="Verdana" w:hAnsi="Verdana" w:cs="Arial"/>
          <w:noProof/>
          <w:lang w:val="es-ES_tradnl"/>
        </w:rPr>
        <w:t xml:space="preserve"> que es uno de los elementos constitutivos del vínculo laboral</w:t>
      </w:r>
      <w:r w:rsidRPr="00942EA0">
        <w:rPr>
          <w:rFonts w:ascii="Verdana" w:hAnsi="Verdana" w:cs="Arial"/>
          <w:noProof/>
          <w:vertAlign w:val="superscript"/>
          <w:lang w:val="es-ES_tradnl"/>
        </w:rPr>
        <w:footnoteReference w:id="2"/>
      </w:r>
      <w:r w:rsidRPr="00942EA0">
        <w:rPr>
          <w:rFonts w:ascii="Verdana" w:hAnsi="Verdana" w:cs="Arial"/>
          <w:noProof/>
          <w:lang w:val="es-ES_tradnl"/>
        </w:rPr>
        <w:t xml:space="preserve">. </w:t>
      </w:r>
    </w:p>
    <w:p w14:paraId="578ECA77"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t xml:space="preserve">Por lo anterior, el artículo 32, numeral 3º, de la Ley 80 de 1993 establece que “En ningún caso estos contratos generan relación laboral ni prestaciones sociales”. Este inciso, más que un enunciado que aluda al “ser”, se refiere al </w:t>
      </w:r>
      <w:r w:rsidRPr="00942EA0">
        <w:rPr>
          <w:rFonts w:ascii="Verdana" w:hAnsi="Verdana" w:cs="Arial"/>
          <w:noProof/>
          <w:lang w:val="es-ES_tradnl"/>
        </w:rPr>
        <w:lastRenderedPageBreak/>
        <w:t xml:space="preserve">“deber ser”, pues debe interpretarse en el sentido de que los contratos de prestación de servicios profesionales </w:t>
      </w:r>
      <w:r w:rsidRPr="00942EA0">
        <w:rPr>
          <w:rFonts w:ascii="Verdana" w:hAnsi="Verdana" w:cs="Arial"/>
          <w:i/>
          <w:noProof/>
          <w:lang w:val="es-ES_tradnl"/>
        </w:rPr>
        <w:t>no pueden</w:t>
      </w:r>
      <w:r w:rsidRPr="00942EA0">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942EA0">
        <w:rPr>
          <w:rFonts w:ascii="Verdana" w:hAnsi="Verdana" w:cs="Arial"/>
          <w:noProof/>
          <w:vertAlign w:val="superscript"/>
          <w:lang w:val="es-ES_tradnl"/>
        </w:rPr>
        <w:footnoteReference w:id="3"/>
      </w:r>
      <w:r w:rsidRPr="00942EA0">
        <w:rPr>
          <w:rFonts w:ascii="Verdana" w:hAnsi="Verdana" w:cs="Arial"/>
          <w:noProof/>
          <w:lang w:val="es-ES_tradnl"/>
        </w:rPr>
        <w:t xml:space="preserve">. </w:t>
      </w:r>
    </w:p>
    <w:p w14:paraId="1BFA1B43"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t xml:space="preserve">A pesar de este mandato deontológico, es posible que en la práctica se configure una relación laboral, pues el contrato de trabajo es </w:t>
      </w:r>
      <w:r w:rsidRPr="00942EA0">
        <w:rPr>
          <w:rFonts w:ascii="Verdana" w:hAnsi="Verdana" w:cs="Arial"/>
          <w:i/>
          <w:iCs/>
          <w:noProof/>
          <w:lang w:val="es-ES_tradnl"/>
        </w:rPr>
        <w:t xml:space="preserve">de </w:t>
      </w:r>
      <w:r w:rsidRPr="00942EA0">
        <w:rPr>
          <w:rFonts w:ascii="Verdana" w:hAnsi="Verdana" w:cs="Arial"/>
          <w:i/>
          <w:noProof/>
          <w:lang w:val="es-ES_tradnl"/>
        </w:rPr>
        <w:t>realidad</w:t>
      </w:r>
      <w:r w:rsidRPr="00942EA0">
        <w:rPr>
          <w:rFonts w:ascii="Verdana" w:hAnsi="Verdana"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942EA0">
        <w:rPr>
          <w:rFonts w:ascii="Verdana" w:hAnsi="Verdana" w:cs="Arial"/>
          <w:noProof/>
          <w:vertAlign w:val="superscript"/>
          <w:lang w:val="es-ES_tradnl"/>
        </w:rPr>
        <w:footnoteReference w:id="4"/>
      </w:r>
      <w:r w:rsidRPr="00942EA0">
        <w:rPr>
          <w:rFonts w:ascii="Verdana" w:hAnsi="Verdana" w:cs="Arial"/>
          <w:noProof/>
          <w:lang w:val="es-ES_tradnl"/>
        </w:rPr>
        <w:t>.</w:t>
      </w:r>
    </w:p>
    <w:p w14:paraId="64F49F9F" w14:textId="77777777" w:rsidR="00512C72" w:rsidRPr="00942EA0" w:rsidRDefault="00512C72" w:rsidP="00512C72">
      <w:pPr>
        <w:spacing w:after="0" w:line="276" w:lineRule="auto"/>
        <w:ind w:firstLine="709"/>
        <w:jc w:val="both"/>
        <w:rPr>
          <w:rFonts w:ascii="Verdana" w:hAnsi="Verdana" w:cs="Arial"/>
          <w:noProof/>
          <w:lang w:val="es-ES_tradnl"/>
        </w:rPr>
      </w:pPr>
      <w:r w:rsidRPr="00942EA0">
        <w:rPr>
          <w:rFonts w:ascii="Verdana" w:hAnsi="Verdana" w:cs="Arial"/>
          <w:noProof/>
          <w:lang w:val="es-ES_tradnl"/>
        </w:rPr>
        <w:t xml:space="preserve">iv) Deben ser temporales. La </w:t>
      </w:r>
      <w:r w:rsidRPr="00942EA0">
        <w:rPr>
          <w:rFonts w:ascii="Verdana" w:eastAsia="Arial" w:hAnsi="Verdana" w:cs="Arial"/>
          <w:color w:val="000000"/>
        </w:rPr>
        <w:t>Sentencia de Unificación Jurisprudencial de 09 de septiembre de 2021, proferida por el Consejo de Estado</w:t>
      </w:r>
      <w:r w:rsidRPr="00942EA0">
        <w:rPr>
          <w:rFonts w:ascii="Verdana" w:hAnsi="Verdana" w:cs="Arial"/>
          <w:bCs/>
          <w:vertAlign w:val="superscript"/>
          <w:lang w:val="es-ES"/>
        </w:rPr>
        <w:footnoteReference w:id="5"/>
      </w:r>
      <w:r w:rsidRPr="00942EA0">
        <w:rPr>
          <w:rFonts w:ascii="Verdana" w:hAnsi="Verdana" w:cs="Arial"/>
          <w:noProof/>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w:t>
      </w:r>
      <w:r w:rsidRPr="00942EA0">
        <w:rPr>
          <w:rFonts w:ascii="Verdana" w:hAnsi="Verdana" w:cs="Arial"/>
          <w:noProof/>
          <w:lang w:val="es-ES_tradnl"/>
        </w:rPr>
        <w:lastRenderedPageBreak/>
        <w:t xml:space="preserve">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942EA0">
        <w:rPr>
          <w:rFonts w:ascii="Verdana" w:hAnsi="Verdana" w:cs="Arial"/>
          <w:lang w:val="es-MX"/>
        </w:rPr>
        <w:t xml:space="preserve">De igual manera, señaló que “no cabe su empleo para la cobertura indefinida de necesidades permanentes o recurrentes”. </w:t>
      </w:r>
      <w:r w:rsidRPr="00942EA0">
        <w:rPr>
          <w:rFonts w:ascii="Verdana" w:hAnsi="Verdana" w:cs="Arial"/>
          <w:noProof/>
          <w:lang w:val="es-ES_tradnl"/>
        </w:rPr>
        <w:t>En sentido similar se manifestó la Corte Constitucional en la sentencia C-154 de 1997, expresando que:</w:t>
      </w:r>
    </w:p>
    <w:p w14:paraId="179C7F24" w14:textId="77777777" w:rsidR="00512C72" w:rsidRPr="00942EA0" w:rsidRDefault="00512C72" w:rsidP="00512C72">
      <w:pPr>
        <w:spacing w:after="0" w:line="276" w:lineRule="auto"/>
        <w:jc w:val="both"/>
        <w:rPr>
          <w:rFonts w:ascii="Verdana" w:hAnsi="Verdana" w:cs="Arial"/>
          <w:noProof/>
          <w:lang w:val="es-ES_tradnl"/>
        </w:rPr>
      </w:pPr>
    </w:p>
    <w:p w14:paraId="69C63C87" w14:textId="77777777" w:rsidR="00512C72" w:rsidRPr="00942EA0" w:rsidRDefault="00512C72" w:rsidP="00512C72">
      <w:pPr>
        <w:spacing w:after="0" w:line="240" w:lineRule="auto"/>
        <w:ind w:left="709" w:right="709"/>
        <w:contextualSpacing/>
        <w:jc w:val="both"/>
        <w:rPr>
          <w:rFonts w:ascii="Verdana" w:hAnsi="Verdana" w:cs="Arial"/>
          <w:noProof/>
          <w:sz w:val="20"/>
          <w:szCs w:val="20"/>
          <w:lang w:val="es-ES_tradnl"/>
        </w:rPr>
      </w:pPr>
      <w:r w:rsidRPr="00942EA0">
        <w:rPr>
          <w:rFonts w:ascii="Verdana" w:eastAsia="Yu Gothic UI Semibold" w:hAnsi="Verdana" w:cs="Arial"/>
          <w:iCs/>
          <w:sz w:val="20"/>
          <w:szCs w:val="20"/>
          <w:lang w:eastAsia="es-MX"/>
        </w:rPr>
        <w:t>“</w:t>
      </w:r>
      <w:r w:rsidRPr="00942EA0">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942EA0">
        <w:rPr>
          <w:rFonts w:ascii="Verdana" w:hAnsi="Verdana" w:cs="Arial"/>
          <w:noProof/>
          <w:sz w:val="20"/>
          <w:szCs w:val="20"/>
          <w:vertAlign w:val="superscript"/>
          <w:lang w:val="es-ES_tradnl"/>
        </w:rPr>
        <w:footnoteReference w:id="6"/>
      </w:r>
      <w:r w:rsidRPr="00942EA0">
        <w:rPr>
          <w:rFonts w:ascii="Verdana" w:hAnsi="Verdana" w:cs="Arial"/>
          <w:noProof/>
          <w:sz w:val="20"/>
          <w:szCs w:val="20"/>
          <w:lang w:val="es-ES_tradnl"/>
        </w:rPr>
        <w:t>.</w:t>
      </w:r>
    </w:p>
    <w:p w14:paraId="750CE693" w14:textId="77777777" w:rsidR="00512C72" w:rsidRPr="00942EA0" w:rsidRDefault="00512C72" w:rsidP="00512C72">
      <w:pPr>
        <w:spacing w:after="0" w:line="276" w:lineRule="auto"/>
        <w:ind w:left="709" w:right="709"/>
        <w:jc w:val="both"/>
        <w:rPr>
          <w:rFonts w:ascii="Verdana" w:hAnsi="Verdana" w:cs="Arial"/>
          <w:noProof/>
          <w:lang w:val="es-ES_tradnl"/>
        </w:rPr>
      </w:pPr>
    </w:p>
    <w:p w14:paraId="0AF685F3" w14:textId="77777777" w:rsidR="00512C72" w:rsidRPr="00942EA0" w:rsidRDefault="00512C72" w:rsidP="00512C72">
      <w:pPr>
        <w:spacing w:after="120" w:line="276" w:lineRule="auto"/>
        <w:ind w:firstLine="709"/>
        <w:jc w:val="both"/>
        <w:rPr>
          <w:rFonts w:ascii="Verdana" w:eastAsia="Calibri" w:hAnsi="Verdana" w:cs="Arial"/>
          <w:color w:val="000000"/>
          <w:lang w:val="es-ES_tradnl" w:eastAsia="es-ES_tradnl"/>
        </w:rPr>
      </w:pPr>
      <w:r w:rsidRPr="00942EA0">
        <w:rPr>
          <w:rFonts w:ascii="Verdana" w:hAnsi="Verdana" w:cs="Arial"/>
          <w:noProof/>
          <w:lang w:val="es-ES_tradnl"/>
        </w:rPr>
        <w:t xml:space="preserve">v) </w:t>
      </w:r>
      <w:r w:rsidRPr="00942EA0">
        <w:rPr>
          <w:rFonts w:ascii="Verdana" w:eastAsia="Calibri" w:hAnsi="Verdana" w:cs="Arial"/>
          <w:color w:val="000000"/>
          <w:lang w:val="es-ES_tradnl" w:eastAsia="es-ES_tradnl"/>
        </w:rPr>
        <w:t xml:space="preserve">Los contratos de prestación de servicios constituyen un </w:t>
      </w:r>
      <w:r w:rsidRPr="00942EA0">
        <w:rPr>
          <w:rFonts w:ascii="Verdana" w:eastAsia="Calibri" w:hAnsi="Verdana" w:cs="Arial"/>
          <w:i/>
          <w:iCs/>
          <w:color w:val="000000"/>
          <w:lang w:val="es-ES_tradnl" w:eastAsia="es-ES_tradnl"/>
        </w:rPr>
        <w:t>género</w:t>
      </w:r>
      <w:r w:rsidRPr="00942EA0">
        <w:rPr>
          <w:rFonts w:ascii="Verdana" w:eastAsia="Calibri" w:hAnsi="Verdana" w:cs="Arial"/>
          <w:color w:val="000000"/>
          <w:lang w:val="es-ES_tradnl" w:eastAsia="es-ES_tradnl"/>
        </w:rPr>
        <w:t xml:space="preserve"> que incluye, como </w:t>
      </w:r>
      <w:r w:rsidRPr="00942EA0">
        <w:rPr>
          <w:rFonts w:ascii="Verdana" w:eastAsia="Calibri" w:hAnsi="Verdana" w:cs="Arial"/>
          <w:i/>
          <w:iCs/>
          <w:color w:val="000000"/>
          <w:lang w:val="es-ES_tradnl" w:eastAsia="es-ES_tradnl"/>
        </w:rPr>
        <w:t>especies</w:t>
      </w:r>
      <w:r w:rsidRPr="00942EA0">
        <w:rPr>
          <w:rFonts w:ascii="Verdana" w:eastAsia="Calibri" w:hAnsi="Verdana" w:cs="Arial"/>
          <w:color w:val="00000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w:t>
      </w:r>
      <w:r w:rsidRPr="00942EA0">
        <w:rPr>
          <w:rFonts w:ascii="Verdana" w:eastAsia="Calibri" w:hAnsi="Verdana" w:cs="Arial"/>
          <w:color w:val="000000"/>
          <w:vertAlign w:val="superscript"/>
          <w:lang w:val="es-ES_tradnl" w:eastAsia="es-ES_tradnl"/>
        </w:rPr>
        <w:footnoteReference w:id="7"/>
      </w:r>
      <w:r w:rsidRPr="00942EA0">
        <w:rPr>
          <w:rFonts w:ascii="Verdana" w:eastAsia="Calibri" w:hAnsi="Verdana" w:cs="Arial"/>
          <w:color w:val="000000"/>
          <w:lang w:val="es-ES_tradnl" w:eastAsia="es-ES_tradnl"/>
        </w:rPr>
        <w:t xml:space="preserve">. La diferencia entre el contrato de prestación de servicios </w:t>
      </w:r>
      <w:r w:rsidRPr="00942EA0">
        <w:rPr>
          <w:rFonts w:ascii="Verdana" w:eastAsia="Calibri" w:hAnsi="Verdana" w:cs="Arial"/>
          <w:i/>
          <w:color w:val="000000"/>
          <w:lang w:val="es-ES_tradnl" w:eastAsia="es-ES_tradnl"/>
        </w:rPr>
        <w:lastRenderedPageBreak/>
        <w:t>profesionales</w:t>
      </w:r>
      <w:r w:rsidRPr="00942EA0">
        <w:rPr>
          <w:rFonts w:ascii="Verdana" w:eastAsia="Calibri" w:hAnsi="Verdana" w:cs="Arial"/>
          <w:color w:val="000000"/>
          <w:lang w:val="es-ES_tradnl" w:eastAsia="es-ES_tradnl"/>
        </w:rPr>
        <w:t xml:space="preserve"> con las otras dos especies del género en el cual se ubican radica en su contenido intelectual intangible y, al mismo tiempo, en la formación profesional que se exige para desempeñar la labor</w:t>
      </w:r>
      <w:r w:rsidRPr="00942EA0">
        <w:rPr>
          <w:rFonts w:ascii="Verdana" w:eastAsia="Calibri" w:hAnsi="Verdana" w:cs="Arial"/>
          <w:color w:val="000000"/>
          <w:vertAlign w:val="superscript"/>
          <w:lang w:val="es-ES_tradnl" w:eastAsia="es-ES_tradnl"/>
        </w:rPr>
        <w:footnoteReference w:id="8"/>
      </w:r>
      <w:r w:rsidRPr="00942EA0">
        <w:rPr>
          <w:rFonts w:ascii="Verdana" w:eastAsia="Calibri" w:hAnsi="Verdana" w:cs="Arial"/>
          <w:color w:val="000000"/>
          <w:lang w:val="es-ES_tradnl" w:eastAsia="es-ES_tradnl"/>
        </w:rPr>
        <w:t>.</w:t>
      </w:r>
    </w:p>
    <w:p w14:paraId="2E7D6829" w14:textId="77777777" w:rsidR="00512C72" w:rsidRPr="00942EA0" w:rsidRDefault="00512C72" w:rsidP="00512C72">
      <w:pPr>
        <w:spacing w:after="120" w:line="276" w:lineRule="auto"/>
        <w:ind w:firstLine="709"/>
        <w:jc w:val="both"/>
        <w:rPr>
          <w:rFonts w:ascii="Verdana" w:eastAsia="Calibri" w:hAnsi="Verdana" w:cs="Arial"/>
          <w:color w:val="000000"/>
          <w:lang w:val="es-ES" w:eastAsia="es-ES"/>
        </w:rPr>
      </w:pPr>
      <w:r w:rsidRPr="00942EA0">
        <w:rPr>
          <w:rFonts w:ascii="Verdana" w:hAnsi="Verdana" w:cs="Arial"/>
          <w:noProof/>
          <w:lang w:val="es-ES_tradnl"/>
        </w:rPr>
        <w:t xml:space="preserve">vi) Se celebran a través de la modalidad de contratación directa, independientemente de la cuantía y del tipo de servicio profesional, siempre que su objeto no sea la consultoría. Esto por cuanto, como lo indicó </w:t>
      </w:r>
      <w:r w:rsidRPr="00942EA0">
        <w:rPr>
          <w:rFonts w:ascii="Verdana" w:eastAsia="Arial" w:hAnsi="Verdana" w:cs="Arial"/>
          <w:color w:val="000000"/>
        </w:rPr>
        <w:t>Sentencia de Unificación Jurisprudencial de 09 de septiembre de 2021, proferida por el Consejo de Estado</w:t>
      </w:r>
      <w:r w:rsidRPr="00942EA0">
        <w:rPr>
          <w:rFonts w:ascii="Verdana" w:hAnsi="Verdana" w:cs="Arial"/>
          <w:bCs/>
          <w:vertAlign w:val="superscript"/>
          <w:lang w:val="es-ES"/>
        </w:rPr>
        <w:footnoteReference w:id="9"/>
      </w:r>
      <w:r w:rsidRPr="00942EA0">
        <w:rPr>
          <w:rFonts w:ascii="Verdana" w:hAnsi="Verdana" w:cs="Arial"/>
          <w:noProof/>
          <w:lang w:val="es-ES_tradnl"/>
        </w:rPr>
        <w:t>, si bien en ambos existe un componente intelectual y profesional, el objeto del contrato de consultoría es especial y debe celebrarse, por regla general, mediante un concurso de méritos</w:t>
      </w:r>
      <w:r w:rsidRPr="00942EA0">
        <w:rPr>
          <w:rFonts w:ascii="Verdana" w:hAnsi="Verdana" w:cs="Arial"/>
          <w:noProof/>
          <w:vertAlign w:val="superscript"/>
          <w:lang w:val="es-ES_tradnl"/>
        </w:rPr>
        <w:footnoteReference w:id="10"/>
      </w:r>
      <w:r w:rsidRPr="00942EA0">
        <w:rPr>
          <w:rFonts w:ascii="Verdana" w:hAnsi="Verdana" w:cs="Arial"/>
          <w:noProof/>
          <w:lang w:val="es-ES_tradnl"/>
        </w:rPr>
        <w:t>. Esto también se deriva d</w:t>
      </w:r>
      <w:r w:rsidRPr="00942EA0">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Pr="00942EA0">
        <w:rPr>
          <w:rFonts w:ascii="Verdana" w:eastAsia="Calibri" w:hAnsi="Verdana" w:cs="Arial"/>
          <w:color w:val="000000"/>
          <w:lang w:val="es-ES" w:eastAsia="es-ES"/>
        </w:rPr>
        <w:t xml:space="preserve">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1C11BF2B"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lastRenderedPageBreak/>
        <w:t>vii) Para su celebración no se requiere expedir un acto administrativo de justificación de la contratación directa</w:t>
      </w:r>
      <w:r w:rsidRPr="00942EA0">
        <w:rPr>
          <w:rFonts w:ascii="Verdana" w:hAnsi="Verdana" w:cs="Arial"/>
          <w:noProof/>
          <w:vertAlign w:val="superscript"/>
          <w:lang w:val="es-ES_tradnl"/>
        </w:rPr>
        <w:footnoteReference w:id="11"/>
      </w:r>
      <w:r w:rsidRPr="00942EA0">
        <w:rPr>
          <w:rFonts w:ascii="Verdana" w:hAnsi="Verdana" w:cs="Arial"/>
          <w:noProof/>
          <w:lang w:val="es-ES_tradnl"/>
        </w:rPr>
        <w:t>.</w:t>
      </w:r>
    </w:p>
    <w:p w14:paraId="6FDF9907"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t>viii)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942EA0">
        <w:rPr>
          <w:rFonts w:ascii="Verdana" w:hAnsi="Verdana" w:cs="Arial"/>
          <w:noProof/>
          <w:vertAlign w:val="superscript"/>
          <w:lang w:val="es-ES_tradnl"/>
        </w:rPr>
        <w:footnoteReference w:id="12"/>
      </w:r>
      <w:r w:rsidRPr="00942EA0">
        <w:rPr>
          <w:rFonts w:ascii="Verdana" w:hAnsi="Verdana" w:cs="Arial"/>
          <w:noProof/>
          <w:lang w:val="es-ES_tradnl"/>
        </w:rPr>
        <w:t>.</w:t>
      </w:r>
    </w:p>
    <w:p w14:paraId="6FFE9B86"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t>ix) No es obligatoria la liquidación de estos contratos, como lo establece el artículo 217 del Decreto 019 de 2012, que modificó el artículo 60 de la Ley 80 de 1993</w:t>
      </w:r>
      <w:r w:rsidRPr="00942EA0">
        <w:rPr>
          <w:rFonts w:ascii="Verdana" w:hAnsi="Verdana" w:cs="Arial"/>
          <w:noProof/>
          <w:vertAlign w:val="superscript"/>
          <w:lang w:val="es-ES_tradnl"/>
        </w:rPr>
        <w:footnoteReference w:id="13"/>
      </w:r>
      <w:r w:rsidRPr="00942EA0">
        <w:rPr>
          <w:rFonts w:ascii="Verdana" w:hAnsi="Verdana" w:cs="Arial"/>
          <w:noProof/>
          <w:lang w:val="es-ES_tradnl"/>
        </w:rPr>
        <w:t>.</w:t>
      </w:r>
    </w:p>
    <w:p w14:paraId="15A158CC"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lastRenderedPageBreak/>
        <w:t>x) Para su celebración el contratista no requiere estar inscrito en el Registro Único de Proponentes –en adelante RUP–, como lo señala el artículo 6 de la Ley 1150 de 2007</w:t>
      </w:r>
      <w:r w:rsidRPr="00942EA0">
        <w:rPr>
          <w:rFonts w:ascii="Verdana" w:hAnsi="Verdana" w:cs="Arial"/>
          <w:noProof/>
          <w:vertAlign w:val="superscript"/>
          <w:lang w:val="es-ES_tradnl"/>
        </w:rPr>
        <w:footnoteReference w:id="14"/>
      </w:r>
      <w:r w:rsidRPr="00942EA0">
        <w:rPr>
          <w:rFonts w:ascii="Verdana" w:hAnsi="Verdana" w:cs="Arial"/>
          <w:noProof/>
          <w:lang w:val="es-ES_tradnl"/>
        </w:rPr>
        <w:t>.</w:t>
      </w:r>
    </w:p>
    <w:p w14:paraId="69D839FD" w14:textId="77777777" w:rsidR="00512C72" w:rsidRPr="00942EA0" w:rsidRDefault="00512C72" w:rsidP="00512C72">
      <w:pPr>
        <w:spacing w:after="120" w:line="276" w:lineRule="auto"/>
        <w:ind w:firstLine="708"/>
        <w:jc w:val="both"/>
        <w:rPr>
          <w:rFonts w:ascii="Verdana" w:hAnsi="Verdana" w:cs="Arial"/>
          <w:noProof/>
          <w:lang w:val="es-ES_tradnl"/>
        </w:rPr>
      </w:pPr>
      <w:r w:rsidRPr="00942EA0">
        <w:rPr>
          <w:rFonts w:ascii="Verdana" w:hAnsi="Verdana" w:cs="Arial"/>
          <w:noProof/>
          <w:lang w:val="es-ES_tradnl"/>
        </w:rPr>
        <w:t>xi) No es obligtoria la exigencia de garantías</w:t>
      </w:r>
      <w:r w:rsidRPr="00942EA0">
        <w:rPr>
          <w:rFonts w:ascii="Verdana" w:hAnsi="Verdana" w:cs="Arial"/>
          <w:noProof/>
          <w:vertAlign w:val="superscript"/>
          <w:lang w:val="es-ES_tradnl"/>
        </w:rPr>
        <w:footnoteReference w:id="15"/>
      </w:r>
      <w:r w:rsidRPr="00942EA0">
        <w:rPr>
          <w:rFonts w:ascii="Verdana" w:hAnsi="Verdana" w:cs="Arial"/>
          <w:noProof/>
          <w:lang w:val="es-ES_tradnl"/>
        </w:rPr>
        <w:t>.</w:t>
      </w:r>
    </w:p>
    <w:p w14:paraId="27357B60" w14:textId="77777777" w:rsidR="00512C72" w:rsidRPr="00942EA0" w:rsidRDefault="00512C72" w:rsidP="00512C72">
      <w:pPr>
        <w:spacing w:after="120" w:line="276" w:lineRule="auto"/>
        <w:ind w:firstLine="709"/>
        <w:jc w:val="both"/>
        <w:rPr>
          <w:rFonts w:ascii="Verdana" w:hAnsi="Verdana" w:cs="Arial"/>
          <w:noProof/>
          <w:lang w:val="es-ES_tradnl"/>
        </w:rPr>
      </w:pPr>
      <w:r w:rsidRPr="00942EA0">
        <w:rPr>
          <w:rFonts w:ascii="Verdana" w:hAnsi="Verdana" w:cs="Arial"/>
          <w:noProof/>
          <w:lang w:val="es-ES_tradnl"/>
        </w:rPr>
        <w:t>xii) Como los demás contratos estatales, se trata de un contrato solemne que debe constar por escrito y debe ser publicado en el SECOP.</w:t>
      </w:r>
    </w:p>
    <w:p w14:paraId="1608D70C" w14:textId="5BF3B383" w:rsidR="00CB79C9" w:rsidRPr="00942EA0" w:rsidRDefault="001719FA" w:rsidP="00CB79C9">
      <w:pPr>
        <w:spacing w:after="0" w:line="276" w:lineRule="auto"/>
        <w:jc w:val="both"/>
        <w:rPr>
          <w:rFonts w:ascii="Verdana" w:hAnsi="Verdana" w:cs="Arial"/>
          <w:lang w:val="es-ES_tradnl"/>
        </w:rPr>
      </w:pPr>
      <w:proofErr w:type="spellStart"/>
      <w:r w:rsidRPr="00942EA0">
        <w:rPr>
          <w:rFonts w:ascii="Verdana" w:hAnsi="Verdana" w:cs="Arial"/>
          <w:lang w:val="es-ES_tradnl"/>
        </w:rPr>
        <w:t>ii</w:t>
      </w:r>
      <w:proofErr w:type="spellEnd"/>
      <w:r w:rsidRPr="00942EA0">
        <w:rPr>
          <w:rFonts w:ascii="Verdana" w:hAnsi="Verdana" w:cs="Arial"/>
          <w:lang w:val="es-ES_tradnl"/>
        </w:rPr>
        <w:t xml:space="preserve">. </w:t>
      </w:r>
      <w:r w:rsidR="002B6D0C" w:rsidRPr="00942EA0">
        <w:rPr>
          <w:rFonts w:ascii="Verdana" w:hAnsi="Verdana" w:cs="Arial"/>
        </w:rPr>
        <w:t>Señaladas las características de los contratos de prestación de servicios, y en atención a la consulta elevada, resulta pertinente indicar que la suspensión constituye la medida mediante la cual se acuerda el cese provisional de la ejecución contractual, por la ocurrencia de circunstancias que la impiden o dificultan</w:t>
      </w:r>
      <w:r w:rsidR="00CB79C9" w:rsidRPr="00942EA0">
        <w:rPr>
          <w:rStyle w:val="Refdenotaalpie"/>
          <w:rFonts w:ascii="Verdana" w:hAnsi="Verdana" w:cs="Arial"/>
        </w:rPr>
        <w:footnoteReference w:id="16"/>
      </w:r>
      <w:r w:rsidR="00CB79C9" w:rsidRPr="00942EA0">
        <w:rPr>
          <w:rFonts w:ascii="Verdana" w:eastAsia="Times New Roman" w:hAnsi="Verdana" w:cs="Arial"/>
          <w:color w:val="000000"/>
          <w:lang w:val="es-ES_tradnl" w:eastAsia="es-ES_tradnl"/>
        </w:rPr>
        <w:t xml:space="preserve">. Las razones de aquella pueden ser de orden técnico, jurídico o económico. En la medida de lo posible, las </w:t>
      </w:r>
      <w:r w:rsidR="00F00158" w:rsidRPr="00942EA0">
        <w:rPr>
          <w:rFonts w:ascii="Verdana" w:eastAsia="Times New Roman" w:hAnsi="Verdana" w:cs="Arial"/>
          <w:color w:val="000000"/>
          <w:lang w:val="es-ES_tradnl" w:eastAsia="es-ES_tradnl"/>
        </w:rPr>
        <w:t>E</w:t>
      </w:r>
      <w:r w:rsidR="00CB79C9" w:rsidRPr="00942EA0">
        <w:rPr>
          <w:rFonts w:ascii="Verdana" w:eastAsia="Times New Roman" w:hAnsi="Verdana" w:cs="Arial"/>
          <w:color w:val="000000"/>
          <w:lang w:val="es-ES_tradnl" w:eastAsia="es-ES_tradnl"/>
        </w:rPr>
        <w:t xml:space="preserve">ntidades </w:t>
      </w:r>
      <w:r w:rsidR="00F00158" w:rsidRPr="00942EA0">
        <w:rPr>
          <w:rFonts w:ascii="Verdana" w:eastAsia="Times New Roman" w:hAnsi="Verdana" w:cs="Arial"/>
          <w:color w:val="000000"/>
          <w:lang w:val="es-ES_tradnl" w:eastAsia="es-ES_tradnl"/>
        </w:rPr>
        <w:t>E</w:t>
      </w:r>
      <w:r w:rsidR="00CB79C9" w:rsidRPr="00942EA0">
        <w:rPr>
          <w:rFonts w:ascii="Verdana" w:eastAsia="Times New Roman" w:hAnsi="Verdana" w:cs="Arial"/>
          <w:color w:val="000000"/>
          <w:lang w:val="es-ES_tradnl" w:eastAsia="es-ES_tradnl"/>
        </w:rPr>
        <w:t>statales, durante la fase de planeación debe precaver los riesgos que</w:t>
      </w:r>
      <w:r w:rsidR="00F00158" w:rsidRPr="00942EA0">
        <w:rPr>
          <w:rFonts w:ascii="Verdana" w:eastAsia="Times New Roman" w:hAnsi="Verdana" w:cs="Arial"/>
          <w:color w:val="000000"/>
          <w:lang w:val="es-ES_tradnl" w:eastAsia="es-ES_tradnl"/>
        </w:rPr>
        <w:t xml:space="preserve"> </w:t>
      </w:r>
      <w:r w:rsidR="00CB79C9" w:rsidRPr="00942EA0">
        <w:rPr>
          <w:rFonts w:ascii="Verdana" w:eastAsia="Times New Roman" w:hAnsi="Verdana" w:cs="Arial"/>
          <w:color w:val="000000"/>
          <w:lang w:val="es-ES_tradnl" w:eastAsia="es-ES_tradnl"/>
        </w:rPr>
        <w:t xml:space="preserve">pueden afectar la ejecución normal del contrato, pero esto no elimina la probabilidad de que ocurran sucesos posteriores y extraordinarios que lleven a las partes a acordar la suspensión o que paralicen el contrato </w:t>
      </w:r>
      <w:r w:rsidR="00CB79C9" w:rsidRPr="00942EA0">
        <w:rPr>
          <w:rFonts w:ascii="Verdana" w:eastAsia="Times New Roman" w:hAnsi="Verdana" w:cs="Arial"/>
          <w:i/>
          <w:iCs/>
          <w:color w:val="000000"/>
          <w:lang w:val="es-ES_tradnl" w:eastAsia="es-ES_tradnl"/>
        </w:rPr>
        <w:t>de facto</w:t>
      </w:r>
      <w:r w:rsidR="00CB79C9" w:rsidRPr="00942EA0">
        <w:rPr>
          <w:rFonts w:ascii="Verdana" w:eastAsia="Times New Roman" w:hAnsi="Verdana" w:cs="Arial"/>
          <w:color w:val="000000"/>
          <w:lang w:val="es-ES_tradnl" w:eastAsia="es-ES_tradnl"/>
        </w:rPr>
        <w:t xml:space="preserve">, mientras se resuelven las situaciones que están incidiendo negativamente en el desarrollo del negocio o que lo están tornando imposible. Esto quiere decir que la suspensión puede ser acordada por </w:t>
      </w:r>
      <w:r w:rsidR="00CB79C9" w:rsidRPr="00942EA0">
        <w:rPr>
          <w:rFonts w:ascii="Verdana" w:eastAsia="Times New Roman" w:hAnsi="Verdana" w:cs="Arial"/>
          <w:color w:val="000000"/>
          <w:lang w:val="es-ES_tradnl" w:eastAsia="es-ES_tradnl"/>
        </w:rPr>
        <w:lastRenderedPageBreak/>
        <w:t>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00CB79C9" w:rsidRPr="00942EA0">
        <w:rPr>
          <w:rStyle w:val="Refdenotaalpie"/>
          <w:rFonts w:ascii="Verdana" w:hAnsi="Verdana" w:cs="Arial"/>
        </w:rPr>
        <w:footnoteReference w:id="17"/>
      </w:r>
      <w:r w:rsidR="00CB79C9" w:rsidRPr="00942EA0">
        <w:rPr>
          <w:rFonts w:ascii="Verdana" w:eastAsia="Times New Roman" w:hAnsi="Verdana" w:cs="Arial"/>
          <w:color w:val="000000"/>
          <w:lang w:val="es-ES_tradnl" w:eastAsia="es-ES_tradnl"/>
        </w:rPr>
        <w:t>; es decir, por factores que constituyan razones de fuerza mayor o caso fortuito</w:t>
      </w:r>
      <w:r w:rsidR="00CB79C9" w:rsidRPr="00942EA0">
        <w:rPr>
          <w:rStyle w:val="Refdenotaalpie"/>
          <w:rFonts w:ascii="Verdana" w:hAnsi="Verdana" w:cs="Arial"/>
        </w:rPr>
        <w:footnoteReference w:id="18"/>
      </w:r>
      <w:r w:rsidR="00CB79C9" w:rsidRPr="00942EA0">
        <w:rPr>
          <w:rFonts w:ascii="Verdana" w:eastAsia="Times New Roman" w:hAnsi="Verdana" w:cs="Arial"/>
          <w:color w:val="000000"/>
          <w:lang w:val="es-ES_tradnl" w:eastAsia="es-ES_tradnl"/>
        </w:rPr>
        <w:t>. Como explica la doctrina:</w:t>
      </w:r>
    </w:p>
    <w:p w14:paraId="6C2EADA4" w14:textId="77777777" w:rsidR="00CB79C9" w:rsidRPr="00942EA0" w:rsidRDefault="00CB79C9" w:rsidP="00CB79C9">
      <w:pPr>
        <w:spacing w:after="0" w:line="276" w:lineRule="auto"/>
        <w:jc w:val="both"/>
        <w:rPr>
          <w:rFonts w:ascii="Verdana" w:eastAsia="Times New Roman" w:hAnsi="Verdana" w:cs="Arial"/>
          <w:color w:val="000000"/>
          <w:lang w:val="es-ES_tradnl" w:eastAsia="es-ES_tradnl"/>
        </w:rPr>
      </w:pPr>
    </w:p>
    <w:p w14:paraId="55C854F4" w14:textId="77777777" w:rsidR="00CB79C9" w:rsidRPr="00942EA0" w:rsidRDefault="00CB79C9" w:rsidP="00CB79C9">
      <w:pPr>
        <w:spacing w:after="120" w:line="240" w:lineRule="auto"/>
        <w:ind w:left="709" w:right="709"/>
        <w:jc w:val="both"/>
        <w:rPr>
          <w:rFonts w:ascii="Verdana" w:eastAsia="Times New Roman" w:hAnsi="Verdana" w:cs="Arial"/>
          <w:color w:val="000000"/>
          <w:sz w:val="20"/>
          <w:szCs w:val="20"/>
          <w:lang w:val="es-ES" w:eastAsia="es-ES"/>
        </w:rPr>
      </w:pPr>
      <w:r w:rsidRPr="00942EA0">
        <w:rPr>
          <w:rFonts w:ascii="Verdana" w:eastAsia="Times New Roman" w:hAnsi="Verdana" w:cs="Arial"/>
          <w:color w:val="000000" w:themeColor="text1"/>
          <w:sz w:val="20"/>
          <w:szCs w:val="20"/>
          <w:lang w:val="es-ES" w:eastAsia="es-ES"/>
        </w:rPr>
        <w:t xml:space="preserve">“[…] la suspensión como parálisis transitoria del contrato, es provechosa para los intereses públicos cuando no siendo posible continuar con su ejecución por circunstancias imputables a la Administración o por hechos externos, se erige en la medida salvadora para detener el taxímetro creciente que en ciertos contratos implica la permanencia de personal o uso de maquinaria o la existencia de condiciones de ejecución dispuestas por el contratista. Frente a la imposibilidad inmediata de acometer el contrato, muchas veces puede ser conveniente suspenderlo para que el contratista tome las medidas del caso en procura de evitar costos innecesarios para el erario. </w:t>
      </w:r>
    </w:p>
    <w:p w14:paraId="016FEF88" w14:textId="77777777" w:rsidR="00CB79C9" w:rsidRPr="00942EA0" w:rsidRDefault="00CB79C9" w:rsidP="00CB79C9">
      <w:pPr>
        <w:spacing w:after="120" w:line="240" w:lineRule="auto"/>
        <w:ind w:left="709" w:right="709"/>
        <w:jc w:val="both"/>
        <w:rPr>
          <w:rFonts w:ascii="Verdana" w:eastAsia="Times New Roman" w:hAnsi="Verdana" w:cs="Arial"/>
          <w:color w:val="000000"/>
          <w:sz w:val="20"/>
          <w:szCs w:val="20"/>
          <w:lang w:val="es-ES_tradnl" w:eastAsia="es-ES_tradnl"/>
        </w:rPr>
      </w:pPr>
      <w:r w:rsidRPr="00942EA0">
        <w:rPr>
          <w:rFonts w:ascii="Verdana" w:eastAsia="Times New Roman" w:hAnsi="Verdana" w:cs="Arial"/>
          <w:color w:val="000000"/>
          <w:sz w:val="20"/>
          <w:szCs w:val="20"/>
          <w:lang w:val="es-ES_tradnl" w:eastAsia="es-ES_tradnl"/>
        </w:rPr>
        <w:t xml:space="preserve">Hemos dicho que causas atribuibles a la entidad podrían propiciar la suspensión por cuanto muchas veces el incumplimiento de estrictos deberes de conducta a desarrollarse durante la fase preparatoria y de planeación, afectan la ejecución por ausencia de requisitos indispensables, como serían licencias y permisos ambientales o de construcción o la falta de los terrenos indispensables para las obras por demoras en su adquisición. Claro está que la imputación de responsabilidad para la entidad genera derechos pecuniarios resarcibles para el contratista que no pueden eliminarse ni negarse, pero si reducirse mediante la suspensión del contrato. </w:t>
      </w:r>
    </w:p>
    <w:p w14:paraId="3E44F48C" w14:textId="77777777" w:rsidR="00CB79C9" w:rsidRPr="00942EA0" w:rsidRDefault="00CB79C9" w:rsidP="00CB79C9">
      <w:pPr>
        <w:spacing w:after="120" w:line="240" w:lineRule="auto"/>
        <w:ind w:left="709" w:right="709"/>
        <w:jc w:val="both"/>
        <w:rPr>
          <w:rFonts w:ascii="Verdana" w:eastAsia="Times New Roman" w:hAnsi="Verdana" w:cs="Arial"/>
          <w:color w:val="000000"/>
          <w:sz w:val="20"/>
          <w:szCs w:val="20"/>
          <w:lang w:val="es-ES_tradnl" w:eastAsia="es-ES_tradnl"/>
        </w:rPr>
      </w:pPr>
      <w:r w:rsidRPr="00942EA0">
        <w:rPr>
          <w:rFonts w:ascii="Verdana" w:eastAsia="Times New Roman" w:hAnsi="Verdana" w:cs="Arial"/>
          <w:color w:val="000000"/>
          <w:sz w:val="20"/>
          <w:szCs w:val="20"/>
          <w:lang w:val="es-ES_tradnl" w:eastAsia="es-ES_tradnl"/>
        </w:rPr>
        <w:t xml:space="preserve">También hechos ajenos a las partes como podrían ser fenómenos de la naturaleza o acciones del hombre pueden alterar el desarrollo del contrato, incluso impidiendo la ejecución de manera por lo menos, dentro de una previsión normal, transitoria. </w:t>
      </w:r>
    </w:p>
    <w:p w14:paraId="766664EA" w14:textId="77777777" w:rsidR="00CB79C9" w:rsidRPr="00942EA0" w:rsidRDefault="00CB79C9" w:rsidP="00CB79C9">
      <w:pPr>
        <w:spacing w:after="0" w:line="240" w:lineRule="auto"/>
        <w:ind w:left="709" w:right="709"/>
        <w:jc w:val="both"/>
        <w:rPr>
          <w:rFonts w:ascii="Verdana" w:eastAsia="Times New Roman" w:hAnsi="Verdana" w:cs="Arial"/>
          <w:color w:val="000000"/>
          <w:lang w:val="es-ES_tradnl" w:eastAsia="es-ES_tradnl"/>
        </w:rPr>
      </w:pPr>
      <w:r w:rsidRPr="00942EA0">
        <w:rPr>
          <w:rFonts w:ascii="Verdana" w:eastAsia="Times New Roman" w:hAnsi="Verdana" w:cs="Arial"/>
          <w:color w:val="000000"/>
          <w:sz w:val="20"/>
          <w:szCs w:val="20"/>
          <w:lang w:val="es-ES_tradnl" w:eastAsia="es-ES_tradnl"/>
        </w:rPr>
        <w:t xml:space="preserve">Bajo las condiciones expuestas, la suspensión del contrato debe hacerse de común acuerdo entre las partes. El convenio que la contenga debe consignar las razones que la fundamentan y las medidas que se van a adoptar para hacerla viable, así como las condiciones indispensables para reiniciar la ejecución del contrato. Como acuerdo que es, implica la necesaria concurrencia de la voluntad del contratista. No se vería razón </w:t>
      </w:r>
      <w:r w:rsidRPr="00942EA0">
        <w:rPr>
          <w:rFonts w:ascii="Verdana" w:eastAsia="Times New Roman" w:hAnsi="Verdana" w:cs="Arial"/>
          <w:color w:val="000000"/>
          <w:sz w:val="20"/>
          <w:szCs w:val="20"/>
          <w:lang w:val="es-ES_tradnl" w:eastAsia="es-ES_tradnl"/>
        </w:rPr>
        <w:lastRenderedPageBreak/>
        <w:t>para la negativa de este siendo que la imposibilidad de ejecución y la ausencia de una medida semejante, irían en contra de sus intereses por el acortamiento del plazo contractual […]”</w:t>
      </w:r>
      <w:r w:rsidRPr="00942EA0">
        <w:rPr>
          <w:rStyle w:val="Refdenotaalpie"/>
          <w:rFonts w:ascii="Verdana" w:eastAsia="Times New Roman" w:hAnsi="Verdana" w:cs="Arial"/>
          <w:color w:val="000000"/>
          <w:sz w:val="20"/>
          <w:szCs w:val="20"/>
          <w:lang w:val="es-ES_tradnl" w:eastAsia="es-ES_tradnl"/>
        </w:rPr>
        <w:footnoteReference w:id="19"/>
      </w:r>
      <w:r w:rsidRPr="00942EA0">
        <w:rPr>
          <w:rFonts w:ascii="Verdana" w:eastAsia="Times New Roman" w:hAnsi="Verdana" w:cs="Arial"/>
          <w:color w:val="000000"/>
          <w:sz w:val="20"/>
          <w:szCs w:val="20"/>
          <w:lang w:val="es-ES_tradnl" w:eastAsia="es-ES_tradnl"/>
        </w:rPr>
        <w:t>.</w:t>
      </w:r>
    </w:p>
    <w:p w14:paraId="513A6A4E" w14:textId="77777777" w:rsidR="00CB79C9" w:rsidRPr="00942EA0" w:rsidRDefault="00CB79C9" w:rsidP="00CB79C9">
      <w:pPr>
        <w:spacing w:after="0" w:line="276" w:lineRule="auto"/>
        <w:jc w:val="both"/>
        <w:rPr>
          <w:rFonts w:ascii="Verdana" w:eastAsia="Times New Roman" w:hAnsi="Verdana" w:cs="Arial"/>
          <w:color w:val="000000"/>
          <w:lang w:val="es-ES_tradnl" w:eastAsia="es-ES_tradnl"/>
        </w:rPr>
      </w:pPr>
    </w:p>
    <w:p w14:paraId="490D1192" w14:textId="77777777" w:rsidR="00CB79C9" w:rsidRPr="00942EA0" w:rsidRDefault="00CB79C9" w:rsidP="00CB79C9">
      <w:pPr>
        <w:spacing w:after="120" w:line="276" w:lineRule="auto"/>
        <w:ind w:firstLine="709"/>
        <w:jc w:val="both"/>
        <w:rPr>
          <w:rFonts w:ascii="Verdana" w:eastAsia="Times New Roman" w:hAnsi="Verdana" w:cs="Arial"/>
          <w:color w:val="000000"/>
          <w:lang w:val="es-ES_tradnl" w:eastAsia="es-ES_tradnl"/>
        </w:rPr>
      </w:pPr>
      <w:r w:rsidRPr="00942EA0">
        <w:rPr>
          <w:rFonts w:ascii="Verdana" w:eastAsia="Times New Roman" w:hAnsi="Verdana" w:cs="Arial"/>
          <w:color w:val="000000"/>
          <w:lang w:val="es-ES_tradnl" w:eastAsia="es-ES_tradnl"/>
        </w:rPr>
        <w:t>Por lo tanto, aun cuando un contrato se suspenda, conserva vigencia, pues su plazo no ha vencido, precisamente uno de los efectos de la suspensión es que se detiene provisionalmente el cómputo del plazo y, además las obligaciones de las partes están pendientes de cumplimiento a cabalidad</w:t>
      </w:r>
      <w:r w:rsidRPr="00942EA0">
        <w:rPr>
          <w:rStyle w:val="Refdenotaalpie"/>
          <w:rFonts w:ascii="Verdana" w:hAnsi="Verdana" w:cs="Arial"/>
        </w:rPr>
        <w:footnoteReference w:id="20"/>
      </w:r>
      <w:r w:rsidRPr="00942EA0">
        <w:rPr>
          <w:rFonts w:ascii="Verdana" w:eastAsia="Times New Roman" w:hAnsi="Verdana" w:cs="Arial"/>
          <w:color w:val="000000"/>
          <w:lang w:val="es-ES_tradnl" w:eastAsia="es-ES_tradnl"/>
        </w:rPr>
        <w:t xml:space="preserve">. </w:t>
      </w:r>
    </w:p>
    <w:p w14:paraId="7639EDE4" w14:textId="77777777" w:rsidR="00B04AED" w:rsidRPr="00942EA0" w:rsidRDefault="00BF73ED" w:rsidP="00B04AED">
      <w:pPr>
        <w:spacing w:before="120" w:after="120" w:line="276" w:lineRule="auto"/>
        <w:ind w:firstLine="709"/>
        <w:jc w:val="both"/>
        <w:rPr>
          <w:rFonts w:ascii="Verdana" w:eastAsia="Times New Roman" w:hAnsi="Verdana" w:cs="Arial"/>
          <w:color w:val="000000"/>
          <w:lang w:val="es-ES_tradnl" w:eastAsia="es-ES_tradnl"/>
        </w:rPr>
      </w:pPr>
      <w:r w:rsidRPr="00942EA0">
        <w:rPr>
          <w:rFonts w:ascii="Verdana" w:eastAsia="Times New Roman" w:hAnsi="Verdana" w:cs="Arial"/>
          <w:color w:val="000000"/>
          <w:lang w:val="es-ES_tradnl" w:eastAsia="es-ES_tradnl"/>
        </w:rPr>
        <w:t>Así las cosas, m</w:t>
      </w:r>
      <w:r w:rsidR="00CB79C9" w:rsidRPr="00942EA0">
        <w:rPr>
          <w:rFonts w:ascii="Verdana" w:eastAsia="Times New Roman" w:hAnsi="Verdana" w:cs="Arial"/>
          <w:color w:val="000000"/>
          <w:lang w:val="es-ES_tradnl" w:eastAsia="es-ES_tradnl"/>
        </w:rPr>
        <w:t>ientras el contrato no se haya reiniciado, la suspensión genera tanto el congelamiento de las obligaciones principales como la neutralización del cómputo del plazo. De esta manera, “[…] se interrumpe temporalmente la ejecución, sin que ello extinga las obligaciones asumidas ni suponga terminación anticipada; durante ese período no se generan obligaciones de ejecución para las partes respecto de las prestaciones suspendidas y no corren los plazos de ejecución […]”</w:t>
      </w:r>
      <w:r w:rsidR="00CB79C9" w:rsidRPr="00942EA0">
        <w:rPr>
          <w:rStyle w:val="Refdenotaalpie"/>
          <w:rFonts w:ascii="Verdana" w:eastAsia="Times New Roman" w:hAnsi="Verdana" w:cs="Arial"/>
          <w:color w:val="000000"/>
          <w:lang w:val="es-ES_tradnl" w:eastAsia="es-ES_tradnl"/>
        </w:rPr>
        <w:footnoteReference w:id="21"/>
      </w:r>
      <w:r w:rsidR="00CB79C9" w:rsidRPr="00942EA0">
        <w:rPr>
          <w:rFonts w:ascii="Verdana" w:eastAsia="Times New Roman" w:hAnsi="Verdana" w:cs="Arial"/>
          <w:color w:val="000000"/>
          <w:lang w:val="es-ES_tradnl" w:eastAsia="es-ES_tradnl"/>
        </w:rPr>
        <w:t xml:space="preserve">. </w:t>
      </w:r>
    </w:p>
    <w:p w14:paraId="0517FE90" w14:textId="2686F073" w:rsidR="00B04AED" w:rsidRPr="00942EA0" w:rsidRDefault="00BF73ED" w:rsidP="00B04AED">
      <w:pPr>
        <w:spacing w:before="120" w:after="120" w:line="276" w:lineRule="auto"/>
        <w:ind w:firstLine="709"/>
        <w:jc w:val="both"/>
        <w:rPr>
          <w:rFonts w:ascii="Verdana" w:eastAsia="Times New Roman" w:hAnsi="Verdana" w:cs="Arial"/>
          <w:color w:val="000000"/>
          <w:lang w:val="es-ES_tradnl" w:eastAsia="es-ES_tradnl"/>
        </w:rPr>
      </w:pPr>
      <w:r w:rsidRPr="00942EA0">
        <w:rPr>
          <w:rFonts w:ascii="Verdana" w:eastAsia="Times New Roman" w:hAnsi="Verdana" w:cs="Arial"/>
          <w:color w:val="000000"/>
          <w:lang w:val="es-ES_tradnl" w:eastAsia="es-ES_tradnl"/>
        </w:rPr>
        <w:t xml:space="preserve">De lo expuesto, </w:t>
      </w:r>
      <w:r w:rsidR="00714FB4" w:rsidRPr="00942EA0">
        <w:rPr>
          <w:rFonts w:ascii="Verdana" w:eastAsia="Times New Roman" w:hAnsi="Verdana" w:cs="Arial"/>
          <w:color w:val="000000"/>
          <w:lang w:val="es-ES_tradnl" w:eastAsia="es-ES_tradnl"/>
        </w:rPr>
        <w:t xml:space="preserve">y de cara a la consulta elevada, </w:t>
      </w:r>
      <w:r w:rsidR="00714FB4" w:rsidRPr="00942EA0">
        <w:rPr>
          <w:rFonts w:ascii="Verdana" w:hAnsi="Verdana"/>
        </w:rPr>
        <w:t>se</w:t>
      </w:r>
      <w:r w:rsidR="00B04AED" w:rsidRPr="00942EA0">
        <w:rPr>
          <w:rFonts w:ascii="Verdana" w:hAnsi="Verdana"/>
        </w:rPr>
        <w:t xml:space="preserve"> </w:t>
      </w:r>
      <w:r w:rsidR="00B7197A" w:rsidRPr="00942EA0">
        <w:rPr>
          <w:rFonts w:ascii="Verdana" w:hAnsi="Verdana"/>
        </w:rPr>
        <w:t>precisa</w:t>
      </w:r>
      <w:r w:rsidR="00B04AED" w:rsidRPr="00942EA0">
        <w:rPr>
          <w:rFonts w:ascii="Verdana" w:hAnsi="Verdana"/>
        </w:rPr>
        <w:t xml:space="preserve"> que la suspensión del contrato estatal es una figura excepcional mediante la cual las partes acuerdan la paralización temporal de la ejecución del objeto contractual, sin que ello implique su terminación ni la extinción de las obligaciones ya causadas. Su efecto jurídico principal consiste en interrumpir el plazo de ejecución y, en consecuencia, suspender la exigibilidad de nuevas prestaciones y contraprestaciones derivadas de la ejecución futura del contrato. No obstante, la suspensión no opera con efectos retroactivos y, por tanto, no afecta las </w:t>
      </w:r>
      <w:r w:rsidR="00B04AED" w:rsidRPr="00942EA0">
        <w:rPr>
          <w:rFonts w:ascii="Verdana" w:hAnsi="Verdana"/>
        </w:rPr>
        <w:lastRenderedPageBreak/>
        <w:t>obligaciones que ya se causaron, se ejecutaron y fueron recibidas a satisfacción con anterioridad a su suscripción.</w:t>
      </w:r>
    </w:p>
    <w:p w14:paraId="048D9B5B" w14:textId="77777777" w:rsidR="00B04AED" w:rsidRPr="00942EA0" w:rsidRDefault="00B04AED" w:rsidP="00B04AED">
      <w:pPr>
        <w:spacing w:after="240" w:line="276" w:lineRule="auto"/>
        <w:ind w:firstLine="708"/>
        <w:jc w:val="both"/>
        <w:rPr>
          <w:rFonts w:ascii="Verdana" w:hAnsi="Verdana"/>
        </w:rPr>
      </w:pPr>
      <w:r w:rsidRPr="00942EA0">
        <w:rPr>
          <w:rFonts w:ascii="Verdana" w:hAnsi="Verdana"/>
        </w:rPr>
        <w:t>En ese orden, el contratista conserva el derecho a solicitar y obtener el pago de los servicios efectivamente prestados y recibidos a satisfacción con anterioridad a la fecha de suspensión, en tanto se trata de obligaciones ya causadas y exigibles, ajenas al período suspendido. Este derecho encuentra sustento en el principio de equilibrio económico del contrato (artículo 27 de la Ley 80 de 1993) y en el deber correlativo de la entidad de cumplir las contraprestaciones derivadas de prestaciones ya cumplidas, con independencia de que el plazo de ejecución se encuentre suspendido.</w:t>
      </w:r>
    </w:p>
    <w:p w14:paraId="478D98A6" w14:textId="77777777" w:rsidR="00B04AED" w:rsidRPr="00942EA0" w:rsidRDefault="00B04AED" w:rsidP="00B04AED">
      <w:pPr>
        <w:spacing w:after="240" w:line="276" w:lineRule="auto"/>
        <w:ind w:firstLine="708"/>
        <w:jc w:val="both"/>
        <w:rPr>
          <w:rFonts w:ascii="Verdana" w:hAnsi="Verdana"/>
        </w:rPr>
      </w:pPr>
      <w:r w:rsidRPr="00942EA0">
        <w:rPr>
          <w:rFonts w:ascii="Verdana" w:hAnsi="Verdana"/>
        </w:rPr>
        <w:t xml:space="preserve">En síntesis, no existe prohibición para que el supervisor autorice el pago de los servicios efectivamente prestados por el contratista. La suspensión impide la ejecución de nuevas actividades y la </w:t>
      </w:r>
      <w:proofErr w:type="spellStart"/>
      <w:r w:rsidRPr="00942EA0">
        <w:rPr>
          <w:rFonts w:ascii="Verdana" w:hAnsi="Verdana"/>
        </w:rPr>
        <w:t>causación</w:t>
      </w:r>
      <w:proofErr w:type="spellEnd"/>
      <w:r w:rsidRPr="00942EA0">
        <w:rPr>
          <w:rFonts w:ascii="Verdana" w:hAnsi="Verdana"/>
        </w:rPr>
        <w:t xml:space="preserve"> de obligaciones adicionales durante el período suspendido, pero no paraliza los trámites administrativos, presupuestales y financieros orientados al reconocimiento de obligaciones causadas con anterioridad. El acta de suspensión afecta el plazo de ejecución del objeto contractual, mas no la exigibilidad de los pagos ya generados. Por el contrario, la omisión injustificada de dichos trámites podría generar mora y, con ella, la </w:t>
      </w:r>
      <w:proofErr w:type="spellStart"/>
      <w:r w:rsidRPr="00942EA0">
        <w:rPr>
          <w:rFonts w:ascii="Verdana" w:hAnsi="Verdana"/>
        </w:rPr>
        <w:t>causación</w:t>
      </w:r>
      <w:proofErr w:type="spellEnd"/>
      <w:r w:rsidRPr="00942EA0">
        <w:rPr>
          <w:rFonts w:ascii="Verdana" w:hAnsi="Verdana"/>
        </w:rPr>
        <w:t xml:space="preserve"> de intereses moratorios a cargo de la entidad. </w:t>
      </w:r>
    </w:p>
    <w:p w14:paraId="1E25E0B0" w14:textId="77777777" w:rsidR="00B04AED" w:rsidRPr="00942EA0" w:rsidRDefault="00B04AED" w:rsidP="00B04AED">
      <w:pPr>
        <w:spacing w:line="276" w:lineRule="auto"/>
        <w:jc w:val="both"/>
        <w:rPr>
          <w:rFonts w:ascii="Verdana" w:hAnsi="Verdana"/>
        </w:rPr>
      </w:pPr>
      <w:proofErr w:type="spellStart"/>
      <w:r w:rsidRPr="00942EA0">
        <w:rPr>
          <w:rFonts w:ascii="Verdana" w:hAnsi="Verdana"/>
        </w:rPr>
        <w:t>ii</w:t>
      </w:r>
      <w:proofErr w:type="spellEnd"/>
      <w:r w:rsidRPr="00942EA0">
        <w:rPr>
          <w:rFonts w:ascii="Verdana" w:hAnsi="Verdana"/>
        </w:rPr>
        <w:t>) Frente al segundo problema planteado, resulta pertinente indicar que no se configuraría una presunta falta disciplinaria al supervisor que autorice el pago siempre que este corresponda a servicios efectivamente ejecutados y recibidos a satisfacción antes de la suspensión, con el respectivo soporte de supervisión, y que se surtan los trámites presupuestales y contables correspondientes conforme a los procedimientos internos de la entidad. En sentido contrario, es la omisión o dilación injustificada en el trámite de un pago debido —no su procesamiento— la conducta que podría dar lugar a un eventual reproche disciplinario, en la medida en que comprometiera el cumplimiento de los deberes funcionales del servidor público.</w:t>
      </w:r>
    </w:p>
    <w:p w14:paraId="21840562" w14:textId="3537470C" w:rsidR="001719FA" w:rsidRPr="00942EA0" w:rsidRDefault="00B04AED" w:rsidP="00B7197A">
      <w:pPr>
        <w:spacing w:line="276" w:lineRule="auto"/>
        <w:ind w:firstLine="708"/>
        <w:jc w:val="both"/>
        <w:rPr>
          <w:rFonts w:ascii="Verdana" w:hAnsi="Verdana"/>
        </w:rPr>
      </w:pPr>
      <w:r w:rsidRPr="00942EA0">
        <w:rPr>
          <w:rFonts w:ascii="Verdana" w:hAnsi="Verdana"/>
        </w:rPr>
        <w:t xml:space="preserve">En conclusión, el trámite del pago por servicios prestados antes de la suspensión resulta consecuente con los principios que rigen la contratación estatal, particularmente el de responsabilidad y el de economía, y con el mandato de mantener la ecuación contractual (artículo 27, Ley 80 de 1993), así como con los derechos del contratista consagrados en el artículo 5 de dicho </w:t>
      </w:r>
      <w:r w:rsidRPr="00942EA0">
        <w:rPr>
          <w:rFonts w:ascii="Verdana" w:hAnsi="Verdana"/>
        </w:rPr>
        <w:lastRenderedPageBreak/>
        <w:t>estatuto. Es, en todo caso, la abstención de pagar lo efectivamente ejecutado la que podría considerarse contraria a dichos lineamientos normativos, al configurar un eventual incumplimiento contractual imputable a la entidad.</w:t>
      </w:r>
    </w:p>
    <w:p w14:paraId="1AF8DB9F" w14:textId="157868CC" w:rsidR="006333FB" w:rsidRPr="00942EA0" w:rsidRDefault="006333FB" w:rsidP="006333FB">
      <w:pPr>
        <w:spacing w:after="120" w:line="276" w:lineRule="auto"/>
        <w:jc w:val="both"/>
        <w:rPr>
          <w:rFonts w:ascii="Verdana" w:hAnsi="Verdana" w:cs="Arial"/>
          <w:lang w:eastAsia="es-ES"/>
        </w:rPr>
      </w:pPr>
      <w:proofErr w:type="spellStart"/>
      <w:r w:rsidRPr="00942EA0">
        <w:rPr>
          <w:rFonts w:ascii="Verdana" w:hAnsi="Verdana" w:cs="Arial"/>
          <w:lang w:eastAsia="es-ES"/>
        </w:rPr>
        <w:t>iii</w:t>
      </w:r>
      <w:proofErr w:type="spellEnd"/>
      <w:r w:rsidRPr="00942EA0">
        <w:rPr>
          <w:rFonts w:ascii="Verdana" w:hAnsi="Verdana" w:cs="Arial"/>
          <w:lang w:eastAsia="es-ES"/>
        </w:rPr>
        <w:t xml:space="preserve">. Al margen de la explicación precedente debe advertirse que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580E20E0" w14:textId="77777777" w:rsidR="006333FB" w:rsidRPr="00942EA0" w:rsidRDefault="006333FB" w:rsidP="006152B1">
      <w:pPr>
        <w:spacing w:after="0" w:line="276" w:lineRule="auto"/>
        <w:ind w:firstLine="360"/>
        <w:jc w:val="both"/>
        <w:rPr>
          <w:rFonts w:ascii="Verdana" w:hAnsi="Verdana" w:cs="Arial"/>
          <w:lang w:eastAsia="es-ES"/>
        </w:rPr>
      </w:pPr>
      <w:r w:rsidRPr="00942EA0">
        <w:rPr>
          <w:rFonts w:ascii="Verdana" w:hAnsi="Verdana" w:cs="Arial"/>
          <w:lang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4BAF976" w14:textId="77777777" w:rsidR="00512C72" w:rsidRPr="00942EA0" w:rsidRDefault="00512C72" w:rsidP="00512C72">
      <w:pPr>
        <w:spacing w:after="0" w:line="276" w:lineRule="auto"/>
        <w:ind w:firstLine="709"/>
        <w:jc w:val="both"/>
        <w:rPr>
          <w:rFonts w:ascii="Verdana" w:hAnsi="Verdana" w:cs="Arial"/>
        </w:rPr>
      </w:pPr>
    </w:p>
    <w:p w14:paraId="4401201A" w14:textId="11D1A7AD" w:rsidR="00512C72" w:rsidRPr="00942EA0" w:rsidRDefault="00512C72" w:rsidP="002462E8">
      <w:pPr>
        <w:pStyle w:val="Prrafodelista"/>
        <w:numPr>
          <w:ilvl w:val="0"/>
          <w:numId w:val="18"/>
        </w:numPr>
        <w:tabs>
          <w:tab w:val="left" w:pos="142"/>
          <w:tab w:val="left" w:pos="284"/>
        </w:tabs>
        <w:spacing w:after="0" w:line="276" w:lineRule="auto"/>
        <w:ind w:left="360"/>
        <w:jc w:val="both"/>
        <w:rPr>
          <w:rFonts w:ascii="Verdana" w:eastAsia="Century Gothic" w:hAnsi="Verdana" w:cs="Century Gothic"/>
          <w:b/>
          <w:bCs/>
        </w:rPr>
      </w:pPr>
      <w:r w:rsidRPr="00942EA0">
        <w:rPr>
          <w:rFonts w:ascii="Verdana" w:eastAsia="Century Gothic" w:hAnsi="Verdana" w:cs="Century Gothic"/>
          <w:b/>
          <w:bCs/>
        </w:rPr>
        <w:t>Referencias normativas, jurisprudenciales y otras fuentes:</w:t>
      </w:r>
    </w:p>
    <w:p w14:paraId="7A395624" w14:textId="77777777" w:rsidR="00512C72" w:rsidRPr="00942EA0" w:rsidRDefault="00512C72" w:rsidP="00512C7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2C72" w:rsidRPr="00942EA0" w14:paraId="12ED1635" w14:textId="77777777" w:rsidTr="00D93A23">
        <w:trPr>
          <w:trHeight w:val="870"/>
        </w:trPr>
        <w:tc>
          <w:tcPr>
            <w:tcW w:w="8647" w:type="dxa"/>
          </w:tcPr>
          <w:p w14:paraId="04AA94F9" w14:textId="77777777" w:rsidR="00512C72" w:rsidRPr="00942EA0" w:rsidRDefault="00512C72" w:rsidP="00D93A23">
            <w:pPr>
              <w:pStyle w:val="Prrafodelista"/>
              <w:numPr>
                <w:ilvl w:val="0"/>
                <w:numId w:val="17"/>
              </w:numPr>
              <w:spacing w:line="276" w:lineRule="auto"/>
              <w:ind w:left="360"/>
              <w:jc w:val="both"/>
              <w:rPr>
                <w:rFonts w:ascii="Verdana" w:eastAsia="Arial" w:hAnsi="Verdana" w:cs="Arial"/>
                <w:color w:val="000000"/>
              </w:rPr>
            </w:pPr>
            <w:r w:rsidRPr="00942EA0">
              <w:rPr>
                <w:rFonts w:ascii="Verdana" w:eastAsia="Arial" w:hAnsi="Verdana" w:cs="Arial"/>
                <w:color w:val="000000"/>
              </w:rPr>
              <w:t xml:space="preserve">Ley 80 de 1993: Numeral 3 del artículo 32. </w:t>
            </w:r>
          </w:p>
          <w:p w14:paraId="1F21CB88" w14:textId="77777777" w:rsidR="00512C72" w:rsidRPr="00942EA0" w:rsidRDefault="00512C72" w:rsidP="00D93A23">
            <w:pPr>
              <w:pStyle w:val="Prrafodelista"/>
              <w:numPr>
                <w:ilvl w:val="0"/>
                <w:numId w:val="17"/>
              </w:numPr>
              <w:spacing w:line="276" w:lineRule="auto"/>
              <w:ind w:left="360"/>
              <w:jc w:val="both"/>
              <w:rPr>
                <w:rFonts w:ascii="Verdana" w:eastAsia="Arial" w:hAnsi="Verdana" w:cs="Arial"/>
                <w:color w:val="000000"/>
              </w:rPr>
            </w:pPr>
            <w:r w:rsidRPr="00942EA0">
              <w:rPr>
                <w:rFonts w:ascii="Verdana" w:eastAsia="Arial" w:hAnsi="Verdana" w:cs="Arial"/>
                <w:color w:val="000000"/>
              </w:rPr>
              <w:t xml:space="preserve">Ley 1150 de 2007: artículo 2, numeral 4°, literal h). </w:t>
            </w:r>
          </w:p>
          <w:p w14:paraId="6E89E749" w14:textId="77777777" w:rsidR="00512C72" w:rsidRPr="00942EA0" w:rsidRDefault="00512C72" w:rsidP="00D93A23">
            <w:pPr>
              <w:pStyle w:val="Prrafodelista"/>
              <w:numPr>
                <w:ilvl w:val="0"/>
                <w:numId w:val="17"/>
              </w:numPr>
              <w:spacing w:line="276" w:lineRule="auto"/>
              <w:ind w:left="360"/>
              <w:jc w:val="both"/>
              <w:rPr>
                <w:rFonts w:ascii="Verdana" w:eastAsia="Arial" w:hAnsi="Verdana" w:cs="Arial"/>
                <w:color w:val="000000"/>
              </w:rPr>
            </w:pPr>
            <w:r w:rsidRPr="00942EA0">
              <w:rPr>
                <w:rFonts w:ascii="Verdana" w:eastAsia="Arial" w:hAnsi="Verdana" w:cs="Arial"/>
                <w:color w:val="000000"/>
              </w:rPr>
              <w:t xml:space="preserve">Decreto 1082 de 2015: Artículo 2.2.1.2.1.4.9. </w:t>
            </w:r>
          </w:p>
          <w:p w14:paraId="3B7AD547" w14:textId="77777777" w:rsidR="00512C72" w:rsidRPr="00942EA0" w:rsidRDefault="00512C72" w:rsidP="00D93A23">
            <w:pPr>
              <w:pStyle w:val="Prrafodelista"/>
              <w:numPr>
                <w:ilvl w:val="0"/>
                <w:numId w:val="17"/>
              </w:numPr>
              <w:spacing w:line="276" w:lineRule="auto"/>
              <w:ind w:left="360"/>
              <w:jc w:val="both"/>
              <w:rPr>
                <w:rFonts w:ascii="Verdana" w:hAnsi="Verdana" w:cs="Arial"/>
              </w:rPr>
            </w:pPr>
            <w:r w:rsidRPr="00942EA0">
              <w:rPr>
                <w:rFonts w:ascii="Verdana" w:hAnsi="Verdana" w:cs="Arial"/>
                <w:lang w:val="pt-BR"/>
              </w:rPr>
              <w:t xml:space="preserve">Corte Constitucional. Sentencia C-154 de 1997. </w:t>
            </w:r>
            <w:r w:rsidRPr="00942EA0">
              <w:rPr>
                <w:rFonts w:ascii="Verdana" w:hAnsi="Verdana" w:cs="Arial"/>
              </w:rPr>
              <w:t>Magistrado Ponente: Hernando Herrera Vergara.</w:t>
            </w:r>
          </w:p>
          <w:p w14:paraId="7254E513" w14:textId="77777777" w:rsidR="00512C72" w:rsidRPr="00942EA0" w:rsidRDefault="00512C72" w:rsidP="00D93A23">
            <w:pPr>
              <w:pStyle w:val="Prrafodelista"/>
              <w:numPr>
                <w:ilvl w:val="0"/>
                <w:numId w:val="17"/>
              </w:numPr>
              <w:spacing w:line="276" w:lineRule="auto"/>
              <w:ind w:left="360"/>
              <w:jc w:val="both"/>
              <w:rPr>
                <w:rFonts w:ascii="Verdana" w:eastAsia="Arial" w:hAnsi="Verdana" w:cs="Arial"/>
                <w:color w:val="000000"/>
              </w:rPr>
            </w:pPr>
            <w:r w:rsidRPr="00942EA0">
              <w:rPr>
                <w:rFonts w:ascii="Verdana" w:hAnsi="Verdana" w:cs="Arial"/>
                <w:color w:val="000000"/>
              </w:rPr>
              <w:t xml:space="preserve">Consejo de Estado. </w:t>
            </w:r>
            <w:r w:rsidRPr="00942EA0">
              <w:rPr>
                <w:rFonts w:ascii="Verdana" w:eastAsia="Arial" w:hAnsi="Verdana" w:cs="Arial"/>
                <w:color w:val="000000"/>
              </w:rPr>
              <w:t xml:space="preserve">Sentencia de Unificación Jurisprudencial del 09 de septiembre de 2021. </w:t>
            </w:r>
          </w:p>
          <w:p w14:paraId="3DE4F367" w14:textId="77777777" w:rsidR="00512C72" w:rsidRPr="00942EA0" w:rsidRDefault="00512C72" w:rsidP="00D93A23">
            <w:pPr>
              <w:pStyle w:val="Prrafodelista"/>
              <w:numPr>
                <w:ilvl w:val="0"/>
                <w:numId w:val="17"/>
              </w:numPr>
              <w:spacing w:line="276" w:lineRule="auto"/>
              <w:ind w:left="360"/>
              <w:jc w:val="both"/>
              <w:rPr>
                <w:rFonts w:ascii="Verdana" w:hAnsi="Verdana"/>
              </w:rPr>
            </w:pPr>
            <w:r w:rsidRPr="00942EA0">
              <w:rPr>
                <w:rFonts w:ascii="Verdana" w:hAnsi="Verdana" w:cs="Arial"/>
              </w:rPr>
              <w:t xml:space="preserve">Consejo de Estado. Sala de lo Contencioso Administrativo. Sección Tercera. Subsección A. Sentencia del 11 de abril de 2012. Radicado </w:t>
            </w:r>
            <w:hyperlink r:id="rId12" w:anchor="0" w:history="1">
              <w:r w:rsidRPr="00942EA0">
                <w:rPr>
                  <w:rStyle w:val="Hipervnculo"/>
                  <w:rFonts w:ascii="Verdana" w:hAnsi="Verdana" w:cs="Arial"/>
                  <w:color w:val="auto"/>
                  <w:u w:val="none"/>
                </w:rPr>
                <w:t>17434</w:t>
              </w:r>
            </w:hyperlink>
            <w:r w:rsidRPr="00942EA0">
              <w:rPr>
                <w:rFonts w:ascii="Verdana" w:hAnsi="Verdana"/>
              </w:rPr>
              <w:t xml:space="preserve">. </w:t>
            </w:r>
            <w:r w:rsidRPr="00942EA0">
              <w:rPr>
                <w:rFonts w:ascii="Verdana" w:hAnsi="Verdana" w:cs="Arial"/>
              </w:rPr>
              <w:t xml:space="preserve">Consejero Ponente: Carlos Alberto Zambrano Barrera. </w:t>
            </w:r>
          </w:p>
          <w:p w14:paraId="135A86AB" w14:textId="77777777" w:rsidR="00512C72" w:rsidRPr="00942EA0" w:rsidRDefault="00512C72" w:rsidP="00D93A23">
            <w:pPr>
              <w:pStyle w:val="Prrafodelista"/>
              <w:numPr>
                <w:ilvl w:val="0"/>
                <w:numId w:val="17"/>
              </w:numPr>
              <w:spacing w:line="276" w:lineRule="auto"/>
              <w:ind w:left="360"/>
              <w:jc w:val="both"/>
              <w:rPr>
                <w:rFonts w:ascii="Verdana" w:hAnsi="Verdana" w:cs="Arial"/>
                <w:color w:val="000000"/>
              </w:rPr>
            </w:pPr>
            <w:r w:rsidRPr="00942EA0">
              <w:rPr>
                <w:rFonts w:ascii="Verdana" w:hAnsi="Verdana" w:cs="Arial"/>
                <w:color w:val="000000"/>
              </w:rPr>
              <w:t xml:space="preserve">Consejo de Estado. </w:t>
            </w:r>
            <w:r w:rsidRPr="00942EA0">
              <w:rPr>
                <w:rFonts w:ascii="Verdana" w:hAnsi="Verdana" w:cs="Arial"/>
              </w:rPr>
              <w:t xml:space="preserve">Sala de lo Contencioso Administrativo. </w:t>
            </w:r>
            <w:r w:rsidRPr="00942EA0">
              <w:rPr>
                <w:rFonts w:ascii="Verdana" w:hAnsi="Verdana" w:cs="Arial"/>
                <w:color w:val="000000"/>
              </w:rPr>
              <w:t xml:space="preserve">Sección Tercera. Subsección C. Sentencia del 2 de diciembre de 2013. </w:t>
            </w:r>
            <w:proofErr w:type="spellStart"/>
            <w:r w:rsidRPr="00942EA0">
              <w:rPr>
                <w:rFonts w:ascii="Verdana" w:hAnsi="Verdana" w:cs="Arial"/>
                <w:color w:val="000000"/>
              </w:rPr>
              <w:t>Exp</w:t>
            </w:r>
            <w:proofErr w:type="spellEnd"/>
            <w:r w:rsidRPr="00942EA0">
              <w:rPr>
                <w:rFonts w:ascii="Verdana" w:hAnsi="Verdana" w:cs="Arial"/>
                <w:color w:val="000000"/>
              </w:rPr>
              <w:t>. 41719. Consejero Ponente: Jaime Orlando Santofimio Gamboa.</w:t>
            </w:r>
          </w:p>
        </w:tc>
      </w:tr>
    </w:tbl>
    <w:p w14:paraId="2C7998B1" w14:textId="77777777" w:rsidR="00512C72" w:rsidRPr="00942EA0" w:rsidRDefault="00512C72" w:rsidP="00512C72">
      <w:pPr>
        <w:widowControl w:val="0"/>
        <w:autoSpaceDE w:val="0"/>
        <w:autoSpaceDN w:val="0"/>
        <w:spacing w:after="0" w:line="276" w:lineRule="auto"/>
        <w:jc w:val="both"/>
        <w:rPr>
          <w:rFonts w:ascii="Verdana" w:hAnsi="Verdana" w:cs="Arial"/>
        </w:rPr>
      </w:pPr>
    </w:p>
    <w:p w14:paraId="4FE382EF" w14:textId="77777777" w:rsidR="00512C72" w:rsidRPr="00942EA0" w:rsidRDefault="00512C72" w:rsidP="002462E8">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EA0">
        <w:rPr>
          <w:rFonts w:ascii="Verdana" w:eastAsia="Century Gothic" w:hAnsi="Verdana" w:cs="Century Gothic"/>
          <w:b/>
          <w:bCs/>
        </w:rPr>
        <w:lastRenderedPageBreak/>
        <w:t>Doctrina de la Agencia Nacional de Contratación Pública:</w:t>
      </w:r>
    </w:p>
    <w:p w14:paraId="6622F359" w14:textId="77777777" w:rsidR="00512C72" w:rsidRPr="00942EA0" w:rsidRDefault="00512C72" w:rsidP="00512C72">
      <w:pPr>
        <w:widowControl w:val="0"/>
        <w:autoSpaceDE w:val="0"/>
        <w:autoSpaceDN w:val="0"/>
        <w:spacing w:after="0" w:line="276" w:lineRule="auto"/>
        <w:jc w:val="both"/>
        <w:rPr>
          <w:rFonts w:ascii="Verdana" w:hAnsi="Verdana" w:cs="Arial"/>
        </w:rPr>
      </w:pPr>
    </w:p>
    <w:p w14:paraId="7318C617" w14:textId="77777777" w:rsidR="00AA567D" w:rsidRPr="00942EA0" w:rsidRDefault="00512C72" w:rsidP="00D81438">
      <w:pPr>
        <w:spacing w:after="240" w:line="276" w:lineRule="auto"/>
        <w:jc w:val="both"/>
        <w:rPr>
          <w:rFonts w:ascii="Verdana" w:hAnsi="Verdana"/>
          <w:lang w:val="es-ES"/>
        </w:rPr>
      </w:pPr>
      <w:r w:rsidRPr="00942EA0">
        <w:rPr>
          <w:rFonts w:ascii="Verdana" w:eastAsia="Calibri" w:hAnsi="Verdana" w:cs="Arial"/>
          <w:lang w:val="es-ES" w:eastAsia="es-ES"/>
        </w:rPr>
        <w:t xml:space="preserve">La Agencia Nacional de Contratación Pública – Colombia Compra Eficiente ha analizado los contratos de prestación de servicios, así como los requisitos para su celebración, entre otros, en los conceptos con radicado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 </w:t>
      </w:r>
      <w:r w:rsidRPr="00942EA0">
        <w:rPr>
          <w:rFonts w:ascii="Verdana" w:hAnsi="Verdana"/>
          <w:lang w:val="es-ES"/>
        </w:rPr>
        <w:t xml:space="preserve">C-103 del 05 de mayo de 2023, C-286 del 26 de julio de 2023, C-334 del 17 de agosto de 2023, C-443 del 31 de octubre de 2023, C-463 del 22 de noviembre de 2023, C-472 del 11 de diciembre de 2023, C-067 del 16 de mayo de 2024, C-260 del 15 de agosto de 2024. </w:t>
      </w:r>
      <w:r w:rsidR="00AA567D" w:rsidRPr="00942EA0">
        <w:rPr>
          <w:rFonts w:ascii="Verdana" w:hAnsi="Verdana"/>
          <w:lang w:val="es-ES"/>
        </w:rPr>
        <w:t xml:space="preserve"> </w:t>
      </w:r>
    </w:p>
    <w:p w14:paraId="456623F5" w14:textId="3013650F" w:rsidR="00D81438" w:rsidRPr="00942EA0" w:rsidRDefault="003E021B" w:rsidP="00D81438">
      <w:pPr>
        <w:spacing w:after="240" w:line="276" w:lineRule="auto"/>
        <w:jc w:val="both"/>
        <w:rPr>
          <w:rStyle w:val="normaltextrun"/>
          <w:rFonts w:ascii="Verdana" w:hAnsi="Verdana"/>
          <w:lang w:val="es-ES"/>
        </w:rPr>
      </w:pPr>
      <w:r w:rsidRPr="00942EA0">
        <w:rPr>
          <w:rStyle w:val="normaltextrun"/>
          <w:rFonts w:ascii="Verdana" w:hAnsi="Verdana" w:cs="Arial"/>
          <w:color w:val="000000" w:themeColor="text1"/>
          <w:shd w:val="clear" w:color="auto" w:fill="FFFFFF"/>
          <w:lang w:val="es-ES"/>
        </w:rPr>
        <w:t>Igualmente se ha pronunciado sobre</w:t>
      </w:r>
      <w:r w:rsidRPr="00942EA0">
        <w:rPr>
          <w:rFonts w:ascii="Verdana" w:hAnsi="Verdana" w:cs="Arial"/>
        </w:rPr>
        <w:t xml:space="preserve"> </w:t>
      </w:r>
      <w:r w:rsidRPr="00942EA0">
        <w:rPr>
          <w:rFonts w:ascii="Verdana" w:eastAsia="Calibri" w:hAnsi="Verdana" w:cs="Arial"/>
          <w:lang w:val="es-ES" w:eastAsia="es-ES"/>
        </w:rPr>
        <w:t xml:space="preserve">la suspensión </w:t>
      </w:r>
      <w:r w:rsidRPr="00942EA0">
        <w:rPr>
          <w:rFonts w:ascii="Verdana" w:eastAsia="Calibri" w:hAnsi="Verdana" w:cs="Arial"/>
          <w:szCs w:val="24"/>
          <w:lang w:val="es-ES_tradnl" w:eastAsia="es-ES_tradnl"/>
        </w:rPr>
        <w:t>de los contratos estatales</w:t>
      </w:r>
      <w:r w:rsidRPr="00942EA0">
        <w:rPr>
          <w:rStyle w:val="normaltextrun"/>
          <w:rFonts w:ascii="Verdana" w:hAnsi="Verdana" w:cs="Arial"/>
          <w:shd w:val="clear" w:color="auto" w:fill="FFFFFF"/>
          <w:lang w:val="es-ES"/>
        </w:rPr>
        <w:t xml:space="preserve"> </w:t>
      </w:r>
      <w:r w:rsidRPr="00942EA0">
        <w:rPr>
          <w:rFonts w:ascii="Verdana" w:eastAsia="Calibri" w:hAnsi="Verdana" w:cs="Arial"/>
          <w:lang w:val="es-ES"/>
        </w:rPr>
        <w:t xml:space="preserve">en los conceptos </w:t>
      </w:r>
      <w:r w:rsidRPr="00942EA0">
        <w:rPr>
          <w:rFonts w:ascii="Verdana" w:eastAsia="Calibri" w:hAnsi="Verdana" w:cs="Arial"/>
          <w:szCs w:val="24"/>
          <w:lang w:val="es-ES_tradnl" w:eastAsia="es-ES_tradnl"/>
        </w:rPr>
        <w:t xml:space="preserve">Nos. </w:t>
      </w:r>
      <w:r w:rsidRPr="00942EA0">
        <w:rPr>
          <w:rFonts w:ascii="Verdana" w:eastAsia="Calibri" w:hAnsi="Verdana" w:cs="Arial"/>
          <w:lang w:val="es-ES" w:eastAsia="es-ES"/>
        </w:rPr>
        <w:t xml:space="preserve">C-379 del 30 de junio de 2020, C-870 del 15 de diciembre de 2022, C-766 del 20 de octubre de 2022, C-920 del 14 de febrero de 2023, </w:t>
      </w:r>
      <w:r w:rsidRPr="00942EA0">
        <w:rPr>
          <w:rFonts w:ascii="Verdana" w:eastAsia="Calibri" w:hAnsi="Verdana" w:cs="Arial"/>
          <w:szCs w:val="24"/>
          <w:lang w:val="es-ES_tradnl" w:eastAsia="es-ES_tradnl"/>
        </w:rPr>
        <w:t>P20240131000930 del 12 de marzo de 2024</w:t>
      </w:r>
      <w:r w:rsidRPr="00942EA0">
        <w:rPr>
          <w:rStyle w:val="normaltextrun"/>
          <w:rFonts w:ascii="Verdana" w:hAnsi="Verdana" w:cs="Arial"/>
          <w:shd w:val="clear" w:color="auto" w:fill="FFFFFF"/>
          <w:lang w:val="es-ES"/>
        </w:rPr>
        <w:t>,</w:t>
      </w:r>
      <w:r w:rsidRPr="00942EA0">
        <w:rPr>
          <w:rFonts w:ascii="Verdana" w:eastAsia="Calibri" w:hAnsi="Verdana" w:cs="Arial"/>
          <w:b/>
          <w:bCs/>
          <w:lang w:eastAsia="es-ES"/>
        </w:rPr>
        <w:t xml:space="preserve"> </w:t>
      </w:r>
      <w:r w:rsidRPr="00942EA0">
        <w:rPr>
          <w:rFonts w:ascii="Verdana" w:eastAsia="Calibri" w:hAnsi="Verdana" w:cs="Arial"/>
          <w:lang w:eastAsia="es-ES"/>
        </w:rPr>
        <w:t>C-169 del 23 de febrero de 2026, C-199 del 20 de marzo de 2026, C-198 del 19 de marzo de 2026</w:t>
      </w:r>
      <w:r w:rsidRPr="00942EA0">
        <w:rPr>
          <w:rStyle w:val="normaltextrun"/>
          <w:rFonts w:ascii="Verdana" w:hAnsi="Verdana" w:cs="Arial"/>
          <w:shd w:val="clear" w:color="auto" w:fill="FFFFFF"/>
          <w:lang w:val="es-ES"/>
        </w:rPr>
        <w:t xml:space="preserve"> y C-</w:t>
      </w:r>
      <w:r w:rsidR="00AA567D" w:rsidRPr="00942EA0">
        <w:rPr>
          <w:rStyle w:val="normaltextrun"/>
          <w:rFonts w:ascii="Verdana" w:hAnsi="Verdana" w:cs="Arial"/>
          <w:shd w:val="clear" w:color="auto" w:fill="FFFFFF"/>
          <w:lang w:val="es-ES"/>
        </w:rPr>
        <w:t>887 del 09 de julio del 2026.</w:t>
      </w:r>
      <w:r w:rsidR="00AA567D" w:rsidRPr="00942EA0">
        <w:rPr>
          <w:rFonts w:ascii="Verdana" w:hAnsi="Verdana"/>
          <w:lang w:val="es-ES"/>
        </w:rPr>
        <w:t xml:space="preserve"> </w:t>
      </w:r>
      <w:r w:rsidR="00512C72" w:rsidRPr="00942EA0">
        <w:rPr>
          <w:rStyle w:val="normaltextrun"/>
          <w:rFonts w:ascii="Verdana" w:hAnsi="Verdana" w:cs="Arial"/>
          <w:shd w:val="clear" w:color="auto" w:fill="FFFFFF"/>
          <w:lang w:val="es-ES"/>
        </w:rPr>
        <w:t>Es</w:t>
      </w:r>
      <w:r w:rsidR="00512C72" w:rsidRPr="00942EA0">
        <w:rPr>
          <w:rFonts w:ascii="Verdana" w:hAnsi="Verdana"/>
        </w:rPr>
        <w:t>tos y otros conceptos se encuentran disponibles para consulta en el Sistema de relatoría de la Agencia, al cual se puede acceder a través del siguiente enlace:</w:t>
      </w:r>
      <w:r w:rsidR="00512C72" w:rsidRPr="00942EA0">
        <w:rPr>
          <w:rStyle w:val="normaltextrun"/>
          <w:rFonts w:ascii="Verdana" w:hAnsi="Verdana" w:cs="Arial"/>
          <w:shd w:val="clear" w:color="auto" w:fill="FFFFFF"/>
          <w:lang w:val="es-ES"/>
        </w:rPr>
        <w:t xml:space="preserve"> </w:t>
      </w:r>
      <w:hyperlink r:id="rId13" w:history="1">
        <w:r w:rsidR="00512C72" w:rsidRPr="00942EA0">
          <w:rPr>
            <w:rStyle w:val="Hipervnculo"/>
            <w:rFonts w:ascii="Verdana" w:hAnsi="Verdana" w:cs="Arial"/>
            <w:shd w:val="clear" w:color="auto" w:fill="FFFFFF"/>
            <w:lang w:val="es-ES"/>
          </w:rPr>
          <w:t>https://relatoria.colombiacompra.gov.co/busqueda/conceptos</w:t>
        </w:r>
      </w:hyperlink>
    </w:p>
    <w:p w14:paraId="6AFEFE72" w14:textId="77777777" w:rsidR="00D81438" w:rsidRPr="00942EA0" w:rsidRDefault="00D81438" w:rsidP="00D81438">
      <w:pPr>
        <w:spacing w:after="240" w:line="276" w:lineRule="auto"/>
        <w:jc w:val="both"/>
        <w:rPr>
          <w:rFonts w:ascii="Verdana" w:hAnsi="Verdana" w:cs="Arial"/>
          <w:color w:val="FF0000"/>
          <w:shd w:val="clear" w:color="auto" w:fill="FFFFFF"/>
        </w:rPr>
      </w:pPr>
      <w:r w:rsidRPr="00942EA0">
        <w:rPr>
          <w:rFonts w:ascii="Verdana" w:hAnsi="Verdana" w:cs="Arial"/>
          <w:shd w:val="clear" w:color="auto" w:fill="FFFFFF"/>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42EA0">
        <w:rPr>
          <w:rFonts w:ascii="Verdana" w:hAnsi="Verdana" w:cs="Arial"/>
          <w:b/>
          <w:bCs/>
          <w:shd w:val="clear" w:color="auto" w:fill="FFFFFF"/>
        </w:rPr>
        <w:t>Guía para la Exigencia y Constitución de Garantías en los Procesos de Contratación</w:t>
      </w:r>
      <w:r w:rsidRPr="00942EA0">
        <w:rPr>
          <w:rFonts w:ascii="Verdana" w:hAnsi="Verdana" w:cs="Arial"/>
          <w:shd w:val="clear" w:color="auto" w:fill="FFFFFF"/>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942EA0">
          <w:rPr>
            <w:rStyle w:val="Hipervnculo"/>
            <w:rFonts w:ascii="Verdana" w:hAnsi="Verdana" w:cs="Arial"/>
            <w:shd w:val="clear" w:color="auto" w:fill="FFFFFF"/>
          </w:rPr>
          <w:t>https://www.colombiacompra.gov.co/archivos/manual/guia-de-garantias-en-procesos-de-contratacion</w:t>
        </w:r>
      </w:hyperlink>
    </w:p>
    <w:p w14:paraId="6464E4C8" w14:textId="77777777" w:rsidR="00D81438" w:rsidRPr="00942EA0" w:rsidRDefault="00D81438" w:rsidP="00D81438">
      <w:pPr>
        <w:spacing w:after="240" w:line="276" w:lineRule="auto"/>
        <w:jc w:val="both"/>
        <w:rPr>
          <w:rFonts w:ascii="Verdana" w:hAnsi="Verdana" w:cs="Arial"/>
          <w:color w:val="FF0000"/>
          <w:shd w:val="clear" w:color="auto" w:fill="FFFFFF"/>
        </w:rPr>
      </w:pPr>
      <w:r w:rsidRPr="00942EA0">
        <w:rPr>
          <w:rFonts w:ascii="Verdana" w:hAnsi="Verdana" w:cs="Arial"/>
          <w:shd w:val="clear" w:color="auto" w:fill="FFFFFF"/>
        </w:rPr>
        <w:lastRenderedPageBreak/>
        <w:t>De otro lado, te contamos que el Decreto 287 del 19 de marzo de 2026 sustituyó los artículos 2.2.1.2.4.2.6., 2.2.1.2.4.2.7. y 2.2.1.2.4.2.8. del Decreto 1082 de 2015 y estructuró el </w:t>
      </w:r>
      <w:r w:rsidRPr="00942EA0">
        <w:rPr>
          <w:rFonts w:ascii="Verdana" w:hAnsi="Verdana" w:cs="Arial"/>
          <w:b/>
          <w:bCs/>
          <w:shd w:val="clear" w:color="auto" w:fill="FFFFFF"/>
        </w:rPr>
        <w:t>Sistema Integral de Preferencias en favor de las personas con discapacidad</w:t>
      </w:r>
      <w:r w:rsidRPr="00942EA0">
        <w:rPr>
          <w:rFonts w:ascii="Verdana" w:hAnsi="Verdana" w:cs="Arial"/>
          <w:shd w:val="clear" w:color="auto" w:fill="FFFFFF"/>
        </w:rPr>
        <w:t>, en cumplimiento del artículo 13 de la Ley Estatutaria 1618 de 2013. Para orientar su aplicación, esta Agencia expidió la </w:t>
      </w:r>
      <w:r w:rsidRPr="00942EA0">
        <w:rPr>
          <w:rFonts w:ascii="Verdana" w:hAnsi="Verdana" w:cs="Arial"/>
          <w:b/>
          <w:bCs/>
          <w:shd w:val="clear" w:color="auto" w:fill="FFFFFF"/>
        </w:rPr>
        <w:t>Circular Externa 003 del 12 de mayo de 2026, </w:t>
      </w:r>
      <w:r w:rsidRPr="00942EA0">
        <w:rPr>
          <w:rFonts w:ascii="Verdana" w:hAnsi="Verdana" w:cs="Arial"/>
          <w:shd w:val="clear" w:color="auto" w:fill="FFFFFF"/>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942EA0">
          <w:rPr>
            <w:rStyle w:val="Hipervnculo"/>
            <w:rFonts w:ascii="Verdana" w:hAnsi="Verdana" w:cs="Arial"/>
            <w:shd w:val="clear" w:color="auto" w:fill="FFFFFF"/>
          </w:rPr>
          <w:t>https://www.colombiacompra.gov.co/archivos/circular/circular-externa-003-de-2026</w:t>
        </w:r>
      </w:hyperlink>
    </w:p>
    <w:p w14:paraId="1796C6D5" w14:textId="2CBCDC87" w:rsidR="00D81438" w:rsidRPr="00942EA0" w:rsidRDefault="00D81438" w:rsidP="00D81438">
      <w:pPr>
        <w:spacing w:after="240" w:line="276" w:lineRule="auto"/>
        <w:jc w:val="both"/>
        <w:rPr>
          <w:rFonts w:ascii="Verdana" w:hAnsi="Verdana" w:cs="Arial"/>
          <w:color w:val="FF0000"/>
          <w:shd w:val="clear" w:color="auto" w:fill="FFFFFF"/>
        </w:rPr>
      </w:pPr>
      <w:r w:rsidRPr="00942EA0">
        <w:rPr>
          <w:rFonts w:ascii="Verdana" w:hAnsi="Verdana" w:cs="Arial"/>
          <w:shd w:val="clear" w:color="auto" w:fill="FFFFFF"/>
        </w:rPr>
        <w:t>Recuerda también que la</w:t>
      </w:r>
      <w:r w:rsidRPr="00942EA0">
        <w:rPr>
          <w:rFonts w:ascii="Verdana" w:hAnsi="Verdana" w:cs="Arial"/>
          <w:b/>
          <w:bCs/>
          <w:shd w:val="clear" w:color="auto" w:fill="FFFFFF"/>
        </w:rPr>
        <w:t> información sobre sanciones e inhabilidades </w:t>
      </w:r>
      <w:r w:rsidRPr="00942EA0">
        <w:rPr>
          <w:rFonts w:ascii="Verdana" w:hAnsi="Verdana" w:cs="Arial"/>
          <w:shd w:val="clear" w:color="auto" w:fill="FFFFFF"/>
        </w:rPr>
        <w:t>solo cumple su función preventiva si llega oportunamente a los registros públicos. Sobre este deber, esta Agencia expidió la </w:t>
      </w:r>
      <w:r w:rsidRPr="00942EA0">
        <w:rPr>
          <w:rFonts w:ascii="Verdana" w:hAnsi="Verdana" w:cs="Arial"/>
          <w:b/>
          <w:bCs/>
          <w:shd w:val="clear" w:color="auto" w:fill="FFFFFF"/>
        </w:rPr>
        <w:t>Circular Externa 002 del 5 de mayo de 2026,</w:t>
      </w:r>
      <w:r w:rsidRPr="00942EA0">
        <w:rPr>
          <w:rFonts w:ascii="Verdana" w:hAnsi="Verdana" w:cs="Arial"/>
          <w:shd w:val="clear" w:color="auto" w:fill="FFFFFF"/>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942EA0">
          <w:rPr>
            <w:rStyle w:val="Hipervnculo"/>
            <w:rFonts w:ascii="Verdana" w:hAnsi="Verdana" w:cs="Arial"/>
            <w:shd w:val="clear" w:color="auto" w:fill="FFFFFF"/>
          </w:rPr>
          <w:t>https://www.colombiacompra.gov.co/archivos/circular/circular-externa-002-de-2026</w:t>
        </w:r>
      </w:hyperlink>
    </w:p>
    <w:p w14:paraId="0E56A941" w14:textId="77777777" w:rsidR="00D81438" w:rsidRPr="00942EA0" w:rsidRDefault="00D81438" w:rsidP="00D81438">
      <w:pPr>
        <w:spacing w:after="0" w:line="276" w:lineRule="auto"/>
        <w:jc w:val="both"/>
        <w:rPr>
          <w:rFonts w:ascii="Verdana" w:hAnsi="Verdana" w:cs="Arial"/>
          <w:shd w:val="clear" w:color="auto" w:fill="FFFFFF"/>
        </w:rPr>
      </w:pPr>
      <w:r w:rsidRPr="00942EA0">
        <w:rPr>
          <w:rFonts w:ascii="Verdana" w:hAnsi="Verdana" w:cs="Arial"/>
          <w:shd w:val="clear" w:color="auto" w:fill="FFFFFF"/>
        </w:rPr>
        <w:t>Finalmente, si quieres seguir de cerca la actividad de la Agencia, la tercera edición de 2026 del</w:t>
      </w:r>
      <w:r w:rsidRPr="00942EA0">
        <w:rPr>
          <w:rFonts w:ascii="Verdana" w:hAnsi="Verdana" w:cs="Arial"/>
          <w:b/>
          <w:bCs/>
          <w:shd w:val="clear" w:color="auto" w:fill="FFFFFF"/>
        </w:rPr>
        <w:t> Radar de la Compra Pública</w:t>
      </w:r>
      <w:r w:rsidRPr="00942EA0">
        <w:rPr>
          <w:rFonts w:ascii="Verdana" w:hAnsi="Verdana" w:cs="Arial"/>
          <w:shd w:val="clear" w:color="auto" w:fill="FFFFFF"/>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942EA0">
          <w:rPr>
            <w:rStyle w:val="Hipervnculo"/>
            <w:rFonts w:ascii="Verdana" w:hAnsi="Verdana" w:cs="Arial"/>
            <w:shd w:val="clear" w:color="auto" w:fill="FFFFFF"/>
          </w:rPr>
          <w:t>https://www.colombiacompra.gov.co/archivos/boletin/boletin-edicion-n-3-de-2026-radar-de-la-compra-publica</w:t>
        </w:r>
      </w:hyperlink>
      <w:r w:rsidRPr="00942EA0">
        <w:rPr>
          <w:rFonts w:ascii="Verdana" w:hAnsi="Verdana" w:cs="Arial"/>
          <w:shd w:val="clear" w:color="auto" w:fill="FFFFFF"/>
        </w:rPr>
        <w:t>"</w:t>
      </w:r>
    </w:p>
    <w:p w14:paraId="33B2C7A5" w14:textId="77777777" w:rsidR="00512C72" w:rsidRPr="00942EA0" w:rsidRDefault="00512C72" w:rsidP="00512C72">
      <w:pPr>
        <w:spacing w:after="0" w:line="276" w:lineRule="auto"/>
        <w:jc w:val="both"/>
        <w:rPr>
          <w:rFonts w:ascii="Verdana" w:hAnsi="Verdana" w:cs="Arial"/>
          <w:shd w:val="clear" w:color="auto" w:fill="FFFFFF"/>
        </w:rPr>
      </w:pPr>
    </w:p>
    <w:p w14:paraId="6CA1D902" w14:textId="77777777" w:rsidR="00512C72" w:rsidRPr="00942EA0" w:rsidRDefault="00512C72" w:rsidP="00512C72">
      <w:pPr>
        <w:spacing w:after="0" w:line="276" w:lineRule="auto"/>
        <w:jc w:val="both"/>
        <w:rPr>
          <w:rFonts w:ascii="Verdana" w:hAnsi="Verdana"/>
        </w:rPr>
      </w:pPr>
      <w:r w:rsidRPr="00942EA0">
        <w:rPr>
          <w:rFonts w:ascii="Verdana" w:hAnsi="Verdana"/>
        </w:rPr>
        <w:t xml:space="preserve">Por último, lo invitamos a seguirnos en las redes sociales en las cuales se difunde información institucional: </w:t>
      </w:r>
    </w:p>
    <w:p w14:paraId="180F1A4A" w14:textId="77777777" w:rsidR="00512C72" w:rsidRPr="00942EA0" w:rsidRDefault="00512C72" w:rsidP="00512C72">
      <w:pPr>
        <w:spacing w:after="0" w:line="276" w:lineRule="auto"/>
        <w:jc w:val="both"/>
        <w:rPr>
          <w:rFonts w:ascii="Verdana" w:hAnsi="Verdana"/>
        </w:rPr>
      </w:pPr>
    </w:p>
    <w:p w14:paraId="16704667" w14:textId="77777777" w:rsidR="00512C72" w:rsidRPr="00942EA0" w:rsidRDefault="00512C72" w:rsidP="00512C72">
      <w:pPr>
        <w:spacing w:after="0" w:line="276" w:lineRule="auto"/>
        <w:jc w:val="both"/>
        <w:rPr>
          <w:rFonts w:ascii="Verdana" w:hAnsi="Verdana"/>
        </w:rPr>
      </w:pPr>
      <w:r w:rsidRPr="00942EA0">
        <w:rPr>
          <w:rFonts w:ascii="Verdana" w:hAnsi="Verdana"/>
        </w:rPr>
        <w:t xml:space="preserve">Twitter: </w:t>
      </w:r>
      <w:r w:rsidRPr="00942EA0">
        <w:rPr>
          <w:rStyle w:val="Hipervnculo"/>
          <w:rFonts w:ascii="Verdana" w:hAnsi="Verdana"/>
          <w:color w:val="4472C4" w:themeColor="accent1"/>
        </w:rPr>
        <w:t>@colombiacompra</w:t>
      </w:r>
      <w:r w:rsidRPr="00942EA0">
        <w:rPr>
          <w:rFonts w:ascii="Verdana" w:hAnsi="Verdana"/>
          <w:color w:val="4472C4" w:themeColor="accent1"/>
        </w:rPr>
        <w:t xml:space="preserve"> </w:t>
      </w:r>
    </w:p>
    <w:p w14:paraId="6C4995C3" w14:textId="77777777" w:rsidR="00512C72" w:rsidRPr="00942EA0" w:rsidRDefault="00512C72" w:rsidP="00512C72">
      <w:pPr>
        <w:spacing w:after="0" w:line="276" w:lineRule="auto"/>
        <w:jc w:val="both"/>
        <w:rPr>
          <w:rFonts w:ascii="Verdana" w:hAnsi="Verdana"/>
        </w:rPr>
      </w:pPr>
      <w:r w:rsidRPr="00942EA0">
        <w:rPr>
          <w:rFonts w:ascii="Verdana" w:hAnsi="Verdana"/>
        </w:rPr>
        <w:lastRenderedPageBreak/>
        <w:t xml:space="preserve">Facebook: </w:t>
      </w:r>
      <w:proofErr w:type="spellStart"/>
      <w:r w:rsidRPr="00942EA0">
        <w:rPr>
          <w:rStyle w:val="Hipervnculo"/>
          <w:rFonts w:ascii="Verdana" w:hAnsi="Verdana"/>
          <w:color w:val="4472C4" w:themeColor="accent1"/>
        </w:rPr>
        <w:t>ColombiaCompraEficiente</w:t>
      </w:r>
      <w:proofErr w:type="spellEnd"/>
    </w:p>
    <w:p w14:paraId="5E034A75" w14:textId="77777777" w:rsidR="00512C72" w:rsidRPr="00942EA0" w:rsidRDefault="00512C72" w:rsidP="00512C72">
      <w:pPr>
        <w:spacing w:after="0" w:line="276" w:lineRule="auto"/>
        <w:jc w:val="both"/>
        <w:rPr>
          <w:rFonts w:ascii="Verdana" w:hAnsi="Verdana"/>
        </w:rPr>
      </w:pPr>
      <w:r w:rsidRPr="00942EA0">
        <w:rPr>
          <w:rFonts w:ascii="Verdana" w:hAnsi="Verdana"/>
        </w:rPr>
        <w:t xml:space="preserve">LinkedIn: </w:t>
      </w:r>
      <w:r w:rsidRPr="00942EA0">
        <w:rPr>
          <w:rStyle w:val="Hipervnculo"/>
          <w:rFonts w:ascii="Verdana" w:hAnsi="Verdana"/>
          <w:color w:val="4472C4" w:themeColor="accent1"/>
        </w:rPr>
        <w:t>Agencia Nacional de Contratación Pública - Colombia Compra Eficiente</w:t>
      </w:r>
      <w:r w:rsidRPr="00942EA0">
        <w:rPr>
          <w:rFonts w:ascii="Verdana" w:hAnsi="Verdana"/>
          <w:color w:val="4472C4" w:themeColor="accent1"/>
        </w:rPr>
        <w:t xml:space="preserve"> </w:t>
      </w:r>
      <w:r w:rsidRPr="00942EA0">
        <w:rPr>
          <w:rFonts w:ascii="Verdana" w:hAnsi="Verdana"/>
        </w:rPr>
        <w:t xml:space="preserve">Instagram: </w:t>
      </w:r>
      <w:r w:rsidRPr="00942EA0">
        <w:rPr>
          <w:rStyle w:val="Hipervnculo"/>
          <w:rFonts w:ascii="Verdana" w:hAnsi="Verdana"/>
          <w:color w:val="4472C4" w:themeColor="accent1"/>
        </w:rPr>
        <w:t>@colombiacompraeficiente_cce</w:t>
      </w:r>
    </w:p>
    <w:p w14:paraId="3F4C44A5" w14:textId="77777777" w:rsidR="00512C72" w:rsidRPr="00942EA0" w:rsidRDefault="00512C72" w:rsidP="00512C72">
      <w:pPr>
        <w:widowControl w:val="0"/>
        <w:autoSpaceDE w:val="0"/>
        <w:autoSpaceDN w:val="0"/>
        <w:spacing w:after="0" w:line="276" w:lineRule="auto"/>
        <w:jc w:val="both"/>
        <w:rPr>
          <w:rFonts w:ascii="Verdana" w:hAnsi="Verdana" w:cs="Arial"/>
        </w:rPr>
      </w:pPr>
    </w:p>
    <w:p w14:paraId="6BF2351F" w14:textId="77777777" w:rsidR="00512C72" w:rsidRPr="00942EA0" w:rsidRDefault="00512C72" w:rsidP="00512C72">
      <w:pPr>
        <w:widowControl w:val="0"/>
        <w:autoSpaceDE w:val="0"/>
        <w:autoSpaceDN w:val="0"/>
        <w:spacing w:after="0" w:line="276" w:lineRule="auto"/>
        <w:jc w:val="both"/>
        <w:rPr>
          <w:rFonts w:ascii="Verdana" w:hAnsi="Verdana" w:cs="Arial"/>
          <w:lang w:val="es-ES_tradnl"/>
        </w:rPr>
      </w:pPr>
      <w:r w:rsidRPr="00942EA0">
        <w:rPr>
          <w:rFonts w:ascii="Verdana" w:hAnsi="Verdana" w:cs="Arial"/>
        </w:rPr>
        <w:t xml:space="preserve">Este concepto tiene el alcance previsto en el artículo 28 del Código de Procedimiento Administrativo y de lo Contencioso Administrativo </w:t>
      </w:r>
      <w:r w:rsidRPr="00942EA0">
        <w:rPr>
          <w:rFonts w:ascii="Verdana" w:hAnsi="Verdana" w:cs="Arial"/>
          <w:lang w:val="es-ES_tradnl"/>
        </w:rPr>
        <w:t>y las expresiones aquí utilizadas con mayúscula inicial deben ser entendidas con el significado que les otorga el artículo 2.2.1.1.1.3.1. del Decreto 1082 de 2015.</w:t>
      </w:r>
    </w:p>
    <w:p w14:paraId="45ECD588" w14:textId="77777777" w:rsidR="00512C72" w:rsidRPr="00942EA0" w:rsidRDefault="00512C72" w:rsidP="00512C72">
      <w:pPr>
        <w:widowControl w:val="0"/>
        <w:autoSpaceDE w:val="0"/>
        <w:autoSpaceDN w:val="0"/>
        <w:spacing w:after="0" w:line="276" w:lineRule="auto"/>
        <w:jc w:val="both"/>
        <w:rPr>
          <w:rFonts w:ascii="Verdana" w:hAnsi="Verdana" w:cs="Arial"/>
        </w:rPr>
      </w:pPr>
    </w:p>
    <w:p w14:paraId="29C89235" w14:textId="77777777" w:rsidR="00512C72" w:rsidRPr="00942EA0" w:rsidRDefault="00512C72" w:rsidP="00512C72">
      <w:pPr>
        <w:spacing w:after="0" w:line="276" w:lineRule="auto"/>
        <w:jc w:val="both"/>
        <w:rPr>
          <w:rFonts w:ascii="Verdana" w:hAnsi="Verdana" w:cs="Arial"/>
          <w:lang w:eastAsia="es-CO"/>
        </w:rPr>
      </w:pPr>
      <w:r w:rsidRPr="00942EA0">
        <w:rPr>
          <w:rFonts w:ascii="Verdana" w:eastAsia="Times New Roman" w:hAnsi="Verdana" w:cs="Arial"/>
          <w:lang w:eastAsia="es-CO"/>
        </w:rPr>
        <w:t>Atentamente,</w:t>
      </w:r>
      <w:r w:rsidRPr="00942EA0">
        <w:rPr>
          <w:rFonts w:ascii="Verdana" w:hAnsi="Verdana" w:cs="Arial"/>
          <w:lang w:eastAsia="es-CO"/>
        </w:rPr>
        <w:t xml:space="preserve"> </w:t>
      </w:r>
    </w:p>
    <w:p w14:paraId="0E9DBFE4" w14:textId="039944F5" w:rsidR="00512C72" w:rsidRPr="00942EA0" w:rsidRDefault="000709C3" w:rsidP="00512C72">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29F71A96" wp14:editId="07C3AD1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2C72" w:rsidRPr="00942EA0" w14:paraId="2B1DD9DE" w14:textId="77777777" w:rsidTr="00D93A23">
        <w:trPr>
          <w:trHeight w:val="315"/>
        </w:trPr>
        <w:tc>
          <w:tcPr>
            <w:tcW w:w="893" w:type="dxa"/>
            <w:vAlign w:val="center"/>
            <w:hideMark/>
          </w:tcPr>
          <w:p w14:paraId="54D74FFD" w14:textId="77777777" w:rsidR="00512C72" w:rsidRPr="00942EA0" w:rsidRDefault="00512C72" w:rsidP="00D93A23">
            <w:pPr>
              <w:contextualSpacing/>
              <w:rPr>
                <w:rFonts w:ascii="Verdana" w:hAnsi="Verdana" w:cs="Arial"/>
                <w:sz w:val="16"/>
                <w:szCs w:val="16"/>
                <w:lang w:val="es-ES" w:eastAsia="es-ES"/>
              </w:rPr>
            </w:pPr>
            <w:r w:rsidRPr="00942EA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32485A8" w14:textId="77A00E12" w:rsidR="00512C72" w:rsidRPr="00942EA0" w:rsidRDefault="00581000" w:rsidP="00D93A23">
            <w:pPr>
              <w:contextualSpacing/>
              <w:rPr>
                <w:rFonts w:ascii="Verdana" w:eastAsia="Arial" w:hAnsi="Verdana" w:cs="Arial"/>
                <w:sz w:val="16"/>
                <w:szCs w:val="16"/>
              </w:rPr>
            </w:pPr>
            <w:r w:rsidRPr="00942EA0">
              <w:rPr>
                <w:rStyle w:val="normaltextrun"/>
                <w:rFonts w:ascii="Verdana" w:hAnsi="Verdana"/>
                <w:sz w:val="16"/>
                <w:szCs w:val="16"/>
              </w:rPr>
              <w:t>Ana María Ortiz Ballesteros</w:t>
            </w:r>
          </w:p>
          <w:p w14:paraId="0B287BB1" w14:textId="77777777" w:rsidR="00512C72" w:rsidRPr="00942EA0" w:rsidRDefault="00512C72" w:rsidP="00D93A23">
            <w:pPr>
              <w:contextualSpacing/>
              <w:rPr>
                <w:rFonts w:ascii="Verdana" w:eastAsia="Arial" w:hAnsi="Verdana" w:cs="Arial"/>
                <w:sz w:val="16"/>
                <w:szCs w:val="16"/>
              </w:rPr>
            </w:pPr>
            <w:r w:rsidRPr="00942EA0">
              <w:rPr>
                <w:rStyle w:val="normaltextrun"/>
                <w:rFonts w:ascii="Verdana" w:eastAsia="Arial" w:hAnsi="Verdana" w:cs="Arial"/>
                <w:sz w:val="16"/>
                <w:szCs w:val="16"/>
              </w:rPr>
              <w:t>C</w:t>
            </w:r>
            <w:r w:rsidRPr="00942EA0">
              <w:rPr>
                <w:rStyle w:val="normaltextrun"/>
                <w:rFonts w:ascii="Verdana" w:eastAsia="Arial" w:hAnsi="Verdana"/>
                <w:sz w:val="16"/>
                <w:szCs w:val="16"/>
              </w:rPr>
              <w:t>ontratista</w:t>
            </w:r>
            <w:r w:rsidRPr="00942EA0">
              <w:rPr>
                <w:rStyle w:val="normaltextrun"/>
                <w:rFonts w:ascii="Verdana" w:eastAsia="Arial" w:hAnsi="Verdana" w:cs="Arial"/>
                <w:sz w:val="16"/>
                <w:szCs w:val="16"/>
              </w:rPr>
              <w:t xml:space="preserve"> de la Subdirección de Gestión Contractual</w:t>
            </w:r>
          </w:p>
        </w:tc>
      </w:tr>
      <w:tr w:rsidR="00512C72" w:rsidRPr="00942EA0" w14:paraId="59BFFFBB" w14:textId="77777777" w:rsidTr="00D93A23">
        <w:trPr>
          <w:trHeight w:val="330"/>
        </w:trPr>
        <w:tc>
          <w:tcPr>
            <w:tcW w:w="893" w:type="dxa"/>
            <w:vAlign w:val="center"/>
            <w:hideMark/>
          </w:tcPr>
          <w:p w14:paraId="333BE5B4" w14:textId="77777777" w:rsidR="00512C72" w:rsidRPr="00942EA0" w:rsidRDefault="00512C72" w:rsidP="00D93A23">
            <w:pPr>
              <w:contextualSpacing/>
              <w:rPr>
                <w:rFonts w:ascii="Verdana" w:hAnsi="Verdana" w:cs="Arial"/>
                <w:sz w:val="16"/>
                <w:szCs w:val="16"/>
                <w:lang w:val="es-ES" w:eastAsia="es-ES"/>
              </w:rPr>
            </w:pPr>
            <w:r w:rsidRPr="00942EA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2BDC41" w14:textId="77777777" w:rsidR="00BB3890" w:rsidRPr="00942EA0" w:rsidRDefault="00BB3890" w:rsidP="00BB3890">
            <w:pPr>
              <w:pStyle w:val="paragraph"/>
              <w:spacing w:before="0" w:beforeAutospacing="0" w:after="0" w:afterAutospacing="0"/>
              <w:contextualSpacing/>
              <w:textAlignment w:val="baseline"/>
              <w:rPr>
                <w:rFonts w:ascii="Verdana" w:hAnsi="Verdana" w:cs="Arial"/>
                <w:sz w:val="16"/>
                <w:szCs w:val="16"/>
              </w:rPr>
            </w:pPr>
            <w:r w:rsidRPr="00942EA0">
              <w:rPr>
                <w:rFonts w:ascii="Verdana" w:hAnsi="Verdana" w:cs="Arial"/>
                <w:sz w:val="16"/>
                <w:szCs w:val="16"/>
              </w:rPr>
              <w:t xml:space="preserve">Adriana </w:t>
            </w:r>
            <w:proofErr w:type="spellStart"/>
            <w:r w:rsidRPr="00942EA0">
              <w:rPr>
                <w:rFonts w:ascii="Verdana" w:hAnsi="Verdana" w:cs="Arial"/>
                <w:sz w:val="16"/>
                <w:szCs w:val="16"/>
              </w:rPr>
              <w:t>Katerine</w:t>
            </w:r>
            <w:proofErr w:type="spellEnd"/>
            <w:r w:rsidRPr="00942EA0">
              <w:rPr>
                <w:rFonts w:ascii="Verdana" w:hAnsi="Verdana" w:cs="Arial"/>
                <w:sz w:val="16"/>
                <w:szCs w:val="16"/>
              </w:rPr>
              <w:t xml:space="preserve"> López Rodríguez</w:t>
            </w:r>
          </w:p>
          <w:p w14:paraId="2B50E723" w14:textId="1EE12386" w:rsidR="00512C72" w:rsidRPr="00942EA0" w:rsidRDefault="00581000" w:rsidP="00D93A23">
            <w:pPr>
              <w:pStyle w:val="paragraph"/>
              <w:contextualSpacing/>
              <w:rPr>
                <w:rFonts w:ascii="Verdana" w:hAnsi="Verdana" w:cs="Arial"/>
                <w:sz w:val="16"/>
                <w:szCs w:val="16"/>
              </w:rPr>
            </w:pPr>
            <w:r w:rsidRPr="00942EA0">
              <w:rPr>
                <w:rStyle w:val="normaltextrun"/>
                <w:rFonts w:ascii="Verdana" w:eastAsia="Arial" w:hAnsi="Verdana" w:cs="Arial"/>
                <w:sz w:val="16"/>
                <w:szCs w:val="16"/>
              </w:rPr>
              <w:t>C</w:t>
            </w:r>
            <w:r w:rsidRPr="00942EA0">
              <w:rPr>
                <w:rStyle w:val="normaltextrun"/>
                <w:rFonts w:ascii="Verdana" w:eastAsia="Arial" w:hAnsi="Verdana"/>
                <w:sz w:val="16"/>
                <w:szCs w:val="16"/>
              </w:rPr>
              <w:t>ontratista</w:t>
            </w:r>
            <w:r w:rsidRPr="00942EA0">
              <w:rPr>
                <w:rStyle w:val="normaltextrun"/>
                <w:rFonts w:ascii="Verdana" w:eastAsia="Arial" w:hAnsi="Verdana" w:cs="Arial"/>
                <w:sz w:val="16"/>
                <w:szCs w:val="16"/>
              </w:rPr>
              <w:t xml:space="preserve"> de la Subdirección de Gestión Contractual</w:t>
            </w:r>
          </w:p>
        </w:tc>
      </w:tr>
      <w:tr w:rsidR="00512C72" w:rsidRPr="00942EA0" w14:paraId="5E3A6FCF" w14:textId="77777777" w:rsidTr="00D93A23">
        <w:trPr>
          <w:trHeight w:val="300"/>
        </w:trPr>
        <w:tc>
          <w:tcPr>
            <w:tcW w:w="893" w:type="dxa"/>
            <w:vAlign w:val="center"/>
          </w:tcPr>
          <w:p w14:paraId="35C296DB" w14:textId="77777777" w:rsidR="00512C72" w:rsidRPr="00942EA0" w:rsidRDefault="00512C72" w:rsidP="00D93A23">
            <w:pPr>
              <w:contextualSpacing/>
              <w:rPr>
                <w:rFonts w:ascii="Verdana" w:hAnsi="Verdana" w:cs="Arial"/>
                <w:sz w:val="16"/>
                <w:szCs w:val="16"/>
                <w:lang w:val="es-ES" w:eastAsia="es-ES"/>
              </w:rPr>
            </w:pPr>
            <w:r w:rsidRPr="00942EA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2214F2" w14:textId="77777777" w:rsidR="00512C72" w:rsidRPr="00942EA0" w:rsidRDefault="00512C72" w:rsidP="00D93A23">
            <w:pPr>
              <w:contextualSpacing/>
              <w:rPr>
                <w:rFonts w:ascii="Verdana" w:eastAsia="Calibri" w:hAnsi="Verdana" w:cs="Arial"/>
                <w:sz w:val="16"/>
                <w:szCs w:val="16"/>
                <w:lang w:val="pt-BR" w:eastAsia="es-ES"/>
              </w:rPr>
            </w:pPr>
            <w:r w:rsidRPr="00942EA0">
              <w:rPr>
                <w:rFonts w:ascii="Verdana" w:eastAsia="Calibri" w:hAnsi="Verdana" w:cs="Arial"/>
                <w:sz w:val="16"/>
                <w:szCs w:val="16"/>
                <w:lang w:val="pt-BR" w:eastAsia="es-ES"/>
              </w:rPr>
              <w:t xml:space="preserve">Carolina Quintero </w:t>
            </w:r>
            <w:proofErr w:type="spellStart"/>
            <w:r w:rsidRPr="00942EA0">
              <w:rPr>
                <w:rFonts w:ascii="Verdana" w:eastAsia="Calibri" w:hAnsi="Verdana" w:cs="Arial"/>
                <w:sz w:val="16"/>
                <w:szCs w:val="16"/>
                <w:lang w:val="pt-BR" w:eastAsia="es-ES"/>
              </w:rPr>
              <w:t>Gacharná</w:t>
            </w:r>
            <w:proofErr w:type="spellEnd"/>
          </w:p>
          <w:p w14:paraId="078A4309" w14:textId="77777777" w:rsidR="00512C72" w:rsidRPr="00942EA0" w:rsidRDefault="00512C72" w:rsidP="00D93A23">
            <w:pPr>
              <w:contextualSpacing/>
              <w:rPr>
                <w:rFonts w:ascii="Verdana" w:eastAsia="Calibri" w:hAnsi="Verdana" w:cs="Arial"/>
                <w:sz w:val="16"/>
                <w:szCs w:val="16"/>
                <w:lang w:val="pt-BR" w:eastAsia="es-ES"/>
              </w:rPr>
            </w:pPr>
            <w:r w:rsidRPr="00942EA0">
              <w:rPr>
                <w:rFonts w:ascii="Verdana" w:eastAsia="Calibri" w:hAnsi="Verdana" w:cs="Arial"/>
                <w:sz w:val="16"/>
                <w:szCs w:val="16"/>
                <w:lang w:eastAsia="es-ES"/>
              </w:rPr>
              <w:t>Subdirectora</w:t>
            </w:r>
            <w:r w:rsidRPr="00942EA0">
              <w:rPr>
                <w:rFonts w:ascii="Verdana" w:eastAsia="Calibri" w:hAnsi="Verdana" w:cs="Arial"/>
                <w:sz w:val="16"/>
                <w:szCs w:val="16"/>
                <w:lang w:val="pt-BR" w:eastAsia="es-ES"/>
              </w:rPr>
              <w:t xml:space="preserve"> de Gestión Contractual ANCP – CCE</w:t>
            </w:r>
          </w:p>
        </w:tc>
      </w:tr>
    </w:tbl>
    <w:p w14:paraId="69BC4D14" w14:textId="02F5786D" w:rsidR="00C15139" w:rsidRPr="00942EA0" w:rsidRDefault="00C15139" w:rsidP="30821638">
      <w:pPr>
        <w:spacing w:after="0" w:line="240" w:lineRule="auto"/>
        <w:textAlignment w:val="baseline"/>
        <w:rPr>
          <w:rFonts w:ascii="Verdana" w:eastAsia="Verdana" w:hAnsi="Verdana" w:cs="Verdana"/>
          <w:lang w:eastAsia="es-CO"/>
        </w:rPr>
      </w:pPr>
      <w:r w:rsidRPr="00942EA0">
        <w:rPr>
          <w:rFonts w:ascii="Verdana" w:eastAsia="Verdana" w:hAnsi="Verdana" w:cs="Verdana"/>
          <w:lang w:eastAsia="es-CO"/>
        </w:rPr>
        <w:t> </w:t>
      </w:r>
      <w:bookmarkEnd w:id="0"/>
    </w:p>
    <w:sectPr w:rsidR="00C15139" w:rsidRPr="00942EA0" w:rsidSect="007C0C0F">
      <w:headerReference w:type="default" r:id="rId19"/>
      <w:footerReference w:type="even" r:id="rId20"/>
      <w:footerReference w:type="default" r:id="rId21"/>
      <w:footerReference w:type="firs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B5A17" w14:textId="77777777" w:rsidR="00C02D62" w:rsidRDefault="00C02D62" w:rsidP="004A1847">
      <w:pPr>
        <w:spacing w:after="0" w:line="240" w:lineRule="auto"/>
      </w:pPr>
      <w:r>
        <w:separator/>
      </w:r>
    </w:p>
  </w:endnote>
  <w:endnote w:type="continuationSeparator" w:id="0">
    <w:p w14:paraId="22B61EB0" w14:textId="77777777" w:rsidR="00C02D62" w:rsidRDefault="00C02D6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2637" w14:textId="57CF5B08" w:rsidR="009734C7" w:rsidRDefault="009734C7">
    <w:pPr>
      <w:pStyle w:val="Piedepgina"/>
    </w:pPr>
    <w:r>
      <w:rPr>
        <w:noProof/>
      </w:rPr>
      <mc:AlternateContent>
        <mc:Choice Requires="wps">
          <w:drawing>
            <wp:anchor distT="0" distB="0" distL="0" distR="0" simplePos="0" relativeHeight="251667456" behindDoc="0" locked="0" layoutInCell="1" allowOverlap="1" wp14:anchorId="48E41FCB" wp14:editId="723A92B9">
              <wp:simplePos x="635" y="635"/>
              <wp:positionH relativeFrom="page">
                <wp:align>left</wp:align>
              </wp:positionH>
              <wp:positionV relativeFrom="page">
                <wp:align>bottom</wp:align>
              </wp:positionV>
              <wp:extent cx="1360170" cy="357505"/>
              <wp:effectExtent l="0" t="0" r="11430" b="0"/>
              <wp:wrapNone/>
              <wp:docPr id="724488042" name="Cuadro de texto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7CD4E95A" w14:textId="0F091C6E" w:rsidR="009734C7" w:rsidRPr="009734C7" w:rsidRDefault="009734C7" w:rsidP="009734C7">
                          <w:pPr>
                            <w:spacing w:after="0"/>
                            <w:rPr>
                              <w:rFonts w:ascii="Aptos" w:eastAsia="Aptos" w:hAnsi="Aptos" w:cs="Aptos"/>
                              <w:noProof/>
                              <w:color w:val="000000"/>
                              <w:sz w:val="20"/>
                              <w:szCs w:val="20"/>
                            </w:rPr>
                          </w:pPr>
                          <w:r w:rsidRPr="009734C7">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E41FCB" id="_x0000_t202" coordsize="21600,21600" o:spt="202" path="m,l,21600r21600,l21600,xe">
              <v:stroke joinstyle="miter"/>
              <v:path gradientshapeok="t" o:connecttype="rect"/>
            </v:shapetype>
            <v:shape id="Cuadro de texto 2" o:spid="_x0000_s1026" type="#_x0000_t202" alt="Información Pública" style="position:absolute;margin-left:0;margin-top:0;width:107.1pt;height:28.1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" filled="f" stroked="f">
              <v:textbox style="mso-fit-shape-to-text:t" inset="20pt,0,0,15pt">
                <w:txbxContent>
                  <w:p w14:paraId="7CD4E95A" w14:textId="0F091C6E" w:rsidR="009734C7" w:rsidRPr="009734C7" w:rsidRDefault="009734C7" w:rsidP="009734C7">
                    <w:pPr>
                      <w:spacing w:after="0"/>
                      <w:rPr>
                        <w:rFonts w:ascii="Aptos" w:eastAsia="Aptos" w:hAnsi="Aptos" w:cs="Aptos"/>
                        <w:noProof/>
                        <w:color w:val="000000"/>
                        <w:sz w:val="20"/>
                        <w:szCs w:val="20"/>
                      </w:rPr>
                    </w:pPr>
                    <w:r w:rsidRPr="009734C7">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5D0DE861" w:rsidR="004A1847" w:rsidRDefault="009734C7">
    <w:pPr>
      <w:pStyle w:val="Piedepgina"/>
    </w:pPr>
    <w:r>
      <w:rPr>
        <w:noProof/>
      </w:rPr>
      <mc:AlternateContent>
        <mc:Choice Requires="wps">
          <w:drawing>
            <wp:anchor distT="0" distB="0" distL="0" distR="0" simplePos="0" relativeHeight="251668480" behindDoc="0" locked="0" layoutInCell="1" allowOverlap="1" wp14:anchorId="7998BF61" wp14:editId="6FEB9D92">
              <wp:simplePos x="1076325" y="8667750"/>
              <wp:positionH relativeFrom="page">
                <wp:align>left</wp:align>
              </wp:positionH>
              <wp:positionV relativeFrom="page">
                <wp:align>bottom</wp:align>
              </wp:positionV>
              <wp:extent cx="1360170" cy="357505"/>
              <wp:effectExtent l="0" t="0" r="11430" b="0"/>
              <wp:wrapNone/>
              <wp:docPr id="604452397" name="Cuadro de texto 3"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6B17F9E2" w14:textId="11DA4CCA" w:rsidR="009734C7" w:rsidRPr="009734C7" w:rsidRDefault="009734C7" w:rsidP="009734C7">
                          <w:pPr>
                            <w:spacing w:after="0"/>
                            <w:rPr>
                              <w:rFonts w:ascii="Aptos" w:eastAsia="Aptos" w:hAnsi="Aptos" w:cs="Aptos"/>
                              <w:noProof/>
                              <w:color w:val="000000"/>
                              <w:sz w:val="20"/>
                              <w:szCs w:val="20"/>
                            </w:rPr>
                          </w:pPr>
                          <w:r w:rsidRPr="009734C7">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98BF61" id="_x0000_t202" coordsize="21600,21600" o:spt="202" path="m,l,21600r21600,l21600,xe">
              <v:stroke joinstyle="miter"/>
              <v:path gradientshapeok="t" o:connecttype="rect"/>
            </v:shapetype>
            <v:shape id="Cuadro de texto 3" o:spid="_x0000_s1027" type="#_x0000_t202" alt="Información Pública" style="position:absolute;margin-left:0;margin-top:0;width:107.1pt;height:28.15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" filled="f" stroked="f">
              <v:textbox style="mso-fit-shape-to-text:t" inset="20pt,0,0,15pt">
                <w:txbxContent>
                  <w:p w14:paraId="6B17F9E2" w14:textId="11DA4CCA" w:rsidR="009734C7" w:rsidRPr="009734C7" w:rsidRDefault="009734C7" w:rsidP="009734C7">
                    <w:pPr>
                      <w:spacing w:after="0"/>
                      <w:rPr>
                        <w:rFonts w:ascii="Aptos" w:eastAsia="Aptos" w:hAnsi="Aptos" w:cs="Aptos"/>
                        <w:noProof/>
                        <w:color w:val="000000"/>
                        <w:sz w:val="20"/>
                        <w:szCs w:val="20"/>
                      </w:rPr>
                    </w:pPr>
                    <w:r w:rsidRPr="009734C7">
                      <w:rPr>
                        <w:rFonts w:ascii="Aptos" w:eastAsia="Aptos" w:hAnsi="Aptos" w:cs="Aptos"/>
                        <w:noProof/>
                        <w:color w:val="000000"/>
                        <w:sz w:val="20"/>
                        <w:szCs w:val="20"/>
                      </w:rPr>
                      <w:t>Información Pública</w:t>
                    </w:r>
                  </w:p>
                </w:txbxContent>
              </v:textbox>
              <w10:wrap anchorx="page" anchory="page"/>
            </v:shape>
          </w:pict>
        </mc:Fallback>
      </mc:AlternateContent>
    </w: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7AA0" w14:textId="30819973" w:rsidR="009734C7" w:rsidRDefault="009734C7">
    <w:pPr>
      <w:pStyle w:val="Piedepgina"/>
    </w:pPr>
    <w:r>
      <w:rPr>
        <w:noProof/>
      </w:rPr>
      <mc:AlternateContent>
        <mc:Choice Requires="wps">
          <w:drawing>
            <wp:anchor distT="0" distB="0" distL="0" distR="0" simplePos="0" relativeHeight="251666432" behindDoc="0" locked="0" layoutInCell="1" allowOverlap="1" wp14:anchorId="76E89D93" wp14:editId="16EECE70">
              <wp:simplePos x="635" y="635"/>
              <wp:positionH relativeFrom="page">
                <wp:align>left</wp:align>
              </wp:positionH>
              <wp:positionV relativeFrom="page">
                <wp:align>bottom</wp:align>
              </wp:positionV>
              <wp:extent cx="1360170" cy="357505"/>
              <wp:effectExtent l="0" t="0" r="11430" b="0"/>
              <wp:wrapNone/>
              <wp:docPr id="739424898" name="Cuadro de texto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57505"/>
                      </a:xfrm>
                      <a:prstGeom prst="rect">
                        <a:avLst/>
                      </a:prstGeom>
                      <a:noFill/>
                      <a:ln>
                        <a:noFill/>
                      </a:ln>
                    </wps:spPr>
                    <wps:txbx>
                      <w:txbxContent>
                        <w:p w14:paraId="385F7D68" w14:textId="425AC97C" w:rsidR="009734C7" w:rsidRPr="009734C7" w:rsidRDefault="009734C7" w:rsidP="009734C7">
                          <w:pPr>
                            <w:spacing w:after="0"/>
                            <w:rPr>
                              <w:rFonts w:ascii="Aptos" w:eastAsia="Aptos" w:hAnsi="Aptos" w:cs="Aptos"/>
                              <w:noProof/>
                              <w:color w:val="000000"/>
                              <w:sz w:val="20"/>
                              <w:szCs w:val="20"/>
                            </w:rPr>
                          </w:pPr>
                          <w:r w:rsidRPr="009734C7">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E89D93" id="_x0000_t202" coordsize="21600,21600" o:spt="202" path="m,l,21600r21600,l21600,xe">
              <v:stroke joinstyle="miter"/>
              <v:path gradientshapeok="t" o:connecttype="rect"/>
            </v:shapetype>
            <v:shape id="Cuadro de texto 1" o:spid="_x0000_s1028" type="#_x0000_t202" alt="Información Pública" style="position:absolute;margin-left:0;margin-top:0;width:107.1pt;height:28.1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" filled="f" stroked="f">
              <v:textbox style="mso-fit-shape-to-text:t" inset="20pt,0,0,15pt">
                <w:txbxContent>
                  <w:p w14:paraId="385F7D68" w14:textId="425AC97C" w:rsidR="009734C7" w:rsidRPr="009734C7" w:rsidRDefault="009734C7" w:rsidP="009734C7">
                    <w:pPr>
                      <w:spacing w:after="0"/>
                      <w:rPr>
                        <w:rFonts w:ascii="Aptos" w:eastAsia="Aptos" w:hAnsi="Aptos" w:cs="Aptos"/>
                        <w:noProof/>
                        <w:color w:val="000000"/>
                        <w:sz w:val="20"/>
                        <w:szCs w:val="20"/>
                      </w:rPr>
                    </w:pPr>
                    <w:r w:rsidRPr="009734C7">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A0CFA" w14:textId="77777777" w:rsidR="00C02D62" w:rsidRDefault="00C02D62" w:rsidP="004A1847">
      <w:pPr>
        <w:spacing w:after="0" w:line="240" w:lineRule="auto"/>
      </w:pPr>
      <w:r>
        <w:separator/>
      </w:r>
    </w:p>
  </w:footnote>
  <w:footnote w:type="continuationSeparator" w:id="0">
    <w:p w14:paraId="78745252" w14:textId="77777777" w:rsidR="00C02D62" w:rsidRDefault="00C02D62" w:rsidP="004A1847">
      <w:pPr>
        <w:spacing w:after="0" w:line="240" w:lineRule="auto"/>
      </w:pPr>
      <w:r>
        <w:continuationSeparator/>
      </w:r>
    </w:p>
  </w:footnote>
  <w:footnote w:id="1">
    <w:p w14:paraId="76A9200A" w14:textId="77777777" w:rsidR="00512C72" w:rsidRPr="00C0717E" w:rsidRDefault="00512C72" w:rsidP="00512C72">
      <w:pPr>
        <w:pStyle w:val="Textonotapie"/>
        <w:ind w:firstLine="708"/>
        <w:contextualSpacing/>
        <w:jc w:val="both"/>
        <w:rPr>
          <w:rFonts w:ascii="Verdana" w:hAnsi="Verdana" w:cs="Arial"/>
          <w:sz w:val="18"/>
          <w:szCs w:val="18"/>
        </w:rPr>
      </w:pPr>
      <w:r w:rsidRPr="00C0717E">
        <w:rPr>
          <w:rStyle w:val="Refdenotaalpie"/>
          <w:rFonts w:ascii="Verdana" w:hAnsi="Verdana" w:cs="Arial"/>
          <w:sz w:val="18"/>
          <w:szCs w:val="18"/>
        </w:rPr>
        <w:footnoteRef/>
      </w:r>
      <w:r w:rsidRPr="00C0717E">
        <w:rPr>
          <w:rFonts w:ascii="Verdana" w:hAnsi="Verdana"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513F1D10" w14:textId="77777777" w:rsidR="00512C72" w:rsidRPr="00C0717E" w:rsidRDefault="00512C72" w:rsidP="00512C72">
      <w:pPr>
        <w:pStyle w:val="Textonotapie"/>
        <w:ind w:firstLine="708"/>
        <w:contextualSpacing/>
        <w:jc w:val="both"/>
        <w:rPr>
          <w:rFonts w:ascii="Verdana" w:hAnsi="Verdana" w:cs="Arial"/>
          <w:sz w:val="18"/>
          <w:szCs w:val="18"/>
          <w:lang w:val="es-ES_tradnl"/>
        </w:rPr>
      </w:pPr>
    </w:p>
  </w:footnote>
  <w:footnote w:id="2">
    <w:p w14:paraId="7D4ACB58" w14:textId="77777777" w:rsidR="00512C72" w:rsidRPr="00C0717E" w:rsidRDefault="00512C72" w:rsidP="00512C72">
      <w:pPr>
        <w:pStyle w:val="Textonotapie"/>
        <w:ind w:firstLine="708"/>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3967FBAF" w14:textId="77777777" w:rsidR="00512C72" w:rsidRPr="00C0717E" w:rsidRDefault="00512C72" w:rsidP="00512C72">
      <w:pPr>
        <w:pStyle w:val="Textonotapie"/>
        <w:ind w:firstLine="709"/>
        <w:contextualSpacing/>
        <w:jc w:val="both"/>
        <w:rPr>
          <w:rFonts w:ascii="Verdana" w:hAnsi="Verdana" w:cs="Arial"/>
          <w:sz w:val="18"/>
          <w:szCs w:val="18"/>
          <w:lang w:val="es-ES"/>
        </w:rPr>
      </w:pPr>
    </w:p>
  </w:footnote>
  <w:footnote w:id="3">
    <w:p w14:paraId="652F4735"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61CBA5E7"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CA86D1A"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El Gobierno nacional reglamentará el mecanismo para realizar la mensualización de que trata el presente artículo.</w:t>
      </w:r>
    </w:p>
    <w:p w14:paraId="446E64A6" w14:textId="77777777" w:rsidR="00512C72" w:rsidRPr="00C0717E" w:rsidRDefault="00512C72" w:rsidP="00512C72">
      <w:pPr>
        <w:pStyle w:val="Textonotapie"/>
        <w:ind w:firstLine="709"/>
        <w:contextualSpacing/>
        <w:jc w:val="both"/>
        <w:rPr>
          <w:rFonts w:ascii="Verdana" w:hAnsi="Verdana" w:cs="Arial"/>
          <w:sz w:val="18"/>
          <w:szCs w:val="18"/>
          <w:lang w:val="pt-BR"/>
        </w:rPr>
      </w:pPr>
      <w:r w:rsidRPr="00C0717E">
        <w:rPr>
          <w:rFonts w:ascii="Verdana" w:hAnsi="Verdana" w:cs="Arial"/>
          <w:sz w:val="18"/>
          <w:szCs w:val="18"/>
          <w:lang w:val="pt-BR"/>
        </w:rPr>
        <w:t>[…]”.</w:t>
      </w:r>
    </w:p>
    <w:p w14:paraId="5A1804DA" w14:textId="77777777" w:rsidR="00512C72" w:rsidRPr="00C0717E" w:rsidRDefault="00512C72" w:rsidP="00512C72">
      <w:pPr>
        <w:pStyle w:val="Textonotapie"/>
        <w:ind w:firstLine="709"/>
        <w:contextualSpacing/>
        <w:jc w:val="both"/>
        <w:rPr>
          <w:rFonts w:ascii="Verdana" w:hAnsi="Verdana" w:cs="Arial"/>
          <w:sz w:val="18"/>
          <w:szCs w:val="18"/>
          <w:lang w:val="pt-BR"/>
        </w:rPr>
      </w:pPr>
    </w:p>
  </w:footnote>
  <w:footnote w:id="4">
    <w:p w14:paraId="667F0326"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lang w:val="pt-BR"/>
        </w:rPr>
        <w:t xml:space="preserve"> Corte Constitucional. Sentencia C-154 de 1997. </w:t>
      </w:r>
      <w:r w:rsidRPr="00C0717E">
        <w:rPr>
          <w:rFonts w:ascii="Verdana" w:hAnsi="Verdana" w:cs="Arial"/>
          <w:sz w:val="18"/>
          <w:szCs w:val="18"/>
          <w:lang w:val="es-ES"/>
        </w:rPr>
        <w:t>MP: Hernando Herrera Vergara.</w:t>
      </w:r>
    </w:p>
  </w:footnote>
  <w:footnote w:id="5">
    <w:p w14:paraId="31A8AE7C" w14:textId="77777777" w:rsidR="00512C72" w:rsidRPr="00C0717E" w:rsidRDefault="00512C72" w:rsidP="00512C72">
      <w:pPr>
        <w:spacing w:after="0" w:line="240" w:lineRule="auto"/>
        <w:contextualSpacing/>
        <w:jc w:val="both"/>
        <w:rPr>
          <w:rFonts w:ascii="Verdana" w:hAnsi="Verdana"/>
          <w:sz w:val="18"/>
          <w:szCs w:val="18"/>
        </w:rPr>
      </w:pPr>
    </w:p>
  </w:footnote>
  <w:footnote w:id="6">
    <w:p w14:paraId="2F3A912E"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Ibíd.</w:t>
      </w:r>
    </w:p>
    <w:p w14:paraId="74E06C25" w14:textId="77777777" w:rsidR="00512C72" w:rsidRPr="00C0717E" w:rsidRDefault="00512C72" w:rsidP="00512C72">
      <w:pPr>
        <w:pStyle w:val="Textonotapie"/>
        <w:ind w:firstLine="709"/>
        <w:contextualSpacing/>
        <w:jc w:val="both"/>
        <w:rPr>
          <w:rFonts w:ascii="Verdana" w:hAnsi="Verdana" w:cs="Arial"/>
          <w:sz w:val="18"/>
          <w:szCs w:val="18"/>
          <w:lang w:val="es-ES"/>
        </w:rPr>
      </w:pPr>
    </w:p>
  </w:footnote>
  <w:footnote w:id="7">
    <w:p w14:paraId="60A1D0DC" w14:textId="77777777" w:rsidR="00512C72" w:rsidRPr="00C0717E" w:rsidRDefault="00512C72" w:rsidP="00512C72">
      <w:pPr>
        <w:pStyle w:val="Textonotapie"/>
        <w:ind w:firstLine="709"/>
        <w:contextualSpacing/>
        <w:jc w:val="both"/>
        <w:rPr>
          <w:rFonts w:ascii="Verdana" w:hAnsi="Verdana" w:cs="Arial"/>
          <w:color w:val="000000"/>
          <w:sz w:val="18"/>
          <w:szCs w:val="18"/>
          <w:lang w:val="es-ES"/>
        </w:rPr>
      </w:pPr>
      <w:r w:rsidRPr="00C0717E">
        <w:rPr>
          <w:rStyle w:val="Refdenotaalpie"/>
          <w:rFonts w:ascii="Verdana" w:hAnsi="Verdana" w:cs="Arial"/>
          <w:color w:val="000000"/>
          <w:sz w:val="18"/>
          <w:szCs w:val="18"/>
        </w:rPr>
        <w:footnoteRef/>
      </w:r>
      <w:r w:rsidRPr="00C0717E">
        <w:rPr>
          <w:rFonts w:ascii="Verdana" w:hAnsi="Verdana" w:cs="Arial"/>
          <w:color w:val="000000"/>
          <w:sz w:val="18"/>
          <w:szCs w:val="18"/>
        </w:rPr>
        <w:t xml:space="preserve"> </w:t>
      </w:r>
      <w:r w:rsidRPr="00C0717E">
        <w:rPr>
          <w:rFonts w:ascii="Verdana" w:hAnsi="Verdana"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AD666DB" w14:textId="77777777" w:rsidR="00512C72" w:rsidRPr="00C0717E" w:rsidRDefault="00512C72" w:rsidP="00512C72">
      <w:pPr>
        <w:pStyle w:val="Textonotapie"/>
        <w:ind w:firstLine="709"/>
        <w:contextualSpacing/>
        <w:jc w:val="both"/>
        <w:rPr>
          <w:rFonts w:ascii="Verdana" w:hAnsi="Verdana" w:cs="Arial"/>
          <w:color w:val="000000"/>
          <w:sz w:val="18"/>
          <w:szCs w:val="18"/>
          <w:lang w:val="es-ES"/>
        </w:rPr>
      </w:pPr>
      <w:r w:rsidRPr="00C0717E">
        <w:rPr>
          <w:rFonts w:ascii="Verdana" w:hAnsi="Verdana"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E34BEB8" w14:textId="77777777" w:rsidR="00512C72" w:rsidRPr="00C0717E" w:rsidRDefault="00512C72" w:rsidP="00512C72">
      <w:pPr>
        <w:pStyle w:val="Textonotapie"/>
        <w:ind w:firstLine="709"/>
        <w:contextualSpacing/>
        <w:jc w:val="both"/>
        <w:rPr>
          <w:rFonts w:ascii="Verdana" w:hAnsi="Verdana" w:cs="Arial"/>
          <w:color w:val="000000"/>
          <w:sz w:val="18"/>
          <w:szCs w:val="18"/>
          <w:lang w:val="es-ES"/>
        </w:rPr>
      </w:pPr>
      <w:r w:rsidRPr="00C0717E">
        <w:rPr>
          <w:rFonts w:ascii="Verdana" w:hAnsi="Verdana"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p w14:paraId="5885668B" w14:textId="77777777" w:rsidR="00512C72" w:rsidRPr="00C0717E" w:rsidRDefault="00512C72" w:rsidP="00512C72">
      <w:pPr>
        <w:pStyle w:val="Textonotapie"/>
        <w:ind w:firstLine="709"/>
        <w:contextualSpacing/>
        <w:jc w:val="both"/>
        <w:rPr>
          <w:rFonts w:ascii="Verdana" w:hAnsi="Verdana" w:cs="Arial"/>
          <w:color w:val="000000"/>
          <w:sz w:val="18"/>
          <w:szCs w:val="18"/>
          <w:lang w:val="es-ES"/>
        </w:rPr>
      </w:pPr>
    </w:p>
  </w:footnote>
  <w:footnote w:id="8">
    <w:p w14:paraId="10BBCA33" w14:textId="77777777" w:rsidR="00512C72" w:rsidRPr="00C0717E" w:rsidRDefault="00512C72" w:rsidP="00512C72">
      <w:pPr>
        <w:pStyle w:val="Textonotapie"/>
        <w:ind w:firstLine="709"/>
        <w:contextualSpacing/>
        <w:jc w:val="both"/>
        <w:rPr>
          <w:rFonts w:ascii="Verdana" w:hAnsi="Verdana" w:cs="Arial"/>
          <w:color w:val="000000"/>
          <w:sz w:val="18"/>
          <w:szCs w:val="18"/>
          <w:lang w:val="es-ES"/>
        </w:rPr>
      </w:pPr>
      <w:r w:rsidRPr="00C0717E">
        <w:rPr>
          <w:rStyle w:val="Refdenotaalpie"/>
          <w:rFonts w:ascii="Verdana" w:hAnsi="Verdana" w:cs="Arial"/>
          <w:color w:val="000000"/>
          <w:sz w:val="18"/>
          <w:szCs w:val="18"/>
        </w:rPr>
        <w:footnoteRef/>
      </w:r>
      <w:r w:rsidRPr="00C0717E">
        <w:rPr>
          <w:rFonts w:ascii="Verdana" w:hAnsi="Verdana" w:cs="Arial"/>
          <w:color w:val="000000"/>
          <w:sz w:val="18"/>
          <w:szCs w:val="18"/>
        </w:rPr>
        <w:t xml:space="preserve"> </w:t>
      </w:r>
      <w:r w:rsidRPr="00C0717E">
        <w:rPr>
          <w:rFonts w:ascii="Verdana" w:hAnsi="Verdana" w:cs="Arial"/>
          <w:color w:val="000000"/>
          <w:sz w:val="18"/>
          <w:szCs w:val="18"/>
          <w:lang w:val="es-ES"/>
        </w:rPr>
        <w:t>Consejo de Estado. Sección Tercera. Subsección C. Sentencia del 2 de diciembre de 2013. Exp. 41719. Consejero Ponente: Jaime Orlando Santofimio Gamboa.</w:t>
      </w:r>
    </w:p>
  </w:footnote>
  <w:footnote w:id="9">
    <w:p w14:paraId="0F48C8FE" w14:textId="77777777" w:rsidR="00512C72" w:rsidRPr="00C0717E" w:rsidRDefault="00512C72" w:rsidP="00512C72">
      <w:pPr>
        <w:spacing w:after="0" w:line="240" w:lineRule="auto"/>
        <w:contextualSpacing/>
        <w:jc w:val="both"/>
        <w:rPr>
          <w:rFonts w:ascii="Verdana" w:hAnsi="Verdana"/>
          <w:sz w:val="18"/>
          <w:szCs w:val="18"/>
        </w:rPr>
      </w:pPr>
    </w:p>
  </w:footnote>
  <w:footnote w:id="10">
    <w:p w14:paraId="7653702B" w14:textId="77777777" w:rsidR="00512C72" w:rsidRPr="00C0717E" w:rsidRDefault="00512C72" w:rsidP="00512C72">
      <w:pPr>
        <w:pStyle w:val="Textonotapie"/>
        <w:ind w:firstLine="709"/>
        <w:contextualSpacing/>
        <w:jc w:val="both"/>
        <w:rPr>
          <w:rFonts w:ascii="Verdana" w:hAnsi="Verdana" w:cs="Arial"/>
          <w:sz w:val="18"/>
          <w:szCs w:val="18"/>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Consejo de Estado. Sección Tercera. Subsección C. Sentencia de Unificación del 2 de diciembre de 2013. Exp. 41.719. C.P. Jaime Orlando Santofimio Gamboa.</w:t>
      </w:r>
      <w:r w:rsidRPr="00C0717E">
        <w:rPr>
          <w:rFonts w:ascii="Verdana" w:hAnsi="Verdana" w:cs="Arial"/>
          <w:sz w:val="18"/>
          <w:szCs w:val="18"/>
        </w:rPr>
        <w:t xml:space="preserve"> </w:t>
      </w:r>
    </w:p>
    <w:p w14:paraId="7A030ECA"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25B4E3F"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63D5B242"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p>
    <w:p w14:paraId="182472FC" w14:textId="77777777" w:rsidR="00512C72" w:rsidRPr="00C0717E" w:rsidRDefault="00512C72" w:rsidP="00512C72">
      <w:pPr>
        <w:pStyle w:val="Textonotapie"/>
        <w:ind w:firstLine="709"/>
        <w:contextualSpacing/>
        <w:jc w:val="both"/>
        <w:rPr>
          <w:rFonts w:ascii="Verdana" w:hAnsi="Verdana" w:cs="Arial"/>
          <w:sz w:val="18"/>
          <w:szCs w:val="18"/>
          <w:lang w:val="es-ES"/>
        </w:rPr>
      </w:pPr>
    </w:p>
  </w:footnote>
  <w:footnote w:id="11">
    <w:p w14:paraId="495BDB54"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63F9FEAE"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1. La causal que invoca para contratar directamente.</w:t>
      </w:r>
    </w:p>
    <w:p w14:paraId="08AC38E6"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2. El objeto del contrato.</w:t>
      </w:r>
    </w:p>
    <w:p w14:paraId="520F814E"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3. El presupuesto para la contratación y las condiciones que exigirá al contratista.</w:t>
      </w:r>
    </w:p>
    <w:p w14:paraId="37E07E8E"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4. El lugar en el cual los interesados pueden consultar los estudios y documentos previos.</w:t>
      </w:r>
    </w:p>
    <w:p w14:paraId="3A63D2AC"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2295D618" w14:textId="77777777" w:rsidR="00512C72" w:rsidRPr="00C0717E" w:rsidRDefault="00512C72" w:rsidP="00512C72">
      <w:pPr>
        <w:pStyle w:val="Textonotapie"/>
        <w:contextualSpacing/>
        <w:jc w:val="both"/>
        <w:rPr>
          <w:rFonts w:ascii="Verdana" w:hAnsi="Verdana" w:cs="Arial"/>
          <w:sz w:val="18"/>
          <w:szCs w:val="18"/>
        </w:rPr>
      </w:pPr>
    </w:p>
    <w:p w14:paraId="694326BD"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 xml:space="preserve">La norma expresa: “Art. 14. </w:t>
      </w:r>
      <w:r w:rsidRPr="00C0717E">
        <w:rPr>
          <w:rFonts w:ascii="Verdana" w:hAnsi="Verdana" w:cs="Arial"/>
          <w:sz w:val="18"/>
          <w:szCs w:val="18"/>
        </w:rPr>
        <w:t>P</w:t>
      </w:r>
      <w:r w:rsidRPr="00C0717E">
        <w:rPr>
          <w:rFonts w:ascii="Verdana" w:hAnsi="Verdana" w:cs="Arial"/>
          <w:sz w:val="18"/>
          <w:szCs w:val="18"/>
          <w:lang w:val="es-ES"/>
        </w:rPr>
        <w:t>ara el cumplimiento de los fines de la contratación, las entidades estatales al celebrar un contrato:</w:t>
      </w:r>
    </w:p>
    <w:p w14:paraId="50322090"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w:t>
      </w:r>
    </w:p>
    <w:p w14:paraId="2E18107A"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C3CDBD4"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Las entidades estatales podrán pactar estas cláusulas en los contratos de suministro y de prestación de servicios.</w:t>
      </w:r>
    </w:p>
    <w:p w14:paraId="75CA471A"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Fonts w:ascii="Verdana" w:hAnsi="Verdana" w:cs="Arial"/>
          <w:sz w:val="18"/>
          <w:szCs w:val="18"/>
          <w:lang w:val="es-ES"/>
        </w:rPr>
        <w:t>[…]”.</w:t>
      </w:r>
    </w:p>
    <w:p w14:paraId="6C16B0A5" w14:textId="77777777" w:rsidR="00512C72" w:rsidRPr="00C0717E" w:rsidRDefault="00512C72" w:rsidP="00512C72">
      <w:pPr>
        <w:pStyle w:val="Textonotapie"/>
        <w:ind w:firstLine="709"/>
        <w:contextualSpacing/>
        <w:jc w:val="both"/>
        <w:rPr>
          <w:rFonts w:ascii="Verdana" w:hAnsi="Verdana" w:cs="Arial"/>
          <w:sz w:val="18"/>
          <w:szCs w:val="18"/>
          <w:lang w:val="es-ES"/>
        </w:rPr>
      </w:pPr>
    </w:p>
  </w:footnote>
  <w:footnote w:id="13">
    <w:p w14:paraId="3D83A20D"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La norma dispone: “La liquidación a que se refiere el presente artículo no será obligatoria en los contratos de prestación de servicios profesionales y de apoyo a la gestión”.</w:t>
      </w:r>
    </w:p>
    <w:p w14:paraId="7DECAD27" w14:textId="77777777" w:rsidR="00512C72" w:rsidRPr="00C0717E" w:rsidRDefault="00512C72" w:rsidP="00512C72">
      <w:pPr>
        <w:pStyle w:val="Textonotapie"/>
        <w:ind w:firstLine="709"/>
        <w:contextualSpacing/>
        <w:jc w:val="both"/>
        <w:rPr>
          <w:rFonts w:ascii="Verdana" w:hAnsi="Verdana" w:cs="Arial"/>
          <w:sz w:val="18"/>
          <w:szCs w:val="18"/>
          <w:lang w:val="es-ES"/>
        </w:rPr>
      </w:pPr>
    </w:p>
  </w:footnote>
  <w:footnote w:id="14">
    <w:p w14:paraId="7BBBA89A" w14:textId="77777777" w:rsidR="00512C72" w:rsidRPr="00C0717E" w:rsidRDefault="00512C72" w:rsidP="00512C72">
      <w:pPr>
        <w:pStyle w:val="Textonotapie"/>
        <w:ind w:firstLine="709"/>
        <w:contextualSpacing/>
        <w:jc w:val="both"/>
        <w:rPr>
          <w:rFonts w:ascii="Verdana" w:hAnsi="Verdana" w:cs="Arial"/>
          <w:sz w:val="18"/>
          <w:szCs w:val="18"/>
        </w:rPr>
      </w:pPr>
      <w:r w:rsidRPr="00C0717E">
        <w:rPr>
          <w:rStyle w:val="Refdenotaalpie"/>
          <w:rFonts w:ascii="Verdana" w:hAnsi="Verdana" w:cs="Arial"/>
          <w:sz w:val="18"/>
          <w:szCs w:val="18"/>
        </w:rPr>
        <w:footnoteRef/>
      </w:r>
      <w:r w:rsidRPr="00C0717E">
        <w:rPr>
          <w:rFonts w:ascii="Verdana" w:hAnsi="Verdana"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9400A76" w14:textId="77777777" w:rsidR="00512C72" w:rsidRPr="00C0717E" w:rsidRDefault="00512C72" w:rsidP="00512C72">
      <w:pPr>
        <w:pStyle w:val="Textonotapie"/>
        <w:ind w:firstLine="709"/>
        <w:contextualSpacing/>
        <w:jc w:val="both"/>
        <w:rPr>
          <w:rFonts w:ascii="Verdana" w:hAnsi="Verdana" w:cs="Arial"/>
          <w:sz w:val="18"/>
          <w:szCs w:val="18"/>
        </w:rPr>
      </w:pPr>
      <w:r w:rsidRPr="00C0717E">
        <w:rPr>
          <w:rFonts w:ascii="Verdana" w:hAnsi="Verdana"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8DE4E12" w14:textId="77777777" w:rsidR="00512C72" w:rsidRPr="00C0717E" w:rsidRDefault="00512C72" w:rsidP="00512C72">
      <w:pPr>
        <w:pStyle w:val="Textonotapie"/>
        <w:ind w:firstLine="709"/>
        <w:contextualSpacing/>
        <w:jc w:val="both"/>
        <w:rPr>
          <w:rFonts w:ascii="Verdana" w:hAnsi="Verdana" w:cs="Arial"/>
          <w:sz w:val="18"/>
          <w:szCs w:val="18"/>
        </w:rPr>
      </w:pPr>
      <w:r w:rsidRPr="00C0717E">
        <w:rPr>
          <w:rFonts w:ascii="Verdana" w:hAnsi="Verdana" w:cs="Arial"/>
          <w:sz w:val="18"/>
          <w:szCs w:val="18"/>
        </w:rPr>
        <w:t>[…]”.</w:t>
      </w:r>
    </w:p>
    <w:p w14:paraId="6365F662" w14:textId="77777777" w:rsidR="00512C72" w:rsidRPr="00C0717E" w:rsidRDefault="00512C72" w:rsidP="00512C72">
      <w:pPr>
        <w:pStyle w:val="Textonotapie"/>
        <w:ind w:firstLine="709"/>
        <w:contextualSpacing/>
        <w:jc w:val="both"/>
        <w:rPr>
          <w:rFonts w:ascii="Verdana" w:hAnsi="Verdana" w:cs="Arial"/>
          <w:sz w:val="18"/>
          <w:szCs w:val="18"/>
          <w:lang w:val="es-ES"/>
        </w:rPr>
      </w:pPr>
    </w:p>
  </w:footnote>
  <w:footnote w:id="15">
    <w:p w14:paraId="59A9F261" w14:textId="77777777" w:rsidR="00512C72" w:rsidRPr="00C0717E" w:rsidRDefault="00512C72" w:rsidP="00512C72">
      <w:pPr>
        <w:pStyle w:val="Textonotapie"/>
        <w:ind w:firstLine="709"/>
        <w:contextualSpacing/>
        <w:jc w:val="both"/>
        <w:rPr>
          <w:rFonts w:ascii="Verdana" w:hAnsi="Verdana" w:cs="Arial"/>
          <w:sz w:val="18"/>
          <w:szCs w:val="18"/>
          <w:lang w:val="es-ES"/>
        </w:rPr>
      </w:pPr>
      <w:r w:rsidRPr="00C0717E">
        <w:rPr>
          <w:rStyle w:val="Refdenotaalpie"/>
          <w:rFonts w:ascii="Verdana" w:hAnsi="Verdana" w:cs="Arial"/>
          <w:sz w:val="18"/>
          <w:szCs w:val="18"/>
        </w:rPr>
        <w:footnoteRef/>
      </w:r>
      <w:r w:rsidRPr="00C0717E">
        <w:rPr>
          <w:rFonts w:ascii="Verdana" w:hAnsi="Verdana" w:cs="Arial"/>
          <w:sz w:val="18"/>
          <w:szCs w:val="18"/>
        </w:rPr>
        <w:t xml:space="preserve"> </w:t>
      </w:r>
      <w:r w:rsidRPr="00C0717E">
        <w:rPr>
          <w:rFonts w:ascii="Verdana" w:hAnsi="Verdana"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67C458D7" w14:textId="77777777" w:rsidR="00512C72" w:rsidRPr="00C0717E" w:rsidRDefault="00512C72" w:rsidP="00512C72">
      <w:pPr>
        <w:pStyle w:val="Textonotapie"/>
        <w:ind w:firstLine="709"/>
        <w:contextualSpacing/>
        <w:jc w:val="both"/>
        <w:rPr>
          <w:rFonts w:ascii="Verdana" w:hAnsi="Verdana" w:cs="Arial"/>
          <w:sz w:val="18"/>
          <w:szCs w:val="18"/>
          <w:lang w:val="es-ES"/>
        </w:rPr>
      </w:pPr>
    </w:p>
  </w:footnote>
  <w:footnote w:id="16">
    <w:p w14:paraId="353DED01" w14:textId="77777777" w:rsidR="00CB79C9" w:rsidRDefault="00CB79C9" w:rsidP="00CB79C9">
      <w:pPr>
        <w:pStyle w:val="Textonotapie"/>
        <w:ind w:firstLine="709"/>
        <w:jc w:val="both"/>
        <w:rPr>
          <w:rFonts w:ascii="Verdana" w:hAnsi="Verdana" w:cs="Arial"/>
          <w:sz w:val="16"/>
          <w:szCs w:val="16"/>
        </w:rPr>
      </w:pPr>
      <w:r w:rsidRPr="006869A9">
        <w:rPr>
          <w:rStyle w:val="Refdenotaalpie"/>
          <w:rFonts w:ascii="Verdana" w:hAnsi="Verdana"/>
          <w:sz w:val="16"/>
          <w:szCs w:val="16"/>
        </w:rPr>
        <w:footnoteRef/>
      </w:r>
      <w:r w:rsidRPr="006869A9">
        <w:rPr>
          <w:rFonts w:ascii="Verdana" w:hAnsi="Verdana" w:cs="Arial"/>
          <w:sz w:val="16"/>
          <w:szCs w:val="16"/>
        </w:rPr>
        <w:t xml:space="preserve"> Consejo de Estado. Sección Tercera. Sentencia del 1 de octubre de 2018. Consejera Ponente: Marta Nubia Velásquez Rico. Expediente: 57.897.</w:t>
      </w:r>
    </w:p>
    <w:p w14:paraId="5F716A92" w14:textId="77777777" w:rsidR="00341989" w:rsidRPr="006869A9" w:rsidRDefault="00341989" w:rsidP="00CB79C9">
      <w:pPr>
        <w:pStyle w:val="Textonotapie"/>
        <w:ind w:firstLine="709"/>
        <w:jc w:val="both"/>
        <w:rPr>
          <w:rFonts w:ascii="Verdana" w:hAnsi="Verdana" w:cs="Arial"/>
          <w:sz w:val="16"/>
          <w:szCs w:val="16"/>
        </w:rPr>
      </w:pPr>
    </w:p>
  </w:footnote>
  <w:footnote w:id="17">
    <w:p w14:paraId="23BA17EE" w14:textId="77777777" w:rsidR="00CB79C9" w:rsidRDefault="00CB79C9" w:rsidP="00CB79C9">
      <w:pPr>
        <w:pStyle w:val="Textonotapie"/>
        <w:ind w:firstLine="709"/>
        <w:jc w:val="both"/>
        <w:rPr>
          <w:rFonts w:ascii="Verdana" w:hAnsi="Verdana" w:cs="Arial"/>
          <w:sz w:val="16"/>
          <w:szCs w:val="16"/>
        </w:rPr>
      </w:pPr>
      <w:r w:rsidRPr="006869A9">
        <w:rPr>
          <w:rStyle w:val="Refdenotaalpie"/>
          <w:rFonts w:ascii="Verdana" w:hAnsi="Verdana"/>
          <w:sz w:val="16"/>
          <w:szCs w:val="16"/>
        </w:rPr>
        <w:footnoteRef/>
      </w:r>
      <w:r w:rsidRPr="006869A9">
        <w:rPr>
          <w:rFonts w:ascii="Verdana" w:hAnsi="Verdana" w:cs="Arial"/>
          <w:sz w:val="16"/>
          <w:szCs w:val="16"/>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p w14:paraId="63486C48" w14:textId="77777777" w:rsidR="00341989" w:rsidRPr="006869A9" w:rsidRDefault="00341989" w:rsidP="00CB79C9">
      <w:pPr>
        <w:pStyle w:val="Textonotapie"/>
        <w:ind w:firstLine="709"/>
        <w:jc w:val="both"/>
        <w:rPr>
          <w:rFonts w:ascii="Verdana" w:hAnsi="Verdana" w:cs="Arial"/>
          <w:sz w:val="16"/>
          <w:szCs w:val="16"/>
        </w:rPr>
      </w:pPr>
    </w:p>
  </w:footnote>
  <w:footnote w:id="18">
    <w:p w14:paraId="3534D3C3" w14:textId="77777777" w:rsidR="00CB79C9" w:rsidRPr="006869A9" w:rsidRDefault="00CB79C9" w:rsidP="00CB79C9">
      <w:pPr>
        <w:pStyle w:val="Textonotapie"/>
        <w:ind w:firstLine="709"/>
        <w:jc w:val="both"/>
        <w:rPr>
          <w:rFonts w:ascii="Verdana" w:hAnsi="Verdana" w:cs="Arial"/>
          <w:sz w:val="16"/>
          <w:szCs w:val="16"/>
          <w:lang w:val="es-ES"/>
        </w:rPr>
      </w:pPr>
      <w:r w:rsidRPr="006869A9">
        <w:rPr>
          <w:rStyle w:val="Refdenotaalpie"/>
          <w:rFonts w:ascii="Verdana" w:hAnsi="Verdana"/>
          <w:sz w:val="16"/>
          <w:szCs w:val="16"/>
        </w:rPr>
        <w:footnoteRef/>
      </w:r>
      <w:r w:rsidRPr="006869A9">
        <w:rPr>
          <w:rFonts w:ascii="Verdana" w:hAnsi="Verdana" w:cs="Arial"/>
          <w:sz w:val="16"/>
          <w:szCs w:val="16"/>
        </w:rPr>
        <w:t xml:space="preserve"> </w:t>
      </w:r>
      <w:r w:rsidRPr="006869A9">
        <w:rPr>
          <w:rFonts w:ascii="Verdana" w:hAnsi="Verdana" w:cs="Arial"/>
          <w:sz w:val="16"/>
          <w:szCs w:val="16"/>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19">
    <w:p w14:paraId="46ACB290" w14:textId="77777777" w:rsidR="00CB79C9" w:rsidRDefault="00CB79C9" w:rsidP="00CB79C9">
      <w:pPr>
        <w:pStyle w:val="Textonotapie"/>
        <w:ind w:firstLine="708"/>
        <w:jc w:val="both"/>
        <w:rPr>
          <w:rFonts w:ascii="Verdana" w:hAnsi="Verdana"/>
          <w:sz w:val="16"/>
          <w:szCs w:val="16"/>
        </w:rPr>
      </w:pPr>
      <w:r w:rsidRPr="006869A9">
        <w:rPr>
          <w:rStyle w:val="Refdenotaalpie"/>
          <w:rFonts w:ascii="Verdana" w:hAnsi="Verdana"/>
          <w:sz w:val="16"/>
          <w:szCs w:val="16"/>
        </w:rPr>
        <w:footnoteRef/>
      </w:r>
      <w:r w:rsidRPr="006869A9">
        <w:rPr>
          <w:rFonts w:ascii="Verdana" w:hAnsi="Verdana"/>
          <w:sz w:val="16"/>
          <w:szCs w:val="16"/>
        </w:rPr>
        <w:t xml:space="preserve"> DÁVILA VINUEZA, Luis Guillermo. Regímen jurídico de la contratación estatal. Cuarta edición. Bogotá: Tirant lo Blanch, 2026. pp. 745-746. </w:t>
      </w:r>
    </w:p>
    <w:p w14:paraId="4FDFE180" w14:textId="77777777" w:rsidR="00682864" w:rsidRPr="006869A9" w:rsidRDefault="00682864" w:rsidP="00CB79C9">
      <w:pPr>
        <w:pStyle w:val="Textonotapie"/>
        <w:ind w:firstLine="708"/>
        <w:jc w:val="both"/>
        <w:rPr>
          <w:rFonts w:ascii="Verdana" w:hAnsi="Verdana"/>
          <w:sz w:val="16"/>
          <w:szCs w:val="16"/>
        </w:rPr>
      </w:pPr>
    </w:p>
  </w:footnote>
  <w:footnote w:id="20">
    <w:p w14:paraId="6A4B062B" w14:textId="77777777" w:rsidR="00CB79C9" w:rsidRDefault="00CB79C9" w:rsidP="00CB79C9">
      <w:pPr>
        <w:pStyle w:val="Textonotapie"/>
        <w:ind w:firstLine="709"/>
        <w:jc w:val="both"/>
        <w:rPr>
          <w:rFonts w:ascii="Verdana" w:hAnsi="Verdana" w:cs="Arial"/>
          <w:sz w:val="16"/>
          <w:szCs w:val="16"/>
        </w:rPr>
      </w:pPr>
      <w:r w:rsidRPr="006869A9">
        <w:rPr>
          <w:rStyle w:val="Refdenotaalpie"/>
          <w:rFonts w:ascii="Verdana" w:hAnsi="Verdana"/>
          <w:sz w:val="16"/>
          <w:szCs w:val="16"/>
        </w:rPr>
        <w:footnoteRef/>
      </w:r>
      <w:r w:rsidRPr="006869A9">
        <w:rPr>
          <w:rFonts w:ascii="Verdana" w:hAnsi="Verdana" w:cs="Arial"/>
          <w:sz w:val="16"/>
          <w:szCs w:val="16"/>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p w14:paraId="17BCF62A" w14:textId="77777777" w:rsidR="00682864" w:rsidRPr="006869A9" w:rsidRDefault="00682864" w:rsidP="00CB79C9">
      <w:pPr>
        <w:pStyle w:val="Textonotapie"/>
        <w:ind w:firstLine="709"/>
        <w:jc w:val="both"/>
        <w:rPr>
          <w:rFonts w:ascii="Verdana" w:hAnsi="Verdana" w:cs="Arial"/>
          <w:sz w:val="16"/>
          <w:szCs w:val="16"/>
        </w:rPr>
      </w:pPr>
    </w:p>
  </w:footnote>
  <w:footnote w:id="21">
    <w:p w14:paraId="5B3880E0" w14:textId="77777777" w:rsidR="00CB79C9" w:rsidRPr="006869A9" w:rsidRDefault="00CB79C9" w:rsidP="00CB79C9">
      <w:pPr>
        <w:pStyle w:val="Textonotapie"/>
        <w:ind w:firstLine="708"/>
        <w:jc w:val="both"/>
        <w:rPr>
          <w:rFonts w:ascii="Verdana" w:hAnsi="Verdana"/>
          <w:sz w:val="16"/>
          <w:szCs w:val="16"/>
        </w:rPr>
      </w:pPr>
      <w:r w:rsidRPr="006869A9">
        <w:rPr>
          <w:rStyle w:val="Refdenotaalpie"/>
          <w:rFonts w:ascii="Verdana" w:hAnsi="Verdana"/>
          <w:sz w:val="16"/>
          <w:szCs w:val="16"/>
        </w:rPr>
        <w:footnoteRef/>
      </w:r>
      <w:r w:rsidRPr="006869A9">
        <w:rPr>
          <w:rFonts w:ascii="Verdana" w:hAnsi="Verdana"/>
          <w:sz w:val="16"/>
          <w:szCs w:val="16"/>
        </w:rPr>
        <w:t xml:space="preserve"> CHAMIÉ GANDUR, José Félix. Mecanismos de adaptación y conservación del contrato estatal. En: Las actuaciones y los procedimientos en la contratación estatal. Bogotá: Universidad Externando de Colombia, 2026. pp. 376.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141912"/>
    <w:multiLevelType w:val="hybridMultilevel"/>
    <w:tmpl w:val="08F85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8E67E27"/>
    <w:multiLevelType w:val="hybridMultilevel"/>
    <w:tmpl w:val="6E0EAE62"/>
    <w:lvl w:ilvl="0" w:tplc="734CC976">
      <w:start w:val="4"/>
      <w:numFmt w:val="decimal"/>
      <w:lvlText w:val="%1."/>
      <w:lvlJc w:val="left"/>
      <w:pPr>
        <w:ind w:left="2061" w:hanging="360"/>
      </w:pPr>
      <w:rPr>
        <w:rFonts w:hint="default"/>
      </w:rPr>
    </w:lvl>
    <w:lvl w:ilvl="1" w:tplc="240A0019" w:tentative="1">
      <w:start w:val="1"/>
      <w:numFmt w:val="lowerLetter"/>
      <w:lvlText w:val="%2."/>
      <w:lvlJc w:val="left"/>
      <w:pPr>
        <w:ind w:left="2781" w:hanging="360"/>
      </w:pPr>
    </w:lvl>
    <w:lvl w:ilvl="2" w:tplc="240A001B" w:tentative="1">
      <w:start w:val="1"/>
      <w:numFmt w:val="lowerRoman"/>
      <w:lvlText w:val="%3."/>
      <w:lvlJc w:val="right"/>
      <w:pPr>
        <w:ind w:left="3501" w:hanging="180"/>
      </w:pPr>
    </w:lvl>
    <w:lvl w:ilvl="3" w:tplc="240A000F" w:tentative="1">
      <w:start w:val="1"/>
      <w:numFmt w:val="decimal"/>
      <w:lvlText w:val="%4."/>
      <w:lvlJc w:val="left"/>
      <w:pPr>
        <w:ind w:left="4221" w:hanging="360"/>
      </w:pPr>
    </w:lvl>
    <w:lvl w:ilvl="4" w:tplc="240A0019" w:tentative="1">
      <w:start w:val="1"/>
      <w:numFmt w:val="lowerLetter"/>
      <w:lvlText w:val="%5."/>
      <w:lvlJc w:val="left"/>
      <w:pPr>
        <w:ind w:left="4941" w:hanging="360"/>
      </w:pPr>
    </w:lvl>
    <w:lvl w:ilvl="5" w:tplc="240A001B" w:tentative="1">
      <w:start w:val="1"/>
      <w:numFmt w:val="lowerRoman"/>
      <w:lvlText w:val="%6."/>
      <w:lvlJc w:val="right"/>
      <w:pPr>
        <w:ind w:left="5661" w:hanging="180"/>
      </w:pPr>
    </w:lvl>
    <w:lvl w:ilvl="6" w:tplc="240A000F" w:tentative="1">
      <w:start w:val="1"/>
      <w:numFmt w:val="decimal"/>
      <w:lvlText w:val="%7."/>
      <w:lvlJc w:val="left"/>
      <w:pPr>
        <w:ind w:left="6381" w:hanging="360"/>
      </w:pPr>
    </w:lvl>
    <w:lvl w:ilvl="7" w:tplc="240A0019" w:tentative="1">
      <w:start w:val="1"/>
      <w:numFmt w:val="lowerLetter"/>
      <w:lvlText w:val="%8."/>
      <w:lvlJc w:val="left"/>
      <w:pPr>
        <w:ind w:left="7101" w:hanging="360"/>
      </w:pPr>
    </w:lvl>
    <w:lvl w:ilvl="8" w:tplc="240A001B" w:tentative="1">
      <w:start w:val="1"/>
      <w:numFmt w:val="lowerRoman"/>
      <w:lvlText w:val="%9."/>
      <w:lvlJc w:val="right"/>
      <w:pPr>
        <w:ind w:left="7821" w:hanging="180"/>
      </w:p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0"/>
  </w:num>
  <w:num w:numId="16" w16cid:durableId="1489201040">
    <w:abstractNumId w:val="0"/>
  </w:num>
  <w:num w:numId="17" w16cid:durableId="817453128">
    <w:abstractNumId w:val="3"/>
  </w:num>
  <w:num w:numId="18" w16cid:durableId="3546925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162"/>
    <w:rsid w:val="00046945"/>
    <w:rsid w:val="00056DDB"/>
    <w:rsid w:val="00061B2A"/>
    <w:rsid w:val="000709C3"/>
    <w:rsid w:val="00070ADD"/>
    <w:rsid w:val="00076069"/>
    <w:rsid w:val="00082362"/>
    <w:rsid w:val="00094345"/>
    <w:rsid w:val="000A683E"/>
    <w:rsid w:val="000B19B9"/>
    <w:rsid w:val="000D0334"/>
    <w:rsid w:val="000D5DA7"/>
    <w:rsid w:val="000E3E5B"/>
    <w:rsid w:val="000F6486"/>
    <w:rsid w:val="00116940"/>
    <w:rsid w:val="00125105"/>
    <w:rsid w:val="00127233"/>
    <w:rsid w:val="0015699B"/>
    <w:rsid w:val="001719FA"/>
    <w:rsid w:val="001819BB"/>
    <w:rsid w:val="001945A1"/>
    <w:rsid w:val="001A33BF"/>
    <w:rsid w:val="001E4177"/>
    <w:rsid w:val="001F0B24"/>
    <w:rsid w:val="001F7DC6"/>
    <w:rsid w:val="00220EB5"/>
    <w:rsid w:val="0022400B"/>
    <w:rsid w:val="00224E81"/>
    <w:rsid w:val="002421BB"/>
    <w:rsid w:val="002462E8"/>
    <w:rsid w:val="0025796E"/>
    <w:rsid w:val="002647D0"/>
    <w:rsid w:val="002707A2"/>
    <w:rsid w:val="002951A0"/>
    <w:rsid w:val="002962BC"/>
    <w:rsid w:val="002A093D"/>
    <w:rsid w:val="002A0DD0"/>
    <w:rsid w:val="002A167A"/>
    <w:rsid w:val="002A49AC"/>
    <w:rsid w:val="002A64FD"/>
    <w:rsid w:val="002B6D0C"/>
    <w:rsid w:val="002C7A84"/>
    <w:rsid w:val="002E2BF8"/>
    <w:rsid w:val="002E4FD9"/>
    <w:rsid w:val="0030657A"/>
    <w:rsid w:val="00322A85"/>
    <w:rsid w:val="00324168"/>
    <w:rsid w:val="00330834"/>
    <w:rsid w:val="00341989"/>
    <w:rsid w:val="003448F4"/>
    <w:rsid w:val="003547C8"/>
    <w:rsid w:val="00374F5E"/>
    <w:rsid w:val="00377E3E"/>
    <w:rsid w:val="00382050"/>
    <w:rsid w:val="003A779E"/>
    <w:rsid w:val="003D0F4D"/>
    <w:rsid w:val="003D5B0D"/>
    <w:rsid w:val="003E021B"/>
    <w:rsid w:val="003E0499"/>
    <w:rsid w:val="003E07CE"/>
    <w:rsid w:val="003E4F80"/>
    <w:rsid w:val="003E59D1"/>
    <w:rsid w:val="003E6439"/>
    <w:rsid w:val="003E7276"/>
    <w:rsid w:val="003F3941"/>
    <w:rsid w:val="00406575"/>
    <w:rsid w:val="00414C74"/>
    <w:rsid w:val="00423837"/>
    <w:rsid w:val="0042722E"/>
    <w:rsid w:val="0044528D"/>
    <w:rsid w:val="00466E39"/>
    <w:rsid w:val="004A1847"/>
    <w:rsid w:val="004A305D"/>
    <w:rsid w:val="004F21C4"/>
    <w:rsid w:val="004F685F"/>
    <w:rsid w:val="005025AD"/>
    <w:rsid w:val="00511458"/>
    <w:rsid w:val="00512C72"/>
    <w:rsid w:val="005566E8"/>
    <w:rsid w:val="00574867"/>
    <w:rsid w:val="00581000"/>
    <w:rsid w:val="00591460"/>
    <w:rsid w:val="005A65E0"/>
    <w:rsid w:val="005C0F7E"/>
    <w:rsid w:val="005C3777"/>
    <w:rsid w:val="005C5CDC"/>
    <w:rsid w:val="005D476C"/>
    <w:rsid w:val="005F2691"/>
    <w:rsid w:val="006152B1"/>
    <w:rsid w:val="006200BF"/>
    <w:rsid w:val="006219F8"/>
    <w:rsid w:val="006302F7"/>
    <w:rsid w:val="006333FB"/>
    <w:rsid w:val="0063724A"/>
    <w:rsid w:val="00646B9F"/>
    <w:rsid w:val="00665D70"/>
    <w:rsid w:val="00670DA7"/>
    <w:rsid w:val="00682864"/>
    <w:rsid w:val="006836CE"/>
    <w:rsid w:val="006900D9"/>
    <w:rsid w:val="006C361E"/>
    <w:rsid w:val="006C7FE2"/>
    <w:rsid w:val="006D0201"/>
    <w:rsid w:val="006D0F18"/>
    <w:rsid w:val="006D5AEF"/>
    <w:rsid w:val="006F015F"/>
    <w:rsid w:val="00706C16"/>
    <w:rsid w:val="0071437C"/>
    <w:rsid w:val="00714FB4"/>
    <w:rsid w:val="007340C3"/>
    <w:rsid w:val="0075235A"/>
    <w:rsid w:val="00756841"/>
    <w:rsid w:val="0076057C"/>
    <w:rsid w:val="007649AB"/>
    <w:rsid w:val="00771D0C"/>
    <w:rsid w:val="007833AC"/>
    <w:rsid w:val="007A304A"/>
    <w:rsid w:val="007B268C"/>
    <w:rsid w:val="007B7171"/>
    <w:rsid w:val="007C0C0F"/>
    <w:rsid w:val="007C3DC2"/>
    <w:rsid w:val="007E5497"/>
    <w:rsid w:val="00806F5F"/>
    <w:rsid w:val="0081708F"/>
    <w:rsid w:val="00820278"/>
    <w:rsid w:val="008258C9"/>
    <w:rsid w:val="008368F4"/>
    <w:rsid w:val="00844AE9"/>
    <w:rsid w:val="00867F95"/>
    <w:rsid w:val="008804F7"/>
    <w:rsid w:val="008843B6"/>
    <w:rsid w:val="00886CAD"/>
    <w:rsid w:val="00891928"/>
    <w:rsid w:val="008A446D"/>
    <w:rsid w:val="008B25F1"/>
    <w:rsid w:val="008C4765"/>
    <w:rsid w:val="008C5069"/>
    <w:rsid w:val="008C69ED"/>
    <w:rsid w:val="008D180B"/>
    <w:rsid w:val="008F0EA7"/>
    <w:rsid w:val="00920AE8"/>
    <w:rsid w:val="00923EEF"/>
    <w:rsid w:val="009419F9"/>
    <w:rsid w:val="00942EA0"/>
    <w:rsid w:val="0095685E"/>
    <w:rsid w:val="00961B09"/>
    <w:rsid w:val="00965334"/>
    <w:rsid w:val="0097093E"/>
    <w:rsid w:val="009734C7"/>
    <w:rsid w:val="00981816"/>
    <w:rsid w:val="009A0DFA"/>
    <w:rsid w:val="009A1C6F"/>
    <w:rsid w:val="009B2D26"/>
    <w:rsid w:val="009B324D"/>
    <w:rsid w:val="009C71FA"/>
    <w:rsid w:val="009C72E7"/>
    <w:rsid w:val="009C7F7E"/>
    <w:rsid w:val="009D3058"/>
    <w:rsid w:val="009F3A13"/>
    <w:rsid w:val="00A122D3"/>
    <w:rsid w:val="00A14468"/>
    <w:rsid w:val="00A17F13"/>
    <w:rsid w:val="00A20739"/>
    <w:rsid w:val="00A217C3"/>
    <w:rsid w:val="00A21856"/>
    <w:rsid w:val="00A23AF9"/>
    <w:rsid w:val="00A33C78"/>
    <w:rsid w:val="00A36F0D"/>
    <w:rsid w:val="00AA567D"/>
    <w:rsid w:val="00AB0ADB"/>
    <w:rsid w:val="00AF3A0C"/>
    <w:rsid w:val="00B00C0E"/>
    <w:rsid w:val="00B01B1A"/>
    <w:rsid w:val="00B0381D"/>
    <w:rsid w:val="00B04AED"/>
    <w:rsid w:val="00B44A47"/>
    <w:rsid w:val="00B707CB"/>
    <w:rsid w:val="00B7197A"/>
    <w:rsid w:val="00B72CD3"/>
    <w:rsid w:val="00B72FFF"/>
    <w:rsid w:val="00BB3890"/>
    <w:rsid w:val="00BC3D36"/>
    <w:rsid w:val="00BD54A6"/>
    <w:rsid w:val="00BD7F72"/>
    <w:rsid w:val="00BF73ED"/>
    <w:rsid w:val="00BF7425"/>
    <w:rsid w:val="00C02D62"/>
    <w:rsid w:val="00C04FB3"/>
    <w:rsid w:val="00C11D8B"/>
    <w:rsid w:val="00C13F29"/>
    <w:rsid w:val="00C14927"/>
    <w:rsid w:val="00C15062"/>
    <w:rsid w:val="00C15139"/>
    <w:rsid w:val="00C330EB"/>
    <w:rsid w:val="00C50D69"/>
    <w:rsid w:val="00C5365C"/>
    <w:rsid w:val="00C644F4"/>
    <w:rsid w:val="00C754BE"/>
    <w:rsid w:val="00C76B1C"/>
    <w:rsid w:val="00C80BA1"/>
    <w:rsid w:val="00C925AC"/>
    <w:rsid w:val="00CB6357"/>
    <w:rsid w:val="00CB79C9"/>
    <w:rsid w:val="00CC1B26"/>
    <w:rsid w:val="00CF1D90"/>
    <w:rsid w:val="00D000A9"/>
    <w:rsid w:val="00D361FD"/>
    <w:rsid w:val="00D423A2"/>
    <w:rsid w:val="00D44E26"/>
    <w:rsid w:val="00D520D8"/>
    <w:rsid w:val="00D63AC2"/>
    <w:rsid w:val="00D7342A"/>
    <w:rsid w:val="00D7383B"/>
    <w:rsid w:val="00D7788A"/>
    <w:rsid w:val="00D81438"/>
    <w:rsid w:val="00DA231B"/>
    <w:rsid w:val="00DC39FC"/>
    <w:rsid w:val="00DC4DF9"/>
    <w:rsid w:val="00DF5254"/>
    <w:rsid w:val="00E02524"/>
    <w:rsid w:val="00E16408"/>
    <w:rsid w:val="00E20687"/>
    <w:rsid w:val="00E20894"/>
    <w:rsid w:val="00E245AB"/>
    <w:rsid w:val="00E2764C"/>
    <w:rsid w:val="00E27F2E"/>
    <w:rsid w:val="00E50AFE"/>
    <w:rsid w:val="00E75C92"/>
    <w:rsid w:val="00E771DC"/>
    <w:rsid w:val="00E8772A"/>
    <w:rsid w:val="00E90F6B"/>
    <w:rsid w:val="00E92C27"/>
    <w:rsid w:val="00EA0E3D"/>
    <w:rsid w:val="00EC38A7"/>
    <w:rsid w:val="00EE1AA8"/>
    <w:rsid w:val="00F00158"/>
    <w:rsid w:val="00F23FEA"/>
    <w:rsid w:val="00F27C0E"/>
    <w:rsid w:val="00F31EDC"/>
    <w:rsid w:val="00F462B3"/>
    <w:rsid w:val="00F5664F"/>
    <w:rsid w:val="00F666C4"/>
    <w:rsid w:val="00F7157D"/>
    <w:rsid w:val="00F76AFC"/>
    <w:rsid w:val="00F92691"/>
    <w:rsid w:val="00FA47C0"/>
    <w:rsid w:val="00FB1DC4"/>
    <w:rsid w:val="00FB5DD1"/>
    <w:rsid w:val="00FC2B5D"/>
    <w:rsid w:val="00FF1449"/>
    <w:rsid w:val="00FF5F25"/>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015F"/>
    <w:rPr>
      <w:rFonts w:ascii="Geomanist Light" w:hAnsi="Geomanist Light"/>
      <w:lang w:val="es-ES"/>
    </w:rPr>
  </w:style>
  <w:style w:type="paragraph" w:customStyle="1" w:styleId="Appelnotedebasde">
    <w:name w:val="Appel note de bas de..."/>
    <w:basedOn w:val="Normal"/>
    <w:link w:val="Refdenotaalpie"/>
    <w:uiPriority w:val="99"/>
    <w:rsid w:val="00512C7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funcionpublica.gov.co/eva/gestornormativo/norma.php?i=71209" TargetMode="External"/><Relationship Id="rId17"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egovergaraaldana@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CCD56B-57AF-4D4B-BAE6-7E6B297566D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6126</Words>
  <Characters>33698</Characters>
  <Application>Microsoft Office Word</Application>
  <DocSecurity>0</DocSecurity>
  <Lines>280</Lines>
  <Paragraphs>79</Paragraphs>
  <ScaleCrop>false</ScaleCrop>
  <Company/>
  <LinksUpToDate>false</LinksUpToDate>
  <CharactersWithSpaces>39745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7</cp:revision>
  <cp:lastPrinted>2023-01-10T21:18:00Z</cp:lastPrinted>
  <dcterms:created xsi:type="dcterms:W3CDTF">2026-08-25T21:19:00Z</dcterms:created>
  <dcterms:modified xsi:type="dcterms:W3CDTF">2026-09-02T01:42:00Z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ClassificationContentMarkingFooterShapeIds">
    <vt:lpwstr>2c12ba82,2b2ecf6a,2407362d</vt:lpwstr>
  </property>
  <property fmtid="{D5CDD505-2E9C-101B-9397-08002B2CF9AE}" pid="5" name="ClassificationContentMarkingFooterFontProps">
    <vt:lpwstr>#000000,10,Aptos</vt:lpwstr>
  </property>
  <property fmtid="{D5CDD505-2E9C-101B-9397-08002B2CF9AE}" pid="6" name="ClassificationContentMarkingFooterText">
    <vt:lpwstr>Información Pública</vt:lpwstr>
  </property>
  <property fmtid="{D5CDD505-2E9C-101B-9397-08002B2CF9AE}" pid="7" name="MSIP_Label_a4b7c6c0-63aa-4c48-857c-972cf4a47d5d_Enabled">
    <vt:lpwstr>true</vt:lpwstr>
  </property>
  <property fmtid="{D5CDD505-2E9C-101B-9397-08002B2CF9AE}" pid="8" name="MSIP_Label_a4b7c6c0-63aa-4c48-857c-972cf4a47d5d_SetDate">
    <vt:lpwstr>2026-09-01T20:24:04Z</vt:lpwstr>
  </property>
  <property fmtid="{D5CDD505-2E9C-101B-9397-08002B2CF9AE}" pid="9" name="MSIP_Label_a4b7c6c0-63aa-4c48-857c-972cf4a47d5d_Method">
    <vt:lpwstr>Standard</vt:lpwstr>
  </property>
  <property fmtid="{D5CDD505-2E9C-101B-9397-08002B2CF9AE}" pid="10" name="MSIP_Label_a4b7c6c0-63aa-4c48-857c-972cf4a47d5d_Name">
    <vt:lpwstr>defa4170-0d19-0005-0001-bc88714345d2</vt:lpwstr>
  </property>
  <property fmtid="{D5CDD505-2E9C-101B-9397-08002B2CF9AE}" pid="11" name="MSIP_Label_a4b7c6c0-63aa-4c48-857c-972cf4a47d5d_SiteId">
    <vt:lpwstr>33fa6907-21c6-4126-aa66-bcbed95361bb</vt:lpwstr>
  </property>
  <property fmtid="{D5CDD505-2E9C-101B-9397-08002B2CF9AE}" pid="12" name="MSIP_Label_a4b7c6c0-63aa-4c48-857c-972cf4a47d5d_ActionId">
    <vt:lpwstr>d837b0a2-0869-4f7c-b405-b1c932b6aa26</vt:lpwstr>
  </property>
  <property fmtid="{D5CDD505-2E9C-101B-9397-08002B2CF9AE}" pid="13" name="MSIP_Label_a4b7c6c0-63aa-4c48-857c-972cf4a47d5d_ContentBits">
    <vt:lpwstr>2</vt:lpwstr>
  </property>
  <property fmtid="{D5CDD505-2E9C-101B-9397-08002B2CF9AE}" pid="14" name="MSIP_Label_a4b7c6c0-63aa-4c48-857c-972cf4a47d5d_Tag">
    <vt:lpwstr>10, 3, 0, 1</vt:lpwstr>
  </property>
</Properties>
</file>