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7DDCA" w14:textId="77777777" w:rsidR="0071761C" w:rsidRDefault="0071761C" w:rsidP="30821638">
      <w:pPr>
        <w:spacing w:after="0"/>
        <w:rPr>
          <w:rFonts w:ascii="Verdana" w:eastAsia="Verdana" w:hAnsi="Verdana" w:cs="Verdana"/>
        </w:rPr>
      </w:pPr>
      <w:bookmarkStart w:id="0" w:name="_Hlk143780582"/>
    </w:p>
    <w:p w14:paraId="34FC4C00" w14:textId="77777777" w:rsidR="00397B8A" w:rsidRPr="004A1615" w:rsidRDefault="00397B8A" w:rsidP="00397B8A">
      <w:pPr>
        <w:spacing w:after="0"/>
        <w:rPr>
          <w:rFonts w:ascii="Verdana" w:hAnsi="Verdana" w:cs="Arial"/>
          <w:b/>
          <w:lang w:val="es-ES" w:eastAsia="es-ES"/>
        </w:rPr>
      </w:pPr>
      <w:r w:rsidRPr="004A1615">
        <w:rPr>
          <w:rFonts w:ascii="Verdana" w:hAnsi="Verdana" w:cs="Arial"/>
          <w:b/>
          <w:lang w:val="es-ES" w:eastAsia="es-ES"/>
        </w:rPr>
        <w:t xml:space="preserve">REQUISITOS HABILITANTES – Noción – Fundamento normativo </w:t>
      </w:r>
    </w:p>
    <w:p w14:paraId="4DFC7BD5" w14:textId="77777777" w:rsidR="00397B8A" w:rsidRPr="004A1615" w:rsidRDefault="00397B8A" w:rsidP="00397B8A">
      <w:pPr>
        <w:spacing w:after="0"/>
        <w:rPr>
          <w:rFonts w:ascii="Verdana" w:hAnsi="Verdana" w:cs="Arial"/>
          <w:b/>
          <w:lang w:val="es-ES" w:eastAsia="es-ES"/>
        </w:rPr>
      </w:pPr>
    </w:p>
    <w:p w14:paraId="6A27806E" w14:textId="77777777" w:rsidR="00397B8A" w:rsidRPr="004A1615" w:rsidRDefault="00397B8A" w:rsidP="00397B8A">
      <w:pPr>
        <w:spacing w:after="0" w:line="240" w:lineRule="auto"/>
        <w:jc w:val="both"/>
        <w:rPr>
          <w:rFonts w:ascii="Verdana" w:hAnsi="Verdana" w:cs="Arial"/>
          <w:sz w:val="20"/>
          <w:lang w:val="es-ES_tradnl" w:eastAsia="es-ES"/>
        </w:rPr>
      </w:pPr>
      <w:r w:rsidRPr="004A1615">
        <w:rPr>
          <w:rFonts w:ascii="Verdana" w:hAnsi="Verdana" w:cs="Arial"/>
          <w:sz w:val="20"/>
          <w:szCs w:val="20"/>
          <w:lang w:val="es-ES" w:eastAsia="es-ES"/>
        </w:rPr>
        <w:t xml:space="preserve">[…] </w:t>
      </w:r>
      <w:r w:rsidRPr="004A1615">
        <w:rPr>
          <w:rFonts w:ascii="Verdana" w:hAnsi="Verdana" w:cs="Arial"/>
          <w:sz w:val="20"/>
          <w:lang w:val="es-ES_tradnl" w:eastAsia="es-ES"/>
        </w:rPr>
        <w:t xml:space="preserve">Los </w:t>
      </w:r>
      <w:r w:rsidRPr="004A1615">
        <w:rPr>
          <w:rFonts w:ascii="Verdana" w:hAnsi="Verdana" w:cs="Arial"/>
          <w:i/>
          <w:iCs/>
          <w:sz w:val="20"/>
          <w:lang w:val="es-ES_tradnl" w:eastAsia="es-ES"/>
        </w:rPr>
        <w:t>requisitos habilitantes</w:t>
      </w:r>
      <w:r w:rsidRPr="004A1615">
        <w:rPr>
          <w:rFonts w:ascii="Verdana" w:hAnsi="Verdana" w:cs="Arial"/>
          <w:sz w:val="20"/>
          <w:lang w:val="es-ES_tradnl" w:eastAsia="es-ES"/>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4A1615">
        <w:rPr>
          <w:rFonts w:ascii="Verdana" w:hAnsi="Verdana" w:cs="Arial"/>
          <w:i/>
          <w:iCs/>
          <w:sz w:val="20"/>
          <w:lang w:val="es-ES_tradnl" w:eastAsia="es-ES"/>
        </w:rPr>
        <w:t>criterios de evaluación</w:t>
      </w:r>
      <w:r w:rsidRPr="004A1615">
        <w:rPr>
          <w:rFonts w:ascii="Verdana" w:hAnsi="Verdana" w:cs="Arial"/>
          <w:sz w:val="20"/>
          <w:lang w:val="es-ES_tradnl" w:eastAsia="es-ES"/>
        </w:rPr>
        <w:t xml:space="preserve"> –también conocidos como </w:t>
      </w:r>
      <w:r w:rsidRPr="004A1615">
        <w:rPr>
          <w:rFonts w:ascii="Verdana" w:hAnsi="Verdana" w:cs="Arial"/>
          <w:i/>
          <w:iCs/>
          <w:sz w:val="20"/>
          <w:lang w:val="es-ES_tradnl" w:eastAsia="es-ES"/>
        </w:rPr>
        <w:t>criterios de calificación</w:t>
      </w:r>
      <w:r w:rsidRPr="004A1615">
        <w:rPr>
          <w:rFonts w:ascii="Verdana" w:hAnsi="Verdana" w:cs="Arial"/>
          <w:sz w:val="20"/>
          <w:lang w:val="es-ES_tradnl" w:eastAsia="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r w:rsidRPr="004A1615">
        <w:rPr>
          <w:rFonts w:ascii="Verdana" w:hAnsi="Verdana" w:cs="Arial"/>
          <w:sz w:val="20"/>
          <w:szCs w:val="20"/>
          <w:lang w:val="es-ES" w:eastAsia="es-ES"/>
        </w:rPr>
        <w:t>[…]</w:t>
      </w:r>
    </w:p>
    <w:p w14:paraId="0876E4F0" w14:textId="77777777" w:rsidR="00397B8A" w:rsidRPr="004A1615" w:rsidRDefault="00397B8A" w:rsidP="00397B8A">
      <w:pPr>
        <w:spacing w:after="0"/>
        <w:rPr>
          <w:rFonts w:ascii="Verdana" w:hAnsi="Verdana" w:cs="Arial"/>
          <w:b/>
          <w:lang w:val="es-ES_tradnl" w:eastAsia="es-ES"/>
        </w:rPr>
      </w:pPr>
    </w:p>
    <w:p w14:paraId="54399105" w14:textId="77777777" w:rsidR="00397B8A" w:rsidRPr="004A1615" w:rsidRDefault="00397B8A" w:rsidP="00397B8A">
      <w:pPr>
        <w:spacing w:after="0"/>
        <w:rPr>
          <w:rFonts w:ascii="Verdana" w:hAnsi="Verdana" w:cs="Arial"/>
          <w:b/>
          <w:lang w:val="es-ES" w:eastAsia="es-ES"/>
        </w:rPr>
      </w:pPr>
      <w:r w:rsidRPr="004A1615">
        <w:rPr>
          <w:rFonts w:ascii="Verdana" w:hAnsi="Verdana" w:cs="Arial"/>
          <w:b/>
          <w:lang w:val="es-ES" w:eastAsia="es-ES"/>
        </w:rPr>
        <w:t xml:space="preserve">REQUISITO HABILITANTE – Experiencia - Verificación </w:t>
      </w:r>
    </w:p>
    <w:p w14:paraId="3F7D51BF" w14:textId="77777777" w:rsidR="00397B8A" w:rsidRPr="004A1615" w:rsidRDefault="00397B8A" w:rsidP="00397B8A">
      <w:pPr>
        <w:spacing w:after="0"/>
        <w:rPr>
          <w:rFonts w:ascii="Verdana" w:hAnsi="Verdana" w:cs="Arial"/>
          <w:b/>
          <w:lang w:eastAsia="es-ES"/>
        </w:rPr>
      </w:pPr>
    </w:p>
    <w:p w14:paraId="45B5D990" w14:textId="77777777" w:rsidR="00397B8A" w:rsidRPr="004A1615" w:rsidRDefault="00397B8A" w:rsidP="00397B8A">
      <w:pPr>
        <w:spacing w:after="0" w:line="240" w:lineRule="auto"/>
        <w:jc w:val="both"/>
        <w:rPr>
          <w:rFonts w:ascii="Verdana" w:hAnsi="Verdana" w:cs="Arial"/>
          <w:sz w:val="20"/>
          <w:szCs w:val="20"/>
          <w:lang w:eastAsia="es-ES"/>
        </w:rPr>
      </w:pPr>
      <w:r w:rsidRPr="004A1615">
        <w:rPr>
          <w:rFonts w:ascii="Verdana" w:hAnsi="Verdana" w:cs="Arial"/>
          <w:sz w:val="20"/>
          <w:szCs w:val="20"/>
          <w:lang w:val="es-ES" w:eastAsia="es-ES"/>
        </w:rPr>
        <w:t xml:space="preserve">[…] La </w:t>
      </w:r>
      <w:r w:rsidRPr="004A1615">
        <w:rPr>
          <w:rFonts w:ascii="Verdana" w:hAnsi="Verdana" w:cs="Arial"/>
          <w:sz w:val="20"/>
          <w:szCs w:val="20"/>
          <w:lang w:eastAsia="es-ES"/>
        </w:rPr>
        <w:t>Agencia Nacional de Contratación Pública - Colombia Compra Eficiente puso a disposición de los interesados del sistema de compra pública el “Manual para determinar y verificar requisitos habilitantes en los procesos de contratación”, y en este de forma particular, se establecen una serie de características que deben observarse por parte de las entidades al establecer en sus invitaciones o pliego de condiciones los requerimientos o condiciones necesarias para poder llevar a cabo su verificación, como se detalla a continuación: 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r w:rsidRPr="004A1615">
        <w:rPr>
          <w:rFonts w:ascii="Verdana" w:hAnsi="Verdana" w:cs="Arial"/>
          <w:sz w:val="20"/>
          <w:szCs w:val="20"/>
          <w:lang w:val="es-ES" w:eastAsia="es-ES"/>
        </w:rPr>
        <w:t>…]</w:t>
      </w:r>
    </w:p>
    <w:p w14:paraId="6C684699" w14:textId="77777777" w:rsidR="00397B8A" w:rsidRPr="000F4325" w:rsidRDefault="00397B8A" w:rsidP="00397B8A">
      <w:pPr>
        <w:spacing w:after="0"/>
        <w:rPr>
          <w:rFonts w:ascii="Verdana" w:hAnsi="Verdana" w:cs="Arial"/>
          <w:b/>
          <w:lang w:eastAsia="es-ES"/>
        </w:rPr>
      </w:pPr>
    </w:p>
    <w:p w14:paraId="77693AE3" w14:textId="77777777" w:rsidR="00397B8A" w:rsidRPr="000F4325" w:rsidRDefault="00397B8A" w:rsidP="00397B8A">
      <w:pPr>
        <w:spacing w:after="0"/>
        <w:jc w:val="both"/>
        <w:rPr>
          <w:rFonts w:ascii="Verdana" w:hAnsi="Verdana" w:cs="Arial"/>
          <w:b/>
          <w:lang w:val="es-ES" w:eastAsia="es-ES"/>
        </w:rPr>
      </w:pPr>
      <w:r w:rsidRPr="000F4325">
        <w:rPr>
          <w:rFonts w:ascii="Verdana" w:hAnsi="Verdana" w:cs="Arial"/>
          <w:b/>
          <w:lang w:val="es-ES" w:eastAsia="es-ES"/>
        </w:rPr>
        <w:t xml:space="preserve">REQUISITO HABILITANTE - Experiencia – Código Clasificador de Bienes y Servicios - Acreditación del Valor de los Contratos </w:t>
      </w:r>
    </w:p>
    <w:p w14:paraId="1B051878" w14:textId="77777777" w:rsidR="00397B8A" w:rsidRPr="000F4325" w:rsidRDefault="00397B8A" w:rsidP="00397B8A">
      <w:pPr>
        <w:spacing w:after="0"/>
        <w:rPr>
          <w:rFonts w:ascii="Verdana" w:hAnsi="Verdana" w:cs="Arial"/>
          <w:b/>
          <w:lang w:val="es-ES" w:eastAsia="es-ES"/>
        </w:rPr>
      </w:pPr>
    </w:p>
    <w:p w14:paraId="2D886CC4" w14:textId="77777777" w:rsidR="00397B8A" w:rsidRPr="000F4325" w:rsidRDefault="00397B8A" w:rsidP="00397B8A">
      <w:pPr>
        <w:spacing w:after="0" w:line="240" w:lineRule="auto"/>
        <w:jc w:val="both"/>
        <w:rPr>
          <w:rFonts w:ascii="Verdana" w:hAnsi="Verdana" w:cs="Arial"/>
          <w:sz w:val="20"/>
          <w:szCs w:val="20"/>
          <w:lang w:eastAsia="es-ES"/>
        </w:rPr>
      </w:pPr>
      <w:r w:rsidRPr="000F4325">
        <w:rPr>
          <w:rFonts w:ascii="Verdana" w:hAnsi="Verdana" w:cs="Arial"/>
          <w:sz w:val="20"/>
          <w:szCs w:val="20"/>
          <w:lang w:eastAsia="es-ES"/>
        </w:rPr>
        <w:t>[</w:t>
      </w:r>
      <w:r w:rsidRPr="000F4325">
        <w:rPr>
          <w:rFonts w:ascii="Verdana" w:hAnsi="Verdana" w:cs="Arial"/>
          <w:sz w:val="20"/>
          <w:szCs w:val="20"/>
          <w:lang w:val="es-ES" w:eastAsia="es-ES"/>
        </w:rPr>
        <w:t xml:space="preserve">…] la exigencia de la experiencia expresada en SMMLV, se acude a lo prescrito </w:t>
      </w:r>
      <w:r w:rsidRPr="000F4325">
        <w:rPr>
          <w:rFonts w:ascii="Verdana" w:hAnsi="Verdana" w:cs="Arial"/>
          <w:sz w:val="20"/>
          <w:szCs w:val="20"/>
          <w:lang w:eastAsia="es-ES"/>
        </w:rPr>
        <w:t xml:space="preserve">en el </w:t>
      </w:r>
      <w:r w:rsidRPr="000F4325">
        <w:rPr>
          <w:rFonts w:ascii="Verdana" w:hAnsi="Verdana" w:cs="Arial"/>
          <w:bCs/>
          <w:sz w:val="20"/>
          <w:szCs w:val="20"/>
          <w:lang w:eastAsia="es-ES"/>
        </w:rPr>
        <w:t xml:space="preserve">artículo 2.2.1.1.1.5.3. que establece que las cámaras de comercio deben verificar y certificar los requisitos habilitantes en el RUP, entre ellas, la experiencia que son aquellos contratos suscritos por el </w:t>
      </w:r>
      <w:r w:rsidRPr="000F4325">
        <w:rPr>
          <w:rFonts w:ascii="Verdana" w:hAnsi="Verdana" w:cs="Arial"/>
          <w:sz w:val="20"/>
          <w:szCs w:val="20"/>
          <w:lang w:eastAsia="es-ES"/>
        </w:rPr>
        <w:t xml:space="preserve">interesado para cada uno de los bienes, obras y servicios que ofrece a las Entidades Estatales, identificados con el Clasificador de Bienes y Servicios en el tercer nivel y su valor expresado en SMMLV. Los contratos celebrados por proponentes plurales, como los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r w:rsidRPr="000F4325">
        <w:rPr>
          <w:rFonts w:ascii="Verdana" w:hAnsi="Verdana" w:cs="Arial"/>
          <w:sz w:val="20"/>
          <w:szCs w:val="20"/>
          <w:lang w:val="es-ES_tradnl" w:eastAsia="es-ES"/>
        </w:rPr>
        <w:t xml:space="preserve">Esto significa </w:t>
      </w:r>
      <w:r w:rsidRPr="000F4325">
        <w:rPr>
          <w:rFonts w:ascii="Verdana" w:hAnsi="Verdana" w:cs="Arial"/>
          <w:sz w:val="20"/>
          <w:szCs w:val="20"/>
          <w:lang w:val="es-ES_tradnl" w:eastAsia="es-ES"/>
        </w:rPr>
        <w:lastRenderedPageBreak/>
        <w:t xml:space="preserve">que </w:t>
      </w:r>
      <w:r w:rsidRPr="000F4325">
        <w:rPr>
          <w:rFonts w:ascii="Verdana" w:hAnsi="Verdana" w:cs="Arial"/>
          <w:sz w:val="20"/>
          <w:szCs w:val="20"/>
          <w:lang w:eastAsia="es-ES"/>
        </w:rPr>
        <w:t>la experiencia registrada en el Registro Único de Proponentes (RUP) debe clasificarse conforme a dos criterios esenciales: el objeto del contrato y su valor económico, expresado en salarios mínimos legales mensuales vigentes (SMLMV), lo cual implica que la experiencia acreditada en el RUP debe derivarse de contratos que hayan generado una contraprestación económica, permitiendo su cuantificación.</w:t>
      </w:r>
    </w:p>
    <w:p w14:paraId="65C16561" w14:textId="77777777" w:rsidR="00397B8A" w:rsidRPr="000F4325" w:rsidRDefault="00397B8A" w:rsidP="00397B8A">
      <w:pPr>
        <w:spacing w:after="0" w:line="240" w:lineRule="auto"/>
        <w:jc w:val="both"/>
        <w:rPr>
          <w:rFonts w:ascii="Verdana" w:hAnsi="Verdana" w:cs="Arial"/>
          <w:sz w:val="20"/>
          <w:szCs w:val="20"/>
          <w:lang w:eastAsia="es-ES"/>
        </w:rPr>
      </w:pPr>
    </w:p>
    <w:p w14:paraId="475B33B2" w14:textId="77777777" w:rsidR="00397B8A" w:rsidRPr="000F4325" w:rsidRDefault="00397B8A" w:rsidP="00397B8A">
      <w:pPr>
        <w:spacing w:after="0" w:line="240" w:lineRule="auto"/>
        <w:jc w:val="both"/>
        <w:rPr>
          <w:rFonts w:ascii="Verdana" w:hAnsi="Verdana" w:cs="Arial"/>
          <w:sz w:val="20"/>
          <w:szCs w:val="20"/>
          <w:lang w:val="es-ES_tradnl" w:eastAsia="es-ES"/>
        </w:rPr>
      </w:pPr>
      <w:r w:rsidRPr="000F4325">
        <w:rPr>
          <w:rFonts w:ascii="Verdana" w:hAnsi="Verdana" w:cs="Arial"/>
          <w:sz w:val="20"/>
          <w:szCs w:val="20"/>
          <w:lang w:eastAsia="es-ES"/>
        </w:rPr>
        <w:t xml:space="preserve">Esta exigencia de la experiencia hechas por las Cámaras de Comercio implica que la experiencia que establezca las entidades estatales en procesos de contratación, donde sea obligatoria el RUP debe ser coherente a esta, es decir, atender a los Códigos de Clasificación de Bienes y Servicios en el tener nivel y su valor cuantificado en SMMLV. </w:t>
      </w:r>
      <w:r w:rsidRPr="000F4325">
        <w:rPr>
          <w:rFonts w:ascii="Verdana" w:hAnsi="Verdana" w:cs="Arial"/>
          <w:sz w:val="20"/>
          <w:szCs w:val="20"/>
          <w:lang w:val="es-ES" w:eastAsia="es-ES"/>
        </w:rPr>
        <w:t xml:space="preserve">En estos términos, para efectos de evaluar la experiencia en los pliegos de condiciones, </w:t>
      </w:r>
      <w:r w:rsidRPr="000F4325">
        <w:rPr>
          <w:rFonts w:ascii="Verdana" w:hAnsi="Verdana" w:cs="Arial"/>
          <w:sz w:val="20"/>
          <w:szCs w:val="20"/>
          <w:lang w:val="es-ES_tradnl" w:eastAsia="es-ES"/>
        </w:rPr>
        <w:t xml:space="preserve">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 expresada en SMMLV </w:t>
      </w:r>
      <w:r w:rsidRPr="000F4325">
        <w:rPr>
          <w:rFonts w:ascii="Verdana" w:hAnsi="Verdana" w:cs="Arial"/>
          <w:sz w:val="20"/>
          <w:szCs w:val="20"/>
          <w:lang w:eastAsia="es-ES"/>
        </w:rPr>
        <w:t>[</w:t>
      </w:r>
      <w:r w:rsidRPr="000F4325">
        <w:rPr>
          <w:rFonts w:ascii="Verdana" w:hAnsi="Verdana" w:cs="Arial"/>
          <w:sz w:val="20"/>
          <w:szCs w:val="20"/>
          <w:lang w:val="es-ES" w:eastAsia="es-ES"/>
        </w:rPr>
        <w:t>…]</w:t>
      </w:r>
    </w:p>
    <w:p w14:paraId="10DB1E5D" w14:textId="77777777" w:rsidR="00397B8A" w:rsidRPr="005A40BB" w:rsidRDefault="00397B8A" w:rsidP="00397B8A">
      <w:pPr>
        <w:spacing w:after="0"/>
        <w:rPr>
          <w:rFonts w:ascii="Verdana" w:hAnsi="Verdana" w:cs="Arial"/>
          <w:b/>
          <w:lang w:val="es-ES_tradnl" w:eastAsia="es-ES"/>
        </w:rPr>
      </w:pPr>
    </w:p>
    <w:p w14:paraId="4128A270" w14:textId="77777777" w:rsidR="00397B8A" w:rsidRPr="005A40BB" w:rsidRDefault="00397B8A" w:rsidP="00397B8A">
      <w:pPr>
        <w:spacing w:after="0"/>
        <w:rPr>
          <w:rFonts w:ascii="Verdana" w:hAnsi="Verdana" w:cs="Arial"/>
          <w:b/>
          <w:lang w:val="es-ES" w:eastAsia="es-ES"/>
        </w:rPr>
      </w:pPr>
      <w:r w:rsidRPr="005A40BB">
        <w:rPr>
          <w:rFonts w:ascii="Verdana" w:hAnsi="Verdana" w:cs="Arial"/>
          <w:b/>
          <w:lang w:val="es-ES" w:eastAsia="es-ES"/>
        </w:rPr>
        <w:t xml:space="preserve">EXPERIENCIA – Expresada en SMMLV – Estandarización </w:t>
      </w:r>
    </w:p>
    <w:p w14:paraId="4EEC758F" w14:textId="77777777" w:rsidR="00397B8A" w:rsidRPr="005A40BB" w:rsidRDefault="00397B8A" w:rsidP="00397B8A">
      <w:pPr>
        <w:spacing w:after="0"/>
        <w:rPr>
          <w:rFonts w:ascii="Verdana" w:hAnsi="Verdana" w:cs="Arial"/>
          <w:b/>
          <w:lang w:val="es-ES" w:eastAsia="es-ES"/>
        </w:rPr>
      </w:pPr>
    </w:p>
    <w:p w14:paraId="6066C4BE" w14:textId="77777777" w:rsidR="00397B8A" w:rsidRPr="005A40BB" w:rsidRDefault="00397B8A" w:rsidP="00397B8A">
      <w:pPr>
        <w:spacing w:after="0" w:line="240" w:lineRule="auto"/>
        <w:jc w:val="both"/>
        <w:rPr>
          <w:rFonts w:ascii="Verdana" w:hAnsi="Verdana" w:cs="Arial"/>
          <w:sz w:val="20"/>
          <w:lang w:eastAsia="es-ES"/>
        </w:rPr>
      </w:pPr>
      <w:r w:rsidRPr="000F4325">
        <w:rPr>
          <w:rFonts w:ascii="Verdana" w:hAnsi="Verdana" w:cs="Arial"/>
          <w:sz w:val="20"/>
          <w:szCs w:val="20"/>
          <w:lang w:eastAsia="es-ES"/>
        </w:rPr>
        <w:t>[</w:t>
      </w:r>
      <w:r w:rsidRPr="000F4325">
        <w:rPr>
          <w:rFonts w:ascii="Verdana" w:hAnsi="Verdana" w:cs="Arial"/>
          <w:sz w:val="20"/>
          <w:szCs w:val="20"/>
          <w:lang w:val="es-ES" w:eastAsia="es-ES"/>
        </w:rPr>
        <w:t>…]</w:t>
      </w:r>
      <w:r>
        <w:rPr>
          <w:rFonts w:ascii="Verdana" w:hAnsi="Verdana" w:cs="Arial"/>
          <w:sz w:val="20"/>
          <w:szCs w:val="20"/>
          <w:lang w:val="es-ES" w:eastAsia="es-ES"/>
        </w:rPr>
        <w:t xml:space="preserve"> </w:t>
      </w:r>
      <w:r w:rsidRPr="005A40BB">
        <w:rPr>
          <w:rFonts w:ascii="Verdana" w:hAnsi="Verdana" w:cs="Arial"/>
          <w:sz w:val="20"/>
          <w:lang w:eastAsia="es-ES"/>
        </w:rPr>
        <w:t>En torno a la necesidad de que la experiencia contractual sea expresada salarios mínimos mensuales legales vigentes (SMLMV) se usa como un parámetro técnico para evaluar y comparar la capacidad de un contratista en procesos de contratación estatal, posibilitando establecer un estándar objetivo frente a la fluctuación del valor de la moneda dentro del mercado. Esto, facilita la comparación de manera justa la experiencia de diferentes oferentes, ya que el valor de los SMLMV cambia anualmente, estandarizando la experiencia requerida en un momento determinado.</w:t>
      </w:r>
      <w:r>
        <w:rPr>
          <w:rFonts w:ascii="Verdana" w:hAnsi="Verdana" w:cs="Arial"/>
          <w:sz w:val="20"/>
          <w:lang w:eastAsia="es-ES"/>
        </w:rPr>
        <w:t xml:space="preserve"> </w:t>
      </w:r>
      <w:r w:rsidRPr="000F4325">
        <w:rPr>
          <w:rFonts w:ascii="Verdana" w:hAnsi="Verdana" w:cs="Arial"/>
          <w:sz w:val="20"/>
          <w:szCs w:val="20"/>
          <w:lang w:eastAsia="es-ES"/>
        </w:rPr>
        <w:t>[</w:t>
      </w:r>
      <w:r w:rsidRPr="000F4325">
        <w:rPr>
          <w:rFonts w:ascii="Verdana" w:hAnsi="Verdana" w:cs="Arial"/>
          <w:sz w:val="20"/>
          <w:szCs w:val="20"/>
          <w:lang w:val="es-ES" w:eastAsia="es-ES"/>
        </w:rPr>
        <w:t>…]</w:t>
      </w:r>
    </w:p>
    <w:p w14:paraId="61968609" w14:textId="77777777" w:rsidR="00397B8A" w:rsidRPr="005A40BB" w:rsidRDefault="00397B8A" w:rsidP="00397B8A">
      <w:pPr>
        <w:spacing w:after="0"/>
        <w:rPr>
          <w:rFonts w:ascii="Verdana" w:hAnsi="Verdana"/>
        </w:rPr>
      </w:pPr>
    </w:p>
    <w:p w14:paraId="66A0FF61" w14:textId="77777777" w:rsidR="00397B8A" w:rsidRPr="005A40BB" w:rsidRDefault="00397B8A" w:rsidP="00397B8A">
      <w:pPr>
        <w:spacing w:after="0"/>
        <w:rPr>
          <w:rFonts w:ascii="Verdana" w:hAnsi="Verdana"/>
        </w:rPr>
      </w:pPr>
    </w:p>
    <w:p w14:paraId="49720C99" w14:textId="77777777" w:rsidR="00397B8A" w:rsidRPr="001D24F1" w:rsidRDefault="00397B8A" w:rsidP="00397B8A">
      <w:pPr>
        <w:spacing w:after="0"/>
        <w:rPr>
          <w:rFonts w:ascii="Verdana" w:hAnsi="Verdana"/>
          <w:color w:val="EE0000"/>
        </w:rPr>
      </w:pPr>
    </w:p>
    <w:p w14:paraId="375A13B0" w14:textId="77777777" w:rsidR="00397B8A" w:rsidRDefault="00397B8A" w:rsidP="00397B8A">
      <w:pPr>
        <w:spacing w:after="0"/>
        <w:rPr>
          <w:rFonts w:ascii="Verdana" w:hAnsi="Verdana"/>
          <w:color w:val="EE0000"/>
        </w:rPr>
      </w:pPr>
    </w:p>
    <w:p w14:paraId="15B21311" w14:textId="77777777" w:rsidR="00397B8A" w:rsidRDefault="00397B8A" w:rsidP="00397B8A">
      <w:pPr>
        <w:spacing w:after="0"/>
        <w:rPr>
          <w:rFonts w:ascii="Verdana" w:hAnsi="Verdana"/>
          <w:color w:val="EE0000"/>
        </w:rPr>
      </w:pPr>
    </w:p>
    <w:p w14:paraId="6B923BA1" w14:textId="77777777" w:rsidR="00397B8A" w:rsidRDefault="00397B8A" w:rsidP="00397B8A">
      <w:pPr>
        <w:spacing w:after="0"/>
        <w:rPr>
          <w:rFonts w:ascii="Verdana" w:hAnsi="Verdana"/>
          <w:color w:val="EE0000"/>
        </w:rPr>
      </w:pPr>
    </w:p>
    <w:p w14:paraId="64068220" w14:textId="77777777" w:rsidR="00397B8A" w:rsidRDefault="00397B8A" w:rsidP="00397B8A">
      <w:pPr>
        <w:spacing w:after="0"/>
        <w:rPr>
          <w:rFonts w:ascii="Verdana" w:hAnsi="Verdana"/>
          <w:color w:val="EE0000"/>
        </w:rPr>
      </w:pPr>
    </w:p>
    <w:p w14:paraId="68BB0287" w14:textId="77777777" w:rsidR="00397B8A" w:rsidRDefault="00397B8A" w:rsidP="00397B8A">
      <w:pPr>
        <w:spacing w:after="0"/>
        <w:rPr>
          <w:rFonts w:ascii="Verdana" w:hAnsi="Verdana"/>
          <w:color w:val="EE0000"/>
        </w:rPr>
      </w:pPr>
    </w:p>
    <w:p w14:paraId="695CED60" w14:textId="77777777" w:rsidR="00397B8A" w:rsidRDefault="00397B8A" w:rsidP="00397B8A">
      <w:pPr>
        <w:spacing w:after="0"/>
        <w:rPr>
          <w:rFonts w:ascii="Verdana" w:hAnsi="Verdana"/>
          <w:color w:val="EE0000"/>
        </w:rPr>
      </w:pPr>
    </w:p>
    <w:p w14:paraId="2D0B7124" w14:textId="77777777" w:rsidR="00397B8A" w:rsidRDefault="00397B8A" w:rsidP="00397B8A">
      <w:pPr>
        <w:spacing w:after="0"/>
        <w:rPr>
          <w:rFonts w:ascii="Verdana" w:hAnsi="Verdana"/>
          <w:color w:val="EE0000"/>
        </w:rPr>
      </w:pPr>
    </w:p>
    <w:p w14:paraId="2B002FD2" w14:textId="77777777" w:rsidR="00397B8A" w:rsidRDefault="00397B8A" w:rsidP="00397B8A">
      <w:pPr>
        <w:spacing w:after="0"/>
        <w:rPr>
          <w:rFonts w:ascii="Verdana" w:hAnsi="Verdana"/>
          <w:color w:val="EE0000"/>
        </w:rPr>
      </w:pPr>
    </w:p>
    <w:p w14:paraId="4137588A" w14:textId="77777777" w:rsidR="00397B8A" w:rsidRDefault="00397B8A" w:rsidP="00397B8A">
      <w:pPr>
        <w:spacing w:after="0"/>
        <w:rPr>
          <w:rFonts w:ascii="Verdana" w:hAnsi="Verdana"/>
          <w:color w:val="EE0000"/>
        </w:rPr>
      </w:pPr>
    </w:p>
    <w:p w14:paraId="7234AE34" w14:textId="77777777" w:rsidR="0071761C" w:rsidRDefault="0071761C">
      <w:pPr>
        <w:rPr>
          <w:rFonts w:ascii="Verdana" w:eastAsia="Verdana" w:hAnsi="Verdana" w:cs="Verdana"/>
        </w:rPr>
      </w:pPr>
      <w:r>
        <w:rPr>
          <w:rFonts w:ascii="Verdana" w:eastAsia="Verdana" w:hAnsi="Verdana" w:cs="Verdana"/>
        </w:rPr>
        <w:br w:type="page"/>
      </w:r>
    </w:p>
    <w:p w14:paraId="1468C46D" w14:textId="1F183B6A" w:rsidR="00C15139" w:rsidRPr="0024624F" w:rsidRDefault="00204587" w:rsidP="30821638">
      <w:pPr>
        <w:spacing w:after="0"/>
        <w:rPr>
          <w:rFonts w:ascii="Verdana" w:eastAsia="Verdana" w:hAnsi="Verdana" w:cs="Verdana"/>
        </w:rPr>
      </w:pPr>
      <w:r w:rsidRPr="00204587">
        <w:rPr>
          <w:rFonts w:ascii="Verdana" w:eastAsia="Verdana" w:hAnsi="Verdana" w:cs="Verdana"/>
          <w:noProof/>
        </w:rPr>
        <w:drawing>
          <wp:anchor distT="0" distB="0" distL="114300" distR="114300" simplePos="0" relativeHeight="251659264" behindDoc="1" locked="0" layoutInCell="1" allowOverlap="1" wp14:anchorId="68CCA0C5" wp14:editId="7278D27A">
            <wp:simplePos x="0" y="0"/>
            <wp:positionH relativeFrom="column">
              <wp:posOffset>3361055</wp:posOffset>
            </wp:positionH>
            <wp:positionV relativeFrom="paragraph">
              <wp:posOffset>1905</wp:posOffset>
            </wp:positionV>
            <wp:extent cx="2252980" cy="821055"/>
            <wp:effectExtent l="0" t="0" r="0" b="0"/>
            <wp:wrapTight wrapText="bothSides">
              <wp:wrapPolygon edited="0">
                <wp:start x="0" y="0"/>
                <wp:lineTo x="0" y="21049"/>
                <wp:lineTo x="21369" y="21049"/>
                <wp:lineTo x="21369" y="0"/>
                <wp:lineTo x="0" y="0"/>
              </wp:wrapPolygon>
            </wp:wrapTight>
            <wp:docPr id="1655828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2980" cy="821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w:t>
      </w:r>
      <w:r w:rsidR="00F80E31">
        <w:rPr>
          <w:rFonts w:ascii="Verdana" w:eastAsia="Verdana" w:hAnsi="Verdana" w:cs="Verdana"/>
        </w:rPr>
        <w:t>5</w:t>
      </w:r>
      <w:r>
        <w:rPr>
          <w:rFonts w:ascii="Verdana" w:eastAsia="Verdana" w:hAnsi="Verdana" w:cs="Verdana"/>
        </w:rPr>
        <w:t xml:space="preserve"> septiembre 2026</w:t>
      </w:r>
      <w:r w:rsidRPr="00204587">
        <w:rPr>
          <w:rFonts w:ascii="Verdana" w:eastAsia="Verdana" w:hAnsi="Verdana" w:cs="Verdana"/>
        </w:rPr>
        <w:t xml:space="preserve"> </w:t>
      </w:r>
      <w:r w:rsidR="00C15139">
        <w:tab/>
      </w:r>
      <w:r w:rsidR="00C15139">
        <w:br/>
      </w:r>
      <w:r w:rsidR="00C15139">
        <w:tab/>
      </w:r>
    </w:p>
    <w:p w14:paraId="12443EE0" w14:textId="77777777" w:rsidR="00C15139" w:rsidRPr="0024624F" w:rsidRDefault="00C15139" w:rsidP="30821638">
      <w:pPr>
        <w:spacing w:after="0"/>
        <w:rPr>
          <w:rFonts w:ascii="Verdana" w:eastAsia="Verdana" w:hAnsi="Verdana" w:cs="Verdana"/>
        </w:rPr>
      </w:pPr>
    </w:p>
    <w:p w14:paraId="4EED72CF" w14:textId="26C11C7D" w:rsidR="00C15139" w:rsidRDefault="00C15139" w:rsidP="00242DA8">
      <w:pPr>
        <w:spacing w:after="0"/>
        <w:rPr>
          <w:rFonts w:ascii="Verdana" w:eastAsia="Verdana" w:hAnsi="Verdana" w:cs="Verdana"/>
          <w:lang w:val="es-MX"/>
        </w:rPr>
      </w:pPr>
      <w:r w:rsidRPr="30821638">
        <w:rPr>
          <w:rFonts w:ascii="Verdana" w:eastAsia="Verdana" w:hAnsi="Verdana" w:cs="Verdana"/>
          <w:lang w:val="es-MX"/>
        </w:rPr>
        <w:t>Señor</w:t>
      </w:r>
    </w:p>
    <w:p w14:paraId="05832DC2" w14:textId="14573CA1" w:rsidR="00242DA8" w:rsidRPr="002D21A2" w:rsidRDefault="00114AAE" w:rsidP="00242DA8">
      <w:pPr>
        <w:spacing w:after="0"/>
        <w:rPr>
          <w:rFonts w:ascii="Verdana" w:eastAsia="Verdana" w:hAnsi="Verdana" w:cs="Verdana"/>
          <w:b/>
          <w:bCs/>
          <w:lang w:val="es-MX"/>
        </w:rPr>
      </w:pPr>
      <w:r w:rsidRPr="002D21A2">
        <w:rPr>
          <w:rFonts w:ascii="Verdana" w:eastAsia="Verdana" w:hAnsi="Verdana" w:cs="Verdana"/>
          <w:b/>
          <w:bCs/>
          <w:lang w:val="es-MX"/>
        </w:rPr>
        <w:t>Danny Alejandro Arcos Bastidas</w:t>
      </w:r>
    </w:p>
    <w:p w14:paraId="1413085E" w14:textId="49997BEC" w:rsidR="00114AAE" w:rsidRDefault="00445C39" w:rsidP="00242DA8">
      <w:pPr>
        <w:spacing w:after="0"/>
        <w:rPr>
          <w:rFonts w:ascii="Verdana" w:eastAsia="Verdana" w:hAnsi="Verdana" w:cs="Verdana"/>
          <w:lang w:val="es-MX"/>
        </w:rPr>
      </w:pPr>
      <w:hyperlink r:id="rId11" w:history="1">
        <w:r w:rsidRPr="00691386">
          <w:rPr>
            <w:rStyle w:val="Hipervnculo"/>
            <w:rFonts w:ascii="Verdana" w:eastAsia="Verdana" w:hAnsi="Verdana" w:cs="Verdana"/>
            <w:lang w:val="es-MX"/>
          </w:rPr>
          <w:t>contratosamazu@gmail.com</w:t>
        </w:r>
      </w:hyperlink>
    </w:p>
    <w:p w14:paraId="683CB87D" w14:textId="77C8729D" w:rsidR="00445C39" w:rsidRPr="00242DA8" w:rsidRDefault="00445C39" w:rsidP="00242DA8">
      <w:pPr>
        <w:spacing w:after="0"/>
        <w:rPr>
          <w:rFonts w:ascii="Verdana" w:eastAsia="Verdana" w:hAnsi="Verdana" w:cs="Verdana"/>
          <w:lang w:val="es-MX"/>
        </w:rPr>
      </w:pPr>
      <w:r>
        <w:rPr>
          <w:rFonts w:ascii="Verdana" w:eastAsia="Verdana" w:hAnsi="Verdana" w:cs="Verdana"/>
          <w:lang w:val="es-MX"/>
        </w:rPr>
        <w:t>Mocoa, Colombia</w:t>
      </w:r>
    </w:p>
    <w:p w14:paraId="4B03230F" w14:textId="77777777" w:rsidR="00E245AB" w:rsidRPr="00E02524" w:rsidRDefault="00E245AB" w:rsidP="30821638">
      <w:pPr>
        <w:spacing w:after="0"/>
        <w:rPr>
          <w:rFonts w:ascii="Verdana" w:eastAsia="Verdana" w:hAnsi="Verdana" w:cs="Verdana"/>
        </w:rPr>
      </w:pPr>
    </w:p>
    <w:p w14:paraId="25F88903" w14:textId="77777777" w:rsidR="00DD3C23" w:rsidRPr="00447B41" w:rsidRDefault="00DD3C23" w:rsidP="00DD3C23">
      <w:pPr>
        <w:spacing w:after="0"/>
        <w:rPr>
          <w:rFonts w:ascii="Verdana" w:eastAsia="Calibri" w:hAnsi="Verdana" w:cs="Arial"/>
          <w:color w:val="EE0000"/>
          <w:lang w:val="es-ES" w:eastAsia="es-ES"/>
        </w:rPr>
      </w:pPr>
    </w:p>
    <w:p w14:paraId="4AACFF7F" w14:textId="77777777" w:rsidR="00DD3C23" w:rsidRPr="00447B41" w:rsidRDefault="00DD3C23" w:rsidP="00DD3C23">
      <w:pPr>
        <w:spacing w:after="0" w:line="240" w:lineRule="auto"/>
        <w:rPr>
          <w:rFonts w:ascii="Verdana" w:eastAsia="Calibri" w:hAnsi="Verdana" w:cs="Arial"/>
          <w:b/>
          <w:bCs/>
          <w:color w:val="EE0000"/>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DD3C23" w:rsidRPr="00447B41" w14:paraId="6007BF3A" w14:textId="77777777" w:rsidTr="00E56A27">
        <w:trPr>
          <w:trHeight w:val="300"/>
        </w:trPr>
        <w:tc>
          <w:tcPr>
            <w:tcW w:w="2410" w:type="dxa"/>
          </w:tcPr>
          <w:p w14:paraId="69D288F2" w14:textId="77777777" w:rsidR="00DD3C23" w:rsidRPr="00447B41" w:rsidRDefault="00DD3C23" w:rsidP="00E56A27">
            <w:pPr>
              <w:ind w:left="-142"/>
              <w:jc w:val="both"/>
              <w:rPr>
                <w:rFonts w:ascii="Verdana" w:eastAsia="Calibri" w:hAnsi="Verdana" w:cs="Arial"/>
                <w:b/>
                <w:bCs/>
                <w:color w:val="EE0000"/>
                <w:lang w:val="es-ES" w:eastAsia="es-ES_tradnl"/>
              </w:rPr>
            </w:pPr>
          </w:p>
        </w:tc>
        <w:tc>
          <w:tcPr>
            <w:tcW w:w="6379" w:type="dxa"/>
          </w:tcPr>
          <w:p w14:paraId="4CDC95A3" w14:textId="761FA56E" w:rsidR="00DD3C23" w:rsidRPr="00C64924" w:rsidRDefault="00DD3C23" w:rsidP="00E56A27">
            <w:pPr>
              <w:ind w:left="3"/>
              <w:jc w:val="both"/>
              <w:rPr>
                <w:rFonts w:ascii="Verdana" w:eastAsia="Calibri" w:hAnsi="Verdana" w:cs="Arial"/>
                <w:b/>
                <w:bCs/>
                <w:lang w:val="es-ES" w:eastAsia="es-ES"/>
              </w:rPr>
            </w:pPr>
            <w:r w:rsidRPr="00C64924">
              <w:rPr>
                <w:rFonts w:ascii="Verdana" w:eastAsia="Calibri" w:hAnsi="Verdana" w:cs="Arial"/>
                <w:b/>
                <w:bCs/>
                <w:lang w:val="es-ES" w:eastAsia="es-ES"/>
              </w:rPr>
              <w:t>Concepto C-1</w:t>
            </w:r>
            <w:r w:rsidR="00560B5F">
              <w:rPr>
                <w:rFonts w:ascii="Verdana" w:eastAsia="Calibri" w:hAnsi="Verdana" w:cs="Arial"/>
                <w:b/>
                <w:bCs/>
                <w:lang w:val="es-ES" w:eastAsia="es-ES"/>
              </w:rPr>
              <w:t>2</w:t>
            </w:r>
            <w:r w:rsidRPr="00C64924">
              <w:rPr>
                <w:rFonts w:ascii="Verdana" w:eastAsia="Calibri" w:hAnsi="Verdana" w:cs="Arial"/>
                <w:b/>
                <w:bCs/>
                <w:lang w:val="es-ES" w:eastAsia="es-ES"/>
              </w:rPr>
              <w:t>3</w:t>
            </w:r>
            <w:r w:rsidR="00560B5F">
              <w:rPr>
                <w:rFonts w:ascii="Verdana" w:eastAsia="Calibri" w:hAnsi="Verdana" w:cs="Arial"/>
                <w:b/>
                <w:bCs/>
                <w:lang w:val="es-ES" w:eastAsia="es-ES"/>
              </w:rPr>
              <w:t>2</w:t>
            </w:r>
            <w:r w:rsidRPr="00C64924">
              <w:rPr>
                <w:rFonts w:ascii="Verdana" w:eastAsia="Calibri" w:hAnsi="Verdana" w:cs="Arial"/>
                <w:b/>
                <w:bCs/>
                <w:lang w:val="es-ES" w:eastAsia="es-ES"/>
              </w:rPr>
              <w:t xml:space="preserve"> de 2026</w:t>
            </w:r>
          </w:p>
          <w:p w14:paraId="4565735E" w14:textId="77777777" w:rsidR="00DD3C23" w:rsidRPr="00447B41" w:rsidRDefault="00DD3C23" w:rsidP="00E56A27">
            <w:pPr>
              <w:ind w:left="3"/>
              <w:jc w:val="both"/>
              <w:rPr>
                <w:rFonts w:ascii="Verdana" w:eastAsia="Calibri" w:hAnsi="Verdana" w:cs="Arial"/>
                <w:b/>
                <w:bCs/>
                <w:color w:val="EE0000"/>
                <w:lang w:val="es-ES" w:eastAsia="es-ES"/>
              </w:rPr>
            </w:pPr>
          </w:p>
        </w:tc>
      </w:tr>
      <w:tr w:rsidR="00DD3C23" w:rsidRPr="00447B41" w14:paraId="107D08D7" w14:textId="77777777" w:rsidTr="00E56A27">
        <w:trPr>
          <w:trHeight w:val="300"/>
        </w:trPr>
        <w:tc>
          <w:tcPr>
            <w:tcW w:w="2410" w:type="dxa"/>
          </w:tcPr>
          <w:p w14:paraId="24400B5C" w14:textId="77777777" w:rsidR="00DD3C23" w:rsidRPr="00447B41" w:rsidRDefault="00DD3C23" w:rsidP="00E56A27">
            <w:pPr>
              <w:ind w:left="424" w:firstLine="142"/>
              <w:jc w:val="both"/>
              <w:rPr>
                <w:rFonts w:ascii="Verdana" w:eastAsia="Calibri" w:hAnsi="Verdana" w:cs="Arial"/>
                <w:color w:val="EE0000"/>
                <w:lang w:val="es-ES" w:eastAsia="es-ES_tradnl"/>
              </w:rPr>
            </w:pPr>
            <w:r w:rsidRPr="00287628">
              <w:rPr>
                <w:rFonts w:ascii="Verdana" w:eastAsia="Calibri" w:hAnsi="Verdana" w:cs="Arial"/>
                <w:b/>
                <w:lang w:val="es-ES" w:eastAsia="es-ES_tradnl"/>
              </w:rPr>
              <w:t>Temas:</w:t>
            </w:r>
            <w:r w:rsidRPr="00287628">
              <w:rPr>
                <w:rFonts w:ascii="Verdana" w:eastAsia="Calibri" w:hAnsi="Verdana" w:cs="Arial"/>
                <w:lang w:val="es-ES" w:eastAsia="es-ES_tradnl"/>
              </w:rPr>
              <w:t xml:space="preserve">                  </w:t>
            </w:r>
          </w:p>
        </w:tc>
        <w:tc>
          <w:tcPr>
            <w:tcW w:w="6379" w:type="dxa"/>
          </w:tcPr>
          <w:p w14:paraId="4800827E" w14:textId="77777777" w:rsidR="00DD3C23" w:rsidRPr="008F0B44" w:rsidRDefault="00DD3C23" w:rsidP="00E56A27">
            <w:pPr>
              <w:jc w:val="both"/>
              <w:rPr>
                <w:rFonts w:ascii="Verdana" w:hAnsi="Verdana" w:cs="Arial"/>
                <w:b/>
                <w:color w:val="EE0000"/>
                <w:lang w:val="es-ES" w:eastAsia="es-ES"/>
              </w:rPr>
            </w:pPr>
            <w:r w:rsidRPr="009A62D4">
              <w:rPr>
                <w:rFonts w:ascii="Verdana" w:eastAsia="Times New Roman" w:hAnsi="Verdana" w:cs="Arial"/>
                <w:lang w:eastAsia="es-ES_tradnl"/>
              </w:rPr>
              <w:t xml:space="preserve">REQUISITOS HABILITANTES – Noción – Fundamento normativo </w:t>
            </w:r>
            <w:r w:rsidRPr="004A1615">
              <w:rPr>
                <w:rFonts w:ascii="Verdana" w:hAnsi="Verdana" w:cs="Arial"/>
                <w:lang w:val="es-ES_tradnl"/>
              </w:rPr>
              <w:t xml:space="preserve">/ </w:t>
            </w:r>
            <w:r w:rsidRPr="004A1615">
              <w:rPr>
                <w:rFonts w:ascii="Verdana" w:hAnsi="Verdana" w:cs="Arial"/>
                <w:bCs/>
                <w:lang w:val="es-ES" w:eastAsia="es-ES"/>
              </w:rPr>
              <w:t xml:space="preserve">REQUISITO HABILITANTE – Experiencia - Verificación </w:t>
            </w:r>
            <w:r w:rsidRPr="004A1615">
              <w:rPr>
                <w:rFonts w:ascii="Verdana" w:hAnsi="Verdana" w:cs="Arial"/>
                <w:lang w:val="es-ES_tradnl"/>
              </w:rPr>
              <w:t xml:space="preserve">/ </w:t>
            </w:r>
            <w:r w:rsidRPr="000F4325">
              <w:rPr>
                <w:rFonts w:ascii="Verdana" w:hAnsi="Verdana" w:cs="Arial"/>
                <w:lang w:val="es-ES_tradnl"/>
              </w:rPr>
              <w:t>REQUISITO HABILITANTE - Experiencia – Código Clasificador de Bienes y Servicios - Acreditación del Valor de los Contratos</w:t>
            </w:r>
            <w:r>
              <w:rPr>
                <w:rFonts w:ascii="Verdana" w:hAnsi="Verdana" w:cs="Arial"/>
                <w:lang w:val="es-ES_tradnl"/>
              </w:rPr>
              <w:t xml:space="preserve"> /</w:t>
            </w:r>
            <w:r>
              <w:t xml:space="preserve"> </w:t>
            </w:r>
            <w:r w:rsidRPr="005A40BB">
              <w:rPr>
                <w:rFonts w:ascii="Verdana" w:hAnsi="Verdana" w:cs="Arial"/>
                <w:lang w:val="es-ES_tradnl"/>
              </w:rPr>
              <w:t xml:space="preserve">EXPERIENCIA – Expresada en SMMLV – Estandarización </w:t>
            </w:r>
            <w:r>
              <w:rPr>
                <w:rFonts w:ascii="Verdana" w:hAnsi="Verdana" w:cs="Arial"/>
                <w:lang w:val="es-ES_tradnl"/>
              </w:rPr>
              <w:t xml:space="preserve"> </w:t>
            </w:r>
          </w:p>
          <w:p w14:paraId="569AECD8" w14:textId="77777777" w:rsidR="00DD3C23" w:rsidRPr="008F0B44" w:rsidRDefault="00DD3C23" w:rsidP="00E56A27">
            <w:pPr>
              <w:contextualSpacing/>
              <w:jc w:val="both"/>
              <w:rPr>
                <w:rFonts w:ascii="Verdana" w:eastAsia="Calibri" w:hAnsi="Verdana" w:cs="Arial"/>
                <w:color w:val="EE0000"/>
              </w:rPr>
            </w:pPr>
          </w:p>
        </w:tc>
      </w:tr>
      <w:tr w:rsidR="00DD3C23" w:rsidRPr="00447B41" w14:paraId="0E2A0F4D" w14:textId="77777777" w:rsidTr="00E56A27">
        <w:trPr>
          <w:trHeight w:val="350"/>
        </w:trPr>
        <w:tc>
          <w:tcPr>
            <w:tcW w:w="2410" w:type="dxa"/>
          </w:tcPr>
          <w:p w14:paraId="27C8E8F0" w14:textId="77777777" w:rsidR="00DD3C23" w:rsidRPr="00C64924" w:rsidRDefault="00DD3C23" w:rsidP="00E56A27">
            <w:pPr>
              <w:ind w:left="561"/>
              <w:jc w:val="both"/>
              <w:rPr>
                <w:rFonts w:ascii="Verdana" w:eastAsia="Calibri" w:hAnsi="Verdana" w:cs="Arial"/>
                <w:b/>
                <w:lang w:val="es-ES" w:eastAsia="es-ES_tradnl"/>
              </w:rPr>
            </w:pPr>
            <w:r w:rsidRPr="00C64924">
              <w:rPr>
                <w:rFonts w:ascii="Verdana" w:eastAsia="Calibri" w:hAnsi="Verdana" w:cs="Arial"/>
                <w:b/>
                <w:lang w:val="es-ES" w:eastAsia="es-ES_tradnl"/>
              </w:rPr>
              <w:t>Radicación:</w:t>
            </w:r>
            <w:r w:rsidRPr="00C64924">
              <w:rPr>
                <w:rFonts w:ascii="Verdana" w:eastAsia="Calibri" w:hAnsi="Verdana" w:cs="Arial"/>
                <w:lang w:val="es-ES" w:eastAsia="es-ES_tradnl"/>
              </w:rPr>
              <w:t xml:space="preserve">              </w:t>
            </w:r>
          </w:p>
        </w:tc>
        <w:tc>
          <w:tcPr>
            <w:tcW w:w="6379" w:type="dxa"/>
          </w:tcPr>
          <w:p w14:paraId="43764060" w14:textId="563A6A11" w:rsidR="00560B5F" w:rsidRPr="001116C7" w:rsidRDefault="00DD3C23" w:rsidP="001116C7">
            <w:pPr>
              <w:ind w:left="3"/>
              <w:jc w:val="both"/>
              <w:rPr>
                <w:rFonts w:ascii="Verdana" w:eastAsia="Calibri" w:hAnsi="Verdana" w:cs="Arial"/>
                <w:lang w:val="es-ES" w:eastAsia="es-ES"/>
              </w:rPr>
            </w:pPr>
            <w:r w:rsidRPr="00C64924">
              <w:rPr>
                <w:rFonts w:ascii="Verdana" w:eastAsia="Calibri" w:hAnsi="Verdana" w:cs="Arial"/>
                <w:lang w:val="es-ES" w:eastAsia="es-ES"/>
              </w:rPr>
              <w:t xml:space="preserve">Respuesta a consulta con radicado No. </w:t>
            </w:r>
            <w:r w:rsidR="00560B5F">
              <w:rPr>
                <w:rFonts w:ascii="Verdana" w:hAnsi="Verdana" w:cs="Calibri"/>
              </w:rPr>
              <w:t>1_2026_08_04_010336</w:t>
            </w:r>
          </w:p>
          <w:p w14:paraId="619D07F1" w14:textId="7105FB5B" w:rsidR="00DD3C23" w:rsidRPr="00C64924" w:rsidRDefault="00DD3C23" w:rsidP="00E56A27">
            <w:pPr>
              <w:ind w:left="3"/>
              <w:jc w:val="both"/>
              <w:rPr>
                <w:rFonts w:ascii="Verdana" w:eastAsia="Calibri" w:hAnsi="Verdana" w:cs="Arial"/>
                <w:lang w:val="es-ES" w:eastAsia="es-ES"/>
              </w:rPr>
            </w:pPr>
          </w:p>
          <w:p w14:paraId="604690B3" w14:textId="77777777" w:rsidR="00DD3C23" w:rsidRPr="00C64924" w:rsidRDefault="00DD3C23" w:rsidP="00E56A27">
            <w:pPr>
              <w:ind w:left="3"/>
              <w:jc w:val="both"/>
              <w:rPr>
                <w:rFonts w:ascii="Verdana" w:hAnsi="Verdana"/>
                <w:lang w:val="es-ES"/>
              </w:rPr>
            </w:pPr>
          </w:p>
        </w:tc>
      </w:tr>
      <w:tr w:rsidR="00DD3C23" w:rsidRPr="00447B41" w14:paraId="68DBADE4" w14:textId="77777777" w:rsidTr="00E56A27">
        <w:trPr>
          <w:trHeight w:val="350"/>
        </w:trPr>
        <w:tc>
          <w:tcPr>
            <w:tcW w:w="2410" w:type="dxa"/>
          </w:tcPr>
          <w:p w14:paraId="7E99C281" w14:textId="77777777" w:rsidR="00DD3C23" w:rsidRPr="00447B41" w:rsidRDefault="00DD3C23" w:rsidP="00E56A27">
            <w:pPr>
              <w:ind w:left="561"/>
              <w:jc w:val="both"/>
              <w:rPr>
                <w:rFonts w:ascii="Verdana" w:eastAsia="Calibri" w:hAnsi="Verdana" w:cs="Arial"/>
                <w:b/>
                <w:color w:val="EE0000"/>
                <w:lang w:val="es-ES" w:eastAsia="es-ES_tradnl"/>
              </w:rPr>
            </w:pPr>
          </w:p>
        </w:tc>
        <w:tc>
          <w:tcPr>
            <w:tcW w:w="6379" w:type="dxa"/>
          </w:tcPr>
          <w:p w14:paraId="6BC7BE48" w14:textId="77777777" w:rsidR="00DD3C23" w:rsidRPr="00447B41" w:rsidRDefault="00DD3C23" w:rsidP="00E56A27">
            <w:pPr>
              <w:ind w:left="3"/>
              <w:jc w:val="both"/>
              <w:rPr>
                <w:rFonts w:ascii="Verdana" w:eastAsia="Calibri" w:hAnsi="Verdana" w:cs="Arial"/>
                <w:color w:val="EE0000"/>
                <w:lang w:val="es-ES" w:eastAsia="es-ES"/>
              </w:rPr>
            </w:pPr>
          </w:p>
        </w:tc>
      </w:tr>
    </w:tbl>
    <w:p w14:paraId="4EAAE6A8" w14:textId="22F375D6" w:rsidR="00DD3C23" w:rsidRPr="00287628" w:rsidRDefault="00DD3C23" w:rsidP="00DD3C23">
      <w:pPr>
        <w:spacing w:after="0" w:line="276" w:lineRule="auto"/>
        <w:jc w:val="both"/>
        <w:rPr>
          <w:rFonts w:ascii="Verdana" w:eastAsia="Calibri" w:hAnsi="Verdana" w:cs="Arial"/>
          <w:lang w:val="es-ES" w:eastAsia="es-ES"/>
        </w:rPr>
      </w:pPr>
      <w:r w:rsidRPr="00287628">
        <w:rPr>
          <w:rFonts w:ascii="Verdana" w:eastAsia="Calibri" w:hAnsi="Verdana" w:cs="Arial"/>
          <w:lang w:val="es-ES" w:eastAsia="es-ES"/>
        </w:rPr>
        <w:t>Estimad</w:t>
      </w:r>
      <w:r w:rsidR="001116C7">
        <w:rPr>
          <w:rFonts w:ascii="Verdana" w:eastAsia="Calibri" w:hAnsi="Verdana" w:cs="Arial"/>
          <w:lang w:val="es-ES" w:eastAsia="es-ES"/>
        </w:rPr>
        <w:t>o</w:t>
      </w:r>
      <w:r w:rsidRPr="00287628">
        <w:rPr>
          <w:rFonts w:ascii="Verdana" w:eastAsia="Calibri" w:hAnsi="Verdana" w:cs="Arial"/>
          <w:lang w:val="es-ES" w:eastAsia="es-ES"/>
        </w:rPr>
        <w:t xml:space="preserve"> Señor </w:t>
      </w:r>
      <w:r w:rsidR="001116C7">
        <w:rPr>
          <w:rFonts w:ascii="Verdana" w:eastAsia="Calibri" w:hAnsi="Verdana" w:cs="Arial"/>
          <w:lang w:val="es-ES" w:eastAsia="es-ES"/>
        </w:rPr>
        <w:t>Arco</w:t>
      </w:r>
      <w:r w:rsidR="00051C94">
        <w:rPr>
          <w:rFonts w:ascii="Verdana" w:eastAsia="Calibri" w:hAnsi="Verdana" w:cs="Arial"/>
          <w:lang w:val="es-ES" w:eastAsia="es-ES"/>
        </w:rPr>
        <w:t>s</w:t>
      </w:r>
      <w:r w:rsidR="001116C7">
        <w:rPr>
          <w:rFonts w:ascii="Verdana" w:eastAsia="Calibri" w:hAnsi="Verdana" w:cs="Arial"/>
          <w:lang w:val="es-ES" w:eastAsia="es-ES"/>
        </w:rPr>
        <w:t xml:space="preserve"> Bastidas</w:t>
      </w:r>
      <w:r w:rsidRPr="00287628">
        <w:rPr>
          <w:rFonts w:ascii="Verdana" w:eastAsia="Calibri" w:hAnsi="Verdana" w:cs="Arial"/>
          <w:lang w:val="es-ES" w:eastAsia="es-ES"/>
        </w:rPr>
        <w:t>:</w:t>
      </w:r>
    </w:p>
    <w:p w14:paraId="0D5FAB47" w14:textId="77777777" w:rsidR="00DD3C23" w:rsidRPr="00447B41" w:rsidRDefault="00DD3C23" w:rsidP="00DD3C23">
      <w:pPr>
        <w:tabs>
          <w:tab w:val="left" w:pos="3768"/>
        </w:tabs>
        <w:spacing w:after="0" w:line="276" w:lineRule="auto"/>
        <w:jc w:val="both"/>
        <w:rPr>
          <w:rFonts w:ascii="Verdana" w:eastAsia="Calibri" w:hAnsi="Verdana" w:cs="Arial"/>
          <w:color w:val="EE0000"/>
          <w:lang w:val="es-ES" w:eastAsia="es-ES"/>
        </w:rPr>
      </w:pPr>
      <w:r w:rsidRPr="00447B41">
        <w:rPr>
          <w:rFonts w:ascii="Verdana" w:eastAsia="Calibri" w:hAnsi="Verdana" w:cs="Arial"/>
          <w:color w:val="EE0000"/>
          <w:lang w:val="es-ES" w:eastAsia="es-ES"/>
        </w:rPr>
        <w:tab/>
      </w:r>
    </w:p>
    <w:p w14:paraId="2A3A7A04" w14:textId="448E5167" w:rsidR="00DD3C23" w:rsidRPr="0033367D" w:rsidRDefault="00DD3C23" w:rsidP="00DD3C23">
      <w:pPr>
        <w:spacing w:after="0" w:line="276" w:lineRule="auto"/>
        <w:jc w:val="both"/>
        <w:rPr>
          <w:rFonts w:ascii="Verdana" w:eastAsia="Calibri" w:hAnsi="Verdana" w:cs="Arial"/>
          <w:lang w:val="es-ES" w:eastAsia="es-ES"/>
        </w:rPr>
      </w:pPr>
      <w:r w:rsidRPr="0033367D">
        <w:rPr>
          <w:rFonts w:ascii="Verdana" w:eastAsia="Calibri" w:hAnsi="Verdana" w:cs="Arial"/>
          <w:lang w:val="es-ES" w:eastAsia="es-ES"/>
        </w:rPr>
        <w:t>En ejercicio de la competencia otorgada por los artículos 3, numeral 5º, y 11, numeral 8º, del Decreto Ley 4170 de 2011,</w:t>
      </w:r>
      <w:r w:rsidRPr="0033367D">
        <w:rPr>
          <w:rFonts w:ascii="Verdana" w:eastAsia="Arial MT" w:hAnsi="Verdana" w:cs="Arial MT"/>
          <w:lang w:val="es-ES" w:eastAsia="es-ES"/>
        </w:rPr>
        <w:t xml:space="preserve"> </w:t>
      </w:r>
      <w:r w:rsidRPr="0033367D">
        <w:rPr>
          <w:rFonts w:ascii="Verdana" w:hAnsi="Verdana" w:cs="Arial"/>
          <w:lang w:val="es-ES"/>
        </w:rPr>
        <w:t xml:space="preserve">así como lo establecido en el artículo 4 de la Resolución 469 de 2025 expedida por esta Entidad, </w:t>
      </w:r>
      <w:r w:rsidRPr="0033367D">
        <w:rPr>
          <w:rFonts w:ascii="Verdana" w:eastAsia="Calibri" w:hAnsi="Verdana" w:cs="Arial"/>
          <w:lang w:val="es-ES" w:eastAsia="es-ES"/>
        </w:rPr>
        <w:t xml:space="preserve">la Agencia Nacional de Contratación Pública – Colombia Compra Eficiente– responde su solicitud de consulta de fecha </w:t>
      </w:r>
      <w:r w:rsidR="001116C7">
        <w:rPr>
          <w:rFonts w:ascii="Verdana" w:eastAsia="Calibri" w:hAnsi="Verdana" w:cs="Arial"/>
          <w:lang w:val="es-ES" w:eastAsia="es-ES"/>
        </w:rPr>
        <w:t>4</w:t>
      </w:r>
      <w:r w:rsidRPr="0033367D">
        <w:rPr>
          <w:rFonts w:ascii="Verdana" w:eastAsia="Calibri" w:hAnsi="Verdana" w:cs="Arial"/>
          <w:lang w:val="es-ES" w:eastAsia="es-ES"/>
        </w:rPr>
        <w:t xml:space="preserve"> de </w:t>
      </w:r>
      <w:r w:rsidR="001116C7">
        <w:rPr>
          <w:rFonts w:ascii="Verdana" w:eastAsia="Calibri" w:hAnsi="Verdana" w:cs="Arial"/>
          <w:lang w:val="es-ES" w:eastAsia="es-ES"/>
        </w:rPr>
        <w:t>agosto</w:t>
      </w:r>
      <w:r w:rsidRPr="0033367D">
        <w:rPr>
          <w:rFonts w:ascii="Verdana" w:eastAsia="Calibri" w:hAnsi="Verdana" w:cs="Arial"/>
          <w:lang w:val="es-ES" w:eastAsia="es-ES"/>
        </w:rPr>
        <w:t xml:space="preserve"> de 2026, en la cual manifiesta lo siguiente: </w:t>
      </w:r>
    </w:p>
    <w:p w14:paraId="2067C046" w14:textId="77777777" w:rsidR="00DD3C23" w:rsidRPr="00447B41" w:rsidRDefault="00DD3C23" w:rsidP="00DD3C23">
      <w:pPr>
        <w:tabs>
          <w:tab w:val="left" w:pos="142"/>
          <w:tab w:val="left" w:pos="284"/>
        </w:tabs>
        <w:spacing w:after="0" w:line="276" w:lineRule="auto"/>
        <w:jc w:val="both"/>
        <w:rPr>
          <w:rFonts w:ascii="Verdana" w:eastAsia="Century Gothic" w:hAnsi="Verdana" w:cs="Century Gothic"/>
          <w:b/>
          <w:bCs/>
          <w:color w:val="EE0000"/>
          <w:lang w:val="es-ES"/>
        </w:rPr>
      </w:pPr>
    </w:p>
    <w:p w14:paraId="0BBE1F96" w14:textId="5725A6A3" w:rsidR="00DD3C23" w:rsidRPr="001401E5" w:rsidRDefault="00DD3C23" w:rsidP="000C7993">
      <w:pPr>
        <w:spacing w:after="0" w:line="240" w:lineRule="auto"/>
        <w:ind w:left="709" w:right="709"/>
        <w:jc w:val="both"/>
        <w:rPr>
          <w:rFonts w:ascii="Verdana" w:eastAsia="Century Gothic" w:hAnsi="Verdana" w:cs="Century Gothic"/>
          <w:i/>
          <w:iCs/>
          <w:sz w:val="21"/>
          <w:szCs w:val="21"/>
          <w:lang w:val="es-ES"/>
        </w:rPr>
      </w:pPr>
      <w:r w:rsidRPr="005F1E06">
        <w:rPr>
          <w:rFonts w:ascii="Verdana" w:eastAsia="Century Gothic" w:hAnsi="Verdana" w:cs="Century Gothic"/>
          <w:i/>
          <w:iCs/>
          <w:sz w:val="20"/>
          <w:szCs w:val="20"/>
          <w:lang w:val="es-ES"/>
        </w:rPr>
        <w:t>“</w:t>
      </w:r>
      <w:r w:rsidR="00952F4E" w:rsidRPr="001401E5">
        <w:rPr>
          <w:rFonts w:ascii="Verdana" w:eastAsia="Century Gothic" w:hAnsi="Verdana" w:cs="Century Gothic"/>
          <w:i/>
          <w:iCs/>
          <w:sz w:val="21"/>
          <w:szCs w:val="21"/>
          <w:lang w:val="es-ES"/>
        </w:rPr>
        <w:t xml:space="preserve">En el marco de un proceso de contratación </w:t>
      </w:r>
      <w:r w:rsidR="00807956" w:rsidRPr="001401E5">
        <w:rPr>
          <w:rFonts w:ascii="Verdana" w:eastAsia="Century Gothic" w:hAnsi="Verdana" w:cs="Century Gothic"/>
          <w:i/>
          <w:iCs/>
          <w:sz w:val="21"/>
          <w:szCs w:val="21"/>
          <w:lang w:val="es-ES"/>
        </w:rPr>
        <w:t xml:space="preserve">donde se requiere el RUP, al momento de la inscripción de una experiencia </w:t>
      </w:r>
      <w:r w:rsidR="00302529" w:rsidRPr="001401E5">
        <w:rPr>
          <w:rFonts w:ascii="Verdana" w:eastAsia="Century Gothic" w:hAnsi="Verdana" w:cs="Century Gothic"/>
          <w:i/>
          <w:iCs/>
          <w:sz w:val="21"/>
          <w:szCs w:val="21"/>
          <w:lang w:val="es-ES"/>
        </w:rPr>
        <w:t xml:space="preserve">en el RUP, un proponente solo </w:t>
      </w:r>
      <w:r w:rsidR="001401E5" w:rsidRPr="001401E5">
        <w:rPr>
          <w:rFonts w:ascii="Verdana" w:eastAsia="Century Gothic" w:hAnsi="Verdana" w:cs="Century Gothic"/>
          <w:i/>
          <w:iCs/>
          <w:sz w:val="21"/>
          <w:szCs w:val="21"/>
          <w:lang w:val="es-ES"/>
        </w:rPr>
        <w:t>anexó</w:t>
      </w:r>
      <w:r w:rsidR="00302529" w:rsidRPr="001401E5">
        <w:rPr>
          <w:rFonts w:ascii="Verdana" w:eastAsia="Century Gothic" w:hAnsi="Verdana" w:cs="Century Gothic"/>
          <w:i/>
          <w:iCs/>
          <w:sz w:val="21"/>
          <w:szCs w:val="21"/>
          <w:lang w:val="es-ES"/>
        </w:rPr>
        <w:t xml:space="preserve"> el contrato sin las adiciones, por lo cual </w:t>
      </w:r>
      <w:r w:rsidR="002A132F" w:rsidRPr="001401E5">
        <w:rPr>
          <w:rFonts w:ascii="Verdana" w:eastAsia="Century Gothic" w:hAnsi="Verdana" w:cs="Century Gothic"/>
          <w:i/>
          <w:iCs/>
          <w:sz w:val="21"/>
          <w:szCs w:val="21"/>
          <w:lang w:val="es-ES"/>
        </w:rPr>
        <w:t xml:space="preserve">la información registrada en salarios mínimos quedó </w:t>
      </w:r>
      <w:r w:rsidR="005C6B77" w:rsidRPr="001401E5">
        <w:rPr>
          <w:rFonts w:ascii="Verdana" w:eastAsia="Century Gothic" w:hAnsi="Verdana" w:cs="Century Gothic"/>
          <w:i/>
          <w:iCs/>
          <w:sz w:val="21"/>
          <w:szCs w:val="21"/>
          <w:lang w:val="es-ES"/>
        </w:rPr>
        <w:t xml:space="preserve">registrado respecto al valor inicial; </w:t>
      </w:r>
      <w:r w:rsidR="0057197E" w:rsidRPr="001401E5">
        <w:rPr>
          <w:rFonts w:ascii="Verdana" w:eastAsia="Century Gothic" w:hAnsi="Verdana" w:cs="Century Gothic"/>
          <w:i/>
          <w:iCs/>
          <w:sz w:val="21"/>
          <w:szCs w:val="21"/>
          <w:lang w:val="es-ES"/>
        </w:rPr>
        <w:t xml:space="preserve">sin embargo, la certificación de un cumplimiento registra el valor total </w:t>
      </w:r>
      <w:r w:rsidR="00C73854" w:rsidRPr="001401E5">
        <w:rPr>
          <w:rFonts w:ascii="Verdana" w:eastAsia="Century Gothic" w:hAnsi="Verdana" w:cs="Century Gothic"/>
          <w:i/>
          <w:iCs/>
          <w:sz w:val="21"/>
          <w:szCs w:val="21"/>
          <w:lang w:val="es-ES"/>
        </w:rPr>
        <w:t xml:space="preserve">con las adiciones. En este caso la experiencia pierde validez o puede </w:t>
      </w:r>
      <w:r w:rsidR="009974E3" w:rsidRPr="001401E5">
        <w:rPr>
          <w:rFonts w:ascii="Verdana" w:eastAsia="Century Gothic" w:hAnsi="Verdana" w:cs="Century Gothic"/>
          <w:i/>
          <w:iCs/>
          <w:sz w:val="21"/>
          <w:szCs w:val="21"/>
          <w:lang w:val="es-ES"/>
        </w:rPr>
        <w:t xml:space="preserve">acreditarse aun teniendo en </w:t>
      </w:r>
      <w:r w:rsidR="001401E5" w:rsidRPr="001401E5">
        <w:rPr>
          <w:rFonts w:ascii="Verdana" w:eastAsia="Century Gothic" w:hAnsi="Verdana" w:cs="Century Gothic"/>
          <w:i/>
          <w:iCs/>
          <w:sz w:val="21"/>
          <w:szCs w:val="21"/>
          <w:lang w:val="es-ES"/>
        </w:rPr>
        <w:t>cuenta</w:t>
      </w:r>
      <w:r w:rsidR="009974E3" w:rsidRPr="001401E5">
        <w:rPr>
          <w:rFonts w:ascii="Verdana" w:eastAsia="Century Gothic" w:hAnsi="Verdana" w:cs="Century Gothic"/>
          <w:i/>
          <w:iCs/>
          <w:sz w:val="21"/>
          <w:szCs w:val="21"/>
          <w:lang w:val="es-ES"/>
        </w:rPr>
        <w:t xml:space="preserve"> que la certificación en salarios mínimos es diferente</w:t>
      </w:r>
      <w:r w:rsidR="001401E5" w:rsidRPr="001401E5">
        <w:rPr>
          <w:rFonts w:ascii="Verdana" w:eastAsia="Century Gothic" w:hAnsi="Verdana" w:cs="Century Gothic"/>
          <w:i/>
          <w:iCs/>
          <w:sz w:val="21"/>
          <w:szCs w:val="21"/>
          <w:lang w:val="es-ES"/>
        </w:rPr>
        <w:t xml:space="preserve"> a la registrada en el RUP”.</w:t>
      </w:r>
    </w:p>
    <w:p w14:paraId="17CE6608" w14:textId="77777777" w:rsidR="00DD3C23" w:rsidRPr="00447B41" w:rsidRDefault="00DD3C23" w:rsidP="00DD3C23">
      <w:pPr>
        <w:spacing w:before="120" w:after="120" w:line="240" w:lineRule="auto"/>
        <w:ind w:left="709" w:right="709"/>
        <w:contextualSpacing/>
        <w:jc w:val="both"/>
        <w:rPr>
          <w:rFonts w:ascii="Verdana" w:eastAsia="Century Gothic" w:hAnsi="Verdana" w:cs="Century Gothic"/>
          <w:i/>
          <w:iCs/>
          <w:color w:val="EE0000"/>
          <w:sz w:val="20"/>
          <w:szCs w:val="20"/>
          <w:lang w:val="es-ES"/>
        </w:rPr>
      </w:pPr>
    </w:p>
    <w:p w14:paraId="642CFEA5" w14:textId="77777777" w:rsidR="00DD3C23" w:rsidRPr="005F1E06" w:rsidRDefault="00DD3C23" w:rsidP="00DD3C23">
      <w:pPr>
        <w:spacing w:after="120" w:line="276" w:lineRule="auto"/>
        <w:ind w:firstLine="708"/>
        <w:jc w:val="both"/>
        <w:rPr>
          <w:rFonts w:ascii="Verdana" w:eastAsia="Calibri" w:hAnsi="Verdana" w:cs="Arial"/>
          <w:lang w:val="es-ES" w:eastAsia="es-ES"/>
        </w:rPr>
      </w:pPr>
      <w:r w:rsidRPr="005F1E0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F1E06">
        <w:rPr>
          <w:rFonts w:ascii="Verdana" w:hAnsi="Verdana"/>
          <w:lang w:val="es-ES"/>
        </w:rPr>
        <w:tab/>
      </w:r>
    </w:p>
    <w:p w14:paraId="2D31F38F" w14:textId="77777777" w:rsidR="00DD3C23" w:rsidRPr="005F1E06" w:rsidRDefault="00DD3C23" w:rsidP="00DD3C23">
      <w:pPr>
        <w:spacing w:after="0" w:line="276" w:lineRule="auto"/>
        <w:ind w:firstLine="709"/>
        <w:jc w:val="both"/>
        <w:rPr>
          <w:rFonts w:ascii="Verdana" w:eastAsia="Calibri" w:hAnsi="Verdana" w:cs="Arial"/>
          <w:lang w:val="es-ES" w:eastAsia="es-ES"/>
        </w:rPr>
      </w:pPr>
      <w:r w:rsidRPr="005F1E0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705972D6" w14:textId="77777777" w:rsidR="00DD3C23" w:rsidRPr="00447B41" w:rsidRDefault="00DD3C23" w:rsidP="00DD3C23">
      <w:pPr>
        <w:spacing w:after="0" w:line="276" w:lineRule="auto"/>
        <w:ind w:firstLine="709"/>
        <w:jc w:val="both"/>
        <w:rPr>
          <w:rFonts w:ascii="Verdana" w:eastAsia="Calibri" w:hAnsi="Verdana" w:cs="Arial"/>
          <w:color w:val="EE0000"/>
          <w:lang w:val="es-ES" w:eastAsia="es-ES"/>
        </w:rPr>
      </w:pPr>
    </w:p>
    <w:p w14:paraId="32977D4B" w14:textId="77777777" w:rsidR="00DD3C23" w:rsidRPr="005F1E06" w:rsidRDefault="00DD3C23" w:rsidP="00DD3C23">
      <w:pPr>
        <w:tabs>
          <w:tab w:val="left" w:pos="142"/>
          <w:tab w:val="left" w:pos="284"/>
        </w:tabs>
        <w:spacing w:after="0" w:line="276" w:lineRule="auto"/>
        <w:jc w:val="both"/>
        <w:rPr>
          <w:rFonts w:ascii="Verdana" w:eastAsia="Century Gothic" w:hAnsi="Verdana" w:cs="Century Gothic"/>
          <w:b/>
          <w:lang w:val="es-ES"/>
        </w:rPr>
      </w:pPr>
      <w:r w:rsidRPr="005F1E06">
        <w:rPr>
          <w:rFonts w:ascii="Verdana" w:eastAsia="Century Gothic" w:hAnsi="Verdana" w:cs="Century Gothic"/>
          <w:b/>
          <w:lang w:val="es-ES"/>
        </w:rPr>
        <w:t>1. Problema planteado:</w:t>
      </w:r>
    </w:p>
    <w:p w14:paraId="78AE8254" w14:textId="77777777" w:rsidR="00DD3C23" w:rsidRPr="00447B41" w:rsidRDefault="00DD3C23" w:rsidP="00DD3C23">
      <w:pPr>
        <w:tabs>
          <w:tab w:val="left" w:pos="426"/>
        </w:tabs>
        <w:spacing w:after="0" w:line="276" w:lineRule="auto"/>
        <w:jc w:val="both"/>
        <w:rPr>
          <w:rFonts w:ascii="Verdana" w:eastAsia="Century Gothic" w:hAnsi="Verdana" w:cs="Century Gothic"/>
          <w:color w:val="EE0000"/>
          <w:lang w:val="es-ES"/>
        </w:rPr>
      </w:pPr>
    </w:p>
    <w:p w14:paraId="59CAD9C8" w14:textId="58CE64FE" w:rsidR="00DD3C23" w:rsidRPr="00AA15AA" w:rsidRDefault="00DD3C23" w:rsidP="00DD3C23">
      <w:pPr>
        <w:spacing w:after="0" w:line="276" w:lineRule="auto"/>
        <w:jc w:val="both"/>
        <w:rPr>
          <w:rFonts w:ascii="Verdana" w:eastAsia="Century Gothic" w:hAnsi="Verdana" w:cs="Century Gothic"/>
        </w:rPr>
      </w:pPr>
      <w:r w:rsidRPr="004A1615">
        <w:rPr>
          <w:rFonts w:ascii="Verdana" w:eastAsia="Century Gothic" w:hAnsi="Verdana" w:cs="Century Gothic"/>
          <w:lang w:val="es-ES"/>
        </w:rPr>
        <w:t xml:space="preserve">De acuerdo con el contenido de su solicitud, esta Agencia resolverá </w:t>
      </w:r>
      <w:r w:rsidR="006D4AFF">
        <w:rPr>
          <w:rFonts w:ascii="Verdana" w:eastAsia="Century Gothic" w:hAnsi="Verdana" w:cs="Century Gothic"/>
          <w:lang w:val="es-ES"/>
        </w:rPr>
        <w:t>el</w:t>
      </w:r>
      <w:r w:rsidRPr="004A1615">
        <w:rPr>
          <w:rFonts w:ascii="Verdana" w:eastAsia="Century Gothic" w:hAnsi="Verdana" w:cs="Century Gothic"/>
          <w:lang w:val="es-ES"/>
        </w:rPr>
        <w:t xml:space="preserve"> siguiente problema jurídico</w:t>
      </w:r>
      <w:r w:rsidR="006D4AFF">
        <w:rPr>
          <w:rFonts w:ascii="Verdana" w:eastAsia="Century Gothic" w:hAnsi="Verdana" w:cs="Century Gothic"/>
          <w:lang w:val="es-ES"/>
        </w:rPr>
        <w:t xml:space="preserve">: </w:t>
      </w:r>
      <w:r w:rsidR="00DE65A7" w:rsidRPr="00495F99">
        <w:rPr>
          <w:rFonts w:ascii="Verdana" w:eastAsia="Century Gothic" w:hAnsi="Verdana" w:cs="Century Gothic"/>
          <w:lang w:val="es-ES"/>
        </w:rPr>
        <w:t>¿Puede una entidad estatal, en un proceso en el que el RUP es exigible, tener en cuenta para acreditar el valor de la experiencia contractual las adiciones que constan en una certificación de cumplimiento, cuando dichas adiciones no fueron incorporadas al valor del contrato registrado y certificado en el RUP?</w:t>
      </w:r>
    </w:p>
    <w:p w14:paraId="5611C4DE" w14:textId="77777777" w:rsidR="00DD3C23" w:rsidRPr="00AA15AA" w:rsidRDefault="00DD3C23" w:rsidP="00DD3C23">
      <w:pPr>
        <w:spacing w:after="0" w:line="276" w:lineRule="auto"/>
        <w:jc w:val="both"/>
        <w:rPr>
          <w:rFonts w:ascii="Verdana" w:eastAsia="Century Gothic" w:hAnsi="Verdana" w:cs="Century Gothic"/>
          <w:color w:val="EE0000"/>
        </w:rPr>
      </w:pPr>
      <w:r w:rsidRPr="00AA15AA">
        <w:rPr>
          <w:rFonts w:ascii="Verdana" w:eastAsia="Century Gothic" w:hAnsi="Verdana" w:cs="Century Gothic"/>
          <w:color w:val="EE0000"/>
        </w:rPr>
        <w:t xml:space="preserve">    </w:t>
      </w:r>
    </w:p>
    <w:p w14:paraId="02BA521E" w14:textId="77777777" w:rsidR="00DD3C23" w:rsidRPr="005F1E06" w:rsidRDefault="00DD3C23" w:rsidP="00DD3C23">
      <w:pPr>
        <w:tabs>
          <w:tab w:val="left" w:pos="142"/>
          <w:tab w:val="left" w:pos="284"/>
        </w:tabs>
        <w:spacing w:after="0" w:line="276" w:lineRule="auto"/>
        <w:jc w:val="both"/>
        <w:rPr>
          <w:rFonts w:ascii="Verdana" w:eastAsia="Century Gothic" w:hAnsi="Verdana" w:cs="Century Gothic"/>
          <w:b/>
          <w:lang w:val="es-ES"/>
        </w:rPr>
      </w:pPr>
      <w:r w:rsidRPr="005F1E06">
        <w:rPr>
          <w:rFonts w:ascii="Verdana" w:eastAsia="Century Gothic" w:hAnsi="Verdana" w:cs="Century Gothic"/>
          <w:b/>
          <w:lang w:val="es-ES"/>
        </w:rPr>
        <w:t>2. Respuesta:</w:t>
      </w:r>
    </w:p>
    <w:p w14:paraId="40ECF7BB" w14:textId="77777777" w:rsidR="00DD3C23" w:rsidRPr="00447B41" w:rsidRDefault="00DD3C23" w:rsidP="00DD3C23">
      <w:pPr>
        <w:tabs>
          <w:tab w:val="left" w:pos="142"/>
          <w:tab w:val="left" w:pos="284"/>
        </w:tabs>
        <w:spacing w:after="0" w:line="276" w:lineRule="auto"/>
        <w:jc w:val="both"/>
        <w:rPr>
          <w:rFonts w:ascii="Verdana" w:eastAsia="Century Gothic" w:hAnsi="Verdana" w:cs="Century Gothic"/>
          <w:b/>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D3C23" w:rsidRPr="00447B41" w14:paraId="48C944C1" w14:textId="77777777" w:rsidTr="00E56A27">
        <w:tc>
          <w:tcPr>
            <w:tcW w:w="8828" w:type="dxa"/>
          </w:tcPr>
          <w:p w14:paraId="7BAD6F27" w14:textId="77777777" w:rsidR="004B632E" w:rsidRDefault="004B632E" w:rsidP="00E56A27">
            <w:pPr>
              <w:widowControl w:val="0"/>
              <w:autoSpaceDE w:val="0"/>
              <w:autoSpaceDN w:val="0"/>
              <w:spacing w:before="120" w:after="120" w:line="276" w:lineRule="auto"/>
              <w:ind w:right="102" w:firstLine="607"/>
              <w:jc w:val="both"/>
              <w:rPr>
                <w:rFonts w:ascii="Verdana" w:eastAsia="Times New Roman" w:hAnsi="Verdana" w:cs="Arial"/>
              </w:rPr>
            </w:pPr>
            <w:r w:rsidRPr="004B632E">
              <w:rPr>
                <w:rFonts w:ascii="Verdana" w:eastAsia="Times New Roman" w:hAnsi="Verdana" w:cs="Arial"/>
              </w:rPr>
              <w:t>Cuando el RUP es exigible, la experiencia como requisito habilitante debe verificarse a partir de la información certificada en dicho registro. En consecuencia, si el valor del contrato aparece registrado en el RUP por un determinado número de SMMLV, la entidad debe atender ese valor para efectos de verificar el requisito de experiencia, sin que una certificación externa pueda emplearse para modificar o incrementar el valor previamente verificado por la Cámara de Comercio. La circunstancia de que una certificación de cumplimiento refleje un valor final superior, como consecuencia de adiciones contractuales no incorporadas al RUP, no implica por sí misma que la experiencia registrada pierda validez. Sin embargo, para efectos de la acreditación del requisito habilitante, la entidad deberá valorar la experiencia en los términos y por el valor que consten certificados en el RUP. Lo anterior es distinto de la facultad prevista en el numeral 6.1 del artículo 6 de la Ley 1150 de 2007 para verificar información adicional que no repose en el RUP y que resulte necesaria por las particularidades del objeto contractual. Esta facultad no permite sustituir, modificar o recalificar la información que ya fue objeto de verificación y certificación por la Cámara de Comercio.</w:t>
            </w:r>
          </w:p>
          <w:p w14:paraId="5AD5CCA1" w14:textId="77777777" w:rsidR="00DD3C23" w:rsidRPr="0011567F" w:rsidRDefault="00DD3C23" w:rsidP="00E56A27">
            <w:pPr>
              <w:widowControl w:val="0"/>
              <w:autoSpaceDE w:val="0"/>
              <w:autoSpaceDN w:val="0"/>
              <w:spacing w:before="120" w:after="120" w:line="276" w:lineRule="auto"/>
              <w:ind w:right="102" w:firstLine="607"/>
              <w:jc w:val="both"/>
              <w:rPr>
                <w:rFonts w:ascii="Verdana" w:eastAsia="Times New Roman" w:hAnsi="Verdana" w:cs="Arial"/>
              </w:rPr>
            </w:pPr>
            <w:r w:rsidRPr="0011567F">
              <w:rPr>
                <w:rFonts w:ascii="Verdana" w:eastAsia="Times New Roman" w:hAnsi="Verdana" w:cs="Arial"/>
              </w:rPr>
              <w:t>En</w:t>
            </w:r>
            <w:r>
              <w:rPr>
                <w:rFonts w:ascii="Verdana" w:eastAsia="Times New Roman" w:hAnsi="Verdana" w:cs="Arial"/>
              </w:rPr>
              <w:t xml:space="preserve"> este contexto,</w:t>
            </w:r>
            <w:r w:rsidRPr="0011567F">
              <w:rPr>
                <w:rFonts w:ascii="Verdana" w:eastAsia="Times New Roman" w:hAnsi="Verdana" w:cs="Arial"/>
              </w:rPr>
              <w:t xml:space="preserve"> la necesidad de que la experiencia contractual sea expresada </w:t>
            </w:r>
            <w:r>
              <w:rPr>
                <w:rFonts w:ascii="Verdana" w:eastAsia="Times New Roman" w:hAnsi="Verdana" w:cs="Arial"/>
              </w:rPr>
              <w:t xml:space="preserve">en </w:t>
            </w:r>
            <w:r w:rsidRPr="0011567F">
              <w:rPr>
                <w:rFonts w:ascii="Verdana" w:eastAsia="Times New Roman" w:hAnsi="Verdana" w:cs="Arial"/>
              </w:rPr>
              <w:t>SMM</w:t>
            </w:r>
            <w:r>
              <w:rPr>
                <w:rFonts w:ascii="Verdana" w:eastAsia="Times New Roman" w:hAnsi="Verdana" w:cs="Arial"/>
              </w:rPr>
              <w:t>L</w:t>
            </w:r>
            <w:r w:rsidRPr="0011567F">
              <w:rPr>
                <w:rFonts w:ascii="Verdana" w:eastAsia="Times New Roman" w:hAnsi="Verdana" w:cs="Arial"/>
              </w:rPr>
              <w:t>V se u</w:t>
            </w:r>
            <w:r>
              <w:rPr>
                <w:rFonts w:ascii="Verdana" w:eastAsia="Times New Roman" w:hAnsi="Verdana" w:cs="Arial"/>
              </w:rPr>
              <w:t>tiliza</w:t>
            </w:r>
            <w:r w:rsidRPr="0011567F">
              <w:rPr>
                <w:rFonts w:ascii="Verdana" w:eastAsia="Times New Roman" w:hAnsi="Verdana" w:cs="Arial"/>
              </w:rPr>
              <w:t xml:space="preserve"> como un parámetro técnico para evaluar y comparar la capacidad de un contratista en procesos de contratación estatal, posibilitando establecer un estándar objetivo frente a la fluctuación del valor de la moneda dentro del mercado.</w:t>
            </w:r>
            <w:r w:rsidRPr="0011567F">
              <w:rPr>
                <w:rFonts w:ascii="Verdana" w:eastAsia="Calibri" w:hAnsi="Verdana" w:cs="Arial"/>
                <w:lang w:eastAsia="es-CO"/>
              </w:rPr>
              <w:t xml:space="preserve"> </w:t>
            </w:r>
            <w:r w:rsidRPr="007832F2">
              <w:rPr>
                <w:rFonts w:ascii="Verdana" w:eastAsia="Times New Roman" w:hAnsi="Verdana" w:cs="Arial"/>
              </w:rPr>
              <w:t>Esto facilita la comparación justa de la experiencia de diferentes oferentes</w:t>
            </w:r>
            <w:r w:rsidRPr="0011567F">
              <w:rPr>
                <w:rFonts w:ascii="Verdana" w:eastAsia="Times New Roman" w:hAnsi="Verdana" w:cs="Arial"/>
              </w:rPr>
              <w:t>, ya que el valor de los SMM</w:t>
            </w:r>
            <w:r>
              <w:rPr>
                <w:rFonts w:ascii="Verdana" w:eastAsia="Times New Roman" w:hAnsi="Verdana" w:cs="Arial"/>
              </w:rPr>
              <w:t>L</w:t>
            </w:r>
            <w:r w:rsidRPr="0011567F">
              <w:rPr>
                <w:rFonts w:ascii="Verdana" w:eastAsia="Times New Roman" w:hAnsi="Verdana" w:cs="Arial"/>
              </w:rPr>
              <w:t>V cambia anualmente, estandarizando la experiencia requerida en un momento determinado.</w:t>
            </w:r>
          </w:p>
          <w:p w14:paraId="571813EE" w14:textId="77777777" w:rsidR="00DD3C23" w:rsidRPr="0011567F" w:rsidRDefault="00DD3C23" w:rsidP="00E56A27">
            <w:pPr>
              <w:spacing w:before="120" w:after="120" w:line="276" w:lineRule="auto"/>
              <w:ind w:firstLine="709"/>
              <w:jc w:val="both"/>
              <w:rPr>
                <w:rFonts w:ascii="Verdana" w:eastAsia="Calibri" w:hAnsi="Verdana" w:cs="Arial"/>
                <w:lang w:eastAsia="es-CO"/>
              </w:rPr>
            </w:pPr>
            <w:r>
              <w:rPr>
                <w:rFonts w:ascii="Verdana" w:eastAsia="Calibri" w:hAnsi="Verdana" w:cs="Arial"/>
                <w:lang w:val="es-ES_tradnl" w:eastAsia="es-CO"/>
              </w:rPr>
              <w:t>Por su parte</w:t>
            </w:r>
            <w:r w:rsidRPr="0011567F">
              <w:rPr>
                <w:rFonts w:ascii="Verdana" w:eastAsia="Calibri" w:hAnsi="Verdana" w:cs="Arial"/>
                <w:lang w:val="es-ES_tradnl" w:eastAsia="es-CO"/>
              </w:rPr>
              <w:t xml:space="preserve">, en los casos </w:t>
            </w:r>
            <w:r>
              <w:rPr>
                <w:rFonts w:ascii="Verdana" w:eastAsia="Calibri" w:hAnsi="Verdana" w:cs="Arial"/>
                <w:lang w:val="es-ES_tradnl" w:eastAsia="es-CO"/>
              </w:rPr>
              <w:t>en que no</w:t>
            </w:r>
            <w:r w:rsidRPr="0011567F">
              <w:rPr>
                <w:rFonts w:ascii="Verdana" w:eastAsia="Calibri" w:hAnsi="Verdana" w:cs="Arial"/>
                <w:lang w:val="es-ES_tradnl" w:eastAsia="es-CO"/>
              </w:rPr>
              <w:t xml:space="preserve"> se exija el RUP</w:t>
            </w:r>
            <w:r w:rsidRPr="0011567F">
              <w:rPr>
                <w:rFonts w:ascii="Verdana" w:eastAsia="Calibri" w:hAnsi="Verdana" w:cs="Arial"/>
                <w:lang w:eastAsia="es-CO"/>
              </w:rPr>
              <w:t xml:space="preserve">, </w:t>
            </w:r>
            <w:r w:rsidRPr="00F90AA3">
              <w:rPr>
                <w:rFonts w:ascii="Verdana" w:eastAsia="Calibri" w:hAnsi="Verdana" w:cs="Arial"/>
                <w:lang w:eastAsia="es-CO"/>
              </w:rPr>
              <w:t>si la Entidad Estatal</w:t>
            </w:r>
            <w:r w:rsidRPr="0011567F">
              <w:rPr>
                <w:rFonts w:ascii="Verdana" w:eastAsia="Calibri" w:hAnsi="Verdana" w:cs="Arial"/>
                <w:lang w:eastAsia="es-CO"/>
              </w:rPr>
              <w:t xml:space="preserve"> decide establecer requisitos habilitantes de experiencia, debe solicitar la documentación que lo</w:t>
            </w:r>
            <w:r>
              <w:rPr>
                <w:rFonts w:ascii="Verdana" w:eastAsia="Calibri" w:hAnsi="Verdana" w:cs="Arial"/>
                <w:lang w:eastAsia="es-CO"/>
              </w:rPr>
              <w:t>s</w:t>
            </w:r>
            <w:r w:rsidRPr="0011567F">
              <w:rPr>
                <w:rFonts w:ascii="Verdana" w:eastAsia="Calibri" w:hAnsi="Verdana" w:cs="Arial"/>
                <w:lang w:eastAsia="es-CO"/>
              </w:rPr>
              <w:t xml:space="preserve"> acredite, tales como copias de contratos, actas de recibo a satisfacción, actas de liquidación o certificados expedidos por terceros que hayan recibido del oferente los bienes, obras o servicios objeto del proceso de contratación, en </w:t>
            </w:r>
            <w:r>
              <w:rPr>
                <w:rFonts w:ascii="Verdana" w:eastAsia="Calibri" w:hAnsi="Verdana" w:cs="Arial"/>
                <w:lang w:eastAsia="es-CO"/>
              </w:rPr>
              <w:t xml:space="preserve">los cuales </w:t>
            </w:r>
            <w:r w:rsidRPr="0011567F">
              <w:rPr>
                <w:rFonts w:ascii="Verdana" w:eastAsia="Calibri" w:hAnsi="Verdana" w:cs="Arial"/>
                <w:lang w:eastAsia="es-CO"/>
              </w:rPr>
              <w:t xml:space="preserve">podrá definir que la forma de calcular la experiencia sea expresada en SMMLV, lo cual posibilita comparar de manera más ajustada y proporcional a la experiencia de los proponentes. </w:t>
            </w:r>
          </w:p>
          <w:p w14:paraId="51C16A53" w14:textId="77777777" w:rsidR="00DD3C23" w:rsidRPr="0011567F" w:rsidRDefault="00DD3C23" w:rsidP="00E56A27">
            <w:pPr>
              <w:spacing w:after="120" w:line="276" w:lineRule="auto"/>
              <w:ind w:right="79" w:firstLine="709"/>
              <w:jc w:val="both"/>
              <w:rPr>
                <w:rFonts w:ascii="Verdana" w:eastAsia="Arial" w:hAnsi="Verdana" w:cs="Arial"/>
                <w:bCs/>
              </w:rPr>
            </w:pPr>
            <w:r w:rsidRPr="0011567F">
              <w:rPr>
                <w:rFonts w:ascii="Verdana" w:eastAsia="Calibri" w:hAnsi="Verdana" w:cs="Arial"/>
                <w:bCs/>
                <w:lang w:eastAsia="es-CO"/>
              </w:rPr>
              <w:t>En todo caso, las Entidades Estatales deben establecer los requisitos habilitantes de forma adecuada y proporcional a la naturaleza y valor del contrato, esto es, las condiciones exigidas correspondan a una relación directa con el objeto del contrato y su cuantificación expresada e</w:t>
            </w:r>
            <w:r>
              <w:rPr>
                <w:rFonts w:ascii="Verdana" w:eastAsia="Calibri" w:hAnsi="Verdana" w:cs="Arial"/>
                <w:bCs/>
                <w:lang w:eastAsia="es-CO"/>
              </w:rPr>
              <w:t>n</w:t>
            </w:r>
            <w:r w:rsidRPr="00675E66">
              <w:rPr>
                <w:rFonts w:ascii="Verdana" w:eastAsia="Calibri" w:hAnsi="Verdana" w:cs="Arial"/>
                <w:lang w:eastAsia="es-CO"/>
              </w:rPr>
              <w:t xml:space="preserve"> salarios mínimos legales mensuales vigentes (SMMLV)</w:t>
            </w:r>
            <w:r w:rsidRPr="0011567F">
              <w:rPr>
                <w:rFonts w:ascii="Verdana" w:eastAsia="Calibri" w:hAnsi="Verdana" w:cs="Arial"/>
                <w:bCs/>
                <w:lang w:eastAsia="es-CO"/>
              </w:rPr>
              <w:t xml:space="preserve">, de tal manera que su acreditación sea congruente para evidenciar que el proponente es idóneo para ejecutar el contrato. </w:t>
            </w:r>
            <w:r w:rsidRPr="0011567F">
              <w:rPr>
                <w:rFonts w:ascii="Verdana" w:eastAsia="Times New Roman" w:hAnsi="Verdana" w:cs="Arial"/>
                <w:u w:val="single"/>
                <w:bdr w:val="none" w:sz="0" w:space="0" w:color="auto" w:frame="1"/>
                <w:lang w:val="es-MX" w:eastAsia="es-CO"/>
              </w:rPr>
              <w:t xml:space="preserve"> </w:t>
            </w:r>
          </w:p>
          <w:p w14:paraId="0418DC54" w14:textId="77777777" w:rsidR="00DD3C23" w:rsidRPr="00447B41" w:rsidRDefault="00DD3C23" w:rsidP="00E56A27">
            <w:pPr>
              <w:spacing w:after="120" w:line="276" w:lineRule="auto"/>
              <w:ind w:right="79" w:firstLine="601"/>
              <w:jc w:val="both"/>
              <w:rPr>
                <w:rFonts w:ascii="Verdana" w:eastAsia="Arial" w:hAnsi="Verdana" w:cs="Arial"/>
                <w:bCs/>
                <w:color w:val="EE0000"/>
              </w:rPr>
            </w:pPr>
            <w:r w:rsidRPr="00624369">
              <w:rPr>
                <w:rFonts w:ascii="Verdana" w:eastAsia="Calibri" w:hAnsi="Verdana" w:cs="Arial"/>
                <w:bCs/>
              </w:rPr>
              <w:t xml:space="preserve">Finalmente, al margen de la explicación precedente debe advertirse que </w:t>
            </w:r>
            <w:r w:rsidRPr="00624369">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624369">
              <w:rPr>
                <w:rStyle w:val="apple-converted-space"/>
                <w:rFonts w:ascii="Verdana" w:hAnsi="Verdana"/>
              </w:rPr>
              <w:t> </w:t>
            </w:r>
            <w:r w:rsidRPr="00624369">
              <w:rPr>
                <w:rStyle w:val="s15"/>
                <w:rFonts w:ascii="Verdana" w:hAnsi="Verdana"/>
              </w:rPr>
              <w:t>Por lo anterior, previo</w:t>
            </w:r>
            <w:r w:rsidRPr="00624369">
              <w:rPr>
                <w:rStyle w:val="apple-converted-space"/>
                <w:rFonts w:ascii="Verdana" w:hAnsi="Verdana"/>
              </w:rPr>
              <w:t> </w:t>
            </w:r>
            <w:r w:rsidRPr="00624369">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C5F6977" w14:textId="77777777" w:rsidR="00DD3C23" w:rsidRPr="00447B41" w:rsidRDefault="00DD3C23" w:rsidP="00DD3C23">
      <w:pPr>
        <w:tabs>
          <w:tab w:val="left" w:pos="142"/>
          <w:tab w:val="left" w:pos="284"/>
        </w:tabs>
        <w:spacing w:after="0" w:line="276" w:lineRule="auto"/>
        <w:jc w:val="both"/>
        <w:rPr>
          <w:rFonts w:ascii="Verdana" w:eastAsia="Century Gothic" w:hAnsi="Verdana" w:cs="Century Gothic"/>
          <w:b/>
          <w:bCs/>
          <w:color w:val="EE0000"/>
          <w:lang w:val="es-ES"/>
        </w:rPr>
      </w:pPr>
    </w:p>
    <w:p w14:paraId="235DF3C4" w14:textId="77777777" w:rsidR="00DD3C23" w:rsidRPr="005F1E06" w:rsidRDefault="00DD3C23" w:rsidP="00DD3C23">
      <w:pPr>
        <w:tabs>
          <w:tab w:val="left" w:pos="142"/>
          <w:tab w:val="left" w:pos="284"/>
        </w:tabs>
        <w:spacing w:after="0" w:line="276" w:lineRule="auto"/>
        <w:jc w:val="both"/>
        <w:rPr>
          <w:rFonts w:ascii="Verdana" w:eastAsia="Century Gothic" w:hAnsi="Verdana" w:cs="Century Gothic"/>
          <w:b/>
          <w:lang w:val="es-ES"/>
        </w:rPr>
      </w:pPr>
      <w:r w:rsidRPr="005F1E06">
        <w:rPr>
          <w:rFonts w:ascii="Verdana" w:eastAsia="Century Gothic" w:hAnsi="Verdana" w:cs="Century Gothic"/>
          <w:b/>
          <w:lang w:val="es-ES"/>
        </w:rPr>
        <w:t>3. Razones de la respuesta:</w:t>
      </w:r>
    </w:p>
    <w:p w14:paraId="665D71A7" w14:textId="77777777" w:rsidR="00DD3C23" w:rsidRPr="005F1E06" w:rsidRDefault="00DD3C23" w:rsidP="00DD3C23">
      <w:pPr>
        <w:spacing w:after="0" w:line="276" w:lineRule="auto"/>
        <w:jc w:val="both"/>
        <w:rPr>
          <w:rFonts w:ascii="Verdana" w:eastAsia="Calibri" w:hAnsi="Verdana" w:cs="Arial"/>
          <w:lang w:val="es-ES"/>
        </w:rPr>
      </w:pPr>
    </w:p>
    <w:p w14:paraId="29DE1080" w14:textId="77777777" w:rsidR="00DD3C23" w:rsidRDefault="00DD3C23" w:rsidP="00DD3C23">
      <w:pPr>
        <w:spacing w:after="0" w:line="276" w:lineRule="auto"/>
        <w:jc w:val="both"/>
        <w:rPr>
          <w:rFonts w:ascii="Verdana" w:eastAsia="Calibri" w:hAnsi="Verdana" w:cs="Arial"/>
          <w:lang w:val="es-ES"/>
        </w:rPr>
      </w:pPr>
      <w:r w:rsidRPr="005F1E06">
        <w:rPr>
          <w:rFonts w:ascii="Verdana" w:eastAsia="Calibri" w:hAnsi="Verdana" w:cs="Arial"/>
          <w:lang w:val="es-ES"/>
        </w:rPr>
        <w:t xml:space="preserve">Las respuestas anteriores se sustentan en las siguientes consideraciones: </w:t>
      </w:r>
    </w:p>
    <w:p w14:paraId="472BC981" w14:textId="77777777" w:rsidR="00DD3C23" w:rsidRPr="005F1E06" w:rsidRDefault="00DD3C23" w:rsidP="00DD3C23">
      <w:pPr>
        <w:spacing w:after="0" w:line="276" w:lineRule="auto"/>
        <w:jc w:val="both"/>
        <w:rPr>
          <w:rFonts w:ascii="Verdana" w:eastAsia="Calibri" w:hAnsi="Verdana" w:cs="Arial"/>
          <w:lang w:val="es-ES"/>
        </w:rPr>
      </w:pPr>
    </w:p>
    <w:p w14:paraId="75DE2CE2" w14:textId="77777777" w:rsidR="00DD3C23" w:rsidRPr="00BD787A" w:rsidRDefault="00DD3C23" w:rsidP="00DD3C23">
      <w:pPr>
        <w:spacing w:after="120" w:line="276" w:lineRule="auto"/>
        <w:jc w:val="both"/>
        <w:rPr>
          <w:rFonts w:ascii="Verdana" w:hAnsi="Verdana" w:cs="Arial"/>
          <w:color w:val="000000" w:themeColor="text1"/>
          <w:lang w:val="es-ES_tradnl"/>
        </w:rPr>
      </w:pPr>
      <w:bookmarkStart w:id="1" w:name="_Hlk102983874"/>
      <w:bookmarkStart w:id="2" w:name="_Hlk102388095"/>
      <w:r w:rsidRPr="000F1385">
        <w:rPr>
          <w:rFonts w:ascii="Verdana" w:eastAsia="Times New Roman" w:hAnsi="Verdana" w:cs="Arial"/>
          <w:lang w:val="es-ES" w:eastAsia="es-ES"/>
          <w14:ligatures w14:val="standardContextual"/>
        </w:rPr>
        <w:t xml:space="preserve">i. </w:t>
      </w:r>
      <w:r w:rsidRPr="00BD787A">
        <w:rPr>
          <w:rFonts w:ascii="Verdana" w:hAnsi="Verdana" w:cs="Arial"/>
          <w:color w:val="000000" w:themeColor="text1"/>
          <w:lang w:val="es-ES_tradnl"/>
        </w:rPr>
        <w:t xml:space="preserve">Los </w:t>
      </w:r>
      <w:r w:rsidRPr="00BD787A">
        <w:rPr>
          <w:rFonts w:ascii="Verdana" w:hAnsi="Verdana" w:cs="Arial"/>
          <w:i/>
          <w:iCs/>
          <w:color w:val="000000" w:themeColor="text1"/>
          <w:lang w:val="es-ES_tradnl"/>
        </w:rPr>
        <w:t>requisitos habilitantes</w:t>
      </w:r>
      <w:r w:rsidRPr="00BD787A">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BD787A">
        <w:rPr>
          <w:rFonts w:ascii="Verdana" w:hAnsi="Verdana" w:cs="Arial"/>
          <w:i/>
          <w:iCs/>
          <w:color w:val="000000" w:themeColor="text1"/>
          <w:lang w:val="es-ES_tradnl"/>
        </w:rPr>
        <w:t>criterios de evaluación</w:t>
      </w:r>
      <w:r w:rsidRPr="00BD787A">
        <w:rPr>
          <w:rFonts w:ascii="Verdana" w:hAnsi="Verdana" w:cs="Arial"/>
          <w:color w:val="000000" w:themeColor="text1"/>
          <w:lang w:val="es-ES_tradnl"/>
        </w:rPr>
        <w:t xml:space="preserve"> –también conocidos como </w:t>
      </w:r>
      <w:r w:rsidRPr="00BD787A">
        <w:rPr>
          <w:rFonts w:ascii="Verdana" w:hAnsi="Verdana" w:cs="Arial"/>
          <w:i/>
          <w:iCs/>
          <w:color w:val="000000" w:themeColor="text1"/>
          <w:lang w:val="es-ES_tradnl"/>
        </w:rPr>
        <w:t>criterios de calificación</w:t>
      </w:r>
      <w:r w:rsidRPr="00BD787A">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76CBDD4" w14:textId="77777777" w:rsidR="00DD3C23" w:rsidRPr="00BD787A" w:rsidRDefault="00DD3C23" w:rsidP="00DD3C23">
      <w:pPr>
        <w:spacing w:after="120" w:line="276" w:lineRule="auto"/>
        <w:ind w:firstLine="708"/>
        <w:jc w:val="both"/>
        <w:rPr>
          <w:rFonts w:ascii="Verdana" w:hAnsi="Verdana" w:cs="Arial"/>
          <w:color w:val="000000" w:themeColor="text1"/>
          <w:lang w:val="es-ES"/>
        </w:rPr>
      </w:pPr>
      <w:r w:rsidRPr="54A232F0">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51BB653A" w14:textId="77777777" w:rsidR="00DD3C23" w:rsidRPr="00BD787A" w:rsidRDefault="00DD3C23" w:rsidP="00DD3C23">
      <w:pPr>
        <w:spacing w:after="120" w:line="276" w:lineRule="auto"/>
        <w:ind w:firstLine="708"/>
        <w:jc w:val="both"/>
        <w:rPr>
          <w:rFonts w:ascii="Verdana" w:hAnsi="Verdana" w:cs="Arial"/>
          <w:color w:val="000000" w:themeColor="text1"/>
          <w:lang w:val="es-ES_tradnl"/>
        </w:rPr>
      </w:pPr>
      <w:r w:rsidRPr="00BD787A">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BD787A">
        <w:rPr>
          <w:rFonts w:ascii="Verdana" w:hAnsi="Verdana" w:cs="Arial"/>
          <w:i/>
          <w:iCs/>
          <w:color w:val="000000" w:themeColor="text1"/>
          <w:lang w:val="es-ES_tradnl"/>
        </w:rPr>
        <w:t>.</w:t>
      </w:r>
      <w:r w:rsidRPr="00BD787A">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1D273B8A" w14:textId="77777777" w:rsidR="00DD3C23" w:rsidRPr="00BD787A" w:rsidRDefault="00DD3C23" w:rsidP="00DD3C23">
      <w:pPr>
        <w:spacing w:after="0" w:line="276" w:lineRule="auto"/>
        <w:ind w:firstLine="708"/>
        <w:jc w:val="both"/>
        <w:rPr>
          <w:rFonts w:ascii="Verdana" w:hAnsi="Verdana" w:cs="Arial"/>
          <w:color w:val="000000" w:themeColor="text1"/>
          <w:lang w:val="es-ES"/>
        </w:rPr>
      </w:pPr>
      <w:r w:rsidRPr="00BD787A">
        <w:rPr>
          <w:rFonts w:ascii="Verdana" w:hAnsi="Verdana" w:cs="Arial"/>
          <w:color w:val="000000" w:themeColor="text1"/>
          <w:lang w:val="es-ES"/>
        </w:rPr>
        <w:t xml:space="preserve">En especial, el numeral 1º del referido artículo 5 establece que en los procesos de selección de contratistas serán objeto de verificación, como requisitos habilitantes, </w:t>
      </w:r>
      <w:r w:rsidRPr="00BD787A">
        <w:rPr>
          <w:rFonts w:ascii="Verdana" w:hAnsi="Verdana" w:cs="Arial"/>
          <w:i/>
          <w:color w:val="000000" w:themeColor="text1"/>
          <w:lang w:val="es-ES"/>
        </w:rPr>
        <w:t>entre otros</w:t>
      </w:r>
      <w:r w:rsidRPr="00BD787A">
        <w:rPr>
          <w:rFonts w:ascii="Verdana" w:hAnsi="Verdana" w:cs="Arial"/>
          <w:color w:val="000000" w:themeColor="text1"/>
          <w:lang w:val="es-ES"/>
        </w:rPr>
        <w:t xml:space="preserve">, los siguientes: i) la capacidad jurídica; ii) la experiencia; iii) la capacidad financiera y iv) la capacidad de organización. En efecto, la normativa citada prescribe lo siguiente: </w:t>
      </w:r>
    </w:p>
    <w:p w14:paraId="0523CBF8" w14:textId="77777777" w:rsidR="00DD3C23" w:rsidRPr="00BD787A" w:rsidRDefault="00DD3C23" w:rsidP="00DD3C23">
      <w:pPr>
        <w:spacing w:after="0" w:line="276" w:lineRule="auto"/>
        <w:ind w:firstLine="708"/>
        <w:jc w:val="both"/>
        <w:rPr>
          <w:rFonts w:ascii="Verdana" w:hAnsi="Verdana" w:cs="Arial"/>
          <w:color w:val="000000" w:themeColor="text1"/>
        </w:rPr>
      </w:pPr>
    </w:p>
    <w:p w14:paraId="49548A5D" w14:textId="77777777" w:rsidR="00DD3C23" w:rsidRPr="00BD787A" w:rsidRDefault="00DD3C23" w:rsidP="00DD3C23">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i/>
          <w:color w:val="000000" w:themeColor="text1"/>
          <w:sz w:val="20"/>
          <w:szCs w:val="20"/>
          <w:lang w:val="es-ES_tradnl"/>
        </w:rPr>
        <w:t>“</w:t>
      </w:r>
      <w:r w:rsidRPr="00BD787A">
        <w:rPr>
          <w:rFonts w:ascii="Verdana" w:hAnsi="Verdana" w:cs="Arial"/>
          <w:color w:val="000000" w:themeColor="text1"/>
          <w:sz w:val="20"/>
          <w:szCs w:val="20"/>
          <w:lang w:val="es-ES_tradnl"/>
        </w:rPr>
        <w:t xml:space="preserve">Artículo 5. De la Selección Objetiva. </w:t>
      </w:r>
    </w:p>
    <w:p w14:paraId="4B4CDE23" w14:textId="77777777" w:rsidR="00DD3C23" w:rsidRPr="00BD787A" w:rsidRDefault="00DD3C23" w:rsidP="00DD3C23">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color w:val="000000" w:themeColor="text1"/>
          <w:sz w:val="20"/>
          <w:szCs w:val="20"/>
          <w:lang w:val="es-ES_tradnl"/>
        </w:rPr>
        <w:t>[…]</w:t>
      </w:r>
    </w:p>
    <w:p w14:paraId="5EF2C213" w14:textId="77777777" w:rsidR="00DD3C23" w:rsidRPr="00BD787A" w:rsidRDefault="00DD3C23" w:rsidP="00DD3C23">
      <w:pPr>
        <w:spacing w:after="0" w:line="240" w:lineRule="auto"/>
        <w:ind w:left="709" w:right="709"/>
        <w:contextualSpacing/>
        <w:jc w:val="both"/>
        <w:rPr>
          <w:rFonts w:ascii="Verdana" w:eastAsia="Calibri" w:hAnsi="Verdana" w:cs="Arial"/>
          <w:color w:val="000000" w:themeColor="text1"/>
          <w:sz w:val="20"/>
          <w:szCs w:val="20"/>
          <w:lang w:val="es-ES"/>
        </w:rPr>
      </w:pPr>
      <w:r w:rsidRPr="00BD787A">
        <w:rPr>
          <w:rFonts w:ascii="Verdana" w:eastAsia="Calibri" w:hAnsi="Verdana" w:cs="Arial"/>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BD787A">
        <w:rPr>
          <w:rFonts w:ascii="Verdana" w:eastAsia="Calibri" w:hAnsi="Verdana" w:cs="Arial"/>
          <w:i/>
          <w:color w:val="000000" w:themeColor="text1"/>
          <w:sz w:val="20"/>
          <w:szCs w:val="20"/>
          <w:lang w:val="es-ES"/>
        </w:rPr>
        <w:t>”</w:t>
      </w:r>
      <w:r w:rsidRPr="00BD787A">
        <w:rPr>
          <w:rFonts w:ascii="Verdana" w:eastAsia="Calibri" w:hAnsi="Verdana" w:cs="Arial"/>
          <w:color w:val="000000" w:themeColor="text1"/>
          <w:sz w:val="20"/>
          <w:szCs w:val="20"/>
          <w:lang w:val="es-ES"/>
        </w:rPr>
        <w:t>.</w:t>
      </w:r>
    </w:p>
    <w:p w14:paraId="220C392E" w14:textId="77777777" w:rsidR="00DD3C23" w:rsidRPr="00BD787A" w:rsidRDefault="00DD3C23" w:rsidP="00DD3C23">
      <w:pPr>
        <w:spacing w:after="0" w:line="276" w:lineRule="auto"/>
        <w:ind w:right="709"/>
        <w:jc w:val="both"/>
        <w:rPr>
          <w:rFonts w:ascii="Verdana" w:eastAsia="Calibri" w:hAnsi="Verdana" w:cs="Arial"/>
          <w:color w:val="000000" w:themeColor="text1"/>
          <w:lang w:val="es-ES_tradnl"/>
        </w:rPr>
      </w:pPr>
    </w:p>
    <w:p w14:paraId="49FA713A" w14:textId="77777777" w:rsidR="00DD3C23" w:rsidRPr="00E7745C" w:rsidRDefault="00DD3C23" w:rsidP="00DD3C23">
      <w:pPr>
        <w:spacing w:after="120" w:line="276" w:lineRule="auto"/>
        <w:ind w:firstLine="708"/>
        <w:jc w:val="both"/>
        <w:rPr>
          <w:rFonts w:ascii="Verdana" w:eastAsia="Calibri" w:hAnsi="Verdana" w:cs="Arial"/>
          <w:lang w:val="es-ES" w:eastAsia="es-MX"/>
        </w:rPr>
      </w:pPr>
      <w:r w:rsidRPr="00E7745C">
        <w:rPr>
          <w:rFonts w:ascii="Verdana" w:hAnsi="Verdana"/>
        </w:rPr>
        <w:t>Ahora bien, 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E7745C">
        <w:rPr>
          <w:rStyle w:val="Refdenotaalpie"/>
          <w:rFonts w:ascii="Verdana" w:eastAsia="Calibri" w:hAnsi="Verdana"/>
          <w:lang w:val="es-ES"/>
        </w:rPr>
        <w:footnoteReference w:id="2"/>
      </w:r>
      <w:r w:rsidRPr="00E7745C">
        <w:rPr>
          <w:rFonts w:ascii="Verdana" w:hAnsi="Verdana"/>
        </w:rPr>
        <w:t xml:space="preserve">”. En dicho registro constará la información relacionada previamente con la experiencia, capacidad jurídica, financiera y de organización del proponente y su clasificación la cual ha tenido que ser acreditada con certificaciones y soportes ante las Cámaras de Comercio para que se surta su inscripción. Estos soportes en el caso de la experiencia igual podrán provenir de empresas nacionales o extranjeras, entidades públicas o privadas.  </w:t>
      </w:r>
    </w:p>
    <w:p w14:paraId="27D69DE8" w14:textId="77777777" w:rsidR="00DD3C23" w:rsidRPr="00E7745C" w:rsidRDefault="00DD3C23" w:rsidP="00DD3C23">
      <w:pPr>
        <w:spacing w:after="120" w:line="276" w:lineRule="auto"/>
        <w:ind w:firstLine="708"/>
        <w:jc w:val="both"/>
        <w:rPr>
          <w:rFonts w:ascii="Verdana" w:eastAsia="Calibri" w:hAnsi="Verdana" w:cs="Arial"/>
          <w:lang w:val="es-ES" w:eastAsia="es-MX"/>
        </w:rPr>
      </w:pPr>
      <w:r w:rsidRPr="00E7745C">
        <w:rPr>
          <w:rFonts w:ascii="Verdana" w:hAnsi="Verdana"/>
        </w:rPr>
        <w:t xml:space="preserve">No obstante lo anterior, la norma ibídem también prescribe que </w:t>
      </w:r>
      <w:r w:rsidRPr="00E7745C">
        <w:rPr>
          <w:rFonts w:ascii="Verdana" w:hAnsi="Verdana"/>
          <w:i/>
          <w:iCs/>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F748CF8" w14:textId="77777777" w:rsidR="00DD3C23" w:rsidRPr="00E56EC1" w:rsidRDefault="00DD3C23" w:rsidP="00DD3C23">
      <w:pPr>
        <w:spacing w:after="120" w:line="276" w:lineRule="auto"/>
        <w:ind w:firstLine="709"/>
        <w:jc w:val="both"/>
        <w:rPr>
          <w:rFonts w:ascii="Verdana" w:eastAsia="Calibri" w:hAnsi="Verdana"/>
        </w:rPr>
      </w:pPr>
      <w:r w:rsidRPr="00E7745C">
        <w:rPr>
          <w:rFonts w:ascii="Verdana" w:eastAsia="Calibri" w:hAnsi="Verdana"/>
        </w:rPr>
        <w:t>Por lo tanto,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enumeró las excepciones en las cuales las entidades tienen la obligación de verificar los requisitos habilitantes de los proponentes</w:t>
      </w:r>
      <w:r w:rsidRPr="00E7745C">
        <w:rPr>
          <w:rStyle w:val="Refdenotaalpie"/>
          <w:rFonts w:ascii="Verdana" w:eastAsia="Calibri" w:hAnsi="Verdana"/>
        </w:rPr>
        <w:footnoteReference w:id="3"/>
      </w:r>
      <w:r w:rsidRPr="00E7745C">
        <w:rPr>
          <w:rFonts w:ascii="Verdana" w:eastAsia="Calibri" w:hAnsi="Verdana"/>
        </w:rPr>
        <w:t>.</w:t>
      </w:r>
    </w:p>
    <w:p w14:paraId="6550EF11" w14:textId="77777777" w:rsidR="00DD3C23" w:rsidRPr="00E7745C" w:rsidRDefault="00DD3C23" w:rsidP="00DD3C23">
      <w:pPr>
        <w:spacing w:after="120" w:line="276" w:lineRule="auto"/>
        <w:ind w:firstLine="709"/>
        <w:jc w:val="both"/>
        <w:rPr>
          <w:rFonts w:ascii="Verdana" w:eastAsia="Times New Roman" w:hAnsi="Verdana" w:cs="Arial"/>
          <w:lang w:eastAsia="es-CO"/>
        </w:rPr>
      </w:pPr>
      <w:bookmarkStart w:id="3" w:name="_Hlk99548176"/>
      <w:r w:rsidRPr="00E7745C">
        <w:rPr>
          <w:rFonts w:ascii="Verdana" w:hAnsi="Verdana" w:cs="Arial"/>
          <w:lang w:val="es-ES"/>
        </w:rPr>
        <w:t xml:space="preserve">Con base en lo anterior, </w:t>
      </w:r>
      <w:r w:rsidRPr="00E7745C">
        <w:rPr>
          <w:rFonts w:ascii="Verdana" w:eastAsia="Times New Roman" w:hAnsi="Verdana" w:cs="Arial"/>
          <w:lang w:eastAsia="es-CO"/>
        </w:rPr>
        <w:t>para acreditar el cumplimiento de los requisitos habilitantes, las entidades estatales sometidas al Estatuto General de Contratación de la Administración Pública -EGCAP-,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E7745C">
        <w:rPr>
          <w:rFonts w:ascii="Verdana" w:eastAsia="Times New Roman" w:hAnsi="Verdana" w:cs="Times New Roman"/>
          <w:vertAlign w:val="superscript"/>
          <w:lang w:eastAsia="es-CO"/>
        </w:rPr>
        <w:footnoteReference w:id="4"/>
      </w:r>
      <w:r w:rsidRPr="00E7745C">
        <w:rPr>
          <w:rFonts w:ascii="Verdana" w:eastAsia="Times New Roman" w:hAnsi="Verdana" w:cs="Arial"/>
          <w:lang w:eastAsia="es-CO"/>
        </w:rPr>
        <w:t>,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w:t>
      </w:r>
    </w:p>
    <w:bookmarkEnd w:id="3"/>
    <w:p w14:paraId="6CF04B72" w14:textId="77777777" w:rsidR="00DD3C23" w:rsidRPr="00E7745C" w:rsidRDefault="00DD3C23" w:rsidP="00DD3C23">
      <w:pPr>
        <w:spacing w:after="120" w:line="276" w:lineRule="auto"/>
        <w:ind w:firstLine="708"/>
        <w:jc w:val="both"/>
        <w:rPr>
          <w:rFonts w:ascii="Verdana" w:eastAsia="Times New Roman" w:hAnsi="Verdana" w:cs="Arial"/>
          <w:lang w:eastAsia="es-CO"/>
        </w:rPr>
      </w:pPr>
      <w:r w:rsidRPr="00E7745C">
        <w:rPr>
          <w:rFonts w:ascii="Verdana" w:eastAsia="Times New Roman" w:hAnsi="Verdana" w:cs="Arial"/>
          <w:lang w:eastAsia="es-CO"/>
        </w:rPr>
        <w:t>Dicha información debe tenerse en cuenta por las entidades en los procedimientos de contratación en los que es exigible el RUP. Así las cosas, los requisitos habilitantes deberán ser verificad</w:t>
      </w:r>
      <w:r>
        <w:rPr>
          <w:rFonts w:ascii="Verdana" w:eastAsia="Times New Roman" w:hAnsi="Verdana" w:cs="Arial"/>
          <w:lang w:eastAsia="es-CO"/>
        </w:rPr>
        <w:t>o</w:t>
      </w:r>
      <w:r w:rsidRPr="00E7745C">
        <w:rPr>
          <w:rFonts w:ascii="Verdana" w:eastAsia="Times New Roman" w:hAnsi="Verdana" w:cs="Arial"/>
          <w:lang w:eastAsia="es-CO"/>
        </w:rPr>
        <w:t>s exclusivamente a través del Registro Único de Proponentes, pues de acuerdo con lo expuesto, este documento es plena prueba de la información financiera, de experiencia y de capacidad acreditada por la persona natural o jurídica</w:t>
      </w:r>
      <w:r w:rsidRPr="00E7745C">
        <w:rPr>
          <w:rFonts w:ascii="Verdana" w:eastAsia="Times New Roman" w:hAnsi="Verdana" w:cs="Arial"/>
          <w:vertAlign w:val="superscript"/>
          <w:lang w:eastAsia="es-CO"/>
        </w:rPr>
        <w:footnoteReference w:id="5"/>
      </w:r>
      <w:r w:rsidRPr="00E7745C">
        <w:rPr>
          <w:rFonts w:ascii="Verdana" w:eastAsia="Times New Roman" w:hAnsi="Verdana" w:cs="Arial"/>
          <w:lang w:eastAsia="es-CO"/>
        </w:rPr>
        <w:t>.</w:t>
      </w:r>
    </w:p>
    <w:p w14:paraId="598B404F" w14:textId="77777777" w:rsidR="00DD3C23" w:rsidRPr="00E7745C" w:rsidRDefault="00DD3C23" w:rsidP="00DD3C23">
      <w:pPr>
        <w:spacing w:after="120" w:line="276" w:lineRule="auto"/>
        <w:ind w:firstLine="709"/>
        <w:jc w:val="both"/>
        <w:rPr>
          <w:rFonts w:ascii="Verdana" w:eastAsia="Times New Roman" w:hAnsi="Verdana" w:cs="Arial"/>
          <w:lang w:eastAsia="es-CO"/>
        </w:rPr>
      </w:pPr>
      <w:bookmarkStart w:id="4" w:name="_Hlk99548308"/>
      <w:r w:rsidRPr="00E7745C">
        <w:rPr>
          <w:rFonts w:ascii="Verdana" w:eastAsia="Times New Roman" w:hAnsi="Verdana" w:cs="Arial"/>
          <w:lang w:eastAsia="es-CO"/>
        </w:rPr>
        <w:t>Debe anotarse que el RUP no es exigible en algunos procedimientos de contratación atrás enunciados, razón por la cual las entidades estatales deben verificar directamente el cumplimiento de los requisitos habilitantes</w:t>
      </w:r>
      <w:bookmarkEnd w:id="4"/>
      <w:r w:rsidRPr="00E7745C">
        <w:rPr>
          <w:rFonts w:ascii="Verdana" w:eastAsia="Times New Roman" w:hAnsi="Verdana" w:cs="Arial"/>
          <w:vertAlign w:val="superscript"/>
          <w:lang w:eastAsia="es-CO"/>
        </w:rPr>
        <w:footnoteReference w:id="6"/>
      </w:r>
      <w:r w:rsidRPr="00E7745C">
        <w:rPr>
          <w:rFonts w:ascii="Verdana" w:eastAsia="Times New Roman" w:hAnsi="Verdana" w:cs="Arial"/>
          <w:lang w:eastAsia="es-CO"/>
        </w:rPr>
        <w:t xml:space="preserve">. </w:t>
      </w:r>
      <w:r w:rsidRPr="00E7745C">
        <w:rPr>
          <w:rFonts w:ascii="Verdana" w:eastAsia="Times New Roman" w:hAnsi="Verdana" w:cs="Arial"/>
          <w:lang w:val="es-ES_tradnl" w:eastAsia="es-CO"/>
        </w:rPr>
        <w:t xml:space="preserve">Estas excepciones son taxativas y se rigen por una interpretación restrictiva. Así lo dispone el artículo </w:t>
      </w:r>
      <w:bookmarkStart w:id="5" w:name="_Hlk190870073"/>
      <w:r w:rsidRPr="00E7745C">
        <w:rPr>
          <w:rFonts w:ascii="Verdana" w:eastAsia="Times New Roman" w:hAnsi="Verdana" w:cs="Arial"/>
          <w:lang w:val="es-ES_tradnl" w:eastAsia="es-CO"/>
        </w:rPr>
        <w:t>2.2.1.1.1.5.1. del Decreto 1082 de 2015</w:t>
      </w:r>
      <w:bookmarkEnd w:id="5"/>
      <w:r w:rsidRPr="00E7745C">
        <w:rPr>
          <w:rFonts w:ascii="Verdana" w:eastAsia="Times New Roman" w:hAnsi="Verdana" w:cs="Arial"/>
          <w:lang w:val="es-ES_tradnl" w:eastAsia="es-CO"/>
        </w:rPr>
        <w:t xml:space="preserve">, al prescribir que la inscripción en el RUP es imperativa para los sujetos mencionados en el primer inciso del artículo 6 de la Ley 1150 de 2007, salvo las excepciones previstas de forma taxativa en la ley. </w:t>
      </w:r>
      <w:r w:rsidRPr="00E7745C">
        <w:rPr>
          <w:rFonts w:ascii="Verdana" w:eastAsia="Times New Roman" w:hAnsi="Verdana" w:cs="Arial"/>
          <w:lang w:eastAsia="es-CO"/>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E7745C">
        <w:rPr>
          <w:rFonts w:ascii="Verdana" w:eastAsia="Times New Roman" w:hAnsi="Verdana" w:cs="Arial"/>
          <w:vertAlign w:val="superscript"/>
          <w:lang w:eastAsia="es-CO"/>
        </w:rPr>
        <w:footnoteReference w:id="7"/>
      </w:r>
      <w:r w:rsidRPr="00E7745C">
        <w:rPr>
          <w:rFonts w:ascii="Verdana" w:eastAsia="Times New Roman" w:hAnsi="Verdana" w:cs="Arial"/>
          <w:lang w:eastAsia="es-CO"/>
        </w:rPr>
        <w:t>.</w:t>
      </w:r>
    </w:p>
    <w:p w14:paraId="4E2F061E" w14:textId="77777777" w:rsidR="00DD3C23" w:rsidRPr="00E7745C" w:rsidRDefault="00DD3C23" w:rsidP="00DD3C23">
      <w:pPr>
        <w:spacing w:after="120" w:line="276" w:lineRule="auto"/>
        <w:ind w:firstLine="709"/>
        <w:jc w:val="both"/>
        <w:rPr>
          <w:rFonts w:ascii="Verdana" w:eastAsia="Calibri" w:hAnsi="Verdana" w:cs="Arial"/>
          <w:lang w:eastAsia="es-CO"/>
        </w:rPr>
      </w:pPr>
      <w:bookmarkStart w:id="6" w:name="_Hlk63643037"/>
      <w:r w:rsidRPr="00E7745C">
        <w:rPr>
          <w:rFonts w:ascii="Verdana" w:eastAsia="Calibri" w:hAnsi="Verdana" w:cs="Arial"/>
          <w:lang w:eastAsia="es-CO"/>
        </w:rPr>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E7745C">
        <w:rPr>
          <w:rFonts w:ascii="Verdana" w:eastAsia="Calibri" w:hAnsi="Verdana" w:cs="Arial"/>
          <w:vertAlign w:val="superscript"/>
          <w:lang w:eastAsia="es-CO"/>
        </w:rPr>
        <w:footnoteReference w:id="8"/>
      </w:r>
      <w:r w:rsidRPr="00E7745C">
        <w:rPr>
          <w:rFonts w:ascii="Verdana" w:eastAsia="Calibri" w:hAnsi="Verdana" w:cs="Arial"/>
          <w:lang w:eastAsia="es-CO"/>
        </w:rPr>
        <w:t xml:space="preserve">.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qué documentos son adecuados y proporcionales para verificar el requisito de experiencia establecido. </w:t>
      </w:r>
    </w:p>
    <w:bookmarkEnd w:id="6"/>
    <w:p w14:paraId="7D0A8A8E" w14:textId="77777777" w:rsidR="00DD3C23" w:rsidRPr="000F1385" w:rsidRDefault="00DD3C23" w:rsidP="00DD3C23">
      <w:pPr>
        <w:widowControl w:val="0"/>
        <w:autoSpaceDE w:val="0"/>
        <w:autoSpaceDN w:val="0"/>
        <w:spacing w:after="0" w:line="276" w:lineRule="auto"/>
        <w:ind w:right="102" w:firstLine="607"/>
        <w:jc w:val="both"/>
        <w:rPr>
          <w:rFonts w:ascii="Verdana" w:eastAsia="Times New Roman" w:hAnsi="Verdana" w:cs="Arial"/>
        </w:rPr>
      </w:pPr>
      <w:r w:rsidRPr="000F1385">
        <w:rPr>
          <w:rFonts w:ascii="Verdana" w:eastAsia="Times New Roman" w:hAnsi="Verdana" w:cs="Arial"/>
          <w:lang w:val="es-ES"/>
        </w:rPr>
        <w:t xml:space="preserve">Al respecto, </w:t>
      </w:r>
      <w:r w:rsidRPr="000F1385">
        <w:rPr>
          <w:rFonts w:ascii="Verdana" w:eastAsia="Times New Roman" w:hAnsi="Verdana" w:cs="Arial"/>
        </w:rPr>
        <w:t>la Agencia Nacional de Contratación Pública - Colombia Compra Eficiente puso a disposición de los interesados del sistema de compra pública el “Manual para determinar y verificar requisitos habilitantes en los procesos de contratación”</w:t>
      </w:r>
      <w:r w:rsidRPr="000F1385">
        <w:rPr>
          <w:rFonts w:ascii="Verdana" w:eastAsia="Times New Roman" w:hAnsi="Verdana" w:cs="Arial"/>
          <w:vertAlign w:val="superscript"/>
        </w:rPr>
        <w:footnoteReference w:id="9"/>
      </w:r>
      <w:r w:rsidRPr="000F1385">
        <w:rPr>
          <w:rFonts w:ascii="Verdana" w:eastAsia="Times New Roman" w:hAnsi="Verdana" w:cs="Arial"/>
        </w:rPr>
        <w:t xml:space="preserve">, y en este de forma particular, se establecen una serie </w:t>
      </w:r>
      <w:r>
        <w:rPr>
          <w:rFonts w:ascii="Verdana" w:eastAsia="Times New Roman" w:hAnsi="Verdana" w:cs="Arial"/>
        </w:rPr>
        <w:t>de características que deben observarse</w:t>
      </w:r>
      <w:r w:rsidRPr="000F1385">
        <w:rPr>
          <w:rFonts w:ascii="Verdana" w:eastAsia="Times New Roman" w:hAnsi="Verdana" w:cs="Arial"/>
        </w:rPr>
        <w:t xml:space="preserve"> por parte de las entidades al establecer en sus invitaciones o pliego de condiciones los requerimientos o condiciones necesarias para poder llevar a cabo su verificación, como se detalla a continuación: </w:t>
      </w:r>
    </w:p>
    <w:p w14:paraId="18726BBD" w14:textId="77777777" w:rsidR="00DD3C23" w:rsidRPr="000F1385" w:rsidRDefault="00DD3C23" w:rsidP="00DD3C23">
      <w:pPr>
        <w:widowControl w:val="0"/>
        <w:autoSpaceDE w:val="0"/>
        <w:autoSpaceDN w:val="0"/>
        <w:spacing w:after="0" w:line="276" w:lineRule="auto"/>
        <w:ind w:right="102" w:firstLine="607"/>
        <w:jc w:val="both"/>
        <w:rPr>
          <w:rFonts w:ascii="Verdana" w:eastAsia="Times New Roman" w:hAnsi="Verdana" w:cs="Arial"/>
        </w:rPr>
      </w:pPr>
    </w:p>
    <w:p w14:paraId="789BF8C4" w14:textId="77777777" w:rsidR="00DD3C23" w:rsidRPr="005E450D" w:rsidRDefault="00DD3C23" w:rsidP="00DD3C23">
      <w:pPr>
        <w:widowControl w:val="0"/>
        <w:autoSpaceDE w:val="0"/>
        <w:autoSpaceDN w:val="0"/>
        <w:spacing w:after="0" w:line="240" w:lineRule="auto"/>
        <w:ind w:left="709" w:right="709"/>
        <w:jc w:val="both"/>
        <w:rPr>
          <w:rFonts w:ascii="Verdana" w:eastAsia="Times New Roman" w:hAnsi="Verdana" w:cs="Arial"/>
          <w:sz w:val="20"/>
          <w:szCs w:val="20"/>
        </w:rPr>
      </w:pPr>
      <w:r w:rsidRPr="005E450D">
        <w:rPr>
          <w:rFonts w:ascii="Verdana" w:eastAsia="Times New Roman" w:hAnsi="Verdana" w:cs="Arial"/>
          <w:sz w:val="20"/>
          <w:szCs w:val="20"/>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5E450D">
        <w:rPr>
          <w:rFonts w:ascii="Verdana" w:eastAsia="Times New Roman" w:hAnsi="Verdana" w:cs="Arial"/>
          <w:sz w:val="20"/>
          <w:szCs w:val="20"/>
          <w:vertAlign w:val="superscript"/>
        </w:rPr>
        <w:footnoteReference w:id="10"/>
      </w:r>
      <w:r w:rsidRPr="005E450D">
        <w:rPr>
          <w:rFonts w:ascii="Verdana" w:eastAsia="Times New Roman" w:hAnsi="Verdana" w:cs="Arial"/>
          <w:sz w:val="20"/>
          <w:szCs w:val="20"/>
        </w:rPr>
        <w:t xml:space="preserve">.  </w:t>
      </w:r>
    </w:p>
    <w:p w14:paraId="12A35F82" w14:textId="77777777" w:rsidR="00DD3C23" w:rsidRPr="000F1385" w:rsidRDefault="00DD3C23" w:rsidP="00DD3C23">
      <w:pPr>
        <w:widowControl w:val="0"/>
        <w:autoSpaceDE w:val="0"/>
        <w:autoSpaceDN w:val="0"/>
        <w:spacing w:after="0" w:line="240" w:lineRule="auto"/>
        <w:ind w:left="709" w:right="709"/>
        <w:jc w:val="both"/>
        <w:rPr>
          <w:rFonts w:ascii="Verdana" w:eastAsia="Times New Roman" w:hAnsi="Verdana" w:cs="Arial"/>
          <w:sz w:val="21"/>
          <w:szCs w:val="21"/>
        </w:rPr>
      </w:pPr>
    </w:p>
    <w:p w14:paraId="2093ABB6" w14:textId="77777777" w:rsidR="00DD3C23" w:rsidRDefault="00DD3C23" w:rsidP="00DD3C23">
      <w:pPr>
        <w:widowControl w:val="0"/>
        <w:autoSpaceDE w:val="0"/>
        <w:autoSpaceDN w:val="0"/>
        <w:spacing w:after="120" w:line="276" w:lineRule="auto"/>
        <w:ind w:right="102" w:firstLine="607"/>
        <w:jc w:val="both"/>
        <w:rPr>
          <w:rFonts w:ascii="Verdana" w:eastAsia="Calibri" w:hAnsi="Verdana" w:cs="Arial"/>
          <w:lang w:eastAsia="es-CO"/>
        </w:rPr>
      </w:pPr>
      <w:r w:rsidRPr="000F1385">
        <w:rPr>
          <w:rFonts w:ascii="Verdana" w:eastAsia="Times New Roman" w:hAnsi="Verdana" w:cs="Arial"/>
          <w:lang w:val="es-ES"/>
        </w:rPr>
        <w:t>De lo anterior se precisa que las entidades al momento de establecer las condiciones para la verificación de experiencia, debe ser adecuada y proporcional a la naturaleza del contrato respecto</w:t>
      </w:r>
      <w:r>
        <w:rPr>
          <w:rFonts w:ascii="Verdana" w:eastAsia="Times New Roman" w:hAnsi="Verdana" w:cs="Arial"/>
          <w:lang w:val="es-ES"/>
        </w:rPr>
        <w:t xml:space="preserve"> al valor, complejidad y riesgo. Es decir, deben establecerse condiciones de verificación</w:t>
      </w:r>
      <w:r w:rsidRPr="000F1385">
        <w:rPr>
          <w:rFonts w:ascii="Verdana" w:eastAsia="Times New Roman" w:hAnsi="Verdana" w:cs="Arial"/>
          <w:lang w:val="es-ES"/>
        </w:rPr>
        <w:t xml:space="preserve"> </w:t>
      </w:r>
      <w:r>
        <w:rPr>
          <w:rFonts w:ascii="Verdana" w:eastAsia="Times New Roman" w:hAnsi="Verdana" w:cs="Arial"/>
          <w:lang w:val="es-ES"/>
        </w:rPr>
        <w:t xml:space="preserve">que sean similares </w:t>
      </w:r>
      <w:r w:rsidRPr="000F1385">
        <w:rPr>
          <w:rFonts w:ascii="Verdana" w:eastAsia="Times New Roman" w:hAnsi="Verdana" w:cs="Arial"/>
          <w:lang w:val="es-ES"/>
        </w:rPr>
        <w:t xml:space="preserve">a </w:t>
      </w:r>
      <w:r>
        <w:rPr>
          <w:rFonts w:ascii="Verdana" w:eastAsia="Times New Roman" w:hAnsi="Verdana" w:cs="Arial"/>
          <w:lang w:val="es-ES"/>
        </w:rPr>
        <w:t>al objeto del</w:t>
      </w:r>
      <w:r w:rsidRPr="000F1385">
        <w:rPr>
          <w:rFonts w:ascii="Verdana" w:eastAsia="Times New Roman" w:hAnsi="Verdana" w:cs="Arial"/>
          <w:lang w:val="es-ES"/>
        </w:rPr>
        <w:t xml:space="preserve"> proceso de contratación, o se establecieran condiciones de valor que no fueran proporcionales al presupuesto establecido para el futuro contrato. </w:t>
      </w:r>
    </w:p>
    <w:p w14:paraId="5C2F2268" w14:textId="77777777" w:rsidR="00DD3C23" w:rsidRDefault="00DD3C23" w:rsidP="00DD3C23">
      <w:pPr>
        <w:widowControl w:val="0"/>
        <w:autoSpaceDE w:val="0"/>
        <w:autoSpaceDN w:val="0"/>
        <w:spacing w:after="120" w:line="276" w:lineRule="auto"/>
        <w:ind w:right="102"/>
        <w:jc w:val="both"/>
        <w:rPr>
          <w:rFonts w:ascii="Verdana" w:eastAsia="Times New Roman" w:hAnsi="Verdana" w:cs="Arial"/>
          <w:lang w:val="es-ES"/>
        </w:rPr>
      </w:pPr>
      <w:r>
        <w:rPr>
          <w:rFonts w:ascii="Verdana" w:eastAsia="Times New Roman" w:hAnsi="Verdana" w:cs="Arial"/>
          <w:lang w:val="es-ES"/>
        </w:rPr>
        <w:t xml:space="preserve">ii. </w:t>
      </w:r>
      <w:r w:rsidRPr="004E1B6E">
        <w:rPr>
          <w:rFonts w:ascii="Verdana" w:eastAsia="Times New Roman" w:hAnsi="Verdana" w:cs="Arial"/>
          <w:lang w:val="es-ES"/>
        </w:rPr>
        <w:t>Teniendo en cuenta el contenido de su consulta es necesario referirse a la acreditación del requisito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Style w:val="Refdenotaalpie"/>
          <w:rFonts w:ascii="Verdana" w:eastAsia="Times New Roman" w:hAnsi="Verdana" w:cs="Arial"/>
          <w:lang w:val="es-ES"/>
        </w:rPr>
        <w:footnoteReference w:id="11"/>
      </w:r>
      <w:r w:rsidRPr="004E1B6E">
        <w:rPr>
          <w:rFonts w:ascii="Verdana" w:eastAsia="Times New Roman" w:hAnsi="Verdana" w:cs="Arial"/>
          <w:lang w:val="es-ES"/>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1747DFF4" w14:textId="77777777" w:rsidR="00DD3C23" w:rsidRDefault="00DD3C23" w:rsidP="00DD3C23">
      <w:pPr>
        <w:widowControl w:val="0"/>
        <w:autoSpaceDE w:val="0"/>
        <w:autoSpaceDN w:val="0"/>
        <w:spacing w:after="120" w:line="276" w:lineRule="auto"/>
        <w:ind w:right="102" w:firstLine="708"/>
        <w:jc w:val="both"/>
        <w:rPr>
          <w:rFonts w:ascii="Verdana" w:eastAsia="Times New Roman" w:hAnsi="Verdana" w:cs="Arial"/>
          <w:lang w:val="es-ES"/>
        </w:rPr>
      </w:pPr>
      <w:r w:rsidRPr="004E1B6E">
        <w:rPr>
          <w:rFonts w:ascii="Verdana" w:eastAsia="Times New Roman" w:hAnsi="Verdana" w:cs="Arial"/>
          <w:lang w:val="es-ES"/>
        </w:rPr>
        <w:t>Así las cosas, el requisito habilitante de experiencia en los procesos de selección de contratación estatal está regulado en el artículo 2.2.1.1.1.5.2 del Decreto 1082 de 2015, el cual establece que la experiencia debe ser acreditada mediante contratos que especifiquen su cuantía, permitiendo su valoración en</w:t>
      </w:r>
      <w:r>
        <w:rPr>
          <w:rFonts w:ascii="Verdana" w:eastAsia="Times New Roman" w:hAnsi="Verdana" w:cs="Arial"/>
          <w:lang w:val="es-ES"/>
        </w:rPr>
        <w:t xml:space="preserve"> </w:t>
      </w:r>
      <w:r w:rsidRPr="004E1B6E">
        <w:rPr>
          <w:rFonts w:ascii="Verdana" w:eastAsia="Times New Roman" w:hAnsi="Verdana" w:cs="Arial"/>
          <w:lang w:val="es-ES"/>
        </w:rPr>
        <w:t>salarios mínimos legales mensuales vigentes (SMLMV), conforme a lo exigido en el RUP</w:t>
      </w:r>
      <w:r>
        <w:rPr>
          <w:rFonts w:ascii="Verdana" w:eastAsia="Times New Roman" w:hAnsi="Verdana" w:cs="Arial"/>
          <w:lang w:val="es-ES"/>
        </w:rPr>
        <w:t>.</w:t>
      </w:r>
    </w:p>
    <w:p w14:paraId="3B6743E5" w14:textId="77777777" w:rsidR="00DD3C23" w:rsidRDefault="00DD3C23" w:rsidP="00DD3C23">
      <w:pPr>
        <w:widowControl w:val="0"/>
        <w:autoSpaceDE w:val="0"/>
        <w:autoSpaceDN w:val="0"/>
        <w:spacing w:after="120" w:line="276" w:lineRule="auto"/>
        <w:ind w:right="102" w:firstLine="708"/>
        <w:jc w:val="both"/>
        <w:rPr>
          <w:rFonts w:ascii="Verdana" w:eastAsia="Calibri" w:hAnsi="Verdana" w:cs="Arial"/>
          <w:lang w:eastAsia="es-CO"/>
        </w:rPr>
      </w:pPr>
      <w:r>
        <w:rPr>
          <w:rFonts w:ascii="Verdana" w:eastAsia="Times New Roman" w:hAnsi="Verdana" w:cs="Arial"/>
          <w:lang w:val="es-ES"/>
        </w:rPr>
        <w:t xml:space="preserve">Ahora bien, con respecto a la exigencia de la experiencia expresada en SMMLV, se acude a lo prescrito </w:t>
      </w:r>
      <w:r>
        <w:rPr>
          <w:rFonts w:ascii="Verdana" w:eastAsia="Calibri" w:hAnsi="Verdana" w:cs="Arial"/>
          <w:lang w:eastAsia="es-CO"/>
        </w:rPr>
        <w:t xml:space="preserve">en el </w:t>
      </w:r>
      <w:r>
        <w:rPr>
          <w:rFonts w:ascii="Verdana" w:eastAsia="Calibri" w:hAnsi="Verdana" w:cs="Arial"/>
          <w:bCs/>
          <w:lang w:eastAsia="es-CO"/>
        </w:rPr>
        <w:t>artículo 2.2.1.1.1.5.3. que establece que l</w:t>
      </w:r>
      <w:r w:rsidRPr="00362D47">
        <w:rPr>
          <w:rFonts w:ascii="Verdana" w:eastAsia="Calibri" w:hAnsi="Verdana" w:cs="Arial"/>
          <w:bCs/>
          <w:lang w:eastAsia="es-CO"/>
        </w:rPr>
        <w:t xml:space="preserve">as </w:t>
      </w:r>
      <w:r>
        <w:rPr>
          <w:rFonts w:ascii="Verdana" w:eastAsia="Calibri" w:hAnsi="Verdana" w:cs="Arial"/>
          <w:bCs/>
          <w:lang w:eastAsia="es-CO"/>
        </w:rPr>
        <w:t>C</w:t>
      </w:r>
      <w:r w:rsidRPr="00362D47">
        <w:rPr>
          <w:rFonts w:ascii="Verdana" w:eastAsia="Calibri" w:hAnsi="Verdana" w:cs="Arial"/>
          <w:bCs/>
          <w:lang w:eastAsia="es-CO"/>
        </w:rPr>
        <w:t>ámaras d</w:t>
      </w:r>
      <w:r>
        <w:rPr>
          <w:rFonts w:ascii="Verdana" w:eastAsia="Calibri" w:hAnsi="Verdana" w:cs="Arial"/>
          <w:bCs/>
          <w:lang w:eastAsia="es-CO"/>
        </w:rPr>
        <w:t xml:space="preserve">e Comercio deben verificar y certificar los requisitos habilitantes en el RUP, entre ellas, la experiencia que son aquellos contratos suscritos por el </w:t>
      </w:r>
      <w:r>
        <w:rPr>
          <w:rFonts w:ascii="Verdana" w:eastAsia="Calibri" w:hAnsi="Verdana" w:cs="Arial"/>
        </w:rPr>
        <w:t xml:space="preserve">interesado </w:t>
      </w:r>
      <w:r w:rsidRPr="00793CD1">
        <w:rPr>
          <w:rFonts w:ascii="Verdana" w:eastAsia="Calibri" w:hAnsi="Verdana" w:cs="Arial"/>
        </w:rPr>
        <w:t>para cada uno de los bienes</w:t>
      </w:r>
      <w:r>
        <w:rPr>
          <w:rFonts w:ascii="Verdana" w:eastAsia="Calibri" w:hAnsi="Verdana" w:cs="Arial"/>
        </w:rPr>
        <w:t>, obras y servicios que ofrece</w:t>
      </w:r>
      <w:r w:rsidRPr="00793CD1">
        <w:rPr>
          <w:rFonts w:ascii="Verdana" w:eastAsia="Calibri" w:hAnsi="Verdana" w:cs="Arial"/>
        </w:rPr>
        <w:t xml:space="preserve"> a las Entidades Estatales, identificados con el Clasificador de Bienes y Servicios en el tercer nivel</w:t>
      </w:r>
      <w:r>
        <w:rPr>
          <w:rFonts w:ascii="Verdana" w:eastAsia="Calibri" w:hAnsi="Verdana" w:cs="Arial"/>
        </w:rPr>
        <w:t xml:space="preserve"> y su valor expresado en SMMLV. </w:t>
      </w:r>
      <w:r w:rsidRPr="00793CD1">
        <w:rPr>
          <w:rFonts w:ascii="Verdana" w:eastAsia="Calibri" w:hAnsi="Verdana" w:cs="Arial"/>
          <w:lang w:eastAsia="es-CO"/>
        </w:rPr>
        <w:t>Los contratos celebrados por</w:t>
      </w:r>
      <w:r>
        <w:rPr>
          <w:rFonts w:ascii="Verdana" w:eastAsia="Calibri" w:hAnsi="Verdana" w:cs="Arial"/>
          <w:lang w:eastAsia="es-CO"/>
        </w:rPr>
        <w:t xml:space="preserve"> proponentes plurales, como los</w:t>
      </w:r>
      <w:r w:rsidRPr="00793CD1">
        <w:rPr>
          <w:rFonts w:ascii="Verdana" w:eastAsia="Calibri" w:hAnsi="Verdana" w:cs="Arial"/>
          <w:lang w:eastAsia="es-CO"/>
        </w:rPr>
        <w:t xml:space="preserve"> consorcios, uniones temporales y sociedades en las cuales el interesado tenga o haya tenido participación, para cada uno de los bienes, obras y servicios que ofrecerá a las Entidades Estatales, identificados con el Clasificador de Bienes y Servicios en el tercer nivel</w:t>
      </w:r>
      <w:r>
        <w:rPr>
          <w:rFonts w:ascii="Verdana" w:eastAsia="Calibri" w:hAnsi="Verdana" w:cs="Arial"/>
          <w:lang w:eastAsia="es-CO"/>
        </w:rPr>
        <w:t xml:space="preserve"> y su valor expresado en SMMLV. </w:t>
      </w:r>
      <w:r w:rsidRPr="002C2AB0">
        <w:rPr>
          <w:rFonts w:ascii="Verdana" w:eastAsia="Calibri" w:hAnsi="Verdana" w:cs="Arial"/>
          <w:lang w:val="es-ES_tradnl" w:eastAsia="es-CO"/>
        </w:rPr>
        <w:t xml:space="preserve">Esto significa que </w:t>
      </w:r>
      <w:r w:rsidRPr="002C2AB0">
        <w:rPr>
          <w:rFonts w:ascii="Verdana" w:eastAsia="Calibri" w:hAnsi="Verdana" w:cs="Arial"/>
          <w:lang w:eastAsia="es-CO"/>
        </w:rPr>
        <w:t>la experiencia registrada en el Registro Único de Proponentes (RUP) debe clasificarse conforme a dos criterios esenciales: el objeto del contrato y su valor económico, expresado en salarios mínimos legales mensuales vigentes (SMLMV), lo cual implica que la experiencia acreditada en el RUP debe derivarse de contratos que hayan generado una contraprestación económica, permitiendo su cuantificación.</w:t>
      </w:r>
    </w:p>
    <w:p w14:paraId="03A48123" w14:textId="77777777" w:rsidR="00DD3C23" w:rsidRPr="002C2AB0" w:rsidRDefault="00DD3C23" w:rsidP="00DD3C23">
      <w:pPr>
        <w:widowControl w:val="0"/>
        <w:autoSpaceDE w:val="0"/>
        <w:autoSpaceDN w:val="0"/>
        <w:spacing w:after="120" w:line="276" w:lineRule="auto"/>
        <w:ind w:right="102" w:firstLine="607"/>
        <w:jc w:val="both"/>
        <w:rPr>
          <w:rFonts w:ascii="Verdana" w:eastAsia="Times New Roman" w:hAnsi="Verdana" w:cs="Arial"/>
        </w:rPr>
      </w:pPr>
      <w:r>
        <w:rPr>
          <w:rFonts w:ascii="Verdana" w:eastAsia="Calibri" w:hAnsi="Verdana" w:cs="Arial"/>
          <w:lang w:eastAsia="es-CO"/>
        </w:rPr>
        <w:t xml:space="preserve">Esta exigencia de la experiencia hechas por las Cámaras de Comercio implica que la experiencia que establezca las entidades estatales en procesos de contratación, donde sea obligatoria el RUP debe ser coherente a esta, es decir, atender a los Códigos de Clasificación de Bienes y Servicios en el tener nivel y su valor cuantificado en SMMLV. </w:t>
      </w:r>
      <w:r>
        <w:rPr>
          <w:rFonts w:ascii="Verdana" w:eastAsia="Times New Roman" w:hAnsi="Verdana" w:cs="Arial"/>
          <w:lang w:val="es-ES"/>
        </w:rPr>
        <w:t xml:space="preserve">En estos términos, </w:t>
      </w:r>
      <w:r w:rsidRPr="000F1385">
        <w:rPr>
          <w:rFonts w:ascii="Verdana" w:eastAsia="Times New Roman" w:hAnsi="Verdana" w:cs="Arial"/>
          <w:lang w:val="es-ES"/>
        </w:rPr>
        <w:t xml:space="preserve">para efectos de evaluar la experiencia en los pliegos de condiciones, </w:t>
      </w:r>
      <w:r w:rsidRPr="000F1385">
        <w:rPr>
          <w:rFonts w:ascii="Verdana" w:eastAsia="Times New Roman" w:hAnsi="Verdana" w:cs="Arial"/>
          <w:lang w:val="es-ES_tradnl"/>
        </w:rPr>
        <w:t>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r>
        <w:rPr>
          <w:rFonts w:ascii="Verdana" w:eastAsia="Times New Roman" w:hAnsi="Verdana" w:cs="Arial"/>
          <w:lang w:val="es-ES_tradnl"/>
        </w:rPr>
        <w:t xml:space="preserve"> expresada en SMMLV</w:t>
      </w:r>
      <w:r w:rsidRPr="000F1385">
        <w:rPr>
          <w:rFonts w:ascii="Verdana" w:eastAsia="Times New Roman" w:hAnsi="Verdana" w:cs="Arial"/>
          <w:lang w:val="es-ES_tradnl"/>
        </w:rPr>
        <w:t>.</w:t>
      </w:r>
      <w:r>
        <w:rPr>
          <w:rFonts w:ascii="Verdana" w:eastAsia="Times New Roman" w:hAnsi="Verdana" w:cs="Arial"/>
          <w:lang w:val="es-ES_tradnl"/>
        </w:rPr>
        <w:t xml:space="preserve"> </w:t>
      </w:r>
    </w:p>
    <w:p w14:paraId="58FAC021" w14:textId="77777777" w:rsidR="00DD3C23" w:rsidRPr="007F10D6" w:rsidRDefault="00DD3C23" w:rsidP="00DD3C23">
      <w:pPr>
        <w:widowControl w:val="0"/>
        <w:autoSpaceDE w:val="0"/>
        <w:autoSpaceDN w:val="0"/>
        <w:spacing w:before="120" w:after="120" w:line="276" w:lineRule="auto"/>
        <w:ind w:right="102" w:firstLine="607"/>
        <w:jc w:val="both"/>
        <w:rPr>
          <w:rFonts w:ascii="Verdana" w:eastAsia="Times New Roman" w:hAnsi="Verdana" w:cs="Arial"/>
        </w:rPr>
      </w:pPr>
      <w:r>
        <w:rPr>
          <w:rFonts w:ascii="Verdana" w:eastAsia="Times New Roman" w:hAnsi="Verdana" w:cs="Arial"/>
        </w:rPr>
        <w:t>En torno a la necesidad de que la experiencia contractual sea expresada</w:t>
      </w:r>
      <w:r w:rsidRPr="007F10D6">
        <w:rPr>
          <w:rFonts w:ascii="Verdana" w:eastAsia="Times New Roman" w:hAnsi="Verdana" w:cs="Arial"/>
        </w:rPr>
        <w:t xml:space="preserve"> salarios mínimos mensuales lega</w:t>
      </w:r>
      <w:r>
        <w:rPr>
          <w:rFonts w:ascii="Verdana" w:eastAsia="Times New Roman" w:hAnsi="Verdana" w:cs="Arial"/>
        </w:rPr>
        <w:t xml:space="preserve">les vigentes (SMLMV) se usa como un parámetro técnico </w:t>
      </w:r>
      <w:r w:rsidRPr="007F10D6">
        <w:rPr>
          <w:rFonts w:ascii="Verdana" w:eastAsia="Times New Roman" w:hAnsi="Verdana" w:cs="Arial"/>
        </w:rPr>
        <w:t>para evaluar y comparar la capacidad de un contratista en proc</w:t>
      </w:r>
      <w:r>
        <w:rPr>
          <w:rFonts w:ascii="Verdana" w:eastAsia="Times New Roman" w:hAnsi="Verdana" w:cs="Arial"/>
        </w:rPr>
        <w:t>esos de contratación estatal, posibilitando establecer</w:t>
      </w:r>
      <w:r w:rsidRPr="007F10D6">
        <w:rPr>
          <w:rFonts w:ascii="Verdana" w:eastAsia="Times New Roman" w:hAnsi="Verdana" w:cs="Arial"/>
        </w:rPr>
        <w:t xml:space="preserve"> un estándar objetivo frente a la fluc</w:t>
      </w:r>
      <w:r>
        <w:rPr>
          <w:rFonts w:ascii="Verdana" w:eastAsia="Times New Roman" w:hAnsi="Verdana" w:cs="Arial"/>
        </w:rPr>
        <w:t>tuación del valor de la moneda dentro del mercado.</w:t>
      </w:r>
      <w:r w:rsidRPr="007F10D6">
        <w:rPr>
          <w:rFonts w:ascii="Verdana" w:eastAsia="Calibri" w:hAnsi="Verdana" w:cs="Arial"/>
          <w:lang w:eastAsia="es-CO"/>
        </w:rPr>
        <w:t xml:space="preserve"> </w:t>
      </w:r>
      <w:r>
        <w:rPr>
          <w:rFonts w:ascii="Verdana" w:eastAsia="Times New Roman" w:hAnsi="Verdana" w:cs="Arial"/>
        </w:rPr>
        <w:t>Esto, facilita la comparación d</w:t>
      </w:r>
      <w:r w:rsidRPr="007F10D6">
        <w:rPr>
          <w:rFonts w:ascii="Verdana" w:eastAsia="Times New Roman" w:hAnsi="Verdana" w:cs="Arial"/>
        </w:rPr>
        <w:t>e manera justa la experiencia de diferentes oferentes, ya que el valor de los SMLMV cambia anualmente, estandarizando la experiencia requerida en un momento determinado.</w:t>
      </w:r>
    </w:p>
    <w:p w14:paraId="26A99678" w14:textId="77777777" w:rsidR="00DD3C23" w:rsidRDefault="00DD3C23" w:rsidP="00DD3C23">
      <w:pPr>
        <w:spacing w:after="120" w:line="276" w:lineRule="auto"/>
        <w:ind w:firstLine="709"/>
        <w:jc w:val="both"/>
        <w:rPr>
          <w:rFonts w:ascii="Verdana" w:eastAsia="Times New Roman" w:hAnsi="Verdana" w:cs="Arial"/>
          <w:u w:val="single"/>
          <w:bdr w:val="none" w:sz="0" w:space="0" w:color="auto" w:frame="1"/>
          <w:lang w:val="es-MX" w:eastAsia="es-CO"/>
        </w:rPr>
      </w:pPr>
      <w:r>
        <w:rPr>
          <w:rFonts w:ascii="Verdana" w:eastAsia="Calibri" w:hAnsi="Verdana" w:cs="Arial"/>
          <w:lang w:val="es-ES_tradnl" w:eastAsia="es-CO"/>
        </w:rPr>
        <w:t>Ahora bien, en los casos que no se exija el RUP</w:t>
      </w:r>
      <w:r>
        <w:rPr>
          <w:rFonts w:ascii="Verdana" w:eastAsia="Calibri" w:hAnsi="Verdana" w:cs="Arial"/>
          <w:lang w:eastAsia="es-CO"/>
        </w:rPr>
        <w:t>, la entidad</w:t>
      </w:r>
      <w:r w:rsidRPr="00E7745C">
        <w:rPr>
          <w:rFonts w:ascii="Verdana" w:eastAsia="Calibri" w:hAnsi="Verdana" w:cs="Arial"/>
          <w:lang w:eastAsia="es-CO"/>
        </w:rPr>
        <w:t xml:space="preserve"> </w:t>
      </w:r>
      <w:r>
        <w:rPr>
          <w:rFonts w:ascii="Verdana" w:eastAsia="Calibri" w:hAnsi="Verdana" w:cs="Arial"/>
          <w:lang w:eastAsia="es-CO"/>
        </w:rPr>
        <w:t xml:space="preserve">si decide establecer </w:t>
      </w:r>
      <w:r w:rsidRPr="007D63DE">
        <w:rPr>
          <w:rFonts w:ascii="Verdana" w:eastAsia="Calibri" w:hAnsi="Verdana" w:cs="Arial"/>
          <w:lang w:eastAsia="es-CO"/>
        </w:rPr>
        <w:t>requisitos ha</w:t>
      </w:r>
      <w:r>
        <w:rPr>
          <w:rFonts w:ascii="Verdana" w:eastAsia="Calibri" w:hAnsi="Verdana" w:cs="Arial"/>
          <w:lang w:eastAsia="es-CO"/>
        </w:rPr>
        <w:t>bilitantes de experiencia, debe</w:t>
      </w:r>
      <w:r w:rsidRPr="007D63DE">
        <w:rPr>
          <w:rFonts w:ascii="Verdana" w:eastAsia="Calibri" w:hAnsi="Verdana" w:cs="Arial"/>
          <w:lang w:eastAsia="es-CO"/>
        </w:rPr>
        <w:t xml:space="preserve"> solicitar la documentación que lo acredite, tales como copias de contratos, actas de recibo a satisfacción, actas de liquidación o certificados expedidos por terceros que hayan recibido del oferente los bienes, obras o servicios objeto del proceso de contratación</w:t>
      </w:r>
      <w:r>
        <w:rPr>
          <w:rFonts w:ascii="Verdana" w:eastAsia="Calibri" w:hAnsi="Verdana" w:cs="Arial"/>
          <w:lang w:eastAsia="es-CO"/>
        </w:rPr>
        <w:t xml:space="preserve">, en la cual podrán definir que la forma de calcular la experiencia sea expresada en SMMLV, lo cual posibilita comparar de manera más ajustada y proporcional a la experiencia de los proponentes. </w:t>
      </w:r>
      <w:r w:rsidRPr="000F1385">
        <w:rPr>
          <w:rFonts w:ascii="Verdana" w:eastAsia="Times New Roman" w:hAnsi="Verdana" w:cs="Arial"/>
          <w:u w:val="single"/>
          <w:bdr w:val="none" w:sz="0" w:space="0" w:color="auto" w:frame="1"/>
          <w:lang w:val="es-MX" w:eastAsia="es-CO"/>
        </w:rPr>
        <w:t xml:space="preserve"> </w:t>
      </w:r>
    </w:p>
    <w:p w14:paraId="52FE4353" w14:textId="77777777" w:rsidR="00DD3C23" w:rsidRPr="00713F08" w:rsidRDefault="00DD3C23" w:rsidP="00DD3C23">
      <w:pPr>
        <w:spacing w:after="120" w:line="276" w:lineRule="auto"/>
        <w:ind w:firstLine="708"/>
        <w:jc w:val="both"/>
        <w:rPr>
          <w:rFonts w:ascii="Verdana" w:hAnsi="Verdana" w:cs="Arial"/>
          <w:bCs/>
          <w:lang w:eastAsia="es-ES" w:bidi="es-ES"/>
        </w:rPr>
      </w:pPr>
      <w:r>
        <w:rPr>
          <w:rFonts w:ascii="Verdana" w:hAnsi="Verdana" w:cs="Arial"/>
          <w:bCs/>
          <w:lang w:eastAsia="es-ES" w:bidi="es-ES"/>
        </w:rPr>
        <w:t>En todo caso, las Entidades Estatales deben establecer</w:t>
      </w:r>
      <w:r w:rsidRPr="00BD787A">
        <w:rPr>
          <w:rFonts w:ascii="Verdana" w:hAnsi="Verdana" w:cs="Arial"/>
          <w:bCs/>
          <w:lang w:eastAsia="es-ES" w:bidi="es-ES"/>
        </w:rPr>
        <w:t xml:space="preserve"> los requisitos habilitantes de forma adecuada y proporcional a la naturaleza y valor del contrato</w:t>
      </w:r>
      <w:r>
        <w:rPr>
          <w:rFonts w:ascii="Verdana" w:hAnsi="Verdana" w:cs="Arial"/>
          <w:bCs/>
          <w:lang w:eastAsia="es-ES" w:bidi="es-ES"/>
        </w:rPr>
        <w:t>, esto es, las condiciones exigidas correspondan a una relación directa con el objeto del contrato, de tal manera, que su acreditación sea congruente para evidenciar que el proponente es idóneo para ejecutar el contrato</w:t>
      </w:r>
      <w:r w:rsidRPr="00BD787A">
        <w:rPr>
          <w:rFonts w:ascii="Verdana" w:hAnsi="Verdana" w:cs="Arial"/>
          <w:bCs/>
          <w:lang w:eastAsia="es-ES" w:bidi="es-ES"/>
        </w:rPr>
        <w:t>.</w:t>
      </w:r>
      <w:r>
        <w:rPr>
          <w:rFonts w:ascii="Verdana" w:hAnsi="Verdana" w:cs="Arial"/>
          <w:bCs/>
          <w:lang w:eastAsia="es-ES" w:bidi="es-ES"/>
        </w:rPr>
        <w:t xml:space="preserve"> Para ello, la Agencia expresa: “</w:t>
      </w:r>
      <w:r>
        <w:rPr>
          <w:rFonts w:ascii="Verdana" w:eastAsia="Times New Roman" w:hAnsi="Verdana" w:cs="Arial"/>
          <w:bCs/>
          <w:lang w:eastAsia="es-MX"/>
        </w:rPr>
        <w:t xml:space="preserve">[…] </w:t>
      </w:r>
      <w:r w:rsidRPr="00BD787A">
        <w:rPr>
          <w:rFonts w:ascii="Verdana" w:hAnsi="Verdana" w:cs="Arial"/>
          <w:bCs/>
          <w:lang w:eastAsia="es-ES" w:bidi="es-ES"/>
        </w:rPr>
        <w:t>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w:t>
      </w:r>
      <w:r>
        <w:rPr>
          <w:rFonts w:ascii="Verdana" w:hAnsi="Verdana" w:cs="Arial"/>
          <w:bCs/>
          <w:lang w:eastAsia="es-ES" w:bidi="es-ES"/>
        </w:rPr>
        <w:t>”</w:t>
      </w:r>
      <w:r>
        <w:rPr>
          <w:rStyle w:val="Refdenotaalpie"/>
          <w:rFonts w:ascii="Verdana" w:hAnsi="Verdana" w:cs="Arial"/>
          <w:bCs/>
          <w:lang w:eastAsia="es-ES" w:bidi="es-ES"/>
        </w:rPr>
        <w:footnoteReference w:id="12"/>
      </w:r>
      <w:r w:rsidRPr="00BD787A">
        <w:rPr>
          <w:rFonts w:ascii="Verdana" w:hAnsi="Verdana" w:cs="Arial"/>
          <w:bCs/>
          <w:lang w:eastAsia="es-ES" w:bidi="es-ES"/>
        </w:rPr>
        <w:t xml:space="preserve">. </w:t>
      </w:r>
      <w:r>
        <w:rPr>
          <w:rFonts w:ascii="Verdana" w:hAnsi="Verdana" w:cs="Arial"/>
          <w:bCs/>
          <w:lang w:eastAsia="es-ES" w:bidi="es-ES"/>
        </w:rPr>
        <w:t xml:space="preserve"> </w:t>
      </w:r>
    </w:p>
    <w:p w14:paraId="7F6996CC" w14:textId="77777777" w:rsidR="00DD3C23" w:rsidRPr="00086DC3" w:rsidRDefault="00DD3C23" w:rsidP="00DD3C23">
      <w:pPr>
        <w:widowControl w:val="0"/>
        <w:autoSpaceDE w:val="0"/>
        <w:autoSpaceDN w:val="0"/>
        <w:spacing w:line="276" w:lineRule="auto"/>
        <w:ind w:firstLine="709"/>
        <w:jc w:val="both"/>
        <w:rPr>
          <w:rFonts w:ascii="Verdana" w:eastAsia="Calibri" w:hAnsi="Verdana" w:cs="Arial"/>
          <w:lang w:val="es-ES"/>
        </w:rPr>
      </w:pPr>
      <w:r w:rsidRPr="00086DC3">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Estatuto General de Contratación de la Administración Pública.  </w:t>
      </w:r>
      <w:r w:rsidRPr="00086DC3">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bookmarkEnd w:id="1"/>
    <w:bookmarkEnd w:id="2"/>
    <w:p w14:paraId="10CB1389" w14:textId="77777777" w:rsidR="00DD3C23" w:rsidRPr="00AF5064" w:rsidRDefault="00DD3C23" w:rsidP="00DD3C23">
      <w:pPr>
        <w:spacing w:after="0" w:line="276" w:lineRule="auto"/>
        <w:jc w:val="both"/>
        <w:rPr>
          <w:rFonts w:ascii="Verdana" w:eastAsia="Century Gothic" w:hAnsi="Verdana" w:cs="Century Gothic"/>
          <w:b/>
          <w:lang w:val="es-ES"/>
        </w:rPr>
      </w:pPr>
      <w:r w:rsidRPr="00AF5064">
        <w:rPr>
          <w:rFonts w:ascii="Verdana" w:eastAsia="Century Gothic" w:hAnsi="Verdana" w:cs="Century Gothic"/>
          <w:b/>
          <w:lang w:val="es-ES"/>
        </w:rPr>
        <w:t>4. Referencias normativas, jurisprudenciales y otras fuentes:</w:t>
      </w:r>
    </w:p>
    <w:p w14:paraId="59B93952" w14:textId="77777777" w:rsidR="00DD3C23" w:rsidRPr="00447B41" w:rsidRDefault="00DD3C23" w:rsidP="00DD3C23">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D3C23" w:rsidRPr="00447B41" w14:paraId="43C16C83" w14:textId="77777777" w:rsidTr="00E56A27">
        <w:trPr>
          <w:trHeight w:val="311"/>
        </w:trPr>
        <w:tc>
          <w:tcPr>
            <w:tcW w:w="8647" w:type="dxa"/>
          </w:tcPr>
          <w:p w14:paraId="31D8F4BA" w14:textId="77777777" w:rsidR="00DD3C23" w:rsidRPr="00C7185D" w:rsidRDefault="00DD3C23" w:rsidP="00E56A27">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712B24">
              <w:rPr>
                <w:rFonts w:ascii="Verdana" w:eastAsia="Arial MT" w:hAnsi="Verdana" w:cs="Arial"/>
                <w:lang w:val="es-ES" w:eastAsia="es-ES" w:bidi="es-ES"/>
              </w:rPr>
              <w:t>Ley 1150 de 2007. Artículo 5 y 6.</w:t>
            </w:r>
          </w:p>
          <w:p w14:paraId="6B3159A9" w14:textId="77777777" w:rsidR="00DD3C23" w:rsidRDefault="00DD3C23" w:rsidP="00E56A27">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712B24">
              <w:rPr>
                <w:rFonts w:ascii="Verdana" w:eastAsia="Arial MT" w:hAnsi="Verdana" w:cs="Arial"/>
                <w:lang w:val="es-ES" w:eastAsia="es-ES" w:bidi="es-ES"/>
              </w:rPr>
              <w:t>Decreto 1082 de 2015. Artículo</w:t>
            </w:r>
            <w:r>
              <w:rPr>
                <w:rFonts w:ascii="Verdana" w:eastAsia="Arial MT" w:hAnsi="Verdana" w:cs="Arial"/>
                <w:lang w:val="es-ES" w:eastAsia="es-ES" w:bidi="es-ES"/>
              </w:rPr>
              <w:t xml:space="preserve"> </w:t>
            </w:r>
            <w:r w:rsidRPr="004D17F3">
              <w:rPr>
                <w:rFonts w:ascii="Verdana" w:hAnsi="Verdana"/>
                <w:lang w:val="es-ES"/>
              </w:rPr>
              <w:t>2.2.1.1.1.3.1,</w:t>
            </w:r>
            <w:r w:rsidRPr="004D17F3">
              <w:rPr>
                <w:rFonts w:ascii="Verdana" w:eastAsia="Times New Roman" w:hAnsi="Verdana" w:cs="Arial"/>
                <w:color w:val="000000" w:themeColor="text1"/>
                <w:lang w:val="es-ES_tradnl" w:eastAsia="es-MX"/>
              </w:rPr>
              <w:t xml:space="preserve"> </w:t>
            </w:r>
            <w:r w:rsidRPr="004D17F3">
              <w:rPr>
                <w:rFonts w:ascii="Verdana" w:hAnsi="Verdana"/>
                <w:lang w:val="es-ES_tradnl"/>
              </w:rPr>
              <w:t>2.2.1.1.1.5.1,</w:t>
            </w:r>
            <w:r w:rsidRPr="004D17F3">
              <w:rPr>
                <w:rFonts w:ascii="Verdana" w:hAnsi="Verdana"/>
                <w:lang w:val="es-ES"/>
              </w:rPr>
              <w:t xml:space="preserve"> </w:t>
            </w:r>
            <w:r w:rsidRPr="004D17F3">
              <w:rPr>
                <w:rFonts w:ascii="Verdana" w:eastAsia="Times New Roman" w:hAnsi="Verdana" w:cs="Arial"/>
                <w:color w:val="000000" w:themeColor="text1"/>
                <w:lang w:val="es-ES_tradnl" w:eastAsia="es-MX"/>
              </w:rPr>
              <w:t xml:space="preserve">2.2.1.1.1.5.2, </w:t>
            </w:r>
            <w:r w:rsidRPr="004D17F3">
              <w:rPr>
                <w:rFonts w:ascii="Verdana" w:eastAsia="Times New Roman" w:hAnsi="Verdana" w:cs="Arial"/>
                <w:color w:val="000000" w:themeColor="text1"/>
                <w:lang w:val="es-ES" w:eastAsia="es-MX"/>
              </w:rPr>
              <w:t xml:space="preserve">2.2.1.1.1.5.3., </w:t>
            </w:r>
            <w:r w:rsidRPr="004D17F3">
              <w:rPr>
                <w:rFonts w:ascii="Verdana" w:eastAsia="Arial MT" w:hAnsi="Verdana" w:cs="Arial"/>
                <w:lang w:val="es-ES"/>
              </w:rPr>
              <w:t>2.2.1.1.1.5.6.</w:t>
            </w:r>
          </w:p>
          <w:p w14:paraId="5F499D48" w14:textId="77777777" w:rsidR="00DD3C23" w:rsidRPr="009F7076" w:rsidRDefault="00DD3C23" w:rsidP="00E56A27">
            <w:pPr>
              <w:widowControl w:val="0"/>
              <w:numPr>
                <w:ilvl w:val="0"/>
                <w:numId w:val="16"/>
              </w:numPr>
              <w:autoSpaceDE w:val="0"/>
              <w:autoSpaceDN w:val="0"/>
              <w:spacing w:line="276" w:lineRule="auto"/>
              <w:contextualSpacing/>
              <w:jc w:val="both"/>
              <w:rPr>
                <w:rFonts w:ascii="Verdana" w:eastAsia="Arial MT" w:hAnsi="Verdana" w:cs="Arial"/>
                <w:sz w:val="32"/>
                <w:szCs w:val="32"/>
                <w:lang w:val="es-ES" w:eastAsia="es-ES" w:bidi="es-ES"/>
              </w:rPr>
            </w:pPr>
            <w:r w:rsidRPr="009F7076">
              <w:rPr>
                <w:rFonts w:ascii="Verdana" w:hAnsi="Verdana" w:cs="Arial"/>
              </w:rPr>
              <w:t>Consejo De Estado. Sección Tercera. Subsección A. Sentencia del 12 de febrero de 2014. Exp. 31.753. C.P. Mauricio Fajardo Gómez</w:t>
            </w:r>
          </w:p>
          <w:p w14:paraId="2623BAC9" w14:textId="77777777" w:rsidR="00DD3C23" w:rsidRPr="00447B41" w:rsidRDefault="00DD3C23" w:rsidP="00E56A27">
            <w:pPr>
              <w:widowControl w:val="0"/>
              <w:numPr>
                <w:ilvl w:val="0"/>
                <w:numId w:val="16"/>
              </w:numPr>
              <w:autoSpaceDE w:val="0"/>
              <w:autoSpaceDN w:val="0"/>
              <w:spacing w:line="276" w:lineRule="auto"/>
              <w:jc w:val="both"/>
              <w:rPr>
                <w:rFonts w:ascii="Verdana" w:eastAsia="Calibri" w:hAnsi="Verdana" w:cs="Arial"/>
                <w:color w:val="EE0000"/>
                <w:lang w:val="es-ES"/>
              </w:rPr>
            </w:pPr>
            <w:r w:rsidRPr="00712B24">
              <w:rPr>
                <w:rFonts w:ascii="Verdana" w:eastAsia="Aptos" w:hAnsi="Verdana" w:cs="Arial"/>
                <w:lang w:val="es-ES_tradnl"/>
              </w:rPr>
              <w:t xml:space="preserve">Agencia Nacional de Contratación Pública – Colombia Compra Eficiente. Manual para determinar y verificar los requisitos habilitantes en los Procesos de Contratación. Disponible en: </w:t>
            </w:r>
            <w:hyperlink r:id="rId12" w:history="1">
              <w:r w:rsidRPr="00712B24">
                <w:rPr>
                  <w:rStyle w:val="Hipervnculo"/>
                  <w:rFonts w:ascii="Verdana" w:hAnsi="Verdana"/>
                </w:rPr>
                <w:t>Manual para determinar y verificar los requisitos habilitantes en los Procesos de Contratación – ANCP Colombia Compra Eficiente</w:t>
              </w:r>
            </w:hyperlink>
          </w:p>
        </w:tc>
      </w:tr>
    </w:tbl>
    <w:p w14:paraId="6E6CBFF8" w14:textId="77777777" w:rsidR="00DD3C23" w:rsidRPr="00447B41" w:rsidRDefault="00DD3C23" w:rsidP="00DD3C23">
      <w:pPr>
        <w:widowControl w:val="0"/>
        <w:autoSpaceDE w:val="0"/>
        <w:autoSpaceDN w:val="0"/>
        <w:spacing w:after="0" w:line="276" w:lineRule="auto"/>
        <w:jc w:val="both"/>
        <w:rPr>
          <w:rFonts w:ascii="Verdana" w:hAnsi="Verdana" w:cs="Arial"/>
          <w:color w:val="EE0000"/>
          <w:lang w:val="es-ES"/>
        </w:rPr>
      </w:pPr>
    </w:p>
    <w:p w14:paraId="5D0D79E3" w14:textId="77777777" w:rsidR="00DD3C23" w:rsidRPr="00AF5064" w:rsidRDefault="00DD3C23" w:rsidP="00DD3C23">
      <w:pPr>
        <w:tabs>
          <w:tab w:val="left" w:pos="142"/>
          <w:tab w:val="left" w:pos="284"/>
        </w:tabs>
        <w:spacing w:after="0" w:line="276" w:lineRule="auto"/>
        <w:jc w:val="both"/>
        <w:rPr>
          <w:rFonts w:ascii="Verdana" w:eastAsia="Century Gothic" w:hAnsi="Verdana" w:cs="Century Gothic"/>
          <w:b/>
          <w:lang w:val="es-ES"/>
        </w:rPr>
      </w:pPr>
      <w:r w:rsidRPr="00AF5064">
        <w:rPr>
          <w:rFonts w:ascii="Verdana" w:eastAsia="Century Gothic" w:hAnsi="Verdana" w:cs="Century Gothic"/>
          <w:b/>
          <w:lang w:val="es-ES"/>
        </w:rPr>
        <w:t>5. Doctrina de la Agencia Nacional de Contratación Pública:</w:t>
      </w:r>
    </w:p>
    <w:p w14:paraId="6909EFC6" w14:textId="77777777" w:rsidR="00DD3C23" w:rsidRPr="00447B41" w:rsidRDefault="00DD3C23" w:rsidP="00DD3C23">
      <w:pPr>
        <w:tabs>
          <w:tab w:val="left" w:pos="142"/>
          <w:tab w:val="left" w:pos="284"/>
        </w:tabs>
        <w:spacing w:after="0" w:line="276" w:lineRule="auto"/>
        <w:jc w:val="both"/>
        <w:rPr>
          <w:rFonts w:ascii="Verdana" w:eastAsia="Century Gothic" w:hAnsi="Verdana" w:cs="Century Gothic"/>
          <w:b/>
          <w:color w:val="EE0000"/>
          <w:lang w:val="es-ES"/>
        </w:rPr>
      </w:pPr>
    </w:p>
    <w:p w14:paraId="3D4077DD" w14:textId="77777777" w:rsidR="00DD3C23" w:rsidRPr="00712B24" w:rsidRDefault="00DD3C23" w:rsidP="00DD3C23">
      <w:pPr>
        <w:spacing w:after="0"/>
        <w:jc w:val="both"/>
        <w:rPr>
          <w:rFonts w:ascii="Verdana" w:hAnsi="Verdana" w:cs="Arial"/>
          <w:color w:val="C45911" w:themeColor="accent2" w:themeShade="BF"/>
          <w:shd w:val="clear" w:color="auto" w:fill="FFFFFF"/>
          <w:lang w:val="es-ES"/>
        </w:rPr>
      </w:pPr>
      <w:r w:rsidRPr="00712B24">
        <w:rPr>
          <w:rFonts w:ascii="Verdana" w:eastAsia="Calibri" w:hAnsi="Verdana" w:cs="Arial"/>
          <w:lang w:val="es-ES"/>
        </w:rPr>
        <w:t xml:space="preserve">La Agencia Nacional de Contratación Pública – Colombia Compra Eficiente se ha referido </w:t>
      </w:r>
      <w:r w:rsidRPr="00712B24">
        <w:rPr>
          <w:rFonts w:ascii="Verdana" w:hAnsi="Verdana" w:cs="Arial"/>
          <w:shd w:val="clear" w:color="auto" w:fill="FFFFFF"/>
          <w:lang w:val="es-ES"/>
        </w:rPr>
        <w:t xml:space="preserve">sobre la acreditación de experiencia en los conceptos con radicado </w:t>
      </w:r>
      <w:r w:rsidRPr="00712B24">
        <w:rPr>
          <w:rFonts w:ascii="Verdana" w:eastAsia="Calibri" w:hAnsi="Verdana" w:cs="Arial"/>
          <w:lang w:eastAsia="es-ES_tradnl"/>
        </w:rPr>
        <w:t xml:space="preserve">C-725 del 25 de enero de 2022, C-034 del 2 de marzo de 2022, C-144 del 01 de abril de 2022, </w:t>
      </w:r>
      <w:r w:rsidRPr="00712B24">
        <w:rPr>
          <w:rFonts w:ascii="Verdana" w:hAnsi="Verdana" w:cs="Arial"/>
          <w:shd w:val="clear" w:color="auto" w:fill="FFFFFF"/>
          <w:lang w:val="es-ES"/>
        </w:rPr>
        <w:t xml:space="preserve">C- 223 del 25 de abril de 2022, </w:t>
      </w:r>
      <w:r w:rsidRPr="00712B24">
        <w:rPr>
          <w:rFonts w:ascii="Verdana" w:eastAsia="Calibri" w:hAnsi="Verdana" w:cs="Arial"/>
          <w:lang w:eastAsia="es-ES_tradnl"/>
        </w:rPr>
        <w:t>C-239 del 26 de julio de 2022, C-324 del 19 de mayo de 2022, C-447 del 19 de julio de 2022, C-456 del 15 de julio de 2022, C-592 del 20 de septiembre de 2022, C-623 del 29 de septiembre de 2022, C-837 del 6 de diciembre de 2022, C- 841 del 6 de diciembre de 2022, C-929 del 30 de diciembre de 2022, C-128 del 18 de mayo de 2023, C-146 de 13 de junio de 2023, C- 261 de 13 de julio de 2023, C-312 de julio de 2023,</w:t>
      </w:r>
      <w:r>
        <w:rPr>
          <w:rFonts w:ascii="Verdana" w:eastAsia="Calibri" w:hAnsi="Verdana" w:cs="Arial"/>
          <w:lang w:eastAsia="es-ES_tradnl"/>
        </w:rPr>
        <w:t xml:space="preserve"> C-287 del 16 de abril de 2025, C-160 del 20 de marzo de 2025, C-410 del 09 de mayo de 2025, C-568 del 24 de junio de 2025, C-755 del 23 de julio de 2025, C-804 del 30 de julio de 2025,</w:t>
      </w:r>
      <w:r w:rsidRPr="00712B24">
        <w:rPr>
          <w:rFonts w:ascii="Verdana" w:eastAsia="Calibri" w:hAnsi="Verdana" w:cs="Arial"/>
          <w:lang w:eastAsia="es-ES_tradnl"/>
        </w:rPr>
        <w:t xml:space="preserve"> </w:t>
      </w:r>
      <w:r>
        <w:rPr>
          <w:rFonts w:ascii="Verdana" w:eastAsia="Calibri" w:hAnsi="Verdana" w:cs="Arial"/>
          <w:lang w:eastAsia="es-ES_tradnl"/>
        </w:rPr>
        <w:t xml:space="preserve">C-1143 del 15 de septiembre de 2025, </w:t>
      </w:r>
      <w:r w:rsidRPr="00712B24">
        <w:rPr>
          <w:rFonts w:ascii="Verdana" w:eastAsia="Calibri" w:hAnsi="Verdana" w:cs="Arial"/>
          <w:lang w:eastAsia="es-ES_tradnl"/>
        </w:rPr>
        <w:t>C-1346 del 24 de octubre de 2025, C-1355 del 29 de octubre de 2025</w:t>
      </w:r>
      <w:r>
        <w:rPr>
          <w:rFonts w:ascii="Verdana" w:eastAsia="Calibri" w:hAnsi="Verdana" w:cs="Arial"/>
          <w:lang w:eastAsia="es-ES_tradnl"/>
        </w:rPr>
        <w:t>,</w:t>
      </w:r>
      <w:r w:rsidRPr="00712B24">
        <w:rPr>
          <w:rFonts w:ascii="Verdana" w:hAnsi="Verdana" w:cs="Arial"/>
          <w:shd w:val="clear" w:color="auto" w:fill="FFFFFF"/>
          <w:lang w:val="es-ES"/>
        </w:rPr>
        <w:t xml:space="preserve"> C-1391 del 04 de noviembre de 2025</w:t>
      </w:r>
      <w:r>
        <w:rPr>
          <w:rFonts w:ascii="Verdana" w:hAnsi="Verdana" w:cs="Arial"/>
          <w:shd w:val="clear" w:color="auto" w:fill="FFFFFF"/>
          <w:lang w:val="es-ES"/>
        </w:rPr>
        <w:t>, C-601 del 24 de mayo de 2026, C-972 del 27 de julio de 2026 entre otros.</w:t>
      </w:r>
    </w:p>
    <w:p w14:paraId="6D433991" w14:textId="77777777" w:rsidR="00DD3C23" w:rsidRPr="005E0BC5" w:rsidRDefault="00DD3C23" w:rsidP="00DD3C23">
      <w:pPr>
        <w:widowControl w:val="0"/>
        <w:autoSpaceDE w:val="0"/>
        <w:autoSpaceDN w:val="0"/>
        <w:spacing w:after="0" w:line="276" w:lineRule="auto"/>
        <w:jc w:val="both"/>
        <w:rPr>
          <w:rFonts w:ascii="Verdana" w:hAnsi="Verdana" w:cs="Arial"/>
          <w:color w:val="EE0000"/>
          <w:lang w:val="es-ES"/>
        </w:rPr>
      </w:pPr>
    </w:p>
    <w:p w14:paraId="4704592D" w14:textId="77777777" w:rsidR="00DD3C23" w:rsidRDefault="00DD3C23" w:rsidP="00DD3C23">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13" w:history="1">
        <w:r w:rsidRPr="00AC6529">
          <w:rPr>
            <w:rStyle w:val="Hipervnculo"/>
            <w:rFonts w:ascii="Verdana" w:hAnsi="Verdana" w:cs="Arial"/>
            <w:shd w:val="clear" w:color="auto" w:fill="FFFFFF"/>
            <w:lang w:val="es-ES"/>
          </w:rPr>
          <w:t>https://relatoria.colombiacompra.gov.co/busqueda/conceptos</w:t>
        </w:r>
      </w:hyperlink>
    </w:p>
    <w:p w14:paraId="0CDDE399" w14:textId="77777777" w:rsidR="00DD3C23" w:rsidRPr="00AC6529" w:rsidRDefault="00DD3C23" w:rsidP="00DD3C23">
      <w:pPr>
        <w:widowControl w:val="0"/>
        <w:autoSpaceDE w:val="0"/>
        <w:autoSpaceDN w:val="0"/>
        <w:spacing w:after="0" w:line="276" w:lineRule="auto"/>
        <w:jc w:val="both"/>
        <w:rPr>
          <w:rFonts w:ascii="Verdana" w:hAnsi="Verdana" w:cs="Arial"/>
          <w:color w:val="EE0000"/>
          <w:u w:val="single"/>
          <w:shd w:val="clear" w:color="auto" w:fill="FFFFFF"/>
          <w:lang w:val="es-ES"/>
        </w:rPr>
      </w:pPr>
    </w:p>
    <w:p w14:paraId="37712CAA" w14:textId="77777777" w:rsidR="00DD3C23" w:rsidRDefault="00DD3C23" w:rsidP="00DD3C23">
      <w:pPr>
        <w:spacing w:after="0" w:line="276" w:lineRule="auto"/>
        <w:jc w:val="both"/>
        <w:rPr>
          <w:rFonts w:ascii="Verdana" w:hAnsi="Verdana"/>
          <w:color w:val="EE0000"/>
        </w:rPr>
      </w:pPr>
      <w:r w:rsidRPr="00AC652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C6529">
        <w:rPr>
          <w:rFonts w:ascii="Verdana" w:hAnsi="Verdana"/>
          <w:b/>
          <w:bCs/>
        </w:rPr>
        <w:t>Guía para la Exigencia y Constitución de Garantías en los Procesos de Contratación</w:t>
      </w:r>
      <w:r w:rsidRPr="00AC652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AC6529">
        <w:rPr>
          <w:rFonts w:ascii="Verdana" w:hAnsi="Verdana"/>
          <w:color w:val="EE0000"/>
        </w:rPr>
        <w:t> </w:t>
      </w:r>
      <w:hyperlink r:id="rId14" w:tgtFrame="_blank" w:tooltip="Dirección URL original: https://www.colombiacompra.gov.co/archivos/manual/guia-de-garantias-en-procesos-de-contratacion. Haga clic o pulse si confía en este vínculo." w:history="1">
        <w:r w:rsidRPr="00AC6529">
          <w:rPr>
            <w:rStyle w:val="Hipervnculo"/>
            <w:rFonts w:ascii="Verdana" w:hAnsi="Verdana"/>
          </w:rPr>
          <w:t>https://www.colombiacompra.gov.co/archivos/manual/guia-de-garantias-en-procesos-de-contratacion</w:t>
        </w:r>
      </w:hyperlink>
    </w:p>
    <w:p w14:paraId="0BCB458F" w14:textId="77777777" w:rsidR="00DD3C23" w:rsidRDefault="00DD3C23" w:rsidP="00DD3C23">
      <w:pPr>
        <w:spacing w:after="0" w:line="276" w:lineRule="auto"/>
        <w:jc w:val="both"/>
        <w:rPr>
          <w:rFonts w:ascii="Verdana" w:hAnsi="Verdana"/>
          <w:color w:val="EE0000"/>
        </w:rPr>
      </w:pPr>
    </w:p>
    <w:p w14:paraId="10384396" w14:textId="77777777" w:rsidR="00DD3C23" w:rsidRDefault="00DD3C23" w:rsidP="00DD3C23">
      <w:pPr>
        <w:spacing w:after="0" w:line="276" w:lineRule="auto"/>
        <w:jc w:val="both"/>
        <w:rPr>
          <w:rFonts w:ascii="Verdana" w:hAnsi="Verdana"/>
          <w:color w:val="EE0000"/>
        </w:rPr>
      </w:pPr>
      <w:r w:rsidRPr="00AC6529">
        <w:rPr>
          <w:rFonts w:ascii="Verdana" w:hAnsi="Verdana"/>
        </w:rPr>
        <w:t>De otro lado, te contamos que el Decreto 287 del 19 de marzo de 2026 sustituyó los artículos 2.2.1.2.4.2.6., 2.2.1.2.4.2.7. y 2.2.1.2.4.2.8. del Decreto 1082 de 2015 y estructuró el </w:t>
      </w:r>
      <w:r w:rsidRPr="00AC6529">
        <w:rPr>
          <w:rFonts w:ascii="Verdana" w:hAnsi="Verdana"/>
          <w:b/>
          <w:bCs/>
        </w:rPr>
        <w:t>Sistema Integral de Preferencias en favor de las personas con discapacidad</w:t>
      </w:r>
      <w:r w:rsidRPr="00AC6529">
        <w:rPr>
          <w:rFonts w:ascii="Verdana" w:hAnsi="Verdana"/>
        </w:rPr>
        <w:t>, en cumplimiento del artículo 13 de la Ley Estatutaria 1618 de 2013. Para orientar su aplicación, esta Agencia expidió la </w:t>
      </w:r>
      <w:r w:rsidRPr="00AC6529">
        <w:rPr>
          <w:rFonts w:ascii="Verdana" w:hAnsi="Verdana"/>
          <w:b/>
          <w:bCs/>
        </w:rPr>
        <w:t>Circular Externa 003 del 12 de mayo de 2026, </w:t>
      </w:r>
      <w:r w:rsidRPr="00AC652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AC6529">
        <w:rPr>
          <w:rFonts w:ascii="Verdana" w:hAnsi="Verdana"/>
          <w:color w:val="EE0000"/>
        </w:rPr>
        <w:t> </w:t>
      </w:r>
      <w:hyperlink r:id="rId15" w:tgtFrame="_blank" w:tooltip="Dirección URL original: https://www.colombiacompra.gov.co/archivos/circular/circular-externa-003-de-2026. Haga clic o pulse si confía en este vínculo." w:history="1">
        <w:r w:rsidRPr="00AC6529">
          <w:rPr>
            <w:rStyle w:val="Hipervnculo"/>
            <w:rFonts w:ascii="Verdana" w:hAnsi="Verdana"/>
          </w:rPr>
          <w:t>https://www.colombiacompra.gov.co/archivos/circular/circular-externa-003-de-2026</w:t>
        </w:r>
      </w:hyperlink>
    </w:p>
    <w:p w14:paraId="598593A7" w14:textId="77777777" w:rsidR="00DD3C23" w:rsidRPr="00AC6529" w:rsidRDefault="00DD3C23" w:rsidP="00DD3C23">
      <w:pPr>
        <w:spacing w:after="0" w:line="276" w:lineRule="auto"/>
        <w:jc w:val="both"/>
        <w:rPr>
          <w:rFonts w:ascii="Verdana" w:hAnsi="Verdana"/>
          <w:color w:val="EE0000"/>
        </w:rPr>
      </w:pPr>
    </w:p>
    <w:p w14:paraId="747E566A" w14:textId="77777777" w:rsidR="00DD3C23" w:rsidRDefault="00DD3C23" w:rsidP="00DD3C23">
      <w:pPr>
        <w:spacing w:after="0" w:line="276" w:lineRule="auto"/>
        <w:jc w:val="both"/>
        <w:rPr>
          <w:rFonts w:ascii="Verdana" w:hAnsi="Verdana"/>
          <w:color w:val="EE0000"/>
        </w:rPr>
      </w:pPr>
      <w:r w:rsidRPr="00AC6529">
        <w:rPr>
          <w:rFonts w:ascii="Verdana" w:hAnsi="Verdana"/>
        </w:rPr>
        <w:t>Recuerda también que la</w:t>
      </w:r>
      <w:r w:rsidRPr="00AC6529">
        <w:rPr>
          <w:rFonts w:ascii="Verdana" w:hAnsi="Verdana"/>
          <w:b/>
          <w:bCs/>
        </w:rPr>
        <w:t> información sobre sanciones e inhabilidades </w:t>
      </w:r>
      <w:r w:rsidRPr="00AC6529">
        <w:rPr>
          <w:rFonts w:ascii="Verdana" w:hAnsi="Verdana"/>
        </w:rPr>
        <w:t>solo cumple su función preventiva si llega oportunamente a los registros públicos. Sobre este deber, esta Agencia expidió la </w:t>
      </w:r>
      <w:r w:rsidRPr="00AC6529">
        <w:rPr>
          <w:rFonts w:ascii="Verdana" w:hAnsi="Verdana"/>
          <w:b/>
          <w:bCs/>
        </w:rPr>
        <w:t>Circular Externa 002 del 5 de mayo de 2026,</w:t>
      </w:r>
      <w:r w:rsidRPr="00AC652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AC6529">
          <w:rPr>
            <w:rStyle w:val="Hipervnculo"/>
            <w:rFonts w:ascii="Verdana" w:hAnsi="Verdana"/>
          </w:rPr>
          <w:t>https://www.colombiacompra.gov.co/archivos/circular/circular-externa-002-de-2026</w:t>
        </w:r>
      </w:hyperlink>
    </w:p>
    <w:p w14:paraId="2DC61E2A" w14:textId="77777777" w:rsidR="00DD3C23" w:rsidRDefault="00DD3C23" w:rsidP="00DD3C23">
      <w:pPr>
        <w:spacing w:after="0" w:line="276" w:lineRule="auto"/>
        <w:jc w:val="both"/>
        <w:rPr>
          <w:rFonts w:ascii="Verdana" w:hAnsi="Verdana"/>
          <w:color w:val="EE0000"/>
        </w:rPr>
      </w:pPr>
    </w:p>
    <w:p w14:paraId="247FFC43" w14:textId="77777777" w:rsidR="00DD3C23" w:rsidRPr="00AC6529" w:rsidRDefault="00DD3C23" w:rsidP="00DD3C23">
      <w:pPr>
        <w:spacing w:after="0" w:line="276" w:lineRule="auto"/>
        <w:jc w:val="both"/>
        <w:rPr>
          <w:rFonts w:ascii="Verdana" w:hAnsi="Verdana"/>
          <w:color w:val="EE0000"/>
        </w:rPr>
      </w:pPr>
      <w:r w:rsidRPr="00AC6529">
        <w:rPr>
          <w:rFonts w:ascii="Verdana" w:hAnsi="Verdana"/>
        </w:rPr>
        <w:t>Finalmente, si quieres seguir de cerca la actividad de la Agencia, la tercera edición de 2026 del</w:t>
      </w:r>
      <w:r w:rsidRPr="00AC6529">
        <w:rPr>
          <w:rFonts w:ascii="Verdana" w:hAnsi="Verdana"/>
          <w:b/>
          <w:bCs/>
        </w:rPr>
        <w:t> Radar de la Compra Pública</w:t>
      </w:r>
      <w:r w:rsidRPr="00AC652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AC6529">
        <w:rPr>
          <w:rFonts w:ascii="Verdana" w:hAnsi="Verdana"/>
          <w:color w:val="EE0000"/>
        </w:rPr>
        <w:t> </w:t>
      </w:r>
      <w:hyperlink r:id="rId17" w:tgtFrame="_blank" w:tooltip="Dirección URL original: https://www.colombiacompra.gov.co/archivos/boletin/boletin-edicion-n-3-de-2026-radar-de-la-compra-publica. Haga clic o pulse si confía en este vínculo." w:history="1">
        <w:r w:rsidRPr="00AC6529">
          <w:rPr>
            <w:rStyle w:val="Hipervnculo"/>
            <w:rFonts w:ascii="Verdana" w:hAnsi="Verdana"/>
          </w:rPr>
          <w:t>https://www.colombiacompra.gov.co/archivos/boletin/boletin-edicion-n-3-de-2026-radar-de-la-compra-publica</w:t>
        </w:r>
      </w:hyperlink>
    </w:p>
    <w:p w14:paraId="5CFD695C" w14:textId="77777777" w:rsidR="00DD3C23" w:rsidRPr="006C695D" w:rsidRDefault="00DD3C23" w:rsidP="00DD3C23">
      <w:pPr>
        <w:spacing w:after="0" w:line="276" w:lineRule="auto"/>
        <w:jc w:val="both"/>
        <w:rPr>
          <w:rFonts w:ascii="Verdana" w:hAnsi="Verdana" w:cs="Arial"/>
          <w:shd w:val="clear" w:color="auto" w:fill="FFFFFF"/>
        </w:rPr>
      </w:pPr>
    </w:p>
    <w:p w14:paraId="00BFD228" w14:textId="77777777" w:rsidR="00DD3C23" w:rsidRPr="006C695D" w:rsidRDefault="00DD3C23" w:rsidP="00DD3C23">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Por último, lo invitamos a seguirnos en las redes sociales en las cuales se difunde información institucional: </w:t>
      </w:r>
    </w:p>
    <w:p w14:paraId="59EDF2F0" w14:textId="77777777" w:rsidR="00DD3C23" w:rsidRPr="006C695D" w:rsidRDefault="00DD3C23" w:rsidP="00DD3C23">
      <w:pPr>
        <w:spacing w:after="0" w:line="276" w:lineRule="auto"/>
        <w:jc w:val="both"/>
        <w:rPr>
          <w:rFonts w:ascii="Verdana" w:hAnsi="Verdana" w:cs="Arial"/>
          <w:shd w:val="clear" w:color="auto" w:fill="FFFFFF"/>
        </w:rPr>
      </w:pPr>
    </w:p>
    <w:p w14:paraId="188DDA0D" w14:textId="77777777" w:rsidR="00DD3C23" w:rsidRPr="006C695D" w:rsidRDefault="00DD3C23" w:rsidP="00DD3C23">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Twitter: </w:t>
      </w:r>
      <w:r w:rsidRPr="006C695D">
        <w:rPr>
          <w:rStyle w:val="Hipervnculo"/>
          <w:rFonts w:ascii="Verdana" w:hAnsi="Verdana"/>
        </w:rPr>
        <w:t>@colombiacompra</w:t>
      </w:r>
      <w:r w:rsidRPr="006C695D">
        <w:rPr>
          <w:rFonts w:ascii="Verdana" w:hAnsi="Verdana" w:cs="Arial"/>
          <w:shd w:val="clear" w:color="auto" w:fill="FFFFFF"/>
        </w:rPr>
        <w:t xml:space="preserve"> </w:t>
      </w:r>
    </w:p>
    <w:p w14:paraId="14F2E324" w14:textId="77777777" w:rsidR="00DD3C23" w:rsidRPr="006C695D" w:rsidRDefault="00DD3C23" w:rsidP="00DD3C23">
      <w:pPr>
        <w:spacing w:after="0" w:line="276" w:lineRule="auto"/>
        <w:jc w:val="both"/>
        <w:rPr>
          <w:rFonts w:ascii="Verdana" w:hAnsi="Verdana" w:cs="Arial"/>
          <w:shd w:val="clear" w:color="auto" w:fill="FFFFFF"/>
        </w:rPr>
      </w:pPr>
      <w:r w:rsidRPr="006C695D">
        <w:rPr>
          <w:rFonts w:ascii="Verdana" w:hAnsi="Verdana" w:cs="Arial"/>
          <w:shd w:val="clear" w:color="auto" w:fill="FFFFFF"/>
        </w:rPr>
        <w:t>Facebook:</w:t>
      </w:r>
      <w:r w:rsidRPr="006C695D">
        <w:rPr>
          <w:rStyle w:val="Hipervnculo"/>
          <w:rFonts w:ascii="Verdana" w:hAnsi="Verdana"/>
          <w:color w:val="auto"/>
          <w:lang w:val="es-ES"/>
        </w:rPr>
        <w:t xml:space="preserve"> </w:t>
      </w:r>
      <w:r w:rsidRPr="006C695D">
        <w:rPr>
          <w:rStyle w:val="Hipervnculo"/>
          <w:rFonts w:ascii="Verdana" w:hAnsi="Verdana"/>
        </w:rPr>
        <w:t>ColombiaCompraEficiente</w:t>
      </w:r>
    </w:p>
    <w:p w14:paraId="45009B51" w14:textId="77777777" w:rsidR="00DD3C23" w:rsidRPr="006C695D" w:rsidRDefault="00DD3C23" w:rsidP="00DD3C23">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LinkedIn: </w:t>
      </w:r>
      <w:r w:rsidRPr="006C695D">
        <w:rPr>
          <w:rStyle w:val="Hipervnculo"/>
          <w:rFonts w:ascii="Verdana" w:hAnsi="Verdana"/>
        </w:rPr>
        <w:t>Agencia Nacional de Contratación Pública - Colombia Compra Eficiente</w:t>
      </w:r>
      <w:r w:rsidRPr="006C695D">
        <w:rPr>
          <w:rFonts w:ascii="Verdana" w:hAnsi="Verdana" w:cs="Arial"/>
          <w:shd w:val="clear" w:color="auto" w:fill="FFFFFF"/>
        </w:rPr>
        <w:t xml:space="preserve"> </w:t>
      </w:r>
    </w:p>
    <w:p w14:paraId="435357F4" w14:textId="77777777" w:rsidR="00DD3C23" w:rsidRPr="006C695D" w:rsidRDefault="00DD3C23" w:rsidP="00DD3C23">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Instagram: </w:t>
      </w:r>
      <w:r w:rsidRPr="006C695D">
        <w:rPr>
          <w:rStyle w:val="Hipervnculo"/>
          <w:rFonts w:ascii="Verdana" w:hAnsi="Verdana"/>
        </w:rPr>
        <w:t>@colombiacompraeficiente_cce</w:t>
      </w:r>
    </w:p>
    <w:p w14:paraId="6F620A33" w14:textId="77777777" w:rsidR="00DD3C23" w:rsidRPr="006C695D" w:rsidRDefault="00DD3C23" w:rsidP="00DD3C23">
      <w:pPr>
        <w:widowControl w:val="0"/>
        <w:autoSpaceDE w:val="0"/>
        <w:autoSpaceDN w:val="0"/>
        <w:spacing w:after="0" w:line="276" w:lineRule="auto"/>
        <w:jc w:val="both"/>
        <w:rPr>
          <w:rFonts w:ascii="Verdana" w:hAnsi="Verdana" w:cs="Arial"/>
          <w:lang w:val="es-ES"/>
        </w:rPr>
      </w:pPr>
    </w:p>
    <w:p w14:paraId="1F2E2936" w14:textId="77777777" w:rsidR="00DD3C23" w:rsidRPr="006C695D" w:rsidRDefault="00DD3C23" w:rsidP="00DD3C23">
      <w:pPr>
        <w:widowControl w:val="0"/>
        <w:autoSpaceDE w:val="0"/>
        <w:autoSpaceDN w:val="0"/>
        <w:spacing w:after="0" w:line="276" w:lineRule="auto"/>
        <w:jc w:val="both"/>
        <w:rPr>
          <w:rFonts w:ascii="Verdana" w:hAnsi="Verdana" w:cs="Arial"/>
          <w:lang w:val="es-ES"/>
        </w:rPr>
      </w:pPr>
      <w:r w:rsidRPr="006C695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8EFB8A2" w14:textId="7712A6C6" w:rsidR="00DD3C23" w:rsidRPr="006C695D" w:rsidRDefault="00DD3C23" w:rsidP="00DD3C23">
      <w:pPr>
        <w:widowControl w:val="0"/>
        <w:autoSpaceDE w:val="0"/>
        <w:autoSpaceDN w:val="0"/>
        <w:spacing w:after="0" w:line="276" w:lineRule="auto"/>
        <w:jc w:val="both"/>
        <w:rPr>
          <w:rFonts w:ascii="Verdana" w:hAnsi="Verdana" w:cs="Arial"/>
          <w:lang w:val="es-ES"/>
        </w:rPr>
      </w:pPr>
    </w:p>
    <w:p w14:paraId="4F122EE3" w14:textId="700CF07C" w:rsidR="002B3F68" w:rsidRDefault="00BE076D" w:rsidP="002B3F68">
      <w:pPr>
        <w:jc w:val="both"/>
        <w:rPr>
          <w:rFonts w:ascii="Verdana" w:hAnsi="Verdana"/>
        </w:rPr>
      </w:pPr>
      <w:r>
        <w:rPr>
          <w:rFonts w:ascii="Verdana" w:hAnsi="Verdana"/>
        </w:rPr>
        <w:t>Atentamente,</w:t>
      </w:r>
    </w:p>
    <w:p w14:paraId="43FBBE40" w14:textId="3348E280" w:rsidR="002B3F68" w:rsidRDefault="002B3F68" w:rsidP="002B3F68"/>
    <w:p w14:paraId="132033E4" w14:textId="2FC64751" w:rsidR="00204587" w:rsidRDefault="00204587" w:rsidP="002B3F68"/>
    <w:p w14:paraId="75A0B11E" w14:textId="77777777" w:rsidR="00204587" w:rsidRDefault="00204587" w:rsidP="002B3F68"/>
    <w:p w14:paraId="2BBE658F" w14:textId="6B2DCC12" w:rsidR="002B3F68" w:rsidRPr="00BE1082" w:rsidRDefault="002B3F68" w:rsidP="002B3F68">
      <w:pPr>
        <w:widowControl w:val="0"/>
        <w:autoSpaceDE w:val="0"/>
        <w:autoSpaceDN w:val="0"/>
        <w:spacing w:after="0" w:line="276" w:lineRule="auto"/>
        <w:jc w:val="both"/>
        <w:rPr>
          <w:rFonts w:ascii="Verdana" w:eastAsia="Times New Roman" w:hAnsi="Verdana" w:cs="Arial"/>
          <w:shd w:val="clear" w:color="auto" w:fill="FFFFFF"/>
        </w:rPr>
      </w:pPr>
    </w:p>
    <w:p w14:paraId="424ADD4A" w14:textId="77777777" w:rsidR="002B3F68" w:rsidRPr="00C518CE" w:rsidRDefault="002B3F68" w:rsidP="002B3F68">
      <w:pPr>
        <w:spacing w:after="0" w:line="240" w:lineRule="auto"/>
        <w:jc w:val="both"/>
        <w:rPr>
          <w:rFonts w:ascii="Verdana" w:eastAsia="Calibri" w:hAnsi="Verdana" w:cs="Arial"/>
          <w:color w:val="000000"/>
          <w:shd w:val="clear" w:color="auto" w:fill="FFFFFF"/>
        </w:rPr>
      </w:pPr>
    </w:p>
    <w:p w14:paraId="0018ED22" w14:textId="2194FBC9" w:rsidR="002B3F68" w:rsidRDefault="00204587" w:rsidP="002B3F68">
      <w:pPr>
        <w:spacing w:after="0"/>
        <w:rPr>
          <w:rFonts w:ascii="Verdana" w:eastAsia="Times New Roman" w:hAnsi="Verdana" w:cs="Arial"/>
          <w:lang w:val="es-ES" w:eastAsia="es-CO"/>
        </w:rPr>
      </w:pPr>
      <w:r>
        <w:rPr>
          <w:noProof/>
          <w:lang w:val="en-US"/>
        </w:rPr>
        <w:drawing>
          <wp:anchor distT="0" distB="0" distL="114300" distR="114300" simplePos="0" relativeHeight="251660288" behindDoc="1" locked="0" layoutInCell="1" allowOverlap="1" wp14:anchorId="79F61CD3" wp14:editId="3BD774DC">
            <wp:simplePos x="0" y="0"/>
            <wp:positionH relativeFrom="column">
              <wp:posOffset>1065414</wp:posOffset>
            </wp:positionH>
            <wp:positionV relativeFrom="paragraph">
              <wp:posOffset>130</wp:posOffset>
            </wp:positionV>
            <wp:extent cx="3771900" cy="1426974"/>
            <wp:effectExtent l="0" t="0" r="0" b="1905"/>
            <wp:wrapTight wrapText="bothSides">
              <wp:wrapPolygon edited="0">
                <wp:start x="0" y="0"/>
                <wp:lineTo x="0" y="21340"/>
                <wp:lineTo x="21491" y="21340"/>
                <wp:lineTo x="21491"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771900" cy="1426974"/>
                    </a:xfrm>
                    <a:prstGeom prst="rect">
                      <a:avLst/>
                    </a:prstGeom>
                  </pic:spPr>
                </pic:pic>
              </a:graphicData>
            </a:graphic>
            <wp14:sizeRelV relativeFrom="margin">
              <wp14:pctHeight>0</wp14:pctHeight>
            </wp14:sizeRelV>
          </wp:anchor>
        </w:drawing>
      </w: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2B3F68" w:rsidRPr="004C0111" w14:paraId="42C6A1BD" w14:textId="77777777" w:rsidTr="00E56A27">
        <w:trPr>
          <w:trHeight w:val="622"/>
        </w:trPr>
        <w:tc>
          <w:tcPr>
            <w:tcW w:w="893" w:type="dxa"/>
            <w:vAlign w:val="center"/>
            <w:hideMark/>
          </w:tcPr>
          <w:p w14:paraId="574DF130" w14:textId="77777777" w:rsidR="002B3F68" w:rsidRPr="004C0111" w:rsidRDefault="002B3F68" w:rsidP="00E56A27">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2B3F68" w:rsidRPr="004C0111" w14:paraId="126F2DAA" w14:textId="77777777" w:rsidTr="00E56A27">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642AB559" w14:textId="77777777" w:rsidR="002B3F68" w:rsidRPr="004C0111" w:rsidRDefault="002B3F68" w:rsidP="00E56A27">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557C08EC" w14:textId="77777777" w:rsidR="002B3F68" w:rsidRPr="004C0111" w:rsidRDefault="002B3F68" w:rsidP="00E56A27">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4E3783C3" w14:textId="77777777" w:rsidR="002B3F68" w:rsidRPr="004C0111" w:rsidRDefault="002B3F68" w:rsidP="00E56A27">
            <w:pPr>
              <w:rPr>
                <w:rFonts w:ascii="Verdana" w:eastAsia="Calibri" w:hAnsi="Verdana" w:cs="Arial"/>
                <w:sz w:val="16"/>
                <w:szCs w:val="16"/>
                <w:lang w:val="es-MX"/>
              </w:rPr>
            </w:pPr>
          </w:p>
        </w:tc>
      </w:tr>
      <w:tr w:rsidR="002B3F68" w:rsidRPr="004C0111" w14:paraId="30F0AAA4" w14:textId="77777777" w:rsidTr="00E56A27">
        <w:trPr>
          <w:trHeight w:val="330"/>
        </w:trPr>
        <w:tc>
          <w:tcPr>
            <w:tcW w:w="893" w:type="dxa"/>
            <w:vAlign w:val="center"/>
            <w:hideMark/>
          </w:tcPr>
          <w:p w14:paraId="59379797" w14:textId="77777777" w:rsidR="002B3F68" w:rsidRPr="004C0111" w:rsidRDefault="002B3F68" w:rsidP="00E56A27">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44BF6415" w14:textId="77777777" w:rsidR="002B3F68" w:rsidRPr="004C0111" w:rsidRDefault="002B3F68" w:rsidP="00E56A27">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Adriana López Rodríguez</w:t>
            </w:r>
          </w:p>
          <w:p w14:paraId="7D6F4680" w14:textId="77777777" w:rsidR="002B3F68" w:rsidRPr="004C0111" w:rsidRDefault="002B3F68" w:rsidP="00E56A27">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2B3F68" w:rsidRPr="004C0111" w14:paraId="08797491" w14:textId="77777777" w:rsidTr="00E56A27">
        <w:trPr>
          <w:trHeight w:val="77"/>
        </w:trPr>
        <w:tc>
          <w:tcPr>
            <w:tcW w:w="893" w:type="dxa"/>
            <w:vAlign w:val="center"/>
          </w:tcPr>
          <w:p w14:paraId="1BCF1F16" w14:textId="77777777" w:rsidR="002B3F68" w:rsidRPr="004C0111" w:rsidRDefault="002B3F68" w:rsidP="00E56A27">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73E849BC" w14:textId="77777777" w:rsidR="002B3F68" w:rsidRPr="002F2853" w:rsidRDefault="002B3F68" w:rsidP="00E56A27">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31619AB9" w14:textId="77777777" w:rsidR="002B3F68" w:rsidRPr="004C0111" w:rsidRDefault="002B3F68" w:rsidP="00E56A27">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79A3D9D9"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02F894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ACF2" w14:textId="77777777" w:rsidR="00B3780A" w:rsidRDefault="00B3780A" w:rsidP="004A1847">
      <w:pPr>
        <w:spacing w:after="0" w:line="240" w:lineRule="auto"/>
      </w:pPr>
      <w:r>
        <w:separator/>
      </w:r>
    </w:p>
  </w:endnote>
  <w:endnote w:type="continuationSeparator" w:id="0">
    <w:p w14:paraId="018F2F9D" w14:textId="77777777" w:rsidR="00B3780A" w:rsidRDefault="00B3780A" w:rsidP="004A1847">
      <w:pPr>
        <w:spacing w:after="0" w:line="240" w:lineRule="auto"/>
      </w:pPr>
      <w:r>
        <w:continuationSeparator/>
      </w:r>
    </w:p>
  </w:endnote>
  <w:endnote w:type="continuationNotice" w:id="1">
    <w:p w14:paraId="56B13B86" w14:textId="77777777" w:rsidR="00B3780A" w:rsidRDefault="00B378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2090" w14:textId="77777777" w:rsidR="00B3780A" w:rsidRDefault="00B3780A" w:rsidP="004A1847">
      <w:pPr>
        <w:spacing w:after="0" w:line="240" w:lineRule="auto"/>
      </w:pPr>
      <w:r>
        <w:separator/>
      </w:r>
    </w:p>
  </w:footnote>
  <w:footnote w:type="continuationSeparator" w:id="0">
    <w:p w14:paraId="38FB6F07" w14:textId="77777777" w:rsidR="00B3780A" w:rsidRDefault="00B3780A" w:rsidP="004A1847">
      <w:pPr>
        <w:spacing w:after="0" w:line="240" w:lineRule="auto"/>
      </w:pPr>
      <w:r>
        <w:continuationSeparator/>
      </w:r>
    </w:p>
  </w:footnote>
  <w:footnote w:type="continuationNotice" w:id="1">
    <w:p w14:paraId="2ECBB4B9" w14:textId="77777777" w:rsidR="00B3780A" w:rsidRDefault="00B3780A">
      <w:pPr>
        <w:spacing w:after="0" w:line="240" w:lineRule="auto"/>
      </w:pPr>
    </w:p>
  </w:footnote>
  <w:footnote w:id="2">
    <w:p w14:paraId="044AAF42" w14:textId="77777777" w:rsidR="00DD3C23" w:rsidRPr="009F7076" w:rsidRDefault="00DD3C23" w:rsidP="00DD3C23">
      <w:pPr>
        <w:pStyle w:val="Textonotapie"/>
        <w:ind w:left="708"/>
        <w:rPr>
          <w:rFonts w:ascii="Verdana" w:hAnsi="Verdana"/>
          <w:sz w:val="16"/>
          <w:szCs w:val="16"/>
        </w:rPr>
      </w:pPr>
      <w:r w:rsidRPr="007F247E">
        <w:rPr>
          <w:rStyle w:val="Refdenotaalpie"/>
          <w:rFonts w:ascii="Verdana" w:hAnsi="Verdana"/>
          <w:sz w:val="16"/>
          <w:szCs w:val="16"/>
        </w:rPr>
        <w:footnoteRef/>
      </w:r>
      <w:r w:rsidRPr="007F247E">
        <w:rPr>
          <w:rFonts w:ascii="Verdana" w:hAnsi="Verdana"/>
          <w:sz w:val="16"/>
          <w:szCs w:val="16"/>
        </w:rPr>
        <w:t xml:space="preserve"> </w:t>
      </w:r>
      <w:r>
        <w:rPr>
          <w:rFonts w:ascii="Verdana" w:hAnsi="Verdana"/>
          <w:sz w:val="16"/>
          <w:szCs w:val="16"/>
        </w:rPr>
        <w:t>A</w:t>
      </w:r>
      <w:r w:rsidRPr="007F247E">
        <w:rPr>
          <w:rFonts w:ascii="Verdana" w:hAnsi="Verdana"/>
          <w:sz w:val="16"/>
          <w:szCs w:val="16"/>
        </w:rPr>
        <w:t>rtículo 6 de la Ley 1150 de 2007.</w:t>
      </w:r>
    </w:p>
  </w:footnote>
  <w:footnote w:id="3">
    <w:p w14:paraId="4032232F" w14:textId="77777777" w:rsidR="00DD3C23" w:rsidRPr="007F247E" w:rsidRDefault="00DD3C23" w:rsidP="00DD3C23">
      <w:pPr>
        <w:pStyle w:val="Textonotapie"/>
        <w:ind w:firstLine="709"/>
        <w:jc w:val="both"/>
        <w:rPr>
          <w:rFonts w:ascii="Verdana" w:hAnsi="Verdana"/>
          <w:sz w:val="16"/>
          <w:szCs w:val="16"/>
          <w:lang w:val="es-CO"/>
        </w:rPr>
      </w:pPr>
      <w:r w:rsidRPr="007F247E">
        <w:rPr>
          <w:rStyle w:val="Refdenotaalpie"/>
          <w:rFonts w:ascii="Verdana" w:hAnsi="Verdana"/>
          <w:sz w:val="16"/>
          <w:szCs w:val="16"/>
        </w:rPr>
        <w:footnoteRef/>
      </w:r>
      <w:r w:rsidRPr="007F247E">
        <w:rPr>
          <w:rFonts w:ascii="Verdana" w:hAnsi="Verdana"/>
          <w:sz w:val="16"/>
          <w:szCs w:val="16"/>
        </w:rPr>
        <w:t xml:space="preserve"> </w:t>
      </w:r>
      <w:r w:rsidRPr="007F247E">
        <w:rPr>
          <w:rFonts w:ascii="Verdana" w:hAnsi="Verdana"/>
          <w:sz w:val="16"/>
          <w:szCs w:val="16"/>
          <w:lang w:val="es-CO"/>
        </w:rPr>
        <w:t>Consejo De Estado. Sala de Consulta y Servicio Civil. Consulta del 20 de mayo de 2010. Exp.1992. C. P. Enrique José́ Arboleda Perdomo.</w:t>
      </w:r>
    </w:p>
    <w:p w14:paraId="5E7CA25B" w14:textId="77777777" w:rsidR="00DD3C23" w:rsidRPr="007F247E" w:rsidRDefault="00DD3C23" w:rsidP="00DD3C23">
      <w:pPr>
        <w:pStyle w:val="Textonotapie"/>
        <w:ind w:left="709" w:firstLine="709"/>
        <w:jc w:val="both"/>
        <w:rPr>
          <w:rFonts w:ascii="Verdana" w:hAnsi="Verdana"/>
          <w:sz w:val="16"/>
          <w:szCs w:val="16"/>
          <w:lang w:val="es-ES"/>
        </w:rPr>
      </w:pPr>
    </w:p>
  </w:footnote>
  <w:footnote w:id="4">
    <w:p w14:paraId="6E6D668E"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Ley 1150 de 2007: </w:t>
      </w:r>
      <w:r w:rsidRPr="007F247E">
        <w:rPr>
          <w:rFonts w:ascii="Verdana" w:hAnsi="Verdana" w:cs="Arial"/>
          <w:i/>
          <w:iCs/>
          <w:sz w:val="16"/>
          <w:szCs w:val="16"/>
        </w:rPr>
        <w:t>“</w:t>
      </w:r>
      <w:r w:rsidRPr="007F247E">
        <w:rPr>
          <w:rFonts w:ascii="Verdana" w:hAnsi="Verdana" w:cs="Arial"/>
          <w:sz w:val="16"/>
          <w:szCs w:val="16"/>
        </w:rPr>
        <w:t>Artículo 6. De la verificación de las condiciones de los proponentes.</w:t>
      </w:r>
    </w:p>
    <w:p w14:paraId="76044C32"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sz w:val="16"/>
          <w:szCs w:val="16"/>
        </w:rPr>
        <w:t>[…]</w:t>
      </w:r>
    </w:p>
    <w:p w14:paraId="1DEC08B0"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6.1. […]</w:t>
      </w:r>
    </w:p>
    <w:p w14:paraId="0315F86C"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CE7E859"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67C9A979"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sz w:val="16"/>
          <w:szCs w:val="16"/>
        </w:rPr>
        <w:t>[…]</w:t>
      </w:r>
      <w:r w:rsidRPr="007F247E">
        <w:rPr>
          <w:rFonts w:ascii="Verdana" w:hAnsi="Verdana" w:cs="Arial"/>
          <w:i/>
          <w:iCs/>
          <w:sz w:val="16"/>
          <w:szCs w:val="16"/>
        </w:rPr>
        <w:t>”</w:t>
      </w:r>
      <w:r w:rsidRPr="007F247E">
        <w:rPr>
          <w:rFonts w:ascii="Verdana" w:hAnsi="Verdana" w:cs="Arial"/>
          <w:sz w:val="16"/>
          <w:szCs w:val="16"/>
        </w:rPr>
        <w:t>.</w:t>
      </w:r>
    </w:p>
    <w:p w14:paraId="3E778390" w14:textId="77777777" w:rsidR="00DD3C23" w:rsidRPr="007F247E" w:rsidRDefault="00DD3C23" w:rsidP="00DD3C23">
      <w:pPr>
        <w:pStyle w:val="Textonotapie"/>
        <w:ind w:firstLine="709"/>
        <w:contextualSpacing/>
        <w:jc w:val="both"/>
        <w:rPr>
          <w:rFonts w:ascii="Verdana" w:hAnsi="Verdana" w:cs="Arial"/>
          <w:sz w:val="16"/>
          <w:szCs w:val="16"/>
          <w:lang w:val="es-ES"/>
        </w:rPr>
      </w:pPr>
    </w:p>
  </w:footnote>
  <w:footnote w:id="5">
    <w:p w14:paraId="09FF07C7"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Consejo De Estado. Sección Tercera. Subsección A. Sentencia del 12 de febrero de 2014. Exp. 31.753. C.P. Mauricio Fajardo Gómez: </w:t>
      </w:r>
      <w:r w:rsidRPr="007F247E">
        <w:rPr>
          <w:rFonts w:ascii="Verdana" w:hAnsi="Verdana" w:cs="Arial"/>
          <w:i/>
          <w:iCs/>
          <w:sz w:val="16"/>
          <w:szCs w:val="16"/>
        </w:rPr>
        <w:t>“</w:t>
      </w:r>
      <w:r w:rsidRPr="007F247E">
        <w:rPr>
          <w:rFonts w:ascii="Verdana" w:hAnsi="Verdana" w:cs="Arial"/>
          <w:sz w:val="16"/>
          <w:szCs w:val="16"/>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Pr="007F247E">
        <w:rPr>
          <w:rFonts w:ascii="Verdana" w:hAnsi="Verdana" w:cs="Arial"/>
          <w:i/>
          <w:iCs/>
          <w:sz w:val="16"/>
          <w:szCs w:val="16"/>
        </w:rPr>
        <w:t>”</w:t>
      </w:r>
      <w:r w:rsidRPr="007F247E">
        <w:rPr>
          <w:rFonts w:ascii="Verdana" w:hAnsi="Verdana" w:cs="Arial"/>
          <w:sz w:val="16"/>
          <w:szCs w:val="16"/>
        </w:rPr>
        <w:t>.</w:t>
      </w:r>
    </w:p>
    <w:p w14:paraId="17DA1651" w14:textId="77777777" w:rsidR="00DD3C23" w:rsidRPr="007F247E" w:rsidRDefault="00DD3C23" w:rsidP="00DD3C23">
      <w:pPr>
        <w:pStyle w:val="Textonotapie"/>
        <w:ind w:firstLine="709"/>
        <w:contextualSpacing/>
        <w:jc w:val="both"/>
        <w:rPr>
          <w:rFonts w:ascii="Verdana" w:hAnsi="Verdana" w:cs="Arial"/>
          <w:sz w:val="16"/>
          <w:szCs w:val="16"/>
          <w:lang w:val="es-ES"/>
        </w:rPr>
      </w:pPr>
    </w:p>
  </w:footnote>
  <w:footnote w:id="6">
    <w:p w14:paraId="2496DDAC"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Ley 1150 de 2007: </w:t>
      </w:r>
      <w:r w:rsidRPr="007F247E">
        <w:rPr>
          <w:rFonts w:ascii="Verdana" w:hAnsi="Verdana" w:cs="Arial"/>
          <w:i/>
          <w:iCs/>
          <w:sz w:val="16"/>
          <w:szCs w:val="16"/>
        </w:rPr>
        <w:t>“</w:t>
      </w:r>
      <w:r w:rsidRPr="007F247E">
        <w:rPr>
          <w:rFonts w:ascii="Verdana" w:hAnsi="Verdana" w:cs="Arial"/>
          <w:sz w:val="16"/>
          <w:szCs w:val="16"/>
        </w:rPr>
        <w:t xml:space="preserve">Artículo 6.  De la verificación de las condiciones de los proponentes. </w:t>
      </w:r>
    </w:p>
    <w:p w14:paraId="4AC2C475"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sz w:val="16"/>
          <w:szCs w:val="16"/>
        </w:rPr>
        <w:t xml:space="preserve">[...] </w:t>
      </w:r>
    </w:p>
    <w:p w14:paraId="2CF7A674"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3B983D6"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Fonts w:ascii="Verdana" w:hAnsi="Verdana" w:cs="Arial"/>
          <w:sz w:val="16"/>
          <w:szCs w:val="16"/>
        </w:rPr>
        <w:t>[...]</w:t>
      </w:r>
      <w:r w:rsidRPr="007F247E">
        <w:rPr>
          <w:rFonts w:ascii="Verdana" w:hAnsi="Verdana" w:cs="Arial"/>
          <w:i/>
          <w:iCs/>
          <w:sz w:val="16"/>
          <w:szCs w:val="16"/>
        </w:rPr>
        <w:t>”</w:t>
      </w:r>
      <w:r w:rsidRPr="007F247E">
        <w:rPr>
          <w:rFonts w:ascii="Verdana" w:hAnsi="Verdana" w:cs="Arial"/>
          <w:sz w:val="16"/>
          <w:szCs w:val="16"/>
        </w:rPr>
        <w:t xml:space="preserve">. </w:t>
      </w:r>
    </w:p>
    <w:p w14:paraId="6F037E75" w14:textId="77777777" w:rsidR="00DD3C23" w:rsidRPr="007F247E" w:rsidRDefault="00DD3C23" w:rsidP="00DD3C23">
      <w:pPr>
        <w:pStyle w:val="Textonotapie"/>
        <w:ind w:firstLine="709"/>
        <w:contextualSpacing/>
        <w:jc w:val="both"/>
        <w:rPr>
          <w:rFonts w:ascii="Verdana" w:hAnsi="Verdana" w:cs="Arial"/>
          <w:sz w:val="16"/>
          <w:szCs w:val="16"/>
        </w:rPr>
      </w:pPr>
    </w:p>
  </w:footnote>
  <w:footnote w:id="7">
    <w:p w14:paraId="741746E9" w14:textId="77777777" w:rsidR="00DD3C23" w:rsidRPr="007F247E" w:rsidRDefault="00DD3C23" w:rsidP="00DD3C23">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w:t>
      </w:r>
      <w:r w:rsidRPr="007F247E">
        <w:rPr>
          <w:rFonts w:ascii="Verdana" w:hAnsi="Verdana" w:cs="Arial"/>
          <w:i/>
          <w:iCs/>
          <w:sz w:val="16"/>
          <w:szCs w:val="16"/>
        </w:rPr>
        <w:t>“</w:t>
      </w:r>
      <w:r w:rsidRPr="007F247E">
        <w:rPr>
          <w:rFonts w:ascii="Verdana" w:hAnsi="Verdana" w:cs="Arial"/>
          <w:sz w:val="16"/>
          <w:szCs w:val="16"/>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7F247E">
        <w:rPr>
          <w:rFonts w:ascii="Verdana" w:hAnsi="Verdana" w:cs="Arial"/>
          <w:i/>
          <w:iCs/>
          <w:sz w:val="16"/>
          <w:szCs w:val="16"/>
        </w:rPr>
        <w:t>”</w:t>
      </w:r>
      <w:r w:rsidRPr="007F247E">
        <w:rPr>
          <w:rFonts w:ascii="Verdana" w:hAnsi="Verdana" w:cs="Arial"/>
          <w:sz w:val="16"/>
          <w:szCs w:val="16"/>
        </w:rPr>
        <w:t>.</w:t>
      </w:r>
    </w:p>
    <w:p w14:paraId="3C0854F3" w14:textId="77777777" w:rsidR="00DD3C23" w:rsidRPr="007F247E" w:rsidRDefault="00DD3C23" w:rsidP="00DD3C23">
      <w:pPr>
        <w:pStyle w:val="Textonotapie"/>
        <w:ind w:firstLine="709"/>
        <w:contextualSpacing/>
        <w:jc w:val="both"/>
        <w:rPr>
          <w:rFonts w:ascii="Verdana" w:hAnsi="Verdana" w:cs="Arial"/>
          <w:sz w:val="16"/>
          <w:szCs w:val="16"/>
        </w:rPr>
      </w:pPr>
    </w:p>
  </w:footnote>
  <w:footnote w:id="8">
    <w:p w14:paraId="26AFD54E" w14:textId="77777777" w:rsidR="00DD3C23" w:rsidRPr="007F247E" w:rsidRDefault="00DD3C23" w:rsidP="00DD3C23">
      <w:pPr>
        <w:pStyle w:val="Textonotapie"/>
        <w:ind w:firstLine="708"/>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4296E1CF" w14:textId="77777777" w:rsidR="00DD3C23" w:rsidRPr="007F247E" w:rsidRDefault="00DD3C23" w:rsidP="00DD3C23">
      <w:pPr>
        <w:pStyle w:val="Textonotapie"/>
        <w:ind w:firstLine="708"/>
        <w:contextualSpacing/>
        <w:jc w:val="both"/>
        <w:rPr>
          <w:rFonts w:ascii="Verdana" w:hAnsi="Verdana" w:cs="Arial"/>
          <w:sz w:val="16"/>
          <w:szCs w:val="16"/>
          <w:lang w:val="es-CO"/>
        </w:rPr>
      </w:pPr>
    </w:p>
  </w:footnote>
  <w:footnote w:id="9">
    <w:p w14:paraId="31619F30" w14:textId="77777777" w:rsidR="00DD3C23" w:rsidRDefault="00DD3C23" w:rsidP="00DD3C23">
      <w:pPr>
        <w:pStyle w:val="Textonotapie"/>
        <w:ind w:firstLine="708"/>
        <w:rPr>
          <w:sz w:val="16"/>
          <w:szCs w:val="16"/>
        </w:rPr>
      </w:pPr>
      <w:r w:rsidRPr="00F1785C">
        <w:rPr>
          <w:rStyle w:val="Refdenotaalpie"/>
          <w:rFonts w:ascii="Verdana" w:hAnsi="Verdana"/>
          <w:sz w:val="16"/>
          <w:szCs w:val="16"/>
        </w:rPr>
        <w:footnoteRef/>
      </w:r>
      <w:r w:rsidRPr="00F1785C">
        <w:rPr>
          <w:rFonts w:ascii="Verdana" w:hAnsi="Verdana"/>
          <w:sz w:val="16"/>
          <w:szCs w:val="16"/>
        </w:rPr>
        <w:t xml:space="preserve"> Agencia Nacional de Contratación Pública. Manual para determinar los requisitos habilitantes en los procesos de contratación. Disponible en línea: </w:t>
      </w:r>
      <w:hyperlink r:id="rId1" w:history="1">
        <w:r w:rsidRPr="00F1785C">
          <w:rPr>
            <w:rStyle w:val="Hipervnculo"/>
            <w:rFonts w:ascii="Verdana" w:hAnsi="Verdana"/>
            <w:sz w:val="16"/>
            <w:szCs w:val="16"/>
          </w:rPr>
          <w:t>Manual para determinar y verificar los requisitos habilitantes en los Procesos de Contratación – ANCP Colombia Compra Eficiente</w:t>
        </w:r>
      </w:hyperlink>
    </w:p>
    <w:p w14:paraId="0924B7E0" w14:textId="77777777" w:rsidR="00DD3C23" w:rsidRPr="005474E6" w:rsidRDefault="00DD3C23" w:rsidP="00DD3C23">
      <w:pPr>
        <w:pStyle w:val="Textonotapie"/>
        <w:ind w:firstLine="708"/>
        <w:rPr>
          <w:rFonts w:ascii="Verdana" w:hAnsi="Verdana"/>
          <w:color w:val="0000FF"/>
          <w:sz w:val="16"/>
          <w:szCs w:val="16"/>
          <w:u w:val="single"/>
        </w:rPr>
      </w:pPr>
    </w:p>
  </w:footnote>
  <w:footnote w:id="10">
    <w:p w14:paraId="60AED222" w14:textId="77777777" w:rsidR="00DD3C23" w:rsidRPr="007F247E" w:rsidRDefault="00DD3C23" w:rsidP="00DD3C23">
      <w:pPr>
        <w:pStyle w:val="Textonotapie"/>
        <w:ind w:firstLine="708"/>
        <w:rPr>
          <w:rFonts w:ascii="Verdana" w:hAnsi="Verdana"/>
          <w:sz w:val="16"/>
          <w:szCs w:val="16"/>
          <w:lang w:val="es-ES"/>
        </w:rPr>
      </w:pPr>
      <w:r w:rsidRPr="007F247E">
        <w:rPr>
          <w:rStyle w:val="Refdenotaalpie"/>
          <w:rFonts w:ascii="Verdana" w:hAnsi="Verdana"/>
          <w:sz w:val="16"/>
          <w:szCs w:val="16"/>
        </w:rPr>
        <w:footnoteRef/>
      </w:r>
      <w:r w:rsidRPr="007F247E">
        <w:rPr>
          <w:rFonts w:ascii="Verdana" w:hAnsi="Verdana"/>
          <w:sz w:val="16"/>
          <w:szCs w:val="16"/>
        </w:rPr>
        <w:t xml:space="preserve"> Ibídem., p. 14. </w:t>
      </w:r>
    </w:p>
  </w:footnote>
  <w:footnote w:id="11">
    <w:p w14:paraId="2DC04050" w14:textId="77777777" w:rsidR="00DD3C23" w:rsidRPr="00577109" w:rsidRDefault="00DD3C23" w:rsidP="00DD3C23">
      <w:pPr>
        <w:pStyle w:val="Textonotapie"/>
        <w:ind w:firstLine="708"/>
        <w:jc w:val="both"/>
        <w:rPr>
          <w:rFonts w:ascii="Verdana" w:hAnsi="Verdana"/>
          <w:sz w:val="16"/>
          <w:szCs w:val="16"/>
        </w:rPr>
      </w:pPr>
      <w:r>
        <w:rPr>
          <w:rStyle w:val="Refdenotaalpie"/>
        </w:rPr>
        <w:footnoteRef/>
      </w:r>
      <w:r>
        <w:t xml:space="preserve"> </w:t>
      </w:r>
      <w:r w:rsidRPr="00577109">
        <w:rPr>
          <w:rFonts w:ascii="Verdana" w:hAnsi="Verdana"/>
          <w:sz w:val="16"/>
          <w:szCs w:val="16"/>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3700E5C" w14:textId="77777777" w:rsidR="00DD3C23" w:rsidRPr="00577109" w:rsidRDefault="00DD3C23" w:rsidP="00DD3C23">
      <w:pPr>
        <w:pStyle w:val="Textonotapie"/>
        <w:ind w:firstLine="708"/>
        <w:jc w:val="both"/>
        <w:rPr>
          <w:rFonts w:ascii="Verdana" w:hAnsi="Verdana"/>
          <w:sz w:val="16"/>
          <w:szCs w:val="16"/>
        </w:rPr>
      </w:pPr>
      <w:r w:rsidRPr="00577109">
        <w:rPr>
          <w:rFonts w:ascii="Verdana" w:hAnsi="Verdana"/>
          <w:sz w:val="16"/>
          <w:szCs w:val="16"/>
        </w:rPr>
        <w:t>1.</w:t>
      </w:r>
      <w:r w:rsidRPr="00577109">
        <w:rPr>
          <w:rFonts w:ascii="Verdana" w:hAnsi="Verdana"/>
          <w:sz w:val="16"/>
          <w:szCs w:val="16"/>
        </w:rPr>
        <w:tab/>
        <w:t>Si es una persona natural:</w:t>
      </w:r>
    </w:p>
    <w:p w14:paraId="3CE3BC55" w14:textId="77777777" w:rsidR="00DD3C23" w:rsidRPr="00577109" w:rsidRDefault="00DD3C23" w:rsidP="00DD3C23">
      <w:pPr>
        <w:pStyle w:val="Textonotapie"/>
        <w:ind w:firstLine="708"/>
        <w:jc w:val="both"/>
        <w:rPr>
          <w:rFonts w:ascii="Verdana" w:hAnsi="Verdana"/>
          <w:sz w:val="16"/>
          <w:szCs w:val="16"/>
        </w:rPr>
      </w:pPr>
      <w:r w:rsidRPr="00577109">
        <w:rPr>
          <w:rFonts w:ascii="Verdana" w:hAnsi="Verdana"/>
          <w:sz w:val="16"/>
          <w:szCs w:val="16"/>
        </w:rPr>
        <w:t>1.1.</w:t>
      </w:r>
      <w:r w:rsidRPr="00577109">
        <w:rPr>
          <w:rFonts w:ascii="Verdana" w:hAnsi="Verdana"/>
          <w:sz w:val="16"/>
          <w:szCs w:val="16"/>
        </w:rPr>
        <w:tab/>
        <w:t>Bienes, obras y servicios que ofrecerá a las Entidades Estatales, identificados con el Clasificador de Bienes y Servicios en el tercer nivel.</w:t>
      </w:r>
    </w:p>
    <w:p w14:paraId="07BCEBB7" w14:textId="77777777" w:rsidR="00DD3C23" w:rsidRPr="005474E6" w:rsidRDefault="00DD3C23" w:rsidP="00DD3C23">
      <w:pPr>
        <w:pStyle w:val="Textonotapie"/>
        <w:ind w:firstLine="708"/>
        <w:jc w:val="both"/>
        <w:rPr>
          <w:lang w:val="es-CO"/>
        </w:rPr>
      </w:pPr>
      <w:r w:rsidRPr="00577109">
        <w:rPr>
          <w:rFonts w:ascii="Verdana" w:hAnsi="Verdana"/>
          <w:sz w:val="16"/>
          <w:szCs w:val="16"/>
        </w:rPr>
        <w:t>1.2.</w:t>
      </w:r>
      <w:r w:rsidRPr="00577109">
        <w:rPr>
          <w:rFonts w:ascii="Verdana" w:hAnsi="Verdana"/>
          <w:sz w:val="16"/>
          <w:szCs w:val="16"/>
        </w:rPr>
        <w:tab/>
        <w:t>Certificados de la experiencia en la provisión de los bienes, obras y servicios que ofrecerá a las Entidades Estatales, los cuales deben ser expedidos por terceros que hayan recibido tales bienes, obras o servicios y deben corresponde 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 w:id="12">
    <w:p w14:paraId="75AB6EFE" w14:textId="77777777" w:rsidR="00DD3C23" w:rsidRPr="008849FF" w:rsidRDefault="00DD3C23" w:rsidP="00DD3C23">
      <w:pPr>
        <w:pStyle w:val="Textonotapie"/>
        <w:ind w:firstLine="708"/>
        <w:rPr>
          <w:rFonts w:ascii="Verdana" w:hAnsi="Verdana"/>
          <w:sz w:val="16"/>
          <w:szCs w:val="16"/>
        </w:rPr>
      </w:pPr>
      <w:r w:rsidRPr="007F247E">
        <w:rPr>
          <w:rStyle w:val="Refdenotaalpie"/>
          <w:rFonts w:ascii="Verdana" w:hAnsi="Verdana"/>
          <w:sz w:val="16"/>
          <w:szCs w:val="16"/>
        </w:rPr>
        <w:footnoteRef/>
      </w:r>
      <w:r w:rsidRPr="007F247E">
        <w:rPr>
          <w:rFonts w:ascii="Verdana" w:hAnsi="Verdana"/>
          <w:sz w:val="16"/>
          <w:szCs w:val="16"/>
        </w:rPr>
        <w:t xml:space="preserve"> Ibídem., p. 5.</w:t>
      </w:r>
      <w:r w:rsidRPr="008849F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1708832">
    <w:abstractNumId w:val="5"/>
  </w:num>
  <w:num w:numId="2" w16cid:durableId="1987853449">
    <w:abstractNumId w:val="1"/>
  </w:num>
  <w:num w:numId="3" w16cid:durableId="373702934">
    <w:abstractNumId w:val="3"/>
  </w:num>
  <w:num w:numId="4" w16cid:durableId="3566605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6336100">
    <w:abstractNumId w:val="1"/>
  </w:num>
  <w:num w:numId="6" w16cid:durableId="2013799938">
    <w:abstractNumId w:val="12"/>
  </w:num>
  <w:num w:numId="7" w16cid:durableId="1600406598">
    <w:abstractNumId w:val="4"/>
  </w:num>
  <w:num w:numId="8" w16cid:durableId="151412154">
    <w:abstractNumId w:val="11"/>
  </w:num>
  <w:num w:numId="9" w16cid:durableId="295262662">
    <w:abstractNumId w:val="6"/>
  </w:num>
  <w:num w:numId="10" w16cid:durableId="212086501">
    <w:abstractNumId w:val="10"/>
  </w:num>
  <w:num w:numId="11" w16cid:durableId="79327442">
    <w:abstractNumId w:val="7"/>
  </w:num>
  <w:num w:numId="12" w16cid:durableId="410781000">
    <w:abstractNumId w:val="0"/>
  </w:num>
  <w:num w:numId="13" w16cid:durableId="1558082455">
    <w:abstractNumId w:val="2"/>
  </w:num>
  <w:num w:numId="14" w16cid:durableId="865169170">
    <w:abstractNumId w:val="13"/>
  </w:num>
  <w:num w:numId="15" w16cid:durableId="1406142597">
    <w:abstractNumId w:val="9"/>
  </w:num>
  <w:num w:numId="16" w16cid:durableId="8508756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F12"/>
    <w:rsid w:val="00016F78"/>
    <w:rsid w:val="00046945"/>
    <w:rsid w:val="00051C94"/>
    <w:rsid w:val="00061B2A"/>
    <w:rsid w:val="00082362"/>
    <w:rsid w:val="000A683E"/>
    <w:rsid w:val="000B19B9"/>
    <w:rsid w:val="000C7993"/>
    <w:rsid w:val="000D0334"/>
    <w:rsid w:val="000D5DA7"/>
    <w:rsid w:val="000F6486"/>
    <w:rsid w:val="001116C7"/>
    <w:rsid w:val="00114AAE"/>
    <w:rsid w:val="00116940"/>
    <w:rsid w:val="00125105"/>
    <w:rsid w:val="0012700C"/>
    <w:rsid w:val="00127233"/>
    <w:rsid w:val="001401E5"/>
    <w:rsid w:val="0015699B"/>
    <w:rsid w:val="001A33BF"/>
    <w:rsid w:val="001D2B8B"/>
    <w:rsid w:val="001E4177"/>
    <w:rsid w:val="001F0B24"/>
    <w:rsid w:val="001F4255"/>
    <w:rsid w:val="001F7DC6"/>
    <w:rsid w:val="00204587"/>
    <w:rsid w:val="0022400B"/>
    <w:rsid w:val="00236050"/>
    <w:rsid w:val="002421BB"/>
    <w:rsid w:val="00242DA8"/>
    <w:rsid w:val="0025796E"/>
    <w:rsid w:val="00265A66"/>
    <w:rsid w:val="002707A2"/>
    <w:rsid w:val="002951A0"/>
    <w:rsid w:val="002962BC"/>
    <w:rsid w:val="002A093D"/>
    <w:rsid w:val="002A0DD0"/>
    <w:rsid w:val="002A132F"/>
    <w:rsid w:val="002A49AC"/>
    <w:rsid w:val="002A64FD"/>
    <w:rsid w:val="002B3F68"/>
    <w:rsid w:val="002C7A84"/>
    <w:rsid w:val="002D21A2"/>
    <w:rsid w:val="002E2BF8"/>
    <w:rsid w:val="002E4FD9"/>
    <w:rsid w:val="00302529"/>
    <w:rsid w:val="0030657A"/>
    <w:rsid w:val="00322A85"/>
    <w:rsid w:val="00324168"/>
    <w:rsid w:val="00330834"/>
    <w:rsid w:val="003448F4"/>
    <w:rsid w:val="00374F5E"/>
    <w:rsid w:val="00377E3E"/>
    <w:rsid w:val="00397B8A"/>
    <w:rsid w:val="003A779E"/>
    <w:rsid w:val="003D0F4D"/>
    <w:rsid w:val="003D5B0D"/>
    <w:rsid w:val="003E0499"/>
    <w:rsid w:val="003E4F80"/>
    <w:rsid w:val="003E6439"/>
    <w:rsid w:val="003F3941"/>
    <w:rsid w:val="00406575"/>
    <w:rsid w:val="00414C74"/>
    <w:rsid w:val="0042722E"/>
    <w:rsid w:val="0044528D"/>
    <w:rsid w:val="00445C39"/>
    <w:rsid w:val="00466E39"/>
    <w:rsid w:val="00487BF6"/>
    <w:rsid w:val="00495F99"/>
    <w:rsid w:val="004A1847"/>
    <w:rsid w:val="004A305D"/>
    <w:rsid w:val="004A5287"/>
    <w:rsid w:val="004B58D8"/>
    <w:rsid w:val="004B632E"/>
    <w:rsid w:val="004F21C4"/>
    <w:rsid w:val="004F685F"/>
    <w:rsid w:val="00521CC3"/>
    <w:rsid w:val="005228E6"/>
    <w:rsid w:val="005566E8"/>
    <w:rsid w:val="00560B5F"/>
    <w:rsid w:val="0057197E"/>
    <w:rsid w:val="00574867"/>
    <w:rsid w:val="005840E5"/>
    <w:rsid w:val="00591460"/>
    <w:rsid w:val="005A65E0"/>
    <w:rsid w:val="005C3777"/>
    <w:rsid w:val="005C5CDC"/>
    <w:rsid w:val="005C6B77"/>
    <w:rsid w:val="005D476C"/>
    <w:rsid w:val="006200BF"/>
    <w:rsid w:val="006219F8"/>
    <w:rsid w:val="006302F7"/>
    <w:rsid w:val="00646B9F"/>
    <w:rsid w:val="00665D70"/>
    <w:rsid w:val="006900D9"/>
    <w:rsid w:val="006A383F"/>
    <w:rsid w:val="006C155B"/>
    <w:rsid w:val="006D4AFF"/>
    <w:rsid w:val="00706C16"/>
    <w:rsid w:val="0071552B"/>
    <w:rsid w:val="0071761C"/>
    <w:rsid w:val="007340C3"/>
    <w:rsid w:val="0075235A"/>
    <w:rsid w:val="00756841"/>
    <w:rsid w:val="007649AB"/>
    <w:rsid w:val="00764A95"/>
    <w:rsid w:val="00771D0C"/>
    <w:rsid w:val="007833AC"/>
    <w:rsid w:val="007B268C"/>
    <w:rsid w:val="007B7171"/>
    <w:rsid w:val="007C0C0F"/>
    <w:rsid w:val="007C3DC2"/>
    <w:rsid w:val="007D7E12"/>
    <w:rsid w:val="007E5497"/>
    <w:rsid w:val="00806F5F"/>
    <w:rsid w:val="00807956"/>
    <w:rsid w:val="00820278"/>
    <w:rsid w:val="008258C9"/>
    <w:rsid w:val="00844AE9"/>
    <w:rsid w:val="00867F95"/>
    <w:rsid w:val="008843B6"/>
    <w:rsid w:val="00891928"/>
    <w:rsid w:val="008A446D"/>
    <w:rsid w:val="008B25F1"/>
    <w:rsid w:val="008D180B"/>
    <w:rsid w:val="008E422F"/>
    <w:rsid w:val="008E74DB"/>
    <w:rsid w:val="008F0EA7"/>
    <w:rsid w:val="00912AD5"/>
    <w:rsid w:val="00923EEF"/>
    <w:rsid w:val="009419F9"/>
    <w:rsid w:val="00952F4E"/>
    <w:rsid w:val="0095685E"/>
    <w:rsid w:val="00961B09"/>
    <w:rsid w:val="00965334"/>
    <w:rsid w:val="0097093E"/>
    <w:rsid w:val="00972FF7"/>
    <w:rsid w:val="0099059E"/>
    <w:rsid w:val="009974E3"/>
    <w:rsid w:val="009A0DFA"/>
    <w:rsid w:val="009A1C6F"/>
    <w:rsid w:val="009B2D26"/>
    <w:rsid w:val="009B7242"/>
    <w:rsid w:val="009C32F9"/>
    <w:rsid w:val="009C71FA"/>
    <w:rsid w:val="009C72E7"/>
    <w:rsid w:val="009C7F7E"/>
    <w:rsid w:val="009D3058"/>
    <w:rsid w:val="009F3A13"/>
    <w:rsid w:val="00A122D3"/>
    <w:rsid w:val="00A14468"/>
    <w:rsid w:val="00A17F13"/>
    <w:rsid w:val="00A20739"/>
    <w:rsid w:val="00A23AF9"/>
    <w:rsid w:val="00A33C78"/>
    <w:rsid w:val="00A3455D"/>
    <w:rsid w:val="00A579DE"/>
    <w:rsid w:val="00AA15AA"/>
    <w:rsid w:val="00AB0ADB"/>
    <w:rsid w:val="00AC318B"/>
    <w:rsid w:val="00AC5BA2"/>
    <w:rsid w:val="00B00C0E"/>
    <w:rsid w:val="00B01B1A"/>
    <w:rsid w:val="00B0381D"/>
    <w:rsid w:val="00B3780A"/>
    <w:rsid w:val="00B44A47"/>
    <w:rsid w:val="00B60C98"/>
    <w:rsid w:val="00B66DF3"/>
    <w:rsid w:val="00B72CD3"/>
    <w:rsid w:val="00B72FFF"/>
    <w:rsid w:val="00BC3D36"/>
    <w:rsid w:val="00BD54A6"/>
    <w:rsid w:val="00BD7F72"/>
    <w:rsid w:val="00BE076D"/>
    <w:rsid w:val="00BF7425"/>
    <w:rsid w:val="00C04FB3"/>
    <w:rsid w:val="00C11D8B"/>
    <w:rsid w:val="00C15139"/>
    <w:rsid w:val="00C330EB"/>
    <w:rsid w:val="00C50D69"/>
    <w:rsid w:val="00C5365C"/>
    <w:rsid w:val="00C73854"/>
    <w:rsid w:val="00C754BE"/>
    <w:rsid w:val="00C76B1C"/>
    <w:rsid w:val="00C925AC"/>
    <w:rsid w:val="00C94883"/>
    <w:rsid w:val="00CB6357"/>
    <w:rsid w:val="00CC1B26"/>
    <w:rsid w:val="00CF60D3"/>
    <w:rsid w:val="00D361FD"/>
    <w:rsid w:val="00D423A2"/>
    <w:rsid w:val="00D44E26"/>
    <w:rsid w:val="00D520D8"/>
    <w:rsid w:val="00D63AC2"/>
    <w:rsid w:val="00D7383B"/>
    <w:rsid w:val="00D7788A"/>
    <w:rsid w:val="00DA231B"/>
    <w:rsid w:val="00DB42DB"/>
    <w:rsid w:val="00DC39FC"/>
    <w:rsid w:val="00DC5B16"/>
    <w:rsid w:val="00DD3C23"/>
    <w:rsid w:val="00DE65A7"/>
    <w:rsid w:val="00DF5254"/>
    <w:rsid w:val="00E02524"/>
    <w:rsid w:val="00E05154"/>
    <w:rsid w:val="00E076FC"/>
    <w:rsid w:val="00E16408"/>
    <w:rsid w:val="00E20894"/>
    <w:rsid w:val="00E245AB"/>
    <w:rsid w:val="00E2764C"/>
    <w:rsid w:val="00E27F2E"/>
    <w:rsid w:val="00E50AFE"/>
    <w:rsid w:val="00E56A27"/>
    <w:rsid w:val="00E75C92"/>
    <w:rsid w:val="00E771DC"/>
    <w:rsid w:val="00E8772A"/>
    <w:rsid w:val="00E90F6B"/>
    <w:rsid w:val="00E92C27"/>
    <w:rsid w:val="00EA0E3D"/>
    <w:rsid w:val="00EB6AE8"/>
    <w:rsid w:val="00EC38A7"/>
    <w:rsid w:val="00EE1AA8"/>
    <w:rsid w:val="00F23FEA"/>
    <w:rsid w:val="00F31EDC"/>
    <w:rsid w:val="00F462B3"/>
    <w:rsid w:val="00F4782C"/>
    <w:rsid w:val="00F5664F"/>
    <w:rsid w:val="00F666C4"/>
    <w:rsid w:val="00F76AFC"/>
    <w:rsid w:val="00F80E31"/>
    <w:rsid w:val="00FA47C0"/>
    <w:rsid w:val="00FB50A7"/>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B90EC95-6A40-416A-9BC5-4B881B07C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D3C23"/>
    <w:pPr>
      <w:spacing w:line="240" w:lineRule="exact"/>
    </w:pPr>
    <w:rPr>
      <w:vertAlign w:val="superscript"/>
    </w:rPr>
  </w:style>
  <w:style w:type="character" w:customStyle="1" w:styleId="s15">
    <w:name w:val="s15"/>
    <w:basedOn w:val="Fuentedeprrafopredeter"/>
    <w:rsid w:val="00DD3C23"/>
  </w:style>
  <w:style w:type="character" w:customStyle="1" w:styleId="apple-converted-space">
    <w:name w:val="apple-converted-space"/>
    <w:basedOn w:val="Fuentedeprrafopredeter"/>
    <w:rsid w:val="00DD3C23"/>
  </w:style>
  <w:style w:type="character" w:styleId="Refdecomentario">
    <w:name w:val="annotation reference"/>
    <w:basedOn w:val="Fuentedeprrafopredeter"/>
    <w:uiPriority w:val="99"/>
    <w:semiHidden/>
    <w:unhideWhenUsed/>
    <w:rsid w:val="00CF60D3"/>
    <w:rPr>
      <w:sz w:val="16"/>
      <w:szCs w:val="16"/>
    </w:rPr>
  </w:style>
  <w:style w:type="paragraph" w:styleId="Textocomentario">
    <w:name w:val="annotation text"/>
    <w:basedOn w:val="Normal"/>
    <w:link w:val="TextocomentarioCar"/>
    <w:uiPriority w:val="99"/>
    <w:semiHidden/>
    <w:unhideWhenUsed/>
    <w:rsid w:val="00CF60D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F60D3"/>
    <w:rPr>
      <w:sz w:val="20"/>
      <w:szCs w:val="20"/>
    </w:rPr>
  </w:style>
  <w:style w:type="paragraph" w:styleId="Asuntodelcomentario">
    <w:name w:val="annotation subject"/>
    <w:basedOn w:val="Textocomentario"/>
    <w:next w:val="Textocomentario"/>
    <w:link w:val="AsuntodelcomentarioCar"/>
    <w:uiPriority w:val="99"/>
    <w:semiHidden/>
    <w:unhideWhenUsed/>
    <w:rsid w:val="00CF60D3"/>
    <w:rPr>
      <w:b/>
      <w:bCs/>
    </w:rPr>
  </w:style>
  <w:style w:type="character" w:customStyle="1" w:styleId="AsuntodelcomentarioCar">
    <w:name w:val="Asunto del comentario Car"/>
    <w:basedOn w:val="TextocomentarioCar"/>
    <w:link w:val="Asuntodelcomentario"/>
    <w:uiPriority w:val="99"/>
    <w:semiHidden/>
    <w:rsid w:val="00CF60D3"/>
    <w:rPr>
      <w:b/>
      <w:bCs/>
      <w:sz w:val="20"/>
      <w:szCs w:val="20"/>
    </w:rPr>
  </w:style>
  <w:style w:type="character" w:styleId="Fuerte">
    <w:name w:val="Strong"/>
    <w:basedOn w:val="Fuentedeprrafopredeter"/>
    <w:uiPriority w:val="22"/>
    <w:qFormat/>
    <w:rsid w:val="00DB42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451057">
      <w:bodyDiv w:val="1"/>
      <w:marLeft w:val="0"/>
      <w:marRight w:val="0"/>
      <w:marTop w:val="0"/>
      <w:marBottom w:val="0"/>
      <w:divBdr>
        <w:top w:val="none" w:sz="0" w:space="0" w:color="auto"/>
        <w:left w:val="none" w:sz="0" w:space="0" w:color="auto"/>
        <w:bottom w:val="none" w:sz="0" w:space="0" w:color="auto"/>
        <w:right w:val="none" w:sz="0" w:space="0" w:color="auto"/>
      </w:divBdr>
      <w:divsChild>
        <w:div w:id="272634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799451158">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atosamazu@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B7598AF-A9B2-476D-B988-6285AFDDD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5679</Words>
  <Characters>31239</Characters>
  <Application>Microsoft Office Word</Application>
  <DocSecurity>0</DocSecurity>
  <Lines>260</Lines>
  <Paragraphs>73</Paragraphs>
  <ScaleCrop>false</ScaleCrop>
  <Company/>
  <LinksUpToDate>false</LinksUpToDate>
  <CharactersWithSpaces>36845</CharactersWithSpaces>
  <SharedDoc>false</SharedDoc>
  <HLinks>
    <vt:vector size="48" baseType="variant">
      <vt:variant>
        <vt:i4>2687010</vt:i4>
      </vt:variant>
      <vt:variant>
        <vt:i4>18</vt:i4>
      </vt:variant>
      <vt:variant>
        <vt:i4>0</vt:i4>
      </vt:variant>
      <vt:variant>
        <vt:i4>5</vt:i4>
      </vt:variant>
      <vt:variant>
        <vt:lpwstr>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vt:lpwstr>
      </vt:variant>
      <vt:variant>
        <vt:lpwstr/>
      </vt:variant>
      <vt:variant>
        <vt:i4>3014777</vt:i4>
      </vt:variant>
      <vt:variant>
        <vt:i4>15</vt:i4>
      </vt:variant>
      <vt:variant>
        <vt:i4>0</vt:i4>
      </vt:variant>
      <vt:variant>
        <vt:i4>5</vt:i4>
      </vt:variant>
      <vt:variant>
        <vt:lpwstr>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vt:lpwstr>
      </vt:variant>
      <vt:variant>
        <vt:lpwstr/>
      </vt:variant>
      <vt:variant>
        <vt:i4>3080313</vt:i4>
      </vt:variant>
      <vt:variant>
        <vt:i4>12</vt:i4>
      </vt:variant>
      <vt:variant>
        <vt:i4>0</vt:i4>
      </vt:variant>
      <vt:variant>
        <vt:i4>5</vt:i4>
      </vt:variant>
      <vt:variant>
        <vt:lpwstr>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vt:lpwstr>
      </vt:variant>
      <vt:variant>
        <vt:lpwstr/>
      </vt:variant>
      <vt:variant>
        <vt:i4>7798893</vt:i4>
      </vt:variant>
      <vt:variant>
        <vt:i4>9</vt:i4>
      </vt:variant>
      <vt:variant>
        <vt:i4>0</vt:i4>
      </vt:variant>
      <vt:variant>
        <vt:i4>5</vt:i4>
      </vt:variant>
      <vt:variant>
        <vt:lpwstr>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65617</vt:i4>
      </vt:variant>
      <vt:variant>
        <vt:i4>3</vt:i4>
      </vt:variant>
      <vt:variant>
        <vt:i4>0</vt:i4>
      </vt:variant>
      <vt:variant>
        <vt:i4>5</vt:i4>
      </vt:variant>
      <vt:variant>
        <vt:lpwstr>https://www.colombiacompra.gov.co/archivos/manual/manual-para-determinar-y-verificar-los-requisitos-habilitantes-en-los-procesos-de-contratacion</vt:lpwstr>
      </vt:variant>
      <vt:variant>
        <vt:lpwstr/>
      </vt:variant>
      <vt:variant>
        <vt:i4>524323</vt:i4>
      </vt:variant>
      <vt:variant>
        <vt:i4>0</vt:i4>
      </vt:variant>
      <vt:variant>
        <vt:i4>0</vt:i4>
      </vt:variant>
      <vt:variant>
        <vt:i4>5</vt:i4>
      </vt:variant>
      <vt:variant>
        <vt:lpwstr>mailto:contratosamazu@gmail.com</vt:lpwstr>
      </vt:variant>
      <vt:variant>
        <vt:lpwstr/>
      </vt:variant>
      <vt:variant>
        <vt:i4>65617</vt:i4>
      </vt:variant>
      <vt:variant>
        <vt:i4>0</vt:i4>
      </vt:variant>
      <vt:variant>
        <vt:i4>0</vt:i4>
      </vt:variant>
      <vt:variant>
        <vt:i4>5</vt:i4>
      </vt:variant>
      <vt:variant>
        <vt:lpwstr>https://www.colombiacompra.gov.co/archivos/manual/manual-para-determinar-y-verificar-los-requisitos-habilitantes-en-los-procesos-de-contratacion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3</cp:revision>
  <cp:lastPrinted>2023-01-10T21:18:00Z</cp:lastPrinted>
  <dcterms:created xsi:type="dcterms:W3CDTF">2026-09-15T15:51:00Z</dcterms:created>
  <dcterms:modified xsi:type="dcterms:W3CDTF">2026-09-15T15:54:00Z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