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D99C8" w14:textId="77777777" w:rsidR="00D547C9" w:rsidRPr="005A1B87" w:rsidRDefault="00D547C9" w:rsidP="00D547C9">
      <w:pPr>
        <w:spacing w:after="0" w:line="240" w:lineRule="auto"/>
        <w:jc w:val="both"/>
        <w:rPr>
          <w:rFonts w:ascii="Verdana" w:eastAsia="Calibri" w:hAnsi="Verdana" w:cs="Arial"/>
          <w:b/>
          <w:lang w:val="es-ES"/>
        </w:rPr>
      </w:pPr>
      <w:r w:rsidRPr="00691414">
        <w:rPr>
          <w:rFonts w:ascii="Verdana" w:eastAsia="Calibri" w:hAnsi="Verdana" w:cs="Arial"/>
          <w:b/>
          <w:lang w:val="es-ES"/>
        </w:rPr>
        <w:t>RÉ</w:t>
      </w:r>
      <w:r w:rsidRPr="005A1B87">
        <w:rPr>
          <w:rFonts w:ascii="Verdana" w:eastAsia="Calibri" w:hAnsi="Verdana" w:cs="Arial"/>
          <w:b/>
          <w:lang w:val="es-ES"/>
        </w:rPr>
        <w:t xml:space="preserve">GIMEN DE INHABILIDADES E INCOMPATIBILIDADES – Definición </w:t>
      </w:r>
    </w:p>
    <w:p w14:paraId="78918144" w14:textId="77777777" w:rsidR="00D547C9" w:rsidRPr="005A1B87" w:rsidRDefault="00D547C9" w:rsidP="00D547C9">
      <w:pPr>
        <w:spacing w:after="0" w:line="240" w:lineRule="auto"/>
        <w:jc w:val="both"/>
        <w:rPr>
          <w:rFonts w:ascii="Verdana" w:eastAsia="Calibri" w:hAnsi="Verdana" w:cs="Arial"/>
          <w:b/>
          <w:sz w:val="20"/>
          <w:szCs w:val="20"/>
          <w:lang w:val="es-ES"/>
        </w:rPr>
      </w:pPr>
    </w:p>
    <w:p w14:paraId="01191853" w14:textId="77777777" w:rsidR="00D547C9" w:rsidRPr="005A1B87" w:rsidRDefault="00D547C9" w:rsidP="00D547C9">
      <w:pPr>
        <w:spacing w:after="0" w:line="240" w:lineRule="auto"/>
        <w:jc w:val="both"/>
        <w:rPr>
          <w:rFonts w:ascii="Verdana" w:eastAsia="Calibri" w:hAnsi="Verdana" w:cs="Arial"/>
          <w:b/>
          <w:sz w:val="20"/>
          <w:szCs w:val="20"/>
          <w:lang w:val="es-ES"/>
        </w:rPr>
      </w:pPr>
      <w:r w:rsidRPr="005A1B87">
        <w:rPr>
          <w:rFonts w:ascii="Verdana" w:hAnsi="Verdana" w:cs="Arial"/>
          <w:sz w:val="20"/>
          <w:szCs w:val="20"/>
        </w:rPr>
        <w:t>[…] Las inhabilidades e incompatibilidades son circunstancias establecidas por la Constitución o la ley que impiden la posibilidad de que ciertas personas sean elegidas o designadas en un cargo público o puedan celebrar contratos con el Estado, con el objetivo de garantizar la idoneidad, imparcialidad, probidad, transparencia y moralidad de la gestión pública.  El régimen de inhabilidades e incompatibilidades para contratar con el Estado es un conjunto de restricciones establecidas por el constituyente o por el legislador que afectan directamente la capacidad de las personas para establecer una relación jurídica contractual con el Estado, que pueden resultar de condenas, sanciones o situaciones previamente establecidas por el ordenamiento jurídico. Estas restricciones o limitaciones que afectan la capacidad jurídica de las personas para contratar realizan los principios de la función administrativa, consagrados en el artículo 209 de la Constitución Política, con especial énfasis en el de moralidad […]</w:t>
      </w:r>
    </w:p>
    <w:p w14:paraId="3AC6DD21" w14:textId="77777777" w:rsidR="00D547C9" w:rsidRPr="005A1B87" w:rsidRDefault="00D547C9" w:rsidP="00D547C9">
      <w:pPr>
        <w:spacing w:after="0" w:line="240" w:lineRule="auto"/>
        <w:jc w:val="both"/>
        <w:rPr>
          <w:rFonts w:ascii="Verdana" w:eastAsia="Calibri" w:hAnsi="Verdana" w:cs="Arial"/>
          <w:b/>
          <w:color w:val="4472C4" w:themeColor="accent1"/>
          <w:lang w:val="es-ES"/>
        </w:rPr>
      </w:pPr>
    </w:p>
    <w:p w14:paraId="7A1DFE92" w14:textId="77777777" w:rsidR="00D547C9" w:rsidRPr="005A1B87" w:rsidRDefault="00D547C9" w:rsidP="00D547C9">
      <w:pPr>
        <w:spacing w:after="0" w:line="240" w:lineRule="auto"/>
        <w:jc w:val="both"/>
        <w:rPr>
          <w:rFonts w:ascii="Verdana" w:eastAsia="Calibri" w:hAnsi="Verdana" w:cs="Arial"/>
          <w:b/>
          <w:lang w:val="es-ES"/>
        </w:rPr>
      </w:pPr>
      <w:r w:rsidRPr="005A1B87">
        <w:rPr>
          <w:rFonts w:ascii="Verdana" w:eastAsia="Calibri" w:hAnsi="Verdana" w:cs="Arial"/>
          <w:b/>
          <w:lang w:val="es-ES"/>
        </w:rPr>
        <w:t xml:space="preserve">RÉGIMEN DE INHABILIDADES E INCOMPATIBILIDADES – Taxatividad – Interpretación restrictiva </w:t>
      </w:r>
    </w:p>
    <w:p w14:paraId="6BBC2C8F" w14:textId="77777777" w:rsidR="00D547C9" w:rsidRPr="005A1B87" w:rsidRDefault="00D547C9" w:rsidP="00D547C9">
      <w:pPr>
        <w:spacing w:after="0" w:line="240" w:lineRule="auto"/>
        <w:jc w:val="both"/>
        <w:rPr>
          <w:rFonts w:ascii="Verdana" w:eastAsia="Calibri" w:hAnsi="Verdana" w:cs="Arial"/>
          <w:b/>
          <w:lang w:val="es-ES"/>
        </w:rPr>
      </w:pPr>
    </w:p>
    <w:p w14:paraId="2D065E2A" w14:textId="77777777" w:rsidR="00D547C9" w:rsidRPr="005A1B87" w:rsidRDefault="00D547C9" w:rsidP="00D547C9">
      <w:pPr>
        <w:spacing w:after="0" w:line="240" w:lineRule="auto"/>
        <w:jc w:val="both"/>
        <w:rPr>
          <w:rFonts w:ascii="Verdana" w:eastAsia="Calibri" w:hAnsi="Verdana" w:cs="Arial"/>
          <w:b/>
          <w:sz w:val="20"/>
          <w:szCs w:val="20"/>
          <w:lang w:val="es-ES"/>
        </w:rPr>
      </w:pPr>
      <w:r w:rsidRPr="005A1B87">
        <w:rPr>
          <w:rFonts w:ascii="Verdana" w:eastAsia="Calibri" w:hAnsi="Verdana" w:cs="Arial"/>
          <w:bCs/>
          <w:sz w:val="20"/>
          <w:szCs w:val="20"/>
          <w:lang w:val="es-ES"/>
        </w:rPr>
        <w:t xml:space="preserve">[…] </w:t>
      </w:r>
      <w:r w:rsidRPr="005A1B87">
        <w:rPr>
          <w:rFonts w:ascii="Verdana" w:eastAsia="Calibri" w:hAnsi="Verdana" w:cs="Arial"/>
          <w:sz w:val="20"/>
          <w:szCs w:val="20"/>
          <w:lang w:val="es-ES_tradnl"/>
        </w:rPr>
        <w:t xml:space="preserve">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5A1B87">
        <w:rPr>
          <w:rFonts w:ascii="Verdana" w:eastAsia="Calibri" w:hAnsi="Verdana" w:cs="Arial"/>
          <w:i/>
          <w:iCs/>
          <w:sz w:val="20"/>
          <w:szCs w:val="20"/>
          <w:lang w:val="es-ES_tradnl"/>
        </w:rPr>
        <w:t xml:space="preserve">restrictiva, </w:t>
      </w:r>
      <w:r w:rsidRPr="005A1B87">
        <w:rPr>
          <w:rFonts w:ascii="Verdana" w:eastAsia="Calibri" w:hAnsi="Verdana" w:cs="Arial"/>
          <w:sz w:val="20"/>
          <w:szCs w:val="20"/>
          <w:lang w:val="es-ES_tradnl"/>
        </w:rPr>
        <w:t>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6857409B" w14:textId="77777777" w:rsidR="00D547C9" w:rsidRPr="005A1B87" w:rsidRDefault="00D547C9" w:rsidP="00D547C9">
      <w:pPr>
        <w:spacing w:after="0"/>
        <w:rPr>
          <w:rFonts w:ascii="Verdana" w:hAnsi="Verdana"/>
          <w:lang w:val="es-ES"/>
        </w:rPr>
      </w:pPr>
    </w:p>
    <w:p w14:paraId="765661DB" w14:textId="77777777" w:rsidR="00D547C9" w:rsidRPr="005A1B87" w:rsidRDefault="00D547C9" w:rsidP="00D547C9">
      <w:pPr>
        <w:spacing w:after="0" w:line="240" w:lineRule="auto"/>
        <w:jc w:val="both"/>
        <w:rPr>
          <w:rFonts w:ascii="Verdana" w:eastAsia="Calibri" w:hAnsi="Verdana" w:cs="Arial"/>
          <w:b/>
          <w:bCs/>
          <w:kern w:val="2"/>
          <w14:ligatures w14:val="standardContextual"/>
        </w:rPr>
      </w:pPr>
      <w:r w:rsidRPr="005A1B87">
        <w:rPr>
          <w:rFonts w:ascii="Verdana" w:eastAsia="Calibri" w:hAnsi="Verdana" w:cs="Arial"/>
          <w:b/>
          <w:lang w:val="es-ES"/>
        </w:rPr>
        <w:t xml:space="preserve">RÉGIMEN DE INHABILIDADES E INCOMPATIBILIDADES </w:t>
      </w:r>
      <w:r w:rsidRPr="005A1B87">
        <w:rPr>
          <w:rFonts w:ascii="Verdana" w:eastAsia="Calibri" w:hAnsi="Verdana" w:cs="Arial"/>
          <w:b/>
          <w:bCs/>
          <w:kern w:val="2"/>
          <w14:ligatures w14:val="standardContextual"/>
        </w:rPr>
        <w:t xml:space="preserve">– Clasificación – Sanción – Proceso sancionatorio – Requisito – Condiciones personales </w:t>
      </w:r>
    </w:p>
    <w:p w14:paraId="6AF50FCF" w14:textId="77777777" w:rsidR="00D547C9" w:rsidRPr="005A1B87" w:rsidRDefault="00D547C9" w:rsidP="00D547C9">
      <w:pPr>
        <w:spacing w:after="0" w:line="240" w:lineRule="auto"/>
        <w:jc w:val="both"/>
        <w:rPr>
          <w:rFonts w:ascii="Verdana" w:eastAsia="Calibri" w:hAnsi="Verdana" w:cs="Arial"/>
          <w:b/>
          <w:bCs/>
          <w:kern w:val="2"/>
          <w14:ligatures w14:val="standardContextual"/>
        </w:rPr>
      </w:pPr>
    </w:p>
    <w:p w14:paraId="566C5EC6" w14:textId="77777777" w:rsidR="00D547C9" w:rsidRPr="005A1B87" w:rsidRDefault="00D547C9" w:rsidP="00D547C9">
      <w:pPr>
        <w:spacing w:after="0" w:line="240" w:lineRule="auto"/>
        <w:jc w:val="both"/>
        <w:rPr>
          <w:rFonts w:ascii="Verdana" w:hAnsi="Verdana" w:cs="Arial"/>
          <w:sz w:val="20"/>
          <w:szCs w:val="20"/>
        </w:rPr>
      </w:pPr>
      <w:r w:rsidRPr="005A1B87">
        <w:rPr>
          <w:rFonts w:ascii="Verdana" w:eastAsia="Calibri" w:hAnsi="Verdana" w:cs="Arial"/>
          <w:kern w:val="2"/>
          <w14:ligatures w14:val="standardContextual"/>
        </w:rPr>
        <w:t xml:space="preserve">[…] </w:t>
      </w:r>
      <w:r w:rsidRPr="005A1B87">
        <w:rPr>
          <w:rFonts w:ascii="Verdana" w:hAnsi="Verdana" w:cs="Arial"/>
          <w:sz w:val="20"/>
          <w:szCs w:val="20"/>
        </w:rPr>
        <w:t>Conviene también distinguir las fuentes de las inhabilidades, las cuales han sido clasificadas en dos (2) grupos: i) inhabilidades-sanción y ii) inhabilidades-requisito. En el primer grupo se encuentran las inhabilidades que surgen como consecuencia de un proceso sancionatorio, en los ámbitos penal, disciplinario, contravencional o de pérdida de investidura. En el segundo grupo están aquellas que no devienen de un proceso sancionatorio, sino de condiciones propias de la persona y garantizan la moralidad, la imparcialidad, la eficacia y la transparencia.</w:t>
      </w:r>
    </w:p>
    <w:p w14:paraId="167CC566" w14:textId="77777777" w:rsidR="00D547C9" w:rsidRPr="005A1B87" w:rsidRDefault="00D547C9" w:rsidP="00D547C9">
      <w:pPr>
        <w:spacing w:after="0" w:line="240" w:lineRule="auto"/>
        <w:jc w:val="both"/>
        <w:rPr>
          <w:rFonts w:ascii="Verdana" w:hAnsi="Verdana" w:cs="Arial"/>
          <w:sz w:val="20"/>
          <w:szCs w:val="20"/>
        </w:rPr>
      </w:pPr>
    </w:p>
    <w:p w14:paraId="4BAD8A02" w14:textId="77777777" w:rsidR="00D547C9" w:rsidRPr="005A1B87" w:rsidRDefault="00D547C9" w:rsidP="00D547C9">
      <w:pPr>
        <w:spacing w:after="0" w:line="240" w:lineRule="auto"/>
        <w:jc w:val="both"/>
        <w:rPr>
          <w:rFonts w:ascii="Verdana" w:eastAsia="Calibri" w:hAnsi="Verdana" w:cs="Arial"/>
          <w:b/>
          <w:bCs/>
          <w:kern w:val="2"/>
          <w:sz w:val="20"/>
          <w:szCs w:val="20"/>
          <w14:ligatures w14:val="standardContextual"/>
        </w:rPr>
      </w:pPr>
      <w:r w:rsidRPr="005A1B87">
        <w:rPr>
          <w:rFonts w:ascii="Verdana" w:hAnsi="Verdana" w:cs="Arial"/>
          <w:sz w:val="20"/>
          <w:szCs w:val="20"/>
        </w:rPr>
        <w:t xml:space="preserve">A manera de ejemplo, en materia contractual, los literales c), d) y j) del numeral 1 del artículo 8 de la Ley 80 de 1993 establecen inhabilidades-sanción, porque la prohibición para contratar con el Estado en esos eventos es una consecuencia de una declaratoria de responsabilidad que surge luego de un proceso sancionatorio –administrativo, disciplinario o penal–; mientras que las inhabilidades de los literales f), g) y h) del literal </w:t>
      </w:r>
      <w:r w:rsidRPr="005A1B87">
        <w:rPr>
          <w:rFonts w:ascii="Verdana" w:hAnsi="Verdana" w:cs="Arial"/>
          <w:sz w:val="20"/>
          <w:szCs w:val="20"/>
        </w:rPr>
        <w:lastRenderedPageBreak/>
        <w:t>1 de la norma citada establecen inhabilidades–requisito, pues no se configuran por la comisión previa de una falta o un delito que dio lugar a una declaratoria por parte de la Administración o el juez, sino de aspectos propios de la persona, derivados, por ejemplo, del parentesco o la afinidad o de la condición de servidor público. En ambos eventos, la inhabilidad tiene como fuente una situación o un hecho propio del proponente –una conducta o una condición– ajena a la oferta. La inhabilidad surge, entre otros, por su grado de parentesco o afinidad, por su condición de servidor público o por una declaratoria de responsabilidad penal, disciplinaria o sancionatoria contractual sobre él. […]</w:t>
      </w:r>
    </w:p>
    <w:p w14:paraId="5B945228" w14:textId="77777777" w:rsidR="00D547C9" w:rsidRPr="005A1B87" w:rsidRDefault="00D547C9" w:rsidP="00D547C9">
      <w:pPr>
        <w:spacing w:after="0" w:line="240" w:lineRule="auto"/>
        <w:contextualSpacing/>
        <w:jc w:val="both"/>
        <w:rPr>
          <w:rFonts w:ascii="Verdana" w:eastAsia="Calibri" w:hAnsi="Verdana" w:cs="Arial"/>
          <w:b/>
          <w:bCs/>
          <w:color w:val="4472C4" w:themeColor="accent1"/>
          <w:lang w:eastAsia="es-ES"/>
        </w:rPr>
      </w:pPr>
    </w:p>
    <w:p w14:paraId="6420A3CB"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533885BA"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3A6F0863"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50A1934F"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619D1344"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61F9022D"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28D55676"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1B62A5BE"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327D1855"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041B3219"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225DABEC"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7E99311B"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55FDD7BC"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064A3C1D"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68F0DED4"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7BA150FD"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76AD0247"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663D4E1C"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58EA6CCD"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345CCC24"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6710487C"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76B99ADB"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4976AD48"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68E28862"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559700A6"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1D00D379"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43BD8367"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5866D3F8"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7BDEAADB"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284D84A1"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40E5CBB6"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4AC4D9F0"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7CE99756"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285FC591"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7D2B00F2" w14:textId="77777777" w:rsidR="00D547C9" w:rsidRPr="005A1B87" w:rsidRDefault="00D547C9" w:rsidP="00D547C9">
      <w:pPr>
        <w:spacing w:after="0" w:line="240" w:lineRule="auto"/>
        <w:contextualSpacing/>
        <w:jc w:val="both"/>
        <w:rPr>
          <w:rFonts w:ascii="Verdana" w:eastAsia="Calibri" w:hAnsi="Verdana" w:cs="Arial"/>
          <w:color w:val="4472C4" w:themeColor="accent1"/>
          <w:sz w:val="20"/>
          <w:szCs w:val="20"/>
          <w:lang w:eastAsia="es-ES"/>
        </w:rPr>
      </w:pPr>
    </w:p>
    <w:p w14:paraId="75D049BC" w14:textId="77777777" w:rsidR="00D547C9" w:rsidRPr="005A1B87" w:rsidRDefault="00D547C9" w:rsidP="00D547C9">
      <w:pPr>
        <w:spacing w:after="0"/>
        <w:rPr>
          <w:rFonts w:ascii="Verdana" w:eastAsia="Calibri" w:hAnsi="Verdana" w:cs="Arial"/>
          <w:color w:val="4472C4" w:themeColor="accent1"/>
          <w:sz w:val="20"/>
          <w:szCs w:val="20"/>
          <w:lang w:eastAsia="es-ES"/>
        </w:rPr>
      </w:pPr>
    </w:p>
    <w:p w14:paraId="4FACF40B" w14:textId="1F2B0275" w:rsidR="00D547C9" w:rsidRPr="00DA36EE" w:rsidRDefault="00D547C9" w:rsidP="00D547C9">
      <w:pPr>
        <w:spacing w:after="0"/>
        <w:rPr>
          <w:rFonts w:ascii="Verdana" w:hAnsi="Verdana"/>
        </w:rPr>
      </w:pPr>
      <w:r w:rsidRPr="005A1B87">
        <w:rPr>
          <w:rFonts w:ascii="Verdana" w:hAnsi="Verdana"/>
        </w:rPr>
        <w:lastRenderedPageBreak/>
        <w:t xml:space="preserve">Bogotá D.C., </w:t>
      </w:r>
      <w:r w:rsidR="00AE4DE4">
        <w:rPr>
          <w:rFonts w:ascii="Verdana" w:hAnsi="Verdana"/>
        </w:rPr>
        <w:t>07 Septiembre 2026</w:t>
      </w:r>
    </w:p>
    <w:p w14:paraId="3D85C53F" w14:textId="77777777" w:rsidR="00260967" w:rsidRPr="005A1B87" w:rsidRDefault="00260967" w:rsidP="00D547C9">
      <w:pPr>
        <w:spacing w:after="0"/>
        <w:rPr>
          <w:rFonts w:ascii="Verdana" w:hAnsi="Verdana"/>
          <w:lang w:val="es-ES"/>
        </w:rPr>
      </w:pPr>
    </w:p>
    <w:p w14:paraId="391B330C" w14:textId="747160FE" w:rsidR="00D547C9" w:rsidRPr="005A1B87" w:rsidRDefault="00D547C9" w:rsidP="00D547C9">
      <w:pPr>
        <w:spacing w:after="0" w:line="240" w:lineRule="auto"/>
        <w:rPr>
          <w:rFonts w:ascii="Verdana" w:hAnsi="Verdana"/>
          <w:lang w:val="es-ES"/>
        </w:rPr>
      </w:pPr>
      <w:bookmarkStart w:id="0" w:name="_Hlk143780582"/>
      <w:r w:rsidRPr="005A1B87">
        <w:rPr>
          <w:rFonts w:ascii="Verdana" w:eastAsia="Calibri" w:hAnsi="Verdana" w:cs="Arial"/>
          <w:lang w:val="es-ES" w:eastAsia="es-ES"/>
        </w:rPr>
        <w:t>Señora</w:t>
      </w:r>
    </w:p>
    <w:p w14:paraId="63822029" w14:textId="551310E0" w:rsidR="00D547C9" w:rsidRPr="005A1B87" w:rsidRDefault="00AE4DE4" w:rsidP="00D547C9">
      <w:pPr>
        <w:spacing w:after="0" w:line="240" w:lineRule="auto"/>
        <w:rPr>
          <w:rFonts w:ascii="Verdana" w:eastAsia="Calibri" w:hAnsi="Verdana" w:cs="Arial"/>
          <w:b/>
          <w:bCs/>
          <w:lang w:eastAsia="es-ES"/>
        </w:rPr>
      </w:pPr>
      <w:r w:rsidRPr="00AE4DE4">
        <w:rPr>
          <w:rFonts w:ascii="Verdana" w:eastAsia="Calibri" w:hAnsi="Verdana" w:cs="Arial"/>
          <w:lang w:eastAsia="es-ES"/>
        </w:rPr>
        <w:drawing>
          <wp:anchor distT="0" distB="0" distL="114300" distR="114300" simplePos="0" relativeHeight="251658240" behindDoc="1" locked="0" layoutInCell="1" allowOverlap="1" wp14:anchorId="18345600" wp14:editId="44090A6D">
            <wp:simplePos x="0" y="0"/>
            <wp:positionH relativeFrom="column">
              <wp:posOffset>3151283</wp:posOffset>
            </wp:positionH>
            <wp:positionV relativeFrom="paragraph">
              <wp:posOffset>14502</wp:posOffset>
            </wp:positionV>
            <wp:extent cx="2781300" cy="781050"/>
            <wp:effectExtent l="0" t="0" r="0" b="0"/>
            <wp:wrapNone/>
            <wp:docPr id="4190755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75554" name=""/>
                    <pic:cNvPicPr/>
                  </pic:nvPicPr>
                  <pic:blipFill>
                    <a:blip r:embed="rId10">
                      <a:extLst>
                        <a:ext uri="{28A0092B-C50C-407E-A947-70E740481C1C}">
                          <a14:useLocalDpi xmlns:a14="http://schemas.microsoft.com/office/drawing/2010/main" val="0"/>
                        </a:ext>
                      </a:extLst>
                    </a:blip>
                    <a:stretch>
                      <a:fillRect/>
                    </a:stretch>
                  </pic:blipFill>
                  <pic:spPr>
                    <a:xfrm>
                      <a:off x="0" y="0"/>
                      <a:ext cx="2781300" cy="781050"/>
                    </a:xfrm>
                    <a:prstGeom prst="rect">
                      <a:avLst/>
                    </a:prstGeom>
                  </pic:spPr>
                </pic:pic>
              </a:graphicData>
            </a:graphic>
          </wp:anchor>
        </w:drawing>
      </w:r>
      <w:r w:rsidR="00D547C9" w:rsidRPr="005A1B87">
        <w:rPr>
          <w:rFonts w:ascii="Verdana" w:eastAsia="Calibri" w:hAnsi="Verdana" w:cs="Arial"/>
          <w:b/>
          <w:bCs/>
          <w:lang w:eastAsia="es-ES"/>
        </w:rPr>
        <w:t>Jacqueline Henao Naranjo</w:t>
      </w:r>
    </w:p>
    <w:p w14:paraId="1218A5B4" w14:textId="68DBD8A5" w:rsidR="00D547C9" w:rsidRPr="005A1B87" w:rsidRDefault="00D547C9" w:rsidP="00D547C9">
      <w:pPr>
        <w:spacing w:after="0" w:line="240" w:lineRule="auto"/>
        <w:rPr>
          <w:rFonts w:ascii="Verdana" w:eastAsia="Calibri" w:hAnsi="Verdana" w:cs="Arial"/>
          <w:lang w:eastAsia="es-ES"/>
        </w:rPr>
      </w:pPr>
      <w:r w:rsidRPr="005A1B87">
        <w:rPr>
          <w:rFonts w:ascii="Verdana" w:eastAsia="Calibri" w:hAnsi="Verdana" w:cs="Arial"/>
          <w:lang w:eastAsia="es-ES"/>
        </w:rPr>
        <w:t>Directora de Archivo General</w:t>
      </w:r>
      <w:r w:rsidR="00AE4DE4" w:rsidRPr="00AE4DE4">
        <w:rPr>
          <w:noProof/>
        </w:rPr>
        <w:t xml:space="preserve"> </w:t>
      </w:r>
    </w:p>
    <w:p w14:paraId="5699B7F1" w14:textId="77777777" w:rsidR="00D547C9" w:rsidRPr="005A1B87" w:rsidRDefault="00D547C9" w:rsidP="00D547C9">
      <w:pPr>
        <w:spacing w:after="0" w:line="240" w:lineRule="auto"/>
        <w:rPr>
          <w:rFonts w:ascii="Verdana" w:eastAsia="Calibri" w:hAnsi="Verdana" w:cs="Arial"/>
          <w:lang w:eastAsia="es-ES"/>
        </w:rPr>
      </w:pPr>
      <w:r w:rsidRPr="005A1B87">
        <w:rPr>
          <w:rFonts w:ascii="Verdana" w:eastAsia="Calibri" w:hAnsi="Verdana" w:cs="Arial"/>
          <w:lang w:eastAsia="es-ES"/>
        </w:rPr>
        <w:t>Alcaldía de Villavicencio</w:t>
      </w:r>
    </w:p>
    <w:p w14:paraId="62327250" w14:textId="77777777" w:rsidR="00D547C9" w:rsidRPr="005A1B87" w:rsidRDefault="00D547C9" w:rsidP="00D547C9">
      <w:pPr>
        <w:spacing w:after="0"/>
        <w:rPr>
          <w:rFonts w:ascii="Verdana" w:hAnsi="Verdana"/>
          <w:color w:val="7030A0"/>
        </w:rPr>
      </w:pPr>
      <w:hyperlink r:id="rId11" w:history="1"/>
      <w:hyperlink r:id="rId12" w:history="1">
        <w:r w:rsidRPr="005A1B87">
          <w:rPr>
            <w:rStyle w:val="Hipervnculo"/>
            <w:rFonts w:ascii="Verdana" w:hAnsi="Verdana"/>
          </w:rPr>
          <w:t>archivogeneral@villavicencio.gov.co</w:t>
        </w:r>
      </w:hyperlink>
      <w:r w:rsidRPr="005A1B87">
        <w:rPr>
          <w:rFonts w:ascii="Verdana" w:hAnsi="Verdana"/>
          <w:color w:val="7030A0"/>
        </w:rPr>
        <w:t xml:space="preserve"> </w:t>
      </w:r>
    </w:p>
    <w:p w14:paraId="44585821" w14:textId="77777777" w:rsidR="00D547C9" w:rsidRPr="005A1B87" w:rsidRDefault="00D547C9" w:rsidP="00D547C9">
      <w:pPr>
        <w:spacing w:after="0"/>
        <w:rPr>
          <w:rFonts w:ascii="Verdana" w:eastAsia="Calibri" w:hAnsi="Verdana" w:cs="Arial"/>
          <w:lang w:val="es-ES" w:eastAsia="es-ES"/>
        </w:rPr>
      </w:pPr>
      <w:r w:rsidRPr="005A1B87">
        <w:rPr>
          <w:rFonts w:ascii="Verdana" w:eastAsia="Calibri" w:hAnsi="Verdana" w:cs="Arial"/>
          <w:lang w:val="es-ES" w:eastAsia="es-ES"/>
        </w:rPr>
        <w:t>Villavicencio, Meta</w:t>
      </w:r>
    </w:p>
    <w:p w14:paraId="1FA7475A" w14:textId="77777777" w:rsidR="00D547C9" w:rsidRDefault="00D547C9" w:rsidP="00D547C9">
      <w:pPr>
        <w:spacing w:after="0" w:line="240" w:lineRule="auto"/>
        <w:rPr>
          <w:rFonts w:ascii="Verdana" w:eastAsia="Calibri" w:hAnsi="Verdana" w:cs="Arial"/>
          <w:b/>
          <w:bCs/>
          <w:color w:val="7030A0"/>
          <w:lang w:val="es-ES" w:eastAsia="es-ES"/>
        </w:rPr>
      </w:pPr>
    </w:p>
    <w:p w14:paraId="443511E0" w14:textId="77777777" w:rsidR="00260967" w:rsidRPr="005A1B87" w:rsidRDefault="00260967" w:rsidP="00D547C9">
      <w:pPr>
        <w:spacing w:after="0" w:line="240" w:lineRule="auto"/>
        <w:rPr>
          <w:rFonts w:ascii="Verdana" w:eastAsia="Calibri" w:hAnsi="Verdana" w:cs="Arial"/>
          <w:b/>
          <w:bCs/>
          <w:color w:val="7030A0"/>
          <w:lang w:val="es-ES" w:eastAsia="es-ES"/>
        </w:rPr>
      </w:pPr>
    </w:p>
    <w:tbl>
      <w:tblPr>
        <w:tblStyle w:val="Tablaconcuadrcula"/>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379"/>
      </w:tblGrid>
      <w:tr w:rsidR="00D547C9" w:rsidRPr="005A1B87" w14:paraId="64539E8E" w14:textId="77777777" w:rsidTr="00295806">
        <w:trPr>
          <w:trHeight w:val="300"/>
        </w:trPr>
        <w:tc>
          <w:tcPr>
            <w:tcW w:w="2410" w:type="dxa"/>
          </w:tcPr>
          <w:p w14:paraId="6F6916F8" w14:textId="77777777" w:rsidR="00D547C9" w:rsidRPr="005A1B87" w:rsidRDefault="00D547C9" w:rsidP="00295806">
            <w:pPr>
              <w:ind w:left="-142"/>
              <w:jc w:val="both"/>
              <w:rPr>
                <w:rFonts w:ascii="Verdana" w:eastAsia="Calibri" w:hAnsi="Verdana" w:cs="Arial"/>
                <w:b/>
                <w:bCs/>
                <w:color w:val="7030A0"/>
                <w:lang w:val="es-ES" w:eastAsia="es-ES_tradnl"/>
              </w:rPr>
            </w:pPr>
          </w:p>
        </w:tc>
        <w:tc>
          <w:tcPr>
            <w:tcW w:w="6379" w:type="dxa"/>
          </w:tcPr>
          <w:p w14:paraId="2DA308AE" w14:textId="77777777" w:rsidR="00D547C9" w:rsidRPr="005A1B87" w:rsidRDefault="00D547C9" w:rsidP="00295806">
            <w:pPr>
              <w:ind w:left="3"/>
              <w:jc w:val="both"/>
              <w:rPr>
                <w:rFonts w:ascii="Verdana" w:eastAsia="Calibri" w:hAnsi="Verdana" w:cs="Arial"/>
                <w:b/>
                <w:bCs/>
                <w:lang w:val="es-ES" w:eastAsia="es-ES"/>
              </w:rPr>
            </w:pPr>
            <w:r w:rsidRPr="005A1B87">
              <w:rPr>
                <w:rFonts w:ascii="Verdana" w:eastAsia="Calibri" w:hAnsi="Verdana" w:cs="Arial"/>
                <w:b/>
                <w:bCs/>
                <w:lang w:val="es-ES" w:eastAsia="es-ES"/>
              </w:rPr>
              <w:t>Concepto C-1234 de 2026</w:t>
            </w:r>
          </w:p>
          <w:p w14:paraId="6290B3EE" w14:textId="77777777" w:rsidR="00D547C9" w:rsidRPr="005A1B87" w:rsidRDefault="00D547C9" w:rsidP="00295806">
            <w:pPr>
              <w:ind w:left="3"/>
              <w:jc w:val="both"/>
              <w:rPr>
                <w:rFonts w:ascii="Verdana" w:eastAsia="Calibri" w:hAnsi="Verdana" w:cs="Arial"/>
                <w:b/>
                <w:bCs/>
                <w:color w:val="7030A0"/>
                <w:lang w:val="es-ES" w:eastAsia="es-ES"/>
              </w:rPr>
            </w:pPr>
          </w:p>
        </w:tc>
      </w:tr>
      <w:tr w:rsidR="00D547C9" w:rsidRPr="005A1B87" w14:paraId="1532F936" w14:textId="77777777" w:rsidTr="00295806">
        <w:trPr>
          <w:trHeight w:val="300"/>
        </w:trPr>
        <w:tc>
          <w:tcPr>
            <w:tcW w:w="2410" w:type="dxa"/>
          </w:tcPr>
          <w:p w14:paraId="76F69968" w14:textId="77777777" w:rsidR="00D547C9" w:rsidRPr="005A1B87" w:rsidRDefault="00D547C9" w:rsidP="00295806">
            <w:pPr>
              <w:ind w:left="424" w:firstLine="142"/>
              <w:jc w:val="both"/>
              <w:rPr>
                <w:rFonts w:ascii="Verdana" w:eastAsia="Calibri" w:hAnsi="Verdana" w:cs="Arial"/>
                <w:color w:val="7030A0"/>
                <w:lang w:val="es-ES" w:eastAsia="es-ES_tradnl"/>
              </w:rPr>
            </w:pPr>
            <w:r w:rsidRPr="005A1B87">
              <w:rPr>
                <w:rFonts w:ascii="Verdana" w:eastAsia="Calibri" w:hAnsi="Verdana" w:cs="Arial"/>
                <w:b/>
                <w:lang w:val="es-ES" w:eastAsia="es-ES_tradnl"/>
              </w:rPr>
              <w:t>Temas:</w:t>
            </w:r>
            <w:r w:rsidRPr="005A1B87">
              <w:rPr>
                <w:rFonts w:ascii="Verdana" w:eastAsia="Calibri" w:hAnsi="Verdana" w:cs="Arial"/>
                <w:lang w:val="es-ES" w:eastAsia="es-ES_tradnl"/>
              </w:rPr>
              <w:t xml:space="preserve">                  </w:t>
            </w:r>
          </w:p>
        </w:tc>
        <w:tc>
          <w:tcPr>
            <w:tcW w:w="6379" w:type="dxa"/>
          </w:tcPr>
          <w:p w14:paraId="6D68133B" w14:textId="77777777" w:rsidR="00D547C9" w:rsidRPr="005A1B87" w:rsidRDefault="00D547C9" w:rsidP="00295806">
            <w:pPr>
              <w:jc w:val="both"/>
              <w:rPr>
                <w:rFonts w:ascii="Verdana" w:eastAsia="Calibri" w:hAnsi="Verdana" w:cs="Arial"/>
                <w:bCs/>
              </w:rPr>
            </w:pPr>
            <w:r w:rsidRPr="005A1B87">
              <w:rPr>
                <w:rFonts w:ascii="Verdana" w:eastAsia="Calibri" w:hAnsi="Verdana" w:cs="Arial"/>
                <w:bCs/>
              </w:rPr>
              <w:t>RÉGIMEN DE INHABILIDADES E INCOMPATIBILIDADES – Definición / RÉGIMEN DE INHABILIDADES E INCOMPATIBILIDADES – Taxatividad – Interpretación restrictiva / RÉGIMEN DE INHABILIDADES E INCOMPATIBILIDADES – Clasificación – Sanción – Proceso sancionatorio – Requisito – Condiciones personales</w:t>
            </w:r>
          </w:p>
          <w:p w14:paraId="4CB6A05D" w14:textId="77777777" w:rsidR="00D547C9" w:rsidRPr="005A1B87" w:rsidRDefault="00D547C9" w:rsidP="00295806">
            <w:pPr>
              <w:jc w:val="both"/>
              <w:rPr>
                <w:rFonts w:ascii="Verdana" w:eastAsia="Calibri" w:hAnsi="Verdana" w:cs="Arial"/>
                <w:color w:val="7030A0"/>
              </w:rPr>
            </w:pPr>
          </w:p>
        </w:tc>
      </w:tr>
      <w:tr w:rsidR="00D547C9" w:rsidRPr="005A1B87" w14:paraId="4391F5E7" w14:textId="77777777" w:rsidTr="00295806">
        <w:trPr>
          <w:trHeight w:val="350"/>
        </w:trPr>
        <w:tc>
          <w:tcPr>
            <w:tcW w:w="2410" w:type="dxa"/>
          </w:tcPr>
          <w:p w14:paraId="5F8F55E5" w14:textId="77777777" w:rsidR="00D547C9" w:rsidRPr="005A1B87" w:rsidRDefault="00D547C9" w:rsidP="00295806">
            <w:pPr>
              <w:ind w:left="561"/>
              <w:jc w:val="both"/>
              <w:rPr>
                <w:rFonts w:ascii="Verdana" w:eastAsia="Calibri" w:hAnsi="Verdana" w:cs="Arial"/>
                <w:b/>
                <w:lang w:val="es-ES" w:eastAsia="es-ES_tradnl"/>
              </w:rPr>
            </w:pPr>
            <w:r w:rsidRPr="005A1B87">
              <w:rPr>
                <w:rFonts w:ascii="Verdana" w:eastAsia="Calibri" w:hAnsi="Verdana" w:cs="Arial"/>
                <w:b/>
                <w:lang w:val="es-ES" w:eastAsia="es-ES_tradnl"/>
              </w:rPr>
              <w:t>Radicación:</w:t>
            </w:r>
            <w:r w:rsidRPr="005A1B87">
              <w:rPr>
                <w:rFonts w:ascii="Verdana" w:eastAsia="Calibri" w:hAnsi="Verdana" w:cs="Arial"/>
                <w:lang w:val="es-ES" w:eastAsia="es-ES_tradnl"/>
              </w:rPr>
              <w:t xml:space="preserve">              </w:t>
            </w:r>
          </w:p>
        </w:tc>
        <w:tc>
          <w:tcPr>
            <w:tcW w:w="6379" w:type="dxa"/>
          </w:tcPr>
          <w:p w14:paraId="18DF24C2" w14:textId="77777777" w:rsidR="00D547C9" w:rsidRPr="005A1B87" w:rsidRDefault="00D547C9" w:rsidP="00295806">
            <w:pPr>
              <w:ind w:left="3"/>
              <w:jc w:val="both"/>
              <w:rPr>
                <w:rFonts w:ascii="Verdana" w:hAnsi="Verdana"/>
                <w:lang w:val="es-ES"/>
              </w:rPr>
            </w:pPr>
            <w:r w:rsidRPr="005A1B87">
              <w:rPr>
                <w:rFonts w:ascii="Verdana" w:eastAsia="Calibri" w:hAnsi="Verdana" w:cs="Arial"/>
                <w:lang w:val="es-ES" w:eastAsia="es-ES"/>
              </w:rPr>
              <w:t>Respuesta a consulta con radicado No. 1_2026_08_05_010342</w:t>
            </w:r>
          </w:p>
        </w:tc>
      </w:tr>
      <w:tr w:rsidR="00D547C9" w:rsidRPr="005A1B87" w14:paraId="7C99F8FF" w14:textId="77777777" w:rsidTr="00295806">
        <w:trPr>
          <w:trHeight w:val="350"/>
        </w:trPr>
        <w:tc>
          <w:tcPr>
            <w:tcW w:w="2410" w:type="dxa"/>
          </w:tcPr>
          <w:p w14:paraId="51936713" w14:textId="77777777" w:rsidR="00D547C9" w:rsidRPr="005A1B87" w:rsidRDefault="00D547C9" w:rsidP="00295806">
            <w:pPr>
              <w:jc w:val="both"/>
              <w:rPr>
                <w:rFonts w:ascii="Verdana" w:eastAsia="Calibri" w:hAnsi="Verdana" w:cs="Arial"/>
                <w:b/>
                <w:color w:val="7030A0"/>
                <w:lang w:val="es-ES" w:eastAsia="es-ES_tradnl"/>
              </w:rPr>
            </w:pPr>
          </w:p>
        </w:tc>
        <w:tc>
          <w:tcPr>
            <w:tcW w:w="6379" w:type="dxa"/>
          </w:tcPr>
          <w:p w14:paraId="1EE61AAC" w14:textId="77777777" w:rsidR="00D547C9" w:rsidRPr="005A1B87" w:rsidRDefault="00D547C9" w:rsidP="00295806">
            <w:pPr>
              <w:jc w:val="both"/>
              <w:rPr>
                <w:rFonts w:ascii="Verdana" w:eastAsia="Calibri" w:hAnsi="Verdana" w:cs="Arial"/>
                <w:color w:val="7030A0"/>
                <w:lang w:val="es-ES" w:eastAsia="es-ES"/>
              </w:rPr>
            </w:pPr>
          </w:p>
        </w:tc>
      </w:tr>
    </w:tbl>
    <w:p w14:paraId="39F23789" w14:textId="77777777" w:rsidR="00D547C9" w:rsidRPr="005A1B87" w:rsidRDefault="00D547C9" w:rsidP="00D547C9">
      <w:pPr>
        <w:spacing w:after="0" w:line="276" w:lineRule="auto"/>
        <w:jc w:val="both"/>
        <w:rPr>
          <w:rFonts w:ascii="Verdana" w:eastAsia="Calibri" w:hAnsi="Verdana" w:cs="Arial"/>
          <w:lang w:val="es-ES" w:eastAsia="es-ES"/>
        </w:rPr>
      </w:pPr>
    </w:p>
    <w:p w14:paraId="1C496800" w14:textId="77777777" w:rsidR="00D547C9" w:rsidRPr="005A1B87" w:rsidRDefault="00D547C9" w:rsidP="00D547C9">
      <w:pPr>
        <w:spacing w:after="0" w:line="276" w:lineRule="auto"/>
        <w:jc w:val="both"/>
        <w:rPr>
          <w:rFonts w:ascii="Verdana" w:eastAsia="Calibri" w:hAnsi="Verdana" w:cs="Arial"/>
          <w:lang w:val="es-ES" w:eastAsia="es-ES"/>
        </w:rPr>
      </w:pPr>
      <w:r w:rsidRPr="005A1B87">
        <w:rPr>
          <w:rFonts w:ascii="Verdana" w:eastAsia="Calibri" w:hAnsi="Verdana" w:cs="Arial"/>
          <w:lang w:val="es-ES" w:eastAsia="es-ES"/>
        </w:rPr>
        <w:t>Estimada Señora Henao:</w:t>
      </w:r>
    </w:p>
    <w:p w14:paraId="47278AB0" w14:textId="77777777" w:rsidR="00D547C9" w:rsidRPr="005A1B87" w:rsidRDefault="00D547C9" w:rsidP="00D547C9">
      <w:pPr>
        <w:tabs>
          <w:tab w:val="left" w:pos="3768"/>
        </w:tabs>
        <w:spacing w:after="0" w:line="276" w:lineRule="auto"/>
        <w:jc w:val="both"/>
        <w:rPr>
          <w:rFonts w:ascii="Verdana" w:eastAsia="Calibri" w:hAnsi="Verdana" w:cs="Arial"/>
          <w:color w:val="7030A0"/>
          <w:lang w:val="es-ES" w:eastAsia="es-ES"/>
        </w:rPr>
      </w:pPr>
      <w:r w:rsidRPr="005A1B87">
        <w:rPr>
          <w:rFonts w:ascii="Verdana" w:eastAsia="Calibri" w:hAnsi="Verdana" w:cs="Arial"/>
          <w:color w:val="7030A0"/>
          <w:lang w:val="es-ES" w:eastAsia="es-ES"/>
        </w:rPr>
        <w:tab/>
      </w:r>
    </w:p>
    <w:p w14:paraId="53004EBD" w14:textId="77777777" w:rsidR="00D547C9" w:rsidRPr="005A1B87" w:rsidRDefault="00D547C9" w:rsidP="00D547C9">
      <w:pPr>
        <w:spacing w:after="0" w:line="276" w:lineRule="auto"/>
        <w:jc w:val="both"/>
        <w:rPr>
          <w:rFonts w:ascii="Verdana" w:eastAsia="Calibri" w:hAnsi="Verdana" w:cs="Arial"/>
          <w:lang w:val="es-ES" w:eastAsia="es-ES"/>
        </w:rPr>
      </w:pPr>
      <w:r w:rsidRPr="005A1B87">
        <w:rPr>
          <w:rFonts w:ascii="Verdana" w:eastAsia="Calibri" w:hAnsi="Verdana" w:cs="Arial"/>
          <w:lang w:val="es-ES" w:eastAsia="es-ES"/>
        </w:rPr>
        <w:t>En ejercicio de la competencia otorgada por los artículos 3, numeral 5º, y 11, numeral 8º, del Decreto Ley 4170 de 2011,</w:t>
      </w:r>
      <w:r w:rsidRPr="005A1B87">
        <w:rPr>
          <w:rFonts w:ascii="Verdana" w:eastAsia="Arial MT" w:hAnsi="Verdana" w:cs="Arial MT"/>
          <w:lang w:val="es-ES" w:eastAsia="es-ES"/>
        </w:rPr>
        <w:t xml:space="preserve"> </w:t>
      </w:r>
      <w:r w:rsidRPr="005A1B87">
        <w:rPr>
          <w:rFonts w:ascii="Verdana" w:hAnsi="Verdana" w:cs="Arial"/>
          <w:lang w:val="es-ES"/>
        </w:rPr>
        <w:t xml:space="preserve">así como lo establecido en el artículo 4 de la Resolución 469 de 2025 expedida por esta Entidad, </w:t>
      </w:r>
      <w:r w:rsidRPr="005A1B87">
        <w:rPr>
          <w:rFonts w:ascii="Verdana" w:eastAsia="Calibri" w:hAnsi="Verdana" w:cs="Arial"/>
          <w:lang w:val="es-ES" w:eastAsia="es-ES"/>
        </w:rPr>
        <w:t xml:space="preserve">la Agencia Nacional de Contratación Pública – Colombia Compra Eficiente– responde a su solicitud de consulta de fecha 05 de agosto de 2026, en la cual manifiesta lo siguiente: </w:t>
      </w:r>
    </w:p>
    <w:p w14:paraId="4DD98978" w14:textId="77777777" w:rsidR="00D547C9" w:rsidRPr="005A1B87" w:rsidRDefault="00D547C9" w:rsidP="00D547C9">
      <w:pPr>
        <w:tabs>
          <w:tab w:val="left" w:pos="142"/>
          <w:tab w:val="left" w:pos="284"/>
        </w:tabs>
        <w:spacing w:after="0" w:line="276" w:lineRule="auto"/>
        <w:jc w:val="both"/>
        <w:rPr>
          <w:rFonts w:ascii="Verdana" w:eastAsia="Century Gothic" w:hAnsi="Verdana" w:cs="Century Gothic"/>
          <w:b/>
          <w:bCs/>
          <w:color w:val="7030A0"/>
          <w:lang w:val="es-ES"/>
        </w:rPr>
      </w:pPr>
    </w:p>
    <w:p w14:paraId="2D7B8E25"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r w:rsidRPr="005A1B87">
        <w:rPr>
          <w:rFonts w:ascii="Verdana" w:eastAsia="Century Gothic" w:hAnsi="Verdana" w:cs="Century Gothic"/>
          <w:i/>
          <w:iCs/>
          <w:sz w:val="20"/>
          <w:szCs w:val="20"/>
          <w:lang w:val="es-ES"/>
        </w:rPr>
        <w:t>“[…]  En el marco de artículo 2.8.2.1.9. del Decreto 1080 de 2015 sobre las funciones del Consejo Departamental y Distritales de Archivos:</w:t>
      </w:r>
    </w:p>
    <w:p w14:paraId="7808FB34"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p>
    <w:p w14:paraId="0B99EAF6"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r w:rsidRPr="005A1B87">
        <w:rPr>
          <w:rFonts w:ascii="Verdana" w:eastAsia="Century Gothic" w:hAnsi="Verdana" w:cs="Century Gothic"/>
          <w:i/>
          <w:iCs/>
          <w:sz w:val="20"/>
          <w:szCs w:val="20"/>
          <w:lang w:val="es-ES"/>
        </w:rPr>
        <w:t>Son funciones de los Consejos Territoriales de Archivos las siguientes, se citan las funciones 4 y 5</w:t>
      </w:r>
    </w:p>
    <w:p w14:paraId="2AD79697"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p>
    <w:p w14:paraId="2BB8F3AD"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r w:rsidRPr="005A1B87">
        <w:rPr>
          <w:rFonts w:ascii="Verdana" w:eastAsia="Century Gothic" w:hAnsi="Verdana" w:cs="Century Gothic"/>
          <w:i/>
          <w:iCs/>
          <w:sz w:val="20"/>
          <w:szCs w:val="20"/>
          <w:lang w:val="es-ES"/>
        </w:rPr>
        <w:t xml:space="preserve">4. Evaluar las Tablas de Retención Documental - TRD Y las Tablas de Valoración Documental - TVD de las entidades públicas y privadas que cumplen funciones públicas de su jurisdicción, incluyendo las de los municipios, aprobadas por los Comités Internos de Archivo, emitir </w:t>
      </w:r>
      <w:r w:rsidRPr="005A1B87">
        <w:rPr>
          <w:rFonts w:ascii="Verdana" w:eastAsia="Century Gothic" w:hAnsi="Verdana" w:cs="Century Gothic"/>
          <w:i/>
          <w:iCs/>
          <w:sz w:val="20"/>
          <w:szCs w:val="20"/>
          <w:lang w:val="es-ES"/>
        </w:rPr>
        <w:lastRenderedPageBreak/>
        <w:t>concepto sobre su elaboración y solicitar, cuando sea del caso, los ajustes que a su juicio deban realizarse.</w:t>
      </w:r>
    </w:p>
    <w:p w14:paraId="7168FEFF"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p>
    <w:p w14:paraId="640B83F5"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r w:rsidRPr="005A1B87">
        <w:rPr>
          <w:rFonts w:ascii="Verdana" w:eastAsia="Century Gothic" w:hAnsi="Verdana" w:cs="Century Gothic"/>
          <w:i/>
          <w:iCs/>
          <w:sz w:val="20"/>
          <w:szCs w:val="20"/>
          <w:lang w:val="es-ES"/>
        </w:rPr>
        <w:t>Además, artículo 2.8.2.1.9. del Decreto 1080 de 2015 sobre las funciones del Consejo Departamental y Distritales de Archivos:</w:t>
      </w:r>
    </w:p>
    <w:p w14:paraId="28D229A5"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p>
    <w:p w14:paraId="2194580A"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r w:rsidRPr="005A1B87">
        <w:rPr>
          <w:rFonts w:ascii="Verdana" w:eastAsia="Century Gothic" w:hAnsi="Verdana" w:cs="Century Gothic"/>
          <w:i/>
          <w:iCs/>
          <w:sz w:val="20"/>
          <w:szCs w:val="20"/>
          <w:lang w:val="es-ES"/>
        </w:rPr>
        <w:t>Son funciones de los Consejos Territoriales de Archivos las siguientes, se citan las funciones 4 y 5</w:t>
      </w:r>
    </w:p>
    <w:p w14:paraId="53023AD8"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p>
    <w:p w14:paraId="179847B0"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r w:rsidRPr="005A1B87">
        <w:rPr>
          <w:rFonts w:ascii="Verdana" w:eastAsia="Century Gothic" w:hAnsi="Verdana" w:cs="Century Gothic"/>
          <w:i/>
          <w:iCs/>
          <w:sz w:val="20"/>
          <w:szCs w:val="20"/>
          <w:lang w:val="es-ES"/>
        </w:rPr>
        <w:t>5. Emitir los conceptos sobre las TRD o las TVD que sean necesarios, luego de su revisión y convalidación, y solicitar que se hagan los respectivos ajustes. Parágrafo: El Archivo General de la Nación Jorge Palacios Preciado, podrá evaluar las Tablas de Retención Documental y de Valoración Documental de las Gobernaciones y Distritos, de sus entidades centralizadas, descentralizadas, autónomas y de las entidades privadas que cumplen funciones públicas de los municipios, distritos y departamentos, una vez aprobadas por el Comité Interno de Archivo de la respectiva entidad.</w:t>
      </w:r>
    </w:p>
    <w:p w14:paraId="4802EEE6"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p>
    <w:p w14:paraId="3393BDBB"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r w:rsidRPr="005A1B87">
        <w:rPr>
          <w:rFonts w:ascii="Verdana" w:eastAsia="Century Gothic" w:hAnsi="Verdana" w:cs="Century Gothic"/>
          <w:i/>
          <w:iCs/>
          <w:sz w:val="20"/>
          <w:szCs w:val="20"/>
          <w:lang w:val="es-ES"/>
        </w:rPr>
        <w:t>Por otra parte, nos remitimos al Artículo 2.8.2.1.16. del mismo Decreto 1080 de 2015 donde establece las Funciones del Comité Interno de Archivo en las entidades territoriales tendrá las siguientes funciones:</w:t>
      </w:r>
    </w:p>
    <w:p w14:paraId="45E2700C"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p>
    <w:p w14:paraId="1AF15048"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r w:rsidRPr="005A1B87">
        <w:rPr>
          <w:rFonts w:ascii="Verdana" w:eastAsia="Century Gothic" w:hAnsi="Verdana" w:cs="Century Gothic"/>
          <w:i/>
          <w:iCs/>
          <w:sz w:val="20"/>
          <w:szCs w:val="20"/>
          <w:lang w:val="es-ES"/>
        </w:rPr>
        <w:t>4. Aprobar las tablas de retención documental y las tablas de valoración documental de la entidad y enviarlas Consejo Departamental o Distrital de Archivos para su convalidación y al Archivo de la Nación Jorge Palacios Preciado para su registro.</w:t>
      </w:r>
    </w:p>
    <w:p w14:paraId="36A19E6B"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p>
    <w:p w14:paraId="7147348D"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r w:rsidRPr="005A1B87">
        <w:rPr>
          <w:rFonts w:ascii="Verdana" w:eastAsia="Century Gothic" w:hAnsi="Verdana" w:cs="Century Gothic"/>
          <w:i/>
          <w:iCs/>
          <w:sz w:val="20"/>
          <w:szCs w:val="20"/>
          <w:lang w:val="es-ES"/>
        </w:rPr>
        <w:t>Por otra parte, el Artículo 2.8.2.2.1. Evaluación de Documentos de Archivo. La evaluación de Documentos de Archivo deberá ser realizada por la Oficina de Archivo o de Gestión Documental de cada entidad, de acuerdo con lo establecido en la ley 594 de 2000.</w:t>
      </w:r>
    </w:p>
    <w:p w14:paraId="53B80294"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lang w:val="es-ES"/>
        </w:rPr>
      </w:pPr>
    </w:p>
    <w:p w14:paraId="5547BD42"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rPr>
      </w:pPr>
      <w:r w:rsidRPr="005A1B87">
        <w:rPr>
          <w:rFonts w:ascii="Verdana" w:eastAsia="Century Gothic" w:hAnsi="Verdana" w:cs="Century Gothic"/>
          <w:i/>
          <w:iCs/>
          <w:sz w:val="20"/>
          <w:szCs w:val="20"/>
        </w:rPr>
        <w:t>El Comité Interno de Archivo de la respectiva entidad es el responsable de aprobar el resultado del proceso de valoración de los documentos de archivo, a partir de agrupaciones documentales en series y subseries sean estos físicos o electrónicos y de aprobar las tablas de retención documental o las tablas de val documental.</w:t>
      </w:r>
    </w:p>
    <w:p w14:paraId="3C34707B"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rPr>
      </w:pPr>
    </w:p>
    <w:p w14:paraId="42CC00EA"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rPr>
      </w:pPr>
      <w:r w:rsidRPr="005A1B87">
        <w:rPr>
          <w:rFonts w:ascii="Verdana" w:eastAsia="Century Gothic" w:hAnsi="Verdana" w:cs="Century Gothic"/>
          <w:i/>
          <w:iCs/>
          <w:sz w:val="20"/>
          <w:szCs w:val="20"/>
        </w:rPr>
        <w:t>Corresponde a los Consejos Territoriales de Archivo llevar a cabo la evaluación de documentos de archivo que sean comunes para todas las entidades públicas de su respectiva jurisdicción, o un sector de este, de conformidad con la normatividad expedida por el Archivo General de la Nación Jorge Palacios Preciado.</w:t>
      </w:r>
    </w:p>
    <w:p w14:paraId="274BEFDE"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rPr>
      </w:pPr>
    </w:p>
    <w:p w14:paraId="273DEFD7"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rPr>
      </w:pPr>
      <w:r w:rsidRPr="005A1B87">
        <w:rPr>
          <w:rFonts w:ascii="Verdana" w:eastAsia="Century Gothic" w:hAnsi="Verdana" w:cs="Century Gothic"/>
          <w:i/>
          <w:iCs/>
          <w:sz w:val="20"/>
          <w:szCs w:val="20"/>
        </w:rPr>
        <w:lastRenderedPageBreak/>
        <w:t>Igualmente, en la ley 1080 de 2015 ARTÍCULO 2.8.2.1.11. Inhabilidades. A los miembros de los Consejos Territoriales de Archivos que desempeñen cargos públicos, les aplican las normas establecidas en el Estatuto Anticorrupción y el Código Disciplinario Único - Ley 734 de 2002, y para los archivistas, además, el Código de Ética del Archivista promulgado en la Ley 1409 de 2010, quienes podrán ser sancionados conforme a dicha ley. (Decreto 2578 de 2012, Artículo 11).</w:t>
      </w:r>
    </w:p>
    <w:p w14:paraId="0E26DCEE"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rPr>
      </w:pPr>
    </w:p>
    <w:p w14:paraId="03F6576E"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rPr>
      </w:pPr>
      <w:r w:rsidRPr="005A1B87">
        <w:rPr>
          <w:rFonts w:ascii="Verdana" w:eastAsia="Century Gothic" w:hAnsi="Verdana" w:cs="Century Gothic"/>
          <w:i/>
          <w:iCs/>
          <w:sz w:val="20"/>
          <w:szCs w:val="20"/>
        </w:rPr>
        <w:t>Teniendo en cuenta lo anterior y que actualmente la entidad Alcaldía de Villavicencio está interesada en fortalecer su equipo de profesionales expertos en gestión documental y desea conocer si existe alguna inhabilidad o incompatibilidad que un profesional que en el mes de marzo del 2026 participo como parte del consejo territorial de archivo del departamento del Meta en la evaluación de la Tablas de Retención del Municipio pueda ser vinculado en el mes de agosto para integrar el equipo de la Dirección de Archivo como contratista.</w:t>
      </w:r>
    </w:p>
    <w:p w14:paraId="1C84B695"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rPr>
      </w:pPr>
    </w:p>
    <w:p w14:paraId="2A5D3EA2" w14:textId="77777777" w:rsidR="00D547C9" w:rsidRPr="005A1B87" w:rsidRDefault="00D547C9" w:rsidP="00D547C9">
      <w:pPr>
        <w:spacing w:after="0" w:line="240" w:lineRule="auto"/>
        <w:ind w:left="709" w:right="709"/>
        <w:jc w:val="both"/>
        <w:rPr>
          <w:rFonts w:ascii="Verdana" w:eastAsia="Century Gothic" w:hAnsi="Verdana" w:cs="Century Gothic"/>
          <w:i/>
          <w:iCs/>
          <w:sz w:val="20"/>
          <w:szCs w:val="20"/>
        </w:rPr>
      </w:pPr>
      <w:r w:rsidRPr="005A1B87">
        <w:rPr>
          <w:rFonts w:ascii="Verdana" w:eastAsia="Century Gothic" w:hAnsi="Verdana" w:cs="Century Gothic"/>
          <w:i/>
          <w:iCs/>
          <w:sz w:val="20"/>
          <w:szCs w:val="20"/>
        </w:rPr>
        <w:t>Cabe aclarar que en el momento de la contratación el profesional ya no está vinculado a la empresa que representaba en el Consejo Territorial de Archivos. […]”</w:t>
      </w:r>
    </w:p>
    <w:p w14:paraId="563891C9" w14:textId="77777777" w:rsidR="00D547C9" w:rsidRPr="005A1B87" w:rsidRDefault="00D547C9" w:rsidP="00D547C9">
      <w:pPr>
        <w:spacing w:before="120" w:after="120" w:line="240" w:lineRule="auto"/>
        <w:ind w:left="709" w:right="709"/>
        <w:contextualSpacing/>
        <w:jc w:val="both"/>
        <w:rPr>
          <w:rFonts w:ascii="Verdana" w:eastAsia="Century Gothic" w:hAnsi="Verdana" w:cs="Century Gothic"/>
          <w:i/>
          <w:iCs/>
          <w:sz w:val="20"/>
          <w:szCs w:val="20"/>
          <w:lang w:val="es-ES"/>
        </w:rPr>
      </w:pPr>
    </w:p>
    <w:p w14:paraId="533DAA0E" w14:textId="77777777" w:rsidR="00D547C9" w:rsidRPr="005A1B87" w:rsidRDefault="00D547C9" w:rsidP="00D547C9">
      <w:pPr>
        <w:spacing w:after="120" w:line="276" w:lineRule="auto"/>
        <w:ind w:firstLine="708"/>
        <w:jc w:val="both"/>
        <w:rPr>
          <w:rFonts w:ascii="Verdana" w:eastAsia="Calibri" w:hAnsi="Verdana" w:cs="Arial"/>
          <w:lang w:val="es-ES" w:eastAsia="es-ES"/>
        </w:rPr>
      </w:pPr>
      <w:r w:rsidRPr="005A1B87">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A1B87">
        <w:rPr>
          <w:rFonts w:ascii="Verdana" w:hAnsi="Verdana"/>
          <w:lang w:val="es-ES"/>
        </w:rPr>
        <w:tab/>
      </w:r>
    </w:p>
    <w:p w14:paraId="7FB1B359" w14:textId="77777777" w:rsidR="00D547C9" w:rsidRPr="005A1B87" w:rsidRDefault="00D547C9" w:rsidP="00D547C9">
      <w:pPr>
        <w:spacing w:after="0" w:line="276" w:lineRule="auto"/>
        <w:ind w:firstLine="709"/>
        <w:jc w:val="both"/>
        <w:rPr>
          <w:rFonts w:ascii="Verdana" w:eastAsia="Calibri" w:hAnsi="Verdana" w:cs="Arial"/>
          <w:lang w:val="es-ES" w:eastAsia="es-ES"/>
        </w:rPr>
      </w:pPr>
      <w:r w:rsidRPr="005A1B87">
        <w:rPr>
          <w:rFonts w:ascii="Verdana" w:eastAsia="Calibri" w:hAnsi="Verdana" w:cs="Arial"/>
          <w:lang w:val="es-ES" w:eastAsia="es-ES"/>
        </w:rPr>
        <w:t xml:space="preserve">Conforme lo expuesto, en aras de satisfacer el derecho fundamental de petición se resolverá s consultas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5F3A5C7C" w14:textId="77777777" w:rsidR="00D547C9" w:rsidRPr="005A1B87" w:rsidRDefault="00D547C9" w:rsidP="00D547C9">
      <w:pPr>
        <w:spacing w:after="0" w:line="276" w:lineRule="auto"/>
        <w:ind w:firstLine="709"/>
        <w:jc w:val="both"/>
        <w:rPr>
          <w:rFonts w:ascii="Verdana" w:eastAsia="Calibri" w:hAnsi="Verdana" w:cs="Arial"/>
          <w:lang w:val="es-ES" w:eastAsia="es-ES"/>
        </w:rPr>
      </w:pPr>
    </w:p>
    <w:p w14:paraId="5CFAE453" w14:textId="77777777" w:rsidR="00D547C9" w:rsidRPr="005A1B87" w:rsidRDefault="00D547C9" w:rsidP="00D547C9">
      <w:pPr>
        <w:tabs>
          <w:tab w:val="left" w:pos="142"/>
          <w:tab w:val="left" w:pos="284"/>
        </w:tabs>
        <w:spacing w:after="0" w:line="276" w:lineRule="auto"/>
        <w:jc w:val="both"/>
        <w:rPr>
          <w:rFonts w:ascii="Verdana" w:eastAsia="Century Gothic" w:hAnsi="Verdana" w:cs="Century Gothic"/>
          <w:b/>
          <w:lang w:val="es-ES"/>
        </w:rPr>
      </w:pPr>
      <w:r w:rsidRPr="005A1B87">
        <w:rPr>
          <w:rFonts w:ascii="Verdana" w:eastAsia="Century Gothic" w:hAnsi="Verdana" w:cs="Century Gothic"/>
          <w:b/>
          <w:lang w:val="es-ES"/>
        </w:rPr>
        <w:lastRenderedPageBreak/>
        <w:t>1. Problema planteado:</w:t>
      </w:r>
    </w:p>
    <w:p w14:paraId="201637D8" w14:textId="77777777" w:rsidR="00D547C9" w:rsidRPr="005A1B87" w:rsidRDefault="00D547C9" w:rsidP="00D547C9">
      <w:pPr>
        <w:tabs>
          <w:tab w:val="left" w:pos="142"/>
          <w:tab w:val="left" w:pos="284"/>
        </w:tabs>
        <w:spacing w:after="0" w:line="276" w:lineRule="auto"/>
        <w:jc w:val="both"/>
        <w:rPr>
          <w:rFonts w:ascii="Verdana" w:eastAsia="Century Gothic" w:hAnsi="Verdana" w:cs="Century Gothic"/>
          <w:b/>
          <w:lang w:val="es-ES"/>
        </w:rPr>
      </w:pPr>
    </w:p>
    <w:p w14:paraId="0F691E55" w14:textId="77777777" w:rsidR="00D547C9" w:rsidRPr="005A1B87" w:rsidRDefault="00D547C9" w:rsidP="00D547C9">
      <w:pPr>
        <w:spacing w:after="0" w:line="276" w:lineRule="auto"/>
        <w:jc w:val="both"/>
        <w:rPr>
          <w:rFonts w:ascii="Verdana" w:eastAsia="Century Gothic" w:hAnsi="Verdana" w:cs="Century Gothic"/>
          <w:color w:val="7030A0"/>
        </w:rPr>
      </w:pPr>
      <w:r w:rsidRPr="005A1B87">
        <w:rPr>
          <w:rFonts w:ascii="Verdana" w:eastAsia="Century Gothic" w:hAnsi="Verdana" w:cs="Century Gothic"/>
          <w:lang w:val="es-ES"/>
        </w:rPr>
        <w:t>De acuerdo con el contenido de su solicitud, esta Agencia resolverá el siguiente problema jurídico:</w:t>
      </w:r>
      <w:r w:rsidRPr="005A1B87">
        <w:rPr>
          <w:rFonts w:ascii="Verdana" w:eastAsia="Century Gothic" w:hAnsi="Verdana" w:cs="Century Gothic"/>
        </w:rPr>
        <w:t xml:space="preserve"> i. ¿Existen inhabilidades o incompatibilidades para la contratación de un profesional que haya participado previamente en la evaluación de documentos de archivo de una entidad pública?</w:t>
      </w:r>
    </w:p>
    <w:p w14:paraId="4EBD5395" w14:textId="77777777" w:rsidR="00D547C9" w:rsidRPr="005A1B87" w:rsidRDefault="00D547C9" w:rsidP="00D547C9">
      <w:pPr>
        <w:spacing w:after="0" w:line="276" w:lineRule="auto"/>
        <w:jc w:val="both"/>
        <w:rPr>
          <w:rFonts w:ascii="Verdana" w:eastAsia="Century Gothic" w:hAnsi="Verdana" w:cs="Century Gothic"/>
        </w:rPr>
      </w:pPr>
      <w:r w:rsidRPr="005A1B87">
        <w:rPr>
          <w:rFonts w:ascii="Verdana" w:eastAsia="Century Gothic" w:hAnsi="Verdana" w:cs="Century Gothic"/>
        </w:rPr>
        <w:t xml:space="preserve">    </w:t>
      </w:r>
    </w:p>
    <w:p w14:paraId="503C5784" w14:textId="77777777" w:rsidR="00D547C9" w:rsidRPr="005A1B87" w:rsidRDefault="00D547C9" w:rsidP="00D547C9">
      <w:pPr>
        <w:tabs>
          <w:tab w:val="left" w:pos="142"/>
          <w:tab w:val="left" w:pos="284"/>
        </w:tabs>
        <w:spacing w:after="0" w:line="276" w:lineRule="auto"/>
        <w:jc w:val="both"/>
        <w:rPr>
          <w:rFonts w:ascii="Verdana" w:eastAsia="Century Gothic" w:hAnsi="Verdana" w:cs="Century Gothic"/>
          <w:b/>
          <w:lang w:val="es-ES"/>
        </w:rPr>
      </w:pPr>
      <w:r w:rsidRPr="005A1B87">
        <w:rPr>
          <w:rFonts w:ascii="Verdana" w:eastAsia="Century Gothic" w:hAnsi="Verdana" w:cs="Century Gothic"/>
          <w:b/>
          <w:lang w:val="es-ES"/>
        </w:rPr>
        <w:t>2. Respuesta:</w:t>
      </w:r>
    </w:p>
    <w:p w14:paraId="35F63B5F" w14:textId="77777777" w:rsidR="00D547C9" w:rsidRPr="005A1B87" w:rsidRDefault="00D547C9" w:rsidP="00D547C9">
      <w:pPr>
        <w:tabs>
          <w:tab w:val="left" w:pos="142"/>
          <w:tab w:val="left" w:pos="284"/>
        </w:tabs>
        <w:spacing w:after="0" w:line="276" w:lineRule="auto"/>
        <w:jc w:val="both"/>
        <w:rPr>
          <w:rFonts w:ascii="Verdana" w:eastAsia="Century Gothic" w:hAnsi="Verdana" w:cs="Century Gothic"/>
          <w:b/>
          <w:color w:val="7030A0"/>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547C9" w:rsidRPr="005A1B87" w14:paraId="09E039F0" w14:textId="77777777" w:rsidTr="00295806">
        <w:tc>
          <w:tcPr>
            <w:tcW w:w="8828" w:type="dxa"/>
          </w:tcPr>
          <w:p w14:paraId="42506BE0" w14:textId="77777777" w:rsidR="00D547C9" w:rsidRPr="005A1B87" w:rsidRDefault="00D547C9" w:rsidP="00295806">
            <w:pPr>
              <w:widowControl w:val="0"/>
              <w:autoSpaceDE w:val="0"/>
              <w:autoSpaceDN w:val="0"/>
              <w:spacing w:after="120" w:line="276" w:lineRule="auto"/>
              <w:jc w:val="both"/>
              <w:rPr>
                <w:rFonts w:ascii="Verdana" w:eastAsia="Times New Roman" w:hAnsi="Verdana" w:cs="Arial"/>
                <w:lang w:eastAsia="es-ES_tradnl"/>
              </w:rPr>
            </w:pPr>
            <w:r w:rsidRPr="005A1B87">
              <w:rPr>
                <w:rFonts w:ascii="Verdana" w:eastAsia="Times New Roman" w:hAnsi="Verdana" w:cs="Arial"/>
                <w:lang w:eastAsia="es-ES_tradnl"/>
              </w:rPr>
              <w:t>Conforme a la interpretación de las normas generales del sistema de compras públicas y en relación con el problema jurídico planteado, debe señalarse que</w:t>
            </w:r>
            <w:r w:rsidRPr="005A1B87">
              <w:t xml:space="preserve"> l</w:t>
            </w:r>
            <w:r w:rsidRPr="005A1B87">
              <w:rPr>
                <w:rFonts w:ascii="Verdana" w:eastAsia="Times New Roman" w:hAnsi="Verdana" w:cs="Arial"/>
                <w:lang w:eastAsia="es-ES_tradnl"/>
              </w:rPr>
              <w:t>as inhabilidades e incompatibilidades son circunstancias establecidas por la Constitución o la ley que restringen la capacidad de determinadas personas para participar en procesos de selección o celebrar contratos con el Estado. Sobre el particular, el Consejo de Estado ha señalado que la consagración de las inhabilidades e incompatibilidades en materia contractual constituye un desarrollo del principio de moralidad previsto en el artículo 209 de la Constitución Política, en tanto dichas restricciones buscan proteger el interés general y asegurar la adecuada gestión de los recursos públicos.</w:t>
            </w:r>
          </w:p>
          <w:p w14:paraId="22474B57" w14:textId="77777777" w:rsidR="00D547C9" w:rsidRPr="005A1B87" w:rsidRDefault="00D547C9" w:rsidP="00295806">
            <w:pPr>
              <w:widowControl w:val="0"/>
              <w:autoSpaceDE w:val="0"/>
              <w:autoSpaceDN w:val="0"/>
              <w:spacing w:after="120" w:line="276" w:lineRule="auto"/>
              <w:ind w:firstLine="709"/>
              <w:jc w:val="both"/>
              <w:rPr>
                <w:rFonts w:ascii="Verdana" w:eastAsia="Times New Roman" w:hAnsi="Verdana" w:cs="Arial"/>
                <w:lang w:eastAsia="es-ES_tradnl"/>
              </w:rPr>
            </w:pPr>
            <w:r w:rsidRPr="005A1B87">
              <w:rPr>
                <w:rFonts w:ascii="Verdana" w:eastAsia="Times New Roman" w:hAnsi="Verdana" w:cs="Arial"/>
                <w:lang w:eastAsia="es-ES_tradnl"/>
              </w:rPr>
              <w:t>De esta manera, las inhabilidades e incompatibilidades, al constituir restricciones a la capacidad para participar en procedimientos de selección y celebrar contratos estatales, deben estar expresamente previstas en la Constitución o en la ley y son objeto de interpretación restrictiva. Por consiguiente, no resulta jurídicamente procedente extender su aplicación a situaciones no contempladas expresamente por el ordenamiento, pues ello podría afectar principios como la igualdad, el debido proceso, la seguridad jurídica, la libre concurrencia y el ejercicio de la profesión u oficio. Esta ha sido la posición reiterada de la jurisprudencia de la Corte Constitucional y del Consejo de Estado.</w:t>
            </w:r>
          </w:p>
          <w:p w14:paraId="24220FB7" w14:textId="77777777" w:rsidR="00D547C9" w:rsidRPr="005A1B87" w:rsidRDefault="00D547C9" w:rsidP="00295806">
            <w:pPr>
              <w:widowControl w:val="0"/>
              <w:autoSpaceDE w:val="0"/>
              <w:autoSpaceDN w:val="0"/>
              <w:spacing w:after="120" w:line="276" w:lineRule="auto"/>
              <w:ind w:firstLine="709"/>
              <w:jc w:val="both"/>
              <w:rPr>
                <w:rFonts w:ascii="Verdana" w:eastAsia="Times New Roman" w:hAnsi="Verdana" w:cs="Arial"/>
                <w:lang w:eastAsia="es-ES_tradnl"/>
              </w:rPr>
            </w:pPr>
            <w:r w:rsidRPr="005A1B87">
              <w:rPr>
                <w:rFonts w:ascii="Verdana" w:eastAsia="Times New Roman" w:hAnsi="Verdana" w:cs="Arial"/>
                <w:lang w:eastAsia="es-ES_tradnl"/>
              </w:rPr>
              <w:t xml:space="preserve">De igual manera, es importante distinguir las fuentes de las inhabilidades, las cuales pueden clasificarse, de manera general, en inhabilidades-sanción e inhabilidades-requisito. Las primeras surgen como consecuencia de una declaratoria de responsabilidad en el marco de un proceso sancionatorio, mientras que las segundas derivan de determinadas condiciones o circunstancias de la persona y no requieren la imposición previa </w:t>
            </w:r>
            <w:r w:rsidRPr="005A1B87">
              <w:rPr>
                <w:rFonts w:ascii="Verdana" w:eastAsia="Times New Roman" w:hAnsi="Verdana" w:cs="Arial"/>
                <w:lang w:eastAsia="es-ES_tradnl"/>
              </w:rPr>
              <w:lastRenderedPageBreak/>
              <w:t>de una sanción. En ambos casos, la restricción debe tener fundamento expreso en una disposición constitucional o legal.</w:t>
            </w:r>
          </w:p>
          <w:p w14:paraId="49C1A16B" w14:textId="77777777" w:rsidR="00D547C9" w:rsidRPr="005A1B87" w:rsidRDefault="00D547C9" w:rsidP="00295806">
            <w:pPr>
              <w:widowControl w:val="0"/>
              <w:autoSpaceDE w:val="0"/>
              <w:autoSpaceDN w:val="0"/>
              <w:spacing w:after="120" w:line="276" w:lineRule="auto"/>
              <w:ind w:firstLine="709"/>
              <w:jc w:val="both"/>
              <w:rPr>
                <w:rFonts w:ascii="Verdana" w:eastAsia="Times New Roman" w:hAnsi="Verdana" w:cs="Arial"/>
                <w:lang w:eastAsia="es-ES_tradnl"/>
              </w:rPr>
            </w:pPr>
            <w:r w:rsidRPr="005A1B87">
              <w:rPr>
                <w:rFonts w:ascii="Verdana" w:eastAsia="Times New Roman" w:hAnsi="Verdana" w:cs="Arial"/>
                <w:lang w:eastAsia="es-ES_tradnl"/>
              </w:rPr>
              <w:t>En materia contractual, por ejemplo, algunos de los literales del numeral 1 del artículo 8 de la Ley 80 de 1993 consagran inhabilidades derivadas de sanciones o declaratorias de responsabilidad, mientras que otros establecen restricciones asociadas a circunstancias propias de la persona, como determinados vínculos de parentesco, afinidad o la condición de servidor público. En todo caso, la inhabilidad o incompatibilidad constituye una limitación a la capacidad contractual que solo puede derivarse de una situación expresamente prevista por el ordenamiento jurídico.</w:t>
            </w:r>
          </w:p>
          <w:p w14:paraId="245A59B8" w14:textId="77777777" w:rsidR="00D547C9" w:rsidRPr="005A1B87" w:rsidRDefault="00D547C9" w:rsidP="00295806">
            <w:pPr>
              <w:widowControl w:val="0"/>
              <w:autoSpaceDE w:val="0"/>
              <w:autoSpaceDN w:val="0"/>
              <w:spacing w:after="120" w:line="276" w:lineRule="auto"/>
              <w:ind w:firstLine="709"/>
              <w:jc w:val="both"/>
              <w:rPr>
                <w:rFonts w:ascii="Verdana" w:eastAsia="Times New Roman" w:hAnsi="Verdana" w:cs="Arial"/>
                <w:lang w:eastAsia="es-ES_tradnl"/>
              </w:rPr>
            </w:pPr>
            <w:r w:rsidRPr="005A1B87">
              <w:rPr>
                <w:rFonts w:ascii="Verdana" w:eastAsia="Times New Roman" w:hAnsi="Verdana" w:cs="Arial"/>
                <w:lang w:eastAsia="es-ES_tradnl"/>
              </w:rPr>
              <w:t>Dicho lo anterior, si bien el régimen de inhabilidades e incompatibilidades constituye un elemento relevante de la capacidad para contratar con el Estado, su análisis debe diferenciarse de otras figuras jurídicas que puedan resultar aplicables a una situación determinada. En particular, será necesario valorar, según las circunstancias de cada caso, la eventual existencia de conflictos de interés, entendidos como aquellas situaciones en las que los intereses particulares de una persona pueden interferir, comprometer o entrar en tensión con el adecuado cumplimiento de sus deberes u obligaciones. Este análisis no puede efectuarse de manera abstracta, sino que debe atender a las circunstancias específicas de la vinculación, las funciones desempeñadas, las actuaciones previamente realizadas y la naturaleza de las entidades involucradas.</w:t>
            </w:r>
          </w:p>
          <w:p w14:paraId="3930A523" w14:textId="77777777" w:rsidR="00D547C9" w:rsidRPr="005A1B87" w:rsidRDefault="00D547C9" w:rsidP="00295806">
            <w:pPr>
              <w:widowControl w:val="0"/>
              <w:autoSpaceDE w:val="0"/>
              <w:autoSpaceDN w:val="0"/>
              <w:spacing w:after="120" w:line="276" w:lineRule="auto"/>
              <w:ind w:firstLine="709"/>
              <w:jc w:val="both"/>
              <w:rPr>
                <w:rFonts w:ascii="Verdana" w:eastAsia="Times New Roman" w:hAnsi="Verdana" w:cs="Arial"/>
                <w:lang w:eastAsia="es-ES_tradnl"/>
              </w:rPr>
            </w:pPr>
            <w:r w:rsidRPr="005A1B87">
              <w:rPr>
                <w:rFonts w:ascii="Verdana" w:eastAsia="Times New Roman" w:hAnsi="Verdana" w:cs="Arial"/>
                <w:lang w:eastAsia="es-ES_tradnl"/>
              </w:rPr>
              <w:t>En ese sentido, para efectos de resolver de manera general la inquietud planteada, debe tenerse en cuenta lo dispuesto en el artículo 8 de la Ley 80 de 1993, disposición que establece las causales de inhabilidad e incompatibilidad para contratar con las entidades estatales. Por tanto, será la entidad contratante la llamada a verificar, frente a las circunstancias concretas del caso y con base en la información que corresponda, si se configura alguna de las causales previstas en dicha disposición.</w:t>
            </w:r>
          </w:p>
          <w:p w14:paraId="1A3BF986" w14:textId="77777777" w:rsidR="00D547C9" w:rsidRPr="005A1B87" w:rsidRDefault="00D547C9" w:rsidP="00295806">
            <w:pPr>
              <w:widowControl w:val="0"/>
              <w:autoSpaceDE w:val="0"/>
              <w:autoSpaceDN w:val="0"/>
              <w:spacing w:after="120" w:line="276" w:lineRule="auto"/>
              <w:ind w:firstLine="737"/>
              <w:jc w:val="both"/>
              <w:rPr>
                <w:rFonts w:ascii="Verdana" w:eastAsia="Calibri" w:hAnsi="Verdana" w:cs="Arial"/>
                <w:color w:val="7030A0"/>
              </w:rPr>
            </w:pPr>
            <w:r w:rsidRPr="005A1B87">
              <w:rPr>
                <w:rFonts w:ascii="Verdana" w:eastAsia="Calibri" w:hAnsi="Verdana" w:cs="Arial"/>
              </w:rPr>
              <w:t xml:space="preserve">Finalmente, es pertinente indicar que Colombia Compra Eficiente,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 Por ello, serán las entidades públicas que adelantan el proceso de contratación, las facultadas </w:t>
            </w:r>
            <w:r w:rsidRPr="005A1B87">
              <w:rPr>
                <w:rFonts w:ascii="Verdana" w:eastAsia="Calibri" w:hAnsi="Verdana" w:cs="Arial"/>
              </w:rPr>
              <w:lastRenderedPageBreak/>
              <w:t xml:space="preserve">para determinar en cada caso particular y concreto, con los principios básicos y las normas que rigen el EGCAP.  </w:t>
            </w:r>
            <w:r w:rsidRPr="005A1B87">
              <w:rPr>
                <w:rFonts w:ascii="Verdana" w:eastAsia="Times New Roman" w:hAnsi="Verdana" w:cs="Times New Roman"/>
                <w:lang w:eastAsia="es-ES"/>
              </w:rPr>
              <w:t>En otras palabras, los conceptos de esta Agencia tienen como objeto la interpretación de normas de carácter general, esto es, del ordenamiento jurídico en abstracto, no la resolución de controversias o la asesoría para casos concretos; además, no son vinculantes o de obligatorio cumplimiento para el destinatario, sino que expresan la posición interpretativa del organismo que elabora el concepto.</w:t>
            </w:r>
          </w:p>
        </w:tc>
      </w:tr>
    </w:tbl>
    <w:p w14:paraId="7A1B5EC3" w14:textId="77777777" w:rsidR="00D547C9" w:rsidRPr="005A1B87" w:rsidRDefault="00D547C9" w:rsidP="00D547C9">
      <w:pPr>
        <w:tabs>
          <w:tab w:val="left" w:pos="142"/>
          <w:tab w:val="left" w:pos="284"/>
        </w:tabs>
        <w:spacing w:after="0" w:line="276" w:lineRule="auto"/>
        <w:jc w:val="both"/>
        <w:rPr>
          <w:rFonts w:ascii="Verdana" w:eastAsia="Century Gothic" w:hAnsi="Verdana" w:cs="Century Gothic"/>
          <w:b/>
          <w:bCs/>
          <w:color w:val="7030A0"/>
          <w:lang w:val="es-ES"/>
        </w:rPr>
      </w:pPr>
    </w:p>
    <w:p w14:paraId="070F4FFC" w14:textId="77777777" w:rsidR="00D547C9" w:rsidRPr="005A1B87" w:rsidRDefault="00D547C9" w:rsidP="00D547C9">
      <w:pPr>
        <w:tabs>
          <w:tab w:val="left" w:pos="142"/>
          <w:tab w:val="left" w:pos="284"/>
        </w:tabs>
        <w:spacing w:after="0" w:line="276" w:lineRule="auto"/>
        <w:jc w:val="both"/>
        <w:rPr>
          <w:rFonts w:ascii="Verdana" w:eastAsia="Century Gothic" w:hAnsi="Verdana" w:cs="Century Gothic"/>
          <w:b/>
          <w:lang w:val="es-ES"/>
        </w:rPr>
      </w:pPr>
      <w:r w:rsidRPr="005A1B87">
        <w:rPr>
          <w:rFonts w:ascii="Verdana" w:eastAsia="Century Gothic" w:hAnsi="Verdana" w:cs="Century Gothic"/>
          <w:b/>
          <w:lang w:val="es-ES"/>
        </w:rPr>
        <w:t>3. Razones de la respuesta:</w:t>
      </w:r>
    </w:p>
    <w:p w14:paraId="717C34CF" w14:textId="77777777" w:rsidR="00D547C9" w:rsidRPr="005A1B87" w:rsidRDefault="00D547C9" w:rsidP="00D547C9">
      <w:pPr>
        <w:spacing w:after="0" w:line="276" w:lineRule="auto"/>
        <w:jc w:val="both"/>
        <w:rPr>
          <w:rFonts w:ascii="Verdana" w:eastAsia="Calibri" w:hAnsi="Verdana" w:cs="Arial"/>
          <w:lang w:val="es-ES"/>
        </w:rPr>
      </w:pPr>
    </w:p>
    <w:p w14:paraId="4502E73B" w14:textId="77777777" w:rsidR="00D547C9" w:rsidRPr="005A1B87" w:rsidRDefault="00D547C9" w:rsidP="00D547C9">
      <w:pPr>
        <w:spacing w:after="0" w:line="276" w:lineRule="auto"/>
        <w:jc w:val="both"/>
        <w:rPr>
          <w:rFonts w:ascii="Verdana" w:eastAsia="Calibri" w:hAnsi="Verdana" w:cs="Arial"/>
          <w:lang w:val="es-ES"/>
        </w:rPr>
      </w:pPr>
      <w:r w:rsidRPr="005A1B87">
        <w:rPr>
          <w:rFonts w:ascii="Verdana" w:eastAsia="Calibri" w:hAnsi="Verdana" w:cs="Arial"/>
          <w:lang w:val="es-ES"/>
        </w:rPr>
        <w:t xml:space="preserve">Las respuestas anteriores se sustentan en las siguientes consideraciones: </w:t>
      </w:r>
      <w:bookmarkStart w:id="1" w:name="_Hlk102983874"/>
      <w:bookmarkStart w:id="2" w:name="_Hlk102388095"/>
    </w:p>
    <w:p w14:paraId="1B6D89FE" w14:textId="77777777" w:rsidR="00D547C9" w:rsidRPr="005A1B87" w:rsidRDefault="00D547C9" w:rsidP="00D547C9">
      <w:pPr>
        <w:spacing w:after="0" w:line="276" w:lineRule="auto"/>
        <w:jc w:val="both"/>
        <w:rPr>
          <w:rFonts w:ascii="Verdana" w:eastAsia="Calibri" w:hAnsi="Verdana" w:cs="Arial"/>
          <w:color w:val="7030A0"/>
          <w:lang w:val="es-ES"/>
        </w:rPr>
      </w:pPr>
    </w:p>
    <w:bookmarkEnd w:id="1"/>
    <w:bookmarkEnd w:id="2"/>
    <w:p w14:paraId="54539AA8" w14:textId="77777777" w:rsidR="00D547C9" w:rsidRPr="005A1B87" w:rsidRDefault="00D547C9" w:rsidP="00D547C9">
      <w:pPr>
        <w:pStyle w:val="Sinespaciado"/>
        <w:spacing w:line="276" w:lineRule="auto"/>
        <w:jc w:val="both"/>
        <w:rPr>
          <w:rFonts w:ascii="Verdana" w:hAnsi="Verdana" w:cs="Arial"/>
          <w:color w:val="000000" w:themeColor="text1"/>
          <w:sz w:val="22"/>
        </w:rPr>
      </w:pPr>
      <w:r w:rsidRPr="005A1B87">
        <w:rPr>
          <w:rFonts w:ascii="Verdana" w:eastAsia="Verdana" w:hAnsi="Verdana" w:cs="Verdana"/>
          <w:sz w:val="22"/>
        </w:rPr>
        <w:t xml:space="preserve">i. </w:t>
      </w:r>
      <w:r w:rsidRPr="005A1B87">
        <w:rPr>
          <w:rFonts w:ascii="Verdana" w:hAnsi="Verdana" w:cs="Arial"/>
          <w:color w:val="000000" w:themeColor="text1"/>
          <w:sz w:val="22"/>
        </w:rPr>
        <w:t xml:space="preserve">Las inhabilidades e incompatibilidades son circunstancias establecidas por la Constitución o la ley que impiden la posibilidad de que ciertas personas sean elegidas o designadas en un cargo público o puedan celebrar contratos con el Estado, con el objetivo de garantizar la idoneidad, imparcialidad, probidad, transparencia y moralidad de la gestión pública.  El régimen de inhabilidades e incompatibilidades para contratar con el Estado es un conjunto de restricciones establecidas por el constituyente o por el legislador que afectan directamente la capacidad de las personas para establecer una relación jurídica contractual con el Estado, que pueden resultar de condenas, sanciones o situaciones previamente establecidas por el ordenamiento jurídico. Estas restricciones o limitaciones que afectan la capacidad jurídica de las personas para contratar realizan los principios de la función administrativa, consagrados en el artículo 209 de la Constitución Política, con especial énfasis en el de moralidad. Así lo ha entendido el Consejo de Estado: </w:t>
      </w:r>
    </w:p>
    <w:p w14:paraId="26610084" w14:textId="77777777" w:rsidR="00D547C9" w:rsidRPr="005A1B87" w:rsidRDefault="00D547C9" w:rsidP="00D547C9">
      <w:pPr>
        <w:pStyle w:val="Sinespaciado"/>
        <w:spacing w:line="276" w:lineRule="auto"/>
        <w:jc w:val="both"/>
        <w:rPr>
          <w:rFonts w:ascii="Verdana" w:hAnsi="Verdana" w:cs="Arial"/>
          <w:color w:val="000000" w:themeColor="text1"/>
          <w:sz w:val="20"/>
          <w:szCs w:val="20"/>
          <w:lang w:val="es-ES"/>
        </w:rPr>
      </w:pPr>
    </w:p>
    <w:p w14:paraId="725D877D" w14:textId="77777777" w:rsidR="00D547C9" w:rsidRPr="005A1B87" w:rsidRDefault="00D547C9" w:rsidP="00D547C9">
      <w:pPr>
        <w:pStyle w:val="NormalWeb"/>
        <w:shd w:val="clear" w:color="auto" w:fill="FFFFFF"/>
        <w:spacing w:before="0" w:beforeAutospacing="0" w:after="120" w:afterAutospacing="0"/>
        <w:ind w:left="709" w:right="709"/>
        <w:jc w:val="both"/>
        <w:rPr>
          <w:rFonts w:ascii="Verdana" w:hAnsi="Verdana" w:cs="Arial"/>
          <w:color w:val="000000" w:themeColor="text1"/>
          <w:sz w:val="20"/>
          <w:szCs w:val="20"/>
          <w:lang w:val="es-ES"/>
        </w:rPr>
      </w:pPr>
      <w:r w:rsidRPr="005A1B87">
        <w:rPr>
          <w:rFonts w:ascii="Verdana" w:hAnsi="Verdana" w:cs="Arial"/>
          <w:color w:val="000000" w:themeColor="text1"/>
          <w:sz w:val="20"/>
          <w:szCs w:val="20"/>
          <w:lang w:val="es-ES"/>
        </w:rPr>
        <w:t>“De manera primordial en esta reflexión debe advertirse que la consagración legal de las incompatibilidades e inhabilidades en materia contractual, no es sino desarrollo del Principio de Moralidad que la Constitución Política consagra como uno de los rectores de la Función Administrativa, instituido en el artículo 209 de la Carta, toda vez que este 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0923C7D1" w14:textId="77777777" w:rsidR="00D547C9" w:rsidRPr="005A1B87" w:rsidRDefault="00D547C9" w:rsidP="00D547C9">
      <w:pPr>
        <w:pStyle w:val="NormalWeb"/>
        <w:shd w:val="clear" w:color="auto" w:fill="FFFFFF"/>
        <w:spacing w:before="0" w:beforeAutospacing="0" w:after="0"/>
        <w:ind w:left="709" w:right="709"/>
        <w:jc w:val="both"/>
        <w:rPr>
          <w:rFonts w:ascii="Verdana" w:hAnsi="Verdana" w:cs="Arial"/>
          <w:color w:val="000000" w:themeColor="text1"/>
          <w:sz w:val="20"/>
          <w:szCs w:val="20"/>
          <w:lang w:val="es-ES"/>
        </w:rPr>
      </w:pPr>
      <w:r w:rsidRPr="005A1B87">
        <w:rPr>
          <w:rFonts w:ascii="Verdana" w:hAnsi="Verdana" w:cs="Arial"/>
          <w:color w:val="000000" w:themeColor="text1"/>
          <w:sz w:val="20"/>
          <w:szCs w:val="20"/>
          <w:lang w:val="es-ES"/>
        </w:rPr>
        <w:t xml:space="preserve">Adicionalmente, toda vez que la Jurisprudencia Constitucional se ha referido a la protección del Interés General como causa que legitima la </w:t>
      </w:r>
      <w:r w:rsidRPr="005A1B87">
        <w:rPr>
          <w:rFonts w:ascii="Verdana" w:hAnsi="Verdana" w:cs="Arial"/>
          <w:color w:val="000000" w:themeColor="text1"/>
          <w:sz w:val="20"/>
          <w:szCs w:val="20"/>
          <w:lang w:val="es-ES"/>
        </w:rPr>
        <w:lastRenderedPageBreak/>
        <w:t>estructuración legal de las incompatibilidades e inhabilidades, se puede precisar que la regulación de sus causales para contratar con el Estado 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determinados potenciales contratistas, la cual se impone entonces por razón de ese fin de interés general como regla legal prevalente, esto es que puede ser impuesta sobre el derecho individual a contratar con el Estado”</w:t>
      </w:r>
      <w:r w:rsidRPr="005A1B87">
        <w:rPr>
          <w:rStyle w:val="Refdenotaalpie"/>
          <w:rFonts w:ascii="Verdana" w:hAnsi="Verdana" w:cs="Arial"/>
          <w:color w:val="000000" w:themeColor="text1"/>
          <w:sz w:val="20"/>
          <w:szCs w:val="20"/>
          <w:lang w:val="es-ES"/>
        </w:rPr>
        <w:footnoteReference w:id="1"/>
      </w:r>
      <w:r w:rsidRPr="005A1B87">
        <w:rPr>
          <w:rFonts w:ascii="Verdana" w:hAnsi="Verdana" w:cs="Arial"/>
          <w:color w:val="000000" w:themeColor="text1"/>
          <w:sz w:val="20"/>
          <w:szCs w:val="20"/>
          <w:lang w:val="es-ES"/>
        </w:rPr>
        <w:t xml:space="preserve">. </w:t>
      </w:r>
    </w:p>
    <w:p w14:paraId="3CB544B7" w14:textId="77777777" w:rsidR="00D547C9" w:rsidRPr="005A1B87" w:rsidRDefault="00D547C9" w:rsidP="00D547C9">
      <w:pPr>
        <w:spacing w:after="0" w:line="276" w:lineRule="auto"/>
        <w:ind w:firstLine="709"/>
        <w:jc w:val="both"/>
        <w:rPr>
          <w:rFonts w:ascii="Verdana" w:hAnsi="Verdana" w:cs="Arial"/>
          <w:color w:val="000000" w:themeColor="text1"/>
        </w:rPr>
      </w:pPr>
      <w:r w:rsidRPr="005A1B87">
        <w:rPr>
          <w:rFonts w:ascii="Verdana" w:hAnsi="Verdana" w:cs="Arial"/>
          <w:color w:val="000000" w:themeColor="text1"/>
        </w:rPr>
        <w:t>Además, la Corte Constitucional explica que el legislador tiene la competencia para determinar qué hechos o situaciones generan inhabilidad para contratar, pues este régimen es un aspecto propio del Estatuto General de Contratación de la Administración Pública, cuya expedición compete al Congreso de la República a la luz del artículo 150 de la Constitución Política, y que en esta materia rige el principio de legalidad:</w:t>
      </w:r>
    </w:p>
    <w:p w14:paraId="1119E545" w14:textId="77777777" w:rsidR="00D547C9" w:rsidRPr="005A1B87" w:rsidRDefault="00D547C9" w:rsidP="00D547C9">
      <w:pPr>
        <w:pStyle w:val="Sinespaciado"/>
        <w:tabs>
          <w:tab w:val="left" w:pos="1532"/>
        </w:tabs>
        <w:spacing w:line="276" w:lineRule="auto"/>
        <w:jc w:val="both"/>
        <w:rPr>
          <w:rFonts w:ascii="Verdana" w:hAnsi="Verdana" w:cs="Arial"/>
          <w:color w:val="000000" w:themeColor="text1"/>
          <w:sz w:val="22"/>
        </w:rPr>
      </w:pPr>
    </w:p>
    <w:p w14:paraId="297D31CE" w14:textId="77777777" w:rsidR="00D547C9" w:rsidRPr="005A1B87" w:rsidRDefault="00D547C9" w:rsidP="00D547C9">
      <w:pPr>
        <w:spacing w:after="0" w:line="240" w:lineRule="auto"/>
        <w:ind w:left="709" w:right="709"/>
        <w:jc w:val="both"/>
        <w:rPr>
          <w:rFonts w:ascii="Verdana" w:hAnsi="Verdana" w:cs="Arial"/>
          <w:color w:val="000000" w:themeColor="text1"/>
          <w:sz w:val="20"/>
          <w:szCs w:val="20"/>
        </w:rPr>
      </w:pPr>
      <w:r w:rsidRPr="005A1B87">
        <w:rPr>
          <w:rFonts w:ascii="Verdana" w:hAnsi="Verdana" w:cs="Arial"/>
          <w:color w:val="000000" w:themeColor="text1"/>
          <w:sz w:val="20"/>
          <w:szCs w:val="20"/>
        </w:rPr>
        <w:t>“Las limitaciones y restricciones que se contienen en el citado estatuto, predicables de la relación Estado-particulares y que afectan los diversos momentos de formación, celebración y ejecución de los contratos estatales, se refieren a una faceta de la actividad del Estado y en la que se contempla, en los términos de la ley, una especial modalidad de participación o colaboración de los particulares en su papel de contratistas. La ley demandada recae sobre una materia que pertenece al dominio de la esfera estatal y pública, dentro de la cual no rige el principio </w:t>
      </w:r>
      <w:r w:rsidRPr="005A1B87">
        <w:rPr>
          <w:rFonts w:ascii="Verdana" w:hAnsi="Verdana" w:cs="Arial"/>
          <w:i/>
          <w:iCs/>
          <w:color w:val="000000" w:themeColor="text1"/>
          <w:sz w:val="20"/>
          <w:szCs w:val="20"/>
        </w:rPr>
        <w:t>pro libertate</w:t>
      </w:r>
      <w:r w:rsidRPr="005A1B87">
        <w:rPr>
          <w:rFonts w:ascii="Verdana" w:hAnsi="Verdana" w:cs="Arial"/>
          <w:color w:val="000000" w:themeColor="text1"/>
          <w:sz w:val="20"/>
          <w:szCs w:val="20"/>
        </w:rPr>
        <w:t xml:space="preserve">, sino el de legalidad, el que ordena que la función pública debe someterse estrictamente a lo que disponga la Constitución y la ley (CP art. 6). </w:t>
      </w:r>
    </w:p>
    <w:p w14:paraId="42EC65FB" w14:textId="77777777" w:rsidR="00D547C9" w:rsidRPr="005A1B87" w:rsidRDefault="00D547C9" w:rsidP="00D547C9">
      <w:pPr>
        <w:spacing w:after="120" w:line="240" w:lineRule="auto"/>
        <w:ind w:left="709" w:right="709"/>
        <w:jc w:val="both"/>
        <w:rPr>
          <w:rFonts w:ascii="Verdana" w:hAnsi="Verdana" w:cs="Arial"/>
          <w:color w:val="000000" w:themeColor="text1"/>
          <w:sz w:val="20"/>
          <w:szCs w:val="20"/>
        </w:rPr>
      </w:pPr>
      <w:r w:rsidRPr="005A1B87">
        <w:rPr>
          <w:rFonts w:ascii="Verdana" w:hAnsi="Verdana" w:cs="Arial"/>
          <w:color w:val="000000" w:themeColor="text1"/>
          <w:sz w:val="20"/>
          <w:szCs w:val="20"/>
        </w:rPr>
        <w:t xml:space="preserve">[…] </w:t>
      </w:r>
    </w:p>
    <w:p w14:paraId="0211263A" w14:textId="77777777" w:rsidR="00D547C9" w:rsidRPr="005A1B87" w:rsidRDefault="00D547C9" w:rsidP="00D547C9">
      <w:pPr>
        <w:spacing w:after="0" w:line="240" w:lineRule="auto"/>
        <w:ind w:left="709" w:right="709"/>
        <w:jc w:val="both"/>
        <w:rPr>
          <w:rFonts w:ascii="Verdana" w:hAnsi="Verdana" w:cs="Arial"/>
          <w:color w:val="000000" w:themeColor="text1"/>
          <w:sz w:val="20"/>
          <w:szCs w:val="20"/>
        </w:rPr>
      </w:pPr>
      <w:r w:rsidRPr="005A1B87">
        <w:rPr>
          <w:rFonts w:ascii="Verdana" w:hAnsi="Verdana" w:cs="Arial"/>
          <w:color w:val="000000" w:themeColor="text1"/>
          <w:sz w:val="20"/>
          <w:szCs w:val="20"/>
        </w:rPr>
        <w:t>Se comprende con facilidad que el régimen de inhabilidades e incompatibilidades corresponde a una materia de normal y obligada inclusión en un estatuto contractual. El legislador, a quien se ha confiado expedir el indicado estatuto, tiene, pues, competencia para establecerlo (CP art. 150)”</w:t>
      </w:r>
      <w:r w:rsidRPr="005A1B87">
        <w:rPr>
          <w:rStyle w:val="Refdenotaalpie"/>
          <w:rFonts w:ascii="Verdana" w:hAnsi="Verdana" w:cs="Arial"/>
          <w:color w:val="000000" w:themeColor="text1"/>
          <w:sz w:val="20"/>
          <w:szCs w:val="20"/>
        </w:rPr>
        <w:footnoteReference w:id="2"/>
      </w:r>
      <w:r w:rsidRPr="005A1B87">
        <w:rPr>
          <w:rFonts w:ascii="Verdana" w:hAnsi="Verdana" w:cs="Arial"/>
          <w:color w:val="000000" w:themeColor="text1"/>
          <w:sz w:val="20"/>
          <w:szCs w:val="20"/>
        </w:rPr>
        <w:t>.</w:t>
      </w:r>
    </w:p>
    <w:p w14:paraId="66F442F4" w14:textId="77777777" w:rsidR="00D547C9" w:rsidRPr="005A1B87" w:rsidRDefault="00D547C9" w:rsidP="00D547C9">
      <w:pPr>
        <w:spacing w:after="0" w:line="276" w:lineRule="auto"/>
        <w:ind w:left="709" w:right="709"/>
        <w:jc w:val="both"/>
        <w:rPr>
          <w:rFonts w:ascii="Verdana" w:hAnsi="Verdana" w:cs="Arial"/>
          <w:color w:val="7030A0"/>
        </w:rPr>
      </w:pPr>
    </w:p>
    <w:p w14:paraId="43B97A36" w14:textId="77777777" w:rsidR="00D547C9" w:rsidRPr="005A1B87" w:rsidRDefault="00D547C9" w:rsidP="00D547C9">
      <w:pPr>
        <w:spacing w:after="0" w:line="276" w:lineRule="auto"/>
        <w:ind w:firstLine="709"/>
        <w:contextualSpacing/>
        <w:jc w:val="both"/>
        <w:rPr>
          <w:rFonts w:ascii="Verdana" w:eastAsia="Calibri" w:hAnsi="Verdana" w:cs="Arial"/>
          <w:lang w:val="es-ES_tradnl"/>
        </w:rPr>
      </w:pPr>
      <w:r w:rsidRPr="005A1B87">
        <w:rPr>
          <w:rFonts w:ascii="Verdana" w:eastAsia="Calibri" w:hAnsi="Verdana" w:cs="Arial"/>
        </w:rPr>
        <w:lastRenderedPageBreak/>
        <w:t>De esta manera</w:t>
      </w:r>
      <w:r w:rsidRPr="005A1B87">
        <w:rPr>
          <w:rFonts w:ascii="Verdana" w:eastAsia="Calibri" w:hAnsi="Verdana" w:cs="Arial"/>
          <w:lang w:val="es-ES_tradnl"/>
        </w:rPr>
        <w:t xml:space="preserve">, 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5A1B87">
        <w:rPr>
          <w:rFonts w:ascii="Verdana" w:eastAsia="Calibri" w:hAnsi="Verdana" w:cs="Arial"/>
          <w:i/>
          <w:iCs/>
          <w:lang w:val="es-ES_tradnl"/>
        </w:rPr>
        <w:t>restrictiva</w:t>
      </w:r>
      <w:r w:rsidRPr="005A1B87">
        <w:rPr>
          <w:rStyle w:val="Refdenotaalpie"/>
          <w:rFonts w:ascii="Verdana" w:eastAsia="Calibri" w:hAnsi="Verdana" w:cs="Arial"/>
          <w:i/>
          <w:iCs/>
          <w:lang w:val="es-ES_tradnl"/>
        </w:rPr>
        <w:footnoteReference w:id="3"/>
      </w:r>
      <w:r w:rsidRPr="005A1B87">
        <w:rPr>
          <w:rFonts w:ascii="Verdana" w:eastAsia="Calibri" w:hAnsi="Verdana" w:cs="Arial"/>
          <w:i/>
          <w:iCs/>
          <w:lang w:val="es-ES_tradnl"/>
        </w:rPr>
        <w:t xml:space="preserve">, </w:t>
      </w:r>
      <w:r w:rsidRPr="005A1B87">
        <w:rPr>
          <w:rFonts w:ascii="Verdana" w:eastAsia="Calibri" w:hAnsi="Verdana" w:cs="Arial"/>
          <w:lang w:val="es-ES_tradnl"/>
        </w:rPr>
        <w:t>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w:t>
      </w:r>
      <w:r w:rsidRPr="005A1B87">
        <w:rPr>
          <w:rStyle w:val="Refdenotaalpie"/>
          <w:rFonts w:ascii="Verdana" w:eastAsia="Calibri" w:hAnsi="Verdana" w:cs="Arial"/>
          <w:lang w:val="es-ES_tradnl"/>
        </w:rPr>
        <w:footnoteReference w:id="4"/>
      </w:r>
      <w:r w:rsidRPr="005A1B87">
        <w:rPr>
          <w:rFonts w:ascii="Verdana" w:eastAsia="Calibri" w:hAnsi="Verdana" w:cs="Arial"/>
          <w:lang w:val="es-ES_tradnl"/>
        </w:rPr>
        <w:t>.</w:t>
      </w:r>
    </w:p>
    <w:p w14:paraId="3D9245DB" w14:textId="77777777" w:rsidR="00D547C9" w:rsidRPr="005A1B87" w:rsidRDefault="00D547C9" w:rsidP="00D547C9">
      <w:pPr>
        <w:spacing w:after="120" w:line="276" w:lineRule="auto"/>
        <w:ind w:firstLine="709"/>
        <w:jc w:val="both"/>
        <w:rPr>
          <w:rFonts w:ascii="Verdana" w:hAnsi="Verdana" w:cs="Arial"/>
          <w:color w:val="000000" w:themeColor="text1"/>
        </w:rPr>
      </w:pPr>
      <w:r w:rsidRPr="005A1B87">
        <w:rPr>
          <w:rFonts w:ascii="Verdana" w:hAnsi="Verdana" w:cs="Arial"/>
          <w:color w:val="000000" w:themeColor="text1"/>
        </w:rPr>
        <w:t>Conviene también distinguir las fuentes de las inhabilidades, las cuales han sido clasificadas en dos (2) grupos: i) inhabilidades-sanción y ii) inhabilidades-requisito. En el primer grupo se encuentran las inhabilidades que surgen como consecuencia de un proceso sancionatorio, en los ámbitos penal, disciplinario, contravencional o de pérdida de investidura. En el segundo grupo están aquellas que no devienen de un proceso sancionatorio, sino de condiciones propias de la persona y garantizan la moralidad, la imparcialidad, la eficacia y la transparencia</w:t>
      </w:r>
      <w:r w:rsidRPr="005A1B87">
        <w:rPr>
          <w:rStyle w:val="Refdenotaalpie"/>
          <w:rFonts w:ascii="Verdana" w:hAnsi="Verdana" w:cs="Arial"/>
          <w:color w:val="000000" w:themeColor="text1"/>
        </w:rPr>
        <w:footnoteReference w:id="5"/>
      </w:r>
      <w:r w:rsidRPr="005A1B87">
        <w:rPr>
          <w:rFonts w:ascii="Verdana" w:hAnsi="Verdana" w:cs="Arial"/>
          <w:color w:val="000000" w:themeColor="text1"/>
        </w:rPr>
        <w:t>.</w:t>
      </w:r>
    </w:p>
    <w:p w14:paraId="2F8EAD0A" w14:textId="77777777" w:rsidR="00D547C9" w:rsidRPr="005A1B87" w:rsidRDefault="00D547C9" w:rsidP="00D547C9">
      <w:pPr>
        <w:spacing w:after="120" w:line="276" w:lineRule="auto"/>
        <w:ind w:firstLine="709"/>
        <w:jc w:val="both"/>
        <w:rPr>
          <w:rFonts w:ascii="Verdana" w:hAnsi="Verdana" w:cs="Arial"/>
          <w:color w:val="000000" w:themeColor="text1"/>
        </w:rPr>
      </w:pPr>
      <w:r w:rsidRPr="005A1B87">
        <w:rPr>
          <w:rFonts w:ascii="Verdana" w:hAnsi="Verdana" w:cs="Arial"/>
          <w:color w:val="000000" w:themeColor="text1"/>
        </w:rPr>
        <w:t xml:space="preserve">A manera de ejemplo, en materia contractual, los literales c), d) y j) del numeral 1 del artículo 8 de la Ley 80 de 1993 establecen inhabilidades-sanción, porque la prohibición para contratar con el Estado en esos eventos es una </w:t>
      </w:r>
      <w:r w:rsidRPr="005A1B87">
        <w:rPr>
          <w:rFonts w:ascii="Verdana" w:hAnsi="Verdana" w:cs="Arial"/>
          <w:color w:val="000000" w:themeColor="text1"/>
        </w:rPr>
        <w:lastRenderedPageBreak/>
        <w:t xml:space="preserve">consecuencia de una declaratoria de responsabilidad que surge luego de un proceso sancionatorio –administrativo, disciplinario o penal–; mientras que las inhabilidades de los literales f), g) y h) del literal 1 de la norma citada establecen inhabilidades–requisito, pues no se configuran por la comisión previa de una falta o un delito que dio lugar a una declaratoria por parte de la Administración o el juez, sino de aspectos propios de la persona, derivados, por ejemplo, del parentesco o la afinidad o de la condición de servidor público. </w:t>
      </w:r>
      <w:bookmarkStart w:id="3" w:name="_Hlk40976328"/>
      <w:r w:rsidRPr="005A1B87">
        <w:rPr>
          <w:rFonts w:ascii="Verdana" w:hAnsi="Verdana" w:cs="Arial"/>
          <w:color w:val="000000" w:themeColor="text1"/>
        </w:rPr>
        <w:t xml:space="preserve">En ambos eventos, la inhabilidad tiene como fuente una situación o un hecho propio del proponente –una conducta o una condición– ajena a la oferta. La inhabilidad surge, entre otros, por su grado de parentesco o afinidad, por su condición de servidor público o por una declaratoria de responsabilidad penal, disciplinaria o sancionatoria contractual sobre él. </w:t>
      </w:r>
      <w:bookmarkEnd w:id="3"/>
    </w:p>
    <w:p w14:paraId="0F91213E" w14:textId="77777777" w:rsidR="00D547C9" w:rsidRPr="005A1B87" w:rsidRDefault="00D547C9" w:rsidP="00D547C9">
      <w:pPr>
        <w:spacing w:after="120" w:line="276" w:lineRule="auto"/>
        <w:ind w:firstLine="708"/>
        <w:jc w:val="both"/>
        <w:rPr>
          <w:rFonts w:ascii="Verdana" w:eastAsia="Calibri" w:hAnsi="Verdana" w:cs="Arial"/>
          <w:color w:val="000000" w:themeColor="text1"/>
          <w:lang w:val="es-ES_tradnl"/>
        </w:rPr>
      </w:pPr>
      <w:r w:rsidRPr="005A1B87">
        <w:rPr>
          <w:rFonts w:ascii="Verdana" w:eastAsia="Calibri" w:hAnsi="Verdana" w:cs="Arial"/>
          <w:color w:val="000000" w:themeColor="text1"/>
          <w:lang w:val="es-ES_tradnl"/>
        </w:rPr>
        <w:t xml:space="preserve">Igualmente, </w:t>
      </w:r>
      <w:bookmarkStart w:id="4" w:name="_Hlk135133412"/>
      <w:r w:rsidRPr="005A1B87">
        <w:rPr>
          <w:rFonts w:ascii="Verdana" w:eastAsia="Calibri" w:hAnsi="Verdana" w:cs="Arial"/>
          <w:color w:val="000000" w:themeColor="text1"/>
          <w:lang w:val="es-ES_tradnl"/>
        </w:rPr>
        <w:t xml:space="preserve">en la contratación estatal, la </w:t>
      </w:r>
      <w:r w:rsidRPr="005A1B87">
        <w:rPr>
          <w:rFonts w:ascii="Verdana" w:eastAsia="Calibri" w:hAnsi="Verdana" w:cs="Arial"/>
          <w:i/>
          <w:iCs/>
          <w:color w:val="000000" w:themeColor="text1"/>
          <w:lang w:val="es-ES_tradnl"/>
        </w:rPr>
        <w:t>capacidad</w:t>
      </w:r>
      <w:r w:rsidRPr="005A1B87">
        <w:rPr>
          <w:rFonts w:ascii="Verdana" w:eastAsia="Calibri" w:hAnsi="Verdana" w:cs="Arial"/>
          <w:color w:val="000000" w:themeColor="text1"/>
          <w:lang w:val="es-ES_tradnl"/>
        </w:rPr>
        <w:t xml:space="preserve"> también es un requisito de validez de los contratos, tanto en el régimen de las entidades sujetas al Estatuto General de Contratación de la Administración Pública</w:t>
      </w:r>
      <w:r w:rsidRPr="005A1B87">
        <w:rPr>
          <w:rStyle w:val="Refdenotaalpie"/>
          <w:rFonts w:ascii="Verdana" w:eastAsia="Calibri" w:hAnsi="Verdana" w:cs="Arial"/>
          <w:color w:val="000000" w:themeColor="text1"/>
          <w:lang w:val="es-ES_tradnl"/>
        </w:rPr>
        <w:footnoteReference w:id="6"/>
      </w:r>
      <w:r w:rsidRPr="005A1B87">
        <w:rPr>
          <w:rFonts w:ascii="Verdana" w:eastAsia="Calibri" w:hAnsi="Verdana" w:cs="Arial"/>
          <w:color w:val="000000" w:themeColor="text1"/>
          <w:lang w:val="es-ES_tradnl"/>
        </w:rPr>
        <w:t xml:space="preserve"> como en el de las entidades exceptuadas de aquel</w:t>
      </w:r>
      <w:r w:rsidRPr="005A1B87">
        <w:rPr>
          <w:rStyle w:val="Refdenotaalpie"/>
          <w:rFonts w:ascii="Verdana" w:eastAsia="Calibri" w:hAnsi="Verdana" w:cs="Arial"/>
          <w:color w:val="000000" w:themeColor="text1"/>
          <w:lang w:val="es-ES_tradnl"/>
        </w:rPr>
        <w:footnoteReference w:id="7"/>
      </w:r>
      <w:r w:rsidRPr="005A1B87">
        <w:rPr>
          <w:rFonts w:ascii="Verdana" w:eastAsia="Calibri" w:hAnsi="Verdana" w:cs="Arial"/>
          <w:color w:val="000000" w:themeColor="text1"/>
          <w:lang w:val="es-ES_tradnl"/>
        </w:rPr>
        <w:t xml:space="preserve">. Si bien la regulación de la capacidad se integra por varias disposiciones y exigencias especiales –como el requisito de inscribirse, por regla general, en el Registro Único de Proponentes (RUP), establecido en el artículo 6 de la Ley 1150 de 2007, modificado por el artículo </w:t>
      </w:r>
      <w:r w:rsidRPr="005A1B87">
        <w:rPr>
          <w:rFonts w:ascii="Verdana" w:eastAsia="Calibri" w:hAnsi="Verdana" w:cs="Arial"/>
          <w:color w:val="000000" w:themeColor="text1"/>
          <w:lang w:val="es-ES_tradnl"/>
        </w:rPr>
        <w:lastRenderedPageBreak/>
        <w:t>221 del Decreto 19 de 2012</w:t>
      </w:r>
      <w:r w:rsidRPr="005A1B87">
        <w:rPr>
          <w:rStyle w:val="Refdenotaalpie"/>
          <w:rFonts w:ascii="Verdana" w:eastAsia="Calibri" w:hAnsi="Verdana" w:cs="Arial"/>
          <w:color w:val="000000" w:themeColor="text1"/>
          <w:lang w:val="es-ES_tradnl"/>
        </w:rPr>
        <w:footnoteReference w:id="8"/>
      </w:r>
      <w:r w:rsidRPr="005A1B87">
        <w:rPr>
          <w:rFonts w:ascii="Verdana" w:eastAsia="Calibri" w:hAnsi="Verdana" w:cs="Arial"/>
          <w:color w:val="000000" w:themeColor="text1"/>
          <w:lang w:val="es-ES_tradnl"/>
        </w:rPr>
        <w:t>–, se destaca el régimen de inhabilidades e incompatibilidades como un conjunto de normas que imponen restricciones para los sujetos que, eventualmente, pretendan participar en los procedimientos de selección o celebrar contratos con las entidades estatales</w:t>
      </w:r>
      <w:r w:rsidRPr="005A1B87">
        <w:rPr>
          <w:rStyle w:val="Refdenotaalpie"/>
          <w:rFonts w:ascii="Verdana" w:eastAsia="Calibri" w:hAnsi="Verdana" w:cs="Arial"/>
          <w:color w:val="000000" w:themeColor="text1"/>
          <w:lang w:val="es-ES_tradnl"/>
        </w:rPr>
        <w:footnoteReference w:id="9"/>
      </w:r>
      <w:r w:rsidRPr="005A1B87">
        <w:rPr>
          <w:rFonts w:ascii="Verdana" w:eastAsia="Calibri" w:hAnsi="Verdana" w:cs="Arial"/>
          <w:color w:val="000000" w:themeColor="text1"/>
          <w:lang w:val="es-ES_tradnl"/>
        </w:rPr>
        <w:t>.</w:t>
      </w:r>
    </w:p>
    <w:p w14:paraId="4DB4FB60" w14:textId="77777777" w:rsidR="00D547C9" w:rsidRPr="005A1B87" w:rsidRDefault="00D547C9" w:rsidP="00D547C9">
      <w:pPr>
        <w:spacing w:after="120" w:line="276" w:lineRule="auto"/>
        <w:ind w:firstLine="709"/>
        <w:jc w:val="both"/>
        <w:rPr>
          <w:rFonts w:ascii="Verdana" w:eastAsia="Calibri" w:hAnsi="Verdana" w:cs="Arial"/>
          <w:color w:val="000000" w:themeColor="text1"/>
          <w:lang w:val="es-ES"/>
        </w:rPr>
      </w:pPr>
      <w:r w:rsidRPr="005A1B87">
        <w:rPr>
          <w:rFonts w:ascii="Verdana" w:eastAsia="Calibri" w:hAnsi="Verdana" w:cs="Arial"/>
          <w:color w:val="000000" w:themeColor="text1"/>
          <w:lang w:val="es-ES"/>
        </w:rPr>
        <w:t>Las inhabilidades son prohibiciones para concurrir a los procedimientos de selección y para contratar con el Estado, que se derivan: i) de la existencia de comportamientos reprochables o de sanciones anteriormente impuestas, ii) de vínculos personales relativos al parentesco o al estado civil o iii) de una actividad u oficio que se desempeñó en el pasado. De otro lado, las incompatibilidades, según un sector de la doctrina, son prohibiciones para participar en los procedimientos de selección y para celebrar contratos estatales, fundadas en la presencia de una calidad que ostenta el sujeto interesado en realizar alguna de dichas actividades, que no puede coexistir con su calidad de proponente o contratista del Estado. En todo caso, a pesar de la existencia de distintos criterios para diferenciar las inhabilidades de las incompatibilidades, de la presencia de ellas se derivan las mismas consecuencias jurídicas, esto es, la limitación de la capacidad contractual, de manera que la presencia de ellas impide que se puedan celebrar contratos con el Estado o participar en procedimientos de selección de las entidades estatales, por lo que de cualquiera de ellas se derivan los mismos efectos jurídicos</w:t>
      </w:r>
      <w:r w:rsidRPr="005A1B87">
        <w:rPr>
          <w:rStyle w:val="Refdenotaalpie"/>
          <w:rFonts w:ascii="Verdana" w:eastAsia="Calibri" w:hAnsi="Verdana" w:cs="Arial"/>
          <w:color w:val="000000" w:themeColor="text1"/>
          <w:lang w:val="es-ES"/>
        </w:rPr>
        <w:footnoteReference w:id="10"/>
      </w:r>
      <w:r w:rsidRPr="005A1B87">
        <w:rPr>
          <w:rFonts w:ascii="Verdana" w:eastAsia="Calibri" w:hAnsi="Verdana" w:cs="Arial"/>
          <w:color w:val="000000" w:themeColor="text1"/>
          <w:lang w:val="es-ES"/>
        </w:rPr>
        <w:t>.</w:t>
      </w:r>
    </w:p>
    <w:bookmarkEnd w:id="4"/>
    <w:p w14:paraId="331C6007" w14:textId="77777777" w:rsidR="00D547C9" w:rsidRPr="005A1B87" w:rsidRDefault="00D547C9" w:rsidP="00D547C9">
      <w:pPr>
        <w:spacing w:after="120" w:line="276" w:lineRule="auto"/>
        <w:ind w:firstLine="709"/>
        <w:jc w:val="both"/>
        <w:rPr>
          <w:rFonts w:ascii="Verdana" w:eastAsia="Calibri" w:hAnsi="Verdana" w:cs="Arial"/>
          <w:color w:val="000000" w:themeColor="text1"/>
          <w:lang w:val="es-ES"/>
        </w:rPr>
      </w:pPr>
      <w:r w:rsidRPr="005A1B87">
        <w:rPr>
          <w:rFonts w:ascii="Verdana" w:eastAsia="Calibri" w:hAnsi="Verdana" w:cs="Arial"/>
          <w:color w:val="000000" w:themeColor="text1"/>
          <w:lang w:val="es-ES"/>
        </w:rPr>
        <w:lastRenderedPageBreak/>
        <w:t>De otro lado, el régimen de inhabilidades e incompatibilidades en la contratación pública responde a la tendencia, vigente desde hace varias décadas en nuestro país, pero que se ha reforzado en los últimos años, de asegurar que la actividad de provisión de los bienes, obras y servicios por parte de las entidades estatales se efectúe cumpliendo con los principios de la función administrativa y de la gestión fiscal, especialmente con probidad y transparencia. Por ello, como destaca la doctrina, las inhabilidades e incompatibilidades son herramientas en la lucha contra la corrupción, adoptando paulatinamente una naturaleza sancionatoria o “neopunitiva”</w:t>
      </w:r>
      <w:r w:rsidRPr="005A1B87">
        <w:rPr>
          <w:rStyle w:val="Refdenotaalpie"/>
          <w:rFonts w:ascii="Verdana" w:eastAsia="Calibri" w:hAnsi="Verdana" w:cs="Arial"/>
          <w:color w:val="000000" w:themeColor="text1"/>
          <w:lang w:val="es-ES"/>
        </w:rPr>
        <w:footnoteReference w:id="11"/>
      </w:r>
      <w:r w:rsidRPr="005A1B87">
        <w:rPr>
          <w:rFonts w:ascii="Verdana" w:eastAsia="Calibri" w:hAnsi="Verdana" w:cs="Arial"/>
          <w:color w:val="000000" w:themeColor="text1"/>
          <w:lang w:val="es-ES"/>
        </w:rPr>
        <w:t>. Si bien no todas las causales de inhabilidad y de incompatibilidad son consecuencia de una medida de reproche ni de una sanción previa, como ya se explicó, es indiscutible que en los años más recientes los lamentables hechos de corrupción han generado, como respuesta del legislador, un incremento de las restricciones a la capacidad contractual, dirigidas a prevenir este tipo de situaciones o a sancionar tales conductas.</w:t>
      </w:r>
    </w:p>
    <w:p w14:paraId="629CB153" w14:textId="77777777" w:rsidR="00D547C9" w:rsidRPr="005A1B87" w:rsidRDefault="00D547C9" w:rsidP="00D547C9">
      <w:pPr>
        <w:spacing w:after="0" w:line="276" w:lineRule="auto"/>
        <w:jc w:val="both"/>
        <w:rPr>
          <w:rFonts w:ascii="Verdana" w:eastAsia="Aptos" w:hAnsi="Verdana" w:cs="Arial"/>
        </w:rPr>
      </w:pPr>
      <w:r w:rsidRPr="005A1B87">
        <w:rPr>
          <w:rFonts w:ascii="Verdana" w:eastAsia="Times New Roman" w:hAnsi="Verdana" w:cs="Arial"/>
          <w:color w:val="000000"/>
          <w:shd w:val="clear" w:color="auto" w:fill="FFFFFF"/>
          <w:lang w:val="es-ES" w:eastAsia="es-ES"/>
        </w:rPr>
        <w:t xml:space="preserve">ii.  Ahora bien, </w:t>
      </w:r>
      <w:r w:rsidRPr="005A1B87">
        <w:rPr>
          <w:rFonts w:ascii="Verdana" w:eastAsia="Aptos" w:hAnsi="Verdana" w:cs="Arial"/>
        </w:rPr>
        <w:t>en segundo lugar</w:t>
      </w:r>
      <w:r w:rsidRPr="005A1B87">
        <w:rPr>
          <w:rFonts w:ascii="Verdana" w:eastAsia="Aptos" w:hAnsi="Verdana" w:cs="Arial"/>
          <w:i/>
          <w:iCs/>
        </w:rPr>
        <w:t>,</w:t>
      </w:r>
      <w:r w:rsidRPr="005A1B87">
        <w:rPr>
          <w:rFonts w:ascii="Verdana" w:eastAsia="Aptos" w:hAnsi="Verdana" w:cs="Arial"/>
        </w:rPr>
        <w:t xml:space="preserve"> </w:t>
      </w:r>
      <w:r w:rsidRPr="005A1B87">
        <w:rPr>
          <w:rFonts w:ascii="Verdana" w:eastAsia="Calibri" w:hAnsi="Verdana" w:cs="Arial"/>
          <w:lang w:val="es-ES_tradnl"/>
        </w:rPr>
        <w:t xml:space="preserve">con la finalidad de resolver la duda planteada en su consulta, debe tenerse en cuenta las causales de inhabilidad e incompatibilidad consagradas en el artículo 8 de la Ley 80 de 1993, el cual reza de la siguiente forma: </w:t>
      </w:r>
    </w:p>
    <w:p w14:paraId="304BB39E" w14:textId="77777777" w:rsidR="00D547C9" w:rsidRPr="005A1B87" w:rsidRDefault="00D547C9" w:rsidP="00D547C9">
      <w:pPr>
        <w:widowControl w:val="0"/>
        <w:autoSpaceDE w:val="0"/>
        <w:autoSpaceDN w:val="0"/>
        <w:spacing w:after="0" w:line="276" w:lineRule="auto"/>
        <w:jc w:val="both"/>
        <w:rPr>
          <w:rFonts w:ascii="Verdana" w:hAnsi="Verdana" w:cs="Arial"/>
        </w:rPr>
      </w:pPr>
    </w:p>
    <w:p w14:paraId="63366E8A"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“Artículo 8°. De Las Inhabilidades E Incompatibilidades Para Contratar.</w:t>
      </w:r>
    </w:p>
    <w:p w14:paraId="3A3BA28A"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1CD74C05"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1°. Son inhábiles para participar en licitaciones o concursos y para celebrar contratos con las entidades estatales:</w:t>
      </w:r>
    </w:p>
    <w:p w14:paraId="0A8C2506"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3D751C6A"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a) Las personas que se hallen inhabilitadas para contratar por la Constitución y las leyes.</w:t>
      </w:r>
    </w:p>
    <w:p w14:paraId="50CFE20D"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521FFADE"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b) Quienes participaron en las licitaciones o concursos o celebraron los contratos de que trata el literal anterior estando inhabilitados.</w:t>
      </w:r>
    </w:p>
    <w:p w14:paraId="2FE7F0F0"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7012FC4E"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c) Quienes dieron lugar a la declaratoria de caducidad.</w:t>
      </w:r>
    </w:p>
    <w:p w14:paraId="2366235D"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20677756"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 xml:space="preserve">d) Quienes en sentencia judicial hayan sido condenados a la pena accesoria de interdicción de derechos y funciones públicas y quienes hayan sido sancionados disciplinariamente con destitución. </w:t>
      </w:r>
    </w:p>
    <w:p w14:paraId="3C59DBD5"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5E53600E"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e) Quienes sin justa causa se abstengan de suscribir el contrato estatal adjudicado.</w:t>
      </w:r>
    </w:p>
    <w:p w14:paraId="3F98E595"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67AC5F91"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f) Los servidores públicos.</w:t>
      </w:r>
    </w:p>
    <w:p w14:paraId="5ADB20BB"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238384B8"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g) Quienes sean cónyuges o compañeros permanentes y quienes se encuentren dentro del segundo grado de consanguinidad o segundo de afinidad con cualquier otra persona que formalmente haya presentado propuesta para una misma licitación.</w:t>
      </w:r>
    </w:p>
    <w:p w14:paraId="07875812"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6E4A5A1E"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h)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w:t>
      </w:r>
    </w:p>
    <w:p w14:paraId="357017DA"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284FCFDA"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i) Los socios de sociedades de personas a las cuales se haya declarado la caducidad, así como las sociedades de personas de las que aquellos formen parte con posterioridad a dicha declaratoria.</w:t>
      </w:r>
    </w:p>
    <w:p w14:paraId="18E5A6E1"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3D3FC08F"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Las inhabilidades a que se refieren los literales c), d) e i) se extenderán por un término de cinco (5) años contado a partir de la fecha de ejecutoria del acto que declaró la caducidad, o de la sentencia que impuso la pena, o del acto que dispuso la destitución; las previstas en los literales b) y e), se extenderán por un término de cinco (5) años contado a partir de la fecha de ocurrencia del hecho de la participación en la licitación, o de la de celebración del contrato, o de la de expiración del plazo para su firma.</w:t>
      </w:r>
    </w:p>
    <w:p w14:paraId="51CAF7FA"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72981D57"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j) Literal reglamentado por el Decreto 1358 de 2020. Literal modificado por la Ley 2014 de 2019, artículo 2º. Las personas naturales que hayan sido declaradas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w:t>
      </w:r>
    </w:p>
    <w:p w14:paraId="50AA858B"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38D217EA"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lastRenderedPageBreak/>
        <w:t xml:space="preserve">Esta inhabilidad procederá preventivamente aún en los casos en los que esté pendiente la decisión sobre la impugnación de la sentencia condenatoria.  </w:t>
      </w:r>
    </w:p>
    <w:p w14:paraId="6EEC2D7E"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759A3188"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Asimismo, la inhabilidad se extenderá a las sociedades de las que hagan parte dichas personas en calidad de administradores, representantes legales, miembros de junta directiva o de socios controlantes, a sus matrices y a sus subordinadas, a los grupos empresariales a los que estas pertenezcan cuando la conducta delictiva haya sido parte de una política del grupo y a las sucursales de sociedades extranjeras, con excepción de las sociedades anónimas abiertas.</w:t>
      </w:r>
    </w:p>
    <w:p w14:paraId="376B2ADD"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25582EE3"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También se considerarán inhabilitadas para contratar, las personas jurídicas sobre las cuales se haya ordenado la suspensión de la personería jurídica en los términos de ley, o cuyos representantes legales, administradores de hecho o de derecho, miembros de junta directiva o sus socios controlantes, sus matrices, subordinadas y/o las sucursales de sociedades extranjeras, hayan sido beneficiados con la aplicación de un principio de oportunidad por cualquier delito contra la Administración pública o el patrimonio del Estado.</w:t>
      </w:r>
    </w:p>
    <w:p w14:paraId="430B82B2"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2BA1C467"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La inhabilidad prevista en este literal se extenderá de forma permanente a las sociedades de las que hagan parte dichas personas en las calidades presentadas en los incisos anteriores, y se aplicará de igual forma a las personas naturales que hayan sido declaradas responsables judicialmente por la comisión de delitos mencionados en este literal.</w:t>
      </w:r>
    </w:p>
    <w:p w14:paraId="77F85FCF"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0E80717A"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k) Literal adicionado por la Ley 1474 de 2011, artículo 2º. Éste modificado por la Ley 1778 de 2016, artículo 33. Inhabilidad para contratar de quienes financien campañas políticas. Las personas naturales o jurídicas que hayan financiado campañas políticas a la Presidencia de la República, a las gobernaciones, a las alcaldías o al Congreso de la República, con aportes superiores al dos por ciento (2.0%) de las sumas máximas a invertir por los candidatos en las campañas electorales en cada circunscripción electoral, quienes no podrán celebrar contratos con las entidades públicas, incluso descentralizadas, del respectivo nivel administrativo para el cual fue elegido el candidato.</w:t>
      </w:r>
    </w:p>
    <w:p w14:paraId="708E10BC"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1524FE13"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La inhabilidad se extenderá por todo el período para el cual el candidato fue elegido. Esta causal también operará para las personas que se encuentren dentro del segundo grado de consanguinidad, segundo de afinidad, o primero civil de la persona que ha financiado la campaña política.</w:t>
      </w:r>
    </w:p>
    <w:p w14:paraId="4733E975"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2D8FFD14"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 xml:space="preserve">Esta inhabilidad comprenderá también a las personas jurídicas en las cuales el representante legal, los miembros de junta directiva o cualquiera </w:t>
      </w:r>
      <w:r w:rsidRPr="005A1B87">
        <w:rPr>
          <w:rFonts w:ascii="Verdana" w:eastAsia="Aptos" w:hAnsi="Verdana" w:cs="Arial"/>
          <w:sz w:val="20"/>
          <w:szCs w:val="20"/>
          <w:lang w:val="es-MX" w:eastAsia="es-MX"/>
        </w:rPr>
        <w:lastRenderedPageBreak/>
        <w:t>de sus socios controlantes hayan financiado directamente o por interpuesta persona campañas políticas a la Presidencia de la República, a las gobernaciones, las alcaldías o al Congreso de la República.</w:t>
      </w:r>
    </w:p>
    <w:p w14:paraId="07ECBE5D"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204F9DF3"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La inhabilidad contemplada en esta norma no se aplicará respecto de los contratos de prestación de servicios profesionales.</w:t>
      </w:r>
    </w:p>
    <w:p w14:paraId="296B348B"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10CB73FE"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k) Literal adicionado por la Ley 1474 de 2011, artículo 84, parágrafo 2º. (éste declarado exequible condicionalmente por los cargos analizados por la Corte Constitucional en la Sentencia C-434 de 2013.). El interventor que incumpla el deber de entregar información a la entidad contratante relacionada con el incumplimiento del contrato, con hechos o circunstancias que puedan constituir actos de corrupción tipificados como conductas punibles, o que puedan poner o pongan en riesgo el cumplimiento del contrato.</w:t>
      </w:r>
    </w:p>
    <w:p w14:paraId="682D934A"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37786AAE"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Esta inhabilidad se extenderá por un término de cinco (5) años, contados a partir de la ejecutoria del acto administrativo que así lo declare, previa la actuación administrativa correspondiente.</w:t>
      </w:r>
    </w:p>
    <w:p w14:paraId="21A16529"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47B2A877"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2°. Tampoco podrán participar en licitaciones o concursos ni celebrar contratos estatales con la entidad respectiva:</w:t>
      </w:r>
    </w:p>
    <w:p w14:paraId="2BF5BD84"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0D743418"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a) Quienes fueron miembros de la junta o consejo directivo o servidores públicos de la entidad contratante. Esta incompatibilidad solo comprende a quienes desempeñaron funciones en los niveles directivo, asesor o ejecutivo y se extiende por el término de un (1) año, contado a partir de la fecha del retiro.</w:t>
      </w:r>
    </w:p>
    <w:p w14:paraId="3DFF269B"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0078D065" w14:textId="77777777" w:rsidR="00D547C9" w:rsidRPr="005A1B87" w:rsidRDefault="00D547C9" w:rsidP="00D547C9">
      <w:pPr>
        <w:spacing w:after="0" w:line="240" w:lineRule="auto"/>
        <w:ind w:left="709" w:right="709"/>
        <w:contextualSpacing/>
        <w:jc w:val="both"/>
        <w:rPr>
          <w:rFonts w:ascii="Verdana" w:eastAsia="Aptos" w:hAnsi="Verdana" w:cs="Arial"/>
          <w:i/>
          <w:iCs/>
          <w:sz w:val="20"/>
          <w:szCs w:val="20"/>
          <w:lang w:val="es-MX" w:eastAsia="es-MX"/>
        </w:rPr>
      </w:pPr>
      <w:r w:rsidRPr="005A1B87">
        <w:rPr>
          <w:rFonts w:ascii="Verdana" w:eastAsia="Aptos" w:hAnsi="Verdana" w:cs="Arial"/>
          <w:i/>
          <w:iCs/>
          <w:sz w:val="20"/>
          <w:szCs w:val="20"/>
          <w:lang w:val="es-MX" w:eastAsia="es-MX"/>
        </w:rPr>
        <w:t>b)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w:t>
      </w:r>
    </w:p>
    <w:p w14:paraId="35DF5C21"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54DE229F"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 xml:space="preserve">c) El cónyuge, compañero o compañera permanente del servidor público en los niveles directivo, asesor, ejecutivo, o de un miembro de la junta o consejo directivo, o de quien ejerza funciones de control interno o de control fiscal.  </w:t>
      </w:r>
    </w:p>
    <w:p w14:paraId="68E321C0"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6C92A37B"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 xml:space="preserve">d)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w:t>
      </w:r>
      <w:r w:rsidRPr="005A1B87">
        <w:rPr>
          <w:rFonts w:ascii="Verdana" w:eastAsia="Aptos" w:hAnsi="Verdana" w:cs="Arial"/>
          <w:sz w:val="20"/>
          <w:szCs w:val="20"/>
          <w:lang w:val="es-MX" w:eastAsia="es-MX"/>
        </w:rPr>
        <w:lastRenderedPageBreak/>
        <w:t>consanguinidad, afinidad o civil de cualquiera de ellos, tenga participación o desempeñe cargos de dirección o manejo.</w:t>
      </w:r>
    </w:p>
    <w:p w14:paraId="509692A1"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3B840886"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e) Los miembros de las juntas o consejos directivos. Esta incompatibilidad sólo se predica respecto de la entidad a la cual prestan sus servicios y de las del sector administrativo al que la misma esté adscrita o vinculada.</w:t>
      </w:r>
    </w:p>
    <w:p w14:paraId="5347D4F2"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05C120B5"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f) Literal adicionado por la Ley 1474 de 2011, artículo 4º.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w:t>
      </w:r>
    </w:p>
    <w:p w14:paraId="5D107C98"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5C88BFF0"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Esta incompatibilidad también operará para las personas que se encuentren dentro del primer grado de consanguinidad, primero de afinidad, o primero civil del exempleado público.</w:t>
      </w:r>
    </w:p>
    <w:p w14:paraId="05384989"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5B69BD19"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PARAGRAFO 1°. La inhabilidad prevista en el literal d) del ordinal 2°. de este artículo no se aplicará en relación con las corporaciones, asociaciones, fundaciones y sociedades allí mencionadas, cuando por disposición legal o estatutaria el servidor público en los niveles referidos debe desempeñar en ellas cargos de dirección o manejo.</w:t>
      </w:r>
    </w:p>
    <w:p w14:paraId="028847FF"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413EA1EE"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Inciso adicionado por la Ley 1150 de 2007, artículo 18. En las causales de inhabilidad por parentesco o por matrimonio, los vínculos desaparecen por muerte o por disolución del matrimonio.</w:t>
      </w:r>
    </w:p>
    <w:p w14:paraId="1AD70C52"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47005CA3"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PARAGRAFO 2°. Para los efectos previstos en este artículo, el Gobierno Nacional determinará que debe entenderse por sociedades anónimas abiertas.</w:t>
      </w:r>
    </w:p>
    <w:p w14:paraId="73EEB18D"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p>
    <w:p w14:paraId="271E7459" w14:textId="77777777" w:rsidR="00D547C9" w:rsidRPr="005A1B87" w:rsidRDefault="00D547C9" w:rsidP="00D547C9">
      <w:pPr>
        <w:spacing w:after="0" w:line="240" w:lineRule="auto"/>
        <w:ind w:left="709" w:right="709"/>
        <w:contextualSpacing/>
        <w:jc w:val="both"/>
        <w:rPr>
          <w:rFonts w:ascii="Verdana" w:eastAsia="Aptos" w:hAnsi="Verdana" w:cs="Arial"/>
          <w:sz w:val="20"/>
          <w:szCs w:val="20"/>
          <w:lang w:val="es-MX" w:eastAsia="es-MX"/>
        </w:rPr>
      </w:pPr>
      <w:r w:rsidRPr="005A1B87">
        <w:rPr>
          <w:rFonts w:ascii="Verdana" w:eastAsia="Aptos" w:hAnsi="Verdana" w:cs="Arial"/>
          <w:sz w:val="20"/>
          <w:szCs w:val="20"/>
          <w:lang w:val="es-MX" w:eastAsia="es-MX"/>
        </w:rPr>
        <w:t>PARÁGRAFO 3º. Adicionado por la Ley 2014 de 2019, artículo 3o. Las inhabilidades e incompatibilidades contempladas en este artículo se aplicarán a cualquier proceso de contratación privada en el que se comprometan recursos públicos”. [Énfasis fuera del texto original]</w:t>
      </w:r>
    </w:p>
    <w:p w14:paraId="56623334" w14:textId="77777777" w:rsidR="00D547C9" w:rsidRPr="005A1B87" w:rsidRDefault="00D547C9" w:rsidP="00D547C9">
      <w:pPr>
        <w:spacing w:after="0" w:line="276" w:lineRule="auto"/>
        <w:ind w:firstLine="709"/>
        <w:jc w:val="both"/>
        <w:rPr>
          <w:rFonts w:ascii="Verdana" w:eastAsia="Aptos" w:hAnsi="Verdana" w:cs="Arial"/>
        </w:rPr>
      </w:pPr>
    </w:p>
    <w:p w14:paraId="10532690" w14:textId="77777777" w:rsidR="00D547C9" w:rsidRPr="005A1B87" w:rsidRDefault="00D547C9" w:rsidP="00D547C9">
      <w:pPr>
        <w:spacing w:after="120" w:line="276" w:lineRule="auto"/>
        <w:ind w:firstLine="709"/>
        <w:jc w:val="both"/>
        <w:rPr>
          <w:rFonts w:ascii="Verdana" w:eastAsia="Calibri" w:hAnsi="Verdana" w:cs="Arial"/>
          <w:color w:val="000000" w:themeColor="text1"/>
          <w:szCs w:val="24"/>
          <w:lang w:val="es-ES_tradnl" w:eastAsia="es-ES_tradnl"/>
        </w:rPr>
      </w:pPr>
      <w:r w:rsidRPr="005A1B87">
        <w:rPr>
          <w:rFonts w:ascii="Verdana" w:eastAsia="Calibri" w:hAnsi="Verdana" w:cs="Arial"/>
          <w:color w:val="000000" w:themeColor="text1"/>
          <w:szCs w:val="24"/>
          <w:lang w:val="es-ES_tradnl" w:eastAsia="es-ES_tradnl"/>
        </w:rPr>
        <w:t xml:space="preserve">Conforme lo expuesto, en cada caso deberá analizarse si un proponente está incurso en alguna de las causales establecidas en la precitada disposición. Para la Agencia </w:t>
      </w:r>
      <w:r w:rsidRPr="005A1B87">
        <w:rPr>
          <w:rFonts w:ascii="Verdana" w:eastAsia="Calibri" w:hAnsi="Verdana" w:cs="Arial"/>
          <w:color w:val="000000" w:themeColor="text1"/>
          <w:szCs w:val="24"/>
          <w:lang w:val="es-ES" w:eastAsia="es-ES_tradnl"/>
        </w:rPr>
        <w:t xml:space="preserve">Nacional de Contratación Pública – Colombia Compra Eficiente, en sede consultiva, no le es posible determinar si en un determinado caso un proponente estaría inhabilitado para participar en un Proceso de Contratación. </w:t>
      </w:r>
      <w:r w:rsidRPr="005A1B87">
        <w:rPr>
          <w:rFonts w:ascii="Verdana" w:eastAsia="Calibri" w:hAnsi="Verdana" w:cs="Arial"/>
          <w:color w:val="000000" w:themeColor="text1"/>
          <w:szCs w:val="24"/>
          <w:lang w:eastAsia="es-ES_tradnl"/>
        </w:rPr>
        <w:t xml:space="preserve">Lo anterior, en la medida en que, para resolver una consulta de carácter particular, además de conocer un sinnúmero de detalles de la actuación </w:t>
      </w:r>
      <w:r w:rsidRPr="005A1B87">
        <w:rPr>
          <w:rFonts w:ascii="Verdana" w:eastAsia="Calibri" w:hAnsi="Verdana" w:cs="Arial"/>
          <w:color w:val="000000" w:themeColor="text1"/>
          <w:szCs w:val="24"/>
          <w:lang w:eastAsia="es-ES_tradnl"/>
        </w:rPr>
        <w:lastRenderedPageBreak/>
        <w:t xml:space="preserve">administrativa, es necesario acceder al expediente y a los documentos del procedimiento contractual donde surge la inquietud. </w:t>
      </w:r>
      <w:r w:rsidRPr="005A1B87">
        <w:rPr>
          <w:rFonts w:ascii="Verdana" w:eastAsia="Calibri" w:hAnsi="Verdana" w:cs="Arial"/>
          <w:color w:val="000000" w:themeColor="text1"/>
          <w:szCs w:val="24"/>
          <w:lang w:val="es-ES_tradnl" w:eastAsia="es-ES_tradnl"/>
        </w:rPr>
        <w:t xml:space="preserve"> </w:t>
      </w:r>
    </w:p>
    <w:p w14:paraId="60FB1F87" w14:textId="77777777" w:rsidR="00D547C9" w:rsidRPr="005A1B87" w:rsidRDefault="00D547C9" w:rsidP="00D547C9">
      <w:pPr>
        <w:pBdr>
          <w:top w:val="nil"/>
          <w:left w:val="nil"/>
          <w:bottom w:val="nil"/>
          <w:right w:val="nil"/>
          <w:between w:val="nil"/>
        </w:pBdr>
        <w:spacing w:after="120" w:line="276" w:lineRule="auto"/>
        <w:jc w:val="both"/>
        <w:rPr>
          <w:rFonts w:ascii="Verdana" w:eastAsia="Calibri" w:hAnsi="Verdana" w:cs="Arial"/>
        </w:rPr>
      </w:pPr>
      <w:r w:rsidRPr="005A1B87">
        <w:rPr>
          <w:rFonts w:ascii="Verdana" w:hAnsi="Verdana" w:cs="Arial"/>
          <w:lang w:eastAsia="es-ES"/>
        </w:rPr>
        <w:t>iii. Al margen de la explicación precedente debe advertirse que el análisis requerido para resolver problemas específicos en torno a la gestión contractual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1CF5673F" w14:textId="77777777" w:rsidR="00D547C9" w:rsidRDefault="00D547C9" w:rsidP="00D547C9">
      <w:pPr>
        <w:spacing w:before="120" w:after="0" w:line="276" w:lineRule="auto"/>
        <w:ind w:firstLine="709"/>
        <w:jc w:val="both"/>
        <w:rPr>
          <w:rFonts w:ascii="Verdana" w:hAnsi="Verdana" w:cs="Arial"/>
          <w:lang w:eastAsia="es-ES"/>
        </w:rPr>
      </w:pPr>
      <w:r w:rsidRPr="005A1B87">
        <w:rPr>
          <w:rFonts w:ascii="Verdana" w:hAnsi="Verdana" w:cs="Arial"/>
          <w:lang w:eastAsia="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2CF77063" w14:textId="77777777" w:rsidR="00D2783B" w:rsidRPr="005A1B87" w:rsidRDefault="00D2783B" w:rsidP="00D547C9">
      <w:pPr>
        <w:spacing w:before="120" w:after="0" w:line="276" w:lineRule="auto"/>
        <w:ind w:firstLine="709"/>
        <w:jc w:val="both"/>
        <w:rPr>
          <w:rFonts w:ascii="Verdana" w:hAnsi="Verdana" w:cs="Arial"/>
          <w:lang w:eastAsia="es-ES"/>
        </w:rPr>
      </w:pPr>
    </w:p>
    <w:p w14:paraId="0D869044" w14:textId="77777777" w:rsidR="00D547C9" w:rsidRPr="005A1B87" w:rsidRDefault="00D547C9" w:rsidP="00D547C9">
      <w:pPr>
        <w:spacing w:after="0" w:line="276" w:lineRule="auto"/>
        <w:jc w:val="both"/>
        <w:rPr>
          <w:rFonts w:ascii="Verdana" w:eastAsia="Century Gothic" w:hAnsi="Verdana" w:cs="Century Gothic"/>
          <w:b/>
          <w:lang w:val="es-ES"/>
        </w:rPr>
      </w:pPr>
      <w:r w:rsidRPr="005A1B87">
        <w:rPr>
          <w:rFonts w:ascii="Verdana" w:eastAsia="Century Gothic" w:hAnsi="Verdana" w:cs="Century Gothic"/>
          <w:b/>
          <w:lang w:val="es-ES"/>
        </w:rPr>
        <w:t>4. Referencias normativas, jurisprudenciales y otras fuentes:</w:t>
      </w:r>
    </w:p>
    <w:p w14:paraId="7E5932E7" w14:textId="77777777" w:rsidR="00D547C9" w:rsidRPr="005A1B87" w:rsidRDefault="00D547C9" w:rsidP="00D547C9">
      <w:pPr>
        <w:spacing w:after="0" w:line="276" w:lineRule="auto"/>
        <w:jc w:val="both"/>
        <w:rPr>
          <w:rFonts w:ascii="Verdana" w:eastAsia="Century Gothic" w:hAnsi="Verdana" w:cs="Century Gothic"/>
          <w:b/>
          <w:color w:val="7030A0"/>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D547C9" w:rsidRPr="005A1B87" w14:paraId="6DFDD848" w14:textId="77777777" w:rsidTr="00295806">
        <w:trPr>
          <w:trHeight w:val="311"/>
        </w:trPr>
        <w:tc>
          <w:tcPr>
            <w:tcW w:w="8647" w:type="dxa"/>
          </w:tcPr>
          <w:p w14:paraId="3F02BC95" w14:textId="77777777" w:rsidR="00D547C9" w:rsidRPr="005A1B87" w:rsidRDefault="00D547C9" w:rsidP="00D547C9">
            <w:pPr>
              <w:pStyle w:val="Prrafodelista"/>
              <w:numPr>
                <w:ilvl w:val="0"/>
                <w:numId w:val="16"/>
              </w:numPr>
              <w:spacing w:line="276" w:lineRule="auto"/>
              <w:rPr>
                <w:rFonts w:ascii="Verdana" w:eastAsia="Arial MT" w:hAnsi="Verdana" w:cs="Arial"/>
                <w:bCs/>
                <w:lang w:val="es-CO" w:eastAsia="es-ES" w:bidi="es-ES"/>
              </w:rPr>
            </w:pPr>
            <w:r w:rsidRPr="005A1B87">
              <w:rPr>
                <w:rFonts w:ascii="Verdana" w:eastAsia="Arial MT" w:hAnsi="Verdana" w:cs="Arial"/>
                <w:bCs/>
                <w:lang w:val="es-CO" w:eastAsia="es-ES" w:bidi="es-ES"/>
              </w:rPr>
              <w:t>Constitución Política de Colombia. Artículos 150 y 209.</w:t>
            </w:r>
          </w:p>
          <w:p w14:paraId="670972EC" w14:textId="77777777" w:rsidR="00D547C9" w:rsidRPr="005A1B87" w:rsidRDefault="00D547C9" w:rsidP="00D547C9">
            <w:pPr>
              <w:pStyle w:val="Prrafodelista"/>
              <w:numPr>
                <w:ilvl w:val="0"/>
                <w:numId w:val="16"/>
              </w:numPr>
              <w:spacing w:line="276" w:lineRule="auto"/>
              <w:rPr>
                <w:rFonts w:ascii="Verdana" w:eastAsia="Arial MT" w:hAnsi="Verdana" w:cs="Arial"/>
                <w:bCs/>
                <w:lang w:val="es-CO" w:eastAsia="es-ES" w:bidi="es-ES"/>
              </w:rPr>
            </w:pPr>
            <w:r w:rsidRPr="005A1B87">
              <w:rPr>
                <w:rFonts w:ascii="Verdana" w:eastAsia="Arial MT" w:hAnsi="Verdana" w:cs="Arial"/>
                <w:bCs/>
                <w:lang w:eastAsia="es-ES" w:bidi="es-ES"/>
              </w:rPr>
              <w:t>Código Civil Colombiano. Artículos 1502, 1503 y 1504.</w:t>
            </w:r>
          </w:p>
          <w:p w14:paraId="708ABCEB" w14:textId="77777777" w:rsidR="00D547C9" w:rsidRPr="005A1B87" w:rsidRDefault="00D547C9" w:rsidP="00D547C9">
            <w:pPr>
              <w:widowControl w:val="0"/>
              <w:numPr>
                <w:ilvl w:val="0"/>
                <w:numId w:val="16"/>
              </w:numPr>
              <w:autoSpaceDE w:val="0"/>
              <w:autoSpaceDN w:val="0"/>
              <w:spacing w:line="276" w:lineRule="auto"/>
              <w:jc w:val="both"/>
              <w:rPr>
                <w:rFonts w:ascii="Verdana" w:eastAsia="Arial MT" w:hAnsi="Verdana" w:cs="Arial"/>
                <w:bCs/>
                <w:lang w:eastAsia="es-ES" w:bidi="es-ES"/>
              </w:rPr>
            </w:pPr>
            <w:r w:rsidRPr="005A1B87">
              <w:rPr>
                <w:rFonts w:ascii="Verdana" w:eastAsia="Arial MT" w:hAnsi="Verdana" w:cs="Arial"/>
                <w:bCs/>
                <w:lang w:eastAsia="es-ES" w:bidi="es-ES"/>
              </w:rPr>
              <w:t>Ley 80 de 1993. Artículos 6 y 8.</w:t>
            </w:r>
          </w:p>
          <w:p w14:paraId="157E86E0" w14:textId="77777777" w:rsidR="00D547C9" w:rsidRPr="005A1B87" w:rsidRDefault="00D547C9" w:rsidP="00D547C9">
            <w:pPr>
              <w:widowControl w:val="0"/>
              <w:numPr>
                <w:ilvl w:val="0"/>
                <w:numId w:val="16"/>
              </w:numPr>
              <w:autoSpaceDE w:val="0"/>
              <w:autoSpaceDN w:val="0"/>
              <w:spacing w:line="276" w:lineRule="auto"/>
              <w:jc w:val="both"/>
              <w:rPr>
                <w:rFonts w:ascii="Verdana" w:eastAsia="Arial MT" w:hAnsi="Verdana" w:cs="Arial"/>
                <w:bCs/>
                <w:lang w:eastAsia="es-ES" w:bidi="es-ES"/>
              </w:rPr>
            </w:pPr>
            <w:r w:rsidRPr="005A1B87">
              <w:rPr>
                <w:rFonts w:ascii="Verdana" w:eastAsia="Arial MT" w:hAnsi="Verdana" w:cs="Arial"/>
                <w:bCs/>
                <w:lang w:eastAsia="es-ES" w:bidi="es-ES"/>
              </w:rPr>
              <w:t>Ley 1150 de 2007. Artículos 5 y 6.</w:t>
            </w:r>
          </w:p>
          <w:p w14:paraId="3208EA76" w14:textId="77777777" w:rsidR="00D547C9" w:rsidRPr="005A1B87" w:rsidRDefault="00D547C9" w:rsidP="00D547C9">
            <w:pPr>
              <w:widowControl w:val="0"/>
              <w:numPr>
                <w:ilvl w:val="0"/>
                <w:numId w:val="16"/>
              </w:numPr>
              <w:autoSpaceDE w:val="0"/>
              <w:autoSpaceDN w:val="0"/>
              <w:spacing w:line="276" w:lineRule="auto"/>
              <w:jc w:val="both"/>
              <w:rPr>
                <w:rFonts w:ascii="Verdana" w:eastAsia="Arial MT" w:hAnsi="Verdana" w:cs="Arial"/>
                <w:bCs/>
                <w:color w:val="7030A0"/>
                <w:sz w:val="32"/>
                <w:szCs w:val="32"/>
                <w:lang w:eastAsia="es-ES" w:bidi="es-ES"/>
              </w:rPr>
            </w:pPr>
            <w:r w:rsidRPr="005A1B87">
              <w:rPr>
                <w:rFonts w:ascii="Verdana" w:hAnsi="Verdana" w:cs="Arial"/>
                <w:lang w:val="pt-BR"/>
              </w:rPr>
              <w:t>Corte Constitucional de Colombia. Sentencia C-780 de 2001, Exp. D-3344, M.P. Jaime Córdoba Triviño, 25 de julio de 2001.</w:t>
            </w:r>
          </w:p>
          <w:p w14:paraId="1B17755B" w14:textId="77777777" w:rsidR="00D547C9" w:rsidRPr="005A1B87" w:rsidRDefault="00D547C9" w:rsidP="00D547C9">
            <w:pPr>
              <w:widowControl w:val="0"/>
              <w:numPr>
                <w:ilvl w:val="0"/>
                <w:numId w:val="16"/>
              </w:numPr>
              <w:autoSpaceDE w:val="0"/>
              <w:autoSpaceDN w:val="0"/>
              <w:spacing w:line="276" w:lineRule="auto"/>
              <w:contextualSpacing/>
              <w:jc w:val="both"/>
              <w:rPr>
                <w:rFonts w:ascii="Verdana" w:eastAsia="Arial MT" w:hAnsi="Verdana" w:cs="Arial"/>
                <w:color w:val="7030A0"/>
                <w:lang w:val="es-ES" w:eastAsia="es-ES" w:bidi="es-ES"/>
              </w:rPr>
            </w:pPr>
            <w:r w:rsidRPr="005A1B87">
              <w:rPr>
                <w:rFonts w:ascii="Verdana" w:eastAsia="Arial MT" w:hAnsi="Verdana" w:cs="Arial"/>
                <w:bCs/>
                <w:lang w:eastAsia="es-ES" w:bidi="es-ES"/>
              </w:rPr>
              <w:t>Consejo De Estado. Sección Tercera. Subsección A. Sentencia del 13 de noviembre de 2013. Rad. 25.646. C.P. Mauricio Fajardo Gómez.</w:t>
            </w:r>
          </w:p>
        </w:tc>
      </w:tr>
    </w:tbl>
    <w:p w14:paraId="3E5F3326" w14:textId="77777777" w:rsidR="00D547C9" w:rsidRPr="005A1B87" w:rsidRDefault="00D547C9" w:rsidP="00D547C9">
      <w:pPr>
        <w:widowControl w:val="0"/>
        <w:autoSpaceDE w:val="0"/>
        <w:autoSpaceDN w:val="0"/>
        <w:spacing w:after="0" w:line="276" w:lineRule="auto"/>
        <w:jc w:val="both"/>
        <w:rPr>
          <w:rFonts w:ascii="Verdana" w:hAnsi="Verdana" w:cs="Arial"/>
          <w:color w:val="7030A0"/>
          <w:lang w:val="es-ES"/>
        </w:rPr>
      </w:pPr>
    </w:p>
    <w:p w14:paraId="653A0F58" w14:textId="77777777" w:rsidR="00D547C9" w:rsidRPr="005A1B87" w:rsidRDefault="00D547C9" w:rsidP="00D547C9">
      <w:pPr>
        <w:tabs>
          <w:tab w:val="left" w:pos="142"/>
          <w:tab w:val="left" w:pos="284"/>
        </w:tabs>
        <w:spacing w:after="0" w:line="276" w:lineRule="auto"/>
        <w:jc w:val="both"/>
        <w:rPr>
          <w:rFonts w:ascii="Verdana" w:eastAsia="Century Gothic" w:hAnsi="Verdana" w:cs="Century Gothic"/>
          <w:b/>
          <w:lang w:val="es-ES"/>
        </w:rPr>
      </w:pPr>
      <w:r w:rsidRPr="005A1B87">
        <w:rPr>
          <w:rFonts w:ascii="Verdana" w:eastAsia="Century Gothic" w:hAnsi="Verdana" w:cs="Century Gothic"/>
          <w:b/>
          <w:lang w:val="es-ES"/>
        </w:rPr>
        <w:t>5. Doctrina de la Agencia Nacional de Contratación Pública:</w:t>
      </w:r>
    </w:p>
    <w:p w14:paraId="7F6B9B4D" w14:textId="77777777" w:rsidR="00D547C9" w:rsidRPr="005A1B87" w:rsidRDefault="00D547C9" w:rsidP="00D547C9">
      <w:pPr>
        <w:tabs>
          <w:tab w:val="left" w:pos="142"/>
          <w:tab w:val="left" w:pos="284"/>
        </w:tabs>
        <w:spacing w:after="0" w:line="276" w:lineRule="auto"/>
        <w:jc w:val="both"/>
        <w:rPr>
          <w:rFonts w:ascii="Verdana" w:eastAsia="Century Gothic" w:hAnsi="Verdana" w:cs="Century Gothic"/>
          <w:b/>
          <w:lang w:val="es-ES"/>
        </w:rPr>
      </w:pPr>
    </w:p>
    <w:p w14:paraId="5E31CE3C" w14:textId="77777777" w:rsidR="00D547C9" w:rsidRPr="005A1B87" w:rsidRDefault="00D547C9" w:rsidP="00D547C9">
      <w:pPr>
        <w:spacing w:after="0" w:line="276" w:lineRule="auto"/>
        <w:jc w:val="both"/>
        <w:rPr>
          <w:rStyle w:val="normaltextrun"/>
          <w:rFonts w:ascii="Verdana" w:hAnsi="Verdana" w:cs="Arial"/>
          <w:shd w:val="clear" w:color="auto" w:fill="FFFFFF"/>
          <w:lang w:val="es-ES"/>
        </w:rPr>
      </w:pPr>
      <w:r w:rsidRPr="005A1B87">
        <w:rPr>
          <w:rFonts w:ascii="Verdana" w:eastAsia="Calibri" w:hAnsi="Verdana" w:cs="Arial"/>
          <w:lang w:val="es-ES"/>
        </w:rPr>
        <w:lastRenderedPageBreak/>
        <w:t xml:space="preserve">La Agencia Nacional de Contratación Pública – Colombia Compra Eficiente se ha referido </w:t>
      </w:r>
      <w:r w:rsidRPr="005A1B87">
        <w:rPr>
          <w:rFonts w:ascii="Verdana" w:hAnsi="Verdana" w:cs="Arial"/>
          <w:shd w:val="clear" w:color="auto" w:fill="FFFFFF"/>
        </w:rPr>
        <w:t xml:space="preserve">sobre </w:t>
      </w:r>
      <w:r w:rsidRPr="005A1B87">
        <w:rPr>
          <w:rFonts w:ascii="Verdana" w:hAnsi="Verdana" w:cs="Arial"/>
          <w:shd w:val="clear" w:color="auto" w:fill="FFFFFF"/>
          <w:lang w:val="es-ES"/>
        </w:rPr>
        <w:t xml:space="preserve">el régimen de inhabilidades en los conceptos </w:t>
      </w:r>
      <w:r w:rsidRPr="005A1B87">
        <w:rPr>
          <w:rStyle w:val="normaltextrun"/>
          <w:rFonts w:ascii="Verdana" w:hAnsi="Verdana" w:cs="Arial"/>
          <w:shd w:val="clear" w:color="auto" w:fill="FFFFFF"/>
          <w:lang w:val="es-ES"/>
        </w:rPr>
        <w:t>C-815 del 18 de febrero de 2021, C-210 del 12 de mayo de 2021, C-275 del 11 de junio de 2021, C-321 del 2 de julio de 2021, C-410 del 7 de julio del 2021, C-491 del 14 de septiembre de 2021, C-028 del 28 de febrero de 2022, C-318 del 18 de mayo de 2022, C-252 del 30 de mayo de 2022, C-175 del 4 de mayo de 2023, C-234 del 5 de julio de 2023, C-408 del 21 de agosto de 2024, C-975 del 16 de diciembre de 2024, C-1716 del 23 de diciembre de 2025, C-1790 del 30 de diciembre de 2025, C-1655 del 03 de febrero de 2026, C-214 del 26 de marzo de 2026, C-396 del 23 de abril de 2026, C-637 del 28 de mayo de 2026, C-704 del 29 de mayo de 2025, C-710 del 09 de junio de 2026, C-906 del 14 de julio de 2026, C-966 del 24 de julio de 2026, C-981 del 30 de julio de 2026, C-1067 del 14 de agosto de 2026, C-1179 del 18 de agosto de 2026, C-1226 del 24 de agosto de 2026, entre otros.</w:t>
      </w:r>
    </w:p>
    <w:p w14:paraId="37C1B7FA" w14:textId="77777777" w:rsidR="00D547C9" w:rsidRPr="005A1B87" w:rsidRDefault="00D547C9" w:rsidP="00D547C9">
      <w:pPr>
        <w:widowControl w:val="0"/>
        <w:autoSpaceDE w:val="0"/>
        <w:autoSpaceDN w:val="0"/>
        <w:spacing w:after="0" w:line="276" w:lineRule="auto"/>
        <w:jc w:val="both"/>
        <w:rPr>
          <w:rFonts w:ascii="Verdana" w:hAnsi="Verdana" w:cs="Arial"/>
          <w:color w:val="EE0000"/>
          <w:shd w:val="clear" w:color="auto" w:fill="FFFFFF"/>
          <w:lang w:val="es-ES_tradnl"/>
        </w:rPr>
      </w:pPr>
    </w:p>
    <w:p w14:paraId="1DBBC60B" w14:textId="77777777" w:rsidR="00D547C9" w:rsidRPr="005A1B87" w:rsidRDefault="00D547C9" w:rsidP="00D547C9">
      <w:pPr>
        <w:widowControl w:val="0"/>
        <w:autoSpaceDE w:val="0"/>
        <w:autoSpaceDN w:val="0"/>
        <w:spacing w:after="0" w:line="276" w:lineRule="auto"/>
        <w:jc w:val="both"/>
        <w:rPr>
          <w:rStyle w:val="Hipervnculo"/>
          <w:rFonts w:ascii="Verdana" w:hAnsi="Verdana" w:cs="Arial"/>
          <w:color w:val="EE0000"/>
          <w:shd w:val="clear" w:color="auto" w:fill="FFFFFF"/>
          <w:lang w:val="es-ES"/>
        </w:rPr>
      </w:pPr>
      <w:r w:rsidRPr="005A1B87">
        <w:rPr>
          <w:rFonts w:ascii="Verdana" w:hAnsi="Verdana" w:cs="Arial"/>
          <w:shd w:val="clear" w:color="auto" w:fill="FFFFFF"/>
          <w:lang w:val="es-ES"/>
        </w:rPr>
        <w:t>Estos</w:t>
      </w:r>
      <w:r w:rsidRPr="005A1B87">
        <w:rPr>
          <w:rFonts w:ascii="Verdana" w:hAnsi="Verdana"/>
          <w:lang w:val="es-ES"/>
        </w:rPr>
        <w:t xml:space="preserve"> y otros se encuentran disponibles para consulta en el Sistema de relatoría de la Agencia, al cual se puede acceder a través del siguiente enlace:</w:t>
      </w:r>
      <w:r w:rsidRPr="005A1B87">
        <w:rPr>
          <w:rFonts w:ascii="Verdana" w:hAnsi="Verdana" w:cs="Arial"/>
          <w:shd w:val="clear" w:color="auto" w:fill="FFFFFF"/>
          <w:lang w:val="es-ES"/>
        </w:rPr>
        <w:t xml:space="preserve"> </w:t>
      </w:r>
      <w:hyperlink r:id="rId13" w:history="1">
        <w:r w:rsidRPr="005A1B87">
          <w:rPr>
            <w:rStyle w:val="Hipervnculo"/>
            <w:rFonts w:ascii="Verdana" w:hAnsi="Verdana" w:cs="Arial"/>
            <w:shd w:val="clear" w:color="auto" w:fill="FFFFFF"/>
            <w:lang w:val="es-ES"/>
          </w:rPr>
          <w:t>https://relatoria.colombiacompra.gov.co/busqueda/conceptos</w:t>
        </w:r>
      </w:hyperlink>
    </w:p>
    <w:p w14:paraId="47A94DC4" w14:textId="77777777" w:rsidR="00D547C9" w:rsidRPr="005A1B87" w:rsidRDefault="00D547C9" w:rsidP="00D547C9">
      <w:pPr>
        <w:spacing w:after="0" w:line="276" w:lineRule="auto"/>
        <w:jc w:val="both"/>
        <w:rPr>
          <w:rFonts w:ascii="Verdana" w:hAnsi="Verdana"/>
        </w:rPr>
      </w:pPr>
    </w:p>
    <w:p w14:paraId="451933C4" w14:textId="77777777" w:rsidR="00D547C9" w:rsidRPr="005A1B87" w:rsidRDefault="00D547C9" w:rsidP="00D547C9">
      <w:pPr>
        <w:spacing w:after="0" w:line="276" w:lineRule="auto"/>
        <w:jc w:val="both"/>
      </w:pPr>
      <w:r w:rsidRPr="005A1B87">
        <w:rPr>
          <w:rFonts w:ascii="Verdana" w:hAnsi="Verdana"/>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5A1B87">
        <w:rPr>
          <w:rFonts w:ascii="Verdana" w:hAnsi="Verdana"/>
          <w:b/>
          <w:bCs/>
        </w:rPr>
        <w:t>Guía para la Exigencia y Constitución de Garantías en los Procesos de Contratación</w:t>
      </w:r>
      <w:r w:rsidRPr="005A1B87">
        <w:rPr>
          <w:rFonts w:ascii="Verdana" w:hAnsi="Verdana"/>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w:t>
      </w:r>
      <w:r w:rsidRPr="005A1B87">
        <w:rPr>
          <w:rFonts w:ascii="Verdana" w:hAnsi="Verdana"/>
          <w:color w:val="EE0000"/>
        </w:rPr>
        <w:t> </w:t>
      </w:r>
      <w:hyperlink r:id="rId14" w:tgtFrame="_blank" w:tooltip="Dirección URL original: https://www.colombiacompra.gov.co/archivos/manual/guia-de-garantias-en-procesos-de-contratacion. Haga clic o pulse si confía en este vínculo." w:history="1">
        <w:r w:rsidRPr="005A1B87">
          <w:rPr>
            <w:rStyle w:val="Hipervnculo"/>
            <w:rFonts w:ascii="Verdana" w:hAnsi="Verdana"/>
          </w:rPr>
          <w:t>https://www.colombiacompra.gov.co/archivos/manual/guia-de-garantias-en-procesos-de-contratacion</w:t>
        </w:r>
      </w:hyperlink>
    </w:p>
    <w:p w14:paraId="72E3BEB1" w14:textId="77777777" w:rsidR="00D547C9" w:rsidRPr="005A1B87" w:rsidRDefault="00D547C9" w:rsidP="00D547C9">
      <w:pPr>
        <w:spacing w:after="0" w:line="276" w:lineRule="auto"/>
        <w:jc w:val="both"/>
        <w:rPr>
          <w:rFonts w:ascii="Verdana" w:hAnsi="Verdana"/>
          <w:color w:val="EE0000"/>
        </w:rPr>
      </w:pPr>
    </w:p>
    <w:p w14:paraId="261779FF" w14:textId="77777777" w:rsidR="00D547C9" w:rsidRPr="005A1B87" w:rsidRDefault="00D547C9" w:rsidP="00D547C9">
      <w:pPr>
        <w:spacing w:after="0" w:line="276" w:lineRule="auto"/>
        <w:jc w:val="both"/>
        <w:rPr>
          <w:rFonts w:ascii="Verdana" w:hAnsi="Verdana"/>
          <w:color w:val="EE0000"/>
        </w:rPr>
      </w:pPr>
      <w:r w:rsidRPr="005A1B87">
        <w:rPr>
          <w:rFonts w:ascii="Verdana" w:hAnsi="Verdana"/>
        </w:rPr>
        <w:t>De otro lado, te contamos que el Decreto 287 del 19 de marzo de 2026 sustituyó los artículos 2.2.1.2.4.2.6., 2.2.1.2.4.2.7. y 2.2.1.2.4.2.8. del Decreto 1082 de 2015 y estructuró el </w:t>
      </w:r>
      <w:r w:rsidRPr="005A1B87">
        <w:rPr>
          <w:rFonts w:ascii="Verdana" w:hAnsi="Verdana"/>
          <w:b/>
          <w:bCs/>
        </w:rPr>
        <w:t>Sistema Integral de Preferencias en favor de las personas con discapacidad</w:t>
      </w:r>
      <w:r w:rsidRPr="005A1B87">
        <w:rPr>
          <w:rFonts w:ascii="Verdana" w:hAnsi="Verdana"/>
        </w:rPr>
        <w:t xml:space="preserve">, en cumplimiento del artículo 13 de la Ley Estatutaria 1618 de 2013. Para orientar su aplicación, esta Agencia expidió </w:t>
      </w:r>
      <w:r w:rsidRPr="005A1B87">
        <w:rPr>
          <w:rFonts w:ascii="Verdana" w:hAnsi="Verdana"/>
        </w:rPr>
        <w:lastRenderedPageBreak/>
        <w:t>la </w:t>
      </w:r>
      <w:r w:rsidRPr="005A1B87">
        <w:rPr>
          <w:rFonts w:ascii="Verdana" w:hAnsi="Verdana"/>
          <w:b/>
          <w:bCs/>
        </w:rPr>
        <w:t>Circular Externa 003 del 12 de mayo de 2026, </w:t>
      </w:r>
      <w:r w:rsidRPr="005A1B87">
        <w:rPr>
          <w:rFonts w:ascii="Verdana" w:hAnsi="Verdana"/>
        </w:rPr>
        <w:t>en la que precisa quiénes son los beneficiarios, las cinco medidas que integran el sistema y su obligatoriedad según la modalidad de selección, y el régimen de transición aplicable a los procesos en curso. Consúltala aquí:</w:t>
      </w:r>
      <w:r w:rsidRPr="005A1B87">
        <w:rPr>
          <w:rFonts w:ascii="Verdana" w:hAnsi="Verdana"/>
          <w:color w:val="EE0000"/>
        </w:rPr>
        <w:t> </w:t>
      </w:r>
      <w:hyperlink r:id="rId15" w:tgtFrame="_blank" w:tooltip="Dirección URL original: https://www.colombiacompra.gov.co/archivos/circular/circular-externa-003-de-2026. Haga clic o pulse si confía en este vínculo." w:history="1">
        <w:r w:rsidRPr="005A1B87">
          <w:rPr>
            <w:rStyle w:val="Hipervnculo"/>
            <w:rFonts w:ascii="Verdana" w:hAnsi="Verdana"/>
          </w:rPr>
          <w:t>https://www.colombiacompra.gov.co/archivos/circular/circular-externa-003-de-2026</w:t>
        </w:r>
      </w:hyperlink>
    </w:p>
    <w:p w14:paraId="6DB0027A" w14:textId="77777777" w:rsidR="00D547C9" w:rsidRPr="005A1B87" w:rsidRDefault="00D547C9" w:rsidP="00D547C9">
      <w:pPr>
        <w:spacing w:after="0" w:line="276" w:lineRule="auto"/>
        <w:jc w:val="both"/>
        <w:rPr>
          <w:rFonts w:ascii="Verdana" w:hAnsi="Verdana"/>
          <w:color w:val="EE0000"/>
        </w:rPr>
      </w:pPr>
    </w:p>
    <w:p w14:paraId="145BF02B" w14:textId="77777777" w:rsidR="00D547C9" w:rsidRPr="005A1B87" w:rsidRDefault="00D547C9" w:rsidP="00D547C9">
      <w:pPr>
        <w:spacing w:after="0" w:line="276" w:lineRule="auto"/>
        <w:jc w:val="both"/>
        <w:rPr>
          <w:rFonts w:ascii="Verdana" w:hAnsi="Verdana"/>
          <w:color w:val="EE0000"/>
        </w:rPr>
      </w:pPr>
      <w:r w:rsidRPr="005A1B87">
        <w:rPr>
          <w:rFonts w:ascii="Verdana" w:hAnsi="Verdana"/>
        </w:rPr>
        <w:t>Recuerda también que la</w:t>
      </w:r>
      <w:r w:rsidRPr="005A1B87">
        <w:rPr>
          <w:rFonts w:ascii="Verdana" w:hAnsi="Verdana"/>
          <w:b/>
          <w:bCs/>
        </w:rPr>
        <w:t> información sobre sanciones e inhabilidades </w:t>
      </w:r>
      <w:r w:rsidRPr="005A1B87">
        <w:rPr>
          <w:rFonts w:ascii="Verdana" w:hAnsi="Verdana"/>
        </w:rPr>
        <w:t>solo cumple su función preventiva si llega oportunamente a los registros públicos. Sobre este deber, esta Agencia expidió la </w:t>
      </w:r>
      <w:r w:rsidRPr="005A1B87">
        <w:rPr>
          <w:rFonts w:ascii="Verdana" w:hAnsi="Verdana"/>
          <w:b/>
          <w:bCs/>
        </w:rPr>
        <w:t>Circular Externa 002 del 5 de mayo de 2026,</w:t>
      </w:r>
      <w:r w:rsidRPr="005A1B87">
        <w:rPr>
          <w:rFonts w:ascii="Verdana" w:hAnsi="Verdana"/>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5A1B87">
          <w:rPr>
            <w:rStyle w:val="Hipervnculo"/>
            <w:rFonts w:ascii="Verdana" w:hAnsi="Verdana"/>
          </w:rPr>
          <w:t>https://www.colombiacompra.gov.co/archivos/circular/circular-externa-002-de-2026</w:t>
        </w:r>
      </w:hyperlink>
    </w:p>
    <w:p w14:paraId="26196030" w14:textId="77777777" w:rsidR="00D547C9" w:rsidRPr="005A1B87" w:rsidRDefault="00D547C9" w:rsidP="00D547C9">
      <w:pPr>
        <w:spacing w:after="0" w:line="276" w:lineRule="auto"/>
        <w:jc w:val="both"/>
        <w:rPr>
          <w:rFonts w:ascii="Verdana" w:hAnsi="Verdana"/>
          <w:color w:val="EE0000"/>
        </w:rPr>
      </w:pPr>
    </w:p>
    <w:p w14:paraId="368BDE9D" w14:textId="77777777" w:rsidR="00D547C9" w:rsidRPr="005A1B87" w:rsidRDefault="00D547C9" w:rsidP="00D547C9">
      <w:pPr>
        <w:spacing w:after="0" w:line="276" w:lineRule="auto"/>
        <w:jc w:val="both"/>
        <w:rPr>
          <w:rFonts w:ascii="Verdana" w:hAnsi="Verdana"/>
          <w:color w:val="EE0000"/>
        </w:rPr>
      </w:pPr>
      <w:r w:rsidRPr="005A1B87">
        <w:rPr>
          <w:rFonts w:ascii="Verdana" w:hAnsi="Verdana"/>
        </w:rPr>
        <w:t>Finalmente, si quieres seguir de cerca la actividad de la Agencia, la tercera edición de 2026 del</w:t>
      </w:r>
      <w:r w:rsidRPr="005A1B87">
        <w:rPr>
          <w:rFonts w:ascii="Verdana" w:hAnsi="Verdana"/>
          <w:b/>
          <w:bCs/>
        </w:rPr>
        <w:t> Radar de la Compra Pública</w:t>
      </w:r>
      <w:r w:rsidRPr="005A1B87">
        <w:rPr>
          <w:rFonts w:ascii="Verdana" w:hAnsi="Verdana"/>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w:t>
      </w:r>
      <w:r w:rsidRPr="005A1B87">
        <w:rPr>
          <w:rFonts w:ascii="Verdana" w:hAnsi="Verdana"/>
          <w:color w:val="EE0000"/>
        </w:rPr>
        <w:t> </w:t>
      </w:r>
      <w:hyperlink r:id="rId17" w:tgtFrame="_blank" w:tooltip="Dirección URL original: https://www.colombiacompra.gov.co/archivos/boletin/boletin-edicion-n-3-de-2026-radar-de-la-compra-publica. Haga clic o pulse si confía en este vínculo." w:history="1">
        <w:r w:rsidRPr="005A1B87">
          <w:rPr>
            <w:rStyle w:val="Hipervnculo"/>
            <w:rFonts w:ascii="Verdana" w:hAnsi="Verdana"/>
          </w:rPr>
          <w:t>https://www.colombiacompra.gov.co/archivos/boletin/boletin-edicion-n-3-de-2026-radar-de-la-compra-publica</w:t>
        </w:r>
      </w:hyperlink>
    </w:p>
    <w:p w14:paraId="56C7873D" w14:textId="77777777" w:rsidR="00D547C9" w:rsidRPr="005A1B87" w:rsidRDefault="00D547C9" w:rsidP="00D547C9">
      <w:pPr>
        <w:spacing w:after="0" w:line="276" w:lineRule="auto"/>
        <w:jc w:val="both"/>
        <w:rPr>
          <w:rFonts w:ascii="Verdana" w:hAnsi="Verdana" w:cs="Arial"/>
          <w:shd w:val="clear" w:color="auto" w:fill="FFFFFF"/>
        </w:rPr>
      </w:pPr>
    </w:p>
    <w:p w14:paraId="2DFF8948" w14:textId="091BC035" w:rsidR="00D547C9" w:rsidRPr="005A1B87" w:rsidRDefault="00D547C9" w:rsidP="00D547C9">
      <w:pPr>
        <w:spacing w:after="0" w:line="276" w:lineRule="auto"/>
        <w:jc w:val="both"/>
        <w:rPr>
          <w:rFonts w:ascii="Verdana" w:hAnsi="Verdana" w:cs="Arial"/>
          <w:shd w:val="clear" w:color="auto" w:fill="FFFFFF"/>
        </w:rPr>
      </w:pPr>
      <w:r w:rsidRPr="005A1B87">
        <w:rPr>
          <w:rFonts w:ascii="Verdana" w:hAnsi="Verdana" w:cs="Arial"/>
          <w:shd w:val="clear" w:color="auto" w:fill="FFFFFF"/>
        </w:rPr>
        <w:t xml:space="preserve">Por último, lo invitamos a seguirnos en las redes sociales en las cuales se difunde información institucional: </w:t>
      </w:r>
    </w:p>
    <w:p w14:paraId="3F42646D" w14:textId="77777777" w:rsidR="00D547C9" w:rsidRPr="005A1B87" w:rsidRDefault="00D547C9" w:rsidP="00D547C9">
      <w:pPr>
        <w:spacing w:after="0" w:line="276" w:lineRule="auto"/>
        <w:jc w:val="both"/>
        <w:rPr>
          <w:rFonts w:ascii="Verdana" w:hAnsi="Verdana" w:cs="Arial"/>
          <w:shd w:val="clear" w:color="auto" w:fill="FFFFFF"/>
        </w:rPr>
      </w:pPr>
    </w:p>
    <w:p w14:paraId="71137832" w14:textId="77777777" w:rsidR="00D547C9" w:rsidRPr="005A1B87" w:rsidRDefault="00D547C9" w:rsidP="00D547C9">
      <w:pPr>
        <w:spacing w:after="0" w:line="276" w:lineRule="auto"/>
        <w:jc w:val="both"/>
        <w:rPr>
          <w:rFonts w:ascii="Verdana" w:hAnsi="Verdana" w:cs="Arial"/>
          <w:shd w:val="clear" w:color="auto" w:fill="FFFFFF"/>
        </w:rPr>
      </w:pPr>
      <w:r w:rsidRPr="005A1B87">
        <w:rPr>
          <w:rFonts w:ascii="Verdana" w:hAnsi="Verdana" w:cs="Arial"/>
          <w:shd w:val="clear" w:color="auto" w:fill="FFFFFF"/>
        </w:rPr>
        <w:t xml:space="preserve">Twitter: </w:t>
      </w:r>
      <w:r w:rsidRPr="30821638">
        <w:rPr>
          <w:rStyle w:val="Hipervnculo"/>
          <w:rFonts w:ascii="Verdana" w:eastAsia="Verdana" w:hAnsi="Verdana" w:cs="Verdana"/>
        </w:rPr>
        <w:t>@colombiacompra</w:t>
      </w:r>
      <w:r w:rsidRPr="005A1B87">
        <w:rPr>
          <w:rFonts w:ascii="Verdana" w:hAnsi="Verdana" w:cs="Arial"/>
          <w:shd w:val="clear" w:color="auto" w:fill="FFFFFF"/>
        </w:rPr>
        <w:t xml:space="preserve"> </w:t>
      </w:r>
    </w:p>
    <w:p w14:paraId="12F704C3" w14:textId="77777777" w:rsidR="00D547C9" w:rsidRPr="005A1B87" w:rsidRDefault="00D547C9" w:rsidP="00D547C9">
      <w:pPr>
        <w:spacing w:after="0" w:line="276" w:lineRule="auto"/>
        <w:jc w:val="both"/>
        <w:rPr>
          <w:rFonts w:ascii="Verdana" w:hAnsi="Verdana" w:cs="Arial"/>
          <w:shd w:val="clear" w:color="auto" w:fill="FFFFFF"/>
        </w:rPr>
      </w:pPr>
      <w:r w:rsidRPr="005A1B87">
        <w:rPr>
          <w:rFonts w:ascii="Verdana" w:hAnsi="Verdana" w:cs="Arial"/>
          <w:shd w:val="clear" w:color="auto" w:fill="FFFFFF"/>
        </w:rPr>
        <w:t>Facebook:</w:t>
      </w:r>
      <w:r w:rsidRPr="005A1B87">
        <w:rPr>
          <w:rStyle w:val="Hipervnculo"/>
          <w:rFonts w:ascii="Verdana" w:hAnsi="Verdana"/>
          <w:color w:val="auto"/>
          <w:lang w:val="es-ES"/>
        </w:rPr>
        <w:t xml:space="preserve"> </w:t>
      </w:r>
      <w:r w:rsidRPr="30821638">
        <w:rPr>
          <w:rStyle w:val="Hipervnculo"/>
          <w:rFonts w:ascii="Verdana" w:eastAsia="Verdana" w:hAnsi="Verdana" w:cs="Verdana"/>
        </w:rPr>
        <w:t>ColombiaCompraEficiente</w:t>
      </w:r>
    </w:p>
    <w:p w14:paraId="297E6437" w14:textId="28243A5B" w:rsidR="00D547C9" w:rsidRPr="005A1B87" w:rsidRDefault="00D547C9" w:rsidP="00D547C9">
      <w:pPr>
        <w:spacing w:after="0" w:line="276" w:lineRule="auto"/>
        <w:jc w:val="both"/>
        <w:rPr>
          <w:rFonts w:ascii="Verdana" w:hAnsi="Verdana" w:cs="Arial"/>
          <w:shd w:val="clear" w:color="auto" w:fill="FFFFFF"/>
        </w:rPr>
      </w:pPr>
      <w:r w:rsidRPr="005A1B87">
        <w:rPr>
          <w:rFonts w:ascii="Verdana" w:hAnsi="Verdana" w:cs="Arial"/>
          <w:shd w:val="clear" w:color="auto" w:fill="FFFFFF"/>
        </w:rPr>
        <w:t xml:space="preserve">LinkedIn: </w:t>
      </w:r>
      <w:r w:rsidRPr="30821638">
        <w:rPr>
          <w:rStyle w:val="Hipervnculo"/>
          <w:rFonts w:ascii="Verdana" w:eastAsia="Verdana" w:hAnsi="Verdana" w:cs="Verdana"/>
        </w:rPr>
        <w:t>Agencia Nacional de Contratación Pública - Colombia Compra Eficiente</w:t>
      </w:r>
      <w:r w:rsidRPr="005A1B87">
        <w:rPr>
          <w:rFonts w:ascii="Verdana" w:hAnsi="Verdana" w:cs="Arial"/>
          <w:shd w:val="clear" w:color="auto" w:fill="FFFFFF"/>
        </w:rPr>
        <w:t xml:space="preserve"> </w:t>
      </w:r>
    </w:p>
    <w:p w14:paraId="762C3B39" w14:textId="77777777" w:rsidR="00D547C9" w:rsidRPr="005A1B87" w:rsidRDefault="00D547C9" w:rsidP="00D547C9">
      <w:pPr>
        <w:spacing w:after="0" w:line="276" w:lineRule="auto"/>
        <w:jc w:val="both"/>
        <w:rPr>
          <w:rFonts w:ascii="Verdana" w:hAnsi="Verdana" w:cs="Arial"/>
          <w:shd w:val="clear" w:color="auto" w:fill="FFFFFF"/>
        </w:rPr>
      </w:pPr>
      <w:r w:rsidRPr="005A1B87">
        <w:rPr>
          <w:rFonts w:ascii="Verdana" w:hAnsi="Verdana" w:cs="Arial"/>
          <w:shd w:val="clear" w:color="auto" w:fill="FFFFFF"/>
        </w:rPr>
        <w:t xml:space="preserve">Instagram: </w:t>
      </w:r>
      <w:r w:rsidRPr="005A1B87">
        <w:rPr>
          <w:rStyle w:val="Hipervnculo"/>
          <w:rFonts w:ascii="Verdana" w:hAnsi="Verdana"/>
        </w:rPr>
        <w:t>@colombiacompraeficiente_cce</w:t>
      </w:r>
    </w:p>
    <w:p w14:paraId="19E8F03F" w14:textId="77777777" w:rsidR="00D547C9" w:rsidRPr="005A1B87" w:rsidRDefault="00D547C9" w:rsidP="00D547C9">
      <w:pPr>
        <w:widowControl w:val="0"/>
        <w:autoSpaceDE w:val="0"/>
        <w:autoSpaceDN w:val="0"/>
        <w:spacing w:after="0" w:line="276" w:lineRule="auto"/>
        <w:jc w:val="both"/>
        <w:rPr>
          <w:rFonts w:ascii="Verdana" w:hAnsi="Verdana" w:cs="Arial"/>
          <w:lang w:val="es-ES"/>
        </w:rPr>
      </w:pPr>
    </w:p>
    <w:p w14:paraId="18556227" w14:textId="77777777" w:rsidR="00D547C9" w:rsidRPr="005A1B87" w:rsidRDefault="00D547C9" w:rsidP="00D547C9">
      <w:pPr>
        <w:widowControl w:val="0"/>
        <w:autoSpaceDE w:val="0"/>
        <w:autoSpaceDN w:val="0"/>
        <w:spacing w:after="0" w:line="276" w:lineRule="auto"/>
        <w:jc w:val="both"/>
        <w:rPr>
          <w:rFonts w:ascii="Verdana" w:hAnsi="Verdana" w:cs="Arial"/>
          <w:lang w:val="es-ES"/>
        </w:rPr>
      </w:pPr>
      <w:r w:rsidRPr="005A1B87">
        <w:rPr>
          <w:rFonts w:ascii="Verdana" w:hAnsi="Verdana" w:cs="Arial"/>
          <w:lang w:val="es-ES"/>
        </w:rPr>
        <w:lastRenderedPageBreak/>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1EA32DAA" w14:textId="77777777" w:rsidR="00D547C9" w:rsidRPr="005A1B87" w:rsidRDefault="00D547C9" w:rsidP="00D547C9">
      <w:pPr>
        <w:widowControl w:val="0"/>
        <w:autoSpaceDE w:val="0"/>
        <w:autoSpaceDN w:val="0"/>
        <w:spacing w:after="0" w:line="276" w:lineRule="auto"/>
        <w:jc w:val="both"/>
        <w:rPr>
          <w:rFonts w:ascii="Verdana" w:hAnsi="Verdana" w:cs="Arial"/>
          <w:lang w:val="es-ES"/>
        </w:rPr>
      </w:pPr>
    </w:p>
    <w:p w14:paraId="751B8EC6" w14:textId="77777777" w:rsidR="00D547C9" w:rsidRPr="005A1B87" w:rsidRDefault="00D547C9" w:rsidP="00D547C9">
      <w:pPr>
        <w:spacing w:after="0" w:line="276" w:lineRule="auto"/>
        <w:rPr>
          <w:rFonts w:ascii="Verdana" w:hAnsi="Verdana" w:cs="Arial"/>
          <w:lang w:val="es-ES" w:eastAsia="es-CO"/>
        </w:rPr>
      </w:pPr>
      <w:r w:rsidRPr="005A1B87">
        <w:rPr>
          <w:rFonts w:ascii="Verdana" w:eastAsia="Times New Roman" w:hAnsi="Verdana" w:cs="Arial"/>
          <w:lang w:val="es-ES" w:eastAsia="es-CO"/>
        </w:rPr>
        <w:t>Atentamente,</w:t>
      </w:r>
    </w:p>
    <w:p w14:paraId="47EEF1BF" w14:textId="77777777" w:rsidR="00D547C9" w:rsidRPr="005A1B87" w:rsidRDefault="00D547C9" w:rsidP="00D547C9">
      <w:pPr>
        <w:spacing w:after="0" w:line="276" w:lineRule="auto"/>
        <w:jc w:val="center"/>
        <w:rPr>
          <w:rFonts w:ascii="Verdana" w:hAnsi="Verdana"/>
          <w:noProof/>
          <w:color w:val="ED7D31" w:themeColor="accent2"/>
        </w:rPr>
      </w:pPr>
    </w:p>
    <w:p w14:paraId="34BD15E3" w14:textId="4A3B31E5" w:rsidR="00D547C9" w:rsidRPr="005A1B87" w:rsidRDefault="00260967" w:rsidP="00D547C9">
      <w:pPr>
        <w:spacing w:after="0" w:line="276" w:lineRule="auto"/>
        <w:jc w:val="center"/>
        <w:rPr>
          <w:rFonts w:ascii="Verdana" w:hAnsi="Verdana" w:cs="Arial"/>
          <w:color w:val="ED7D31" w:themeColor="accent2"/>
          <w:lang w:val="es-ES" w:eastAsia="es-CO"/>
        </w:rPr>
      </w:pPr>
      <w:r w:rsidRPr="00260967">
        <w:rPr>
          <w:rFonts w:ascii="Verdana" w:hAnsi="Verdana" w:cs="Arial"/>
          <w:color w:val="ED7D31" w:themeColor="accent2"/>
          <w:lang w:val="es-ES" w:eastAsia="es-CO"/>
        </w:rPr>
        <w:drawing>
          <wp:inline distT="0" distB="0" distL="0" distR="0" wp14:anchorId="5BF5FACD" wp14:editId="06A377CC">
            <wp:extent cx="2829320" cy="981212"/>
            <wp:effectExtent l="0" t="0" r="9525" b="9525"/>
            <wp:docPr id="12575992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599203" name=""/>
                    <pic:cNvPicPr/>
                  </pic:nvPicPr>
                  <pic:blipFill>
                    <a:blip r:embed="rId18"/>
                    <a:stretch>
                      <a:fillRect/>
                    </a:stretch>
                  </pic:blipFill>
                  <pic:spPr>
                    <a:xfrm>
                      <a:off x="0" y="0"/>
                      <a:ext cx="2829320" cy="981212"/>
                    </a:xfrm>
                    <a:prstGeom prst="rect">
                      <a:avLst/>
                    </a:prstGeom>
                  </pic:spPr>
                </pic:pic>
              </a:graphicData>
            </a:graphic>
          </wp:inline>
        </w:drawing>
      </w:r>
    </w:p>
    <w:p w14:paraId="1A99B590" w14:textId="77777777" w:rsidR="00D547C9" w:rsidRPr="005A1B87" w:rsidRDefault="00D547C9" w:rsidP="00D547C9">
      <w:pPr>
        <w:spacing w:after="0" w:line="276" w:lineRule="auto"/>
        <w:jc w:val="center"/>
        <w:rPr>
          <w:rFonts w:ascii="Verdana" w:hAnsi="Verdana" w:cs="Arial"/>
          <w:color w:val="ED7D31" w:themeColor="accent2"/>
          <w:lang w:val="es-ES"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547C9" w:rsidRPr="005A1B87" w14:paraId="576AA444" w14:textId="77777777" w:rsidTr="00295806">
        <w:trPr>
          <w:trHeight w:val="315"/>
        </w:trPr>
        <w:tc>
          <w:tcPr>
            <w:tcW w:w="893" w:type="dxa"/>
            <w:vAlign w:val="center"/>
            <w:hideMark/>
          </w:tcPr>
          <w:p w14:paraId="15D7251D" w14:textId="77777777" w:rsidR="00D547C9" w:rsidRPr="005A1B87" w:rsidRDefault="00D547C9" w:rsidP="00295806">
            <w:pPr>
              <w:contextualSpacing/>
              <w:rPr>
                <w:rFonts w:ascii="Verdana" w:hAnsi="Verdana" w:cs="Arial"/>
                <w:sz w:val="16"/>
                <w:szCs w:val="16"/>
                <w:lang w:val="es-ES" w:eastAsia="es-ES"/>
              </w:rPr>
            </w:pPr>
            <w:r w:rsidRPr="005A1B8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79B78E2B" w14:textId="77777777" w:rsidR="00D547C9" w:rsidRPr="005A1B87" w:rsidRDefault="00D547C9" w:rsidP="00295806">
            <w:pPr>
              <w:rPr>
                <w:rFonts w:ascii="Verdana" w:eastAsia="Times New Roman" w:hAnsi="Verdana" w:cs="Arial"/>
                <w:sz w:val="16"/>
                <w:szCs w:val="16"/>
                <w:lang w:eastAsia="es-ES"/>
              </w:rPr>
            </w:pPr>
            <w:r w:rsidRPr="005A1B87">
              <w:rPr>
                <w:rFonts w:ascii="Verdana" w:eastAsia="Times New Roman" w:hAnsi="Verdana" w:cs="Arial"/>
                <w:sz w:val="16"/>
                <w:szCs w:val="16"/>
                <w:lang w:eastAsia="es-ES"/>
              </w:rPr>
              <w:t>Camila Alejandra Naranjo Gómez</w:t>
            </w:r>
          </w:p>
          <w:p w14:paraId="11D5F026" w14:textId="77777777" w:rsidR="00D547C9" w:rsidRPr="005A1B87" w:rsidRDefault="00D547C9" w:rsidP="00295806">
            <w:pPr>
              <w:contextualSpacing/>
              <w:rPr>
                <w:rFonts w:ascii="Verdana" w:eastAsia="Arial" w:hAnsi="Verdana" w:cs="Arial"/>
                <w:sz w:val="16"/>
                <w:szCs w:val="16"/>
                <w:lang w:val="es-ES"/>
              </w:rPr>
            </w:pPr>
            <w:r w:rsidRPr="005A1B87">
              <w:rPr>
                <w:rFonts w:ascii="Verdana" w:eastAsia="Times New Roman" w:hAnsi="Verdana" w:cs="Arial"/>
                <w:sz w:val="16"/>
                <w:szCs w:val="16"/>
                <w:lang w:eastAsia="es-ES"/>
              </w:rPr>
              <w:t>Analista T2-02 de la Subdirección de Gestión Contractual</w:t>
            </w:r>
          </w:p>
        </w:tc>
      </w:tr>
      <w:tr w:rsidR="00D547C9" w:rsidRPr="005A1B87" w14:paraId="1B106848" w14:textId="77777777" w:rsidTr="00295806">
        <w:trPr>
          <w:trHeight w:val="330"/>
        </w:trPr>
        <w:tc>
          <w:tcPr>
            <w:tcW w:w="893" w:type="dxa"/>
            <w:vAlign w:val="center"/>
            <w:hideMark/>
          </w:tcPr>
          <w:p w14:paraId="312CA2F7" w14:textId="77777777" w:rsidR="00D547C9" w:rsidRPr="005A1B87" w:rsidRDefault="00D547C9" w:rsidP="00295806">
            <w:pPr>
              <w:contextualSpacing/>
              <w:rPr>
                <w:rFonts w:ascii="Verdana" w:hAnsi="Verdana" w:cs="Arial"/>
                <w:sz w:val="16"/>
                <w:szCs w:val="16"/>
                <w:lang w:val="es-ES" w:eastAsia="es-ES"/>
              </w:rPr>
            </w:pPr>
            <w:r w:rsidRPr="005A1B8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874A48A" w14:textId="77777777" w:rsidR="00D547C9" w:rsidRPr="005A1B87" w:rsidRDefault="00D547C9" w:rsidP="00295806">
            <w:pPr>
              <w:rPr>
                <w:rFonts w:ascii="Verdana" w:eastAsia="Times New Roman" w:hAnsi="Verdana" w:cs="Arial"/>
                <w:sz w:val="16"/>
                <w:szCs w:val="16"/>
                <w:lang w:eastAsia="es-ES"/>
              </w:rPr>
            </w:pPr>
            <w:r w:rsidRPr="005A1B87">
              <w:rPr>
                <w:rFonts w:ascii="Verdana" w:eastAsia="Times New Roman" w:hAnsi="Verdana" w:cs="Arial"/>
                <w:sz w:val="16"/>
                <w:szCs w:val="16"/>
                <w:lang w:eastAsia="es-ES"/>
              </w:rPr>
              <w:t>Juan David Cárdenas Cabeza</w:t>
            </w:r>
          </w:p>
          <w:p w14:paraId="4DD90E8F" w14:textId="77777777" w:rsidR="00D547C9" w:rsidRPr="005A1B87" w:rsidRDefault="00D547C9" w:rsidP="00295806">
            <w:pPr>
              <w:pStyle w:val="paragraph"/>
              <w:spacing w:before="0" w:beforeAutospacing="0" w:after="0" w:afterAutospacing="0"/>
              <w:contextualSpacing/>
              <w:textAlignment w:val="baseline"/>
              <w:rPr>
                <w:rFonts w:ascii="Verdana" w:hAnsi="Verdana" w:cs="Segoe UI"/>
                <w:sz w:val="16"/>
                <w:szCs w:val="16"/>
                <w:lang w:val="es-ES"/>
              </w:rPr>
            </w:pPr>
            <w:r w:rsidRPr="005A1B87">
              <w:rPr>
                <w:rFonts w:ascii="Verdana" w:hAnsi="Verdana" w:cs="Arial"/>
                <w:sz w:val="16"/>
                <w:szCs w:val="16"/>
                <w:lang w:eastAsia="es-ES"/>
              </w:rPr>
              <w:t>Contratista de la Subdirección de Gestión Contractual</w:t>
            </w:r>
          </w:p>
        </w:tc>
      </w:tr>
      <w:tr w:rsidR="00D547C9" w:rsidRPr="005A1B87" w14:paraId="7CA2EE45" w14:textId="77777777" w:rsidTr="00295806">
        <w:trPr>
          <w:trHeight w:val="300"/>
        </w:trPr>
        <w:tc>
          <w:tcPr>
            <w:tcW w:w="893" w:type="dxa"/>
            <w:vAlign w:val="center"/>
          </w:tcPr>
          <w:p w14:paraId="5F7D4DF3" w14:textId="77777777" w:rsidR="00D547C9" w:rsidRPr="005A1B87" w:rsidRDefault="00D547C9" w:rsidP="00295806">
            <w:pPr>
              <w:contextualSpacing/>
              <w:rPr>
                <w:rFonts w:ascii="Verdana" w:hAnsi="Verdana" w:cs="Arial"/>
                <w:sz w:val="16"/>
                <w:szCs w:val="16"/>
                <w:lang w:val="es-ES" w:eastAsia="es-ES"/>
              </w:rPr>
            </w:pPr>
            <w:r w:rsidRPr="005A1B8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5243B2B" w14:textId="77777777" w:rsidR="00D547C9" w:rsidRPr="005A1B87" w:rsidRDefault="00D547C9" w:rsidP="00295806">
            <w:pPr>
              <w:contextualSpacing/>
              <w:rPr>
                <w:rFonts w:ascii="Verdana" w:eastAsia="Calibri" w:hAnsi="Verdana" w:cs="Arial"/>
                <w:sz w:val="16"/>
                <w:szCs w:val="16"/>
                <w:lang w:val="es-ES" w:eastAsia="es-ES"/>
              </w:rPr>
            </w:pPr>
            <w:r w:rsidRPr="005A1B87">
              <w:rPr>
                <w:rFonts w:ascii="Verdana" w:eastAsia="Calibri" w:hAnsi="Verdana" w:cs="Arial"/>
                <w:sz w:val="16"/>
                <w:szCs w:val="16"/>
                <w:lang w:val="es-ES" w:eastAsia="es-ES"/>
              </w:rPr>
              <w:t>Carolina Quintero Gacharná</w:t>
            </w:r>
          </w:p>
          <w:p w14:paraId="39FEBCEF" w14:textId="77777777" w:rsidR="00D547C9" w:rsidRPr="005A1B87" w:rsidRDefault="00D547C9" w:rsidP="00295806">
            <w:pPr>
              <w:contextualSpacing/>
              <w:rPr>
                <w:rFonts w:ascii="Verdana" w:eastAsia="Calibri" w:hAnsi="Verdana" w:cs="Arial"/>
                <w:sz w:val="16"/>
                <w:szCs w:val="16"/>
                <w:lang w:val="es-ES" w:eastAsia="es-ES"/>
              </w:rPr>
            </w:pPr>
            <w:r w:rsidRPr="005A1B87">
              <w:rPr>
                <w:rFonts w:ascii="Verdana" w:eastAsia="Calibri" w:hAnsi="Verdana" w:cs="Arial"/>
                <w:sz w:val="16"/>
                <w:szCs w:val="16"/>
                <w:lang w:val="es-ES" w:eastAsia="es-ES"/>
              </w:rPr>
              <w:t>Subdirectora de Gestión Contractual ANCP – CCE</w:t>
            </w:r>
          </w:p>
        </w:tc>
      </w:tr>
      <w:bookmarkEnd w:id="0"/>
    </w:tbl>
    <w:p w14:paraId="119BB7EB" w14:textId="77777777" w:rsidR="00D547C9" w:rsidRPr="005A1B87" w:rsidRDefault="00D547C9" w:rsidP="00D547C9">
      <w:pPr>
        <w:spacing w:after="120" w:line="276" w:lineRule="auto"/>
        <w:jc w:val="both"/>
        <w:rPr>
          <w:rFonts w:ascii="Verdana" w:eastAsia="Century Gothic" w:hAnsi="Verdana" w:cs="Century Gothic"/>
          <w:b/>
          <w:color w:val="ED7D31" w:themeColor="accent2"/>
          <w:lang w:val="es-ES"/>
        </w:rPr>
      </w:pPr>
    </w:p>
    <w:p w14:paraId="1DEB66C0" w14:textId="122396F2" w:rsidR="00D547C9" w:rsidRPr="002E294E" w:rsidRDefault="00D547C9" w:rsidP="00D547C9">
      <w:pPr>
        <w:spacing w:after="120" w:line="276" w:lineRule="auto"/>
        <w:jc w:val="both"/>
        <w:rPr>
          <w:rFonts w:ascii="Verdana" w:eastAsia="Century Gothic" w:hAnsi="Verdana" w:cs="Century Gothic"/>
          <w:b/>
          <w:color w:val="ED7D31" w:themeColor="accent2"/>
          <w:lang w:val="es-ES"/>
        </w:rPr>
      </w:pPr>
    </w:p>
    <w:p w14:paraId="0F293BF4" w14:textId="74331586" w:rsidR="00127233" w:rsidRPr="00D547C9" w:rsidRDefault="00127233" w:rsidP="00D547C9"/>
    <w:sectPr w:rsidR="00127233" w:rsidRPr="00D547C9"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15921" w14:textId="77777777" w:rsidR="00BA54BF" w:rsidRDefault="00BA54BF" w:rsidP="004A1847">
      <w:pPr>
        <w:spacing w:after="0" w:line="240" w:lineRule="auto"/>
      </w:pPr>
      <w:r>
        <w:separator/>
      </w:r>
    </w:p>
  </w:endnote>
  <w:endnote w:type="continuationSeparator" w:id="0">
    <w:p w14:paraId="144A4627" w14:textId="77777777" w:rsidR="00BA54BF" w:rsidRDefault="00BA54BF"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00503000000020004"/>
    <w:charset w:val="00"/>
    <w:family w:val="modern"/>
    <w:notTrueType/>
    <w:pitch w:val="variable"/>
    <w:sig w:usb0="A000002F" w:usb1="1000004A" w:usb2="00000000" w:usb3="00000000" w:csb0="00000193" w:csb1="00000000"/>
  </w:font>
  <w:font w:name="Geomanist">
    <w:altName w:val="Calibri"/>
    <w:panose1 w:val="02000503000000020004"/>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2000503000000020004"/>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FAE42" w14:textId="77777777" w:rsidR="00BA54BF" w:rsidRDefault="00BA54BF" w:rsidP="004A1847">
      <w:pPr>
        <w:spacing w:after="0" w:line="240" w:lineRule="auto"/>
      </w:pPr>
      <w:r>
        <w:separator/>
      </w:r>
    </w:p>
  </w:footnote>
  <w:footnote w:type="continuationSeparator" w:id="0">
    <w:p w14:paraId="358150CF" w14:textId="77777777" w:rsidR="00BA54BF" w:rsidRDefault="00BA54BF" w:rsidP="004A1847">
      <w:pPr>
        <w:spacing w:after="0" w:line="240" w:lineRule="auto"/>
      </w:pPr>
      <w:r>
        <w:continuationSeparator/>
      </w:r>
    </w:p>
  </w:footnote>
  <w:footnote w:id="1">
    <w:p w14:paraId="14A43EAC" w14:textId="77777777" w:rsidR="00D547C9" w:rsidRDefault="00D547C9" w:rsidP="00D547C9">
      <w:pPr>
        <w:pStyle w:val="Textonotapie"/>
        <w:ind w:firstLine="708"/>
        <w:jc w:val="both"/>
        <w:rPr>
          <w:rFonts w:ascii="Verdana" w:hAnsi="Verdana" w:cs="Arial"/>
          <w:color w:val="000000" w:themeColor="text1"/>
          <w:sz w:val="16"/>
          <w:szCs w:val="16"/>
        </w:rPr>
      </w:pPr>
      <w:r w:rsidRPr="00D4796C">
        <w:rPr>
          <w:rStyle w:val="Refdenotaalpie"/>
          <w:rFonts w:ascii="Verdana" w:hAnsi="Verdana" w:cs="Arial"/>
          <w:color w:val="000000" w:themeColor="text1"/>
          <w:sz w:val="16"/>
          <w:szCs w:val="16"/>
        </w:rPr>
        <w:footnoteRef/>
      </w:r>
      <w:r w:rsidRPr="00D4796C">
        <w:rPr>
          <w:rFonts w:ascii="Verdana" w:hAnsi="Verdana" w:cs="Arial"/>
          <w:color w:val="000000" w:themeColor="text1"/>
          <w:sz w:val="16"/>
          <w:szCs w:val="16"/>
        </w:rPr>
        <w:t xml:space="preserve"> Consejo De Estado. Sección Tercera, Subsección A. Sentencia del 13 de noviembre de 2013. Rad. 25.646.C.P. Mauricio Fajardo Gómez. </w:t>
      </w:r>
    </w:p>
    <w:p w14:paraId="387ED8E4" w14:textId="77777777" w:rsidR="00260967" w:rsidRPr="00D4796C" w:rsidRDefault="00260967" w:rsidP="00D547C9">
      <w:pPr>
        <w:pStyle w:val="Textonotapie"/>
        <w:ind w:firstLine="708"/>
        <w:jc w:val="both"/>
        <w:rPr>
          <w:rFonts w:ascii="Verdana" w:hAnsi="Verdana" w:cs="Arial"/>
          <w:color w:val="000000" w:themeColor="text1"/>
          <w:sz w:val="16"/>
          <w:szCs w:val="16"/>
        </w:rPr>
      </w:pPr>
    </w:p>
  </w:footnote>
  <w:footnote w:id="2">
    <w:p w14:paraId="7C0514C9" w14:textId="77777777" w:rsidR="00D547C9" w:rsidRDefault="00D547C9" w:rsidP="00D547C9">
      <w:pPr>
        <w:pStyle w:val="Textonotapie"/>
        <w:ind w:firstLine="709"/>
        <w:jc w:val="both"/>
        <w:rPr>
          <w:rFonts w:ascii="Verdana" w:hAnsi="Verdana" w:cs="Arial"/>
          <w:sz w:val="16"/>
          <w:szCs w:val="16"/>
          <w:lang w:val="pt-BR"/>
        </w:rPr>
      </w:pPr>
      <w:r w:rsidRPr="00E96901">
        <w:rPr>
          <w:rStyle w:val="Refdenotaalpie"/>
          <w:rFonts w:ascii="Verdana" w:hAnsi="Verdana" w:cs="Arial"/>
          <w:sz w:val="16"/>
          <w:szCs w:val="16"/>
        </w:rPr>
        <w:footnoteRef/>
      </w:r>
      <w:r w:rsidRPr="00E96901">
        <w:rPr>
          <w:rFonts w:ascii="Verdana" w:hAnsi="Verdana" w:cs="Arial"/>
          <w:sz w:val="16"/>
          <w:szCs w:val="16"/>
        </w:rPr>
        <w:t xml:space="preserve"> </w:t>
      </w:r>
      <w:r w:rsidRPr="00E96901">
        <w:rPr>
          <w:rFonts w:ascii="Verdana" w:hAnsi="Verdana" w:cs="Arial"/>
          <w:sz w:val="16"/>
          <w:szCs w:val="16"/>
          <w:lang w:val="pt-BR"/>
        </w:rPr>
        <w:t>Ibídem.</w:t>
      </w:r>
    </w:p>
    <w:p w14:paraId="69FB6E16" w14:textId="77777777" w:rsidR="00D547C9" w:rsidRPr="00E96901" w:rsidRDefault="00D547C9" w:rsidP="00D547C9">
      <w:pPr>
        <w:pStyle w:val="Textonotapie"/>
        <w:ind w:firstLine="709"/>
        <w:jc w:val="both"/>
        <w:rPr>
          <w:rFonts w:ascii="Verdana" w:hAnsi="Verdana" w:cs="Arial"/>
          <w:sz w:val="16"/>
          <w:szCs w:val="16"/>
          <w:lang w:val="pt-BR"/>
        </w:rPr>
      </w:pPr>
    </w:p>
  </w:footnote>
  <w:footnote w:id="3">
    <w:p w14:paraId="6DBB20A0" w14:textId="77777777" w:rsidR="00D547C9" w:rsidRDefault="00D547C9" w:rsidP="00D547C9">
      <w:pPr>
        <w:pStyle w:val="Textonotapie"/>
        <w:ind w:firstLine="709"/>
        <w:jc w:val="both"/>
        <w:rPr>
          <w:rFonts w:ascii="Verdana" w:hAnsi="Verdana" w:cs="Arial"/>
          <w:sz w:val="16"/>
          <w:szCs w:val="16"/>
          <w:lang w:val="es-ES"/>
        </w:rPr>
      </w:pPr>
      <w:r w:rsidRPr="00E96901">
        <w:rPr>
          <w:rStyle w:val="Refdenotaalpie"/>
          <w:rFonts w:ascii="Verdana" w:hAnsi="Verdana" w:cs="Arial"/>
          <w:sz w:val="16"/>
          <w:szCs w:val="16"/>
        </w:rPr>
        <w:footnoteRef/>
      </w:r>
      <w:r w:rsidRPr="00E96901">
        <w:rPr>
          <w:rFonts w:ascii="Verdana" w:hAnsi="Verdana" w:cs="Arial"/>
          <w:sz w:val="16"/>
          <w:szCs w:val="16"/>
        </w:rPr>
        <w:t xml:space="preserve"> </w:t>
      </w:r>
      <w:r w:rsidRPr="00E96901">
        <w:rPr>
          <w:rFonts w:ascii="Verdana" w:hAnsi="Verdana" w:cs="Arial"/>
          <w:sz w:val="16"/>
          <w:szCs w:val="16"/>
          <w:lang w:val="es-ES"/>
        </w:rPr>
        <w:t>Ibídem. p. 69.</w:t>
      </w:r>
    </w:p>
    <w:p w14:paraId="3EDF83C6" w14:textId="77777777" w:rsidR="00D547C9" w:rsidRPr="00E96901" w:rsidRDefault="00D547C9" w:rsidP="00D547C9">
      <w:pPr>
        <w:pStyle w:val="Textonotapie"/>
        <w:ind w:firstLine="709"/>
        <w:jc w:val="both"/>
        <w:rPr>
          <w:rFonts w:ascii="Verdana" w:hAnsi="Verdana" w:cs="Arial"/>
          <w:sz w:val="16"/>
          <w:szCs w:val="16"/>
          <w:lang w:val="es-ES"/>
        </w:rPr>
      </w:pPr>
    </w:p>
  </w:footnote>
  <w:footnote w:id="4">
    <w:p w14:paraId="1FCF2144" w14:textId="77777777" w:rsidR="00D547C9" w:rsidRDefault="00D547C9" w:rsidP="00D547C9">
      <w:pPr>
        <w:pStyle w:val="Textonotapie"/>
        <w:ind w:firstLine="708"/>
        <w:jc w:val="both"/>
        <w:rPr>
          <w:rFonts w:ascii="Verdana" w:hAnsi="Verdana"/>
          <w:sz w:val="16"/>
          <w:szCs w:val="16"/>
        </w:rPr>
      </w:pPr>
      <w:r w:rsidRPr="001664CE">
        <w:rPr>
          <w:rStyle w:val="Refdenotaalpie"/>
          <w:rFonts w:ascii="Verdana" w:hAnsi="Verdana"/>
          <w:sz w:val="16"/>
          <w:szCs w:val="16"/>
        </w:rPr>
        <w:footnoteRef/>
      </w:r>
      <w:r w:rsidRPr="001664CE">
        <w:rPr>
          <w:rFonts w:ascii="Verdana" w:hAnsi="Verdana"/>
          <w:sz w:val="16"/>
          <w:szCs w:val="16"/>
        </w:rPr>
        <w:t xml:space="preserve"> </w:t>
      </w:r>
      <w:r>
        <w:rPr>
          <w:rFonts w:ascii="Verdana" w:hAnsi="Verdana"/>
          <w:sz w:val="16"/>
          <w:szCs w:val="16"/>
        </w:rPr>
        <w:t>Por ejemplo</w:t>
      </w:r>
      <w:r w:rsidRPr="001664CE">
        <w:rPr>
          <w:rFonts w:ascii="Verdana" w:hAnsi="Verdana"/>
          <w:sz w:val="16"/>
          <w:szCs w:val="16"/>
        </w:rPr>
        <w:t>, el máximo tribunal constitucional ha indicado, al tratar de precisar el sentido de este tipo de normas, que “[…]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r>
        <w:rPr>
          <w:rFonts w:ascii="Verdana" w:hAnsi="Verdana"/>
          <w:sz w:val="16"/>
          <w:szCs w:val="16"/>
        </w:rPr>
        <w:t xml:space="preserve"> (Cfr. </w:t>
      </w:r>
      <w:r w:rsidRPr="001664CE">
        <w:rPr>
          <w:rFonts w:ascii="Verdana" w:hAnsi="Verdana"/>
          <w:sz w:val="16"/>
          <w:szCs w:val="16"/>
        </w:rPr>
        <w:t>Corte Constitucional. Sentencia T-1039 de 2006. M.P. Humberto Sierra Porto. La Corte Constitucional ha mantenido este criterio en las sentencias: C-903 de 2008. M.P. Jaime Araujo Rentería; C-101 de 2018. M.P. Gloria Stella Ortiz Delgado; entre otras</w:t>
      </w:r>
      <w:r>
        <w:rPr>
          <w:rFonts w:ascii="Verdana" w:hAnsi="Verdana"/>
          <w:sz w:val="16"/>
          <w:szCs w:val="16"/>
        </w:rPr>
        <w:t>)</w:t>
      </w:r>
      <w:r w:rsidRPr="001664CE">
        <w:rPr>
          <w:rFonts w:ascii="Verdana" w:hAnsi="Verdana"/>
          <w:sz w:val="16"/>
          <w:szCs w:val="16"/>
        </w:rPr>
        <w:t>.</w:t>
      </w:r>
      <w:r>
        <w:rPr>
          <w:rFonts w:ascii="Verdana" w:hAnsi="Verdana"/>
          <w:sz w:val="16"/>
          <w:szCs w:val="16"/>
        </w:rPr>
        <w:t xml:space="preserve"> </w:t>
      </w:r>
    </w:p>
    <w:p w14:paraId="683BFB7A" w14:textId="77777777" w:rsidR="00D547C9" w:rsidRDefault="00D547C9" w:rsidP="00D547C9">
      <w:pPr>
        <w:pStyle w:val="Textonotapie"/>
        <w:ind w:firstLine="708"/>
        <w:jc w:val="both"/>
        <w:rPr>
          <w:rFonts w:ascii="Verdana" w:hAnsi="Verdana"/>
          <w:sz w:val="16"/>
          <w:szCs w:val="16"/>
        </w:rPr>
      </w:pPr>
      <w:r w:rsidRPr="001664CE">
        <w:rPr>
          <w:rFonts w:ascii="Verdana" w:hAnsi="Verdana"/>
          <w:sz w:val="16"/>
          <w:szCs w:val="16"/>
        </w:rPr>
        <w:t xml:space="preserve">Por su parte, el Consejo de Estado ha acogido también este criterio, considerando –como expresa la Sala de Consulta y Servicio Civil–, que “La interpretación restrictiva de las normas que establecen inhabilidades constituye una aplicación del principio del Estado de Derecho previsto en el artículo 6º de la Constitución, según el cual </w:t>
      </w:r>
      <w:r>
        <w:rPr>
          <w:rFonts w:ascii="Verdana" w:hAnsi="Verdana"/>
          <w:sz w:val="16"/>
          <w:szCs w:val="16"/>
        </w:rPr>
        <w:t>‘</w:t>
      </w:r>
      <w:r w:rsidRPr="001664CE">
        <w:rPr>
          <w:rFonts w:ascii="Verdana" w:hAnsi="Verdana"/>
          <w:sz w:val="16"/>
          <w:szCs w:val="16"/>
        </w:rPr>
        <w:t>Los particulares sólo son responsables ante las autoridades por infringir la Constitución y las leyes</w:t>
      </w:r>
      <w:r>
        <w:rPr>
          <w:rFonts w:ascii="Verdana" w:hAnsi="Verdana"/>
          <w:sz w:val="16"/>
          <w:szCs w:val="16"/>
        </w:rPr>
        <w:t>’</w:t>
      </w:r>
      <w:r w:rsidRPr="001664CE">
        <w:rPr>
          <w:rFonts w:ascii="Verdana" w:hAnsi="Verdana"/>
          <w:sz w:val="16"/>
          <w:szCs w:val="16"/>
        </w:rPr>
        <w:t xml:space="preserve"> lo que se traduce en que pueden hacer todo aquello que no les esté expresamente prohibido”</w:t>
      </w:r>
      <w:r>
        <w:rPr>
          <w:rFonts w:ascii="Verdana" w:hAnsi="Verdana"/>
          <w:sz w:val="16"/>
          <w:szCs w:val="16"/>
        </w:rPr>
        <w:t xml:space="preserve"> (Cfr. </w:t>
      </w:r>
      <w:r w:rsidRPr="001664CE">
        <w:rPr>
          <w:rFonts w:ascii="Verdana" w:hAnsi="Verdana"/>
          <w:sz w:val="16"/>
          <w:szCs w:val="16"/>
        </w:rPr>
        <w:t>Consejo De Estado. Sala de Consulta y Servicio Civil. Concepto del 30 de abril de 2015. Exp. 2251. C.P. Álvaro Namén Vargas.</w:t>
      </w:r>
      <w:r>
        <w:rPr>
          <w:rFonts w:ascii="Verdana" w:hAnsi="Verdana"/>
          <w:sz w:val="16"/>
          <w:szCs w:val="16"/>
        </w:rPr>
        <w:t xml:space="preserve"> En un sentido similar, </w:t>
      </w:r>
      <w:r w:rsidRPr="001664CE">
        <w:rPr>
          <w:rFonts w:ascii="Verdana" w:hAnsi="Verdana"/>
          <w:sz w:val="16"/>
          <w:szCs w:val="16"/>
        </w:rPr>
        <w:t>Sección Tercera. Subsección A. Sentencia del 24 de junio de 2015. Exp. 40.635. C.P. Hernán Andrade Rincón (E)</w:t>
      </w:r>
      <w:r>
        <w:rPr>
          <w:rFonts w:ascii="Verdana" w:hAnsi="Verdana"/>
          <w:sz w:val="16"/>
          <w:szCs w:val="16"/>
        </w:rPr>
        <w:t xml:space="preserve"> y </w:t>
      </w:r>
      <w:r w:rsidRPr="001664CE">
        <w:rPr>
          <w:rFonts w:ascii="Verdana" w:hAnsi="Verdana"/>
          <w:sz w:val="16"/>
          <w:szCs w:val="16"/>
        </w:rPr>
        <w:t>Sección Tercera. Subsección C. Sentencia del 22 de mayo de 2013. Rad. 24.057. C.P. Olga Mélida Valle De La Hoz</w:t>
      </w:r>
      <w:r>
        <w:rPr>
          <w:rFonts w:ascii="Verdana" w:hAnsi="Verdana"/>
          <w:sz w:val="16"/>
          <w:szCs w:val="16"/>
        </w:rPr>
        <w:t>)</w:t>
      </w:r>
      <w:r w:rsidRPr="001664CE">
        <w:rPr>
          <w:rFonts w:ascii="Verdana" w:hAnsi="Verdana"/>
          <w:sz w:val="16"/>
          <w:szCs w:val="16"/>
        </w:rPr>
        <w:t>.</w:t>
      </w:r>
    </w:p>
    <w:p w14:paraId="602B65FD" w14:textId="77777777" w:rsidR="00D547C9" w:rsidRPr="001664CE" w:rsidRDefault="00D547C9" w:rsidP="00D547C9">
      <w:pPr>
        <w:pStyle w:val="Textonotapie"/>
        <w:ind w:firstLine="708"/>
        <w:jc w:val="both"/>
        <w:rPr>
          <w:rFonts w:ascii="Verdana" w:hAnsi="Verdana"/>
          <w:sz w:val="16"/>
          <w:szCs w:val="16"/>
          <w:lang w:val="es-CO"/>
        </w:rPr>
      </w:pPr>
    </w:p>
  </w:footnote>
  <w:footnote w:id="5">
    <w:p w14:paraId="7BF47F9C" w14:textId="77777777" w:rsidR="00D547C9" w:rsidRPr="0099502E" w:rsidRDefault="00D547C9" w:rsidP="00D547C9">
      <w:pPr>
        <w:pStyle w:val="Textonotapie"/>
        <w:ind w:firstLine="709"/>
        <w:jc w:val="both"/>
        <w:rPr>
          <w:rFonts w:ascii="Verdana" w:hAnsi="Verdana" w:cs="Arial"/>
          <w:sz w:val="16"/>
          <w:szCs w:val="16"/>
          <w:lang w:val="pt-BR"/>
        </w:rPr>
      </w:pPr>
      <w:r w:rsidRPr="00E96901">
        <w:rPr>
          <w:rStyle w:val="Refdenotaalpie"/>
          <w:rFonts w:ascii="Verdana" w:hAnsi="Verdana" w:cs="Arial"/>
          <w:sz w:val="16"/>
          <w:szCs w:val="16"/>
        </w:rPr>
        <w:footnoteRef/>
      </w:r>
      <w:r>
        <w:rPr>
          <w:rFonts w:ascii="Verdana" w:hAnsi="Verdana" w:cs="Arial"/>
          <w:sz w:val="16"/>
          <w:szCs w:val="16"/>
        </w:rPr>
        <w:t xml:space="preserve"> </w:t>
      </w:r>
      <w:r w:rsidRPr="0099502E">
        <w:rPr>
          <w:rFonts w:ascii="Verdana" w:hAnsi="Verdana" w:cs="Arial"/>
          <w:sz w:val="16"/>
          <w:szCs w:val="16"/>
          <w:lang w:val="pt-BR"/>
        </w:rPr>
        <w:t>Corte Constitucional de Colombia. Sentencia C-780 de 2001, Exp. D-3344, M.P. Jaime Córdoba Triviño, 25 de julio de 2001.</w:t>
      </w:r>
    </w:p>
  </w:footnote>
  <w:footnote w:id="6">
    <w:p w14:paraId="6DD088AB" w14:textId="77777777" w:rsidR="00D547C9" w:rsidRPr="00E96901" w:rsidRDefault="00D547C9" w:rsidP="00D547C9">
      <w:pPr>
        <w:pStyle w:val="Textonotapie"/>
        <w:ind w:firstLine="709"/>
        <w:jc w:val="both"/>
        <w:rPr>
          <w:rFonts w:ascii="Verdana" w:hAnsi="Verdana" w:cs="Arial"/>
          <w:sz w:val="16"/>
          <w:szCs w:val="16"/>
        </w:rPr>
      </w:pPr>
      <w:r w:rsidRPr="00E96901">
        <w:rPr>
          <w:rStyle w:val="Refdenotaalpie"/>
          <w:rFonts w:ascii="Verdana" w:hAnsi="Verdana" w:cs="Arial"/>
          <w:sz w:val="16"/>
          <w:szCs w:val="16"/>
        </w:rPr>
        <w:footnoteRef/>
      </w:r>
      <w:r w:rsidRPr="00E96901">
        <w:rPr>
          <w:rFonts w:ascii="Verdana" w:hAnsi="Verdana" w:cs="Arial"/>
          <w:sz w:val="16"/>
          <w:szCs w:val="16"/>
        </w:rPr>
        <w:t xml:space="preserve"> Ley 80 de 1993: “Artículo 6. De la capacidad para contratar. Pueden celebrar contratos con las entidades estatales las personas consideradas legalmente capaces en las disposiciones vigentes. También podrán celebrar contratos con las entidades estatales, los consorcios y uniones temporales.</w:t>
      </w:r>
    </w:p>
    <w:p w14:paraId="7417F1D8" w14:textId="77777777" w:rsidR="00D547C9" w:rsidRDefault="00D547C9" w:rsidP="00D547C9">
      <w:pPr>
        <w:pStyle w:val="Textonotapie"/>
        <w:ind w:firstLine="709"/>
        <w:jc w:val="both"/>
        <w:rPr>
          <w:rFonts w:ascii="Verdana" w:hAnsi="Verdana" w:cs="Arial"/>
          <w:sz w:val="16"/>
          <w:szCs w:val="16"/>
        </w:rPr>
      </w:pPr>
      <w:r w:rsidRPr="00E96901">
        <w:rPr>
          <w:rFonts w:ascii="Verdana" w:hAnsi="Verdana" w:cs="Arial"/>
          <w:sz w:val="16"/>
          <w:szCs w:val="16"/>
        </w:rPr>
        <w:t>Las personas jurídicas nacionales y extranjeras deberán acreditar que su duración no será inferior a la del plazo del contrato y un año más”.</w:t>
      </w:r>
    </w:p>
    <w:p w14:paraId="55A5D0B2" w14:textId="77777777" w:rsidR="00D547C9" w:rsidRPr="00E96901" w:rsidRDefault="00D547C9" w:rsidP="00D547C9">
      <w:pPr>
        <w:pStyle w:val="Textonotapie"/>
        <w:ind w:firstLine="709"/>
        <w:jc w:val="both"/>
        <w:rPr>
          <w:rFonts w:ascii="Verdana" w:hAnsi="Verdana" w:cs="Arial"/>
          <w:sz w:val="16"/>
          <w:szCs w:val="16"/>
        </w:rPr>
      </w:pPr>
    </w:p>
  </w:footnote>
  <w:footnote w:id="7">
    <w:p w14:paraId="554425CA" w14:textId="77777777" w:rsidR="00D547C9" w:rsidRPr="00E96901" w:rsidRDefault="00D547C9" w:rsidP="00D547C9">
      <w:pPr>
        <w:pStyle w:val="Textonotapie"/>
        <w:ind w:firstLine="709"/>
        <w:jc w:val="both"/>
        <w:rPr>
          <w:rFonts w:ascii="Verdana" w:hAnsi="Verdana" w:cs="Arial"/>
          <w:sz w:val="16"/>
          <w:szCs w:val="16"/>
        </w:rPr>
      </w:pPr>
      <w:r w:rsidRPr="00E96901">
        <w:rPr>
          <w:rStyle w:val="Refdenotaalpie"/>
          <w:rFonts w:ascii="Verdana" w:hAnsi="Verdana" w:cs="Arial"/>
          <w:sz w:val="16"/>
          <w:szCs w:val="16"/>
        </w:rPr>
        <w:footnoteRef/>
      </w:r>
      <w:r w:rsidRPr="00E96901">
        <w:rPr>
          <w:rFonts w:ascii="Verdana" w:hAnsi="Verdana" w:cs="Arial"/>
          <w:sz w:val="16"/>
          <w:szCs w:val="16"/>
        </w:rPr>
        <w:t xml:space="preserve"> Código Civil: “Artículo 1502. Requisitos para obligarse. Para que una persona se obligue a otra por un acto o declaración de voluntad, es necesario:</w:t>
      </w:r>
    </w:p>
    <w:p w14:paraId="326A8A27" w14:textId="77777777" w:rsidR="00D547C9" w:rsidRPr="00E96901" w:rsidRDefault="00D547C9" w:rsidP="00D547C9">
      <w:pPr>
        <w:pStyle w:val="Textonotapie"/>
        <w:ind w:firstLine="709"/>
        <w:jc w:val="both"/>
        <w:rPr>
          <w:rFonts w:ascii="Verdana" w:hAnsi="Verdana" w:cs="Arial"/>
          <w:sz w:val="16"/>
          <w:szCs w:val="16"/>
        </w:rPr>
      </w:pPr>
      <w:r w:rsidRPr="00E96901">
        <w:rPr>
          <w:rFonts w:ascii="Verdana" w:hAnsi="Verdana" w:cs="Arial"/>
          <w:sz w:val="16"/>
          <w:szCs w:val="16"/>
        </w:rPr>
        <w:t>1o.) que sea legalmente capaz.</w:t>
      </w:r>
    </w:p>
    <w:p w14:paraId="3C42D6DB" w14:textId="77777777" w:rsidR="00D547C9" w:rsidRPr="00E96901" w:rsidRDefault="00D547C9" w:rsidP="00D547C9">
      <w:pPr>
        <w:pStyle w:val="Textonotapie"/>
        <w:ind w:firstLine="709"/>
        <w:jc w:val="both"/>
        <w:rPr>
          <w:rFonts w:ascii="Verdana" w:hAnsi="Verdana" w:cs="Arial"/>
          <w:sz w:val="16"/>
          <w:szCs w:val="16"/>
        </w:rPr>
      </w:pPr>
      <w:r w:rsidRPr="00E96901">
        <w:rPr>
          <w:rFonts w:ascii="Verdana" w:hAnsi="Verdana" w:cs="Arial"/>
          <w:sz w:val="16"/>
          <w:szCs w:val="16"/>
        </w:rPr>
        <w:t>[…]</w:t>
      </w:r>
    </w:p>
    <w:p w14:paraId="6B395D7B" w14:textId="77777777" w:rsidR="00D547C9" w:rsidRDefault="00D547C9" w:rsidP="00D547C9">
      <w:pPr>
        <w:pStyle w:val="Textonotapie"/>
        <w:ind w:firstLine="709"/>
        <w:jc w:val="both"/>
        <w:rPr>
          <w:rFonts w:ascii="Verdana" w:hAnsi="Verdana" w:cs="Arial"/>
          <w:sz w:val="16"/>
          <w:szCs w:val="16"/>
        </w:rPr>
      </w:pPr>
      <w:r w:rsidRPr="00E96901">
        <w:rPr>
          <w:rFonts w:ascii="Verdana" w:hAnsi="Verdana" w:cs="Arial"/>
          <w:sz w:val="16"/>
          <w:szCs w:val="16"/>
        </w:rPr>
        <w:t>La capacidad legal de una persona consiste en poderse obligar por sí misma, sin el ministerio o la autorización de otra”.</w:t>
      </w:r>
    </w:p>
    <w:p w14:paraId="12C4344B" w14:textId="77777777" w:rsidR="00D547C9" w:rsidRPr="00E96901" w:rsidRDefault="00D547C9" w:rsidP="00D547C9">
      <w:pPr>
        <w:pStyle w:val="Textonotapie"/>
        <w:ind w:firstLine="709"/>
        <w:jc w:val="both"/>
        <w:rPr>
          <w:rFonts w:ascii="Verdana" w:hAnsi="Verdana" w:cs="Arial"/>
          <w:sz w:val="16"/>
          <w:szCs w:val="16"/>
        </w:rPr>
      </w:pPr>
    </w:p>
  </w:footnote>
  <w:footnote w:id="8">
    <w:p w14:paraId="0C16D76C" w14:textId="77777777" w:rsidR="00D547C9" w:rsidRPr="00E96901" w:rsidRDefault="00D547C9" w:rsidP="00D547C9">
      <w:pPr>
        <w:pStyle w:val="Textonotapie"/>
        <w:ind w:firstLine="709"/>
        <w:jc w:val="both"/>
        <w:rPr>
          <w:rFonts w:ascii="Verdana" w:hAnsi="Verdana" w:cs="Arial"/>
          <w:sz w:val="16"/>
          <w:szCs w:val="16"/>
        </w:rPr>
      </w:pPr>
      <w:r w:rsidRPr="00E96901">
        <w:rPr>
          <w:rStyle w:val="Refdenotaalpie"/>
          <w:rFonts w:ascii="Verdana" w:hAnsi="Verdana" w:cs="Arial"/>
          <w:sz w:val="16"/>
          <w:szCs w:val="16"/>
        </w:rPr>
        <w:footnoteRef/>
      </w:r>
      <w:r w:rsidRPr="00E96901">
        <w:rPr>
          <w:rFonts w:ascii="Verdana" w:hAnsi="Verdana" w:cs="Arial"/>
          <w:sz w:val="16"/>
          <w:szCs w:val="16"/>
        </w:rPr>
        <w:t xml:space="preserve"> Decreto Ley 19 de 2012: “Artículo 221. El artículo 6 de la Ley 1150 de 2007, quedará así:</w:t>
      </w:r>
    </w:p>
    <w:p w14:paraId="63530A39" w14:textId="77777777" w:rsidR="00D547C9" w:rsidRDefault="00D547C9" w:rsidP="00D547C9">
      <w:pPr>
        <w:pStyle w:val="Textonotapie"/>
        <w:ind w:firstLine="709"/>
        <w:jc w:val="both"/>
        <w:rPr>
          <w:rFonts w:ascii="Verdana" w:hAnsi="Verdana" w:cs="Arial"/>
          <w:sz w:val="16"/>
          <w:szCs w:val="16"/>
          <w:lang w:val="es-ES"/>
        </w:rPr>
      </w:pPr>
      <w:r w:rsidRPr="00E96901">
        <w:rPr>
          <w:rFonts w:ascii="Verdana" w:hAnsi="Verdana" w:cs="Arial"/>
          <w:sz w:val="16"/>
          <w:szCs w:val="16"/>
        </w:rPr>
        <w:t>Artículo 6. De la verificación de las condiciones de los proponentes. T</w:t>
      </w:r>
      <w:proofErr w:type="spellStart"/>
      <w:r w:rsidRPr="00E96901">
        <w:rPr>
          <w:rFonts w:ascii="Verdana" w:hAnsi="Verdana" w:cs="Arial"/>
          <w:sz w:val="16"/>
          <w:szCs w:val="16"/>
          <w:lang w:val="es-ES"/>
        </w:rPr>
        <w:t>odas</w:t>
      </w:r>
      <w:proofErr w:type="spellEnd"/>
      <w:r w:rsidRPr="00E96901">
        <w:rPr>
          <w:rFonts w:ascii="Verdana" w:hAnsi="Verdana" w:cs="Arial"/>
          <w:sz w:val="16"/>
          <w:szCs w:val="16"/>
          <w:lang w:val="es-ES"/>
        </w:rPr>
        <w:t xml:space="preserve">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03BC0B32" w14:textId="77777777" w:rsidR="00D547C9" w:rsidRPr="00E96901" w:rsidRDefault="00D547C9" w:rsidP="00D547C9">
      <w:pPr>
        <w:pStyle w:val="Textonotapie"/>
        <w:ind w:firstLine="709"/>
        <w:jc w:val="both"/>
        <w:rPr>
          <w:rFonts w:ascii="Verdana" w:hAnsi="Verdana" w:cs="Arial"/>
          <w:sz w:val="16"/>
          <w:szCs w:val="16"/>
          <w:lang w:val="es-ES"/>
        </w:rPr>
      </w:pPr>
    </w:p>
    <w:p w14:paraId="60063283" w14:textId="77777777" w:rsidR="00D547C9" w:rsidRDefault="00D547C9" w:rsidP="00D547C9">
      <w:pPr>
        <w:pStyle w:val="Textonotapie"/>
        <w:ind w:firstLine="709"/>
        <w:jc w:val="both"/>
        <w:rPr>
          <w:rFonts w:ascii="Verdana" w:hAnsi="Verdana" w:cs="Arial"/>
          <w:sz w:val="16"/>
          <w:szCs w:val="16"/>
          <w:lang w:val="es-ES"/>
        </w:rPr>
      </w:pPr>
      <w:r w:rsidRPr="00E96901">
        <w:rPr>
          <w:rFonts w:ascii="Verdana" w:hAnsi="Verdana" w:cs="Arial"/>
          <w:sz w:val="16"/>
          <w:szCs w:val="16"/>
          <w:lang w:val="es-ES"/>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68CCB204" w14:textId="77777777" w:rsidR="00D547C9" w:rsidRPr="00E96901" w:rsidRDefault="00D547C9" w:rsidP="00D547C9">
      <w:pPr>
        <w:pStyle w:val="Textonotapie"/>
        <w:ind w:firstLine="709"/>
        <w:jc w:val="both"/>
        <w:rPr>
          <w:rFonts w:ascii="Verdana" w:hAnsi="Verdana" w:cs="Arial"/>
          <w:sz w:val="16"/>
          <w:szCs w:val="16"/>
          <w:lang w:val="es-ES"/>
        </w:rPr>
      </w:pPr>
    </w:p>
  </w:footnote>
  <w:footnote w:id="9">
    <w:p w14:paraId="1F3A29D0" w14:textId="77777777" w:rsidR="00260967" w:rsidRDefault="00D547C9" w:rsidP="00D547C9">
      <w:pPr>
        <w:pStyle w:val="Textonotapie"/>
        <w:ind w:firstLine="709"/>
        <w:jc w:val="both"/>
        <w:rPr>
          <w:rFonts w:ascii="Verdana" w:hAnsi="Verdana" w:cs="Arial"/>
          <w:sz w:val="16"/>
          <w:szCs w:val="16"/>
          <w:lang w:val="es-ES"/>
        </w:rPr>
      </w:pPr>
      <w:r w:rsidRPr="00E96901">
        <w:rPr>
          <w:rStyle w:val="Refdenotaalpie"/>
          <w:rFonts w:ascii="Verdana" w:hAnsi="Verdana" w:cs="Arial"/>
          <w:sz w:val="16"/>
          <w:szCs w:val="16"/>
        </w:rPr>
        <w:footnoteRef/>
      </w:r>
      <w:r w:rsidRPr="00E96901">
        <w:rPr>
          <w:rFonts w:ascii="Verdana" w:hAnsi="Verdana" w:cs="Arial"/>
          <w:sz w:val="16"/>
          <w:szCs w:val="16"/>
        </w:rPr>
        <w:t xml:space="preserve"> </w:t>
      </w:r>
      <w:r w:rsidRPr="00E96901">
        <w:rPr>
          <w:rFonts w:ascii="Verdana" w:hAnsi="Verdana" w:cs="Arial"/>
          <w:sz w:val="16"/>
          <w:szCs w:val="16"/>
          <w:lang w:val="es-ES"/>
        </w:rPr>
        <w:t xml:space="preserve">En tal sentido, José Luis Benavides comenta que “Aunque la mayoría de las reglas limitativas de la responsabilidad contractual se aplican a la administración, existen también algunas restricciones importantes a la capacidad de los contratistas: </w:t>
      </w:r>
      <w:r w:rsidRPr="00E96901">
        <w:rPr>
          <w:rFonts w:ascii="Verdana" w:hAnsi="Verdana" w:cs="Arial"/>
          <w:i/>
          <w:iCs/>
          <w:sz w:val="16"/>
          <w:szCs w:val="16"/>
          <w:lang w:val="es-ES"/>
        </w:rPr>
        <w:t>el régimen de inhabilidades e incompatibilidades</w:t>
      </w:r>
      <w:r w:rsidRPr="00E96901">
        <w:rPr>
          <w:rFonts w:ascii="Verdana" w:hAnsi="Verdana" w:cs="Arial"/>
          <w:sz w:val="16"/>
          <w:szCs w:val="16"/>
          <w:lang w:val="es-ES"/>
        </w:rPr>
        <w:t xml:space="preserve"> (1) y la obligación de ciertos proponentes de inscribirse en el </w:t>
      </w:r>
      <w:r w:rsidRPr="00E96901">
        <w:rPr>
          <w:rFonts w:ascii="Verdana" w:hAnsi="Verdana" w:cs="Arial"/>
          <w:i/>
          <w:iCs/>
          <w:sz w:val="16"/>
          <w:szCs w:val="16"/>
          <w:lang w:val="es-ES"/>
        </w:rPr>
        <w:t>registro único</w:t>
      </w:r>
      <w:r w:rsidRPr="00E96901">
        <w:rPr>
          <w:rFonts w:ascii="Verdana" w:hAnsi="Verdana" w:cs="Arial"/>
          <w:sz w:val="16"/>
          <w:szCs w:val="16"/>
          <w:lang w:val="es-ES"/>
        </w:rPr>
        <w:t xml:space="preserve"> (2)” (BENAVIDES, José Luis. El contrato estatal. Entre el Derecho público y el Derecho privado. 2ª ed. Bogotá: Universidad Externado de Colombia, 2004. p. 278).</w:t>
      </w:r>
    </w:p>
    <w:p w14:paraId="0FD628E9" w14:textId="75537EF3" w:rsidR="00D547C9" w:rsidRPr="00E96901" w:rsidRDefault="00D547C9" w:rsidP="00D547C9">
      <w:pPr>
        <w:pStyle w:val="Textonotapie"/>
        <w:ind w:firstLine="709"/>
        <w:jc w:val="both"/>
        <w:rPr>
          <w:rFonts w:ascii="Verdana" w:hAnsi="Verdana" w:cs="Arial"/>
          <w:sz w:val="16"/>
          <w:szCs w:val="16"/>
          <w:lang w:val="es-ES"/>
        </w:rPr>
      </w:pPr>
      <w:r w:rsidRPr="00E96901">
        <w:rPr>
          <w:rFonts w:ascii="Verdana" w:hAnsi="Verdana" w:cs="Arial"/>
          <w:sz w:val="16"/>
          <w:szCs w:val="16"/>
          <w:lang w:val="es-ES"/>
        </w:rPr>
        <w:t xml:space="preserve"> </w:t>
      </w:r>
    </w:p>
  </w:footnote>
  <w:footnote w:id="10">
    <w:p w14:paraId="25EC23E0" w14:textId="77777777" w:rsidR="00D547C9" w:rsidRDefault="00D547C9" w:rsidP="00D547C9">
      <w:pPr>
        <w:pStyle w:val="Textonotapie"/>
        <w:ind w:firstLine="709"/>
        <w:jc w:val="both"/>
        <w:rPr>
          <w:rFonts w:ascii="Verdana" w:hAnsi="Verdana" w:cs="Arial"/>
          <w:sz w:val="16"/>
          <w:szCs w:val="16"/>
        </w:rPr>
      </w:pPr>
      <w:r w:rsidRPr="00E96901">
        <w:rPr>
          <w:rStyle w:val="Refdenotaalpie"/>
          <w:rFonts w:ascii="Verdana" w:hAnsi="Verdana" w:cs="Arial"/>
          <w:sz w:val="16"/>
          <w:szCs w:val="16"/>
        </w:rPr>
        <w:footnoteRef/>
      </w:r>
      <w:r w:rsidRPr="00E96901">
        <w:rPr>
          <w:rFonts w:ascii="Verdana" w:hAnsi="Verdana" w:cs="Arial"/>
          <w:sz w:val="16"/>
          <w:szCs w:val="16"/>
        </w:rPr>
        <w:t xml:space="preserve"> En esta línea Dávila Vinueza Expresa: “El legislador para calificar estas prohibiciones emplea dos vocablos: Inhabilidades o incompatibilidades, los cuales en un examen desprevenido podrían sugerir ideas diferentes y, en consecuencia, efectos también distintos. Sin embargo, se trata de conceptos que no producen distinciones más allá de las puramente semánticas. En nada afecta el calificar una causal con denominación diferente a la empleada en el texto legal, cuando mucho se criticará la falta de precisión. Ello es así por cuanto los efectos jurídicos que se general para una y otra son exactamente los mismos. Incluso se podría afirmar que, ante la semejanza de las figuras, conviene emplear un único vocablo, con lo cual serían innecesarias los intentos y las elucubraciones y explicaciones, algunas novedosas que podrían ensayarse”. (DÁVILA VINUEZA, Luis Guillermo. Régimen jurídico de la contratación estatal. 3ª ed. Bogotá: Legis, 2016. p. 148).</w:t>
      </w:r>
    </w:p>
    <w:p w14:paraId="6F2908D0" w14:textId="77777777" w:rsidR="00D547C9" w:rsidRPr="00E96901" w:rsidRDefault="00D547C9" w:rsidP="00D547C9">
      <w:pPr>
        <w:pStyle w:val="Textonotapie"/>
        <w:ind w:firstLine="709"/>
        <w:jc w:val="both"/>
        <w:rPr>
          <w:rFonts w:ascii="Verdana" w:hAnsi="Verdana" w:cs="Arial"/>
          <w:sz w:val="16"/>
          <w:szCs w:val="16"/>
        </w:rPr>
      </w:pPr>
    </w:p>
  </w:footnote>
  <w:footnote w:id="11">
    <w:p w14:paraId="0E2DCC33" w14:textId="589637BD" w:rsidR="00D547C9" w:rsidRPr="00E96901" w:rsidRDefault="00D547C9" w:rsidP="00D547C9">
      <w:pPr>
        <w:pStyle w:val="Textonotapie"/>
        <w:ind w:firstLine="709"/>
        <w:jc w:val="both"/>
        <w:rPr>
          <w:rFonts w:ascii="Verdana" w:hAnsi="Verdana" w:cs="Arial"/>
          <w:sz w:val="16"/>
          <w:szCs w:val="16"/>
          <w:lang w:val="es-ES"/>
        </w:rPr>
      </w:pPr>
      <w:r w:rsidRPr="00E96901">
        <w:rPr>
          <w:rStyle w:val="Refdenotaalpie"/>
          <w:rFonts w:ascii="Verdana" w:hAnsi="Verdana" w:cs="Arial"/>
          <w:sz w:val="16"/>
          <w:szCs w:val="16"/>
        </w:rPr>
        <w:footnoteRef/>
      </w:r>
      <w:r w:rsidRPr="00E96901">
        <w:rPr>
          <w:rFonts w:ascii="Verdana" w:hAnsi="Verdana" w:cs="Arial"/>
          <w:sz w:val="16"/>
          <w:szCs w:val="16"/>
        </w:rPr>
        <w:t xml:space="preserve"> </w:t>
      </w:r>
      <w:r w:rsidRPr="00E96901">
        <w:rPr>
          <w:rFonts w:ascii="Verdana" w:hAnsi="Verdana" w:cs="Arial"/>
          <w:sz w:val="16"/>
          <w:szCs w:val="16"/>
          <w:lang w:val="es-ES"/>
        </w:rPr>
        <w:t>Barreto Rozo, Antonio Alejandro. Inhabilidades de la contratación estatal, efectos y neopunitivismo en el Estatuto Anticorrupción. En: ALVIAR GARCÍA, Helena (Coordinadora). Nuevas tendencias del Derecho administrativo. Bogotá: Universidad de los Andes; Temis, 2016. pp. 63-99.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pt;height:10.9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8679D0"/>
    <w:multiLevelType w:val="hybridMultilevel"/>
    <w:tmpl w:val="675A6FB0"/>
    <w:lvl w:ilvl="0" w:tplc="15EC6280">
      <w:start w:val="1"/>
      <w:numFmt w:val="bullet"/>
      <w:lvlText w:val=""/>
      <w:lvlJc w:val="left"/>
      <w:pPr>
        <w:ind w:left="720" w:hanging="360"/>
      </w:pPr>
      <w:rPr>
        <w:rFonts w:ascii="Symbol" w:hAnsi="Symbol" w:hint="default"/>
        <w:color w:val="auto"/>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15691464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38B"/>
    <w:rsid w:val="00061B2A"/>
    <w:rsid w:val="00082362"/>
    <w:rsid w:val="000A683E"/>
    <w:rsid w:val="000B19B9"/>
    <w:rsid w:val="000D0334"/>
    <w:rsid w:val="000D5DA7"/>
    <w:rsid w:val="000F6486"/>
    <w:rsid w:val="00116940"/>
    <w:rsid w:val="00125105"/>
    <w:rsid w:val="00127233"/>
    <w:rsid w:val="0015699B"/>
    <w:rsid w:val="00193989"/>
    <w:rsid w:val="001A33BF"/>
    <w:rsid w:val="001E4177"/>
    <w:rsid w:val="001F0B24"/>
    <w:rsid w:val="001F7DC6"/>
    <w:rsid w:val="0022400B"/>
    <w:rsid w:val="002421BB"/>
    <w:rsid w:val="0025796E"/>
    <w:rsid w:val="00260967"/>
    <w:rsid w:val="002707A2"/>
    <w:rsid w:val="002951A0"/>
    <w:rsid w:val="00295806"/>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B17B7"/>
    <w:rsid w:val="003B2180"/>
    <w:rsid w:val="003D0F4D"/>
    <w:rsid w:val="003D382A"/>
    <w:rsid w:val="003D5B0D"/>
    <w:rsid w:val="003E0499"/>
    <w:rsid w:val="003E4F80"/>
    <w:rsid w:val="003E6439"/>
    <w:rsid w:val="003F3941"/>
    <w:rsid w:val="00406575"/>
    <w:rsid w:val="00412FDD"/>
    <w:rsid w:val="00414C74"/>
    <w:rsid w:val="0042722E"/>
    <w:rsid w:val="0044528D"/>
    <w:rsid w:val="00466E39"/>
    <w:rsid w:val="004A1847"/>
    <w:rsid w:val="004A305D"/>
    <w:rsid w:val="004A7C7E"/>
    <w:rsid w:val="004E7700"/>
    <w:rsid w:val="004F21C4"/>
    <w:rsid w:val="004F685F"/>
    <w:rsid w:val="005566E8"/>
    <w:rsid w:val="00574867"/>
    <w:rsid w:val="00591460"/>
    <w:rsid w:val="005A65E0"/>
    <w:rsid w:val="005C3777"/>
    <w:rsid w:val="005C5CDC"/>
    <w:rsid w:val="005D476C"/>
    <w:rsid w:val="0061765E"/>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8F3173"/>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52D07"/>
    <w:rsid w:val="00AB0ADB"/>
    <w:rsid w:val="00AE4DE4"/>
    <w:rsid w:val="00B00C0E"/>
    <w:rsid w:val="00B01B1A"/>
    <w:rsid w:val="00B0381D"/>
    <w:rsid w:val="00B10199"/>
    <w:rsid w:val="00B44A47"/>
    <w:rsid w:val="00B72CD3"/>
    <w:rsid w:val="00B72FFF"/>
    <w:rsid w:val="00BA54B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CC64BF"/>
    <w:rsid w:val="00D2783B"/>
    <w:rsid w:val="00D361FD"/>
    <w:rsid w:val="00D423A2"/>
    <w:rsid w:val="00D44E26"/>
    <w:rsid w:val="00D520D8"/>
    <w:rsid w:val="00D547C9"/>
    <w:rsid w:val="00D63AC2"/>
    <w:rsid w:val="00D7383B"/>
    <w:rsid w:val="00D7788A"/>
    <w:rsid w:val="00DA231B"/>
    <w:rsid w:val="00DA36EE"/>
    <w:rsid w:val="00DC39FC"/>
    <w:rsid w:val="00DF0CCA"/>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77754"/>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809651CB-AF87-4CC7-A34A-20CC2AADA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D547C9"/>
    <w:pPr>
      <w:spacing w:line="240" w:lineRule="exact"/>
    </w:pPr>
    <w:rPr>
      <w:vertAlign w:val="superscript"/>
    </w:rPr>
  </w:style>
  <w:style w:type="character" w:customStyle="1" w:styleId="NormalWebCar">
    <w:name w:val="Normal (Web) Car"/>
    <w:link w:val="NormalWeb"/>
    <w:uiPriority w:val="99"/>
    <w:locked/>
    <w:rsid w:val="00D547C9"/>
    <w:rPr>
      <w:rFonts w:ascii="Times New Roman" w:eastAsia="Times New Roman" w:hAnsi="Times New Roman" w:cs="Times New Roman"/>
      <w:sz w:val="24"/>
      <w:szCs w:val="24"/>
      <w:lang w:eastAsia="es-CO"/>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D547C9"/>
    <w:rPr>
      <w:rFonts w:ascii="Geomanist Light" w:hAnsi="Geomanist Light"/>
      <w:lang w:val="es-ES"/>
    </w:rPr>
  </w:style>
  <w:style w:type="paragraph" w:styleId="Sinespaciado">
    <w:name w:val="No Spacing"/>
    <w:aliases w:val="No Indent"/>
    <w:link w:val="SinespaciadoCar"/>
    <w:uiPriority w:val="3"/>
    <w:qFormat/>
    <w:rsid w:val="00D547C9"/>
    <w:pPr>
      <w:spacing w:after="0" w:line="240" w:lineRule="auto"/>
    </w:pPr>
    <w:rPr>
      <w:sz w:val="24"/>
      <w:lang w:val="es-MX"/>
    </w:rPr>
  </w:style>
  <w:style w:type="character" w:customStyle="1" w:styleId="SinespaciadoCar">
    <w:name w:val="Sin espaciado Car"/>
    <w:aliases w:val="No Indent Car"/>
    <w:link w:val="Sinespaciado"/>
    <w:uiPriority w:val="3"/>
    <w:rsid w:val="00D547C9"/>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archivogeneral@villavicencio.gov.co" TargetMode="External"/><Relationship Id="rId17" Type="http://schemas.openxmlformats.org/officeDocument/2006/relationships/hyperlink" Target="https://nam02.safelinks.protection.outlook.com/?url=https%3A%2F%2Fwww.colombiacompra.gov.co%2Farchivos%2Fboletin%2Fboletin-edicion-n-3-de-2026-radar-de-la-compra-publica&amp;data=05%7C02%7Ccamila.naranjo%40colombiacompra.gov.co%7C7128555136e04fa6887d08dee99e1b50%7C7b09041e245149d08cb179d5e3d8c1be%7C0%7C0%7C639205062447538818%7CUnknown%7CTWFpbGZsb3d8eyJFbXB0eU1hcGkiOnRydWUsIlYiOiIwLjAuMDAwMCIsIlAiOiJXaW4zMiIsIkFOIjoiTWFpbCIsIldUIjoyfQ%3D%3D%7C0%7C%7C%7C&amp;sdata=htOO1E4Iq0U7bOaX%2FCUf50akUuT6OlzdNIisS0pUddU%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camila.naranjo%40colombiacompra.gov.co%7C7128555136e04fa6887d08dee99e1b50%7C7b09041e245149d08cb179d5e3d8c1be%7C0%7C0%7C639205062447518524%7CUnknown%7CTWFpbGZsb3d8eyJFbXB0eU1hcGkiOnRydWUsIlYiOiIwLjAuMDAwMCIsIlAiOiJXaW4zMiIsIkFOIjoiTWFpbCIsIldUIjoyfQ%3D%3D%7C0%7C%7C%7C&amp;sdata=C9rzHVFfqyFYl0X%2BRTLH%2FMZujmz6a9lKSqxwbAcUN%2FY%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camila.naranjo%40colombiacompra.gov.co%7C7128555136e04fa6887d08dee99e1b50%7C7b09041e245149d08cb179d5e3d8c1be%7C0%7C0%7C639205062447486303%7CUnknown%7CTWFpbGZsb3d8eyJFbXB0eU1hcGkiOnRydWUsIlYiOiIwLjAuMDAwMCIsIlAiOiJXaW4zMiIsIkFOIjoiTWFpbCIsIldUIjoyfQ%3D%3D%7C0%7C%7C%7C&amp;sdata=MshF4iCZI5oujYh78hGTEvsz%2BP8GLnrx4Ldozcj0SM8%3D&amp;reserved=0"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camila.naranjo%40colombiacompra.gov.co%7C7128555136e04fa6887d08dee99e1b50%7C7b09041e245149d08cb179d5e3d8c1be%7C0%7C0%7C639205062447422308%7CUnknown%7CTWFpbGZsb3d8eyJFbXB0eU1hcGkiOnRydWUsIlYiOiIwLjAuMDAwMCIsIlAiOiJXaW4zMiIsIkFOIjoiTWFpbCIsIldUIjoyfQ%3D%3D%7C0%7C%7C%7C&amp;sdata=CmhnFTbuAL9DMRrtAjh3P4T2J5MzIdmW2COR7ofLoAA%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654F9E-C92D-4689-A5DE-11D06C073AF0}"/>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5</TotalTime>
  <Pages>21</Pages>
  <Words>7019</Words>
  <Characters>38605</Characters>
  <Application>Microsoft Office Word</Application>
  <DocSecurity>0</DocSecurity>
  <Lines>321</Lines>
  <Paragraphs>91</Paragraphs>
  <ScaleCrop>false</ScaleCrop>
  <Company/>
  <LinksUpToDate>false</LinksUpToDate>
  <CharactersWithSpaces>45533</CharactersWithSpaces>
  <SharedDoc>false</SharedDoc>
  <HLinks>
    <vt:vector size="42" baseType="variant">
      <vt:variant>
        <vt:i4>2687010</vt:i4>
      </vt:variant>
      <vt:variant>
        <vt:i4>18</vt:i4>
      </vt:variant>
      <vt:variant>
        <vt:i4>0</vt:i4>
      </vt:variant>
      <vt:variant>
        <vt:i4>5</vt:i4>
      </vt:variant>
      <vt:variant>
        <vt:lpwstr>https://nam02.safelinks.protection.outlook.com/?url=https%3A%2F%2Fwww.colombiacompra.gov.co%2Farchivos%2Fboletin%2Fboletin-edicion-n-3-de-2026-radar-de-la-compra-publica&amp;data=05%7C02%7Ccamila.naranjo%40colombiacompra.gov.co%7C7128555136e04fa6887d08dee99e1b50%7C7b09041e245149d08cb179d5e3d8c1be%7C0%7C0%7C639205062447538818%7CUnknown%7CTWFpbGZsb3d8eyJFbXB0eU1hcGkiOnRydWUsIlYiOiIwLjAuMDAwMCIsIlAiOiJXaW4zMiIsIkFOIjoiTWFpbCIsIldUIjoyfQ%3D%3D%7C0%7C%7C%7C&amp;sdata=htOO1E4Iq0U7bOaX%2FCUf50akUuT6OlzdNIisS0pUddU%3D&amp;reserved=0</vt:lpwstr>
      </vt:variant>
      <vt:variant>
        <vt:lpwstr/>
      </vt:variant>
      <vt:variant>
        <vt:i4>3014777</vt:i4>
      </vt:variant>
      <vt:variant>
        <vt:i4>15</vt:i4>
      </vt:variant>
      <vt:variant>
        <vt:i4>0</vt:i4>
      </vt:variant>
      <vt:variant>
        <vt:i4>5</vt:i4>
      </vt:variant>
      <vt:variant>
        <vt:lpwstr>https://nam02.safelinks.protection.outlook.com/?url=https%3A%2F%2Fwww.colombiacompra.gov.co%2Farchivos%2Fcircular%2Fcircular-externa-002-de-2026&amp;data=05%7C02%7Ccamila.naranjo%40colombiacompra.gov.co%7C7128555136e04fa6887d08dee99e1b50%7C7b09041e245149d08cb179d5e3d8c1be%7C0%7C0%7C639205062447518524%7CUnknown%7CTWFpbGZsb3d8eyJFbXB0eU1hcGkiOnRydWUsIlYiOiIwLjAuMDAwMCIsIlAiOiJXaW4zMiIsIkFOIjoiTWFpbCIsIldUIjoyfQ%3D%3D%7C0%7C%7C%7C&amp;sdata=C9rzHVFfqyFYl0X%2BRTLH%2FMZujmz6a9lKSqxwbAcUN%2FY%3D&amp;reserved=0</vt:lpwstr>
      </vt:variant>
      <vt:variant>
        <vt:lpwstr/>
      </vt:variant>
      <vt:variant>
        <vt:i4>3080313</vt:i4>
      </vt:variant>
      <vt:variant>
        <vt:i4>12</vt:i4>
      </vt:variant>
      <vt:variant>
        <vt:i4>0</vt:i4>
      </vt:variant>
      <vt:variant>
        <vt:i4>5</vt:i4>
      </vt:variant>
      <vt:variant>
        <vt:lpwstr>https://nam02.safelinks.protection.outlook.com/?url=https%3A%2F%2Fwww.colombiacompra.gov.co%2Farchivos%2Fcircular%2Fcircular-externa-003-de-2026&amp;data=05%7C02%7Ccamila.naranjo%40colombiacompra.gov.co%7C7128555136e04fa6887d08dee99e1b50%7C7b09041e245149d08cb179d5e3d8c1be%7C0%7C0%7C639205062447486303%7CUnknown%7CTWFpbGZsb3d8eyJFbXB0eU1hcGkiOnRydWUsIlYiOiIwLjAuMDAwMCIsIlAiOiJXaW4zMiIsIkFOIjoiTWFpbCIsIldUIjoyfQ%3D%3D%7C0%7C%7C%7C&amp;sdata=MshF4iCZI5oujYh78hGTEvsz%2BP8GLnrx4Ldozcj0SM8%3D&amp;reserved=0</vt:lpwstr>
      </vt:variant>
      <vt:variant>
        <vt:lpwstr/>
      </vt:variant>
      <vt:variant>
        <vt:i4>7798893</vt:i4>
      </vt:variant>
      <vt:variant>
        <vt:i4>9</vt:i4>
      </vt:variant>
      <vt:variant>
        <vt:i4>0</vt:i4>
      </vt:variant>
      <vt:variant>
        <vt:i4>5</vt:i4>
      </vt:variant>
      <vt:variant>
        <vt:lpwstr>https://nam02.safelinks.protection.outlook.com/?url=https%3A%2F%2Fwww.colombiacompra.gov.co%2Farchivos%2Fmanual%2Fguia-de-garantias-en-procesos-de-contratacion&amp;data=05%7C02%7Ccamila.naranjo%40colombiacompra.gov.co%7C7128555136e04fa6887d08dee99e1b50%7C7b09041e245149d08cb179d5e3d8c1be%7C0%7C0%7C639205062447422308%7CUnknown%7CTWFpbGZsb3d8eyJFbXB0eU1hcGkiOnRydWUsIlYiOiIwLjAuMDAwMCIsIlAiOiJXaW4zMiIsIkFOIjoiTWFpbCIsIldUIjoyfQ%3D%3D%7C0%7C%7C%7C&amp;sdata=CmhnFTbuAL9DMRrtAjh3P4T2J5MzIdmW2COR7ofLoAA%3D&amp;reserved=0</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5242936</vt:i4>
      </vt:variant>
      <vt:variant>
        <vt:i4>3</vt:i4>
      </vt:variant>
      <vt:variant>
        <vt:i4>0</vt:i4>
      </vt:variant>
      <vt:variant>
        <vt:i4>5</vt:i4>
      </vt:variant>
      <vt:variant>
        <vt:lpwstr>mailto:archivogeneral@villavicencio.gov.co</vt:lpwstr>
      </vt:variant>
      <vt:variant>
        <vt:lpwstr/>
      </vt: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Camila Alejandra Naranjo Gómez</cp:lastModifiedBy>
  <cp:revision>5</cp:revision>
  <cp:lastPrinted>2023-01-10T18:18:00Z</cp:lastPrinted>
  <dcterms:created xsi:type="dcterms:W3CDTF">2026-09-07T22:05:00Z</dcterms:created>
  <dcterms:modified xsi:type="dcterms:W3CDTF">2026-09-07T22:36:00Z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