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D6501E" w14:textId="77777777" w:rsidR="007A1BF1" w:rsidRPr="009D07DB" w:rsidRDefault="007A1BF1" w:rsidP="007A1BF1">
      <w:pPr>
        <w:spacing w:after="0" w:line="240" w:lineRule="auto"/>
        <w:contextualSpacing/>
        <w:jc w:val="both"/>
        <w:rPr>
          <w:rFonts w:ascii="Verdana" w:eastAsia="Calibri" w:hAnsi="Verdana" w:cs="Arial"/>
          <w:b/>
          <w:bCs/>
          <w:lang w:val="es-ES_tradnl" w:eastAsia="es-ES"/>
        </w:rPr>
      </w:pPr>
      <w:r w:rsidRPr="009D07DB">
        <w:rPr>
          <w:rFonts w:ascii="Verdana" w:eastAsia="Calibri" w:hAnsi="Verdana" w:cs="Arial"/>
          <w:b/>
          <w:bCs/>
          <w:lang w:val="es-ES_tradnl" w:eastAsia="es-ES"/>
        </w:rPr>
        <w:t>SISTEMA DE PREFERENCIA PARA PERSONAS CON DISCAPACIDAD ‒ Constitución Política ‒ Ley 1618 de 2013</w:t>
      </w:r>
    </w:p>
    <w:p w14:paraId="57CC4F30" w14:textId="77777777" w:rsidR="007A1BF1" w:rsidRPr="009D07DB" w:rsidRDefault="007A1BF1" w:rsidP="007A1BF1">
      <w:pPr>
        <w:spacing w:after="0" w:line="240" w:lineRule="auto"/>
        <w:contextualSpacing/>
        <w:jc w:val="both"/>
        <w:rPr>
          <w:rFonts w:ascii="Verdana" w:eastAsia="Calibri" w:hAnsi="Verdana" w:cs="Arial"/>
          <w:sz w:val="20"/>
          <w:szCs w:val="20"/>
          <w:lang w:val="es-ES_tradnl" w:eastAsia="es-ES"/>
        </w:rPr>
      </w:pPr>
    </w:p>
    <w:p w14:paraId="5406B86E" w14:textId="77777777" w:rsidR="007A1BF1" w:rsidRPr="009D07DB" w:rsidRDefault="007A1BF1" w:rsidP="007A1BF1">
      <w:pPr>
        <w:spacing w:after="0" w:line="240" w:lineRule="auto"/>
        <w:contextualSpacing/>
        <w:jc w:val="both"/>
        <w:rPr>
          <w:rFonts w:ascii="Verdana" w:eastAsia="Calibri" w:hAnsi="Verdana" w:cs="Arial"/>
          <w:sz w:val="20"/>
          <w:szCs w:val="20"/>
          <w:lang w:eastAsia="es-ES"/>
        </w:rPr>
      </w:pPr>
      <w:r w:rsidRPr="009D07DB">
        <w:rPr>
          <w:rFonts w:ascii="Verdana" w:eastAsia="Calibri" w:hAnsi="Verdana" w:cs="Arial"/>
          <w:sz w:val="20"/>
          <w:szCs w:val="20"/>
          <w:lang w:eastAsia="es-ES"/>
        </w:rPr>
        <w:t>[…]</w:t>
      </w:r>
      <w:r>
        <w:rPr>
          <w:rFonts w:ascii="Verdana" w:eastAsia="Calibri" w:hAnsi="Verdana" w:cs="Arial"/>
          <w:sz w:val="20"/>
          <w:szCs w:val="20"/>
          <w:lang w:eastAsia="es-ES"/>
        </w:rPr>
        <w:t xml:space="preserve"> </w:t>
      </w:r>
      <w:r w:rsidRPr="009D07DB">
        <w:rPr>
          <w:rFonts w:ascii="Verdana" w:eastAsia="Calibri" w:hAnsi="Verdana" w:cs="Arial"/>
          <w:sz w:val="20"/>
          <w:szCs w:val="20"/>
          <w:lang w:val="es-ES" w:eastAsia="es-ES"/>
        </w:rPr>
        <w:t>El fundamento del Sistema de Preferencias para Personas con Discapacidad (</w:t>
      </w:r>
      <w:proofErr w:type="spellStart"/>
      <w:r w:rsidRPr="009D07DB">
        <w:rPr>
          <w:rFonts w:ascii="Verdana" w:eastAsia="Calibri" w:hAnsi="Verdana" w:cs="Arial"/>
          <w:sz w:val="20"/>
          <w:szCs w:val="20"/>
          <w:lang w:val="es-ES" w:eastAsia="es-ES"/>
        </w:rPr>
        <w:t>PcD</w:t>
      </w:r>
      <w:proofErr w:type="spellEnd"/>
      <w:r w:rsidRPr="009D07DB">
        <w:rPr>
          <w:rFonts w:ascii="Verdana" w:eastAsia="Calibri" w:hAnsi="Verdana" w:cs="Arial"/>
          <w:sz w:val="20"/>
          <w:szCs w:val="20"/>
          <w:lang w:val="es-ES" w:eastAsia="es-ES"/>
        </w:rPr>
        <w:t xml:space="preserve">) en la contratación pública es el principio de igualdad real y efectiva consagrado en el artículo 13 de la Constitución Política de 1991, que impone al Estado el deber positivo de adoptar acciones afirmativas en favor de grupos históricamente excluidos. La Corte Constitucional ha sostenido que tales medidas buscan contrarrestar los efectos de la discriminación y que el Estado puede establecer tratamientos diferenciales a favor de estos grupos en aras de lograr una igualdad real y efectiva. Los artículos 47 y 54 de la Carta Política refuerzan este mandato al ordenar políticas de integración social y ubicación laboral para las </w:t>
      </w:r>
      <w:proofErr w:type="spellStart"/>
      <w:r w:rsidRPr="009D07DB">
        <w:rPr>
          <w:rFonts w:ascii="Verdana" w:eastAsia="Calibri" w:hAnsi="Verdana" w:cs="Arial"/>
          <w:sz w:val="20"/>
          <w:szCs w:val="20"/>
          <w:lang w:val="es-ES" w:eastAsia="es-ES"/>
        </w:rPr>
        <w:t>PcD</w:t>
      </w:r>
      <w:proofErr w:type="spellEnd"/>
      <w:r w:rsidRPr="009D07DB">
        <w:rPr>
          <w:rFonts w:ascii="Verdana" w:eastAsia="Calibri" w:hAnsi="Verdana" w:cs="Arial"/>
          <w:sz w:val="20"/>
          <w:szCs w:val="20"/>
          <w:lang w:val="es-ES" w:eastAsia="es-ES"/>
        </w:rPr>
        <w:t>.</w:t>
      </w:r>
      <w:r>
        <w:rPr>
          <w:rFonts w:ascii="Verdana" w:eastAsia="Calibri" w:hAnsi="Verdana" w:cs="Arial"/>
          <w:sz w:val="20"/>
          <w:szCs w:val="20"/>
          <w:lang w:eastAsia="es-ES"/>
        </w:rPr>
        <w:t xml:space="preserve"> </w:t>
      </w:r>
      <w:r w:rsidRPr="009D07DB">
        <w:rPr>
          <w:rFonts w:ascii="Verdana" w:eastAsia="Calibri" w:hAnsi="Verdana" w:cs="Arial"/>
          <w:sz w:val="20"/>
          <w:szCs w:val="20"/>
          <w:lang w:eastAsia="es-ES"/>
        </w:rPr>
        <w:t>[…]</w:t>
      </w:r>
    </w:p>
    <w:p w14:paraId="20DE458E" w14:textId="77777777" w:rsidR="007A1BF1" w:rsidRPr="009D07DB" w:rsidRDefault="007A1BF1" w:rsidP="007A1BF1">
      <w:pPr>
        <w:spacing w:after="0" w:line="240" w:lineRule="auto"/>
        <w:contextualSpacing/>
        <w:jc w:val="both"/>
        <w:rPr>
          <w:rFonts w:ascii="Verdana" w:eastAsia="Calibri" w:hAnsi="Verdana" w:cs="Arial"/>
          <w:sz w:val="20"/>
          <w:szCs w:val="20"/>
          <w:lang w:val="es-ES_tradnl" w:eastAsia="es-ES"/>
        </w:rPr>
      </w:pPr>
    </w:p>
    <w:p w14:paraId="0A1F1A27" w14:textId="77777777" w:rsidR="007A1BF1" w:rsidRPr="00DF64B4" w:rsidRDefault="007A1BF1" w:rsidP="007A1BF1">
      <w:pPr>
        <w:spacing w:after="0" w:line="240" w:lineRule="auto"/>
        <w:contextualSpacing/>
        <w:jc w:val="both"/>
        <w:rPr>
          <w:rFonts w:ascii="Verdana" w:eastAsia="Calibri" w:hAnsi="Verdana" w:cs="Arial"/>
          <w:sz w:val="20"/>
          <w:szCs w:val="20"/>
          <w:lang w:val="es-ES" w:eastAsia="es-ES"/>
        </w:rPr>
      </w:pPr>
      <w:r w:rsidRPr="009D07DB">
        <w:rPr>
          <w:rFonts w:ascii="Verdana" w:eastAsia="Calibri" w:hAnsi="Verdana" w:cs="Arial"/>
          <w:sz w:val="20"/>
          <w:szCs w:val="20"/>
          <w:lang w:val="es-ES" w:eastAsia="es-ES"/>
        </w:rPr>
        <w:t xml:space="preserve">La Ley Estatutaria 1618 de 2013 representó un salto cualitativo en el marco jurídico de protección de las </w:t>
      </w:r>
      <w:proofErr w:type="spellStart"/>
      <w:r w:rsidRPr="009D07DB">
        <w:rPr>
          <w:rFonts w:ascii="Verdana" w:eastAsia="Calibri" w:hAnsi="Verdana" w:cs="Arial"/>
          <w:sz w:val="20"/>
          <w:szCs w:val="20"/>
          <w:lang w:val="es-ES" w:eastAsia="es-ES"/>
        </w:rPr>
        <w:t>PcD</w:t>
      </w:r>
      <w:proofErr w:type="spellEnd"/>
      <w:r w:rsidRPr="009D07DB">
        <w:rPr>
          <w:rFonts w:ascii="Verdana" w:eastAsia="Calibri" w:hAnsi="Verdana" w:cs="Arial"/>
          <w:sz w:val="20"/>
          <w:szCs w:val="20"/>
          <w:lang w:val="es-ES" w:eastAsia="es-ES"/>
        </w:rPr>
        <w:t xml:space="preserve">, al definir a estas como "aquellas personas que tengan deficiencias físicas, mentales, intelectuales o sensoriales a mediano y largo plazo que, al interactuar con diversas barreras incluyendo las actitudinales, puedan impedir su participación plena y efectiva en la sociedad, en igualdad de condiciones con las demás”. Su artículo 13, en los numerales 1, 7 y 8, ordenó al Gobierno Nacional reglamentar: una puntuación adicional en licitación pública, concurso de méritos y contratación directa para empresas que vinculen </w:t>
      </w:r>
      <w:proofErr w:type="spellStart"/>
      <w:r w:rsidRPr="009D07DB">
        <w:rPr>
          <w:rFonts w:ascii="Verdana" w:eastAsia="Calibri" w:hAnsi="Verdana" w:cs="Arial"/>
          <w:sz w:val="20"/>
          <w:szCs w:val="20"/>
          <w:lang w:val="es-ES" w:eastAsia="es-ES"/>
        </w:rPr>
        <w:t>PcD</w:t>
      </w:r>
      <w:proofErr w:type="spellEnd"/>
      <w:r w:rsidRPr="009D07DB">
        <w:rPr>
          <w:rFonts w:ascii="Verdana" w:eastAsia="Calibri" w:hAnsi="Verdana" w:cs="Arial"/>
          <w:sz w:val="20"/>
          <w:szCs w:val="20"/>
          <w:lang w:val="es-ES" w:eastAsia="es-ES"/>
        </w:rPr>
        <w:t xml:space="preserve"> y para empresas de </w:t>
      </w:r>
      <w:proofErr w:type="spellStart"/>
      <w:r w:rsidRPr="009D07DB">
        <w:rPr>
          <w:rFonts w:ascii="Verdana" w:eastAsia="Calibri" w:hAnsi="Verdana" w:cs="Arial"/>
          <w:sz w:val="20"/>
          <w:szCs w:val="20"/>
          <w:lang w:val="es-ES" w:eastAsia="es-ES"/>
        </w:rPr>
        <w:t>PcD</w:t>
      </w:r>
      <w:proofErr w:type="spellEnd"/>
      <w:r w:rsidRPr="009D07DB">
        <w:rPr>
          <w:rFonts w:ascii="Verdana" w:eastAsia="Calibri" w:hAnsi="Verdana" w:cs="Arial"/>
          <w:sz w:val="20"/>
          <w:szCs w:val="20"/>
          <w:lang w:val="es-ES" w:eastAsia="es-ES"/>
        </w:rPr>
        <w:t xml:space="preserve">; un sistema de preferencias para empleadores de </w:t>
      </w:r>
      <w:proofErr w:type="spellStart"/>
      <w:r w:rsidRPr="009D07DB">
        <w:rPr>
          <w:rFonts w:ascii="Verdana" w:eastAsia="Calibri" w:hAnsi="Verdana" w:cs="Arial"/>
          <w:sz w:val="20"/>
          <w:szCs w:val="20"/>
          <w:lang w:val="es-ES" w:eastAsia="es-ES"/>
        </w:rPr>
        <w:t>PcD</w:t>
      </w:r>
      <w:proofErr w:type="spellEnd"/>
      <w:r w:rsidRPr="009D07DB">
        <w:rPr>
          <w:rFonts w:ascii="Verdana" w:eastAsia="Calibri" w:hAnsi="Verdana" w:cs="Arial"/>
          <w:sz w:val="20"/>
          <w:szCs w:val="20"/>
          <w:lang w:val="es-ES" w:eastAsia="es-ES"/>
        </w:rPr>
        <w:t xml:space="preserve"> en la adjudicación; y un sistema de preferencias en favor de las propias </w:t>
      </w:r>
      <w:proofErr w:type="spellStart"/>
      <w:r w:rsidRPr="009D07DB">
        <w:rPr>
          <w:rFonts w:ascii="Verdana" w:eastAsia="Calibri" w:hAnsi="Verdana" w:cs="Arial"/>
          <w:sz w:val="20"/>
          <w:szCs w:val="20"/>
          <w:lang w:val="es-ES" w:eastAsia="es-ES"/>
        </w:rPr>
        <w:t>PcD</w:t>
      </w:r>
      <w:proofErr w:type="spellEnd"/>
      <w:r w:rsidRPr="009D07DB">
        <w:rPr>
          <w:rFonts w:ascii="Verdana" w:eastAsia="Calibri" w:hAnsi="Verdana" w:cs="Arial"/>
          <w:sz w:val="20"/>
          <w:szCs w:val="20"/>
          <w:lang w:val="es-ES" w:eastAsia="es-ES"/>
        </w:rPr>
        <w:t xml:space="preserve"> como contratistas. Este último mandato fue especialmente significativo porque introdujo el concepto de "sistema de preferencias", que por definición no puede reducirse a una sola medida sino que implica un conjunto estructurado de instrumentos que actúen en las distintas fases del proceso contractual.</w:t>
      </w:r>
      <w:r>
        <w:rPr>
          <w:rFonts w:ascii="Verdana" w:eastAsia="Calibri" w:hAnsi="Verdana" w:cs="Arial"/>
          <w:sz w:val="20"/>
          <w:szCs w:val="20"/>
          <w:lang w:val="es-ES" w:eastAsia="es-ES"/>
        </w:rPr>
        <w:t xml:space="preserve"> […]</w:t>
      </w:r>
    </w:p>
    <w:p w14:paraId="663AFB2B" w14:textId="77777777" w:rsidR="007A1BF1" w:rsidRDefault="007A1BF1" w:rsidP="007A1BF1">
      <w:pPr>
        <w:spacing w:after="0" w:line="240" w:lineRule="auto"/>
        <w:contextualSpacing/>
        <w:jc w:val="both"/>
        <w:rPr>
          <w:rFonts w:ascii="Verdana" w:eastAsia="Calibri" w:hAnsi="Verdana" w:cs="Arial"/>
          <w:b/>
          <w:bCs/>
          <w:lang w:eastAsia="es-ES"/>
        </w:rPr>
      </w:pPr>
    </w:p>
    <w:p w14:paraId="7FC298E1" w14:textId="77777777" w:rsidR="007A1BF1" w:rsidRPr="004C046B" w:rsidRDefault="007A1BF1" w:rsidP="007A1BF1">
      <w:pPr>
        <w:spacing w:after="0" w:line="240" w:lineRule="auto"/>
        <w:contextualSpacing/>
        <w:jc w:val="both"/>
        <w:rPr>
          <w:rFonts w:ascii="Verdana" w:eastAsia="Calibri" w:hAnsi="Verdana" w:cs="Arial"/>
          <w:b/>
          <w:bCs/>
          <w:lang w:eastAsia="es-ES"/>
        </w:rPr>
      </w:pPr>
      <w:r w:rsidRPr="004C046B">
        <w:rPr>
          <w:rFonts w:ascii="Verdana" w:eastAsia="Calibri" w:hAnsi="Verdana" w:cs="Arial"/>
          <w:b/>
          <w:bCs/>
          <w:lang w:eastAsia="es-ES"/>
        </w:rPr>
        <w:t>DECRETO 0287 DE 2026 ‒ Sistema Integral de Preferencias ‒ Contratación pública inclusiva ‒ Personas con discapacidad</w:t>
      </w:r>
    </w:p>
    <w:p w14:paraId="676FDE08" w14:textId="77777777" w:rsidR="007A1BF1" w:rsidRDefault="007A1BF1" w:rsidP="007A1BF1">
      <w:pPr>
        <w:spacing w:after="0" w:line="240" w:lineRule="auto"/>
        <w:contextualSpacing/>
        <w:jc w:val="both"/>
        <w:rPr>
          <w:rFonts w:ascii="Verdana" w:eastAsia="Calibri" w:hAnsi="Verdana" w:cs="Arial"/>
          <w:sz w:val="20"/>
          <w:szCs w:val="20"/>
          <w:lang w:eastAsia="es-ES"/>
        </w:rPr>
      </w:pPr>
    </w:p>
    <w:p w14:paraId="49A5C122" w14:textId="77777777" w:rsidR="007A1BF1" w:rsidRDefault="007A1BF1" w:rsidP="007A1BF1">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 R</w:t>
      </w:r>
      <w:r w:rsidRPr="000A5E13">
        <w:rPr>
          <w:rFonts w:ascii="Verdana" w:eastAsia="Calibri" w:hAnsi="Verdana" w:cs="Arial"/>
          <w:sz w:val="20"/>
          <w:szCs w:val="20"/>
          <w:lang w:eastAsia="es-ES"/>
        </w:rPr>
        <w:t xml:space="preserve">especto al alcance del Decreto 0287 de 2026, es necesario indicar que este reglamenta los numerales 1, 7 y 8 del artículo 13 de la Ley 1618 de 2013, acción que fue ordenada por el Consejo de Estado, Sección Quinta de la Sala de lo Contencioso Administrativo, mediante sentencia de acción de cumplimiento del 12 de diciembre de 2024, radicación </w:t>
      </w:r>
      <w:proofErr w:type="spellStart"/>
      <w:r>
        <w:rPr>
          <w:rFonts w:ascii="Verdana" w:eastAsia="Calibri" w:hAnsi="Verdana" w:cs="Arial"/>
          <w:sz w:val="20"/>
          <w:szCs w:val="20"/>
          <w:lang w:eastAsia="es-ES"/>
        </w:rPr>
        <w:t>n</w:t>
      </w:r>
      <w:r w:rsidRPr="000A5E13">
        <w:rPr>
          <w:rFonts w:ascii="Verdana" w:eastAsia="Calibri" w:hAnsi="Verdana" w:cs="Arial"/>
          <w:sz w:val="20"/>
          <w:szCs w:val="20"/>
          <w:lang w:eastAsia="es-ES"/>
        </w:rPr>
        <w:t>°</w:t>
      </w:r>
      <w:proofErr w:type="spellEnd"/>
      <w:r w:rsidRPr="000A5E13">
        <w:rPr>
          <w:rFonts w:ascii="Verdana" w:eastAsia="Calibri" w:hAnsi="Verdana" w:cs="Arial"/>
          <w:sz w:val="20"/>
          <w:szCs w:val="20"/>
          <w:lang w:eastAsia="es-ES"/>
        </w:rPr>
        <w:t xml:space="preserve"> 05001-23-33-000-2024-00847-01, con ponencia del magistrado Omar Joaquín Barreto Suárez, y establece un Sistema Integral de Preferencias en favor de las personas con discapacidad en la contratación pública, entendido como el conjunto estructurado de medidas afirmativas, de naturaleza jurídica, técnica y procedimental, que las entidades estatales deben adoptar en todas las fases del proceso contractual: planeación, selección, adjudicación y ejecución. Este sistema está compuesto por cinco medidas: herramientas de planeación para procesos inclusivos, criterios habilitantes diferenciales, </w:t>
      </w:r>
      <w:r w:rsidRPr="007C6F9B">
        <w:rPr>
          <w:rFonts w:ascii="Verdana" w:eastAsia="Calibri" w:hAnsi="Verdana" w:cs="Arial"/>
          <w:sz w:val="20"/>
          <w:szCs w:val="20"/>
          <w:lang w:eastAsia="es-ES"/>
        </w:rPr>
        <w:t xml:space="preserve">emprendimientos y empresas de </w:t>
      </w:r>
      <w:proofErr w:type="spellStart"/>
      <w:r w:rsidRPr="007C6F9B">
        <w:rPr>
          <w:rFonts w:ascii="Verdana" w:eastAsia="Calibri" w:hAnsi="Verdana" w:cs="Arial"/>
          <w:sz w:val="20"/>
          <w:szCs w:val="20"/>
          <w:lang w:eastAsia="es-ES"/>
        </w:rPr>
        <w:t>PcD</w:t>
      </w:r>
      <w:proofErr w:type="spellEnd"/>
      <w:r w:rsidRPr="000A5E13">
        <w:rPr>
          <w:rFonts w:ascii="Verdana" w:eastAsia="Calibri" w:hAnsi="Verdana" w:cs="Arial"/>
          <w:sz w:val="20"/>
          <w:szCs w:val="20"/>
          <w:lang w:eastAsia="es-ES"/>
        </w:rPr>
        <w:t xml:space="preserve">, condiciones especiales de ejecución e inclusión de personas con discapacidad (en adelante, </w:t>
      </w:r>
      <w:proofErr w:type="spellStart"/>
      <w:r w:rsidRPr="000A5E13">
        <w:rPr>
          <w:rFonts w:ascii="Verdana" w:eastAsia="Calibri" w:hAnsi="Verdana" w:cs="Arial"/>
          <w:sz w:val="20"/>
          <w:szCs w:val="20"/>
          <w:lang w:eastAsia="es-ES"/>
        </w:rPr>
        <w:t>PcD</w:t>
      </w:r>
      <w:proofErr w:type="spellEnd"/>
      <w:r w:rsidRPr="000A5E13">
        <w:rPr>
          <w:rFonts w:ascii="Verdana" w:eastAsia="Calibri" w:hAnsi="Verdana" w:cs="Arial"/>
          <w:sz w:val="20"/>
          <w:szCs w:val="20"/>
          <w:lang w:eastAsia="es-ES"/>
        </w:rPr>
        <w:t xml:space="preserve">) en contratos de prestación de servicios. A estas medidas se suma, de manera transversal e independiente de las anteriores, la obligación de compras públicas accesibles, cuya aplicación recae sobre </w:t>
      </w:r>
      <w:r w:rsidRPr="000A5E13">
        <w:rPr>
          <w:rFonts w:ascii="Verdana" w:eastAsia="Calibri" w:hAnsi="Verdana" w:cs="Arial"/>
          <w:sz w:val="20"/>
          <w:szCs w:val="20"/>
          <w:lang w:eastAsia="es-ES"/>
        </w:rPr>
        <w:lastRenderedPageBreak/>
        <w:t>todos los entes del Estado con independencia de su régimen de contratación y en todas las modalidades de selección, incluida la contratación directa, irradiando la fase de planeación ya que es allí donde la compra debe plantearse con criterios de accesibilidad</w:t>
      </w:r>
      <w:r>
        <w:rPr>
          <w:rFonts w:ascii="Verdana" w:eastAsia="Calibri" w:hAnsi="Verdana" w:cs="Arial"/>
          <w:sz w:val="20"/>
          <w:szCs w:val="20"/>
          <w:lang w:eastAsia="es-ES"/>
        </w:rPr>
        <w:t xml:space="preserve"> […]</w:t>
      </w:r>
    </w:p>
    <w:p w14:paraId="76EF023A" w14:textId="77777777" w:rsidR="007A1BF1" w:rsidRPr="000C20EC" w:rsidRDefault="007A1BF1" w:rsidP="007A1BF1">
      <w:pPr>
        <w:spacing w:after="0"/>
        <w:jc w:val="both"/>
        <w:rPr>
          <w:rFonts w:ascii="Verdana" w:eastAsia="Verdana" w:hAnsi="Verdana" w:cs="Verdana"/>
          <w:b/>
          <w:color w:val="EE0000"/>
          <w:sz w:val="24"/>
          <w:szCs w:val="24"/>
        </w:rPr>
      </w:pPr>
    </w:p>
    <w:p w14:paraId="4A3552D9" w14:textId="77777777" w:rsidR="007A1BF1" w:rsidRPr="004C046B" w:rsidRDefault="007A1BF1" w:rsidP="007A1BF1">
      <w:pPr>
        <w:spacing w:after="0" w:line="240" w:lineRule="auto"/>
        <w:contextualSpacing/>
        <w:jc w:val="both"/>
        <w:rPr>
          <w:rFonts w:ascii="Verdana" w:eastAsia="Calibri" w:hAnsi="Verdana" w:cs="Arial"/>
          <w:b/>
          <w:bCs/>
          <w:lang w:eastAsia="es-ES"/>
        </w:rPr>
      </w:pPr>
      <w:r w:rsidRPr="004C046B">
        <w:rPr>
          <w:rFonts w:ascii="Verdana" w:eastAsia="Calibri" w:hAnsi="Verdana" w:cs="Arial"/>
          <w:b/>
          <w:bCs/>
          <w:lang w:eastAsia="es-ES"/>
        </w:rPr>
        <w:t>DECRETO 0287 DE 2026 ‒ Antecedentes normativos ‒ Decreto 392 de 2018 ‒ Omisiones reglamentarias ‒ Sentencia de acción de cumplimiento</w:t>
      </w:r>
    </w:p>
    <w:p w14:paraId="7AB81855" w14:textId="77777777" w:rsidR="007A1BF1" w:rsidRPr="007B5AD4" w:rsidRDefault="007A1BF1" w:rsidP="007A1BF1">
      <w:pPr>
        <w:spacing w:after="0" w:line="240" w:lineRule="auto"/>
        <w:contextualSpacing/>
        <w:jc w:val="both"/>
        <w:rPr>
          <w:rFonts w:ascii="Verdana" w:eastAsia="Calibri" w:hAnsi="Verdana" w:cs="Arial"/>
          <w:b/>
          <w:bCs/>
          <w:sz w:val="20"/>
          <w:szCs w:val="20"/>
          <w:lang w:eastAsia="es-ES"/>
        </w:rPr>
      </w:pPr>
    </w:p>
    <w:p w14:paraId="038A7C5A" w14:textId="77777777" w:rsidR="007A1BF1" w:rsidRDefault="007A1BF1" w:rsidP="007A1BF1">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 xml:space="preserve">[…] </w:t>
      </w:r>
      <w:r w:rsidRPr="007C6F9B">
        <w:rPr>
          <w:rFonts w:ascii="Verdana" w:eastAsia="Calibri" w:hAnsi="Verdana" w:cs="Arial"/>
          <w:sz w:val="20"/>
          <w:szCs w:val="20"/>
          <w:lang w:eastAsia="es-ES"/>
        </w:rPr>
        <w:t xml:space="preserve">La insuficiencia del Decreto 392 de 2018 fue constatada judicialmente. La Sección Quinta del Consejo de Estado, mediante sentencia de acción de cumplimiento del 12 de diciembre de 2024, radicación </w:t>
      </w:r>
      <w:proofErr w:type="spellStart"/>
      <w:r>
        <w:rPr>
          <w:rFonts w:ascii="Verdana" w:eastAsia="Calibri" w:hAnsi="Verdana" w:cs="Arial"/>
          <w:sz w:val="20"/>
          <w:szCs w:val="20"/>
          <w:lang w:eastAsia="es-ES"/>
        </w:rPr>
        <w:t>n</w:t>
      </w:r>
      <w:r w:rsidRPr="007C6F9B">
        <w:rPr>
          <w:rFonts w:ascii="Verdana" w:eastAsia="Calibri" w:hAnsi="Verdana" w:cs="Arial"/>
          <w:sz w:val="20"/>
          <w:szCs w:val="20"/>
          <w:lang w:eastAsia="es-ES"/>
        </w:rPr>
        <w:t>°</w:t>
      </w:r>
      <w:proofErr w:type="spellEnd"/>
      <w:r w:rsidRPr="007C6F9B">
        <w:rPr>
          <w:rFonts w:ascii="Verdana" w:eastAsia="Calibri" w:hAnsi="Verdana" w:cs="Arial"/>
          <w:sz w:val="20"/>
          <w:szCs w:val="20"/>
          <w:lang w:eastAsia="es-ES"/>
        </w:rPr>
        <w:t xml:space="preserve"> 05001-23-33-000-2024-00847-01, M.P. Omar Joaquín Barreto Suárez, declaró el incumplimiento del Gobierno Nacional del artículo 62 de la Ley 1996 de 2019, que ordenaba reglamentar las medidas del artículo 13 de la Ley 1618 de 2013, y ordenó expedir los decretos reglamentarios faltantes en el término de cuatro (4) meses contados a partir de la ejecutoria de la providencia. La Sala calificó la obligación como imperativa, expresa e inobjetable, señalando que el Gobierno Nacional no contaba con margen de discrecionalidad para decidir si reglamentaba o no el sistema de preferencias</w:t>
      </w:r>
      <w:r>
        <w:rPr>
          <w:rFonts w:ascii="Verdana" w:eastAsia="Calibri" w:hAnsi="Verdana" w:cs="Arial"/>
          <w:sz w:val="20"/>
          <w:szCs w:val="20"/>
          <w:lang w:eastAsia="es-ES"/>
        </w:rPr>
        <w:t xml:space="preserve"> […]</w:t>
      </w:r>
    </w:p>
    <w:p w14:paraId="72D14BC1" w14:textId="77777777" w:rsidR="007A1BF1" w:rsidRPr="00651114" w:rsidRDefault="007A1BF1" w:rsidP="007A1BF1">
      <w:pPr>
        <w:spacing w:after="0"/>
        <w:jc w:val="both"/>
        <w:rPr>
          <w:rFonts w:ascii="Verdana" w:eastAsia="Times New Roman" w:hAnsi="Verdana" w:cs="Arial"/>
          <w:bCs/>
          <w:color w:val="EE0000"/>
          <w:sz w:val="20"/>
          <w:szCs w:val="20"/>
          <w:lang w:val="es-MX" w:eastAsia="es-CO"/>
        </w:rPr>
      </w:pPr>
    </w:p>
    <w:p w14:paraId="62541AC1" w14:textId="77777777" w:rsidR="007A1BF1" w:rsidRPr="004C046B" w:rsidRDefault="007A1BF1" w:rsidP="007A1BF1">
      <w:pPr>
        <w:spacing w:after="0" w:line="240" w:lineRule="auto"/>
        <w:contextualSpacing/>
        <w:jc w:val="both"/>
        <w:rPr>
          <w:rFonts w:ascii="Verdana" w:eastAsia="Calibri" w:hAnsi="Verdana" w:cs="Arial"/>
          <w:b/>
          <w:bCs/>
          <w:lang w:eastAsia="es-ES"/>
        </w:rPr>
      </w:pPr>
      <w:r w:rsidRPr="004C046B">
        <w:rPr>
          <w:rFonts w:ascii="Verdana" w:eastAsia="Calibri" w:hAnsi="Verdana" w:cs="Arial"/>
          <w:b/>
          <w:bCs/>
          <w:lang w:eastAsia="es-ES"/>
        </w:rPr>
        <w:t>DECRETO 0287 DE 2026 ‒ Sujetos del sistema ‒ Emprendimientos y empresas de personas con discapacidad ‒ Empleadores de personas con discapacidad ‒ Definición y diferenciación</w:t>
      </w:r>
    </w:p>
    <w:p w14:paraId="4F9350D4" w14:textId="77777777" w:rsidR="007A1BF1" w:rsidRPr="007B5AD4" w:rsidRDefault="007A1BF1" w:rsidP="007A1BF1">
      <w:pPr>
        <w:spacing w:after="0" w:line="240" w:lineRule="auto"/>
        <w:contextualSpacing/>
        <w:jc w:val="both"/>
        <w:rPr>
          <w:rFonts w:ascii="Verdana" w:eastAsia="Calibri" w:hAnsi="Verdana" w:cs="Arial"/>
          <w:b/>
          <w:bCs/>
          <w:sz w:val="20"/>
          <w:szCs w:val="20"/>
          <w:lang w:eastAsia="es-ES"/>
        </w:rPr>
      </w:pPr>
    </w:p>
    <w:p w14:paraId="6190B260" w14:textId="77777777" w:rsidR="007A1BF1" w:rsidRPr="007D0871" w:rsidRDefault="007A1BF1" w:rsidP="007A1BF1">
      <w:pPr>
        <w:spacing w:after="0" w:line="240" w:lineRule="auto"/>
        <w:contextualSpacing/>
        <w:jc w:val="both"/>
        <w:rPr>
          <w:rFonts w:ascii="Verdana" w:eastAsia="Calibri" w:hAnsi="Verdana" w:cs="Arial"/>
          <w:sz w:val="20"/>
          <w:szCs w:val="20"/>
          <w:lang w:eastAsia="es-ES"/>
        </w:rPr>
      </w:pPr>
      <w:r w:rsidRPr="007C6F9B">
        <w:rPr>
          <w:rFonts w:ascii="Verdana" w:eastAsia="Calibri" w:hAnsi="Verdana" w:cs="Arial"/>
          <w:sz w:val="20"/>
          <w:szCs w:val="20"/>
          <w:lang w:eastAsia="es-ES"/>
        </w:rPr>
        <w:t xml:space="preserve">El sistema beneficia a dos sujetos diferenciados cuyas medidas no son idénticas ni intercambiables. El primer sujeto son los emprendimientos y empresas de </w:t>
      </w:r>
      <w:proofErr w:type="spellStart"/>
      <w:r w:rsidRPr="007C6F9B">
        <w:rPr>
          <w:rFonts w:ascii="Verdana" w:eastAsia="Calibri" w:hAnsi="Verdana" w:cs="Arial"/>
          <w:sz w:val="20"/>
          <w:szCs w:val="20"/>
          <w:lang w:eastAsia="es-ES"/>
        </w:rPr>
        <w:t>PcD</w:t>
      </w:r>
      <w:proofErr w:type="spellEnd"/>
      <w:r w:rsidRPr="007C6F9B">
        <w:rPr>
          <w:rFonts w:ascii="Verdana" w:eastAsia="Calibri" w:hAnsi="Verdana" w:cs="Arial"/>
          <w:sz w:val="20"/>
          <w:szCs w:val="20"/>
          <w:lang w:eastAsia="es-ES"/>
        </w:rPr>
        <w:t xml:space="preserve">, definidos en el artículo 2.2.1.2.4.2.6. del Decreto 1082 de 2015 (modificado) según cuatro categorías: personas naturales con discapacidad que ejerzan una profesión liberal; personas naturales con discapacidad que realicen actividades comerciales a través de establecimiento de comercio con al menos un año de antigüedad; personas jurídicas en las que más del 50% de las acciones o cuotas pertenezcan a </w:t>
      </w:r>
      <w:proofErr w:type="spellStart"/>
      <w:r w:rsidRPr="007C6F9B">
        <w:rPr>
          <w:rFonts w:ascii="Verdana" w:eastAsia="Calibri" w:hAnsi="Verdana" w:cs="Arial"/>
          <w:sz w:val="20"/>
          <w:szCs w:val="20"/>
          <w:lang w:eastAsia="es-ES"/>
        </w:rPr>
        <w:t>PcD</w:t>
      </w:r>
      <w:proofErr w:type="spellEnd"/>
      <w:r w:rsidRPr="007C6F9B">
        <w:rPr>
          <w:rFonts w:ascii="Verdana" w:eastAsia="Calibri" w:hAnsi="Verdana" w:cs="Arial"/>
          <w:sz w:val="20"/>
          <w:szCs w:val="20"/>
          <w:lang w:eastAsia="es-ES"/>
        </w:rPr>
        <w:t xml:space="preserve"> por al menos un año; y personas jurídicas con al menos una </w:t>
      </w:r>
      <w:proofErr w:type="spellStart"/>
      <w:r w:rsidRPr="007C6F9B">
        <w:rPr>
          <w:rFonts w:ascii="Verdana" w:eastAsia="Calibri" w:hAnsi="Verdana" w:cs="Arial"/>
          <w:sz w:val="20"/>
          <w:szCs w:val="20"/>
          <w:lang w:eastAsia="es-ES"/>
        </w:rPr>
        <w:t>PcD</w:t>
      </w:r>
      <w:proofErr w:type="spellEnd"/>
      <w:r w:rsidRPr="007C6F9B">
        <w:rPr>
          <w:rFonts w:ascii="Verdana" w:eastAsia="Calibri" w:hAnsi="Verdana" w:cs="Arial"/>
          <w:sz w:val="20"/>
          <w:szCs w:val="20"/>
          <w:lang w:eastAsia="es-ES"/>
        </w:rPr>
        <w:t xml:space="preserve"> vinculada laboralmente en un cargo de nivel directivo por al menos un año. El segundo sujeto son los empleadores de </w:t>
      </w:r>
      <w:proofErr w:type="spellStart"/>
      <w:r w:rsidRPr="007C6F9B">
        <w:rPr>
          <w:rFonts w:ascii="Verdana" w:eastAsia="Calibri" w:hAnsi="Verdana" w:cs="Arial"/>
          <w:sz w:val="20"/>
          <w:szCs w:val="20"/>
          <w:lang w:eastAsia="es-ES"/>
        </w:rPr>
        <w:t>PcD</w:t>
      </w:r>
      <w:proofErr w:type="spellEnd"/>
      <w:r w:rsidRPr="007C6F9B">
        <w:rPr>
          <w:rFonts w:ascii="Verdana" w:eastAsia="Calibri" w:hAnsi="Verdana" w:cs="Arial"/>
          <w:sz w:val="20"/>
          <w:szCs w:val="20"/>
          <w:lang w:eastAsia="es-ES"/>
        </w:rPr>
        <w:t xml:space="preserve">, esto es, cualquier empresa que tenga en su planta de personal trabajadores con discapacidad contratados laboralmente con dedicación exclusiva, superando los mínimos que exige la Ley 2466 de 2025 (Reforma Laboral). </w:t>
      </w:r>
      <w:r w:rsidRPr="00FA1AEB">
        <w:rPr>
          <w:rFonts w:ascii="Verdana" w:eastAsia="Calibri" w:hAnsi="Verdana" w:cs="Arial"/>
          <w:sz w:val="20"/>
          <w:szCs w:val="20"/>
          <w:lang w:eastAsia="es-ES"/>
        </w:rPr>
        <w:t xml:space="preserve">Estos sujetos no tienen en cuenta el género, es decir si son </w:t>
      </w:r>
      <w:proofErr w:type="spellStart"/>
      <w:r w:rsidRPr="00FA1AEB">
        <w:rPr>
          <w:rFonts w:ascii="Verdana" w:eastAsia="Calibri" w:hAnsi="Verdana" w:cs="Arial"/>
          <w:sz w:val="20"/>
          <w:szCs w:val="20"/>
          <w:lang w:eastAsia="es-ES"/>
        </w:rPr>
        <w:t>PcD</w:t>
      </w:r>
      <w:proofErr w:type="spellEnd"/>
      <w:r w:rsidRPr="00FA1AEB">
        <w:rPr>
          <w:rFonts w:ascii="Verdana" w:eastAsia="Calibri" w:hAnsi="Verdana" w:cs="Arial"/>
          <w:sz w:val="20"/>
          <w:szCs w:val="20"/>
          <w:lang w:eastAsia="es-ES"/>
        </w:rPr>
        <w:t xml:space="preserve"> hombres o mujeres, por lo que la definición es aplicable independientemente del género de la </w:t>
      </w:r>
      <w:proofErr w:type="spellStart"/>
      <w:r w:rsidRPr="00FA1AEB">
        <w:rPr>
          <w:rFonts w:ascii="Verdana" w:eastAsia="Calibri" w:hAnsi="Verdana" w:cs="Arial"/>
          <w:sz w:val="20"/>
          <w:szCs w:val="20"/>
          <w:lang w:eastAsia="es-ES"/>
        </w:rPr>
        <w:t>PcD</w:t>
      </w:r>
      <w:proofErr w:type="spellEnd"/>
      <w:r w:rsidRPr="00FA1AEB">
        <w:rPr>
          <w:rFonts w:ascii="Verdana" w:eastAsia="Calibri" w:hAnsi="Verdana" w:cs="Arial"/>
          <w:sz w:val="20"/>
          <w:szCs w:val="20"/>
          <w:lang w:eastAsia="es-ES"/>
        </w:rPr>
        <w:t xml:space="preserve"> y no afecta las medidas afirmativas a aplicar. Por otra parte, confundir los dos sujetos genera aplicaciones incorrectas del sistema, razón por la cual resulta esencial que las entidades contratantes identifiquen en cada caso qué sujeto está acreditando el proponente y qué documentación y medidas corresponden a ese sujeto específico.</w:t>
      </w:r>
    </w:p>
    <w:p w14:paraId="0717F328" w14:textId="77777777" w:rsidR="007A1BF1" w:rsidRDefault="007A1BF1" w:rsidP="007A1BF1">
      <w:pPr>
        <w:spacing w:after="0" w:line="240" w:lineRule="auto"/>
        <w:contextualSpacing/>
        <w:jc w:val="both"/>
        <w:rPr>
          <w:rFonts w:ascii="Verdana" w:eastAsia="Calibri" w:hAnsi="Verdana" w:cs="Arial"/>
          <w:sz w:val="20"/>
          <w:szCs w:val="20"/>
          <w:lang w:eastAsia="es-ES"/>
        </w:rPr>
      </w:pPr>
    </w:p>
    <w:p w14:paraId="3CD7F6AF" w14:textId="77777777" w:rsidR="007A1BF1" w:rsidRPr="00711B03" w:rsidRDefault="007A1BF1" w:rsidP="007A1BF1">
      <w:pPr>
        <w:spacing w:after="0" w:line="240" w:lineRule="auto"/>
        <w:contextualSpacing/>
        <w:jc w:val="both"/>
        <w:rPr>
          <w:rFonts w:ascii="Verdana" w:eastAsia="Calibri" w:hAnsi="Verdana" w:cs="Arial"/>
          <w:b/>
          <w:bCs/>
          <w:lang w:eastAsia="es-ES"/>
        </w:rPr>
      </w:pPr>
      <w:r w:rsidRPr="004C046B">
        <w:rPr>
          <w:rFonts w:ascii="Verdana" w:eastAsia="Calibri" w:hAnsi="Verdana" w:cs="Arial"/>
          <w:b/>
          <w:bCs/>
          <w:lang w:eastAsia="es-ES"/>
        </w:rPr>
        <w:lastRenderedPageBreak/>
        <w:t>DECRETO 0287 DE 2026 ‒ Vigencia ‒ Derogatoria ‒ Decreto 392 de 2018 ‒ Régimen de transición ‒ Resolución de apertura</w:t>
      </w:r>
    </w:p>
    <w:p w14:paraId="5ACE0097" w14:textId="77777777" w:rsidR="007A1BF1" w:rsidRDefault="007A1BF1" w:rsidP="007A1BF1">
      <w:pPr>
        <w:spacing w:after="0" w:line="240" w:lineRule="auto"/>
        <w:contextualSpacing/>
        <w:jc w:val="both"/>
        <w:rPr>
          <w:rFonts w:ascii="Verdana" w:eastAsia="Calibri" w:hAnsi="Verdana" w:cs="Arial"/>
          <w:sz w:val="20"/>
          <w:szCs w:val="20"/>
          <w:lang w:eastAsia="es-ES"/>
        </w:rPr>
      </w:pPr>
    </w:p>
    <w:p w14:paraId="441F7768" w14:textId="2ED5CAB3" w:rsidR="007A1BF1" w:rsidRDefault="007A1BF1" w:rsidP="007A1BF1">
      <w:pPr>
        <w:spacing w:after="0" w:line="240" w:lineRule="auto"/>
        <w:contextualSpacing/>
        <w:jc w:val="both"/>
        <w:rPr>
          <w:rFonts w:ascii="Verdana" w:eastAsia="Calibri" w:hAnsi="Verdana" w:cs="Arial"/>
          <w:sz w:val="20"/>
          <w:szCs w:val="20"/>
          <w:lang w:eastAsia="es-ES"/>
        </w:rPr>
      </w:pPr>
      <w:r w:rsidRPr="00A54668">
        <w:rPr>
          <w:rFonts w:ascii="Verdana" w:eastAsia="Calibri" w:hAnsi="Verdana" w:cs="Arial"/>
          <w:sz w:val="20"/>
          <w:szCs w:val="20"/>
          <w:lang w:eastAsia="es-ES"/>
        </w:rPr>
        <w:t xml:space="preserve">(…) </w:t>
      </w:r>
      <w:r w:rsidRPr="004C046B">
        <w:rPr>
          <w:rFonts w:ascii="Verdana" w:eastAsia="Calibri" w:hAnsi="Verdana" w:cs="Arial"/>
          <w:sz w:val="20"/>
          <w:szCs w:val="20"/>
          <w:lang w:eastAsia="es-ES"/>
        </w:rPr>
        <w:t>para la aplicación del Decreto 287 de 2026, se debe tener en cuenta que se expidió el 19 de marzo de 2026, y rige a partir del día siguiente a su publicación en el Diario Oficial, derogando todas las disposiciones contrarias, incluidas las versiones anteriores de los artículos 2.2.1.2.4.2.6., 2.2.1.2.4.2.7. y 2.2.1.2.4.2.8. del Decreto 1082 de 2015. Se aclara que la numeración del Decreto 392 de 2018 se mantuvo, pero su contenido fue modificado en su integridad, por lo que no hubo derogatoria sino modificación total para conservar la numeración del mencionado decreto, pero lo señalado en este concepto debe entenderse de acuerdo con la nueva redacción de los artículos enlistados, y no recurrir a la antigua redacción.</w:t>
      </w:r>
      <w:r>
        <w:rPr>
          <w:rFonts w:ascii="Verdana" w:eastAsia="Calibri" w:hAnsi="Verdana" w:cs="Arial"/>
          <w:sz w:val="20"/>
          <w:szCs w:val="20"/>
          <w:lang w:eastAsia="es-ES"/>
        </w:rPr>
        <w:t xml:space="preserve"> […]</w:t>
      </w:r>
    </w:p>
    <w:p w14:paraId="0634B6D6" w14:textId="77777777" w:rsidR="007A1BF1" w:rsidRPr="004C046B" w:rsidRDefault="007A1BF1" w:rsidP="007A1BF1">
      <w:pPr>
        <w:spacing w:after="0" w:line="240" w:lineRule="auto"/>
        <w:contextualSpacing/>
        <w:jc w:val="both"/>
        <w:rPr>
          <w:rFonts w:ascii="Verdana" w:eastAsia="Calibri" w:hAnsi="Verdana" w:cs="Arial"/>
          <w:sz w:val="20"/>
          <w:szCs w:val="20"/>
          <w:lang w:eastAsia="es-ES"/>
        </w:rPr>
      </w:pPr>
    </w:p>
    <w:p w14:paraId="2F56F25B" w14:textId="77777777" w:rsidR="007A1BF1" w:rsidRDefault="007A1BF1" w:rsidP="007A1BF1">
      <w:pPr>
        <w:spacing w:after="0" w:line="240" w:lineRule="auto"/>
        <w:contextualSpacing/>
        <w:jc w:val="both"/>
        <w:rPr>
          <w:rFonts w:ascii="Verdana" w:eastAsia="Calibri" w:hAnsi="Verdana" w:cs="Arial"/>
          <w:sz w:val="20"/>
          <w:szCs w:val="20"/>
          <w:lang w:eastAsia="es-ES"/>
        </w:rPr>
      </w:pPr>
      <w:r w:rsidRPr="004C046B">
        <w:rPr>
          <w:rFonts w:ascii="Verdana" w:eastAsia="Calibri" w:hAnsi="Verdana" w:cs="Arial"/>
          <w:sz w:val="20"/>
          <w:szCs w:val="20"/>
          <w:lang w:eastAsia="es-ES"/>
        </w:rPr>
        <w:t xml:space="preserve">La aplicación del Decreto 287 de 2026 en los procesos de contratación que estén en curso depende de si estos contaban o no con resolución de apertura antes del 20 de marzo de 2026: i) La resolución de apertura fue expedida el 19 de marzo de 2026 o antes de esta fecha, en este caso el proceso continúa con las reglas originales sin aplicar el Decreto 287 de 2026; y </w:t>
      </w:r>
      <w:proofErr w:type="spellStart"/>
      <w:r w:rsidRPr="004C046B">
        <w:rPr>
          <w:rFonts w:ascii="Verdana" w:eastAsia="Calibri" w:hAnsi="Verdana" w:cs="Arial"/>
          <w:sz w:val="20"/>
          <w:szCs w:val="20"/>
          <w:lang w:eastAsia="es-ES"/>
        </w:rPr>
        <w:t>ii</w:t>
      </w:r>
      <w:proofErr w:type="spellEnd"/>
      <w:r w:rsidRPr="004C046B">
        <w:rPr>
          <w:rFonts w:ascii="Verdana" w:eastAsia="Calibri" w:hAnsi="Verdana" w:cs="Arial"/>
          <w:sz w:val="20"/>
          <w:szCs w:val="20"/>
          <w:lang w:eastAsia="es-ES"/>
        </w:rPr>
        <w:t>) La resolución de apertura no existe, o fue expedida el 20 de marzo de 2026 o en fecha posterior, por lo que se debe incorporar el Decreto 287 de 2026 al proceso contractual y la entidad debe ajustar sus estudios previos y pliegos de condiciones, incluido el proyecto de pliego, para dar pleno cumplimiento al decreto antes de expedir el acto administrativo de apertura.</w:t>
      </w:r>
    </w:p>
    <w:p w14:paraId="359C52E5" w14:textId="77777777" w:rsidR="007A1BF1" w:rsidRPr="004C046B" w:rsidRDefault="007A1BF1" w:rsidP="007A1BF1">
      <w:pPr>
        <w:spacing w:after="0" w:line="240" w:lineRule="auto"/>
        <w:contextualSpacing/>
        <w:jc w:val="both"/>
        <w:rPr>
          <w:rFonts w:ascii="Verdana" w:eastAsia="Calibri" w:hAnsi="Verdana" w:cs="Arial"/>
          <w:sz w:val="20"/>
          <w:szCs w:val="20"/>
          <w:lang w:eastAsia="es-ES"/>
        </w:rPr>
      </w:pPr>
    </w:p>
    <w:p w14:paraId="4924D9C2" w14:textId="77777777" w:rsidR="007A1BF1" w:rsidRDefault="007A1BF1" w:rsidP="007A1BF1">
      <w:pPr>
        <w:spacing w:after="0" w:line="240" w:lineRule="auto"/>
        <w:contextualSpacing/>
        <w:jc w:val="both"/>
        <w:rPr>
          <w:rFonts w:ascii="Verdana" w:eastAsia="Calibri" w:hAnsi="Verdana" w:cs="Arial"/>
          <w:sz w:val="20"/>
          <w:szCs w:val="20"/>
          <w:lang w:eastAsia="es-ES"/>
        </w:rPr>
      </w:pPr>
      <w:r w:rsidRPr="004C046B">
        <w:rPr>
          <w:rFonts w:ascii="Verdana" w:eastAsia="Calibri" w:hAnsi="Verdana" w:cs="Arial"/>
          <w:sz w:val="20"/>
          <w:szCs w:val="20"/>
          <w:lang w:eastAsia="es-ES"/>
        </w:rPr>
        <w:t>Para los procesos de contratación con proyecto de pliego publicado pero sin apertura al 19 de marzo de 2026, se recomienda que se incorporen las medidas del Decreto 287 de 2026 antes de publicar los pliegos definitivos. En esa etapa aún es posible realizar ajustes sin afectar derechos adquiridos de los proponentes.</w:t>
      </w:r>
      <w:r>
        <w:rPr>
          <w:rFonts w:ascii="Verdana" w:eastAsia="Calibri" w:hAnsi="Verdana" w:cs="Arial"/>
          <w:sz w:val="20"/>
          <w:szCs w:val="20"/>
          <w:lang w:eastAsia="es-ES"/>
        </w:rPr>
        <w:t xml:space="preserve"> […]</w:t>
      </w:r>
    </w:p>
    <w:p w14:paraId="747C79B5" w14:textId="77777777" w:rsidR="0058650A" w:rsidRDefault="0058650A" w:rsidP="00C76417">
      <w:pPr>
        <w:spacing w:after="0" w:line="240" w:lineRule="auto"/>
        <w:jc w:val="both"/>
        <w:rPr>
          <w:rFonts w:ascii="Verdana" w:hAnsi="Verdana"/>
        </w:rPr>
      </w:pPr>
    </w:p>
    <w:p w14:paraId="0B63FB50" w14:textId="77777777" w:rsidR="0058650A" w:rsidRDefault="0058650A" w:rsidP="00C76417">
      <w:pPr>
        <w:spacing w:after="0" w:line="240" w:lineRule="auto"/>
        <w:jc w:val="both"/>
        <w:rPr>
          <w:rFonts w:ascii="Verdana" w:hAnsi="Verdana"/>
        </w:rPr>
      </w:pPr>
    </w:p>
    <w:p w14:paraId="231FAD48" w14:textId="77777777" w:rsidR="0058650A" w:rsidRDefault="0058650A" w:rsidP="00C76417">
      <w:pPr>
        <w:spacing w:after="0" w:line="240" w:lineRule="auto"/>
        <w:jc w:val="both"/>
        <w:rPr>
          <w:rFonts w:ascii="Verdana" w:hAnsi="Verdana"/>
        </w:rPr>
      </w:pPr>
    </w:p>
    <w:p w14:paraId="7CCA08DE" w14:textId="77777777" w:rsidR="0058650A" w:rsidRDefault="0058650A" w:rsidP="00C76417">
      <w:pPr>
        <w:spacing w:after="0" w:line="240" w:lineRule="auto"/>
        <w:jc w:val="both"/>
        <w:rPr>
          <w:rFonts w:ascii="Verdana" w:hAnsi="Verdana"/>
        </w:rPr>
      </w:pPr>
    </w:p>
    <w:p w14:paraId="7401147D" w14:textId="77777777" w:rsidR="0058650A" w:rsidRDefault="0058650A" w:rsidP="00C76417">
      <w:pPr>
        <w:spacing w:after="0" w:line="240" w:lineRule="auto"/>
        <w:jc w:val="both"/>
        <w:rPr>
          <w:rFonts w:ascii="Verdana" w:hAnsi="Verdana"/>
        </w:rPr>
      </w:pPr>
    </w:p>
    <w:p w14:paraId="75B416AE" w14:textId="77777777" w:rsidR="0058650A" w:rsidRDefault="0058650A" w:rsidP="00C76417">
      <w:pPr>
        <w:spacing w:after="0" w:line="240" w:lineRule="auto"/>
        <w:jc w:val="both"/>
        <w:rPr>
          <w:rFonts w:ascii="Verdana" w:hAnsi="Verdana"/>
        </w:rPr>
      </w:pPr>
    </w:p>
    <w:p w14:paraId="0AF82189" w14:textId="77777777" w:rsidR="0058650A" w:rsidRDefault="0058650A" w:rsidP="00C76417">
      <w:pPr>
        <w:spacing w:after="0" w:line="240" w:lineRule="auto"/>
        <w:jc w:val="both"/>
        <w:rPr>
          <w:rFonts w:ascii="Verdana" w:hAnsi="Verdana"/>
        </w:rPr>
      </w:pPr>
    </w:p>
    <w:p w14:paraId="51AC33F6" w14:textId="77777777" w:rsidR="0058650A" w:rsidRDefault="0058650A" w:rsidP="00C76417">
      <w:pPr>
        <w:spacing w:after="0" w:line="240" w:lineRule="auto"/>
        <w:jc w:val="both"/>
        <w:rPr>
          <w:rFonts w:ascii="Verdana" w:hAnsi="Verdana"/>
        </w:rPr>
      </w:pPr>
    </w:p>
    <w:p w14:paraId="2F1A670B" w14:textId="77777777" w:rsidR="0058650A" w:rsidRDefault="0058650A" w:rsidP="00C76417">
      <w:pPr>
        <w:spacing w:after="0" w:line="240" w:lineRule="auto"/>
        <w:jc w:val="both"/>
        <w:rPr>
          <w:rFonts w:ascii="Verdana" w:hAnsi="Verdana"/>
        </w:rPr>
      </w:pPr>
    </w:p>
    <w:p w14:paraId="682AEFC2" w14:textId="77777777" w:rsidR="0058650A" w:rsidRDefault="0058650A" w:rsidP="00C76417">
      <w:pPr>
        <w:spacing w:after="0" w:line="240" w:lineRule="auto"/>
        <w:jc w:val="both"/>
        <w:rPr>
          <w:rFonts w:ascii="Verdana" w:hAnsi="Verdana"/>
        </w:rPr>
      </w:pPr>
    </w:p>
    <w:p w14:paraId="02DCF190" w14:textId="77777777" w:rsidR="0058650A" w:rsidRDefault="0058650A" w:rsidP="00C76417">
      <w:pPr>
        <w:spacing w:after="0" w:line="240" w:lineRule="auto"/>
        <w:jc w:val="both"/>
        <w:rPr>
          <w:rFonts w:ascii="Verdana" w:hAnsi="Verdana"/>
        </w:rPr>
      </w:pPr>
    </w:p>
    <w:p w14:paraId="396C9C9C" w14:textId="77777777" w:rsidR="0058650A" w:rsidRDefault="0058650A" w:rsidP="00C76417">
      <w:pPr>
        <w:spacing w:after="0" w:line="240" w:lineRule="auto"/>
        <w:jc w:val="both"/>
        <w:rPr>
          <w:rFonts w:ascii="Verdana" w:hAnsi="Verdana"/>
        </w:rPr>
      </w:pPr>
    </w:p>
    <w:p w14:paraId="00A5C949" w14:textId="77777777" w:rsidR="0058650A" w:rsidRDefault="0058650A" w:rsidP="00C76417">
      <w:pPr>
        <w:spacing w:after="0" w:line="240" w:lineRule="auto"/>
        <w:jc w:val="both"/>
        <w:rPr>
          <w:rFonts w:ascii="Verdana" w:hAnsi="Verdana"/>
        </w:rPr>
      </w:pPr>
    </w:p>
    <w:p w14:paraId="5185A796" w14:textId="77777777" w:rsidR="0058650A" w:rsidRDefault="0058650A" w:rsidP="00C76417">
      <w:pPr>
        <w:spacing w:after="0" w:line="240" w:lineRule="auto"/>
        <w:jc w:val="both"/>
        <w:rPr>
          <w:rFonts w:ascii="Verdana" w:hAnsi="Verdana"/>
        </w:rPr>
      </w:pPr>
    </w:p>
    <w:p w14:paraId="003A082C" w14:textId="77777777" w:rsidR="0058650A" w:rsidRDefault="0058650A" w:rsidP="00C76417">
      <w:pPr>
        <w:spacing w:after="0" w:line="240" w:lineRule="auto"/>
        <w:jc w:val="both"/>
        <w:rPr>
          <w:rFonts w:ascii="Verdana" w:hAnsi="Verdana"/>
        </w:rPr>
      </w:pPr>
    </w:p>
    <w:p w14:paraId="4981E126" w14:textId="77777777" w:rsidR="0058650A" w:rsidRDefault="0058650A" w:rsidP="00C76417">
      <w:pPr>
        <w:spacing w:after="0" w:line="240" w:lineRule="auto"/>
        <w:jc w:val="both"/>
        <w:rPr>
          <w:rFonts w:ascii="Verdana" w:hAnsi="Verdana"/>
        </w:rPr>
      </w:pPr>
    </w:p>
    <w:p w14:paraId="3E11CDE8" w14:textId="77777777" w:rsidR="00D06F2C" w:rsidRDefault="00D06F2C" w:rsidP="00C76417">
      <w:pPr>
        <w:spacing w:after="0" w:line="240" w:lineRule="auto"/>
        <w:jc w:val="both"/>
        <w:rPr>
          <w:rFonts w:ascii="Verdana" w:hAnsi="Verdana"/>
        </w:rPr>
      </w:pPr>
    </w:p>
    <w:p w14:paraId="30ECA9B3" w14:textId="6ADD123E" w:rsidR="00C76417" w:rsidRPr="008E4F36" w:rsidRDefault="00B41C87" w:rsidP="00C76417">
      <w:pPr>
        <w:spacing w:after="0" w:line="240" w:lineRule="auto"/>
        <w:jc w:val="both"/>
        <w:rPr>
          <w:rFonts w:ascii="Verdana" w:hAnsi="Verdana"/>
        </w:rPr>
      </w:pPr>
      <w:r w:rsidRPr="00B41C87">
        <w:rPr>
          <w:rFonts w:ascii="Verdana" w:hAnsi="Verdana"/>
        </w:rPr>
        <w:t xml:space="preserve">Bogotá D.C., 15 </w:t>
      </w:r>
      <w:r>
        <w:rPr>
          <w:rFonts w:ascii="Verdana" w:hAnsi="Verdana"/>
        </w:rPr>
        <w:t>s</w:t>
      </w:r>
      <w:r w:rsidRPr="00B41C87">
        <w:rPr>
          <w:rFonts w:ascii="Verdana" w:hAnsi="Verdana"/>
        </w:rPr>
        <w:t>eptiembre 2026</w:t>
      </w:r>
      <w:r>
        <w:rPr>
          <w:rFonts w:ascii="Verdana" w:hAnsi="Verdana"/>
        </w:rPr>
        <w:t xml:space="preserve"> </w:t>
      </w:r>
    </w:p>
    <w:p w14:paraId="0236FDF1" w14:textId="77777777" w:rsidR="00C76417" w:rsidRPr="008E4F36" w:rsidRDefault="00C76417" w:rsidP="00C76417">
      <w:pPr>
        <w:spacing w:after="0" w:line="240" w:lineRule="auto"/>
        <w:jc w:val="both"/>
        <w:rPr>
          <w:rFonts w:ascii="Verdana" w:eastAsia="Calibri" w:hAnsi="Verdana" w:cs="Arial"/>
          <w:lang w:eastAsia="es-ES"/>
        </w:rPr>
      </w:pPr>
      <w:bookmarkStart w:id="0" w:name="_Hlk197462763"/>
      <w:bookmarkStart w:id="1" w:name="_Hlk197529996"/>
    </w:p>
    <w:p w14:paraId="12B8A5B9" w14:textId="67FD65CA" w:rsidR="00C76417" w:rsidRDefault="00C51290" w:rsidP="00C76417">
      <w:pPr>
        <w:spacing w:after="0" w:line="240" w:lineRule="auto"/>
        <w:jc w:val="both"/>
        <w:rPr>
          <w:rFonts w:ascii="Verdana" w:eastAsia="Calibri" w:hAnsi="Verdana" w:cs="Arial"/>
          <w:lang w:eastAsia="es-ES"/>
        </w:rPr>
      </w:pPr>
      <w:r w:rsidRPr="00C51290">
        <w:rPr>
          <w:rFonts w:ascii="Verdana" w:eastAsia="Calibri" w:hAnsi="Verdana" w:cs="Arial"/>
          <w:lang w:eastAsia="es-ES"/>
        </w:rPr>
        <w:drawing>
          <wp:anchor distT="0" distB="0" distL="114300" distR="114300" simplePos="0" relativeHeight="251660288" behindDoc="1" locked="0" layoutInCell="1" allowOverlap="1" wp14:anchorId="34BFA731" wp14:editId="3842ADBF">
            <wp:simplePos x="0" y="0"/>
            <wp:positionH relativeFrom="column">
              <wp:posOffset>3263216</wp:posOffset>
            </wp:positionH>
            <wp:positionV relativeFrom="paragraph">
              <wp:posOffset>75956</wp:posOffset>
            </wp:positionV>
            <wp:extent cx="2505075" cy="676275"/>
            <wp:effectExtent l="0" t="0" r="9525" b="9525"/>
            <wp:wrapTight wrapText="bothSides">
              <wp:wrapPolygon edited="0">
                <wp:start x="0" y="0"/>
                <wp:lineTo x="0" y="21296"/>
                <wp:lineTo x="21518" y="21296"/>
                <wp:lineTo x="21518" y="0"/>
                <wp:lineTo x="0" y="0"/>
              </wp:wrapPolygon>
            </wp:wrapTight>
            <wp:docPr id="174821726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8217262" name=""/>
                    <pic:cNvPicPr/>
                  </pic:nvPicPr>
                  <pic:blipFill>
                    <a:blip r:embed="rId7">
                      <a:extLst>
                        <a:ext uri="{28A0092B-C50C-407E-A947-70E740481C1C}">
                          <a14:useLocalDpi xmlns:a14="http://schemas.microsoft.com/office/drawing/2010/main" val="0"/>
                        </a:ext>
                      </a:extLst>
                    </a:blip>
                    <a:stretch>
                      <a:fillRect/>
                    </a:stretch>
                  </pic:blipFill>
                  <pic:spPr>
                    <a:xfrm>
                      <a:off x="0" y="0"/>
                      <a:ext cx="2505075" cy="676275"/>
                    </a:xfrm>
                    <a:prstGeom prst="rect">
                      <a:avLst/>
                    </a:prstGeom>
                  </pic:spPr>
                </pic:pic>
              </a:graphicData>
            </a:graphic>
          </wp:anchor>
        </w:drawing>
      </w:r>
    </w:p>
    <w:p w14:paraId="50BA7344" w14:textId="5BBC75BB" w:rsidR="00C76417" w:rsidRPr="0058650A" w:rsidRDefault="00C76417" w:rsidP="00C76417">
      <w:pPr>
        <w:spacing w:after="0" w:line="240" w:lineRule="auto"/>
        <w:jc w:val="both"/>
        <w:rPr>
          <w:rFonts w:ascii="Verdana" w:eastAsia="Calibri" w:hAnsi="Verdana" w:cs="Arial"/>
          <w:lang w:val="en-US" w:eastAsia="es-ES"/>
        </w:rPr>
      </w:pPr>
      <w:r w:rsidRPr="0058650A">
        <w:rPr>
          <w:rFonts w:ascii="Verdana" w:eastAsia="Calibri" w:hAnsi="Verdana" w:cs="Arial"/>
          <w:lang w:val="en-US" w:eastAsia="es-ES"/>
        </w:rPr>
        <w:t>Señor</w:t>
      </w:r>
    </w:p>
    <w:p w14:paraId="377E345A" w14:textId="77777777" w:rsidR="0098368B" w:rsidRPr="0058650A" w:rsidRDefault="0098368B" w:rsidP="00C76417">
      <w:pPr>
        <w:spacing w:after="0" w:line="240" w:lineRule="auto"/>
        <w:jc w:val="both"/>
        <w:rPr>
          <w:rFonts w:ascii="Verdana" w:eastAsia="Calibri" w:hAnsi="Verdana" w:cs="Arial"/>
          <w:b/>
          <w:bCs/>
          <w:lang w:val="en-US" w:eastAsia="es-ES"/>
        </w:rPr>
      </w:pPr>
      <w:r w:rsidRPr="0058650A">
        <w:rPr>
          <w:rFonts w:ascii="Verdana" w:eastAsia="Calibri" w:hAnsi="Verdana" w:cs="Arial"/>
          <w:b/>
          <w:bCs/>
          <w:lang w:val="en-US" w:eastAsia="es-ES"/>
        </w:rPr>
        <w:t>Williams Henry Guevara Torres</w:t>
      </w:r>
    </w:p>
    <w:p w14:paraId="1BE4C601" w14:textId="20562379" w:rsidR="00C76417" w:rsidRPr="0058650A" w:rsidRDefault="0098368B" w:rsidP="00C76417">
      <w:pPr>
        <w:spacing w:after="0" w:line="240" w:lineRule="auto"/>
        <w:jc w:val="both"/>
        <w:rPr>
          <w:rFonts w:ascii="Verdana" w:eastAsia="Calibri" w:hAnsi="Verdana" w:cs="Arial"/>
          <w:b/>
          <w:bCs/>
          <w:lang w:val="en-US" w:eastAsia="es-ES"/>
        </w:rPr>
      </w:pPr>
      <w:hyperlink r:id="rId8" w:history="1">
        <w:r w:rsidRPr="0058650A">
          <w:rPr>
            <w:rStyle w:val="Hipervnculo"/>
            <w:rFonts w:ascii="Verdana" w:eastAsia="Calibri" w:hAnsi="Verdana" w:cs="Arial"/>
            <w:b/>
            <w:bCs/>
            <w:lang w:val="en-US" w:eastAsia="es-ES"/>
          </w:rPr>
          <w:t>magyhen@hotmail.com</w:t>
        </w:r>
      </w:hyperlink>
      <w:r w:rsidRPr="0058650A">
        <w:rPr>
          <w:rFonts w:ascii="Verdana" w:eastAsia="Calibri" w:hAnsi="Verdana" w:cs="Arial"/>
          <w:b/>
          <w:bCs/>
          <w:lang w:val="en-US" w:eastAsia="es-ES"/>
        </w:rPr>
        <w:t xml:space="preserve">  </w:t>
      </w:r>
    </w:p>
    <w:p w14:paraId="328CE716" w14:textId="77777777" w:rsidR="00C76417" w:rsidRPr="0060486D" w:rsidRDefault="00C76417" w:rsidP="00C76417">
      <w:pPr>
        <w:spacing w:after="0" w:line="240" w:lineRule="auto"/>
        <w:jc w:val="both"/>
        <w:rPr>
          <w:rFonts w:ascii="Verdana" w:eastAsia="Calibri" w:hAnsi="Verdana" w:cs="Arial"/>
          <w:bCs/>
          <w:lang w:eastAsia="es-ES_tradnl"/>
        </w:rPr>
      </w:pPr>
      <w:r w:rsidRPr="0060486D">
        <w:rPr>
          <w:rFonts w:ascii="Verdana" w:eastAsia="Calibri" w:hAnsi="Verdana" w:cs="Arial"/>
          <w:bCs/>
          <w:lang w:eastAsia="es-ES_tradnl"/>
        </w:rPr>
        <w:t>C</w:t>
      </w:r>
      <w:r>
        <w:rPr>
          <w:rFonts w:ascii="Verdana" w:eastAsia="Calibri" w:hAnsi="Verdana" w:cs="Arial"/>
          <w:bCs/>
          <w:lang w:eastAsia="es-ES_tradnl"/>
        </w:rPr>
        <w:t>iudad</w:t>
      </w:r>
    </w:p>
    <w:p w14:paraId="6289FED9" w14:textId="77777777" w:rsidR="00C76417" w:rsidRPr="005B4C57" w:rsidRDefault="00C76417" w:rsidP="00C76417">
      <w:pPr>
        <w:spacing w:after="0" w:line="240" w:lineRule="auto"/>
        <w:jc w:val="both"/>
        <w:rPr>
          <w:rFonts w:ascii="Verdana" w:eastAsia="Calibri" w:hAnsi="Verdana" w:cs="Arial"/>
          <w:b/>
          <w:bCs/>
          <w:color w:val="000000"/>
          <w:lang w:val="it-CH"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5670"/>
      </w:tblGrid>
      <w:tr w:rsidR="00C76417" w:rsidRPr="002842E0" w14:paraId="6627D708" w14:textId="77777777" w:rsidTr="00C83358">
        <w:trPr>
          <w:trHeight w:val="162"/>
        </w:trPr>
        <w:tc>
          <w:tcPr>
            <w:tcW w:w="3119" w:type="dxa"/>
          </w:tcPr>
          <w:p w14:paraId="6302AC16" w14:textId="77777777" w:rsidR="00C76417" w:rsidRPr="005B4C57" w:rsidRDefault="00C76417" w:rsidP="00C83358">
            <w:pPr>
              <w:jc w:val="both"/>
              <w:rPr>
                <w:rFonts w:ascii="Verdana" w:eastAsia="Calibri" w:hAnsi="Verdana" w:cs="Arial"/>
                <w:b/>
                <w:bCs/>
                <w:color w:val="7030A0"/>
                <w:lang w:val="it-CH" w:eastAsia="es-ES_tradnl"/>
              </w:rPr>
            </w:pPr>
          </w:p>
        </w:tc>
        <w:tc>
          <w:tcPr>
            <w:tcW w:w="5670" w:type="dxa"/>
          </w:tcPr>
          <w:p w14:paraId="7890BF5A" w14:textId="77777777" w:rsidR="00C76417" w:rsidRPr="00801462" w:rsidRDefault="00C76417" w:rsidP="00C83358">
            <w:pPr>
              <w:jc w:val="both"/>
              <w:rPr>
                <w:rFonts w:ascii="Verdana" w:eastAsia="Calibri" w:hAnsi="Verdana" w:cs="Arial"/>
                <w:b/>
                <w:bCs/>
                <w:lang w:eastAsia="es-ES"/>
              </w:rPr>
            </w:pPr>
            <w:r w:rsidRPr="00083AB6">
              <w:rPr>
                <w:rFonts w:ascii="Verdana" w:eastAsia="Calibri" w:hAnsi="Verdana" w:cs="Arial"/>
                <w:b/>
                <w:bCs/>
                <w:lang w:eastAsia="es-ES"/>
              </w:rPr>
              <w:t xml:space="preserve">Concepto C- </w:t>
            </w:r>
            <w:r>
              <w:rPr>
                <w:rFonts w:ascii="Verdana" w:eastAsia="Calibri" w:hAnsi="Verdana" w:cs="Arial"/>
                <w:b/>
                <w:bCs/>
                <w:lang w:eastAsia="es-ES"/>
              </w:rPr>
              <w:t>1235 de 2026</w:t>
            </w:r>
          </w:p>
          <w:p w14:paraId="6409C718" w14:textId="77777777" w:rsidR="00C76417" w:rsidRPr="00801462" w:rsidRDefault="00C76417" w:rsidP="00C83358">
            <w:pPr>
              <w:jc w:val="both"/>
              <w:rPr>
                <w:rFonts w:ascii="Verdana" w:eastAsia="Calibri" w:hAnsi="Verdana" w:cs="Arial"/>
                <w:b/>
                <w:bCs/>
                <w:color w:val="7030A0"/>
                <w:lang w:eastAsia="es-ES"/>
              </w:rPr>
            </w:pPr>
          </w:p>
        </w:tc>
      </w:tr>
      <w:tr w:rsidR="00C76417" w:rsidRPr="002842E0" w14:paraId="3308A2E7" w14:textId="77777777" w:rsidTr="00C83358">
        <w:trPr>
          <w:trHeight w:val="884"/>
        </w:trPr>
        <w:tc>
          <w:tcPr>
            <w:tcW w:w="3119" w:type="dxa"/>
          </w:tcPr>
          <w:p w14:paraId="21713CA7" w14:textId="77777777" w:rsidR="00C76417" w:rsidRPr="00801462" w:rsidRDefault="00C76417" w:rsidP="00C83358">
            <w:pPr>
              <w:jc w:val="both"/>
              <w:rPr>
                <w:rFonts w:ascii="Verdana" w:eastAsia="Calibri" w:hAnsi="Verdana" w:cs="Arial"/>
                <w:color w:val="000000"/>
                <w:lang w:eastAsia="es-ES_tradnl"/>
              </w:rPr>
            </w:pPr>
            <w:r w:rsidRPr="00801462">
              <w:rPr>
                <w:rFonts w:ascii="Verdana" w:eastAsia="Calibri" w:hAnsi="Verdana" w:cs="Arial"/>
                <w:b/>
                <w:color w:val="000000"/>
                <w:lang w:eastAsia="es-ES_tradnl"/>
              </w:rPr>
              <w:t>Temas:</w:t>
            </w:r>
            <w:r w:rsidRPr="00801462">
              <w:rPr>
                <w:rFonts w:ascii="Verdana" w:eastAsia="Calibri" w:hAnsi="Verdana" w:cs="Arial"/>
                <w:color w:val="000000"/>
                <w:lang w:eastAsia="es-ES_tradnl"/>
              </w:rPr>
              <w:t xml:space="preserve">                   </w:t>
            </w:r>
          </w:p>
        </w:tc>
        <w:tc>
          <w:tcPr>
            <w:tcW w:w="5670" w:type="dxa"/>
          </w:tcPr>
          <w:p w14:paraId="103097FB" w14:textId="77777777" w:rsidR="00C76417" w:rsidRPr="004D25C4" w:rsidRDefault="00C76417" w:rsidP="00C83358">
            <w:pPr>
              <w:jc w:val="both"/>
              <w:rPr>
                <w:rFonts w:ascii="Verdana" w:hAnsi="Verdana" w:cs="Arial"/>
                <w:color w:val="EE0000"/>
                <w:lang w:val="es-ES_tradnl"/>
              </w:rPr>
            </w:pPr>
            <w:r w:rsidRPr="0055084E">
              <w:rPr>
                <w:rFonts w:ascii="Verdana" w:hAnsi="Verdana" w:cs="Arial"/>
                <w:lang w:val="es-ES_tradnl"/>
              </w:rPr>
              <w:t>SISTEMA DE PREFERENCIA PARA PERSONAS CON DISCAPACIDAD ‒ Constitución Política ‒ Ley 1618 de 2013</w:t>
            </w:r>
            <w:r>
              <w:rPr>
                <w:rFonts w:ascii="Verdana" w:hAnsi="Verdana" w:cs="Arial"/>
                <w:lang w:val="es-ES_tradnl"/>
              </w:rPr>
              <w:t xml:space="preserve"> / </w:t>
            </w:r>
            <w:r w:rsidRPr="00DB5761">
              <w:rPr>
                <w:rFonts w:ascii="Verdana" w:hAnsi="Verdana" w:cs="Arial"/>
                <w:lang w:val="es-ES_tradnl"/>
              </w:rPr>
              <w:t xml:space="preserve">DECRETO 0287 DE 2026 ‒ Sistema Integral de Preferencias ‒ Contratación pública inclusiva ‒ Personas con discapacidad </w:t>
            </w:r>
            <w:r w:rsidRPr="00DB5761">
              <w:rPr>
                <w:rFonts w:ascii="Verdana" w:eastAsia="Calibri" w:hAnsi="Verdana" w:cs="Arial"/>
              </w:rPr>
              <w:t>/</w:t>
            </w:r>
            <w:r w:rsidRPr="00DB5761">
              <w:rPr>
                <w:rFonts w:ascii="Verdana" w:hAnsi="Verdana" w:cs="Arial"/>
                <w:lang w:val="es-ES_tradnl"/>
              </w:rPr>
              <w:t xml:space="preserve"> DECRETO 0287 DE </w:t>
            </w:r>
            <w:r w:rsidRPr="006A3243">
              <w:rPr>
                <w:rFonts w:ascii="Verdana" w:hAnsi="Verdana" w:cs="Arial"/>
                <w:lang w:val="es-ES_tradnl"/>
              </w:rPr>
              <w:t xml:space="preserve">2026 ‒ Antecedentes normativos ‒ Decreto 392 de 2018 ‒ </w:t>
            </w:r>
            <w:r w:rsidRPr="00DA187A">
              <w:rPr>
                <w:rFonts w:ascii="Verdana" w:hAnsi="Verdana" w:cs="Arial"/>
                <w:lang w:val="es-ES_tradnl"/>
              </w:rPr>
              <w:t xml:space="preserve">Omisiones reglamentarias ‒ Sentencia de acción de cumplimiento / DECRETO 0287 DE 2026 ‒ Sujetos del sistema ‒ Emprendimientos y empresas de personas con discapacidad ‒ Empleadores de personas con discapacidad ‒ Definición y </w:t>
            </w:r>
            <w:r w:rsidRPr="00B229BF">
              <w:rPr>
                <w:rFonts w:ascii="Verdana" w:hAnsi="Verdana" w:cs="Arial"/>
                <w:lang w:val="es-ES_tradnl"/>
              </w:rPr>
              <w:t>diferenciación / DECRETO 0287 DE 2026 ‒ Vigencia ‒ Derogatoria ‒ Decreto 392 de 2018 ‒ Régimen de transición ‒ Resolución de apertura</w:t>
            </w:r>
          </w:p>
          <w:p w14:paraId="33432C56" w14:textId="77777777" w:rsidR="00C76417" w:rsidRPr="00801462" w:rsidRDefault="00C76417" w:rsidP="00C83358">
            <w:pPr>
              <w:jc w:val="both"/>
              <w:rPr>
                <w:rFonts w:ascii="Verdana" w:eastAsia="Calibri" w:hAnsi="Verdana" w:cs="Arial"/>
                <w:lang w:val="es-ES_tradnl" w:eastAsia="es-ES"/>
              </w:rPr>
            </w:pPr>
          </w:p>
        </w:tc>
      </w:tr>
      <w:tr w:rsidR="00C76417" w:rsidRPr="002842E0" w14:paraId="4814B67D" w14:textId="77777777" w:rsidTr="00C83358">
        <w:tc>
          <w:tcPr>
            <w:tcW w:w="3119" w:type="dxa"/>
          </w:tcPr>
          <w:p w14:paraId="6D5E5294" w14:textId="77777777" w:rsidR="00C76417" w:rsidRPr="0028002D" w:rsidRDefault="00C76417" w:rsidP="00C83358">
            <w:pPr>
              <w:jc w:val="both"/>
              <w:rPr>
                <w:rFonts w:ascii="Verdana" w:eastAsia="Calibri" w:hAnsi="Verdana" w:cs="Arial"/>
                <w:b/>
                <w:lang w:eastAsia="es-ES_tradnl"/>
              </w:rPr>
            </w:pPr>
            <w:r w:rsidRPr="0028002D">
              <w:rPr>
                <w:rFonts w:ascii="Verdana" w:eastAsia="Calibri" w:hAnsi="Verdana" w:cs="Arial"/>
                <w:b/>
                <w:lang w:eastAsia="es-ES_tradnl"/>
              </w:rPr>
              <w:t>Radicación:</w:t>
            </w:r>
            <w:r w:rsidRPr="0028002D">
              <w:rPr>
                <w:rFonts w:ascii="Verdana" w:eastAsia="Calibri" w:hAnsi="Verdana" w:cs="Arial"/>
                <w:lang w:eastAsia="es-ES_tradnl"/>
              </w:rPr>
              <w:t xml:space="preserve">               </w:t>
            </w:r>
          </w:p>
        </w:tc>
        <w:tc>
          <w:tcPr>
            <w:tcW w:w="5670" w:type="dxa"/>
          </w:tcPr>
          <w:p w14:paraId="5692EFBA" w14:textId="46B1CDE0" w:rsidR="00C76417" w:rsidRPr="0067184A" w:rsidRDefault="00C76417" w:rsidP="00C83358">
            <w:pPr>
              <w:jc w:val="both"/>
              <w:rPr>
                <w:rFonts w:ascii="Verdana" w:hAnsi="Verdana"/>
                <w:color w:val="242424"/>
              </w:rPr>
            </w:pPr>
            <w:r w:rsidRPr="0028002D">
              <w:rPr>
                <w:rFonts w:ascii="Verdana" w:eastAsia="Calibri" w:hAnsi="Verdana" w:cs="Arial"/>
                <w:lang w:eastAsia="es-ES_tradnl"/>
              </w:rPr>
              <w:t>Respuesta a consulta con radicado 1</w:t>
            </w:r>
            <w:r w:rsidRPr="0028002D">
              <w:rPr>
                <w:rFonts w:ascii="Verdana" w:hAnsi="Verdana"/>
                <w:color w:val="242424"/>
              </w:rPr>
              <w:t>_2026_08_05_010396</w:t>
            </w:r>
            <w:r w:rsidR="00203855" w:rsidRPr="0028002D">
              <w:rPr>
                <w:rFonts w:ascii="Verdana" w:hAnsi="Verdana"/>
                <w:color w:val="242424"/>
              </w:rPr>
              <w:t xml:space="preserve"> &amp; </w:t>
            </w:r>
            <w:r w:rsidR="0067184A" w:rsidRPr="0067184A">
              <w:rPr>
                <w:rFonts w:ascii="Verdana" w:hAnsi="Verdana"/>
                <w:color w:val="242424"/>
              </w:rPr>
              <w:t>1_2026_08_05_010346</w:t>
            </w:r>
            <w:r w:rsidR="00B23F56" w:rsidRPr="0028002D">
              <w:rPr>
                <w:rFonts w:ascii="Verdana" w:hAnsi="Verdana"/>
                <w:color w:val="242424"/>
              </w:rPr>
              <w:t xml:space="preserve"> (acu</w:t>
            </w:r>
            <w:r w:rsidR="0028002D" w:rsidRPr="0028002D">
              <w:rPr>
                <w:rFonts w:ascii="Verdana" w:hAnsi="Verdana"/>
                <w:color w:val="242424"/>
              </w:rPr>
              <w:t>muladas)</w:t>
            </w:r>
          </w:p>
          <w:p w14:paraId="5E038511" w14:textId="77777777" w:rsidR="00C76417" w:rsidRPr="0028002D" w:rsidRDefault="00C76417" w:rsidP="00C83358">
            <w:pPr>
              <w:jc w:val="both"/>
              <w:rPr>
                <w:rFonts w:ascii="Verdana" w:eastAsia="Calibri" w:hAnsi="Verdana" w:cs="Arial"/>
                <w:color w:val="000000" w:themeColor="text1"/>
                <w:lang w:eastAsia="es-ES_tradnl"/>
              </w:rPr>
            </w:pPr>
          </w:p>
        </w:tc>
      </w:tr>
    </w:tbl>
    <w:p w14:paraId="5DA9C707" w14:textId="77777777" w:rsidR="00C76417" w:rsidRDefault="00C76417" w:rsidP="00C76417">
      <w:pPr>
        <w:spacing w:after="0" w:line="276" w:lineRule="auto"/>
        <w:jc w:val="both"/>
        <w:rPr>
          <w:rFonts w:ascii="Verdana" w:eastAsia="Calibri" w:hAnsi="Verdana" w:cs="Arial"/>
          <w:lang w:eastAsia="es-ES_tradnl"/>
        </w:rPr>
      </w:pPr>
    </w:p>
    <w:p w14:paraId="55454DC7" w14:textId="77777777" w:rsidR="00C76417" w:rsidRPr="008E4F36" w:rsidRDefault="00C76417" w:rsidP="00C76417">
      <w:pPr>
        <w:spacing w:after="0" w:line="276" w:lineRule="auto"/>
        <w:jc w:val="both"/>
        <w:rPr>
          <w:rFonts w:ascii="Verdana" w:eastAsia="Calibri" w:hAnsi="Verdana" w:cs="Arial"/>
          <w:lang w:eastAsia="es-ES"/>
        </w:rPr>
      </w:pPr>
      <w:r w:rsidRPr="00083AB6">
        <w:rPr>
          <w:rFonts w:ascii="Verdana" w:eastAsia="Calibri" w:hAnsi="Verdana" w:cs="Arial"/>
          <w:lang w:eastAsia="es-ES"/>
        </w:rPr>
        <w:t>Estimad</w:t>
      </w:r>
      <w:r>
        <w:rPr>
          <w:rFonts w:ascii="Verdana" w:eastAsia="Calibri" w:hAnsi="Verdana" w:cs="Arial"/>
          <w:lang w:eastAsia="es-ES"/>
        </w:rPr>
        <w:t>o señor</w:t>
      </w:r>
      <w:r w:rsidRPr="00083AB6">
        <w:rPr>
          <w:rFonts w:ascii="Verdana" w:eastAsia="Calibri" w:hAnsi="Verdana" w:cs="Arial"/>
          <w:lang w:eastAsia="es-ES"/>
        </w:rPr>
        <w:t>:</w:t>
      </w:r>
      <w:r w:rsidRPr="008E4F36">
        <w:rPr>
          <w:rFonts w:ascii="Verdana" w:eastAsia="Calibri" w:hAnsi="Verdana" w:cs="Arial"/>
          <w:lang w:eastAsia="es-ES"/>
        </w:rPr>
        <w:t xml:space="preserve"> </w:t>
      </w:r>
    </w:p>
    <w:p w14:paraId="5EC5BD42" w14:textId="77777777" w:rsidR="00C76417" w:rsidRDefault="00C76417" w:rsidP="00C76417">
      <w:pPr>
        <w:tabs>
          <w:tab w:val="left" w:pos="3768"/>
        </w:tabs>
        <w:spacing w:after="0" w:line="240" w:lineRule="auto"/>
        <w:jc w:val="both"/>
        <w:rPr>
          <w:rFonts w:ascii="Verdana" w:eastAsia="Calibri" w:hAnsi="Verdana" w:cs="Arial"/>
          <w:lang w:eastAsia="es-ES"/>
        </w:rPr>
      </w:pPr>
    </w:p>
    <w:p w14:paraId="62FA7161" w14:textId="77777777" w:rsidR="00C76417" w:rsidRPr="008E4F36" w:rsidRDefault="00C76417" w:rsidP="00C76417">
      <w:pPr>
        <w:tabs>
          <w:tab w:val="left" w:pos="3768"/>
        </w:tabs>
        <w:spacing w:after="0" w:line="276" w:lineRule="auto"/>
        <w:jc w:val="both"/>
        <w:rPr>
          <w:rFonts w:ascii="Verdana" w:eastAsia="Calibri" w:hAnsi="Verdana" w:cs="Arial"/>
          <w:lang w:eastAsia="es-ES"/>
        </w:rPr>
      </w:pPr>
      <w:r w:rsidRPr="000F2158">
        <w:rPr>
          <w:rFonts w:ascii="Verdana" w:eastAsia="Calibri" w:hAnsi="Verdana" w:cs="Arial"/>
          <w:lang w:eastAsia="es-ES"/>
        </w:rPr>
        <w:t xml:space="preserve">En ejercicio de la competencia otorgada por los artículos 3, numeral 5º, y 11, numeral 8º, del Decreto Ley 4170 de 2011, así como lo establecido en la Resolución </w:t>
      </w:r>
      <w:r>
        <w:rPr>
          <w:rFonts w:ascii="Verdana" w:eastAsia="Calibri" w:hAnsi="Verdana" w:cs="Arial"/>
          <w:lang w:eastAsia="es-ES"/>
        </w:rPr>
        <w:t>469 de 2025</w:t>
      </w:r>
      <w:r w:rsidRPr="000F2158">
        <w:rPr>
          <w:rFonts w:ascii="Verdana" w:eastAsia="Calibri" w:hAnsi="Verdana" w:cs="Arial"/>
          <w:lang w:eastAsia="es-ES"/>
        </w:rPr>
        <w:t xml:space="preserve"> expedida por esta Entidad, la Agencia Nacional de Contratación Pública – Colombia Compra Eficiente– responde su solicitud de consulta de fecha </w:t>
      </w:r>
      <w:r>
        <w:rPr>
          <w:rFonts w:ascii="Verdana" w:eastAsia="Calibri" w:hAnsi="Verdana" w:cs="Arial"/>
          <w:lang w:eastAsia="es-ES"/>
        </w:rPr>
        <w:t xml:space="preserve">5 </w:t>
      </w:r>
      <w:r w:rsidRPr="00AF6D58">
        <w:rPr>
          <w:rFonts w:ascii="Verdana" w:eastAsia="Calibri" w:hAnsi="Verdana" w:cs="Arial"/>
          <w:lang w:eastAsia="es-ES"/>
        </w:rPr>
        <w:t xml:space="preserve">de </w:t>
      </w:r>
      <w:r>
        <w:rPr>
          <w:rFonts w:ascii="Verdana" w:eastAsia="Calibri" w:hAnsi="Verdana" w:cs="Arial"/>
          <w:lang w:eastAsia="es-ES"/>
        </w:rPr>
        <w:t>agosto</w:t>
      </w:r>
      <w:r w:rsidRPr="00AF6D58">
        <w:rPr>
          <w:rFonts w:ascii="Verdana" w:eastAsia="Calibri" w:hAnsi="Verdana" w:cs="Arial"/>
          <w:lang w:eastAsia="es-ES"/>
        </w:rPr>
        <w:t xml:space="preserve"> de 202</w:t>
      </w:r>
      <w:r>
        <w:rPr>
          <w:rFonts w:ascii="Verdana" w:eastAsia="Calibri" w:hAnsi="Verdana" w:cs="Arial"/>
          <w:lang w:eastAsia="es-ES"/>
        </w:rPr>
        <w:t>6</w:t>
      </w:r>
      <w:r w:rsidRPr="00AF6D58">
        <w:rPr>
          <w:rFonts w:ascii="Verdana" w:eastAsia="Calibri" w:hAnsi="Verdana" w:cs="Arial"/>
          <w:lang w:eastAsia="es-ES"/>
        </w:rPr>
        <w:t>,</w:t>
      </w:r>
      <w:r w:rsidRPr="000F2158">
        <w:rPr>
          <w:rFonts w:ascii="Verdana" w:eastAsia="Calibri" w:hAnsi="Verdana" w:cs="Arial"/>
          <w:lang w:eastAsia="es-ES"/>
        </w:rPr>
        <w:t xml:space="preserve"> en la cual manifiesta lo siguiente:</w:t>
      </w:r>
    </w:p>
    <w:p w14:paraId="3CDC7F5D" w14:textId="77777777" w:rsidR="00C76417" w:rsidRPr="008C54F3" w:rsidRDefault="00C76417" w:rsidP="00C76417">
      <w:pPr>
        <w:spacing w:line="240" w:lineRule="auto"/>
        <w:ind w:left="709" w:right="709"/>
        <w:jc w:val="both"/>
        <w:rPr>
          <w:rFonts w:ascii="Verdana" w:eastAsia="Calibri" w:hAnsi="Verdana" w:cs="Arial"/>
          <w:color w:val="000000" w:themeColor="text1"/>
          <w:sz w:val="20"/>
          <w:szCs w:val="20"/>
        </w:rPr>
      </w:pPr>
    </w:p>
    <w:p w14:paraId="720EE68D" w14:textId="77777777" w:rsidR="00C76417" w:rsidRPr="006F11FC" w:rsidRDefault="00C76417" w:rsidP="00C76417">
      <w:pPr>
        <w:spacing w:line="240" w:lineRule="auto"/>
        <w:ind w:left="709" w:right="709"/>
        <w:jc w:val="both"/>
        <w:rPr>
          <w:rFonts w:ascii="Verdana" w:eastAsia="Calibri" w:hAnsi="Verdana" w:cs="Arial"/>
          <w:i/>
          <w:iCs/>
          <w:color w:val="000000" w:themeColor="text1"/>
          <w:sz w:val="20"/>
          <w:szCs w:val="20"/>
        </w:rPr>
      </w:pPr>
      <w:r w:rsidRPr="008C54F3">
        <w:rPr>
          <w:rFonts w:ascii="Verdana" w:eastAsia="Calibri" w:hAnsi="Verdana" w:cs="Arial"/>
          <w:i/>
          <w:iCs/>
          <w:color w:val="000000" w:themeColor="text1"/>
          <w:sz w:val="20"/>
          <w:szCs w:val="20"/>
        </w:rPr>
        <w:lastRenderedPageBreak/>
        <w:t>“</w:t>
      </w:r>
      <w:r w:rsidRPr="0060486D">
        <w:rPr>
          <w:rFonts w:ascii="Verdana" w:eastAsia="Calibri" w:hAnsi="Verdana" w:cs="Arial"/>
          <w:i/>
          <w:iCs/>
          <w:color w:val="000000" w:themeColor="text1"/>
          <w:sz w:val="20"/>
          <w:szCs w:val="20"/>
        </w:rPr>
        <w:t>Por</w:t>
      </w:r>
      <w:r w:rsidRPr="006F11FC">
        <w:rPr>
          <w:rFonts w:ascii="Verdana" w:eastAsia="Calibri" w:hAnsi="Verdana" w:cs="Arial"/>
          <w:i/>
          <w:iCs/>
          <w:color w:val="000000" w:themeColor="text1"/>
          <w:sz w:val="20"/>
          <w:szCs w:val="20"/>
        </w:rPr>
        <w:t xml:space="preserve"> medio de la presente me permito realizar una consulta relacionada con la implementación del Decreto 0287 de 2026, mediante el cual se establecen medidas en materia de contratación pública para la inclusión de personas con discapacidad.</w:t>
      </w:r>
    </w:p>
    <w:p w14:paraId="40AFB246" w14:textId="77777777" w:rsidR="00C76417" w:rsidRPr="006F11FC" w:rsidRDefault="00C76417" w:rsidP="00C76417">
      <w:pPr>
        <w:spacing w:line="240" w:lineRule="auto"/>
        <w:ind w:left="709" w:right="709"/>
        <w:jc w:val="both"/>
        <w:rPr>
          <w:rFonts w:ascii="Verdana" w:eastAsia="Calibri" w:hAnsi="Verdana" w:cs="Arial"/>
          <w:i/>
          <w:iCs/>
          <w:color w:val="000000" w:themeColor="text1"/>
          <w:sz w:val="20"/>
          <w:szCs w:val="20"/>
        </w:rPr>
      </w:pPr>
      <w:r w:rsidRPr="006F11FC">
        <w:rPr>
          <w:rFonts w:ascii="Verdana" w:eastAsia="Calibri" w:hAnsi="Verdana" w:cs="Arial"/>
          <w:i/>
          <w:iCs/>
          <w:color w:val="000000" w:themeColor="text1"/>
          <w:sz w:val="20"/>
          <w:szCs w:val="20"/>
        </w:rPr>
        <w:t>Respetuosamente, solicitamos nos informen si las entidades estatales ya deben implementar las disposiciones contenidas en dicho decreto en sus procesos de contratación o, en caso contrario, a partir de qué fecha o bajo qué condiciones será obligatoria su aplicación.</w:t>
      </w:r>
    </w:p>
    <w:p w14:paraId="2F56F56E" w14:textId="77777777" w:rsidR="00C76417" w:rsidRPr="0060486D" w:rsidRDefault="00C76417" w:rsidP="00C76417">
      <w:pPr>
        <w:spacing w:line="240" w:lineRule="auto"/>
        <w:ind w:left="709" w:right="709"/>
        <w:jc w:val="both"/>
        <w:rPr>
          <w:rFonts w:ascii="Verdana" w:eastAsia="Calibri" w:hAnsi="Verdana" w:cs="Arial"/>
          <w:i/>
          <w:iCs/>
          <w:color w:val="000000" w:themeColor="text1"/>
          <w:sz w:val="20"/>
          <w:szCs w:val="20"/>
        </w:rPr>
      </w:pPr>
      <w:r w:rsidRPr="006F11FC">
        <w:rPr>
          <w:rFonts w:ascii="Verdana" w:eastAsia="Calibri" w:hAnsi="Verdana" w:cs="Arial"/>
          <w:i/>
          <w:iCs/>
          <w:color w:val="000000" w:themeColor="text1"/>
          <w:sz w:val="20"/>
          <w:szCs w:val="20"/>
        </w:rPr>
        <w:t>Lo anterior, teniendo en cuenta que en algunos procesos de contratación aún no se evidencian las medidas previstas en el decreto, especialmente en aquellos que utilizan documentos tipo, por lo que agradecemos nos indiquen si existe un cronograma de implementación o lineamientos adicionales para las entidades públicas.</w:t>
      </w:r>
      <w:r>
        <w:rPr>
          <w:rFonts w:ascii="Verdana" w:eastAsia="Calibri" w:hAnsi="Verdana" w:cs="Arial"/>
          <w:i/>
          <w:iCs/>
          <w:color w:val="000000" w:themeColor="text1"/>
          <w:sz w:val="20"/>
          <w:szCs w:val="20"/>
        </w:rPr>
        <w:t>”</w:t>
      </w:r>
    </w:p>
    <w:p w14:paraId="36125A2C" w14:textId="77777777" w:rsidR="00C76417" w:rsidRDefault="00C76417" w:rsidP="00C76417">
      <w:pPr>
        <w:spacing w:before="120" w:after="0" w:line="276" w:lineRule="auto"/>
        <w:ind w:firstLine="709"/>
        <w:jc w:val="both"/>
        <w:rPr>
          <w:rFonts w:ascii="Verdana" w:eastAsia="Calibri" w:hAnsi="Verdana" w:cs="Arial"/>
          <w:color w:val="000000"/>
          <w:szCs w:val="24"/>
          <w:lang w:eastAsia="es-ES_tradnl"/>
        </w:rPr>
      </w:pPr>
      <w:r w:rsidRPr="008E4F36">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791A2252" w14:textId="77777777" w:rsidR="00C76417" w:rsidRPr="00054383" w:rsidRDefault="00C76417" w:rsidP="00C76417">
      <w:pPr>
        <w:spacing w:before="120" w:after="0" w:line="276" w:lineRule="auto"/>
        <w:ind w:firstLine="709"/>
        <w:jc w:val="both"/>
        <w:rPr>
          <w:rFonts w:ascii="Verdana" w:eastAsia="Calibri" w:hAnsi="Verdana" w:cs="Arial"/>
          <w:color w:val="000000"/>
          <w:szCs w:val="24"/>
          <w:lang w:eastAsia="es-ES_tradnl"/>
        </w:rPr>
      </w:pPr>
      <w:r w:rsidRPr="008E4F36">
        <w:rPr>
          <w:rFonts w:ascii="Verdana" w:eastAsia="Calibri" w:hAnsi="Verdana" w:cs="Arial"/>
          <w:color w:val="000000"/>
          <w:lang w:eastAsia="es-ES"/>
        </w:rPr>
        <w:t xml:space="preserve">Conforme lo expuesto, en aras de garantizar el derecho fundamental de petición, se resolverá su petición dentro de los límites de la referida competencia consultiva, esto es, haciendo abstracción del caso particular y concreto señalado en su petición, pero señalando algunas consideraciones sobre las normas generales relacionadas </w:t>
      </w:r>
      <w:r w:rsidRPr="002975A0">
        <w:rPr>
          <w:rFonts w:ascii="Verdana" w:eastAsia="Calibri" w:hAnsi="Verdana" w:cs="Arial"/>
          <w:color w:val="000000"/>
          <w:lang w:eastAsia="es-ES"/>
        </w:rPr>
        <w:t xml:space="preserve">con </w:t>
      </w:r>
      <w:r>
        <w:rPr>
          <w:rFonts w:ascii="Verdana" w:eastAsia="Calibri" w:hAnsi="Verdana" w:cs="Arial"/>
          <w:color w:val="000000"/>
          <w:lang w:eastAsia="es-ES"/>
        </w:rPr>
        <w:t xml:space="preserve">el </w:t>
      </w:r>
      <w:r w:rsidRPr="002975A0">
        <w:rPr>
          <w:rFonts w:ascii="Verdana" w:eastAsia="Calibri" w:hAnsi="Verdana" w:cs="Arial"/>
          <w:color w:val="000000"/>
          <w:lang w:eastAsia="es-ES"/>
        </w:rPr>
        <w:t>problema jurídico de su consulta.</w:t>
      </w:r>
      <w:r w:rsidRPr="008E4F36">
        <w:rPr>
          <w:rFonts w:ascii="Verdana" w:eastAsia="Calibri" w:hAnsi="Verdana" w:cs="Arial"/>
          <w:color w:val="000000"/>
          <w:lang w:eastAsia="es-ES"/>
        </w:rPr>
        <w:t xml:space="preserve">  </w:t>
      </w:r>
    </w:p>
    <w:p w14:paraId="7AA3A9E8" w14:textId="77777777" w:rsidR="00C76417" w:rsidRPr="008E4F36" w:rsidRDefault="00C76417" w:rsidP="00C76417">
      <w:pPr>
        <w:spacing w:after="0"/>
        <w:ind w:firstLine="709"/>
        <w:jc w:val="both"/>
        <w:rPr>
          <w:rFonts w:ascii="Verdana" w:eastAsia="Calibri" w:hAnsi="Verdana" w:cs="Arial"/>
          <w:color w:val="000000"/>
          <w:lang w:eastAsia="es-ES"/>
        </w:rPr>
      </w:pPr>
    </w:p>
    <w:p w14:paraId="73BA2EE0" w14:textId="77777777" w:rsidR="00C76417" w:rsidRDefault="00C76417" w:rsidP="00C76417">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8E4F36">
        <w:rPr>
          <w:rFonts w:ascii="Verdana" w:eastAsia="Century Gothic" w:hAnsi="Verdana" w:cs="Century Gothic"/>
          <w:b/>
          <w:bCs/>
        </w:rPr>
        <w:t>Problema planteado:</w:t>
      </w:r>
    </w:p>
    <w:p w14:paraId="48A5427B" w14:textId="77777777" w:rsidR="00C76417" w:rsidRDefault="00C76417" w:rsidP="00C76417">
      <w:pPr>
        <w:spacing w:after="0" w:line="276" w:lineRule="auto"/>
        <w:jc w:val="both"/>
        <w:rPr>
          <w:rFonts w:ascii="Verdana" w:eastAsia="Calibri" w:hAnsi="Verdana" w:cs="Arial"/>
          <w:color w:val="000000"/>
          <w:highlight w:val="yellow"/>
          <w:lang w:eastAsia="es-ES"/>
        </w:rPr>
      </w:pPr>
    </w:p>
    <w:p w14:paraId="06F4534F" w14:textId="77777777" w:rsidR="00C76417" w:rsidRPr="0004750F" w:rsidRDefault="00C76417" w:rsidP="00C76417">
      <w:pPr>
        <w:spacing w:after="0" w:line="276" w:lineRule="auto"/>
        <w:jc w:val="both"/>
        <w:rPr>
          <w:rFonts w:ascii="Verdana" w:eastAsia="Calibri" w:hAnsi="Verdana" w:cs="Arial"/>
          <w:color w:val="000000"/>
          <w:lang w:eastAsia="es-ES"/>
        </w:rPr>
      </w:pPr>
      <w:r w:rsidRPr="00005FE3">
        <w:rPr>
          <w:rFonts w:ascii="Verdana" w:eastAsia="Calibri" w:hAnsi="Verdana" w:cs="Arial"/>
          <w:color w:val="000000"/>
          <w:lang w:eastAsia="es-ES"/>
        </w:rPr>
        <w:t xml:space="preserve">De acuerdo con el contenido de su solicitud, esta Agencia resolverá </w:t>
      </w:r>
      <w:r>
        <w:rPr>
          <w:rFonts w:ascii="Verdana" w:eastAsia="Calibri" w:hAnsi="Verdana" w:cs="Arial"/>
          <w:color w:val="000000"/>
          <w:lang w:eastAsia="es-ES"/>
        </w:rPr>
        <w:t>el siguiente</w:t>
      </w:r>
      <w:r w:rsidRPr="00005FE3">
        <w:rPr>
          <w:rFonts w:ascii="Verdana" w:eastAsia="Calibri" w:hAnsi="Verdana" w:cs="Arial"/>
          <w:color w:val="000000"/>
          <w:lang w:eastAsia="es-ES"/>
        </w:rPr>
        <w:t xml:space="preserve"> problema jurídico: </w:t>
      </w:r>
      <w:r w:rsidRPr="009A788D">
        <w:rPr>
          <w:rFonts w:ascii="Verdana" w:eastAsia="Century Gothic" w:hAnsi="Verdana" w:cs="Century Gothic"/>
        </w:rPr>
        <w:t xml:space="preserve">i. ¿Cuál es el alcance de la aplicación temporal del Decreto 287 de 2026 en los procesos de contratación estatal? y </w:t>
      </w:r>
      <w:proofErr w:type="spellStart"/>
      <w:r w:rsidRPr="009A788D">
        <w:rPr>
          <w:rFonts w:ascii="Verdana" w:eastAsia="Century Gothic" w:hAnsi="Verdana" w:cs="Century Gothic"/>
        </w:rPr>
        <w:t>ii</w:t>
      </w:r>
      <w:proofErr w:type="spellEnd"/>
      <w:r w:rsidRPr="009A788D">
        <w:rPr>
          <w:rFonts w:ascii="Verdana" w:eastAsia="Century Gothic" w:hAnsi="Verdana" w:cs="Century Gothic"/>
        </w:rPr>
        <w:t xml:space="preserve">. ¿Las medidas previstas </w:t>
      </w:r>
      <w:r w:rsidRPr="009A788D">
        <w:rPr>
          <w:rFonts w:ascii="Verdana" w:eastAsia="Century Gothic" w:hAnsi="Verdana" w:cs="Century Gothic"/>
        </w:rPr>
        <w:lastRenderedPageBreak/>
        <w:t>en el Decreto 287 de 2026 relacionadas con la participación de personas con discapacidad tienen carácter obligatorio para las entidades estatales?</w:t>
      </w:r>
      <w:r>
        <w:rPr>
          <w:rFonts w:ascii="Verdana" w:eastAsia="Century Gothic" w:hAnsi="Verdana" w:cs="Century Gothic"/>
        </w:rPr>
        <w:t xml:space="preserve"> </w:t>
      </w:r>
      <w:r>
        <w:rPr>
          <w:rFonts w:ascii="Verdana" w:eastAsia="Calibri" w:hAnsi="Verdana" w:cs="Arial"/>
          <w:color w:val="000000"/>
          <w:lang w:eastAsia="es-ES"/>
        </w:rPr>
        <w:t xml:space="preserve"> </w:t>
      </w:r>
    </w:p>
    <w:p w14:paraId="662CC361" w14:textId="77777777" w:rsidR="00C76417" w:rsidRPr="0004750F" w:rsidRDefault="00C76417" w:rsidP="00C76417">
      <w:pPr>
        <w:spacing w:after="0" w:line="276" w:lineRule="auto"/>
        <w:jc w:val="both"/>
        <w:rPr>
          <w:rFonts w:ascii="Verdana" w:eastAsia="Calibri" w:hAnsi="Verdana" w:cs="Times New Roman"/>
          <w:lang w:val="es-ES"/>
        </w:rPr>
      </w:pPr>
    </w:p>
    <w:p w14:paraId="5E505D97" w14:textId="77777777" w:rsidR="00C76417" w:rsidRPr="008E4F36" w:rsidRDefault="00C76417" w:rsidP="00C76417">
      <w:pPr>
        <w:spacing w:after="0" w:line="276" w:lineRule="auto"/>
        <w:jc w:val="both"/>
        <w:rPr>
          <w:rFonts w:ascii="Verdana" w:eastAsia="Century Gothic" w:hAnsi="Verdana" w:cs="Century Gothic"/>
          <w:b/>
          <w:bCs/>
        </w:rPr>
      </w:pPr>
      <w:r w:rsidRPr="008E4F36">
        <w:rPr>
          <w:rFonts w:ascii="Verdana" w:eastAsia="Century Gothic" w:hAnsi="Verdana" w:cs="Century Gothic"/>
          <w:b/>
          <w:bCs/>
        </w:rPr>
        <w:t>2. Respuesta:</w:t>
      </w:r>
    </w:p>
    <w:p w14:paraId="4C2365A3" w14:textId="77777777" w:rsidR="00C76417" w:rsidRPr="008E4F36" w:rsidRDefault="00C76417" w:rsidP="00C76417">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tblLook w:val="04A0" w:firstRow="1" w:lastRow="0" w:firstColumn="1" w:lastColumn="0" w:noHBand="0" w:noVBand="1"/>
      </w:tblPr>
      <w:tblGrid>
        <w:gridCol w:w="8828"/>
      </w:tblGrid>
      <w:tr w:rsidR="00C76417" w:rsidRPr="008E4F36" w14:paraId="58D2DDF3" w14:textId="77777777" w:rsidTr="00C83358">
        <w:tc>
          <w:tcPr>
            <w:tcW w:w="8828" w:type="dxa"/>
          </w:tcPr>
          <w:p w14:paraId="04FEFAC1" w14:textId="77777777" w:rsidR="00C76417" w:rsidRDefault="00C76417" w:rsidP="00C83358">
            <w:pPr>
              <w:spacing w:after="120" w:line="276" w:lineRule="auto"/>
              <w:jc w:val="both"/>
              <w:rPr>
                <w:rFonts w:ascii="Verdana" w:eastAsia="Calibri" w:hAnsi="Verdana" w:cs="Arial"/>
              </w:rPr>
            </w:pPr>
            <w:r w:rsidRPr="0002112A">
              <w:rPr>
                <w:rFonts w:ascii="Verdana" w:hAnsi="Verdana"/>
              </w:rPr>
              <w:t xml:space="preserve">i. Para dar respuesta al primer problema jurídico, </w:t>
            </w:r>
            <w:r>
              <w:rPr>
                <w:rFonts w:ascii="Verdana" w:hAnsi="Verdana"/>
              </w:rPr>
              <w:t>es importante precisar que</w:t>
            </w:r>
            <w:r w:rsidRPr="0002112A">
              <w:rPr>
                <w:rFonts w:ascii="Verdana" w:hAnsi="Verdana"/>
              </w:rPr>
              <w:t xml:space="preserve"> el Decreto 0287 de 2026 r</w:t>
            </w:r>
            <w:r w:rsidRPr="0002112A">
              <w:rPr>
                <w:rFonts w:ascii="Verdana" w:eastAsia="Calibri" w:hAnsi="Verdana" w:cs="Arial"/>
              </w:rPr>
              <w:t xml:space="preserve">eglamenta los numerales 1, 7 y 8 del artículo 13 de la Ley 1618 de 2013, acción que fue ordenada por el Consejo de Estado, Sección Quinta de la Sala de lo Contencioso Administrativo, mediante sentencia de acción de cumplimiento del 12 de diciembre de 2024, radicación </w:t>
            </w:r>
            <w:proofErr w:type="spellStart"/>
            <w:r w:rsidRPr="0002112A">
              <w:rPr>
                <w:rFonts w:ascii="Verdana" w:eastAsia="Calibri" w:hAnsi="Verdana" w:cs="Arial"/>
              </w:rPr>
              <w:t>n°</w:t>
            </w:r>
            <w:proofErr w:type="spellEnd"/>
            <w:r w:rsidRPr="0002112A">
              <w:rPr>
                <w:rFonts w:ascii="Verdana" w:eastAsia="Calibri" w:hAnsi="Verdana" w:cs="Arial"/>
              </w:rPr>
              <w:t xml:space="preserve"> 05001-23-33-000-2024-00847-01, con ponencia del magistrado Omar Joaquín Barreto Suárez, y establece un Sistema Integral de Preferencias en favor de las personas con discapacidad en la contratación pública, entendido como el conjunto estructurado de medidas afirmativas, de naturaleza jurídica, técnica y procedimental, que las entidades estatales deben adoptar en todas las fases del proceso contractual: planeación, selección, adjudicación y ejecución. </w:t>
            </w:r>
          </w:p>
          <w:p w14:paraId="44E67E1A" w14:textId="77777777" w:rsidR="00C76417" w:rsidRDefault="00C76417" w:rsidP="00C83358">
            <w:pPr>
              <w:spacing w:after="120" w:line="276" w:lineRule="auto"/>
              <w:ind w:firstLine="709"/>
              <w:jc w:val="both"/>
              <w:rPr>
                <w:rFonts w:ascii="Verdana" w:eastAsia="Calibri" w:hAnsi="Verdana" w:cs="Arial"/>
              </w:rPr>
            </w:pPr>
            <w:r w:rsidRPr="00073658">
              <w:rPr>
                <w:rFonts w:ascii="Verdana" w:eastAsia="Calibri" w:hAnsi="Verdana" w:cs="Arial"/>
              </w:rPr>
              <w:t xml:space="preserve">Este sistema está compuesto por cinco medidas: herramientas de planeación para procesos inclusivos, criterios habilitantes diferenciales, puntaje adicional del </w:t>
            </w:r>
            <w:r>
              <w:rPr>
                <w:rFonts w:ascii="Verdana" w:eastAsia="Calibri" w:hAnsi="Verdana" w:cs="Arial"/>
              </w:rPr>
              <w:t>dos por ciento (</w:t>
            </w:r>
            <w:r w:rsidRPr="00073658">
              <w:rPr>
                <w:rFonts w:ascii="Verdana" w:eastAsia="Calibri" w:hAnsi="Verdana" w:cs="Arial"/>
              </w:rPr>
              <w:t>2%</w:t>
            </w:r>
            <w:r>
              <w:rPr>
                <w:rFonts w:ascii="Verdana" w:eastAsia="Calibri" w:hAnsi="Verdana" w:cs="Arial"/>
              </w:rPr>
              <w:t>)</w:t>
            </w:r>
            <w:r w:rsidRPr="00073658">
              <w:rPr>
                <w:rFonts w:ascii="Verdana" w:eastAsia="Calibri" w:hAnsi="Verdana" w:cs="Arial"/>
              </w:rPr>
              <w:t xml:space="preserve">, condiciones especiales de ejecución e inclusión de personas con discapacidad (en adelante, </w:t>
            </w:r>
            <w:proofErr w:type="spellStart"/>
            <w:r w:rsidRPr="00073658">
              <w:rPr>
                <w:rFonts w:ascii="Verdana" w:eastAsia="Calibri" w:hAnsi="Verdana" w:cs="Arial"/>
              </w:rPr>
              <w:t>PcD</w:t>
            </w:r>
            <w:proofErr w:type="spellEnd"/>
            <w:r w:rsidRPr="00073658">
              <w:rPr>
                <w:rFonts w:ascii="Verdana" w:eastAsia="Calibri" w:hAnsi="Verdana" w:cs="Arial"/>
              </w:rPr>
              <w:t>) en contratos de prestación de servicios. A estas medidas se suma, de manera transversal e independiente de las anteriores, la obligación de compras públicas accesibles, cuya aplicación recae sobre todos los entes del Estado con independencia de su régimen de contratación y en todas las modalidades de selección,</w:t>
            </w:r>
            <w:r>
              <w:rPr>
                <w:rFonts w:ascii="Verdana" w:eastAsia="Calibri" w:hAnsi="Verdana" w:cs="Arial"/>
              </w:rPr>
              <w:t xml:space="preserve"> </w:t>
            </w:r>
            <w:r w:rsidRPr="00CC1680">
              <w:rPr>
                <w:rFonts w:ascii="Verdana" w:eastAsia="Calibri" w:hAnsi="Verdana" w:cs="Arial"/>
              </w:rPr>
              <w:t>incluida la contratación directa, lo que incide directamente en la fase de planeación, pues es en esta donde la compra debe plantearse con criterios de accesibilidad</w:t>
            </w:r>
          </w:p>
          <w:p w14:paraId="598089EE" w14:textId="77777777" w:rsidR="00C76417" w:rsidRDefault="00C76417" w:rsidP="00C83358">
            <w:pPr>
              <w:spacing w:before="120" w:after="120" w:line="276" w:lineRule="auto"/>
              <w:ind w:firstLine="709"/>
              <w:jc w:val="both"/>
              <w:rPr>
                <w:rFonts w:ascii="Verdana" w:eastAsia="Calibri" w:hAnsi="Verdana" w:cs="Arial"/>
              </w:rPr>
            </w:pPr>
            <w:r w:rsidRPr="00073658">
              <w:rPr>
                <w:rFonts w:ascii="Verdana" w:eastAsia="Calibri" w:hAnsi="Verdana" w:cs="Arial"/>
              </w:rPr>
              <w:t xml:space="preserve">El sistema beneficia a dos sujetos diferenciados cuyas medidas no son idénticas ni intercambiables. El primer sujeto son los emprendimientos y empresas de </w:t>
            </w:r>
            <w:proofErr w:type="spellStart"/>
            <w:r w:rsidRPr="00073658">
              <w:rPr>
                <w:rFonts w:ascii="Verdana" w:eastAsia="Calibri" w:hAnsi="Verdana" w:cs="Arial"/>
              </w:rPr>
              <w:t>PcD</w:t>
            </w:r>
            <w:proofErr w:type="spellEnd"/>
            <w:r w:rsidRPr="00073658">
              <w:rPr>
                <w:rFonts w:ascii="Verdana" w:eastAsia="Calibri" w:hAnsi="Verdana" w:cs="Arial"/>
              </w:rPr>
              <w:t xml:space="preserve">, definidos en el artículo 2.2.1.2.4.2.6. del Decreto 1082 de 2015 (modificado) según cuatro categorías: personas naturales con discapacidad que ejerzan una profesión liberal; personas naturales con discapacidad que realicen actividades comerciales a través de establecimiento de comercio con al menos un año de antigüedad; personas jurídicas en las que más del 50% de las acciones o cuotas pertenezcan a </w:t>
            </w:r>
            <w:proofErr w:type="spellStart"/>
            <w:r w:rsidRPr="00073658">
              <w:rPr>
                <w:rFonts w:ascii="Verdana" w:eastAsia="Calibri" w:hAnsi="Verdana" w:cs="Arial"/>
              </w:rPr>
              <w:t>PcD</w:t>
            </w:r>
            <w:proofErr w:type="spellEnd"/>
            <w:r w:rsidRPr="00073658">
              <w:rPr>
                <w:rFonts w:ascii="Verdana" w:eastAsia="Calibri" w:hAnsi="Verdana" w:cs="Arial"/>
              </w:rPr>
              <w:t xml:space="preserve"> por al menos un año; </w:t>
            </w:r>
            <w:r w:rsidRPr="00073658">
              <w:rPr>
                <w:rFonts w:ascii="Verdana" w:eastAsia="Calibri" w:hAnsi="Verdana" w:cs="Arial"/>
              </w:rPr>
              <w:lastRenderedPageBreak/>
              <w:t xml:space="preserve">y personas jurídicas con al menos una </w:t>
            </w:r>
            <w:proofErr w:type="spellStart"/>
            <w:r w:rsidRPr="00073658">
              <w:rPr>
                <w:rFonts w:ascii="Verdana" w:eastAsia="Calibri" w:hAnsi="Verdana" w:cs="Arial"/>
              </w:rPr>
              <w:t>PcD</w:t>
            </w:r>
            <w:proofErr w:type="spellEnd"/>
            <w:r w:rsidRPr="00073658">
              <w:rPr>
                <w:rFonts w:ascii="Verdana" w:eastAsia="Calibri" w:hAnsi="Verdana" w:cs="Arial"/>
              </w:rPr>
              <w:t xml:space="preserve"> vinculada laboralmente en un cargo de nivel directivo por al menos un año. El segundo sujeto son los empleadores de </w:t>
            </w:r>
            <w:proofErr w:type="spellStart"/>
            <w:r w:rsidRPr="00073658">
              <w:rPr>
                <w:rFonts w:ascii="Verdana" w:eastAsia="Calibri" w:hAnsi="Verdana" w:cs="Arial"/>
              </w:rPr>
              <w:t>PcD</w:t>
            </w:r>
            <w:proofErr w:type="spellEnd"/>
            <w:r w:rsidRPr="00073658">
              <w:rPr>
                <w:rFonts w:ascii="Verdana" w:eastAsia="Calibri" w:hAnsi="Verdana" w:cs="Arial"/>
              </w:rPr>
              <w:t xml:space="preserve">, esto es, cualquier empresa que tenga en su planta de personal trabajadores con discapacidad contratados laboralmente con dedicación exclusiva, superando los mínimos que exige la Ley 2466 de 2025 (Reforma Laboral). </w:t>
            </w:r>
          </w:p>
          <w:p w14:paraId="33384B2D" w14:textId="77777777" w:rsidR="00C76417" w:rsidRDefault="00C76417" w:rsidP="00C83358">
            <w:pPr>
              <w:spacing w:before="120" w:after="120" w:line="276" w:lineRule="auto"/>
              <w:ind w:firstLine="709"/>
              <w:jc w:val="both"/>
              <w:rPr>
                <w:rFonts w:ascii="Verdana" w:eastAsia="Calibri" w:hAnsi="Verdana" w:cs="Arial"/>
              </w:rPr>
            </w:pPr>
            <w:r w:rsidRPr="0072132E">
              <w:rPr>
                <w:rFonts w:ascii="Verdana" w:eastAsia="Calibri" w:hAnsi="Verdana" w:cs="Arial"/>
              </w:rPr>
              <w:t>La definición de estos sujetos es neutra frente al género, por lo que las medidas previstas en el decreto resultan aplicables con independencia de que las personas con discapacidad sean hombres o mujeres. En consecuencia, esta circunstancia no modifica las medidas afirmativas previstas en la norma. Por otra parte, confundir los dos sujetos genera aplicaciones incorrectas del sistema, razón por la cual resulta esencial que las entidades contratantes identifiquen en cada caso qué sujeto está acreditando el proponente y qué documentación y medidas corresponden a ese sujeto específico.</w:t>
            </w:r>
          </w:p>
          <w:p w14:paraId="11A8BD6A" w14:textId="77777777" w:rsidR="00C76417" w:rsidRPr="00D851ED" w:rsidRDefault="00C76417" w:rsidP="00C83358">
            <w:pPr>
              <w:spacing w:before="120" w:after="120" w:line="276" w:lineRule="auto"/>
              <w:ind w:firstLine="709"/>
              <w:jc w:val="both"/>
              <w:rPr>
                <w:rFonts w:ascii="Verdana" w:eastAsia="Calibri" w:hAnsi="Verdana" w:cs="Arial"/>
              </w:rPr>
            </w:pPr>
            <w:r>
              <w:rPr>
                <w:rFonts w:ascii="Verdana" w:eastAsia="Calibri" w:hAnsi="Verdana" w:cs="Arial"/>
              </w:rPr>
              <w:t xml:space="preserve">Ahora bien, respecto del régimen de transición para la aplicación del Decreto 287 de 2026, se debe tener en cuenta que </w:t>
            </w:r>
            <w:r w:rsidRPr="00D851ED">
              <w:rPr>
                <w:rFonts w:ascii="Verdana" w:eastAsia="Calibri" w:hAnsi="Verdana" w:cs="Arial"/>
              </w:rPr>
              <w:t>se expidió el 19 de marzo de 2026, y rige a partir del día siguiente a su publicación en el Diario Oficial, derogando todas las disposiciones contrarias, incluidas las versiones anteriores de los artículos 2.2.1.2.4.2.6., 2.2.1.2.4.2.7. y 2.2.1.2.4.2.8. del Decreto 1082 de 2015. Se aclara que la numeración del Decreto 392 de 2018 se mantuvo, pero su contenido fue modificado en su integridad, por lo que no hubo derogatoria sino modificación total para conservar la numeración del mencionado decreto</w:t>
            </w:r>
            <w:r>
              <w:rPr>
                <w:rFonts w:ascii="Verdana" w:eastAsia="Calibri" w:hAnsi="Verdana" w:cs="Arial"/>
              </w:rPr>
              <w:t>, pero lo señalado en este concepto debe entenderse de acuerdo con la nueva redacción de los artículos enlistados, y no recurrir a la antigua redacción</w:t>
            </w:r>
            <w:r w:rsidRPr="00D851ED">
              <w:rPr>
                <w:rFonts w:ascii="Verdana" w:eastAsia="Calibri" w:hAnsi="Verdana" w:cs="Arial"/>
              </w:rPr>
              <w:t>.</w:t>
            </w:r>
          </w:p>
          <w:p w14:paraId="11774A9A" w14:textId="77777777" w:rsidR="00C76417" w:rsidRPr="00D851ED" w:rsidRDefault="00C76417" w:rsidP="00C83358">
            <w:pPr>
              <w:spacing w:before="120" w:after="120" w:line="276" w:lineRule="auto"/>
              <w:ind w:firstLine="709"/>
              <w:jc w:val="both"/>
              <w:rPr>
                <w:rFonts w:ascii="Verdana" w:eastAsia="Calibri" w:hAnsi="Verdana" w:cs="Arial"/>
              </w:rPr>
            </w:pPr>
            <w:r w:rsidRPr="00D851ED">
              <w:rPr>
                <w:rFonts w:ascii="Verdana" w:eastAsia="Calibri" w:hAnsi="Verdana" w:cs="Arial"/>
              </w:rPr>
              <w:t xml:space="preserve">La aplicación del Decreto 287 de 2026 en los procesos de contratación que estén en curso depende de si estos contaban o no con resolución de apertura antes del 20 de marzo de 2026: i) La resolución de apertura fue expedida el 19 de marzo de 2026 o antes de esta fecha, en este caso el proceso continúa con las reglas originales sin aplicar el Decreto 287 de 2026; y </w:t>
            </w:r>
            <w:proofErr w:type="spellStart"/>
            <w:r w:rsidRPr="00D851ED">
              <w:rPr>
                <w:rFonts w:ascii="Verdana" w:eastAsia="Calibri" w:hAnsi="Verdana" w:cs="Arial"/>
              </w:rPr>
              <w:t>ii</w:t>
            </w:r>
            <w:proofErr w:type="spellEnd"/>
            <w:r w:rsidRPr="00D851ED">
              <w:rPr>
                <w:rFonts w:ascii="Verdana" w:eastAsia="Calibri" w:hAnsi="Verdana" w:cs="Arial"/>
              </w:rPr>
              <w:t xml:space="preserve">) La resolución de apertura no existe, o fue expedida el 20 de marzo de 2026 o en fecha posterior, por lo que se debe incorporar el Decreto 287 de 2026 al proceso contractual y la entidad debe ajustar sus estudios previos y pliegos </w:t>
            </w:r>
            <w:r w:rsidRPr="00D851ED">
              <w:rPr>
                <w:rFonts w:ascii="Verdana" w:eastAsia="Calibri" w:hAnsi="Verdana" w:cs="Arial"/>
              </w:rPr>
              <w:lastRenderedPageBreak/>
              <w:t>de condiciones, incluido el proyecto de pliego, para dar pleno cumplimiento al decreto antes de expedir el acto administrativo de apertura.</w:t>
            </w:r>
          </w:p>
          <w:p w14:paraId="2875A72D" w14:textId="77777777" w:rsidR="00C76417" w:rsidRPr="00073658" w:rsidRDefault="00C76417" w:rsidP="00C83358">
            <w:pPr>
              <w:spacing w:before="120" w:after="120" w:line="276" w:lineRule="auto"/>
              <w:ind w:firstLine="709"/>
              <w:jc w:val="both"/>
              <w:rPr>
                <w:rFonts w:ascii="Verdana" w:eastAsia="Calibri" w:hAnsi="Verdana" w:cs="Arial"/>
              </w:rPr>
            </w:pPr>
            <w:r w:rsidRPr="00D851ED">
              <w:rPr>
                <w:rFonts w:ascii="Verdana" w:eastAsia="Calibri" w:hAnsi="Verdana" w:cs="Arial"/>
              </w:rPr>
              <w:t>Para los procesos de contratación con proyecto de pliego publicado pero sin apertura al 19 de marzo de 2026, se recomienda que se incorporen las medidas del Decreto 287 de 2026 antes de publicar los pliegos definitivos. En esa etapa aún es posible realizar ajustes sin afectar derechos adquiridos de los proponentes</w:t>
            </w:r>
            <w:r>
              <w:rPr>
                <w:rFonts w:ascii="Verdana" w:eastAsia="Calibri" w:hAnsi="Verdana" w:cs="Arial"/>
              </w:rPr>
              <w:t>.</w:t>
            </w:r>
          </w:p>
          <w:p w14:paraId="449B29C9" w14:textId="77777777" w:rsidR="00C76417" w:rsidRDefault="00C76417" w:rsidP="00C83358">
            <w:pPr>
              <w:spacing w:after="120" w:line="276" w:lineRule="auto"/>
              <w:jc w:val="both"/>
              <w:rPr>
                <w:rFonts w:ascii="Verdana" w:hAnsi="Verdana"/>
              </w:rPr>
            </w:pPr>
            <w:proofErr w:type="spellStart"/>
            <w:r>
              <w:rPr>
                <w:rFonts w:ascii="Verdana" w:eastAsia="Calibri" w:hAnsi="Verdana" w:cs="Arial"/>
              </w:rPr>
              <w:t>ii</w:t>
            </w:r>
            <w:proofErr w:type="spellEnd"/>
            <w:r>
              <w:rPr>
                <w:rFonts w:ascii="Verdana" w:eastAsia="Calibri" w:hAnsi="Verdana" w:cs="Arial"/>
              </w:rPr>
              <w:t>. Por otra parte, con respecto al segundo problema jurídico, e</w:t>
            </w:r>
            <w:r w:rsidRPr="00206556">
              <w:rPr>
                <w:rFonts w:ascii="Verdana" w:hAnsi="Verdana"/>
              </w:rPr>
              <w:t>l artículo 2.2.1.2.4.2.7.1. del Decreto 0287 de 2026 impone a las entidades, "independientemente de su régimen de contratación",</w:t>
            </w:r>
            <w:r>
              <w:rPr>
                <w:rFonts w:ascii="Verdana" w:hAnsi="Verdana"/>
              </w:rPr>
              <w:t xml:space="preserve"> </w:t>
            </w:r>
            <w:r w:rsidRPr="00D23B49">
              <w:rPr>
                <w:rFonts w:ascii="Verdana" w:hAnsi="Verdana"/>
              </w:rPr>
              <w:t>los patrimonios autónomos constituidos por Entidades Estatales y los particulares que ejecuten recursos públicos,</w:t>
            </w:r>
            <w:r w:rsidRPr="00206556">
              <w:rPr>
                <w:rFonts w:ascii="Verdana" w:hAnsi="Verdana"/>
              </w:rPr>
              <w:t xml:space="preserve"> la obligación de incorporar en los contratos criterios que garanticen la accesibilidad de las </w:t>
            </w:r>
            <w:proofErr w:type="spellStart"/>
            <w:r w:rsidRPr="00206556">
              <w:rPr>
                <w:rFonts w:ascii="Verdana" w:hAnsi="Verdana"/>
              </w:rPr>
              <w:t>PcD</w:t>
            </w:r>
            <w:proofErr w:type="spellEnd"/>
            <w:r w:rsidRPr="00206556">
              <w:rPr>
                <w:rFonts w:ascii="Verdana" w:hAnsi="Verdana"/>
              </w:rPr>
              <w:t>, teniendo en cuenta las siete categorías de discapacidad definidas por el Ministerio de Salud y Protección Social: visual, física, psicosocial (mental), auditiva, sordoceguera, intelectual y múltiple. El parágrafo 2 del mismo artículo establece que cuando no se identifiquen normas legales, reglamentarias o técnicas aplicables, la entidad debe fijar una ficha técnica con criterios de accesibilidad propios: la inexistencia de norma técnica no exonera a la entidad, sino que la convierte en autora de sus propios estándares de accesibilidad para ese contrato específico. Los principios guía son los de accesibilidad universal, diseño universal y ajustes razonables, conforme a la Ley 1346 de 2009 y la Ley 1618 de 2013</w:t>
            </w:r>
            <w:r>
              <w:rPr>
                <w:rFonts w:ascii="Verdana" w:hAnsi="Verdana"/>
              </w:rPr>
              <w:t>,</w:t>
            </w:r>
            <w:r w:rsidRPr="00206556">
              <w:rPr>
                <w:rFonts w:ascii="Verdana" w:hAnsi="Verdana"/>
              </w:rPr>
              <w:t xml:space="preserve"> la cual define los ajustes razonables como las modificaciones y adaptaciones necesarias que no impongan una carga desproporcionada, para garantizar a las </w:t>
            </w:r>
            <w:proofErr w:type="spellStart"/>
            <w:r w:rsidRPr="00206556">
              <w:rPr>
                <w:rFonts w:ascii="Verdana" w:hAnsi="Verdana"/>
              </w:rPr>
              <w:t>PcD</w:t>
            </w:r>
            <w:proofErr w:type="spellEnd"/>
            <w:r w:rsidRPr="00206556">
              <w:rPr>
                <w:rFonts w:ascii="Verdana" w:hAnsi="Verdana"/>
              </w:rPr>
              <w:t xml:space="preserve"> el goce de sus derechos en igualdad de condiciones. Los criterios se determinan en los estudios y documentos previos, procurando la mayor cobertura posible de las categorías de discapacidad.</w:t>
            </w:r>
          </w:p>
          <w:p w14:paraId="0F9EE5F4" w14:textId="77777777" w:rsidR="00C76417" w:rsidRDefault="00C76417" w:rsidP="00C83358">
            <w:pPr>
              <w:spacing w:line="276" w:lineRule="auto"/>
              <w:ind w:firstLine="709"/>
              <w:jc w:val="both"/>
              <w:rPr>
                <w:rFonts w:ascii="Verdana" w:hAnsi="Verdana"/>
              </w:rPr>
            </w:pPr>
            <w:r>
              <w:rPr>
                <w:rFonts w:ascii="Verdana" w:hAnsi="Verdana"/>
              </w:rPr>
              <w:t xml:space="preserve">Dicho lo anterior, la norma tiene como propósito que los procesos de contratación que gestione la entidad estatal, independientemente del régimen de contratación, los patrimonios autónomos </w:t>
            </w:r>
            <w:r w:rsidRPr="00D23B49">
              <w:rPr>
                <w:rFonts w:ascii="Verdana" w:hAnsi="Verdana"/>
              </w:rPr>
              <w:t>constituidos por Entidades Estatales y los particulares que ejecuten recursos públicos</w:t>
            </w:r>
            <w:r>
              <w:rPr>
                <w:rFonts w:ascii="Verdana" w:hAnsi="Verdana"/>
              </w:rPr>
              <w:t xml:space="preserve"> en los documentos del proceso precontractual y en el mismo contrato incluyan criterios  c</w:t>
            </w:r>
            <w:r w:rsidRPr="00C83EE1">
              <w:rPr>
                <w:rFonts w:ascii="Verdana" w:hAnsi="Verdana"/>
              </w:rPr>
              <w:t xml:space="preserve">on el fin de promover condiciones efectivas de igualdad para esta población, corregir </w:t>
            </w:r>
            <w:r w:rsidRPr="00C83EE1">
              <w:rPr>
                <w:rFonts w:ascii="Verdana" w:hAnsi="Verdana"/>
              </w:rPr>
              <w:lastRenderedPageBreak/>
              <w:t>barreras estructurales de acceso y fomentar su participación como proponentes, contratistas o integrantes de la cadena de valor</w:t>
            </w:r>
            <w:r>
              <w:rPr>
                <w:rFonts w:ascii="Verdana" w:hAnsi="Verdana"/>
              </w:rPr>
              <w:t>.</w:t>
            </w:r>
          </w:p>
          <w:p w14:paraId="5DE884A0" w14:textId="77777777" w:rsidR="00C76417" w:rsidRDefault="00C76417" w:rsidP="00C83358">
            <w:pPr>
              <w:spacing w:before="120" w:after="120" w:line="276" w:lineRule="auto"/>
              <w:ind w:firstLine="709"/>
              <w:jc w:val="both"/>
              <w:rPr>
                <w:rFonts w:ascii="Verdana" w:eastAsia="Calibri" w:hAnsi="Verdana" w:cs="Arial"/>
                <w:lang w:val="es-ES"/>
              </w:rPr>
            </w:pPr>
            <w:r w:rsidRPr="00A45ABD">
              <w:rPr>
                <w:rFonts w:ascii="Verdana" w:eastAsia="Calibri" w:hAnsi="Verdana" w:cs="Arial"/>
              </w:rPr>
              <w:t>En ese contexto, en relación con la solicitud de informar sobre los lineamientos expedidos para la implementación del Decreto 287 de 2026, se precisa que la Agencia Nacional de Contratación Pública –Colombia Compra Eficiente–, en su calidad de ente rector del Sistema de Compra Pública y en ejercicio de su función de expedir lineamientos dirigidos a los partícipes del sistema, ha emitido los siguientes documentos para apoyar su implementación,</w:t>
            </w:r>
            <w:r>
              <w:rPr>
                <w:rFonts w:ascii="Verdana" w:eastAsia="Calibri" w:hAnsi="Verdana" w:cs="Arial"/>
              </w:rPr>
              <w:t xml:space="preserve"> </w:t>
            </w:r>
            <w:r>
              <w:rPr>
                <w:rFonts w:ascii="Verdana" w:eastAsia="Calibri" w:hAnsi="Verdana" w:cs="Arial"/>
                <w:lang w:val="es-ES"/>
              </w:rPr>
              <w:t>sin que hasta el momento se tengan previstos otros al respecto:</w:t>
            </w:r>
            <w:r w:rsidRPr="00775D32">
              <w:rPr>
                <w:rFonts w:ascii="Verdana" w:eastAsia="Calibri" w:hAnsi="Verdana" w:cs="Arial"/>
                <w:lang w:val="es-ES"/>
              </w:rPr>
              <w:t xml:space="preserve"> </w:t>
            </w:r>
          </w:p>
          <w:p w14:paraId="3C34D6CD" w14:textId="77777777" w:rsidR="00C76417" w:rsidRDefault="00C76417" w:rsidP="00C76417">
            <w:pPr>
              <w:pStyle w:val="Prrafodelista"/>
              <w:numPr>
                <w:ilvl w:val="0"/>
                <w:numId w:val="6"/>
              </w:numPr>
              <w:spacing w:before="120" w:after="120" w:line="276" w:lineRule="auto"/>
              <w:jc w:val="both"/>
              <w:rPr>
                <w:rFonts w:ascii="Verdana" w:eastAsia="Calibri" w:hAnsi="Verdana" w:cs="Arial"/>
              </w:rPr>
            </w:pPr>
            <w:r>
              <w:rPr>
                <w:rFonts w:ascii="Verdana" w:eastAsia="Calibri" w:hAnsi="Verdana" w:cs="Arial"/>
              </w:rPr>
              <w:t>E</w:t>
            </w:r>
            <w:r w:rsidRPr="00306A5E">
              <w:rPr>
                <w:rFonts w:ascii="Verdana" w:eastAsia="Calibri" w:hAnsi="Verdana" w:cs="Arial"/>
              </w:rPr>
              <w:t xml:space="preserve">l ABC del Decreto 287 de 2026 disponible en: </w:t>
            </w:r>
            <w:hyperlink r:id="rId9" w:history="1">
              <w:r w:rsidRPr="00306A5E">
                <w:rPr>
                  <w:rStyle w:val="Hipervnculo"/>
                  <w:rFonts w:ascii="Verdana" w:eastAsia="Calibri" w:hAnsi="Verdana" w:cs="Arial"/>
                </w:rPr>
                <w:t>https://www.colombiacompra.gov.co/archivos/infografia/abc-del-decreto-0287-de-2026-contratacion-publica-inclusiva-para-personas-con-discapacidad</w:t>
              </w:r>
            </w:hyperlink>
            <w:r>
              <w:rPr>
                <w:rFonts w:ascii="Verdana" w:eastAsia="Calibri" w:hAnsi="Verdana" w:cs="Arial"/>
              </w:rPr>
              <w:t>.</w:t>
            </w:r>
          </w:p>
          <w:p w14:paraId="522146CC" w14:textId="77777777" w:rsidR="00C76417" w:rsidRPr="00C91D4B" w:rsidRDefault="00C76417" w:rsidP="00C83358">
            <w:pPr>
              <w:pStyle w:val="Prrafodelista"/>
              <w:spacing w:before="120" w:after="120" w:line="276" w:lineRule="auto"/>
              <w:jc w:val="both"/>
              <w:rPr>
                <w:rFonts w:ascii="Verdana" w:eastAsia="Calibri" w:hAnsi="Verdana" w:cs="Arial"/>
              </w:rPr>
            </w:pPr>
          </w:p>
          <w:p w14:paraId="61A5CF28" w14:textId="77777777" w:rsidR="00C76417" w:rsidRPr="00306A5E" w:rsidRDefault="00C76417" w:rsidP="00C76417">
            <w:pPr>
              <w:pStyle w:val="Prrafodelista"/>
              <w:numPr>
                <w:ilvl w:val="0"/>
                <w:numId w:val="6"/>
              </w:numPr>
              <w:spacing w:before="120" w:after="120" w:line="276" w:lineRule="auto"/>
              <w:jc w:val="both"/>
              <w:rPr>
                <w:rFonts w:ascii="Verdana" w:eastAsia="Calibri" w:hAnsi="Verdana" w:cs="Arial"/>
              </w:rPr>
            </w:pPr>
            <w:r w:rsidRPr="00306A5E">
              <w:rPr>
                <w:rFonts w:ascii="Verdana" w:eastAsia="Calibri" w:hAnsi="Verdana" w:cs="Arial"/>
              </w:rPr>
              <w:t xml:space="preserve">Boletín No. 002 de mayo de 2026 disponible en: </w:t>
            </w:r>
            <w:hyperlink r:id="rId10" w:history="1">
              <w:r w:rsidRPr="00306A5E">
                <w:rPr>
                  <w:rStyle w:val="Hipervnculo"/>
                  <w:rFonts w:ascii="Verdana" w:eastAsia="Calibri" w:hAnsi="Verdana" w:cs="Arial"/>
                </w:rPr>
                <w:t>www.colombiacompra.gov.co/wp-content/uploads/2026/05/Boletin-RCP-02-CCE.pdf</w:t>
              </w:r>
            </w:hyperlink>
            <w:r w:rsidRPr="00306A5E">
              <w:rPr>
                <w:rFonts w:ascii="Verdana" w:eastAsia="Calibri" w:hAnsi="Verdana" w:cs="Arial"/>
              </w:rPr>
              <w:t xml:space="preserve"> , donde se analiza la expedición del nuevo decreto.</w:t>
            </w:r>
          </w:p>
          <w:p w14:paraId="31092393" w14:textId="77777777" w:rsidR="00C76417" w:rsidRDefault="00C76417" w:rsidP="00C83358">
            <w:pPr>
              <w:spacing w:before="120" w:after="120" w:line="276" w:lineRule="auto"/>
              <w:ind w:firstLine="709"/>
              <w:jc w:val="both"/>
              <w:rPr>
                <w:rFonts w:ascii="Verdana" w:hAnsi="Verdana"/>
              </w:rPr>
            </w:pPr>
            <w:r w:rsidRPr="00C91D4B">
              <w:rPr>
                <w:rFonts w:ascii="Verdana" w:eastAsia="Calibri" w:hAnsi="Verdana" w:cs="Arial"/>
                <w:lang w:val="es-ES"/>
              </w:rPr>
              <w:t>Asimismo, el 30 de abril de 2026 se llevó a cabo el</w:t>
            </w:r>
            <w:r w:rsidRPr="00C91D4B">
              <w:rPr>
                <w:rFonts w:ascii="Verdana" w:hAnsi="Verdana"/>
              </w:rPr>
              <w:t xml:space="preserve"> 2º Foro Virtual de Compra Pública Inclusiva para Personas con Discapacidad: "Hacia un mercado público sin barreras", cuyo propósito fue explicar las medidas incorporadas por la nueva regulación. La grabación del evento se encuentra disponible en: </w:t>
            </w:r>
            <w:hyperlink r:id="rId11" w:history="1">
              <w:r w:rsidRPr="00C91D4B">
                <w:rPr>
                  <w:rStyle w:val="Hipervnculo"/>
                  <w:rFonts w:ascii="Verdana" w:hAnsi="Verdana"/>
                </w:rPr>
                <w:t>https://www.youtube.com/live/vpxD3PlXqPI?si=49f8ghb7Iiit6Ja9</w:t>
              </w:r>
            </w:hyperlink>
            <w:r w:rsidRPr="00C91D4B">
              <w:rPr>
                <w:rFonts w:ascii="Verdana" w:hAnsi="Verdana"/>
              </w:rPr>
              <w:t>.</w:t>
            </w:r>
          </w:p>
          <w:p w14:paraId="46A68369" w14:textId="77777777" w:rsidR="00C76417" w:rsidRPr="00B70775" w:rsidRDefault="00C76417" w:rsidP="00C83358">
            <w:pPr>
              <w:spacing w:after="120" w:line="276" w:lineRule="auto"/>
              <w:jc w:val="both"/>
              <w:rPr>
                <w:rFonts w:ascii="Verdana" w:hAnsi="Verdana" w:cs="Arial"/>
                <w:color w:val="000000" w:themeColor="text1"/>
              </w:rPr>
            </w:pPr>
            <w:r w:rsidRPr="002C5CBC">
              <w:rPr>
                <w:rFonts w:ascii="Verdana" w:eastAsia="Calibri" w:hAnsi="Verdana" w:cs="Arial"/>
              </w:rPr>
              <w:t>Finalmente, la Agencia expidió la Circular Externa No. 003 del 12 de mayo de 2026, mediante la cual impartió directrices para la aplicación de las medidas afirmativas del sistema de preferencias implementado por el Decreto 287 de 2026 en los procesos de contratación estatal. Este documento puede consultarse en</w:t>
            </w:r>
            <w:r>
              <w:rPr>
                <w:rFonts w:ascii="Verdana" w:eastAsia="Calibri" w:hAnsi="Verdana" w:cs="Arial"/>
              </w:rPr>
              <w:t xml:space="preserve"> el siguiente enlace, así como en la página de la entidad</w:t>
            </w:r>
            <w:r w:rsidRPr="002C5CBC">
              <w:rPr>
                <w:rFonts w:ascii="Verdana" w:eastAsia="Calibri" w:hAnsi="Verdana" w:cs="Arial"/>
              </w:rPr>
              <w:t xml:space="preserve">: </w:t>
            </w:r>
            <w:hyperlink r:id="rId12" w:history="1">
              <w:r w:rsidRPr="002C5CBC">
                <w:rPr>
                  <w:rStyle w:val="Hipervnculo"/>
                  <w:rFonts w:ascii="Verdana" w:eastAsia="Calibri" w:hAnsi="Verdana" w:cs="Arial"/>
                </w:rPr>
                <w:t>www.colombiacompra.gov.co/wp-content/uploads/2026/05/CIRCULAR-EXTERNA-003-DE-2026-DISCAPACIDAD.pdf</w:t>
              </w:r>
            </w:hyperlink>
            <w:r>
              <w:rPr>
                <w:rFonts w:ascii="Verdana" w:eastAsia="Calibri" w:hAnsi="Verdana" w:cs="Arial"/>
                <w:lang w:val="es-ES"/>
              </w:rPr>
              <w:t>.</w:t>
            </w:r>
          </w:p>
          <w:p w14:paraId="7D0C3825" w14:textId="77777777" w:rsidR="00C76417" w:rsidRPr="00B70775" w:rsidRDefault="00C76417" w:rsidP="00C83358">
            <w:pPr>
              <w:tabs>
                <w:tab w:val="left" w:pos="426"/>
              </w:tabs>
              <w:spacing w:before="120" w:line="276" w:lineRule="auto"/>
              <w:ind w:firstLine="709"/>
              <w:jc w:val="both"/>
              <w:rPr>
                <w:rFonts w:ascii="Verdana" w:hAnsi="Verdana" w:cs="Arial"/>
                <w:color w:val="000000" w:themeColor="text1"/>
              </w:rPr>
            </w:pPr>
          </w:p>
        </w:tc>
      </w:tr>
    </w:tbl>
    <w:p w14:paraId="2C998C85" w14:textId="77777777" w:rsidR="00C76417" w:rsidRDefault="00C76417" w:rsidP="00C76417">
      <w:pPr>
        <w:tabs>
          <w:tab w:val="left" w:pos="142"/>
          <w:tab w:val="left" w:pos="284"/>
        </w:tabs>
        <w:spacing w:after="0" w:line="276" w:lineRule="auto"/>
        <w:jc w:val="both"/>
        <w:rPr>
          <w:rFonts w:ascii="Verdana" w:eastAsia="Century Gothic" w:hAnsi="Verdana" w:cs="Century Gothic"/>
          <w:b/>
          <w:bCs/>
        </w:rPr>
      </w:pPr>
    </w:p>
    <w:p w14:paraId="19B08A9C" w14:textId="77777777" w:rsidR="00C76417" w:rsidRPr="008E4F36" w:rsidRDefault="00C76417" w:rsidP="00C76417">
      <w:pPr>
        <w:tabs>
          <w:tab w:val="left" w:pos="142"/>
          <w:tab w:val="left" w:pos="284"/>
        </w:tabs>
        <w:spacing w:after="0" w:line="276" w:lineRule="auto"/>
        <w:jc w:val="both"/>
        <w:rPr>
          <w:rFonts w:ascii="Verdana" w:eastAsia="Century Gothic" w:hAnsi="Verdana" w:cs="Century Gothic"/>
          <w:b/>
          <w:bCs/>
        </w:rPr>
      </w:pPr>
      <w:r w:rsidRPr="008E4F36">
        <w:rPr>
          <w:rFonts w:ascii="Verdana" w:eastAsia="Century Gothic" w:hAnsi="Verdana" w:cs="Century Gothic"/>
          <w:b/>
          <w:bCs/>
        </w:rPr>
        <w:t>3. Razones de la respuesta:</w:t>
      </w:r>
    </w:p>
    <w:p w14:paraId="24C2304E" w14:textId="77777777" w:rsidR="00C76417" w:rsidRDefault="00C76417" w:rsidP="00C76417">
      <w:pPr>
        <w:pStyle w:val="Prrafodelista"/>
        <w:tabs>
          <w:tab w:val="left" w:pos="142"/>
          <w:tab w:val="left" w:pos="284"/>
        </w:tabs>
        <w:spacing w:after="0" w:line="276" w:lineRule="auto"/>
        <w:ind w:left="0"/>
        <w:contextualSpacing w:val="0"/>
        <w:jc w:val="both"/>
        <w:rPr>
          <w:rFonts w:ascii="Verdana" w:eastAsia="Calibri" w:hAnsi="Verdana" w:cs="Arial"/>
        </w:rPr>
      </w:pPr>
    </w:p>
    <w:p w14:paraId="48C3EB90" w14:textId="77777777" w:rsidR="00C76417" w:rsidRDefault="00C76417" w:rsidP="00C76417">
      <w:pPr>
        <w:pStyle w:val="Prrafodelista"/>
        <w:tabs>
          <w:tab w:val="left" w:pos="142"/>
          <w:tab w:val="left" w:pos="284"/>
        </w:tabs>
        <w:spacing w:after="0" w:line="276" w:lineRule="auto"/>
        <w:ind w:left="0"/>
        <w:contextualSpacing w:val="0"/>
        <w:jc w:val="both"/>
        <w:rPr>
          <w:rFonts w:ascii="Verdana" w:eastAsia="Calibri" w:hAnsi="Verdana" w:cs="Arial"/>
        </w:rPr>
      </w:pPr>
      <w:r w:rsidRPr="008E4F36">
        <w:rPr>
          <w:rFonts w:ascii="Verdana" w:eastAsia="Calibri" w:hAnsi="Verdana" w:cs="Arial"/>
        </w:rPr>
        <w:lastRenderedPageBreak/>
        <w:t xml:space="preserve">Lo anterior se sustenta en las siguientes consideraciones: </w:t>
      </w:r>
    </w:p>
    <w:p w14:paraId="1F30DB3E" w14:textId="77777777" w:rsidR="00C76417" w:rsidRDefault="00C76417" w:rsidP="00C76417">
      <w:pPr>
        <w:spacing w:after="120" w:line="276" w:lineRule="auto"/>
        <w:jc w:val="both"/>
        <w:rPr>
          <w:rFonts w:ascii="Verdana" w:eastAsia="Calibri" w:hAnsi="Verdana" w:cs="Arial"/>
          <w:color w:val="000000"/>
          <w:shd w:val="clear" w:color="auto" w:fill="FFFFFF"/>
          <w:lang w:val="es-ES"/>
        </w:rPr>
      </w:pPr>
    </w:p>
    <w:p w14:paraId="30578A87" w14:textId="77777777" w:rsidR="00C76417" w:rsidRPr="00C84E52" w:rsidRDefault="00C76417" w:rsidP="00C76417">
      <w:pPr>
        <w:spacing w:after="120" w:line="276" w:lineRule="auto"/>
        <w:jc w:val="both"/>
        <w:rPr>
          <w:rFonts w:ascii="Verdana" w:eastAsia="Calibri" w:hAnsi="Verdana" w:cs="Arial"/>
        </w:rPr>
      </w:pPr>
      <w:bookmarkStart w:id="2" w:name="_Hlk204856061"/>
      <w:bookmarkStart w:id="3" w:name="_Hlk78820161"/>
      <w:bookmarkStart w:id="4" w:name="_Hlk204854194"/>
      <w:r w:rsidRPr="00C84E52">
        <w:rPr>
          <w:rFonts w:ascii="Verdana" w:eastAsia="Calibri" w:hAnsi="Verdana" w:cs="Arial"/>
          <w:lang w:val="es-ES"/>
        </w:rPr>
        <w:t xml:space="preserve">i. </w:t>
      </w:r>
      <w:r w:rsidRPr="00C84E52">
        <w:rPr>
          <w:rFonts w:ascii="Verdana" w:eastAsia="Calibri" w:hAnsi="Verdana" w:cs="Arial"/>
        </w:rPr>
        <w:t xml:space="preserve">Para resolver el problema jurídico planteado, esta Agencia considera necesario partir de los antecedentes normativos que explican el origen, la finalidad y el alcance del Sistema Integral de Preferencias establecido por el Decreto 0287 de 2026, pues solo a partir de ese contexto es posible comprender las obligaciones concretas que dicho decreto impone a las entidades estatales y a los demás partícipes de la contratación pública. </w:t>
      </w:r>
    </w:p>
    <w:p w14:paraId="296A2EF1" w14:textId="77777777" w:rsidR="00C76417" w:rsidRPr="00C84E52" w:rsidRDefault="00C76417" w:rsidP="00C76417">
      <w:pPr>
        <w:spacing w:after="120" w:line="276" w:lineRule="auto"/>
        <w:ind w:firstLine="708"/>
        <w:jc w:val="both"/>
        <w:rPr>
          <w:rFonts w:ascii="Verdana" w:hAnsi="Verdana"/>
        </w:rPr>
      </w:pPr>
      <w:r w:rsidRPr="00C84E52">
        <w:rPr>
          <w:rFonts w:ascii="Verdana" w:eastAsia="Times New Roman" w:hAnsi="Verdana" w:cs="Times New Roman"/>
        </w:rPr>
        <w:t xml:space="preserve">El fundamento del Sistema de Preferencias para </w:t>
      </w:r>
      <w:proofErr w:type="spellStart"/>
      <w:r w:rsidRPr="00C84E52">
        <w:rPr>
          <w:rFonts w:ascii="Verdana" w:eastAsia="Times New Roman" w:hAnsi="Verdana" w:cs="Times New Roman"/>
        </w:rPr>
        <w:t>PcD</w:t>
      </w:r>
      <w:proofErr w:type="spellEnd"/>
      <w:r w:rsidRPr="00C84E52">
        <w:rPr>
          <w:rFonts w:ascii="Verdana" w:eastAsia="Times New Roman" w:hAnsi="Verdana" w:cs="Times New Roman"/>
        </w:rPr>
        <w:t xml:space="preserve"> en la contratación pública es el principio de igualdad real y efectiva consagrado en el artículo 13 de la Constitución Política de 1991</w:t>
      </w:r>
      <w:r w:rsidRPr="00C84E52">
        <w:rPr>
          <w:rStyle w:val="Refdenotaalpie"/>
          <w:rFonts w:ascii="Verdana" w:eastAsia="Times New Roman" w:hAnsi="Verdana" w:cs="Times New Roman"/>
        </w:rPr>
        <w:footnoteReference w:id="1"/>
      </w:r>
      <w:r w:rsidRPr="00C84E52">
        <w:rPr>
          <w:rFonts w:ascii="Verdana" w:eastAsia="Times New Roman" w:hAnsi="Verdana" w:cs="Times New Roman"/>
        </w:rPr>
        <w:t xml:space="preserve">, que impone al Estado el deber positivo de adoptar </w:t>
      </w:r>
      <w:r w:rsidRPr="00C84E52">
        <w:rPr>
          <w:rFonts w:ascii="Verdana" w:eastAsia="Times New Roman" w:hAnsi="Verdana" w:cs="Times New Roman"/>
          <w:i/>
          <w:iCs/>
        </w:rPr>
        <w:t>acciones afirmativas</w:t>
      </w:r>
      <w:r w:rsidRPr="00C84E52">
        <w:rPr>
          <w:rFonts w:ascii="Verdana" w:eastAsia="Times New Roman" w:hAnsi="Verdana" w:cs="Times New Roman"/>
        </w:rPr>
        <w:t xml:space="preserve"> en favor de grupos históricamente excluidos. La Corte Constitucional ha sostenido que tales medidas buscan contrarrestar los efectos de la discriminación y que el Estado puede establecer tratamientos diferenciales a favor de estos grupos en aras de lograr una igualdad real y efectiva. Los artículos 47 y 54 de la Carta Política refuerzan este mandato al ordenar políticas de integración social y ubicación laboral para las </w:t>
      </w:r>
      <w:proofErr w:type="spellStart"/>
      <w:r w:rsidRPr="00C84E52">
        <w:rPr>
          <w:rFonts w:ascii="Verdana" w:eastAsia="Times New Roman" w:hAnsi="Verdana" w:cs="Times New Roman"/>
        </w:rPr>
        <w:t>PcD</w:t>
      </w:r>
      <w:proofErr w:type="spellEnd"/>
      <w:r w:rsidRPr="00C84E52">
        <w:rPr>
          <w:rStyle w:val="Refdenotaalpie"/>
          <w:rFonts w:ascii="Verdana" w:eastAsia="Times New Roman" w:hAnsi="Verdana" w:cs="Times New Roman"/>
        </w:rPr>
        <w:footnoteReference w:id="2"/>
      </w:r>
      <w:r w:rsidRPr="00C84E52">
        <w:rPr>
          <w:rFonts w:ascii="Verdana" w:eastAsia="Times New Roman" w:hAnsi="Verdana" w:cs="Times New Roman"/>
        </w:rPr>
        <w:t>.</w:t>
      </w:r>
    </w:p>
    <w:p w14:paraId="69979B7B" w14:textId="77777777" w:rsidR="00C76417" w:rsidRPr="00C84E52" w:rsidRDefault="00C76417" w:rsidP="00C76417">
      <w:pPr>
        <w:spacing w:after="120" w:line="276" w:lineRule="auto"/>
        <w:ind w:firstLine="708"/>
        <w:jc w:val="both"/>
        <w:rPr>
          <w:rFonts w:ascii="Verdana" w:hAnsi="Verdana"/>
        </w:rPr>
      </w:pPr>
      <w:r w:rsidRPr="00C84E52">
        <w:rPr>
          <w:rFonts w:ascii="Verdana" w:eastAsia="Times New Roman" w:hAnsi="Verdana" w:cs="Times New Roman"/>
        </w:rPr>
        <w:t>En el plano internacional, Colombia es Estado Parte de instrumentos que conforman el Bloque de Constitucionalidad en virtud del artículo 93 superior. La Convención sobre los Derechos de las Personas con Discapacidad de la ONU</w:t>
      </w:r>
      <w:r w:rsidRPr="00C84E52">
        <w:rPr>
          <w:rStyle w:val="Refdenotaalpie"/>
          <w:rFonts w:ascii="Verdana" w:eastAsia="Times New Roman" w:hAnsi="Verdana" w:cs="Times New Roman"/>
        </w:rPr>
        <w:footnoteReference w:id="3"/>
      </w:r>
      <w:r w:rsidRPr="00C84E52">
        <w:rPr>
          <w:rFonts w:ascii="Verdana" w:eastAsia="Times New Roman" w:hAnsi="Verdana" w:cs="Times New Roman"/>
        </w:rPr>
        <w:t xml:space="preserve"> reconoce el derecho de las </w:t>
      </w:r>
      <w:proofErr w:type="spellStart"/>
      <w:r w:rsidRPr="00C84E52">
        <w:rPr>
          <w:rFonts w:ascii="Verdana" w:eastAsia="Times New Roman" w:hAnsi="Verdana" w:cs="Times New Roman"/>
        </w:rPr>
        <w:t>PcD</w:t>
      </w:r>
      <w:proofErr w:type="spellEnd"/>
      <w:r w:rsidRPr="00C84E52">
        <w:rPr>
          <w:rFonts w:ascii="Verdana" w:eastAsia="Times New Roman" w:hAnsi="Verdana" w:cs="Times New Roman"/>
        </w:rPr>
        <w:t xml:space="preserve"> a trabajar en igualdad de condiciones y exige programas de acción afirmativa. La Convención Interamericana para la Eliminación de todas las Formas de Discriminación</w:t>
      </w:r>
      <w:r w:rsidRPr="00C84E52">
        <w:rPr>
          <w:rStyle w:val="Refdenotaalpie"/>
          <w:rFonts w:ascii="Verdana" w:eastAsia="Times New Roman" w:hAnsi="Verdana" w:cs="Times New Roman"/>
        </w:rPr>
        <w:footnoteReference w:id="4"/>
      </w:r>
      <w:r w:rsidRPr="00C84E52">
        <w:rPr>
          <w:rFonts w:ascii="Verdana" w:eastAsia="Times New Roman" w:hAnsi="Verdana" w:cs="Times New Roman"/>
        </w:rPr>
        <w:t xml:space="preserve"> ordena eliminar progresivamente la discriminación en la prestación de servicios, incluido el </w:t>
      </w:r>
      <w:r w:rsidRPr="00C84E52">
        <w:rPr>
          <w:rFonts w:ascii="Verdana" w:eastAsia="Times New Roman" w:hAnsi="Verdana" w:cs="Times New Roman"/>
        </w:rPr>
        <w:lastRenderedPageBreak/>
        <w:t>empleo. El Convenio 159 de la OIT</w:t>
      </w:r>
      <w:r w:rsidRPr="00C84E52">
        <w:rPr>
          <w:rStyle w:val="Refdenotaalpie"/>
          <w:rFonts w:ascii="Verdana" w:eastAsia="Times New Roman" w:hAnsi="Verdana" w:cs="Times New Roman"/>
        </w:rPr>
        <w:footnoteReference w:id="5"/>
      </w:r>
      <w:r w:rsidRPr="00C84E52">
        <w:rPr>
          <w:rFonts w:ascii="Verdana" w:eastAsia="Times New Roman" w:hAnsi="Verdana" w:cs="Times New Roman"/>
        </w:rPr>
        <w:t xml:space="preserve"> exige medidas orientadas a garantizar la igualdad de oportunidades de todas las categorías de </w:t>
      </w:r>
      <w:proofErr w:type="spellStart"/>
      <w:r w:rsidRPr="00C84E52">
        <w:rPr>
          <w:rFonts w:ascii="Verdana" w:eastAsia="Times New Roman" w:hAnsi="Verdana" w:cs="Times New Roman"/>
        </w:rPr>
        <w:t>PcD</w:t>
      </w:r>
      <w:proofErr w:type="spellEnd"/>
      <w:r w:rsidRPr="00C84E52">
        <w:rPr>
          <w:rFonts w:ascii="Verdana" w:eastAsia="Times New Roman" w:hAnsi="Verdana" w:cs="Times New Roman"/>
        </w:rPr>
        <w:t xml:space="preserve"> en materia de empleo.</w:t>
      </w:r>
    </w:p>
    <w:p w14:paraId="7834A5E8" w14:textId="77777777" w:rsidR="00C76417" w:rsidRPr="00C84E52" w:rsidRDefault="00C76417" w:rsidP="00C76417">
      <w:pPr>
        <w:spacing w:after="120" w:line="276" w:lineRule="auto"/>
        <w:jc w:val="both"/>
        <w:rPr>
          <w:rFonts w:ascii="Verdana" w:hAnsi="Verdana"/>
        </w:rPr>
      </w:pPr>
      <w:r w:rsidRPr="00C84E52">
        <w:rPr>
          <w:rFonts w:ascii="Verdana" w:eastAsia="Times New Roman" w:hAnsi="Verdana" w:cs="Times New Roman"/>
          <w:b/>
          <w:bCs/>
        </w:rPr>
        <w:t xml:space="preserve">        </w:t>
      </w:r>
      <w:r w:rsidRPr="00C84E52">
        <w:rPr>
          <w:rFonts w:ascii="Verdana" w:eastAsia="Times New Roman" w:hAnsi="Verdana" w:cs="Times New Roman"/>
        </w:rPr>
        <w:t xml:space="preserve">La Ley 361 de 1997 estableció los primeros mecanismos de integración social de las </w:t>
      </w:r>
      <w:proofErr w:type="spellStart"/>
      <w:r w:rsidRPr="00C84E52">
        <w:rPr>
          <w:rFonts w:ascii="Verdana" w:eastAsia="Times New Roman" w:hAnsi="Verdana" w:cs="Times New Roman"/>
        </w:rPr>
        <w:t>PcD</w:t>
      </w:r>
      <w:proofErr w:type="spellEnd"/>
      <w:r w:rsidRPr="00C84E52">
        <w:rPr>
          <w:rFonts w:ascii="Verdana" w:eastAsia="Times New Roman" w:hAnsi="Verdana" w:cs="Times New Roman"/>
        </w:rPr>
        <w:t xml:space="preserve">. Su artículo 24 introdujo una preferencia en igualdad de condiciones en licitaciones y adjudicaciones de contratos para los empleadores que tuvieran al menos el 10% de su nómina compuesta por </w:t>
      </w:r>
      <w:proofErr w:type="spellStart"/>
      <w:r w:rsidRPr="00C84E52">
        <w:rPr>
          <w:rFonts w:ascii="Verdana" w:eastAsia="Times New Roman" w:hAnsi="Verdana" w:cs="Times New Roman"/>
        </w:rPr>
        <w:t>PcD</w:t>
      </w:r>
      <w:proofErr w:type="spellEnd"/>
      <w:r w:rsidRPr="00C84E52">
        <w:rPr>
          <w:rStyle w:val="Refdenotaalpie"/>
          <w:rFonts w:ascii="Verdana" w:eastAsia="Times New Roman" w:hAnsi="Verdana" w:cs="Times New Roman"/>
        </w:rPr>
        <w:footnoteReference w:id="6"/>
      </w:r>
      <w:r w:rsidRPr="00C84E52">
        <w:rPr>
          <w:rFonts w:ascii="Verdana" w:eastAsia="Times New Roman" w:hAnsi="Verdana" w:cs="Times New Roman"/>
        </w:rPr>
        <w:t xml:space="preserve">. Esta norma vinculó por primera vez la contratación pública con la inclusión laboral de las </w:t>
      </w:r>
      <w:proofErr w:type="spellStart"/>
      <w:r w:rsidRPr="00C84E52">
        <w:rPr>
          <w:rFonts w:ascii="Verdana" w:eastAsia="Times New Roman" w:hAnsi="Verdana" w:cs="Times New Roman"/>
        </w:rPr>
        <w:t>PcD</w:t>
      </w:r>
      <w:proofErr w:type="spellEnd"/>
      <w:r w:rsidRPr="00C84E52">
        <w:rPr>
          <w:rFonts w:ascii="Verdana" w:eastAsia="Times New Roman" w:hAnsi="Verdana" w:cs="Times New Roman"/>
        </w:rPr>
        <w:t xml:space="preserve">, pero su alcance era limitado: una preferencia residual aplicable solo en caso de empate, que beneficiaba únicamente a los empleadores de </w:t>
      </w:r>
      <w:proofErr w:type="spellStart"/>
      <w:r w:rsidRPr="00C84E52">
        <w:rPr>
          <w:rFonts w:ascii="Verdana" w:eastAsia="Times New Roman" w:hAnsi="Verdana" w:cs="Times New Roman"/>
        </w:rPr>
        <w:t>PcD</w:t>
      </w:r>
      <w:proofErr w:type="spellEnd"/>
      <w:r w:rsidRPr="00C84E52">
        <w:rPr>
          <w:rFonts w:ascii="Verdana" w:eastAsia="Times New Roman" w:hAnsi="Verdana" w:cs="Times New Roman"/>
        </w:rPr>
        <w:t xml:space="preserve"> sin considerar a las propias </w:t>
      </w:r>
      <w:proofErr w:type="spellStart"/>
      <w:r w:rsidRPr="00C84E52">
        <w:rPr>
          <w:rFonts w:ascii="Verdana" w:eastAsia="Times New Roman" w:hAnsi="Verdana" w:cs="Times New Roman"/>
        </w:rPr>
        <w:t>PcD</w:t>
      </w:r>
      <w:proofErr w:type="spellEnd"/>
      <w:r w:rsidRPr="00C84E52">
        <w:rPr>
          <w:rFonts w:ascii="Verdana" w:eastAsia="Times New Roman" w:hAnsi="Verdana" w:cs="Times New Roman"/>
        </w:rPr>
        <w:t xml:space="preserve"> como proponentes directos.</w:t>
      </w:r>
    </w:p>
    <w:p w14:paraId="16CDA886" w14:textId="77777777" w:rsidR="00C76417" w:rsidRPr="00C84E52" w:rsidRDefault="00C76417" w:rsidP="00C76417">
      <w:pPr>
        <w:spacing w:after="120" w:line="276" w:lineRule="auto"/>
        <w:jc w:val="both"/>
        <w:rPr>
          <w:rFonts w:ascii="Verdana" w:hAnsi="Verdana"/>
        </w:rPr>
      </w:pPr>
      <w:r w:rsidRPr="00C84E52">
        <w:rPr>
          <w:rFonts w:ascii="Verdana" w:eastAsia="Times New Roman" w:hAnsi="Verdana" w:cs="Times New Roman"/>
          <w:b/>
          <w:bCs/>
        </w:rPr>
        <w:t xml:space="preserve">       </w:t>
      </w:r>
      <w:r w:rsidRPr="00C84E52">
        <w:rPr>
          <w:rFonts w:ascii="Verdana" w:eastAsia="Times New Roman" w:hAnsi="Verdana" w:cs="Times New Roman"/>
        </w:rPr>
        <w:t xml:space="preserve">La Ley Estatutaria 1618 de 2013 representó un salto cualitativo en el marco jurídico de protección de las </w:t>
      </w:r>
      <w:proofErr w:type="spellStart"/>
      <w:r w:rsidRPr="00C84E52">
        <w:rPr>
          <w:rFonts w:ascii="Verdana" w:eastAsia="Times New Roman" w:hAnsi="Verdana" w:cs="Times New Roman"/>
        </w:rPr>
        <w:t>PcD</w:t>
      </w:r>
      <w:proofErr w:type="spellEnd"/>
      <w:r w:rsidRPr="00C84E52">
        <w:rPr>
          <w:rFonts w:ascii="Verdana" w:eastAsia="Times New Roman" w:hAnsi="Verdana" w:cs="Times New Roman"/>
        </w:rPr>
        <w:t xml:space="preserve">, al definir a estas como </w:t>
      </w:r>
      <w:r w:rsidRPr="00C84E52">
        <w:rPr>
          <w:rFonts w:ascii="Verdana" w:eastAsia="Times New Roman" w:hAnsi="Verdana" w:cs="Times New Roman"/>
          <w:i/>
          <w:iCs/>
        </w:rPr>
        <w:t>"aquellas personas que tengan deficiencias físicas, mentales, intelectuales o sensoriales a mediano y largo plazo que, al interactuar con diversas barreras incluyendo las actitudinales, puedan impedir su participación plena y efectiva en la sociedad, en igualdad de condiciones con las demás"</w:t>
      </w:r>
      <w:r w:rsidRPr="00C84E52">
        <w:rPr>
          <w:rStyle w:val="Refdenotaalpie"/>
          <w:rFonts w:ascii="Verdana" w:eastAsia="Times New Roman" w:hAnsi="Verdana" w:cs="Times New Roman"/>
          <w:i/>
          <w:iCs/>
        </w:rPr>
        <w:footnoteReference w:id="7"/>
      </w:r>
      <w:r w:rsidRPr="00C84E52">
        <w:rPr>
          <w:rFonts w:ascii="Verdana" w:eastAsia="Times New Roman" w:hAnsi="Verdana" w:cs="Times New Roman"/>
          <w:i/>
          <w:iCs/>
        </w:rPr>
        <w:t>.</w:t>
      </w:r>
      <w:r w:rsidRPr="00C84E52">
        <w:rPr>
          <w:rFonts w:ascii="Verdana" w:eastAsia="Times New Roman" w:hAnsi="Verdana" w:cs="Times New Roman"/>
        </w:rPr>
        <w:t xml:space="preserve"> Su artículo 13, en los numerales 1, 7 y 8, ordenó al Gobierno Nacional reglamentar: una puntuación adicional en licitación pública, concurso de méritos y contratación directa para empresas que vinculen </w:t>
      </w:r>
      <w:proofErr w:type="spellStart"/>
      <w:r w:rsidRPr="00C84E52">
        <w:rPr>
          <w:rFonts w:ascii="Verdana" w:eastAsia="Times New Roman" w:hAnsi="Verdana" w:cs="Times New Roman"/>
        </w:rPr>
        <w:t>PcD</w:t>
      </w:r>
      <w:proofErr w:type="spellEnd"/>
      <w:r w:rsidRPr="00C84E52">
        <w:rPr>
          <w:rFonts w:ascii="Verdana" w:eastAsia="Times New Roman" w:hAnsi="Verdana" w:cs="Times New Roman"/>
        </w:rPr>
        <w:t xml:space="preserve"> y para empresas de </w:t>
      </w:r>
      <w:proofErr w:type="spellStart"/>
      <w:r w:rsidRPr="00C84E52">
        <w:rPr>
          <w:rFonts w:ascii="Verdana" w:eastAsia="Times New Roman" w:hAnsi="Verdana" w:cs="Times New Roman"/>
        </w:rPr>
        <w:t>PcD</w:t>
      </w:r>
      <w:proofErr w:type="spellEnd"/>
      <w:r w:rsidRPr="00C84E52">
        <w:rPr>
          <w:rFonts w:ascii="Verdana" w:eastAsia="Times New Roman" w:hAnsi="Verdana" w:cs="Times New Roman"/>
        </w:rPr>
        <w:t xml:space="preserve">; un sistema de preferencias para empleadores de </w:t>
      </w:r>
      <w:proofErr w:type="spellStart"/>
      <w:r w:rsidRPr="00C84E52">
        <w:rPr>
          <w:rFonts w:ascii="Verdana" w:eastAsia="Times New Roman" w:hAnsi="Verdana" w:cs="Times New Roman"/>
        </w:rPr>
        <w:t>PcD</w:t>
      </w:r>
      <w:proofErr w:type="spellEnd"/>
      <w:r w:rsidRPr="00C84E52">
        <w:rPr>
          <w:rFonts w:ascii="Verdana" w:eastAsia="Times New Roman" w:hAnsi="Verdana" w:cs="Times New Roman"/>
        </w:rPr>
        <w:t xml:space="preserve"> en la adjudicación; y un sistema de preferencias en favor de las propias </w:t>
      </w:r>
      <w:proofErr w:type="spellStart"/>
      <w:r w:rsidRPr="00C84E52">
        <w:rPr>
          <w:rFonts w:ascii="Verdana" w:eastAsia="Times New Roman" w:hAnsi="Verdana" w:cs="Times New Roman"/>
        </w:rPr>
        <w:t>PcD</w:t>
      </w:r>
      <w:proofErr w:type="spellEnd"/>
      <w:r w:rsidRPr="00C84E52">
        <w:rPr>
          <w:rFonts w:ascii="Verdana" w:eastAsia="Times New Roman" w:hAnsi="Verdana" w:cs="Times New Roman"/>
        </w:rPr>
        <w:t xml:space="preserve"> como contratistas</w:t>
      </w:r>
      <w:r w:rsidRPr="00C84E52">
        <w:rPr>
          <w:rStyle w:val="Refdenotaalpie"/>
          <w:rFonts w:ascii="Verdana" w:eastAsia="Times New Roman" w:hAnsi="Verdana" w:cs="Times New Roman"/>
        </w:rPr>
        <w:footnoteReference w:id="8"/>
      </w:r>
      <w:r w:rsidRPr="00C84E52">
        <w:rPr>
          <w:rFonts w:ascii="Verdana" w:eastAsia="Times New Roman" w:hAnsi="Verdana" w:cs="Times New Roman"/>
        </w:rPr>
        <w:t xml:space="preserve">. Este último mandato fue especialmente significativo porque introdujo el concepto de </w:t>
      </w:r>
      <w:r w:rsidRPr="00C84E52">
        <w:rPr>
          <w:rFonts w:ascii="Verdana" w:eastAsia="Times New Roman" w:hAnsi="Verdana" w:cs="Times New Roman"/>
          <w:i/>
          <w:iCs/>
        </w:rPr>
        <w:t>"sistema de preferencias"</w:t>
      </w:r>
      <w:r w:rsidRPr="00C84E52">
        <w:rPr>
          <w:rFonts w:ascii="Verdana" w:eastAsia="Times New Roman" w:hAnsi="Verdana" w:cs="Times New Roman"/>
        </w:rPr>
        <w:t>, que por definición no puede reducirse a una sola medida sino que implica un conjunto estructurado de instrumentos que actúen en las distintas fases del proceso contractual.</w:t>
      </w:r>
    </w:p>
    <w:p w14:paraId="6AC6DE3D" w14:textId="77777777" w:rsidR="00C76417" w:rsidRPr="00C84E52" w:rsidRDefault="00C76417" w:rsidP="00C76417">
      <w:pPr>
        <w:spacing w:after="120" w:line="276" w:lineRule="auto"/>
        <w:ind w:firstLine="709"/>
        <w:jc w:val="both"/>
        <w:rPr>
          <w:rFonts w:ascii="Verdana" w:hAnsi="Verdana"/>
        </w:rPr>
      </w:pPr>
      <w:r w:rsidRPr="00C84E52">
        <w:rPr>
          <w:rFonts w:ascii="Verdana" w:hAnsi="Verdana"/>
        </w:rPr>
        <w:lastRenderedPageBreak/>
        <w:t xml:space="preserve">En cumplimiento parcial de los numerales 1 y 8 del artículo 13 de la Ley 1618 de 2013, se expidió el Decreto 392 de 2018. Sin embargo, como se reconoce en los considerandos del Decreto 0287 de 2026, dicha regulación presentó omisiones estructurales que frustraron la finalidad de la ley estatutaria: solo contempló el 1% de puntaje para empleadores de </w:t>
      </w:r>
      <w:proofErr w:type="spellStart"/>
      <w:r w:rsidRPr="00C84E52">
        <w:rPr>
          <w:rFonts w:ascii="Verdana" w:hAnsi="Verdana"/>
        </w:rPr>
        <w:t>PcD</w:t>
      </w:r>
      <w:proofErr w:type="spellEnd"/>
      <w:r w:rsidRPr="00C84E52">
        <w:rPr>
          <w:rFonts w:ascii="Verdana" w:hAnsi="Verdana"/>
        </w:rPr>
        <w:t xml:space="preserve">, sin incluir a las empresas de </w:t>
      </w:r>
      <w:proofErr w:type="spellStart"/>
      <w:r w:rsidRPr="00C84E52">
        <w:rPr>
          <w:rFonts w:ascii="Verdana" w:hAnsi="Verdana"/>
        </w:rPr>
        <w:t>PcD</w:t>
      </w:r>
      <w:proofErr w:type="spellEnd"/>
      <w:r w:rsidRPr="00C84E52">
        <w:rPr>
          <w:rFonts w:ascii="Verdana" w:hAnsi="Verdana"/>
        </w:rPr>
        <w:t xml:space="preserve">; redujo el "sistema de preferencias" a un único criterio de desempate; y no previó medidas en planeación, criterios habilitantes diferenciales, condiciones especiales de ejecución ni abordó la contratación directa como escenario de inclusión. En consecuencia, desde el punto de vista sustantivo, el Decreto 392 de 2018 reglamentó el numeral 1 de manera parcial y el numeral 7, dejando sin reglamentación material el numeral 8, que era precisamente el que ordenaba el sistema de preferencias en favor de las propias </w:t>
      </w:r>
      <w:proofErr w:type="spellStart"/>
      <w:r w:rsidRPr="00C84E52">
        <w:rPr>
          <w:rFonts w:ascii="Verdana" w:hAnsi="Verdana"/>
        </w:rPr>
        <w:t>PcD</w:t>
      </w:r>
      <w:proofErr w:type="spellEnd"/>
      <w:r w:rsidRPr="00C84E52">
        <w:rPr>
          <w:rFonts w:ascii="Verdana" w:hAnsi="Verdana"/>
        </w:rPr>
        <w:t xml:space="preserve"> como contratistas.</w:t>
      </w:r>
    </w:p>
    <w:p w14:paraId="6A48C7E3" w14:textId="77777777" w:rsidR="00C76417" w:rsidRPr="00C84E52" w:rsidRDefault="00C76417" w:rsidP="00C76417">
      <w:pPr>
        <w:spacing w:after="120" w:line="276" w:lineRule="auto"/>
        <w:ind w:firstLine="709"/>
        <w:jc w:val="both"/>
        <w:rPr>
          <w:rFonts w:ascii="Verdana" w:hAnsi="Verdana"/>
        </w:rPr>
      </w:pPr>
      <w:r w:rsidRPr="00C84E52">
        <w:rPr>
          <w:rFonts w:ascii="Verdana" w:hAnsi="Verdana"/>
        </w:rPr>
        <w:t xml:space="preserve">La insuficiencia del Decreto 392 de 2018 fue constatada judicialmente. La Sección Quinta del Consejo de Estado, mediante sentencia de acción de cumplimiento del 12 de diciembre de 2024, radicación </w:t>
      </w:r>
      <w:proofErr w:type="spellStart"/>
      <w:r w:rsidRPr="00C84E52">
        <w:rPr>
          <w:rFonts w:ascii="Verdana" w:hAnsi="Verdana"/>
        </w:rPr>
        <w:t>n°</w:t>
      </w:r>
      <w:proofErr w:type="spellEnd"/>
      <w:r w:rsidRPr="00C84E52">
        <w:rPr>
          <w:rFonts w:ascii="Verdana" w:hAnsi="Verdana"/>
        </w:rPr>
        <w:t xml:space="preserve"> 05001-23-33-000-2024-00847-01, M.P. Omar Joaquín Barreto Suárez, declaró el incumplimiento del Gobierno Nacional del artículo 62 de la Ley 1996 de 2019, que ordenaba reglamentar las medidas del artículo 13 de la Ley 1618 de 2013, y ordenó expedir los decretos reglamentarios faltantes en el término de cuatro (4) meses contados a partir de la ejecutoria de la providencia. La Sala calificó la obligación como imperativa, expresa e inobjetable, señalando que el Gobierno Nacional no contaba con margen de discrecionalidad para decidir si reglamentaba o no el sistema de preferencias.</w:t>
      </w:r>
    </w:p>
    <w:p w14:paraId="052947E1" w14:textId="77777777" w:rsidR="00C76417" w:rsidRPr="00C84E52" w:rsidRDefault="00C76417" w:rsidP="00C76417">
      <w:pPr>
        <w:spacing w:after="120" w:line="276" w:lineRule="auto"/>
        <w:ind w:firstLine="709"/>
        <w:jc w:val="both"/>
        <w:rPr>
          <w:rFonts w:ascii="Verdana" w:hAnsi="Verdana"/>
        </w:rPr>
      </w:pPr>
      <w:r w:rsidRPr="00C84E52">
        <w:rPr>
          <w:rFonts w:ascii="Verdana" w:hAnsi="Verdana"/>
        </w:rPr>
        <w:t xml:space="preserve">En cumplimiento de esa decisión fue expedido el Decreto 0287 de 2026, el cual, como se indicó en la respuesta, establece un Sistema Integral de Preferencias compuesto por cinco medidas afirmativas que actúan en todas las fases del proceso contractual, planeación, selección, adjudicación y ejecución, y que benefician a dos sujetos diferenciados: los emprendimientos y empresas de </w:t>
      </w:r>
      <w:proofErr w:type="spellStart"/>
      <w:r w:rsidRPr="00C84E52">
        <w:rPr>
          <w:rFonts w:ascii="Verdana" w:hAnsi="Verdana"/>
        </w:rPr>
        <w:t>PcD</w:t>
      </w:r>
      <w:proofErr w:type="spellEnd"/>
      <w:r w:rsidRPr="00C84E52">
        <w:rPr>
          <w:rFonts w:ascii="Verdana" w:hAnsi="Verdana"/>
        </w:rPr>
        <w:t xml:space="preserve"> y los empleadores de </w:t>
      </w:r>
      <w:proofErr w:type="spellStart"/>
      <w:r w:rsidRPr="00C84E52">
        <w:rPr>
          <w:rFonts w:ascii="Verdana" w:hAnsi="Verdana"/>
        </w:rPr>
        <w:t>PcD</w:t>
      </w:r>
      <w:proofErr w:type="spellEnd"/>
      <w:r w:rsidRPr="00C84E52">
        <w:rPr>
          <w:rFonts w:ascii="Verdana" w:hAnsi="Verdana"/>
        </w:rPr>
        <w:t xml:space="preserve">. A continuación, se desarrolla el alcance de cada aspecto del sistema planteado en los problemas jurídicos. </w:t>
      </w:r>
    </w:p>
    <w:p w14:paraId="1BB7323F" w14:textId="77777777" w:rsidR="00C76417" w:rsidRPr="00C84E52" w:rsidRDefault="00C76417" w:rsidP="00C76417">
      <w:pPr>
        <w:spacing w:after="120" w:line="276" w:lineRule="auto"/>
        <w:jc w:val="both"/>
        <w:rPr>
          <w:rFonts w:ascii="Verdana" w:hAnsi="Verdana"/>
        </w:rPr>
      </w:pPr>
      <w:proofErr w:type="spellStart"/>
      <w:r w:rsidRPr="00C84E52">
        <w:rPr>
          <w:rFonts w:ascii="Verdana" w:hAnsi="Verdana"/>
        </w:rPr>
        <w:t>ii</w:t>
      </w:r>
      <w:proofErr w:type="spellEnd"/>
      <w:r w:rsidRPr="00C84E52">
        <w:rPr>
          <w:rFonts w:ascii="Verdana" w:hAnsi="Verdana"/>
        </w:rPr>
        <w:t xml:space="preserve">. </w:t>
      </w:r>
      <w:r w:rsidRPr="00C84E52">
        <w:rPr>
          <w:rFonts w:ascii="Verdana" w:eastAsia="Times New Roman" w:hAnsi="Verdana" w:cs="Times New Roman"/>
        </w:rPr>
        <w:t xml:space="preserve">Uno de los incentivos centrales que el Decreto 0287 de 2026 establece en favor de los partícipes del sistema es el puntaje adicional del 2%, previsto en el artículo 2.2.1.2.4.2.7.4. del Decreto 1082 de 2015 (modificado). Este puntaje </w:t>
      </w:r>
      <w:r w:rsidRPr="00C84E52">
        <w:rPr>
          <w:rFonts w:ascii="Verdana" w:eastAsia="Times New Roman" w:hAnsi="Verdana" w:cs="Times New Roman"/>
        </w:rPr>
        <w:lastRenderedPageBreak/>
        <w:t xml:space="preserve">puede obtenerse acreditando cualquiera de las dos condiciones que la norma contempla: ser emprendimiento o empresa de </w:t>
      </w:r>
      <w:proofErr w:type="spellStart"/>
      <w:r w:rsidRPr="00C84E52">
        <w:rPr>
          <w:rFonts w:ascii="Verdana" w:eastAsia="Times New Roman" w:hAnsi="Verdana" w:cs="Times New Roman"/>
        </w:rPr>
        <w:t>PcD</w:t>
      </w:r>
      <w:proofErr w:type="spellEnd"/>
      <w:r w:rsidRPr="00C84E52">
        <w:rPr>
          <w:rFonts w:ascii="Verdana" w:eastAsia="Times New Roman" w:hAnsi="Verdana" w:cs="Times New Roman"/>
        </w:rPr>
        <w:t xml:space="preserve">, conforme a las categorías del artículo 2.2.1.2.4.2.6., o ser empleador de </w:t>
      </w:r>
      <w:proofErr w:type="spellStart"/>
      <w:r w:rsidRPr="00C84E52">
        <w:rPr>
          <w:rFonts w:ascii="Verdana" w:eastAsia="Times New Roman" w:hAnsi="Verdana" w:cs="Times New Roman"/>
        </w:rPr>
        <w:t>PcD</w:t>
      </w:r>
      <w:proofErr w:type="spellEnd"/>
      <w:r w:rsidRPr="00C84E52">
        <w:rPr>
          <w:rFonts w:ascii="Verdana" w:eastAsia="Times New Roman" w:hAnsi="Verdana" w:cs="Times New Roman"/>
        </w:rPr>
        <w:t xml:space="preserve"> que supere los mínimos de vinculación exigidos por la Ley 2466 de 2025 (Reforma Laboral). Sin embargo, el hecho de que ambas condiciones puedan acreditarse simultáneamente no significa que el puntaje sea acumulable. El mismo artículo es explícito al disponer que:</w:t>
      </w:r>
    </w:p>
    <w:p w14:paraId="5E0F5481" w14:textId="77777777" w:rsidR="00C76417" w:rsidRPr="00C84E52" w:rsidRDefault="00C76417" w:rsidP="00C76417">
      <w:pPr>
        <w:spacing w:before="100" w:after="180"/>
        <w:ind w:left="720" w:right="720"/>
        <w:jc w:val="both"/>
        <w:rPr>
          <w:rFonts w:ascii="Verdana" w:hAnsi="Verdana"/>
          <w:sz w:val="20"/>
          <w:szCs w:val="20"/>
        </w:rPr>
      </w:pPr>
      <w:r w:rsidRPr="00C84E52">
        <w:rPr>
          <w:rFonts w:ascii="Verdana" w:eastAsia="Times New Roman" w:hAnsi="Verdana" w:cs="Times New Roman"/>
          <w:i/>
          <w:iCs/>
          <w:sz w:val="20"/>
          <w:szCs w:val="20"/>
        </w:rPr>
        <w:t>"El proponente podrá acreditar alguna de las situaciones mencionadas, y en todo caso el puntaje adicional total y único a otorgar por este criterio será del dos por ciento (2%), sin que sean acumulables a efecto de la evaluación de la oferta."</w:t>
      </w:r>
    </w:p>
    <w:p w14:paraId="0D29CCDB" w14:textId="77777777" w:rsidR="00C76417" w:rsidRPr="00C84E52" w:rsidRDefault="00C76417" w:rsidP="00C76417">
      <w:pPr>
        <w:spacing w:after="120" w:line="276" w:lineRule="auto"/>
        <w:ind w:firstLine="709"/>
        <w:jc w:val="both"/>
        <w:rPr>
          <w:rFonts w:ascii="Verdana" w:eastAsia="Times New Roman" w:hAnsi="Verdana" w:cs="Times New Roman"/>
        </w:rPr>
      </w:pPr>
      <w:r w:rsidRPr="00C84E52">
        <w:rPr>
          <w:rFonts w:ascii="Verdana" w:eastAsia="Times New Roman" w:hAnsi="Verdana" w:cs="Times New Roman"/>
        </w:rPr>
        <w:t xml:space="preserve">Esta decisión normativa responde a una razón de diseño del sistema: el 2% ya incorpora el estímulo suficiente para promover la inclusión de </w:t>
      </w:r>
      <w:proofErr w:type="spellStart"/>
      <w:r w:rsidRPr="00C84E52">
        <w:rPr>
          <w:rFonts w:ascii="Verdana" w:eastAsia="Times New Roman" w:hAnsi="Verdana" w:cs="Times New Roman"/>
        </w:rPr>
        <w:t>PcD</w:t>
      </w:r>
      <w:proofErr w:type="spellEnd"/>
      <w:r w:rsidRPr="00C84E52">
        <w:rPr>
          <w:rFonts w:ascii="Verdana" w:eastAsia="Times New Roman" w:hAnsi="Verdana" w:cs="Times New Roman"/>
        </w:rPr>
        <w:t>, y permitir su acumulación distorsionaría la evaluación de las ofertas en perjuicio de la pluralidad de oferentes y de la selección objetiva, que son principios rectores de la contratación estatal. Es importante distinguir entre la acreditación de condiciones y el puntaje resultante: el proponente puede acreditar varias condiciones al mismo tiempo, pero el puntaje que recibe siempre será el 2%, sin variación. En términos prácticos, en una licitación de 1.000 puntos el 2% equivale a 20 puntos adicionales, ventaja que puede ser determinante en escenarios de puntuaciones cercanas.</w:t>
      </w:r>
    </w:p>
    <w:p w14:paraId="17A4A7EE" w14:textId="77777777" w:rsidR="00C76417" w:rsidRPr="00C84E52" w:rsidRDefault="00C76417" w:rsidP="00C76417">
      <w:pPr>
        <w:spacing w:after="120" w:line="276" w:lineRule="auto"/>
        <w:jc w:val="both"/>
        <w:rPr>
          <w:rFonts w:ascii="Verdana" w:hAnsi="Verdana"/>
        </w:rPr>
      </w:pPr>
      <w:proofErr w:type="spellStart"/>
      <w:r w:rsidRPr="00C84E52">
        <w:rPr>
          <w:rFonts w:ascii="Verdana" w:eastAsia="Times New Roman" w:hAnsi="Verdana" w:cs="Times New Roman"/>
        </w:rPr>
        <w:t>iii</w:t>
      </w:r>
      <w:proofErr w:type="spellEnd"/>
      <w:r w:rsidRPr="00C84E52">
        <w:rPr>
          <w:rFonts w:ascii="Verdana" w:eastAsia="Times New Roman" w:hAnsi="Verdana" w:cs="Times New Roman"/>
        </w:rPr>
        <w:t xml:space="preserve">. En cuanto a la exigencia del número mínimo de </w:t>
      </w:r>
      <w:proofErr w:type="spellStart"/>
      <w:r w:rsidRPr="00C84E52">
        <w:rPr>
          <w:rFonts w:ascii="Verdana" w:eastAsia="Times New Roman" w:hAnsi="Verdana" w:cs="Times New Roman"/>
        </w:rPr>
        <w:t>PcD</w:t>
      </w:r>
      <w:proofErr w:type="spellEnd"/>
      <w:r w:rsidRPr="00C84E52">
        <w:rPr>
          <w:rFonts w:ascii="Verdana" w:eastAsia="Times New Roman" w:hAnsi="Verdana" w:cs="Times New Roman"/>
        </w:rPr>
        <w:t xml:space="preserve"> vinculadas y la acreditación mediante planillas de seguridad social, el artículo 2.2.1.2.4.2.7.4. del Decreto 0287 de 2026 establece que para acceder al puntaje adicional en la condición de empleador de </w:t>
      </w:r>
      <w:proofErr w:type="spellStart"/>
      <w:r w:rsidRPr="00C84E52">
        <w:rPr>
          <w:rFonts w:ascii="Verdana" w:eastAsia="Times New Roman" w:hAnsi="Verdana" w:cs="Times New Roman"/>
        </w:rPr>
        <w:t>PcD</w:t>
      </w:r>
      <w:proofErr w:type="spellEnd"/>
      <w:r w:rsidRPr="00C84E52">
        <w:rPr>
          <w:rFonts w:ascii="Verdana" w:eastAsia="Times New Roman" w:hAnsi="Verdana" w:cs="Times New Roman"/>
        </w:rPr>
        <w:t xml:space="preserve">, el proponente debe acreditar dentro de su planta de personal la vinculación de personas con discapacidad mediante contrato laboral con dedicación exclusiva, superando los mínimos que exige la Ley 2466 de 2025 (Reforma Laboral). El número mínimo de </w:t>
      </w:r>
      <w:proofErr w:type="spellStart"/>
      <w:r w:rsidRPr="00C84E52">
        <w:rPr>
          <w:rFonts w:ascii="Verdana" w:eastAsia="Times New Roman" w:hAnsi="Verdana" w:cs="Times New Roman"/>
        </w:rPr>
        <w:t>PcD</w:t>
      </w:r>
      <w:proofErr w:type="spellEnd"/>
      <w:r w:rsidRPr="00C84E52">
        <w:rPr>
          <w:rFonts w:ascii="Verdana" w:eastAsia="Times New Roman" w:hAnsi="Verdana" w:cs="Times New Roman"/>
        </w:rPr>
        <w:t xml:space="preserve"> requerido varía según el tamaño de la planta de personal del proponente, conforme a la siguiente tabla:</w:t>
      </w:r>
    </w:p>
    <w:p w14:paraId="22CB1C0C" w14:textId="77777777" w:rsidR="00C76417" w:rsidRPr="00C84E52" w:rsidRDefault="00C76417" w:rsidP="00C76417">
      <w:pPr>
        <w:spacing w:after="100"/>
        <w:rPr>
          <w:rFonts w:ascii="Verdana" w:hAnsi="Verdana"/>
        </w:rPr>
      </w:pPr>
    </w:p>
    <w:tbl>
      <w:tblPr>
        <w:tblW w:w="60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67"/>
        <w:gridCol w:w="2828"/>
      </w:tblGrid>
      <w:tr w:rsidR="00C76417" w:rsidRPr="00C84E52" w14:paraId="09F3CBFF" w14:textId="77777777" w:rsidTr="00C83358">
        <w:trPr>
          <w:trHeight w:val="978"/>
          <w:jc w:val="center"/>
        </w:trPr>
        <w:tc>
          <w:tcPr>
            <w:tcW w:w="3267"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64FFAFE1" w14:textId="77777777" w:rsidR="00C76417" w:rsidRPr="00215ADE" w:rsidRDefault="00C76417" w:rsidP="00C83358">
            <w:pPr>
              <w:jc w:val="center"/>
              <w:rPr>
                <w:rFonts w:ascii="Verdana" w:hAnsi="Verdana"/>
                <w:sz w:val="20"/>
                <w:szCs w:val="20"/>
              </w:rPr>
            </w:pPr>
            <w:r w:rsidRPr="00215ADE">
              <w:rPr>
                <w:rFonts w:ascii="Verdana" w:eastAsia="Times New Roman" w:hAnsi="Verdana" w:cs="Times New Roman"/>
                <w:b/>
                <w:bCs/>
                <w:sz w:val="20"/>
                <w:szCs w:val="20"/>
              </w:rPr>
              <w:t>Número total de trabajadores de la planta de personal del proponente</w:t>
            </w:r>
          </w:p>
        </w:tc>
        <w:tc>
          <w:tcPr>
            <w:tcW w:w="2828"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400B3B6E" w14:textId="77777777" w:rsidR="00C76417" w:rsidRPr="00215ADE" w:rsidRDefault="00C76417" w:rsidP="00C83358">
            <w:pPr>
              <w:jc w:val="center"/>
              <w:rPr>
                <w:rFonts w:ascii="Verdana" w:hAnsi="Verdana"/>
                <w:sz w:val="20"/>
                <w:szCs w:val="20"/>
              </w:rPr>
            </w:pPr>
            <w:r w:rsidRPr="00215ADE">
              <w:rPr>
                <w:rFonts w:ascii="Verdana" w:eastAsia="Times New Roman" w:hAnsi="Verdana" w:cs="Times New Roman"/>
                <w:b/>
                <w:bCs/>
                <w:sz w:val="20"/>
                <w:szCs w:val="20"/>
              </w:rPr>
              <w:t>Número mínimo de trabajadores con discapacidad requerido</w:t>
            </w:r>
          </w:p>
        </w:tc>
      </w:tr>
      <w:tr w:rsidR="00C76417" w:rsidRPr="00C84E52" w14:paraId="07454F13" w14:textId="77777777" w:rsidTr="00C83358">
        <w:trPr>
          <w:trHeight w:val="196"/>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68E5B1BA" w14:textId="77777777" w:rsidR="00C76417" w:rsidRPr="00215ADE" w:rsidRDefault="00C76417" w:rsidP="00C83358">
            <w:pPr>
              <w:jc w:val="center"/>
              <w:rPr>
                <w:rFonts w:ascii="Verdana" w:hAnsi="Verdana"/>
                <w:sz w:val="20"/>
                <w:szCs w:val="20"/>
              </w:rPr>
            </w:pPr>
            <w:r w:rsidRPr="00215ADE">
              <w:rPr>
                <w:rFonts w:ascii="Verdana" w:eastAsia="Times New Roman" w:hAnsi="Verdana" w:cs="Times New Roman"/>
                <w:sz w:val="20"/>
                <w:szCs w:val="20"/>
              </w:rPr>
              <w:lastRenderedPageBreak/>
              <w:t>Entre 1 y 30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4EE02055" w14:textId="77777777" w:rsidR="00C76417" w:rsidRPr="00215ADE" w:rsidRDefault="00C76417" w:rsidP="00C83358">
            <w:pPr>
              <w:jc w:val="center"/>
              <w:rPr>
                <w:rFonts w:ascii="Verdana" w:hAnsi="Verdana"/>
                <w:sz w:val="20"/>
                <w:szCs w:val="20"/>
              </w:rPr>
            </w:pPr>
            <w:r w:rsidRPr="00215ADE">
              <w:rPr>
                <w:rFonts w:ascii="Verdana" w:eastAsia="Times New Roman" w:hAnsi="Verdana" w:cs="Times New Roman"/>
                <w:sz w:val="20"/>
                <w:szCs w:val="20"/>
              </w:rPr>
              <w:t>2</w:t>
            </w:r>
          </w:p>
        </w:tc>
      </w:tr>
      <w:tr w:rsidR="00C76417" w:rsidRPr="00C84E52" w14:paraId="76D0DF17" w14:textId="77777777" w:rsidTr="00C83358">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08F7387D" w14:textId="77777777" w:rsidR="00C76417" w:rsidRPr="00215ADE" w:rsidRDefault="00C76417" w:rsidP="00C83358">
            <w:pPr>
              <w:jc w:val="center"/>
              <w:rPr>
                <w:rFonts w:ascii="Verdana" w:hAnsi="Verdana"/>
                <w:sz w:val="20"/>
                <w:szCs w:val="20"/>
              </w:rPr>
            </w:pPr>
            <w:r w:rsidRPr="00215ADE">
              <w:rPr>
                <w:rFonts w:ascii="Verdana" w:eastAsia="Times New Roman" w:hAnsi="Verdana" w:cs="Times New Roman"/>
                <w:sz w:val="20"/>
                <w:szCs w:val="20"/>
              </w:rPr>
              <w:t>Entre 31 y 100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0F3EC9D0" w14:textId="77777777" w:rsidR="00C76417" w:rsidRPr="00215ADE" w:rsidRDefault="00C76417" w:rsidP="00C83358">
            <w:pPr>
              <w:jc w:val="center"/>
              <w:rPr>
                <w:rFonts w:ascii="Verdana" w:hAnsi="Verdana"/>
                <w:sz w:val="20"/>
                <w:szCs w:val="20"/>
              </w:rPr>
            </w:pPr>
            <w:r w:rsidRPr="00215ADE">
              <w:rPr>
                <w:rFonts w:ascii="Verdana" w:eastAsia="Times New Roman" w:hAnsi="Verdana" w:cs="Times New Roman"/>
                <w:sz w:val="20"/>
                <w:szCs w:val="20"/>
              </w:rPr>
              <w:t>3</w:t>
            </w:r>
          </w:p>
        </w:tc>
      </w:tr>
      <w:tr w:rsidR="00C76417" w:rsidRPr="00C84E52" w14:paraId="6CFAD269" w14:textId="77777777" w:rsidTr="00C83358">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460B6DD7" w14:textId="77777777" w:rsidR="00C76417" w:rsidRPr="00215ADE" w:rsidRDefault="00C76417" w:rsidP="00C83358">
            <w:pPr>
              <w:jc w:val="center"/>
              <w:rPr>
                <w:rFonts w:ascii="Verdana" w:hAnsi="Verdana"/>
                <w:sz w:val="20"/>
                <w:szCs w:val="20"/>
              </w:rPr>
            </w:pPr>
            <w:r w:rsidRPr="00215ADE">
              <w:rPr>
                <w:rFonts w:ascii="Verdana" w:eastAsia="Times New Roman" w:hAnsi="Verdana" w:cs="Times New Roman"/>
                <w:sz w:val="20"/>
                <w:szCs w:val="20"/>
              </w:rPr>
              <w:t>Entre 101 y 150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3F81ADF1" w14:textId="77777777" w:rsidR="00C76417" w:rsidRPr="00215ADE" w:rsidRDefault="00C76417" w:rsidP="00C83358">
            <w:pPr>
              <w:jc w:val="center"/>
              <w:rPr>
                <w:rFonts w:ascii="Verdana" w:hAnsi="Verdana"/>
                <w:sz w:val="20"/>
                <w:szCs w:val="20"/>
              </w:rPr>
            </w:pPr>
            <w:r w:rsidRPr="00215ADE">
              <w:rPr>
                <w:rFonts w:ascii="Verdana" w:eastAsia="Times New Roman" w:hAnsi="Verdana" w:cs="Times New Roman"/>
                <w:sz w:val="20"/>
                <w:szCs w:val="20"/>
              </w:rPr>
              <w:t>4</w:t>
            </w:r>
          </w:p>
        </w:tc>
      </w:tr>
      <w:tr w:rsidR="00C76417" w:rsidRPr="00C84E52" w14:paraId="355CC2F9" w14:textId="77777777" w:rsidTr="00C83358">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6D66FA81" w14:textId="77777777" w:rsidR="00C76417" w:rsidRPr="00215ADE" w:rsidRDefault="00C76417" w:rsidP="00C83358">
            <w:pPr>
              <w:jc w:val="center"/>
              <w:rPr>
                <w:rFonts w:ascii="Verdana" w:hAnsi="Verdana"/>
                <w:sz w:val="20"/>
                <w:szCs w:val="20"/>
              </w:rPr>
            </w:pPr>
            <w:r w:rsidRPr="00215ADE">
              <w:rPr>
                <w:rFonts w:ascii="Verdana" w:eastAsia="Times New Roman" w:hAnsi="Verdana" w:cs="Times New Roman"/>
                <w:sz w:val="20"/>
                <w:szCs w:val="20"/>
              </w:rPr>
              <w:t>Entre 151 y 200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22A52A84" w14:textId="77777777" w:rsidR="00C76417" w:rsidRPr="00215ADE" w:rsidRDefault="00C76417" w:rsidP="00C83358">
            <w:pPr>
              <w:jc w:val="center"/>
              <w:rPr>
                <w:rFonts w:ascii="Verdana" w:hAnsi="Verdana"/>
                <w:sz w:val="20"/>
                <w:szCs w:val="20"/>
              </w:rPr>
            </w:pPr>
            <w:r w:rsidRPr="00215ADE">
              <w:rPr>
                <w:rFonts w:ascii="Verdana" w:eastAsia="Times New Roman" w:hAnsi="Verdana" w:cs="Times New Roman"/>
                <w:sz w:val="20"/>
                <w:szCs w:val="20"/>
              </w:rPr>
              <w:t>5</w:t>
            </w:r>
          </w:p>
        </w:tc>
      </w:tr>
      <w:tr w:rsidR="00C76417" w:rsidRPr="00C84E52" w14:paraId="12B40DC2" w14:textId="77777777" w:rsidTr="00C83358">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42B0AD10" w14:textId="77777777" w:rsidR="00C76417" w:rsidRPr="00215ADE" w:rsidRDefault="00C76417" w:rsidP="00C83358">
            <w:pPr>
              <w:jc w:val="center"/>
              <w:rPr>
                <w:rFonts w:ascii="Verdana" w:hAnsi="Verdana"/>
                <w:sz w:val="20"/>
                <w:szCs w:val="20"/>
              </w:rPr>
            </w:pPr>
            <w:r w:rsidRPr="00215ADE">
              <w:rPr>
                <w:rFonts w:ascii="Verdana" w:eastAsia="Times New Roman" w:hAnsi="Verdana" w:cs="Times New Roman"/>
                <w:sz w:val="20"/>
                <w:szCs w:val="20"/>
              </w:rPr>
              <w:t>Entre 201 y 300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0EEC1A27" w14:textId="77777777" w:rsidR="00C76417" w:rsidRPr="00215ADE" w:rsidRDefault="00C76417" w:rsidP="00C83358">
            <w:pPr>
              <w:jc w:val="center"/>
              <w:rPr>
                <w:rFonts w:ascii="Verdana" w:hAnsi="Verdana"/>
                <w:sz w:val="20"/>
                <w:szCs w:val="20"/>
              </w:rPr>
            </w:pPr>
            <w:r w:rsidRPr="00215ADE">
              <w:rPr>
                <w:rFonts w:ascii="Verdana" w:eastAsia="Times New Roman" w:hAnsi="Verdana" w:cs="Times New Roman"/>
                <w:sz w:val="20"/>
                <w:szCs w:val="20"/>
              </w:rPr>
              <w:t>7</w:t>
            </w:r>
          </w:p>
        </w:tc>
      </w:tr>
      <w:tr w:rsidR="00C76417" w:rsidRPr="00C84E52" w14:paraId="61F0736A" w14:textId="77777777" w:rsidTr="00C83358">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208078CF" w14:textId="77777777" w:rsidR="00C76417" w:rsidRPr="00215ADE" w:rsidRDefault="00C76417" w:rsidP="00C83358">
            <w:pPr>
              <w:jc w:val="center"/>
              <w:rPr>
                <w:rFonts w:ascii="Verdana" w:hAnsi="Verdana"/>
                <w:sz w:val="20"/>
                <w:szCs w:val="20"/>
              </w:rPr>
            </w:pPr>
            <w:r w:rsidRPr="00215ADE">
              <w:rPr>
                <w:rFonts w:ascii="Verdana" w:eastAsia="Times New Roman" w:hAnsi="Verdana" w:cs="Times New Roman"/>
                <w:sz w:val="20"/>
                <w:szCs w:val="20"/>
              </w:rPr>
              <w:t>Entre 301 y 400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7BA772EA" w14:textId="77777777" w:rsidR="00C76417" w:rsidRPr="00215ADE" w:rsidRDefault="00C76417" w:rsidP="00C83358">
            <w:pPr>
              <w:jc w:val="center"/>
              <w:rPr>
                <w:rFonts w:ascii="Verdana" w:hAnsi="Verdana"/>
                <w:sz w:val="20"/>
                <w:szCs w:val="20"/>
              </w:rPr>
            </w:pPr>
            <w:r w:rsidRPr="00215ADE">
              <w:rPr>
                <w:rFonts w:ascii="Verdana" w:eastAsia="Times New Roman" w:hAnsi="Verdana" w:cs="Times New Roman"/>
                <w:sz w:val="20"/>
                <w:szCs w:val="20"/>
              </w:rPr>
              <w:t>10</w:t>
            </w:r>
          </w:p>
        </w:tc>
      </w:tr>
      <w:tr w:rsidR="00C76417" w:rsidRPr="00C84E52" w14:paraId="4CE9A875" w14:textId="77777777" w:rsidTr="00C83358">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6088A5D0" w14:textId="77777777" w:rsidR="00C76417" w:rsidRPr="00215ADE" w:rsidRDefault="00C76417" w:rsidP="00C83358">
            <w:pPr>
              <w:jc w:val="center"/>
              <w:rPr>
                <w:rFonts w:ascii="Verdana" w:hAnsi="Verdana"/>
                <w:sz w:val="20"/>
                <w:szCs w:val="20"/>
              </w:rPr>
            </w:pPr>
            <w:r w:rsidRPr="00215ADE">
              <w:rPr>
                <w:rFonts w:ascii="Verdana" w:eastAsia="Times New Roman" w:hAnsi="Verdana" w:cs="Times New Roman"/>
                <w:sz w:val="20"/>
                <w:szCs w:val="20"/>
              </w:rPr>
              <w:t>Entre 401 y 500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754E0383" w14:textId="77777777" w:rsidR="00C76417" w:rsidRPr="00215ADE" w:rsidRDefault="00C76417" w:rsidP="00C83358">
            <w:pPr>
              <w:jc w:val="center"/>
              <w:rPr>
                <w:rFonts w:ascii="Verdana" w:hAnsi="Verdana"/>
                <w:sz w:val="20"/>
                <w:szCs w:val="20"/>
              </w:rPr>
            </w:pPr>
            <w:r w:rsidRPr="00215ADE">
              <w:rPr>
                <w:rFonts w:ascii="Verdana" w:eastAsia="Times New Roman" w:hAnsi="Verdana" w:cs="Times New Roman"/>
                <w:sz w:val="20"/>
                <w:szCs w:val="20"/>
              </w:rPr>
              <w:t>12</w:t>
            </w:r>
          </w:p>
        </w:tc>
      </w:tr>
      <w:tr w:rsidR="00C76417" w:rsidRPr="00C84E52" w14:paraId="61B78D40" w14:textId="77777777" w:rsidTr="00C83358">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3AF071B0" w14:textId="77777777" w:rsidR="00C76417" w:rsidRPr="00215ADE" w:rsidRDefault="00C76417" w:rsidP="00C83358">
            <w:pPr>
              <w:jc w:val="center"/>
              <w:rPr>
                <w:rFonts w:ascii="Verdana" w:hAnsi="Verdana"/>
                <w:sz w:val="20"/>
                <w:szCs w:val="20"/>
              </w:rPr>
            </w:pPr>
            <w:r w:rsidRPr="00215ADE">
              <w:rPr>
                <w:rFonts w:ascii="Verdana" w:eastAsia="Times New Roman" w:hAnsi="Verdana" w:cs="Times New Roman"/>
                <w:sz w:val="20"/>
                <w:szCs w:val="20"/>
              </w:rPr>
              <w:t>Entre 501 y 600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354636F8" w14:textId="77777777" w:rsidR="00C76417" w:rsidRPr="00215ADE" w:rsidRDefault="00C76417" w:rsidP="00C83358">
            <w:pPr>
              <w:jc w:val="center"/>
              <w:rPr>
                <w:rFonts w:ascii="Verdana" w:hAnsi="Verdana"/>
                <w:sz w:val="20"/>
                <w:szCs w:val="20"/>
              </w:rPr>
            </w:pPr>
            <w:r w:rsidRPr="00215ADE">
              <w:rPr>
                <w:rFonts w:ascii="Verdana" w:eastAsia="Times New Roman" w:hAnsi="Verdana" w:cs="Times New Roman"/>
                <w:sz w:val="20"/>
                <w:szCs w:val="20"/>
              </w:rPr>
              <w:t>14</w:t>
            </w:r>
          </w:p>
        </w:tc>
      </w:tr>
      <w:tr w:rsidR="00C76417" w:rsidRPr="00C84E52" w14:paraId="52FCA54E" w14:textId="77777777" w:rsidTr="00C83358">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59B2C330" w14:textId="77777777" w:rsidR="00C76417" w:rsidRPr="00215ADE" w:rsidRDefault="00C76417" w:rsidP="00C83358">
            <w:pPr>
              <w:jc w:val="center"/>
              <w:rPr>
                <w:rFonts w:ascii="Verdana" w:hAnsi="Verdana"/>
                <w:sz w:val="20"/>
                <w:szCs w:val="20"/>
              </w:rPr>
            </w:pPr>
            <w:r w:rsidRPr="00215ADE">
              <w:rPr>
                <w:rFonts w:ascii="Verdana" w:eastAsia="Times New Roman" w:hAnsi="Verdana" w:cs="Times New Roman"/>
                <w:sz w:val="20"/>
                <w:szCs w:val="20"/>
              </w:rPr>
              <w:t>Entre 601 y 700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39F6FAB4" w14:textId="77777777" w:rsidR="00C76417" w:rsidRPr="00215ADE" w:rsidRDefault="00C76417" w:rsidP="00C83358">
            <w:pPr>
              <w:jc w:val="center"/>
              <w:rPr>
                <w:rFonts w:ascii="Verdana" w:hAnsi="Verdana"/>
                <w:sz w:val="20"/>
                <w:szCs w:val="20"/>
              </w:rPr>
            </w:pPr>
            <w:r w:rsidRPr="00215ADE">
              <w:rPr>
                <w:rFonts w:ascii="Verdana" w:eastAsia="Times New Roman" w:hAnsi="Verdana" w:cs="Times New Roman"/>
                <w:sz w:val="20"/>
                <w:szCs w:val="20"/>
              </w:rPr>
              <w:t>16</w:t>
            </w:r>
          </w:p>
        </w:tc>
      </w:tr>
      <w:tr w:rsidR="00C76417" w:rsidRPr="00C84E52" w14:paraId="4D1FDDF4" w14:textId="77777777" w:rsidTr="00C83358">
        <w:trPr>
          <w:trHeight w:val="915"/>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vAlign w:val="center"/>
          </w:tcPr>
          <w:p w14:paraId="415E79FA" w14:textId="77777777" w:rsidR="00C76417" w:rsidRPr="00215ADE" w:rsidRDefault="00C76417" w:rsidP="00C83358">
            <w:pPr>
              <w:jc w:val="center"/>
              <w:rPr>
                <w:rFonts w:ascii="Verdana" w:hAnsi="Verdana"/>
                <w:sz w:val="20"/>
                <w:szCs w:val="20"/>
              </w:rPr>
            </w:pPr>
            <w:r w:rsidRPr="00215ADE">
              <w:rPr>
                <w:rFonts w:ascii="Verdana" w:eastAsia="Times New Roman" w:hAnsi="Verdana" w:cs="Times New Roman"/>
                <w:sz w:val="20"/>
                <w:szCs w:val="20"/>
              </w:rPr>
              <w:t>Más de 700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vAlign w:val="center"/>
          </w:tcPr>
          <w:p w14:paraId="607A4116" w14:textId="77777777" w:rsidR="00C76417" w:rsidRPr="00215ADE" w:rsidRDefault="00C76417" w:rsidP="00C83358">
            <w:pPr>
              <w:jc w:val="center"/>
              <w:rPr>
                <w:rFonts w:ascii="Verdana" w:hAnsi="Verdana"/>
                <w:sz w:val="20"/>
                <w:szCs w:val="20"/>
              </w:rPr>
            </w:pPr>
            <w:r w:rsidRPr="00215ADE">
              <w:rPr>
                <w:rFonts w:ascii="Verdana" w:eastAsia="Times New Roman" w:hAnsi="Verdana" w:cs="Times New Roman"/>
                <w:sz w:val="20"/>
                <w:szCs w:val="20"/>
              </w:rPr>
              <w:t>Por cada 100 trabajadores adicionales, se suman 2 trabajadores con discapacidad</w:t>
            </w:r>
          </w:p>
        </w:tc>
      </w:tr>
    </w:tbl>
    <w:p w14:paraId="5A92C83C" w14:textId="77777777" w:rsidR="00C76417" w:rsidRPr="00C84E52" w:rsidRDefault="00C76417" w:rsidP="00C76417">
      <w:pPr>
        <w:spacing w:after="0" w:line="276" w:lineRule="auto"/>
        <w:rPr>
          <w:rFonts w:ascii="Verdana" w:hAnsi="Verdana"/>
        </w:rPr>
      </w:pPr>
    </w:p>
    <w:p w14:paraId="4C188388" w14:textId="77777777" w:rsidR="00C76417" w:rsidRPr="00C84E52" w:rsidRDefault="00C76417" w:rsidP="00C76417">
      <w:pPr>
        <w:spacing w:after="120" w:line="276" w:lineRule="auto"/>
        <w:ind w:firstLine="709"/>
        <w:jc w:val="both"/>
        <w:rPr>
          <w:rFonts w:ascii="Verdana" w:hAnsi="Verdana"/>
        </w:rPr>
      </w:pPr>
      <w:r w:rsidRPr="00C84E52">
        <w:rPr>
          <w:rFonts w:ascii="Verdana" w:eastAsia="Times New Roman" w:hAnsi="Verdana" w:cs="Times New Roman"/>
        </w:rPr>
        <w:t xml:space="preserve">El puntaje no se otorga por cumplir la ley sino por superarla: solo el proponente que acredite un número de </w:t>
      </w:r>
      <w:proofErr w:type="spellStart"/>
      <w:r w:rsidRPr="00C84E52">
        <w:rPr>
          <w:rFonts w:ascii="Verdana" w:eastAsia="Times New Roman" w:hAnsi="Verdana" w:cs="Times New Roman"/>
        </w:rPr>
        <w:t>PcD</w:t>
      </w:r>
      <w:proofErr w:type="spellEnd"/>
      <w:r w:rsidRPr="00C84E52">
        <w:rPr>
          <w:rFonts w:ascii="Verdana" w:eastAsia="Times New Roman" w:hAnsi="Verdana" w:cs="Times New Roman"/>
        </w:rPr>
        <w:t xml:space="preserve"> vinculadas igual o superior al indicado en la tabla tendrá derecho al puntaje adicional del 2%. Esta precisión es relevante porque evita que el proponente confunda el mínimo legal de vinculación con el umbral exigido para acceder al beneficio contractual. Cuando se trate de un proponente plural, se tomará en cuenta únicamente la planta de personal del integrante con mayor participación porcentual en el consorcio o unión temporal, sin que se exija el aporte de experiencia.</w:t>
      </w:r>
    </w:p>
    <w:p w14:paraId="637ADB29" w14:textId="77777777" w:rsidR="00C76417" w:rsidRPr="00C84E52" w:rsidRDefault="00C76417" w:rsidP="00C76417">
      <w:pPr>
        <w:spacing w:after="120" w:line="276" w:lineRule="auto"/>
        <w:ind w:firstLine="709"/>
        <w:jc w:val="both"/>
        <w:rPr>
          <w:rFonts w:ascii="Verdana" w:hAnsi="Verdana"/>
        </w:rPr>
      </w:pPr>
      <w:r w:rsidRPr="00C84E52">
        <w:rPr>
          <w:rFonts w:ascii="Verdana" w:eastAsia="Times New Roman" w:hAnsi="Verdana" w:cs="Times New Roman"/>
        </w:rPr>
        <w:t xml:space="preserve">Acreditada esa vinculación, el decreto exige adicionalmente los certificados de aportes a seguridad social de los tres (3) meses anteriores a la presentación de la oferta respecto de cada </w:t>
      </w:r>
      <w:proofErr w:type="spellStart"/>
      <w:r w:rsidRPr="00C84E52">
        <w:rPr>
          <w:rFonts w:ascii="Verdana" w:eastAsia="Times New Roman" w:hAnsi="Verdana" w:cs="Times New Roman"/>
        </w:rPr>
        <w:t>PcD</w:t>
      </w:r>
      <w:proofErr w:type="spellEnd"/>
      <w:r w:rsidRPr="00C84E52">
        <w:rPr>
          <w:rFonts w:ascii="Verdana" w:eastAsia="Times New Roman" w:hAnsi="Verdana" w:cs="Times New Roman"/>
        </w:rPr>
        <w:t xml:space="preserve"> incluida en el cómputo, sin distinción entre vinculaciones iniciales e incrementos posteriores, junto con el certificado que expide el Ministerio del Trabajo, entre otros documentos. La razón de este requisito es garantizar que la vinculación sea real, estable y </w:t>
      </w:r>
      <w:r w:rsidRPr="00C84E52">
        <w:rPr>
          <w:rFonts w:ascii="Verdana" w:eastAsia="Times New Roman" w:hAnsi="Verdana" w:cs="Times New Roman"/>
        </w:rPr>
        <w:lastRenderedPageBreak/>
        <w:t>verificable, y no meramente instrumental para un proceso contractual específico. La Circular Externa de Colombia Compra Eficiente sobre la aplicación del Decreto 287 de 2026 aclara que:</w:t>
      </w:r>
    </w:p>
    <w:p w14:paraId="7B369D2A" w14:textId="77777777" w:rsidR="00C76417" w:rsidRPr="00ED1176" w:rsidRDefault="00C76417" w:rsidP="00C76417">
      <w:pPr>
        <w:spacing w:before="100" w:after="180" w:line="240" w:lineRule="auto"/>
        <w:ind w:left="720" w:right="720"/>
        <w:jc w:val="both"/>
        <w:rPr>
          <w:rFonts w:ascii="Verdana" w:hAnsi="Verdana"/>
          <w:sz w:val="20"/>
          <w:szCs w:val="20"/>
        </w:rPr>
      </w:pPr>
      <w:r w:rsidRPr="00ED1176">
        <w:rPr>
          <w:rFonts w:ascii="Verdana" w:eastAsia="Times New Roman" w:hAnsi="Verdana" w:cs="Times New Roman"/>
          <w:i/>
          <w:iCs/>
          <w:sz w:val="20"/>
          <w:szCs w:val="20"/>
        </w:rPr>
        <w:t xml:space="preserve">"no se exige vinculación de las </w:t>
      </w:r>
      <w:proofErr w:type="spellStart"/>
      <w:r w:rsidRPr="00ED1176">
        <w:rPr>
          <w:rFonts w:ascii="Verdana" w:eastAsia="Times New Roman" w:hAnsi="Verdana" w:cs="Times New Roman"/>
          <w:i/>
          <w:iCs/>
          <w:sz w:val="20"/>
          <w:szCs w:val="20"/>
        </w:rPr>
        <w:t>PcD</w:t>
      </w:r>
      <w:proofErr w:type="spellEnd"/>
      <w:r w:rsidRPr="00ED1176">
        <w:rPr>
          <w:rFonts w:ascii="Verdana" w:eastAsia="Times New Roman" w:hAnsi="Verdana" w:cs="Times New Roman"/>
          <w:i/>
          <w:iCs/>
          <w:sz w:val="20"/>
          <w:szCs w:val="20"/>
        </w:rPr>
        <w:t xml:space="preserve"> durante un (1) año antes del proceso contractual, ya que el Decreto 392 de 2018 no lo exigía así, y la nueva regulación exige solo tres (3) meses anteriores a la celebración del proceso".</w:t>
      </w:r>
    </w:p>
    <w:p w14:paraId="79385C53" w14:textId="77777777" w:rsidR="00C76417" w:rsidRPr="00C84E52" w:rsidRDefault="00C76417" w:rsidP="00C76417">
      <w:pPr>
        <w:spacing w:after="120" w:line="276" w:lineRule="auto"/>
        <w:ind w:firstLine="708"/>
        <w:jc w:val="both"/>
        <w:rPr>
          <w:rFonts w:ascii="Verdana" w:eastAsia="Times New Roman" w:hAnsi="Verdana" w:cs="Times New Roman"/>
        </w:rPr>
      </w:pPr>
      <w:r w:rsidRPr="00C84E52">
        <w:rPr>
          <w:rFonts w:ascii="Verdana" w:eastAsia="Times New Roman" w:hAnsi="Verdana" w:cs="Times New Roman"/>
        </w:rPr>
        <w:t xml:space="preserve">El período de tres meses es el umbral mínimo de estabilidad laboral que diferencia un compromiso genuino con la inclusión de una vinculación oportunista. La norma aplica este requisito para cada </w:t>
      </w:r>
      <w:proofErr w:type="spellStart"/>
      <w:r w:rsidRPr="00C84E52">
        <w:rPr>
          <w:rFonts w:ascii="Verdana" w:eastAsia="Times New Roman" w:hAnsi="Verdana" w:cs="Times New Roman"/>
        </w:rPr>
        <w:t>PcD</w:t>
      </w:r>
      <w:proofErr w:type="spellEnd"/>
      <w:r w:rsidRPr="00C84E52">
        <w:rPr>
          <w:rFonts w:ascii="Verdana" w:eastAsia="Times New Roman" w:hAnsi="Verdana" w:cs="Times New Roman"/>
        </w:rPr>
        <w:t xml:space="preserve"> incluida en la acreditación, independientemente de si es una vinculación original o una nueva incorporación. Si una empresa ha incrementado recientemente su planta de </w:t>
      </w:r>
      <w:proofErr w:type="spellStart"/>
      <w:r w:rsidRPr="00C84E52">
        <w:rPr>
          <w:rFonts w:ascii="Verdana" w:eastAsia="Times New Roman" w:hAnsi="Verdana" w:cs="Times New Roman"/>
        </w:rPr>
        <w:t>PcD</w:t>
      </w:r>
      <w:proofErr w:type="spellEnd"/>
      <w:r w:rsidRPr="00C84E52">
        <w:rPr>
          <w:rFonts w:ascii="Verdana" w:eastAsia="Times New Roman" w:hAnsi="Verdana" w:cs="Times New Roman"/>
        </w:rPr>
        <w:t xml:space="preserve"> y alguna de estas vinculaciones no alcanza el período requerido, el proponente puede participar en el proceso utilizando únicamente las </w:t>
      </w:r>
      <w:proofErr w:type="spellStart"/>
      <w:r w:rsidRPr="00C84E52">
        <w:rPr>
          <w:rFonts w:ascii="Verdana" w:eastAsia="Times New Roman" w:hAnsi="Verdana" w:cs="Times New Roman"/>
        </w:rPr>
        <w:t>PcD</w:t>
      </w:r>
      <w:proofErr w:type="spellEnd"/>
      <w:r w:rsidRPr="00C84E52">
        <w:rPr>
          <w:rFonts w:ascii="Verdana" w:eastAsia="Times New Roman" w:hAnsi="Verdana" w:cs="Times New Roman"/>
        </w:rPr>
        <w:t xml:space="preserve"> que sí cumplan el requisito temporal. La consecuencia de no alcanzar el período no es la exclusión del proceso sino la imposibilidad de obtener el puntaje adicional respecto de esas </w:t>
      </w:r>
      <w:proofErr w:type="spellStart"/>
      <w:r w:rsidRPr="00C84E52">
        <w:rPr>
          <w:rFonts w:ascii="Verdana" w:eastAsia="Times New Roman" w:hAnsi="Verdana" w:cs="Times New Roman"/>
        </w:rPr>
        <w:t>PcD</w:t>
      </w:r>
      <w:proofErr w:type="spellEnd"/>
      <w:r w:rsidRPr="00C84E52">
        <w:rPr>
          <w:rFonts w:ascii="Verdana" w:eastAsia="Times New Roman" w:hAnsi="Verdana" w:cs="Times New Roman"/>
        </w:rPr>
        <w:t xml:space="preserve"> específicas, lo que es coherente con los principios de participación y pluralidad de oferentes.</w:t>
      </w:r>
    </w:p>
    <w:p w14:paraId="023AD6F7" w14:textId="77777777" w:rsidR="00C76417" w:rsidRPr="00C84E52" w:rsidRDefault="00C76417" w:rsidP="00C76417">
      <w:pPr>
        <w:spacing w:after="120" w:line="276" w:lineRule="auto"/>
        <w:ind w:firstLine="708"/>
        <w:jc w:val="both"/>
        <w:rPr>
          <w:rFonts w:ascii="Verdana" w:eastAsia="Times New Roman" w:hAnsi="Verdana" w:cs="Times New Roman"/>
        </w:rPr>
      </w:pPr>
      <w:r w:rsidRPr="00C84E52">
        <w:rPr>
          <w:rFonts w:ascii="Verdana" w:eastAsia="Times New Roman" w:hAnsi="Verdana" w:cs="Times New Roman"/>
        </w:rPr>
        <w:t xml:space="preserve">Es importante precisar que la vinculación de </w:t>
      </w:r>
      <w:proofErr w:type="spellStart"/>
      <w:r w:rsidRPr="00C84E52">
        <w:rPr>
          <w:rFonts w:ascii="Verdana" w:eastAsia="Times New Roman" w:hAnsi="Verdana" w:cs="Times New Roman"/>
        </w:rPr>
        <w:t>PcD</w:t>
      </w:r>
      <w:proofErr w:type="spellEnd"/>
      <w:r w:rsidRPr="00C84E52">
        <w:rPr>
          <w:rFonts w:ascii="Verdana" w:eastAsia="Times New Roman" w:hAnsi="Verdana" w:cs="Times New Roman"/>
        </w:rPr>
        <w:t xml:space="preserve"> a las plantas de personal debe realizarse mediante contrato laboral con dedicación exclusiva, cuya definición le corresponde al Ministerio del Trabajo. Adicionalmente, debe destacarse la diferencia entre los documentos exigidos según el sujeto que acredita el puntaje: cuando se trata de un empleador de </w:t>
      </w:r>
      <w:proofErr w:type="spellStart"/>
      <w:r w:rsidRPr="00C84E52">
        <w:rPr>
          <w:rFonts w:ascii="Verdana" w:eastAsia="Times New Roman" w:hAnsi="Verdana" w:cs="Times New Roman"/>
        </w:rPr>
        <w:t>PcD</w:t>
      </w:r>
      <w:proofErr w:type="spellEnd"/>
      <w:r w:rsidRPr="00C84E52">
        <w:rPr>
          <w:rFonts w:ascii="Verdana" w:eastAsia="Times New Roman" w:hAnsi="Verdana" w:cs="Times New Roman"/>
        </w:rPr>
        <w:t xml:space="preserve">, los documentos requeridos son los establecidos en el artículo 2.2.1.2.4.2.7.4., que incluye las planillas de seguridad social de los últimos tres (3) meses y el certificado del Ministerio del Trabajo, entre otros; cuando se trata de un emprendimiento o empresa de </w:t>
      </w:r>
      <w:proofErr w:type="spellStart"/>
      <w:r w:rsidRPr="00C84E52">
        <w:rPr>
          <w:rFonts w:ascii="Verdana" w:eastAsia="Times New Roman" w:hAnsi="Verdana" w:cs="Times New Roman"/>
        </w:rPr>
        <w:t>PcD</w:t>
      </w:r>
      <w:proofErr w:type="spellEnd"/>
      <w:r w:rsidRPr="00C84E52">
        <w:rPr>
          <w:rFonts w:ascii="Verdana" w:eastAsia="Times New Roman" w:hAnsi="Verdana" w:cs="Times New Roman"/>
        </w:rPr>
        <w:t xml:space="preserve">, los documentos requeridos son los establecidos en el artículo 2.2.1.2.4.2.6., que varían según la categoría que se acredite. En ningún caso los documentos del artículo 2.2.1.2.4.2.7.4. son exigibles a los emprendimientos y empresas de </w:t>
      </w:r>
      <w:proofErr w:type="spellStart"/>
      <w:r w:rsidRPr="00C84E52">
        <w:rPr>
          <w:rFonts w:ascii="Verdana" w:eastAsia="Times New Roman" w:hAnsi="Verdana" w:cs="Times New Roman"/>
        </w:rPr>
        <w:t>PcD</w:t>
      </w:r>
      <w:proofErr w:type="spellEnd"/>
      <w:r w:rsidRPr="00C84E52">
        <w:rPr>
          <w:rFonts w:ascii="Verdana" w:eastAsia="Times New Roman" w:hAnsi="Verdana" w:cs="Times New Roman"/>
        </w:rPr>
        <w:t xml:space="preserve">, ni viceversa. El término de tres (3) meses aquí mencionado es diferente al término de un (1) año exigido en el artículo 2.2.1.2.4.2.6. para la acreditación de las condiciones de los emprendimientos y empresas de </w:t>
      </w:r>
      <w:proofErr w:type="spellStart"/>
      <w:r w:rsidRPr="00C84E52">
        <w:rPr>
          <w:rFonts w:ascii="Verdana" w:eastAsia="Times New Roman" w:hAnsi="Verdana" w:cs="Times New Roman"/>
        </w:rPr>
        <w:t>PcD</w:t>
      </w:r>
      <w:proofErr w:type="spellEnd"/>
      <w:r w:rsidRPr="00C84E52">
        <w:rPr>
          <w:rFonts w:ascii="Verdana" w:eastAsia="Times New Roman" w:hAnsi="Verdana" w:cs="Times New Roman"/>
        </w:rPr>
        <w:t>, por lo que no deben confundirse.</w:t>
      </w:r>
    </w:p>
    <w:p w14:paraId="26556A1E" w14:textId="77777777" w:rsidR="00C76417" w:rsidRPr="00C84E52" w:rsidRDefault="00C76417" w:rsidP="00C76417">
      <w:pPr>
        <w:spacing w:after="120" w:line="276" w:lineRule="auto"/>
        <w:jc w:val="both"/>
        <w:rPr>
          <w:rFonts w:ascii="Verdana" w:hAnsi="Verdana"/>
        </w:rPr>
      </w:pPr>
      <w:proofErr w:type="spellStart"/>
      <w:r w:rsidRPr="00C84E52">
        <w:rPr>
          <w:rFonts w:ascii="Verdana" w:hAnsi="Verdana"/>
        </w:rPr>
        <w:t>iv</w:t>
      </w:r>
      <w:proofErr w:type="spellEnd"/>
      <w:r w:rsidRPr="00C84E52">
        <w:rPr>
          <w:rFonts w:ascii="Verdana" w:hAnsi="Verdana"/>
        </w:rPr>
        <w:t xml:space="preserve">. En relación, al ámbito de aplicación del puntaje adicional del 2%, el artículo 2.2.1.2.4.2.7.4. del Decreto 0287 de 2026 establece este puntaje </w:t>
      </w:r>
      <w:r w:rsidRPr="00C84E52">
        <w:rPr>
          <w:rFonts w:ascii="Verdana" w:hAnsi="Verdana"/>
        </w:rPr>
        <w:lastRenderedPageBreak/>
        <w:t xml:space="preserve">exclusivamente en los procedimientos de licitación pública y concurso de méritos, para entidades regidas por el Estatuto General de Contratación Pública. La restricción obedece a que el puntaje solo tiene lugar en procesos de selección competitiva con evaluación comparativa de propuestas; en la contratación directa no hay concurrencia ni asignación de puntos, de modo que técnicamente no es posible aplicarlo. No obstante, la ausencia del puntaje en otras modalidades y regímenes no equivale a la ausencia de medidas afirmativas: los criterios habilitantes diferenciales aplican en régimen especial; las compras públicas accesibles y las condiciones especiales de ejecución aplican en todas las modalidades de selección; y la contratación directa tiene su propia medida afirmativa a través de los contratos de prestación de servicios con </w:t>
      </w:r>
      <w:proofErr w:type="spellStart"/>
      <w:r w:rsidRPr="00C84E52">
        <w:rPr>
          <w:rFonts w:ascii="Verdana" w:hAnsi="Verdana"/>
        </w:rPr>
        <w:t>PcD</w:t>
      </w:r>
      <w:proofErr w:type="spellEnd"/>
      <w:r w:rsidRPr="00C84E52">
        <w:rPr>
          <w:rFonts w:ascii="Verdana" w:hAnsi="Verdana"/>
        </w:rPr>
        <w:t>.</w:t>
      </w:r>
    </w:p>
    <w:p w14:paraId="35D4D712" w14:textId="77777777" w:rsidR="00C76417" w:rsidRPr="00C84E52" w:rsidRDefault="00C76417" w:rsidP="00C76417">
      <w:pPr>
        <w:spacing w:after="120" w:line="276" w:lineRule="auto"/>
        <w:jc w:val="both"/>
        <w:rPr>
          <w:rFonts w:ascii="Verdana" w:hAnsi="Verdana"/>
        </w:rPr>
      </w:pPr>
      <w:r w:rsidRPr="00C84E52">
        <w:rPr>
          <w:rFonts w:ascii="Verdana" w:hAnsi="Verdana"/>
        </w:rPr>
        <w:t xml:space="preserve">v. Las consideraciones desarrolladas en los numerales precedentes permiten ahora presentar, de manera articulada, el alcance completo de las cinco medidas que componen el Sistema Integral de Preferencias, su forma de aplicación en cada fase del proceso contractual y las consecuencias jurídicas que se derivan de su inobservancia, es necesario precisar que el Decreto 0287 de 2026 no concibe la inclusión de las </w:t>
      </w:r>
      <w:proofErr w:type="spellStart"/>
      <w:r w:rsidRPr="00C84E52">
        <w:rPr>
          <w:rFonts w:ascii="Verdana" w:hAnsi="Verdana"/>
        </w:rPr>
        <w:t>PcD</w:t>
      </w:r>
      <w:proofErr w:type="spellEnd"/>
      <w:r w:rsidRPr="00C84E52">
        <w:rPr>
          <w:rFonts w:ascii="Verdana" w:hAnsi="Verdana"/>
        </w:rPr>
        <w:t xml:space="preserve"> como un momento aislado sino como un compromiso continuo que atraviesa todo el ciclo contractual. Cada medida tiene un momento de activación, unas obligaciones concretas para la entidad y el contratista, y unas consecuencias específicas frente a su incumplimiento, que se exponen a continuación.</w:t>
      </w:r>
    </w:p>
    <w:p w14:paraId="414B93AC" w14:textId="77777777" w:rsidR="00C76417" w:rsidRPr="00C84E52" w:rsidRDefault="00C76417" w:rsidP="00C76417">
      <w:pPr>
        <w:spacing w:after="120" w:line="276" w:lineRule="auto"/>
        <w:ind w:firstLine="709"/>
        <w:jc w:val="both"/>
        <w:rPr>
          <w:rFonts w:ascii="Verdana" w:hAnsi="Verdana"/>
        </w:rPr>
      </w:pPr>
      <w:r w:rsidRPr="00C84E52">
        <w:rPr>
          <w:rFonts w:ascii="Verdana" w:hAnsi="Verdana"/>
        </w:rPr>
        <w:t xml:space="preserve">La primera medida son las herramientas de planeación para procesos inclusivos, reguladas en el artículo 2.2.1.2.4.2.7.2. del Decreto 1082 de 2015 (modificado), que se activan en la fase precontractual, antes de la apertura del proceso, y comprenden tres instrumentos. El primero son las ferias de negocios inclusivas, que consisten en reuniones entre la entidad contratante y los emprendimientos y empresas de </w:t>
      </w:r>
      <w:proofErr w:type="spellStart"/>
      <w:r w:rsidRPr="00C84E52">
        <w:rPr>
          <w:rFonts w:ascii="Verdana" w:hAnsi="Verdana"/>
        </w:rPr>
        <w:t>PcD</w:t>
      </w:r>
      <w:proofErr w:type="spellEnd"/>
      <w:r w:rsidRPr="00C84E52">
        <w:rPr>
          <w:rFonts w:ascii="Verdana" w:hAnsi="Verdana"/>
        </w:rPr>
        <w:t xml:space="preserve"> que puedan ofrecer los bienes, obras o servicios requeridos, con el propósito de identificarlos en el mercado y recibir sus observaciones sobre la estructuración del proceso antes de que este sea abierto; estas ferias no son ruedas de negocios ni implican compromisos contractuales, sino un ejercicio de planeación responsable que puede realizarse simultáneamente con las ferias previstas para MiPymes. El segundo instrumento es la incorporación de criterios sociales en los pliegos de condiciones, que permite a la entidad establecer exigencias adicionales vinculadas al objeto del contrato que promuevan la integración laboral de las </w:t>
      </w:r>
      <w:proofErr w:type="spellStart"/>
      <w:r w:rsidRPr="00C84E52">
        <w:rPr>
          <w:rFonts w:ascii="Verdana" w:hAnsi="Verdana"/>
        </w:rPr>
        <w:t>PcD</w:t>
      </w:r>
      <w:proofErr w:type="spellEnd"/>
      <w:r w:rsidRPr="00C84E52">
        <w:rPr>
          <w:rFonts w:ascii="Verdana" w:hAnsi="Verdana"/>
        </w:rPr>
        <w:t xml:space="preserve">, más allá de lo que el </w:t>
      </w:r>
      <w:r w:rsidRPr="00C84E52">
        <w:rPr>
          <w:rFonts w:ascii="Verdana" w:hAnsi="Verdana"/>
        </w:rPr>
        <w:lastRenderedPageBreak/>
        <w:t>propio decreto ya exige como mínimo obligatorio. El tercero es la división del proceso en lotes o segmentos, que facilita la participación de emprendimientos de menor capacidad al reducir la escala de las obligaciones contractuales requeridas para cada parte. Estas herramientas aplican a las entidades sometidas al Estatuto General de Contratación Pública en licitación pública, concurso de méritos, mínima cuantía y selección abreviada, pero no en contratación directa, que tiene su propia medida afirmativa. Su omisión injustificada en los estudios previos puede comprometer la legalidad de la planeación contractual al desconocer una obligación legal expresa.</w:t>
      </w:r>
    </w:p>
    <w:p w14:paraId="0B6D07ED" w14:textId="77777777" w:rsidR="00C76417" w:rsidRPr="00C84E52" w:rsidRDefault="00C76417" w:rsidP="00C76417">
      <w:pPr>
        <w:spacing w:after="120" w:line="276" w:lineRule="auto"/>
        <w:ind w:firstLine="709"/>
        <w:jc w:val="both"/>
        <w:rPr>
          <w:rFonts w:ascii="Verdana" w:hAnsi="Verdana"/>
        </w:rPr>
      </w:pPr>
      <w:r w:rsidRPr="00C84E52">
        <w:rPr>
          <w:rFonts w:ascii="Verdana" w:hAnsi="Verdana"/>
        </w:rPr>
        <w:t xml:space="preserve">La segunda medida son los criterios habilitantes diferenciales, regulados en el artículo 2.2.1.2.4.2.7.3. del Decreto 1082 de 2015 (modificado), que operan en la fase de selección y consisten en la obligación de establecer requisitos habilitantes ajustados o reducidos en materia de experiencia, capacidad financiera, capacidad organizacional o valor de la garantía de seriedad de la oferta, para facilitar la participación de los emprendimientos y empresas de </w:t>
      </w:r>
      <w:proofErr w:type="spellStart"/>
      <w:r w:rsidRPr="00C84E52">
        <w:rPr>
          <w:rFonts w:ascii="Verdana" w:hAnsi="Verdana"/>
        </w:rPr>
        <w:t>PcD</w:t>
      </w:r>
      <w:proofErr w:type="spellEnd"/>
      <w:r w:rsidRPr="00C84E52">
        <w:rPr>
          <w:rFonts w:ascii="Verdana" w:hAnsi="Verdana"/>
        </w:rPr>
        <w:t xml:space="preserve"> con domicilio en el territorio nacional. La entidad debe flexibilizar la mayor cantidad posible de estos requisitos de acuerdo con lo que resulte justificado en sus estudios previos, garantizando en todo caso que los requisitos ajustados sean suficientes para acreditar la idoneidad del proponente y el adecuado cumplimiento del objeto contractual, con el límite del principio de proporcionalidad. Esta medida aplica en licitación pública, selección abreviada y concurso de méritos, tanto en el régimen del Estatuto General de Contratación Pública como en los procesos competitivos de entidades con régimen especial, pero no en mínima cuantía ni en contratación directa. Aplica exclusivamente para los emprendimientos y empresas de </w:t>
      </w:r>
      <w:proofErr w:type="spellStart"/>
      <w:r w:rsidRPr="00C84E52">
        <w:rPr>
          <w:rFonts w:ascii="Verdana" w:hAnsi="Verdana"/>
        </w:rPr>
        <w:t>PcD</w:t>
      </w:r>
      <w:proofErr w:type="spellEnd"/>
      <w:r w:rsidRPr="00C84E52">
        <w:rPr>
          <w:rFonts w:ascii="Verdana" w:hAnsi="Verdana"/>
        </w:rPr>
        <w:t xml:space="preserve"> y no para los empleadores de </w:t>
      </w:r>
      <w:proofErr w:type="spellStart"/>
      <w:r w:rsidRPr="00C84E52">
        <w:rPr>
          <w:rFonts w:ascii="Verdana" w:hAnsi="Verdana"/>
        </w:rPr>
        <w:t>PcD</w:t>
      </w:r>
      <w:proofErr w:type="spellEnd"/>
      <w:r w:rsidRPr="00C84E52">
        <w:rPr>
          <w:rFonts w:ascii="Verdana" w:hAnsi="Verdana"/>
        </w:rPr>
        <w:t>. En tratándose de proponentes plurales, opera cuando al menos uno de los integrantes cumple las condiciones del artículo 2.2.1.2.4.2.6. con una participación no inferior al 10%, aportando la experiencia en proporción equivalente a su participación. Su omisión injustificada en el pliego de condiciones puede constituir una barrera de acceso contraria a los mandatos del decreto y comprometer la validez del proceso de selección.</w:t>
      </w:r>
    </w:p>
    <w:p w14:paraId="70D5CBC9" w14:textId="77777777" w:rsidR="00C76417" w:rsidRPr="00C84E52" w:rsidRDefault="00C76417" w:rsidP="00C76417">
      <w:pPr>
        <w:spacing w:after="120" w:line="276" w:lineRule="auto"/>
        <w:ind w:firstLine="709"/>
        <w:jc w:val="both"/>
        <w:rPr>
          <w:rFonts w:ascii="Verdana" w:hAnsi="Verdana"/>
        </w:rPr>
      </w:pPr>
      <w:r w:rsidRPr="00C84E52">
        <w:rPr>
          <w:rFonts w:ascii="Verdana" w:hAnsi="Verdana"/>
        </w:rPr>
        <w:t xml:space="preserve">La tercera medida es el puntaje adicional del 2%, regulado en el artículo 2.2.1.2.4.2.7.4. del Decreto 1082 de 2015 (modificado), que opera en la fase de evaluación de propuestas y consiste en otorgar un puntaje adicional máximo del dos por ciento (2%) del total de los puntos del pliego a los proponentes que </w:t>
      </w:r>
      <w:r w:rsidRPr="00C84E52">
        <w:rPr>
          <w:rFonts w:ascii="Verdana" w:hAnsi="Verdana"/>
        </w:rPr>
        <w:lastRenderedPageBreak/>
        <w:t xml:space="preserve">acrediten ser emprendimientos o empresas de </w:t>
      </w:r>
      <w:proofErr w:type="spellStart"/>
      <w:r w:rsidRPr="00C84E52">
        <w:rPr>
          <w:rFonts w:ascii="Verdana" w:hAnsi="Verdana"/>
        </w:rPr>
        <w:t>PcD</w:t>
      </w:r>
      <w:proofErr w:type="spellEnd"/>
      <w:r w:rsidRPr="00C84E52">
        <w:rPr>
          <w:rFonts w:ascii="Verdana" w:hAnsi="Verdana"/>
        </w:rPr>
        <w:t xml:space="preserve"> o ser empleadores de </w:t>
      </w:r>
      <w:proofErr w:type="spellStart"/>
      <w:r w:rsidRPr="00C84E52">
        <w:rPr>
          <w:rFonts w:ascii="Verdana" w:hAnsi="Verdana"/>
        </w:rPr>
        <w:t>PcD</w:t>
      </w:r>
      <w:proofErr w:type="spellEnd"/>
      <w:r w:rsidRPr="00C84E52">
        <w:rPr>
          <w:rFonts w:ascii="Verdana" w:hAnsi="Verdana"/>
        </w:rPr>
        <w:t xml:space="preserve"> que superen los mínimos de vinculación exigidos por la Ley 2466 de 2025. Como ya se indicó anteriormente, este puntaje es único y no acumulable: aunque el proponente acredite ambas condiciones simultáneamente, el puntaje máximo a otorgar es siempre el 2%, sin que las condiciones sean sumables. Aplica únicamente en entidades sometidas al Estatuto General de Contratación Pública, en licitación pública y concurso de méritos. La acreditación exige, entre otros documentos, los certificados de aportes a seguridad social de los tres (3) meses anteriores a la presentación de la oferta para cada </w:t>
      </w:r>
      <w:proofErr w:type="spellStart"/>
      <w:r w:rsidRPr="00C84E52">
        <w:rPr>
          <w:rFonts w:ascii="Verdana" w:hAnsi="Verdana"/>
        </w:rPr>
        <w:t>PcD</w:t>
      </w:r>
      <w:proofErr w:type="spellEnd"/>
      <w:r w:rsidRPr="00C84E52">
        <w:rPr>
          <w:rFonts w:ascii="Verdana" w:hAnsi="Verdana"/>
        </w:rPr>
        <w:t xml:space="preserve"> incluida en el cómputo, junto con el certificado del Ministerio de Trabajo. La no inclusión de este puntaje en el pliego por parte de la entidad configura el incumplimiento de una obligación legal expresa. Adicionalmente, las condiciones que dieron lugar al puntaje deben mantenerse durante toda la ejecución del contrato, y el contratista debe acreditarlo con cada solicitud de pago; la reducción injustificada del número de </w:t>
      </w:r>
      <w:proofErr w:type="spellStart"/>
      <w:r w:rsidRPr="00C84E52">
        <w:rPr>
          <w:rFonts w:ascii="Verdana" w:hAnsi="Verdana"/>
        </w:rPr>
        <w:t>PcD</w:t>
      </w:r>
      <w:proofErr w:type="spellEnd"/>
      <w:r w:rsidRPr="00C84E52">
        <w:rPr>
          <w:rFonts w:ascii="Verdana" w:hAnsi="Verdana"/>
        </w:rPr>
        <w:t xml:space="preserve"> vinculadas puede constituir causal de incumplimiento contractual, salvo que se demuestre fuerza mayor o caso fortuito, y en todo caso respetando el derecho a la estabilidad laboral reforzada de las </w:t>
      </w:r>
      <w:proofErr w:type="spellStart"/>
      <w:r w:rsidRPr="00C84E52">
        <w:rPr>
          <w:rFonts w:ascii="Verdana" w:hAnsi="Verdana"/>
        </w:rPr>
        <w:t>PcD</w:t>
      </w:r>
      <w:proofErr w:type="spellEnd"/>
      <w:r w:rsidRPr="00C84E52">
        <w:rPr>
          <w:rFonts w:ascii="Verdana" w:hAnsi="Verdana"/>
        </w:rPr>
        <w:t>.</w:t>
      </w:r>
    </w:p>
    <w:p w14:paraId="54F7E32B" w14:textId="77777777" w:rsidR="00C76417" w:rsidRPr="00C84E52" w:rsidRDefault="00C76417" w:rsidP="00C76417">
      <w:pPr>
        <w:spacing w:after="120" w:line="276" w:lineRule="auto"/>
        <w:ind w:firstLine="709"/>
        <w:jc w:val="both"/>
        <w:rPr>
          <w:rFonts w:ascii="Verdana" w:hAnsi="Verdana"/>
        </w:rPr>
      </w:pPr>
      <w:r w:rsidRPr="00C84E52">
        <w:rPr>
          <w:rFonts w:ascii="Verdana" w:hAnsi="Verdana"/>
        </w:rPr>
        <w:t xml:space="preserve">La cuarta medida son las condiciones especiales de ejecución, reguladas en el artículo 2.2.1.2.4.2.7.5. del Decreto 1082 de 2015 (modificado), que operan durante la ejecución del contrato y consisten en la obligación de incluir en los documentos del proceso al menos una de dos condiciones contractuales: la subcontratación inclusiva, que exige al contratista priorizar a </w:t>
      </w:r>
      <w:proofErr w:type="spellStart"/>
      <w:r w:rsidRPr="00C84E52">
        <w:rPr>
          <w:rFonts w:ascii="Verdana" w:hAnsi="Verdana"/>
        </w:rPr>
        <w:t>PcD</w:t>
      </w:r>
      <w:proofErr w:type="spellEnd"/>
      <w:r w:rsidRPr="00C84E52">
        <w:rPr>
          <w:rFonts w:ascii="Verdana" w:hAnsi="Verdana"/>
        </w:rPr>
        <w:t xml:space="preserve"> y a emprendimientos y empresas de </w:t>
      </w:r>
      <w:proofErr w:type="spellStart"/>
      <w:r w:rsidRPr="00C84E52">
        <w:rPr>
          <w:rFonts w:ascii="Verdana" w:hAnsi="Verdana"/>
        </w:rPr>
        <w:t>PcD</w:t>
      </w:r>
      <w:proofErr w:type="spellEnd"/>
      <w:r w:rsidRPr="00C84E52">
        <w:rPr>
          <w:rFonts w:ascii="Verdana" w:hAnsi="Verdana"/>
        </w:rPr>
        <w:t xml:space="preserve"> cuando requiera subcontratar bienes, obras o servicios para la ejecución; o la integración del equipo de trabajo, que exige priorizar personas naturales con discapacidad cuando la ejecución requiera conformar un equipo de trabajo. La priorización no implica exclusividad: el contratista puede contratar a otros proveedores, pero debe procurar que las </w:t>
      </w:r>
      <w:proofErr w:type="spellStart"/>
      <w:r w:rsidRPr="00C84E52">
        <w:rPr>
          <w:rFonts w:ascii="Verdana" w:hAnsi="Verdana"/>
        </w:rPr>
        <w:t>PcD</w:t>
      </w:r>
      <w:proofErr w:type="spellEnd"/>
      <w:r w:rsidRPr="00C84E52">
        <w:rPr>
          <w:rFonts w:ascii="Verdana" w:hAnsi="Verdana"/>
        </w:rPr>
        <w:t xml:space="preserve"> y sus empresas tengan preferencia cuando existan en el mercado y sea factible su vinculación. Esta medida aplica en entidades sometidas al Estatuto General de Contratación Pública en todas las modalidades, incluida la contratación directa. Solo puede omitirse su inclusión cuando la entidad justifique expresamente esa decisión en los estudios previos con argumentos objetivos relacionados con las características del contrato específico, pues esta justificación constituye una verdadera carga argumentativa. El cumplimiento de estas condiciones es verificado por el supervisor o interventor con cada solicitud </w:t>
      </w:r>
      <w:r w:rsidRPr="00C84E52">
        <w:rPr>
          <w:rFonts w:ascii="Verdana" w:hAnsi="Verdana"/>
        </w:rPr>
        <w:lastRenderedPageBreak/>
        <w:t>de pago, y su inobservancia injustificada puede constituir causal de incumplimiento contractual.</w:t>
      </w:r>
    </w:p>
    <w:p w14:paraId="44D2B9EB" w14:textId="77777777" w:rsidR="00C76417" w:rsidRPr="00C84E52" w:rsidRDefault="00C76417" w:rsidP="00C76417">
      <w:pPr>
        <w:spacing w:after="120" w:line="276" w:lineRule="auto"/>
        <w:ind w:firstLine="709"/>
        <w:jc w:val="both"/>
        <w:rPr>
          <w:rFonts w:ascii="Verdana" w:hAnsi="Verdana"/>
        </w:rPr>
      </w:pPr>
      <w:r w:rsidRPr="00C84E52">
        <w:rPr>
          <w:rFonts w:ascii="Verdana" w:hAnsi="Verdana"/>
        </w:rPr>
        <w:t xml:space="preserve">La quinta medida es la inclusión de </w:t>
      </w:r>
      <w:proofErr w:type="spellStart"/>
      <w:r w:rsidRPr="00C84E52">
        <w:rPr>
          <w:rFonts w:ascii="Verdana" w:hAnsi="Verdana"/>
        </w:rPr>
        <w:t>PcD</w:t>
      </w:r>
      <w:proofErr w:type="spellEnd"/>
      <w:r w:rsidRPr="00C84E52">
        <w:rPr>
          <w:rFonts w:ascii="Verdana" w:hAnsi="Verdana"/>
        </w:rPr>
        <w:t xml:space="preserve"> en contratos de prestación de servicios profesionales y/o de apoyo a la gestión, regulada en el artículo 2.2.1.2.4.2.7.6. del Decreto 1082 de 2015 (modificado), que opera en la modalidad de contratación directa y tiene carácter potestativo: las entidades sometidas al Estatuto General de Contratación Pública propenderán por esta contratación de forma progresiva, de acuerdo con su planeación institucional, disponibilidad presupuestal y necesidades del servicio, sin que su no aplicación en un caso concreto configure incumplimiento. La entidad que decida aplicarla debe verificar la idoneidad de la </w:t>
      </w:r>
      <w:proofErr w:type="spellStart"/>
      <w:r w:rsidRPr="00C84E52">
        <w:rPr>
          <w:rFonts w:ascii="Verdana" w:hAnsi="Verdana"/>
        </w:rPr>
        <w:t>PcD</w:t>
      </w:r>
      <w:proofErr w:type="spellEnd"/>
      <w:r w:rsidRPr="00C84E52">
        <w:rPr>
          <w:rFonts w:ascii="Verdana" w:hAnsi="Verdana"/>
        </w:rPr>
        <w:t xml:space="preserve"> para cumplir el objeto contractual, acordar los ajustes razonables necesarios en corresponsabilidad con la persona contratista, evaluar la no exigencia de garantías —que no son obligatorias para esta tipología contractual— e indicar en el SECOP que el contrato corresponde a la aplicación de esta medida afirmativa. En ningún caso la medida autoriza la asignación de funciones permanentes ni genera subordinación laboral. Colombia Compra Eficiente realizará el seguimiento de esta medida a través del SECOP, evaluando pertinencia, duración, objeto y nivel de especialización de cada contrato.</w:t>
      </w:r>
    </w:p>
    <w:p w14:paraId="63334948" w14:textId="77777777" w:rsidR="00C76417" w:rsidRPr="00C84E52" w:rsidRDefault="00C76417" w:rsidP="00C76417">
      <w:pPr>
        <w:spacing w:after="120" w:line="276" w:lineRule="auto"/>
        <w:ind w:firstLine="709"/>
        <w:jc w:val="both"/>
        <w:rPr>
          <w:rFonts w:ascii="Verdana" w:hAnsi="Verdana"/>
        </w:rPr>
      </w:pPr>
      <w:r w:rsidRPr="00C84E52">
        <w:rPr>
          <w:rFonts w:ascii="Verdana" w:hAnsi="Verdana"/>
        </w:rPr>
        <w:t xml:space="preserve">A estas cinco medidas se suma, de manera transversal e independiente, la obligación de compras públicas accesibles regulada en el artículo 2.2.1.2.4.2.7.1. del Decreto 1082 de 2015 (modificado), que aplica a todos los entes del Estado con independencia de su régimen de contratación, en todas las modalidades de selección incluida la contratación directa, y en todos los contratos en los que se adquieran bienes, obras o servicios. Esta obligación consiste en incorporar en los estudios previos y en los documentos del proceso criterios que garanticen la accesibilidad de las </w:t>
      </w:r>
      <w:proofErr w:type="spellStart"/>
      <w:r w:rsidRPr="00C84E52">
        <w:rPr>
          <w:rFonts w:ascii="Verdana" w:hAnsi="Verdana"/>
        </w:rPr>
        <w:t>PcD</w:t>
      </w:r>
      <w:proofErr w:type="spellEnd"/>
      <w:r w:rsidRPr="00C84E52">
        <w:rPr>
          <w:rFonts w:ascii="Verdana" w:hAnsi="Verdana"/>
        </w:rPr>
        <w:t xml:space="preserve">, teniendo en cuenta las siete categorías de discapacidad definidas por el Ministerio de Salud y Protección Social —visual, física, psicosocial (mental), auditiva, sordoceguera, intelectual y múltiple— y los principios de accesibilidad universal, diseño universal y ajustes razonables consagrados en la Ley 1346 de 2009 y la Ley 1618 de 2013. Cuando no existan normas legales, reglamentarias o técnicas aplicables al objeto del contrato, la entidad debe elaborar una ficha técnica propia con criterios de accesibilidad; la inexistencia de norma técnica no exonera a la entidad de esta </w:t>
      </w:r>
      <w:r w:rsidRPr="00C84E52">
        <w:rPr>
          <w:rFonts w:ascii="Verdana" w:hAnsi="Verdana"/>
        </w:rPr>
        <w:lastRenderedPageBreak/>
        <w:t>obligación sino que la convierte en autora de sus propios estándares de accesibilidad para ese contrato específico.</w:t>
      </w:r>
    </w:p>
    <w:p w14:paraId="418F31FD" w14:textId="77777777" w:rsidR="00C76417" w:rsidRPr="00A01075" w:rsidRDefault="00C76417" w:rsidP="00C76417">
      <w:pPr>
        <w:spacing w:after="120" w:line="276" w:lineRule="auto"/>
        <w:ind w:firstLine="709"/>
        <w:jc w:val="both"/>
        <w:rPr>
          <w:rFonts w:ascii="Verdana" w:hAnsi="Verdana"/>
        </w:rPr>
      </w:pPr>
      <w:r w:rsidRPr="00C84E52">
        <w:rPr>
          <w:rFonts w:ascii="Verdana" w:hAnsi="Verdana"/>
        </w:rPr>
        <w:t>De esta manera, el Sistema Integral de Preferencias establecido por el Decreto 0287 de 2026 constituye un cambio estructural en la forma en que el Estado colombiano se relaciona con las personas con discapacidad en la contratación pública: ya no se trata de un punto adicional al final del proceso, sino de un conjunto articulado de obligaciones que acompañan cada fase del ciclo contractual, desde la planeación hasta la ejecución, con consecuencias jurídicas concretas frente a su inobservancia y con un horizonte claro de inclusión laboral efectiva y progresiva de esta población.</w:t>
      </w:r>
    </w:p>
    <w:bookmarkEnd w:id="2"/>
    <w:bookmarkEnd w:id="3"/>
    <w:p w14:paraId="2D7D80CA" w14:textId="77777777" w:rsidR="00C76417" w:rsidRPr="001F283D" w:rsidRDefault="00C76417" w:rsidP="00C76417">
      <w:pPr>
        <w:tabs>
          <w:tab w:val="left" w:pos="142"/>
          <w:tab w:val="left" w:pos="284"/>
        </w:tabs>
        <w:spacing w:after="0" w:line="276" w:lineRule="auto"/>
        <w:rPr>
          <w:rFonts w:ascii="Verdana" w:eastAsia="Century Gothic" w:hAnsi="Verdana" w:cs="Century Gothic"/>
          <w:b/>
          <w:bCs/>
        </w:rPr>
      </w:pPr>
      <w:r>
        <w:rPr>
          <w:rFonts w:ascii="Verdana" w:eastAsia="Century Gothic" w:hAnsi="Verdana" w:cs="Century Gothic"/>
          <w:b/>
          <w:bCs/>
        </w:rPr>
        <w:t xml:space="preserve">4. </w:t>
      </w:r>
      <w:r w:rsidRPr="001F283D">
        <w:rPr>
          <w:rFonts w:ascii="Verdana" w:eastAsia="Century Gothic" w:hAnsi="Verdana" w:cs="Century Gothic"/>
          <w:b/>
          <w:bCs/>
        </w:rPr>
        <w:t>Referencias normativas:</w:t>
      </w:r>
    </w:p>
    <w:bookmarkEnd w:id="4"/>
    <w:p w14:paraId="42C2A2F8" w14:textId="77777777" w:rsidR="00C76417" w:rsidRPr="00593A5F" w:rsidRDefault="00C76417" w:rsidP="00C76417">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C76417" w:rsidRPr="002407CE" w14:paraId="6E5E254F" w14:textId="77777777" w:rsidTr="00C83358">
        <w:trPr>
          <w:trHeight w:val="65"/>
          <w:jc w:val="center"/>
        </w:trPr>
        <w:tc>
          <w:tcPr>
            <w:tcW w:w="8647" w:type="dxa"/>
          </w:tcPr>
          <w:p w14:paraId="3FF2D8EA" w14:textId="77777777" w:rsidR="00C76417" w:rsidRPr="00C84E52" w:rsidRDefault="00C76417" w:rsidP="00C76417">
            <w:pPr>
              <w:pStyle w:val="Prrafodelista"/>
              <w:widowControl w:val="0"/>
              <w:numPr>
                <w:ilvl w:val="0"/>
                <w:numId w:val="2"/>
              </w:numPr>
              <w:autoSpaceDE w:val="0"/>
              <w:autoSpaceDN w:val="0"/>
              <w:spacing w:line="276" w:lineRule="auto"/>
              <w:jc w:val="both"/>
              <w:rPr>
                <w:rFonts w:ascii="Verdana" w:eastAsia="Arial MT" w:hAnsi="Verdana" w:cs="Arial"/>
                <w:lang w:eastAsia="es-ES" w:bidi="es-ES"/>
              </w:rPr>
            </w:pPr>
            <w:r w:rsidRPr="00C84E52">
              <w:rPr>
                <w:rFonts w:ascii="Verdana" w:eastAsia="Arial MT" w:hAnsi="Verdana" w:cs="Arial"/>
                <w:lang w:eastAsia="es-ES" w:bidi="es-ES"/>
              </w:rPr>
              <w:t>Constitución Política de Colombia. Artículos 13, 47, 54 y 93.</w:t>
            </w:r>
          </w:p>
          <w:p w14:paraId="62785429" w14:textId="77777777" w:rsidR="00C76417" w:rsidRPr="00C84E52" w:rsidRDefault="00C76417" w:rsidP="00C76417">
            <w:pPr>
              <w:pStyle w:val="Prrafodelista"/>
              <w:widowControl w:val="0"/>
              <w:numPr>
                <w:ilvl w:val="0"/>
                <w:numId w:val="2"/>
              </w:numPr>
              <w:autoSpaceDE w:val="0"/>
              <w:autoSpaceDN w:val="0"/>
              <w:spacing w:line="276" w:lineRule="auto"/>
              <w:jc w:val="both"/>
              <w:rPr>
                <w:rFonts w:ascii="Verdana" w:eastAsia="Arial MT" w:hAnsi="Verdana" w:cs="Arial"/>
                <w:lang w:eastAsia="es-ES" w:bidi="es-ES"/>
              </w:rPr>
            </w:pPr>
            <w:r w:rsidRPr="00C84E52">
              <w:rPr>
                <w:rFonts w:ascii="Verdana" w:eastAsia="Arial MT" w:hAnsi="Verdana" w:cs="Arial"/>
                <w:lang w:eastAsia="es-ES" w:bidi="es-ES"/>
              </w:rPr>
              <w:t>Ley 22 de 1967. Por la cual se aprueba el Convenio número 111 Internacional del Trabajo, relativo a la discriminación en materia de empleo y ocupación.</w:t>
            </w:r>
          </w:p>
          <w:p w14:paraId="3D4189DA" w14:textId="77777777" w:rsidR="00C76417" w:rsidRPr="00C84E52" w:rsidRDefault="00C76417" w:rsidP="00C76417">
            <w:pPr>
              <w:pStyle w:val="Prrafodelista"/>
              <w:widowControl w:val="0"/>
              <w:numPr>
                <w:ilvl w:val="0"/>
                <w:numId w:val="2"/>
              </w:numPr>
              <w:autoSpaceDE w:val="0"/>
              <w:autoSpaceDN w:val="0"/>
              <w:spacing w:line="276" w:lineRule="auto"/>
              <w:jc w:val="both"/>
              <w:rPr>
                <w:rFonts w:ascii="Verdana" w:eastAsia="Arial MT" w:hAnsi="Verdana" w:cs="Arial"/>
                <w:lang w:eastAsia="es-ES" w:bidi="es-ES"/>
              </w:rPr>
            </w:pPr>
            <w:r w:rsidRPr="00C84E52">
              <w:rPr>
                <w:rFonts w:ascii="Verdana" w:eastAsia="Arial MT" w:hAnsi="Verdana" w:cs="Arial"/>
                <w:lang w:eastAsia="es-ES" w:bidi="es-ES"/>
              </w:rPr>
              <w:t>Ley 82 de 1988. Por la cual se aprueba el Convenio 159 de la OIT sobre readaptación profesional y empleo de personas inválidas.</w:t>
            </w:r>
          </w:p>
          <w:p w14:paraId="16524BB0" w14:textId="77777777" w:rsidR="00C76417" w:rsidRPr="00C84E52" w:rsidRDefault="00C76417" w:rsidP="00C76417">
            <w:pPr>
              <w:pStyle w:val="Prrafodelista"/>
              <w:widowControl w:val="0"/>
              <w:numPr>
                <w:ilvl w:val="0"/>
                <w:numId w:val="2"/>
              </w:numPr>
              <w:autoSpaceDE w:val="0"/>
              <w:autoSpaceDN w:val="0"/>
              <w:spacing w:line="276" w:lineRule="auto"/>
              <w:jc w:val="both"/>
              <w:rPr>
                <w:rFonts w:ascii="Verdana" w:eastAsia="Arial MT" w:hAnsi="Verdana" w:cs="Arial"/>
                <w:lang w:eastAsia="es-ES" w:bidi="es-ES"/>
              </w:rPr>
            </w:pPr>
            <w:r w:rsidRPr="00C84E52">
              <w:rPr>
                <w:rFonts w:ascii="Verdana" w:eastAsia="Arial MT" w:hAnsi="Verdana" w:cs="Arial"/>
                <w:lang w:eastAsia="es-ES" w:bidi="es-ES"/>
              </w:rPr>
              <w:t>Ley 361 de 1997. Artículo 24.</w:t>
            </w:r>
          </w:p>
          <w:p w14:paraId="6E2E4A18" w14:textId="77777777" w:rsidR="00C76417" w:rsidRPr="00C84E52" w:rsidRDefault="00C76417" w:rsidP="00C76417">
            <w:pPr>
              <w:pStyle w:val="Prrafodelista"/>
              <w:widowControl w:val="0"/>
              <w:numPr>
                <w:ilvl w:val="0"/>
                <w:numId w:val="2"/>
              </w:numPr>
              <w:autoSpaceDE w:val="0"/>
              <w:autoSpaceDN w:val="0"/>
              <w:spacing w:line="276" w:lineRule="auto"/>
              <w:jc w:val="both"/>
              <w:rPr>
                <w:rFonts w:ascii="Verdana" w:eastAsia="Arial MT" w:hAnsi="Verdana" w:cs="Arial"/>
                <w:lang w:eastAsia="es-ES" w:bidi="es-ES"/>
              </w:rPr>
            </w:pPr>
            <w:r w:rsidRPr="00C84E52">
              <w:rPr>
                <w:rFonts w:ascii="Verdana" w:eastAsia="Arial MT" w:hAnsi="Verdana" w:cs="Arial"/>
                <w:lang w:eastAsia="es-ES" w:bidi="es-ES"/>
              </w:rPr>
              <w:t>Ley 762 de 2002. Por medio de la cual se aprueba la Convención Interamericana para la Eliminación de todas las Formas de Discriminación contra las Personas con Discapacidad.</w:t>
            </w:r>
          </w:p>
          <w:p w14:paraId="00DD6C8A" w14:textId="77777777" w:rsidR="00C76417" w:rsidRPr="00C84E52" w:rsidRDefault="00C76417" w:rsidP="00C76417">
            <w:pPr>
              <w:pStyle w:val="Prrafodelista"/>
              <w:widowControl w:val="0"/>
              <w:numPr>
                <w:ilvl w:val="0"/>
                <w:numId w:val="2"/>
              </w:numPr>
              <w:autoSpaceDE w:val="0"/>
              <w:autoSpaceDN w:val="0"/>
              <w:spacing w:line="276" w:lineRule="auto"/>
              <w:jc w:val="both"/>
              <w:rPr>
                <w:rFonts w:ascii="Verdana" w:eastAsia="Arial MT" w:hAnsi="Verdana" w:cs="Arial"/>
                <w:lang w:eastAsia="es-ES" w:bidi="es-ES"/>
              </w:rPr>
            </w:pPr>
            <w:r w:rsidRPr="00C84E52">
              <w:rPr>
                <w:rFonts w:ascii="Verdana" w:eastAsia="Arial MT" w:hAnsi="Verdana" w:cs="Arial"/>
                <w:lang w:eastAsia="es-ES" w:bidi="es-ES"/>
              </w:rPr>
              <w:t>Ley 1346 de 2009. Por medio de la cual se aprueba la Convención sobre los Derechos de las Personas con Discapacidad de la ONU.</w:t>
            </w:r>
          </w:p>
          <w:p w14:paraId="49999A50" w14:textId="77777777" w:rsidR="00C76417" w:rsidRPr="00C84E52" w:rsidRDefault="00C76417" w:rsidP="00C76417">
            <w:pPr>
              <w:pStyle w:val="Prrafodelista"/>
              <w:widowControl w:val="0"/>
              <w:numPr>
                <w:ilvl w:val="0"/>
                <w:numId w:val="2"/>
              </w:numPr>
              <w:autoSpaceDE w:val="0"/>
              <w:autoSpaceDN w:val="0"/>
              <w:spacing w:line="276" w:lineRule="auto"/>
              <w:jc w:val="both"/>
              <w:rPr>
                <w:rFonts w:ascii="Verdana" w:eastAsia="Arial MT" w:hAnsi="Verdana" w:cs="Arial"/>
                <w:lang w:eastAsia="es-ES" w:bidi="es-ES"/>
              </w:rPr>
            </w:pPr>
            <w:r w:rsidRPr="00C84E52">
              <w:rPr>
                <w:rFonts w:ascii="Verdana" w:eastAsia="Arial MT" w:hAnsi="Verdana" w:cs="Arial"/>
                <w:lang w:eastAsia="es-ES" w:bidi="es-ES"/>
              </w:rPr>
              <w:t>Ley Estatutaria 1618 de 2013. Artículo 13, numerales 1, 7 y 8.</w:t>
            </w:r>
          </w:p>
          <w:p w14:paraId="24C1C10A" w14:textId="77777777" w:rsidR="00C76417" w:rsidRPr="00C84E52" w:rsidRDefault="00C76417" w:rsidP="00C76417">
            <w:pPr>
              <w:pStyle w:val="Prrafodelista"/>
              <w:widowControl w:val="0"/>
              <w:numPr>
                <w:ilvl w:val="0"/>
                <w:numId w:val="2"/>
              </w:numPr>
              <w:autoSpaceDE w:val="0"/>
              <w:autoSpaceDN w:val="0"/>
              <w:spacing w:line="276" w:lineRule="auto"/>
              <w:jc w:val="both"/>
              <w:rPr>
                <w:rFonts w:ascii="Verdana" w:eastAsia="Arial MT" w:hAnsi="Verdana" w:cs="Arial"/>
                <w:lang w:eastAsia="es-ES" w:bidi="es-ES"/>
              </w:rPr>
            </w:pPr>
            <w:r w:rsidRPr="00C84E52">
              <w:rPr>
                <w:rFonts w:ascii="Verdana" w:eastAsia="Arial MT" w:hAnsi="Verdana" w:cs="Arial"/>
                <w:lang w:eastAsia="es-ES" w:bidi="es-ES"/>
              </w:rPr>
              <w:t>Ley 1996 de 2019. Artículo 62.</w:t>
            </w:r>
          </w:p>
          <w:p w14:paraId="381750A2" w14:textId="77777777" w:rsidR="00C76417" w:rsidRPr="00C84E52" w:rsidRDefault="00C76417" w:rsidP="00C76417">
            <w:pPr>
              <w:pStyle w:val="Prrafodelista"/>
              <w:widowControl w:val="0"/>
              <w:numPr>
                <w:ilvl w:val="0"/>
                <w:numId w:val="2"/>
              </w:numPr>
              <w:autoSpaceDE w:val="0"/>
              <w:autoSpaceDN w:val="0"/>
              <w:spacing w:line="276" w:lineRule="auto"/>
              <w:jc w:val="both"/>
              <w:rPr>
                <w:rFonts w:ascii="Verdana" w:eastAsia="Arial MT" w:hAnsi="Verdana" w:cs="Arial"/>
                <w:lang w:eastAsia="es-ES" w:bidi="es-ES"/>
              </w:rPr>
            </w:pPr>
            <w:r w:rsidRPr="00C84E52">
              <w:rPr>
                <w:rFonts w:ascii="Verdana" w:eastAsia="Arial MT" w:hAnsi="Verdana" w:cs="Arial"/>
                <w:lang w:eastAsia="es-ES" w:bidi="es-ES"/>
              </w:rPr>
              <w:t>Ley 2466 de 2025. Artículo 15, numeral 17.</w:t>
            </w:r>
          </w:p>
          <w:p w14:paraId="717D32F0" w14:textId="77777777" w:rsidR="00C76417" w:rsidRPr="00C84E52" w:rsidRDefault="00C76417" w:rsidP="00C76417">
            <w:pPr>
              <w:pStyle w:val="Prrafodelista"/>
              <w:widowControl w:val="0"/>
              <w:numPr>
                <w:ilvl w:val="0"/>
                <w:numId w:val="2"/>
              </w:numPr>
              <w:autoSpaceDE w:val="0"/>
              <w:autoSpaceDN w:val="0"/>
              <w:spacing w:line="276" w:lineRule="auto"/>
              <w:jc w:val="both"/>
              <w:rPr>
                <w:rFonts w:ascii="Verdana" w:eastAsia="Arial MT" w:hAnsi="Verdana" w:cs="Arial"/>
                <w:lang w:eastAsia="es-ES" w:bidi="es-ES"/>
              </w:rPr>
            </w:pPr>
            <w:r w:rsidRPr="00C84E52">
              <w:rPr>
                <w:rFonts w:ascii="Verdana" w:eastAsia="Arial MT" w:hAnsi="Verdana" w:cs="Arial"/>
                <w:lang w:eastAsia="es-ES" w:bidi="es-ES"/>
              </w:rPr>
              <w:t>Decreto 1082 de 2015. Artículos 2.2.1.2.4.2.6., 2.2.1.2.4.2.7. y siguientes, y 2.2.1.2.4.2.8., modificados por el Decreto 0287 de 2026.</w:t>
            </w:r>
          </w:p>
          <w:p w14:paraId="6B180417" w14:textId="77777777" w:rsidR="00C76417" w:rsidRPr="00C84E52" w:rsidRDefault="00C76417" w:rsidP="00C76417">
            <w:pPr>
              <w:pStyle w:val="Prrafodelista"/>
              <w:widowControl w:val="0"/>
              <w:numPr>
                <w:ilvl w:val="0"/>
                <w:numId w:val="2"/>
              </w:numPr>
              <w:autoSpaceDE w:val="0"/>
              <w:autoSpaceDN w:val="0"/>
              <w:spacing w:line="276" w:lineRule="auto"/>
              <w:jc w:val="both"/>
              <w:rPr>
                <w:rFonts w:ascii="Verdana" w:eastAsia="Arial MT" w:hAnsi="Verdana" w:cs="Arial"/>
                <w:lang w:eastAsia="es-ES" w:bidi="es-ES"/>
              </w:rPr>
            </w:pPr>
            <w:r w:rsidRPr="00C84E52">
              <w:rPr>
                <w:rFonts w:ascii="Verdana" w:eastAsia="Arial MT" w:hAnsi="Verdana" w:cs="Arial"/>
                <w:lang w:eastAsia="es-ES" w:bidi="es-ES"/>
              </w:rPr>
              <w:t>Decreto 392 de 2018. Derogado en lo contrario por el Decreto 0287 de 2026.</w:t>
            </w:r>
          </w:p>
          <w:p w14:paraId="1361DD92" w14:textId="77777777" w:rsidR="00C76417" w:rsidRPr="00C84E52" w:rsidRDefault="00C76417" w:rsidP="00C76417">
            <w:pPr>
              <w:pStyle w:val="Prrafodelista"/>
              <w:widowControl w:val="0"/>
              <w:numPr>
                <w:ilvl w:val="0"/>
                <w:numId w:val="2"/>
              </w:numPr>
              <w:autoSpaceDE w:val="0"/>
              <w:autoSpaceDN w:val="0"/>
              <w:spacing w:line="276" w:lineRule="auto"/>
              <w:jc w:val="both"/>
              <w:rPr>
                <w:rFonts w:ascii="Verdana" w:eastAsia="Arial MT" w:hAnsi="Verdana" w:cs="Arial"/>
                <w:lang w:eastAsia="es-ES" w:bidi="es-ES"/>
              </w:rPr>
            </w:pPr>
            <w:r w:rsidRPr="00C84E52">
              <w:rPr>
                <w:rFonts w:ascii="Verdana" w:eastAsia="Arial MT" w:hAnsi="Verdana" w:cs="Arial"/>
                <w:lang w:eastAsia="es-ES" w:bidi="es-ES"/>
              </w:rPr>
              <w:t>Decreto 1860 de 2021. Artículo 3.</w:t>
            </w:r>
          </w:p>
          <w:p w14:paraId="2C7DDD37" w14:textId="77777777" w:rsidR="00C76417" w:rsidRPr="00C84E52" w:rsidRDefault="00C76417" w:rsidP="00C76417">
            <w:pPr>
              <w:pStyle w:val="Prrafodelista"/>
              <w:widowControl w:val="0"/>
              <w:numPr>
                <w:ilvl w:val="0"/>
                <w:numId w:val="2"/>
              </w:numPr>
              <w:autoSpaceDE w:val="0"/>
              <w:autoSpaceDN w:val="0"/>
              <w:spacing w:line="276" w:lineRule="auto"/>
              <w:jc w:val="both"/>
              <w:rPr>
                <w:rFonts w:ascii="Verdana" w:eastAsia="Arial MT" w:hAnsi="Verdana" w:cs="Arial"/>
                <w:lang w:eastAsia="es-ES" w:bidi="es-ES"/>
              </w:rPr>
            </w:pPr>
            <w:r w:rsidRPr="00C84E52">
              <w:rPr>
                <w:rFonts w:ascii="Verdana" w:eastAsia="Arial MT" w:hAnsi="Verdana" w:cs="Arial"/>
                <w:lang w:eastAsia="es-ES" w:bidi="es-ES"/>
              </w:rPr>
              <w:t>Decreto 0287 de 2026. Por el cual se modifican los artículos 2.2.1.2.4.2.6., 2.2.1.2.4.2.7. y 2.2.1.2.4.2.8. del Decreto 1082 de 2015.</w:t>
            </w:r>
          </w:p>
          <w:p w14:paraId="739C6324" w14:textId="77777777" w:rsidR="00C76417" w:rsidRPr="00C84E52" w:rsidRDefault="00C76417" w:rsidP="00C76417">
            <w:pPr>
              <w:pStyle w:val="Prrafodelista"/>
              <w:widowControl w:val="0"/>
              <w:numPr>
                <w:ilvl w:val="0"/>
                <w:numId w:val="2"/>
              </w:numPr>
              <w:autoSpaceDE w:val="0"/>
              <w:autoSpaceDN w:val="0"/>
              <w:spacing w:line="276" w:lineRule="auto"/>
              <w:jc w:val="both"/>
              <w:rPr>
                <w:rFonts w:ascii="Verdana" w:eastAsia="Arial MT" w:hAnsi="Verdana" w:cs="Arial"/>
                <w:lang w:eastAsia="es-ES" w:bidi="es-ES"/>
              </w:rPr>
            </w:pPr>
            <w:r w:rsidRPr="00C84E52">
              <w:rPr>
                <w:rFonts w:ascii="Verdana" w:eastAsia="Arial MT" w:hAnsi="Verdana" w:cs="Arial"/>
                <w:lang w:eastAsia="es-ES" w:bidi="es-ES"/>
              </w:rPr>
              <w:lastRenderedPageBreak/>
              <w:t>Corte Constitucional. Sentencia C-410 de 2001. M.P. Álvaro Tafur Galvis.</w:t>
            </w:r>
          </w:p>
          <w:p w14:paraId="519445F3" w14:textId="77777777" w:rsidR="00C76417" w:rsidRPr="00C84E52" w:rsidRDefault="00C76417" w:rsidP="00C76417">
            <w:pPr>
              <w:pStyle w:val="Prrafodelista"/>
              <w:widowControl w:val="0"/>
              <w:numPr>
                <w:ilvl w:val="0"/>
                <w:numId w:val="2"/>
              </w:numPr>
              <w:autoSpaceDE w:val="0"/>
              <w:autoSpaceDN w:val="0"/>
              <w:spacing w:line="276" w:lineRule="auto"/>
              <w:jc w:val="both"/>
              <w:rPr>
                <w:rFonts w:ascii="Verdana" w:eastAsia="Arial MT" w:hAnsi="Verdana" w:cs="Arial"/>
                <w:lang w:eastAsia="es-ES" w:bidi="es-ES"/>
              </w:rPr>
            </w:pPr>
            <w:r w:rsidRPr="00C84E52">
              <w:rPr>
                <w:rFonts w:ascii="Verdana" w:eastAsia="Arial MT" w:hAnsi="Verdana" w:cs="Arial"/>
                <w:lang w:eastAsia="es-ES" w:bidi="es-ES"/>
              </w:rPr>
              <w:t>Corte Constitucional. Sentencia SU-049 de 2017. M.P. María Victoria Calle Correa.</w:t>
            </w:r>
          </w:p>
          <w:p w14:paraId="404C6E71" w14:textId="77777777" w:rsidR="00C76417" w:rsidRPr="00C84E52" w:rsidRDefault="00C76417" w:rsidP="00C76417">
            <w:pPr>
              <w:pStyle w:val="Prrafodelista"/>
              <w:widowControl w:val="0"/>
              <w:numPr>
                <w:ilvl w:val="0"/>
                <w:numId w:val="2"/>
              </w:numPr>
              <w:autoSpaceDE w:val="0"/>
              <w:autoSpaceDN w:val="0"/>
              <w:spacing w:line="276" w:lineRule="auto"/>
              <w:jc w:val="both"/>
              <w:rPr>
                <w:rFonts w:ascii="Verdana" w:eastAsia="Arial MT" w:hAnsi="Verdana" w:cs="Arial"/>
                <w:lang w:eastAsia="es-ES" w:bidi="es-ES"/>
              </w:rPr>
            </w:pPr>
            <w:r w:rsidRPr="00C84E52">
              <w:rPr>
                <w:rFonts w:ascii="Verdana" w:eastAsia="Arial MT" w:hAnsi="Verdana" w:cs="Arial"/>
                <w:lang w:eastAsia="es-ES" w:bidi="es-ES"/>
              </w:rPr>
              <w:t xml:space="preserve">Consejo de Estado. Sala de lo Contencioso Administrativo, Sección Quinta. Sentencia de acción de cumplimiento del 12 de diciembre de 2024. Rad. </w:t>
            </w:r>
            <w:proofErr w:type="spellStart"/>
            <w:r w:rsidRPr="00C84E52">
              <w:rPr>
                <w:rFonts w:ascii="Verdana" w:eastAsia="Arial MT" w:hAnsi="Verdana" w:cs="Arial"/>
                <w:lang w:eastAsia="es-ES" w:bidi="es-ES"/>
              </w:rPr>
              <w:t>N°</w:t>
            </w:r>
            <w:proofErr w:type="spellEnd"/>
            <w:r w:rsidRPr="00C84E52">
              <w:rPr>
                <w:rFonts w:ascii="Verdana" w:eastAsia="Arial MT" w:hAnsi="Verdana" w:cs="Arial"/>
                <w:lang w:eastAsia="es-ES" w:bidi="es-ES"/>
              </w:rPr>
              <w:t xml:space="preserve"> 05001-23-33-000-2024-00847-01. M.P. Omar Joaquín Barreto Suárez.</w:t>
            </w:r>
          </w:p>
          <w:p w14:paraId="4F35C5DC" w14:textId="77777777" w:rsidR="00C76417" w:rsidRPr="00C84E52" w:rsidRDefault="00C76417" w:rsidP="00C76417">
            <w:pPr>
              <w:pStyle w:val="Prrafodelista"/>
              <w:widowControl w:val="0"/>
              <w:numPr>
                <w:ilvl w:val="0"/>
                <w:numId w:val="2"/>
              </w:numPr>
              <w:autoSpaceDE w:val="0"/>
              <w:autoSpaceDN w:val="0"/>
              <w:spacing w:line="276" w:lineRule="auto"/>
              <w:jc w:val="both"/>
              <w:rPr>
                <w:rFonts w:ascii="Verdana" w:eastAsia="Arial MT" w:hAnsi="Verdana" w:cs="Arial"/>
                <w:lang w:eastAsia="es-ES" w:bidi="es-ES"/>
              </w:rPr>
            </w:pPr>
            <w:r w:rsidRPr="00C84E52">
              <w:rPr>
                <w:rFonts w:ascii="Verdana" w:eastAsia="Arial MT" w:hAnsi="Verdana" w:cs="Arial"/>
                <w:lang w:eastAsia="es-ES" w:bidi="es-ES"/>
              </w:rPr>
              <w:t>Consejo de Estado. Sala de Consulta y Servicio Civil. Concepto del 24 de julio de 2013. Rad. 2166. C.P. Álvaro Namén Vargas.</w:t>
            </w:r>
          </w:p>
          <w:p w14:paraId="5CF45679" w14:textId="77777777" w:rsidR="00C76417" w:rsidRPr="00C84E52" w:rsidRDefault="00C76417" w:rsidP="00C76417">
            <w:pPr>
              <w:pStyle w:val="Prrafodelista"/>
              <w:widowControl w:val="0"/>
              <w:numPr>
                <w:ilvl w:val="0"/>
                <w:numId w:val="2"/>
              </w:numPr>
              <w:autoSpaceDE w:val="0"/>
              <w:autoSpaceDN w:val="0"/>
              <w:spacing w:line="276" w:lineRule="auto"/>
              <w:jc w:val="both"/>
              <w:rPr>
                <w:rFonts w:ascii="Verdana" w:eastAsia="Arial MT" w:hAnsi="Verdana" w:cs="Arial"/>
                <w:lang w:eastAsia="es-ES" w:bidi="es-ES"/>
              </w:rPr>
            </w:pPr>
            <w:r w:rsidRPr="00C84E52">
              <w:rPr>
                <w:rFonts w:ascii="Verdana" w:eastAsia="Arial MT" w:hAnsi="Verdana" w:cs="Arial"/>
                <w:lang w:eastAsia="es-ES" w:bidi="es-ES"/>
              </w:rPr>
              <w:t>Agencia Nacional de Contratación Pública – Colombia Compra Eficiente. Circular Externa sobre orientaciones para la aplicación del Decreto 287 de 2026. Bogotá, 2026.</w:t>
            </w:r>
          </w:p>
          <w:p w14:paraId="24A639B9" w14:textId="77777777" w:rsidR="00C76417" w:rsidRPr="00C84E52" w:rsidRDefault="00C76417" w:rsidP="00C76417">
            <w:pPr>
              <w:pStyle w:val="Prrafodelista"/>
              <w:widowControl w:val="0"/>
              <w:numPr>
                <w:ilvl w:val="0"/>
                <w:numId w:val="2"/>
              </w:numPr>
              <w:autoSpaceDE w:val="0"/>
              <w:autoSpaceDN w:val="0"/>
              <w:spacing w:line="276" w:lineRule="auto"/>
              <w:jc w:val="both"/>
              <w:rPr>
                <w:rFonts w:ascii="Verdana" w:eastAsia="Arial MT" w:hAnsi="Verdana" w:cs="Arial"/>
                <w:lang w:eastAsia="es-ES" w:bidi="es-ES"/>
              </w:rPr>
            </w:pPr>
            <w:r w:rsidRPr="00C84E52">
              <w:rPr>
                <w:rFonts w:ascii="Verdana" w:eastAsia="Arial MT" w:hAnsi="Verdana" w:cs="Arial"/>
                <w:lang w:eastAsia="es-ES" w:bidi="es-ES"/>
              </w:rPr>
              <w:t>Agencia Nacional de Contratación Pública – Colombia Compra Eficiente. ABC del Decreto 0287 de 2026. Bogotá, 2026.</w:t>
            </w:r>
          </w:p>
          <w:p w14:paraId="180138EA" w14:textId="77777777" w:rsidR="00C76417" w:rsidRPr="00C84E52" w:rsidRDefault="00C76417" w:rsidP="00C76417">
            <w:pPr>
              <w:pStyle w:val="Prrafodelista"/>
              <w:widowControl w:val="0"/>
              <w:numPr>
                <w:ilvl w:val="0"/>
                <w:numId w:val="2"/>
              </w:numPr>
              <w:autoSpaceDE w:val="0"/>
              <w:autoSpaceDN w:val="0"/>
              <w:spacing w:line="276" w:lineRule="auto"/>
              <w:jc w:val="both"/>
              <w:rPr>
                <w:rFonts w:ascii="Verdana" w:eastAsia="Arial MT" w:hAnsi="Verdana" w:cs="Arial"/>
                <w:lang w:eastAsia="es-ES" w:bidi="es-ES"/>
              </w:rPr>
            </w:pPr>
            <w:r w:rsidRPr="00C84E52">
              <w:rPr>
                <w:rFonts w:ascii="Verdana" w:eastAsia="Arial MT" w:hAnsi="Verdana" w:cs="Arial"/>
                <w:lang w:eastAsia="es-ES" w:bidi="es-ES"/>
              </w:rPr>
              <w:t>Agencia Nacional de Contratación Pública – Colombia Compra Eficiente. Memoria Justificativa del Decreto 0287 de 2026. Bogotá, 2026.</w:t>
            </w:r>
          </w:p>
          <w:p w14:paraId="01F12029" w14:textId="77777777" w:rsidR="00C76417" w:rsidRPr="00C84E52" w:rsidRDefault="00C76417" w:rsidP="00C76417">
            <w:pPr>
              <w:pStyle w:val="Prrafodelista"/>
              <w:widowControl w:val="0"/>
              <w:numPr>
                <w:ilvl w:val="0"/>
                <w:numId w:val="2"/>
              </w:numPr>
              <w:autoSpaceDE w:val="0"/>
              <w:autoSpaceDN w:val="0"/>
              <w:spacing w:line="276" w:lineRule="auto"/>
              <w:jc w:val="both"/>
              <w:rPr>
                <w:rFonts w:ascii="Verdana" w:eastAsia="Arial MT" w:hAnsi="Verdana" w:cs="Arial"/>
                <w:lang w:eastAsia="es-ES" w:bidi="es-ES"/>
              </w:rPr>
            </w:pPr>
            <w:r w:rsidRPr="00C84E52">
              <w:rPr>
                <w:rFonts w:ascii="Verdana" w:eastAsia="Arial MT" w:hAnsi="Verdana" w:cs="Arial"/>
                <w:lang w:eastAsia="es-ES" w:bidi="es-ES"/>
              </w:rPr>
              <w:t>Agencia Nacional de Contratación Pública – Colombia Compra Eficiente. Guía de Compras Públicas Sostenibles y Socialmente Responsables. Bogotá, 2025.</w:t>
            </w:r>
          </w:p>
          <w:p w14:paraId="1A6B6C62" w14:textId="77777777" w:rsidR="00C76417" w:rsidRPr="00C84E52" w:rsidRDefault="00C76417" w:rsidP="00C76417">
            <w:pPr>
              <w:pStyle w:val="Prrafodelista"/>
              <w:widowControl w:val="0"/>
              <w:numPr>
                <w:ilvl w:val="0"/>
                <w:numId w:val="2"/>
              </w:numPr>
              <w:autoSpaceDE w:val="0"/>
              <w:autoSpaceDN w:val="0"/>
              <w:spacing w:line="276" w:lineRule="auto"/>
              <w:jc w:val="both"/>
              <w:rPr>
                <w:rFonts w:ascii="Verdana" w:eastAsia="Arial MT" w:hAnsi="Verdana" w:cs="Arial"/>
                <w:lang w:eastAsia="es-ES" w:bidi="es-ES"/>
              </w:rPr>
            </w:pPr>
            <w:r w:rsidRPr="00C84E52">
              <w:rPr>
                <w:rFonts w:ascii="Verdana" w:eastAsia="Arial MT" w:hAnsi="Verdana" w:cs="Arial"/>
                <w:lang w:eastAsia="es-ES" w:bidi="es-ES"/>
              </w:rPr>
              <w:t>Agencia Nacional de Contratación Pública – Colombia Compra Eficiente. Concepto C-864 del 14 de diciembre de 2022.</w:t>
            </w:r>
          </w:p>
          <w:p w14:paraId="2629BAE1" w14:textId="77777777" w:rsidR="00C76417" w:rsidRPr="00C84E52" w:rsidRDefault="00C76417" w:rsidP="00C76417">
            <w:pPr>
              <w:pStyle w:val="Prrafodelista"/>
              <w:widowControl w:val="0"/>
              <w:numPr>
                <w:ilvl w:val="0"/>
                <w:numId w:val="2"/>
              </w:numPr>
              <w:autoSpaceDE w:val="0"/>
              <w:autoSpaceDN w:val="0"/>
              <w:spacing w:line="276" w:lineRule="auto"/>
              <w:jc w:val="both"/>
              <w:rPr>
                <w:rFonts w:ascii="Verdana" w:eastAsia="Arial MT" w:hAnsi="Verdana" w:cs="Arial"/>
                <w:lang w:eastAsia="es-ES" w:bidi="es-ES"/>
              </w:rPr>
            </w:pPr>
            <w:r w:rsidRPr="00C84E52">
              <w:rPr>
                <w:rFonts w:ascii="Verdana" w:eastAsia="Arial MT" w:hAnsi="Verdana" w:cs="Arial"/>
                <w:lang w:eastAsia="es-ES" w:bidi="es-ES"/>
              </w:rPr>
              <w:t>Agencia Nacional de Contratación Pública – Colombia Compra Eficiente. Concepto C-1519 del 19 de noviembre de 2025.</w:t>
            </w:r>
          </w:p>
          <w:p w14:paraId="29F31AF6" w14:textId="77777777" w:rsidR="00C76417" w:rsidRPr="00A57FA0" w:rsidRDefault="00C76417" w:rsidP="00C76417">
            <w:pPr>
              <w:pStyle w:val="NormalWeb"/>
              <w:numPr>
                <w:ilvl w:val="0"/>
                <w:numId w:val="2"/>
              </w:numPr>
              <w:spacing w:before="120" w:beforeAutospacing="0" w:after="0" w:afterAutospacing="0" w:line="276" w:lineRule="auto"/>
              <w:jc w:val="both"/>
              <w:rPr>
                <w:rFonts w:ascii="Verdana" w:hAnsi="Verdana" w:cs="Arial"/>
                <w:color w:val="000000" w:themeColor="text1"/>
                <w:sz w:val="22"/>
                <w:szCs w:val="22"/>
              </w:rPr>
            </w:pPr>
            <w:r w:rsidRPr="00C84E52">
              <w:rPr>
                <w:rFonts w:ascii="Verdana" w:eastAsia="Arial MT" w:hAnsi="Verdana" w:cs="Arial"/>
                <w:lang w:eastAsia="es-ES" w:bidi="es-ES"/>
              </w:rPr>
              <w:t>Departamento Nacional de Planeación. Documento CONPES 166 de 2013. Política Pública Nacional de Discapacidad e Inclusión Social.</w:t>
            </w:r>
          </w:p>
        </w:tc>
      </w:tr>
    </w:tbl>
    <w:p w14:paraId="2CCA2EA7" w14:textId="77777777" w:rsidR="00C76417" w:rsidRPr="00277E26" w:rsidRDefault="00C76417" w:rsidP="00C76417">
      <w:pPr>
        <w:widowControl w:val="0"/>
        <w:autoSpaceDE w:val="0"/>
        <w:autoSpaceDN w:val="0"/>
        <w:spacing w:after="0" w:line="276" w:lineRule="auto"/>
        <w:jc w:val="both"/>
        <w:rPr>
          <w:rFonts w:ascii="Verdana" w:hAnsi="Verdana" w:cs="Arial"/>
        </w:rPr>
      </w:pPr>
    </w:p>
    <w:p w14:paraId="636C8652" w14:textId="77777777" w:rsidR="00C76417" w:rsidRPr="001F283D" w:rsidRDefault="00C76417" w:rsidP="00C76417">
      <w:pPr>
        <w:tabs>
          <w:tab w:val="left" w:pos="142"/>
          <w:tab w:val="left" w:pos="284"/>
        </w:tabs>
        <w:spacing w:after="0" w:line="276" w:lineRule="auto"/>
        <w:jc w:val="both"/>
        <w:rPr>
          <w:rFonts w:ascii="Verdana" w:eastAsia="Century Gothic" w:hAnsi="Verdana" w:cs="Century Gothic"/>
          <w:b/>
          <w:bCs/>
        </w:rPr>
      </w:pPr>
      <w:r>
        <w:rPr>
          <w:rFonts w:ascii="Verdana" w:eastAsia="Century Gothic" w:hAnsi="Verdana" w:cs="Century Gothic"/>
          <w:b/>
          <w:bCs/>
        </w:rPr>
        <w:t xml:space="preserve">5. </w:t>
      </w:r>
      <w:r w:rsidRPr="001F283D">
        <w:rPr>
          <w:rFonts w:ascii="Verdana" w:eastAsia="Century Gothic" w:hAnsi="Verdana" w:cs="Century Gothic"/>
          <w:b/>
          <w:bCs/>
        </w:rPr>
        <w:t>Doctrina de la Agencia Nacional de Contratación Pública:</w:t>
      </w:r>
    </w:p>
    <w:p w14:paraId="5569E6D5" w14:textId="77777777" w:rsidR="00C76417" w:rsidRDefault="00C76417" w:rsidP="00C76417">
      <w:pPr>
        <w:widowControl w:val="0"/>
        <w:autoSpaceDE w:val="0"/>
        <w:autoSpaceDN w:val="0"/>
        <w:spacing w:after="0" w:line="240" w:lineRule="auto"/>
        <w:jc w:val="both"/>
        <w:rPr>
          <w:rStyle w:val="normaltextrun"/>
          <w:rFonts w:ascii="Verdana" w:hAnsi="Verdana" w:cs="Arial"/>
          <w:highlight w:val="yellow"/>
          <w:shd w:val="clear" w:color="auto" w:fill="FFFFFF"/>
          <w:lang w:val="es-ES"/>
        </w:rPr>
      </w:pPr>
    </w:p>
    <w:p w14:paraId="5AC95A8F" w14:textId="77777777" w:rsidR="00C76417" w:rsidRPr="00724A38" w:rsidRDefault="00C76417" w:rsidP="00C76417">
      <w:pPr>
        <w:widowControl w:val="0"/>
        <w:autoSpaceDE w:val="0"/>
        <w:autoSpaceDN w:val="0"/>
        <w:spacing w:after="0" w:line="276" w:lineRule="auto"/>
        <w:jc w:val="both"/>
        <w:rPr>
          <w:rStyle w:val="normaltextrun"/>
          <w:rFonts w:ascii="Verdana" w:hAnsi="Verdana" w:cs="Arial"/>
          <w:shd w:val="clear" w:color="auto" w:fill="FFFFFF"/>
        </w:rPr>
      </w:pPr>
      <w:r w:rsidRPr="00CA6E03">
        <w:rPr>
          <w:rFonts w:ascii="Verdana" w:eastAsia="Calibri" w:hAnsi="Verdana" w:cs="Arial"/>
          <w:lang w:val="es-ES"/>
        </w:rPr>
        <w:t xml:space="preserve">La Agencia Nacional de Contratación Pública – Colombia Compra Eficiente se ha referido </w:t>
      </w:r>
      <w:r w:rsidRPr="00CA6E03">
        <w:rPr>
          <w:rFonts w:ascii="Verdana" w:hAnsi="Verdana" w:cs="Arial"/>
          <w:shd w:val="clear" w:color="auto" w:fill="FFFFFF"/>
          <w:lang w:val="es-ES"/>
        </w:rPr>
        <w:t>sobre el alcance del Decreto 0287 de 2026 en los conceptos C-484 del 07 de mayo del 2026, C-507 del 08 de mayo del 2026, C-534 del 14 de mayo del 2026, C-540 del 19 de mayo del 2026, C-548 del 14 de mayo del 2026, C-</w:t>
      </w:r>
      <w:r w:rsidRPr="00CA6E03">
        <w:rPr>
          <w:rFonts w:ascii="Verdana" w:hAnsi="Verdana" w:cs="Arial"/>
          <w:shd w:val="clear" w:color="auto" w:fill="FFFFFF"/>
          <w:lang w:val="es-ES"/>
        </w:rPr>
        <w:lastRenderedPageBreak/>
        <w:t xml:space="preserve">597 del 18 de mayo del 2026, C-598 del 19 de mayo del 2026, C-602 del 18 de mayo del 2026, C-607 del 18 de mayo del 2026, C-629 del 11 de mayo del 2026, C-648 del 15 de mayo del 2026, C-706 del 26 de mayo del 2026, C-914 del 08 de julio del 2026, C-971 del 06 de julio del 2026 y C-1012 del 04 de agosto del 2026. </w:t>
      </w:r>
      <w:r w:rsidRPr="00CA6E03">
        <w:rPr>
          <w:rFonts w:ascii="Verdana" w:eastAsia="Calibri" w:hAnsi="Verdana" w:cs="Arial"/>
          <w:color w:val="000000"/>
          <w:shd w:val="clear" w:color="auto" w:fill="FFFFFF"/>
        </w:rPr>
        <w:t xml:space="preserve">Los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3" w:history="1">
        <w:r w:rsidRPr="00CA6E03">
          <w:rPr>
            <w:rFonts w:ascii="Verdana" w:eastAsia="Aptos" w:hAnsi="Verdana" w:cs="Arial"/>
            <w:color w:val="0000FF"/>
            <w:kern w:val="2"/>
            <w:u w:val="single"/>
            <w:shd w:val="clear" w:color="auto" w:fill="FFFFFF"/>
            <w14:ligatures w14:val="standardContextual"/>
          </w:rPr>
          <w:t>https://relatoria.colombiacompra.gov.co/busqueda/conceptos</w:t>
        </w:r>
      </w:hyperlink>
      <w:r w:rsidRPr="00CA6E03">
        <w:rPr>
          <w:rFonts w:ascii="Verdana" w:eastAsia="Aptos" w:hAnsi="Verdana" w:cs="Arial"/>
          <w:kern w:val="2"/>
          <w:shd w:val="clear" w:color="auto" w:fill="FFFFFF"/>
          <w14:ligatures w14:val="standardContextual"/>
        </w:rPr>
        <w:t xml:space="preserve">. </w:t>
      </w:r>
      <w:r w:rsidRPr="00CA6E03">
        <w:rPr>
          <w:rFonts w:ascii="Verdana" w:eastAsia="Aptos" w:hAnsi="Verdana" w:cs="Arial"/>
          <w:color w:val="FF0000"/>
          <w:kern w:val="2"/>
          <w:shd w:val="clear" w:color="auto" w:fill="FFFFFF"/>
          <w:lang w:val="es-ES"/>
          <w14:ligatures w14:val="standardContextual"/>
        </w:rPr>
        <w:t xml:space="preserve"> </w:t>
      </w:r>
    </w:p>
    <w:p w14:paraId="79A41057" w14:textId="77777777" w:rsidR="00C76417" w:rsidRPr="00900D7D" w:rsidRDefault="00C76417" w:rsidP="00C76417">
      <w:pPr>
        <w:widowControl w:val="0"/>
        <w:autoSpaceDE w:val="0"/>
        <w:autoSpaceDN w:val="0"/>
        <w:spacing w:after="120" w:line="276" w:lineRule="auto"/>
        <w:jc w:val="both"/>
        <w:rPr>
          <w:rFonts w:ascii="Verdana" w:eastAsia="Calibri" w:hAnsi="Verdana" w:cs="Arial"/>
          <w:color w:val="000000" w:themeColor="text1"/>
          <w:lang w:eastAsia="es-ES_tradnl"/>
        </w:rPr>
      </w:pPr>
    </w:p>
    <w:p w14:paraId="2613C521" w14:textId="77777777" w:rsidR="00C76417" w:rsidRPr="00237766" w:rsidRDefault="00C76417" w:rsidP="00C76417">
      <w:pPr>
        <w:spacing w:after="120" w:line="276" w:lineRule="auto"/>
        <w:jc w:val="both"/>
        <w:rPr>
          <w:rFonts w:ascii="Verdana" w:eastAsia="Calibri" w:hAnsi="Verdana" w:cs="Times New Roman"/>
        </w:rPr>
      </w:pPr>
      <w:r w:rsidRPr="008E4F36">
        <w:rPr>
          <w:rFonts w:ascii="Verdana" w:hAnsi="Verdana"/>
        </w:rPr>
        <w:t xml:space="preserve">Aprovechamos la oportunidad para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5F7E4FA3" w14:textId="77777777" w:rsidR="00C76417" w:rsidRPr="008E4F36" w:rsidRDefault="00C76417" w:rsidP="00C76417">
      <w:pPr>
        <w:pStyle w:val="Prrafodelista"/>
        <w:numPr>
          <w:ilvl w:val="0"/>
          <w:numId w:val="3"/>
        </w:numPr>
        <w:spacing w:after="0" w:line="276" w:lineRule="auto"/>
        <w:contextualSpacing w:val="0"/>
        <w:jc w:val="both"/>
        <w:rPr>
          <w:rFonts w:ascii="Verdana" w:hAnsi="Verdana"/>
        </w:rPr>
      </w:pPr>
      <w:r w:rsidRPr="008E4F36">
        <w:rPr>
          <w:rFonts w:ascii="Verdana" w:hAnsi="Verdana"/>
        </w:rPr>
        <w:t>Línea nacional gratuita o servicio a la ciudadanía: 01800 0520808</w:t>
      </w:r>
    </w:p>
    <w:p w14:paraId="0BC21974" w14:textId="77777777" w:rsidR="00C76417" w:rsidRPr="008E4F36" w:rsidRDefault="00C76417" w:rsidP="00C76417">
      <w:pPr>
        <w:pStyle w:val="Prrafodelista"/>
        <w:numPr>
          <w:ilvl w:val="0"/>
          <w:numId w:val="3"/>
        </w:numPr>
        <w:spacing w:after="0" w:line="276" w:lineRule="auto"/>
        <w:contextualSpacing w:val="0"/>
        <w:jc w:val="both"/>
        <w:rPr>
          <w:rFonts w:ascii="Verdana" w:hAnsi="Verdana"/>
        </w:rPr>
      </w:pPr>
      <w:r w:rsidRPr="008E4F36">
        <w:rPr>
          <w:rFonts w:ascii="Verdana" w:hAnsi="Verdana"/>
        </w:rPr>
        <w:t>Línea en Bogotá (Mesa de servicio): +57 601 7456788</w:t>
      </w:r>
    </w:p>
    <w:p w14:paraId="30572692" w14:textId="77777777" w:rsidR="00C76417" w:rsidRPr="008E4F36" w:rsidRDefault="00C76417" w:rsidP="00C76417">
      <w:pPr>
        <w:pStyle w:val="Prrafodelista"/>
        <w:numPr>
          <w:ilvl w:val="0"/>
          <w:numId w:val="3"/>
        </w:numPr>
        <w:spacing w:after="0" w:line="276" w:lineRule="auto"/>
        <w:contextualSpacing w:val="0"/>
        <w:jc w:val="both"/>
        <w:rPr>
          <w:rFonts w:ascii="Verdana" w:hAnsi="Verdana"/>
        </w:rPr>
      </w:pPr>
      <w:r w:rsidRPr="008E4F36">
        <w:rPr>
          <w:rFonts w:ascii="Verdana" w:hAnsi="Verdana"/>
        </w:rPr>
        <w:t>Línea de servicio y atención al ciudadano: +57 601 7956600</w:t>
      </w:r>
    </w:p>
    <w:p w14:paraId="1A6F880E" w14:textId="77777777" w:rsidR="00C76417" w:rsidRPr="008E4F36" w:rsidRDefault="00C76417" w:rsidP="00C76417">
      <w:pPr>
        <w:pStyle w:val="Prrafodelista"/>
        <w:numPr>
          <w:ilvl w:val="0"/>
          <w:numId w:val="3"/>
        </w:numPr>
        <w:spacing w:after="0" w:line="276" w:lineRule="auto"/>
        <w:contextualSpacing w:val="0"/>
        <w:jc w:val="both"/>
        <w:rPr>
          <w:rFonts w:ascii="Verdana" w:hAnsi="Verdana"/>
        </w:rPr>
      </w:pPr>
      <w:r w:rsidRPr="008E4F36">
        <w:rPr>
          <w:rFonts w:ascii="Verdana" w:hAnsi="Verdana"/>
        </w:rPr>
        <w:t xml:space="preserve">Página web: </w:t>
      </w:r>
      <w:hyperlink r:id="rId14" w:history="1">
        <w:r w:rsidRPr="008E4F36">
          <w:rPr>
            <w:rStyle w:val="Hipervnculo"/>
            <w:rFonts w:ascii="Verdana" w:hAnsi="Verdana"/>
          </w:rPr>
          <w:t>www.colombiacompra.gov.co</w:t>
        </w:r>
      </w:hyperlink>
    </w:p>
    <w:p w14:paraId="43C352D5" w14:textId="77777777" w:rsidR="00C76417" w:rsidRPr="008E4F36" w:rsidRDefault="00C76417" w:rsidP="00C76417">
      <w:pPr>
        <w:spacing w:before="120" w:after="0" w:line="276" w:lineRule="auto"/>
        <w:jc w:val="both"/>
        <w:rPr>
          <w:rFonts w:ascii="Verdana" w:hAnsi="Verdana"/>
        </w:rPr>
      </w:pPr>
      <w:r w:rsidRPr="008E4F36">
        <w:rPr>
          <w:rFonts w:ascii="Verdana" w:hAnsi="Verdana"/>
        </w:rPr>
        <w:t>Por ú</w:t>
      </w:r>
      <w:r>
        <w:rPr>
          <w:rFonts w:ascii="Verdana" w:hAnsi="Verdana"/>
        </w:rPr>
        <w:t>l</w:t>
      </w:r>
      <w:r w:rsidRPr="008E4F36">
        <w:rPr>
          <w:rFonts w:ascii="Verdana" w:hAnsi="Verdana"/>
        </w:rPr>
        <w:t xml:space="preserve">timo, lo invitamos a seguirnos en las redes sociales en las cuales se difunde información institucional: </w:t>
      </w:r>
    </w:p>
    <w:p w14:paraId="374D95BD" w14:textId="77777777" w:rsidR="00C76417" w:rsidRPr="008E4F36" w:rsidRDefault="00C76417" w:rsidP="00C76417">
      <w:pPr>
        <w:spacing w:after="0" w:line="276" w:lineRule="auto"/>
        <w:jc w:val="both"/>
        <w:rPr>
          <w:rFonts w:ascii="Verdana" w:hAnsi="Verdana"/>
        </w:rPr>
      </w:pPr>
    </w:p>
    <w:p w14:paraId="36763DC4" w14:textId="77777777" w:rsidR="00C76417" w:rsidRPr="008E4F36" w:rsidRDefault="00C76417" w:rsidP="00C76417">
      <w:pPr>
        <w:spacing w:after="0" w:line="276" w:lineRule="auto"/>
        <w:jc w:val="both"/>
        <w:rPr>
          <w:rFonts w:ascii="Verdana" w:hAnsi="Verdana"/>
        </w:rPr>
      </w:pPr>
      <w:r w:rsidRPr="008E4F36">
        <w:rPr>
          <w:rFonts w:ascii="Verdana" w:hAnsi="Verdana"/>
        </w:rPr>
        <w:t xml:space="preserve">Twitter: </w:t>
      </w:r>
      <w:r w:rsidRPr="008E4F36">
        <w:rPr>
          <w:rStyle w:val="Hipervnculo"/>
          <w:rFonts w:ascii="Verdana" w:hAnsi="Verdana"/>
        </w:rPr>
        <w:t>@colombiacompra</w:t>
      </w:r>
      <w:r w:rsidRPr="008E4F36">
        <w:rPr>
          <w:rFonts w:ascii="Verdana" w:hAnsi="Verdana"/>
        </w:rPr>
        <w:t xml:space="preserve"> </w:t>
      </w:r>
    </w:p>
    <w:p w14:paraId="712C5454" w14:textId="77777777" w:rsidR="00C76417" w:rsidRPr="008E4F36" w:rsidRDefault="00C76417" w:rsidP="00C76417">
      <w:pPr>
        <w:spacing w:after="0" w:line="276" w:lineRule="auto"/>
        <w:jc w:val="both"/>
        <w:rPr>
          <w:rFonts w:ascii="Verdana" w:hAnsi="Verdana"/>
        </w:rPr>
      </w:pPr>
      <w:r w:rsidRPr="008E4F36">
        <w:rPr>
          <w:rFonts w:ascii="Verdana" w:hAnsi="Verdana"/>
        </w:rPr>
        <w:t xml:space="preserve">Facebook: </w:t>
      </w:r>
      <w:proofErr w:type="spellStart"/>
      <w:r w:rsidRPr="008E4F36">
        <w:rPr>
          <w:rStyle w:val="Hipervnculo"/>
          <w:rFonts w:ascii="Verdana" w:hAnsi="Verdana"/>
        </w:rPr>
        <w:t>ColombiaCompraEficiente</w:t>
      </w:r>
      <w:proofErr w:type="spellEnd"/>
    </w:p>
    <w:p w14:paraId="4CAC0956" w14:textId="77777777" w:rsidR="00C76417" w:rsidRPr="008E4F36" w:rsidRDefault="00C76417" w:rsidP="00C76417">
      <w:pPr>
        <w:spacing w:after="0" w:line="276" w:lineRule="auto"/>
        <w:jc w:val="both"/>
        <w:rPr>
          <w:rFonts w:ascii="Verdana" w:hAnsi="Verdana"/>
        </w:rPr>
      </w:pPr>
      <w:r w:rsidRPr="008E4F36">
        <w:rPr>
          <w:rFonts w:ascii="Verdana" w:hAnsi="Verdana"/>
        </w:rPr>
        <w:t xml:space="preserve">LinkedIn: </w:t>
      </w:r>
      <w:r w:rsidRPr="008E4F36">
        <w:rPr>
          <w:rStyle w:val="Hipervnculo"/>
          <w:rFonts w:ascii="Verdana" w:hAnsi="Verdana"/>
        </w:rPr>
        <w:t>Agencia Nacional de Contratación Pública - Colombia Compra Eficiente</w:t>
      </w:r>
      <w:r w:rsidRPr="008E4F36">
        <w:rPr>
          <w:rFonts w:ascii="Verdana" w:hAnsi="Verdana"/>
        </w:rPr>
        <w:t xml:space="preserve"> Instagram: </w:t>
      </w:r>
      <w:r w:rsidRPr="008E4F36">
        <w:rPr>
          <w:rStyle w:val="Hipervnculo"/>
          <w:rFonts w:ascii="Verdana" w:hAnsi="Verdana"/>
        </w:rPr>
        <w:t>@colombiacompraeficiente_cce</w:t>
      </w:r>
    </w:p>
    <w:p w14:paraId="7EEEF497" w14:textId="77777777" w:rsidR="00C76417" w:rsidRDefault="00C76417" w:rsidP="00C76417">
      <w:pPr>
        <w:spacing w:before="120" w:after="0" w:line="276" w:lineRule="auto"/>
        <w:jc w:val="both"/>
        <w:rPr>
          <w:rFonts w:ascii="Verdana" w:hAnsi="Verdana"/>
        </w:rPr>
      </w:pPr>
    </w:p>
    <w:p w14:paraId="302A4895" w14:textId="77777777" w:rsidR="00C76417" w:rsidRPr="00E12CBA" w:rsidRDefault="00C76417" w:rsidP="00C76417">
      <w:pPr>
        <w:spacing w:before="120" w:after="0" w:line="276" w:lineRule="auto"/>
        <w:jc w:val="both"/>
        <w:rPr>
          <w:rFonts w:ascii="Verdana" w:hAnsi="Verdana"/>
          <w:sz w:val="20"/>
          <w:szCs w:val="20"/>
        </w:rPr>
      </w:pPr>
      <w:r w:rsidRPr="00E12CBA">
        <w:rPr>
          <w:rFonts w:ascii="Verdana" w:hAnsi="Verdana"/>
          <w:sz w:val="20"/>
          <w:szCs w:val="20"/>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612F3C31" w14:textId="77777777" w:rsidR="00C76417" w:rsidRPr="008E4F36" w:rsidRDefault="00C76417" w:rsidP="00C76417">
      <w:pPr>
        <w:spacing w:after="0" w:line="276" w:lineRule="auto"/>
        <w:jc w:val="both"/>
        <w:rPr>
          <w:rFonts w:ascii="Verdana" w:eastAsia="Calibri" w:hAnsi="Verdana" w:cs="Times New Roman"/>
        </w:rPr>
      </w:pPr>
    </w:p>
    <w:p w14:paraId="6C250940" w14:textId="77777777" w:rsidR="00C76417" w:rsidRDefault="00C76417" w:rsidP="00C76417">
      <w:pPr>
        <w:spacing w:after="0" w:line="276" w:lineRule="auto"/>
        <w:jc w:val="both"/>
        <w:rPr>
          <w:rFonts w:ascii="Verdana" w:eastAsia="Calibri" w:hAnsi="Verdana" w:cs="Times New Roman"/>
        </w:rPr>
      </w:pPr>
      <w:r w:rsidRPr="008E4F36">
        <w:rPr>
          <w:rFonts w:ascii="Verdana" w:eastAsia="Calibri" w:hAnsi="Verdana" w:cs="Times New Roman"/>
        </w:rPr>
        <w:t>Atentamente,</w:t>
      </w:r>
    </w:p>
    <w:p w14:paraId="63E0DA34" w14:textId="4C532A47" w:rsidR="00C76417" w:rsidRDefault="00C76417" w:rsidP="00C76417">
      <w:pPr>
        <w:spacing w:after="0" w:line="256" w:lineRule="auto"/>
        <w:jc w:val="both"/>
        <w:rPr>
          <w:rFonts w:ascii="Verdana" w:eastAsia="Calibri" w:hAnsi="Verdana" w:cs="Times New Roman"/>
        </w:rPr>
      </w:pPr>
    </w:p>
    <w:p w14:paraId="441FE3C4" w14:textId="1B7D6AC2" w:rsidR="00C76417" w:rsidRPr="001D36FE" w:rsidRDefault="00D06F2C" w:rsidP="00C76417">
      <w:pPr>
        <w:spacing w:after="0" w:line="256" w:lineRule="auto"/>
        <w:jc w:val="center"/>
        <w:rPr>
          <w:noProof/>
        </w:rPr>
      </w:pPr>
      <w:r w:rsidRPr="00313961">
        <w:rPr>
          <w:rFonts w:ascii="Verdana" w:hAnsi="Verdana"/>
          <w:noProof/>
          <w:color w:val="E97132" w:themeColor="accent2"/>
        </w:rPr>
        <w:drawing>
          <wp:anchor distT="0" distB="0" distL="114300" distR="114300" simplePos="0" relativeHeight="251662336" behindDoc="1" locked="0" layoutInCell="1" allowOverlap="1" wp14:anchorId="5812FC78" wp14:editId="6752B455">
            <wp:simplePos x="0" y="0"/>
            <wp:positionH relativeFrom="margin">
              <wp:posOffset>1056347</wp:posOffset>
            </wp:positionH>
            <wp:positionV relativeFrom="paragraph">
              <wp:posOffset>173306</wp:posOffset>
            </wp:positionV>
            <wp:extent cx="3043954" cy="1162050"/>
            <wp:effectExtent l="0" t="0" r="4445" b="0"/>
            <wp:wrapTight wrapText="bothSides">
              <wp:wrapPolygon edited="0">
                <wp:start x="0" y="0"/>
                <wp:lineTo x="0" y="21246"/>
                <wp:lineTo x="21496" y="21246"/>
                <wp:lineTo x="21496" y="0"/>
                <wp:lineTo x="0" y="0"/>
              </wp:wrapPolygon>
            </wp:wrapTight>
            <wp:docPr id="166707282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7072826" name=""/>
                    <pic:cNvPicPr/>
                  </pic:nvPicPr>
                  <pic:blipFill>
                    <a:blip r:embed="rId15">
                      <a:extLst>
                        <a:ext uri="{28A0092B-C50C-407E-A947-70E740481C1C}">
                          <a14:useLocalDpi xmlns:a14="http://schemas.microsoft.com/office/drawing/2010/main" val="0"/>
                        </a:ext>
                      </a:extLst>
                    </a:blip>
                    <a:stretch>
                      <a:fillRect/>
                    </a:stretch>
                  </pic:blipFill>
                  <pic:spPr>
                    <a:xfrm>
                      <a:off x="0" y="0"/>
                      <a:ext cx="3043954" cy="1162050"/>
                    </a:xfrm>
                    <a:prstGeom prst="rect">
                      <a:avLst/>
                    </a:prstGeom>
                  </pic:spPr>
                </pic:pic>
              </a:graphicData>
            </a:graphic>
            <wp14:sizeRelH relativeFrom="margin">
              <wp14:pctWidth>0</wp14:pctWidth>
            </wp14:sizeRelH>
            <wp14:sizeRelV relativeFrom="margin">
              <wp14:pctHeight>0</wp14:pctHeight>
            </wp14:sizeRelV>
          </wp:anchor>
        </w:drawing>
      </w:r>
    </w:p>
    <w:bookmarkEnd w:id="0"/>
    <w:bookmarkEnd w:id="1"/>
    <w:p w14:paraId="1671BF1B" w14:textId="5CA0AF99" w:rsidR="00C76417" w:rsidRDefault="00C76417" w:rsidP="00C76417">
      <w:pPr>
        <w:spacing w:after="0"/>
        <w:rPr>
          <w:rFonts w:ascii="Verdana" w:hAnsi="Verdana"/>
        </w:rPr>
      </w:pPr>
    </w:p>
    <w:p w14:paraId="24BD2DAD" w14:textId="77777777" w:rsidR="00C76417" w:rsidRDefault="00C76417" w:rsidP="00C76417">
      <w:pPr>
        <w:spacing w:after="0"/>
        <w:rPr>
          <w:rFonts w:ascii="Verdana" w:hAnsi="Verdana"/>
        </w:rPr>
      </w:pPr>
    </w:p>
    <w:p w14:paraId="088E088A" w14:textId="77777777" w:rsidR="00C76417" w:rsidRDefault="00C76417" w:rsidP="00C76417">
      <w:pPr>
        <w:spacing w:after="0"/>
        <w:rPr>
          <w:rFonts w:ascii="Verdana" w:hAnsi="Verdana"/>
        </w:rPr>
      </w:pPr>
    </w:p>
    <w:p w14:paraId="4BEA3C92" w14:textId="77777777" w:rsidR="00C76417" w:rsidRDefault="00C76417" w:rsidP="00C76417">
      <w:pPr>
        <w:spacing w:after="0"/>
        <w:rPr>
          <w:rFonts w:ascii="Verdana" w:hAnsi="Verdana"/>
        </w:rPr>
      </w:pPr>
    </w:p>
    <w:p w14:paraId="74228DD8" w14:textId="77777777" w:rsidR="00C76417" w:rsidRDefault="00C76417" w:rsidP="00C76417">
      <w:pPr>
        <w:spacing w:after="0"/>
        <w:rPr>
          <w:rFonts w:ascii="Verdana" w:hAnsi="Verdana"/>
        </w:rPr>
      </w:pPr>
    </w:p>
    <w:p w14:paraId="18F80871" w14:textId="77777777" w:rsidR="00C76417" w:rsidRDefault="00C76417" w:rsidP="00C76417">
      <w:pPr>
        <w:spacing w:after="0"/>
        <w:rPr>
          <w:rFonts w:ascii="Verdana" w:hAnsi="Verdana"/>
        </w:rPr>
      </w:pPr>
    </w:p>
    <w:p w14:paraId="7E68A8CB" w14:textId="77777777" w:rsidR="00C76417" w:rsidRDefault="00C76417" w:rsidP="00C76417">
      <w:pPr>
        <w:spacing w:after="0"/>
        <w:rPr>
          <w:rFonts w:ascii="Verdana" w:hAnsi="Verdana"/>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C76417" w:rsidRPr="002423D6" w14:paraId="722A6CC4" w14:textId="77777777" w:rsidTr="00C83358">
        <w:trPr>
          <w:trHeight w:val="315"/>
        </w:trPr>
        <w:tc>
          <w:tcPr>
            <w:tcW w:w="893" w:type="dxa"/>
            <w:vAlign w:val="center"/>
            <w:hideMark/>
          </w:tcPr>
          <w:p w14:paraId="10207A78" w14:textId="77777777" w:rsidR="00C76417" w:rsidRPr="002423D6" w:rsidRDefault="00C76417" w:rsidP="00C83358">
            <w:pPr>
              <w:contextualSpacing/>
              <w:rPr>
                <w:rFonts w:ascii="Verdana" w:hAnsi="Verdana" w:cs="Arial"/>
                <w:color w:val="000000" w:themeColor="text1"/>
                <w:sz w:val="16"/>
                <w:szCs w:val="16"/>
                <w:lang w:val="es-ES" w:eastAsia="es-ES"/>
              </w:rPr>
            </w:pPr>
            <w:r w:rsidRPr="002423D6">
              <w:rPr>
                <w:rFonts w:ascii="Verdana" w:hAnsi="Verdana" w:cs="Arial"/>
                <w:color w:val="000000" w:themeColor="text1"/>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490717D9" w14:textId="77777777" w:rsidR="00C76417" w:rsidRPr="002423D6" w:rsidRDefault="00C76417" w:rsidP="00C83358">
            <w:pPr>
              <w:contextualSpacing/>
              <w:rPr>
                <w:rFonts w:ascii="Verdana" w:eastAsia="Arial" w:hAnsi="Verdana" w:cs="Arial"/>
                <w:color w:val="000000" w:themeColor="text1"/>
                <w:sz w:val="16"/>
                <w:szCs w:val="16"/>
              </w:rPr>
            </w:pPr>
            <w:r w:rsidRPr="002423D6">
              <w:rPr>
                <w:rFonts w:ascii="Verdana" w:eastAsia="Arial" w:hAnsi="Verdana" w:cs="Arial"/>
                <w:color w:val="000000" w:themeColor="text1"/>
                <w:sz w:val="16"/>
                <w:szCs w:val="16"/>
              </w:rPr>
              <w:t>An</w:t>
            </w:r>
            <w:r>
              <w:rPr>
                <w:rFonts w:ascii="Verdana" w:eastAsia="Arial" w:hAnsi="Verdana" w:cs="Arial"/>
                <w:color w:val="000000" w:themeColor="text1"/>
                <w:sz w:val="16"/>
                <w:szCs w:val="16"/>
              </w:rPr>
              <w:t>dreina Cerpa Muñoz</w:t>
            </w:r>
          </w:p>
          <w:p w14:paraId="302AB9E6" w14:textId="77777777" w:rsidR="00C76417" w:rsidRPr="002423D6" w:rsidRDefault="00C76417" w:rsidP="00C83358">
            <w:pPr>
              <w:contextualSpacing/>
              <w:rPr>
                <w:rFonts w:ascii="Verdana" w:eastAsia="Arial" w:hAnsi="Verdana" w:cs="Arial"/>
                <w:color w:val="000000" w:themeColor="text1"/>
                <w:sz w:val="16"/>
                <w:szCs w:val="16"/>
              </w:rPr>
            </w:pPr>
            <w:r w:rsidRPr="002423D6">
              <w:rPr>
                <w:rStyle w:val="normaltextrun"/>
                <w:rFonts w:ascii="Verdana" w:eastAsia="Arial" w:hAnsi="Verdana" w:cs="Arial"/>
                <w:color w:val="000000" w:themeColor="text1"/>
                <w:sz w:val="16"/>
                <w:szCs w:val="16"/>
              </w:rPr>
              <w:t>Analista T2-02 de la Subdirección de Gestión Contractual</w:t>
            </w:r>
          </w:p>
        </w:tc>
      </w:tr>
      <w:tr w:rsidR="00C76417" w:rsidRPr="002423D6" w14:paraId="0D5EF1F6" w14:textId="77777777" w:rsidTr="00C83358">
        <w:trPr>
          <w:trHeight w:val="330"/>
        </w:trPr>
        <w:tc>
          <w:tcPr>
            <w:tcW w:w="893" w:type="dxa"/>
            <w:vAlign w:val="center"/>
            <w:hideMark/>
          </w:tcPr>
          <w:p w14:paraId="609B8E97" w14:textId="77777777" w:rsidR="00C76417" w:rsidRPr="002423D6" w:rsidRDefault="00C76417" w:rsidP="00C83358">
            <w:pPr>
              <w:contextualSpacing/>
              <w:rPr>
                <w:rFonts w:ascii="Verdana" w:hAnsi="Verdana" w:cs="Arial"/>
                <w:color w:val="000000" w:themeColor="text1"/>
                <w:sz w:val="16"/>
                <w:szCs w:val="16"/>
                <w:lang w:val="es-ES" w:eastAsia="es-ES"/>
              </w:rPr>
            </w:pPr>
            <w:r w:rsidRPr="002423D6">
              <w:rPr>
                <w:rFonts w:ascii="Verdana" w:hAnsi="Verdana" w:cs="Arial"/>
                <w:color w:val="000000" w:themeColor="text1"/>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4ABA2C91" w14:textId="77777777" w:rsidR="00C76417" w:rsidRPr="00A11861" w:rsidRDefault="00C76417" w:rsidP="00C83358">
            <w:pPr>
              <w:contextualSpacing/>
              <w:rPr>
                <w:rFonts w:ascii="Verdana" w:eastAsia="Arial" w:hAnsi="Verdana" w:cs="Arial"/>
                <w:color w:val="000000" w:themeColor="text1"/>
                <w:sz w:val="16"/>
                <w:szCs w:val="16"/>
              </w:rPr>
            </w:pPr>
            <w:r>
              <w:rPr>
                <w:rFonts w:ascii="Verdana" w:eastAsia="Arial" w:hAnsi="Verdana" w:cs="Arial"/>
                <w:color w:val="000000" w:themeColor="text1"/>
                <w:sz w:val="16"/>
                <w:szCs w:val="16"/>
              </w:rPr>
              <w:t xml:space="preserve">Diana Lucía Saavedra </w:t>
            </w:r>
          </w:p>
          <w:p w14:paraId="634C9E3A" w14:textId="77777777" w:rsidR="00C76417" w:rsidRPr="002423D6" w:rsidRDefault="00C76417" w:rsidP="00C83358">
            <w:pPr>
              <w:pStyle w:val="paragraph"/>
              <w:spacing w:before="0" w:beforeAutospacing="0" w:after="0" w:afterAutospacing="0"/>
              <w:contextualSpacing/>
              <w:textAlignment w:val="baseline"/>
              <w:rPr>
                <w:rFonts w:ascii="Verdana" w:hAnsi="Verdana" w:cs="Segoe UI"/>
                <w:color w:val="000000" w:themeColor="text1"/>
                <w:sz w:val="16"/>
                <w:szCs w:val="16"/>
              </w:rPr>
            </w:pPr>
            <w:r w:rsidRPr="002423D6">
              <w:rPr>
                <w:rStyle w:val="normaltextrun"/>
                <w:rFonts w:ascii="Verdana" w:hAnsi="Verdana" w:cs="Arial"/>
                <w:color w:val="000000" w:themeColor="text1"/>
                <w:sz w:val="16"/>
                <w:szCs w:val="16"/>
                <w:lang w:val="es-ES"/>
              </w:rPr>
              <w:t>Contratista de la Subdirección de Gestión Contractual</w:t>
            </w:r>
            <w:r w:rsidRPr="002423D6">
              <w:rPr>
                <w:rStyle w:val="eop"/>
                <w:rFonts w:ascii="Verdana" w:hAnsi="Verdana" w:cs="Arial"/>
                <w:color w:val="000000" w:themeColor="text1"/>
                <w:sz w:val="16"/>
                <w:szCs w:val="16"/>
              </w:rPr>
              <w:t> </w:t>
            </w:r>
          </w:p>
        </w:tc>
      </w:tr>
      <w:tr w:rsidR="00C76417" w:rsidRPr="002423D6" w14:paraId="04308317" w14:textId="77777777" w:rsidTr="00C83358">
        <w:trPr>
          <w:trHeight w:val="300"/>
        </w:trPr>
        <w:tc>
          <w:tcPr>
            <w:tcW w:w="893" w:type="dxa"/>
            <w:vAlign w:val="center"/>
          </w:tcPr>
          <w:p w14:paraId="0E752A82" w14:textId="77777777" w:rsidR="00C76417" w:rsidRPr="002423D6" w:rsidRDefault="00C76417" w:rsidP="00C83358">
            <w:pPr>
              <w:contextualSpacing/>
              <w:rPr>
                <w:rFonts w:ascii="Verdana" w:hAnsi="Verdana" w:cs="Arial"/>
                <w:color w:val="000000" w:themeColor="text1"/>
                <w:sz w:val="16"/>
                <w:szCs w:val="16"/>
                <w:lang w:val="es-ES" w:eastAsia="es-ES"/>
              </w:rPr>
            </w:pPr>
            <w:r w:rsidRPr="002423D6">
              <w:rPr>
                <w:rFonts w:ascii="Verdana" w:hAnsi="Verdana" w:cs="Arial"/>
                <w:color w:val="000000" w:themeColor="text1"/>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3FEC8349" w14:textId="77777777" w:rsidR="00C76417" w:rsidRPr="002423D6" w:rsidRDefault="00C76417" w:rsidP="00C83358">
            <w:pPr>
              <w:contextualSpacing/>
              <w:rPr>
                <w:rFonts w:ascii="Verdana" w:eastAsia="Calibri" w:hAnsi="Verdana" w:cs="Arial"/>
                <w:color w:val="000000" w:themeColor="text1"/>
                <w:sz w:val="16"/>
                <w:szCs w:val="16"/>
                <w:lang w:val="pt-BR" w:eastAsia="es-ES"/>
              </w:rPr>
            </w:pPr>
            <w:r w:rsidRPr="002423D6">
              <w:rPr>
                <w:rFonts w:ascii="Verdana" w:eastAsia="Calibri" w:hAnsi="Verdana" w:cs="Arial"/>
                <w:color w:val="000000" w:themeColor="text1"/>
                <w:sz w:val="16"/>
                <w:szCs w:val="16"/>
                <w:lang w:val="pt-BR" w:eastAsia="es-ES"/>
              </w:rPr>
              <w:t xml:space="preserve">Carolina Quintero </w:t>
            </w:r>
            <w:proofErr w:type="spellStart"/>
            <w:r w:rsidRPr="002423D6">
              <w:rPr>
                <w:rFonts w:ascii="Verdana" w:eastAsia="Calibri" w:hAnsi="Verdana" w:cs="Arial"/>
                <w:color w:val="000000" w:themeColor="text1"/>
                <w:sz w:val="16"/>
                <w:szCs w:val="16"/>
                <w:lang w:val="pt-BR" w:eastAsia="es-ES"/>
              </w:rPr>
              <w:t>Gacharná</w:t>
            </w:r>
            <w:proofErr w:type="spellEnd"/>
          </w:p>
          <w:p w14:paraId="6F755AFD" w14:textId="77777777" w:rsidR="00C76417" w:rsidRPr="002423D6" w:rsidRDefault="00C76417" w:rsidP="00C83358">
            <w:pPr>
              <w:contextualSpacing/>
              <w:rPr>
                <w:rFonts w:ascii="Verdana" w:eastAsia="Calibri" w:hAnsi="Verdana" w:cs="Arial"/>
                <w:color w:val="000000" w:themeColor="text1"/>
                <w:sz w:val="16"/>
                <w:szCs w:val="16"/>
                <w:lang w:val="pt-BR" w:eastAsia="es-ES"/>
              </w:rPr>
            </w:pPr>
            <w:r w:rsidRPr="002423D6">
              <w:rPr>
                <w:rFonts w:ascii="Verdana" w:eastAsia="Calibri" w:hAnsi="Verdana" w:cs="Arial"/>
                <w:color w:val="000000" w:themeColor="text1"/>
                <w:sz w:val="16"/>
                <w:szCs w:val="16"/>
                <w:lang w:eastAsia="es-ES"/>
              </w:rPr>
              <w:t>Subdirectora</w:t>
            </w:r>
            <w:r w:rsidRPr="002423D6">
              <w:rPr>
                <w:rFonts w:ascii="Verdana" w:eastAsia="Calibri" w:hAnsi="Verdana" w:cs="Arial"/>
                <w:color w:val="000000" w:themeColor="text1"/>
                <w:sz w:val="16"/>
                <w:szCs w:val="16"/>
                <w:lang w:val="pt-BR" w:eastAsia="es-ES"/>
              </w:rPr>
              <w:t xml:space="preserve"> de Gestión </w:t>
            </w:r>
            <w:proofErr w:type="spellStart"/>
            <w:r w:rsidRPr="002423D6">
              <w:rPr>
                <w:rFonts w:ascii="Verdana" w:eastAsia="Calibri" w:hAnsi="Verdana" w:cs="Arial"/>
                <w:color w:val="000000" w:themeColor="text1"/>
                <w:sz w:val="16"/>
                <w:szCs w:val="16"/>
                <w:lang w:val="pt-BR" w:eastAsia="es-ES"/>
              </w:rPr>
              <w:t>Contractual</w:t>
            </w:r>
            <w:proofErr w:type="spellEnd"/>
            <w:r w:rsidRPr="002423D6">
              <w:rPr>
                <w:rFonts w:ascii="Verdana" w:eastAsia="Calibri" w:hAnsi="Verdana" w:cs="Arial"/>
                <w:color w:val="000000" w:themeColor="text1"/>
                <w:sz w:val="16"/>
                <w:szCs w:val="16"/>
                <w:lang w:val="pt-BR" w:eastAsia="es-ES"/>
              </w:rPr>
              <w:t xml:space="preserve"> ANCP – CCE</w:t>
            </w:r>
          </w:p>
        </w:tc>
      </w:tr>
    </w:tbl>
    <w:p w14:paraId="5421C17A" w14:textId="77777777" w:rsidR="00C76417" w:rsidRPr="00C84654" w:rsidRDefault="00C76417" w:rsidP="00C76417">
      <w:pPr>
        <w:rPr>
          <w:b/>
          <w:bCs/>
        </w:rPr>
      </w:pPr>
    </w:p>
    <w:p w14:paraId="2E084109" w14:textId="4DC199A8" w:rsidR="00C76417" w:rsidRPr="00F948ED" w:rsidRDefault="00C76417" w:rsidP="00C76417"/>
    <w:p w14:paraId="1F76C163" w14:textId="77777777" w:rsidR="000F5A42" w:rsidRPr="00C76417" w:rsidRDefault="000F5A42" w:rsidP="00C76417"/>
    <w:sectPr w:rsidR="000F5A42" w:rsidRPr="00C76417" w:rsidSect="006F11FC">
      <w:headerReference w:type="default" r:id="rId16"/>
      <w:footerReference w:type="default" r:id="rId17"/>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0FF53A" w14:textId="77777777" w:rsidR="00BA7887" w:rsidRDefault="00BA7887" w:rsidP="001A48F6">
      <w:pPr>
        <w:spacing w:after="0" w:line="240" w:lineRule="auto"/>
      </w:pPr>
      <w:r>
        <w:separator/>
      </w:r>
    </w:p>
  </w:endnote>
  <w:endnote w:type="continuationSeparator" w:id="0">
    <w:p w14:paraId="16963C69" w14:textId="77777777" w:rsidR="00BA7887" w:rsidRDefault="00BA7887" w:rsidP="001A48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F9EAF2" w14:textId="77777777" w:rsidR="006F11FC" w:rsidRDefault="006F11FC">
    <w:pPr>
      <w:spacing w:after="0"/>
      <w:rPr>
        <w:rFonts w:ascii="Verdana" w:hAnsi="Verdana"/>
        <w:b/>
        <w:bCs/>
        <w:sz w:val="20"/>
        <w:szCs w:val="20"/>
      </w:rPr>
    </w:pPr>
  </w:p>
  <w:p w14:paraId="72B70F31" w14:textId="77777777" w:rsidR="006F11FC" w:rsidRPr="00174B77" w:rsidRDefault="006F11FC">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73CEBD5D" w14:textId="77777777" w:rsidR="006F11FC" w:rsidRDefault="006F11FC">
    <w:pPr>
      <w:spacing w:after="0"/>
      <w:jc w:val="both"/>
      <w:rPr>
        <w:rFonts w:ascii="Verdana" w:hAnsi="Verdana"/>
        <w:sz w:val="18"/>
        <w:szCs w:val="18"/>
      </w:rPr>
    </w:pPr>
    <w:r w:rsidRPr="00E41027">
      <w:rPr>
        <w:rFonts w:ascii="Verdana" w:hAnsi="Verdana"/>
        <w:sz w:val="18"/>
        <w:szCs w:val="18"/>
      </w:rPr>
      <w:t>Dirección: Carrera 7 # 26 – 20 - Bogotá, Colombia</w:t>
    </w:r>
  </w:p>
  <w:p w14:paraId="5D438EA5" w14:textId="77777777" w:rsidR="006F11FC" w:rsidRPr="00E41027" w:rsidRDefault="006F11FC">
    <w:pPr>
      <w:spacing w:after="0"/>
      <w:jc w:val="both"/>
      <w:rPr>
        <w:rFonts w:ascii="Verdana" w:hAnsi="Verdana"/>
        <w:sz w:val="18"/>
        <w:szCs w:val="18"/>
      </w:rPr>
    </w:pPr>
    <w:r w:rsidRPr="00E41027">
      <w:rPr>
        <w:rFonts w:ascii="Verdana" w:hAnsi="Verdana"/>
        <w:sz w:val="18"/>
        <w:szCs w:val="18"/>
      </w:rPr>
      <w:t>Mesa de servicio: (+57) 601 7456788</w:t>
    </w:r>
  </w:p>
  <w:p w14:paraId="03C44582" w14:textId="77777777" w:rsidR="006F11FC" w:rsidRDefault="006F11FC">
    <w:pPr>
      <w:pStyle w:val="Piedepgina"/>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Pr>
        <w:rFonts w:ascii="Century Gothic" w:hAnsi="Century Gothic"/>
        <w:sz w:val="18"/>
        <w:szCs w:val="18"/>
      </w:rPr>
      <w:t>Código: CCE-DES-FM-17 Versión: 4</w:t>
    </w:r>
    <w:r w:rsidRPr="0086556C">
      <w:rPr>
        <w:rFonts w:ascii="Century Gothic" w:hAnsi="Century Gothic"/>
        <w:sz w:val="18"/>
        <w:szCs w:val="18"/>
      </w:rPr>
      <w:t xml:space="preserve"> </w:t>
    </w:r>
    <w:r>
      <w:rPr>
        <w:rFonts w:ascii="Century Gothic" w:hAnsi="Century Gothic"/>
        <w:sz w:val="18"/>
        <w:szCs w:val="18"/>
      </w:rPr>
      <w:t>Fecha: 13-12-2023</w:t>
    </w:r>
  </w:p>
  <w:p w14:paraId="1BAB3F7B" w14:textId="77777777" w:rsidR="006F11FC" w:rsidRPr="007D04B2" w:rsidRDefault="006F11FC">
    <w:pPr>
      <w:pStyle w:val="Piedepgina"/>
    </w:pPr>
  </w:p>
  <w:p w14:paraId="13AF0E74" w14:textId="77777777" w:rsidR="006F11FC" w:rsidRPr="000849D5" w:rsidRDefault="006F11F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193531" w14:textId="77777777" w:rsidR="00BA7887" w:rsidRDefault="00BA7887" w:rsidP="001A48F6">
      <w:pPr>
        <w:spacing w:after="0" w:line="240" w:lineRule="auto"/>
      </w:pPr>
      <w:r>
        <w:separator/>
      </w:r>
    </w:p>
  </w:footnote>
  <w:footnote w:type="continuationSeparator" w:id="0">
    <w:p w14:paraId="7F791193" w14:textId="77777777" w:rsidR="00BA7887" w:rsidRDefault="00BA7887" w:rsidP="001A48F6">
      <w:pPr>
        <w:spacing w:after="0" w:line="240" w:lineRule="auto"/>
      </w:pPr>
      <w:r>
        <w:continuationSeparator/>
      </w:r>
    </w:p>
  </w:footnote>
  <w:footnote w:id="1">
    <w:p w14:paraId="723B129F" w14:textId="77777777" w:rsidR="00C76417" w:rsidRPr="00D0639A" w:rsidRDefault="00C76417" w:rsidP="00C76417">
      <w:pPr>
        <w:spacing w:after="80" w:line="240" w:lineRule="auto"/>
        <w:ind w:firstLine="708"/>
        <w:jc w:val="both"/>
        <w:rPr>
          <w:rFonts w:ascii="Verdana" w:eastAsia="Times New Roman" w:hAnsi="Verdana" w:cs="Times New Roman"/>
          <w:sz w:val="16"/>
          <w:szCs w:val="16"/>
        </w:rPr>
      </w:pPr>
      <w:r w:rsidRPr="001C2502">
        <w:rPr>
          <w:rStyle w:val="Refdenotaalpie"/>
          <w:rFonts w:ascii="Verdana" w:hAnsi="Verdana"/>
          <w:sz w:val="16"/>
          <w:szCs w:val="16"/>
        </w:rPr>
        <w:footnoteRef/>
      </w:r>
      <w:r w:rsidRPr="001C2502">
        <w:rPr>
          <w:rFonts w:ascii="Verdana" w:hAnsi="Verdana"/>
          <w:sz w:val="16"/>
          <w:szCs w:val="16"/>
        </w:rPr>
        <w:t xml:space="preserve"> </w:t>
      </w:r>
      <w:r w:rsidRPr="00206556">
        <w:rPr>
          <w:rFonts w:ascii="Verdana" w:eastAsia="Times New Roman" w:hAnsi="Verdana" w:cs="Times New Roman"/>
          <w:sz w:val="16"/>
          <w:szCs w:val="16"/>
        </w:rPr>
        <w:t xml:space="preserve">Colombia. Asamblea Nacional Constituyente. (1991). Constitución Política de Colombia. Artículo 13. </w:t>
      </w:r>
    </w:p>
  </w:footnote>
  <w:footnote w:id="2">
    <w:p w14:paraId="5F46472F" w14:textId="77777777" w:rsidR="00C76417" w:rsidRPr="00206556" w:rsidRDefault="00C76417" w:rsidP="00C76417">
      <w:pPr>
        <w:pStyle w:val="Textonotapie"/>
        <w:ind w:firstLine="708"/>
        <w:jc w:val="both"/>
        <w:rPr>
          <w:rFonts w:ascii="Verdana" w:eastAsia="Times New Roman" w:hAnsi="Verdana" w:cs="Times New Roman"/>
          <w:sz w:val="16"/>
          <w:szCs w:val="16"/>
        </w:rPr>
      </w:pPr>
      <w:r w:rsidRPr="00206556">
        <w:rPr>
          <w:rStyle w:val="Refdenotaalpie"/>
          <w:rFonts w:ascii="Verdana" w:hAnsi="Verdana"/>
          <w:sz w:val="16"/>
          <w:szCs w:val="16"/>
        </w:rPr>
        <w:footnoteRef/>
      </w:r>
      <w:r w:rsidRPr="00206556">
        <w:rPr>
          <w:rFonts w:ascii="Verdana" w:hAnsi="Verdana"/>
          <w:sz w:val="16"/>
          <w:szCs w:val="16"/>
        </w:rPr>
        <w:t xml:space="preserve"> </w:t>
      </w:r>
      <w:r w:rsidRPr="00206556">
        <w:rPr>
          <w:rFonts w:ascii="Verdana" w:eastAsia="Times New Roman" w:hAnsi="Verdana" w:cs="Times New Roman"/>
          <w:sz w:val="16"/>
          <w:szCs w:val="16"/>
        </w:rPr>
        <w:t>Colombia. Asamblea Nacional Constituyente. (1991). Constitución Política de Colombia. Artículos 47</w:t>
      </w:r>
      <w:r>
        <w:rPr>
          <w:rFonts w:ascii="Verdana" w:eastAsia="Times New Roman" w:hAnsi="Verdana" w:cs="Times New Roman"/>
          <w:sz w:val="16"/>
          <w:szCs w:val="16"/>
        </w:rPr>
        <w:t xml:space="preserve"> </w:t>
      </w:r>
      <w:r w:rsidRPr="00206556">
        <w:rPr>
          <w:rFonts w:ascii="Verdana" w:eastAsia="Times New Roman" w:hAnsi="Verdana" w:cs="Times New Roman"/>
          <w:sz w:val="16"/>
          <w:szCs w:val="16"/>
        </w:rPr>
        <w:t xml:space="preserve">y 54. </w:t>
      </w:r>
    </w:p>
    <w:p w14:paraId="2625C5CB" w14:textId="77777777" w:rsidR="00C76417" w:rsidRPr="00206556" w:rsidRDefault="00C76417" w:rsidP="00C76417">
      <w:pPr>
        <w:pStyle w:val="Textonotapie"/>
        <w:ind w:firstLine="708"/>
        <w:jc w:val="both"/>
        <w:rPr>
          <w:rFonts w:ascii="Verdana" w:hAnsi="Verdana"/>
          <w:sz w:val="16"/>
          <w:szCs w:val="16"/>
          <w:lang w:val="es-ES"/>
        </w:rPr>
      </w:pPr>
    </w:p>
  </w:footnote>
  <w:footnote w:id="3">
    <w:p w14:paraId="1221CFEB" w14:textId="77777777" w:rsidR="00C76417" w:rsidRPr="00206556" w:rsidRDefault="00C76417" w:rsidP="00C76417">
      <w:pPr>
        <w:spacing w:after="80" w:line="240" w:lineRule="auto"/>
        <w:ind w:firstLine="708"/>
        <w:jc w:val="both"/>
        <w:rPr>
          <w:rFonts w:ascii="Verdana" w:eastAsia="Times New Roman" w:hAnsi="Verdana" w:cs="Times New Roman"/>
          <w:sz w:val="16"/>
          <w:szCs w:val="16"/>
        </w:rPr>
      </w:pPr>
      <w:r w:rsidRPr="00206556">
        <w:rPr>
          <w:rStyle w:val="Refdenotaalpie"/>
          <w:rFonts w:ascii="Verdana" w:hAnsi="Verdana"/>
          <w:sz w:val="16"/>
          <w:szCs w:val="16"/>
        </w:rPr>
        <w:footnoteRef/>
      </w:r>
      <w:r w:rsidRPr="00206556">
        <w:rPr>
          <w:rFonts w:ascii="Verdana" w:hAnsi="Verdana"/>
          <w:sz w:val="16"/>
          <w:szCs w:val="16"/>
        </w:rPr>
        <w:t xml:space="preserve"> </w:t>
      </w:r>
      <w:r w:rsidRPr="00206556">
        <w:rPr>
          <w:rFonts w:ascii="Verdana" w:eastAsia="Times New Roman" w:hAnsi="Verdana" w:cs="Times New Roman"/>
          <w:sz w:val="16"/>
          <w:szCs w:val="16"/>
        </w:rPr>
        <w:t>Organización de las Naciones Unidas. (2006). Convención sobre los Derechos de las Personas con Discapacidad. Nueva York: ONU. Aprobada en Colombia mediante: Colombia. Congreso de la República. (31 de julio de 2009). Ley 1346 de 2009. Diario Oficial 47427.</w:t>
      </w:r>
    </w:p>
    <w:p w14:paraId="363235AD" w14:textId="77777777" w:rsidR="00C76417" w:rsidRPr="00206556" w:rsidRDefault="00C76417" w:rsidP="00C76417">
      <w:pPr>
        <w:spacing w:after="80" w:line="240" w:lineRule="auto"/>
        <w:ind w:firstLine="708"/>
        <w:jc w:val="both"/>
        <w:rPr>
          <w:rFonts w:ascii="Verdana" w:hAnsi="Verdana"/>
          <w:sz w:val="16"/>
          <w:szCs w:val="16"/>
        </w:rPr>
      </w:pPr>
    </w:p>
  </w:footnote>
  <w:footnote w:id="4">
    <w:p w14:paraId="3F41F661" w14:textId="77777777" w:rsidR="00C76417" w:rsidRPr="00206556" w:rsidRDefault="00C76417" w:rsidP="00C76417">
      <w:pPr>
        <w:pStyle w:val="Textonotapie"/>
        <w:ind w:firstLine="708"/>
        <w:jc w:val="both"/>
        <w:rPr>
          <w:rFonts w:ascii="Verdana" w:eastAsia="Times New Roman" w:hAnsi="Verdana" w:cs="Times New Roman"/>
          <w:sz w:val="16"/>
          <w:szCs w:val="16"/>
        </w:rPr>
      </w:pPr>
      <w:r w:rsidRPr="00206556">
        <w:rPr>
          <w:rStyle w:val="Refdenotaalpie"/>
          <w:rFonts w:ascii="Verdana" w:hAnsi="Verdana"/>
          <w:sz w:val="16"/>
          <w:szCs w:val="16"/>
        </w:rPr>
        <w:footnoteRef/>
      </w:r>
      <w:r w:rsidRPr="00206556">
        <w:rPr>
          <w:rFonts w:ascii="Verdana" w:hAnsi="Verdana"/>
          <w:sz w:val="16"/>
          <w:szCs w:val="16"/>
        </w:rPr>
        <w:t xml:space="preserve"> </w:t>
      </w:r>
      <w:r w:rsidRPr="00206556">
        <w:rPr>
          <w:rFonts w:ascii="Verdana" w:eastAsia="Times New Roman" w:hAnsi="Verdana" w:cs="Times New Roman"/>
          <w:sz w:val="16"/>
          <w:szCs w:val="16"/>
        </w:rPr>
        <w:t>Organización de los Estados Americanos. (1999). Convención Interamericana para la Eliminación de todas las Formas de Discriminación contra las Personas con Discapacidad. Ciudad de Guatemala. Aprobada en Colombia mediante: Colombia. Congreso de la República. (31 de julio de 2002). Ley 762 de 2002. Diario Oficial 44889.</w:t>
      </w:r>
    </w:p>
    <w:p w14:paraId="6095BA7B" w14:textId="77777777" w:rsidR="00C76417" w:rsidRPr="00206556" w:rsidRDefault="00C76417" w:rsidP="00C76417">
      <w:pPr>
        <w:pStyle w:val="Textonotapie"/>
        <w:ind w:firstLine="708"/>
        <w:jc w:val="both"/>
        <w:rPr>
          <w:rFonts w:ascii="Verdana" w:hAnsi="Verdana"/>
          <w:sz w:val="16"/>
          <w:szCs w:val="16"/>
          <w:lang w:val="es-ES"/>
        </w:rPr>
      </w:pPr>
    </w:p>
  </w:footnote>
  <w:footnote w:id="5">
    <w:p w14:paraId="6B1FF951" w14:textId="77777777" w:rsidR="00C76417" w:rsidRPr="00206556" w:rsidRDefault="00C76417" w:rsidP="00C76417">
      <w:pPr>
        <w:pStyle w:val="Textonotapie"/>
        <w:ind w:firstLine="708"/>
        <w:jc w:val="both"/>
        <w:rPr>
          <w:rFonts w:ascii="Verdana" w:hAnsi="Verdana"/>
          <w:sz w:val="16"/>
          <w:szCs w:val="16"/>
        </w:rPr>
      </w:pPr>
      <w:r w:rsidRPr="00206556">
        <w:rPr>
          <w:rStyle w:val="Refdenotaalpie"/>
          <w:rFonts w:ascii="Verdana" w:hAnsi="Verdana"/>
          <w:sz w:val="16"/>
          <w:szCs w:val="16"/>
        </w:rPr>
        <w:footnoteRef/>
      </w:r>
      <w:r w:rsidRPr="00206556">
        <w:rPr>
          <w:rFonts w:ascii="Verdana" w:hAnsi="Verdana"/>
          <w:sz w:val="16"/>
          <w:szCs w:val="16"/>
        </w:rPr>
        <w:t xml:space="preserve"> Organización Internacional del Trabajo. (1983). Convenio sobre la readaptación profesional y el empleo (personas inválidas), núm. 159. Ginebra: OIT. Aprobado en Colombia mediante: Colombia. Congreso de la República. (23 de diciembre de 1988). Ley 82 de 1988. Diario Oficial 38608.</w:t>
      </w:r>
    </w:p>
    <w:p w14:paraId="44AC8333" w14:textId="77777777" w:rsidR="00C76417" w:rsidRPr="00206556" w:rsidRDefault="00C76417" w:rsidP="00C76417">
      <w:pPr>
        <w:pStyle w:val="Textonotapie"/>
        <w:ind w:firstLine="708"/>
        <w:jc w:val="both"/>
        <w:rPr>
          <w:rFonts w:ascii="Verdana" w:hAnsi="Verdana"/>
          <w:sz w:val="16"/>
          <w:szCs w:val="16"/>
          <w:lang w:val="es-ES"/>
        </w:rPr>
      </w:pPr>
    </w:p>
  </w:footnote>
  <w:footnote w:id="6">
    <w:p w14:paraId="29320F39" w14:textId="77777777" w:rsidR="00C76417" w:rsidRPr="008D559A" w:rsidRDefault="00C76417" w:rsidP="00C76417">
      <w:pPr>
        <w:pStyle w:val="Textonotapie"/>
        <w:ind w:firstLine="708"/>
        <w:jc w:val="both"/>
        <w:rPr>
          <w:rFonts w:ascii="Verdana" w:hAnsi="Verdana"/>
          <w:sz w:val="16"/>
          <w:szCs w:val="16"/>
        </w:rPr>
      </w:pPr>
      <w:r w:rsidRPr="00206556">
        <w:rPr>
          <w:rStyle w:val="Refdenotaalpie"/>
          <w:rFonts w:ascii="Verdana" w:hAnsi="Verdana"/>
          <w:sz w:val="16"/>
          <w:szCs w:val="16"/>
        </w:rPr>
        <w:footnoteRef/>
      </w:r>
      <w:r w:rsidRPr="00206556">
        <w:rPr>
          <w:rFonts w:ascii="Verdana" w:hAnsi="Verdana"/>
          <w:sz w:val="16"/>
          <w:szCs w:val="16"/>
        </w:rPr>
        <w:t xml:space="preserve"> Colombia. Congreso de la República. (7 de febrero de 1997). Ley 361 de 1997, por la cual se establecen mecanismos de integración social de las personas con limitación y se dictan otras disposiciones. Artículo 24. Diario Oficial 42978.</w:t>
      </w:r>
    </w:p>
  </w:footnote>
  <w:footnote w:id="7">
    <w:p w14:paraId="007ED36E" w14:textId="77777777" w:rsidR="00C76417" w:rsidRPr="00D0639A" w:rsidRDefault="00C76417" w:rsidP="00C76417">
      <w:pPr>
        <w:pStyle w:val="Textonotapie"/>
        <w:ind w:firstLine="708"/>
        <w:jc w:val="both"/>
        <w:rPr>
          <w:rFonts w:ascii="Verdana" w:hAnsi="Verdana"/>
          <w:sz w:val="16"/>
          <w:szCs w:val="16"/>
        </w:rPr>
      </w:pPr>
      <w:r w:rsidRPr="00D0639A">
        <w:rPr>
          <w:rStyle w:val="Refdenotaalpie"/>
          <w:rFonts w:ascii="Verdana" w:hAnsi="Verdana"/>
          <w:sz w:val="16"/>
          <w:szCs w:val="16"/>
        </w:rPr>
        <w:footnoteRef/>
      </w:r>
      <w:r w:rsidRPr="00D0639A">
        <w:rPr>
          <w:rFonts w:ascii="Verdana" w:hAnsi="Verdana"/>
          <w:sz w:val="16"/>
          <w:szCs w:val="16"/>
        </w:rPr>
        <w:t xml:space="preserve"> Colombia. Congreso de la República. (27 de febrero de 2013). Ley Estatutaria 1618 de 2013. Artículo 2, numeral 1. Diario Oficial 48717.</w:t>
      </w:r>
    </w:p>
    <w:p w14:paraId="1C81CEA6" w14:textId="77777777" w:rsidR="00C76417" w:rsidRPr="00D0639A" w:rsidRDefault="00C76417" w:rsidP="00C76417">
      <w:pPr>
        <w:pStyle w:val="Textonotapie"/>
        <w:ind w:firstLine="708"/>
        <w:jc w:val="both"/>
        <w:rPr>
          <w:rFonts w:ascii="Verdana" w:hAnsi="Verdana"/>
          <w:sz w:val="16"/>
          <w:szCs w:val="16"/>
          <w:lang w:val="es-ES"/>
        </w:rPr>
      </w:pPr>
    </w:p>
  </w:footnote>
  <w:footnote w:id="8">
    <w:p w14:paraId="3AE165D0" w14:textId="77777777" w:rsidR="00C76417" w:rsidRPr="00206556" w:rsidRDefault="00C76417" w:rsidP="00C76417">
      <w:pPr>
        <w:pStyle w:val="Textonotapie"/>
        <w:ind w:firstLine="708"/>
        <w:jc w:val="both"/>
        <w:rPr>
          <w:rFonts w:ascii="Verdana" w:hAnsi="Verdana"/>
          <w:sz w:val="16"/>
          <w:szCs w:val="16"/>
          <w:lang w:val="es-ES"/>
        </w:rPr>
      </w:pPr>
      <w:r w:rsidRPr="00D0639A">
        <w:rPr>
          <w:rStyle w:val="Refdenotaalpie"/>
          <w:rFonts w:ascii="Verdana" w:hAnsi="Verdana"/>
          <w:sz w:val="16"/>
          <w:szCs w:val="16"/>
        </w:rPr>
        <w:footnoteRef/>
      </w:r>
      <w:r w:rsidRPr="00D0639A">
        <w:rPr>
          <w:rFonts w:ascii="Verdana" w:hAnsi="Verdana"/>
          <w:sz w:val="16"/>
          <w:szCs w:val="16"/>
        </w:rPr>
        <w:t xml:space="preserve"> Colombia. Congreso de la República. (27 de febrero de 2013). Ley Estatutaria 1618 de 2013, por medio de la cual se establecen las disposiciones para garantizar el pleno ejercicio de los derechos de las personas con discapacidad. Artículo 13, numerales 1, 7 y 8. Diario Oficial 48717.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6E0A0" w14:textId="77777777" w:rsidR="006F11FC" w:rsidRDefault="006F11FC">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2BCD9B5A" wp14:editId="09CD8C4A">
          <wp:simplePos x="0" y="0"/>
          <wp:positionH relativeFrom="margin">
            <wp:align>center</wp:align>
          </wp:positionH>
          <wp:positionV relativeFrom="paragraph">
            <wp:posOffset>-325755</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2D8B9607" wp14:editId="5F074549">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6573FF71" w14:textId="77777777" w:rsidR="006F11FC" w:rsidRDefault="006F11FC">
    <w:pPr>
      <w:pStyle w:val="Encabezado"/>
    </w:pPr>
  </w:p>
  <w:p w14:paraId="2E1B6E0E" w14:textId="77777777" w:rsidR="006F11FC" w:rsidRDefault="006F11FC">
    <w:pPr>
      <w:pStyle w:val="Encabezado"/>
    </w:pPr>
  </w:p>
  <w:p w14:paraId="6D59DBBC" w14:textId="77777777" w:rsidR="006F11FC" w:rsidRPr="00515FB5" w:rsidRDefault="006F11F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351985141" o:spid="_x0000_i1025" type="#_x0000_t75" style="width:11.1pt;height:11.1pt;visibility:visible;mso-wrap-style:square" o:bullet="t">
        <v:imagedata r:id="rId1" o:title=""/>
      </v:shape>
    </w:pict>
  </w:numPicBullet>
  <w:abstractNum w:abstractNumId="0" w15:restartNumberingAfterBreak="0">
    <w:nsid w:val="01C06310"/>
    <w:multiLevelType w:val="multilevel"/>
    <w:tmpl w:val="25FEEF8E"/>
    <w:lvl w:ilvl="0">
      <w:start w:val="1"/>
      <w:numFmt w:val="decimal"/>
      <w:lvlText w:val="%1."/>
      <w:lvlJc w:val="left"/>
      <w:pPr>
        <w:ind w:left="360"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 w15:restartNumberingAfterBreak="0">
    <w:nsid w:val="418679D0"/>
    <w:multiLevelType w:val="hybridMultilevel"/>
    <w:tmpl w:val="675A6FB0"/>
    <w:lvl w:ilvl="0" w:tplc="15EC6280">
      <w:start w:val="1"/>
      <w:numFmt w:val="bullet"/>
      <w:lvlText w:val=""/>
      <w:lvlJc w:val="left"/>
      <w:pPr>
        <w:ind w:left="720" w:hanging="360"/>
      </w:pPr>
      <w:rPr>
        <w:rFonts w:ascii="Symbol" w:hAnsi="Symbol" w:hint="default"/>
        <w:color w:val="auto"/>
        <w:sz w:val="22"/>
        <w:szCs w:val="22"/>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487915BD"/>
    <w:multiLevelType w:val="hybridMultilevel"/>
    <w:tmpl w:val="482E8E5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4AE7336F"/>
    <w:multiLevelType w:val="hybridMultilevel"/>
    <w:tmpl w:val="0C4E6BFA"/>
    <w:lvl w:ilvl="0" w:tplc="080A0001">
      <w:start w:val="1"/>
      <w:numFmt w:val="bullet"/>
      <w:lvlText w:val=""/>
      <w:lvlJc w:val="left"/>
      <w:pPr>
        <w:ind w:left="720" w:hanging="360"/>
      </w:pPr>
      <w:rPr>
        <w:rFonts w:ascii="Symbol" w:hAnsi="Symbo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num w:numId="1" w16cid:durableId="341274352">
    <w:abstractNumId w:val="0"/>
  </w:num>
  <w:num w:numId="2" w16cid:durableId="679089576">
    <w:abstractNumId w:val="1"/>
  </w:num>
  <w:num w:numId="3" w16cid:durableId="390349800">
    <w:abstractNumId w:val="5"/>
  </w:num>
  <w:num w:numId="4" w16cid:durableId="1300108123">
    <w:abstractNumId w:val="4"/>
  </w:num>
  <w:num w:numId="5" w16cid:durableId="1569146480">
    <w:abstractNumId w:val="2"/>
  </w:num>
  <w:num w:numId="6" w16cid:durableId="203491625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11FC"/>
    <w:rsid w:val="000A6648"/>
    <w:rsid w:val="000E5ABB"/>
    <w:rsid w:val="000F5A42"/>
    <w:rsid w:val="001A48F6"/>
    <w:rsid w:val="001E633F"/>
    <w:rsid w:val="00203855"/>
    <w:rsid w:val="00243CCA"/>
    <w:rsid w:val="0028002D"/>
    <w:rsid w:val="00293961"/>
    <w:rsid w:val="003E5A08"/>
    <w:rsid w:val="004854F8"/>
    <w:rsid w:val="004D25C4"/>
    <w:rsid w:val="00533E67"/>
    <w:rsid w:val="0058650A"/>
    <w:rsid w:val="005D14DF"/>
    <w:rsid w:val="005F3F44"/>
    <w:rsid w:val="0060719D"/>
    <w:rsid w:val="00634841"/>
    <w:rsid w:val="00662E9C"/>
    <w:rsid w:val="0067184A"/>
    <w:rsid w:val="00690A37"/>
    <w:rsid w:val="006F11FC"/>
    <w:rsid w:val="007001B4"/>
    <w:rsid w:val="007A1BF1"/>
    <w:rsid w:val="007F1237"/>
    <w:rsid w:val="009247D7"/>
    <w:rsid w:val="00982590"/>
    <w:rsid w:val="0098368B"/>
    <w:rsid w:val="009B4E0C"/>
    <w:rsid w:val="009D026E"/>
    <w:rsid w:val="00A01075"/>
    <w:rsid w:val="00A12218"/>
    <w:rsid w:val="00A90678"/>
    <w:rsid w:val="00B23F56"/>
    <w:rsid w:val="00B2751E"/>
    <w:rsid w:val="00B41C87"/>
    <w:rsid w:val="00BA7887"/>
    <w:rsid w:val="00C51290"/>
    <w:rsid w:val="00C76417"/>
    <w:rsid w:val="00CA470A"/>
    <w:rsid w:val="00D06F2C"/>
    <w:rsid w:val="00DD750D"/>
    <w:rsid w:val="00E272AF"/>
    <w:rsid w:val="00E52D14"/>
    <w:rsid w:val="00EA4F59"/>
    <w:rsid w:val="00F11F03"/>
    <w:rsid w:val="00F77DB9"/>
    <w:rsid w:val="00FC064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B1BC44"/>
  <w15:chartTrackingRefBased/>
  <w15:docId w15:val="{0E1C07D6-0D23-4BFA-A3C7-C9682727AC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11FC"/>
    <w:rPr>
      <w:kern w:val="0"/>
      <w14:ligatures w14:val="none"/>
    </w:rPr>
  </w:style>
  <w:style w:type="paragraph" w:styleId="Ttulo1">
    <w:name w:val="heading 1"/>
    <w:basedOn w:val="Normal"/>
    <w:next w:val="Normal"/>
    <w:link w:val="Ttulo1Car"/>
    <w:uiPriority w:val="9"/>
    <w:qFormat/>
    <w:rsid w:val="006F11F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6F11F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6F11F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6F11F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6F11F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6F11F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6F11F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F11F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F11F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F11FC"/>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6F11FC"/>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6F11FC"/>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6F11FC"/>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6F11FC"/>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6F11F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F11F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F11F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F11FC"/>
    <w:rPr>
      <w:rFonts w:eastAsiaTheme="majorEastAsia" w:cstheme="majorBidi"/>
      <w:color w:val="272727" w:themeColor="text1" w:themeTint="D8"/>
    </w:rPr>
  </w:style>
  <w:style w:type="paragraph" w:styleId="Ttulo">
    <w:name w:val="Title"/>
    <w:basedOn w:val="Normal"/>
    <w:next w:val="Normal"/>
    <w:link w:val="TtuloCar"/>
    <w:uiPriority w:val="10"/>
    <w:qFormat/>
    <w:rsid w:val="006F11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F11F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F11F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F11F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F11FC"/>
    <w:pPr>
      <w:spacing w:before="160"/>
      <w:jc w:val="center"/>
    </w:pPr>
    <w:rPr>
      <w:i/>
      <w:iCs/>
      <w:color w:val="404040" w:themeColor="text1" w:themeTint="BF"/>
    </w:rPr>
  </w:style>
  <w:style w:type="character" w:customStyle="1" w:styleId="CitaCar">
    <w:name w:val="Cita Car"/>
    <w:basedOn w:val="Fuentedeprrafopredeter"/>
    <w:link w:val="Cita"/>
    <w:uiPriority w:val="29"/>
    <w:rsid w:val="006F11FC"/>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6F11FC"/>
    <w:pPr>
      <w:ind w:left="720"/>
      <w:contextualSpacing/>
    </w:pPr>
  </w:style>
  <w:style w:type="character" w:styleId="nfasisintenso">
    <w:name w:val="Intense Emphasis"/>
    <w:basedOn w:val="Fuentedeprrafopredeter"/>
    <w:uiPriority w:val="21"/>
    <w:qFormat/>
    <w:rsid w:val="006F11FC"/>
    <w:rPr>
      <w:i/>
      <w:iCs/>
      <w:color w:val="0F4761" w:themeColor="accent1" w:themeShade="BF"/>
    </w:rPr>
  </w:style>
  <w:style w:type="paragraph" w:styleId="Citadestacada">
    <w:name w:val="Intense Quote"/>
    <w:basedOn w:val="Normal"/>
    <w:next w:val="Normal"/>
    <w:link w:val="CitadestacadaCar"/>
    <w:uiPriority w:val="30"/>
    <w:qFormat/>
    <w:rsid w:val="006F11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6F11FC"/>
    <w:rPr>
      <w:i/>
      <w:iCs/>
      <w:color w:val="0F4761" w:themeColor="accent1" w:themeShade="BF"/>
    </w:rPr>
  </w:style>
  <w:style w:type="character" w:styleId="Referenciaintensa">
    <w:name w:val="Intense Reference"/>
    <w:basedOn w:val="Fuentedeprrafopredeter"/>
    <w:uiPriority w:val="32"/>
    <w:qFormat/>
    <w:rsid w:val="006F11FC"/>
    <w:rPr>
      <w:b/>
      <w:bCs/>
      <w:smallCaps/>
      <w:color w:val="0F4761" w:themeColor="accent1" w:themeShade="BF"/>
      <w:spacing w:val="5"/>
    </w:rPr>
  </w:style>
  <w:style w:type="paragraph" w:styleId="Encabezado">
    <w:name w:val="header"/>
    <w:basedOn w:val="Normal"/>
    <w:link w:val="EncabezadoCar"/>
    <w:uiPriority w:val="99"/>
    <w:unhideWhenUsed/>
    <w:rsid w:val="006F11F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F11FC"/>
    <w:rPr>
      <w:kern w:val="0"/>
      <w14:ligatures w14:val="none"/>
    </w:rPr>
  </w:style>
  <w:style w:type="paragraph" w:styleId="Piedepgina">
    <w:name w:val="footer"/>
    <w:basedOn w:val="Normal"/>
    <w:link w:val="PiedepginaCar"/>
    <w:uiPriority w:val="99"/>
    <w:unhideWhenUsed/>
    <w:rsid w:val="006F11F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F11FC"/>
    <w:rPr>
      <w:kern w:val="0"/>
      <w14:ligatures w14:val="none"/>
    </w:rPr>
  </w:style>
  <w:style w:type="table" w:styleId="Tablaconcuadrcula">
    <w:name w:val="Table Grid"/>
    <w:basedOn w:val="Tablanormal"/>
    <w:uiPriority w:val="39"/>
    <w:qFormat/>
    <w:rsid w:val="006F11FC"/>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6F11FC"/>
    <w:rPr>
      <w:color w:val="467886" w:themeColor="hyperlink"/>
      <w:u w:val="single"/>
    </w:rPr>
  </w:style>
  <w:style w:type="character" w:customStyle="1" w:styleId="normaltextrun">
    <w:name w:val="normaltextrun"/>
    <w:basedOn w:val="Fuentedeprrafopredeter"/>
    <w:rsid w:val="006F11FC"/>
  </w:style>
  <w:style w:type="character" w:customStyle="1" w:styleId="eop">
    <w:name w:val="eop"/>
    <w:basedOn w:val="Fuentedeprrafopredeter"/>
    <w:rsid w:val="006F11FC"/>
  </w:style>
  <w:style w:type="paragraph" w:customStyle="1" w:styleId="paragraph">
    <w:name w:val="paragraph"/>
    <w:basedOn w:val="Normal"/>
    <w:rsid w:val="006F11FC"/>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6F11FC"/>
  </w:style>
  <w:style w:type="paragraph" w:styleId="NormalWeb">
    <w:name w:val="Normal (Web)"/>
    <w:basedOn w:val="Normal"/>
    <w:link w:val="NormalWebCar"/>
    <w:uiPriority w:val="99"/>
    <w:unhideWhenUsed/>
    <w:rsid w:val="006F11FC"/>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NormalWebCar">
    <w:name w:val="Normal (Web) Car"/>
    <w:link w:val="NormalWeb"/>
    <w:uiPriority w:val="99"/>
    <w:locked/>
    <w:rsid w:val="006F11FC"/>
    <w:rPr>
      <w:rFonts w:ascii="Times New Roman" w:eastAsia="Times New Roman" w:hAnsi="Times New Roman" w:cs="Times New Roman"/>
      <w:kern w:val="0"/>
      <w:sz w:val="24"/>
      <w:szCs w:val="24"/>
      <w:lang w:eastAsia="es-CO"/>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1A48F6"/>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1A48F6"/>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1A48F6"/>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1A48F6"/>
    <w:rPr>
      <w:vertAlign w:val="superscript"/>
    </w:rPr>
  </w:style>
  <w:style w:type="paragraph" w:customStyle="1" w:styleId="Appelnotedebasde">
    <w:name w:val="Appel note de bas de..."/>
    <w:basedOn w:val="Normal"/>
    <w:link w:val="Refdenotaalpie"/>
    <w:uiPriority w:val="99"/>
    <w:rsid w:val="001A48F6"/>
    <w:pPr>
      <w:spacing w:line="240" w:lineRule="exact"/>
    </w:pPr>
    <w:rPr>
      <w:kern w:val="2"/>
      <w:vertAlign w:val="superscript"/>
      <w14:ligatures w14:val="standardContextual"/>
    </w:rPr>
  </w:style>
  <w:style w:type="character" w:styleId="Mencinsinresolver">
    <w:name w:val="Unresolved Mention"/>
    <w:basedOn w:val="Fuentedeprrafopredeter"/>
    <w:uiPriority w:val="99"/>
    <w:semiHidden/>
    <w:unhideWhenUsed/>
    <w:rsid w:val="009836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gyhen@hotmail.com" TargetMode="External"/><Relationship Id="rId13" Type="http://schemas.openxmlformats.org/officeDocument/2006/relationships/hyperlink" Target="https://relatoria.colombiacompra.gov.co/busqueda/conceptos" TargetMode="External"/><Relationship Id="rId18"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customXml" Target="../customXml/item2.xml"/><Relationship Id="rId7" Type="http://schemas.openxmlformats.org/officeDocument/2006/relationships/image" Target="media/image2.png"/><Relationship Id="rId12" Type="http://schemas.openxmlformats.org/officeDocument/2006/relationships/hyperlink" Target="http://www.colombiacompra.gov.co/wp-content/uploads/2026/05/CIRCULAR-EXTERNA-003-DE-2026-DISCAPACIDAD.pdf"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youtube.com/live/vpxD3PlXqPI?si=49f8ghb7Iiit6Ja9" TargetMode="External"/><Relationship Id="rId5" Type="http://schemas.openxmlformats.org/officeDocument/2006/relationships/footnotes" Target="footnotes.xml"/><Relationship Id="rId15" Type="http://schemas.openxmlformats.org/officeDocument/2006/relationships/image" Target="media/image3.png"/><Relationship Id="rId10" Type="http://schemas.openxmlformats.org/officeDocument/2006/relationships/hyperlink" Target="http://www.colombiacompra.gov.co/wp-content/uploads/2026/05/Boletin-RCP-02-CCE.pdf"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colombiacompra.gov.co/archivos/infografia/abc-del-decreto-0287-de-2026-contratacion-publica-inclusiva-para-personas-con-discapacidad" TargetMode="External"/><Relationship Id="rId14" Type="http://schemas.openxmlformats.org/officeDocument/2006/relationships/hyperlink" Target="http://www.colombiacompra.gov.co" TargetMode="External"/><Relationship Id="rId22" Type="http://schemas.openxmlformats.org/officeDocument/2006/relationships/customXml" Target="../customXml/item3.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ECCDB53-F12A-48DB-B1DD-E214BA84EA8F}"/>
</file>

<file path=customXml/itemProps2.xml><?xml version="1.0" encoding="utf-8"?>
<ds:datastoreItem xmlns:ds="http://schemas.openxmlformats.org/officeDocument/2006/customXml" ds:itemID="{27EE8436-9B55-42A1-A687-D0F307BC39A3}"/>
</file>

<file path=customXml/itemProps3.xml><?xml version="1.0" encoding="utf-8"?>
<ds:datastoreItem xmlns:ds="http://schemas.openxmlformats.org/officeDocument/2006/customXml" ds:itemID="{1CB50177-5C33-4411-9EB7-F85A5825B7A3}"/>
</file>

<file path=docProps/app.xml><?xml version="1.0" encoding="utf-8"?>
<Properties xmlns="http://schemas.openxmlformats.org/officeDocument/2006/extended-properties" xmlns:vt="http://schemas.openxmlformats.org/officeDocument/2006/docPropsVTypes">
  <Template>Normal</Template>
  <TotalTime>137</TotalTime>
  <Pages>23</Pages>
  <Words>7625</Words>
  <Characters>41940</Characters>
  <Application>Microsoft Office Word</Application>
  <DocSecurity>0</DocSecurity>
  <Lines>349</Lines>
  <Paragraphs>98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Andreina Cerpa Muñoz</dc:creator>
  <cp:keywords/>
  <dc:description/>
  <cp:lastModifiedBy>Andreina Cerpa Muñoz</cp:lastModifiedBy>
  <cp:revision>32</cp:revision>
  <dcterms:created xsi:type="dcterms:W3CDTF">2026-09-03T22:00:00Z</dcterms:created>
  <dcterms:modified xsi:type="dcterms:W3CDTF">2026-09-16T13:45:00Z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