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5CFD75" w14:textId="5522B5DE" w:rsidR="00C215D5" w:rsidRPr="00C215D5" w:rsidRDefault="00C215D5" w:rsidP="001E73DE">
      <w:pPr>
        <w:spacing w:after="0"/>
        <w:jc w:val="both"/>
        <w:rPr>
          <w:rFonts w:ascii="Verdana" w:eastAsia="Verdana" w:hAnsi="Verdana" w:cs="Verdana"/>
        </w:rPr>
      </w:pPr>
      <w:bookmarkStart w:id="0" w:name="_Hlk143780582"/>
      <w:r w:rsidRPr="00C215D5">
        <w:rPr>
          <w:rFonts w:ascii="Verdana" w:eastAsia="Calibri" w:hAnsi="Verdana" w:cs="Times New Roman"/>
          <w:b/>
          <w:bCs/>
          <w:lang w:val="es-ES"/>
        </w:rPr>
        <w:t>DOCUMENTOS TIPO – Inalterabilidad – Alcance</w:t>
      </w:r>
    </w:p>
    <w:p w14:paraId="7C742AD2" w14:textId="77777777" w:rsidR="00C215D5" w:rsidRPr="00C215D5" w:rsidRDefault="00C215D5" w:rsidP="00C215D5">
      <w:pPr>
        <w:spacing w:after="0" w:line="240" w:lineRule="auto"/>
        <w:jc w:val="both"/>
        <w:rPr>
          <w:rFonts w:ascii="Verdana" w:eastAsia="Calibri" w:hAnsi="Verdana" w:cs="Times New Roman"/>
          <w:b/>
          <w:bCs/>
          <w:lang w:val="es-ES"/>
        </w:rPr>
      </w:pPr>
    </w:p>
    <w:p w14:paraId="0F9BB8C5" w14:textId="77777777" w:rsidR="00C215D5" w:rsidRPr="00C215D5" w:rsidRDefault="00C215D5" w:rsidP="00C215D5">
      <w:pPr>
        <w:tabs>
          <w:tab w:val="center" w:pos="4419"/>
          <w:tab w:val="right" w:pos="8838"/>
        </w:tabs>
        <w:spacing w:after="0" w:line="240" w:lineRule="auto"/>
        <w:jc w:val="both"/>
        <w:rPr>
          <w:rFonts w:ascii="Verdana" w:eastAsia="Calibri" w:hAnsi="Verdana" w:cs="Arial"/>
          <w:color w:val="000000"/>
          <w:sz w:val="20"/>
          <w:szCs w:val="20"/>
          <w:lang w:val="es-ES"/>
        </w:rPr>
      </w:pPr>
      <w:r w:rsidRPr="00C215D5">
        <w:rPr>
          <w:rFonts w:ascii="Verdana" w:eastAsia="Calibri" w:hAnsi="Verdana" w:cs="Arial"/>
          <w:color w:val="000000"/>
          <w:sz w:val="20"/>
          <w:szCs w:val="2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C215D5">
        <w:rPr>
          <w:rFonts w:ascii="Verdana" w:eastAsia="Calibri" w:hAnsi="Verdana" w:cs="Arial"/>
          <w:i/>
          <w:iCs/>
          <w:color w:val="000000"/>
          <w:sz w:val="20"/>
          <w:szCs w:val="20"/>
          <w:lang w:val="es-ES"/>
        </w:rPr>
        <w:t>Documentos del Proceso</w:t>
      </w:r>
      <w:r w:rsidRPr="00C215D5">
        <w:rPr>
          <w:rFonts w:ascii="Verdana" w:eastAsia="Calibri" w:hAnsi="Verdana" w:cs="Arial"/>
          <w:color w:val="000000"/>
          <w:sz w:val="20"/>
          <w:szCs w:val="2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640C286B" w14:textId="77777777" w:rsidR="00C215D5" w:rsidRPr="00C215D5" w:rsidRDefault="00C215D5" w:rsidP="00C215D5">
      <w:pPr>
        <w:spacing w:after="0" w:line="240" w:lineRule="auto"/>
        <w:jc w:val="both"/>
        <w:rPr>
          <w:rFonts w:ascii="Verdana" w:eastAsia="Calibri" w:hAnsi="Verdana" w:cs="Arial"/>
          <w:sz w:val="20"/>
          <w:szCs w:val="20"/>
          <w:lang w:val="es-ES_tradnl"/>
        </w:rPr>
      </w:pPr>
      <w:r w:rsidRPr="00C215D5">
        <w:rPr>
          <w:rFonts w:ascii="Verdana" w:eastAsia="Calibri" w:hAnsi="Verdana" w:cs="Arial"/>
          <w:sz w:val="20"/>
          <w:szCs w:val="20"/>
          <w:lang w:val="es-ES_tradnl"/>
        </w:rPr>
        <w:t>(…)</w:t>
      </w:r>
    </w:p>
    <w:p w14:paraId="41777C52" w14:textId="77777777" w:rsidR="00C215D5" w:rsidRPr="00C215D5" w:rsidRDefault="00C215D5" w:rsidP="00C215D5">
      <w:pPr>
        <w:spacing w:after="0" w:line="240" w:lineRule="auto"/>
        <w:jc w:val="both"/>
        <w:rPr>
          <w:rFonts w:ascii="Verdana" w:eastAsia="Calibri" w:hAnsi="Verdana" w:cs="Arial"/>
          <w:color w:val="000000"/>
          <w:sz w:val="20"/>
          <w:szCs w:val="20"/>
          <w:lang w:val="es-ES"/>
        </w:rPr>
      </w:pPr>
      <w:r w:rsidRPr="00C215D5">
        <w:rPr>
          <w:rFonts w:ascii="Verdana" w:eastAsia="Calibri" w:hAnsi="Verdana" w:cs="Arial"/>
          <w:color w:val="000000"/>
          <w:sz w:val="20"/>
          <w:szCs w:val="20"/>
          <w:lang w:val="es-ES"/>
        </w:rPr>
        <w:t xml:space="preserve">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 Si las autoridades pudiesen agregar, eliminar o modificar todos y cada uno de los aspectos contenidos en los pliegos tipo, estos documentos, llanamente, no podrían ser llamados pliegos tipo. </w:t>
      </w:r>
    </w:p>
    <w:p w14:paraId="1FE91B66" w14:textId="77777777" w:rsidR="00C215D5" w:rsidRPr="00C215D5" w:rsidRDefault="00C215D5" w:rsidP="00C215D5">
      <w:pPr>
        <w:spacing w:after="0" w:line="240" w:lineRule="auto"/>
        <w:jc w:val="both"/>
        <w:rPr>
          <w:rFonts w:ascii="Verdana" w:eastAsia="Calibri" w:hAnsi="Verdana" w:cs="Arial"/>
          <w:color w:val="000000"/>
          <w:sz w:val="20"/>
          <w:szCs w:val="20"/>
          <w:lang w:val="es-ES"/>
        </w:rPr>
      </w:pPr>
    </w:p>
    <w:p w14:paraId="4CCCE814" w14:textId="77777777" w:rsidR="00C215D5" w:rsidRPr="00C215D5" w:rsidRDefault="00C215D5" w:rsidP="00C215D5">
      <w:pPr>
        <w:spacing w:after="0" w:line="240" w:lineRule="auto"/>
        <w:jc w:val="both"/>
        <w:rPr>
          <w:rFonts w:ascii="Verdana" w:eastAsia="Calibri" w:hAnsi="Verdana" w:cs="Arial"/>
          <w:color w:val="000000"/>
          <w:sz w:val="20"/>
          <w:szCs w:val="20"/>
          <w:lang w:val="es-ES"/>
        </w:rPr>
      </w:pPr>
      <w:r w:rsidRPr="00C215D5">
        <w:rPr>
          <w:rFonts w:ascii="Verdana" w:eastAsia="Calibri" w:hAnsi="Verdana" w:cs="Arial"/>
          <w:color w:val="000000"/>
          <w:sz w:val="20"/>
          <w:szCs w:val="2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6BF020CD" w14:textId="77777777" w:rsidR="00C215D5" w:rsidRPr="00C215D5" w:rsidRDefault="00C215D5" w:rsidP="00C215D5">
      <w:pPr>
        <w:spacing w:after="0" w:line="240" w:lineRule="auto"/>
        <w:jc w:val="both"/>
        <w:rPr>
          <w:rFonts w:ascii="Verdana" w:eastAsia="Calibri" w:hAnsi="Verdana" w:cs="Arial"/>
          <w:color w:val="000000"/>
          <w:sz w:val="20"/>
          <w:szCs w:val="20"/>
          <w:lang w:val="es-ES"/>
        </w:rPr>
      </w:pPr>
      <w:r w:rsidRPr="00C215D5">
        <w:rPr>
          <w:rFonts w:ascii="Verdana" w:eastAsia="Calibri" w:hAnsi="Verdana" w:cs="Arial"/>
          <w:color w:val="000000"/>
          <w:sz w:val="20"/>
          <w:szCs w:val="20"/>
          <w:lang w:val="es-ES"/>
        </w:rPr>
        <w:t>(…)</w:t>
      </w:r>
    </w:p>
    <w:p w14:paraId="76275AFF" w14:textId="77777777" w:rsidR="00C215D5" w:rsidRPr="00C215D5" w:rsidRDefault="00C215D5" w:rsidP="00C215D5">
      <w:pPr>
        <w:spacing w:after="0" w:line="240" w:lineRule="auto"/>
        <w:jc w:val="both"/>
        <w:rPr>
          <w:rFonts w:ascii="Verdana" w:eastAsia="Calibri" w:hAnsi="Verdana" w:cs="Arial"/>
          <w:color w:val="000000"/>
          <w:sz w:val="20"/>
          <w:szCs w:val="20"/>
          <w:lang w:val="es-ES"/>
        </w:rPr>
      </w:pPr>
      <w:r w:rsidRPr="00C215D5">
        <w:rPr>
          <w:rFonts w:ascii="Verdana" w:eastAsia="Calibri" w:hAnsi="Verdana" w:cs="Arial"/>
          <w:sz w:val="20"/>
          <w:szCs w:val="20"/>
          <w:lang w:val="es-MX"/>
        </w:rPr>
        <w:t xml:space="preserve">No obstante, la parte introductoria de los documentos base de los documentos tipo disponen que los aspectos incluidos en corchetes y resaltados en gris </w:t>
      </w:r>
      <w:r w:rsidRPr="00C215D5">
        <w:rPr>
          <w:rFonts w:ascii="Verdana" w:eastAsia="Aptos" w:hAnsi="Verdana" w:cs="Arial"/>
          <w:sz w:val="20"/>
          <w:szCs w:val="20"/>
        </w:rPr>
        <w:t>–[</w:t>
      </w:r>
      <w:r w:rsidRPr="00C215D5">
        <w:rPr>
          <w:rFonts w:ascii="Verdana" w:eastAsia="Aptos" w:hAnsi="Verdana" w:cs="Arial"/>
          <w:sz w:val="20"/>
          <w:szCs w:val="20"/>
          <w:highlight w:val="lightGray"/>
        </w:rPr>
        <w:t>texto de ejemplo</w:t>
      </w:r>
      <w:r w:rsidRPr="00C215D5">
        <w:rPr>
          <w:rFonts w:ascii="Verdana" w:eastAsia="Aptos" w:hAnsi="Verdana" w:cs="Arial"/>
          <w:sz w:val="20"/>
          <w:szCs w:val="20"/>
        </w:rPr>
        <w:t xml:space="preserve">]– </w:t>
      </w:r>
      <w:r w:rsidRPr="00C215D5">
        <w:rPr>
          <w:rFonts w:ascii="Verdana" w:eastAsia="Calibri" w:hAnsi="Verdana" w:cs="Arial"/>
          <w:sz w:val="20"/>
          <w:szCs w:val="20"/>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5EDAD2A9" w14:textId="77777777" w:rsidR="00C215D5" w:rsidRPr="00C215D5" w:rsidRDefault="00C215D5" w:rsidP="00C215D5">
      <w:pPr>
        <w:spacing w:after="0" w:line="240" w:lineRule="auto"/>
        <w:jc w:val="both"/>
        <w:rPr>
          <w:rFonts w:ascii="Verdana" w:eastAsia="Calibri" w:hAnsi="Verdana" w:cs="Times New Roman"/>
          <w:b/>
          <w:bCs/>
          <w:lang w:val="es-ES"/>
        </w:rPr>
      </w:pPr>
    </w:p>
    <w:p w14:paraId="0BD07823" w14:textId="77777777" w:rsidR="00C215D5" w:rsidRPr="00C215D5" w:rsidRDefault="00C215D5" w:rsidP="00C215D5">
      <w:pPr>
        <w:spacing w:after="0" w:line="240" w:lineRule="auto"/>
        <w:jc w:val="both"/>
        <w:rPr>
          <w:rFonts w:ascii="Verdana" w:eastAsia="Calibri" w:hAnsi="Verdana" w:cs="Times New Roman"/>
          <w:b/>
          <w:bCs/>
          <w:lang w:val="es-ES"/>
        </w:rPr>
      </w:pPr>
      <w:r w:rsidRPr="00C215D5">
        <w:rPr>
          <w:rFonts w:ascii="Verdana" w:eastAsia="Calibri" w:hAnsi="Verdana" w:cs="Times New Roman"/>
          <w:b/>
          <w:bCs/>
          <w:lang w:val="es-ES"/>
        </w:rPr>
        <w:t>DECRETO 287 DE 2026 – Incidencia – Documentos tipo</w:t>
      </w:r>
    </w:p>
    <w:p w14:paraId="579D88EA" w14:textId="77777777" w:rsidR="00C215D5" w:rsidRPr="00C215D5" w:rsidRDefault="00C215D5" w:rsidP="00C215D5">
      <w:pPr>
        <w:spacing w:after="0" w:line="240" w:lineRule="auto"/>
        <w:jc w:val="both"/>
        <w:rPr>
          <w:rFonts w:ascii="Verdana" w:eastAsia="Calibri" w:hAnsi="Verdana" w:cs="Times New Roman"/>
          <w:b/>
          <w:bCs/>
          <w:lang w:val="es-ES"/>
        </w:rPr>
      </w:pPr>
    </w:p>
    <w:p w14:paraId="519A6DAC"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 xml:space="preserve">Esta situación resulta particularmente relevante teniendo en cuenta que, los documentos tipo, al fijar reglas uniformes para las entidades estatales sometidas al estatuto general de contratación de la administración pública y otros sujetos obligados a su aplicación, pueden convertirse en barreras estructurales de acceso cuando no incorporan enfoques diferenciales, afectando la participación de poblaciones históricamente excluidas. </w:t>
      </w:r>
    </w:p>
    <w:p w14:paraId="2C6E3235"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1A88E31D" w14:textId="77777777" w:rsidR="00C215D5" w:rsidRPr="00C215D5" w:rsidRDefault="00C215D5" w:rsidP="00C215D5">
      <w:pPr>
        <w:spacing w:after="0" w:line="240" w:lineRule="auto"/>
        <w:jc w:val="both"/>
        <w:rPr>
          <w:rFonts w:ascii="Verdana" w:eastAsia="Calibri" w:hAnsi="Verdana" w:cs="Times New Roman"/>
          <w:b/>
          <w:bCs/>
          <w:lang w:val="es-ES"/>
        </w:rPr>
      </w:pPr>
      <w:r w:rsidRPr="00C215D5">
        <w:rPr>
          <w:rFonts w:ascii="Verdana" w:eastAsia="Calibri" w:hAnsi="Verdana" w:cs="Times New Roman"/>
          <w:b/>
          <w:bCs/>
          <w:lang w:val="es-ES"/>
        </w:rPr>
        <w:t>DECRETO 287 DE 2026 – Documentos tipo – Licitación Pública – Selección abreviada de menor cuantía – Concurso de méritos – Requisitos habilitantes</w:t>
      </w:r>
    </w:p>
    <w:p w14:paraId="107D8A6F"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3B346EF6"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Desde el punto de vista jurídico, uno de los aspectos que exige la modificación de los documentos tipo de licitación pública, selección abreviada de menor cuantía y concurso de méritos en los sectores en los que estos han sido adoptados, corresponde a los requisitos habilitantes, los cuales han sido tradicionalmente diseñados bajo parámetros homogéneos que no consideran las condiciones particulares de los emprendimientos y empresas de personas con discapacidad. Tal como se señaló, el Decreto 287 de 2026 reconoce que la rigidez de estos requisitos puede impedir su participación efectiva, al punto de tornar inocuas otras medidas como el otorgamiento de puntajes adicionales. En consecuencia, los documentos tipo en las modalidades señaladas y en los sectores implementados, deben incorporar “(…) requisitos habilitantes diferenciales o ajustados en materia de experiencia, capacidad financiera u organizacional, o el valor de la garantía de seriedad de la oferta, con el fin de promover la participación de emprendimientos y empresas de personas con discapacidad con domicilio en el territorio nacional”, de tal manera que se eliminen barreras de entrada injustificadas sin comprometer la idoneidad del contratista, en aplicación del principio de igualdad material.</w:t>
      </w:r>
    </w:p>
    <w:p w14:paraId="65919467"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1CF726BC" w14:textId="77777777" w:rsidR="00C215D5" w:rsidRPr="00C215D5" w:rsidRDefault="00C215D5" w:rsidP="00C215D5">
      <w:pPr>
        <w:spacing w:after="0" w:line="240" w:lineRule="auto"/>
        <w:jc w:val="both"/>
        <w:rPr>
          <w:rFonts w:ascii="Verdana" w:eastAsia="Calibri" w:hAnsi="Verdana" w:cs="Times New Roman"/>
          <w:b/>
          <w:bCs/>
          <w:lang w:val="es-ES"/>
        </w:rPr>
      </w:pPr>
      <w:r w:rsidRPr="00C215D5">
        <w:rPr>
          <w:rFonts w:ascii="Verdana" w:eastAsia="Calibri" w:hAnsi="Verdana" w:cs="Times New Roman"/>
          <w:b/>
          <w:bCs/>
          <w:lang w:val="es-ES"/>
        </w:rPr>
        <w:t>DECRETO 287 DE 2026 – Documentos tipo – Licitación Pública – Concurso de méritos – Factores de evaluación</w:t>
      </w:r>
    </w:p>
    <w:p w14:paraId="5095C2AD"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lang w:val="es-ES"/>
          <w14:ligatures w14:val="standardContextual"/>
        </w:rPr>
      </w:pPr>
    </w:p>
    <w:p w14:paraId="1C5A5286"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 xml:space="preserve">De igual forma, resulta necesario ajustar los factores de evaluación para incluir el puntaje adicional previsto en el Decreto 287 de 2026, en favor de los empleadores de personas con discapacidad y de los emprendimientos y empresas conformados por esta población. Esto, considerando que el artículo 2.2.1.2.4.2.7.4 del Decreto 1082 de 2015, modificado por el artículo 1 del Decreto 287 de 2026 establece que “(…) en los procedimientos de licitación pública y concurso de méritos, las Entidades Estatales otorgaran un puntaje adicional máximo del dos por cuento (2%) del valor total de los puntos establecidos en los Pliegos de condiciones o documentos equivalentes” cuando se configuren las situaciones que allí se establecen, pero que “(…) en todo caso el puntaje adicional total y único a otorgar por este criterio será del dos por ciento (2%), sin que sean acumulables a afecto de la evaluación de la oferta (…)”. </w:t>
      </w:r>
    </w:p>
    <w:p w14:paraId="501C92D4"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7339B909" w14:textId="77777777" w:rsidR="00C215D5" w:rsidRPr="00C215D5" w:rsidRDefault="00C215D5" w:rsidP="00C215D5">
      <w:pPr>
        <w:widowControl w:val="0"/>
        <w:autoSpaceDE w:val="0"/>
        <w:autoSpaceDN w:val="0"/>
        <w:spacing w:after="0" w:line="240" w:lineRule="auto"/>
        <w:jc w:val="both"/>
        <w:rPr>
          <w:rFonts w:ascii="Verdana" w:eastAsia="Calibri" w:hAnsi="Verdana" w:cs="Times New Roman"/>
          <w:b/>
          <w:bCs/>
          <w:lang w:val="es-ES"/>
        </w:rPr>
      </w:pPr>
      <w:r w:rsidRPr="00C215D5">
        <w:rPr>
          <w:rFonts w:ascii="Verdana" w:eastAsia="Calibri" w:hAnsi="Verdana" w:cs="Times New Roman"/>
          <w:b/>
          <w:bCs/>
          <w:lang w:val="es-ES"/>
        </w:rPr>
        <w:t xml:space="preserve">DECRETO 287 DE 2026 – Documentos tipo – Ejecución contractual </w:t>
      </w:r>
    </w:p>
    <w:p w14:paraId="087C8F4D"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2D92285C"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 xml:space="preserve">Adicionalmente, en cuanto a la ejecución contractual, el artículo 2.2.1.2.4.2.7.5 del </w:t>
      </w:r>
      <w:r w:rsidRPr="00C215D5">
        <w:rPr>
          <w:rFonts w:ascii="Verdana" w:eastAsia="Aptos" w:hAnsi="Verdana" w:cs="Times New Roman"/>
          <w:kern w:val="2"/>
          <w:sz w:val="20"/>
          <w:szCs w:val="20"/>
          <w14:ligatures w14:val="standardContextual"/>
        </w:rPr>
        <w:lastRenderedPageBreak/>
        <w:t>Decreto 1082 de 2015, modificado por el artículo 1 del Decreto 287 de 2026, prevé la incorporación de condiciones especiales de sujeción orientadas a promover la inclusión laboral y la participación de personas con discapacidad y/o emprendimientos y empresas de estas personas. En consecuencia, los documentos tipo deben contemplar cláusulas contractuales específicas que desarrollen estas obligaciones, previa evaluación de oportunidad y conveniencia, permitiendo que la política pública de inclusión se materialice durante la ejecución del contrato.</w:t>
      </w:r>
    </w:p>
    <w:p w14:paraId="5B230B6A"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6A79D1F9"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Conforme con lo anterior, la implementación efectiva del Decreto 287 de 2026 depende de la incorporación integral y coherente de sus disposiciones en los documentos tipo por parte de la Agencia Nacional de Contratación Pública – Colombia Compra Eficiente, de manera que las acciones afirmativas previstas se traduzcan en transformaciones reales en el sistema de contratación pública y en la garantía del derecho a la igualdad material de las personas con discapacidad.</w:t>
      </w:r>
    </w:p>
    <w:p w14:paraId="5E792FF2"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6A3145BB" w14:textId="77777777" w:rsidR="00C215D5" w:rsidRPr="00C215D5" w:rsidRDefault="00C215D5" w:rsidP="00C215D5">
      <w:pPr>
        <w:widowControl w:val="0"/>
        <w:autoSpaceDE w:val="0"/>
        <w:autoSpaceDN w:val="0"/>
        <w:spacing w:after="0" w:line="240" w:lineRule="auto"/>
        <w:jc w:val="both"/>
        <w:rPr>
          <w:rFonts w:ascii="Verdana" w:eastAsia="Calibri" w:hAnsi="Verdana" w:cs="Times New Roman"/>
          <w:b/>
          <w:bCs/>
          <w:lang w:val="es-ES"/>
        </w:rPr>
      </w:pPr>
      <w:r w:rsidRPr="00C215D5">
        <w:rPr>
          <w:rFonts w:ascii="Verdana" w:eastAsia="Calibri" w:hAnsi="Verdana" w:cs="Times New Roman"/>
          <w:b/>
          <w:bCs/>
          <w:lang w:val="es-ES"/>
        </w:rPr>
        <w:t xml:space="preserve">DOCUMENTOS TIPO – Decreto 287 de 2026 – Aplicación </w:t>
      </w:r>
    </w:p>
    <w:p w14:paraId="7F4D0992"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497522CB"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Considerando lo anterior, si bien es cierto que, el Decreto 287 de 2026 establece que rige a partir del día siguiente a su publicación, lo que determina su vigencia inmediata, su aplicación en el ámbito de los procesos sometidos a documentos tipo debe interpretarse de manera sistemática y armónica con el régimen legal que regula dichos instrumentos, esto es, lo señalado en el artículo 1 de la Ley 2022 de 2020 y su desarrollo reglamentario a través de cada una de las Resoluciones expedidas por la Agencia Nacional de Contratación Pública – Colombia Compra Eficiente mediante las cuales, se han implementados documentos tipo. En efecto, dado que los documentos tipo contienen de manera obligatoria los requisitos habilitantes, los factores de evaluación y los criterios de escogencia, las entidades estatales no cuentan con competencia para modificarlos o complementarlos de manera autónoma con el fin de incorporar directamente las disposiciones del Decreto en mención.</w:t>
      </w:r>
    </w:p>
    <w:p w14:paraId="2DC4B038"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6DA93274"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Permitir que cada entidad introduzca ajustes a los documentos tipo para dar aplicación inmediata al Decreto 287 de 2026 implicaría desconocer la competencia exclusiva atribuida por el legislador a la Agencia Nacional de Contratación Pública – Colombia Compra Eficiente mediante la expedición de la Ley 2022 de 2020, así como la regla de inalterabilidad que rige estos documentos. Además, generaría una fragmentación del sistema de compra pública, afectando los principios de igualdad, transparencia y selección objetiva, en la medida en que procesos contractuales similares podrían regirse por condiciones distintas, dependiendo de la entidad que los adelante y la forma como incorporó las previsiones contenidas en el Decreto 287 de 2026 a los procesos de selección regidos por documentos tipo.</w:t>
      </w:r>
    </w:p>
    <w:p w14:paraId="0F016B61"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w:t>
      </w:r>
    </w:p>
    <w:p w14:paraId="4481169E"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 xml:space="preserve">Adicionalmente, el propio Decreto 287 de 2026 en el artículo 1 que modifica el artículo 2.2.1.2.4.2.7.8 al Decreto 1082 de 2015, reconoce esta necesidad al disponer que la Agencia Nacional de Contratación Pública – Colombia Compra Eficiente “(…) garantizará la adopción permanente de las acciones necesarias para que las medidas señaladas en esta subsección se incorporen a los documentos e instrumentos que genera”, lo cual </w:t>
      </w:r>
      <w:r w:rsidRPr="00C215D5">
        <w:rPr>
          <w:rFonts w:ascii="Verdana" w:eastAsia="Aptos" w:hAnsi="Verdana" w:cs="Times New Roman"/>
          <w:kern w:val="2"/>
          <w:sz w:val="20"/>
          <w:szCs w:val="20"/>
          <w14:ligatures w14:val="standardContextual"/>
        </w:rPr>
        <w:lastRenderedPageBreak/>
        <w:t xml:space="preserve">confirma que la operatividad de dichas disposiciones en el ámbito de los documentos tipo depende de su desarrollo por parte de esta entidad. </w:t>
      </w:r>
    </w:p>
    <w:p w14:paraId="274D95F3"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667E49FE"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 xml:space="preserve">Lo anterior es consecuente con lo dispuesto en el ABC del Decreto 0287 de 2026 “Contratación pública inclusiva para personas con discapacidad” en donde se establece que “La aplicación del Decreto 0287 de 2026 en los documentos tipo está sujeta a que Colombia Compra Eficiente realice los ajustes correspondientes en estos instrumentos”, esto considerando que “(…) los documentos tipo requieren una adecuación técnica y normativa previa para incorporar las medidas del sistema de preferencias”. </w:t>
      </w:r>
    </w:p>
    <w:p w14:paraId="15E97064"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37895B02" w14:textId="77777777" w:rsidR="00C215D5" w:rsidRPr="00C215D5" w:rsidRDefault="00C215D5" w:rsidP="00C215D5">
      <w:pPr>
        <w:widowControl w:val="0"/>
        <w:autoSpaceDE w:val="0"/>
        <w:autoSpaceDN w:val="0"/>
        <w:spacing w:after="0" w:line="240" w:lineRule="auto"/>
        <w:jc w:val="both"/>
        <w:rPr>
          <w:rFonts w:ascii="Verdana" w:eastAsia="Calibri" w:hAnsi="Verdana" w:cs="Times New Roman"/>
          <w:b/>
          <w:bCs/>
          <w:lang w:val="es-ES"/>
        </w:rPr>
      </w:pPr>
      <w:r w:rsidRPr="00C215D5">
        <w:rPr>
          <w:rFonts w:ascii="Verdana" w:eastAsia="Calibri" w:hAnsi="Verdana" w:cs="Times New Roman"/>
          <w:b/>
          <w:bCs/>
          <w:lang w:val="es-ES"/>
        </w:rPr>
        <w:t xml:space="preserve">DOCUMENTOS TIPO – Decreto 287 de 2026 – Aplicación – Necesidad de modificación – Agencia Nacional de Contratación Pública </w:t>
      </w:r>
    </w:p>
    <w:p w14:paraId="2B753BC9"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4B83629D"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En consecuencia, aunque de acuerdo con el artículo 2 del Decreto 287 de 2026, este “(…) rige a partir del día siguiente a su publicación (…)”, su aplicación en los procesos contracción regidos por documentos tipo se encuentra condicionada a su incorporación formal en dichos instrumentos por parte de la Agencia Nacional de Contratación Pública – Colombia Compra Eficiente. Así, solo a partir de dicha incorporación mediante la modificación a los documentos tipo, es posible garantizar una aplicación uniforme, coherente y jurídicamente válida de las medidas afirmativas previstas, sin desconocer la distribución de competencias establecida por el legislador ni la estructura normativa del sistema de compras y contratación pública.</w:t>
      </w:r>
    </w:p>
    <w:p w14:paraId="0A6AFDA6"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45919043"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 xml:space="preserve">En conclusión, la implementación de las disposiciones del Decreto 287 de 2026 en relación con los documentos tipo no puede realizarse de manera directa por las entidades estatales que obligatoriamente deben aplicarlos, sino que, requiere necesariamente su desarrollo e incorporación por parte de la Agencia Nacional de Contratación Pública – Colombia Compra Eficiente, en ejercicio de la competencia que le fue atribuida por la Ley 2022 de 2020, garantizando así la coherencia del sistema, el respeto por la jerarquía normativa y la efectividad de las medidas orientadas a la inclusión de las personas con discapacidad en el sistema de compras y contratación pública. </w:t>
      </w:r>
    </w:p>
    <w:p w14:paraId="7C5834B3"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5EEAB97A" w14:textId="77777777" w:rsidR="00C215D5" w:rsidRPr="00C215D5" w:rsidRDefault="00C215D5" w:rsidP="00C215D5">
      <w:pPr>
        <w:widowControl w:val="0"/>
        <w:autoSpaceDE w:val="0"/>
        <w:autoSpaceDN w:val="0"/>
        <w:spacing w:after="0" w:line="240" w:lineRule="auto"/>
        <w:jc w:val="both"/>
        <w:rPr>
          <w:rFonts w:ascii="Verdana" w:eastAsia="Calibri" w:hAnsi="Verdana" w:cs="Times New Roman"/>
          <w:b/>
          <w:bCs/>
          <w:lang w:val="es-ES"/>
        </w:rPr>
      </w:pPr>
      <w:r w:rsidRPr="00C215D5">
        <w:rPr>
          <w:rFonts w:ascii="Verdana" w:eastAsia="Calibri" w:hAnsi="Verdana" w:cs="Times New Roman"/>
          <w:b/>
          <w:bCs/>
          <w:lang w:val="es-ES"/>
        </w:rPr>
        <w:t>DOCUMENTOS TIPO – Decreto 287 de 2026 – Modificación – Colombia Compra Eficiente</w:t>
      </w:r>
    </w:p>
    <w:p w14:paraId="6DDA604C"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6DAD41C9"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Finalmente, debe indicarse que, la Agencia Nacional de Contratación Pública – Colombia Compra Eficiente se encuentra trabajando en la incorporación de los criterios establecidos en el Decreto 287 de 2026 en los documentos tipo, lo que implica agotar el procedimiento previsto en la Resolución 160 de 2020 que establece el sistema para su revisión de estos documentos y la adopción de las modificaciones a que haya lugar mediante acto administrativo motivado.</w:t>
      </w:r>
    </w:p>
    <w:p w14:paraId="2AC1B7BA"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64B23036" w14:textId="77777777" w:rsidR="00C215D5" w:rsidRPr="00C215D5" w:rsidRDefault="00C215D5" w:rsidP="00C215D5">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C215D5">
        <w:rPr>
          <w:rFonts w:ascii="Verdana" w:eastAsia="Aptos" w:hAnsi="Verdana" w:cs="Times New Roman"/>
          <w:kern w:val="2"/>
          <w:sz w:val="20"/>
          <w:szCs w:val="20"/>
          <w14:ligatures w14:val="standardContextual"/>
        </w:rPr>
        <w:t xml:space="preserve">Mediante el agotamiento de una serie de actuaciones que implican, el análisis del Decreto en comento desde un perspectiva técnica, financiera y jurídica, generar versiones previas para comentarios de ciudadanos, entidades y grupos de interés, respuesta a las </w:t>
      </w:r>
      <w:r w:rsidRPr="00C215D5">
        <w:rPr>
          <w:rFonts w:ascii="Verdana" w:eastAsia="Aptos" w:hAnsi="Verdana" w:cs="Times New Roman"/>
          <w:kern w:val="2"/>
          <w:sz w:val="20"/>
          <w:szCs w:val="20"/>
          <w14:ligatures w14:val="standardContextual"/>
        </w:rPr>
        <w:lastRenderedPageBreak/>
        <w:t xml:space="preserve">observaciones y un informe global, entre otras etapas, esta Agencia adoptará las modificaciones a los documentos tipo para adecuarlos al contenido del Decreto 287 de 2026 que modifica el 1082 de 2015. Este trabajo ya fue iniciado por la Agencia Nacional de Contratación Pública – Colombia Compra Eficiente y finalizará con la adopción del acto administrativo que modifica los documentos tipo luego de surtir el procedimiento señalado. </w:t>
      </w:r>
    </w:p>
    <w:p w14:paraId="22F07910" w14:textId="77777777" w:rsidR="00C215D5" w:rsidRPr="00C215D5" w:rsidRDefault="00C215D5" w:rsidP="00C215D5">
      <w:pPr>
        <w:spacing w:after="0" w:line="240" w:lineRule="auto"/>
        <w:jc w:val="both"/>
        <w:rPr>
          <w:rFonts w:ascii="Verdana" w:eastAsia="Calibri" w:hAnsi="Verdana" w:cs="Times New Roman"/>
          <w:b/>
          <w:bCs/>
          <w:lang w:val="es-ES"/>
        </w:rPr>
      </w:pPr>
    </w:p>
    <w:p w14:paraId="7E610E6F" w14:textId="77777777" w:rsidR="00C215D5" w:rsidRPr="00C215D5" w:rsidRDefault="00C215D5" w:rsidP="00C215D5">
      <w:pPr>
        <w:spacing w:after="0" w:line="240" w:lineRule="auto"/>
        <w:rPr>
          <w:rFonts w:ascii="Verdana" w:eastAsia="Calibri" w:hAnsi="Verdana" w:cs="Times New Roman"/>
          <w:b/>
          <w:bCs/>
          <w:lang w:val="es-ES"/>
        </w:rPr>
      </w:pPr>
    </w:p>
    <w:p w14:paraId="6C73BE4B" w14:textId="77777777" w:rsidR="00C215D5" w:rsidRPr="00C215D5" w:rsidRDefault="00C215D5" w:rsidP="00C215D5">
      <w:pPr>
        <w:spacing w:after="0" w:line="240" w:lineRule="auto"/>
        <w:rPr>
          <w:rFonts w:ascii="Verdana" w:eastAsia="Calibri" w:hAnsi="Verdana" w:cs="Times New Roman"/>
          <w:b/>
          <w:bCs/>
          <w:lang w:val="es-ES"/>
        </w:rPr>
      </w:pPr>
    </w:p>
    <w:p w14:paraId="2F583AC2" w14:textId="77777777" w:rsidR="00C215D5" w:rsidRPr="00C215D5" w:rsidRDefault="00C215D5" w:rsidP="00C215D5">
      <w:pPr>
        <w:spacing w:after="0" w:line="240" w:lineRule="auto"/>
        <w:rPr>
          <w:rFonts w:ascii="Verdana" w:eastAsia="Calibri" w:hAnsi="Verdana" w:cs="Times New Roman"/>
          <w:b/>
          <w:bCs/>
          <w:lang w:val="es-ES"/>
        </w:rPr>
      </w:pPr>
    </w:p>
    <w:p w14:paraId="66D2F386" w14:textId="77777777" w:rsidR="00C215D5" w:rsidRPr="00C215D5" w:rsidRDefault="00C215D5" w:rsidP="00C215D5">
      <w:pPr>
        <w:spacing w:after="0" w:line="240" w:lineRule="auto"/>
        <w:rPr>
          <w:rFonts w:ascii="Verdana" w:eastAsia="Calibri" w:hAnsi="Verdana" w:cs="Times New Roman"/>
          <w:b/>
          <w:bCs/>
          <w:lang w:val="es-ES"/>
        </w:rPr>
      </w:pPr>
    </w:p>
    <w:p w14:paraId="45D54DB8" w14:textId="77777777" w:rsidR="00C215D5" w:rsidRPr="00C215D5" w:rsidRDefault="00C215D5" w:rsidP="00C215D5">
      <w:pPr>
        <w:spacing w:after="0" w:line="240" w:lineRule="auto"/>
        <w:rPr>
          <w:rFonts w:ascii="Verdana" w:eastAsia="Calibri" w:hAnsi="Verdana" w:cs="Times New Roman"/>
          <w:b/>
          <w:bCs/>
          <w:lang w:val="es-ES"/>
        </w:rPr>
      </w:pPr>
    </w:p>
    <w:p w14:paraId="23137738" w14:textId="77777777" w:rsidR="00C215D5" w:rsidRPr="00C215D5" w:rsidRDefault="00C215D5" w:rsidP="00C215D5">
      <w:pPr>
        <w:spacing w:after="0" w:line="240" w:lineRule="auto"/>
        <w:rPr>
          <w:rFonts w:ascii="Verdana" w:eastAsia="Calibri" w:hAnsi="Verdana" w:cs="Times New Roman"/>
          <w:b/>
          <w:bCs/>
          <w:lang w:val="es-ES"/>
        </w:rPr>
      </w:pPr>
    </w:p>
    <w:p w14:paraId="3CD15DFC" w14:textId="77777777" w:rsidR="00C215D5" w:rsidRPr="00C215D5" w:rsidRDefault="00C215D5" w:rsidP="00C215D5">
      <w:pPr>
        <w:spacing w:after="0" w:line="240" w:lineRule="auto"/>
        <w:rPr>
          <w:rFonts w:ascii="Verdana" w:eastAsia="Calibri" w:hAnsi="Verdana" w:cs="Times New Roman"/>
          <w:b/>
          <w:bCs/>
          <w:lang w:val="es-ES"/>
        </w:rPr>
      </w:pPr>
    </w:p>
    <w:p w14:paraId="470F60B1" w14:textId="77777777" w:rsidR="00C215D5" w:rsidRPr="00C215D5" w:rsidRDefault="00C215D5" w:rsidP="00C215D5">
      <w:pPr>
        <w:spacing w:after="0" w:line="240" w:lineRule="auto"/>
        <w:rPr>
          <w:rFonts w:ascii="Verdana" w:eastAsia="Calibri" w:hAnsi="Verdana" w:cs="Times New Roman"/>
          <w:b/>
          <w:bCs/>
          <w:lang w:val="es-ES"/>
        </w:rPr>
      </w:pPr>
    </w:p>
    <w:p w14:paraId="33FD3F77" w14:textId="77777777" w:rsidR="00C215D5" w:rsidRPr="00C215D5" w:rsidRDefault="00C215D5" w:rsidP="00C215D5">
      <w:pPr>
        <w:rPr>
          <w:rFonts w:ascii="Verdana" w:eastAsia="Calibri" w:hAnsi="Verdana" w:cs="Times New Roman"/>
          <w:b/>
          <w:bCs/>
          <w:lang w:val="es-ES"/>
        </w:rPr>
      </w:pPr>
      <w:r w:rsidRPr="00C215D5">
        <w:rPr>
          <w:rFonts w:ascii="Verdana" w:eastAsia="Calibri" w:hAnsi="Verdana" w:cs="Times New Roman"/>
          <w:b/>
          <w:bCs/>
          <w:lang w:val="es-ES"/>
        </w:rPr>
        <w:br w:type="page"/>
      </w:r>
    </w:p>
    <w:p w14:paraId="157897EB" w14:textId="3AA5446E" w:rsidR="00C215D5" w:rsidRPr="00C215D5" w:rsidRDefault="001E73DE" w:rsidP="00C215D5">
      <w:pPr>
        <w:spacing w:after="0" w:line="278" w:lineRule="auto"/>
        <w:rPr>
          <w:rFonts w:ascii="Verdana" w:eastAsia="Verdana" w:hAnsi="Verdana" w:cs="Verdana"/>
        </w:rPr>
      </w:pPr>
      <w:r w:rsidRPr="30821638">
        <w:rPr>
          <w:rFonts w:ascii="Verdana" w:eastAsia="Verdana" w:hAnsi="Verdana" w:cs="Verdana"/>
        </w:rPr>
        <w:lastRenderedPageBreak/>
        <w:t>Bogotá D.C.,</w:t>
      </w:r>
      <w:r w:rsidR="00A12DDC">
        <w:rPr>
          <w:rFonts w:ascii="Verdana" w:eastAsia="Verdana" w:hAnsi="Verdana" w:cs="Verdana"/>
        </w:rPr>
        <w:t xml:space="preserve"> 08 Septiembre 2026</w:t>
      </w:r>
    </w:p>
    <w:p w14:paraId="2438CA7B" w14:textId="61DE5B21" w:rsidR="00C215D5" w:rsidRPr="00C215D5" w:rsidRDefault="00A12DDC" w:rsidP="00A12DDC">
      <w:pPr>
        <w:spacing w:after="0" w:line="278" w:lineRule="auto"/>
        <w:jc w:val="right"/>
        <w:rPr>
          <w:rFonts w:ascii="Verdana" w:eastAsia="Aptos" w:hAnsi="Verdana" w:cs="Times New Roman"/>
          <w:kern w:val="2"/>
          <w14:ligatures w14:val="standardContextual"/>
        </w:rPr>
      </w:pPr>
      <w:r>
        <w:rPr>
          <w:rFonts w:ascii="Verdana" w:eastAsia="Aptos" w:hAnsi="Verdana" w:cs="Times New Roman"/>
          <w:noProof/>
          <w:kern w:val="2"/>
        </w:rPr>
        <w:drawing>
          <wp:inline distT="0" distB="0" distL="0" distR="0" wp14:anchorId="2A5AEB03" wp14:editId="47506022">
            <wp:extent cx="2345266" cy="693309"/>
            <wp:effectExtent l="0" t="0" r="4445" b="5715"/>
            <wp:docPr id="97613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3599" name="Imagen 97613599"/>
                    <pic:cNvPicPr/>
                  </pic:nvPicPr>
                  <pic:blipFill>
                    <a:blip r:embed="rId10">
                      <a:extLst>
                        <a:ext uri="{28A0092B-C50C-407E-A947-70E740481C1C}">
                          <a14:useLocalDpi xmlns:a14="http://schemas.microsoft.com/office/drawing/2010/main" val="0"/>
                        </a:ext>
                      </a:extLst>
                    </a:blip>
                    <a:stretch>
                      <a:fillRect/>
                    </a:stretch>
                  </pic:blipFill>
                  <pic:spPr>
                    <a:xfrm>
                      <a:off x="0" y="0"/>
                      <a:ext cx="2357165" cy="696827"/>
                    </a:xfrm>
                    <a:prstGeom prst="rect">
                      <a:avLst/>
                    </a:prstGeom>
                  </pic:spPr>
                </pic:pic>
              </a:graphicData>
            </a:graphic>
          </wp:inline>
        </w:drawing>
      </w:r>
    </w:p>
    <w:p w14:paraId="31BC95C5" w14:textId="77777777" w:rsidR="00C215D5" w:rsidRPr="00C215D5" w:rsidRDefault="00C215D5" w:rsidP="00C215D5">
      <w:pPr>
        <w:spacing w:after="0" w:line="240" w:lineRule="auto"/>
        <w:rPr>
          <w:rFonts w:ascii="Verdana" w:eastAsia="Calibri" w:hAnsi="Verdana" w:cs="Arial"/>
          <w:kern w:val="2"/>
          <w:lang w:val="es-ES" w:eastAsia="es-ES"/>
          <w14:ligatures w14:val="standardContextual"/>
        </w:rPr>
      </w:pPr>
      <w:r w:rsidRPr="00C215D5">
        <w:rPr>
          <w:rFonts w:ascii="Verdana" w:eastAsia="Calibri" w:hAnsi="Verdana" w:cs="Arial"/>
          <w:kern w:val="2"/>
          <w:lang w:val="es-ES" w:eastAsia="es-ES"/>
          <w14:ligatures w14:val="standardContextual"/>
        </w:rPr>
        <w:t>Señora</w:t>
      </w:r>
    </w:p>
    <w:p w14:paraId="2ACA6C2D" w14:textId="77777777" w:rsidR="00C215D5" w:rsidRPr="00C215D5" w:rsidRDefault="00C215D5" w:rsidP="00C215D5">
      <w:pPr>
        <w:spacing w:after="0" w:line="240" w:lineRule="auto"/>
        <w:rPr>
          <w:rFonts w:ascii="Verdana" w:eastAsia="Calibri" w:hAnsi="Verdana" w:cs="Arial"/>
          <w:b/>
          <w:bCs/>
          <w:kern w:val="2"/>
          <w:lang w:val="es-ES" w:eastAsia="es-ES"/>
          <w14:ligatures w14:val="standardContextual"/>
        </w:rPr>
      </w:pPr>
      <w:r w:rsidRPr="00C215D5">
        <w:rPr>
          <w:rFonts w:ascii="Verdana" w:eastAsia="Calibri" w:hAnsi="Verdana" w:cs="Arial"/>
          <w:b/>
          <w:bCs/>
          <w:kern w:val="2"/>
          <w:lang w:val="es-ES" w:eastAsia="es-ES"/>
          <w14:ligatures w14:val="standardContextual"/>
        </w:rPr>
        <w:t>Genny Gutiérrez Giraldo</w:t>
      </w:r>
    </w:p>
    <w:p w14:paraId="32A4CA5F" w14:textId="77777777" w:rsidR="00C215D5" w:rsidRPr="00C215D5" w:rsidRDefault="00C215D5" w:rsidP="00C215D5">
      <w:pPr>
        <w:spacing w:after="0" w:line="240" w:lineRule="auto"/>
        <w:rPr>
          <w:rFonts w:ascii="Verdana" w:eastAsia="Calibri" w:hAnsi="Verdana" w:cs="Arial"/>
          <w:lang w:val="es-ES_tradnl" w:eastAsia="es-ES_tradnl"/>
        </w:rPr>
      </w:pPr>
      <w:r w:rsidRPr="00C215D5">
        <w:rPr>
          <w:rFonts w:ascii="Verdana" w:eastAsia="Calibri" w:hAnsi="Verdana" w:cs="Arial"/>
          <w:kern w:val="2"/>
          <w:lang w:val="es-ES" w:eastAsia="es-ES"/>
          <w14:ligatures w14:val="standardContextual"/>
        </w:rPr>
        <w:t>Bogotá, D.C.</w:t>
      </w:r>
    </w:p>
    <w:p w14:paraId="76F4780C" w14:textId="77777777" w:rsidR="00C215D5" w:rsidRPr="00C215D5" w:rsidRDefault="00C215D5" w:rsidP="00C215D5">
      <w:pPr>
        <w:spacing w:after="0" w:line="240" w:lineRule="auto"/>
        <w:rPr>
          <w:rFonts w:ascii="Verdana" w:eastAsia="Calibri" w:hAnsi="Verdana" w:cs="Arial"/>
          <w:b/>
          <w:bCs/>
          <w:lang w:val="es-ES_tradnl" w:eastAsia="es-ES_tradnl"/>
        </w:rPr>
      </w:pPr>
    </w:p>
    <w:p w14:paraId="1BAE66E3" w14:textId="77777777" w:rsidR="00C215D5" w:rsidRPr="00C215D5" w:rsidRDefault="00C215D5" w:rsidP="00C215D5">
      <w:pPr>
        <w:spacing w:after="0" w:line="240" w:lineRule="auto"/>
        <w:rPr>
          <w:rFonts w:ascii="Verdana" w:eastAsia="Calibri" w:hAnsi="Verdana" w:cs="Arial"/>
          <w:b/>
          <w:bCs/>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C215D5" w:rsidRPr="00C215D5" w14:paraId="4B2C9728" w14:textId="77777777" w:rsidTr="009C2AF3">
        <w:trPr>
          <w:trHeight w:val="229"/>
        </w:trPr>
        <w:tc>
          <w:tcPr>
            <w:tcW w:w="1985" w:type="dxa"/>
          </w:tcPr>
          <w:p w14:paraId="0CADD621" w14:textId="77777777" w:rsidR="00C215D5" w:rsidRPr="00C215D5" w:rsidRDefault="00C215D5" w:rsidP="00C215D5">
            <w:pPr>
              <w:jc w:val="both"/>
              <w:rPr>
                <w:rFonts w:ascii="Verdana" w:eastAsia="Calibri" w:hAnsi="Verdana" w:cs="Arial"/>
                <w:b/>
                <w:bCs/>
                <w:lang w:val="es-ES_tradnl" w:eastAsia="es-ES_tradnl"/>
              </w:rPr>
            </w:pPr>
          </w:p>
        </w:tc>
        <w:tc>
          <w:tcPr>
            <w:tcW w:w="6383" w:type="dxa"/>
          </w:tcPr>
          <w:p w14:paraId="03FC644B" w14:textId="77777777" w:rsidR="00C215D5" w:rsidRPr="00C215D5" w:rsidRDefault="00C215D5" w:rsidP="00C215D5">
            <w:pPr>
              <w:jc w:val="both"/>
              <w:rPr>
                <w:rFonts w:ascii="Verdana" w:eastAsia="Calibri" w:hAnsi="Verdana" w:cs="Arial"/>
                <w:b/>
                <w:bCs/>
                <w:lang w:val="es-ES" w:eastAsia="es-ES"/>
              </w:rPr>
            </w:pPr>
            <w:r w:rsidRPr="00C215D5">
              <w:rPr>
                <w:rFonts w:ascii="Verdana" w:eastAsia="Calibri" w:hAnsi="Verdana" w:cs="Arial"/>
                <w:b/>
                <w:bCs/>
                <w:lang w:val="es-ES" w:eastAsia="es-ES"/>
              </w:rPr>
              <w:t>Concepto C – 1236 de 2026</w:t>
            </w:r>
          </w:p>
          <w:p w14:paraId="04A03C7C" w14:textId="77777777" w:rsidR="00C215D5" w:rsidRPr="00C215D5" w:rsidRDefault="00C215D5" w:rsidP="00C215D5">
            <w:pPr>
              <w:jc w:val="both"/>
              <w:rPr>
                <w:rFonts w:ascii="Verdana" w:eastAsia="Calibri" w:hAnsi="Verdana" w:cs="Arial"/>
                <w:b/>
                <w:bCs/>
                <w:lang w:val="es-ES" w:eastAsia="es-ES"/>
              </w:rPr>
            </w:pPr>
          </w:p>
          <w:p w14:paraId="123D0D1C" w14:textId="77777777" w:rsidR="00C215D5" w:rsidRPr="00C215D5" w:rsidRDefault="00C215D5" w:rsidP="00C215D5">
            <w:pPr>
              <w:jc w:val="both"/>
              <w:rPr>
                <w:rFonts w:ascii="Verdana" w:eastAsia="Calibri" w:hAnsi="Verdana" w:cs="Arial"/>
                <w:b/>
                <w:bCs/>
                <w:lang w:val="es-ES" w:eastAsia="es-ES"/>
              </w:rPr>
            </w:pPr>
          </w:p>
        </w:tc>
      </w:tr>
      <w:tr w:rsidR="00C215D5" w:rsidRPr="00C215D5" w14:paraId="14827D53" w14:textId="77777777" w:rsidTr="009C2AF3">
        <w:trPr>
          <w:trHeight w:val="884"/>
        </w:trPr>
        <w:tc>
          <w:tcPr>
            <w:tcW w:w="1985" w:type="dxa"/>
          </w:tcPr>
          <w:p w14:paraId="08AFA4EA" w14:textId="77777777" w:rsidR="00C215D5" w:rsidRPr="00C215D5" w:rsidRDefault="00C215D5" w:rsidP="00C215D5">
            <w:pPr>
              <w:jc w:val="both"/>
              <w:rPr>
                <w:rFonts w:ascii="Verdana" w:eastAsia="Calibri" w:hAnsi="Verdana" w:cs="Arial"/>
                <w:lang w:val="es-ES_tradnl" w:eastAsia="es-ES_tradnl"/>
              </w:rPr>
            </w:pPr>
            <w:r w:rsidRPr="00C215D5">
              <w:rPr>
                <w:rFonts w:ascii="Verdana" w:eastAsia="Calibri" w:hAnsi="Verdana" w:cs="Arial"/>
                <w:b/>
                <w:lang w:val="es-ES_tradnl" w:eastAsia="es-ES_tradnl"/>
              </w:rPr>
              <w:t>Temas:</w:t>
            </w:r>
            <w:r w:rsidRPr="00C215D5">
              <w:rPr>
                <w:rFonts w:ascii="Verdana" w:eastAsia="Calibri" w:hAnsi="Verdana" w:cs="Arial"/>
                <w:lang w:val="es-ES_tradnl" w:eastAsia="es-ES_tradnl"/>
              </w:rPr>
              <w:t xml:space="preserve">                   </w:t>
            </w:r>
          </w:p>
        </w:tc>
        <w:tc>
          <w:tcPr>
            <w:tcW w:w="6383" w:type="dxa"/>
          </w:tcPr>
          <w:p w14:paraId="55564E24" w14:textId="77777777" w:rsidR="00C215D5" w:rsidRPr="00C215D5" w:rsidRDefault="00C215D5" w:rsidP="00C215D5">
            <w:pPr>
              <w:widowControl w:val="0"/>
              <w:autoSpaceDE w:val="0"/>
              <w:autoSpaceDN w:val="0"/>
              <w:spacing w:line="276" w:lineRule="auto"/>
              <w:jc w:val="both"/>
              <w:rPr>
                <w:rFonts w:ascii="Verdana" w:eastAsia="Calibri" w:hAnsi="Verdana" w:cs="Times New Roman"/>
                <w:lang w:val="es-ES"/>
              </w:rPr>
            </w:pPr>
            <w:r w:rsidRPr="00C215D5">
              <w:rPr>
                <w:rFonts w:ascii="Verdana" w:eastAsia="Calibri" w:hAnsi="Verdana" w:cs="Times New Roman"/>
                <w:lang w:val="es-ES"/>
              </w:rPr>
              <w:t>DOCUMENTOS TIPO – Inalterabilidad – Alcance / DECRETO 287 DE 2026 – Incidencia – Documentos tipo / DECRETO 287 DE 2026 – Documentos tipo – Licitación Pública – Selección abreviada de menor cuantía – Concurso de méritos – Requisitos habilitantes / DECRETO 287 DE 2026 – Documentos tipo – Licitación Pública – Concurso de méritos – Factores de evaluación / DECRETO 287 DE 2026 – Documentos tipo – Ejecución contractual / DOCUMENTOS TIPO – Decreto 287 de 2026 – Aplicación / DOCUMENTOS TIPO – Decreto 287 de 2026 – Aplicación – Necesidad de modificación – Agencia Nacional de Contratación Pública / DOCUMENTOS TIPO – Decreto 287 de 2026 – Modificación – Colombia Compra Eficiente</w:t>
            </w:r>
          </w:p>
          <w:p w14:paraId="6B00B090" w14:textId="77777777" w:rsidR="00C215D5" w:rsidRPr="00C215D5" w:rsidRDefault="00C215D5" w:rsidP="00C215D5">
            <w:pPr>
              <w:widowControl w:val="0"/>
              <w:autoSpaceDE w:val="0"/>
              <w:autoSpaceDN w:val="0"/>
              <w:spacing w:line="276" w:lineRule="auto"/>
              <w:jc w:val="both"/>
              <w:rPr>
                <w:rFonts w:ascii="Verdana" w:eastAsia="Calibri" w:hAnsi="Verdana" w:cs="Times New Roman"/>
                <w:lang w:val="es-ES"/>
              </w:rPr>
            </w:pPr>
          </w:p>
        </w:tc>
      </w:tr>
      <w:tr w:rsidR="00C215D5" w:rsidRPr="00C215D5" w14:paraId="4EB548C1" w14:textId="77777777" w:rsidTr="009C2AF3">
        <w:tc>
          <w:tcPr>
            <w:tcW w:w="1985" w:type="dxa"/>
          </w:tcPr>
          <w:p w14:paraId="6D0E9A1D" w14:textId="77777777" w:rsidR="00C215D5" w:rsidRPr="00C215D5" w:rsidRDefault="00C215D5" w:rsidP="00C215D5">
            <w:pPr>
              <w:jc w:val="both"/>
              <w:rPr>
                <w:rFonts w:ascii="Verdana" w:eastAsia="Calibri" w:hAnsi="Verdana" w:cs="Arial"/>
                <w:b/>
                <w:lang w:val="es-ES_tradnl" w:eastAsia="es-ES_tradnl"/>
              </w:rPr>
            </w:pPr>
            <w:r w:rsidRPr="00C215D5">
              <w:rPr>
                <w:rFonts w:ascii="Verdana" w:eastAsia="Calibri" w:hAnsi="Verdana" w:cs="Arial"/>
                <w:b/>
                <w:lang w:val="es-ES_tradnl" w:eastAsia="es-ES_tradnl"/>
              </w:rPr>
              <w:t>Radicación:</w:t>
            </w:r>
            <w:r w:rsidRPr="00C215D5">
              <w:rPr>
                <w:rFonts w:ascii="Verdana" w:eastAsia="Calibri" w:hAnsi="Verdana" w:cs="Arial"/>
                <w:lang w:val="es-ES_tradnl" w:eastAsia="es-ES_tradnl"/>
              </w:rPr>
              <w:t xml:space="preserve">               </w:t>
            </w:r>
          </w:p>
        </w:tc>
        <w:tc>
          <w:tcPr>
            <w:tcW w:w="6383" w:type="dxa"/>
          </w:tcPr>
          <w:p w14:paraId="643B36E1" w14:textId="77777777" w:rsidR="00C215D5" w:rsidRPr="00C215D5" w:rsidRDefault="00C215D5" w:rsidP="00C215D5">
            <w:pPr>
              <w:spacing w:line="276" w:lineRule="auto"/>
              <w:ind w:left="3" w:hanging="3"/>
              <w:jc w:val="both"/>
              <w:rPr>
                <w:rFonts w:ascii="Verdana" w:eastAsia="Calibri" w:hAnsi="Verdana" w:cs="Arial"/>
                <w:lang w:val="es-ES_tradnl" w:eastAsia="es-ES_tradnl"/>
              </w:rPr>
            </w:pPr>
            <w:r w:rsidRPr="00C215D5">
              <w:rPr>
                <w:rFonts w:ascii="Verdana" w:eastAsia="Calibri" w:hAnsi="Verdana" w:cs="Arial"/>
                <w:lang w:val="es-ES_tradnl" w:eastAsia="es-ES_tradnl"/>
              </w:rPr>
              <w:t xml:space="preserve">Respuesta a consulta con radicado No. </w:t>
            </w:r>
            <w:bookmarkStart w:id="1" w:name="OLE_LINK1"/>
            <w:r w:rsidRPr="00C215D5">
              <w:rPr>
                <w:rFonts w:ascii="Verdana" w:eastAsia="Calibri" w:hAnsi="Verdana" w:cs="Arial"/>
                <w:lang w:val="es-ES_tradnl" w:eastAsia="es-ES_tradnl"/>
              </w:rPr>
              <w:t>1_2026_08_05_010375</w:t>
            </w:r>
            <w:bookmarkEnd w:id="1"/>
          </w:p>
        </w:tc>
      </w:tr>
    </w:tbl>
    <w:p w14:paraId="1BB4E6FD" w14:textId="77777777" w:rsidR="00C215D5" w:rsidRPr="00C215D5" w:rsidRDefault="00C215D5" w:rsidP="00C215D5">
      <w:pPr>
        <w:spacing w:after="0" w:line="240" w:lineRule="auto"/>
        <w:jc w:val="both"/>
        <w:rPr>
          <w:rFonts w:ascii="Verdana" w:eastAsia="Calibri" w:hAnsi="Verdana" w:cs="Arial"/>
          <w:lang w:val="es-ES_tradnl" w:eastAsia="es-ES_tradnl"/>
        </w:rPr>
      </w:pPr>
    </w:p>
    <w:p w14:paraId="060E2758" w14:textId="77777777" w:rsidR="00C215D5" w:rsidRPr="00C215D5" w:rsidRDefault="00C215D5" w:rsidP="00C215D5">
      <w:pPr>
        <w:spacing w:after="0" w:line="240" w:lineRule="auto"/>
        <w:jc w:val="both"/>
        <w:rPr>
          <w:rFonts w:ascii="Verdana" w:eastAsia="Calibri" w:hAnsi="Verdana" w:cs="Arial"/>
          <w:lang w:val="es-ES_tradnl" w:eastAsia="es-ES_tradnl"/>
        </w:rPr>
      </w:pPr>
    </w:p>
    <w:p w14:paraId="68080D9E" w14:textId="77777777" w:rsidR="00C215D5" w:rsidRPr="00C215D5" w:rsidRDefault="00C215D5" w:rsidP="00C215D5">
      <w:pPr>
        <w:spacing w:after="0" w:line="276" w:lineRule="auto"/>
        <w:jc w:val="both"/>
        <w:rPr>
          <w:rFonts w:ascii="Verdana" w:eastAsia="Calibri" w:hAnsi="Verdana" w:cs="Arial"/>
          <w:lang w:val="es-ES" w:eastAsia="es-ES"/>
        </w:rPr>
      </w:pPr>
      <w:r w:rsidRPr="00C215D5">
        <w:rPr>
          <w:rFonts w:ascii="Verdana" w:eastAsia="Calibri" w:hAnsi="Verdana" w:cs="Arial"/>
          <w:lang w:val="es-ES" w:eastAsia="es-ES"/>
        </w:rPr>
        <w:t>Estimada señora Gutiérrez Giraldo:</w:t>
      </w:r>
    </w:p>
    <w:p w14:paraId="17FF5E83" w14:textId="77777777" w:rsidR="00C215D5" w:rsidRPr="00C215D5" w:rsidRDefault="00C215D5" w:rsidP="00C215D5">
      <w:pPr>
        <w:tabs>
          <w:tab w:val="left" w:pos="3768"/>
        </w:tabs>
        <w:spacing w:after="0" w:line="276" w:lineRule="auto"/>
        <w:jc w:val="both"/>
        <w:rPr>
          <w:rFonts w:ascii="Verdana" w:eastAsia="Calibri" w:hAnsi="Verdana" w:cs="Arial"/>
          <w:lang w:val="es-ES" w:eastAsia="es-ES"/>
        </w:rPr>
      </w:pPr>
      <w:r w:rsidRPr="00C215D5">
        <w:rPr>
          <w:rFonts w:ascii="Verdana" w:eastAsia="Calibri" w:hAnsi="Verdana" w:cs="Arial"/>
          <w:lang w:val="es-ES" w:eastAsia="es-ES"/>
        </w:rPr>
        <w:t xml:space="preserve"> </w:t>
      </w:r>
    </w:p>
    <w:p w14:paraId="3AD98196" w14:textId="77777777" w:rsidR="00C215D5" w:rsidRPr="00C215D5" w:rsidRDefault="00C215D5" w:rsidP="00C215D5">
      <w:pPr>
        <w:spacing w:after="0" w:line="276" w:lineRule="auto"/>
        <w:jc w:val="both"/>
        <w:rPr>
          <w:rFonts w:ascii="Verdana" w:eastAsia="Calibri" w:hAnsi="Verdana" w:cs="Arial"/>
          <w:lang w:val="es-ES" w:eastAsia="es-ES"/>
        </w:rPr>
      </w:pPr>
      <w:r w:rsidRPr="00C215D5">
        <w:rPr>
          <w:rFonts w:ascii="Verdana" w:eastAsia="Calibri" w:hAnsi="Verdana" w:cs="Arial"/>
          <w:lang w:val="es-ES" w:eastAsia="es-ES"/>
        </w:rPr>
        <w:t>En ejercicio de la competencia otorgada por los artículos 3, numeral 5º, y 11, numeral 8º, del Decreto Ley 4170 de 2011,</w:t>
      </w:r>
      <w:r w:rsidRPr="00C215D5">
        <w:rPr>
          <w:rFonts w:ascii="Verdana" w:eastAsia="Arial MT" w:hAnsi="Verdana" w:cs="Arial MT"/>
          <w:lang w:val="es-ES" w:eastAsia="es-ES"/>
        </w:rPr>
        <w:t xml:space="preserve"> </w:t>
      </w:r>
      <w:r w:rsidRPr="00C215D5">
        <w:rPr>
          <w:rFonts w:ascii="Verdana" w:eastAsia="Calibri" w:hAnsi="Verdana" w:cs="Arial"/>
        </w:rPr>
        <w:t xml:space="preserve">así como lo establecido en la Resolución No. 469 del 2025 expedida por esta Entidad, </w:t>
      </w:r>
      <w:r w:rsidRPr="00C215D5">
        <w:rPr>
          <w:rFonts w:ascii="Verdana" w:eastAsia="Calibri" w:hAnsi="Verdana" w:cs="Arial"/>
          <w:lang w:val="es-ES" w:eastAsia="es-ES"/>
        </w:rPr>
        <w:t xml:space="preserve">la Agencia Nacional de Contratación Pública –Colombia Compra Eficiente– responde su solicitud de </w:t>
      </w:r>
      <w:r w:rsidRPr="00C215D5">
        <w:rPr>
          <w:rFonts w:ascii="Verdana" w:eastAsia="Calibri" w:hAnsi="Verdana" w:cs="Arial"/>
          <w:lang w:val="es-ES" w:eastAsia="es-ES"/>
        </w:rPr>
        <w:lastRenderedPageBreak/>
        <w:t>consulta del 5 de agosto de 2026. En relación con los documentos tipo y el Decreto 287 de 2026, usted manifiesta lo siguiente:</w:t>
      </w:r>
    </w:p>
    <w:p w14:paraId="454D2199" w14:textId="77777777" w:rsidR="00C215D5" w:rsidRPr="00C215D5" w:rsidRDefault="00C215D5" w:rsidP="00C215D5">
      <w:pPr>
        <w:spacing w:after="0" w:line="276" w:lineRule="auto"/>
        <w:jc w:val="both"/>
        <w:rPr>
          <w:rFonts w:ascii="Verdana" w:eastAsia="Calibri" w:hAnsi="Verdana" w:cs="Arial"/>
          <w:lang w:val="es-ES" w:eastAsia="es-ES"/>
        </w:rPr>
      </w:pPr>
    </w:p>
    <w:p w14:paraId="3B0EB6B6" w14:textId="77777777" w:rsidR="00C215D5" w:rsidRPr="00C215D5" w:rsidRDefault="00C215D5" w:rsidP="00C215D5">
      <w:pPr>
        <w:spacing w:after="0" w:line="240" w:lineRule="auto"/>
        <w:ind w:left="709" w:right="709"/>
        <w:jc w:val="both"/>
        <w:rPr>
          <w:rFonts w:ascii="Verdana" w:eastAsia="Aptos" w:hAnsi="Verdana" w:cs="Helvetica"/>
          <w:color w:val="000000"/>
          <w:sz w:val="21"/>
          <w:szCs w:val="21"/>
          <w14:ligatures w14:val="standardContextual"/>
        </w:rPr>
      </w:pPr>
      <w:r w:rsidRPr="00C215D5">
        <w:rPr>
          <w:rFonts w:ascii="Verdana" w:eastAsia="Aptos" w:hAnsi="Verdana" w:cs="Helvetica"/>
          <w:color w:val="000000"/>
          <w:sz w:val="21"/>
          <w:szCs w:val="21"/>
          <w14:ligatures w14:val="standardContextual"/>
        </w:rPr>
        <w:t>“1. ¿Autonomía o Extralimitación?: ¿Bajo el imperio de la Ley 2022 de 2020 y el principio de inalterabilidad, le es permitido a una entidad territorial modificar, adicionar o adaptar por cuenta propia los criterios de puntaje de un Pliego Tipo para incorporar los postulados del Decreto 0287 de 2026 de forma previa a la actualización oficial de las matrices por parte de Colombia Compra Eficiente?</w:t>
      </w:r>
    </w:p>
    <w:p w14:paraId="3E842C93" w14:textId="77777777" w:rsidR="00C215D5" w:rsidRPr="00C215D5" w:rsidRDefault="00C215D5" w:rsidP="00C215D5">
      <w:pPr>
        <w:spacing w:after="0" w:line="240" w:lineRule="auto"/>
        <w:ind w:left="709" w:right="709"/>
        <w:jc w:val="both"/>
        <w:rPr>
          <w:rFonts w:ascii="Verdana" w:eastAsia="Aptos" w:hAnsi="Verdana" w:cs="Helvetica"/>
          <w:color w:val="000000"/>
          <w:sz w:val="21"/>
          <w:szCs w:val="21"/>
          <w14:ligatures w14:val="standardContextual"/>
        </w:rPr>
      </w:pPr>
      <w:r w:rsidRPr="00C215D5">
        <w:rPr>
          <w:rFonts w:ascii="Verdana" w:eastAsia="Aptos" w:hAnsi="Verdana" w:cs="Helvetica"/>
          <w:color w:val="000000"/>
          <w:sz w:val="21"/>
          <w:szCs w:val="21"/>
          <w14:ligatures w14:val="standardContextual"/>
        </w:rPr>
        <w:t>2. ¿Efectos sobre la validez?: En caso de ser negativa la respuesta anterior, ¿el hecho de que una entidad evalúe un proceso con un criterio de discapacidad modificado unilateralmente —generando una</w:t>
      </w:r>
    </w:p>
    <w:p w14:paraId="6FAECFAD" w14:textId="77777777" w:rsidR="00C215D5" w:rsidRPr="00C215D5" w:rsidRDefault="00C215D5" w:rsidP="00C215D5">
      <w:pPr>
        <w:spacing w:after="0" w:line="240" w:lineRule="auto"/>
        <w:ind w:left="709" w:right="709"/>
        <w:jc w:val="both"/>
        <w:rPr>
          <w:rFonts w:ascii="Verdana" w:eastAsia="Aptos" w:hAnsi="Verdana" w:cs="Helvetica"/>
          <w:color w:val="000000"/>
          <w:sz w:val="21"/>
          <w:szCs w:val="21"/>
          <w14:ligatures w14:val="standardContextual"/>
        </w:rPr>
      </w:pPr>
      <w:r w:rsidRPr="00C215D5">
        <w:rPr>
          <w:rFonts w:ascii="Verdana" w:eastAsia="Aptos" w:hAnsi="Verdana" w:cs="Helvetica"/>
          <w:color w:val="000000"/>
          <w:sz w:val="21"/>
          <w:szCs w:val="21"/>
          <w14:ligatures w14:val="standardContextual"/>
        </w:rPr>
        <w:t>disparidad real de puntajes entre los oferentes que altera la selección objetiva— configura un vicio de nulidad absoluta insubsanable bajo el artículo 44 de la Ley 80 de 1993?</w:t>
      </w:r>
    </w:p>
    <w:p w14:paraId="20621C9B" w14:textId="77777777" w:rsidR="00C215D5" w:rsidRPr="00C215D5" w:rsidRDefault="00C215D5" w:rsidP="00C215D5">
      <w:pPr>
        <w:spacing w:after="0" w:line="240" w:lineRule="auto"/>
        <w:ind w:left="709" w:right="709"/>
        <w:jc w:val="both"/>
        <w:rPr>
          <w:rFonts w:ascii="Verdana" w:eastAsia="Aptos" w:hAnsi="Verdana" w:cs="Helvetica"/>
          <w:color w:val="000000"/>
          <w:sz w:val="21"/>
          <w:szCs w:val="21"/>
          <w14:ligatures w14:val="standardContextual"/>
        </w:rPr>
      </w:pPr>
      <w:r w:rsidRPr="00C215D5">
        <w:rPr>
          <w:rFonts w:ascii="Verdana" w:eastAsia="Aptos" w:hAnsi="Verdana" w:cs="Helvetica"/>
          <w:color w:val="000000"/>
          <w:sz w:val="21"/>
          <w:szCs w:val="21"/>
          <w14:ligatures w14:val="standardContextual"/>
        </w:rPr>
        <w:t>3. ¿Procedencia de la Revocatoria Directa?: Si la entidad estatal detecta de oficio o por observaciones de los interesados que el Pliego Definitivo incluyó una modificación ilegal a los Documentos Tipo y el proceso aún no ha sido adjudicado, ¿el mecanismo idóneo, preferente y obligatorio para restablecer la legalidad es la Revocatoria Directa del Acto de Apertura de conformidad con el numeral 1 del artículo 93 del CPACA?</w:t>
      </w:r>
    </w:p>
    <w:p w14:paraId="6EF02A6A" w14:textId="77777777" w:rsidR="00C215D5" w:rsidRPr="00C215D5" w:rsidRDefault="00C215D5" w:rsidP="00C215D5">
      <w:pPr>
        <w:spacing w:after="0" w:line="240" w:lineRule="auto"/>
        <w:ind w:left="709" w:right="709"/>
        <w:jc w:val="both"/>
        <w:rPr>
          <w:rFonts w:ascii="Verdana" w:eastAsia="Aptos" w:hAnsi="Verdana" w:cs="Helvetica"/>
          <w:color w:val="000000"/>
          <w:sz w:val="21"/>
          <w:szCs w:val="21"/>
          <w14:ligatures w14:val="standardContextual"/>
        </w:rPr>
      </w:pPr>
      <w:r w:rsidRPr="00C215D5">
        <w:rPr>
          <w:rFonts w:ascii="Verdana" w:eastAsia="Aptos" w:hAnsi="Verdana" w:cs="Helvetica"/>
          <w:color w:val="000000"/>
          <w:sz w:val="21"/>
          <w:szCs w:val="21"/>
          <w14:ligatures w14:val="standardContextual"/>
        </w:rPr>
        <w:t>4. ¿Necesidad de Consentimiento?: Al encontrarse los proponentes en etapa de evaluación de ofertas (gozando de una mera expectativa de derecho y tratándose el pliego de un acto de trámite y general), ¿requiere la entidad el consentimiento previo, expreso y escrito de los oferentes regulado en el artículo 97 del CPACA para revocar unilateralmente dicho proceso viciado?”</w:t>
      </w:r>
    </w:p>
    <w:p w14:paraId="0E9828FC" w14:textId="77777777" w:rsidR="00C215D5" w:rsidRPr="00C215D5" w:rsidRDefault="00C215D5" w:rsidP="00C215D5">
      <w:pPr>
        <w:spacing w:after="0" w:line="276" w:lineRule="auto"/>
        <w:jc w:val="both"/>
        <w:rPr>
          <w:rFonts w:ascii="Verdana" w:eastAsia="Calibri" w:hAnsi="Verdana" w:cs="Arial"/>
          <w:lang w:val="es-ES" w:eastAsia="es-ES"/>
        </w:rPr>
      </w:pPr>
    </w:p>
    <w:p w14:paraId="7E69046A" w14:textId="77777777" w:rsidR="00C215D5" w:rsidRPr="00C215D5" w:rsidRDefault="00C215D5" w:rsidP="00C215D5">
      <w:pPr>
        <w:spacing w:after="120" w:line="276" w:lineRule="auto"/>
        <w:ind w:firstLine="709"/>
        <w:jc w:val="both"/>
        <w:rPr>
          <w:rFonts w:ascii="Verdana" w:eastAsia="Calibri" w:hAnsi="Verdana" w:cs="Arial"/>
          <w:color w:val="000000"/>
          <w:lang w:val="es-ES" w:eastAsia="es-ES"/>
        </w:rPr>
      </w:pPr>
      <w:r w:rsidRPr="00C215D5">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1DDB518B" w14:textId="77777777" w:rsidR="00C215D5" w:rsidRPr="00C215D5" w:rsidRDefault="00C215D5" w:rsidP="00C215D5">
      <w:pPr>
        <w:spacing w:after="0" w:line="276" w:lineRule="auto"/>
        <w:ind w:firstLine="709"/>
        <w:jc w:val="both"/>
        <w:rPr>
          <w:rFonts w:ascii="Verdana" w:eastAsia="Calibri" w:hAnsi="Verdana" w:cs="Arial"/>
          <w:color w:val="000000"/>
          <w:lang w:val="es-ES" w:eastAsia="es-ES"/>
        </w:rPr>
      </w:pPr>
      <w:r w:rsidRPr="00C215D5">
        <w:rPr>
          <w:rFonts w:ascii="Verdana" w:eastAsia="Calibri" w:hAnsi="Verdana" w:cs="Arial"/>
          <w:color w:val="000000"/>
          <w:lang w:val="es-ES" w:eastAsia="es-ES"/>
        </w:rPr>
        <w:lastRenderedPageBreak/>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C215D5">
        <w:rPr>
          <w:rFonts w:ascii="Verdana" w:eastAsia="Calibri" w:hAnsi="Verdana" w:cs="Arial"/>
          <w:color w:val="7030A0"/>
          <w:lang w:val="es-ES" w:eastAsia="es-ES"/>
        </w:rPr>
        <w:t xml:space="preserve"> </w:t>
      </w:r>
      <w:r w:rsidRPr="00C215D5">
        <w:rPr>
          <w:rFonts w:ascii="Verdana" w:eastAsia="Calibri" w:hAnsi="Verdana" w:cs="Arial"/>
          <w:color w:val="000000"/>
          <w:lang w:val="es-ES" w:eastAsia="es-ES"/>
        </w:rPr>
        <w:t>problema</w:t>
      </w:r>
      <w:r w:rsidRPr="00C215D5">
        <w:rPr>
          <w:rFonts w:ascii="Verdana" w:eastAsia="Calibri" w:hAnsi="Verdana" w:cs="Arial"/>
          <w:color w:val="7030A0"/>
          <w:lang w:val="es-ES" w:eastAsia="es-ES"/>
        </w:rPr>
        <w:t xml:space="preserve"> </w:t>
      </w:r>
      <w:r w:rsidRPr="00C215D5">
        <w:rPr>
          <w:rFonts w:ascii="Verdana" w:eastAsia="Calibri" w:hAnsi="Verdana" w:cs="Arial"/>
          <w:color w:val="000000"/>
          <w:lang w:val="es-ES" w:eastAsia="es-ES"/>
        </w:rPr>
        <w:t>jurídico</w:t>
      </w:r>
      <w:r w:rsidRPr="00C215D5">
        <w:rPr>
          <w:rFonts w:ascii="Verdana" w:eastAsia="Calibri" w:hAnsi="Verdana" w:cs="Arial"/>
          <w:color w:val="7030A0"/>
          <w:lang w:val="es-ES" w:eastAsia="es-ES"/>
        </w:rPr>
        <w:t xml:space="preserve"> </w:t>
      </w:r>
      <w:r w:rsidRPr="00C215D5">
        <w:rPr>
          <w:rFonts w:ascii="Verdana" w:eastAsia="Calibri" w:hAnsi="Verdana" w:cs="Arial"/>
          <w:color w:val="000000"/>
          <w:lang w:val="es-ES" w:eastAsia="es-ES"/>
        </w:rPr>
        <w:t xml:space="preserve">de su consulta. </w:t>
      </w:r>
    </w:p>
    <w:p w14:paraId="01D3FEDE" w14:textId="77777777" w:rsidR="00C215D5" w:rsidRPr="00C215D5" w:rsidRDefault="00C215D5" w:rsidP="00C215D5">
      <w:pPr>
        <w:tabs>
          <w:tab w:val="left" w:pos="142"/>
          <w:tab w:val="left" w:pos="284"/>
        </w:tabs>
        <w:spacing w:after="0" w:line="276" w:lineRule="auto"/>
        <w:contextualSpacing/>
        <w:jc w:val="both"/>
        <w:rPr>
          <w:rFonts w:ascii="Verdana" w:eastAsia="Century Gothic" w:hAnsi="Verdana" w:cs="Century Gothic"/>
          <w:b/>
          <w:bCs/>
          <w:lang w:val="es-ES"/>
        </w:rPr>
      </w:pPr>
    </w:p>
    <w:p w14:paraId="3CE5350F" w14:textId="77777777" w:rsidR="00C215D5" w:rsidRPr="00C215D5" w:rsidRDefault="00C215D5" w:rsidP="00C215D5">
      <w:pPr>
        <w:tabs>
          <w:tab w:val="left" w:pos="142"/>
          <w:tab w:val="left" w:pos="284"/>
        </w:tabs>
        <w:spacing w:after="0" w:line="276" w:lineRule="auto"/>
        <w:contextualSpacing/>
        <w:jc w:val="both"/>
        <w:rPr>
          <w:rFonts w:ascii="Verdana" w:eastAsia="Century Gothic" w:hAnsi="Verdana" w:cs="Century Gothic"/>
          <w:b/>
          <w:bCs/>
          <w:lang w:val="es-ES"/>
        </w:rPr>
      </w:pPr>
      <w:r w:rsidRPr="00C215D5">
        <w:rPr>
          <w:rFonts w:ascii="Verdana" w:eastAsia="Century Gothic" w:hAnsi="Verdana" w:cs="Century Gothic"/>
          <w:b/>
          <w:bCs/>
          <w:lang w:val="es-ES"/>
        </w:rPr>
        <w:t>1. Problema planteado:</w:t>
      </w:r>
    </w:p>
    <w:p w14:paraId="403152F3" w14:textId="77777777" w:rsidR="00C215D5" w:rsidRPr="00C215D5" w:rsidRDefault="00C215D5" w:rsidP="00C215D5">
      <w:pPr>
        <w:tabs>
          <w:tab w:val="left" w:pos="426"/>
        </w:tabs>
        <w:spacing w:after="0" w:line="276" w:lineRule="auto"/>
        <w:jc w:val="both"/>
        <w:rPr>
          <w:rFonts w:ascii="Verdana" w:eastAsia="Century Gothic" w:hAnsi="Verdana" w:cs="Century Gothic"/>
          <w:lang w:val="es-ES"/>
        </w:rPr>
      </w:pPr>
    </w:p>
    <w:p w14:paraId="3F47FE3B" w14:textId="77777777" w:rsidR="00C215D5" w:rsidRPr="00C215D5" w:rsidRDefault="00C215D5" w:rsidP="00C215D5">
      <w:pPr>
        <w:spacing w:after="0" w:line="276" w:lineRule="auto"/>
        <w:jc w:val="both"/>
        <w:rPr>
          <w:rFonts w:ascii="Verdana" w:eastAsia="Century Gothic" w:hAnsi="Verdana" w:cs="Century Gothic"/>
        </w:rPr>
      </w:pPr>
      <w:r w:rsidRPr="00C215D5">
        <w:rPr>
          <w:rFonts w:ascii="Verdana" w:eastAsia="Century Gothic" w:hAnsi="Verdana" w:cs="Century Gothic"/>
        </w:rPr>
        <w:t xml:space="preserve">De acuerdo con el contenido de su solicitud, esta Agencia resolverá los siguientes problemas jurídicos: </w:t>
      </w:r>
    </w:p>
    <w:p w14:paraId="47F101FD" w14:textId="77777777" w:rsidR="00C215D5" w:rsidRPr="00C215D5" w:rsidRDefault="00C215D5" w:rsidP="00C215D5">
      <w:pPr>
        <w:spacing w:after="0" w:line="276" w:lineRule="auto"/>
        <w:jc w:val="both"/>
        <w:rPr>
          <w:rFonts w:ascii="Verdana" w:eastAsia="Century Gothic" w:hAnsi="Verdana" w:cs="Century Gothic"/>
        </w:rPr>
      </w:pPr>
    </w:p>
    <w:p w14:paraId="03E6179D" w14:textId="77777777" w:rsidR="00C215D5" w:rsidRPr="00C215D5" w:rsidRDefault="00C215D5" w:rsidP="00C215D5">
      <w:pPr>
        <w:numPr>
          <w:ilvl w:val="0"/>
          <w:numId w:val="17"/>
        </w:numPr>
        <w:spacing w:after="0" w:line="276" w:lineRule="auto"/>
        <w:contextualSpacing/>
        <w:jc w:val="both"/>
        <w:rPr>
          <w:rFonts w:ascii="Verdana" w:eastAsia="Calibri" w:hAnsi="Verdana" w:cs="Arial"/>
          <w:bCs/>
          <w:lang w:val="es-ES_tradnl" w:eastAsia="es-ES_tradnl"/>
        </w:rPr>
      </w:pPr>
      <w:r w:rsidRPr="00C215D5">
        <w:rPr>
          <w:rFonts w:ascii="Verdana" w:eastAsia="Century Gothic" w:hAnsi="Verdana" w:cs="Century Gothic"/>
        </w:rPr>
        <w:t>¿Cuál es el alcance del Decreto 287 de 2026 frente a la regla de inalterabilidad de los documentos tipo?</w:t>
      </w:r>
      <w:r w:rsidRPr="00C215D5">
        <w:rPr>
          <w:rFonts w:ascii="Verdana" w:eastAsia="Calibri" w:hAnsi="Verdana" w:cs="Arial"/>
          <w:bCs/>
          <w:lang w:val="es-ES_tradnl" w:eastAsia="es-ES_tradnl"/>
        </w:rPr>
        <w:t xml:space="preserve"> </w:t>
      </w:r>
    </w:p>
    <w:p w14:paraId="2D248733" w14:textId="77777777" w:rsidR="00C215D5" w:rsidRPr="00C215D5" w:rsidRDefault="00C215D5" w:rsidP="00C215D5">
      <w:pPr>
        <w:spacing w:after="0" w:line="276" w:lineRule="auto"/>
        <w:jc w:val="both"/>
        <w:rPr>
          <w:rFonts w:ascii="Verdana" w:eastAsia="Calibri" w:hAnsi="Verdana" w:cs="Arial"/>
          <w:bCs/>
          <w:lang w:val="es-ES_tradnl" w:eastAsia="es-ES_tradnl"/>
        </w:rPr>
      </w:pPr>
    </w:p>
    <w:p w14:paraId="6D638CF6" w14:textId="77777777" w:rsidR="00C215D5" w:rsidRPr="00C215D5" w:rsidRDefault="00C215D5" w:rsidP="00C215D5">
      <w:pPr>
        <w:numPr>
          <w:ilvl w:val="0"/>
          <w:numId w:val="17"/>
        </w:numPr>
        <w:spacing w:after="0" w:line="276" w:lineRule="auto"/>
        <w:contextualSpacing/>
        <w:jc w:val="both"/>
        <w:rPr>
          <w:rFonts w:ascii="Verdana" w:eastAsia="Calibri" w:hAnsi="Verdana" w:cs="Arial"/>
          <w:bCs/>
          <w:lang w:val="es-ES_tradnl" w:eastAsia="es-ES_tradnl"/>
        </w:rPr>
      </w:pPr>
      <w:r w:rsidRPr="00C215D5">
        <w:rPr>
          <w:rFonts w:ascii="Verdana" w:eastAsia="Calibri" w:hAnsi="Verdana" w:cs="Arial"/>
          <w:bCs/>
          <w:lang w:val="es-ES_tradnl" w:eastAsia="es-ES_tradnl"/>
        </w:rPr>
        <w:t>¿Es posible aplicar lo dispuesto en el Decreto 287 de 2026 en procesos de contratación adelantados con pliegos tipo, aun cuando ello implique alterar estos últimos?</w:t>
      </w:r>
    </w:p>
    <w:p w14:paraId="1F23A69D" w14:textId="77777777" w:rsidR="00C215D5" w:rsidRPr="00C215D5" w:rsidRDefault="00C215D5" w:rsidP="00C215D5">
      <w:pPr>
        <w:spacing w:after="0" w:line="276" w:lineRule="auto"/>
        <w:jc w:val="both"/>
        <w:rPr>
          <w:rFonts w:ascii="Verdana" w:eastAsia="Century Gothic" w:hAnsi="Verdana" w:cs="Century Gothic"/>
          <w:lang w:val="es-ES_tradnl"/>
        </w:rPr>
      </w:pPr>
    </w:p>
    <w:p w14:paraId="35BBA895" w14:textId="77777777" w:rsidR="00C215D5" w:rsidRPr="00C215D5" w:rsidRDefault="00C215D5" w:rsidP="00C215D5">
      <w:pPr>
        <w:tabs>
          <w:tab w:val="left" w:pos="142"/>
          <w:tab w:val="left" w:pos="284"/>
        </w:tabs>
        <w:spacing w:after="0" w:line="276" w:lineRule="auto"/>
        <w:contextualSpacing/>
        <w:jc w:val="both"/>
        <w:rPr>
          <w:rFonts w:ascii="Verdana" w:eastAsia="Century Gothic" w:hAnsi="Verdana" w:cs="Century Gothic"/>
          <w:b/>
          <w:bCs/>
          <w:lang w:val="es-ES"/>
        </w:rPr>
      </w:pPr>
      <w:r w:rsidRPr="00C215D5">
        <w:rPr>
          <w:rFonts w:ascii="Verdana" w:eastAsia="Century Gothic" w:hAnsi="Verdana" w:cs="Century Gothic"/>
          <w:b/>
          <w:bCs/>
          <w:lang w:val="es-ES"/>
        </w:rPr>
        <w:t>2. Respuesta:</w:t>
      </w:r>
    </w:p>
    <w:p w14:paraId="7B3F23E8" w14:textId="77777777" w:rsidR="00C215D5" w:rsidRPr="00C215D5" w:rsidRDefault="00C215D5" w:rsidP="00C215D5">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215D5" w:rsidRPr="00C215D5" w14:paraId="6994794C" w14:textId="77777777" w:rsidTr="009C2AF3">
        <w:trPr>
          <w:trHeight w:val="40"/>
        </w:trPr>
        <w:tc>
          <w:tcPr>
            <w:tcW w:w="8828" w:type="dxa"/>
            <w:tcBorders>
              <w:top w:val="dotted" w:sz="4" w:space="0" w:color="auto"/>
              <w:left w:val="dotted" w:sz="4" w:space="0" w:color="auto"/>
              <w:bottom w:val="dotted" w:sz="4" w:space="0" w:color="auto"/>
              <w:right w:val="dotted" w:sz="4" w:space="0" w:color="auto"/>
            </w:tcBorders>
          </w:tcPr>
          <w:p w14:paraId="40517BEF" w14:textId="77777777" w:rsidR="00C215D5" w:rsidRPr="00C215D5" w:rsidRDefault="00C215D5" w:rsidP="00C215D5">
            <w:pPr>
              <w:tabs>
                <w:tab w:val="center" w:pos="4419"/>
                <w:tab w:val="right" w:pos="8838"/>
              </w:tabs>
              <w:snapToGrid w:val="0"/>
              <w:spacing w:after="120" w:line="276" w:lineRule="auto"/>
              <w:jc w:val="both"/>
              <w:rPr>
                <w:rFonts w:ascii="Verdana" w:eastAsia="Calibri" w:hAnsi="Verdana" w:cs="Arial"/>
                <w:color w:val="000000"/>
                <w:lang w:val="es-ES"/>
              </w:rPr>
            </w:pPr>
            <w:r w:rsidRPr="00C215D5">
              <w:rPr>
                <w:rFonts w:ascii="Verdana" w:eastAsia="Times New Roman" w:hAnsi="Verdana" w:cs="Arial"/>
                <w:lang w:eastAsia="es-ES"/>
              </w:rPr>
              <w:t xml:space="preserve">i. </w:t>
            </w:r>
            <w:r w:rsidRPr="00C215D5">
              <w:rPr>
                <w:rFonts w:ascii="Verdana" w:eastAsia="Calibri" w:hAnsi="Verdana" w:cs="Arial"/>
                <w:color w:val="00000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C215D5">
              <w:rPr>
                <w:rFonts w:ascii="Verdana" w:eastAsia="Calibri" w:hAnsi="Verdana" w:cs="Arial"/>
                <w:i/>
                <w:iCs/>
                <w:color w:val="000000"/>
                <w:lang w:val="es-ES"/>
              </w:rPr>
              <w:t>Documentos del Proceso</w:t>
            </w:r>
            <w:r w:rsidRPr="00C215D5">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110C5505" w14:textId="77777777" w:rsidR="00C215D5" w:rsidRPr="00C215D5" w:rsidRDefault="00C215D5" w:rsidP="00C215D5">
            <w:pPr>
              <w:snapToGrid w:val="0"/>
              <w:spacing w:after="120" w:line="276" w:lineRule="auto"/>
              <w:ind w:firstLine="709"/>
              <w:jc w:val="both"/>
              <w:rPr>
                <w:rFonts w:ascii="Verdana" w:eastAsia="Calibri" w:hAnsi="Verdana" w:cs="Arial"/>
                <w:lang w:val="es-ES_tradnl"/>
              </w:rPr>
            </w:pPr>
            <w:r w:rsidRPr="00C215D5">
              <w:rPr>
                <w:rFonts w:ascii="Verdana" w:eastAsia="Calibri" w:hAnsi="Verdana" w:cs="Arial"/>
                <w:lang w:val="es-ES_tradnl"/>
              </w:rPr>
              <w:t xml:space="preserve">El fundamento legal vigente de la regla de la inalterabilidad está en el artículo 1 de la Ley 2022 de 2020, según el cual “(…) serán de obligatorio </w:t>
            </w:r>
            <w:r w:rsidRPr="00C215D5">
              <w:rPr>
                <w:rFonts w:ascii="Verdana" w:eastAsia="Calibri" w:hAnsi="Verdana" w:cs="Arial"/>
                <w:lang w:val="es-ES_tradnl"/>
              </w:rPr>
              <w:lastRenderedPageBreak/>
              <w:t xml:space="preserve">cumplimiento en la actividad contractual de todas las entidades sometidas al Estatuto General de Contratación de la Administración Pública”.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21266873" w14:textId="77777777" w:rsidR="00C215D5" w:rsidRPr="00C215D5" w:rsidRDefault="00C215D5" w:rsidP="00C215D5">
            <w:pPr>
              <w:snapToGrid w:val="0"/>
              <w:spacing w:after="120" w:line="276" w:lineRule="auto"/>
              <w:ind w:firstLine="709"/>
              <w:jc w:val="both"/>
              <w:rPr>
                <w:rFonts w:ascii="Verdana" w:eastAsia="Calibri" w:hAnsi="Verdana" w:cs="Arial"/>
                <w:lang w:val="es-ES_tradnl"/>
              </w:rPr>
            </w:pPr>
            <w:r w:rsidRPr="00C215D5">
              <w:rPr>
                <w:rFonts w:ascii="Verdana" w:eastAsia="Calibri" w:hAnsi="Verdana" w:cs="Arial"/>
                <w:lang w:val="es-ES_tradnl"/>
              </w:rPr>
              <w:t xml:space="preserve">La inalterabilidad de los documentos tipo es una manifestación en mayor grado de las potestades regladas, lo cual implica una reducción de la discrecionalidad de la Administración en el momento de tomar una decisión en el proceso de contratación. Cada entidad pública sujeta a los documentos tipo deberá hacer una aplicación o constatación irrestricta de las reglas y condiciones dispuestas en estos, salvo que las mismas posibilitan la discrecionalidad en determinados aspectos. </w:t>
            </w:r>
          </w:p>
          <w:p w14:paraId="5981D021" w14:textId="77777777" w:rsidR="00C215D5" w:rsidRPr="00C215D5" w:rsidRDefault="00C215D5" w:rsidP="00C215D5">
            <w:pPr>
              <w:snapToGrid w:val="0"/>
              <w:spacing w:after="120" w:line="276" w:lineRule="auto"/>
              <w:ind w:firstLine="709"/>
              <w:jc w:val="both"/>
              <w:rPr>
                <w:rFonts w:ascii="Verdana" w:eastAsia="Calibri" w:hAnsi="Verdana" w:cs="Arial"/>
                <w:lang w:val="es-ES"/>
              </w:rPr>
            </w:pPr>
            <w:r w:rsidRPr="00C215D5">
              <w:rPr>
                <w:rFonts w:ascii="Verdana" w:eastAsia="Calibri" w:hAnsi="Verdana" w:cs="Arial"/>
                <w:lang w:val="es-ES"/>
              </w:rPr>
              <w:t xml:space="preserve">Además, las entidades estatales deben garantizar el </w:t>
            </w:r>
            <w:r w:rsidRPr="00C215D5">
              <w:rPr>
                <w:rFonts w:ascii="Verdana" w:eastAsia="Calibri" w:hAnsi="Verdana" w:cs="Arial"/>
                <w:i/>
                <w:iCs/>
                <w:lang w:val="es-ES"/>
              </w:rPr>
              <w:t>principio de economía</w:t>
            </w:r>
            <w:r w:rsidRPr="00C215D5">
              <w:rPr>
                <w:rFonts w:ascii="Verdana" w:eastAsia="Calibri" w:hAnsi="Verdana" w:cs="Arial"/>
                <w:lang w:val="es-ES"/>
              </w:rPr>
              <w:t xml:space="preserve">, del cual se desprende que no pueden exigir documentos o requisitos más allá de los que permitan la Constitución, la ley y los reglamentos. Este postulado ha sido recogido no solo en la contratación estatal sino además en la normativa </w:t>
            </w:r>
            <w:proofErr w:type="spellStart"/>
            <w:r w:rsidRPr="00C215D5">
              <w:rPr>
                <w:rFonts w:ascii="Verdana" w:eastAsia="Calibri" w:hAnsi="Verdana" w:cs="Arial"/>
                <w:lang w:val="es-ES"/>
              </w:rPr>
              <w:t>antitrámites</w:t>
            </w:r>
            <w:proofErr w:type="spellEnd"/>
            <w:r w:rsidRPr="00C215D5">
              <w:rPr>
                <w:rFonts w:ascii="Verdana" w:eastAsia="Calibri" w:hAnsi="Verdana" w:cs="Arial"/>
                <w:lang w:val="es-ES"/>
              </w:rPr>
              <w:t>; pues se inscribe dentro de la tendencia de simplificación y racionalización de los procedimientos administrativos. De ahí que cuando las autoridades solicitan la entrega de documentación innecesaria, desconocen el principio de economía.</w:t>
            </w:r>
          </w:p>
          <w:p w14:paraId="641A5F59" w14:textId="77777777" w:rsidR="00C215D5" w:rsidRPr="00C215D5" w:rsidRDefault="00C215D5" w:rsidP="00C215D5">
            <w:pPr>
              <w:snapToGrid w:val="0"/>
              <w:spacing w:after="120" w:line="276" w:lineRule="auto"/>
              <w:ind w:firstLine="708"/>
              <w:jc w:val="both"/>
              <w:rPr>
                <w:rFonts w:ascii="Verdana" w:eastAsia="Calibri" w:hAnsi="Verdana" w:cs="Arial"/>
                <w:color w:val="000000"/>
                <w:lang w:val="es-ES"/>
              </w:rPr>
            </w:pPr>
            <w:r w:rsidRPr="00C215D5">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C215D5">
              <w:rPr>
                <w:rFonts w:ascii="Verdana" w:eastAsia="Calibri" w:hAnsi="Verdana" w:cs="Arial"/>
                <w:color w:val="000000"/>
                <w:vertAlign w:val="superscript"/>
                <w:lang w:val="es-ES"/>
              </w:rPr>
              <w:footnoteReference w:id="1"/>
            </w:r>
            <w:r w:rsidRPr="00C215D5">
              <w:rPr>
                <w:rFonts w:ascii="Verdana" w:eastAsia="Calibri" w:hAnsi="Verdana" w:cs="Arial"/>
                <w:color w:val="000000"/>
                <w:lang w:val="es-ES"/>
              </w:rPr>
              <w:t xml:space="preserve">. Si las autoridades pudiesen agregar, eliminar o modificar todos y cada uno de los aspectos contenidos en los pliegos tipo, estos documentos, llanamente, no podrían ser llamados pliegos tipo. </w:t>
            </w:r>
          </w:p>
          <w:p w14:paraId="62C8BF9B" w14:textId="77777777" w:rsidR="00C215D5" w:rsidRPr="00C215D5" w:rsidRDefault="00C215D5" w:rsidP="00C215D5">
            <w:pPr>
              <w:snapToGrid w:val="0"/>
              <w:spacing w:after="120" w:line="276" w:lineRule="auto"/>
              <w:ind w:firstLine="708"/>
              <w:jc w:val="both"/>
              <w:rPr>
                <w:rFonts w:ascii="Verdana" w:eastAsia="Calibri" w:hAnsi="Verdana" w:cs="Arial"/>
                <w:color w:val="000000"/>
                <w:lang w:val="es-ES"/>
              </w:rPr>
            </w:pPr>
            <w:r w:rsidRPr="00C215D5">
              <w:rPr>
                <w:rFonts w:ascii="Verdana" w:eastAsia="Calibri" w:hAnsi="Verdana" w:cs="Arial"/>
                <w:lang w:val="es-MX"/>
              </w:rPr>
              <w:t xml:space="preserve">La parte introductoria de los documentos base de los documentos tipo disponen que los aspectos incluidos en corchetes y resaltados en gris </w:t>
            </w:r>
            <w:r w:rsidRPr="00C215D5">
              <w:rPr>
                <w:rFonts w:ascii="Verdana" w:eastAsia="Aptos" w:hAnsi="Verdana" w:cs="Arial"/>
              </w:rPr>
              <w:t>–[</w:t>
            </w:r>
            <w:r w:rsidRPr="00C215D5">
              <w:rPr>
                <w:rFonts w:ascii="Verdana" w:eastAsia="Aptos" w:hAnsi="Verdana" w:cs="Arial"/>
                <w:highlight w:val="lightGray"/>
              </w:rPr>
              <w:t>texto de ejemplo</w:t>
            </w:r>
            <w:r w:rsidRPr="00C215D5">
              <w:rPr>
                <w:rFonts w:ascii="Verdana" w:eastAsia="Aptos" w:hAnsi="Verdana" w:cs="Arial"/>
              </w:rPr>
              <w:t xml:space="preserve">]– </w:t>
            </w:r>
            <w:r w:rsidRPr="00C215D5">
              <w:rPr>
                <w:rFonts w:ascii="Verdana" w:eastAsia="Calibri" w:hAnsi="Verdana" w:cs="Arial"/>
                <w:lang w:val="es-MX"/>
              </w:rPr>
              <w:t xml:space="preserve">deben ser diligenciados por la entidad. Excepcionalmente le </w:t>
            </w:r>
            <w:r w:rsidRPr="00C215D5">
              <w:rPr>
                <w:rFonts w:ascii="Verdana" w:eastAsia="Calibri" w:hAnsi="Verdana" w:cs="Arial"/>
                <w:lang w:val="es-MX"/>
              </w:rPr>
              <w:lastRenderedPageBreak/>
              <w:t xml:space="preserve">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4A6B9B30" w14:textId="77777777" w:rsidR="00C215D5" w:rsidRPr="00C215D5" w:rsidRDefault="00C215D5" w:rsidP="00C215D5">
            <w:pPr>
              <w:spacing w:line="276" w:lineRule="auto"/>
              <w:ind w:firstLine="709"/>
              <w:jc w:val="both"/>
              <w:rPr>
                <w:rFonts w:ascii="Verdana" w:eastAsia="Calibri" w:hAnsi="Verdana" w:cs="Arial"/>
                <w:bCs/>
                <w:lang w:val="es-MX"/>
              </w:rPr>
            </w:pPr>
            <w:r w:rsidRPr="00C215D5">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1D2D6046" w14:textId="77777777" w:rsidR="00C215D5" w:rsidRPr="00C215D5" w:rsidRDefault="00C215D5" w:rsidP="00C215D5">
            <w:pPr>
              <w:spacing w:line="276" w:lineRule="auto"/>
              <w:ind w:firstLine="709"/>
              <w:jc w:val="both"/>
              <w:rPr>
                <w:rFonts w:ascii="Verdana" w:eastAsia="Calibri" w:hAnsi="Verdana" w:cs="Arial"/>
                <w:bCs/>
                <w:lang w:val="es-MX"/>
              </w:rPr>
            </w:pPr>
          </w:p>
          <w:p w14:paraId="70D31D1E" w14:textId="77777777" w:rsidR="00C215D5" w:rsidRPr="00C215D5" w:rsidRDefault="00C215D5" w:rsidP="00C215D5">
            <w:pPr>
              <w:widowControl w:val="0"/>
              <w:autoSpaceDE w:val="0"/>
              <w:autoSpaceDN w:val="0"/>
              <w:snapToGrid w:val="0"/>
              <w:spacing w:after="120" w:line="276" w:lineRule="auto"/>
              <w:jc w:val="both"/>
              <w:rPr>
                <w:rFonts w:ascii="Verdana" w:eastAsia="Aptos" w:hAnsi="Verdana" w:cs="Times New Roman"/>
              </w:rPr>
            </w:pPr>
            <w:proofErr w:type="spellStart"/>
            <w:r w:rsidRPr="00C215D5">
              <w:rPr>
                <w:rFonts w:ascii="Verdana" w:eastAsia="Aptos" w:hAnsi="Verdana" w:cs="Times New Roman"/>
              </w:rPr>
              <w:t>ii</w:t>
            </w:r>
            <w:proofErr w:type="spellEnd"/>
            <w:r w:rsidRPr="00C215D5">
              <w:rPr>
                <w:rFonts w:ascii="Verdana" w:eastAsia="Aptos" w:hAnsi="Verdana" w:cs="Times New Roman"/>
              </w:rPr>
              <w:t xml:space="preserve">. La Ley 2022 de 2020 no solo atribuye la competencia a la Agencia Nacional de Contratación Pública – Colombia Compra Eficiente para adoptar documentos tipo, sino que define expresamente su contenido, al disponer que en estos </w:t>
            </w:r>
            <w:r w:rsidRPr="00C215D5">
              <w:rPr>
                <w:rFonts w:ascii="Verdana" w:eastAsia="Aptos" w:hAnsi="Verdana" w:cs="Times New Roman"/>
                <w:i/>
                <w:iCs/>
              </w:rPr>
              <w:t>“(…) se establecerán los requisitos habilitantes, factores técnicos, económicos y otros factores de escogencia, así como aquellos requisitos que, previa justificación, representen buenas prácticas contractuales”.</w:t>
            </w:r>
            <w:r w:rsidRPr="00C215D5">
              <w:rPr>
                <w:rFonts w:ascii="Verdana" w:eastAsia="Aptos" w:hAnsi="Verdana" w:cs="Times New Roman"/>
              </w:rPr>
              <w:t xml:space="preserve"> De esta manera, el legislador concentró en la Agencia Nacional de Contratación Pública – Colombia Compra Eficiente la definición de los elementos estructurales de los procesos de selección, con el propósito de garantizar la estandarización, la transparencia, la selección objetiva y la eficiencia en el uso de los recursos públicos. </w:t>
            </w:r>
          </w:p>
          <w:p w14:paraId="6E10F0DF"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 xml:space="preserve">Concretamente, la competencia prevista en el artículo 1 de la Ley 2022 de 2020, se ejerció mediante la expedición de la Resolución 160 de 2020 del 15 de septiembre de 2020 “Por la cual se adopta el procedimiento para implementar los documentos tipo y se define el sistema para su revisión”, así como con la expedición de múltiples resoluciones mediante las cuales se adoptaron documentos tipo por parte de la Agencia Nacional de Contratación Pública – Colombia Compra Eficiente en diferentes modalidades de selección y sectores, en las cuales, además, se reitera el carácter obligatorio de estos documentos y se establecen reglas específicas para su aplicación. </w:t>
            </w:r>
          </w:p>
          <w:p w14:paraId="1AF58749"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 xml:space="preserve">En este sentido, las resoluciones mediante las cuales la Agencia Nacional de Contratación Pública – Colombia Compra Eficiente adoptó documentos tipo, </w:t>
            </w:r>
            <w:r w:rsidRPr="00C215D5">
              <w:rPr>
                <w:rFonts w:ascii="Verdana" w:eastAsia="Aptos" w:hAnsi="Verdana" w:cs="Times New Roman"/>
              </w:rPr>
              <w:lastRenderedPageBreak/>
              <w:t>consolidan un sistema de contratación estandarizado –en las modalidades y sectores adoptados– en el que las entidades estatales obligadas a la aplicación deben sujetarse de manera estricta a las condiciones definidas en dichos instrumentos, particularmente, en lo relacionado con requisitos habilitantes, factores de evaluación y sistemas de ponderación.</w:t>
            </w:r>
          </w:p>
          <w:p w14:paraId="5853C120"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Lo dispuesto en el párrafo precedente, es consecuente con lo desarrollado en el punto uno (i) de la parte considerativa de este concepto. En este se indicó que, sobre los documentos tipo expedidos por la Agencia Nacional de Contratación Pública – Colombia Compra Eficiente, recae la regla de inalterabilidad.</w:t>
            </w:r>
          </w:p>
          <w:p w14:paraId="2024DF04"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Considerando lo anterior, si bien es cierto que, el Decreto 287 de 2026 establece que rige a partir del día siguiente a su publicación, lo que determina su vigencia inmediata, su aplicación en el ámbito de los procesos sometidos a documentos tipo debe interpretarse de manera sistemática y armónica con el régimen legal que regula dichos instrumentos, esto es, lo señalado en el artículo 1 de la Ley 2022 de 2020 y su desarrollo reglamentario a través de cada una de las resoluciones expedidas por la Agencia Nacional de Contratación Pública – Colombia Compra Eficiente mediante las cuales se han implementados documentos tipo. En efecto, dado que los documentos tipo contienen de manera obligatoria los requisitos habilitantes, los factores de evaluación y los criterios de escogencia, las entidades estatales no cuentan con competencia para modificarlos o complementarlos de manera autónoma con el fin de incorporar directamente las disposiciones del Decreto en mención.</w:t>
            </w:r>
          </w:p>
          <w:p w14:paraId="418C4FA1"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Permitir que cada entidad introduzca ajustes a los documentos tipo para dar aplicación inmediata al Decreto 287 de 2026 implicaría desconocer la competencia exclusiva atribuida por el legislador a la Agencia Nacional de Contratación Pública – Colombia Compra Eficiente mediante la expedición de la Ley 2022 de 2020, así como la regla de inalterabilidad que rige estos documentos. Además, generaría una fragmentación del sistema de compra pública, afectando los principios de igualdad, transparencia y selección objetiva, en la medida en que procesos contractuales similares podrían regirse por condiciones distintas, dependiendo de la entidad que los adelante y la forma como incorporó las previsiones contenidas en el Decreto 287 de 2026 a los procesos de selección regidos por documentos tipo.</w:t>
            </w:r>
          </w:p>
          <w:p w14:paraId="3ED7AFA7"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 xml:space="preserve">Desde una perspectiva técnica, los documentos tipo constituyen un </w:t>
            </w:r>
            <w:r w:rsidRPr="00C215D5">
              <w:rPr>
                <w:rFonts w:ascii="Verdana" w:eastAsia="Aptos" w:hAnsi="Verdana" w:cs="Times New Roman"/>
              </w:rPr>
              <w:lastRenderedPageBreak/>
              <w:t xml:space="preserve">sistema integral y articulado, en el cual los requisitos habilitantes, los factores de evaluación y las condiciones contractuales se encuentran interrelacionados. En consecuencia, la incorporación aislada de modificaciones podría generar inconsistencias o desajustes en su aplicación, afectando la coherencia del proceso contractual. Por esta razón, la Ley 2022 de 2020 prevé que su adopción y actualización se realice mediante procedimientos estructurados, coordinados y participativos, a cargo de la Agencia Nacional de Contratación Pública – Colombia Compra Eficiente, quien cuenta con la capacidad técnica para garantizar la adecuada integración de las nuevas disposiciones, como por ejemplo el Decreto 287 de 2026. </w:t>
            </w:r>
          </w:p>
          <w:p w14:paraId="737A5D2D"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Adicionalmente, el propio Decreto 287 de 2026 en el artículo 1 que modifica el artículo 2.2.1.2.4.2.7.8 al Decreto 1082 de 2015, reconoce esta necesidad al disponer que la Agencia Nacional de Contratación Pública – Colombia Compra Eficiente “(…) garantizará la adopción permanente de las acciones necesarias para que las medidas señaladas en esta subsección se incorporen a los documentos e instrumentos que genera</w:t>
            </w:r>
            <w:r w:rsidRPr="00C215D5">
              <w:rPr>
                <w:rFonts w:ascii="Aptos" w:eastAsia="Aptos" w:hAnsi="Aptos" w:cs="Times New Roman"/>
              </w:rPr>
              <w:t>”</w:t>
            </w:r>
            <w:r w:rsidRPr="00C215D5">
              <w:rPr>
                <w:rFonts w:ascii="Verdana" w:eastAsia="Aptos" w:hAnsi="Verdana" w:cs="Times New Roman"/>
              </w:rPr>
              <w:t xml:space="preserve">, lo cual confirma que la operatividad de dichas disposiciones en el ámbito de los documentos tipo depende de su desarrollo por parte de esta entidad. </w:t>
            </w:r>
          </w:p>
          <w:p w14:paraId="38557A70"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 xml:space="preserve">Lo anterior es consecuente con lo dispuesto en el ABC del Decreto 0287 de 2026 “Contratación pública inclusiva para personas con discapacidad” en donde se establece que “La aplicación del Decreto 0287 de 2026 en los documentos tipo está sujeta a que Colombia Compra Eficiente realice los ajustes correspondientes en estos instrumentos”, esto considerando que “(…) los documentos tipo requieren una adecuación técnica y normativa previa para incorporar las medidas del sistema de preferencias”. </w:t>
            </w:r>
          </w:p>
          <w:p w14:paraId="4246F487"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 xml:space="preserve">En consecuencia, aunque de acuerdo con el artículo 2 del Decreto 287 de 2026, este “(…) rige a partir del día siguiente a su publicación (…)”, su aplicación en los procesos contracción regidos por documentos tipo se encuentra condicionada a su incorporación formal en dichos instrumentos por parte de la Agencia Nacional de Contratación Pública – Colombia Compra Eficiente. Así, solo a partir de dicha incorporación mediante la modificación a los documentos tipo, es posible garantizar una aplicación uniforme, coherente y jurídicamente válida de las medidas afirmativas previstas, sin desconocer la distribución de competencias establecida por el legislador ni la estructura </w:t>
            </w:r>
            <w:r w:rsidRPr="00C215D5">
              <w:rPr>
                <w:rFonts w:ascii="Verdana" w:eastAsia="Aptos" w:hAnsi="Verdana" w:cs="Times New Roman"/>
              </w:rPr>
              <w:lastRenderedPageBreak/>
              <w:t>normativa del sistema de compras y contratación pública.</w:t>
            </w:r>
          </w:p>
          <w:p w14:paraId="371FB0B7"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 xml:space="preserve">En conclusión, la implementación de las disposiciones del Decreto 287 de 2026 en relación con los documentos tipo no puede realizarse de manera directa por las entidades estatales que obligatoriamente deben aplicarlos, sino que, requiere necesariamente su desarrollo e incorporación por parte de la Agencia Nacional de Contratación Pública – Colombia Compra Eficiente, en ejercicio de la competencia que le fue atribuida por la Ley 2022 de 2020, garantizando así la coherencia del sistema, el respeto por la jerarquía normativa y la efectividad de las medidas orientadas a la inclusión de las personas con discapacidad en el sistema de compras y contratación pública. </w:t>
            </w:r>
          </w:p>
          <w:p w14:paraId="55CB35DE" w14:textId="77777777" w:rsidR="00C215D5" w:rsidRPr="00C215D5" w:rsidRDefault="00C215D5" w:rsidP="00C215D5">
            <w:pPr>
              <w:widowControl w:val="0"/>
              <w:autoSpaceDE w:val="0"/>
              <w:autoSpaceDN w:val="0"/>
              <w:snapToGrid w:val="0"/>
              <w:spacing w:after="120" w:line="276" w:lineRule="auto"/>
              <w:ind w:firstLine="708"/>
              <w:jc w:val="both"/>
              <w:rPr>
                <w:rFonts w:ascii="Verdana" w:eastAsia="Aptos" w:hAnsi="Verdana" w:cs="Times New Roman"/>
              </w:rPr>
            </w:pPr>
            <w:r w:rsidRPr="00C215D5">
              <w:rPr>
                <w:rFonts w:ascii="Verdana" w:eastAsia="Aptos" w:hAnsi="Verdana" w:cs="Times New Roman"/>
              </w:rPr>
              <w:t>Finalmente, debe indicarse que, la Agencia Nacional de Contratación Pública – Colombia Compra Eficiente se encuentra trabajando en la incorporación de los criterios establecidos en el Decreto 287 de 2026 en los documentos tipo, lo que implica agotar el procedimiento previsto en la Resolución 160 de 2020 que establece el sistema para su revisión de estos documentos y la adopción de las modificaciones a que haya lugar mediante acto administrativo motivado.</w:t>
            </w:r>
          </w:p>
          <w:p w14:paraId="6FDE7A3C" w14:textId="77777777" w:rsidR="00C215D5" w:rsidRPr="00C215D5" w:rsidRDefault="00C215D5" w:rsidP="00C215D5">
            <w:pPr>
              <w:widowControl w:val="0"/>
              <w:autoSpaceDE w:val="0"/>
              <w:autoSpaceDN w:val="0"/>
              <w:spacing w:after="120" w:line="276" w:lineRule="auto"/>
              <w:ind w:firstLine="709"/>
              <w:jc w:val="both"/>
              <w:rPr>
                <w:rFonts w:ascii="Verdana" w:eastAsia="Aptos" w:hAnsi="Verdana" w:cs="Times New Roman"/>
              </w:rPr>
            </w:pPr>
            <w:r w:rsidRPr="00C215D5">
              <w:rPr>
                <w:rFonts w:ascii="Verdana" w:eastAsia="Aptos" w:hAnsi="Verdana" w:cs="Times New Roman"/>
              </w:rPr>
              <w:t xml:space="preserve">Mediante el agotamiento de una serie de actuaciones que implican, el análisis del Decreto en comento desde un perspectiva técnica, financiera y jurídica, generar versiones previas para comentarios de ciudadanos, entidades y grupos de interés, respuesta a las observaciones y un informe global, entre otras etapas, esta Agencia adoptará las modificaciones a los documentos tipo para adecuarlos al contenido del Decreto 287 de 2026 que modifica el 1082 de 2015. Este trabajo ya fue iniciado por la Agencia Nacional de Contratación Pública – Colombia Compra Eficiente y finalizará con la adopción del acto administrativo que modifica los documentos tipo luego de surtir el procedimiento señalado. </w:t>
            </w:r>
          </w:p>
          <w:p w14:paraId="450441EA" w14:textId="77777777" w:rsidR="00C215D5" w:rsidRPr="00C215D5" w:rsidRDefault="00C215D5" w:rsidP="00C215D5">
            <w:pPr>
              <w:widowControl w:val="0"/>
              <w:autoSpaceDE w:val="0"/>
              <w:autoSpaceDN w:val="0"/>
              <w:spacing w:after="120" w:line="276" w:lineRule="auto"/>
              <w:ind w:firstLine="709"/>
              <w:jc w:val="both"/>
              <w:rPr>
                <w:rFonts w:ascii="Verdana" w:eastAsia="Aptos" w:hAnsi="Verdana" w:cs="Times New Roman"/>
              </w:rPr>
            </w:pPr>
            <w:r w:rsidRPr="00C215D5">
              <w:rPr>
                <w:rFonts w:ascii="Verdana" w:eastAsia="Aptos" w:hAnsi="Verdana" w:cs="Times New Roman"/>
              </w:rPr>
              <w:t xml:space="preserve">Por otra parte, en caso de inobservancia de la regla de inalterabilidad de los pliegos tipo, corresponde a las entidades contratantes y proponentes adelantar las actuaciones que estimen procedentes al respecto y/o acudir a las autoridades competentes, en el marco de su autonomía y de acuerdo con el alcance de esas situaciones. Lo anterior, teniendo en cuenta que se trata de actuaciones que no son objeto de regulación en los documentos tipo. </w:t>
            </w:r>
          </w:p>
          <w:p w14:paraId="4F617A0F" w14:textId="77777777" w:rsidR="00C215D5" w:rsidRPr="00C215D5" w:rsidRDefault="00C215D5" w:rsidP="00C215D5">
            <w:pPr>
              <w:widowControl w:val="0"/>
              <w:autoSpaceDE w:val="0"/>
              <w:autoSpaceDN w:val="0"/>
              <w:spacing w:line="276" w:lineRule="auto"/>
              <w:ind w:firstLine="708"/>
              <w:jc w:val="both"/>
              <w:rPr>
                <w:rFonts w:ascii="Verdana" w:eastAsia="Aptos" w:hAnsi="Verdana" w:cs="Times New Roman"/>
              </w:rPr>
            </w:pPr>
            <w:r w:rsidRPr="00C215D5">
              <w:rPr>
                <w:rFonts w:ascii="Verdana" w:eastAsia="Aptos" w:hAnsi="Verdana" w:cs="Times New Roman"/>
              </w:rPr>
              <w:t xml:space="preserve">En todo caso, le informamos que, recientemente, esta Agencia expidió </w:t>
            </w:r>
            <w:r w:rsidRPr="00C215D5">
              <w:rPr>
                <w:rFonts w:ascii="Verdana" w:eastAsia="Aptos" w:hAnsi="Verdana" w:cs="Times New Roman"/>
              </w:rPr>
              <w:lastRenderedPageBreak/>
              <w:t xml:space="preserve">la “Guía para Adelantar el Proceso Sancionatorio Administrativo Contractual”, la cual puede resultarle útil para las hipótesis planteadas en la consulta. Esta puede ser consultada a través del siguiente enlace: </w:t>
            </w:r>
            <w:hyperlink r:id="rId11" w:history="1">
              <w:r w:rsidRPr="00C215D5">
                <w:rPr>
                  <w:rFonts w:ascii="Verdana" w:eastAsia="Aptos" w:hAnsi="Verdana" w:cs="Times New Roman"/>
                  <w:color w:val="0000FF"/>
                  <w:u w:val="single"/>
                </w:rPr>
                <w:t>https://www.colombiacompra.gov.co/normativa-y-relatoria/guias-y-manuales</w:t>
              </w:r>
            </w:hyperlink>
            <w:r w:rsidRPr="00C215D5">
              <w:rPr>
                <w:rFonts w:ascii="Verdana" w:eastAsia="Aptos" w:hAnsi="Verdana" w:cs="Times New Roman"/>
              </w:rPr>
              <w:t xml:space="preserve"> </w:t>
            </w:r>
          </w:p>
        </w:tc>
      </w:tr>
    </w:tbl>
    <w:p w14:paraId="7FFE4F5E" w14:textId="77777777" w:rsidR="00C215D5" w:rsidRPr="00C215D5" w:rsidRDefault="00C215D5" w:rsidP="00C215D5">
      <w:pPr>
        <w:tabs>
          <w:tab w:val="left" w:pos="142"/>
          <w:tab w:val="left" w:pos="284"/>
        </w:tabs>
        <w:spacing w:after="0" w:line="276" w:lineRule="auto"/>
        <w:jc w:val="both"/>
        <w:rPr>
          <w:rFonts w:ascii="Verdana" w:eastAsia="Century Gothic" w:hAnsi="Verdana" w:cs="Century Gothic"/>
          <w:b/>
          <w:bCs/>
          <w:lang w:val="es-ES"/>
        </w:rPr>
      </w:pPr>
    </w:p>
    <w:p w14:paraId="5A37C587" w14:textId="77777777" w:rsidR="00C215D5" w:rsidRPr="00C215D5" w:rsidRDefault="00C215D5" w:rsidP="00C215D5">
      <w:pPr>
        <w:tabs>
          <w:tab w:val="left" w:pos="142"/>
          <w:tab w:val="left" w:pos="284"/>
        </w:tabs>
        <w:spacing w:after="0" w:line="276" w:lineRule="auto"/>
        <w:jc w:val="both"/>
        <w:rPr>
          <w:rFonts w:ascii="Verdana" w:eastAsia="Century Gothic" w:hAnsi="Verdana" w:cs="Century Gothic"/>
          <w:b/>
          <w:bCs/>
          <w:lang w:val="es-ES"/>
        </w:rPr>
      </w:pPr>
      <w:r w:rsidRPr="00C215D5">
        <w:rPr>
          <w:rFonts w:ascii="Verdana" w:eastAsia="Century Gothic" w:hAnsi="Verdana" w:cs="Century Gothic"/>
          <w:b/>
          <w:bCs/>
          <w:lang w:val="es-ES"/>
        </w:rPr>
        <w:t>3. Razones de la respuesta:</w:t>
      </w:r>
    </w:p>
    <w:p w14:paraId="28A1B9F7" w14:textId="77777777" w:rsidR="00C215D5" w:rsidRPr="00C215D5" w:rsidRDefault="00C215D5" w:rsidP="00C215D5">
      <w:pPr>
        <w:spacing w:after="0" w:line="276" w:lineRule="auto"/>
        <w:jc w:val="both"/>
        <w:rPr>
          <w:rFonts w:ascii="Verdana" w:eastAsia="Calibri" w:hAnsi="Verdana" w:cs="Arial"/>
          <w:lang w:val="es-ES"/>
        </w:rPr>
      </w:pPr>
    </w:p>
    <w:p w14:paraId="5F67FE1D" w14:textId="77777777" w:rsidR="00C215D5" w:rsidRPr="00C215D5" w:rsidRDefault="00C215D5" w:rsidP="00C215D5">
      <w:pPr>
        <w:spacing w:after="0" w:line="276" w:lineRule="auto"/>
        <w:jc w:val="both"/>
        <w:rPr>
          <w:rFonts w:ascii="Verdana" w:eastAsia="Calibri" w:hAnsi="Verdana" w:cs="Arial"/>
          <w:lang w:val="es-ES"/>
        </w:rPr>
      </w:pPr>
      <w:r w:rsidRPr="00C215D5">
        <w:rPr>
          <w:rFonts w:ascii="Verdana" w:eastAsia="Calibri" w:hAnsi="Verdana" w:cs="Arial"/>
          <w:lang w:val="es-ES"/>
        </w:rPr>
        <w:t xml:space="preserve">Lo anterior se sustenta en las siguientes consideraciones: </w:t>
      </w:r>
      <w:bookmarkStart w:id="2" w:name="_Hlk113022941"/>
    </w:p>
    <w:p w14:paraId="338C8005" w14:textId="77777777" w:rsidR="00C215D5" w:rsidRPr="00C215D5" w:rsidRDefault="00C215D5" w:rsidP="00C215D5">
      <w:pPr>
        <w:spacing w:after="0" w:line="276" w:lineRule="auto"/>
        <w:jc w:val="both"/>
        <w:rPr>
          <w:rFonts w:ascii="Verdana" w:eastAsia="Calibri" w:hAnsi="Verdana" w:cs="Arial"/>
          <w:lang w:val="es-ES"/>
        </w:rPr>
      </w:pPr>
    </w:p>
    <w:p w14:paraId="3017FF5B" w14:textId="77777777" w:rsidR="00C215D5" w:rsidRPr="00C215D5" w:rsidRDefault="00C215D5" w:rsidP="00C215D5">
      <w:pPr>
        <w:tabs>
          <w:tab w:val="center" w:pos="4419"/>
          <w:tab w:val="right" w:pos="8838"/>
        </w:tabs>
        <w:spacing w:after="120" w:line="276" w:lineRule="auto"/>
        <w:jc w:val="both"/>
        <w:rPr>
          <w:rFonts w:ascii="Verdana" w:eastAsia="Calibri" w:hAnsi="Verdana" w:cs="Arial"/>
          <w:color w:val="000000"/>
          <w:lang w:val="es-ES"/>
        </w:rPr>
      </w:pPr>
      <w:r w:rsidRPr="00C215D5">
        <w:rPr>
          <w:rFonts w:ascii="Verdana" w:eastAsia="Aptos" w:hAnsi="Verdana" w:cs="Times New Roman"/>
          <w:kern w:val="2"/>
          <w:sz w:val="24"/>
          <w:szCs w:val="24"/>
          <w14:ligatures w14:val="standardContextual"/>
        </w:rPr>
        <w:t xml:space="preserve">i. </w:t>
      </w:r>
      <w:r w:rsidRPr="00C215D5">
        <w:rPr>
          <w:rFonts w:ascii="Verdana" w:eastAsia="Calibri" w:hAnsi="Verdana" w:cs="Arial"/>
          <w:color w:val="000000"/>
          <w:lang w:val="es-ES"/>
        </w:rPr>
        <w:t>Todas las resoluciones</w:t>
      </w:r>
      <w:r w:rsidRPr="00C215D5">
        <w:rPr>
          <w:rFonts w:ascii="Verdana" w:eastAsia="Calibri" w:hAnsi="Verdana" w:cs="Arial"/>
          <w:color w:val="000000"/>
          <w:vertAlign w:val="superscript"/>
          <w:lang w:val="es-ES"/>
        </w:rPr>
        <w:footnoteReference w:id="2"/>
      </w:r>
      <w:r w:rsidRPr="00C215D5">
        <w:rPr>
          <w:rFonts w:ascii="Verdana" w:eastAsia="Calibri" w:hAnsi="Verdana" w:cs="Arial"/>
          <w:color w:val="000000"/>
          <w:lang w:val="es-ES"/>
        </w:rPr>
        <w:t xml:space="preserve">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C215D5">
        <w:rPr>
          <w:rFonts w:ascii="Verdana" w:eastAsia="Calibri" w:hAnsi="Verdana" w:cs="Arial"/>
          <w:i/>
          <w:iCs/>
          <w:color w:val="000000"/>
          <w:lang w:val="es-ES"/>
        </w:rPr>
        <w:t>Documentos del Proceso</w:t>
      </w:r>
      <w:r w:rsidRPr="00C215D5">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23AC2119" w14:textId="77777777" w:rsidR="00C215D5" w:rsidRPr="00C215D5" w:rsidRDefault="00C215D5" w:rsidP="00C215D5">
      <w:pPr>
        <w:spacing w:before="120" w:after="120" w:line="276" w:lineRule="auto"/>
        <w:ind w:firstLine="709"/>
        <w:jc w:val="both"/>
        <w:rPr>
          <w:rFonts w:ascii="Verdana" w:eastAsia="Calibri" w:hAnsi="Verdana" w:cs="Arial"/>
          <w:lang w:val="es-ES_tradnl"/>
        </w:rPr>
      </w:pPr>
      <w:r w:rsidRPr="00C215D5">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significa que antes no rigiera, pues así también lo disponía el artículo 4 de la Ley 1882 de 2018. Por vía reglamentaria, también quedó consignado en su momento el carácter inmodificable de los pliegos tipo en el artículo 1 de los Decretos 342 </w:t>
      </w:r>
      <w:r w:rsidRPr="00C215D5">
        <w:rPr>
          <w:rFonts w:ascii="Verdana" w:eastAsia="Calibri" w:hAnsi="Verdana" w:cs="Arial"/>
          <w:lang w:val="es-ES_tradnl"/>
        </w:rPr>
        <w:lastRenderedPageBreak/>
        <w:t xml:space="preserve">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1D7E8A29" w14:textId="77777777" w:rsidR="00C215D5" w:rsidRPr="00C215D5" w:rsidRDefault="00C215D5" w:rsidP="00C215D5">
      <w:pPr>
        <w:spacing w:before="120" w:after="120" w:line="276" w:lineRule="auto"/>
        <w:ind w:firstLine="709"/>
        <w:jc w:val="both"/>
        <w:rPr>
          <w:rFonts w:ascii="Verdana" w:eastAsia="Calibri" w:hAnsi="Verdana" w:cs="Arial"/>
          <w:lang w:val="es-ES_tradnl"/>
        </w:rPr>
      </w:pPr>
      <w:r w:rsidRPr="00C215D5">
        <w:rPr>
          <w:rFonts w:ascii="Verdana" w:eastAsia="Calibri" w:hAnsi="Verdana" w:cs="Arial"/>
          <w:lang w:val="es-ES_tradnl"/>
        </w:rPr>
        <w:t>La inalterabilidad de los documentos tipo es una manifestación en mayor grado de las potestades regladas, lo cual implica una reducción de la discrecionalidad de la Administración en el momento de tomar una decisión en el proceso de contratación</w:t>
      </w:r>
      <w:r w:rsidRPr="00C215D5">
        <w:rPr>
          <w:rFonts w:ascii="Verdana" w:eastAsia="Calibri" w:hAnsi="Verdana" w:cs="Arial"/>
          <w:vertAlign w:val="superscript"/>
          <w:lang w:val="es-ES_tradnl"/>
        </w:rPr>
        <w:footnoteReference w:id="3"/>
      </w:r>
      <w:r w:rsidRPr="00C215D5">
        <w:rPr>
          <w:rFonts w:ascii="Verdana" w:eastAsia="Calibri" w:hAnsi="Verdana" w:cs="Arial"/>
          <w:lang w:val="es-ES_tradnl"/>
        </w:rPr>
        <w:t xml:space="preserve">. Cada entidad pública sujeta a los documentos tipo deberá hacer una aplicación o constatación irrestricta de las reglas y condiciones dispuestas en estos, salvo que las mismas posibilitan la discrecionalidad en determinados aspectos. </w:t>
      </w:r>
    </w:p>
    <w:p w14:paraId="1A8704B7" w14:textId="77777777" w:rsidR="00C215D5" w:rsidRPr="00C215D5" w:rsidRDefault="00C215D5" w:rsidP="00C215D5">
      <w:pPr>
        <w:spacing w:before="120" w:after="120" w:line="276" w:lineRule="auto"/>
        <w:ind w:firstLine="709"/>
        <w:jc w:val="both"/>
        <w:rPr>
          <w:rFonts w:ascii="Verdana" w:eastAsia="Calibri" w:hAnsi="Verdana" w:cs="Arial"/>
          <w:lang w:val="es-ES"/>
        </w:rPr>
      </w:pPr>
      <w:r w:rsidRPr="00C215D5">
        <w:rPr>
          <w:rFonts w:ascii="Verdana" w:eastAsia="Calibri" w:hAnsi="Verdana" w:cs="Arial"/>
          <w:lang w:val="es-ES"/>
        </w:rPr>
        <w:t xml:space="preserve">Además, las entidades estatales deben garantizar el </w:t>
      </w:r>
      <w:r w:rsidRPr="00C215D5">
        <w:rPr>
          <w:rFonts w:ascii="Verdana" w:eastAsia="Calibri" w:hAnsi="Verdana" w:cs="Arial"/>
          <w:i/>
          <w:iCs/>
          <w:lang w:val="es-ES"/>
        </w:rPr>
        <w:t>principio de economía</w:t>
      </w:r>
      <w:r w:rsidRPr="00C215D5">
        <w:rPr>
          <w:rFonts w:ascii="Verdana" w:eastAsia="Calibri" w:hAnsi="Verdana" w:cs="Arial"/>
          <w:lang w:val="es-ES"/>
        </w:rPr>
        <w:t>, del cual se desprende que no pueden exigir documentos o requisitos más allá de los que permitan la Constitución, la ley y los reglamentos. Este postulado ha sido recogido no solo en la contratación estatal</w:t>
      </w:r>
      <w:r w:rsidRPr="00C215D5">
        <w:rPr>
          <w:rFonts w:ascii="Verdana" w:eastAsia="Calibri" w:hAnsi="Verdana" w:cs="Arial"/>
          <w:vertAlign w:val="superscript"/>
          <w:lang w:val="es-ES"/>
        </w:rPr>
        <w:footnoteReference w:id="4"/>
      </w:r>
      <w:r w:rsidRPr="00C215D5">
        <w:rPr>
          <w:rFonts w:ascii="Verdana" w:eastAsia="Calibri" w:hAnsi="Verdana" w:cs="Arial"/>
          <w:lang w:val="es-ES"/>
        </w:rPr>
        <w:t xml:space="preserve"> sino además en la normativa </w:t>
      </w:r>
      <w:proofErr w:type="spellStart"/>
      <w:r w:rsidRPr="00C215D5">
        <w:rPr>
          <w:rFonts w:ascii="Verdana" w:eastAsia="Calibri" w:hAnsi="Verdana" w:cs="Arial"/>
          <w:lang w:val="es-ES"/>
        </w:rPr>
        <w:t>antitrámites</w:t>
      </w:r>
      <w:proofErr w:type="spellEnd"/>
      <w:r w:rsidRPr="00C215D5">
        <w:rPr>
          <w:rFonts w:ascii="Verdana" w:eastAsia="Calibri" w:hAnsi="Verdana" w:cs="Arial"/>
          <w:vertAlign w:val="superscript"/>
          <w:lang w:val="es-ES"/>
        </w:rPr>
        <w:footnoteReference w:id="5"/>
      </w:r>
      <w:r w:rsidRPr="00C215D5">
        <w:rPr>
          <w:rFonts w:ascii="Verdana" w:eastAsia="Calibri" w:hAnsi="Verdana" w:cs="Arial"/>
          <w:lang w:val="es-ES"/>
        </w:rPr>
        <w:t xml:space="preserve">; pues se inscribe dentro de la tendencia de </w:t>
      </w:r>
      <w:r w:rsidRPr="00C215D5">
        <w:rPr>
          <w:rFonts w:ascii="Verdana" w:eastAsia="Calibri" w:hAnsi="Verdana" w:cs="Arial"/>
          <w:lang w:val="es-ES"/>
        </w:rPr>
        <w:lastRenderedPageBreak/>
        <w:t>simplificación y racionalización de los procedimientos administrativos. De ahí que cuando las autoridades solicitan la entrega de documentación innecesaria, desconocen el principio de economía.</w:t>
      </w:r>
    </w:p>
    <w:p w14:paraId="48CC8E56" w14:textId="77777777" w:rsidR="00C215D5" w:rsidRPr="00C215D5" w:rsidRDefault="00C215D5" w:rsidP="00C215D5">
      <w:pPr>
        <w:spacing w:after="120" w:line="276" w:lineRule="auto"/>
        <w:ind w:firstLine="708"/>
        <w:jc w:val="both"/>
        <w:rPr>
          <w:rFonts w:ascii="Verdana" w:eastAsia="Calibri" w:hAnsi="Verdana" w:cs="Arial"/>
          <w:color w:val="000000"/>
          <w:lang w:val="es-ES"/>
        </w:rPr>
      </w:pPr>
      <w:r w:rsidRPr="00C215D5">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C215D5">
        <w:rPr>
          <w:rFonts w:ascii="Verdana" w:eastAsia="Calibri" w:hAnsi="Verdana" w:cs="Arial"/>
          <w:color w:val="000000"/>
          <w:vertAlign w:val="superscript"/>
          <w:lang w:val="es-ES"/>
        </w:rPr>
        <w:footnoteReference w:id="6"/>
      </w:r>
      <w:r w:rsidRPr="00C215D5">
        <w:rPr>
          <w:rFonts w:ascii="Verdana" w:eastAsia="Calibri" w:hAnsi="Verdana" w:cs="Arial"/>
          <w:color w:val="000000"/>
          <w:lang w:val="es-ES"/>
        </w:rPr>
        <w:t xml:space="preserve">. Si las autoridades pudiesen agregar, eliminar o modificar todos y cada uno de los aspectos contenidos en los pliegos tipo, estos documentos, llanamente, no podrían ser llamados pliegos tipo. </w:t>
      </w:r>
    </w:p>
    <w:p w14:paraId="6A7D595F" w14:textId="77777777" w:rsidR="00C215D5" w:rsidRPr="00C215D5" w:rsidRDefault="00C215D5" w:rsidP="00C215D5">
      <w:pPr>
        <w:spacing w:after="120" w:line="276" w:lineRule="auto"/>
        <w:ind w:firstLine="708"/>
        <w:jc w:val="both"/>
        <w:rPr>
          <w:rFonts w:ascii="Verdana" w:eastAsia="Calibri" w:hAnsi="Verdana" w:cs="Arial"/>
          <w:color w:val="000000"/>
          <w:lang w:val="es-ES"/>
        </w:rPr>
      </w:pPr>
      <w:r w:rsidRPr="00C215D5">
        <w:rPr>
          <w:rFonts w:ascii="Verdana" w:eastAsia="Calibri" w:hAnsi="Verdana" w:cs="Arial"/>
          <w:color w:val="00000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65DA936F" w14:textId="77777777" w:rsidR="00C215D5" w:rsidRPr="00C215D5" w:rsidRDefault="00C215D5" w:rsidP="00C215D5">
      <w:pPr>
        <w:spacing w:after="120" w:line="276" w:lineRule="auto"/>
        <w:ind w:firstLine="708"/>
        <w:jc w:val="both"/>
        <w:rPr>
          <w:rFonts w:ascii="Verdana" w:eastAsia="Calibri" w:hAnsi="Verdana" w:cs="Arial"/>
          <w:color w:val="000000"/>
          <w:lang w:val="es-ES"/>
        </w:rPr>
      </w:pPr>
      <w:r w:rsidRPr="00C215D5">
        <w:rPr>
          <w:rFonts w:ascii="Verdana" w:eastAsia="Calibri" w:hAnsi="Verdana" w:cs="Arial"/>
          <w:color w:val="000000"/>
          <w:lang w:val="es-ES"/>
        </w:rPr>
        <w:t>Con base en lo dicho, se observa con toda claridad la necesidad de que existan unos mínimos inalterables que permitan, de un lado, que los pliegos tipo sean propiamente tales y, del otro, que se garanticen los fines expresamente perseguidos por el legislador con su introducción al ordenamiento nacional.</w:t>
      </w:r>
    </w:p>
    <w:p w14:paraId="0D57082E" w14:textId="77777777" w:rsidR="00C215D5" w:rsidRPr="00C215D5" w:rsidRDefault="00C215D5" w:rsidP="00C215D5">
      <w:pPr>
        <w:spacing w:after="120" w:line="276" w:lineRule="auto"/>
        <w:ind w:firstLine="708"/>
        <w:jc w:val="both"/>
        <w:rPr>
          <w:rFonts w:ascii="Verdana" w:eastAsia="Calibri" w:hAnsi="Verdana" w:cs="Arial"/>
          <w:color w:val="000000"/>
          <w:lang w:val="es-ES"/>
        </w:rPr>
      </w:pPr>
      <w:r w:rsidRPr="00C215D5">
        <w:rPr>
          <w:rFonts w:ascii="Verdana" w:eastAsia="Calibri" w:hAnsi="Verdana" w:cs="Arial"/>
          <w:lang w:val="es-MX"/>
        </w:rPr>
        <w:t xml:space="preserve">No obstante, la parte introductoria de los documentos base de los documentos tipo disponen que los aspectos incluidos en corchetes y resaltados </w:t>
      </w:r>
      <w:r w:rsidRPr="00C215D5">
        <w:rPr>
          <w:rFonts w:ascii="Verdana" w:eastAsia="Calibri" w:hAnsi="Verdana" w:cs="Arial"/>
          <w:lang w:val="es-MX"/>
        </w:rPr>
        <w:lastRenderedPageBreak/>
        <w:t xml:space="preserve">en gris </w:t>
      </w:r>
      <w:r w:rsidRPr="00C215D5">
        <w:rPr>
          <w:rFonts w:ascii="Verdana" w:eastAsia="Aptos" w:hAnsi="Verdana" w:cs="Arial"/>
        </w:rPr>
        <w:t>–[</w:t>
      </w:r>
      <w:r w:rsidRPr="00C215D5">
        <w:rPr>
          <w:rFonts w:ascii="Verdana" w:eastAsia="Aptos" w:hAnsi="Verdana" w:cs="Arial"/>
          <w:highlight w:val="lightGray"/>
        </w:rPr>
        <w:t>texto de ejemplo</w:t>
      </w:r>
      <w:r w:rsidRPr="00C215D5">
        <w:rPr>
          <w:rFonts w:ascii="Verdana" w:eastAsia="Aptos" w:hAnsi="Verdana" w:cs="Arial"/>
        </w:rPr>
        <w:t xml:space="preserve">]– </w:t>
      </w:r>
      <w:r w:rsidRPr="00C215D5">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5EE1940B" w14:textId="77777777" w:rsidR="00C215D5" w:rsidRPr="00C215D5" w:rsidRDefault="00C215D5" w:rsidP="00C215D5">
      <w:pPr>
        <w:spacing w:after="120" w:line="276" w:lineRule="auto"/>
        <w:ind w:firstLine="708"/>
        <w:jc w:val="both"/>
        <w:rPr>
          <w:rFonts w:ascii="Aptos" w:eastAsia="Aptos" w:hAnsi="Aptos" w:cs="Times New Roman"/>
          <w:kern w:val="2"/>
          <w:sz w:val="24"/>
          <w:szCs w:val="24"/>
          <w:lang w:val="es-MX"/>
          <w14:ligatures w14:val="standardContextual"/>
        </w:rPr>
      </w:pPr>
      <w:r w:rsidRPr="00C215D5">
        <w:rPr>
          <w:rFonts w:ascii="Verdana" w:eastAsia="Calibri" w:hAnsi="Verdana" w:cs="Arial"/>
          <w:lang w:val="es-MX"/>
        </w:rPr>
        <w:t xml:space="preserve">Debe indicarse que, la regla de inalterabilidad que recae sobre los documentos tipo, también se encuentra consagrada de forma expresa en el documento base. Así, en el aparte sobre las normas de interpretación del pliego de condiciones, el literal I del numeral 1.17 del pliego tipo de los documentos tipo de licitación de obra pública de infraestructura de transporte dispone lo siguiente: </w:t>
      </w:r>
      <w:r w:rsidRPr="00C215D5">
        <w:rPr>
          <w:rFonts w:ascii="Verdana" w:eastAsia="Calibri" w:hAnsi="Verdana" w:cs="Arial"/>
          <w:i/>
          <w:iCs/>
          <w:lang w:val="es-MX"/>
        </w:rPr>
        <w:t>“</w:t>
      </w:r>
      <w:r w:rsidRPr="00C215D5">
        <w:rPr>
          <w:rFonts w:ascii="Verdana" w:eastAsia="Aptos" w:hAnsi="Verdana" w:cs="Times New Roman"/>
          <w:i/>
          <w:iCs/>
          <w:kern w:val="2"/>
          <w:lang w:val="es-MX"/>
          <w14:ligatures w14:val="standardContextual"/>
        </w:rPr>
        <w:t>Los Documentos Tipo son inalterables y no se podrán incluir o modificar los Anexos, Formatos y Formularios, ni exigir soportes o requisitos adicionales; salvo cuando se permita en forma expresa, es decir, en los aspectos incluidos en corchetes y resaltados en gris”.</w:t>
      </w:r>
      <w:r w:rsidRPr="00C215D5">
        <w:rPr>
          <w:rFonts w:ascii="Aptos" w:eastAsia="Aptos" w:hAnsi="Aptos" w:cs="Times New Roman"/>
          <w:kern w:val="2"/>
          <w:sz w:val="24"/>
          <w:szCs w:val="24"/>
          <w:lang w:val="es-MX"/>
          <w14:ligatures w14:val="standardContextual"/>
        </w:rPr>
        <w:t xml:space="preserve"> </w:t>
      </w:r>
    </w:p>
    <w:p w14:paraId="0EF940D7" w14:textId="77777777" w:rsidR="00C215D5" w:rsidRPr="00C215D5" w:rsidRDefault="00C215D5" w:rsidP="00C215D5">
      <w:pPr>
        <w:spacing w:before="120" w:after="120" w:line="276" w:lineRule="auto"/>
        <w:ind w:firstLine="709"/>
        <w:jc w:val="both"/>
        <w:rPr>
          <w:rFonts w:ascii="Verdana" w:eastAsia="Calibri" w:hAnsi="Verdana" w:cs="Arial"/>
          <w:bCs/>
          <w:lang w:val="es-MX"/>
        </w:rPr>
      </w:pPr>
      <w:r w:rsidRPr="00C215D5">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0B393F97" w14:textId="77777777" w:rsidR="00C215D5" w:rsidRPr="00C215D5" w:rsidRDefault="00C215D5" w:rsidP="00C215D5">
      <w:pPr>
        <w:spacing w:before="120" w:after="120" w:line="276" w:lineRule="auto"/>
        <w:ind w:firstLine="709"/>
        <w:jc w:val="both"/>
        <w:rPr>
          <w:rFonts w:ascii="Verdana" w:eastAsia="Calibri" w:hAnsi="Verdana" w:cs="Arial"/>
          <w:bCs/>
          <w:lang w:val="es-MX"/>
        </w:rPr>
      </w:pPr>
      <w:r w:rsidRPr="00C215D5">
        <w:rPr>
          <w:rFonts w:ascii="Verdana" w:eastAsia="Calibri" w:hAnsi="Verdana" w:cs="Arial"/>
          <w:bCs/>
          <w:lang w:val="es-MX"/>
        </w:rPr>
        <w:t xml:space="preserve">Esta regla de inalterabilidad </w:t>
      </w:r>
      <w:r w:rsidRPr="00C215D5">
        <w:rPr>
          <w:rFonts w:ascii="Verdana" w:eastAsia="Calibri" w:hAnsi="Verdana" w:cs="Arial"/>
          <w:bCs/>
          <w:i/>
          <w:iCs/>
          <w:lang w:val="es-MX"/>
        </w:rPr>
        <w:t>también aplica a los formatos, formularios, anexos y matrices</w:t>
      </w:r>
      <w:r w:rsidRPr="00C215D5">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p>
    <w:p w14:paraId="2E494246" w14:textId="77777777" w:rsidR="00C215D5" w:rsidRPr="00C215D5" w:rsidRDefault="00C215D5" w:rsidP="00C215D5">
      <w:pPr>
        <w:spacing w:before="120" w:after="120" w:line="276" w:lineRule="auto"/>
        <w:ind w:firstLine="709"/>
        <w:jc w:val="both"/>
        <w:rPr>
          <w:rFonts w:ascii="Verdana" w:eastAsia="Calibri" w:hAnsi="Verdana" w:cs="Arial"/>
          <w:lang w:val="es-MX"/>
        </w:rPr>
      </w:pPr>
      <w:r w:rsidRPr="00C215D5">
        <w:rPr>
          <w:rFonts w:ascii="Verdana" w:eastAsia="Calibri" w:hAnsi="Verdana" w:cs="Arial"/>
          <w:lang w:val="es-MX"/>
        </w:rPr>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la Agencia Nacional de Contratación Pública, impide que la entidad que adelanta el proceso contractual le rinda culto a las “formas”, pues, en últimas, el deber </w:t>
      </w:r>
      <w:r w:rsidRPr="00C215D5">
        <w:rPr>
          <w:rFonts w:ascii="Verdana" w:eastAsia="Calibri" w:hAnsi="Verdana" w:cs="Arial"/>
          <w:lang w:val="es-MX"/>
        </w:rPr>
        <w:lastRenderedPageBreak/>
        <w:t xml:space="preserve">que le asiste es el de tener en cuenta y aplicar los aspectos sustanciales de los documentos tipo, sin distingo de la formalidad de la que se sirva para ello los actores de la contratación pública. </w:t>
      </w:r>
    </w:p>
    <w:p w14:paraId="4B8036AB" w14:textId="77777777" w:rsidR="00C215D5" w:rsidRPr="00C215D5" w:rsidRDefault="00C215D5" w:rsidP="00C215D5">
      <w:pPr>
        <w:spacing w:before="120" w:after="120" w:line="276" w:lineRule="auto"/>
        <w:ind w:firstLine="709"/>
        <w:jc w:val="both"/>
        <w:rPr>
          <w:rFonts w:ascii="Verdana" w:eastAsia="Aptos" w:hAnsi="Verdana" w:cs="Arial"/>
        </w:rPr>
      </w:pPr>
      <w:r w:rsidRPr="00C215D5">
        <w:rPr>
          <w:rFonts w:ascii="Verdana" w:eastAsia="Aptos" w:hAnsi="Verdana" w:cs="Arial"/>
        </w:rPr>
        <w:t xml:space="preserve">En relación con el principio constitucional </w:t>
      </w:r>
      <w:r w:rsidRPr="00C215D5">
        <w:rPr>
          <w:rFonts w:ascii="Verdana" w:eastAsia="Aptos" w:hAnsi="Verdana" w:cs="Arial"/>
          <w:i/>
          <w:iCs/>
        </w:rPr>
        <w:t>sub examine</w:t>
      </w:r>
      <w:r w:rsidRPr="00C215D5">
        <w:rPr>
          <w:rFonts w:ascii="Verdana" w:eastAsia="Aptos" w:hAnsi="Verdana" w:cs="Arial"/>
        </w:rPr>
        <w:t>, la Corte Constitucional explica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w:t>
      </w:r>
      <w:r w:rsidRPr="00C215D5">
        <w:rPr>
          <w:rFonts w:ascii="Verdana" w:eastAsia="Aptos" w:hAnsi="Verdana" w:cs="Arial"/>
          <w:vertAlign w:val="superscript"/>
        </w:rPr>
        <w:footnoteReference w:id="7"/>
      </w:r>
      <w:r w:rsidRPr="00C215D5">
        <w:rPr>
          <w:rFonts w:ascii="Verdana" w:eastAsia="Aptos" w:hAnsi="Verdana" w:cs="Arial"/>
        </w:rPr>
        <w:t xml:space="preserve">. </w:t>
      </w:r>
    </w:p>
    <w:p w14:paraId="10BE23A7" w14:textId="77777777" w:rsidR="00C215D5" w:rsidRPr="00C215D5" w:rsidRDefault="00C215D5" w:rsidP="00C215D5">
      <w:pPr>
        <w:spacing w:after="0" w:line="276" w:lineRule="auto"/>
        <w:ind w:firstLine="709"/>
        <w:jc w:val="both"/>
        <w:rPr>
          <w:rFonts w:ascii="Verdana" w:eastAsia="Calibri" w:hAnsi="Verdana" w:cs="Arial"/>
          <w:lang w:val="es-MX"/>
        </w:rPr>
      </w:pPr>
      <w:r w:rsidRPr="00C215D5">
        <w:rPr>
          <w:rFonts w:ascii="Verdana" w:eastAsia="Calibri" w:hAnsi="Verdana" w:cs="Arial"/>
          <w:lang w:val="es-MX"/>
        </w:rPr>
        <w:t>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esencial y, mucho menos, las obligaciones, deberes y derechos que se derivan para las partes contratantes.</w:t>
      </w:r>
    </w:p>
    <w:p w14:paraId="696A75DD" w14:textId="77777777" w:rsidR="00C215D5" w:rsidRPr="00C215D5" w:rsidRDefault="00C215D5" w:rsidP="00C215D5">
      <w:pPr>
        <w:widowControl w:val="0"/>
        <w:autoSpaceDE w:val="0"/>
        <w:autoSpaceDN w:val="0"/>
        <w:spacing w:after="0" w:line="276" w:lineRule="auto"/>
        <w:jc w:val="both"/>
        <w:rPr>
          <w:rFonts w:ascii="Verdana" w:eastAsia="Aptos" w:hAnsi="Verdana" w:cs="Times New Roman"/>
          <w:kern w:val="2"/>
          <w:sz w:val="24"/>
          <w:szCs w:val="24"/>
          <w14:ligatures w14:val="standardContextual"/>
        </w:rPr>
      </w:pPr>
    </w:p>
    <w:p w14:paraId="343881F7" w14:textId="77777777" w:rsidR="00C215D5" w:rsidRPr="00C215D5" w:rsidRDefault="00C215D5" w:rsidP="00C215D5">
      <w:pPr>
        <w:widowControl w:val="0"/>
        <w:autoSpaceDE w:val="0"/>
        <w:autoSpaceDN w:val="0"/>
        <w:spacing w:after="120" w:line="276" w:lineRule="auto"/>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t>ii</w:t>
      </w:r>
      <w:proofErr w:type="spellEnd"/>
      <w:r w:rsidRPr="00C215D5">
        <w:rPr>
          <w:rFonts w:ascii="Verdana" w:eastAsia="Aptos" w:hAnsi="Verdana" w:cs="Times New Roman"/>
          <w:kern w:val="2"/>
          <w14:ligatures w14:val="standardContextual"/>
        </w:rPr>
        <w:t>. De acuerdo con la memoria justificativa del Decreto 287 del 19 de marzo de 2026</w:t>
      </w:r>
      <w:r w:rsidRPr="00C215D5">
        <w:rPr>
          <w:rFonts w:ascii="Verdana" w:eastAsia="Aptos" w:hAnsi="Verdana" w:cs="Times New Roman"/>
          <w:kern w:val="2"/>
          <w:vertAlign w:val="superscript"/>
          <w14:ligatures w14:val="standardContextual"/>
        </w:rPr>
        <w:footnoteReference w:id="8"/>
      </w:r>
      <w:r w:rsidRPr="00C215D5">
        <w:rPr>
          <w:rFonts w:ascii="Verdana" w:eastAsia="Aptos" w:hAnsi="Verdana" w:cs="Times New Roman"/>
          <w:kern w:val="2"/>
          <w14:ligatures w14:val="standardContextual"/>
        </w:rPr>
        <w:t>, históricamente las Personas con Discapacidad han enfrentado mayores tasas de desempleo y barreras de acceso al mercado. Aunque leyes previas como la Ley 1618 de 2013, ordenaban un sistema de preferencias para estas personas, la regulación anterior –el Decreto 392 de 2018–, se limitaba a medidas aisladas de puntaje que no garantizaban una participación equitativa desde el inicio de los procesos contractuales. Esto fue ratificado por el Consejo de Estado</w:t>
      </w:r>
      <w:r w:rsidRPr="00C215D5">
        <w:rPr>
          <w:rFonts w:ascii="Verdana" w:eastAsia="Aptos" w:hAnsi="Verdana" w:cs="Times New Roman"/>
          <w:kern w:val="2"/>
          <w:vertAlign w:val="superscript"/>
          <w14:ligatures w14:val="standardContextual"/>
        </w:rPr>
        <w:footnoteReference w:id="9"/>
      </w:r>
      <w:r w:rsidRPr="00C215D5">
        <w:rPr>
          <w:rFonts w:ascii="Verdana" w:eastAsia="Aptos" w:hAnsi="Verdana" w:cs="Times New Roman"/>
          <w:kern w:val="2"/>
          <w14:ligatures w14:val="standardContextual"/>
        </w:rPr>
        <w:t xml:space="preserve"> que mediante una acción de cumplimiento declaró el incumplimiento del deber de reglamentar integralmente el artículo 13 de la Ley 1618 de 2013 y ordenó al </w:t>
      </w:r>
      <w:r w:rsidRPr="00C215D5">
        <w:rPr>
          <w:rFonts w:ascii="Verdana" w:eastAsia="Aptos" w:hAnsi="Verdana" w:cs="Times New Roman"/>
          <w:kern w:val="2"/>
          <w14:ligatures w14:val="standardContextual"/>
        </w:rPr>
        <w:lastRenderedPageBreak/>
        <w:t>Gobierno Nacional expedir la regulación necesaria para hacer efectivo el sistema de preferencias en favor de las personas con discapacidad, sus emprendimientos y empresas que las contratan.</w:t>
      </w:r>
    </w:p>
    <w:p w14:paraId="76DEC309"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En este sentido, la parte considerativa del Decreto 287 de 2026, indica que la Ley Estatutaria 1618 del 2013 establece un conjunto de medidas en favor de las personas con discapacidad, “(…) dentro de las que se destacan las contenidas en el numeral 1, que establece el deber del Gobierno Nacional de reglamentar una puntuación adicional en procesos de licitación pública, concurso de méritos y contratación directa para i) las empresas que tengan personas con discapacidad y para </w:t>
      </w:r>
      <w:proofErr w:type="spellStart"/>
      <w:r w:rsidRPr="00C215D5">
        <w:rPr>
          <w:rFonts w:ascii="Verdana" w:eastAsia="Aptos" w:hAnsi="Verdana" w:cs="Times New Roman"/>
          <w:kern w:val="2"/>
          <w14:ligatures w14:val="standardContextual"/>
        </w:rPr>
        <w:t>ii</w:t>
      </w:r>
      <w:proofErr w:type="spellEnd"/>
      <w:r w:rsidRPr="00C215D5">
        <w:rPr>
          <w:rFonts w:ascii="Verdana" w:eastAsia="Aptos" w:hAnsi="Verdana" w:cs="Times New Roman"/>
          <w:kern w:val="2"/>
          <w14:ligatures w14:val="standardContextual"/>
        </w:rPr>
        <w:t xml:space="preserve">) las empresas de personas con discapacidad, familiares y tutores, así como también la contenida en el numeral 7, que demanda del Gobierno Nacional reglamentar la implementación de un sistema de preferencias en favor de empleadores de personas con discapacidad aplicable a procesos de selección y celebración de contratos; y la consagrada en el numeral 8, que demanda de los gobiernos nacional, departamentales, distritales y municipales fijar mediante decreto reglamentario la implementación de un sistema de preferencias en favor de las personas con discapacidad aplicable a procesos de selección de contratistas (…)”. </w:t>
      </w:r>
    </w:p>
    <w:p w14:paraId="5AED1619"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En virtud de lo exigido por los numerales uno (1), siete (7) y ocho (8) del artículo 13 de la Ley Estatutaria 1618 del 2013, fue expedido el Decreto 392 del 26 de febrero de 2018</w:t>
      </w:r>
      <w:r w:rsidRPr="00C215D5">
        <w:rPr>
          <w:rFonts w:ascii="Verdana" w:eastAsia="Aptos" w:hAnsi="Verdana" w:cs="Times New Roman"/>
          <w:kern w:val="2"/>
          <w:vertAlign w:val="superscript"/>
          <w14:ligatures w14:val="standardContextual"/>
        </w:rPr>
        <w:footnoteReference w:id="10"/>
      </w:r>
      <w:r w:rsidRPr="00C215D5">
        <w:rPr>
          <w:rFonts w:ascii="Verdana" w:eastAsia="Aptos" w:hAnsi="Verdana" w:cs="Times New Roman"/>
          <w:kern w:val="2"/>
          <w14:ligatures w14:val="standardContextual"/>
        </w:rPr>
        <w:t>, mediante el cual se adicionan los artículos 2.2.1.2.4.2.6., 2.2.1.2.4.2.7. y 2.2.1.2.4.2.8. al Decreto 1082 de 2015. El primero de estos artículos, reglamenta parcialmente el numeral 1 del artículo 13 de la Ley Estatutaria 1618 del 2013, estableciendo que, las entidades estatales deberán otorgar el uno por ciento (1 %) del total de los puntos establecidos en el pliego de condiciones en los procesos de licitación pública y concurso de méritos, a los proponentes que acrediten la vinculación de trabajadores con discapacidad en su planta de personal. Sin embargo, de acuerdo con la parte considerativa del Decreto 287 de 2026 esta regulación favorece “(…) única y exclusivamente a las empresas que vinculan personas con discapacidad en su planta de personal, omitiendo el favorecimiento que debía reglamentarse en favor de las empresas de personas con discapacidad, familiares y tutores, tal y como lo dispuso el numeral 1 de la norma referida”.</w:t>
      </w:r>
    </w:p>
    <w:p w14:paraId="5475913A"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lastRenderedPageBreak/>
        <w:t>Por su parte, el artículo 2.2.1.2.4.2.8. del Decreto 1082 de 2015, de acuerdo con su literalidad, reglamenta los numerales 7 y 8 del artículo 13 de la Ley Estatutaria 1618 del 2013, en la medida en que establece los sistemas de preferencias a los que hacen referencia dichos numerales, pero los reduce a la aplicación de la metodología de desempate consagrada en el artículo 2.2.1.2.4.2.8. de ese mismo Decreto. No obstante, de acuerdo con la parte motiva del Decreto 287 de 2026 “(…) se omite el favorecimiento de las propuestas presentadas por los oferentes que sean personas con discapacidad, como lo exige el numeral 8 del artículo 13 de la Ley Estatutaria 1618 del 2013.</w:t>
      </w:r>
    </w:p>
    <w:p w14:paraId="3D51373C"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En consecuencia, de acuerdo con las consideraciones desarrolladas en el Decreto 287 de 2026, la Ley 1618 de 2013 carece de reglamentación concreta sobre los aspectos señalados, que no fueron cubiertos por las disposiciones que para el efecto desarrolló el Decreto 392 del 26 de febrero de 2018. Por lo tanto, mediante la expedición del mencionado decreto, en aplicación directa de la Constitución Política y para que exista una igualdad material para las personas con discapacidad, este pretende subsanar la falta de acciones afirmativas del Decreto 392 de 2018, modificando los artículos 2.2.1.2.4.2.6, 2.2.1.2.4.2.7. y 2.2.1.2.4.2.8. del Decreto 1082 de 2015. Entre otros, para efectos de este concepto, resulta pertinente referirse a las siguientes modificaciones: </w:t>
      </w:r>
    </w:p>
    <w:p w14:paraId="6FC0D87A"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 i). El artículo 1, modifica el artículo 2.2.1.2.4.2.6. Del Decreto 1082 de 2015, incorporando la definición de emprendimientos y empresas de personas con discapacidad, con el propósito de adoptar medidas afirmativas que incentiven las personas en condición de discapacidad en el sistema de compras y contratación pública.</w:t>
      </w:r>
    </w:p>
    <w:p w14:paraId="543DBECC"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t>ii</w:t>
      </w:r>
      <w:proofErr w:type="spellEnd"/>
      <w:r w:rsidRPr="00C215D5">
        <w:rPr>
          <w:rFonts w:ascii="Verdana" w:eastAsia="Aptos" w:hAnsi="Verdana" w:cs="Times New Roman"/>
          <w:kern w:val="2"/>
          <w14:ligatures w14:val="standardContextual"/>
        </w:rPr>
        <w:t xml:space="preserve">). El artículo 1, modifica el artículo 2.2.1.2.4.2.7. del Decreto 1082 de 2015, estableciendo un Sistema de Preferencias en Favor de las Personas con Discapacidad en el Sistema de Compras y Contratación Pública, mediante medidas afirmativas, que deben adoptar las Entidades Estatales en sus Procesos de Contratación, para promover condiciones efectivas de igualdad para estas personas, corregir barreras estructurales de acceso y fomentar su participación como proponentes, contratistas o integrantes de la cadena de valor. </w:t>
      </w:r>
    </w:p>
    <w:p w14:paraId="5FCD8953"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t>iii</w:t>
      </w:r>
      <w:proofErr w:type="spellEnd"/>
      <w:r w:rsidRPr="00C215D5">
        <w:rPr>
          <w:rFonts w:ascii="Verdana" w:eastAsia="Aptos" w:hAnsi="Verdana" w:cs="Times New Roman"/>
          <w:kern w:val="2"/>
          <w14:ligatures w14:val="standardContextual"/>
        </w:rPr>
        <w:t xml:space="preserve">). El artículo 1, modifica el artículo 2.2.1.2.4.2.7.1. del Decreto 1082 de 2015, disponiendo que todas las entidades que manejen recursos públicos están obligadas a garantizar la accesibilidad para personas con discapacidad en sus procesos de contratación. </w:t>
      </w:r>
    </w:p>
    <w:p w14:paraId="6B1A2099"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C215D5">
        <w:rPr>
          <w:rFonts w:ascii="Aptos" w:eastAsia="Aptos" w:hAnsi="Aptos" w:cs="Times New Roman"/>
          <w:kern w:val="2"/>
          <w:sz w:val="24"/>
          <w:szCs w:val="24"/>
          <w14:ligatures w14:val="standardContextual"/>
        </w:rPr>
        <w:lastRenderedPageBreak/>
        <w:t>iv</w:t>
      </w:r>
      <w:proofErr w:type="spellEnd"/>
      <w:r w:rsidRPr="00C215D5">
        <w:rPr>
          <w:rFonts w:ascii="Aptos" w:eastAsia="Aptos" w:hAnsi="Aptos" w:cs="Times New Roman"/>
          <w:kern w:val="2"/>
          <w:sz w:val="24"/>
          <w:szCs w:val="24"/>
          <w14:ligatures w14:val="standardContextual"/>
        </w:rPr>
        <w:t xml:space="preserve">). </w:t>
      </w:r>
      <w:r w:rsidRPr="00C215D5">
        <w:rPr>
          <w:rFonts w:ascii="Verdana" w:eastAsia="Aptos" w:hAnsi="Verdana" w:cs="Times New Roman"/>
          <w:kern w:val="2"/>
          <w14:ligatures w14:val="standardContextual"/>
        </w:rPr>
        <w:t>El artículo 1, modifica el 2.2.1.2.4.2.7.2. del Decreto 1082 de 2015. De esta forma, se consagra que, en la planeación contractual, las Entidades Estatales deben implementar acciones concretas para promover la participación de emprendimientos y empresas de personas con discapacidad, asegurando igualdad de oportunidades en los procesos de contratación pública. Esto implica diseñar mecanismos que eliminen barreras de acceso y fomenten una participación más inclusiva desde las etapas iniciales del proceso.</w:t>
      </w:r>
    </w:p>
    <w:p w14:paraId="6461798D"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v). El artículo 1, modifica el artículo 2.2.1.2.4.2.7.3. del Decreto 1082 de 2015, incorporando criterios diferenciales en favor de los emprendimientos y empresas de personas con discapacidad en la habilitación, como parte del sistema de preferencias para esta población en la contratación pública que impone reglamentar la Ley 1618 de 2013. Este aspecto considerando que “(…) es necesario flexibilizar los requisitos habilitantes de los procesos de contratación para facilitar la participación de las personas con discapacidad, debido a que sin esto el puntaje que también regula el presente Decreto (287 de 2026) se vuelve inocuo porque no se podría aplicar si las personas con discapacidad no superan el primer filtro, que resulta de la aplicación de los requisitos habilitantes que pueden resultar un impedimento para la posterior evaluación de su oferta y que pueda tener efectividad el puntaje”</w:t>
      </w:r>
      <w:r w:rsidRPr="00C215D5">
        <w:rPr>
          <w:rFonts w:ascii="Verdana" w:eastAsia="Aptos" w:hAnsi="Verdana" w:cs="Times New Roman"/>
          <w:kern w:val="2"/>
          <w:vertAlign w:val="superscript"/>
          <w14:ligatures w14:val="standardContextual"/>
        </w:rPr>
        <w:footnoteReference w:id="11"/>
      </w:r>
      <w:r w:rsidRPr="00C215D5">
        <w:rPr>
          <w:rFonts w:ascii="Verdana" w:eastAsia="Aptos" w:hAnsi="Verdana" w:cs="Times New Roman"/>
          <w:kern w:val="2"/>
          <w14:ligatures w14:val="standardContextual"/>
        </w:rPr>
        <w:t xml:space="preserve">. </w:t>
      </w:r>
    </w:p>
    <w:p w14:paraId="0A810CB0"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vi) El artículo 1, modifica el artículo 2.1.2.4.2.7.4 del Decreto 1082 de 2015. Así, se establece un puntaje adicional en favor de los empleadores de personas con discapacidad y de los emprendimientos y empresas de personas con discapacidad del dos por ciento (2%) del valor total de los puntos establecidos en el pliego de condiciones o documentos equivalentes, para promover la inclusión laboral de personas con discapacidad en los procedimientos de licitación pública y concurso de méritos que adelanten las entidades estatales, cuando se configuren las situaciones previstas en ese artículo. </w:t>
      </w:r>
    </w:p>
    <w:p w14:paraId="13D07616"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t>vii</w:t>
      </w:r>
      <w:proofErr w:type="spellEnd"/>
      <w:r w:rsidRPr="00C215D5">
        <w:rPr>
          <w:rFonts w:ascii="Verdana" w:eastAsia="Aptos" w:hAnsi="Verdana" w:cs="Times New Roman"/>
          <w:kern w:val="2"/>
          <w14:ligatures w14:val="standardContextual"/>
        </w:rPr>
        <w:t xml:space="preserve">)El artículo 1, modifica el artículo 2.2.1.2.4.2.7.5. del Decreto 1082 de 2015, indicando condiciones especiales de sujeción en favor de personas con discapacidad, que deberán incluir las entidades estatales como obligación contractual en los documentos del proceso, previo análisis de oportunidad y conveniencia. </w:t>
      </w:r>
    </w:p>
    <w:p w14:paraId="3F4EDBAC"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lastRenderedPageBreak/>
        <w:t>viii</w:t>
      </w:r>
      <w:proofErr w:type="spellEnd"/>
      <w:r w:rsidRPr="00C215D5">
        <w:rPr>
          <w:rFonts w:ascii="Verdana" w:eastAsia="Aptos" w:hAnsi="Verdana" w:cs="Times New Roman"/>
          <w:kern w:val="2"/>
          <w14:ligatures w14:val="standardContextual"/>
        </w:rPr>
        <w:t>) El artículo 1, modifica el artículo 2.2.1.2.4.2.7.6. del Decreto 1082 de 2015, incluyendo que, las Entidades Estatales propenderán por la contratación de personas con discapacidad mediante la celebración de contratos de prestación de servicios profesionales y/o de apoyo a la gestión, de acuerdo con su planeación contractual, disponibilidad presupuestal y las necesidades del servicio.</w:t>
      </w:r>
    </w:p>
    <w:p w14:paraId="4F4E195E"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t>ix</w:t>
      </w:r>
      <w:proofErr w:type="spellEnd"/>
      <w:r w:rsidRPr="00C215D5">
        <w:rPr>
          <w:rFonts w:ascii="Verdana" w:eastAsia="Aptos" w:hAnsi="Verdana" w:cs="Times New Roman"/>
          <w:kern w:val="2"/>
          <w14:ligatures w14:val="standardContextual"/>
        </w:rPr>
        <w:t xml:space="preserve">). El artículo 1, modifica el artículo 2.2.1.2.4.2.7.8 del Decreto 1082 de 2015. La modificación dispone que, la Agencia Nacional de Contratación Pública – Colombia Compra Eficiente garantizará la adopción permanente de las acciones necesarias para que las medidas señaladas en favor de las Personas con Discapacidad se incorporen a los documentos e instrumentos que genera. </w:t>
      </w:r>
    </w:p>
    <w:p w14:paraId="02301AB9" w14:textId="77777777" w:rsidR="00C215D5" w:rsidRPr="00C215D5" w:rsidRDefault="00C215D5" w:rsidP="00C215D5">
      <w:pPr>
        <w:widowControl w:val="0"/>
        <w:autoSpaceDE w:val="0"/>
        <w:autoSpaceDN w:val="0"/>
        <w:spacing w:after="12"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Finalmente, el artículo 2 del Decreto 287 de 2026 establece las vigencias y derogatorias, en los siguientes términos: “El presente Decreto rige a partir del día siguiente a su publicación, modifica los artículos 2.2.1.2.4.2.6., 2.2.1 .2.4.2.7. Y 2.2.1.2.4.2.8. de la Subsección 2 de la Sección 4 del Capítulo 2 del Título 1 de la Parte 2 del Libro 2 del Decreto 1082 de 2015, Único Reglamentario del Sector Administrativo de Planeación, y deroga todas las disposiciones que le sean contrarias”.</w:t>
      </w:r>
    </w:p>
    <w:p w14:paraId="0A7DCA15" w14:textId="77777777" w:rsidR="00C215D5" w:rsidRPr="00C215D5" w:rsidRDefault="00C215D5" w:rsidP="00C215D5">
      <w:pPr>
        <w:widowControl w:val="0"/>
        <w:autoSpaceDE w:val="0"/>
        <w:autoSpaceDN w:val="0"/>
        <w:spacing w:after="12" w:line="276" w:lineRule="auto"/>
        <w:ind w:firstLine="708"/>
        <w:jc w:val="both"/>
        <w:rPr>
          <w:rFonts w:ascii="Verdana" w:eastAsia="Aptos" w:hAnsi="Verdana" w:cs="Times New Roman"/>
          <w:kern w:val="2"/>
          <w14:ligatures w14:val="standardContextual"/>
        </w:rPr>
      </w:pPr>
    </w:p>
    <w:p w14:paraId="16BE34D1" w14:textId="77777777" w:rsidR="00C215D5" w:rsidRPr="00C215D5" w:rsidRDefault="00C215D5" w:rsidP="00C215D5">
      <w:pPr>
        <w:widowControl w:val="0"/>
        <w:autoSpaceDE w:val="0"/>
        <w:autoSpaceDN w:val="0"/>
        <w:spacing w:after="120" w:line="276" w:lineRule="auto"/>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t>iii</w:t>
      </w:r>
      <w:proofErr w:type="spellEnd"/>
      <w:r w:rsidRPr="00C215D5">
        <w:rPr>
          <w:rFonts w:ascii="Verdana" w:eastAsia="Aptos" w:hAnsi="Verdana" w:cs="Times New Roman"/>
          <w:kern w:val="2"/>
          <w14:ligatures w14:val="standardContextual"/>
        </w:rPr>
        <w:t xml:space="preserve">. De acuerdo con el desarrollo del numeral precedente, </w:t>
      </w:r>
      <w:r w:rsidRPr="00C215D5">
        <w:rPr>
          <w:rFonts w:ascii="Verdana" w:eastAsia="Aptos" w:hAnsi="Verdana" w:cs="AppleSystemUIFont"/>
          <w:lang w:val="es-MX"/>
          <w14:ligatures w14:val="standardContextual"/>
        </w:rPr>
        <w:t xml:space="preserve">la expedición del Decreto 287 de 2026 introduce un conjunto de prerrogativas dirigidas a garantizar la igualdad material de las personas con discapacidad, en desarrollo de la Ley 1618 de 2013 y del mandato constitucional de no discriminación, lo que impone la necesidad de una adecuación de los documentos tipo expedidos por la Agencia Nacional </w:t>
      </w:r>
      <w:r w:rsidRPr="00C215D5">
        <w:rPr>
          <w:rFonts w:ascii="Verdana" w:eastAsia="Aptos" w:hAnsi="Verdana" w:cs="Times New Roman"/>
          <w:kern w:val="2"/>
          <w14:ligatures w14:val="standardContextual"/>
        </w:rPr>
        <w:t>de Contratación Pública – Colombia Compra Eficiente.</w:t>
      </w:r>
    </w:p>
    <w:p w14:paraId="19FCEE57"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Esta situación resulta particularmente relevante teniendo en cuenta que, los documentos tipo, al fijar reglas uniformes para las entidades estatales sometidas al Estatuto General de Contratación de la Administración Pública y otros sujetos obligados a su aplicación, pueden convertirse en barreras estructurales de acceso cuando no incorporan enfoques diferenciales, afectando la participación de poblaciones históricamente excluidas. </w:t>
      </w:r>
    </w:p>
    <w:p w14:paraId="17504195"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Desde el punto de vista jurídico, uno de los aspectos que exige la modificación de los documentos tipo de licitación pública, selección abreviada de menor cuantía y concurso de méritos en los sectores en los que estos han sido adoptados, corresponde a los requisitos habilitantes, los cuales han sido </w:t>
      </w:r>
      <w:r w:rsidRPr="00C215D5">
        <w:rPr>
          <w:rFonts w:ascii="Verdana" w:eastAsia="Aptos" w:hAnsi="Verdana" w:cs="Times New Roman"/>
          <w:kern w:val="2"/>
          <w14:ligatures w14:val="standardContextual"/>
        </w:rPr>
        <w:lastRenderedPageBreak/>
        <w:t>tradicionalmente diseñados bajo parámetros homogéneos que no consideran las condiciones particulares de los emprendimientos y empresas de personas con discapacidad. Tal como se señaló, el Decreto 287 de 2026 reconoce que la rigidez de estos requisitos puede impedir su participación efectiva, al punto de tornar inocuas otras medidas como el otorgamiento de puntajes adicionales. En consecuencia, los documentos tipo en las modalidades señaladas y en los sectores implementados, deben incorporar “(…) requisitos habilitantes diferenciales o ajustados en materia de experiencia, capacidad financiera u organizacional, o el valor de la garantía de seriedad de la oferta, con el fin de promover la participación de emprendimientos y empresas de personas con discapacidad con domicilio en el territorio nacional”</w:t>
      </w:r>
      <w:r w:rsidRPr="00C215D5">
        <w:rPr>
          <w:rFonts w:ascii="Verdana" w:eastAsia="Aptos" w:hAnsi="Verdana" w:cs="Times New Roman"/>
          <w:kern w:val="2"/>
          <w:vertAlign w:val="superscript"/>
          <w14:ligatures w14:val="standardContextual"/>
        </w:rPr>
        <w:footnoteReference w:id="12"/>
      </w:r>
      <w:r w:rsidRPr="00C215D5">
        <w:rPr>
          <w:rFonts w:ascii="Verdana" w:eastAsia="Aptos" w:hAnsi="Verdana" w:cs="Times New Roman"/>
          <w:kern w:val="2"/>
          <w14:ligatures w14:val="standardContextual"/>
        </w:rPr>
        <w:t>, de tal manera que se eliminen barreras de entrada injustificadas sin comprometer la idoneidad del contratista, en aplicación del principio de igualdad material.</w:t>
      </w:r>
    </w:p>
    <w:p w14:paraId="7CF0B546"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Así, los documentos tipo de licitación pública, selección abreviada de menor cuantía y concurso de méritos deben ser modificados por la Agencia Nacional de Contratación Pública – Colombia Compra Eficiente para incluir la reciente modificación al artículo 2.2.1.2.4.2.7.3 del Decreto 1082 de 2015. Lo anterior implica que, además de los requisitos habilitantes diferenciales previstos para </w:t>
      </w:r>
      <w:proofErr w:type="spellStart"/>
      <w:r w:rsidRPr="00C215D5">
        <w:rPr>
          <w:rFonts w:ascii="Verdana" w:eastAsia="Aptos" w:hAnsi="Verdana" w:cs="Times New Roman"/>
          <w:kern w:val="2"/>
          <w14:ligatures w14:val="standardContextual"/>
        </w:rPr>
        <w:t>Mipymes</w:t>
      </w:r>
      <w:proofErr w:type="spellEnd"/>
      <w:r w:rsidRPr="00C215D5">
        <w:rPr>
          <w:rFonts w:ascii="Verdana" w:eastAsia="Aptos" w:hAnsi="Verdana" w:cs="Times New Roman"/>
          <w:kern w:val="2"/>
          <w14:ligatures w14:val="standardContextual"/>
        </w:rPr>
        <w:t xml:space="preserve"> y emprendimientos y empresas de mujeres, se incluyan los dispuestos en el Decreto 287 de 2026 en favor de los emprendimientos y empresas de personas con discapacidad.</w:t>
      </w:r>
    </w:p>
    <w:p w14:paraId="39673335"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De igual forma, resulta necesario ajustar los factores de evaluación para incluir el puntaje adicional previsto en el Decreto 287 de 2026, en favor de los empleadores de personas con discapacidad y de los emprendimientos y </w:t>
      </w:r>
      <w:r w:rsidRPr="00C215D5">
        <w:rPr>
          <w:rFonts w:ascii="Verdana" w:eastAsia="Aptos" w:hAnsi="Verdana" w:cs="Times New Roman"/>
          <w:kern w:val="2"/>
          <w14:ligatures w14:val="standardContextual"/>
        </w:rPr>
        <w:lastRenderedPageBreak/>
        <w:t xml:space="preserve">empresas conformados por esta población. Esto, considerando que el artículo 2.2.1.2.4.2.7.4 del Decreto 1082 de 2015, modificado por el artículo 1 del Decreto 287 de 2026, establece que “(…) en los procedimientos de licitación pública y concurso de méritos, las Entidades Estatales otorgaran un puntaje adicional máximo del dos por cuento (2%) del valor total de los puntos establecidos en los Pliegos de condiciones o documentos equivalentes” cuando se configuren las situaciones que allí se establecen, pero que “(…) en todo caso el puntaje adicional total y único a otorgar por este criterio será del dos por ciento (2%), sin que sean acumulables a afecto de la evaluación de la oferta (…)”. </w:t>
      </w:r>
    </w:p>
    <w:p w14:paraId="4724425C"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Esta incorporación debe realizarse de manera estandarizada en los documentos tipo de licitación pública y concurso de méritos en los sectores en los que estos han sido adoptados por parte de la Agencia Nacional de Contratación Pública – Colombia Compra Eficiente, considerando que, actualmente en estos se señala como factor de ponderación un puntaje máximo de un (1) punto por la vinculación de personas con discapacidad, evento este que, con la modificación realizada por el Decreto 287 de 2026, debe ajustarse. </w:t>
      </w:r>
    </w:p>
    <w:p w14:paraId="55128F8C"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De esta forma, la modificación del artículo 1 del Decreto 287 de 2026 al artículo 2.2.1.2.4.2.7.4 del Decreto 1082 de 2015, incide en el ajuste del puntaje que se otorga en los documentos tipo de licitación pública y concurso de méritos por la incorporación de personas con discapacidad, en donde, además, se amplía el ámbito de aplicación a emprendimientos y empresas de personas con discapacidad. A su vez, la modificación señalada incide en el formato que actualmente se encuentra previsto en los documentos tipo para acreditar esta condición, por lo que se debe definir con claridad los mecanismos de acreditación y verificación, con el fin de evitar discrecionalidades y garantizar la transparencia del proceso. </w:t>
      </w:r>
    </w:p>
    <w:p w14:paraId="4419DCAE"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Adicionalmente, en cuanto a la ejecución contractual, el artículo 2.2.1.2.4.2.7.5 del Decreto 1082 de 2015, modificado por el artículo 1 del Decreto 287 de 2026, prevé la incorporación de condiciones especiales de sujeción orientadas a promover la inclusión laboral y la participación de personas con discapacidad y/o emprendimientos y empresas de estas personas. En consecuencia, los documentos tipo deben contemplar cláusulas contractuales específicas que desarrollen estas obligaciones, previa evaluación de oportunidad y conveniencia, permitiendo que la política pública de inclusión se materialice </w:t>
      </w:r>
      <w:r w:rsidRPr="00C215D5">
        <w:rPr>
          <w:rFonts w:ascii="Verdana" w:eastAsia="Aptos" w:hAnsi="Verdana" w:cs="Times New Roman"/>
          <w:kern w:val="2"/>
          <w14:ligatures w14:val="standardContextual"/>
        </w:rPr>
        <w:lastRenderedPageBreak/>
        <w:t>durante la ejecución del contrato.</w:t>
      </w:r>
    </w:p>
    <w:p w14:paraId="2F33CB7D" w14:textId="77777777" w:rsidR="00C215D5" w:rsidRPr="00C215D5" w:rsidRDefault="00C215D5" w:rsidP="00C215D5">
      <w:pPr>
        <w:widowControl w:val="0"/>
        <w:autoSpaceDE w:val="0"/>
        <w:autoSpaceDN w:val="0"/>
        <w:spacing w:after="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Conforme con lo anterior, la implementación efectiva del Decreto 287 de 2026 depende de la incorporación integral y coherente de sus disposiciones en los documentos tipo por parte de la Agencia Nacional de Contratación Pública – Colombia Compra Eficiente, de manera que las acciones afirmativas previstas se traduzcan en transformaciones reales en el sistema de contratación pública y en la garantía del derecho a la igualdad material de las personas con discapacidad.</w:t>
      </w:r>
    </w:p>
    <w:p w14:paraId="711250CD" w14:textId="77777777" w:rsidR="00C215D5" w:rsidRPr="00C215D5" w:rsidRDefault="00C215D5" w:rsidP="00C215D5">
      <w:pPr>
        <w:widowControl w:val="0"/>
        <w:autoSpaceDE w:val="0"/>
        <w:autoSpaceDN w:val="0"/>
        <w:spacing w:after="0" w:line="276" w:lineRule="auto"/>
        <w:ind w:firstLine="708"/>
        <w:jc w:val="both"/>
        <w:rPr>
          <w:rFonts w:ascii="Verdana" w:eastAsia="Aptos" w:hAnsi="Verdana" w:cs="Times New Roman"/>
          <w:kern w:val="2"/>
          <w14:ligatures w14:val="standardContextual"/>
        </w:rPr>
      </w:pPr>
    </w:p>
    <w:p w14:paraId="66B2B2DE" w14:textId="77777777" w:rsidR="00C215D5" w:rsidRPr="00C215D5" w:rsidRDefault="00C215D5" w:rsidP="00C215D5">
      <w:pPr>
        <w:widowControl w:val="0"/>
        <w:autoSpaceDE w:val="0"/>
        <w:autoSpaceDN w:val="0"/>
        <w:spacing w:after="120" w:line="276" w:lineRule="auto"/>
        <w:jc w:val="both"/>
        <w:rPr>
          <w:rFonts w:ascii="Verdana" w:eastAsia="Aptos" w:hAnsi="Verdana" w:cs="Times New Roman"/>
          <w:kern w:val="2"/>
          <w14:ligatures w14:val="standardContextual"/>
        </w:rPr>
      </w:pPr>
      <w:proofErr w:type="spellStart"/>
      <w:r w:rsidRPr="00C215D5">
        <w:rPr>
          <w:rFonts w:ascii="Verdana" w:eastAsia="Aptos" w:hAnsi="Verdana" w:cs="Times New Roman"/>
          <w:kern w:val="2"/>
          <w14:ligatures w14:val="standardContextual"/>
        </w:rPr>
        <w:t>iv</w:t>
      </w:r>
      <w:proofErr w:type="spellEnd"/>
      <w:r w:rsidRPr="00C215D5">
        <w:rPr>
          <w:rFonts w:ascii="Verdana" w:eastAsia="Aptos" w:hAnsi="Verdana" w:cs="Times New Roman"/>
          <w:kern w:val="2"/>
          <w14:ligatures w14:val="standardContextual"/>
        </w:rPr>
        <w:t>. Los documentos tipo expedidos por la Agencia Nacional de Contratación Pública – Colombia Compra Eficiente constituyen instrumentos de obligatorio cumplimiento que estructuran de manera integral los procesos de selección contractual. Esta naturaleza vinculante tiene fundamento directo en el artículo 1 de la Ley 2022 de 2020, en la que se establece que, los documentos tipo serán obligatorios para las entidades estatales sometidas al Estatuto General de Contratación de la Administración Pública – EGCAP.</w:t>
      </w:r>
    </w:p>
    <w:p w14:paraId="7084EC27"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En este sentido, la Ley 2022 de 2020 no solo atribuye la competencia a la Agencia Nacional de Contratación Pública – Colombia Compra Eficiente para adoptar documentos tipo, sino que define expresamente su contenido, al disponer que en estos </w:t>
      </w:r>
      <w:r w:rsidRPr="00C215D5">
        <w:rPr>
          <w:rFonts w:ascii="Verdana" w:eastAsia="Aptos" w:hAnsi="Verdana" w:cs="Times New Roman"/>
          <w:i/>
          <w:iCs/>
          <w:kern w:val="2"/>
          <w14:ligatures w14:val="standardContextual"/>
        </w:rPr>
        <w:t>“(…) se establecerán los requisitos habilitantes, factores técnicos, económicos y otros factores de escogencia, así como aquellos requisitos que, previa justificación, representen buenas prácticas contractuales”.</w:t>
      </w:r>
      <w:r w:rsidRPr="00C215D5">
        <w:rPr>
          <w:rFonts w:ascii="Verdana" w:eastAsia="Aptos" w:hAnsi="Verdana" w:cs="Times New Roman"/>
          <w:kern w:val="2"/>
          <w14:ligatures w14:val="standardContextual"/>
        </w:rPr>
        <w:t xml:space="preserve"> De esta manera, el legislador concentró en la Agencia Nacional de Contratación Pública – Colombia Compra Eficiente la definición de los elementos estructurales de los procesos de selección, con el propósito de garantizar la estandarización, la transparencia, la selección objetiva y la eficiencia en el uso de los recursos públicos. Esta competencia se ejerce mediante la expedición de actos administrativos de carácter general –resoluciones– a través de las cuales la Agencia Nacional de Contratación Pública – Colombia Compra Eficiente adopta los documentos tipo.</w:t>
      </w:r>
    </w:p>
    <w:p w14:paraId="36647786"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Conforme con el contenido de la Ley 2022 de 2020, la jurisprudencia ha determinado que, la Agencia Nacional de Contratación Pública – Colombia Compra Eficiente ejerce una potestad regulatoria de naturaleza subordinada (</w:t>
      </w:r>
      <w:proofErr w:type="spellStart"/>
      <w:r w:rsidRPr="00C215D5">
        <w:rPr>
          <w:rFonts w:ascii="Verdana" w:eastAsia="Aptos" w:hAnsi="Verdana" w:cs="Times New Roman"/>
          <w:kern w:val="2"/>
          <w14:ligatures w14:val="standardContextual"/>
        </w:rPr>
        <w:t>secundum</w:t>
      </w:r>
      <w:proofErr w:type="spellEnd"/>
      <w:r w:rsidRPr="00C215D5">
        <w:rPr>
          <w:rFonts w:ascii="Verdana" w:eastAsia="Aptos" w:hAnsi="Verdana" w:cs="Times New Roman"/>
          <w:kern w:val="2"/>
          <w14:ligatures w14:val="standardContextual"/>
        </w:rPr>
        <w:t xml:space="preserve"> </w:t>
      </w:r>
      <w:proofErr w:type="spellStart"/>
      <w:r w:rsidRPr="00C215D5">
        <w:rPr>
          <w:rFonts w:ascii="Verdana" w:eastAsia="Aptos" w:hAnsi="Verdana" w:cs="Times New Roman"/>
          <w:kern w:val="2"/>
          <w14:ligatures w14:val="standardContextual"/>
        </w:rPr>
        <w:t>legem</w:t>
      </w:r>
      <w:proofErr w:type="spellEnd"/>
      <w:r w:rsidRPr="00C215D5">
        <w:rPr>
          <w:rFonts w:ascii="Verdana" w:eastAsia="Aptos" w:hAnsi="Verdana" w:cs="Times New Roman"/>
          <w:kern w:val="2"/>
          <w14:ligatures w14:val="standardContextual"/>
        </w:rPr>
        <w:t xml:space="preserve">) de carácter técnico especializado, que le permite desarrollar, implementar y actualizar instrumentos como los documentos tipo, con el fin de concretar la voluntad del legislador en aspectos técnicos de la contratación </w:t>
      </w:r>
      <w:r w:rsidRPr="00C215D5">
        <w:rPr>
          <w:rFonts w:ascii="Verdana" w:eastAsia="Aptos" w:hAnsi="Verdana" w:cs="Times New Roman"/>
          <w:kern w:val="2"/>
          <w14:ligatures w14:val="standardContextual"/>
        </w:rPr>
        <w:lastRenderedPageBreak/>
        <w:t>pública. No obstante, dicha potestad debe ejercerse en armonía con la Constitución, la ley y los decretos reglamentarios, sin invadir competencias superiores ni desbordar los límites de la regulación técnica.</w:t>
      </w:r>
    </w:p>
    <w:p w14:paraId="474A2420"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Concretamente, la competencia prevista en el artículo 1 de la Ley 2022 de 2020, se ejerció mediante la expedición de la Resolución 160 de 2020 del 15 de septiembre de 2020 “Por la cual se adopta el procedimiento para implementar los documentos tipo y se define el sistema para su revisión”, así como con la expedición de múltiples resoluciones mediante las cuales se adoptaron documentos tipo por parte de la Agencia Nacional de Contratación Pública – Colombia Compra Eficiente en diferentes modalidades de selección y sectores, en las cuales, además, se reitera el carácter obligatorio de estos documentos y se establecen reglas específicas para su aplicación. </w:t>
      </w:r>
    </w:p>
    <w:p w14:paraId="0258AE4E"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De esta forma, las resoluciones mediante las cuales la Agencia Nacional de Contratación Pública – Colombia Compra Eficiente adoptó documentos tipo, consolidan un sistema de contratación estandarizado –en las modalidades y sectores adoptados– en el que las entidades estatales obligadas a la aplicación deben sujetarse de manera estricta a las condiciones definidas en dichos instrumentos, particularmente, en lo relacionado con requisitos habilitantes, factores de evaluación y sistemas de ponderación.</w:t>
      </w:r>
    </w:p>
    <w:p w14:paraId="1F238F2D"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Lo dispuesto en el párrafo precedente, es consecuente con lo desarrollado en el punto uno (i) de este concepto. En este se indicó que, sobre los documentos tipo expedidos por la Agencia Nacional de Contratación Pública – Colombia Compra Eficiente, recae la regla de inalterabilidad, en virtud de la cual, las entidades estatales obligadas a su aplicación no pueden modificar ni adicionar los requisitos habilitantes, los factores técnicos y económicos de escogencia ni los criterios de evaluación previstos en ellos, salvo en aquellos aspectos expresamente habilitados entre corchetes y resaltados en gris. Esta regla encuentra sustento tanto en el mandato legal de obligatoriedad contenido en la Ley 2022 de 2020, como en su desarrollo reglamentario y en las disposiciones contenidas en los propios documentos tipo, y constituye una manifestación del carácter reglado de la actividad contractual, limitando la discrecionalidad de las entidades con el fin de evitar prácticas restrictivas de la competencia, como los denominados “pliegos sastre”, y garantizar la uniformidad del sistema.</w:t>
      </w:r>
    </w:p>
    <w:p w14:paraId="3238649A"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Considerando lo anterior, si bien es cierto que, el Decreto 287 de 2026 establece que rige a partir del día siguiente a su publicación, lo que determina </w:t>
      </w:r>
      <w:r w:rsidRPr="00C215D5">
        <w:rPr>
          <w:rFonts w:ascii="Verdana" w:eastAsia="Aptos" w:hAnsi="Verdana" w:cs="Times New Roman"/>
          <w:kern w:val="2"/>
          <w14:ligatures w14:val="standardContextual"/>
        </w:rPr>
        <w:lastRenderedPageBreak/>
        <w:t>su vigencia inmediata, su aplicación en el ámbito de los procesos sometidos a documentos tipo debe interpretarse de manera sistemática y armónica con el régimen legal que regula dichos instrumentos, esto es, lo señalado en el artículo 1 de la Ley 2022 de 2020 y su desarrollo reglamentario a través de cada una de las resoluciones expedidas por la Agencia Nacional de Contratación Pública – Colombia Compra Eficiente mediante las cuales se han implementado documentos tipo. En efecto, dado que los documentos tipo contienen de manera obligatoria los requisitos habilitantes, los factores de evaluación y los criterios de escogencia, las entidades estatales no cuentan con competencia para modificarlos o complementarlos de manera autónoma con el fin de incorporar directamente las disposiciones del Decreto en mención.</w:t>
      </w:r>
    </w:p>
    <w:p w14:paraId="38783BB7"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Permitir que cada entidad introduzca ajustes a los documentos tipo para dar aplicación inmediata al Decreto 287 de 2026 implicaría desconocer la competencia exclusiva atribuida por el legislador a la Agencia Nacional de Contratación Pública – Colombia Compra Eficiente mediante la expedición de la Ley 2022 de 2020, así como la regla de inalterabilidad que rige estos documentos. Además, generaría una fragmentación del sistema de compra pública, afectando los principios de igualdad, transparencia y selección objetiva, en la medida en que procesos contractuales similares podrían regirse por condiciones distintas, dependiendo de la entidad que los adelante y la forma como incorporó las previsiones contenidas en el Decreto 287 de 2026 a los procesos de selección regidos por documentos tipo.</w:t>
      </w:r>
    </w:p>
    <w:p w14:paraId="7797B82A"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Desde una perspectiva técnica, los documentos tipo constituyen un sistema integral y articulado, en el cual los requisitos habilitantes, los factores de evaluación y las condiciones contractuales se encuentran interrelacionados. En consecuencia, la incorporación aislada de modificaciones podría generar inconsistencias o desajustes en su aplicación, afectando la coherencia del proceso contractual. Por esta razón, la Ley 2022 de 2020 prevé que su adopción y actualización se realice mediante procedimientos estructurados, coordinados y participativos, a cargo de la Agencia Nacional de Contratación Pública – Colombia Compra Eficiente</w:t>
      </w:r>
      <w:r w:rsidRPr="00C215D5">
        <w:rPr>
          <w:rFonts w:ascii="Verdana" w:eastAsia="Aptos" w:hAnsi="Verdana" w:cs="Times New Roman"/>
          <w:kern w:val="2"/>
          <w:vertAlign w:val="superscript"/>
          <w14:ligatures w14:val="standardContextual"/>
        </w:rPr>
        <w:footnoteReference w:id="13"/>
      </w:r>
      <w:r w:rsidRPr="00C215D5">
        <w:rPr>
          <w:rFonts w:ascii="Verdana" w:eastAsia="Aptos" w:hAnsi="Verdana" w:cs="Times New Roman"/>
          <w:kern w:val="2"/>
          <w14:ligatures w14:val="standardContextual"/>
        </w:rPr>
        <w:t xml:space="preserve">, quien cuenta con la capacidad técnica para </w:t>
      </w:r>
      <w:r w:rsidRPr="00C215D5">
        <w:rPr>
          <w:rFonts w:ascii="Verdana" w:eastAsia="Aptos" w:hAnsi="Verdana" w:cs="Times New Roman"/>
          <w:kern w:val="2"/>
          <w14:ligatures w14:val="standardContextual"/>
        </w:rPr>
        <w:lastRenderedPageBreak/>
        <w:t xml:space="preserve">garantizar la adecuada integración de las nuevas disposiciones, como por ejemplo el Decreto 287 de 2026. </w:t>
      </w:r>
    </w:p>
    <w:p w14:paraId="1281178D"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Adicionalmente, el propio Decreto 287 de 2026 en el artículo 1 que modifica el artículo 2.2.1.2.4.2.7.8 al Decreto 1082 de 2015</w:t>
      </w:r>
      <w:r w:rsidRPr="00C215D5">
        <w:rPr>
          <w:rFonts w:ascii="Verdana" w:eastAsia="Aptos" w:hAnsi="Verdana" w:cs="Times New Roman"/>
          <w:kern w:val="2"/>
          <w:vertAlign w:val="superscript"/>
          <w14:ligatures w14:val="standardContextual"/>
        </w:rPr>
        <w:footnoteReference w:id="14"/>
      </w:r>
      <w:r w:rsidRPr="00C215D5">
        <w:rPr>
          <w:rFonts w:ascii="Verdana" w:eastAsia="Aptos" w:hAnsi="Verdana" w:cs="Times New Roman"/>
          <w:kern w:val="2"/>
          <w14:ligatures w14:val="standardContextual"/>
        </w:rPr>
        <w:t>, reconoce esta necesidad al disponer que la Agencia Nacional de Contratación Pública – Colombia Compra Eficiente “(…) garantizará la adopción permanente de las acciones necesarias para que las medidas señaladas en esta subsección se incorporen a los documentos e instrumentos que genera</w:t>
      </w:r>
      <w:r w:rsidRPr="00C215D5">
        <w:rPr>
          <w:rFonts w:ascii="Aptos" w:eastAsia="Aptos" w:hAnsi="Aptos" w:cs="Times New Roman"/>
          <w:kern w:val="2"/>
          <w:sz w:val="24"/>
          <w:szCs w:val="24"/>
          <w14:ligatures w14:val="standardContextual"/>
        </w:rPr>
        <w:t>”</w:t>
      </w:r>
      <w:r w:rsidRPr="00C215D5">
        <w:rPr>
          <w:rFonts w:ascii="Aptos" w:eastAsia="Aptos" w:hAnsi="Aptos" w:cs="Times New Roman"/>
          <w:kern w:val="2"/>
          <w:sz w:val="24"/>
          <w:szCs w:val="24"/>
          <w:vertAlign w:val="superscript"/>
          <w14:ligatures w14:val="standardContextual"/>
        </w:rPr>
        <w:footnoteReference w:id="15"/>
      </w:r>
      <w:r w:rsidRPr="00C215D5">
        <w:rPr>
          <w:rFonts w:ascii="Verdana" w:eastAsia="Aptos" w:hAnsi="Verdana" w:cs="Times New Roman"/>
          <w:kern w:val="2"/>
          <w14:ligatures w14:val="standardContextual"/>
        </w:rPr>
        <w:t xml:space="preserve">, lo cual confirma que la operatividad de dichas disposiciones en el ámbito de los documentos tipo depende de su desarrollo por parte de esta entidad. </w:t>
      </w:r>
    </w:p>
    <w:p w14:paraId="7D712C19"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Lo anterior es consecuente con lo dispuesto en el ABC del Decreto 0287 de 2026 “Contratación pública inclusiva para personas con discapacidad”</w:t>
      </w:r>
      <w:r w:rsidRPr="00C215D5">
        <w:rPr>
          <w:rFonts w:ascii="Verdana" w:eastAsia="Aptos" w:hAnsi="Verdana" w:cs="Times New Roman"/>
          <w:kern w:val="2"/>
          <w:vertAlign w:val="superscript"/>
          <w14:ligatures w14:val="standardContextual"/>
        </w:rPr>
        <w:footnoteReference w:id="16"/>
      </w:r>
      <w:r w:rsidRPr="00C215D5">
        <w:rPr>
          <w:rFonts w:ascii="Verdana" w:eastAsia="Aptos" w:hAnsi="Verdana" w:cs="Times New Roman"/>
          <w:kern w:val="2"/>
          <w14:ligatures w14:val="standardContextual"/>
        </w:rPr>
        <w:t xml:space="preserve">, en donde se establece que “La aplicación del Decreto 0287 de 2026 en los documentos tipo está sujeta a que Colombia Compra Eficiente realice los ajustes correspondientes en estos instrumentos”, esto considerando que “(…) los documentos tipo requieren una adecuación técnica y normativa previa para incorporar las medidas del sistema de preferencias”. </w:t>
      </w:r>
    </w:p>
    <w:p w14:paraId="79B5BDE7"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En consecuencia, aunque de acuerdo con el artículo 2 del Decreto 287 de 2026, este “(…) rige a partir del día siguiente a su publicación (…)”, su aplicación en los procesos contracción regidos por documentos tipo se encuentra condicionada a su incorporación formal en dichos instrumentos por parte de la Agencia Nacional de Contratación Pública – Colombia Compra Eficiente. Así, solo a partir de dicha incorporación mediante la modificación a los documentos tipo, es posible garantizar una aplicación uniforme, coherente y jurídicamente válida </w:t>
      </w:r>
      <w:r w:rsidRPr="00C215D5">
        <w:rPr>
          <w:rFonts w:ascii="Verdana" w:eastAsia="Aptos" w:hAnsi="Verdana" w:cs="Times New Roman"/>
          <w:kern w:val="2"/>
          <w14:ligatures w14:val="standardContextual"/>
        </w:rPr>
        <w:lastRenderedPageBreak/>
        <w:t>de las medidas afirmativas previstas, sin desconocer la distribución de competencias establecida por el legislador ni la estructura normativa del sistema de compras y contratación pública.</w:t>
      </w:r>
    </w:p>
    <w:p w14:paraId="4C434CD0"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En conclusión, la implementación de las disposiciones del Decreto 287 de 2026 en relación con los documentos tipo no puede realizarse de manera directa por las entidades estatales que obligatoriamente deben aplicarlos, sino que, requiere necesariamente su desarrollo e incorporación por parte de la Agencia Nacional de Contratación Pública – Colombia Compra Eficiente, en ejercicio de la competencia que le fue atribuida por la Ley 2022 de 2020, garantizando así la coherencia del sistema, el respeto por la jerarquía normativa y la efectividad de las medidas orientadas a la inclusión de las personas con discapacidad en el sistema de compras y contratación pública. </w:t>
      </w:r>
    </w:p>
    <w:p w14:paraId="4CE6B82E" w14:textId="77777777" w:rsidR="00C215D5" w:rsidRPr="00C215D5" w:rsidRDefault="00C215D5" w:rsidP="00C215D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Finalmente, debe indicarse que, la Agencia Nacional de Contratación Pública – Colombia Compra Eficiente se encuentra trabajando en la incorporación de los criterios establecidos en el Decreto 287 de 2026 en los documentos tipo, lo que implica agotar el procedimiento previsto en la Resolución 160 de 2020 que establece el sistema para su revisión de estos documentos y la adopción de las modificaciones a que haya lugar mediante acto administrativo motivado.</w:t>
      </w:r>
    </w:p>
    <w:p w14:paraId="4A3496C6" w14:textId="77777777" w:rsidR="00C215D5" w:rsidRPr="00C215D5" w:rsidRDefault="00C215D5" w:rsidP="00C215D5">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Mediante el agotamiento de una serie de actuaciones que implican, el análisis del Decreto en comento desde un perspectiva técnica, financiera y jurídica, generar versiones previas para comentarios de ciudadanos, entidades y grupos de interés, respuesta a las observaciones y un informe global, entre otras etapas, esta Agencia adoptará las modificaciones a los documentos tipo para adecuarlos al contenido del Decreto 287 de 2026 que modifica el 1082 de 2015. Este trabajo ya fue iniciado por la Agencia Nacional de Contratación Pública – Colombia Compra Eficiente y finalizará con la adopción del acto administrativo que modifica los documentos tipo luego de surtir el procedimiento señalado. </w:t>
      </w:r>
    </w:p>
    <w:p w14:paraId="5E891081" w14:textId="77777777" w:rsidR="00C215D5" w:rsidRPr="00C215D5" w:rsidRDefault="00C215D5" w:rsidP="00C215D5">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 xml:space="preserve">Por otra parte, en caso de inobservancia de la regla de inalterabilidad de los pliegos tipo, corresponde a las entidades contratantes y proponentes adelantar las actuaciones que estimen procedentes al respecto y/o acudir a las autoridades competentes, en el marco de su autonomía y de acuerdo con el alcance de esas situaciones. Lo anterior, teniendo en cuenta que se trata de actuaciones que no son objeto de regulación en los documentos tipo. </w:t>
      </w:r>
    </w:p>
    <w:p w14:paraId="4B4B1841" w14:textId="77777777" w:rsidR="00C215D5" w:rsidRPr="00C215D5" w:rsidRDefault="00C215D5" w:rsidP="00C215D5">
      <w:pPr>
        <w:widowControl w:val="0"/>
        <w:autoSpaceDE w:val="0"/>
        <w:autoSpaceDN w:val="0"/>
        <w:spacing w:after="0" w:line="276" w:lineRule="auto"/>
        <w:ind w:firstLine="708"/>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lastRenderedPageBreak/>
        <w:t xml:space="preserve">En todo caso, le informamos que, recientemente, esta Agencia expidió la “Guía para Adelantar el Proceso Sancionatorio Administrativo Contractual”, la cual puede resultarle útil para las hipótesis planteadas en la consulta. Esta puede ser consultada a través del siguiente enlace: </w:t>
      </w:r>
      <w:hyperlink r:id="rId12" w:history="1">
        <w:r w:rsidRPr="00C215D5">
          <w:rPr>
            <w:rFonts w:ascii="Verdana" w:eastAsia="Aptos" w:hAnsi="Verdana" w:cs="Times New Roman"/>
            <w:color w:val="0000FF"/>
            <w:kern w:val="2"/>
            <w:u w:val="single"/>
            <w14:ligatures w14:val="standardContextual"/>
          </w:rPr>
          <w:t>https://www.colombiacompra.gov.co/normativa-y-relatoria/guias-y-manuales</w:t>
        </w:r>
      </w:hyperlink>
      <w:r w:rsidRPr="00C215D5">
        <w:rPr>
          <w:rFonts w:ascii="Verdana" w:eastAsia="Aptos" w:hAnsi="Verdana" w:cs="Times New Roman"/>
          <w:kern w:val="2"/>
          <w14:ligatures w14:val="standardContextual"/>
        </w:rPr>
        <w:t xml:space="preserve"> </w:t>
      </w:r>
    </w:p>
    <w:bookmarkEnd w:id="2"/>
    <w:p w14:paraId="1AEE44F7" w14:textId="77777777" w:rsidR="00C215D5" w:rsidRPr="00C215D5" w:rsidRDefault="00C215D5" w:rsidP="00C215D5">
      <w:pPr>
        <w:tabs>
          <w:tab w:val="left" w:pos="142"/>
          <w:tab w:val="left" w:pos="284"/>
        </w:tabs>
        <w:spacing w:after="0" w:line="276" w:lineRule="auto"/>
        <w:jc w:val="both"/>
        <w:rPr>
          <w:rFonts w:ascii="Verdana" w:eastAsia="Century Gothic" w:hAnsi="Verdana" w:cs="Century Gothic"/>
          <w:lang w:val="es-ES_tradnl"/>
        </w:rPr>
      </w:pPr>
    </w:p>
    <w:p w14:paraId="41D878EB" w14:textId="77777777" w:rsidR="00C215D5" w:rsidRPr="00C215D5" w:rsidRDefault="00C215D5" w:rsidP="00C215D5">
      <w:pPr>
        <w:tabs>
          <w:tab w:val="left" w:pos="142"/>
          <w:tab w:val="left" w:pos="284"/>
        </w:tabs>
        <w:spacing w:after="0" w:line="240" w:lineRule="auto"/>
        <w:jc w:val="both"/>
        <w:rPr>
          <w:rFonts w:ascii="Verdana" w:eastAsia="Century Gothic" w:hAnsi="Verdana" w:cs="Century Gothic"/>
          <w:b/>
          <w:bCs/>
          <w:lang w:val="es-ES_tradnl"/>
        </w:rPr>
      </w:pPr>
      <w:r w:rsidRPr="00C215D5">
        <w:rPr>
          <w:rFonts w:ascii="Verdana" w:eastAsia="Century Gothic" w:hAnsi="Verdana" w:cs="Century Gothic"/>
          <w:b/>
          <w:bCs/>
          <w:lang w:val="es-ES_tradnl"/>
        </w:rPr>
        <w:t>4. Referencias normativas, jurisprudenciales y otras fuentes:</w:t>
      </w:r>
    </w:p>
    <w:p w14:paraId="28A3AA43" w14:textId="77777777" w:rsidR="00C215D5" w:rsidRPr="00C215D5" w:rsidRDefault="00C215D5" w:rsidP="00C215D5">
      <w:pPr>
        <w:spacing w:after="0" w:line="240" w:lineRule="auto"/>
        <w:ind w:left="-15840"/>
        <w:jc w:val="both"/>
        <w:rPr>
          <w:rFonts w:ascii="Verdana" w:eastAsia="Calibri" w:hAnsi="Verdana" w:cs="Arial"/>
          <w:b/>
          <w:bCs/>
        </w:rPr>
      </w:pPr>
      <w:r w:rsidRPr="00C215D5">
        <w:rPr>
          <w:rFonts w:ascii="Verdana" w:eastAsia="Calibri" w:hAnsi="Verdana" w:cs="Arial"/>
          <w:b/>
          <w:bCs/>
        </w:rPr>
        <w:t xml:space="preserve">4. Referencias normativas, jurisprudenciales y otras </w:t>
      </w:r>
      <w:proofErr w:type="spellStart"/>
      <w:r w:rsidRPr="00C215D5">
        <w:rPr>
          <w:rFonts w:ascii="Verdana" w:eastAsia="Calibri" w:hAnsi="Verdana" w:cs="Arial"/>
          <w:b/>
          <w:bCs/>
        </w:rPr>
        <w:t>fuent</w:t>
      </w:r>
      <w:proofErr w:type="spellEnd"/>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C215D5" w:rsidRPr="00C215D5" w14:paraId="4698508E" w14:textId="77777777" w:rsidTr="009C2AF3">
        <w:trPr>
          <w:trHeight w:val="870"/>
        </w:trPr>
        <w:tc>
          <w:tcPr>
            <w:tcW w:w="8647" w:type="dxa"/>
            <w:tcBorders>
              <w:top w:val="dotted" w:sz="4" w:space="0" w:color="auto"/>
              <w:left w:val="dotted" w:sz="4" w:space="0" w:color="auto"/>
              <w:bottom w:val="dotted" w:sz="4" w:space="0" w:color="auto"/>
              <w:right w:val="dotted" w:sz="4" w:space="0" w:color="auto"/>
            </w:tcBorders>
          </w:tcPr>
          <w:p w14:paraId="29C78C7B" w14:textId="77777777" w:rsidR="00C215D5" w:rsidRPr="00C215D5" w:rsidRDefault="00C215D5" w:rsidP="00C215D5">
            <w:pPr>
              <w:widowControl w:val="0"/>
              <w:numPr>
                <w:ilvl w:val="0"/>
                <w:numId w:val="16"/>
              </w:numPr>
              <w:autoSpaceDE w:val="0"/>
              <w:autoSpaceDN w:val="0"/>
              <w:snapToGrid w:val="0"/>
              <w:spacing w:after="120" w:line="276" w:lineRule="auto"/>
              <w:ind w:left="714" w:hanging="357"/>
              <w:jc w:val="both"/>
              <w:rPr>
                <w:rFonts w:ascii="Verdana" w:eastAsia="Aptos" w:hAnsi="Verdana" w:cs="Arial"/>
              </w:rPr>
            </w:pPr>
            <w:r w:rsidRPr="00C215D5">
              <w:rPr>
                <w:rFonts w:ascii="Verdana" w:eastAsia="Aptos" w:hAnsi="Verdana" w:cs="Arial"/>
              </w:rPr>
              <w:t>Ley 80 de 1993, artículo 2.</w:t>
            </w:r>
          </w:p>
          <w:p w14:paraId="676510BD" w14:textId="77777777" w:rsidR="00C215D5" w:rsidRPr="00C215D5" w:rsidRDefault="00C215D5" w:rsidP="00C215D5">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_tradnl"/>
              </w:rPr>
            </w:pPr>
            <w:r w:rsidRPr="00C215D5">
              <w:rPr>
                <w:rFonts w:ascii="Verdana" w:eastAsia="Calibri" w:hAnsi="Verdana" w:cs="Arial"/>
                <w:lang w:val="es-ES_tradnl"/>
              </w:rPr>
              <w:t xml:space="preserve">Ley 2022 de 2020, artículo 1. </w:t>
            </w:r>
          </w:p>
          <w:p w14:paraId="2B401C7F" w14:textId="77777777" w:rsidR="00C215D5" w:rsidRPr="00C215D5" w:rsidRDefault="00C215D5" w:rsidP="00C215D5">
            <w:pPr>
              <w:widowControl w:val="0"/>
              <w:numPr>
                <w:ilvl w:val="0"/>
                <w:numId w:val="16"/>
              </w:numPr>
              <w:autoSpaceDE w:val="0"/>
              <w:autoSpaceDN w:val="0"/>
              <w:snapToGrid w:val="0"/>
              <w:spacing w:after="120" w:line="276" w:lineRule="auto"/>
              <w:ind w:left="714" w:hanging="357"/>
              <w:jc w:val="both"/>
              <w:rPr>
                <w:rFonts w:ascii="Verdana" w:eastAsia="Calibri" w:hAnsi="Verdana" w:cs="Arial"/>
              </w:rPr>
            </w:pPr>
            <w:r w:rsidRPr="00C215D5">
              <w:rPr>
                <w:rFonts w:ascii="Verdana" w:eastAsia="Aptos" w:hAnsi="Verdana" w:cs="Arial"/>
              </w:rPr>
              <w:t>Decreto Ley 4170 de 2011, artículos 1 y 11.</w:t>
            </w:r>
          </w:p>
          <w:p w14:paraId="5591F4F3" w14:textId="77777777" w:rsidR="00C215D5" w:rsidRPr="00C215D5" w:rsidRDefault="00C215D5" w:rsidP="00C215D5">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_tradnl"/>
              </w:rPr>
            </w:pPr>
            <w:r w:rsidRPr="00C215D5">
              <w:rPr>
                <w:rFonts w:ascii="Verdana" w:eastAsia="Calibri" w:hAnsi="Verdana" w:cs="Arial"/>
                <w:lang w:val="es-ES_tradnl"/>
              </w:rPr>
              <w:t>Decreto 287 de 2026, artículos 1 y 2.</w:t>
            </w:r>
          </w:p>
          <w:p w14:paraId="5B6EECB0" w14:textId="77777777" w:rsidR="00C215D5" w:rsidRPr="00C215D5" w:rsidRDefault="00C215D5" w:rsidP="00C215D5">
            <w:pPr>
              <w:widowControl w:val="0"/>
              <w:numPr>
                <w:ilvl w:val="0"/>
                <w:numId w:val="16"/>
              </w:numPr>
              <w:autoSpaceDE w:val="0"/>
              <w:autoSpaceDN w:val="0"/>
              <w:snapToGrid w:val="0"/>
              <w:spacing w:after="120" w:line="276" w:lineRule="auto"/>
              <w:ind w:left="714" w:hanging="357"/>
              <w:jc w:val="both"/>
              <w:rPr>
                <w:rFonts w:ascii="Verdana" w:eastAsia="Calibri" w:hAnsi="Verdana" w:cs="Arial"/>
                <w:lang w:val="es-ES_tradnl"/>
              </w:rPr>
            </w:pPr>
            <w:r w:rsidRPr="00C215D5">
              <w:rPr>
                <w:rFonts w:ascii="Verdana" w:eastAsia="Calibri" w:hAnsi="Verdana" w:cs="Arial"/>
                <w:lang w:val="es-ES_tradnl"/>
              </w:rPr>
              <w:t>Decreto 1082 de 2015, artículos 2.2.1.2.4.2.6., 2.2.1.2.4.2.7., y 2.2.1.2.4.2.8.</w:t>
            </w:r>
          </w:p>
          <w:p w14:paraId="497AF0AE" w14:textId="77777777" w:rsidR="00C215D5" w:rsidRPr="00C215D5" w:rsidRDefault="00C215D5" w:rsidP="00C215D5">
            <w:pPr>
              <w:widowControl w:val="0"/>
              <w:numPr>
                <w:ilvl w:val="0"/>
                <w:numId w:val="16"/>
              </w:numPr>
              <w:autoSpaceDE w:val="0"/>
              <w:autoSpaceDN w:val="0"/>
              <w:snapToGrid w:val="0"/>
              <w:spacing w:after="120" w:line="276" w:lineRule="auto"/>
              <w:ind w:left="714" w:hanging="357"/>
              <w:jc w:val="both"/>
              <w:rPr>
                <w:rFonts w:ascii="Verdana" w:eastAsia="Aptos" w:hAnsi="Verdana" w:cs="Arial"/>
              </w:rPr>
            </w:pPr>
            <w:r w:rsidRPr="00C215D5">
              <w:rPr>
                <w:rFonts w:ascii="Verdana" w:eastAsia="Aptos" w:hAnsi="Verdana" w:cs="Arial"/>
              </w:rPr>
              <w:t>Consejo de Estado, Sección Quinta, del 12 de diciembre de 2024 (Rad. 05001-23-33-000-2024-00847-01, M.P. Omar Joaquín Barreto Suárez).</w:t>
            </w:r>
          </w:p>
          <w:p w14:paraId="0C702DC3" w14:textId="77777777" w:rsidR="00C215D5" w:rsidRPr="00C215D5" w:rsidRDefault="00C215D5" w:rsidP="00C215D5">
            <w:pPr>
              <w:widowControl w:val="0"/>
              <w:numPr>
                <w:ilvl w:val="0"/>
                <w:numId w:val="16"/>
              </w:numPr>
              <w:autoSpaceDE w:val="0"/>
              <w:autoSpaceDN w:val="0"/>
              <w:spacing w:after="120" w:line="276" w:lineRule="auto"/>
              <w:jc w:val="both"/>
              <w:rPr>
                <w:rFonts w:ascii="Verdana" w:eastAsia="Calibri" w:hAnsi="Verdana" w:cs="Arial"/>
              </w:rPr>
            </w:pPr>
            <w:r w:rsidRPr="00C215D5">
              <w:rPr>
                <w:rFonts w:ascii="Verdana" w:eastAsia="Calibri" w:hAnsi="Verdana" w:cs="Arial"/>
                <w:lang w:val="es-ES_tradnl"/>
              </w:rPr>
              <w:t xml:space="preserve">Documentos Tipo. Disponibles en: </w:t>
            </w:r>
            <w:hyperlink r:id="rId13" w:history="1">
              <w:r w:rsidRPr="00C215D5">
                <w:rPr>
                  <w:rFonts w:ascii="Verdana" w:eastAsia="Calibri" w:hAnsi="Verdana" w:cs="Arial"/>
                  <w:color w:val="0000FF"/>
                  <w:u w:val="single"/>
                  <w:lang w:val="es-ES_tradnl"/>
                </w:rPr>
                <w:t>https://www.colombiacompra.gov.co/documentos-tipo/documentos-tipo</w:t>
              </w:r>
            </w:hyperlink>
            <w:r w:rsidRPr="00C215D5">
              <w:rPr>
                <w:rFonts w:ascii="Verdana" w:eastAsia="Calibri" w:hAnsi="Verdana" w:cs="Arial"/>
                <w:lang w:val="es-ES_tradnl"/>
              </w:rPr>
              <w:t>.</w:t>
            </w:r>
          </w:p>
        </w:tc>
      </w:tr>
    </w:tbl>
    <w:p w14:paraId="5C5732B3" w14:textId="77777777" w:rsidR="00C215D5" w:rsidRPr="00C215D5" w:rsidRDefault="00C215D5" w:rsidP="00C215D5">
      <w:pPr>
        <w:tabs>
          <w:tab w:val="left" w:pos="142"/>
          <w:tab w:val="left" w:pos="284"/>
        </w:tabs>
        <w:spacing w:after="0" w:line="276" w:lineRule="auto"/>
        <w:jc w:val="both"/>
        <w:rPr>
          <w:rFonts w:ascii="Verdana" w:eastAsia="Calibri" w:hAnsi="Verdana" w:cs="Arial"/>
        </w:rPr>
      </w:pPr>
    </w:p>
    <w:p w14:paraId="1840D213" w14:textId="77777777" w:rsidR="00C215D5" w:rsidRPr="00C215D5" w:rsidRDefault="00C215D5" w:rsidP="00C215D5">
      <w:pPr>
        <w:tabs>
          <w:tab w:val="left" w:pos="142"/>
          <w:tab w:val="left" w:pos="284"/>
        </w:tabs>
        <w:spacing w:after="0" w:line="276" w:lineRule="auto"/>
        <w:jc w:val="both"/>
        <w:rPr>
          <w:rFonts w:ascii="Verdana" w:eastAsia="Century Gothic" w:hAnsi="Verdana" w:cs="Century Gothic"/>
          <w:b/>
          <w:bCs/>
          <w:lang w:val="es-ES"/>
        </w:rPr>
      </w:pPr>
      <w:r w:rsidRPr="00C215D5">
        <w:rPr>
          <w:rFonts w:ascii="Verdana" w:eastAsia="Calibri" w:hAnsi="Verdana" w:cs="Arial"/>
          <w:b/>
          <w:bCs/>
        </w:rPr>
        <w:t xml:space="preserve">5. </w:t>
      </w:r>
      <w:r w:rsidRPr="00C215D5">
        <w:rPr>
          <w:rFonts w:ascii="Verdana" w:eastAsia="Century Gothic" w:hAnsi="Verdana" w:cs="Century Gothic"/>
          <w:b/>
          <w:bCs/>
          <w:lang w:val="es-ES"/>
        </w:rPr>
        <w:t>Doctrina de la Agencia Nacional de Contratación Pública:</w:t>
      </w:r>
    </w:p>
    <w:p w14:paraId="09C7DC9A" w14:textId="77777777" w:rsidR="00C215D5" w:rsidRPr="00C215D5" w:rsidRDefault="00C215D5" w:rsidP="00C215D5">
      <w:pPr>
        <w:widowControl w:val="0"/>
        <w:autoSpaceDE w:val="0"/>
        <w:autoSpaceDN w:val="0"/>
        <w:spacing w:after="0" w:line="276" w:lineRule="auto"/>
        <w:jc w:val="both"/>
        <w:rPr>
          <w:rFonts w:ascii="Verdana" w:eastAsia="Calibri" w:hAnsi="Verdana" w:cs="Arial"/>
        </w:rPr>
      </w:pPr>
    </w:p>
    <w:p w14:paraId="5366AE2D" w14:textId="77777777" w:rsidR="00C215D5" w:rsidRPr="00C215D5" w:rsidRDefault="00C215D5" w:rsidP="00C215D5">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sidRPr="00C215D5">
        <w:rPr>
          <w:rFonts w:ascii="Verdana" w:eastAsia="Calibri" w:hAnsi="Verdana" w:cs="Arial"/>
          <w:kern w:val="2"/>
          <w:shd w:val="clear" w:color="auto" w:fill="FFFFFF"/>
          <w14:ligatures w14:val="standardContextual"/>
        </w:rPr>
        <w:t>L</w:t>
      </w:r>
      <w:r w:rsidRPr="00C215D5">
        <w:rPr>
          <w:rFonts w:ascii="Verdana" w:eastAsia="Calibri" w:hAnsi="Verdana" w:cs="Arial"/>
          <w:kern w:val="2"/>
          <w:shd w:val="clear" w:color="auto" w:fill="FFFFFF"/>
          <w:lang w:val="es-ES"/>
          <w14:ligatures w14:val="standardContextual"/>
        </w:rPr>
        <w:t>a Agencia Nacional de Contratación Pública – Colombia Compra Eficiente, se ha pronunciado sobre la regla de la inalterabilidad de los documentos tipo en los siguientes conceptos: C-058 del 8 de marzo de 2022, C-657 del 11 de octubre de 2022, C-051 del 28 de abril de 2023</w:t>
      </w:r>
      <w:r w:rsidRPr="00C215D5">
        <w:rPr>
          <w:rFonts w:ascii="Verdana" w:eastAsia="Times New Roman" w:hAnsi="Verdana" w:cs="Arial"/>
          <w:kern w:val="2"/>
          <w:shd w:val="clear" w:color="auto" w:fill="FFFFFF"/>
          <w:lang w:val="es-ES"/>
          <w14:ligatures w14:val="standardContextual"/>
        </w:rPr>
        <w:t xml:space="preserve">, </w:t>
      </w:r>
      <w:r w:rsidRPr="00C215D5">
        <w:rPr>
          <w:rFonts w:ascii="Verdana" w:eastAsia="Calibri" w:hAnsi="Verdana" w:cs="Arial"/>
          <w:kern w:val="2"/>
          <w:shd w:val="clear" w:color="auto" w:fill="FFFFFF"/>
          <w:lang w:val="es-ES"/>
          <w14:ligatures w14:val="standardContextual"/>
        </w:rPr>
        <w:t xml:space="preserve">C-513 del 7 de octubre de 2024, C-730 del 27 de noviembre de 2024, C-870 del 15 de diciembre de 2024, C-092 del 4 de marzo de 2025, C-110 del 7 de marzo de 2025, C-133 del 10 de marzo de 2025, C-241 del 14 de marzo de 2025, C-283 del 14 de abril de 2025, C-302 del 21 de abril de 2025, C-386 del 22 de abril de 2025, C-322 del 25 de abril de 2025, C-325 del 25 de abril de 2025, C-342 del 25 de abril de 2025, C-365 del 2 de mayo de 2025, C-382 del 6 de mayo de 2025, C497 del 5 de junio de 2025, C-522 del 9 de junio de 2025, C-562 del 19 de junio de 2025, C-582 del 25 de </w:t>
      </w:r>
      <w:r w:rsidRPr="00C215D5">
        <w:rPr>
          <w:rFonts w:ascii="Verdana" w:eastAsia="Calibri" w:hAnsi="Verdana" w:cs="Arial"/>
          <w:kern w:val="2"/>
          <w:shd w:val="clear" w:color="auto" w:fill="FFFFFF"/>
          <w:lang w:val="es-ES"/>
          <w14:ligatures w14:val="standardContextual"/>
        </w:rPr>
        <w:lastRenderedPageBreak/>
        <w:t>junio de 2025</w:t>
      </w:r>
      <w:r w:rsidRPr="00C215D5">
        <w:rPr>
          <w:rFonts w:ascii="Verdana" w:eastAsia="Calibri" w:hAnsi="Verdana" w:cs="Arial"/>
          <w:shd w:val="clear" w:color="auto" w:fill="FFFFFF"/>
          <w:lang w:val="es-ES"/>
        </w:rPr>
        <w:t xml:space="preserve">, C-043 del 13 de febrero de 2026, C-246 del 12 de marzo de 2026, C-467 del 21 de abril de 2026, entre otros. </w:t>
      </w:r>
      <w:r w:rsidRPr="00C215D5">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4" w:history="1">
        <w:r w:rsidRPr="00C215D5">
          <w:rPr>
            <w:rFonts w:ascii="Verdana" w:eastAsia="Aptos" w:hAnsi="Verdana" w:cs="Arial"/>
            <w:color w:val="0000FF"/>
            <w:kern w:val="2"/>
            <w:u w:val="single"/>
            <w:shd w:val="clear" w:color="auto" w:fill="FFFFFF"/>
            <w14:ligatures w14:val="standardContextual"/>
          </w:rPr>
          <w:t>https://relatoria.colombiacompra.gov.co/busqueda/conceptos</w:t>
        </w:r>
      </w:hyperlink>
      <w:r w:rsidRPr="00C215D5">
        <w:rPr>
          <w:rFonts w:ascii="Verdana" w:eastAsia="Aptos" w:hAnsi="Verdana" w:cs="Arial"/>
          <w:kern w:val="2"/>
          <w:shd w:val="clear" w:color="auto" w:fill="FFFFFF"/>
          <w14:ligatures w14:val="standardContextual"/>
        </w:rPr>
        <w:t xml:space="preserve">. </w:t>
      </w:r>
      <w:r w:rsidRPr="00C215D5">
        <w:rPr>
          <w:rFonts w:ascii="Verdana" w:eastAsia="Aptos" w:hAnsi="Verdana" w:cs="Arial"/>
          <w:color w:val="FF0000"/>
          <w:kern w:val="2"/>
          <w:shd w:val="clear" w:color="auto" w:fill="FFFFFF"/>
          <w:lang w:val="es-ES"/>
          <w14:ligatures w14:val="standardContextual"/>
        </w:rPr>
        <w:t xml:space="preserve">  </w:t>
      </w:r>
    </w:p>
    <w:p w14:paraId="2534D0F6" w14:textId="77777777" w:rsidR="00C215D5" w:rsidRPr="00C215D5" w:rsidRDefault="00C215D5" w:rsidP="00C215D5">
      <w:pPr>
        <w:spacing w:after="0" w:line="240" w:lineRule="auto"/>
        <w:jc w:val="both"/>
        <w:rPr>
          <w:rFonts w:ascii="Verdana" w:eastAsia="Calibri" w:hAnsi="Verdana" w:cs="Arial"/>
          <w:color w:val="000000"/>
          <w:shd w:val="clear" w:color="auto" w:fill="FFFFFF"/>
        </w:rPr>
      </w:pPr>
    </w:p>
    <w:p w14:paraId="76413452" w14:textId="77777777" w:rsidR="00C215D5" w:rsidRPr="00C215D5" w:rsidRDefault="00C215D5" w:rsidP="00C215D5">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C215D5">
        <w:rPr>
          <w:rFonts w:ascii="Verdana" w:eastAsia="Calibri" w:hAnsi="Verdana" w:cs="Arial"/>
          <w:kern w:val="2"/>
          <w:shd w:val="clear" w:color="auto" w:fill="FFFFFF"/>
          <w:lang w:val="es-ES_tradnl"/>
          <w14:ligatures w14:val="standardContextual"/>
        </w:rPr>
        <w:t>La</w:t>
      </w:r>
      <w:r w:rsidRPr="00C215D5">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C215D5">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C215D5">
        <w:rPr>
          <w:rFonts w:ascii="Verdana" w:eastAsia="Calibri" w:hAnsi="Verdana" w:cs="Arial"/>
          <w:b/>
          <w:bCs/>
          <w:kern w:val="2"/>
          <w:shd w:val="clear" w:color="auto" w:fill="FFFFFF"/>
          <w:lang w:val="es-ES_tradnl"/>
          <w14:ligatures w14:val="standardContextual"/>
        </w:rPr>
        <w:t>Documentos Tipo</w:t>
      </w:r>
      <w:r w:rsidRPr="00C215D5">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C215D5">
        <w:rPr>
          <w:rFonts w:ascii="Verdana" w:eastAsia="Calibri" w:hAnsi="Verdana" w:cs="Arial"/>
          <w:b/>
          <w:bCs/>
          <w:kern w:val="2"/>
          <w:shd w:val="clear" w:color="auto" w:fill="FFFFFF"/>
          <w:lang w:val="es-ES_tradnl"/>
          <w14:ligatures w14:val="standardContextual"/>
        </w:rPr>
        <w:t>transparencia</w:t>
      </w:r>
      <w:r w:rsidRPr="00C215D5">
        <w:rPr>
          <w:rFonts w:ascii="Verdana" w:eastAsia="Calibri" w:hAnsi="Verdana" w:cs="Arial"/>
          <w:kern w:val="2"/>
          <w:shd w:val="clear" w:color="auto" w:fill="FFFFFF"/>
          <w:lang w:val="es-ES_tradnl"/>
          <w14:ligatures w14:val="standardContextual"/>
        </w:rPr>
        <w:t> y promover un proceso de </w:t>
      </w:r>
      <w:r w:rsidRPr="00C215D5">
        <w:rPr>
          <w:rFonts w:ascii="Verdana" w:eastAsia="Calibri" w:hAnsi="Verdana" w:cs="Arial"/>
          <w:b/>
          <w:bCs/>
          <w:kern w:val="2"/>
          <w:shd w:val="clear" w:color="auto" w:fill="FFFFFF"/>
          <w:lang w:val="es-ES_tradnl"/>
          <w14:ligatures w14:val="standardContextual"/>
        </w:rPr>
        <w:t>selección objetiva</w:t>
      </w:r>
      <w:r w:rsidRPr="00C215D5">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3E812E84" w14:textId="77777777" w:rsidR="00C215D5" w:rsidRPr="00C215D5" w:rsidRDefault="00C215D5" w:rsidP="00C215D5">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7CE25A30" w14:textId="77777777" w:rsidR="00C215D5" w:rsidRPr="00C215D5" w:rsidRDefault="00C215D5" w:rsidP="00C215D5">
      <w:pPr>
        <w:spacing w:after="0" w:line="276" w:lineRule="auto"/>
        <w:jc w:val="both"/>
        <w:rPr>
          <w:rFonts w:ascii="Verdana" w:eastAsia="Aptos" w:hAnsi="Verdana" w:cs="Times New Roman"/>
          <w:kern w:val="2"/>
          <w:lang w:val="es-ES_tradnl"/>
          <w14:ligatures w14:val="standardContextual"/>
        </w:rPr>
      </w:pPr>
      <w:r w:rsidRPr="00C215D5">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C215D5">
        <w:rPr>
          <w:rFonts w:ascii="Verdana" w:eastAsia="Aptos" w:hAnsi="Verdana" w:cs="Times New Roman"/>
          <w:b/>
          <w:bCs/>
          <w:kern w:val="2"/>
          <w14:ligatures w14:val="standardContextual"/>
        </w:rPr>
        <w:t>Guía para la Exigencia y Constitución de Garantías en los Procesos de Contratación</w:t>
      </w:r>
      <w:r w:rsidRPr="00C215D5">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5" w:tgtFrame="_blank" w:tooltip="Original URL: https://www.colombiacompra.gov.co/archivos/manual/guia-de-garantias-en-procesos-de-contratacion. Click or tap if you trust this link." w:history="1">
        <w:r w:rsidRPr="00C215D5">
          <w:rPr>
            <w:rFonts w:ascii="Verdana" w:eastAsia="Aptos" w:hAnsi="Verdana" w:cs="Times New Roman"/>
            <w:color w:val="0000FF"/>
            <w:kern w:val="2"/>
            <w:u w:val="single"/>
            <w14:ligatures w14:val="standardContextual"/>
          </w:rPr>
          <w:t>https://www.colombiacompra.gov.co/archivos/manual/guia-de-garantias-en-procesos-de-contratacion</w:t>
        </w:r>
      </w:hyperlink>
    </w:p>
    <w:p w14:paraId="12AAD448" w14:textId="77777777" w:rsidR="00C215D5" w:rsidRPr="00C215D5" w:rsidRDefault="00C215D5" w:rsidP="00C215D5">
      <w:pPr>
        <w:spacing w:after="0" w:line="276" w:lineRule="auto"/>
        <w:jc w:val="both"/>
        <w:rPr>
          <w:rFonts w:ascii="Verdana" w:eastAsia="Aptos" w:hAnsi="Verdana" w:cs="Times New Roman"/>
          <w:kern w:val="2"/>
          <w14:ligatures w14:val="standardContextual"/>
        </w:rPr>
      </w:pPr>
    </w:p>
    <w:p w14:paraId="3E9E96E9" w14:textId="77777777" w:rsidR="00C215D5" w:rsidRPr="00C215D5" w:rsidRDefault="00C215D5" w:rsidP="00C215D5">
      <w:pPr>
        <w:spacing w:after="0" w:line="276" w:lineRule="auto"/>
        <w:jc w:val="both"/>
        <w:rPr>
          <w:rFonts w:ascii="Verdana" w:eastAsia="Aptos" w:hAnsi="Verdana" w:cs="Times New Roman"/>
          <w:kern w:val="2"/>
          <w:lang w:val="es-ES_tradnl"/>
          <w14:ligatures w14:val="standardContextual"/>
        </w:rPr>
      </w:pPr>
      <w:r w:rsidRPr="00C215D5">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C215D5">
        <w:rPr>
          <w:rFonts w:ascii="Verdana" w:eastAsia="Aptos" w:hAnsi="Verdana" w:cs="Times New Roman"/>
          <w:b/>
          <w:bCs/>
          <w:kern w:val="2"/>
          <w14:ligatures w14:val="standardContextual"/>
        </w:rPr>
        <w:t>Sistema Integral de Preferencias en favor de las personas con discapacidad</w:t>
      </w:r>
      <w:r w:rsidRPr="00C215D5">
        <w:rPr>
          <w:rFonts w:ascii="Verdana" w:eastAsia="Aptos" w:hAnsi="Verdana" w:cs="Times New Roman"/>
          <w:kern w:val="2"/>
          <w14:ligatures w14:val="standardContextual"/>
        </w:rPr>
        <w:t>, en cumplimiento del artículo 13 de la Ley Estatutaria 1618 de 2013. Para orientar su aplicación, esta Agencia expidió la </w:t>
      </w:r>
      <w:r w:rsidRPr="00C215D5">
        <w:rPr>
          <w:rFonts w:ascii="Verdana" w:eastAsia="Aptos" w:hAnsi="Verdana" w:cs="Times New Roman"/>
          <w:b/>
          <w:bCs/>
          <w:kern w:val="2"/>
          <w14:ligatures w14:val="standardContextual"/>
        </w:rPr>
        <w:t>Circular Externa 003 del 12 de mayo de 2026, </w:t>
      </w:r>
      <w:r w:rsidRPr="00C215D5">
        <w:rPr>
          <w:rFonts w:ascii="Verdana" w:eastAsia="Aptos" w:hAnsi="Verdana" w:cs="Times New Roman"/>
          <w:kern w:val="2"/>
          <w14:ligatures w14:val="standardContextual"/>
        </w:rPr>
        <w:t xml:space="preserve">en la que precisa quiénes </w:t>
      </w:r>
      <w:r w:rsidRPr="00C215D5">
        <w:rPr>
          <w:rFonts w:ascii="Verdana" w:eastAsia="Aptos" w:hAnsi="Verdana" w:cs="Times New Roman"/>
          <w:kern w:val="2"/>
          <w14:ligatures w14:val="standardContextual"/>
        </w:rPr>
        <w:lastRenderedPageBreak/>
        <w:t>son los beneficiarios, las cinco medidas que integran el sistema y su obligatoriedad según la modalidad de selección, y el régimen de transición aplicable a los procesos en curso. Consúltela aquí: </w:t>
      </w:r>
      <w:hyperlink r:id="rId16" w:tgtFrame="_blank" w:tooltip="Original URL: https://www.colombiacompra.gov.co/archivos/circular/circular-externa-003-de-2026. Click or tap if you trust this link." w:history="1">
        <w:r w:rsidRPr="00C215D5">
          <w:rPr>
            <w:rFonts w:ascii="Verdana" w:eastAsia="Aptos" w:hAnsi="Verdana" w:cs="Times New Roman"/>
            <w:color w:val="0000FF"/>
            <w:kern w:val="2"/>
            <w:u w:val="single"/>
            <w14:ligatures w14:val="standardContextual"/>
          </w:rPr>
          <w:t>https://www.colombiacompra.gov.co/archivos/circular/circular-externa-003-de-2026</w:t>
        </w:r>
      </w:hyperlink>
    </w:p>
    <w:p w14:paraId="651050CB" w14:textId="77777777" w:rsidR="00C215D5" w:rsidRPr="00C215D5" w:rsidRDefault="00C215D5" w:rsidP="00C215D5">
      <w:pPr>
        <w:spacing w:after="0" w:line="276" w:lineRule="auto"/>
        <w:jc w:val="both"/>
        <w:rPr>
          <w:rFonts w:ascii="Verdana" w:eastAsia="Aptos" w:hAnsi="Verdana" w:cs="Times New Roman"/>
          <w:kern w:val="2"/>
          <w14:ligatures w14:val="standardContextual"/>
        </w:rPr>
      </w:pPr>
    </w:p>
    <w:p w14:paraId="3DF86805" w14:textId="77777777" w:rsidR="00C215D5" w:rsidRPr="00C215D5" w:rsidRDefault="00C215D5" w:rsidP="00C215D5">
      <w:pPr>
        <w:spacing w:after="0" w:line="276" w:lineRule="auto"/>
        <w:jc w:val="both"/>
        <w:rPr>
          <w:rFonts w:ascii="Verdana" w:eastAsia="Aptos" w:hAnsi="Verdana" w:cs="Times New Roman"/>
          <w:kern w:val="2"/>
          <w:lang w:val="es-ES_tradnl"/>
          <w14:ligatures w14:val="standardContextual"/>
        </w:rPr>
      </w:pPr>
      <w:r w:rsidRPr="00C215D5">
        <w:rPr>
          <w:rFonts w:ascii="Verdana" w:eastAsia="Aptos" w:hAnsi="Verdana" w:cs="Times New Roman"/>
          <w:kern w:val="2"/>
          <w14:ligatures w14:val="standardContextual"/>
        </w:rPr>
        <w:t>Recuerde también que la</w:t>
      </w:r>
      <w:r w:rsidRPr="00C215D5">
        <w:rPr>
          <w:rFonts w:ascii="Verdana" w:eastAsia="Aptos" w:hAnsi="Verdana" w:cs="Times New Roman"/>
          <w:b/>
          <w:bCs/>
          <w:kern w:val="2"/>
          <w14:ligatures w14:val="standardContextual"/>
        </w:rPr>
        <w:t> información sobre sanciones e inhabilidades </w:t>
      </w:r>
      <w:r w:rsidRPr="00C215D5">
        <w:rPr>
          <w:rFonts w:ascii="Verdana" w:eastAsia="Aptos" w:hAnsi="Verdana" w:cs="Times New Roman"/>
          <w:kern w:val="2"/>
          <w14:ligatures w14:val="standardContextual"/>
        </w:rPr>
        <w:t>solo cumple su función preventiva si llega oportunamente a los registros públicos. Sobre este deber, esta Agencia expidió la </w:t>
      </w:r>
      <w:r w:rsidRPr="00C215D5">
        <w:rPr>
          <w:rFonts w:ascii="Verdana" w:eastAsia="Aptos" w:hAnsi="Verdana" w:cs="Times New Roman"/>
          <w:b/>
          <w:bCs/>
          <w:kern w:val="2"/>
          <w14:ligatures w14:val="standardContextual"/>
        </w:rPr>
        <w:t>Circular Externa 002 del 5 de mayo de 2026,</w:t>
      </w:r>
      <w:r w:rsidRPr="00C215D5">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Original URL: https://www.colombiacompra.gov.co/archivos/circular/circular-externa-002-de-2026. Click or tap if you trust this link." w:history="1">
        <w:r w:rsidRPr="00C215D5">
          <w:rPr>
            <w:rFonts w:ascii="Verdana" w:eastAsia="Aptos" w:hAnsi="Verdana" w:cs="Times New Roman"/>
            <w:color w:val="0000FF"/>
            <w:kern w:val="2"/>
            <w:u w:val="single"/>
            <w14:ligatures w14:val="standardContextual"/>
          </w:rPr>
          <w:t>https://www.colombiacompra.gov.co/archivos/circular/circular-externa-002-de-2026</w:t>
        </w:r>
      </w:hyperlink>
    </w:p>
    <w:p w14:paraId="7DBB4D59" w14:textId="77777777" w:rsidR="00C215D5" w:rsidRPr="00C215D5" w:rsidRDefault="00C215D5" w:rsidP="00C215D5">
      <w:pPr>
        <w:spacing w:after="0" w:line="276" w:lineRule="auto"/>
        <w:jc w:val="both"/>
        <w:rPr>
          <w:rFonts w:ascii="Verdana" w:eastAsia="Aptos" w:hAnsi="Verdana" w:cs="Times New Roman"/>
          <w:kern w:val="2"/>
          <w14:ligatures w14:val="standardContextual"/>
        </w:rPr>
      </w:pPr>
    </w:p>
    <w:p w14:paraId="15933EC1" w14:textId="77777777" w:rsidR="00C215D5" w:rsidRPr="00C215D5" w:rsidRDefault="00C215D5" w:rsidP="00C215D5">
      <w:pPr>
        <w:spacing w:after="0" w:line="276" w:lineRule="auto"/>
        <w:jc w:val="both"/>
        <w:rPr>
          <w:rFonts w:ascii="Verdana" w:eastAsia="Aptos" w:hAnsi="Verdana" w:cs="Times New Roman"/>
          <w:kern w:val="2"/>
          <w14:ligatures w14:val="standardContextual"/>
        </w:rPr>
      </w:pPr>
      <w:r w:rsidRPr="00C215D5">
        <w:rPr>
          <w:rFonts w:ascii="Verdana" w:eastAsia="Aptos" w:hAnsi="Verdana" w:cs="Times New Roman"/>
          <w:kern w:val="2"/>
          <w14:ligatures w14:val="standardContextual"/>
        </w:rPr>
        <w:t>Finalmente, si quiere seguir de cerca la actividad de la Agencia, la tercera edición de 2026 del</w:t>
      </w:r>
      <w:r w:rsidRPr="00C215D5">
        <w:rPr>
          <w:rFonts w:ascii="Verdana" w:eastAsia="Aptos" w:hAnsi="Verdana" w:cs="Times New Roman"/>
          <w:b/>
          <w:bCs/>
          <w:kern w:val="2"/>
          <w14:ligatures w14:val="standardContextual"/>
        </w:rPr>
        <w:t> Radar de la Compra Pública</w:t>
      </w:r>
      <w:r w:rsidRPr="00C215D5">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8" w:tgtFrame="_blank" w:tooltip="Original URL: https://www.colombiacompra.gov.co/archivos/boletin/boletin-edicion-n-3-de-2026-radar-de-la-compra-publica. Click or tap if you trust this link." w:history="1">
        <w:r w:rsidRPr="00C215D5">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4CDB297C" w14:textId="77777777" w:rsidR="00C215D5" w:rsidRPr="00C215D5" w:rsidRDefault="00C215D5" w:rsidP="00C215D5">
      <w:pPr>
        <w:widowControl w:val="0"/>
        <w:autoSpaceDE w:val="0"/>
        <w:autoSpaceDN w:val="0"/>
        <w:spacing w:after="0" w:line="276" w:lineRule="auto"/>
        <w:jc w:val="both"/>
        <w:rPr>
          <w:rFonts w:ascii="Verdana" w:eastAsia="Calibri" w:hAnsi="Verdana" w:cs="Arial"/>
          <w:shd w:val="clear" w:color="auto" w:fill="FFFFFF"/>
          <w:lang w:val="es-ES_tradnl"/>
        </w:rPr>
      </w:pPr>
    </w:p>
    <w:p w14:paraId="0ED35CCE" w14:textId="77777777" w:rsidR="00C215D5" w:rsidRPr="00C215D5" w:rsidRDefault="00C215D5" w:rsidP="00C215D5">
      <w:pPr>
        <w:spacing w:after="0" w:line="276" w:lineRule="auto"/>
        <w:jc w:val="both"/>
        <w:rPr>
          <w:rFonts w:ascii="Verdana" w:eastAsia="Calibri" w:hAnsi="Verdana" w:cs="Times New Roman"/>
          <w:lang w:val="es-ES_tradnl"/>
        </w:rPr>
      </w:pPr>
      <w:r w:rsidRPr="00C215D5">
        <w:rPr>
          <w:rFonts w:ascii="Verdana" w:eastAsia="Calibri" w:hAnsi="Verdana" w:cs="Times New Roman"/>
          <w:lang w:val="es-ES_tradnl"/>
        </w:rPr>
        <w:t xml:space="preserve">Por último, los invitamos a seguirnos en las redes sociales, en las cuales se difunde información institucional: </w:t>
      </w:r>
    </w:p>
    <w:p w14:paraId="5D9C0DBF" w14:textId="77777777" w:rsidR="00C215D5" w:rsidRPr="00C215D5" w:rsidRDefault="00C215D5" w:rsidP="00C215D5">
      <w:pPr>
        <w:spacing w:after="0" w:line="240" w:lineRule="auto"/>
        <w:jc w:val="both"/>
        <w:rPr>
          <w:rFonts w:ascii="Verdana" w:eastAsia="Calibri" w:hAnsi="Verdana" w:cs="Times New Roman"/>
          <w:kern w:val="2"/>
          <w:lang w:val="es-ES_tradnl" w:eastAsia="es-MX"/>
          <w14:ligatures w14:val="standardContextual"/>
        </w:rPr>
      </w:pPr>
    </w:p>
    <w:p w14:paraId="46C83A18" w14:textId="77777777" w:rsidR="00C215D5" w:rsidRPr="00C215D5" w:rsidRDefault="00C215D5" w:rsidP="00C215D5">
      <w:pPr>
        <w:spacing w:after="0" w:line="240" w:lineRule="auto"/>
        <w:jc w:val="both"/>
        <w:rPr>
          <w:rFonts w:ascii="Verdana" w:eastAsia="Calibri" w:hAnsi="Verdana" w:cs="Times New Roman"/>
          <w:kern w:val="2"/>
          <w:lang w:val="es-ES_tradnl" w:eastAsia="es-MX"/>
          <w14:ligatures w14:val="standardContextual"/>
        </w:rPr>
      </w:pPr>
      <w:r w:rsidRPr="00C215D5">
        <w:rPr>
          <w:rFonts w:ascii="Verdana" w:eastAsia="Calibri" w:hAnsi="Verdana" w:cs="Times New Roman"/>
          <w:kern w:val="2"/>
          <w:lang w:val="es-ES_tradnl" w:eastAsia="es-MX"/>
          <w14:ligatures w14:val="standardContextual"/>
        </w:rPr>
        <w:t xml:space="preserve">X: </w:t>
      </w:r>
      <w:r w:rsidRPr="00C215D5">
        <w:rPr>
          <w:rFonts w:ascii="Verdana" w:eastAsia="Calibri" w:hAnsi="Verdana" w:cs="Times New Roman"/>
          <w:kern w:val="2"/>
          <w:u w:val="single"/>
          <w:lang w:val="es-ES_tradnl" w:eastAsia="es-MX"/>
          <w14:ligatures w14:val="standardContextual"/>
        </w:rPr>
        <w:t>@colombiacompra</w:t>
      </w:r>
      <w:r w:rsidRPr="00C215D5">
        <w:rPr>
          <w:rFonts w:ascii="Verdana" w:eastAsia="Calibri" w:hAnsi="Verdana" w:cs="Times New Roman"/>
          <w:kern w:val="2"/>
          <w:lang w:val="es-ES_tradnl" w:eastAsia="es-MX"/>
          <w14:ligatures w14:val="standardContextual"/>
        </w:rPr>
        <w:t xml:space="preserve"> </w:t>
      </w:r>
    </w:p>
    <w:p w14:paraId="0A697F2B" w14:textId="77777777" w:rsidR="00C215D5" w:rsidRPr="00C215D5" w:rsidRDefault="00C215D5" w:rsidP="00C215D5">
      <w:pPr>
        <w:spacing w:after="0" w:line="240" w:lineRule="auto"/>
        <w:jc w:val="both"/>
        <w:rPr>
          <w:rFonts w:ascii="Verdana" w:eastAsia="Calibri" w:hAnsi="Verdana" w:cs="Times New Roman"/>
          <w:kern w:val="2"/>
          <w:lang w:val="es-ES" w:eastAsia="es-MX"/>
          <w14:ligatures w14:val="standardContextual"/>
        </w:rPr>
      </w:pPr>
      <w:r w:rsidRPr="00C215D5">
        <w:rPr>
          <w:rFonts w:ascii="Verdana" w:eastAsia="Calibri" w:hAnsi="Verdana" w:cs="Times New Roman"/>
          <w:kern w:val="2"/>
          <w:lang w:val="es-ES" w:eastAsia="es-MX"/>
          <w14:ligatures w14:val="standardContextual"/>
        </w:rPr>
        <w:t xml:space="preserve">Facebook: </w:t>
      </w:r>
      <w:proofErr w:type="spellStart"/>
      <w:r w:rsidRPr="00C215D5">
        <w:rPr>
          <w:rFonts w:ascii="Verdana" w:eastAsia="Calibri" w:hAnsi="Verdana" w:cs="Times New Roman"/>
          <w:kern w:val="2"/>
          <w:u w:val="single"/>
          <w:lang w:val="es-ES" w:eastAsia="es-MX"/>
          <w14:ligatures w14:val="standardContextual"/>
        </w:rPr>
        <w:t>ColombiaCompraEficiente</w:t>
      </w:r>
      <w:proofErr w:type="spellEnd"/>
    </w:p>
    <w:p w14:paraId="0C403CF0" w14:textId="77777777" w:rsidR="00C215D5" w:rsidRPr="00C215D5" w:rsidRDefault="00C215D5" w:rsidP="00C215D5">
      <w:pPr>
        <w:spacing w:after="0" w:line="240" w:lineRule="auto"/>
        <w:jc w:val="both"/>
        <w:rPr>
          <w:rFonts w:ascii="Verdana" w:eastAsia="Calibri" w:hAnsi="Verdana" w:cs="Times New Roman"/>
          <w:kern w:val="2"/>
          <w:lang w:val="es-ES_tradnl" w:eastAsia="es-MX"/>
          <w14:ligatures w14:val="standardContextual"/>
        </w:rPr>
      </w:pPr>
      <w:r w:rsidRPr="00C215D5">
        <w:rPr>
          <w:rFonts w:ascii="Verdana" w:eastAsia="Calibri" w:hAnsi="Verdana" w:cs="Times New Roman"/>
          <w:kern w:val="2"/>
          <w:lang w:val="es-ES_tradnl" w:eastAsia="es-MX"/>
          <w14:ligatures w14:val="standardContextual"/>
        </w:rPr>
        <w:t xml:space="preserve">LinkedIn: </w:t>
      </w:r>
      <w:r w:rsidRPr="00C215D5">
        <w:rPr>
          <w:rFonts w:ascii="Verdana" w:eastAsia="Calibri" w:hAnsi="Verdana" w:cs="Times New Roman"/>
          <w:kern w:val="2"/>
          <w:u w:val="single"/>
          <w:lang w:val="es-ES_tradnl" w:eastAsia="es-MX"/>
          <w14:ligatures w14:val="standardContextual"/>
        </w:rPr>
        <w:t>Agencia Nacional de Contratación Pública - Colombia Compra Eficiente</w:t>
      </w:r>
      <w:r w:rsidRPr="00C215D5">
        <w:rPr>
          <w:rFonts w:ascii="Verdana" w:eastAsia="Calibri" w:hAnsi="Verdana" w:cs="Times New Roman"/>
          <w:kern w:val="2"/>
          <w:lang w:val="es-ES_tradnl" w:eastAsia="es-MX"/>
          <w14:ligatures w14:val="standardContextual"/>
        </w:rPr>
        <w:t xml:space="preserve"> Instagram: </w:t>
      </w:r>
      <w:r w:rsidRPr="00C215D5">
        <w:rPr>
          <w:rFonts w:ascii="Verdana" w:eastAsia="Calibri" w:hAnsi="Verdana" w:cs="Times New Roman"/>
          <w:kern w:val="2"/>
          <w:u w:val="single"/>
          <w:lang w:val="es-ES_tradnl" w:eastAsia="es-MX"/>
          <w14:ligatures w14:val="standardContextual"/>
        </w:rPr>
        <w:t>@colombiacompraeficiente_cce</w:t>
      </w:r>
    </w:p>
    <w:p w14:paraId="176E6C07" w14:textId="77777777" w:rsidR="00C215D5" w:rsidRPr="00C215D5" w:rsidRDefault="00C215D5" w:rsidP="00C215D5">
      <w:pPr>
        <w:spacing w:after="0" w:line="276" w:lineRule="auto"/>
        <w:jc w:val="both"/>
        <w:rPr>
          <w:rFonts w:ascii="Verdana" w:eastAsia="Aptos" w:hAnsi="Verdana" w:cs="Times New Roman"/>
          <w:lang w:eastAsia="es-MX"/>
        </w:rPr>
      </w:pPr>
    </w:p>
    <w:p w14:paraId="0232FBCC" w14:textId="77777777" w:rsidR="00C215D5" w:rsidRPr="00C215D5" w:rsidRDefault="00C215D5" w:rsidP="00C215D5">
      <w:pPr>
        <w:spacing w:after="0" w:line="276" w:lineRule="auto"/>
        <w:jc w:val="both"/>
        <w:rPr>
          <w:rFonts w:ascii="Verdana" w:eastAsia="Calibri" w:hAnsi="Verdana" w:cs="Times New Roman"/>
          <w:bCs/>
          <w:lang w:val="es-ES_tradnl" w:eastAsia="es-MX"/>
        </w:rPr>
      </w:pPr>
      <w:r w:rsidRPr="00C215D5">
        <w:rPr>
          <w:rFonts w:ascii="Verdana" w:eastAsia="Calibri" w:hAnsi="Verdana" w:cs="Times New Roman"/>
          <w:lang w:val="es-ES_tradnl" w:eastAsia="es-MX"/>
        </w:rPr>
        <w:t xml:space="preserve">Este concepto tiene el alcance previsto en el artículo 28 del Código de Procedimiento Administrativo y de lo Contencioso Administrativo y las </w:t>
      </w:r>
      <w:r w:rsidRPr="00C215D5">
        <w:rPr>
          <w:rFonts w:ascii="Verdana" w:eastAsia="Calibri" w:hAnsi="Verdana" w:cs="Times New Roman"/>
          <w:lang w:val="es-ES_tradnl" w:eastAsia="es-MX"/>
        </w:rPr>
        <w:lastRenderedPageBreak/>
        <w:t>expresiones utilizadas con mayúscula inicial deben ser entendidas con el significado que les otorga el artículo 2.2.1.1.1.3.1 del Decreto 1082 de 2015.</w:t>
      </w:r>
    </w:p>
    <w:p w14:paraId="78F27DE0" w14:textId="77777777" w:rsidR="00C215D5" w:rsidRPr="00C215D5" w:rsidRDefault="00C215D5" w:rsidP="00C215D5">
      <w:pPr>
        <w:spacing w:after="0" w:line="276" w:lineRule="auto"/>
        <w:jc w:val="both"/>
        <w:rPr>
          <w:rFonts w:ascii="Verdana" w:eastAsia="Calibri" w:hAnsi="Verdana" w:cs="Times New Roman"/>
          <w:lang w:eastAsia="es-MX"/>
        </w:rPr>
      </w:pPr>
    </w:p>
    <w:p w14:paraId="09D3E022" w14:textId="77777777" w:rsidR="00C215D5" w:rsidRPr="00C215D5" w:rsidRDefault="00C215D5" w:rsidP="00C215D5">
      <w:pPr>
        <w:spacing w:after="0" w:line="276" w:lineRule="auto"/>
        <w:jc w:val="both"/>
        <w:rPr>
          <w:rFonts w:ascii="Verdana" w:eastAsia="Calibri" w:hAnsi="Verdana" w:cs="Times New Roman"/>
          <w:lang w:eastAsia="es-MX"/>
        </w:rPr>
      </w:pPr>
      <w:r w:rsidRPr="00C215D5">
        <w:rPr>
          <w:rFonts w:ascii="Verdana" w:eastAsia="Calibri" w:hAnsi="Verdana" w:cs="Times New Roman"/>
          <w:lang w:eastAsia="es-MX"/>
        </w:rPr>
        <w:t>Atentamente,</w:t>
      </w:r>
    </w:p>
    <w:p w14:paraId="204A362B" w14:textId="0C84C19D" w:rsidR="00C215D5" w:rsidRPr="00C215D5" w:rsidRDefault="001647DE" w:rsidP="00C215D5">
      <w:pPr>
        <w:tabs>
          <w:tab w:val="left" w:pos="1320"/>
        </w:tabs>
        <w:spacing w:after="0"/>
        <w:jc w:val="center"/>
        <w:rPr>
          <w:rFonts w:ascii="Verdana" w:eastAsia="Calibri" w:hAnsi="Verdana" w:cs="Times New Roman"/>
          <w:lang w:eastAsia="es-MX"/>
        </w:rPr>
      </w:pPr>
      <w:r w:rsidRPr="002C3AD6">
        <w:rPr>
          <w:rFonts w:ascii="Century Gothic" w:hAnsi="Century Gothic"/>
          <w:noProof/>
        </w:rPr>
        <w:drawing>
          <wp:inline distT="0" distB="0" distL="0" distR="0" wp14:anchorId="5C045A6F" wp14:editId="2E0E4037">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219498" cy="1195115"/>
                    </a:xfrm>
                    <a:prstGeom prst="rect">
                      <a:avLst/>
                    </a:prstGeom>
                  </pic:spPr>
                </pic:pic>
              </a:graphicData>
            </a:graphic>
          </wp:inline>
        </w:drawing>
      </w:r>
    </w:p>
    <w:tbl>
      <w:tblPr>
        <w:tblStyle w:val="Tablaconcuadrcula2"/>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C215D5" w:rsidRPr="00C215D5" w14:paraId="5F6E495C" w14:textId="77777777" w:rsidTr="009C2AF3">
        <w:trPr>
          <w:trHeight w:val="323"/>
        </w:trPr>
        <w:tc>
          <w:tcPr>
            <w:tcW w:w="1041" w:type="dxa"/>
            <w:vAlign w:val="center"/>
            <w:hideMark/>
          </w:tcPr>
          <w:p w14:paraId="5A0CE3D7" w14:textId="77777777" w:rsidR="00C215D5" w:rsidRPr="00C215D5" w:rsidRDefault="00C215D5" w:rsidP="00C215D5">
            <w:pPr>
              <w:rPr>
                <w:rFonts w:ascii="Verdana" w:eastAsia="Calibri" w:hAnsi="Verdana" w:cs="Arial"/>
                <w:sz w:val="16"/>
                <w:szCs w:val="16"/>
                <w:lang w:val="es-ES_tradnl" w:eastAsia="es-ES"/>
              </w:rPr>
            </w:pPr>
            <w:r w:rsidRPr="00C215D5">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3B8D8F3D" w14:textId="77777777" w:rsidR="00C215D5" w:rsidRPr="00C215D5" w:rsidRDefault="00C215D5" w:rsidP="00C215D5">
            <w:pPr>
              <w:rPr>
                <w:rFonts w:ascii="Verdana" w:eastAsia="Arial" w:hAnsi="Verdana" w:cs="Arial"/>
                <w:sz w:val="16"/>
                <w:szCs w:val="16"/>
                <w:lang w:val="es-ES" w:eastAsia="es-MX"/>
              </w:rPr>
            </w:pPr>
            <w:r w:rsidRPr="00C215D5">
              <w:rPr>
                <w:rFonts w:ascii="Verdana" w:eastAsia="Arial" w:hAnsi="Verdana" w:cs="Arial"/>
                <w:sz w:val="16"/>
                <w:szCs w:val="16"/>
                <w:lang w:val="es-ES" w:eastAsia="es-MX"/>
              </w:rPr>
              <w:t xml:space="preserve">Kevin Arlid Herrera Santa </w:t>
            </w:r>
          </w:p>
          <w:p w14:paraId="40BCF2B9" w14:textId="77777777" w:rsidR="00C215D5" w:rsidRPr="00C215D5" w:rsidRDefault="00C215D5" w:rsidP="00C215D5">
            <w:pPr>
              <w:rPr>
                <w:rFonts w:ascii="Verdana" w:eastAsia="Arial" w:hAnsi="Verdana" w:cs="Arial"/>
                <w:sz w:val="16"/>
                <w:szCs w:val="16"/>
                <w:lang w:val="es-ES_tradnl" w:eastAsia="es-MX"/>
              </w:rPr>
            </w:pPr>
            <w:r w:rsidRPr="00C215D5">
              <w:rPr>
                <w:rFonts w:ascii="Verdana" w:eastAsia="Arial" w:hAnsi="Verdana" w:cs="Arial"/>
                <w:sz w:val="16"/>
                <w:szCs w:val="16"/>
                <w:lang w:val="es-ES_tradnl" w:eastAsia="es-MX"/>
              </w:rPr>
              <w:t>Contratista de la Subdirección de Gestión Contractual</w:t>
            </w:r>
          </w:p>
          <w:p w14:paraId="2BB87BB3" w14:textId="77777777" w:rsidR="00C215D5" w:rsidRPr="00C215D5" w:rsidRDefault="00C215D5" w:rsidP="00C215D5">
            <w:pPr>
              <w:rPr>
                <w:rFonts w:ascii="Verdana" w:eastAsia="Arial" w:hAnsi="Verdana" w:cs="Arial"/>
                <w:sz w:val="16"/>
                <w:szCs w:val="16"/>
                <w:lang w:val="es-ES_tradnl" w:eastAsia="es-MX"/>
              </w:rPr>
            </w:pPr>
          </w:p>
        </w:tc>
      </w:tr>
      <w:tr w:rsidR="00C215D5" w:rsidRPr="00C215D5" w14:paraId="45F3D4CC" w14:textId="77777777" w:rsidTr="009C2AF3">
        <w:trPr>
          <w:trHeight w:val="338"/>
        </w:trPr>
        <w:tc>
          <w:tcPr>
            <w:tcW w:w="1041" w:type="dxa"/>
            <w:vAlign w:val="center"/>
            <w:hideMark/>
          </w:tcPr>
          <w:p w14:paraId="25012544" w14:textId="77777777" w:rsidR="00C215D5" w:rsidRPr="00C215D5" w:rsidRDefault="00C215D5" w:rsidP="00C215D5">
            <w:pPr>
              <w:rPr>
                <w:rFonts w:ascii="Verdana" w:eastAsia="Calibri" w:hAnsi="Verdana" w:cs="Arial"/>
                <w:sz w:val="16"/>
                <w:szCs w:val="16"/>
                <w:lang w:val="es-ES_tradnl" w:eastAsia="es-ES"/>
              </w:rPr>
            </w:pPr>
            <w:r w:rsidRPr="00C215D5">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37FF692F" w14:textId="77777777" w:rsidR="00C215D5" w:rsidRPr="00C215D5" w:rsidRDefault="00C215D5" w:rsidP="00C215D5">
            <w:pPr>
              <w:rPr>
                <w:rFonts w:ascii="Verdana" w:eastAsia="Arial" w:hAnsi="Verdana" w:cs="Arial"/>
                <w:sz w:val="16"/>
                <w:szCs w:val="16"/>
                <w:lang w:val="es-ES" w:eastAsia="es-MX"/>
              </w:rPr>
            </w:pPr>
            <w:r w:rsidRPr="00C215D5">
              <w:rPr>
                <w:rFonts w:ascii="Verdana" w:eastAsia="Arial" w:hAnsi="Verdana" w:cs="Arial"/>
                <w:sz w:val="16"/>
                <w:szCs w:val="16"/>
                <w:lang w:val="es-ES" w:eastAsia="es-MX"/>
              </w:rPr>
              <w:t>Martha Alicia Romero Vargas</w:t>
            </w:r>
          </w:p>
          <w:p w14:paraId="5C7314DA" w14:textId="77777777" w:rsidR="00C215D5" w:rsidRPr="00C215D5" w:rsidRDefault="00C215D5" w:rsidP="00C215D5">
            <w:pPr>
              <w:rPr>
                <w:rFonts w:ascii="Verdana" w:eastAsia="Arial" w:hAnsi="Verdana" w:cs="Arial"/>
                <w:sz w:val="16"/>
                <w:szCs w:val="16"/>
                <w:lang w:val="es-ES_tradnl" w:eastAsia="es-MX"/>
              </w:rPr>
            </w:pPr>
            <w:r w:rsidRPr="00C215D5">
              <w:rPr>
                <w:rFonts w:ascii="Verdana" w:eastAsia="Arial" w:hAnsi="Verdana" w:cs="Arial"/>
                <w:sz w:val="16"/>
                <w:szCs w:val="16"/>
                <w:lang w:val="es-ES_tradnl" w:eastAsia="es-MX"/>
              </w:rPr>
              <w:t>Gestor T1-15 de la Subdirección de Gestión Contractual</w:t>
            </w:r>
          </w:p>
        </w:tc>
      </w:tr>
      <w:tr w:rsidR="00C215D5" w:rsidRPr="00C215D5" w14:paraId="608222FA" w14:textId="77777777" w:rsidTr="009C2AF3">
        <w:trPr>
          <w:trHeight w:val="308"/>
        </w:trPr>
        <w:tc>
          <w:tcPr>
            <w:tcW w:w="1041" w:type="dxa"/>
            <w:vAlign w:val="center"/>
          </w:tcPr>
          <w:p w14:paraId="36377BA3" w14:textId="77777777" w:rsidR="00C215D5" w:rsidRPr="00C215D5" w:rsidRDefault="00C215D5" w:rsidP="00C215D5">
            <w:pPr>
              <w:rPr>
                <w:rFonts w:ascii="Verdana" w:eastAsia="Calibri" w:hAnsi="Verdana" w:cs="Arial"/>
                <w:sz w:val="16"/>
                <w:szCs w:val="16"/>
                <w:lang w:val="es-ES_tradnl" w:eastAsia="es-ES"/>
              </w:rPr>
            </w:pPr>
            <w:r w:rsidRPr="00C215D5">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098EFAC7" w14:textId="77777777" w:rsidR="00C215D5" w:rsidRPr="00C215D5" w:rsidRDefault="00C215D5" w:rsidP="00C215D5">
            <w:pPr>
              <w:rPr>
                <w:rFonts w:ascii="Verdana" w:eastAsia="Calibri" w:hAnsi="Verdana" w:cs="Arial"/>
                <w:sz w:val="16"/>
                <w:szCs w:val="16"/>
                <w:lang w:val="es-ES" w:eastAsia="es-ES"/>
              </w:rPr>
            </w:pPr>
            <w:r w:rsidRPr="00C215D5">
              <w:rPr>
                <w:rFonts w:ascii="Verdana" w:eastAsia="Calibri" w:hAnsi="Verdana" w:cs="Arial"/>
                <w:sz w:val="16"/>
                <w:szCs w:val="16"/>
                <w:lang w:val="es-ES" w:eastAsia="es-ES"/>
              </w:rPr>
              <w:t>Carolina Quintero Gacharná</w:t>
            </w:r>
          </w:p>
          <w:p w14:paraId="4D37609C" w14:textId="77777777" w:rsidR="00C215D5" w:rsidRPr="00C215D5" w:rsidRDefault="00C215D5" w:rsidP="00C215D5">
            <w:pPr>
              <w:rPr>
                <w:rFonts w:ascii="Verdana" w:eastAsia="Calibri" w:hAnsi="Verdana" w:cs="Arial"/>
                <w:sz w:val="16"/>
                <w:szCs w:val="16"/>
                <w:lang w:val="es-ES_tradnl" w:eastAsia="es-ES"/>
              </w:rPr>
            </w:pPr>
            <w:r w:rsidRPr="00C215D5">
              <w:rPr>
                <w:rFonts w:ascii="Verdana" w:eastAsia="Calibri" w:hAnsi="Verdana" w:cs="Arial"/>
                <w:sz w:val="16"/>
                <w:szCs w:val="16"/>
                <w:lang w:val="es-ES_tradnl" w:eastAsia="es-ES"/>
              </w:rPr>
              <w:t>Subdirectora de Gestión Contractual ANCP – CCE</w:t>
            </w:r>
          </w:p>
        </w:tc>
      </w:tr>
    </w:tbl>
    <w:p w14:paraId="7C9026E2" w14:textId="2DC9DDB7" w:rsidR="002A0DD0" w:rsidRPr="00C215D5" w:rsidRDefault="002A0DD0" w:rsidP="00C215D5">
      <w:pPr>
        <w:spacing w:after="0" w:line="240" w:lineRule="auto"/>
        <w:textAlignment w:val="baseline"/>
        <w:rPr>
          <w:rFonts w:ascii="Verdana" w:eastAsia="Verdana" w:hAnsi="Verdana" w:cs="Verdana"/>
          <w:lang w:eastAsia="es-CO"/>
        </w:rPr>
      </w:pPr>
    </w:p>
    <w:p w14:paraId="69BC4D14" w14:textId="3FF1E95A"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D7F6A9" w14:textId="77777777" w:rsidR="001D6C01" w:rsidRDefault="001D6C01" w:rsidP="004A1847">
      <w:pPr>
        <w:spacing w:after="0" w:line="240" w:lineRule="auto"/>
      </w:pPr>
      <w:r>
        <w:separator/>
      </w:r>
    </w:p>
  </w:endnote>
  <w:endnote w:type="continuationSeparator" w:id="0">
    <w:p w14:paraId="63BE8CB6" w14:textId="77777777" w:rsidR="001D6C01" w:rsidRDefault="001D6C0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2DBEED" w14:textId="77777777" w:rsidR="001D6C01" w:rsidRDefault="001D6C01" w:rsidP="004A1847">
      <w:pPr>
        <w:spacing w:after="0" w:line="240" w:lineRule="auto"/>
      </w:pPr>
      <w:r>
        <w:separator/>
      </w:r>
    </w:p>
  </w:footnote>
  <w:footnote w:type="continuationSeparator" w:id="0">
    <w:p w14:paraId="70283B33" w14:textId="77777777" w:rsidR="001D6C01" w:rsidRDefault="001D6C01" w:rsidP="004A1847">
      <w:pPr>
        <w:spacing w:after="0" w:line="240" w:lineRule="auto"/>
      </w:pPr>
      <w:r>
        <w:continuationSeparator/>
      </w:r>
    </w:p>
  </w:footnote>
  <w:footnote w:id="1">
    <w:p w14:paraId="5677CA33" w14:textId="77777777" w:rsidR="00C215D5" w:rsidRPr="002206B9" w:rsidRDefault="00C215D5" w:rsidP="00C215D5">
      <w:pPr>
        <w:pStyle w:val="Textonotapie"/>
        <w:ind w:firstLine="708"/>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Diccionario de la Real Academia Española, versión online disponible en: </w:t>
      </w:r>
      <w:hyperlink r:id="rId1" w:history="1">
        <w:r w:rsidRPr="002206B9">
          <w:rPr>
            <w:rStyle w:val="Hipervnculo"/>
            <w:rFonts w:ascii="Verdana" w:hAnsi="Verdana" w:cs="Arial"/>
            <w:color w:val="auto"/>
            <w:sz w:val="18"/>
            <w:szCs w:val="18"/>
          </w:rPr>
          <w:t>https://dle.rae.es/est%C3%A1ndar</w:t>
        </w:r>
      </w:hyperlink>
      <w:r w:rsidRPr="002206B9">
        <w:rPr>
          <w:rFonts w:ascii="Verdana" w:hAnsi="Verdana" w:cs="Arial"/>
          <w:sz w:val="18"/>
          <w:szCs w:val="18"/>
        </w:rPr>
        <w:t>, consultado</w:t>
      </w:r>
      <w:r>
        <w:rPr>
          <w:rFonts w:ascii="Verdana" w:hAnsi="Verdana" w:cs="Arial"/>
          <w:sz w:val="18"/>
          <w:szCs w:val="18"/>
        </w:rPr>
        <w:t xml:space="preserve"> el</w:t>
      </w:r>
      <w:r w:rsidRPr="002206B9">
        <w:rPr>
          <w:rFonts w:ascii="Verdana" w:hAnsi="Verdana" w:cs="Arial"/>
          <w:sz w:val="18"/>
          <w:szCs w:val="18"/>
        </w:rPr>
        <w:t xml:space="preserve"> 23 de abril de 2026</w:t>
      </w:r>
      <w:r>
        <w:rPr>
          <w:rFonts w:ascii="Verdana" w:hAnsi="Verdana" w:cs="Arial"/>
          <w:sz w:val="18"/>
          <w:szCs w:val="18"/>
        </w:rPr>
        <w:t>.</w:t>
      </w:r>
    </w:p>
  </w:footnote>
  <w:footnote w:id="2">
    <w:p w14:paraId="4C94EDC7" w14:textId="77777777" w:rsidR="00C215D5" w:rsidRPr="002206B9" w:rsidRDefault="00C215D5" w:rsidP="00C215D5">
      <w:pPr>
        <w:pStyle w:val="Textonotapie"/>
        <w:jc w:val="both"/>
        <w:rPr>
          <w:rFonts w:ascii="Verdana" w:hAnsi="Verdana" w:cs="Arial"/>
          <w:sz w:val="18"/>
          <w:szCs w:val="18"/>
        </w:rPr>
      </w:pPr>
    </w:p>
    <w:p w14:paraId="0872D0AD" w14:textId="77777777" w:rsidR="00C215D5" w:rsidRPr="002206B9" w:rsidRDefault="00C215D5" w:rsidP="00C215D5">
      <w:pPr>
        <w:pStyle w:val="Textonotapie"/>
        <w:ind w:firstLine="709"/>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lang w:val="es-ES"/>
        </w:rPr>
        <w:t>En cuanto a las resoluciones vigentes, dicha regla se observa en el artículo 3 de las Resoluciones</w:t>
      </w:r>
      <w:bookmarkStart w:id="3" w:name="_Hlk82363077"/>
      <w:r w:rsidRPr="002206B9">
        <w:rPr>
          <w:rFonts w:ascii="Verdana" w:hAnsi="Verdana" w:cs="Arial"/>
          <w:sz w:val="18"/>
          <w:szCs w:val="18"/>
          <w:lang w:val="es-ES"/>
        </w:rPr>
        <w:t xml:space="preserve"> 248 de 2020, 249 de 2020, 269 de 2020, 219 de 2021, 220 de 2021, 392 de 2021, 454 de 2021, 333 de 2022, 358 de 2023, 798 de 2023, 456 de 2024, 463 de 2024, 464 de 2024, 725 de 2024, 726 de 2024, entre otras</w:t>
      </w:r>
      <w:bookmarkEnd w:id="3"/>
      <w:r w:rsidRPr="002206B9">
        <w:rPr>
          <w:rFonts w:ascii="Verdana" w:hAnsi="Verdana" w:cs="Arial"/>
          <w:sz w:val="18"/>
          <w:szCs w:val="18"/>
          <w:lang w:val="es-ES"/>
        </w:rPr>
        <w:t xml:space="preserve">. </w:t>
      </w:r>
    </w:p>
    <w:p w14:paraId="37BC271C" w14:textId="77777777" w:rsidR="00C215D5" w:rsidRPr="002206B9" w:rsidRDefault="00C215D5" w:rsidP="00C215D5">
      <w:pPr>
        <w:pStyle w:val="Textonotapie"/>
        <w:ind w:firstLine="709"/>
        <w:jc w:val="both"/>
        <w:rPr>
          <w:rFonts w:ascii="Verdana" w:hAnsi="Verdana" w:cs="Arial"/>
          <w:sz w:val="18"/>
          <w:szCs w:val="18"/>
          <w:lang w:val="es-ES"/>
        </w:rPr>
      </w:pPr>
    </w:p>
  </w:footnote>
  <w:footnote w:id="3">
    <w:p w14:paraId="483521BB" w14:textId="77777777" w:rsidR="00C215D5" w:rsidRPr="002206B9" w:rsidRDefault="00C215D5" w:rsidP="00C215D5">
      <w:pPr>
        <w:pStyle w:val="Textonotapie"/>
        <w:ind w:firstLine="708"/>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rPr>
        <w:t>En torno a las potestades regladas, García de Enterría y Ramón Fernández manifiestan: “El ejercicio de las potestades regladas reduce a la Administración a la constatación (accertamento, en el expresivo concepto italiano) del supuesto de hecho legalmente definido de manera completa y aplicar en presencia del mismo lo que la propia Ley ha determinado también agotadoramente […] La decisión en que consista el ejercicio de la potestad es obligatoria en presencia de dicho supuesto y su contenido no puede ser configurado libremente por la Administración, sino que ha de limitarse a lo que la propia Ley ha previsto sobre ese contenido de modo preciso y completo” (GARCÍA DE ENTERRÍA, Eduardo; y RAMÓN FERNÁNDEZ, Tomas. Curso de derecho administrativo. Tomo I. Madrid: Civitas, 1997. pp. 444-445).</w:t>
      </w:r>
    </w:p>
    <w:p w14:paraId="395BE47E" w14:textId="77777777" w:rsidR="00C215D5" w:rsidRPr="002206B9" w:rsidRDefault="00C215D5" w:rsidP="00C215D5">
      <w:pPr>
        <w:pStyle w:val="Textonotapie"/>
        <w:ind w:firstLine="708"/>
        <w:jc w:val="both"/>
        <w:rPr>
          <w:rFonts w:ascii="Verdana" w:hAnsi="Verdana" w:cs="Arial"/>
          <w:sz w:val="18"/>
          <w:szCs w:val="18"/>
        </w:rPr>
      </w:pPr>
    </w:p>
  </w:footnote>
  <w:footnote w:id="4">
    <w:p w14:paraId="15597C49" w14:textId="77777777" w:rsidR="00C215D5" w:rsidRPr="002206B9" w:rsidRDefault="00C215D5" w:rsidP="00C215D5">
      <w:pPr>
        <w:pStyle w:val="Textonotapie"/>
        <w:ind w:firstLine="709"/>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rPr>
        <w:t>El artículo 25, numeral 1º de la Ley 80 de 1993 establece que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14:paraId="2501AD13" w14:textId="77777777" w:rsidR="00C215D5" w:rsidRPr="002206B9" w:rsidRDefault="00C215D5" w:rsidP="00C215D5">
      <w:pPr>
        <w:pStyle w:val="Textonotapie"/>
        <w:ind w:firstLine="709"/>
        <w:jc w:val="both"/>
        <w:rPr>
          <w:rFonts w:ascii="Verdana" w:hAnsi="Verdana" w:cs="Arial"/>
          <w:sz w:val="18"/>
          <w:szCs w:val="18"/>
        </w:rPr>
      </w:pPr>
    </w:p>
  </w:footnote>
  <w:footnote w:id="5">
    <w:p w14:paraId="4C59805A" w14:textId="77777777" w:rsidR="00C215D5" w:rsidRPr="002206B9" w:rsidRDefault="00C215D5" w:rsidP="00C215D5">
      <w:pPr>
        <w:spacing w:after="0" w:line="240" w:lineRule="auto"/>
        <w:ind w:firstLine="709"/>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lang w:val="es-ES"/>
        </w:rPr>
        <w:t>En efecto, el artículo 5 del Decreto 019 de 2012 prevé lo siguiente: “Las normas de procedimiento administrativo deben ser utilizadas para agilizar las decisiones; los procedimientos se deben adelantar en el menor tiempo y con la menor cantidad de gastos de quienes intervienen en ellos; las autoridades administrativas y los particulares que cumplen funciones administrativas no deben exigir más documentos y copias que los estrictamente necesarios, ni autenticaciones ni notas de presentación personal sino cuando la ley lo ordene en forma expresa, o tratándose de poderes especiales. En tal virtud, las autoridades deberán proceder con austeridad y eficiencia, optimizar el uso del tiempo y de los demás recursos, procurando el más alto nivel de calidad en sus actuaciones y la protección de los derechos de las personas”.</w:t>
      </w:r>
    </w:p>
    <w:p w14:paraId="209DDD5B" w14:textId="77777777" w:rsidR="00C215D5" w:rsidRPr="002206B9" w:rsidRDefault="00C215D5" w:rsidP="00C215D5">
      <w:pPr>
        <w:spacing w:after="0" w:line="240" w:lineRule="auto"/>
        <w:ind w:firstLine="709"/>
        <w:jc w:val="both"/>
        <w:rPr>
          <w:rFonts w:ascii="Verdana" w:hAnsi="Verdana" w:cs="Arial"/>
          <w:sz w:val="18"/>
          <w:szCs w:val="18"/>
          <w:lang w:val="es-ES"/>
        </w:rPr>
      </w:pPr>
    </w:p>
  </w:footnote>
  <w:footnote w:id="6">
    <w:p w14:paraId="6341ABAC" w14:textId="77777777" w:rsidR="00C215D5" w:rsidRPr="002206B9" w:rsidRDefault="00C215D5" w:rsidP="00C215D5">
      <w:pPr>
        <w:pStyle w:val="Textonotapie"/>
        <w:ind w:firstLine="708"/>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rPr>
        <w:t xml:space="preserve">Diccionario de la Real Academia Española, versión online disponible en: </w:t>
      </w:r>
      <w:hyperlink r:id="rId2" w:history="1">
        <w:r w:rsidRPr="002206B9">
          <w:rPr>
            <w:rStyle w:val="Hipervnculo"/>
            <w:rFonts w:ascii="Verdana" w:hAnsi="Verdana" w:cs="Arial"/>
            <w:color w:val="auto"/>
            <w:sz w:val="18"/>
            <w:szCs w:val="18"/>
          </w:rPr>
          <w:t>https://dle.rae.es/est%C3%A1ndar</w:t>
        </w:r>
      </w:hyperlink>
      <w:r w:rsidRPr="002206B9">
        <w:rPr>
          <w:rFonts w:ascii="Verdana" w:hAnsi="Verdana" w:cs="Arial"/>
          <w:sz w:val="18"/>
          <w:szCs w:val="18"/>
        </w:rPr>
        <w:t xml:space="preserve">, consultado el 23 de abril de 2026. </w:t>
      </w:r>
    </w:p>
  </w:footnote>
  <w:footnote w:id="7">
    <w:p w14:paraId="6963C77D" w14:textId="77777777" w:rsidR="00C215D5" w:rsidRPr="002206B9" w:rsidRDefault="00C215D5" w:rsidP="00C215D5">
      <w:pPr>
        <w:spacing w:after="0" w:line="240" w:lineRule="auto"/>
        <w:ind w:firstLine="708"/>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rPr>
        <w:t>Cita tomada de la providencia del 20 de febrero de 2020, dictada por el Consejo de Estado. Sección Tercera. Subsección A, dentro del expediente 47001-23-33-000-2018-00035-01 (63.854), cuya ponente fue Marta Nubia Velásquez Rico.</w:t>
      </w:r>
    </w:p>
    <w:p w14:paraId="33E8F6BB" w14:textId="77777777" w:rsidR="00C215D5" w:rsidRPr="002206B9" w:rsidRDefault="00C215D5" w:rsidP="00C215D5">
      <w:pPr>
        <w:spacing w:after="0" w:line="240" w:lineRule="auto"/>
        <w:ind w:firstLine="708"/>
        <w:jc w:val="both"/>
        <w:rPr>
          <w:rFonts w:ascii="Verdana" w:hAnsi="Verdana" w:cs="Arial"/>
          <w:sz w:val="18"/>
          <w:szCs w:val="18"/>
        </w:rPr>
      </w:pPr>
    </w:p>
  </w:footnote>
  <w:footnote w:id="8">
    <w:p w14:paraId="0B4E2221" w14:textId="77777777" w:rsidR="00C215D5" w:rsidRPr="002206B9" w:rsidRDefault="00C215D5" w:rsidP="00C215D5">
      <w:pPr>
        <w:pStyle w:val="Textonotapie"/>
        <w:ind w:firstLine="708"/>
        <w:jc w:val="both"/>
        <w:rPr>
          <w:rFonts w:ascii="Verdana" w:hAnsi="Verdana"/>
          <w:sz w:val="18"/>
          <w:szCs w:val="18"/>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Por el cual se modifican los artículos 2.2.1.2.4.2.6.,2.2.1.2.4.2.7. Y 2.2.1.2.4.2.8. del Decreto 1082 de 2015, Único Reglamentario del Sector Administrativo de Planeación.</w:t>
      </w:r>
    </w:p>
    <w:p w14:paraId="4F7FF652" w14:textId="77777777" w:rsidR="00C215D5" w:rsidRPr="002206B9" w:rsidRDefault="00C215D5" w:rsidP="00C215D5">
      <w:pPr>
        <w:pStyle w:val="Textonotapie"/>
        <w:ind w:firstLine="708"/>
        <w:jc w:val="both"/>
        <w:rPr>
          <w:rFonts w:ascii="Verdana" w:hAnsi="Verdana"/>
          <w:sz w:val="18"/>
          <w:szCs w:val="18"/>
          <w:lang w:val="es-ES_tradnl"/>
        </w:rPr>
      </w:pPr>
    </w:p>
  </w:footnote>
  <w:footnote w:id="9">
    <w:p w14:paraId="7B1999AD" w14:textId="77777777" w:rsidR="00C215D5" w:rsidRPr="002206B9" w:rsidRDefault="00C215D5" w:rsidP="00C215D5">
      <w:pPr>
        <w:pStyle w:val="Textonotapie"/>
        <w:ind w:firstLine="708"/>
        <w:jc w:val="both"/>
        <w:rPr>
          <w:rFonts w:ascii="Verdana" w:hAnsi="Verdana"/>
          <w:sz w:val="18"/>
          <w:szCs w:val="18"/>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Consejo de Estado, Sección Quinta, del 12 de diciembre de 2024 (Rad. 05001-23-33-000-2024-00847-01, M.P. Omar Joaquín Barreto Suárez).</w:t>
      </w:r>
    </w:p>
    <w:p w14:paraId="202985A6" w14:textId="77777777" w:rsidR="00C215D5" w:rsidRPr="002206B9" w:rsidRDefault="00C215D5" w:rsidP="00C215D5">
      <w:pPr>
        <w:pStyle w:val="Textonotapie"/>
        <w:ind w:firstLine="708"/>
        <w:jc w:val="both"/>
        <w:rPr>
          <w:rFonts w:ascii="Verdana" w:hAnsi="Verdana"/>
          <w:sz w:val="18"/>
          <w:szCs w:val="18"/>
          <w:lang w:val="es-ES_tradnl"/>
        </w:rPr>
      </w:pPr>
    </w:p>
  </w:footnote>
  <w:footnote w:id="10">
    <w:p w14:paraId="73F8F842" w14:textId="77777777" w:rsidR="00C215D5" w:rsidRPr="002206B9" w:rsidRDefault="00C215D5" w:rsidP="00C215D5">
      <w:pPr>
        <w:pStyle w:val="Textonotapie"/>
        <w:ind w:firstLine="708"/>
        <w:jc w:val="both"/>
        <w:rPr>
          <w:rFonts w:ascii="Verdana" w:hAnsi="Verdana"/>
          <w:sz w:val="18"/>
          <w:szCs w:val="18"/>
          <w:lang w:val="es-ES_tradnl"/>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 xml:space="preserve">"Por el cual se reglamentan los numerales 1 y 8 del artículo 13 de la Ley 1618 de 2013, sobre incentivos en Procesos de Contratación en favor de personas con discapacidad”. </w:t>
      </w:r>
    </w:p>
  </w:footnote>
  <w:footnote w:id="11">
    <w:p w14:paraId="3158FCB4" w14:textId="77777777" w:rsidR="00C215D5" w:rsidRPr="002206B9" w:rsidRDefault="00C215D5" w:rsidP="00C215D5">
      <w:pPr>
        <w:pStyle w:val="Textonotapie"/>
        <w:ind w:firstLine="708"/>
        <w:jc w:val="both"/>
        <w:rPr>
          <w:rFonts w:ascii="Verdana" w:hAnsi="Verdana"/>
          <w:sz w:val="18"/>
          <w:szCs w:val="18"/>
          <w:lang w:val="es-ES_tradnl"/>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Parte considerativa del Decreto 287 de 2026.</w:t>
      </w:r>
    </w:p>
  </w:footnote>
  <w:footnote w:id="12">
    <w:p w14:paraId="3DE361A1" w14:textId="77777777" w:rsidR="00C215D5" w:rsidRPr="002206B9" w:rsidRDefault="00C215D5" w:rsidP="00C215D5">
      <w:pPr>
        <w:pStyle w:val="Textonotapie"/>
        <w:ind w:firstLine="708"/>
        <w:jc w:val="both"/>
        <w:rPr>
          <w:rFonts w:ascii="Verdana" w:hAnsi="Verdana"/>
          <w:sz w:val="18"/>
          <w:szCs w:val="18"/>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 xml:space="preserve">Artículo 2.2.1.2.4.2.7.3. del Decreto 1082 de 2015, modificado por el artículo 1 del Decreto 287 de 2026: “Incorporación de criterios habilitantes diferenciales en favor de los emprendimientos y empresas de personas con discapacidad. En los procesos de licitación pública, selección abreviada y concurso de méritos, así como en los procesos competitivos adelantados por entidades no sometidas al Estatuto General de Contratación de la Administración Pública, deberán establecer requisitos habilitantes diferenciales o ajustados en materia de experiencia, capacidad financiera u organizacional, o el valor de la garantía de seriedad de la oferta, con el fin de promover la participación de emprendimientos y empresas de personas con discapacidad con domicilio en el territorio nacional. </w:t>
      </w:r>
    </w:p>
    <w:p w14:paraId="572527F7" w14:textId="77777777" w:rsidR="00C215D5" w:rsidRPr="002206B9" w:rsidRDefault="00C215D5" w:rsidP="00C215D5">
      <w:pPr>
        <w:pStyle w:val="Textonotapie"/>
        <w:ind w:firstLine="708"/>
        <w:jc w:val="both"/>
        <w:rPr>
          <w:rFonts w:ascii="Verdana" w:hAnsi="Verdana"/>
          <w:sz w:val="18"/>
          <w:szCs w:val="18"/>
        </w:rPr>
      </w:pPr>
      <w:r w:rsidRPr="002206B9">
        <w:rPr>
          <w:rFonts w:ascii="Verdana" w:hAnsi="Verdana"/>
          <w:sz w:val="18"/>
          <w:szCs w:val="18"/>
        </w:rPr>
        <w:t>Estos requisitos deberán estructurarse garantizando el cumplimiento adecuado del objeto contractual, teniendo en cuenta el alcance de las obligaciones y el principio de proporcionalidad. En desarrollo de lo anterior, se deberán establecer condiciones habilitantes diferenciadas o ajustadas que, sin comprometer los fines del contrato, faciliten el acceso de los emprendimientos y empresas de personas con discapacidad.</w:t>
      </w:r>
    </w:p>
    <w:p w14:paraId="477B1DB3" w14:textId="77777777" w:rsidR="00C215D5" w:rsidRPr="002206B9" w:rsidRDefault="00C215D5" w:rsidP="00C215D5">
      <w:pPr>
        <w:pStyle w:val="Textonotapie"/>
        <w:ind w:firstLine="708"/>
        <w:jc w:val="both"/>
        <w:rPr>
          <w:rFonts w:ascii="Verdana" w:hAnsi="Verdana"/>
          <w:sz w:val="18"/>
          <w:szCs w:val="18"/>
          <w:lang w:val="es-ES_tradnl"/>
        </w:rPr>
      </w:pPr>
      <w:r w:rsidRPr="002206B9">
        <w:rPr>
          <w:rFonts w:ascii="Verdana" w:hAnsi="Verdana"/>
          <w:sz w:val="18"/>
          <w:szCs w:val="18"/>
        </w:rPr>
        <w:t xml:space="preserve">(…)”. </w:t>
      </w:r>
    </w:p>
  </w:footnote>
  <w:footnote w:id="13">
    <w:p w14:paraId="592F363D" w14:textId="77777777" w:rsidR="00C215D5" w:rsidRPr="002206B9" w:rsidRDefault="00C215D5" w:rsidP="00C215D5">
      <w:pPr>
        <w:shd w:val="clear" w:color="auto" w:fill="FFFFFF"/>
        <w:spacing w:after="0" w:line="240" w:lineRule="auto"/>
        <w:ind w:firstLine="708"/>
        <w:jc w:val="both"/>
        <w:rPr>
          <w:rFonts w:ascii="Verdana" w:eastAsia="Times New Roman" w:hAnsi="Verdana" w:cs="Times New Roman"/>
          <w:sz w:val="18"/>
          <w:szCs w:val="18"/>
          <w:lang w:eastAsia="es-MX"/>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 xml:space="preserve">Al respecto el artículo 1 de la Ley 2022 de 2020 señala: “(…) </w:t>
      </w:r>
      <w:r w:rsidRPr="002206B9">
        <w:rPr>
          <w:rFonts w:ascii="Verdana" w:eastAsia="Times New Roman" w:hAnsi="Verdana" w:cs="Times New Roman"/>
          <w:sz w:val="18"/>
          <w:szCs w:val="18"/>
          <w:lang w:eastAsia="es-MX"/>
        </w:rPr>
        <w:t>La Agencia Nacional de Contratación Pública Colombia Compra Eficiente fijará un cronograma, y definirá en coordinación con las entidades técnicas o especializadas correspondientes el procedimiento para implementar gradualmente los documentos tipo, con el propósito de facilitar la incorporación de estos en el sistema de compra pública y deberá establecer el procedimiento para recibir y revisar comentarios de los interesados, así como un sistema para la revisión constante de los documentos tipo que expida”.</w:t>
      </w:r>
    </w:p>
    <w:p w14:paraId="0340B6AD" w14:textId="77777777" w:rsidR="00C215D5" w:rsidRPr="002206B9" w:rsidRDefault="00C215D5" w:rsidP="00C215D5">
      <w:pPr>
        <w:pStyle w:val="Textonotapie"/>
        <w:jc w:val="both"/>
        <w:rPr>
          <w:rFonts w:ascii="Verdana" w:hAnsi="Verdana"/>
          <w:sz w:val="18"/>
          <w:szCs w:val="18"/>
          <w:lang w:val="es-CO"/>
        </w:rPr>
      </w:pPr>
    </w:p>
  </w:footnote>
  <w:footnote w:id="14">
    <w:p w14:paraId="64ACCFA1" w14:textId="77777777" w:rsidR="00C215D5" w:rsidRPr="002206B9" w:rsidRDefault="00C215D5" w:rsidP="00C215D5">
      <w:pPr>
        <w:pStyle w:val="Textonotapie"/>
        <w:ind w:firstLine="708"/>
        <w:jc w:val="both"/>
        <w:rPr>
          <w:rFonts w:ascii="Verdana" w:hAnsi="Verdana"/>
          <w:sz w:val="18"/>
          <w:szCs w:val="18"/>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 xml:space="preserve">Artículo 1 Decreto 287 de 2026: “Artículo 2.2.1.2.4.2.7.8. Pliegos tipo, instrumentos de agregación de demanda y acuerdos marco de precios. La Agencia Nacional de Contratación Pública - Colombia Compra Eficiente garantizará la adopción permanente de las acciones necesarias para que las medidas señaladas en esta subsección se incorporen a los documentos e instrumentos que genera”. </w:t>
      </w:r>
    </w:p>
    <w:p w14:paraId="54A649F4" w14:textId="77777777" w:rsidR="00C215D5" w:rsidRPr="002206B9" w:rsidRDefault="00C215D5" w:rsidP="00C215D5">
      <w:pPr>
        <w:pStyle w:val="Textonotapie"/>
        <w:jc w:val="both"/>
        <w:rPr>
          <w:rFonts w:ascii="Verdana" w:hAnsi="Verdana"/>
          <w:sz w:val="18"/>
          <w:szCs w:val="18"/>
          <w:lang w:val="es-ES_tradnl"/>
        </w:rPr>
      </w:pPr>
    </w:p>
  </w:footnote>
  <w:footnote w:id="15">
    <w:p w14:paraId="0A6FE6CB" w14:textId="77777777" w:rsidR="00C215D5" w:rsidRPr="002206B9" w:rsidRDefault="00C215D5" w:rsidP="00C215D5">
      <w:pPr>
        <w:pStyle w:val="Textonotapie"/>
        <w:ind w:firstLine="708"/>
        <w:jc w:val="both"/>
        <w:rPr>
          <w:rFonts w:ascii="Verdana" w:hAnsi="Verdana"/>
          <w:sz w:val="18"/>
          <w:szCs w:val="18"/>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Artículo 2.2.1.2.4.2.7.8. del Decreto 1082 de 2015, modificado por el artículo 1 del Decreto 287 de 2026.</w:t>
      </w:r>
    </w:p>
    <w:p w14:paraId="01F5A25D" w14:textId="77777777" w:rsidR="00C215D5" w:rsidRPr="002206B9" w:rsidRDefault="00C215D5" w:rsidP="00C215D5">
      <w:pPr>
        <w:pStyle w:val="Textonotapie"/>
        <w:ind w:firstLine="708"/>
        <w:jc w:val="both"/>
        <w:rPr>
          <w:rFonts w:ascii="Verdana" w:hAnsi="Verdana"/>
          <w:sz w:val="18"/>
          <w:szCs w:val="18"/>
          <w:lang w:val="es-ES_tradnl"/>
        </w:rPr>
      </w:pPr>
    </w:p>
  </w:footnote>
  <w:footnote w:id="16">
    <w:p w14:paraId="47626822" w14:textId="77777777" w:rsidR="00C215D5" w:rsidRPr="002206B9" w:rsidRDefault="00C215D5" w:rsidP="00C215D5">
      <w:pPr>
        <w:pStyle w:val="Textonotapie"/>
        <w:ind w:firstLine="708"/>
        <w:jc w:val="both"/>
        <w:rPr>
          <w:rFonts w:ascii="Verdana" w:hAnsi="Verdana"/>
          <w:sz w:val="18"/>
          <w:szCs w:val="18"/>
          <w:lang w:val="es-ES_tradnl"/>
        </w:rPr>
      </w:pPr>
      <w:r w:rsidRPr="002206B9">
        <w:rPr>
          <w:rStyle w:val="Refdenotaalpie"/>
          <w:rFonts w:ascii="Verdana" w:hAnsi="Verdana"/>
          <w:sz w:val="18"/>
          <w:szCs w:val="18"/>
        </w:rPr>
        <w:footnoteRef/>
      </w:r>
      <w:r w:rsidRPr="002206B9">
        <w:rPr>
          <w:rFonts w:ascii="Verdana" w:hAnsi="Verdana"/>
          <w:sz w:val="18"/>
          <w:szCs w:val="18"/>
        </w:rPr>
        <w:t xml:space="preserve"> </w:t>
      </w:r>
      <w:r w:rsidRPr="002206B9">
        <w:rPr>
          <w:rFonts w:ascii="Verdana" w:hAnsi="Verdana"/>
          <w:sz w:val="18"/>
          <w:szCs w:val="18"/>
        </w:rPr>
        <w:t xml:space="preserve">Documento disponible en el siguiente enlace: </w:t>
      </w:r>
      <w:hyperlink r:id="rId3" w:history="1">
        <w:r w:rsidRPr="002206B9">
          <w:rPr>
            <w:rStyle w:val="Hipervnculo"/>
            <w:rFonts w:ascii="Verdana" w:hAnsi="Verdana"/>
            <w:color w:val="auto"/>
            <w:sz w:val="18"/>
            <w:szCs w:val="18"/>
          </w:rPr>
          <w:t>https://www.colombiacompra.gov.co/wp-content/uploads/2026/04/ABC-Decreto-0287-de-2026-1.pdf</w:t>
        </w:r>
      </w:hyperlink>
      <w:r w:rsidRPr="002206B9">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503EC2"/>
    <w:multiLevelType w:val="hybridMultilevel"/>
    <w:tmpl w:val="C128A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12F3AAE"/>
    <w:multiLevelType w:val="hybridMultilevel"/>
    <w:tmpl w:val="5C0A57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04884723">
    <w:abstractNumId w:val="9"/>
  </w:num>
  <w:num w:numId="17" w16cid:durableId="181502108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377E"/>
    <w:rsid w:val="00082362"/>
    <w:rsid w:val="00082F75"/>
    <w:rsid w:val="000A683E"/>
    <w:rsid w:val="000B19B9"/>
    <w:rsid w:val="000D0334"/>
    <w:rsid w:val="000D5DA7"/>
    <w:rsid w:val="000F6486"/>
    <w:rsid w:val="00116940"/>
    <w:rsid w:val="00125105"/>
    <w:rsid w:val="00127233"/>
    <w:rsid w:val="0015699B"/>
    <w:rsid w:val="001647DE"/>
    <w:rsid w:val="001A33BF"/>
    <w:rsid w:val="001D6C01"/>
    <w:rsid w:val="001E4177"/>
    <w:rsid w:val="001E73DE"/>
    <w:rsid w:val="001F0B24"/>
    <w:rsid w:val="001F7DC6"/>
    <w:rsid w:val="0022400B"/>
    <w:rsid w:val="002421BB"/>
    <w:rsid w:val="00253334"/>
    <w:rsid w:val="0025796E"/>
    <w:rsid w:val="002707A2"/>
    <w:rsid w:val="00293F27"/>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2FFB"/>
    <w:rsid w:val="0095685E"/>
    <w:rsid w:val="00961B09"/>
    <w:rsid w:val="00965334"/>
    <w:rsid w:val="0097093E"/>
    <w:rsid w:val="009A0DFA"/>
    <w:rsid w:val="009A1C6F"/>
    <w:rsid w:val="009B2D26"/>
    <w:rsid w:val="009C71FA"/>
    <w:rsid w:val="009C72E7"/>
    <w:rsid w:val="009C7F7E"/>
    <w:rsid w:val="009D3058"/>
    <w:rsid w:val="009F3A13"/>
    <w:rsid w:val="00A122D3"/>
    <w:rsid w:val="00A12DDC"/>
    <w:rsid w:val="00A14468"/>
    <w:rsid w:val="00A17F13"/>
    <w:rsid w:val="00A20739"/>
    <w:rsid w:val="00A23AF9"/>
    <w:rsid w:val="00A3225A"/>
    <w:rsid w:val="00A33C78"/>
    <w:rsid w:val="00AB0ADB"/>
    <w:rsid w:val="00B00C0E"/>
    <w:rsid w:val="00B01B1A"/>
    <w:rsid w:val="00B0381D"/>
    <w:rsid w:val="00B44A47"/>
    <w:rsid w:val="00B72CD3"/>
    <w:rsid w:val="00B72FFF"/>
    <w:rsid w:val="00BC3D36"/>
    <w:rsid w:val="00BD54A6"/>
    <w:rsid w:val="00BD7F72"/>
    <w:rsid w:val="00BF03F4"/>
    <w:rsid w:val="00BF7425"/>
    <w:rsid w:val="00C04FB3"/>
    <w:rsid w:val="00C11D8B"/>
    <w:rsid w:val="00C15139"/>
    <w:rsid w:val="00C215D5"/>
    <w:rsid w:val="00C330EB"/>
    <w:rsid w:val="00C50D69"/>
    <w:rsid w:val="00C5365C"/>
    <w:rsid w:val="00C754BE"/>
    <w:rsid w:val="00C76B1C"/>
    <w:rsid w:val="00C82991"/>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C2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C215D5"/>
    <w:pPr>
      <w:spacing w:line="240" w:lineRule="exact"/>
    </w:pPr>
    <w:rPr>
      <w:vertAlign w:val="superscript"/>
    </w:rPr>
  </w:style>
  <w:style w:type="table" w:customStyle="1" w:styleId="Tablaconcuadrcula2">
    <w:name w:val="Tabla con cuadrícula2"/>
    <w:basedOn w:val="Tablanormal"/>
    <w:next w:val="Tablaconcuadrcula"/>
    <w:uiPriority w:val="39"/>
    <w:qFormat/>
    <w:rsid w:val="00C2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documentos-tipo/documentos-tipo" TargetMode="External"/><Relationship Id="rId18"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lombiacompra.gov.co/normativa-y-relatoria/guias-y-manuales" TargetMode="External"/><Relationship Id="rId17"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guias-y-manuale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wp-content/uploads/2026/04/ABC-Decreto-0287-de-2026-1.pdf" TargetMode="External"/><Relationship Id="rId2" Type="http://schemas.openxmlformats.org/officeDocument/2006/relationships/hyperlink" Target="https://dle.rae.es/est%C3%A1ndar" TargetMode="External"/><Relationship Id="rId1" Type="http://schemas.openxmlformats.org/officeDocument/2006/relationships/hyperlink" Target="https://dle.rae.es/est%C3%A1nd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3C872-5114-422C-A0BE-342C1BE23CF6}"/>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33</Pages>
  <Words>11660</Words>
  <Characters>64131</Characters>
  <Application>Microsoft Office Word</Application>
  <DocSecurity>0</DocSecurity>
  <Lines>534</Lines>
  <Paragraphs>151</Paragraphs>
  <ScaleCrop>false</ScaleCrop>
  <Company/>
  <LinksUpToDate>false</LinksUpToDate>
  <CharactersWithSpaces>75640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6</cp:revision>
  <cp:lastPrinted>2023-01-10T21:18:00Z</cp:lastPrinted>
  <dcterms:created xsi:type="dcterms:W3CDTF">2026-09-08T20:45:00Z</dcterms:created>
  <dcterms:modified xsi:type="dcterms:W3CDTF">2026-09-08T21:24:00Z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