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BE232" w14:textId="77777777" w:rsidR="001E0E0D" w:rsidRPr="00642749" w:rsidRDefault="001E0E0D" w:rsidP="00642749">
      <w:pPr>
        <w:spacing w:line="240" w:lineRule="auto"/>
        <w:jc w:val="both"/>
        <w:rPr>
          <w:rFonts w:ascii="Verdana" w:eastAsia="Calibri" w:hAnsi="Verdana" w:cs="Arial"/>
          <w:b/>
          <w:bCs/>
          <w:lang w:val="es-ES" w:eastAsia="es-ES"/>
        </w:rPr>
      </w:pPr>
      <w:r w:rsidRPr="00642749">
        <w:rPr>
          <w:rFonts w:ascii="Verdana" w:eastAsia="Calibri" w:hAnsi="Verdana" w:cs="Arial"/>
          <w:b/>
          <w:bCs/>
          <w:lang w:val="es-ES" w:eastAsia="es-ES"/>
        </w:rPr>
        <w:t>INTERPRETACIÓN – Reglas de interpretación</w:t>
      </w:r>
    </w:p>
    <w:p w14:paraId="7D55922E" w14:textId="77777777" w:rsidR="00642749" w:rsidRPr="00642749" w:rsidRDefault="00642749" w:rsidP="00642749">
      <w:pPr>
        <w:spacing w:before="120" w:after="120" w:line="240" w:lineRule="auto"/>
        <w:jc w:val="both"/>
        <w:rPr>
          <w:rFonts w:ascii="Verdana" w:hAnsi="Verdana" w:cs="Arial"/>
          <w:color w:val="000000" w:themeColor="text1"/>
          <w:sz w:val="20"/>
          <w:szCs w:val="20"/>
          <w:lang w:val="es-ES"/>
        </w:rPr>
      </w:pPr>
      <w:r w:rsidRPr="00642749">
        <w:rPr>
          <w:rFonts w:ascii="Verdana" w:hAnsi="Verdana" w:cs="Arial"/>
          <w:color w:val="000000" w:themeColor="text1"/>
          <w:sz w:val="20"/>
          <w:szCs w:val="20"/>
          <w:lang w:val="es-ES"/>
        </w:rPr>
        <w:t xml:space="preserve">El Estatuto General de la Contratación de la Administración Pública no establece reglas especiales para la interpretación de los contratos estatales. Por remisión de los artículos 13, 32 y 40 de la Ley 80 de 1993, las Entidades Estatales deberán interpretar los contratos que suscriban según las reglas establecidas en los artículos 1618 a 1624 del Código Civil, atendiendo además el artículo 28 de la Ley 80. </w:t>
      </w:r>
    </w:p>
    <w:p w14:paraId="56D5D85C" w14:textId="77777777" w:rsidR="00642749" w:rsidRPr="00642749" w:rsidRDefault="00642749" w:rsidP="00642749">
      <w:pPr>
        <w:spacing w:before="120" w:after="120" w:line="240" w:lineRule="auto"/>
        <w:jc w:val="both"/>
        <w:rPr>
          <w:rFonts w:ascii="Verdana" w:hAnsi="Verdana" w:cs="Arial"/>
          <w:color w:val="000000" w:themeColor="text1"/>
          <w:sz w:val="20"/>
          <w:szCs w:val="20"/>
          <w:lang w:val="es-ES"/>
        </w:rPr>
      </w:pPr>
      <w:r w:rsidRPr="00642749">
        <w:rPr>
          <w:rFonts w:ascii="Verdana" w:hAnsi="Verdana" w:cs="Arial"/>
          <w:color w:val="000000" w:themeColor="text1"/>
          <w:sz w:val="20"/>
          <w:szCs w:val="20"/>
          <w:lang w:val="es-ES"/>
        </w:rPr>
        <w:t>Estas reglas comprenden criterios objetivos, que privilegian la voluntad externa o declarada de las partes, y criterios subjetivos, dirigidos a encontrar la verdadera intención de los contratantes. Al respecto, el Consejo de Estado ha resaltado que el criterio subjetivo prima sobre el objetivo, de modo que un adecuado ejercicio hermenéutico debe empezar siempre por determinar cuál era la verdadera intención de las partes (</w:t>
      </w:r>
      <w:r w:rsidRPr="00642749">
        <w:rPr>
          <w:rFonts w:ascii="Verdana" w:hAnsi="Verdana" w:cs="Arial"/>
          <w:i/>
          <w:iCs/>
          <w:color w:val="000000" w:themeColor="text1"/>
          <w:sz w:val="20"/>
          <w:szCs w:val="20"/>
          <w:lang w:val="es-ES"/>
        </w:rPr>
        <w:t>communis intentio</w:t>
      </w:r>
      <w:r w:rsidRPr="00642749">
        <w:rPr>
          <w:rFonts w:ascii="Verdana" w:hAnsi="Verdana" w:cs="Arial"/>
          <w:color w:val="000000" w:themeColor="text1"/>
          <w:sz w:val="20"/>
          <w:szCs w:val="20"/>
          <w:lang w:val="es-ES"/>
        </w:rPr>
        <w:t>) a la que alude el artículo 1618 del Código Civil, y solo en caso de que esa labor resulte infructuosa aplicarán subsidiariamente las pautas objetivas de interpretación previstas en los artículos 1619, 1620, 1621, 1623 y 1624. A ello se suma el principio constitucional de prevalencia del derecho sustancial sobre las formas al cual se refiere el artículo 228 de la Constitución Política.</w:t>
      </w:r>
    </w:p>
    <w:p w14:paraId="64DA1FC1" w14:textId="77777777" w:rsidR="00642749" w:rsidRPr="00642749" w:rsidRDefault="00642749" w:rsidP="00642749">
      <w:pPr>
        <w:spacing w:before="120" w:after="120" w:line="240" w:lineRule="auto"/>
        <w:jc w:val="both"/>
        <w:rPr>
          <w:rFonts w:ascii="Verdana" w:hAnsi="Verdana" w:cs="Arial"/>
          <w:color w:val="000000" w:themeColor="text1"/>
          <w:sz w:val="20"/>
          <w:szCs w:val="20"/>
          <w:lang w:val="es-ES"/>
        </w:rPr>
      </w:pPr>
      <w:r w:rsidRPr="00642749">
        <w:rPr>
          <w:rFonts w:ascii="Verdana" w:hAnsi="Verdana" w:cs="Arial"/>
          <w:color w:val="000000" w:themeColor="text1"/>
          <w:sz w:val="20"/>
          <w:szCs w:val="20"/>
          <w:lang w:val="es-ES"/>
        </w:rPr>
        <w:t>La aplicación de estas reglas deberá tener en cuenta las circunstancias concretas de cada caso, de manera que la entidad pueda optar por la interpretación que más se adecúe a la finalidad que persigue el contrato; y en caso de que el desacuerdo sobre el sentido persista, corresponde a los jueces de lo contencioso administrativo interpretar su alcance. Por tanto, excede la competencia de esta Agencia pronunciarse sobre la interpretación de la cláusula pactada en el contrato específico objeto de consulta.</w:t>
      </w:r>
    </w:p>
    <w:p w14:paraId="6CDE1C48" w14:textId="3B4096D8" w:rsidR="001E0E0D" w:rsidRPr="00642749" w:rsidRDefault="001E0E0D" w:rsidP="00642749">
      <w:pPr>
        <w:spacing w:line="240" w:lineRule="auto"/>
        <w:jc w:val="both"/>
        <w:rPr>
          <w:rFonts w:ascii="Verdana" w:eastAsia="Times New Roman" w:hAnsi="Verdana" w:cs="Times New Roman"/>
          <w:b/>
          <w:bCs/>
          <w:lang w:eastAsia="es-ES_tradnl"/>
        </w:rPr>
      </w:pPr>
      <w:r w:rsidRPr="00642749">
        <w:rPr>
          <w:rFonts w:ascii="Verdana" w:eastAsia="Times New Roman" w:hAnsi="Verdana" w:cs="Times New Roman"/>
          <w:b/>
          <w:bCs/>
          <w:lang w:eastAsia="es-ES_tradnl"/>
        </w:rPr>
        <w:t xml:space="preserve">INTERMEDIACIÓN DE SEGUROS – Naturaleza jurídica – Normativa </w:t>
      </w:r>
    </w:p>
    <w:p w14:paraId="1FEFE32E" w14:textId="77777777" w:rsidR="001E0E0D" w:rsidRPr="00642749" w:rsidRDefault="001E0E0D" w:rsidP="00642749">
      <w:pPr>
        <w:spacing w:after="0" w:line="240" w:lineRule="auto"/>
        <w:jc w:val="both"/>
        <w:rPr>
          <w:rFonts w:ascii="Verdana" w:eastAsia="Times New Roman" w:hAnsi="Verdana" w:cs="Times New Roman"/>
          <w:sz w:val="20"/>
          <w:szCs w:val="20"/>
          <w:lang w:eastAsia="es-ES_tradnl"/>
        </w:rPr>
      </w:pPr>
      <w:r w:rsidRPr="00642749">
        <w:rPr>
          <w:rFonts w:ascii="Verdana" w:eastAsia="Times New Roman" w:hAnsi="Verdana" w:cs="Times New Roman"/>
          <w:sz w:val="20"/>
          <w:szCs w:val="20"/>
          <w:lang w:eastAsia="es-ES_tradnl"/>
        </w:rPr>
        <w:t>Los corredores o intermediarios de seguros constituyen uno de los canales más comunes que se usan en el mercado de seguros para comercializar y distribuir productos de aseguramiento. Estos intermediarios suelen cumplir un rol dirigido a asesorar a las partes que intervienen en un contrato de seguros, gestionar pagos de indemnizaciones, recaudar de primas, entre otras actividades, a cambio de una remuneración. Esta contraprestación consiste en una comisión calculada como un porcentaje de la prima pagada por el asegurado, la cual, por disposición expresa del artículo 1341 debe ser pagada de forma directa por la compañía de seguros.</w:t>
      </w:r>
    </w:p>
    <w:p w14:paraId="50EB1A46" w14:textId="77777777" w:rsidR="001E0E0D" w:rsidRPr="00642749" w:rsidRDefault="001E0E0D" w:rsidP="00642749">
      <w:pPr>
        <w:spacing w:after="0" w:line="240" w:lineRule="auto"/>
        <w:jc w:val="both"/>
        <w:rPr>
          <w:rFonts w:ascii="Verdana" w:eastAsia="Times New Roman" w:hAnsi="Verdana" w:cs="Times New Roman"/>
          <w:sz w:val="20"/>
          <w:szCs w:val="20"/>
          <w:lang w:eastAsia="es-ES_tradnl"/>
        </w:rPr>
      </w:pPr>
    </w:p>
    <w:p w14:paraId="665BE2F8" w14:textId="77777777" w:rsidR="001E0E0D" w:rsidRPr="00642749" w:rsidRDefault="001E0E0D" w:rsidP="00642749">
      <w:pPr>
        <w:spacing w:after="0" w:line="240" w:lineRule="auto"/>
        <w:jc w:val="both"/>
        <w:rPr>
          <w:rFonts w:ascii="Verdana" w:eastAsia="Times New Roman" w:hAnsi="Verdana" w:cs="Times New Roman"/>
          <w:sz w:val="20"/>
          <w:szCs w:val="20"/>
          <w:lang w:eastAsia="es-ES_tradnl"/>
        </w:rPr>
      </w:pPr>
      <w:r w:rsidRPr="00642749">
        <w:rPr>
          <w:rFonts w:ascii="Verdana" w:eastAsia="Times New Roman" w:hAnsi="Verdana" w:cs="Times New Roman"/>
          <w:sz w:val="20"/>
          <w:szCs w:val="20"/>
          <w:lang w:eastAsia="es-ES_tradnl"/>
        </w:rPr>
        <w:t>En ese contexto, es importante concluir que al ser aplicables las normas del derecho privado en la contratación estatal, dentro de los límites constitucionales y legales, para la celebración de los contratos como el contrato corretaje, el Código de Comercio en sus artículos 1340 a 1346, regula de manera general dicho negocio jurídico, definiendo la figura del corredor como “La persona que, por su especial conocimiento de los mercados, se ocupa como agente intermediario en la tarea de poner en relación a dos o más personas, con el fin de que celebren un negocio comercial, sin estar vinculado a las partes por relaciones de colaboración, dependencia, mandato o representación”. No obstante, en los artículos 1347 a 1353 establece una regulación especial para los corredores de seguros.</w:t>
      </w:r>
    </w:p>
    <w:p w14:paraId="6E1F2161" w14:textId="77777777" w:rsidR="001E0E0D" w:rsidRPr="00642749" w:rsidRDefault="001E0E0D" w:rsidP="00642749">
      <w:pPr>
        <w:spacing w:after="0" w:line="240" w:lineRule="auto"/>
        <w:jc w:val="both"/>
        <w:rPr>
          <w:rFonts w:ascii="Verdana" w:eastAsia="Times New Roman" w:hAnsi="Verdana" w:cs="Times New Roman"/>
          <w:sz w:val="20"/>
          <w:szCs w:val="20"/>
          <w:lang w:eastAsia="es-ES_tradnl"/>
        </w:rPr>
      </w:pPr>
    </w:p>
    <w:p w14:paraId="3B50658C" w14:textId="77777777" w:rsidR="001E0E0D" w:rsidRDefault="001E0E0D" w:rsidP="00642749">
      <w:pPr>
        <w:spacing w:after="0" w:line="240" w:lineRule="auto"/>
        <w:jc w:val="both"/>
        <w:rPr>
          <w:rFonts w:ascii="Verdana" w:eastAsia="Times New Roman" w:hAnsi="Verdana" w:cs="Times New Roman"/>
          <w:sz w:val="20"/>
          <w:szCs w:val="20"/>
          <w:lang w:eastAsia="es-ES_tradnl"/>
        </w:rPr>
      </w:pPr>
      <w:r w:rsidRPr="00642749">
        <w:rPr>
          <w:rFonts w:ascii="Verdana" w:eastAsia="Times New Roman" w:hAnsi="Verdana" w:cs="Times New Roman"/>
          <w:sz w:val="20"/>
          <w:szCs w:val="20"/>
          <w:lang w:eastAsia="es-ES_tradnl"/>
        </w:rPr>
        <w:lastRenderedPageBreak/>
        <w:t>[…]</w:t>
      </w:r>
    </w:p>
    <w:p w14:paraId="0CB8276A" w14:textId="77777777" w:rsidR="00642749" w:rsidRPr="00642749" w:rsidRDefault="00642749" w:rsidP="00642749">
      <w:pPr>
        <w:spacing w:after="0" w:line="240" w:lineRule="auto"/>
        <w:jc w:val="both"/>
        <w:rPr>
          <w:rFonts w:ascii="Verdana" w:eastAsia="Times New Roman" w:hAnsi="Verdana" w:cs="Times New Roman"/>
          <w:sz w:val="20"/>
          <w:szCs w:val="20"/>
          <w:lang w:eastAsia="es-ES_tradnl"/>
        </w:rPr>
      </w:pPr>
    </w:p>
    <w:p w14:paraId="16548780" w14:textId="77777777" w:rsidR="001E0E0D" w:rsidRPr="00642749" w:rsidRDefault="001E0E0D" w:rsidP="00642749">
      <w:pPr>
        <w:spacing w:after="0" w:line="240" w:lineRule="auto"/>
        <w:jc w:val="both"/>
        <w:rPr>
          <w:rFonts w:ascii="Verdana" w:eastAsia="Times New Roman" w:hAnsi="Verdana" w:cs="Times New Roman"/>
          <w:sz w:val="20"/>
          <w:szCs w:val="20"/>
          <w:lang w:eastAsia="es-ES_tradnl"/>
        </w:rPr>
      </w:pPr>
      <w:r w:rsidRPr="00642749">
        <w:rPr>
          <w:rFonts w:ascii="Verdana" w:eastAsia="Times New Roman" w:hAnsi="Verdana" w:cs="Times New Roman"/>
          <w:sz w:val="20"/>
          <w:szCs w:val="20"/>
          <w:lang w:eastAsia="es-ES_tradnl"/>
        </w:rPr>
        <w:t>El Decreto Ley 663 de 1993 o Estatuto Orgánico del Sistema Financiero, si bien no los define, se refiere a los intermediarios de seguros en los artículos 5 y 40, estableciendo que los corredores de seguros, agencias o agentes son quienes se encuentran autorizados para desarrollar dicha labor. Tales normas a su vez remiten a los artículos 1347 y siguientes del Código de Comercio, normas aplicables a los corredores de seguros, en las que se determina que solo podrán desempeñarse como tales “(…) las empresas constituidas o que se constituyan como sociedades comerciales, colectivas o de responsabilidad limitada, cuyo objeto social sea exclusivamente ofrecer seguros, promover su celebración y obtener su renovación a título de intermediarios entre el asegurado y el asegurador”.</w:t>
      </w:r>
    </w:p>
    <w:p w14:paraId="43DEF298" w14:textId="77777777" w:rsidR="001E0E0D" w:rsidRPr="00642749" w:rsidRDefault="001E0E0D" w:rsidP="00642749">
      <w:pPr>
        <w:spacing w:after="0" w:line="240" w:lineRule="auto"/>
        <w:jc w:val="both"/>
        <w:rPr>
          <w:rFonts w:ascii="Verdana" w:eastAsia="Times New Roman" w:hAnsi="Verdana" w:cs="Times New Roman"/>
          <w:sz w:val="20"/>
          <w:szCs w:val="20"/>
          <w:lang w:eastAsia="es-ES_tradnl"/>
        </w:rPr>
      </w:pPr>
    </w:p>
    <w:p w14:paraId="5B0D9ACB" w14:textId="77777777" w:rsidR="001E0E0D" w:rsidRPr="00642749" w:rsidRDefault="001E0E0D" w:rsidP="00642749">
      <w:pPr>
        <w:spacing w:after="0" w:line="240" w:lineRule="auto"/>
        <w:jc w:val="both"/>
        <w:rPr>
          <w:rFonts w:ascii="Verdana" w:eastAsia="Times New Roman" w:hAnsi="Verdana" w:cs="Times New Roman"/>
          <w:sz w:val="20"/>
          <w:szCs w:val="20"/>
          <w:lang w:eastAsia="es-ES_tradnl"/>
        </w:rPr>
      </w:pPr>
      <w:r w:rsidRPr="00642749">
        <w:rPr>
          <w:rFonts w:ascii="Verdana" w:eastAsia="Times New Roman" w:hAnsi="Verdana" w:cs="Times New Roman"/>
          <w:sz w:val="20"/>
          <w:szCs w:val="20"/>
          <w:lang w:eastAsia="es-ES_tradnl"/>
        </w:rPr>
        <w:t>[…]</w:t>
      </w:r>
    </w:p>
    <w:p w14:paraId="33F834F7" w14:textId="77777777" w:rsidR="001E0E0D" w:rsidRPr="00642749" w:rsidRDefault="001E0E0D" w:rsidP="00642749">
      <w:pPr>
        <w:spacing w:after="0" w:line="240" w:lineRule="auto"/>
        <w:jc w:val="both"/>
        <w:rPr>
          <w:rFonts w:ascii="Verdana" w:eastAsia="Times New Roman" w:hAnsi="Verdana" w:cs="Times New Roman"/>
          <w:sz w:val="20"/>
          <w:szCs w:val="20"/>
          <w:lang w:eastAsia="es-ES_tradnl"/>
        </w:rPr>
      </w:pPr>
    </w:p>
    <w:p w14:paraId="5414ABB1" w14:textId="77777777" w:rsidR="001E0E0D" w:rsidRPr="00642749" w:rsidRDefault="001E0E0D" w:rsidP="00642749">
      <w:pPr>
        <w:spacing w:after="0" w:line="240" w:lineRule="auto"/>
        <w:jc w:val="both"/>
        <w:rPr>
          <w:rFonts w:ascii="Verdana" w:eastAsia="Times New Roman" w:hAnsi="Verdana" w:cs="Times New Roman"/>
          <w:sz w:val="20"/>
          <w:szCs w:val="20"/>
          <w:lang w:eastAsia="es-ES_tradnl"/>
        </w:rPr>
      </w:pPr>
      <w:r w:rsidRPr="00642749">
        <w:rPr>
          <w:rFonts w:ascii="Verdana" w:eastAsia="Times New Roman" w:hAnsi="Verdana" w:cs="Times New Roman"/>
          <w:sz w:val="20"/>
          <w:szCs w:val="20"/>
          <w:lang w:eastAsia="es-ES_tradnl"/>
        </w:rPr>
        <w:t>Conforme a lo anterior, la jurisprudencia y la doctrina coinciden en que el contrato de corretaje o intermediación de seguros reviste una naturaleza jurídica propia y autónoma, regida por disposiciones del Código de Comercio y las normas que regulan la actividad aseguradora. De acuerdo con lo aquí explicado, el corredor de seguros celebra los contratos de intermediación con el tomador y con el asegurador, adquiriendo obligaciones que cumple, en el primer caso, de manera gratuita, y en el segundo, a cambio de una comisión aleatoria, pagadera en caso de concretarse la celebración de un contrato de seguro.</w:t>
      </w:r>
    </w:p>
    <w:p w14:paraId="20CB6ED5" w14:textId="77777777" w:rsidR="001E0E0D" w:rsidRPr="00642749" w:rsidRDefault="001E0E0D" w:rsidP="00642749">
      <w:pPr>
        <w:widowControl w:val="0"/>
        <w:spacing w:after="0" w:line="240" w:lineRule="auto"/>
        <w:jc w:val="both"/>
        <w:rPr>
          <w:rFonts w:ascii="Verdana" w:hAnsi="Verdana"/>
          <w:sz w:val="20"/>
          <w:szCs w:val="20"/>
          <w:lang w:val="es-ES"/>
        </w:rPr>
      </w:pPr>
    </w:p>
    <w:p w14:paraId="38522975" w14:textId="194E841A" w:rsidR="001E0E0D" w:rsidRPr="00642749" w:rsidRDefault="001E0E0D" w:rsidP="00642749">
      <w:pPr>
        <w:spacing w:line="240" w:lineRule="auto"/>
        <w:jc w:val="both"/>
        <w:rPr>
          <w:rFonts w:ascii="Verdana" w:eastAsia="Calibri" w:hAnsi="Verdana" w:cs="Arial"/>
          <w:b/>
          <w:color w:val="000000" w:themeColor="text1"/>
          <w:lang w:eastAsia="es-MX"/>
        </w:rPr>
      </w:pPr>
      <w:r w:rsidRPr="00642749">
        <w:rPr>
          <w:rFonts w:ascii="Verdana" w:eastAsia="Calibri" w:hAnsi="Verdana" w:cs="Arial"/>
          <w:b/>
          <w:color w:val="000000" w:themeColor="text1"/>
          <w:lang w:eastAsia="es-MX"/>
        </w:rPr>
        <w:t>PLAZO DEL CONTRATO ‒ Exigibilidad de las obligaciones – Extinción de los derechos – Diferencias</w:t>
      </w:r>
    </w:p>
    <w:p w14:paraId="430D50C9" w14:textId="77777777" w:rsidR="001E0E0D" w:rsidRPr="00642749" w:rsidRDefault="001E0E0D" w:rsidP="00642749">
      <w:pPr>
        <w:tabs>
          <w:tab w:val="left" w:pos="426"/>
        </w:tabs>
        <w:spacing w:after="120" w:line="240" w:lineRule="auto"/>
        <w:jc w:val="both"/>
        <w:rPr>
          <w:rFonts w:ascii="Verdana" w:eastAsia="Calibri" w:hAnsi="Verdana" w:cs="Arial"/>
          <w:bCs/>
          <w:sz w:val="20"/>
          <w:szCs w:val="20"/>
          <w:lang w:eastAsia="es-MX"/>
        </w:rPr>
      </w:pPr>
      <w:r w:rsidRPr="00642749">
        <w:rPr>
          <w:rFonts w:ascii="Verdana" w:eastAsia="Calibri" w:hAnsi="Verdana" w:cs="Arial"/>
          <w:sz w:val="20"/>
          <w:szCs w:val="20"/>
          <w:lang w:eastAsia="es-MX"/>
        </w:rPr>
        <w:t>El artículo 1551 del Código Civil define el “plazo” como la época para cumplir una obligación. El plazo puede ser i) expreso o ii) tácito. La doctrina define el “plazo” como un hecho futuro y cierto para el nacimiento o la extinción de un derecho, y elabora una clasificación de los plazos de la cual se destacan el plazo expreso y tácito, que complementa lo señalado en el Código Civil. Respecto del plazo expreso indica que es el señalado en términos explícitos, y el plazo tácito “[…] tiene lugar cuando no existe plazo expreso y la obligación no es susceptible de cumplirse inmediatamente […]”.</w:t>
      </w:r>
    </w:p>
    <w:p w14:paraId="70E0FC58" w14:textId="77777777" w:rsidR="001E0E0D" w:rsidRPr="00642749" w:rsidRDefault="001E0E0D" w:rsidP="00642749">
      <w:pPr>
        <w:spacing w:after="120" w:line="240" w:lineRule="auto"/>
        <w:jc w:val="both"/>
        <w:rPr>
          <w:rFonts w:ascii="Verdana" w:eastAsia="Calibri" w:hAnsi="Verdana" w:cs="Arial"/>
          <w:sz w:val="20"/>
          <w:szCs w:val="20"/>
          <w:lang w:eastAsia="es-MX"/>
        </w:rPr>
      </w:pPr>
      <w:r w:rsidRPr="00642749">
        <w:rPr>
          <w:rFonts w:ascii="Verdana" w:eastAsia="Calibri" w:hAnsi="Verdana" w:cs="Arial"/>
          <w:sz w:val="20"/>
          <w:szCs w:val="20"/>
          <w:lang w:eastAsia="es-MX"/>
        </w:rPr>
        <w:t xml:space="preserve">Particularmente, el plazo es una de las modalidades por las cuales las obligaciones dejan de ser puras y simples. De hecho, la regla general es que el nacimiento del derecho sea concomitante con su exigibilidad, lo que repercute en el cumplimiento inmediato de la prestación debida. Sin embargo, con las cláusulas relativas al plazo, las partes modulan cualquiera de estos dos (2) elementos haciendo que las obligaciones sean exigibles o que los derechos se extingan con el vencimiento de un período determinado en el contrato.    </w:t>
      </w:r>
    </w:p>
    <w:p w14:paraId="61B48F6E" w14:textId="77777777" w:rsidR="001E0E0D" w:rsidRPr="00642749" w:rsidRDefault="001E0E0D" w:rsidP="00642749">
      <w:pPr>
        <w:spacing w:line="240" w:lineRule="auto"/>
        <w:jc w:val="both"/>
        <w:rPr>
          <w:rFonts w:ascii="Verdana" w:eastAsia="Calibri" w:hAnsi="Verdana" w:cs="Arial"/>
          <w:b/>
          <w:color w:val="000000" w:themeColor="text1"/>
          <w:lang w:eastAsia="es-MX"/>
        </w:rPr>
      </w:pPr>
      <w:r w:rsidRPr="00642749">
        <w:rPr>
          <w:rFonts w:ascii="Verdana" w:eastAsia="Calibri" w:hAnsi="Verdana" w:cs="Arial"/>
          <w:b/>
          <w:color w:val="000000" w:themeColor="text1"/>
          <w:lang w:eastAsia="es-MX"/>
        </w:rPr>
        <w:t>CONTRATOS ESTATALES ‒ Plazo suspensivo – Plazo extintivo – Exigibilidad – Extinción de las obligaciones – Régimen de las obligaciones</w:t>
      </w:r>
    </w:p>
    <w:p w14:paraId="66EF4BF2" w14:textId="77777777" w:rsidR="001E0E0D" w:rsidRPr="00642749" w:rsidRDefault="001E0E0D" w:rsidP="00642749">
      <w:pPr>
        <w:spacing w:line="240" w:lineRule="auto"/>
        <w:jc w:val="both"/>
        <w:rPr>
          <w:rFonts w:ascii="Verdana" w:eastAsia="Calibri" w:hAnsi="Verdana" w:cs="Arial"/>
          <w:bCs/>
          <w:color w:val="000000" w:themeColor="text1"/>
          <w:sz w:val="20"/>
          <w:szCs w:val="20"/>
          <w:lang w:eastAsia="es-MX"/>
        </w:rPr>
      </w:pPr>
    </w:p>
    <w:p w14:paraId="05416CB7" w14:textId="77777777" w:rsidR="001E0E0D" w:rsidRPr="00642749" w:rsidRDefault="001E0E0D" w:rsidP="00642749">
      <w:pPr>
        <w:spacing w:after="120" w:line="240" w:lineRule="auto"/>
        <w:jc w:val="both"/>
        <w:rPr>
          <w:rFonts w:ascii="Verdana" w:eastAsia="Calibri" w:hAnsi="Verdana" w:cs="Arial"/>
          <w:color w:val="000000"/>
          <w:sz w:val="20"/>
          <w:szCs w:val="20"/>
        </w:rPr>
      </w:pPr>
      <w:r w:rsidRPr="00642749">
        <w:rPr>
          <w:rFonts w:ascii="Verdana" w:eastAsia="Calibri" w:hAnsi="Verdana" w:cs="Arial"/>
          <w:bCs/>
          <w:color w:val="000000" w:themeColor="text1"/>
          <w:sz w:val="20"/>
          <w:szCs w:val="20"/>
          <w:lang w:eastAsia="es-MX"/>
        </w:rPr>
        <w:t xml:space="preserve">[…] </w:t>
      </w:r>
      <w:r w:rsidRPr="00642749">
        <w:rPr>
          <w:rFonts w:ascii="Verdana" w:eastAsia="Calibri" w:hAnsi="Verdana" w:cs="Arial"/>
          <w:color w:val="000000"/>
          <w:sz w:val="20"/>
          <w:szCs w:val="20"/>
        </w:rPr>
        <w:t xml:space="preserve">Ahora bien, usualmente los plazos en los contratos estatales son suspensivos, sin perjuicio de que del contenido del contrato se deriven plazos parciales u obligaciones que deben cumplirse en términos específicos. En todo caso, frente a cada contrato debe analizarse si se pactó un plazo suspensivo o extintivo, de conformidad con el régimen de las obligaciones establecido en el Código Civil, normas que se aplican a los contratos estatales, por la remisión realizada por el artículo 13 de la Ley 80 de 1993. Esto sucede tanto cuando se pactan entregas parciales como cuando la entidad recibe el objeto al finalizar el plazo pactado, porque la exigibilidad de las obligaciones está suspendida mientras cada uno de estos términos esté pendiente: la Administración solo podrá exigir el cumplimiento cuando venza el plazo pactado, pues solo a partir de ese momento las obligaciones son puras y simples. De hecho, la llegada o vencimiento del plazo suspensivo no extingue el contrato ni las obligaciones derivadas del vínculo jurídico, ya que, al contrario, lo que se requiere es precisamente su ejecución. Lo contrario equivale a afirmar </w:t>
      </w:r>
      <w:proofErr w:type="gramStart"/>
      <w:r w:rsidRPr="00642749">
        <w:rPr>
          <w:rFonts w:ascii="Verdana" w:eastAsia="Calibri" w:hAnsi="Verdana" w:cs="Arial"/>
          <w:color w:val="000000"/>
          <w:sz w:val="20"/>
          <w:szCs w:val="20"/>
        </w:rPr>
        <w:t>que</w:t>
      </w:r>
      <w:proofErr w:type="gramEnd"/>
      <w:r w:rsidRPr="00642749">
        <w:rPr>
          <w:rFonts w:ascii="Verdana" w:eastAsia="Calibri" w:hAnsi="Verdana" w:cs="Arial"/>
          <w:color w:val="000000"/>
          <w:sz w:val="20"/>
          <w:szCs w:val="20"/>
        </w:rPr>
        <w:t xml:space="preserve"> si las obligaciones no se cumplen oportunamente, la entidad pierde el derecho a obtener el pago de la prestación debida, cuando considera que pese a su extemporaneidad se requiere su ejecución efectiva. Esta conclusión no solo sería contraria al interés público como fin de la contratación estatal, sino que desconoce la normas sobre el pago de los artículos 1626 y siguientes del Código Civil, razón por la cual, sin perjuicio de la responsabilidad del contratista por el cumplimiento extemporáneo, la entidad puede recibir lo que ejecute el contratista después de vencido el plazo del contrato, lo que se extiende a la exigibilidad de lo que está pendiente por cumplir. Lo anterior, en la medida que “El contrato no podrá considerarse definitivamente concluido hasta tanto ambas obligaciones y derechos principales, la entrega y recepción –o puesta a disposición– de la obra o su producto […] no hayan sido cumplidos”. </w:t>
      </w:r>
      <w:r w:rsidRPr="00642749">
        <w:rPr>
          <w:rFonts w:ascii="Verdana" w:eastAsia="Calibri" w:hAnsi="Verdana" w:cs="Arial"/>
          <w:color w:val="000000"/>
          <w:sz w:val="20"/>
          <w:szCs w:val="20"/>
        </w:rPr>
        <w:tab/>
        <w:t xml:space="preserve"> </w:t>
      </w:r>
    </w:p>
    <w:p w14:paraId="39F46E3D" w14:textId="77777777" w:rsidR="001E0E0D" w:rsidRPr="00642749" w:rsidRDefault="001E0E0D" w:rsidP="00642749">
      <w:pPr>
        <w:spacing w:after="120" w:line="240" w:lineRule="auto"/>
        <w:jc w:val="both"/>
        <w:rPr>
          <w:rFonts w:ascii="Verdana" w:eastAsia="Calibri" w:hAnsi="Verdana" w:cs="Arial"/>
          <w:color w:val="000000"/>
          <w:sz w:val="20"/>
          <w:szCs w:val="20"/>
        </w:rPr>
      </w:pPr>
      <w:r w:rsidRPr="00642749">
        <w:rPr>
          <w:rFonts w:ascii="Verdana" w:eastAsia="Calibri" w:hAnsi="Verdana" w:cs="Arial"/>
          <w:color w:val="000000"/>
          <w:sz w:val="20"/>
          <w:szCs w:val="20"/>
        </w:rPr>
        <w:t>De esta manera se concluye que el plazo no siempre tiene efectos extintivos en todas las tipologías contractuales. En efecto, en la medida que suspenda la exigibilidad de las obligaciones, el “plazo” expreso es aquel estipulado en el contrato, en el cual las partes disponen un término específico para su cumplimiento. Esto significa que –antes del vencimiento– el contrato se encuentra en ejecución, y el contratista tiene ese tiempo para ejecutar las prestaciones a las cuales se comprometió en virtud de la suscripción del negocio jurídico.</w:t>
      </w:r>
    </w:p>
    <w:p w14:paraId="6FE205CB" w14:textId="4D052220" w:rsidR="00642749" w:rsidRPr="00642749" w:rsidRDefault="00642749" w:rsidP="00642749">
      <w:pPr>
        <w:spacing w:after="120" w:line="240" w:lineRule="auto"/>
        <w:jc w:val="both"/>
        <w:rPr>
          <w:rFonts w:ascii="Verdana" w:eastAsia="Times New Roman" w:hAnsi="Verdana" w:cs="Times New Roman"/>
          <w:b/>
          <w:bCs/>
          <w:lang w:val="es-ES" w:eastAsia="es-ES_tradnl"/>
        </w:rPr>
      </w:pPr>
      <w:r w:rsidRPr="00642749">
        <w:rPr>
          <w:rFonts w:ascii="Verdana" w:eastAsia="Times New Roman" w:hAnsi="Verdana" w:cs="Times New Roman"/>
          <w:b/>
          <w:bCs/>
          <w:lang w:val="es-ES" w:eastAsia="es-ES_tradnl"/>
        </w:rPr>
        <w:t>CONTRATO DE CORRETAJE – Extensión automática – Prohibición</w:t>
      </w:r>
    </w:p>
    <w:p w14:paraId="30D61806" w14:textId="77777777" w:rsidR="00642749" w:rsidRPr="00642749" w:rsidRDefault="00642749" w:rsidP="00642749">
      <w:pPr>
        <w:spacing w:before="120" w:after="120" w:line="240" w:lineRule="auto"/>
        <w:jc w:val="both"/>
        <w:rPr>
          <w:rFonts w:ascii="Verdana" w:hAnsi="Verdana" w:cs="Arial"/>
          <w:color w:val="000000" w:themeColor="text1"/>
          <w:sz w:val="20"/>
          <w:szCs w:val="20"/>
          <w:lang w:val="es-ES"/>
        </w:rPr>
      </w:pPr>
      <w:r w:rsidRPr="00642749">
        <w:rPr>
          <w:rFonts w:ascii="Verdana" w:hAnsi="Verdana" w:cs="Arial"/>
          <w:color w:val="000000" w:themeColor="text1"/>
          <w:sz w:val="20"/>
          <w:szCs w:val="20"/>
          <w:lang w:val="es-ES"/>
        </w:rPr>
        <w:t xml:space="preserve">No es posible considerar que una cláusula que determina el plazo de un contrato estatal de corretaje conlleve una extensión automática hasta el vencimiento de las pólizas. Interpretar la cláusula como una extensión automática del plazo de ejecución choca con la prohibición de prórrogas automáticas, sucesivas o indefinidas, que la jurisprudencia y esta Agencia han considerado contrarias a la libertad de concurrencia y al principio de planeación en el marco de la contratación estatal. Adicionalmente, las normas que rigen la hermenéutica contractual señalan que, entre dos interpretaciones posibles, debe preferirse la que preserva la validez y los principios de la contratación pública (artículos 1620 y 1621 del Código Civil). </w:t>
      </w:r>
    </w:p>
    <w:p w14:paraId="2064728D" w14:textId="77777777" w:rsidR="00642749" w:rsidRPr="00642749" w:rsidRDefault="00642749" w:rsidP="00642749">
      <w:pPr>
        <w:spacing w:before="120" w:after="120" w:line="240" w:lineRule="auto"/>
        <w:jc w:val="both"/>
        <w:rPr>
          <w:rFonts w:ascii="Verdana" w:hAnsi="Verdana" w:cs="Arial"/>
          <w:color w:val="000000" w:themeColor="text1"/>
          <w:sz w:val="20"/>
          <w:szCs w:val="20"/>
          <w:lang w:val="es-ES"/>
        </w:rPr>
      </w:pPr>
      <w:r w:rsidRPr="00642749">
        <w:rPr>
          <w:rFonts w:ascii="Verdana" w:hAnsi="Verdana" w:cs="Arial"/>
          <w:color w:val="000000" w:themeColor="text1"/>
          <w:sz w:val="20"/>
          <w:szCs w:val="20"/>
          <w:lang w:val="es-ES"/>
        </w:rPr>
        <w:lastRenderedPageBreak/>
        <w:t>En consecuencia, corresponde a la entidad determinar si, conforme a la voluntad real de las partes y la naturaleza del negocio jurídico, la estipulación puede entenderse como la subsistencia de obligaciones asociadas a las pólizas intermediadas que el contratista ejecuta dentro de la vigencia del contrato —de forma previa a la liquidación—, pues es posible que subsistan obligaciones ligadas a las pólizas sin que ello equivalga a que el plazo de ejecución siga corriendo. En caso de que, por el contrario, se trate de un supuesto en el que sea necesario modificar el plazo del contrato, la entidad deberá respetar los límites de orden temporal, formal, material y axiológico establecidos por la jurisprudencia. En todo caso, se reitera que excede la competencia de esta Agencia pronunciarse sobre la interpretación de la cláusula pactada en el contrato específico objeto de consulta, pues corresponde a las partes o a los jueces su valoración, de acuerdo con las reglas expuestas y atendiendo a las circunstancias particulares de cada negocio jurídico.</w:t>
      </w:r>
    </w:p>
    <w:p w14:paraId="488B52EE" w14:textId="77777777" w:rsidR="00642749" w:rsidRPr="00642749" w:rsidRDefault="00642749" w:rsidP="00642749">
      <w:pPr>
        <w:spacing w:before="120" w:after="120" w:line="240" w:lineRule="auto"/>
        <w:jc w:val="both"/>
        <w:rPr>
          <w:rFonts w:ascii="Verdana" w:hAnsi="Verdana" w:cs="Arial"/>
          <w:color w:val="000000" w:themeColor="text1"/>
          <w:sz w:val="20"/>
          <w:szCs w:val="20"/>
          <w:lang w:val="es-ES"/>
        </w:rPr>
      </w:pPr>
      <w:r w:rsidRPr="00642749">
        <w:rPr>
          <w:rFonts w:ascii="Verdana" w:hAnsi="Verdana" w:cs="Arial"/>
          <w:color w:val="000000" w:themeColor="text1"/>
          <w:sz w:val="20"/>
          <w:szCs w:val="20"/>
          <w:lang w:val="es-ES"/>
        </w:rPr>
        <w:t>Asimismo, el vencimiento del plazo de ejecución no impide, en abstracto, que la entidad estructure y adelante un nuevo proceso de selección para satisfacer sus necesidades futuras de intermediación de seguros, pues la subsistencia de obligaciones asociadas a las pólizas ya intermediadas —hasta la liquidación del contrato— opera en un plano distinto del de la planeación de las contrataciones futuras. En esa medida, tampoco existe un impedimento jurídico general para que el nuevo intermediario asuma la asesoría e intermediación de las contrataciones futuras mientras el contratista anterior atiende, dentro de la vigencia de su contrato, las obligaciones asociadas a las pólizas que intermedió, siempre que la entidad delimite con precisión los objetos contractuales para evitar su superposición y observe los principios de planeación y selección objetiva.</w:t>
      </w:r>
    </w:p>
    <w:p w14:paraId="6A7BF796" w14:textId="77777777" w:rsidR="00642749" w:rsidRPr="00B9602D" w:rsidRDefault="00642749" w:rsidP="001E0E0D">
      <w:pPr>
        <w:spacing w:after="120"/>
        <w:jc w:val="both"/>
        <w:rPr>
          <w:rFonts w:ascii="Arial" w:eastAsia="Calibri" w:hAnsi="Arial" w:cs="Arial"/>
          <w:b/>
          <w:bCs/>
          <w:sz w:val="20"/>
          <w:szCs w:val="20"/>
          <w:lang w:eastAsia="es-MX"/>
        </w:rPr>
      </w:pPr>
    </w:p>
    <w:p w14:paraId="5920A535" w14:textId="77777777" w:rsidR="001E0E0D" w:rsidRDefault="001E0E0D" w:rsidP="0071640F">
      <w:pPr>
        <w:widowControl w:val="0"/>
        <w:spacing w:after="0" w:line="276" w:lineRule="auto"/>
        <w:jc w:val="both"/>
        <w:rPr>
          <w:rFonts w:ascii="Verdana" w:hAnsi="Verdana"/>
          <w:lang w:val="es-ES"/>
        </w:rPr>
      </w:pPr>
    </w:p>
    <w:p w14:paraId="6F84D944" w14:textId="77777777" w:rsidR="00642749" w:rsidRDefault="00642749" w:rsidP="0071640F">
      <w:pPr>
        <w:widowControl w:val="0"/>
        <w:spacing w:after="0" w:line="276" w:lineRule="auto"/>
        <w:jc w:val="both"/>
        <w:rPr>
          <w:rFonts w:ascii="Verdana" w:hAnsi="Verdana"/>
          <w:lang w:val="es-ES"/>
        </w:rPr>
      </w:pPr>
    </w:p>
    <w:p w14:paraId="6C8A7AAF" w14:textId="77777777" w:rsidR="00642749" w:rsidRDefault="00642749" w:rsidP="0071640F">
      <w:pPr>
        <w:widowControl w:val="0"/>
        <w:spacing w:after="0" w:line="276" w:lineRule="auto"/>
        <w:jc w:val="both"/>
        <w:rPr>
          <w:rFonts w:ascii="Verdana" w:hAnsi="Verdana"/>
          <w:lang w:val="es-ES"/>
        </w:rPr>
      </w:pPr>
    </w:p>
    <w:p w14:paraId="42C9645A" w14:textId="77777777" w:rsidR="00642749" w:rsidRDefault="00642749" w:rsidP="0071640F">
      <w:pPr>
        <w:widowControl w:val="0"/>
        <w:spacing w:after="0" w:line="276" w:lineRule="auto"/>
        <w:jc w:val="both"/>
        <w:rPr>
          <w:rFonts w:ascii="Verdana" w:hAnsi="Verdana"/>
          <w:lang w:val="es-ES"/>
        </w:rPr>
      </w:pPr>
    </w:p>
    <w:p w14:paraId="172DBE29" w14:textId="77777777" w:rsidR="00642749" w:rsidRDefault="00642749" w:rsidP="0071640F">
      <w:pPr>
        <w:widowControl w:val="0"/>
        <w:spacing w:after="0" w:line="276" w:lineRule="auto"/>
        <w:jc w:val="both"/>
        <w:rPr>
          <w:rFonts w:ascii="Verdana" w:hAnsi="Verdana"/>
          <w:lang w:val="es-ES"/>
        </w:rPr>
      </w:pPr>
    </w:p>
    <w:p w14:paraId="789B0404" w14:textId="77777777" w:rsidR="00642749" w:rsidRDefault="00642749" w:rsidP="0071640F">
      <w:pPr>
        <w:widowControl w:val="0"/>
        <w:spacing w:after="0" w:line="276" w:lineRule="auto"/>
        <w:jc w:val="both"/>
        <w:rPr>
          <w:rFonts w:ascii="Verdana" w:hAnsi="Verdana"/>
          <w:lang w:val="es-ES"/>
        </w:rPr>
      </w:pPr>
    </w:p>
    <w:p w14:paraId="10EFF4F4" w14:textId="77777777" w:rsidR="00642749" w:rsidRDefault="00642749" w:rsidP="0071640F">
      <w:pPr>
        <w:widowControl w:val="0"/>
        <w:spacing w:after="0" w:line="276" w:lineRule="auto"/>
        <w:jc w:val="both"/>
        <w:rPr>
          <w:rFonts w:ascii="Verdana" w:hAnsi="Verdana"/>
          <w:lang w:val="es-ES"/>
        </w:rPr>
      </w:pPr>
    </w:p>
    <w:p w14:paraId="4E9BF5E9" w14:textId="77777777" w:rsidR="00642749" w:rsidRDefault="00642749" w:rsidP="0071640F">
      <w:pPr>
        <w:widowControl w:val="0"/>
        <w:spacing w:after="0" w:line="276" w:lineRule="auto"/>
        <w:jc w:val="both"/>
        <w:rPr>
          <w:rFonts w:ascii="Verdana" w:hAnsi="Verdana"/>
          <w:lang w:val="es-ES"/>
        </w:rPr>
      </w:pPr>
    </w:p>
    <w:p w14:paraId="3B0B2A87" w14:textId="77777777" w:rsidR="00642749" w:rsidRDefault="00642749" w:rsidP="0071640F">
      <w:pPr>
        <w:widowControl w:val="0"/>
        <w:spacing w:after="0" w:line="276" w:lineRule="auto"/>
        <w:jc w:val="both"/>
        <w:rPr>
          <w:rFonts w:ascii="Verdana" w:hAnsi="Verdana"/>
          <w:lang w:val="es-ES"/>
        </w:rPr>
      </w:pPr>
    </w:p>
    <w:p w14:paraId="4F1EEBB4" w14:textId="77777777" w:rsidR="00642749" w:rsidRDefault="00642749" w:rsidP="0071640F">
      <w:pPr>
        <w:widowControl w:val="0"/>
        <w:spacing w:after="0" w:line="276" w:lineRule="auto"/>
        <w:jc w:val="both"/>
        <w:rPr>
          <w:rFonts w:ascii="Verdana" w:hAnsi="Verdana"/>
          <w:lang w:val="es-ES"/>
        </w:rPr>
      </w:pPr>
    </w:p>
    <w:p w14:paraId="2B318143" w14:textId="77777777" w:rsidR="00642749" w:rsidRDefault="00642749" w:rsidP="0071640F">
      <w:pPr>
        <w:widowControl w:val="0"/>
        <w:spacing w:after="0" w:line="276" w:lineRule="auto"/>
        <w:jc w:val="both"/>
        <w:rPr>
          <w:rFonts w:ascii="Verdana" w:hAnsi="Verdana"/>
          <w:lang w:val="es-ES"/>
        </w:rPr>
      </w:pPr>
    </w:p>
    <w:p w14:paraId="08898ABD" w14:textId="77777777" w:rsidR="00642749" w:rsidRDefault="00642749" w:rsidP="0071640F">
      <w:pPr>
        <w:widowControl w:val="0"/>
        <w:spacing w:after="0" w:line="276" w:lineRule="auto"/>
        <w:jc w:val="both"/>
        <w:rPr>
          <w:rFonts w:ascii="Verdana" w:hAnsi="Verdana"/>
          <w:lang w:val="es-ES"/>
        </w:rPr>
      </w:pPr>
    </w:p>
    <w:p w14:paraId="4488DAB7" w14:textId="77777777" w:rsidR="00642749" w:rsidRDefault="00642749" w:rsidP="0071640F">
      <w:pPr>
        <w:widowControl w:val="0"/>
        <w:spacing w:after="0" w:line="276" w:lineRule="auto"/>
        <w:jc w:val="both"/>
        <w:rPr>
          <w:rFonts w:ascii="Verdana" w:hAnsi="Verdana"/>
          <w:lang w:val="es-ES"/>
        </w:rPr>
      </w:pPr>
    </w:p>
    <w:p w14:paraId="7110B8A2" w14:textId="77777777" w:rsidR="00642749" w:rsidRDefault="00642749" w:rsidP="0071640F">
      <w:pPr>
        <w:widowControl w:val="0"/>
        <w:spacing w:after="0" w:line="276" w:lineRule="auto"/>
        <w:jc w:val="both"/>
        <w:rPr>
          <w:rFonts w:ascii="Verdana" w:hAnsi="Verdana"/>
          <w:lang w:val="es-ES"/>
        </w:rPr>
      </w:pPr>
    </w:p>
    <w:p w14:paraId="62001D2A" w14:textId="77777777" w:rsidR="00642749" w:rsidRDefault="00642749" w:rsidP="0071640F">
      <w:pPr>
        <w:widowControl w:val="0"/>
        <w:spacing w:after="0" w:line="276" w:lineRule="auto"/>
        <w:jc w:val="both"/>
        <w:rPr>
          <w:rFonts w:ascii="Verdana" w:hAnsi="Verdana"/>
          <w:lang w:val="es-ES"/>
        </w:rPr>
      </w:pPr>
    </w:p>
    <w:p w14:paraId="75CE868C" w14:textId="77777777" w:rsidR="00642749" w:rsidRDefault="00642749" w:rsidP="0071640F">
      <w:pPr>
        <w:widowControl w:val="0"/>
        <w:spacing w:after="0" w:line="276" w:lineRule="auto"/>
        <w:jc w:val="both"/>
        <w:rPr>
          <w:rFonts w:ascii="Verdana" w:hAnsi="Verdana"/>
          <w:lang w:val="es-ES"/>
        </w:rPr>
      </w:pPr>
    </w:p>
    <w:p w14:paraId="5C9A895B" w14:textId="7CB6A84B" w:rsidR="0071640F" w:rsidRPr="000D6180" w:rsidRDefault="0071640F" w:rsidP="0071640F">
      <w:pPr>
        <w:widowControl w:val="0"/>
        <w:spacing w:after="0" w:line="276" w:lineRule="auto"/>
        <w:jc w:val="both"/>
        <w:rPr>
          <w:rFonts w:ascii="Verdana" w:hAnsi="Verdana"/>
          <w:lang w:val="es-ES"/>
        </w:rPr>
      </w:pPr>
      <w:r w:rsidRPr="000D6180">
        <w:rPr>
          <w:rFonts w:ascii="Verdana" w:hAnsi="Verdana"/>
          <w:lang w:val="es-ES"/>
        </w:rPr>
        <w:lastRenderedPageBreak/>
        <w:t xml:space="preserve">Bogotá D.C., </w:t>
      </w:r>
      <w:r w:rsidR="007B4375">
        <w:rPr>
          <w:rFonts w:ascii="Verdana" w:hAnsi="Verdana"/>
          <w:lang w:val="es-ES"/>
        </w:rPr>
        <w:t>3 de septiembre de 2026</w:t>
      </w:r>
    </w:p>
    <w:p w14:paraId="2F945142" w14:textId="317F90E8" w:rsidR="0071640F" w:rsidRPr="000D6180" w:rsidRDefault="00471CB7" w:rsidP="0071640F">
      <w:pPr>
        <w:spacing w:after="0"/>
        <w:rPr>
          <w:rFonts w:ascii="Verdana" w:hAnsi="Verdana"/>
          <w:lang w:val="es-ES"/>
        </w:rPr>
      </w:pPr>
      <w:r>
        <w:rPr>
          <w:rFonts w:ascii="Verdana" w:eastAsia="Calibri" w:hAnsi="Verdana" w:cs="Arial"/>
          <w:b/>
          <w:bCs/>
          <w:noProof/>
          <w:color w:val="000000" w:themeColor="text1"/>
          <w:lang w:val="es-ES" w:eastAsia="es-ES_tradnl"/>
        </w:rPr>
        <w:drawing>
          <wp:anchor distT="0" distB="0" distL="114300" distR="114300" simplePos="0" relativeHeight="251660288" behindDoc="0" locked="0" layoutInCell="1" allowOverlap="1" wp14:anchorId="72210138" wp14:editId="0F5E6942">
            <wp:simplePos x="0" y="0"/>
            <wp:positionH relativeFrom="column">
              <wp:posOffset>3181350</wp:posOffset>
            </wp:positionH>
            <wp:positionV relativeFrom="paragraph">
              <wp:posOffset>179705</wp:posOffset>
            </wp:positionV>
            <wp:extent cx="2249805" cy="661670"/>
            <wp:effectExtent l="0" t="0" r="0" b="5080"/>
            <wp:wrapSquare wrapText="bothSides"/>
            <wp:docPr id="1252684378" name="Picture 1" descr="A close-up of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684378" name="Picture 1" descr="A close-up of a car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249805" cy="661670"/>
                    </a:xfrm>
                    <a:prstGeom prst="rect">
                      <a:avLst/>
                    </a:prstGeom>
                  </pic:spPr>
                </pic:pic>
              </a:graphicData>
            </a:graphic>
            <wp14:sizeRelH relativeFrom="page">
              <wp14:pctWidth>0</wp14:pctWidth>
            </wp14:sizeRelH>
            <wp14:sizeRelV relativeFrom="page">
              <wp14:pctHeight>0</wp14:pctHeight>
            </wp14:sizeRelV>
          </wp:anchor>
        </w:drawing>
      </w:r>
    </w:p>
    <w:p w14:paraId="67FE2BB6" w14:textId="77E1EE4A" w:rsidR="0071640F" w:rsidRPr="000D6180" w:rsidRDefault="0071640F" w:rsidP="0071640F">
      <w:pPr>
        <w:spacing w:after="0" w:line="240" w:lineRule="auto"/>
        <w:rPr>
          <w:rFonts w:ascii="Verdana" w:eastAsia="Calibri" w:hAnsi="Verdana" w:cs="Arial"/>
          <w:color w:val="000000" w:themeColor="text1"/>
          <w:lang w:val="es-ES" w:eastAsia="es-ES"/>
        </w:rPr>
      </w:pPr>
      <w:r w:rsidRPr="000D6180">
        <w:rPr>
          <w:rFonts w:ascii="Verdana" w:eastAsia="Calibri" w:hAnsi="Verdana" w:cs="Arial"/>
          <w:color w:val="000000" w:themeColor="text1"/>
          <w:lang w:val="es-ES" w:eastAsia="es-ES"/>
        </w:rPr>
        <w:t>Señor</w:t>
      </w:r>
    </w:p>
    <w:p w14:paraId="7A6F0A35" w14:textId="502C9EE7" w:rsidR="00A7556E" w:rsidRPr="000B2BBC" w:rsidRDefault="00A7556E" w:rsidP="00A7556E">
      <w:pPr>
        <w:spacing w:after="0" w:line="240" w:lineRule="auto"/>
        <w:rPr>
          <w:rFonts w:ascii="Verdana" w:eastAsia="Calibri" w:hAnsi="Verdana" w:cs="Arial"/>
          <w:color w:val="000000" w:themeColor="text1"/>
          <w:lang w:eastAsia="es-ES"/>
        </w:rPr>
      </w:pPr>
      <w:r w:rsidRPr="000B2BBC">
        <w:rPr>
          <w:rFonts w:ascii="Verdana" w:eastAsia="Calibri" w:hAnsi="Verdana" w:cs="Arial"/>
          <w:b/>
          <w:color w:val="000000" w:themeColor="text1"/>
          <w:lang w:eastAsia="es-ES"/>
        </w:rPr>
        <w:t>Luis Camilo S</w:t>
      </w:r>
      <w:r>
        <w:rPr>
          <w:rFonts w:ascii="Verdana" w:eastAsia="Calibri" w:hAnsi="Verdana" w:cs="Arial"/>
          <w:b/>
          <w:color w:val="000000" w:themeColor="text1"/>
          <w:lang w:eastAsia="es-ES"/>
        </w:rPr>
        <w:t>á</w:t>
      </w:r>
      <w:r w:rsidRPr="000B2BBC">
        <w:rPr>
          <w:rFonts w:ascii="Verdana" w:eastAsia="Calibri" w:hAnsi="Verdana" w:cs="Arial"/>
          <w:b/>
          <w:color w:val="000000" w:themeColor="text1"/>
          <w:lang w:eastAsia="es-ES"/>
        </w:rPr>
        <w:t xml:space="preserve">nchez Parra </w:t>
      </w:r>
    </w:p>
    <w:p w14:paraId="485D547C" w14:textId="1FB358E9" w:rsidR="00A7556E" w:rsidRPr="00A7556E" w:rsidRDefault="00A7556E" w:rsidP="0071640F">
      <w:pPr>
        <w:spacing w:after="0" w:line="240" w:lineRule="auto"/>
        <w:rPr>
          <w:rFonts w:ascii="Verdana" w:eastAsia="Calibri" w:hAnsi="Verdana" w:cs="Arial"/>
          <w:color w:val="000000" w:themeColor="text1"/>
          <w:lang w:val="es-ES" w:eastAsia="es-ES"/>
        </w:rPr>
      </w:pPr>
      <w:hyperlink r:id="rId12" w:history="1">
        <w:r w:rsidRPr="00C8617E">
          <w:rPr>
            <w:rStyle w:val="Hipervnculo"/>
            <w:rFonts w:ascii="Verdana" w:eastAsia="Calibri" w:hAnsi="Verdana" w:cs="Arial"/>
            <w:lang w:val="es-ES" w:eastAsia="es-ES"/>
          </w:rPr>
          <w:t>luisc.sanchez@aerocivil.gov.co</w:t>
        </w:r>
      </w:hyperlink>
    </w:p>
    <w:p w14:paraId="5AF4375E" w14:textId="1C67776D" w:rsidR="0071640F" w:rsidRPr="000D6180" w:rsidRDefault="0071640F" w:rsidP="0071640F">
      <w:pPr>
        <w:spacing w:after="0" w:line="240" w:lineRule="auto"/>
        <w:rPr>
          <w:rFonts w:ascii="Verdana" w:eastAsia="Calibri" w:hAnsi="Verdana" w:cs="Arial"/>
          <w:color w:val="000000" w:themeColor="text1"/>
          <w:lang w:val="es-ES" w:eastAsia="es-ES"/>
        </w:rPr>
      </w:pPr>
      <w:r w:rsidRPr="000D6180">
        <w:rPr>
          <w:rFonts w:ascii="Verdana" w:eastAsia="Calibri" w:hAnsi="Verdana" w:cs="Arial"/>
          <w:color w:val="000000" w:themeColor="text1"/>
          <w:lang w:val="es-ES" w:eastAsia="es-ES"/>
        </w:rPr>
        <w:t>Bogotá D.C.</w:t>
      </w:r>
    </w:p>
    <w:tbl>
      <w:tblPr>
        <w:tblStyle w:val="Tablaconcuadrcula"/>
        <w:tblW w:w="851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100"/>
      </w:tblGrid>
      <w:tr w:rsidR="0071640F" w:rsidRPr="000D6180" w14:paraId="7D49185E" w14:textId="77777777" w:rsidTr="00163730">
        <w:trPr>
          <w:trHeight w:val="300"/>
        </w:trPr>
        <w:tc>
          <w:tcPr>
            <w:tcW w:w="2410" w:type="dxa"/>
          </w:tcPr>
          <w:p w14:paraId="65FD08A8" w14:textId="07652D61" w:rsidR="0071640F" w:rsidRPr="000D6180" w:rsidRDefault="0071640F" w:rsidP="00163730">
            <w:pPr>
              <w:ind w:left="-142"/>
              <w:jc w:val="both"/>
              <w:rPr>
                <w:rFonts w:ascii="Verdana" w:eastAsia="Calibri" w:hAnsi="Verdana" w:cs="Arial"/>
                <w:b/>
                <w:bCs/>
                <w:color w:val="000000" w:themeColor="text1"/>
                <w:lang w:val="es-ES" w:eastAsia="es-ES_tradnl"/>
              </w:rPr>
            </w:pPr>
          </w:p>
        </w:tc>
        <w:tc>
          <w:tcPr>
            <w:tcW w:w="6100" w:type="dxa"/>
          </w:tcPr>
          <w:p w14:paraId="37420A5F" w14:textId="77777777" w:rsidR="0071640F" w:rsidRPr="000D6180" w:rsidRDefault="0071640F" w:rsidP="00163730">
            <w:pPr>
              <w:ind w:left="3"/>
              <w:jc w:val="both"/>
              <w:rPr>
                <w:rFonts w:ascii="Verdana" w:eastAsia="Calibri" w:hAnsi="Verdana" w:cs="Arial"/>
                <w:b/>
                <w:bCs/>
                <w:color w:val="000000" w:themeColor="text1"/>
                <w:lang w:val="es-ES" w:eastAsia="es-ES"/>
              </w:rPr>
            </w:pPr>
          </w:p>
          <w:p w14:paraId="7B94A338" w14:textId="77777777" w:rsidR="0071640F" w:rsidRPr="000D6180" w:rsidRDefault="0071640F" w:rsidP="00163730">
            <w:pPr>
              <w:ind w:left="3"/>
              <w:jc w:val="both"/>
              <w:rPr>
                <w:rFonts w:ascii="Verdana" w:eastAsia="Calibri" w:hAnsi="Verdana" w:cs="Arial"/>
                <w:b/>
                <w:bCs/>
                <w:color w:val="000000" w:themeColor="text1"/>
                <w:lang w:val="es-ES" w:eastAsia="es-ES"/>
              </w:rPr>
            </w:pPr>
            <w:r w:rsidRPr="000D6180">
              <w:rPr>
                <w:rFonts w:ascii="Verdana" w:eastAsia="Calibri" w:hAnsi="Verdana" w:cs="Arial"/>
                <w:b/>
                <w:bCs/>
                <w:color w:val="000000" w:themeColor="text1"/>
                <w:lang w:val="es-ES" w:eastAsia="es-ES"/>
              </w:rPr>
              <w:t>Concepto C-</w:t>
            </w:r>
            <w:r>
              <w:rPr>
                <w:rFonts w:ascii="Verdana" w:eastAsia="Calibri" w:hAnsi="Verdana" w:cs="Arial"/>
                <w:b/>
                <w:bCs/>
                <w:color w:val="000000" w:themeColor="text1"/>
                <w:lang w:val="es-ES" w:eastAsia="es-ES"/>
              </w:rPr>
              <w:t>1239</w:t>
            </w:r>
            <w:r w:rsidRPr="000D6180">
              <w:rPr>
                <w:rFonts w:ascii="Verdana" w:eastAsia="Calibri" w:hAnsi="Verdana" w:cs="Arial"/>
                <w:b/>
                <w:bCs/>
                <w:color w:val="000000" w:themeColor="text1"/>
                <w:lang w:val="es-ES" w:eastAsia="es-ES"/>
              </w:rPr>
              <w:t xml:space="preserve"> de 2026</w:t>
            </w:r>
          </w:p>
          <w:p w14:paraId="10468AD7" w14:textId="77777777" w:rsidR="0071640F" w:rsidRPr="000D6180" w:rsidRDefault="0071640F" w:rsidP="00163730">
            <w:pPr>
              <w:ind w:left="3"/>
              <w:jc w:val="both"/>
              <w:rPr>
                <w:rFonts w:ascii="Verdana" w:eastAsia="Calibri" w:hAnsi="Verdana" w:cs="Arial"/>
                <w:b/>
                <w:bCs/>
                <w:color w:val="000000" w:themeColor="text1"/>
                <w:lang w:val="es-ES" w:eastAsia="es-ES"/>
              </w:rPr>
            </w:pPr>
          </w:p>
        </w:tc>
      </w:tr>
      <w:tr w:rsidR="0071640F" w:rsidRPr="000D6180" w14:paraId="59983121" w14:textId="77777777" w:rsidTr="00163730">
        <w:trPr>
          <w:trHeight w:val="300"/>
        </w:trPr>
        <w:tc>
          <w:tcPr>
            <w:tcW w:w="2410" w:type="dxa"/>
          </w:tcPr>
          <w:p w14:paraId="7838CC2D" w14:textId="77777777" w:rsidR="0071640F" w:rsidRPr="000D6180" w:rsidRDefault="0071640F" w:rsidP="00163730">
            <w:pPr>
              <w:ind w:left="424" w:firstLine="142"/>
              <w:jc w:val="both"/>
              <w:rPr>
                <w:rFonts w:ascii="Verdana" w:eastAsia="Calibri" w:hAnsi="Verdana" w:cs="Arial"/>
                <w:color w:val="000000" w:themeColor="text1"/>
                <w:lang w:val="es-ES" w:eastAsia="es-ES_tradnl"/>
              </w:rPr>
            </w:pPr>
            <w:r w:rsidRPr="000D6180">
              <w:rPr>
                <w:rFonts w:ascii="Verdana" w:eastAsia="Calibri" w:hAnsi="Verdana" w:cs="Arial"/>
                <w:b/>
                <w:color w:val="000000" w:themeColor="text1"/>
                <w:lang w:val="es-ES" w:eastAsia="es-ES_tradnl"/>
              </w:rPr>
              <w:t>Temas:</w:t>
            </w:r>
            <w:r w:rsidRPr="000D6180">
              <w:rPr>
                <w:rFonts w:ascii="Verdana" w:eastAsia="Calibri" w:hAnsi="Verdana" w:cs="Arial"/>
                <w:color w:val="000000" w:themeColor="text1"/>
                <w:lang w:val="es-ES" w:eastAsia="es-ES_tradnl"/>
              </w:rPr>
              <w:t xml:space="preserve">                  </w:t>
            </w:r>
          </w:p>
        </w:tc>
        <w:tc>
          <w:tcPr>
            <w:tcW w:w="6100" w:type="dxa"/>
          </w:tcPr>
          <w:p w14:paraId="35FDC845" w14:textId="6CD7E342" w:rsidR="0071640F" w:rsidRPr="000D6180" w:rsidRDefault="0071640F" w:rsidP="00292579">
            <w:pPr>
              <w:spacing w:line="276" w:lineRule="auto"/>
              <w:jc w:val="both"/>
              <w:rPr>
                <w:rFonts w:ascii="Verdana" w:eastAsia="Calibri" w:hAnsi="Verdana" w:cs="Arial"/>
                <w:lang w:val="es-ES" w:eastAsia="es-ES"/>
              </w:rPr>
            </w:pPr>
            <w:r w:rsidRPr="000D6180">
              <w:rPr>
                <w:rFonts w:ascii="Verdana" w:eastAsia="Calibri" w:hAnsi="Verdana" w:cs="Arial"/>
                <w:lang w:val="es-ES" w:eastAsia="es-ES"/>
              </w:rPr>
              <w:t xml:space="preserve">INTERPRETACIÓN – Reglas de interpretación </w:t>
            </w:r>
            <w:r w:rsidRPr="000D6180">
              <w:rPr>
                <w:rFonts w:ascii="Verdana" w:eastAsia="Calibri" w:hAnsi="Verdana" w:cs="Arial"/>
                <w:lang w:val="es-ES"/>
              </w:rPr>
              <w:t xml:space="preserve">/ </w:t>
            </w:r>
            <w:r w:rsidRPr="000D6180">
              <w:rPr>
                <w:rFonts w:ascii="Verdana" w:eastAsia="Times New Roman" w:hAnsi="Verdana" w:cs="Times New Roman"/>
                <w:lang w:val="es-ES" w:eastAsia="es-ES_tradnl"/>
              </w:rPr>
              <w:t xml:space="preserve">INTERMEDIACIÓN DE SEGUROS – Naturaleza jurídica – Normativa / </w:t>
            </w:r>
            <w:r w:rsidR="009D6C91" w:rsidRPr="009D6C91">
              <w:rPr>
                <w:rFonts w:ascii="Verdana" w:eastAsia="Times New Roman" w:hAnsi="Verdana" w:cs="Times New Roman"/>
                <w:lang w:val="es-ES" w:eastAsia="es-ES_tradnl"/>
              </w:rPr>
              <w:t>PLAZO DEL CONTRATO ‒ Exigibilidad de las obligaciones – Extinción de los derechos – Diferencias / CONTRATOS ESTATALES ‒ Plazo suspensivo – Plazo extintivo – Exigibilidad – Extinción de las obligaciones – Régimen de las obligaciones</w:t>
            </w:r>
            <w:r w:rsidR="00642749">
              <w:rPr>
                <w:rFonts w:ascii="Verdana" w:eastAsia="Times New Roman" w:hAnsi="Verdana" w:cs="Times New Roman"/>
                <w:lang w:val="es-ES" w:eastAsia="es-ES_tradnl"/>
              </w:rPr>
              <w:t xml:space="preserve"> / CONTRATO DE CORRETAJE </w:t>
            </w:r>
            <w:r w:rsidR="00642749" w:rsidRPr="009D6C91">
              <w:rPr>
                <w:rFonts w:ascii="Verdana" w:eastAsia="Times New Roman" w:hAnsi="Verdana" w:cs="Times New Roman"/>
                <w:lang w:val="es-ES" w:eastAsia="es-ES_tradnl"/>
              </w:rPr>
              <w:t>–</w:t>
            </w:r>
            <w:r w:rsidR="00642749">
              <w:rPr>
                <w:rFonts w:ascii="Verdana" w:eastAsia="Times New Roman" w:hAnsi="Verdana" w:cs="Times New Roman"/>
                <w:lang w:val="es-ES" w:eastAsia="es-ES_tradnl"/>
              </w:rPr>
              <w:t xml:space="preserve"> Extensión automática </w:t>
            </w:r>
            <w:r w:rsidR="00642749" w:rsidRPr="009D6C91">
              <w:rPr>
                <w:rFonts w:ascii="Verdana" w:eastAsia="Times New Roman" w:hAnsi="Verdana" w:cs="Times New Roman"/>
                <w:lang w:val="es-ES" w:eastAsia="es-ES_tradnl"/>
              </w:rPr>
              <w:t>–</w:t>
            </w:r>
            <w:r w:rsidR="00642749">
              <w:rPr>
                <w:rFonts w:ascii="Verdana" w:eastAsia="Times New Roman" w:hAnsi="Verdana" w:cs="Times New Roman"/>
                <w:lang w:val="es-ES" w:eastAsia="es-ES_tradnl"/>
              </w:rPr>
              <w:t xml:space="preserve"> Prohibición</w:t>
            </w:r>
          </w:p>
          <w:p w14:paraId="63F8C486" w14:textId="77777777" w:rsidR="0071640F" w:rsidRPr="000D6180" w:rsidRDefault="0071640F" w:rsidP="00163730">
            <w:pPr>
              <w:spacing w:line="276" w:lineRule="auto"/>
              <w:jc w:val="both"/>
              <w:rPr>
                <w:rFonts w:ascii="Verdana" w:eastAsia="Calibri" w:hAnsi="Verdana" w:cs="Arial"/>
                <w:color w:val="000000" w:themeColor="text1"/>
                <w:lang w:val="es-ES" w:eastAsia="es-ES"/>
              </w:rPr>
            </w:pPr>
          </w:p>
        </w:tc>
      </w:tr>
      <w:tr w:rsidR="0071640F" w:rsidRPr="000D6180" w14:paraId="23DDE7BD" w14:textId="77777777" w:rsidTr="00163730">
        <w:trPr>
          <w:trHeight w:val="300"/>
        </w:trPr>
        <w:tc>
          <w:tcPr>
            <w:tcW w:w="2410" w:type="dxa"/>
          </w:tcPr>
          <w:p w14:paraId="3EA1A0C5" w14:textId="77777777" w:rsidR="0071640F" w:rsidRPr="000D6180" w:rsidRDefault="0071640F" w:rsidP="00163730">
            <w:pPr>
              <w:ind w:left="561"/>
              <w:jc w:val="both"/>
              <w:rPr>
                <w:rFonts w:ascii="Verdana" w:eastAsia="Calibri" w:hAnsi="Verdana" w:cs="Arial"/>
                <w:b/>
                <w:color w:val="000000" w:themeColor="text1"/>
                <w:lang w:val="es-ES" w:eastAsia="es-ES_tradnl"/>
              </w:rPr>
            </w:pPr>
            <w:r w:rsidRPr="000D6180">
              <w:rPr>
                <w:rFonts w:ascii="Verdana" w:eastAsia="Calibri" w:hAnsi="Verdana" w:cs="Arial"/>
                <w:b/>
                <w:color w:val="000000" w:themeColor="text1"/>
                <w:lang w:val="es-ES" w:eastAsia="es-ES_tradnl"/>
              </w:rPr>
              <w:t xml:space="preserve">Radicación:              </w:t>
            </w:r>
          </w:p>
        </w:tc>
        <w:tc>
          <w:tcPr>
            <w:tcW w:w="6100" w:type="dxa"/>
          </w:tcPr>
          <w:p w14:paraId="59A180FA" w14:textId="61C76899" w:rsidR="0071640F" w:rsidRPr="000D6180" w:rsidRDefault="0071640F" w:rsidP="00163730">
            <w:pPr>
              <w:ind w:left="3"/>
              <w:jc w:val="both"/>
              <w:rPr>
                <w:rFonts w:ascii="Verdana" w:hAnsi="Verdana"/>
                <w:bCs/>
                <w:color w:val="000000"/>
                <w:lang w:val="es-ES"/>
              </w:rPr>
            </w:pPr>
            <w:r w:rsidRPr="000D6180">
              <w:rPr>
                <w:rFonts w:ascii="Verdana" w:eastAsia="Calibri" w:hAnsi="Verdana" w:cs="Arial"/>
                <w:bCs/>
                <w:color w:val="000000" w:themeColor="text1"/>
                <w:lang w:val="es-ES" w:eastAsia="es-ES"/>
              </w:rPr>
              <w:t xml:space="preserve">Respuesta a consulta con radicado </w:t>
            </w:r>
            <w:r w:rsidR="00C66967" w:rsidRPr="000D6180">
              <w:rPr>
                <w:rFonts w:ascii="Verdana" w:eastAsia="Calibri" w:hAnsi="Verdana" w:cs="Arial"/>
                <w:bCs/>
                <w:color w:val="000000" w:themeColor="text1"/>
                <w:lang w:val="es-ES" w:eastAsia="es-ES"/>
              </w:rPr>
              <w:t>No.</w:t>
            </w:r>
            <w:r w:rsidR="00C66967" w:rsidRPr="000D6180">
              <w:rPr>
                <w:rFonts w:ascii="Verdana" w:hAnsi="Verdana" w:cs="Segoe UI"/>
                <w:bCs/>
                <w:color w:val="242424"/>
                <w:shd w:val="clear" w:color="auto" w:fill="FFFFFF"/>
                <w:lang w:val="es-ES"/>
              </w:rPr>
              <w:t xml:space="preserve"> </w:t>
            </w:r>
            <w:r w:rsidR="00C66967" w:rsidRPr="000D6180">
              <w:rPr>
                <w:rFonts w:ascii="Verdana" w:eastAsia="Calibri" w:hAnsi="Verdana" w:cs="Arial"/>
                <w:bCs/>
                <w:color w:val="000000" w:themeColor="text1"/>
                <w:lang w:val="es-ES" w:eastAsia="es-ES"/>
              </w:rPr>
              <w:t>1</w:t>
            </w:r>
            <w:r w:rsidRPr="000D6180">
              <w:rPr>
                <w:rFonts w:ascii="Verdana" w:eastAsia="Calibri" w:hAnsi="Verdana" w:cs="Arial"/>
                <w:bCs/>
                <w:color w:val="000000" w:themeColor="text1"/>
                <w:lang w:val="es-ES" w:eastAsia="es-ES"/>
              </w:rPr>
              <w:t>_2026_08_05_010382</w:t>
            </w:r>
          </w:p>
        </w:tc>
      </w:tr>
    </w:tbl>
    <w:p w14:paraId="13100D3D" w14:textId="77777777" w:rsidR="0071640F" w:rsidRPr="000D6180" w:rsidRDefault="0071640F" w:rsidP="0071640F">
      <w:pPr>
        <w:spacing w:after="0" w:line="276" w:lineRule="auto"/>
        <w:jc w:val="both"/>
        <w:rPr>
          <w:rFonts w:ascii="Verdana" w:eastAsia="Calibri" w:hAnsi="Verdana" w:cs="Arial"/>
          <w:color w:val="000000" w:themeColor="text1"/>
          <w:lang w:val="es-ES" w:eastAsia="es-ES"/>
        </w:rPr>
      </w:pPr>
    </w:p>
    <w:p w14:paraId="69D88CE3" w14:textId="263C9857" w:rsidR="0071640F" w:rsidRPr="000D6180" w:rsidRDefault="0071640F" w:rsidP="0071640F">
      <w:pPr>
        <w:spacing w:after="0" w:line="276" w:lineRule="auto"/>
        <w:jc w:val="both"/>
        <w:rPr>
          <w:rFonts w:ascii="Verdana" w:eastAsia="Calibri" w:hAnsi="Verdana" w:cs="Arial"/>
          <w:color w:val="000000" w:themeColor="text1"/>
          <w:lang w:val="es-ES" w:eastAsia="es-ES"/>
        </w:rPr>
      </w:pPr>
      <w:r w:rsidRPr="000D6180">
        <w:rPr>
          <w:rFonts w:ascii="Verdana" w:eastAsia="Calibri" w:hAnsi="Verdana" w:cs="Arial"/>
          <w:color w:val="000000" w:themeColor="text1"/>
          <w:lang w:val="es-ES" w:eastAsia="es-ES"/>
        </w:rPr>
        <w:t xml:space="preserve">Estimado señor </w:t>
      </w:r>
      <w:r w:rsidR="00A7556E">
        <w:rPr>
          <w:rFonts w:ascii="Verdana" w:eastAsia="Calibri" w:hAnsi="Verdana" w:cs="Arial"/>
          <w:color w:val="000000" w:themeColor="text1"/>
          <w:lang w:val="es-ES" w:eastAsia="es-ES"/>
        </w:rPr>
        <w:t>Sánchez</w:t>
      </w:r>
      <w:r w:rsidRPr="000D6180">
        <w:rPr>
          <w:rFonts w:ascii="Verdana" w:eastAsia="Calibri" w:hAnsi="Verdana" w:cs="Arial"/>
          <w:color w:val="000000" w:themeColor="text1"/>
          <w:lang w:val="es-ES" w:eastAsia="es-ES"/>
        </w:rPr>
        <w:t xml:space="preserve">: </w:t>
      </w:r>
    </w:p>
    <w:p w14:paraId="33A1D55B" w14:textId="77777777" w:rsidR="0071640F" w:rsidRPr="000D6180" w:rsidRDefault="0071640F" w:rsidP="0071640F">
      <w:pPr>
        <w:tabs>
          <w:tab w:val="left" w:pos="3768"/>
        </w:tabs>
        <w:spacing w:after="0" w:line="276" w:lineRule="auto"/>
        <w:jc w:val="both"/>
        <w:rPr>
          <w:rFonts w:ascii="Verdana" w:eastAsia="Calibri" w:hAnsi="Verdana" w:cs="Arial"/>
          <w:color w:val="000000" w:themeColor="text1"/>
          <w:lang w:val="es-ES" w:eastAsia="es-ES"/>
        </w:rPr>
      </w:pPr>
      <w:r w:rsidRPr="000D6180">
        <w:rPr>
          <w:rFonts w:ascii="Verdana" w:eastAsia="Calibri" w:hAnsi="Verdana" w:cs="Arial"/>
          <w:color w:val="000000" w:themeColor="text1"/>
          <w:lang w:val="es-ES" w:eastAsia="es-ES"/>
        </w:rPr>
        <w:tab/>
      </w:r>
    </w:p>
    <w:p w14:paraId="6282C552" w14:textId="77777777" w:rsidR="0071640F" w:rsidRPr="000D6180" w:rsidRDefault="0071640F" w:rsidP="0071640F">
      <w:pPr>
        <w:spacing w:after="0" w:line="276" w:lineRule="auto"/>
        <w:jc w:val="both"/>
        <w:rPr>
          <w:rFonts w:ascii="Verdana" w:eastAsia="Calibri" w:hAnsi="Verdana" w:cs="Arial"/>
          <w:color w:val="000000" w:themeColor="text1"/>
          <w:lang w:val="es-ES" w:eastAsia="es-ES"/>
        </w:rPr>
      </w:pPr>
      <w:r w:rsidRPr="000D6180">
        <w:rPr>
          <w:rFonts w:ascii="Verdana" w:eastAsia="Calibri" w:hAnsi="Verdana" w:cs="Arial"/>
          <w:color w:val="000000" w:themeColor="text1"/>
          <w:lang w:val="es-ES" w:eastAsia="es-ES"/>
        </w:rPr>
        <w:t>En ejercicio de la competencia otorgada por los artículos 3, numeral 5º, y 11, numeral 8º, del Decreto Ley 4170 de 2011,</w:t>
      </w:r>
      <w:r w:rsidRPr="000D6180">
        <w:rPr>
          <w:rFonts w:ascii="Verdana" w:eastAsia="Arial MT" w:hAnsi="Verdana" w:cs="Arial MT"/>
          <w:color w:val="000000" w:themeColor="text1"/>
          <w:lang w:val="es-ES" w:eastAsia="es-ES"/>
        </w:rPr>
        <w:t xml:space="preserve"> </w:t>
      </w:r>
      <w:r w:rsidRPr="000D6180">
        <w:rPr>
          <w:rFonts w:ascii="Verdana" w:hAnsi="Verdana" w:cs="Arial"/>
          <w:color w:val="000000" w:themeColor="text1"/>
          <w:lang w:val="es-ES"/>
        </w:rPr>
        <w:t xml:space="preserve">así como lo establecido en el artículo 4 de la Resolución 1707 de 2018 expedida por esta Entidad, </w:t>
      </w:r>
      <w:r w:rsidRPr="000D6180">
        <w:rPr>
          <w:rFonts w:ascii="Verdana" w:eastAsia="Calibri" w:hAnsi="Verdana" w:cs="Arial"/>
          <w:color w:val="000000" w:themeColor="text1"/>
          <w:lang w:val="es-ES" w:eastAsia="es-ES"/>
        </w:rPr>
        <w:t xml:space="preserve">la Agencia Nacional de Contratación Pública – Colombia Compra Eficiente– responde su solicitud de consulta del 05 de agosto de 2026, en la cual manifiesta lo siguiente: </w:t>
      </w:r>
    </w:p>
    <w:p w14:paraId="4DD8BCA5" w14:textId="77777777" w:rsidR="0071640F" w:rsidRPr="000D6180" w:rsidRDefault="0071640F" w:rsidP="0071640F">
      <w:pPr>
        <w:tabs>
          <w:tab w:val="left" w:pos="142"/>
          <w:tab w:val="left" w:pos="284"/>
        </w:tabs>
        <w:spacing w:after="0" w:line="276" w:lineRule="auto"/>
        <w:contextualSpacing/>
        <w:jc w:val="both"/>
        <w:rPr>
          <w:rFonts w:ascii="Verdana" w:eastAsia="Century Gothic" w:hAnsi="Verdana" w:cs="Century Gothic"/>
          <w:b/>
          <w:color w:val="000000" w:themeColor="text1"/>
          <w:lang w:val="es-ES"/>
        </w:rPr>
      </w:pPr>
    </w:p>
    <w:p w14:paraId="0EC9E853" w14:textId="77777777" w:rsidR="0071640F" w:rsidRPr="000D6180" w:rsidRDefault="0071640F" w:rsidP="0071640F">
      <w:pPr>
        <w:ind w:left="709" w:right="709"/>
        <w:jc w:val="both"/>
        <w:rPr>
          <w:rFonts w:ascii="Verdana" w:eastAsia="Calibri" w:hAnsi="Verdana" w:cs="Arial"/>
          <w:i/>
          <w:iCs/>
          <w:sz w:val="20"/>
          <w:szCs w:val="20"/>
          <w:lang w:val="es-ES"/>
        </w:rPr>
      </w:pPr>
      <w:r w:rsidRPr="000D6180">
        <w:rPr>
          <w:rFonts w:ascii="Verdana" w:eastAsia="Calibri" w:hAnsi="Verdana" w:cs="Arial"/>
          <w:i/>
          <w:iCs/>
          <w:sz w:val="20"/>
          <w:szCs w:val="20"/>
          <w:lang w:val="es-ES"/>
        </w:rPr>
        <w:t xml:space="preserve">“[…]La consulta surge en atención a que la Cláusula Séptima - Plazo de Ejecución del citado contrato establece: </w:t>
      </w:r>
    </w:p>
    <w:p w14:paraId="72E27E95" w14:textId="77777777" w:rsidR="0071640F" w:rsidRPr="00E57DC7" w:rsidRDefault="0071640F" w:rsidP="0071640F">
      <w:pPr>
        <w:ind w:left="709" w:right="709"/>
        <w:jc w:val="both"/>
        <w:rPr>
          <w:rFonts w:ascii="Verdana" w:eastAsia="Calibri" w:hAnsi="Verdana" w:cs="Arial"/>
          <w:i/>
          <w:iCs/>
          <w:sz w:val="20"/>
          <w:szCs w:val="20"/>
          <w:lang w:val="es-ES"/>
        </w:rPr>
      </w:pPr>
      <w:r w:rsidRPr="00E57DC7">
        <w:rPr>
          <w:rFonts w:ascii="Verdana" w:eastAsia="Calibri" w:hAnsi="Verdana" w:cs="Arial"/>
          <w:i/>
          <w:iCs/>
          <w:sz w:val="20"/>
          <w:szCs w:val="20"/>
          <w:lang w:val="es-ES"/>
        </w:rPr>
        <w:t xml:space="preserve">"CLÁUSULA SÉPTIMA. -PLAZO DE EJECUCIÓN: El plazo de ejecución del contrato de corretaje será hasta el 31 DE JULIO DE 2026, y en todo caso hasta la vigencia de las pólizas contratadas con la asesoría e intermediación del corredor de seguros, e iniciará previa aprobación de las garantías y la suscripción del acta de inicio." (Subraya propia) </w:t>
      </w:r>
    </w:p>
    <w:p w14:paraId="761F1070" w14:textId="77777777" w:rsidR="0071640F" w:rsidRPr="000D6180" w:rsidRDefault="0071640F" w:rsidP="0071640F">
      <w:pPr>
        <w:ind w:left="709" w:right="709"/>
        <w:jc w:val="both"/>
        <w:rPr>
          <w:rFonts w:ascii="Verdana" w:eastAsia="Calibri" w:hAnsi="Verdana" w:cs="Arial"/>
          <w:i/>
          <w:iCs/>
          <w:sz w:val="20"/>
          <w:szCs w:val="20"/>
          <w:lang w:val="es-ES"/>
        </w:rPr>
      </w:pPr>
      <w:r w:rsidRPr="000D6180">
        <w:rPr>
          <w:rFonts w:ascii="Verdana" w:eastAsia="Calibri" w:hAnsi="Verdana" w:cs="Arial"/>
          <w:i/>
          <w:iCs/>
          <w:sz w:val="20"/>
          <w:szCs w:val="20"/>
          <w:lang w:val="es-ES"/>
        </w:rPr>
        <w:t>[…]</w:t>
      </w:r>
    </w:p>
    <w:p w14:paraId="20C691B3" w14:textId="77777777" w:rsidR="0071640F" w:rsidRPr="00E57DC7" w:rsidRDefault="0071640F" w:rsidP="0071640F">
      <w:pPr>
        <w:ind w:left="709" w:right="709"/>
        <w:jc w:val="both"/>
        <w:rPr>
          <w:rFonts w:ascii="Verdana" w:eastAsia="Calibri" w:hAnsi="Verdana" w:cs="Arial"/>
          <w:i/>
          <w:iCs/>
          <w:sz w:val="20"/>
          <w:szCs w:val="20"/>
          <w:lang w:val="es-ES"/>
        </w:rPr>
      </w:pPr>
      <w:r w:rsidRPr="00E57DC7">
        <w:rPr>
          <w:rFonts w:ascii="Verdana" w:eastAsia="Calibri" w:hAnsi="Verdana" w:cs="Arial"/>
          <w:i/>
          <w:iCs/>
          <w:sz w:val="20"/>
          <w:szCs w:val="20"/>
          <w:lang w:val="es-ES"/>
        </w:rPr>
        <w:lastRenderedPageBreak/>
        <w:t xml:space="preserve">En ese contexto, para la Entidad es necesario contar con los elementos suficientes para decidir respecto a la interpretación del alcance de la cláusula transcrita, específicamente frente a la expresión “y en todo caso hasta la vigencia de las pólizas contratadas con la asesoría e intermediación del corredor de seguros”, particularmente en relación con la duración efectiva de las obligaciones del intermediario de seguros y la posibilidad de adelantar un nuevo proceso de selección para contratar un corredor de seguros que atienda las necesidades futuras de la Entidad. </w:t>
      </w:r>
    </w:p>
    <w:p w14:paraId="7CD040FD" w14:textId="77777777" w:rsidR="0071640F" w:rsidRPr="00E57DC7" w:rsidRDefault="0071640F" w:rsidP="0071640F">
      <w:pPr>
        <w:ind w:left="709" w:right="709"/>
        <w:jc w:val="both"/>
        <w:rPr>
          <w:rFonts w:ascii="Verdana" w:eastAsia="Calibri" w:hAnsi="Verdana" w:cs="Arial"/>
          <w:i/>
          <w:iCs/>
          <w:sz w:val="20"/>
          <w:szCs w:val="20"/>
          <w:lang w:val="es-ES"/>
        </w:rPr>
      </w:pPr>
      <w:r w:rsidRPr="00E57DC7">
        <w:rPr>
          <w:rFonts w:ascii="Verdana" w:eastAsia="Calibri" w:hAnsi="Verdana" w:cs="Arial"/>
          <w:i/>
          <w:iCs/>
          <w:sz w:val="20"/>
          <w:szCs w:val="20"/>
          <w:lang w:val="es-ES"/>
        </w:rPr>
        <w:t xml:space="preserve">Como es de su conocimiento, la actividad de intermediación de seguros comprende no solo la estructuración y colocación de las pólizas, sino también la asesoría permanente, incluyendo el seguimiento a las coberturas contratadas, la atención de reclamaciones y siniestros, el acompañamiento ante las aseguradoras, la gestión de modificaciones contractuales y el apoyo técnico requerido para la adecuada protección de los bienes e intereses patrimoniales de la Entidad. </w:t>
      </w:r>
    </w:p>
    <w:p w14:paraId="5C5A1641" w14:textId="77777777" w:rsidR="0071640F" w:rsidRPr="00E57DC7" w:rsidRDefault="0071640F" w:rsidP="0071640F">
      <w:pPr>
        <w:ind w:left="709" w:right="709"/>
        <w:jc w:val="both"/>
        <w:rPr>
          <w:rFonts w:ascii="Verdana" w:eastAsia="Calibri" w:hAnsi="Verdana" w:cs="Arial"/>
          <w:i/>
          <w:iCs/>
          <w:sz w:val="20"/>
          <w:szCs w:val="20"/>
          <w:lang w:val="es-ES"/>
        </w:rPr>
      </w:pPr>
      <w:r w:rsidRPr="00E57DC7">
        <w:rPr>
          <w:rFonts w:ascii="Verdana" w:eastAsia="Calibri" w:hAnsi="Verdana" w:cs="Arial"/>
          <w:i/>
          <w:iCs/>
          <w:sz w:val="20"/>
          <w:szCs w:val="20"/>
          <w:lang w:val="es-ES"/>
        </w:rPr>
        <w:t xml:space="preserve">Por lo anterior, respetuosamente solicito allegar concepto respecto de los siguientes aspectos: </w:t>
      </w:r>
    </w:p>
    <w:p w14:paraId="0714AEA2" w14:textId="77777777" w:rsidR="0071640F" w:rsidRPr="00E57DC7" w:rsidRDefault="0071640F" w:rsidP="0071640F">
      <w:pPr>
        <w:numPr>
          <w:ilvl w:val="0"/>
          <w:numId w:val="19"/>
        </w:numPr>
        <w:ind w:right="709"/>
        <w:jc w:val="both"/>
        <w:rPr>
          <w:rFonts w:ascii="Verdana" w:eastAsia="Calibri" w:hAnsi="Verdana" w:cs="Arial"/>
          <w:i/>
          <w:iCs/>
          <w:sz w:val="20"/>
          <w:szCs w:val="20"/>
          <w:lang w:val="es-ES"/>
        </w:rPr>
      </w:pPr>
      <w:r w:rsidRPr="00E57DC7">
        <w:rPr>
          <w:rFonts w:ascii="Verdana" w:eastAsia="Calibri" w:hAnsi="Verdana" w:cs="Arial"/>
          <w:i/>
          <w:iCs/>
          <w:sz w:val="20"/>
          <w:szCs w:val="20"/>
          <w:lang w:val="es-ES"/>
        </w:rPr>
        <w:t xml:space="preserve">¿Cómo debe interpretarse, la expresión contenida en la cláusula séptima según la cual el plazo de ejecución se extiende "en todo caso hasta la vigencia de las pólizas contratadas con la asesoría e intermediación del corredor de seguros"? </w:t>
      </w:r>
    </w:p>
    <w:p w14:paraId="3F7C295C" w14:textId="77777777" w:rsidR="0071640F" w:rsidRPr="000D6180" w:rsidRDefault="0071640F" w:rsidP="0071640F">
      <w:pPr>
        <w:numPr>
          <w:ilvl w:val="0"/>
          <w:numId w:val="19"/>
        </w:numPr>
        <w:ind w:right="709"/>
        <w:jc w:val="both"/>
        <w:rPr>
          <w:rFonts w:ascii="Verdana" w:eastAsia="Calibri" w:hAnsi="Verdana" w:cs="Arial"/>
          <w:i/>
          <w:iCs/>
          <w:sz w:val="20"/>
          <w:szCs w:val="20"/>
          <w:lang w:val="es-ES"/>
        </w:rPr>
      </w:pPr>
      <w:r w:rsidRPr="00E57DC7">
        <w:rPr>
          <w:rFonts w:ascii="Verdana" w:eastAsia="Calibri" w:hAnsi="Verdana" w:cs="Arial"/>
          <w:i/>
          <w:iCs/>
          <w:sz w:val="20"/>
          <w:szCs w:val="20"/>
          <w:lang w:val="es-ES"/>
        </w:rPr>
        <w:t xml:space="preserve">¿Dicha estipulación puede entenderse como una extensión automática del plazo de ejecución contractual hasta el vencimiento de las pólizas intermediadas por el corredor, o debe interpretarse únicamente como la subsistencia de determinadas obligaciones asociadas a tales pólizas, sin que ello implique la continuidad integral del contrato? </w:t>
      </w:r>
    </w:p>
    <w:p w14:paraId="194B8438" w14:textId="77777777" w:rsidR="0071640F" w:rsidRPr="000D6180" w:rsidRDefault="0071640F" w:rsidP="0071640F">
      <w:pPr>
        <w:numPr>
          <w:ilvl w:val="0"/>
          <w:numId w:val="19"/>
        </w:numPr>
        <w:ind w:right="709"/>
        <w:jc w:val="both"/>
        <w:rPr>
          <w:rFonts w:ascii="Verdana" w:eastAsia="Calibri" w:hAnsi="Verdana" w:cs="Arial"/>
          <w:i/>
          <w:iCs/>
          <w:sz w:val="20"/>
          <w:szCs w:val="20"/>
          <w:lang w:val="es-ES"/>
        </w:rPr>
      </w:pPr>
      <w:r w:rsidRPr="000D6180">
        <w:rPr>
          <w:rFonts w:ascii="Verdana" w:hAnsi="Verdana"/>
          <w:i/>
          <w:iCs/>
          <w:sz w:val="20"/>
          <w:szCs w:val="20"/>
          <w:lang w:val="es-ES"/>
        </w:rPr>
        <w:t xml:space="preserve">En el escenario descrito, ¿resulta jurídicamente viable que la Entidad considere finalizado el plazo de ejecución contractual al 31 de julio de 2026 y adelante un nuevo proceso de selección para contratar servicios de intermediación de seguros? </w:t>
      </w:r>
    </w:p>
    <w:p w14:paraId="011C0B00" w14:textId="77777777" w:rsidR="0071640F" w:rsidRPr="000D6180" w:rsidRDefault="0071640F" w:rsidP="0071640F">
      <w:pPr>
        <w:numPr>
          <w:ilvl w:val="0"/>
          <w:numId w:val="19"/>
        </w:numPr>
        <w:ind w:right="709"/>
        <w:jc w:val="both"/>
        <w:rPr>
          <w:rFonts w:ascii="Verdana" w:eastAsia="Calibri" w:hAnsi="Verdana" w:cs="Arial"/>
          <w:i/>
          <w:iCs/>
          <w:sz w:val="20"/>
          <w:szCs w:val="20"/>
          <w:lang w:val="es-ES"/>
        </w:rPr>
      </w:pPr>
      <w:r w:rsidRPr="000D6180">
        <w:rPr>
          <w:rFonts w:ascii="Verdana" w:hAnsi="Verdana"/>
          <w:i/>
          <w:iCs/>
          <w:sz w:val="20"/>
          <w:szCs w:val="20"/>
          <w:lang w:val="es-ES"/>
        </w:rPr>
        <w:t>En caso de adelantarse un nuevo proceso de selección, ¿existiría algún impedimento para que el nuevo intermediario preste asesoría respecto de futuras contrataciones de seguros, mientras que el corredor anterior continúe atendiendo actuaciones relacionadas con pólizas cuya contratación hubiese intermediado, de considerarse procedente tal interpretación?</w:t>
      </w:r>
      <w:r w:rsidRPr="000D6180">
        <w:rPr>
          <w:rFonts w:ascii="Verdana" w:eastAsia="Calibri" w:hAnsi="Verdana" w:cs="Arial"/>
          <w:i/>
          <w:iCs/>
          <w:sz w:val="20"/>
          <w:szCs w:val="20"/>
          <w:lang w:val="es-ES"/>
        </w:rPr>
        <w:t>”.</w:t>
      </w:r>
    </w:p>
    <w:p w14:paraId="2BDEAA63" w14:textId="77777777" w:rsidR="0071640F" w:rsidRPr="000D6180" w:rsidRDefault="0071640F" w:rsidP="0071640F">
      <w:pPr>
        <w:spacing w:after="0" w:line="276" w:lineRule="auto"/>
        <w:ind w:right="709"/>
        <w:jc w:val="both"/>
        <w:rPr>
          <w:rFonts w:ascii="Verdana" w:eastAsia="Calibri" w:hAnsi="Verdana" w:cs="Arial"/>
          <w:lang w:val="es-ES"/>
        </w:rPr>
      </w:pPr>
    </w:p>
    <w:p w14:paraId="183B51F7" w14:textId="77777777" w:rsidR="0071640F" w:rsidRPr="000D6180" w:rsidRDefault="0071640F" w:rsidP="0071640F">
      <w:pPr>
        <w:spacing w:after="120" w:line="276" w:lineRule="auto"/>
        <w:ind w:firstLine="708"/>
        <w:jc w:val="both"/>
        <w:rPr>
          <w:rFonts w:ascii="Verdana" w:eastAsia="Calibri" w:hAnsi="Verdana" w:cs="Arial"/>
          <w:color w:val="000000" w:themeColor="text1"/>
          <w:lang w:val="es-ES" w:eastAsia="es-ES"/>
        </w:rPr>
      </w:pPr>
      <w:r w:rsidRPr="000D6180">
        <w:rPr>
          <w:rFonts w:ascii="Verdana" w:eastAsia="Calibri" w:hAnsi="Verdana" w:cs="Arial"/>
          <w:color w:val="000000" w:themeColor="text1"/>
          <w:lang w:val="es-ES" w:eastAsia="es-ES"/>
        </w:rPr>
        <w:lastRenderedPageBreak/>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0D6180">
        <w:rPr>
          <w:rFonts w:ascii="Verdana" w:hAnsi="Verdana"/>
          <w:lang w:val="es-ES"/>
        </w:rPr>
        <w:tab/>
      </w:r>
    </w:p>
    <w:p w14:paraId="36C41FF9" w14:textId="77777777" w:rsidR="0071640F" w:rsidRPr="000D6180" w:rsidRDefault="0071640F" w:rsidP="0071640F">
      <w:pPr>
        <w:spacing w:after="0" w:line="276" w:lineRule="auto"/>
        <w:ind w:firstLine="709"/>
        <w:jc w:val="both"/>
        <w:rPr>
          <w:rFonts w:ascii="Verdana" w:eastAsia="Calibri" w:hAnsi="Verdana" w:cs="Arial"/>
          <w:color w:val="000000" w:themeColor="text1"/>
          <w:lang w:val="es-ES" w:eastAsia="es-ES"/>
        </w:rPr>
      </w:pPr>
      <w:r w:rsidRPr="000D6180">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1D0B6E3C" w14:textId="77777777" w:rsidR="0071640F" w:rsidRPr="000D6180" w:rsidRDefault="0071640F" w:rsidP="0071640F">
      <w:pPr>
        <w:spacing w:after="0" w:line="276" w:lineRule="auto"/>
        <w:jc w:val="both"/>
        <w:rPr>
          <w:rFonts w:ascii="Verdana" w:eastAsia="Calibri" w:hAnsi="Verdana" w:cs="Arial"/>
          <w:color w:val="000000" w:themeColor="text1"/>
          <w:lang w:val="es-ES" w:eastAsia="es-ES"/>
        </w:rPr>
      </w:pPr>
    </w:p>
    <w:p w14:paraId="5A90BCA0" w14:textId="77777777" w:rsidR="0071640F" w:rsidRPr="000D6180" w:rsidRDefault="0071640F" w:rsidP="0071640F">
      <w:pPr>
        <w:pStyle w:val="Prrafodelista"/>
        <w:numPr>
          <w:ilvl w:val="0"/>
          <w:numId w:val="18"/>
        </w:numPr>
        <w:tabs>
          <w:tab w:val="left" w:pos="142"/>
          <w:tab w:val="left" w:pos="284"/>
        </w:tabs>
        <w:spacing w:after="0" w:line="276" w:lineRule="auto"/>
        <w:jc w:val="both"/>
        <w:rPr>
          <w:rFonts w:ascii="Verdana" w:eastAsia="Century Gothic" w:hAnsi="Verdana" w:cs="Century Gothic"/>
          <w:b/>
          <w:color w:val="000000" w:themeColor="text1"/>
        </w:rPr>
      </w:pPr>
      <w:r w:rsidRPr="000D6180">
        <w:rPr>
          <w:rFonts w:ascii="Verdana" w:eastAsia="Century Gothic" w:hAnsi="Verdana" w:cs="Century Gothic"/>
          <w:b/>
          <w:bCs/>
          <w:color w:val="000000" w:themeColor="text1"/>
        </w:rPr>
        <w:t>Problema planteado:</w:t>
      </w:r>
    </w:p>
    <w:p w14:paraId="7DA1353D" w14:textId="77777777" w:rsidR="0071640F" w:rsidRPr="000D6180" w:rsidRDefault="0071640F" w:rsidP="0071640F">
      <w:pPr>
        <w:tabs>
          <w:tab w:val="left" w:pos="426"/>
        </w:tabs>
        <w:spacing w:after="0" w:line="276" w:lineRule="auto"/>
        <w:jc w:val="both"/>
        <w:rPr>
          <w:rFonts w:ascii="Verdana" w:eastAsia="Century Gothic" w:hAnsi="Verdana" w:cs="Century Gothic"/>
          <w:color w:val="000000" w:themeColor="text1"/>
          <w:lang w:val="es-ES"/>
        </w:rPr>
      </w:pPr>
    </w:p>
    <w:p w14:paraId="2C8473AD" w14:textId="5F5A2236" w:rsidR="0071640F" w:rsidRPr="000D6180" w:rsidRDefault="0071640F" w:rsidP="0071640F">
      <w:pPr>
        <w:spacing w:after="140" w:line="276" w:lineRule="auto"/>
        <w:jc w:val="both"/>
        <w:rPr>
          <w:rFonts w:ascii="Verdana" w:eastAsia="Century Gothic" w:hAnsi="Verdana" w:cs="Century Gothic"/>
          <w:color w:val="000000" w:themeColor="text1"/>
          <w:lang w:val="es-ES"/>
        </w:rPr>
      </w:pPr>
      <w:r w:rsidRPr="000D6180">
        <w:rPr>
          <w:rFonts w:ascii="Verdana" w:eastAsia="Century Gothic" w:hAnsi="Verdana" w:cs="Century Gothic"/>
          <w:color w:val="000000" w:themeColor="text1"/>
          <w:lang w:val="es-ES"/>
        </w:rPr>
        <w:t>De acuerdo con el contenido de su solicitud, esta Agencia resolverá los siguientes problemas jurídicos: i</w:t>
      </w:r>
      <w:r w:rsidRPr="000D6180">
        <w:rPr>
          <w:rFonts w:ascii="Verdana" w:eastAsia="Arial" w:hAnsi="Verdana" w:cs="Arial"/>
          <w:lang w:val="es-ES"/>
        </w:rPr>
        <w:t>) ¿Cuáles son las reglas aplicables a la interpretación de los contratos estatales?; ii) ¿Cuál es la naturaleza jurídica del contrato de corretaje o intermediación de seguros, su régimen normativo y las obligaciones que de él se derivan?; iii) ¿Qué distinción existe entre el plazo de ejecución y la vigencia del contrato, y qué efectos produce el vencimiento del plazo suspensivo sobre la subsistencia y exigibilidad de las obligaciones de tracto sucesivo propias del corretaje?; y iv) ¿puede una cláusula que fija el plazo "hasta la vigencia de las pólizas" entenderse como extensión automática del contrato, o debe interpretarse como subsistencia de obligaciones ejecutables durante la vigencia contractual?</w:t>
      </w:r>
    </w:p>
    <w:p w14:paraId="705679E7" w14:textId="77777777" w:rsidR="0071640F" w:rsidRPr="000D6180" w:rsidRDefault="0071640F" w:rsidP="0071640F">
      <w:pPr>
        <w:pStyle w:val="Prrafodelista"/>
        <w:numPr>
          <w:ilvl w:val="0"/>
          <w:numId w:val="17"/>
        </w:numPr>
        <w:tabs>
          <w:tab w:val="left" w:pos="142"/>
          <w:tab w:val="left" w:pos="284"/>
        </w:tabs>
        <w:spacing w:after="0" w:line="276" w:lineRule="auto"/>
        <w:ind w:left="709"/>
        <w:jc w:val="both"/>
        <w:rPr>
          <w:rFonts w:ascii="Verdana" w:eastAsia="Century Gothic" w:hAnsi="Verdana" w:cs="Century Gothic"/>
          <w:b/>
          <w:color w:val="000000" w:themeColor="text1"/>
        </w:rPr>
      </w:pPr>
      <w:r w:rsidRPr="000D6180">
        <w:rPr>
          <w:rFonts w:ascii="Verdana" w:eastAsia="Century Gothic" w:hAnsi="Verdana" w:cs="Century Gothic"/>
          <w:b/>
          <w:bCs/>
          <w:color w:val="000000" w:themeColor="text1"/>
        </w:rPr>
        <w:t>Respuesta:</w:t>
      </w:r>
    </w:p>
    <w:p w14:paraId="408F8CC0" w14:textId="77777777" w:rsidR="0071640F" w:rsidRPr="000D6180" w:rsidRDefault="0071640F" w:rsidP="0071640F">
      <w:pPr>
        <w:spacing w:after="0" w:line="276" w:lineRule="auto"/>
        <w:jc w:val="both"/>
        <w:rPr>
          <w:rFonts w:ascii="Verdana" w:eastAsia="Calibri" w:hAnsi="Verdana" w:cs="Arial"/>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71640F" w:rsidRPr="000D6180" w14:paraId="0B605465" w14:textId="77777777" w:rsidTr="00163730">
        <w:trPr>
          <w:trHeight w:val="300"/>
        </w:trPr>
        <w:tc>
          <w:tcPr>
            <w:tcW w:w="8828" w:type="dxa"/>
          </w:tcPr>
          <w:p w14:paraId="5E178913" w14:textId="77777777" w:rsidR="0071640F" w:rsidRPr="000D6180" w:rsidRDefault="0071640F" w:rsidP="00163730">
            <w:pPr>
              <w:spacing w:before="120" w:after="120" w:line="276" w:lineRule="auto"/>
              <w:jc w:val="both"/>
              <w:rPr>
                <w:rFonts w:ascii="Verdana" w:hAnsi="Verdana" w:cs="Arial"/>
                <w:color w:val="000000" w:themeColor="text1"/>
                <w:lang w:val="es-ES"/>
              </w:rPr>
            </w:pPr>
            <w:r w:rsidRPr="000D6180">
              <w:rPr>
                <w:rFonts w:ascii="Verdana" w:hAnsi="Verdana" w:cs="Arial"/>
                <w:color w:val="000000" w:themeColor="text1"/>
                <w:lang w:val="es-ES"/>
              </w:rPr>
              <w:lastRenderedPageBreak/>
              <w:t>i.</w:t>
            </w:r>
            <w:r w:rsidRPr="000D6180">
              <w:rPr>
                <w:rFonts w:ascii="Times New Roman" w:eastAsia="Times New Roman" w:hAnsi="Times New Roman" w:cs="Times New Roman"/>
                <w:sz w:val="24"/>
                <w:szCs w:val="24"/>
                <w:lang w:val="es-ES"/>
              </w:rPr>
              <w:t xml:space="preserve"> </w:t>
            </w:r>
            <w:r w:rsidRPr="000D6180">
              <w:rPr>
                <w:rFonts w:ascii="Verdana" w:hAnsi="Verdana" w:cs="Arial"/>
                <w:color w:val="000000" w:themeColor="text1"/>
                <w:lang w:val="es-ES"/>
              </w:rPr>
              <w:t xml:space="preserve">El Estatuto General de la Contratación de la Administración Pública no establece reglas especiales para la interpretación de los contratos estatales. Por remisión de los artículos 13, 32 y 40 de la Ley 80 de 1993, las Entidades Estatales deberán interpretar los contratos que suscriban según las reglas establecidas en los artículos 1618 a 1624 del Código Civil, atendiendo además el artículo 28 de la Ley 80. </w:t>
            </w:r>
          </w:p>
          <w:p w14:paraId="47F28A40" w14:textId="77777777" w:rsidR="0071640F" w:rsidRPr="000D6180" w:rsidRDefault="0071640F" w:rsidP="00163730">
            <w:pPr>
              <w:spacing w:before="120" w:after="120" w:line="276" w:lineRule="auto"/>
              <w:ind w:firstLine="743"/>
              <w:jc w:val="both"/>
              <w:rPr>
                <w:rFonts w:ascii="Verdana" w:hAnsi="Verdana" w:cs="Arial"/>
                <w:color w:val="000000" w:themeColor="text1"/>
                <w:lang w:val="es-ES"/>
              </w:rPr>
            </w:pPr>
            <w:r w:rsidRPr="000D6180">
              <w:rPr>
                <w:rFonts w:ascii="Verdana" w:hAnsi="Verdana" w:cs="Arial"/>
                <w:color w:val="000000" w:themeColor="text1"/>
                <w:lang w:val="es-ES"/>
              </w:rPr>
              <w:t>Estas reglas comprenden criterios objetivos, que privilegian la voluntad externa o declarada de las partes, y criterios subjetivos, dirigidos a encontrar la verdadera intención de los contratantes. Al respecto, el Consejo de Estado ha resaltado que el criterio subjetivo prima sobre el objetivo, de modo que un adecuado ejercicio hermenéutico debe empezar siempre por determinar cuál era la verdadera intención de las partes (</w:t>
            </w:r>
            <w:r w:rsidRPr="000D6180">
              <w:rPr>
                <w:rFonts w:ascii="Verdana" w:hAnsi="Verdana" w:cs="Arial"/>
                <w:i/>
                <w:iCs/>
                <w:color w:val="000000" w:themeColor="text1"/>
                <w:lang w:val="es-ES"/>
              </w:rPr>
              <w:t>communis intentio</w:t>
            </w:r>
            <w:r w:rsidRPr="000D6180">
              <w:rPr>
                <w:rFonts w:ascii="Verdana" w:hAnsi="Verdana" w:cs="Arial"/>
                <w:color w:val="000000" w:themeColor="text1"/>
                <w:lang w:val="es-ES"/>
              </w:rPr>
              <w:t>) a la que alude el artículo 1618 del Código Civil, y solo en caso de que esa labor resulte infructuosa aplicarán subsidiariamente las pautas objetivas de interpretación previstas en los artículos 1619, 1620, 1621, 1623 y 1624. A ello se suma el principio constitucional de prevalencia del derecho sustancial sobre las formas al cual se refiere el artículo 228 de la Constitución Política.</w:t>
            </w:r>
          </w:p>
          <w:p w14:paraId="3EAE85C1" w14:textId="77777777" w:rsidR="0071640F" w:rsidRPr="000D6180" w:rsidRDefault="0071640F" w:rsidP="00163730">
            <w:pPr>
              <w:spacing w:before="120" w:after="120" w:line="276" w:lineRule="auto"/>
              <w:ind w:firstLine="743"/>
              <w:jc w:val="both"/>
              <w:rPr>
                <w:rFonts w:ascii="Verdana" w:hAnsi="Verdana" w:cs="Arial"/>
                <w:color w:val="000000" w:themeColor="text1"/>
                <w:lang w:val="es-ES"/>
              </w:rPr>
            </w:pPr>
            <w:r w:rsidRPr="000D6180">
              <w:rPr>
                <w:rFonts w:ascii="Verdana" w:hAnsi="Verdana" w:cs="Arial"/>
                <w:color w:val="000000" w:themeColor="text1"/>
                <w:lang w:val="es-ES"/>
              </w:rPr>
              <w:t>La aplicación de estas reglas deberá tener en cuenta las circunstancias concretas de cada caso, de manera que la entidad pueda optar por la interpretación que más se adecúe a la finalidad que persigue el contrato; y en caso de que el desacuerdo sobre el sentido persista, corresponde a los jueces de lo contencioso administrativo interpretar su alcance. Por tanto, excede la competencia de esta Agencia pronunciarse sobre la interpretación de la cláusula pactada en el contrato específico objeto de consulta.</w:t>
            </w:r>
          </w:p>
          <w:p w14:paraId="484E020C" w14:textId="77777777" w:rsidR="0071640F" w:rsidRPr="000D6180" w:rsidRDefault="0071640F" w:rsidP="00163730">
            <w:pPr>
              <w:spacing w:before="120" w:after="120" w:line="276" w:lineRule="auto"/>
              <w:jc w:val="both"/>
              <w:rPr>
                <w:rFonts w:ascii="Verdana" w:hAnsi="Verdana" w:cs="Arial"/>
                <w:color w:val="000000" w:themeColor="text1"/>
                <w:lang w:val="es-ES"/>
              </w:rPr>
            </w:pPr>
            <w:r w:rsidRPr="00F0394D">
              <w:rPr>
                <w:rFonts w:ascii="Verdana" w:hAnsi="Verdana" w:cs="Arial"/>
                <w:color w:val="000000" w:themeColor="text1"/>
                <w:lang w:val="es-ES"/>
              </w:rPr>
              <w:t>ii</w:t>
            </w:r>
            <w:r w:rsidRPr="000D6180">
              <w:rPr>
                <w:rFonts w:ascii="Verdana" w:hAnsi="Verdana" w:cs="Arial"/>
                <w:color w:val="000000" w:themeColor="text1"/>
                <w:lang w:val="es-ES"/>
              </w:rPr>
              <w:t>.</w:t>
            </w:r>
            <w:r w:rsidRPr="00F0394D">
              <w:rPr>
                <w:rFonts w:ascii="Verdana" w:hAnsi="Verdana" w:cs="Arial"/>
                <w:color w:val="000000" w:themeColor="text1"/>
                <w:lang w:val="es-ES"/>
              </w:rPr>
              <w:t xml:space="preserve"> El contrato de corretaje o intermediación de seguros reviste una naturaleza jurídica propia y autónoma, regida por disposiciones del Código de Comercio y las normas que regulan la actividad aseguradora. Su celebración se rige por los artículos 1340 a 1346 del Código de Comercio, que regulan de manera general la figura del corredor, y por los artículos 1347 a 1353, que establecen la regulación especial para los corredores de seguros, en concordancia con los artículos 5 y 40 del Decreto Ley 663 de 1993 (Estatuto Orgánico del Sistema Financiero). </w:t>
            </w:r>
          </w:p>
          <w:p w14:paraId="73B16464" w14:textId="77777777" w:rsidR="0071640F" w:rsidRPr="000D6180" w:rsidRDefault="0071640F" w:rsidP="00163730">
            <w:pPr>
              <w:spacing w:before="120" w:after="120" w:line="276" w:lineRule="auto"/>
              <w:ind w:firstLine="743"/>
              <w:jc w:val="both"/>
              <w:rPr>
                <w:rFonts w:ascii="Verdana" w:hAnsi="Verdana" w:cs="Arial"/>
                <w:color w:val="000000" w:themeColor="text1"/>
                <w:lang w:val="es-ES"/>
              </w:rPr>
            </w:pPr>
            <w:r w:rsidRPr="00F0394D">
              <w:rPr>
                <w:rFonts w:ascii="Verdana" w:hAnsi="Verdana" w:cs="Arial"/>
                <w:color w:val="000000" w:themeColor="text1"/>
                <w:lang w:val="es-ES"/>
              </w:rPr>
              <w:t xml:space="preserve">Conforme a esta normativa, el objeto social de los intermediarios de seguros está orientado exclusivamente a ofrecer seguros, promover su </w:t>
            </w:r>
            <w:r w:rsidRPr="00F0394D">
              <w:rPr>
                <w:rFonts w:ascii="Verdana" w:hAnsi="Verdana" w:cs="Arial"/>
                <w:color w:val="000000" w:themeColor="text1"/>
                <w:lang w:val="es-ES"/>
              </w:rPr>
              <w:lastRenderedPageBreak/>
              <w:t>celebración y obtener su renovación a título de intermediarios entre el asegurado y el asegurador. El corredor celebra los contratos de intermediación con el tomador y con el asegurador, adquiriendo obligaciones que cumple, en el primer caso, de manera gratuita, y en el segundo, a cambio de una comisión aleatoria, pagadera en caso de concretarse la celebración de un contrato de seguro y a cargo de la compañía de seguros por disposición del artículo 1341.</w:t>
            </w:r>
          </w:p>
          <w:p w14:paraId="77654EF4" w14:textId="77777777" w:rsidR="0071640F" w:rsidRPr="000D6180" w:rsidRDefault="0071640F" w:rsidP="00163730">
            <w:pPr>
              <w:spacing w:before="120" w:after="120" w:line="276" w:lineRule="auto"/>
              <w:ind w:firstLine="743"/>
              <w:jc w:val="both"/>
              <w:rPr>
                <w:rFonts w:ascii="Verdana" w:hAnsi="Verdana" w:cs="Arial"/>
                <w:color w:val="000000" w:themeColor="text1"/>
                <w:lang w:val="es-ES"/>
              </w:rPr>
            </w:pPr>
            <w:r w:rsidRPr="00F0394D">
              <w:rPr>
                <w:rFonts w:ascii="Verdana" w:hAnsi="Verdana" w:cs="Arial"/>
                <w:color w:val="000000" w:themeColor="text1"/>
                <w:lang w:val="es-ES"/>
              </w:rPr>
              <w:t xml:space="preserve">Es un contrato autónomo que sobrevive, en muchas ocasiones, a la celebración del contrato de seguro, y tiene la característica de ser de tracto sucesivo, pues la labor de intermediación se extiende, por lo general, a la etapa de ejecución del contrato celebrado entre el asegurador y el tomador, y la intervención del corredor en la etapa posterior resulta importante para efectos de obtener su renovación. </w:t>
            </w:r>
          </w:p>
          <w:p w14:paraId="0492E5F3" w14:textId="77777777" w:rsidR="0071640F" w:rsidRPr="00F0394D" w:rsidRDefault="0071640F" w:rsidP="00163730">
            <w:pPr>
              <w:spacing w:before="120" w:after="120" w:line="276" w:lineRule="auto"/>
              <w:ind w:firstLine="743"/>
              <w:jc w:val="both"/>
              <w:rPr>
                <w:rFonts w:ascii="Verdana" w:hAnsi="Verdana" w:cs="Arial"/>
                <w:color w:val="000000" w:themeColor="text1"/>
                <w:lang w:val="es-ES"/>
              </w:rPr>
            </w:pPr>
            <w:r w:rsidRPr="00F0394D">
              <w:rPr>
                <w:rFonts w:ascii="Verdana" w:hAnsi="Verdana" w:cs="Arial"/>
                <w:color w:val="000000" w:themeColor="text1"/>
                <w:lang w:val="es-ES"/>
              </w:rPr>
              <w:t>En la contratación estatal, esta relación debe concretarse a través de un contrato estatal con las formalidades de los artículos 39, 40 y 41 de la Ley 80 de 1993, sujeto al deber de selección objetiva y, por regla general, a la licitación pública prevista en el artículo 2.1 de la Ley 1150 de 2007. Actualmente no existe ninguna disposición normativa que obligue a las entidades a contratar intermediarios o corredores de seguros, por lo que la entidad definirá en cada caso, en la etapa de planeación, la necesidad de su celebración, así como el plazo de ejecución y su contenido obligacional.</w:t>
            </w:r>
          </w:p>
          <w:p w14:paraId="128C3FC5" w14:textId="77777777" w:rsidR="0071640F" w:rsidRPr="000D6180" w:rsidRDefault="0071640F" w:rsidP="00163730">
            <w:pPr>
              <w:spacing w:before="120" w:after="120" w:line="276" w:lineRule="auto"/>
              <w:jc w:val="both"/>
              <w:rPr>
                <w:rFonts w:ascii="Verdana" w:hAnsi="Verdana" w:cs="Arial"/>
                <w:color w:val="000000" w:themeColor="text1"/>
                <w:lang w:val="es-ES"/>
              </w:rPr>
            </w:pPr>
            <w:r w:rsidRPr="00F0394D">
              <w:rPr>
                <w:rFonts w:ascii="Verdana" w:hAnsi="Verdana" w:cs="Arial"/>
                <w:color w:val="000000" w:themeColor="text1"/>
                <w:lang w:val="es-ES"/>
              </w:rPr>
              <w:t>iii</w:t>
            </w:r>
            <w:r w:rsidRPr="000D6180">
              <w:rPr>
                <w:rFonts w:ascii="Verdana" w:hAnsi="Verdana" w:cs="Arial"/>
                <w:color w:val="000000" w:themeColor="text1"/>
                <w:lang w:val="es-ES"/>
              </w:rPr>
              <w:t>.</w:t>
            </w:r>
            <w:r w:rsidRPr="00F0394D">
              <w:rPr>
                <w:rFonts w:ascii="Verdana" w:hAnsi="Verdana" w:cs="Arial"/>
                <w:color w:val="000000" w:themeColor="text1"/>
                <w:lang w:val="es-ES"/>
              </w:rPr>
              <w:t xml:space="preserve"> El artículo 1551 del Código Civil define el "plazo" como la época que se fija para el cumplimiento de la obligación. El plazo del contrato es el período requerido en este para que se cumpla su objeto, a cargo del contratista como deudor del bien, obra o servicio, y que la entidad recibe como acreedora. Esta noción de </w:t>
            </w:r>
            <w:r w:rsidRPr="00F0394D">
              <w:rPr>
                <w:rFonts w:ascii="Verdana" w:hAnsi="Verdana" w:cs="Arial"/>
                <w:i/>
                <w:iCs/>
                <w:color w:val="000000" w:themeColor="text1"/>
                <w:lang w:val="es-ES"/>
              </w:rPr>
              <w:t>plazo de ejecución</w:t>
            </w:r>
            <w:r w:rsidRPr="00F0394D">
              <w:rPr>
                <w:rFonts w:ascii="Verdana" w:hAnsi="Verdana" w:cs="Arial"/>
                <w:color w:val="000000" w:themeColor="text1"/>
                <w:lang w:val="es-ES"/>
              </w:rPr>
              <w:t xml:space="preserve"> —el establecido para la realización de las prestaciones contractuales—, debe distinguirse del </w:t>
            </w:r>
            <w:r w:rsidRPr="00F0394D">
              <w:rPr>
                <w:rFonts w:ascii="Verdana" w:hAnsi="Verdana" w:cs="Arial"/>
                <w:i/>
                <w:iCs/>
                <w:color w:val="000000" w:themeColor="text1"/>
                <w:lang w:val="es-ES"/>
              </w:rPr>
              <w:t>plazo de vigencia</w:t>
            </w:r>
            <w:r w:rsidRPr="00F0394D">
              <w:rPr>
                <w:rFonts w:ascii="Verdana" w:hAnsi="Verdana" w:cs="Arial"/>
                <w:color w:val="000000" w:themeColor="text1"/>
                <w:lang w:val="es-ES"/>
              </w:rPr>
              <w:t xml:space="preserve"> del contrato, el cual no finaliza mientras subsista la obligación para las partes de liquidar el contrato. </w:t>
            </w:r>
          </w:p>
          <w:p w14:paraId="29772DA7" w14:textId="77777777" w:rsidR="0071640F" w:rsidRPr="00F0394D" w:rsidRDefault="0071640F" w:rsidP="00163730">
            <w:pPr>
              <w:spacing w:before="120" w:after="120" w:line="276" w:lineRule="auto"/>
              <w:ind w:firstLine="743"/>
              <w:jc w:val="both"/>
              <w:rPr>
                <w:rFonts w:ascii="Verdana" w:hAnsi="Verdana" w:cs="Arial"/>
                <w:color w:val="000000" w:themeColor="text1"/>
                <w:lang w:val="es-ES"/>
              </w:rPr>
            </w:pPr>
            <w:r w:rsidRPr="00F0394D">
              <w:rPr>
                <w:rFonts w:ascii="Verdana" w:hAnsi="Verdana" w:cs="Arial"/>
                <w:color w:val="000000" w:themeColor="text1"/>
                <w:lang w:val="es-ES"/>
              </w:rPr>
              <w:t xml:space="preserve">De esta distinción se infiere que del vencimiento del plazo de ejecución no se sigue la extinción de las obligaciones, pues —siempre que el plazo sea suspensivo— es posible la recepción de pagos y prestaciones extemporáneas, ya que la vigencia del contrato solo cesa con la liquidación. El único plazo que elimina la fuerza obligatoria del contrato es el extintivo. En consecuencia, el plazo para el cumplimiento de las obligaciones de tracto sucesivo, como las que usualmente se pactan en un contrato de corretaje, es por naturaleza </w:t>
            </w:r>
            <w:r w:rsidRPr="00F0394D">
              <w:rPr>
                <w:rFonts w:ascii="Verdana" w:hAnsi="Verdana" w:cs="Arial"/>
                <w:color w:val="000000" w:themeColor="text1"/>
                <w:lang w:val="es-ES"/>
              </w:rPr>
              <w:lastRenderedPageBreak/>
              <w:t>suspensivo, y su vencimiento no conlleva su extinción, sino que implica que la obligación se hace exigible en su totalidad a partir de ese instante. De esta manera, el vencimiento del plazo pactado en estos contratos no impide que la entidad reciba las tareas realizadas fuera de este término ni equivale a la imposibilidad de que el contratista realice prestaciones extemporáneas; mientras el contrato esté vigente, la entidad puede emplear los medios necesarios para exigir su cumplimiento.</w:t>
            </w:r>
          </w:p>
          <w:p w14:paraId="5C1F2546" w14:textId="77777777" w:rsidR="0071640F" w:rsidRPr="000D6180" w:rsidRDefault="0071640F" w:rsidP="00163730">
            <w:pPr>
              <w:spacing w:before="120" w:after="120" w:line="276" w:lineRule="auto"/>
              <w:jc w:val="both"/>
              <w:rPr>
                <w:rFonts w:ascii="Verdana" w:hAnsi="Verdana" w:cs="Arial"/>
                <w:color w:val="000000" w:themeColor="text1"/>
                <w:lang w:val="es-ES"/>
              </w:rPr>
            </w:pPr>
            <w:r w:rsidRPr="00F0394D">
              <w:rPr>
                <w:rFonts w:ascii="Verdana" w:hAnsi="Verdana" w:cs="Arial"/>
                <w:color w:val="000000" w:themeColor="text1"/>
                <w:lang w:val="es-ES"/>
              </w:rPr>
              <w:t>iv</w:t>
            </w:r>
            <w:r w:rsidRPr="000D6180">
              <w:rPr>
                <w:rFonts w:ascii="Verdana" w:hAnsi="Verdana" w:cs="Arial"/>
                <w:color w:val="000000" w:themeColor="text1"/>
                <w:lang w:val="es-ES"/>
              </w:rPr>
              <w:t>.</w:t>
            </w:r>
            <w:r w:rsidRPr="00F0394D">
              <w:rPr>
                <w:rFonts w:ascii="Verdana" w:hAnsi="Verdana" w:cs="Arial"/>
                <w:color w:val="000000" w:themeColor="text1"/>
                <w:lang w:val="es-ES"/>
              </w:rPr>
              <w:t xml:space="preserve"> No es posible considerar que una cláusula que determina el plazo d</w:t>
            </w:r>
            <w:r w:rsidRPr="000D6180">
              <w:rPr>
                <w:rFonts w:ascii="Verdana" w:hAnsi="Verdana" w:cs="Arial"/>
                <w:color w:val="000000" w:themeColor="text1"/>
                <w:lang w:val="es-ES"/>
              </w:rPr>
              <w:t>e un</w:t>
            </w:r>
            <w:r w:rsidRPr="00F0394D">
              <w:rPr>
                <w:rFonts w:ascii="Verdana" w:hAnsi="Verdana" w:cs="Arial"/>
                <w:color w:val="000000" w:themeColor="text1"/>
                <w:lang w:val="es-ES"/>
              </w:rPr>
              <w:t xml:space="preserve"> contrato estatal de corretaje conlleve una extensión automática hasta el vencimiento de las pólizas. Interpretar la cláusula como una extensión automática del plazo de ejecución choca con la prohibición de prórrogas automáticas, sucesivas o indefinidas, que la jurisprudencia y esta Agencia han considerado contrarias a la libertad de concurrencia y al principio de planeación en el marco de la contratación estatal</w:t>
            </w:r>
            <w:r w:rsidRPr="000D6180">
              <w:rPr>
                <w:rFonts w:ascii="Verdana" w:hAnsi="Verdana" w:cs="Arial"/>
                <w:color w:val="000000" w:themeColor="text1"/>
                <w:lang w:val="es-ES"/>
              </w:rPr>
              <w:t>.</w:t>
            </w:r>
            <w:r w:rsidRPr="00F0394D">
              <w:rPr>
                <w:rFonts w:ascii="Verdana" w:hAnsi="Verdana" w:cs="Arial"/>
                <w:color w:val="000000" w:themeColor="text1"/>
                <w:lang w:val="es-ES"/>
              </w:rPr>
              <w:t xml:space="preserve"> </w:t>
            </w:r>
            <w:r w:rsidRPr="000D6180">
              <w:rPr>
                <w:rFonts w:ascii="Verdana" w:hAnsi="Verdana" w:cs="Arial"/>
                <w:color w:val="000000" w:themeColor="text1"/>
                <w:lang w:val="es-ES"/>
              </w:rPr>
              <w:t>Adicionalmente</w:t>
            </w:r>
            <w:r w:rsidRPr="00F0394D">
              <w:rPr>
                <w:rFonts w:ascii="Verdana" w:hAnsi="Verdana" w:cs="Arial"/>
                <w:color w:val="000000" w:themeColor="text1"/>
                <w:lang w:val="es-ES"/>
              </w:rPr>
              <w:t xml:space="preserve">, las normas que rigen la hermenéutica contractual señalan que, entre dos interpretaciones posibles, debe preferirse la que preserva la validez y los principios de la contratación pública (artículos 1620 y 1621 del Código Civil). </w:t>
            </w:r>
          </w:p>
          <w:p w14:paraId="31E5E4D1" w14:textId="77777777" w:rsidR="0071640F" w:rsidRPr="000D6180" w:rsidRDefault="0071640F" w:rsidP="00163730">
            <w:pPr>
              <w:spacing w:before="120" w:after="120" w:line="276" w:lineRule="auto"/>
              <w:ind w:firstLine="743"/>
              <w:jc w:val="both"/>
              <w:rPr>
                <w:rFonts w:ascii="Verdana" w:hAnsi="Verdana" w:cs="Arial"/>
                <w:color w:val="000000" w:themeColor="text1"/>
                <w:lang w:val="es-ES"/>
              </w:rPr>
            </w:pPr>
            <w:r w:rsidRPr="00F0394D">
              <w:rPr>
                <w:rFonts w:ascii="Verdana" w:hAnsi="Verdana" w:cs="Arial"/>
                <w:color w:val="000000" w:themeColor="text1"/>
                <w:lang w:val="es-ES"/>
              </w:rPr>
              <w:t>En consecuencia, corresponde a la entidad determinar si, conforme a la voluntad real de las partes y la naturaleza del negocio jurídico, la estipulación puede entenderse como la subsistencia de obligaciones asociadas a las pólizas intermediadas que el contratista ejecuta dentro de la vigencia del contrato —de forma previa a la liquidación—, pues es posible que subsistan obligaciones ligadas a las pólizas sin que ello equivalga a que el plazo de ejecución siga corriendo. En caso de que, por el contrario, se trate de un supuesto en el que sea necesario modificar el plazo del contrato, la entidad deberá respetar los límites de orden temporal, formal, material y axiológico establecidos por la jurisprudencia. En todo caso, se reitera que excede la competencia de esta Agencia pronunciarse sobre la interpretación de la cláusula pactada en el contrato específico objeto de consulta, pues corresponde a las partes o a los jueces su valoración, de acuerdo con las reglas expuestas y atendiendo a las circunstancias particulares de cada negocio jurídico.</w:t>
            </w:r>
          </w:p>
          <w:p w14:paraId="0A482289" w14:textId="5B87440B" w:rsidR="00D1102D" w:rsidRPr="000D6180" w:rsidRDefault="00D1102D" w:rsidP="00163730">
            <w:pPr>
              <w:spacing w:before="120" w:after="120" w:line="276" w:lineRule="auto"/>
              <w:ind w:firstLine="743"/>
              <w:jc w:val="both"/>
              <w:rPr>
                <w:rFonts w:ascii="Verdana" w:hAnsi="Verdana" w:cs="Arial"/>
                <w:color w:val="000000" w:themeColor="text1"/>
                <w:lang w:val="es-ES"/>
              </w:rPr>
            </w:pPr>
            <w:r>
              <w:rPr>
                <w:rFonts w:ascii="Verdana" w:hAnsi="Verdana" w:cs="Arial"/>
                <w:color w:val="000000" w:themeColor="text1"/>
                <w:lang w:val="es-ES"/>
              </w:rPr>
              <w:t xml:space="preserve">Asimismo, el vencimiento del plazo de ejecución no impide, en abstracto, que la entidad estructure y adelante un nuevo proceso de selección para satisfacer sus necesidades futuras de intermediación de seguros, pues la subsistencia de obligaciones asociadas a las pólizas ya intermediadas —hasta </w:t>
            </w:r>
            <w:r>
              <w:rPr>
                <w:rFonts w:ascii="Verdana" w:hAnsi="Verdana" w:cs="Arial"/>
                <w:color w:val="000000" w:themeColor="text1"/>
                <w:lang w:val="es-ES"/>
              </w:rPr>
              <w:lastRenderedPageBreak/>
              <w:t>la liquidación del contrato— opera en un plano distinto del de la planeación de las contrataciones futuras. En esa medida, tampoco existe un impedimento jurídico general para que el nuevo intermediario asuma la asesoría e intermediación de las contrataciones futuras mientras el contratista anterior atiende, dentro de la vigencia de su contrato, las obligaciones asociadas a las pólizas que intermedió, siempre que la entidad delimite con precisión los objetos contractuales para evitar su superposición y observe los principios de planeación y selección objetiva.</w:t>
            </w:r>
          </w:p>
          <w:p w14:paraId="5B87FF77" w14:textId="77777777" w:rsidR="0071640F" w:rsidRPr="000D6180" w:rsidRDefault="0071640F" w:rsidP="00163730">
            <w:pPr>
              <w:spacing w:before="120" w:after="120" w:line="276" w:lineRule="auto"/>
              <w:ind w:firstLine="743"/>
              <w:jc w:val="both"/>
              <w:rPr>
                <w:rFonts w:ascii="Verdana" w:hAnsi="Verdana" w:cs="Arial"/>
                <w:color w:val="000000" w:themeColor="text1"/>
                <w:lang w:val="es-ES"/>
              </w:rPr>
            </w:pPr>
            <w:r w:rsidRPr="000D6180">
              <w:rPr>
                <w:rFonts w:ascii="Verdana" w:hAnsi="Verdana" w:cs="Arial"/>
                <w:color w:val="000000" w:themeColor="text1"/>
                <w:lang w:val="es-ES"/>
              </w:rPr>
              <w:t>Dentro de este marco, al tratarse de un análisis que debe realizarse frente a cada asunto particular y concreto,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Estatal establecerá la forma de adelantar su gestión contractual y determinará, bajo su propia responsabilidad</w:t>
            </w:r>
            <w:r>
              <w:rPr>
                <w:rFonts w:ascii="Verdana" w:hAnsi="Verdana" w:cs="Arial"/>
                <w:color w:val="000000" w:themeColor="text1"/>
                <w:lang w:val="es-ES"/>
              </w:rPr>
              <w:t>,</w:t>
            </w:r>
            <w:r w:rsidRPr="000D6180">
              <w:rPr>
                <w:rFonts w:ascii="Verdana" w:hAnsi="Verdana" w:cs="Arial"/>
                <w:color w:val="000000" w:themeColor="text1"/>
                <w:lang w:val="es-ES"/>
              </w:rPr>
              <w:t xml:space="preserve"> los aspectos objeto de consulta, sin que sea atribución de la Agencia Nacional de Contratación Pública – Colombia Compra Eficiente definir, autorizar o validar esa decisión.</w:t>
            </w:r>
          </w:p>
        </w:tc>
      </w:tr>
    </w:tbl>
    <w:p w14:paraId="09926A35" w14:textId="77777777" w:rsidR="0071640F" w:rsidRPr="000D6180" w:rsidRDefault="0071640F" w:rsidP="0071640F">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5101199E" w14:textId="77777777" w:rsidR="0071640F" w:rsidRPr="000D6180" w:rsidRDefault="0071640F" w:rsidP="0071640F">
      <w:pPr>
        <w:pStyle w:val="Prrafodelista"/>
        <w:numPr>
          <w:ilvl w:val="0"/>
          <w:numId w:val="17"/>
        </w:numPr>
        <w:tabs>
          <w:tab w:val="left" w:pos="142"/>
          <w:tab w:val="left" w:pos="284"/>
        </w:tabs>
        <w:spacing w:after="0" w:line="276" w:lineRule="auto"/>
        <w:jc w:val="both"/>
        <w:rPr>
          <w:rFonts w:ascii="Verdana" w:eastAsia="Century Gothic" w:hAnsi="Verdana" w:cs="Century Gothic"/>
          <w:b/>
          <w:color w:val="000000" w:themeColor="text1"/>
        </w:rPr>
      </w:pPr>
      <w:r w:rsidRPr="000D6180">
        <w:rPr>
          <w:rFonts w:ascii="Verdana" w:eastAsia="Century Gothic" w:hAnsi="Verdana" w:cs="Century Gothic"/>
          <w:b/>
          <w:color w:val="000000" w:themeColor="text1"/>
        </w:rPr>
        <w:t>Razones de la respuesta:</w:t>
      </w:r>
    </w:p>
    <w:p w14:paraId="32409C3D" w14:textId="77777777" w:rsidR="0071640F" w:rsidRPr="000D6180" w:rsidRDefault="0071640F" w:rsidP="0071640F">
      <w:pPr>
        <w:spacing w:after="0" w:line="276" w:lineRule="auto"/>
        <w:jc w:val="both"/>
        <w:rPr>
          <w:rFonts w:ascii="Verdana" w:eastAsia="Calibri" w:hAnsi="Verdana" w:cs="Arial"/>
          <w:color w:val="000000" w:themeColor="text1"/>
          <w:lang w:val="es-ES"/>
        </w:rPr>
      </w:pPr>
    </w:p>
    <w:p w14:paraId="73B6A1D4" w14:textId="77777777" w:rsidR="0071640F" w:rsidRPr="000D6180" w:rsidRDefault="0071640F" w:rsidP="0071640F">
      <w:pPr>
        <w:widowControl w:val="0"/>
        <w:autoSpaceDE w:val="0"/>
        <w:autoSpaceDN w:val="0"/>
        <w:spacing w:after="120" w:line="276" w:lineRule="auto"/>
        <w:jc w:val="both"/>
        <w:rPr>
          <w:rFonts w:ascii="Verdana" w:eastAsia="Verdana" w:hAnsi="Verdana" w:cs="Verdana"/>
          <w:lang w:val="es-ES"/>
        </w:rPr>
      </w:pPr>
      <w:r w:rsidRPr="000D6180">
        <w:rPr>
          <w:rFonts w:ascii="Verdana" w:eastAsia="Verdana" w:hAnsi="Verdana" w:cs="Verdana"/>
          <w:lang w:val="es-ES"/>
        </w:rPr>
        <w:t xml:space="preserve">i. El Estatuto General de la Contratación de la Administración Pública (EGCAP) no establece reglas para la interpretación de los contratos estatales. Por remisión de los artículos 13, 32 y 40 de la Ley 80 de 1993, las Entidades Estatales deberán interpretar los contratos que suscriban según las reglas establecidas en los artículos 1618 a 1624 del Código Civil, atendiendo además el artículo 28 de la Ley 80. </w:t>
      </w:r>
    </w:p>
    <w:p w14:paraId="406B41C5" w14:textId="77777777" w:rsidR="0071640F" w:rsidRPr="000D6180" w:rsidRDefault="0071640F" w:rsidP="0071640F">
      <w:pPr>
        <w:spacing w:after="120" w:line="276" w:lineRule="auto"/>
        <w:ind w:firstLine="708"/>
        <w:jc w:val="both"/>
        <w:rPr>
          <w:rFonts w:ascii="Verdana" w:eastAsia="Batang" w:hAnsi="Verdana" w:cs="Arial"/>
          <w:lang w:val="es-ES"/>
        </w:rPr>
      </w:pPr>
      <w:r w:rsidRPr="000D6180">
        <w:rPr>
          <w:rFonts w:ascii="Verdana" w:eastAsia="Batang" w:hAnsi="Verdana" w:cs="Arial"/>
          <w:lang w:val="es-ES"/>
        </w:rPr>
        <w:t>Según los artículos 1618 a 1624 del Código Civil, las reglas de interpretación de los contratos pueden ser objetivas y subjetivas</w:t>
      </w:r>
      <w:r w:rsidRPr="000D6180">
        <w:rPr>
          <w:rFonts w:ascii="Verdana" w:eastAsia="Batang" w:hAnsi="Verdana" w:cs="Arial"/>
          <w:vertAlign w:val="superscript"/>
          <w:lang w:val="es-ES"/>
        </w:rPr>
        <w:footnoteReference w:id="2"/>
      </w:r>
      <w:r w:rsidRPr="000D6180">
        <w:rPr>
          <w:rFonts w:ascii="Verdana" w:eastAsia="Batang" w:hAnsi="Verdana" w:cs="Arial"/>
          <w:lang w:val="es-ES"/>
        </w:rPr>
        <w:t xml:space="preserve">. Las reglas de interpretación </w:t>
      </w:r>
      <w:r w:rsidRPr="000D6180">
        <w:rPr>
          <w:rFonts w:ascii="Verdana" w:eastAsia="Batang" w:hAnsi="Verdana" w:cs="Arial"/>
          <w:i/>
          <w:iCs/>
          <w:lang w:val="es-ES"/>
        </w:rPr>
        <w:t>subjetivas</w:t>
      </w:r>
      <w:r w:rsidRPr="000D6180">
        <w:rPr>
          <w:rFonts w:ascii="Verdana" w:eastAsia="Batang" w:hAnsi="Verdana" w:cs="Arial"/>
          <w:lang w:val="es-ES"/>
        </w:rPr>
        <w:t xml:space="preserve"> son las siguientes: i) una vez conocida la intención de los contratantes ha de estarse más a ella que a lo literal de las palabras (artículo 1618 del Código Civil); ii) las estipulaciones de un contrato pueden interpretarse por la de otro que las partes hayan celebrado sobre la misma materia o por la </w:t>
      </w:r>
      <w:r w:rsidRPr="000D6180">
        <w:rPr>
          <w:rFonts w:ascii="Verdana" w:eastAsia="Batang" w:hAnsi="Verdana" w:cs="Arial"/>
          <w:lang w:val="es-ES"/>
        </w:rPr>
        <w:lastRenderedPageBreak/>
        <w:t xml:space="preserve">aplicación práctica que de ellas hayan hecho (artículo 1622, incisos 2 y 3 </w:t>
      </w:r>
      <w:r w:rsidRPr="000D6180">
        <w:rPr>
          <w:rFonts w:ascii="Verdana" w:eastAsia="Batang" w:hAnsi="Verdana" w:cs="Arial"/>
          <w:i/>
          <w:iCs/>
          <w:lang w:val="es-ES"/>
        </w:rPr>
        <w:t>ibídem</w:t>
      </w:r>
      <w:bookmarkStart w:id="0" w:name="_Hlk96265254"/>
      <w:r w:rsidRPr="000D6180">
        <w:rPr>
          <w:rFonts w:ascii="Verdana" w:eastAsia="Batang" w:hAnsi="Verdana" w:cs="Arial"/>
          <w:lang w:val="es-ES"/>
        </w:rPr>
        <w:t>);</w:t>
      </w:r>
      <w:r>
        <w:rPr>
          <w:rFonts w:ascii="Verdana" w:eastAsia="Batang" w:hAnsi="Verdana" w:cs="Arial"/>
          <w:lang w:val="es-ES"/>
        </w:rPr>
        <w:t xml:space="preserve"> y</w:t>
      </w:r>
      <w:r w:rsidRPr="000D6180">
        <w:rPr>
          <w:rFonts w:ascii="Verdana" w:eastAsia="Batang" w:hAnsi="Verdana" w:cs="Arial"/>
          <w:lang w:val="es-ES"/>
        </w:rPr>
        <w:t xml:space="preserve"> iii) las cláusulas deben interpretarse unas por otras, dándole a cada una el sentido que más convenga al contrato en su totalidad (artículo 1622, inciso 1 </w:t>
      </w:r>
      <w:r w:rsidRPr="000D6180">
        <w:rPr>
          <w:rFonts w:ascii="Verdana" w:eastAsia="Batang" w:hAnsi="Verdana" w:cs="Arial"/>
          <w:i/>
          <w:iCs/>
          <w:lang w:val="es-ES"/>
        </w:rPr>
        <w:t>ibídem</w:t>
      </w:r>
      <w:r>
        <w:rPr>
          <w:rFonts w:ascii="Verdana" w:eastAsia="Batang" w:hAnsi="Verdana" w:cs="Arial"/>
          <w:i/>
          <w:iCs/>
          <w:lang w:val="es-ES"/>
        </w:rPr>
        <w:t xml:space="preserve">. </w:t>
      </w:r>
      <w:r w:rsidRPr="000D6180">
        <w:rPr>
          <w:rFonts w:ascii="Verdana" w:eastAsia="Batang" w:hAnsi="Verdana" w:cs="Arial"/>
          <w:lang w:val="es-ES"/>
        </w:rPr>
        <w:t>En general, el criterio subjetivo de interpretación busca encontrar la verdadera intención de los contratantes.</w:t>
      </w:r>
    </w:p>
    <w:p w14:paraId="6DC6F0DD" w14:textId="78E69DBB" w:rsidR="0071640F" w:rsidRPr="000D6180" w:rsidRDefault="0071640F" w:rsidP="0071640F">
      <w:pPr>
        <w:spacing w:after="120" w:line="276" w:lineRule="auto"/>
        <w:ind w:firstLine="708"/>
        <w:jc w:val="both"/>
        <w:rPr>
          <w:rFonts w:ascii="Verdana" w:eastAsia="Batang" w:hAnsi="Verdana" w:cs="Arial"/>
          <w:lang w:val="es-ES"/>
        </w:rPr>
      </w:pPr>
      <w:r w:rsidRPr="000D6180">
        <w:rPr>
          <w:rFonts w:ascii="Verdana" w:eastAsia="Batang" w:hAnsi="Verdana" w:cs="Arial"/>
          <w:lang w:val="es-ES"/>
        </w:rPr>
        <w:t xml:space="preserve">Por su parte, las reglas de interpretación </w:t>
      </w:r>
      <w:r w:rsidRPr="000D6180">
        <w:rPr>
          <w:rFonts w:ascii="Verdana" w:eastAsia="Batang" w:hAnsi="Verdana" w:cs="Arial"/>
          <w:i/>
          <w:iCs/>
          <w:lang w:val="es-ES"/>
        </w:rPr>
        <w:t>objetivas</w:t>
      </w:r>
      <w:r w:rsidRPr="000D6180">
        <w:rPr>
          <w:rFonts w:ascii="Verdana" w:eastAsia="Batang" w:hAnsi="Verdana" w:cs="Arial"/>
          <w:lang w:val="es-ES"/>
        </w:rPr>
        <w:t xml:space="preserve"> señalan que: iv) si en un contrato se expresa un caso para explicar la obligación se entiende que esa mención no es restrictiva sino ejemplificativa (artículo 1623 </w:t>
      </w:r>
      <w:r w:rsidRPr="000D6180">
        <w:rPr>
          <w:rFonts w:ascii="Verdana" w:eastAsia="Batang" w:hAnsi="Verdana" w:cs="Arial"/>
          <w:i/>
          <w:iCs/>
          <w:lang w:val="es-ES"/>
        </w:rPr>
        <w:t>ibídem</w:t>
      </w:r>
      <w:r w:rsidRPr="000D6180">
        <w:rPr>
          <w:rFonts w:ascii="Verdana" w:eastAsia="Batang" w:hAnsi="Verdana" w:cs="Arial"/>
          <w:lang w:val="es-ES"/>
        </w:rPr>
        <w:t xml:space="preserve">);  v) se entiende que las expresiones generales contenidas en el negocio únicamente se aplican a la materia sobre la que se ha contratado (artículo 1619, inciso 2 </w:t>
      </w:r>
      <w:r w:rsidRPr="000D6180">
        <w:rPr>
          <w:rFonts w:ascii="Verdana" w:eastAsia="Batang" w:hAnsi="Verdana" w:cs="Arial"/>
          <w:i/>
          <w:iCs/>
          <w:lang w:val="es-ES"/>
        </w:rPr>
        <w:t>ibídem</w:t>
      </w:r>
      <w:r w:rsidRPr="000D6180">
        <w:rPr>
          <w:rFonts w:ascii="Verdana" w:eastAsia="Batang" w:hAnsi="Verdana" w:cs="Arial"/>
          <w:lang w:val="es-ES"/>
        </w:rPr>
        <w:t>)</w:t>
      </w:r>
      <w:r>
        <w:rPr>
          <w:rFonts w:ascii="Verdana" w:eastAsia="Batang" w:hAnsi="Verdana" w:cs="Arial"/>
          <w:lang w:val="es-ES"/>
        </w:rPr>
        <w:t xml:space="preserve">; </w:t>
      </w:r>
      <w:r w:rsidRPr="000D6180">
        <w:rPr>
          <w:rFonts w:ascii="Verdana" w:eastAsia="Batang" w:hAnsi="Verdana" w:cs="Arial"/>
          <w:lang w:val="es-ES"/>
        </w:rPr>
        <w:t xml:space="preserve">vi) el sentido en que una cláusula pueda producir algún efecto deberá preferirse a aquel en que no produzca efecto alguno (artículo 1620 </w:t>
      </w:r>
      <w:r w:rsidRPr="000D6180">
        <w:rPr>
          <w:rFonts w:ascii="Verdana" w:eastAsia="Batang" w:hAnsi="Verdana" w:cs="Arial"/>
          <w:i/>
          <w:iCs/>
          <w:lang w:val="es-ES"/>
        </w:rPr>
        <w:t>ibídem</w:t>
      </w:r>
      <w:r w:rsidRPr="000D6180">
        <w:rPr>
          <w:rFonts w:ascii="Verdana" w:eastAsia="Batang" w:hAnsi="Verdana" w:cs="Arial"/>
          <w:lang w:val="es-ES"/>
        </w:rPr>
        <w:t xml:space="preserve">); vii) deberá estarse a la interpretación que mejor cuadre con la naturaleza del contrato (artículo 1621 </w:t>
      </w:r>
      <w:r w:rsidRPr="000D6180">
        <w:rPr>
          <w:rFonts w:ascii="Verdana" w:eastAsia="Batang" w:hAnsi="Verdana" w:cs="Arial"/>
          <w:i/>
          <w:iCs/>
          <w:lang w:val="es-ES"/>
        </w:rPr>
        <w:t>ibídem</w:t>
      </w:r>
      <w:r w:rsidRPr="000D6180">
        <w:rPr>
          <w:rFonts w:ascii="Verdana" w:eastAsia="Batang" w:hAnsi="Verdana" w:cs="Arial"/>
          <w:lang w:val="es-ES"/>
        </w:rPr>
        <w:t>); viii) las cláusulas ambiguas se interpretan a favor del deudor (artículo 1624, inciso 1 ibídem); y ix</w:t>
      </w:r>
      <w:r w:rsidRPr="000D6180">
        <w:rPr>
          <w:rFonts w:ascii="Verdana" w:eastAsia="Batang" w:hAnsi="Verdana" w:cs="Arial"/>
          <w:i/>
          <w:iCs/>
          <w:lang w:val="es-ES"/>
        </w:rPr>
        <w:t xml:space="preserve">) </w:t>
      </w:r>
      <w:r w:rsidRPr="000D6180">
        <w:rPr>
          <w:rFonts w:ascii="Verdana" w:eastAsia="Batang" w:hAnsi="Verdana" w:cs="Arial"/>
          <w:lang w:val="es-ES"/>
        </w:rPr>
        <w:t xml:space="preserve">las cláusulas oscuras que hayan sido extendidas o dictadas por una parte se interpretarán contra ella si la ambigüedad proviene de una explicación que ésta ha debido dar (artículo 1624, inciso 2 </w:t>
      </w:r>
      <w:r w:rsidRPr="000D6180">
        <w:rPr>
          <w:rFonts w:ascii="Verdana" w:eastAsia="Batang" w:hAnsi="Verdana" w:cs="Arial"/>
          <w:i/>
          <w:iCs/>
          <w:lang w:val="es-ES"/>
        </w:rPr>
        <w:t>ibídem</w:t>
      </w:r>
      <w:r w:rsidRPr="000D6180">
        <w:rPr>
          <w:rFonts w:ascii="Verdana" w:eastAsia="Batang" w:hAnsi="Verdana" w:cs="Arial"/>
          <w:lang w:val="es-ES"/>
        </w:rPr>
        <w:t xml:space="preserve">). </w:t>
      </w:r>
      <w:bookmarkEnd w:id="0"/>
      <w:r w:rsidRPr="000D6180">
        <w:rPr>
          <w:rFonts w:ascii="Verdana" w:eastAsia="Batang" w:hAnsi="Verdana" w:cs="Arial"/>
          <w:lang w:val="es-ES"/>
        </w:rPr>
        <w:t>De esta forma, el criterio objetivo de interpretación busca privilegiar la voluntad externa o declarada de las partes del contrato.</w:t>
      </w:r>
    </w:p>
    <w:p w14:paraId="04134760" w14:textId="5BB94F61" w:rsidR="0071640F" w:rsidRPr="000D6180" w:rsidRDefault="0071640F" w:rsidP="0071640F">
      <w:pPr>
        <w:spacing w:after="0" w:line="276" w:lineRule="auto"/>
        <w:ind w:firstLine="708"/>
        <w:jc w:val="both"/>
        <w:rPr>
          <w:rFonts w:ascii="Verdana" w:eastAsia="Batang" w:hAnsi="Verdana" w:cs="Arial"/>
          <w:lang w:val="es-ES"/>
        </w:rPr>
      </w:pPr>
      <w:r w:rsidRPr="000D6180">
        <w:rPr>
          <w:rFonts w:ascii="Verdana" w:eastAsia="Batang" w:hAnsi="Verdana" w:cs="Arial"/>
          <w:lang w:val="es-ES"/>
        </w:rPr>
        <w:t>El Consejo de Estado resaltó que las reglas en materia de interpretación contractual se resumen en las siguientes seis: (i) la especificidad, (ii) la interpretación efectiva, útil o conservatoria (iii) la interpretación naturalista o fundada en la naturaleza del contrato, y de la interpretación usual; (iv) la interpretación contextual, extensiva y auténtica; (v) la interpretación incluyente o explicativa y (vi) la interpretación de cláusulas ambiguas en favor del deudor y en contra del estipulante o predisponente. Adicionalmente, resaltó que existen dos principios rectores que rigen la interpretación: (i) la búsqueda de la común intención de las partes —</w:t>
      </w:r>
      <w:r w:rsidRPr="00292579">
        <w:rPr>
          <w:rFonts w:ascii="Verdana" w:eastAsia="Batang" w:hAnsi="Verdana" w:cs="Arial"/>
          <w:i/>
          <w:lang w:val="es-ES"/>
        </w:rPr>
        <w:t>communis intentio o voluntas spectanda</w:t>
      </w:r>
      <w:r w:rsidRPr="000D6180">
        <w:rPr>
          <w:rFonts w:ascii="Verdana" w:eastAsia="Batang" w:hAnsi="Verdana" w:cs="Arial"/>
          <w:lang w:val="es-ES"/>
        </w:rPr>
        <w:t xml:space="preserve">— y (ii) la buena fe contractual. </w:t>
      </w:r>
      <w:r>
        <w:rPr>
          <w:rFonts w:ascii="Verdana" w:eastAsia="Batang" w:hAnsi="Verdana" w:cs="Arial"/>
          <w:lang w:val="es-ES"/>
        </w:rPr>
        <w:t xml:space="preserve">Finalmente, </w:t>
      </w:r>
      <w:r w:rsidRPr="000D6180">
        <w:rPr>
          <w:rFonts w:ascii="Verdana" w:eastAsia="Batang" w:hAnsi="Verdana" w:cs="Arial"/>
          <w:lang w:val="es-ES"/>
        </w:rPr>
        <w:t>señala que la doctrina y jurisprudencia nacionales concuerdan en que existe jerarquía ent</w:t>
      </w:r>
      <w:r w:rsidR="00811A04">
        <w:rPr>
          <w:rFonts w:ascii="Verdana" w:eastAsia="Batang" w:hAnsi="Verdana" w:cs="Arial"/>
          <w:lang w:val="es-ES"/>
        </w:rPr>
        <w:t>r</w:t>
      </w:r>
      <w:r w:rsidRPr="000D6180">
        <w:rPr>
          <w:rFonts w:ascii="Verdana" w:eastAsia="Batang" w:hAnsi="Verdana" w:cs="Arial"/>
          <w:lang w:val="es-ES"/>
        </w:rPr>
        <w:t xml:space="preserve">e los criterios de interpretación de los contratos, en el sentido de que el </w:t>
      </w:r>
      <w:proofErr w:type="gramStart"/>
      <w:r w:rsidRPr="000D6180">
        <w:rPr>
          <w:rFonts w:ascii="Verdana" w:eastAsia="Batang" w:hAnsi="Verdana" w:cs="Arial"/>
          <w:lang w:val="es-ES"/>
        </w:rPr>
        <w:t>subjetivo prima</w:t>
      </w:r>
      <w:proofErr w:type="gramEnd"/>
      <w:r w:rsidRPr="000D6180">
        <w:rPr>
          <w:rFonts w:ascii="Verdana" w:eastAsia="Batang" w:hAnsi="Verdana" w:cs="Arial"/>
          <w:lang w:val="es-ES"/>
        </w:rPr>
        <w:t xml:space="preserve"> sobre el objetivo. En consecuencia, el principio de la búsqueda de la real voluntad de las partes es el punto de partida de la labor hermenéutica contractual, mientras que los demás principios y reglas son subsidiarios a este. Sobre este punto afirma que:</w:t>
      </w:r>
    </w:p>
    <w:p w14:paraId="72A5CF5D" w14:textId="77777777" w:rsidR="0071640F" w:rsidRPr="000D6180" w:rsidRDefault="0071640F" w:rsidP="0071640F">
      <w:pPr>
        <w:spacing w:after="0" w:line="276" w:lineRule="auto"/>
        <w:ind w:firstLine="708"/>
        <w:jc w:val="both"/>
        <w:rPr>
          <w:rFonts w:ascii="Verdana" w:eastAsia="Batang" w:hAnsi="Verdana" w:cs="Arial"/>
          <w:lang w:val="es-ES"/>
        </w:rPr>
      </w:pPr>
    </w:p>
    <w:p w14:paraId="5E112A67" w14:textId="77777777" w:rsidR="0071640F" w:rsidRPr="000D6180" w:rsidRDefault="0071640F" w:rsidP="0071640F">
      <w:pPr>
        <w:spacing w:after="0" w:line="240" w:lineRule="auto"/>
        <w:ind w:left="709" w:right="709"/>
        <w:jc w:val="both"/>
        <w:rPr>
          <w:rFonts w:ascii="Verdana" w:eastAsia="Batang" w:hAnsi="Verdana" w:cs="Arial"/>
          <w:sz w:val="20"/>
          <w:szCs w:val="20"/>
          <w:lang w:val="es-ES"/>
        </w:rPr>
      </w:pPr>
      <w:r w:rsidRPr="000D6180">
        <w:rPr>
          <w:rFonts w:ascii="Verdana" w:eastAsia="Batang" w:hAnsi="Verdana" w:cs="Arial"/>
          <w:sz w:val="20"/>
          <w:szCs w:val="20"/>
          <w:lang w:val="es-ES"/>
        </w:rPr>
        <w:lastRenderedPageBreak/>
        <w:t>“[…] un adecuado ejercicio hermenéutico contractual deba empezar siempre por determinar cuál era la communis intentio a la que alude el artículo 1618 del Código Civil, y solo en caso de que esa labor resulte infructuosa es posible aplicar las pautas objetivas de interpretación que ya fueron reseñadas, como las previstas en los artículos 1619, 1620, 1621, 1623 y 1624 de esa misma codificación.</w:t>
      </w:r>
    </w:p>
    <w:p w14:paraId="5394A8ED" w14:textId="77777777" w:rsidR="0071640F" w:rsidRPr="000D6180" w:rsidRDefault="0071640F" w:rsidP="0071640F">
      <w:pPr>
        <w:spacing w:after="0" w:line="240" w:lineRule="auto"/>
        <w:ind w:left="709" w:right="709"/>
        <w:jc w:val="both"/>
        <w:rPr>
          <w:rFonts w:ascii="Verdana" w:eastAsia="Batang" w:hAnsi="Verdana" w:cs="Arial"/>
          <w:sz w:val="20"/>
          <w:szCs w:val="20"/>
          <w:lang w:val="es-ES"/>
        </w:rPr>
      </w:pPr>
      <w:r w:rsidRPr="000D6180">
        <w:rPr>
          <w:rFonts w:ascii="Verdana" w:eastAsia="Batang" w:hAnsi="Verdana" w:cs="Arial"/>
          <w:sz w:val="20"/>
          <w:szCs w:val="20"/>
          <w:lang w:val="es-ES"/>
        </w:rPr>
        <w:t>[…] Un juicioso ejercicio interpretativo supone auscultar en el negocio jurídico para establecer cuál era la común intención de los contratantes</w:t>
      </w:r>
      <w:r w:rsidRPr="000D6180">
        <w:rPr>
          <w:rFonts w:ascii="Verdana" w:hAnsi="Verdana"/>
          <w:sz w:val="20"/>
          <w:szCs w:val="20"/>
          <w:lang w:val="es-ES"/>
        </w:rPr>
        <w:t xml:space="preserve"> </w:t>
      </w:r>
      <w:r w:rsidRPr="000D6180">
        <w:rPr>
          <w:rFonts w:ascii="Verdana" w:eastAsia="Batang" w:hAnsi="Verdana" w:cs="Arial"/>
          <w:sz w:val="20"/>
          <w:szCs w:val="20"/>
          <w:lang w:val="es-ES"/>
        </w:rPr>
        <w:t>y, de ese modo, fijar su contenido y alcance”</w:t>
      </w:r>
      <w:r w:rsidRPr="000D6180">
        <w:rPr>
          <w:rStyle w:val="Refdenotaalpie"/>
          <w:rFonts w:ascii="Verdana" w:eastAsia="Batang" w:hAnsi="Verdana" w:cs="Arial"/>
          <w:sz w:val="20"/>
          <w:szCs w:val="20"/>
          <w:lang w:val="es-ES"/>
        </w:rPr>
        <w:footnoteReference w:id="3"/>
      </w:r>
      <w:r w:rsidRPr="000D6180">
        <w:rPr>
          <w:rFonts w:ascii="Verdana" w:eastAsia="Batang" w:hAnsi="Verdana" w:cs="Arial"/>
          <w:sz w:val="20"/>
          <w:szCs w:val="20"/>
          <w:lang w:val="es-ES"/>
        </w:rPr>
        <w:t>.</w:t>
      </w:r>
    </w:p>
    <w:p w14:paraId="09218170" w14:textId="77777777" w:rsidR="0071640F" w:rsidRPr="000D6180" w:rsidRDefault="0071640F" w:rsidP="0071640F">
      <w:pPr>
        <w:spacing w:after="0" w:line="240" w:lineRule="auto"/>
        <w:ind w:left="709" w:right="709"/>
        <w:jc w:val="both"/>
        <w:rPr>
          <w:rFonts w:ascii="Verdana" w:eastAsia="Batang" w:hAnsi="Verdana" w:cs="Arial"/>
          <w:sz w:val="20"/>
          <w:szCs w:val="20"/>
          <w:lang w:val="es-ES"/>
        </w:rPr>
      </w:pPr>
    </w:p>
    <w:p w14:paraId="656F6A65" w14:textId="4C55D305" w:rsidR="0071640F" w:rsidRPr="000D6180" w:rsidRDefault="0071640F" w:rsidP="0071640F">
      <w:pPr>
        <w:spacing w:after="120" w:line="276" w:lineRule="auto"/>
        <w:ind w:firstLine="708"/>
        <w:jc w:val="both"/>
        <w:rPr>
          <w:rFonts w:ascii="Verdana" w:hAnsi="Verdana" w:cs="Arial"/>
          <w:lang w:val="es-ES"/>
        </w:rPr>
      </w:pPr>
      <w:r w:rsidRPr="000D6180">
        <w:rPr>
          <w:rFonts w:ascii="Verdana" w:eastAsia="Batang" w:hAnsi="Verdana" w:cs="Arial"/>
          <w:lang w:val="es-ES"/>
        </w:rPr>
        <w:t xml:space="preserve">Igualmente, es importante traer a colación </w:t>
      </w:r>
      <w:r w:rsidRPr="000D6180">
        <w:rPr>
          <w:rFonts w:ascii="Verdana" w:hAnsi="Verdana" w:cs="Arial"/>
          <w:lang w:val="es-ES"/>
        </w:rPr>
        <w:t>el principio constitucional de prevalencia del derecho sustancial sobre las formas. Al respecto, la Corte Constitucional ha señalado que “[…] por disposición del artículo 228 Superior, las formas no deben convertirse en un obstáculo para la efectividad del derecho sustancial, sino que deben propender por su realización. Es decir, que las normas procesales son un medio para lograr la efectividad de los derechos subjetivos y no fines en sí mismas”</w:t>
      </w:r>
      <w:r w:rsidR="00B45179">
        <w:rPr>
          <w:rStyle w:val="Refdenotaalpie"/>
          <w:rFonts w:ascii="Verdana" w:hAnsi="Verdana" w:cs="Arial"/>
          <w:lang w:val="es-ES"/>
        </w:rPr>
        <w:footnoteReference w:id="4"/>
      </w:r>
      <w:r w:rsidRPr="000D6180">
        <w:rPr>
          <w:rFonts w:ascii="Verdana" w:hAnsi="Verdana" w:cs="Arial"/>
          <w:lang w:val="es-ES"/>
        </w:rPr>
        <w:t>. Ese fue el sentido que inspiró la Sentencia C-029 de 1995, mediante la cual la Corte Constitucional declaró exequible el artículo 4º del Código de Procedimiento Civil, argumentando, además, que el artículo 228 de la Constitución reconoce que “prevalecerá el derecho sustancial”, con lo que también está reconociendo, según el tribunal constitucional, que el fin de los procedimientos es la realización de los derechos consagrados en abstracto por el derecho objetivo.</w:t>
      </w:r>
    </w:p>
    <w:p w14:paraId="7E51942E" w14:textId="77777777" w:rsidR="0071640F" w:rsidRPr="000D6180" w:rsidRDefault="0071640F" w:rsidP="0071640F">
      <w:pPr>
        <w:spacing w:after="0" w:line="276" w:lineRule="auto"/>
        <w:ind w:firstLine="708"/>
        <w:jc w:val="both"/>
        <w:rPr>
          <w:rFonts w:ascii="Verdana" w:eastAsia="Batang" w:hAnsi="Verdana" w:cs="Arial"/>
          <w:lang w:val="es-ES"/>
        </w:rPr>
      </w:pPr>
      <w:bookmarkStart w:id="1" w:name="_Hlk96265891"/>
      <w:r w:rsidRPr="000D6180">
        <w:rPr>
          <w:rFonts w:ascii="Verdana" w:eastAsia="Batang" w:hAnsi="Verdana" w:cs="Arial"/>
          <w:lang w:val="es-ES"/>
        </w:rPr>
        <w:t>La aplicación de estas reglas deberá tener en cuenta las circunstancias concretas de cada caso en particular, de manera que la entidad pueda optar por la interpretación que más se adecúe a la finalidad que persigue el contrato. De todos modos, en caso de que el desacuerdo sobre el sentido persista una vez aplicadas las pautas anteriores, corresponde a los jueces de lo contencioso administrativo interpretar su alcance. Por tanto, es necesario señalar que excede la competencia de esta Agencia pronunciarse sobre la interpretación de la cláusula pactada en el contrato específico objeto de consulta, pues corresponde a las partes o a los jueces su valoración, de acuerdo con las reglas anteriormente expuestas</w:t>
      </w:r>
      <w:bookmarkEnd w:id="1"/>
      <w:r w:rsidRPr="000D6180">
        <w:rPr>
          <w:rFonts w:ascii="Verdana" w:eastAsia="Batang" w:hAnsi="Verdana" w:cs="Arial"/>
          <w:lang w:val="es-ES"/>
        </w:rPr>
        <w:t xml:space="preserve"> </w:t>
      </w:r>
      <w:r w:rsidRPr="000D6180">
        <w:rPr>
          <w:rFonts w:ascii="Verdana" w:eastAsia="Calibri" w:hAnsi="Verdana" w:cs="Arial"/>
          <w:lang w:val="es-ES"/>
        </w:rPr>
        <w:t>y atendiendo a las circunstancias de cada caso</w:t>
      </w:r>
      <w:r w:rsidRPr="000D6180">
        <w:rPr>
          <w:rFonts w:ascii="Verdana" w:eastAsia="Batang" w:hAnsi="Verdana" w:cs="Arial"/>
          <w:vertAlign w:val="superscript"/>
          <w:lang w:val="es-ES"/>
        </w:rPr>
        <w:footnoteReference w:id="5"/>
      </w:r>
      <w:r w:rsidRPr="000D6180">
        <w:rPr>
          <w:rFonts w:ascii="Verdana" w:eastAsia="Batang" w:hAnsi="Verdana" w:cs="Arial"/>
          <w:lang w:val="es-ES"/>
        </w:rPr>
        <w:t>.</w:t>
      </w:r>
    </w:p>
    <w:p w14:paraId="1AAEB3B5" w14:textId="77777777" w:rsidR="0071640F" w:rsidRPr="000D6180" w:rsidRDefault="0071640F" w:rsidP="0071640F">
      <w:pPr>
        <w:spacing w:after="0" w:line="276" w:lineRule="auto"/>
        <w:ind w:firstLine="708"/>
        <w:jc w:val="both"/>
        <w:rPr>
          <w:rFonts w:ascii="Verdana" w:eastAsia="Batang" w:hAnsi="Verdana" w:cs="Arial"/>
          <w:lang w:val="es-ES"/>
        </w:rPr>
      </w:pPr>
    </w:p>
    <w:p w14:paraId="3B30D822" w14:textId="77777777" w:rsidR="0071640F" w:rsidRPr="000D6180" w:rsidRDefault="0071640F" w:rsidP="0071640F">
      <w:pPr>
        <w:spacing w:after="120" w:line="276" w:lineRule="auto"/>
        <w:jc w:val="both"/>
        <w:rPr>
          <w:rFonts w:ascii="Verdana" w:eastAsia="Times New Roman" w:hAnsi="Verdana" w:cs="Times New Roman"/>
          <w:lang w:val="es-ES" w:eastAsia="es-ES_tradnl"/>
        </w:rPr>
      </w:pPr>
      <w:r w:rsidRPr="000D6180">
        <w:rPr>
          <w:rFonts w:ascii="Verdana" w:eastAsia="Batang" w:hAnsi="Verdana" w:cs="Arial"/>
          <w:lang w:val="es-ES"/>
        </w:rPr>
        <w:t>ii.</w:t>
      </w:r>
      <w:r w:rsidRPr="000D6180">
        <w:rPr>
          <w:rFonts w:ascii="Verdana" w:eastAsia="Times New Roman" w:hAnsi="Verdana" w:cs="Times New Roman"/>
          <w:lang w:val="es-ES" w:eastAsia="es-ES_tradnl"/>
        </w:rPr>
        <w:t xml:space="preserve"> El Estatuto General de Contratación de la Administración Pública – en adelante el EGCAP-, tiene por objeto</w:t>
      </w:r>
      <w:r w:rsidRPr="000D6180">
        <w:rPr>
          <w:rStyle w:val="Refdenotaalpie"/>
          <w:rFonts w:ascii="Verdana" w:eastAsia="Times New Roman" w:hAnsi="Verdana" w:cs="Times New Roman"/>
          <w:lang w:val="es-ES" w:eastAsia="es-ES_tradnl"/>
        </w:rPr>
        <w:footnoteReference w:id="6"/>
      </w:r>
      <w:r w:rsidRPr="000D6180">
        <w:rPr>
          <w:rFonts w:ascii="Verdana" w:eastAsia="Times New Roman" w:hAnsi="Verdana" w:cs="Times New Roman"/>
          <w:lang w:val="es-ES" w:eastAsia="es-ES_tradnl"/>
        </w:rPr>
        <w:t xml:space="preserve"> establecer las reglas y principios que gobiernan los contratos de las entidades estatales definidas en su artículo 2. La necesidad de la contratación por parte de las Entidades del Estado se encausa en la satisfacción directa o indirecta del interés público o de las necesidades colectivas</w:t>
      </w:r>
      <w:r w:rsidRPr="000D6180">
        <w:rPr>
          <w:rStyle w:val="Refdenotaalpie"/>
          <w:rFonts w:ascii="Verdana" w:eastAsia="Times New Roman" w:hAnsi="Verdana" w:cs="Times New Roman"/>
          <w:lang w:val="es-ES" w:eastAsia="es-ES_tradnl"/>
        </w:rPr>
        <w:footnoteReference w:id="7"/>
      </w:r>
      <w:r w:rsidRPr="000D6180">
        <w:rPr>
          <w:rFonts w:ascii="Verdana" w:eastAsia="Times New Roman" w:hAnsi="Verdana" w:cs="Times New Roman"/>
          <w:lang w:val="es-ES" w:eastAsia="es-ES_tradnl"/>
        </w:rPr>
        <w:t xml:space="preserve">. </w:t>
      </w:r>
    </w:p>
    <w:p w14:paraId="5BE05EBA" w14:textId="77777777" w:rsidR="0071640F" w:rsidRPr="000D6180" w:rsidRDefault="0071640F" w:rsidP="0071640F">
      <w:pPr>
        <w:spacing w:after="120" w:line="276" w:lineRule="auto"/>
        <w:ind w:firstLine="709"/>
        <w:jc w:val="both"/>
        <w:rPr>
          <w:rFonts w:ascii="Verdana" w:eastAsia="Times New Roman" w:hAnsi="Verdana" w:cs="Times New Roman"/>
          <w:lang w:val="es-ES" w:eastAsia="es-ES_tradnl"/>
        </w:rPr>
      </w:pPr>
      <w:r w:rsidRPr="000D6180">
        <w:rPr>
          <w:rFonts w:ascii="Verdana" w:eastAsia="Times New Roman" w:hAnsi="Verdana" w:cs="Times New Roman"/>
          <w:lang w:val="es-ES" w:eastAsia="es-ES_tradnl"/>
        </w:rPr>
        <w:t>El artículo 13 de la Ley 80 de 1993 determinó que “[L]os contratos que celebren las entidades a que se refiere el artículo 2 del presente estatuto se regirán por las disposiciones comerciales y civiles pertinentes, salvo en las materias particularmente reguladas en esta ley”. En el mismo sentido, al definir el contrato estatal, el artículo 32 del Estatuto señala que “[S]on contratos estatales todos los actos jurídicos generadores de obligaciones que celebren las entidades a que se refiere el presente estatuto, previstos en el derecho privado o en disposiciones especiales, o derivados del ejercicio de la autonomía de la voluntad […]”.</w:t>
      </w:r>
    </w:p>
    <w:p w14:paraId="499EDF42" w14:textId="77777777" w:rsidR="0071640F" w:rsidRPr="000D6180" w:rsidRDefault="0071640F" w:rsidP="0071640F">
      <w:pPr>
        <w:spacing w:after="120" w:line="276" w:lineRule="auto"/>
        <w:ind w:firstLine="709"/>
        <w:jc w:val="both"/>
        <w:rPr>
          <w:rFonts w:ascii="Verdana" w:eastAsia="Times New Roman" w:hAnsi="Verdana" w:cs="Times New Roman"/>
          <w:lang w:val="es-ES" w:eastAsia="es-ES_tradnl"/>
        </w:rPr>
      </w:pPr>
      <w:r w:rsidRPr="000D6180">
        <w:rPr>
          <w:rFonts w:ascii="Verdana" w:eastAsia="Times New Roman" w:hAnsi="Verdana" w:cs="Times New Roman"/>
          <w:lang w:val="es-ES" w:eastAsia="es-ES_tradnl"/>
        </w:rPr>
        <w:t xml:space="preserve">De esta manera, la celebración de los contratos regidos por el EGCAP deberá cumplir las disposiciones del derecho privado que resulten aplicables, excepto en aquellas materias en que la propia ley o el Estatuto regule. De acuerdo con lo anterior, y tal y como lo ha definido la Sala de Consulta y Servicio Civil, “[E]n la actividad contractual del Estado es posible predicar, como se desprende de los artículos 13, 32 y 40 de la Ley 80 de 1993, que el régimen jurídico de los contratos estatales no es unitario y puro, sino variable y mixto, </w:t>
      </w:r>
      <w:r w:rsidRPr="000D6180">
        <w:rPr>
          <w:rFonts w:ascii="Verdana" w:eastAsia="Times New Roman" w:hAnsi="Verdana" w:cs="Times New Roman"/>
          <w:lang w:val="es-ES" w:eastAsia="es-ES_tradnl"/>
        </w:rPr>
        <w:lastRenderedPageBreak/>
        <w:t>apareciendo siempre mezclados en distintas proporciones el Derecho administrativo y el Derecho privado”</w:t>
      </w:r>
      <w:r w:rsidRPr="000D6180">
        <w:rPr>
          <w:rStyle w:val="Refdenotaalpie"/>
          <w:rFonts w:ascii="Verdana" w:eastAsia="Times New Roman" w:hAnsi="Verdana" w:cs="Times New Roman"/>
          <w:lang w:val="es-ES" w:eastAsia="es-ES_tradnl"/>
        </w:rPr>
        <w:footnoteReference w:id="8"/>
      </w:r>
      <w:r w:rsidRPr="000D6180">
        <w:rPr>
          <w:rFonts w:ascii="Verdana" w:eastAsia="Times New Roman" w:hAnsi="Verdana" w:cs="Times New Roman"/>
          <w:lang w:val="es-ES" w:eastAsia="es-ES_tradnl"/>
        </w:rPr>
        <w:t>.</w:t>
      </w:r>
    </w:p>
    <w:p w14:paraId="6EE7D113" w14:textId="77777777" w:rsidR="0071640F" w:rsidRPr="000D6180" w:rsidRDefault="0071640F" w:rsidP="0071640F">
      <w:pPr>
        <w:spacing w:after="120" w:line="276" w:lineRule="auto"/>
        <w:ind w:firstLine="709"/>
        <w:jc w:val="both"/>
        <w:rPr>
          <w:rFonts w:ascii="Verdana" w:eastAsia="Times New Roman" w:hAnsi="Verdana" w:cs="Times New Roman"/>
          <w:lang w:val="es-ES" w:eastAsia="es-ES_tradnl"/>
        </w:rPr>
      </w:pPr>
      <w:r w:rsidRPr="000D6180">
        <w:rPr>
          <w:rFonts w:ascii="Verdana" w:eastAsia="Times New Roman" w:hAnsi="Verdana" w:cs="Times New Roman"/>
          <w:lang w:val="es-ES" w:eastAsia="es-ES_tradnl"/>
        </w:rPr>
        <w:t xml:space="preserve">En ese contexto, las normas del derecho privado son aplicables en la contratación estatal, dentro de los límites constitucionales y legales, por lo que la celebración de los contratos </w:t>
      </w:r>
      <w:r>
        <w:rPr>
          <w:rFonts w:ascii="Verdana" w:eastAsia="Times New Roman" w:hAnsi="Verdana" w:cs="Times New Roman"/>
          <w:lang w:val="es-ES" w:eastAsia="es-ES_tradnl"/>
        </w:rPr>
        <w:t xml:space="preserve">de </w:t>
      </w:r>
      <w:r w:rsidRPr="000D6180">
        <w:rPr>
          <w:rFonts w:ascii="Verdana" w:eastAsia="Times New Roman" w:hAnsi="Verdana" w:cs="Times New Roman"/>
          <w:lang w:val="es-ES" w:eastAsia="es-ES_tradnl"/>
        </w:rPr>
        <w:t xml:space="preserve">corretaje se rige por lo dispuesto en los artículos 1340 a 1346 del Código de Comercio. Estos regulan de manera general dicho negocio jurídico, definiendo la figura del corredor como “La persona que, por su especial conocimiento de los mercados, se ocupa como agente intermediario en la tarea de poner </w:t>
      </w:r>
      <w:proofErr w:type="gramStart"/>
      <w:r w:rsidRPr="000D6180">
        <w:rPr>
          <w:rFonts w:ascii="Verdana" w:eastAsia="Times New Roman" w:hAnsi="Verdana" w:cs="Times New Roman"/>
          <w:lang w:val="es-ES" w:eastAsia="es-ES_tradnl"/>
        </w:rPr>
        <w:t>en relación a</w:t>
      </w:r>
      <w:proofErr w:type="gramEnd"/>
      <w:r w:rsidRPr="000D6180">
        <w:rPr>
          <w:rFonts w:ascii="Verdana" w:eastAsia="Times New Roman" w:hAnsi="Verdana" w:cs="Times New Roman"/>
          <w:lang w:val="es-ES" w:eastAsia="es-ES_tradnl"/>
        </w:rPr>
        <w:t xml:space="preserve"> dos o más personas, con el fin de que celebren un negocio comercial, sin estar vinculado a las partes por relaciones de colaboración, dependencia, mandato o representación”. Adicionalmente, los artículos 1347 a 1353 establecen una regulación especial para los corredores de seguros</w:t>
      </w:r>
      <w:r w:rsidRPr="000D6180">
        <w:rPr>
          <w:rFonts w:ascii="Verdana" w:eastAsia="Times New Roman" w:hAnsi="Verdana" w:cs="Times New Roman"/>
          <w:vertAlign w:val="superscript"/>
          <w:lang w:val="es-ES" w:eastAsia="es-ES_tradnl"/>
        </w:rPr>
        <w:footnoteReference w:id="9"/>
      </w:r>
      <w:r w:rsidRPr="000D6180">
        <w:rPr>
          <w:rFonts w:ascii="Verdana" w:eastAsia="Times New Roman" w:hAnsi="Verdana" w:cs="Times New Roman"/>
          <w:lang w:val="es-ES" w:eastAsia="es-ES_tradnl"/>
        </w:rPr>
        <w:t>.</w:t>
      </w:r>
    </w:p>
    <w:p w14:paraId="4E4CA789" w14:textId="77777777" w:rsidR="0071640F" w:rsidRPr="000D6180" w:rsidRDefault="0071640F" w:rsidP="0071640F">
      <w:pPr>
        <w:spacing w:after="120" w:line="276" w:lineRule="auto"/>
        <w:ind w:firstLine="708"/>
        <w:jc w:val="both"/>
        <w:rPr>
          <w:rFonts w:ascii="Verdana" w:eastAsia="Times New Roman" w:hAnsi="Verdana" w:cs="Times New Roman"/>
          <w:lang w:val="es-ES" w:eastAsia="es-ES_tradnl"/>
        </w:rPr>
      </w:pPr>
      <w:r w:rsidRPr="000D6180">
        <w:rPr>
          <w:rFonts w:ascii="Verdana" w:eastAsia="Times New Roman" w:hAnsi="Verdana" w:cs="Times New Roman"/>
          <w:lang w:val="es-ES" w:eastAsia="es-ES_tradnl"/>
        </w:rPr>
        <w:t>Los corredores o intermediarios de seguros constituyen uno de los canales más comunes que se usan en el mercado de seguros para comercializar y distribuir productos de aseguramiento. Estos intermediarios suelen cumplir un rol dirigido a asesorar a las partes que intervienen en un contrato de seguros, gestionar pagos de indemnizaciones, recaudar primas, entre otras actividades, a cambio de una remuneración. Esta contraprestación consiste en una comisión calculada como un porcentaje de la prima pagada por el asegurado, la cual, por disposición expresa del artículo 1341, debe ser pagada de forma directa por la compañía de seguros.</w:t>
      </w:r>
    </w:p>
    <w:p w14:paraId="6DC40051" w14:textId="77777777" w:rsidR="0071640F" w:rsidRPr="000D6180" w:rsidRDefault="0071640F" w:rsidP="0071640F">
      <w:pPr>
        <w:spacing w:after="120" w:line="276" w:lineRule="auto"/>
        <w:ind w:firstLine="708"/>
        <w:jc w:val="both"/>
        <w:rPr>
          <w:rFonts w:ascii="Verdana" w:eastAsia="Times New Roman" w:hAnsi="Verdana" w:cs="Times New Roman"/>
          <w:lang w:val="es-ES" w:eastAsia="es-ES_tradnl"/>
        </w:rPr>
      </w:pPr>
      <w:r w:rsidRPr="000D6180">
        <w:rPr>
          <w:rFonts w:ascii="Verdana" w:eastAsia="Times New Roman" w:hAnsi="Verdana" w:cs="Times New Roman"/>
          <w:lang w:val="es-ES" w:eastAsia="es-ES_tradnl"/>
        </w:rPr>
        <w:t xml:space="preserve">Sobre el rol que cumplen los intermediarios de seguros, la doctrina nacional ha señalado que son “eslabones entre “el tomador” y “asegurador”, </w:t>
      </w:r>
      <w:r w:rsidRPr="000D6180">
        <w:rPr>
          <w:rFonts w:ascii="Verdana" w:eastAsia="Times New Roman" w:hAnsi="Verdana" w:cs="Times New Roman"/>
          <w:lang w:val="es-ES" w:eastAsia="es-ES_tradnl"/>
        </w:rPr>
        <w:lastRenderedPageBreak/>
        <w:t>dignos de la confianza de uno y otro, cuyo común denominador radica en su tarea profesional de aproximarlos a la celebración del contrato de seguro, a trueque –claro está– de una prestación económica a cargo del “asegurador” que, no sobra decirlo, hace parte de la prima”</w:t>
      </w:r>
      <w:r w:rsidRPr="000D6180">
        <w:rPr>
          <w:rFonts w:ascii="Verdana" w:eastAsia="Times New Roman" w:hAnsi="Verdana" w:cs="Times New Roman"/>
          <w:vertAlign w:val="superscript"/>
          <w:lang w:val="es-ES" w:eastAsia="es-ES_tradnl"/>
        </w:rPr>
        <w:footnoteReference w:id="10"/>
      </w:r>
      <w:r w:rsidRPr="000D6180">
        <w:rPr>
          <w:rFonts w:ascii="Verdana" w:eastAsia="Times New Roman" w:hAnsi="Verdana" w:cs="Times New Roman"/>
          <w:lang w:val="es-ES" w:eastAsia="es-ES_tradnl"/>
        </w:rPr>
        <w:t>.</w:t>
      </w:r>
    </w:p>
    <w:p w14:paraId="134D238E" w14:textId="77777777" w:rsidR="0071640F" w:rsidRPr="000D6180" w:rsidRDefault="0071640F" w:rsidP="0071640F">
      <w:pPr>
        <w:spacing w:after="120" w:line="276" w:lineRule="auto"/>
        <w:ind w:firstLine="708"/>
        <w:jc w:val="both"/>
        <w:rPr>
          <w:rFonts w:ascii="Verdana" w:eastAsia="Times New Roman" w:hAnsi="Verdana" w:cs="Times New Roman"/>
          <w:lang w:val="es-ES" w:eastAsia="es-ES_tradnl"/>
        </w:rPr>
      </w:pPr>
      <w:r w:rsidRPr="000D6180">
        <w:rPr>
          <w:rFonts w:ascii="Verdana" w:eastAsia="Times New Roman" w:hAnsi="Verdana" w:cs="Times New Roman"/>
          <w:lang w:val="es-ES" w:eastAsia="es-ES_tradnl"/>
        </w:rPr>
        <w:t>Los artículos 5 y 40</w:t>
      </w:r>
      <w:r w:rsidRPr="000D6180">
        <w:rPr>
          <w:rFonts w:ascii="Verdana" w:eastAsia="Times New Roman" w:hAnsi="Verdana" w:cs="Times New Roman"/>
          <w:vertAlign w:val="superscript"/>
          <w:lang w:val="es-ES" w:eastAsia="es-ES_tradnl"/>
        </w:rPr>
        <w:footnoteReference w:id="11"/>
      </w:r>
      <w:r w:rsidRPr="000D6180">
        <w:rPr>
          <w:rFonts w:ascii="Verdana" w:eastAsia="Times New Roman" w:hAnsi="Verdana" w:cs="Times New Roman"/>
          <w:lang w:val="es-ES" w:eastAsia="es-ES_tradnl"/>
        </w:rPr>
        <w:t xml:space="preserve"> del Decreto Ley 663 de 1993 o Estatuto Orgánico del Sistema Financiero señala que los corredores de seguros, agencias o agentes son quienes se encuentran autorizados para desarrollar dicha labor de intermediación. Estas normas a su vez remiten a los artículos 1347 y siguientes del Código de Comercio, aplicables a los corredores de seguros, en las que se determina que solo podrán desempeñarse como tales “(…) las empresas constituidas o que se constituyan como sociedades comerciales, colectivas o de responsabilidad limitada, cuyo objeto social sea exclusivamente ofrecer seguros, promover su celebración y obtener su renovación a título de intermediarios entre el asegurado y el asegurador”.</w:t>
      </w:r>
    </w:p>
    <w:p w14:paraId="1159C971" w14:textId="77777777" w:rsidR="0071640F" w:rsidRPr="000D6180" w:rsidRDefault="0071640F" w:rsidP="0071640F">
      <w:pPr>
        <w:spacing w:after="120" w:line="276" w:lineRule="auto"/>
        <w:ind w:firstLine="708"/>
        <w:jc w:val="both"/>
        <w:rPr>
          <w:rFonts w:ascii="Verdana" w:eastAsia="Times New Roman" w:hAnsi="Verdana" w:cs="Times New Roman"/>
          <w:lang w:val="es-ES" w:eastAsia="es-ES_tradnl"/>
        </w:rPr>
      </w:pPr>
      <w:r w:rsidRPr="000D6180">
        <w:rPr>
          <w:rFonts w:ascii="Verdana" w:eastAsia="Times New Roman" w:hAnsi="Verdana" w:cs="Times New Roman"/>
          <w:lang w:val="es-ES" w:eastAsia="es-ES_tradnl"/>
        </w:rPr>
        <w:t xml:space="preserve">Conforme a esto, el objeto social de los intermediarios de seguros está orientado a la oferta, promoción y renovación de seguros; además, deben contar con personal especializado que permita brindar asesoría a los consumidores de seguros. Los intermediarios de seguros reducen la asimetría de información, en la medida en que las compañías de seguros no tienen información completa sobre el perfil de riesgo de los compradores, mientras que estos compradores </w:t>
      </w:r>
      <w:r w:rsidRPr="000D6180">
        <w:rPr>
          <w:rFonts w:ascii="Verdana" w:eastAsia="Times New Roman" w:hAnsi="Verdana" w:cs="Times New Roman"/>
          <w:lang w:val="es-ES" w:eastAsia="es-ES_tradnl"/>
        </w:rPr>
        <w:lastRenderedPageBreak/>
        <w:t>en principio desconocen cuál es la mejor oferta disponible en el mercado, por lo que los intermediarios transmiten la información de una forma clara a cada una de las partes, lo que se traduce en la toma de mejores decisiones. En ese sentido, los intermediarios de seguros fungen como unos terceros en la celebración del contrato de seguros, de conformidad con el artículo 1039 del Código de Comercio</w:t>
      </w:r>
      <w:r w:rsidRPr="000D6180">
        <w:rPr>
          <w:rFonts w:ascii="Verdana" w:eastAsia="Times New Roman" w:hAnsi="Verdana" w:cs="Times New Roman"/>
          <w:vertAlign w:val="superscript"/>
          <w:lang w:val="es-ES" w:eastAsia="es-ES_tradnl"/>
        </w:rPr>
        <w:footnoteReference w:id="12"/>
      </w:r>
      <w:r w:rsidRPr="000D6180">
        <w:rPr>
          <w:rFonts w:ascii="Verdana" w:eastAsia="Times New Roman" w:hAnsi="Verdana" w:cs="Times New Roman"/>
          <w:lang w:val="es-ES" w:eastAsia="es-ES_tradnl"/>
        </w:rPr>
        <w:t xml:space="preserve">. </w:t>
      </w:r>
    </w:p>
    <w:p w14:paraId="3C91B923" w14:textId="77777777" w:rsidR="0071640F" w:rsidRPr="000D6180" w:rsidRDefault="0071640F" w:rsidP="0071640F">
      <w:pPr>
        <w:spacing w:after="120" w:line="276" w:lineRule="auto"/>
        <w:ind w:firstLine="708"/>
        <w:jc w:val="both"/>
        <w:rPr>
          <w:rFonts w:ascii="Verdana" w:eastAsia="Times New Roman" w:hAnsi="Verdana" w:cs="Times New Roman"/>
          <w:lang w:val="es-ES" w:eastAsia="es-ES_tradnl"/>
        </w:rPr>
      </w:pPr>
      <w:r w:rsidRPr="000D6180">
        <w:rPr>
          <w:rFonts w:ascii="Verdana" w:eastAsia="Times New Roman" w:hAnsi="Verdana" w:cs="Times New Roman"/>
          <w:lang w:val="es-ES" w:eastAsia="es-ES_tradnl"/>
        </w:rPr>
        <w:t xml:space="preserve">Si bien no existe una definición legal de intermediario de seguro, la Corte Constitucional, en la sentencia C-479 de 1999, al estudiar distintas disposiciones del Estatuto Orgánico del Sistema Financiero, se refirió a esta figura y a la labor que desempeñan. Al respecto manifestó: </w:t>
      </w:r>
    </w:p>
    <w:p w14:paraId="3D783953" w14:textId="77777777" w:rsidR="0071640F" w:rsidRPr="000D6180" w:rsidRDefault="0071640F" w:rsidP="0071640F">
      <w:pPr>
        <w:spacing w:after="0" w:line="240" w:lineRule="auto"/>
        <w:ind w:left="709" w:right="709"/>
        <w:jc w:val="both"/>
        <w:rPr>
          <w:rFonts w:ascii="Verdana" w:eastAsia="Times New Roman" w:hAnsi="Verdana" w:cs="Times New Roman"/>
          <w:sz w:val="20"/>
          <w:szCs w:val="20"/>
          <w:lang w:val="es-ES" w:eastAsia="es-ES_tradnl"/>
        </w:rPr>
      </w:pPr>
      <w:r w:rsidRPr="000D6180">
        <w:rPr>
          <w:rFonts w:ascii="Verdana" w:eastAsia="Times New Roman" w:hAnsi="Verdana" w:cs="Times New Roman"/>
          <w:sz w:val="20"/>
          <w:szCs w:val="20"/>
          <w:lang w:val="es-ES" w:eastAsia="es-ES_tradnl"/>
        </w:rPr>
        <w:t xml:space="preserve">“El artículo 1° del EOSF11, acogiendo un criterio orgánico, determina que el sistema financiero y asegurador se encuentra conformado entre otros, por los intermediarios de seguros y reaseguros. El artículo 40 ibídem, define que son intermediarios de seguros las sociedades corredoras de seguros, y los agentes y agencias de seguros. Estas tres últimas categorías se distinguen en que las primeras son empresas que se constituyen como sociedades comerciales, colectivas o de responsabilidad limitada cuyo objeto social exclusivo consiste en ofrecer seguros y promover la celebración y renovación del respectivo contrato, interviniendo a título de intermediario entre el asegurado y el asegurador, al paso que los agentes son personas naturales que llevan acabo la misma actividad, en relación con una o varias compañías de seguros. Las agencias, por su parte, tienen como facultad la de promover la celebración de contratos de seguros por si mismas o por medio de agentes colocadores. Así las cosas, los intermediarios de seguros, en cualquiera de sus modalidades, son entidades o personas que, sin expedir pólizas ni ser parte en el contrato de seguro, ponen en contacto a las compañías de seguros con los tomadores de las pólizas. Esta es, por esencia, la actividad a la que se dedican, aunque la intermediación de seguros no se reduzca a </w:t>
      </w:r>
      <w:proofErr w:type="gramStart"/>
      <w:r w:rsidRPr="000D6180">
        <w:rPr>
          <w:rFonts w:ascii="Verdana" w:eastAsia="Times New Roman" w:hAnsi="Verdana" w:cs="Times New Roman"/>
          <w:sz w:val="20"/>
          <w:szCs w:val="20"/>
          <w:lang w:val="es-ES" w:eastAsia="es-ES_tradnl"/>
        </w:rPr>
        <w:t>ella</w:t>
      </w:r>
      <w:proofErr w:type="gramEnd"/>
      <w:r w:rsidRPr="000D6180">
        <w:rPr>
          <w:rFonts w:ascii="Verdana" w:eastAsia="Times New Roman" w:hAnsi="Verdana" w:cs="Times New Roman"/>
          <w:sz w:val="20"/>
          <w:szCs w:val="20"/>
          <w:lang w:val="es-ES" w:eastAsia="es-ES_tradnl"/>
        </w:rPr>
        <w:t xml:space="preserve"> sino que se proyecte más allá de la simple colocación de pólizas, en una serie de operaciones complementarias de tipo técnico como pueden serlo, v.g., la inspección de riesgos o la intervención en salvamentos”</w:t>
      </w:r>
      <w:r w:rsidRPr="000D6180">
        <w:rPr>
          <w:rFonts w:ascii="Verdana" w:eastAsia="Times New Roman" w:hAnsi="Verdana" w:cs="Times New Roman"/>
          <w:sz w:val="20"/>
          <w:szCs w:val="20"/>
          <w:vertAlign w:val="superscript"/>
          <w:lang w:val="es-ES" w:eastAsia="es-ES_tradnl"/>
        </w:rPr>
        <w:footnoteReference w:id="13"/>
      </w:r>
      <w:r w:rsidRPr="000D6180">
        <w:rPr>
          <w:rFonts w:ascii="Verdana" w:eastAsia="Times New Roman" w:hAnsi="Verdana" w:cs="Times New Roman"/>
          <w:sz w:val="20"/>
          <w:szCs w:val="20"/>
          <w:lang w:val="es-ES" w:eastAsia="es-ES_tradnl"/>
        </w:rPr>
        <w:t>.</w:t>
      </w:r>
    </w:p>
    <w:p w14:paraId="483BF52D" w14:textId="77777777" w:rsidR="0071640F" w:rsidRPr="000D6180" w:rsidRDefault="0071640F" w:rsidP="0071640F">
      <w:pPr>
        <w:spacing w:after="0" w:line="240" w:lineRule="auto"/>
        <w:ind w:left="709" w:right="709"/>
        <w:jc w:val="both"/>
        <w:rPr>
          <w:rFonts w:ascii="Verdana" w:eastAsia="Times New Roman" w:hAnsi="Verdana" w:cs="Times New Roman"/>
          <w:sz w:val="20"/>
          <w:szCs w:val="20"/>
          <w:lang w:val="es-ES" w:eastAsia="es-ES_tradnl"/>
        </w:rPr>
      </w:pPr>
    </w:p>
    <w:p w14:paraId="3F3998E3" w14:textId="77777777" w:rsidR="0071640F" w:rsidRPr="000D6180" w:rsidRDefault="0071640F" w:rsidP="0071640F">
      <w:pPr>
        <w:spacing w:after="120" w:line="276" w:lineRule="auto"/>
        <w:ind w:firstLine="708"/>
        <w:jc w:val="both"/>
        <w:rPr>
          <w:rFonts w:ascii="Verdana" w:eastAsia="Times New Roman" w:hAnsi="Verdana" w:cs="Times New Roman"/>
          <w:lang w:val="es-ES" w:eastAsia="es-ES_tradnl"/>
        </w:rPr>
      </w:pPr>
      <w:r w:rsidRPr="000D6180">
        <w:rPr>
          <w:rFonts w:ascii="Verdana" w:eastAsia="Times New Roman" w:hAnsi="Verdana" w:cs="Times New Roman"/>
          <w:lang w:val="es-ES" w:eastAsia="es-ES_tradnl"/>
        </w:rPr>
        <w:t xml:space="preserve">De otra parte, la Sección Tercera del Consejo de Estado también ha realizado consideraciones dirigidas a precisar el alcance del contrato de </w:t>
      </w:r>
      <w:r w:rsidRPr="000D6180">
        <w:rPr>
          <w:rFonts w:ascii="Verdana" w:eastAsia="Times New Roman" w:hAnsi="Verdana" w:cs="Times New Roman"/>
          <w:lang w:val="es-ES" w:eastAsia="es-ES_tradnl"/>
        </w:rPr>
        <w:lastRenderedPageBreak/>
        <w:t>intermediación de seguros, distinguiéndolo del contrato de prestación de servicios. Al respecto ha manifestado:</w:t>
      </w:r>
    </w:p>
    <w:p w14:paraId="1FAB18A1" w14:textId="77777777" w:rsidR="0071640F" w:rsidRPr="000D6180" w:rsidRDefault="0071640F" w:rsidP="0071640F">
      <w:pPr>
        <w:spacing w:after="0" w:line="240" w:lineRule="auto"/>
        <w:ind w:left="709" w:right="709"/>
        <w:jc w:val="both"/>
        <w:rPr>
          <w:rFonts w:ascii="Verdana" w:eastAsia="Times New Roman" w:hAnsi="Verdana" w:cs="Times New Roman"/>
          <w:sz w:val="20"/>
          <w:szCs w:val="20"/>
          <w:lang w:val="es-ES" w:eastAsia="es-ES_tradnl"/>
        </w:rPr>
      </w:pPr>
      <w:r w:rsidRPr="000D6180">
        <w:rPr>
          <w:rFonts w:ascii="Verdana" w:eastAsia="Times New Roman" w:hAnsi="Verdana" w:cs="Times New Roman"/>
          <w:sz w:val="20"/>
          <w:szCs w:val="20"/>
          <w:lang w:val="es-ES" w:eastAsia="es-ES_tradnl"/>
        </w:rPr>
        <w:t xml:space="preserve">“[E]s importante </w:t>
      </w:r>
      <w:proofErr w:type="gramStart"/>
      <w:r w:rsidRPr="000D6180">
        <w:rPr>
          <w:rFonts w:ascii="Verdana" w:eastAsia="Times New Roman" w:hAnsi="Verdana" w:cs="Times New Roman"/>
          <w:sz w:val="20"/>
          <w:szCs w:val="20"/>
          <w:lang w:val="es-ES" w:eastAsia="es-ES_tradnl"/>
        </w:rPr>
        <w:t>precisar</w:t>
      </w:r>
      <w:proofErr w:type="gramEnd"/>
      <w:r w:rsidRPr="000D6180">
        <w:rPr>
          <w:rFonts w:ascii="Verdana" w:eastAsia="Times New Roman" w:hAnsi="Verdana" w:cs="Times New Roman"/>
          <w:sz w:val="20"/>
          <w:szCs w:val="20"/>
          <w:lang w:val="es-ES" w:eastAsia="es-ES_tradnl"/>
        </w:rPr>
        <w:t xml:space="preserve"> que el objeto de la intermediación del corredor será el ofrecimiento de seguros, la promoción de su celebración y la obtención de la renovación de </w:t>
      </w:r>
      <w:proofErr w:type="gramStart"/>
      <w:r w:rsidRPr="000D6180">
        <w:rPr>
          <w:rFonts w:ascii="Verdana" w:eastAsia="Times New Roman" w:hAnsi="Verdana" w:cs="Times New Roman"/>
          <w:sz w:val="20"/>
          <w:szCs w:val="20"/>
          <w:lang w:val="es-ES" w:eastAsia="es-ES_tradnl"/>
        </w:rPr>
        <w:t>los mismos</w:t>
      </w:r>
      <w:proofErr w:type="gramEnd"/>
      <w:r w:rsidRPr="000D6180">
        <w:rPr>
          <w:rFonts w:ascii="Verdana" w:eastAsia="Times New Roman" w:hAnsi="Verdana" w:cs="Times New Roman"/>
          <w:sz w:val="20"/>
          <w:szCs w:val="20"/>
          <w:lang w:val="es-ES" w:eastAsia="es-ES_tradnl"/>
        </w:rPr>
        <w:t>, y se entenderá cumplido siempre que éste último realice sus obligaciones a cabalidad, independientemente de que el respectivo contrato de seguro se celebre. En efecto, la circunstancia de que sólo cuando esto sucede tiene el corredor derecho a recibir la comisión, según lo dispuesto en el artículo 1341 del C. de Co., no puede dar lugar a obtener una conclusión diferente; el corredor de seguros celebra los contratos de intermediación con el tomador y con el asegurador, adquiriendo obligaciones que cumple, en el primer caso, de manera gratuita, y en el segundo, a cambio de una comisión aleatoria, esto es, condicionada a la celebración del contrato de seguro objeto de la intermediación.</w:t>
      </w:r>
    </w:p>
    <w:p w14:paraId="01DC9C01" w14:textId="77777777" w:rsidR="0071640F" w:rsidRPr="000D6180" w:rsidRDefault="0071640F" w:rsidP="0071640F">
      <w:pPr>
        <w:spacing w:after="0" w:line="240" w:lineRule="auto"/>
        <w:ind w:left="709" w:right="709"/>
        <w:jc w:val="both"/>
        <w:rPr>
          <w:rFonts w:ascii="Verdana" w:eastAsia="Times New Roman" w:hAnsi="Verdana" w:cs="Times New Roman"/>
          <w:sz w:val="20"/>
          <w:szCs w:val="20"/>
          <w:lang w:val="es-ES" w:eastAsia="es-ES_tradnl"/>
        </w:rPr>
      </w:pPr>
    </w:p>
    <w:p w14:paraId="075978BB" w14:textId="77777777" w:rsidR="0071640F" w:rsidRPr="000D6180" w:rsidRDefault="0071640F" w:rsidP="0071640F">
      <w:pPr>
        <w:spacing w:after="0" w:line="240" w:lineRule="auto"/>
        <w:ind w:left="709" w:right="709"/>
        <w:jc w:val="both"/>
        <w:rPr>
          <w:rFonts w:ascii="Verdana" w:eastAsia="Times New Roman" w:hAnsi="Verdana" w:cs="Times New Roman"/>
          <w:sz w:val="20"/>
          <w:szCs w:val="20"/>
          <w:lang w:val="es-ES" w:eastAsia="es-ES_tradnl"/>
        </w:rPr>
      </w:pPr>
      <w:r w:rsidRPr="000D6180">
        <w:rPr>
          <w:rFonts w:ascii="Verdana" w:eastAsia="Times New Roman" w:hAnsi="Verdana" w:cs="Times New Roman"/>
          <w:sz w:val="20"/>
          <w:szCs w:val="20"/>
          <w:lang w:val="es-ES" w:eastAsia="es-ES_tradnl"/>
        </w:rPr>
        <w:t>Es evidente, por lo anterior, que el contrato de corretaje de seguros constituye un contrato autónomo, que, como bien lo dice el profesor Ossa, en el aparte transcrito anteriormente, sobrevive, en muchas ocasiones, a la celebración del contrato de seguro. Al respecto, es importante anotar que la labor de intermediación se extiende, por lo general, a la etapa de ejecución del contrato celebrado entre el asegurador y el tomador, en la cual pueden presentarse situaciones que requieran la realización de diversos trámites, especialmente cuando el riesgo se realiza o hay necesidad de efectuar ajustes al contrato de seguro. Finalmente, la intervención del corredor en la etapa posterior a la celebración de este último resulta muy importante para efectos de obtener su renovación, tarea que, como se ha visto, constituye uno de los objetivos específicos de la intermediación. Por esta misma razón, el autor citado no duda en afirmar que el corretaje de seguros constituye un contrato de tracto sucesivo, sin que el hecho de que dicho contrato comparta tal característica del contrato de seguro (artículo 1036 del Código de Comercio) permita considerar, ni por asomo, que el primero sea accesorio del segundo, como lo pretende el demandante (…)</w:t>
      </w:r>
    </w:p>
    <w:p w14:paraId="0E79516A" w14:textId="77777777" w:rsidR="0071640F" w:rsidRPr="000D6180" w:rsidRDefault="0071640F" w:rsidP="0071640F">
      <w:pPr>
        <w:spacing w:after="0" w:line="240" w:lineRule="auto"/>
        <w:ind w:left="709" w:right="709"/>
        <w:jc w:val="both"/>
        <w:rPr>
          <w:rFonts w:ascii="Verdana" w:eastAsia="Times New Roman" w:hAnsi="Verdana" w:cs="Times New Roman"/>
          <w:sz w:val="20"/>
          <w:szCs w:val="20"/>
          <w:lang w:val="es-ES" w:eastAsia="es-ES_tradnl"/>
        </w:rPr>
      </w:pPr>
    </w:p>
    <w:p w14:paraId="5F3511CF" w14:textId="77777777" w:rsidR="0071640F" w:rsidRPr="000D6180" w:rsidRDefault="0071640F" w:rsidP="0071640F">
      <w:pPr>
        <w:spacing w:after="0" w:line="240" w:lineRule="auto"/>
        <w:ind w:left="709" w:right="709"/>
        <w:jc w:val="both"/>
        <w:rPr>
          <w:rFonts w:ascii="Verdana" w:eastAsia="Times New Roman" w:hAnsi="Verdana" w:cs="Times New Roman"/>
          <w:sz w:val="20"/>
          <w:szCs w:val="20"/>
          <w:lang w:val="es-ES" w:eastAsia="es-ES_tradnl"/>
        </w:rPr>
      </w:pPr>
      <w:r w:rsidRPr="000D6180">
        <w:rPr>
          <w:rFonts w:ascii="Verdana" w:eastAsia="Times New Roman" w:hAnsi="Verdana" w:cs="Times New Roman"/>
          <w:sz w:val="20"/>
          <w:szCs w:val="20"/>
          <w:lang w:val="es-ES" w:eastAsia="es-ES_tradnl"/>
        </w:rPr>
        <w:t xml:space="preserve">[C]onsidera la Sala que los contratos de intermediación de seguros constituyen un tipo específico de contratos, cuyo objeto está claramente determinado y delimitado en las normas especiales que los regulan y, por lo tanto, no pueden confundirse con el de prestación de servicios profesionales a que se refiere la norma citada. Además, la incompatibilidad entre las dos figuras puede resultar evidente, si se tiene en cuenta </w:t>
      </w:r>
      <w:proofErr w:type="gramStart"/>
      <w:r w:rsidRPr="000D6180">
        <w:rPr>
          <w:rFonts w:ascii="Verdana" w:eastAsia="Times New Roman" w:hAnsi="Verdana" w:cs="Times New Roman"/>
          <w:sz w:val="20"/>
          <w:szCs w:val="20"/>
          <w:lang w:val="es-ES" w:eastAsia="es-ES_tradnl"/>
        </w:rPr>
        <w:t>que</w:t>
      </w:r>
      <w:proofErr w:type="gramEnd"/>
      <w:r w:rsidRPr="000D6180">
        <w:rPr>
          <w:rFonts w:ascii="Verdana" w:eastAsia="Times New Roman" w:hAnsi="Verdana" w:cs="Times New Roman"/>
          <w:sz w:val="20"/>
          <w:szCs w:val="20"/>
          <w:lang w:val="es-ES" w:eastAsia="es-ES_tradnl"/>
        </w:rPr>
        <w:t xml:space="preserve"> en los contratos de prestación de servicios, la remuneración se causa por la realización de las actividades que constituyen el servicio específico, mientras </w:t>
      </w:r>
      <w:proofErr w:type="gramStart"/>
      <w:r w:rsidRPr="000D6180">
        <w:rPr>
          <w:rFonts w:ascii="Verdana" w:eastAsia="Times New Roman" w:hAnsi="Verdana" w:cs="Times New Roman"/>
          <w:sz w:val="20"/>
          <w:szCs w:val="20"/>
          <w:lang w:val="es-ES" w:eastAsia="es-ES_tradnl"/>
        </w:rPr>
        <w:t>que</w:t>
      </w:r>
      <w:proofErr w:type="gramEnd"/>
      <w:r w:rsidRPr="000D6180">
        <w:rPr>
          <w:rFonts w:ascii="Verdana" w:eastAsia="Times New Roman" w:hAnsi="Verdana" w:cs="Times New Roman"/>
          <w:sz w:val="20"/>
          <w:szCs w:val="20"/>
          <w:lang w:val="es-ES" w:eastAsia="es-ES_tradnl"/>
        </w:rPr>
        <w:t xml:space="preserve"> en los contratos de intermediación de seguros, como se ha visto, el cumplimiento de las obligaciones del contratista no le garantiza </w:t>
      </w:r>
      <w:r w:rsidRPr="000D6180">
        <w:rPr>
          <w:rFonts w:ascii="Verdana" w:eastAsia="Times New Roman" w:hAnsi="Verdana" w:cs="Times New Roman"/>
          <w:sz w:val="20"/>
          <w:szCs w:val="20"/>
          <w:lang w:val="es-ES" w:eastAsia="es-ES_tradnl"/>
        </w:rPr>
        <w:lastRenderedPageBreak/>
        <w:t xml:space="preserve">la obtención de la comisión, que sólo recibirá si se celebra el contrato de seguro entre las partes. </w:t>
      </w:r>
    </w:p>
    <w:p w14:paraId="11F919A4" w14:textId="77777777" w:rsidR="0071640F" w:rsidRPr="000D6180" w:rsidRDefault="0071640F" w:rsidP="0071640F">
      <w:pPr>
        <w:spacing w:after="0" w:line="240" w:lineRule="auto"/>
        <w:ind w:left="709" w:right="709"/>
        <w:jc w:val="both"/>
        <w:rPr>
          <w:rFonts w:ascii="Verdana" w:eastAsia="Times New Roman" w:hAnsi="Verdana" w:cs="Times New Roman"/>
          <w:sz w:val="20"/>
          <w:szCs w:val="20"/>
          <w:lang w:val="es-ES" w:eastAsia="es-ES_tradnl"/>
        </w:rPr>
      </w:pPr>
    </w:p>
    <w:p w14:paraId="1C5965DF" w14:textId="77777777" w:rsidR="0071640F" w:rsidRPr="000D6180" w:rsidRDefault="0071640F" w:rsidP="0071640F">
      <w:pPr>
        <w:spacing w:after="0" w:line="240" w:lineRule="auto"/>
        <w:ind w:left="709" w:right="709"/>
        <w:jc w:val="both"/>
        <w:rPr>
          <w:rFonts w:ascii="Verdana" w:eastAsia="Times New Roman" w:hAnsi="Verdana" w:cs="Times New Roman"/>
          <w:sz w:val="20"/>
          <w:szCs w:val="20"/>
          <w:lang w:val="es-ES" w:eastAsia="es-ES_tradnl"/>
        </w:rPr>
      </w:pPr>
      <w:r w:rsidRPr="000D6180">
        <w:rPr>
          <w:rFonts w:ascii="Verdana" w:eastAsia="Times New Roman" w:hAnsi="Verdana" w:cs="Times New Roman"/>
          <w:sz w:val="20"/>
          <w:szCs w:val="20"/>
          <w:lang w:val="es-ES" w:eastAsia="es-ES_tradnl"/>
        </w:rPr>
        <w:t>(…)</w:t>
      </w:r>
    </w:p>
    <w:p w14:paraId="2CA5E5D1" w14:textId="77777777" w:rsidR="0071640F" w:rsidRPr="000D6180" w:rsidRDefault="0071640F" w:rsidP="0071640F">
      <w:pPr>
        <w:spacing w:after="0" w:line="240" w:lineRule="auto"/>
        <w:ind w:left="709" w:right="709"/>
        <w:jc w:val="both"/>
        <w:rPr>
          <w:rFonts w:ascii="Verdana" w:eastAsia="Times New Roman" w:hAnsi="Verdana" w:cs="Times New Roman"/>
          <w:sz w:val="20"/>
          <w:szCs w:val="20"/>
          <w:lang w:val="es-ES" w:eastAsia="es-ES_tradnl"/>
        </w:rPr>
      </w:pPr>
    </w:p>
    <w:p w14:paraId="736E598A" w14:textId="77777777" w:rsidR="0071640F" w:rsidRPr="000D6180" w:rsidRDefault="0071640F" w:rsidP="0071640F">
      <w:pPr>
        <w:spacing w:after="0" w:line="240" w:lineRule="auto"/>
        <w:ind w:left="709" w:right="709"/>
        <w:jc w:val="both"/>
        <w:rPr>
          <w:rFonts w:ascii="Verdana" w:eastAsia="Times New Roman" w:hAnsi="Verdana" w:cs="Times New Roman"/>
          <w:sz w:val="20"/>
          <w:szCs w:val="20"/>
          <w:lang w:val="es-ES" w:eastAsia="es-ES_tradnl"/>
        </w:rPr>
      </w:pPr>
      <w:r w:rsidRPr="000D6180">
        <w:rPr>
          <w:rFonts w:ascii="Verdana" w:eastAsia="Times New Roman" w:hAnsi="Verdana" w:cs="Times New Roman"/>
          <w:sz w:val="20"/>
          <w:szCs w:val="20"/>
          <w:lang w:val="es-ES" w:eastAsia="es-ES_tradnl"/>
        </w:rPr>
        <w:t>No cabe duda de que las obligaciones de los intermediarios de seguros se cumplen, en gran medida, mediante el desarrollo de labores de asesoría, especialmente en favor del tomador, quien requiere de una ilustración detallada en relación con los diferentes aspectos del seguro a contratar, muchos de ellos de carácter estrictamente técnico; sin embargo, es claro que dichas labores están íntimamente ligadas al cumplimiento del objeto principal y único de la intermediación, esto es, poner en relación a dos o más personas para que celebren el contrato de seguros o lo renueven. Por esta razón, la asesoría es considerada como una obligación complementaria o accesoria a la intermediación, y su prestación no implica el pago de una suma adicional, dado que se trata de una actividad dirigida a cumplir el objeto del contrato de corretaje o agencia, cuya remuneración, en forma de una comisión, es pagada por el asegurador”</w:t>
      </w:r>
      <w:r w:rsidRPr="000D6180">
        <w:rPr>
          <w:rFonts w:ascii="Verdana" w:eastAsia="Times New Roman" w:hAnsi="Verdana" w:cs="Times New Roman"/>
          <w:sz w:val="20"/>
          <w:szCs w:val="20"/>
          <w:vertAlign w:val="superscript"/>
          <w:lang w:val="es-ES" w:eastAsia="es-ES_tradnl"/>
        </w:rPr>
        <w:footnoteReference w:id="14"/>
      </w:r>
      <w:r w:rsidRPr="000D6180">
        <w:rPr>
          <w:rFonts w:ascii="Verdana" w:eastAsia="Times New Roman" w:hAnsi="Verdana" w:cs="Times New Roman"/>
          <w:sz w:val="20"/>
          <w:szCs w:val="20"/>
          <w:lang w:val="es-ES" w:eastAsia="es-ES_tradnl"/>
        </w:rPr>
        <w:t>.</w:t>
      </w:r>
    </w:p>
    <w:p w14:paraId="6B6E026F" w14:textId="77777777" w:rsidR="0071640F" w:rsidRPr="000D6180" w:rsidRDefault="0071640F" w:rsidP="0071640F">
      <w:pPr>
        <w:spacing w:after="0" w:line="240" w:lineRule="auto"/>
        <w:jc w:val="both"/>
        <w:rPr>
          <w:rFonts w:ascii="Verdana" w:eastAsia="Times New Roman" w:hAnsi="Verdana" w:cs="Times New Roman"/>
          <w:sz w:val="20"/>
          <w:szCs w:val="20"/>
          <w:lang w:val="es-ES" w:eastAsia="es-ES_tradnl"/>
        </w:rPr>
      </w:pPr>
    </w:p>
    <w:p w14:paraId="76604D8A" w14:textId="77777777" w:rsidR="0071640F" w:rsidRPr="000D6180" w:rsidRDefault="0071640F" w:rsidP="0071640F">
      <w:pPr>
        <w:spacing w:after="0" w:line="276" w:lineRule="auto"/>
        <w:ind w:firstLine="708"/>
        <w:jc w:val="both"/>
        <w:rPr>
          <w:rFonts w:ascii="Verdana" w:eastAsia="Times New Roman" w:hAnsi="Verdana" w:cs="Times New Roman"/>
          <w:lang w:val="es-ES" w:eastAsia="es-ES_tradnl"/>
        </w:rPr>
      </w:pPr>
      <w:r w:rsidRPr="000D6180">
        <w:rPr>
          <w:rFonts w:ascii="Verdana" w:eastAsia="Times New Roman" w:hAnsi="Verdana" w:cs="Times New Roman"/>
          <w:lang w:val="es-ES" w:eastAsia="es-ES_tradnl"/>
        </w:rPr>
        <w:t>Por su parte, la Sala de Casación Civil de la Corte Suprema de Justicia también se pronunció sobre el alcance del contrato de corretaje de seguros. Sobre el particular manifestó lo siguiente:</w:t>
      </w:r>
    </w:p>
    <w:p w14:paraId="678B92A7" w14:textId="77777777" w:rsidR="0071640F" w:rsidRPr="000D6180" w:rsidRDefault="0071640F" w:rsidP="0071640F">
      <w:pPr>
        <w:spacing w:after="0" w:line="276" w:lineRule="auto"/>
        <w:ind w:firstLine="708"/>
        <w:jc w:val="both"/>
        <w:rPr>
          <w:rFonts w:ascii="Verdana" w:eastAsia="Times New Roman" w:hAnsi="Verdana" w:cs="Times New Roman"/>
          <w:lang w:val="es-ES" w:eastAsia="es-ES_tradnl"/>
        </w:rPr>
      </w:pPr>
    </w:p>
    <w:p w14:paraId="708603AE" w14:textId="77777777" w:rsidR="0071640F" w:rsidRPr="000D6180" w:rsidRDefault="0071640F" w:rsidP="0071640F">
      <w:pPr>
        <w:spacing w:after="0" w:line="240" w:lineRule="auto"/>
        <w:ind w:left="709" w:right="709"/>
        <w:jc w:val="both"/>
        <w:rPr>
          <w:rFonts w:ascii="Verdana" w:eastAsia="Times New Roman" w:hAnsi="Verdana" w:cs="Times New Roman"/>
          <w:sz w:val="20"/>
          <w:szCs w:val="20"/>
          <w:lang w:val="es-ES" w:eastAsia="es-ES_tradnl"/>
        </w:rPr>
      </w:pPr>
      <w:r w:rsidRPr="000D6180">
        <w:rPr>
          <w:rFonts w:ascii="Verdana" w:eastAsia="Times New Roman" w:hAnsi="Verdana" w:cs="Times New Roman"/>
          <w:sz w:val="20"/>
          <w:szCs w:val="20"/>
          <w:lang w:val="es-ES" w:eastAsia="es-ES_tradnl"/>
        </w:rPr>
        <w:t xml:space="preserve">“El corredor, dicen las actas de la Comisión Revisora del Proyecto de Código de Comercio (1958), “toma la iniciativa del negocio y busca a los interesados a quienes proponérselo o insinuárselo, e, igualmente, relaciona a éstos con todas las personas que pueden servir a los fines del negocio en proyecto”. La labor del corredor se encamina a facilitar a las personas el acercamiento entre sí, la búsqueda, hallazgo y conclusión de los negocios, agregan las mismas actas. </w:t>
      </w:r>
    </w:p>
    <w:p w14:paraId="60482371" w14:textId="77777777" w:rsidR="0071640F" w:rsidRPr="000D6180" w:rsidRDefault="0071640F" w:rsidP="0071640F">
      <w:pPr>
        <w:spacing w:after="0" w:line="240" w:lineRule="auto"/>
        <w:ind w:left="709" w:right="709"/>
        <w:jc w:val="both"/>
        <w:rPr>
          <w:rFonts w:ascii="Verdana" w:eastAsia="Times New Roman" w:hAnsi="Verdana" w:cs="Times New Roman"/>
          <w:sz w:val="20"/>
          <w:szCs w:val="20"/>
          <w:lang w:val="es-ES" w:eastAsia="es-ES_tradnl"/>
        </w:rPr>
      </w:pPr>
    </w:p>
    <w:p w14:paraId="4A84A25B" w14:textId="77777777" w:rsidR="0071640F" w:rsidRPr="000D6180" w:rsidRDefault="0071640F" w:rsidP="0071640F">
      <w:pPr>
        <w:spacing w:after="0" w:line="240" w:lineRule="auto"/>
        <w:ind w:left="709" w:right="709"/>
        <w:jc w:val="both"/>
        <w:rPr>
          <w:rFonts w:ascii="Verdana" w:eastAsia="Times New Roman" w:hAnsi="Verdana" w:cs="Times New Roman"/>
          <w:sz w:val="20"/>
          <w:szCs w:val="20"/>
          <w:lang w:val="es-ES" w:eastAsia="es-ES_tradnl"/>
        </w:rPr>
      </w:pPr>
      <w:r w:rsidRPr="000D6180">
        <w:rPr>
          <w:rFonts w:ascii="Verdana" w:eastAsia="Times New Roman" w:hAnsi="Verdana" w:cs="Times New Roman"/>
          <w:sz w:val="20"/>
          <w:szCs w:val="20"/>
          <w:lang w:val="es-ES" w:eastAsia="es-ES_tradnl"/>
        </w:rPr>
        <w:t xml:space="preserve">De manera que los corredores son aquellas personas </w:t>
      </w:r>
      <w:proofErr w:type="gramStart"/>
      <w:r w:rsidRPr="000D6180">
        <w:rPr>
          <w:rFonts w:ascii="Verdana" w:eastAsia="Times New Roman" w:hAnsi="Verdana" w:cs="Times New Roman"/>
          <w:sz w:val="20"/>
          <w:szCs w:val="20"/>
          <w:lang w:val="es-ES" w:eastAsia="es-ES_tradnl"/>
        </w:rPr>
        <w:t>que</w:t>
      </w:r>
      <w:proofErr w:type="gramEnd"/>
      <w:r w:rsidRPr="000D6180">
        <w:rPr>
          <w:rFonts w:ascii="Verdana" w:eastAsia="Times New Roman" w:hAnsi="Verdana" w:cs="Times New Roman"/>
          <w:sz w:val="20"/>
          <w:szCs w:val="20"/>
          <w:lang w:val="es-ES" w:eastAsia="es-ES_tradnl"/>
        </w:rPr>
        <w:t xml:space="preserve"> por virtud del conocimiento del mercado, y con él la idoneidad y el grado de calificación que éste otorga, tienen como rol profesional y funcional, amén de típico, la intermediación que se ha venido explicando, sin vinculación con ninguna de las partes del futuro contrato, ya por trabajo, ora por mandato o representación, puesto que son independientes, y los de seguros, constituidos como empresa con ese objeto social... </w:t>
      </w:r>
    </w:p>
    <w:p w14:paraId="5D556402" w14:textId="77777777" w:rsidR="0071640F" w:rsidRPr="000D6180" w:rsidRDefault="0071640F" w:rsidP="0071640F">
      <w:pPr>
        <w:spacing w:after="0" w:line="240" w:lineRule="auto"/>
        <w:ind w:left="709" w:right="709"/>
        <w:jc w:val="both"/>
        <w:rPr>
          <w:rFonts w:ascii="Verdana" w:eastAsia="Times New Roman" w:hAnsi="Verdana" w:cs="Times New Roman"/>
          <w:sz w:val="20"/>
          <w:szCs w:val="20"/>
          <w:lang w:val="es-ES" w:eastAsia="es-ES_tradnl"/>
        </w:rPr>
      </w:pPr>
    </w:p>
    <w:p w14:paraId="2FEA9099" w14:textId="77777777" w:rsidR="0071640F" w:rsidRPr="000D6180" w:rsidRDefault="0071640F" w:rsidP="0071640F">
      <w:pPr>
        <w:spacing w:after="0" w:line="240" w:lineRule="auto"/>
        <w:ind w:left="709" w:right="709"/>
        <w:jc w:val="both"/>
        <w:rPr>
          <w:rFonts w:ascii="Verdana" w:eastAsia="Times New Roman" w:hAnsi="Verdana" w:cs="Times New Roman"/>
          <w:sz w:val="20"/>
          <w:szCs w:val="20"/>
          <w:lang w:val="es-ES" w:eastAsia="es-ES_tradnl"/>
        </w:rPr>
      </w:pPr>
      <w:r w:rsidRPr="000D6180">
        <w:rPr>
          <w:rFonts w:ascii="Verdana" w:eastAsia="Times New Roman" w:hAnsi="Verdana" w:cs="Times New Roman"/>
          <w:sz w:val="20"/>
          <w:szCs w:val="20"/>
          <w:lang w:val="es-ES" w:eastAsia="es-ES_tradnl"/>
        </w:rPr>
        <w:t xml:space="preserve">(…) </w:t>
      </w:r>
    </w:p>
    <w:p w14:paraId="54B9F853" w14:textId="77777777" w:rsidR="0071640F" w:rsidRPr="000D6180" w:rsidRDefault="0071640F" w:rsidP="0071640F">
      <w:pPr>
        <w:spacing w:after="0" w:line="240" w:lineRule="auto"/>
        <w:ind w:left="709" w:right="709"/>
        <w:jc w:val="both"/>
        <w:rPr>
          <w:rFonts w:ascii="Verdana" w:eastAsia="Times New Roman" w:hAnsi="Verdana" w:cs="Times New Roman"/>
          <w:sz w:val="20"/>
          <w:szCs w:val="20"/>
          <w:lang w:val="es-ES" w:eastAsia="es-ES_tradnl"/>
        </w:rPr>
      </w:pPr>
    </w:p>
    <w:p w14:paraId="7D787193" w14:textId="77777777" w:rsidR="0071640F" w:rsidRPr="000D6180" w:rsidRDefault="0071640F" w:rsidP="0071640F">
      <w:pPr>
        <w:spacing w:after="0" w:line="240" w:lineRule="auto"/>
        <w:ind w:left="709" w:right="709"/>
        <w:jc w:val="both"/>
        <w:rPr>
          <w:rFonts w:ascii="Verdana" w:eastAsia="Times New Roman" w:hAnsi="Verdana" w:cs="Times New Roman"/>
          <w:sz w:val="20"/>
          <w:szCs w:val="20"/>
          <w:lang w:val="es-ES" w:eastAsia="es-ES_tradnl"/>
        </w:rPr>
      </w:pPr>
      <w:r w:rsidRPr="000D6180">
        <w:rPr>
          <w:rFonts w:ascii="Verdana" w:eastAsia="Times New Roman" w:hAnsi="Verdana" w:cs="Times New Roman"/>
          <w:sz w:val="20"/>
          <w:szCs w:val="20"/>
          <w:lang w:val="es-ES" w:eastAsia="es-ES_tradnl"/>
        </w:rPr>
        <w:lastRenderedPageBreak/>
        <w:t>Por lo demás..., resulta importante anotar que en los tiempos de hoy se admite como labor apropiada, sin que tal circunstancia afecte la esencia de la institución, aquella que se sitúa en la fase precontractual de promoción del contrato de seguro, o en la ejecución y desarrollo del mismo, como ejercicio de una asesoría encuadrada dentro de un ámbito de conexidad o complementariedad del objeto social exclusivo de los corredores; descartándose, eso sí, en consideración a esa capacidad jurídica y al objeto social, gestiones de asesoramiento desligadas de la actividad fundamental y principal.</w:t>
      </w:r>
    </w:p>
    <w:p w14:paraId="10AA040C" w14:textId="77777777" w:rsidR="0071640F" w:rsidRPr="000D6180" w:rsidRDefault="0071640F" w:rsidP="0071640F">
      <w:pPr>
        <w:spacing w:after="0" w:line="240" w:lineRule="auto"/>
        <w:ind w:left="709" w:right="709"/>
        <w:jc w:val="both"/>
        <w:rPr>
          <w:rFonts w:ascii="Verdana" w:eastAsia="Times New Roman" w:hAnsi="Verdana" w:cs="Times New Roman"/>
          <w:sz w:val="20"/>
          <w:szCs w:val="20"/>
          <w:lang w:val="es-ES" w:eastAsia="es-ES_tradnl"/>
        </w:rPr>
      </w:pPr>
    </w:p>
    <w:p w14:paraId="656A0CB6" w14:textId="77777777" w:rsidR="0071640F" w:rsidRPr="000D6180" w:rsidRDefault="0071640F" w:rsidP="0071640F">
      <w:pPr>
        <w:spacing w:after="0" w:line="240" w:lineRule="auto"/>
        <w:ind w:left="709" w:right="709"/>
        <w:jc w:val="both"/>
        <w:rPr>
          <w:rFonts w:ascii="Verdana" w:eastAsia="Times New Roman" w:hAnsi="Verdana" w:cs="Times New Roman"/>
          <w:sz w:val="20"/>
          <w:szCs w:val="20"/>
          <w:lang w:val="es-ES" w:eastAsia="es-ES_tradnl"/>
        </w:rPr>
      </w:pPr>
      <w:r w:rsidRPr="000D6180">
        <w:rPr>
          <w:rFonts w:ascii="Verdana" w:eastAsia="Times New Roman" w:hAnsi="Verdana" w:cs="Times New Roman"/>
          <w:sz w:val="20"/>
          <w:szCs w:val="20"/>
          <w:lang w:val="es-ES" w:eastAsia="es-ES_tradnl"/>
        </w:rPr>
        <w:t>(…) En este orden de ideas, la Corte considera que sólo en la medida en que se verificara una actividad dirigida a ofrecer seguros, promover su celebración y obtener su renovación, que es la actividad intermediadora que establece el artículo 1347 del C. de Comercio, se estaría en presencia de un contrato de corretaje. Otras funciones, entre ellas la asesoría para la elaboración del pliego de licitación (sic), puede adicionar o complementar la actividad del corredor, pero per se y aisladamente consideradas, no pueden estructurar el contrato de corretaje. De modo que la asesoría así prestada... correspondería con independencia de su eficacia a un contrato de prestación de servicios o a otro de naturaleza similar, pero no a uno de corretaje, pues se repite como colofón, las labores propias del corredor como actividad subsiguiente a la asesoría para la elaboración del pliego de licitación, no se logran verificar, así sea cierto que el resultado de la convocatoria pública haya sido la celebración de diferentes contratos de seguro con varias compañías aseguradoras”</w:t>
      </w:r>
      <w:r w:rsidRPr="000D6180">
        <w:rPr>
          <w:rFonts w:ascii="Verdana" w:eastAsia="Times New Roman" w:hAnsi="Verdana" w:cs="Times New Roman"/>
          <w:sz w:val="20"/>
          <w:szCs w:val="20"/>
          <w:vertAlign w:val="superscript"/>
          <w:lang w:val="es-ES" w:eastAsia="es-ES_tradnl"/>
        </w:rPr>
        <w:footnoteReference w:id="15"/>
      </w:r>
      <w:r w:rsidRPr="000D6180">
        <w:rPr>
          <w:rFonts w:ascii="Verdana" w:eastAsia="Times New Roman" w:hAnsi="Verdana" w:cs="Times New Roman"/>
          <w:sz w:val="20"/>
          <w:szCs w:val="20"/>
          <w:lang w:val="es-ES" w:eastAsia="es-ES_tradnl"/>
        </w:rPr>
        <w:t>.</w:t>
      </w:r>
    </w:p>
    <w:p w14:paraId="30767F7B" w14:textId="77777777" w:rsidR="0071640F" w:rsidRPr="000D6180" w:rsidRDefault="0071640F" w:rsidP="0071640F">
      <w:pPr>
        <w:spacing w:after="0" w:line="240" w:lineRule="auto"/>
        <w:ind w:firstLine="709"/>
        <w:jc w:val="both"/>
        <w:rPr>
          <w:rFonts w:ascii="Verdana" w:eastAsia="Times New Roman" w:hAnsi="Verdana" w:cs="Times New Roman"/>
          <w:lang w:val="es-ES" w:eastAsia="es-ES_tradnl"/>
        </w:rPr>
      </w:pPr>
    </w:p>
    <w:p w14:paraId="4D055199" w14:textId="77777777" w:rsidR="0071640F" w:rsidRPr="000D6180" w:rsidRDefault="0071640F" w:rsidP="0071640F">
      <w:pPr>
        <w:spacing w:after="120" w:line="276" w:lineRule="auto"/>
        <w:ind w:firstLine="708"/>
        <w:jc w:val="both"/>
        <w:rPr>
          <w:rFonts w:ascii="Verdana" w:eastAsia="Times New Roman" w:hAnsi="Verdana" w:cs="Times New Roman"/>
          <w:lang w:val="es-ES" w:eastAsia="es-ES_tradnl"/>
        </w:rPr>
      </w:pPr>
      <w:r w:rsidRPr="000D6180">
        <w:rPr>
          <w:rFonts w:ascii="Verdana" w:eastAsia="Times New Roman" w:hAnsi="Verdana" w:cs="Times New Roman"/>
          <w:lang w:val="es-ES" w:eastAsia="es-ES_tradnl"/>
        </w:rPr>
        <w:t>En sintonía con las posturas señaladas, desde un sector de la doctrina nacional se ha explicado que las actividades que comprenden de manera esencial el contrato de intermediación o corretaje de seguros son aquellas a concretar el acercamiento entre el comprador del seguro y la compañía aseguradora. En particular la doctrina señala que:</w:t>
      </w:r>
    </w:p>
    <w:p w14:paraId="60183219" w14:textId="77777777" w:rsidR="0071640F" w:rsidRPr="000D6180" w:rsidRDefault="0071640F" w:rsidP="0071640F">
      <w:pPr>
        <w:spacing w:after="0" w:line="240" w:lineRule="auto"/>
        <w:ind w:left="709" w:right="709"/>
        <w:jc w:val="both"/>
        <w:rPr>
          <w:rFonts w:ascii="Verdana" w:eastAsia="Times New Roman" w:hAnsi="Verdana" w:cs="Times New Roman"/>
          <w:sz w:val="20"/>
          <w:szCs w:val="20"/>
          <w:lang w:val="es-ES" w:eastAsia="es-ES_tradnl"/>
        </w:rPr>
      </w:pPr>
      <w:r w:rsidRPr="000D6180">
        <w:rPr>
          <w:rFonts w:ascii="Verdana" w:eastAsia="Times New Roman" w:hAnsi="Verdana" w:cs="Times New Roman"/>
          <w:sz w:val="20"/>
          <w:szCs w:val="20"/>
          <w:lang w:val="es-ES" w:eastAsia="es-ES_tradnl"/>
        </w:rPr>
        <w:t xml:space="preserve">“[P]articipa de una estructura especial que permite distinguirlo como un contrato autónomo e independiente, como, por ejemplo, las específicas exigencias de idoneidad, profesionalismo y moralidad exigidas para su ejercicio, el régimen de remuneración, así como que la esencia de la intermediación se encuentra en el acercamiento entre las partes del futuro negocio y no propiamente en la asesoría que se presta luego del perfeccionamiento del contrato de seguros, la cual es un elemento </w:t>
      </w:r>
      <w:r w:rsidRPr="000D6180">
        <w:rPr>
          <w:rFonts w:ascii="Verdana" w:eastAsia="Times New Roman" w:hAnsi="Verdana" w:cs="Times New Roman"/>
          <w:sz w:val="20"/>
          <w:szCs w:val="20"/>
          <w:lang w:val="es-ES" w:eastAsia="es-ES_tradnl"/>
        </w:rPr>
        <w:lastRenderedPageBreak/>
        <w:t>adicional y complementario a la gestión de promoción y aproximación ética del negocio”</w:t>
      </w:r>
      <w:r w:rsidRPr="000D6180">
        <w:rPr>
          <w:rFonts w:ascii="Verdana" w:eastAsia="Times New Roman" w:hAnsi="Verdana" w:cs="Times New Roman"/>
          <w:sz w:val="20"/>
          <w:szCs w:val="20"/>
          <w:vertAlign w:val="superscript"/>
          <w:lang w:val="es-ES" w:eastAsia="es-ES_tradnl"/>
        </w:rPr>
        <w:footnoteReference w:id="16"/>
      </w:r>
      <w:r w:rsidRPr="000D6180">
        <w:rPr>
          <w:rFonts w:ascii="Verdana" w:eastAsia="Times New Roman" w:hAnsi="Verdana" w:cs="Times New Roman"/>
          <w:sz w:val="20"/>
          <w:szCs w:val="20"/>
          <w:lang w:val="es-ES" w:eastAsia="es-ES_tradnl"/>
        </w:rPr>
        <w:t>.</w:t>
      </w:r>
    </w:p>
    <w:p w14:paraId="1B46C8EB" w14:textId="77777777" w:rsidR="0071640F" w:rsidRPr="000D6180" w:rsidRDefault="0071640F" w:rsidP="0071640F">
      <w:pPr>
        <w:spacing w:after="0" w:line="240" w:lineRule="auto"/>
        <w:ind w:left="709" w:right="709"/>
        <w:jc w:val="both"/>
        <w:rPr>
          <w:rFonts w:ascii="Verdana" w:eastAsia="Times New Roman" w:hAnsi="Verdana" w:cs="Times New Roman"/>
          <w:sz w:val="20"/>
          <w:szCs w:val="20"/>
          <w:lang w:val="es-ES" w:eastAsia="es-ES_tradnl"/>
        </w:rPr>
      </w:pPr>
    </w:p>
    <w:p w14:paraId="05969F10" w14:textId="77777777" w:rsidR="0071640F" w:rsidRPr="000D6180" w:rsidRDefault="0071640F" w:rsidP="0071640F">
      <w:pPr>
        <w:spacing w:after="120" w:line="276" w:lineRule="auto"/>
        <w:jc w:val="both"/>
        <w:rPr>
          <w:rFonts w:ascii="Verdana" w:eastAsia="Times New Roman" w:hAnsi="Verdana" w:cs="Times New Roman"/>
          <w:lang w:val="es-ES" w:eastAsia="es-ES_tradnl"/>
        </w:rPr>
      </w:pPr>
      <w:r w:rsidRPr="000D6180">
        <w:rPr>
          <w:rFonts w:ascii="Verdana" w:eastAsia="Times New Roman" w:hAnsi="Verdana" w:cs="Times New Roman"/>
          <w:lang w:val="es-ES" w:eastAsia="es-ES_tradnl"/>
        </w:rPr>
        <w:t xml:space="preserve">     </w:t>
      </w:r>
      <w:r w:rsidRPr="000D6180">
        <w:rPr>
          <w:rFonts w:ascii="Verdana" w:eastAsia="Times New Roman" w:hAnsi="Verdana" w:cs="Times New Roman"/>
          <w:lang w:val="es-ES" w:eastAsia="es-ES_tradnl"/>
        </w:rPr>
        <w:tab/>
        <w:t>Conforme a lo anterior, la jurisprudencia y la doctrina coinciden en que el contrato de corretaje o intermediación de seguros reviste una naturaleza jurídica propia y autónoma, regida por disposiciones del Código de Comercio y las normas que regulan la actividad aseguradora. De acuerdo con lo explicado, el corredor de seguros celebra los contratos de intermediación con el tomador y con el asegurador, adquiriendo obligaciones que cumple, en el primer caso, de manera gratuita, y en el segundo, a cambio de una comisión aleatoria, pagadera en caso de concretarse la celebración de un contrato de seguro.</w:t>
      </w:r>
    </w:p>
    <w:p w14:paraId="7E60EB6C" w14:textId="77777777" w:rsidR="0071640F" w:rsidRPr="000D6180" w:rsidRDefault="0071640F" w:rsidP="0071640F">
      <w:pPr>
        <w:spacing w:after="120" w:line="276" w:lineRule="auto"/>
        <w:ind w:firstLine="709"/>
        <w:jc w:val="both"/>
        <w:rPr>
          <w:rFonts w:ascii="Verdana" w:eastAsia="Times New Roman" w:hAnsi="Verdana" w:cs="Times New Roman"/>
          <w:lang w:val="es-ES" w:eastAsia="es-ES_tradnl"/>
        </w:rPr>
      </w:pPr>
      <w:r w:rsidRPr="000D6180">
        <w:rPr>
          <w:rFonts w:ascii="Verdana" w:eastAsia="Times New Roman" w:hAnsi="Verdana" w:cs="Times New Roman"/>
          <w:lang w:val="es-ES" w:eastAsia="es-ES_tradnl"/>
        </w:rPr>
        <w:t xml:space="preserve">En la práctica negocial de las Entidades Estatales, es común la contratación de intermediarios de seguros, a quienes, por lo general, se acude en aras de contar con un tercero con un amplio conocimiento del mercado de seguros que le facilite tomar las mejores decisiones para satisfacer la demanda de aseguramiento de los bienes e intereses patrimoniales de las entidades, de conformidad con lo </w:t>
      </w:r>
      <w:r>
        <w:rPr>
          <w:rFonts w:ascii="Verdana" w:eastAsia="Times New Roman" w:hAnsi="Verdana" w:cs="Times New Roman"/>
          <w:lang w:val="es-ES" w:eastAsia="es-ES_tradnl"/>
        </w:rPr>
        <w:t>dis</w:t>
      </w:r>
      <w:r w:rsidRPr="000D6180">
        <w:rPr>
          <w:rFonts w:ascii="Verdana" w:eastAsia="Times New Roman" w:hAnsi="Verdana" w:cs="Times New Roman"/>
          <w:lang w:val="es-ES" w:eastAsia="es-ES_tradnl"/>
        </w:rPr>
        <w:t xml:space="preserve">puesto en los artículos 38, 57 y 62 de la Ley 1952 de 2019, el artículo 107 de la Ley 42 de 1993, el artículo 62 de la Ley 45 de 1990, la Ley 80 de 1993, la Ley 1150 de 2007, la Ley 1474 de 2011, el Decreto Ley 019 de 2012, entre otras disposiciones que obligan a las entidades a contar con diferentes tipos de amparos. Tal relación entre los intermediarios de seguros y las Entidades Estatales debe concretarse a través de un contrato estatal con las formalidades previstas en los artículos 39, 40 y 41 de la Ley 80 de 1993, así como en otras disposiciones del EGCAP. Igualmente, se encuentran sujetos </w:t>
      </w:r>
      <w:proofErr w:type="gramStart"/>
      <w:r w:rsidRPr="000D6180">
        <w:rPr>
          <w:rFonts w:ascii="Verdana" w:eastAsia="Times New Roman" w:hAnsi="Verdana" w:cs="Times New Roman"/>
          <w:lang w:val="es-ES" w:eastAsia="es-ES_tradnl"/>
        </w:rPr>
        <w:t>al  cumplimiento</w:t>
      </w:r>
      <w:proofErr w:type="gramEnd"/>
      <w:r w:rsidRPr="000D6180">
        <w:rPr>
          <w:rFonts w:ascii="Verdana" w:eastAsia="Times New Roman" w:hAnsi="Verdana" w:cs="Times New Roman"/>
          <w:lang w:val="es-ES" w:eastAsia="es-ES_tradnl"/>
        </w:rPr>
        <w:t xml:space="preserve"> del deber de selección objetiva, por lo que deben ser celebrados con los intermediarios que realicen los ofrecimientos más favorables a la entidad y a los fines que ella busca, sin tener en consideración factores de afecto o de interés. Tal escogencia debe darse a través de un procedimiento en el que, atendiendo a unas especificaciones precisas, </w:t>
      </w:r>
      <w:r>
        <w:rPr>
          <w:rFonts w:ascii="Verdana" w:eastAsia="Times New Roman" w:hAnsi="Verdana" w:cs="Times New Roman"/>
          <w:lang w:val="es-ES" w:eastAsia="es-ES_tradnl"/>
        </w:rPr>
        <w:t xml:space="preserve">se elija a </w:t>
      </w:r>
      <w:r w:rsidRPr="000D6180">
        <w:rPr>
          <w:rFonts w:ascii="Verdana" w:eastAsia="Times New Roman" w:hAnsi="Verdana" w:cs="Times New Roman"/>
          <w:lang w:val="es-ES" w:eastAsia="es-ES_tradnl"/>
        </w:rPr>
        <w:t>los diferentes intermediarios de seguros autorizados conforme a la ley que pudieran estar interesados</w:t>
      </w:r>
      <w:r>
        <w:rPr>
          <w:rFonts w:ascii="Verdana" w:eastAsia="Times New Roman" w:hAnsi="Verdana" w:cs="Times New Roman"/>
          <w:lang w:val="es-ES" w:eastAsia="es-ES_tradnl"/>
        </w:rPr>
        <w:t xml:space="preserve"> en</w:t>
      </w:r>
      <w:r w:rsidRPr="000D6180">
        <w:rPr>
          <w:rFonts w:ascii="Verdana" w:eastAsia="Times New Roman" w:hAnsi="Verdana" w:cs="Times New Roman"/>
          <w:lang w:val="es-ES" w:eastAsia="es-ES_tradnl"/>
        </w:rPr>
        <w:t xml:space="preserve"> proveer a la Entidad Estatal. Al respecto, esta Agencia ha señalado que de las características y naturaleza jurídica del contrato de intermediación de seguros, en principio, no se colige que el mismo se encuadre en alguna de las causales de contratación en atención a las cuales operan los </w:t>
      </w:r>
      <w:r w:rsidRPr="000D6180">
        <w:rPr>
          <w:rFonts w:ascii="Verdana" w:eastAsia="Times New Roman" w:hAnsi="Verdana" w:cs="Times New Roman"/>
          <w:lang w:val="es-ES" w:eastAsia="es-ES_tradnl"/>
        </w:rPr>
        <w:lastRenderedPageBreak/>
        <w:t xml:space="preserve">procedimientos de selección abreviada, concurso de méritos o contratación directa, por lo que necesariamente </w:t>
      </w:r>
      <w:r>
        <w:rPr>
          <w:rFonts w:ascii="Verdana" w:eastAsia="Times New Roman" w:hAnsi="Verdana" w:cs="Times New Roman"/>
          <w:lang w:val="es-ES" w:eastAsia="es-ES_tradnl"/>
        </w:rPr>
        <w:t xml:space="preserve">debe </w:t>
      </w:r>
      <w:r w:rsidRPr="000D6180">
        <w:rPr>
          <w:rFonts w:ascii="Verdana" w:eastAsia="Times New Roman" w:hAnsi="Verdana" w:cs="Times New Roman"/>
          <w:lang w:val="es-ES" w:eastAsia="es-ES_tradnl"/>
        </w:rPr>
        <w:t>celebrarse de conformidad con lo dispuesto en el artículo 2.1 de la Ley 1150 de 2007, el cual establece que la escogencia del contratista se efectuará por regla general a través de licitación pública.</w:t>
      </w:r>
    </w:p>
    <w:p w14:paraId="67347A6E" w14:textId="138D4335" w:rsidR="0071640F" w:rsidRPr="000D6180" w:rsidRDefault="0071640F" w:rsidP="0071640F">
      <w:pPr>
        <w:spacing w:after="120" w:line="276" w:lineRule="auto"/>
        <w:ind w:firstLine="709"/>
        <w:jc w:val="both"/>
        <w:rPr>
          <w:rFonts w:ascii="Verdana" w:eastAsia="Times New Roman" w:hAnsi="Verdana" w:cs="Times New Roman"/>
          <w:lang w:val="es-ES" w:eastAsia="es-ES_tradnl"/>
        </w:rPr>
      </w:pPr>
      <w:r w:rsidRPr="000D6180">
        <w:rPr>
          <w:rFonts w:ascii="Verdana" w:eastAsia="Times New Roman" w:hAnsi="Verdana" w:cs="Times New Roman"/>
          <w:lang w:val="es-ES" w:eastAsia="es-ES_tradnl"/>
        </w:rPr>
        <w:t>Sin perjuicio de lo anterior, es común que la contratación de la intermediación se haga en marco de contratos con objetos mixtos que tienden a incluir la formulación de planes de seguros en el marco de los cuales se concreta la demanda de aseguramiento de las entidades. Estos objetos tienden a incluir actividades como el manejo, seguimiento y administración de los referidos, las cuales son adicionales a la intermediación de los seguros en estricto sentido, en principio dirigida a satisfacer las necesidades de aseguramiento. A este tipo de contratistas se suele encargar incluso la elaboración de los Pliegos de Condiciones para la escogencia de las compañías de seguros, y en general, actividades de asesoría, cuestión que puede tener incidencia en la modalidad de selección aplicable, en caso de</w:t>
      </w:r>
      <w:r w:rsidR="000152F8">
        <w:rPr>
          <w:rFonts w:ascii="Verdana" w:eastAsia="Times New Roman" w:hAnsi="Verdana" w:cs="Times New Roman"/>
          <w:lang w:val="es-ES" w:eastAsia="es-ES_tradnl"/>
        </w:rPr>
        <w:t xml:space="preserve"> que el</w:t>
      </w:r>
      <w:r w:rsidRPr="000D6180">
        <w:rPr>
          <w:rFonts w:ascii="Verdana" w:eastAsia="Times New Roman" w:hAnsi="Verdana" w:cs="Times New Roman"/>
          <w:lang w:val="es-ES" w:eastAsia="es-ES_tradnl"/>
        </w:rPr>
        <w:t xml:space="preserve"> contrato a celebrarse cumpla con los elementos propios de una consultoría en los términos del artículo 32.2 de la Ley 80 de 1993.</w:t>
      </w:r>
    </w:p>
    <w:p w14:paraId="6349B2E3" w14:textId="77777777" w:rsidR="0071640F" w:rsidRPr="000D6180" w:rsidRDefault="0071640F" w:rsidP="0071640F">
      <w:pPr>
        <w:spacing w:after="0" w:line="276" w:lineRule="auto"/>
        <w:ind w:firstLine="708"/>
        <w:jc w:val="both"/>
        <w:rPr>
          <w:rFonts w:ascii="Verdana" w:hAnsi="Verdana" w:cs="Arial"/>
          <w:lang w:val="es-ES"/>
        </w:rPr>
      </w:pPr>
      <w:r w:rsidRPr="000D6180">
        <w:rPr>
          <w:rFonts w:ascii="Verdana" w:eastAsia="Times New Roman" w:hAnsi="Verdana" w:cs="Times New Roman"/>
          <w:lang w:val="es-ES" w:eastAsia="es-ES_tradnl"/>
        </w:rPr>
        <w:t xml:space="preserve">Actualmente no existe ninguna disposición normativa que obligue a las entidades a contratar intermediarios o corredores de seguros. </w:t>
      </w:r>
      <w:r w:rsidRPr="000D6180">
        <w:rPr>
          <w:rFonts w:ascii="Verdana" w:hAnsi="Verdana" w:cs="Arial"/>
          <w:lang w:val="es-ES"/>
        </w:rPr>
        <w:t>De esta manera, la entidad definirá en cada caso si resulta necesaria la celebración de un contrato de intermediación de seguros de acuerdo con la etapa de planeación, así como las condiciones para su ejecución, incluyendo el plazo de ejecución contractual y su contenido obligacional.</w:t>
      </w:r>
    </w:p>
    <w:p w14:paraId="1D60A202" w14:textId="77777777" w:rsidR="0071640F" w:rsidRPr="000D6180" w:rsidRDefault="0071640F" w:rsidP="0071640F">
      <w:pPr>
        <w:spacing w:after="0" w:line="276" w:lineRule="auto"/>
        <w:ind w:firstLine="708"/>
        <w:jc w:val="both"/>
        <w:rPr>
          <w:rFonts w:ascii="Verdana" w:hAnsi="Verdana" w:cs="Arial"/>
          <w:lang w:val="es-ES"/>
        </w:rPr>
      </w:pPr>
    </w:p>
    <w:p w14:paraId="1F33DDA7" w14:textId="77777777" w:rsidR="0071640F" w:rsidRPr="000D6180" w:rsidRDefault="0071640F" w:rsidP="0071640F">
      <w:pPr>
        <w:spacing w:after="0" w:line="276" w:lineRule="auto"/>
        <w:jc w:val="both"/>
        <w:rPr>
          <w:rFonts w:ascii="Verdana" w:eastAsia="Calibri" w:hAnsi="Verdana" w:cs="Arial"/>
          <w:lang w:val="es-ES"/>
        </w:rPr>
      </w:pPr>
      <w:r w:rsidRPr="000D6180">
        <w:rPr>
          <w:rFonts w:ascii="Verdana" w:eastAsia="Times New Roman" w:hAnsi="Verdana" w:cs="Times New Roman"/>
          <w:lang w:val="es-ES" w:eastAsia="es-ES_tradnl"/>
        </w:rPr>
        <w:t>iii.</w:t>
      </w:r>
      <w:r w:rsidRPr="000D6180">
        <w:rPr>
          <w:rFonts w:ascii="Verdana" w:eastAsia="Calibri" w:hAnsi="Verdana" w:cs="Arial"/>
          <w:lang w:val="es-ES"/>
        </w:rPr>
        <w:t xml:space="preserve"> La </w:t>
      </w:r>
      <w:r w:rsidRPr="000D6180">
        <w:rPr>
          <w:rFonts w:ascii="Verdana" w:hAnsi="Verdana" w:cs="Arial"/>
          <w:color w:val="000000" w:themeColor="text1"/>
          <w:lang w:val="es-ES"/>
        </w:rPr>
        <w:t xml:space="preserve">jurisprudencia de la Sección Tercera del Consejo de Estado ha precisado que el contrato de corretaje es autónomo y puede sobrevivir sin perjuicio de la no celebración del contrato de seguro, además, que el objeto de la intermediación del corredor es el ofrecimiento de seguros, la promoción de su celebración y la obtención de la renovación de </w:t>
      </w:r>
      <w:proofErr w:type="gramStart"/>
      <w:r w:rsidRPr="000D6180">
        <w:rPr>
          <w:rFonts w:ascii="Verdana" w:hAnsi="Verdana" w:cs="Arial"/>
          <w:color w:val="000000" w:themeColor="text1"/>
          <w:lang w:val="es-ES"/>
        </w:rPr>
        <w:t>los mismos</w:t>
      </w:r>
      <w:proofErr w:type="gramEnd"/>
      <w:r w:rsidRPr="000D6180">
        <w:rPr>
          <w:rFonts w:ascii="Verdana" w:hAnsi="Verdana" w:cs="Arial"/>
          <w:color w:val="000000" w:themeColor="text1"/>
          <w:lang w:val="es-ES"/>
        </w:rPr>
        <w:t>. En efecto, esta Corporación ha señalado que:</w:t>
      </w:r>
    </w:p>
    <w:p w14:paraId="23CB089E" w14:textId="77777777" w:rsidR="0071640F" w:rsidRPr="000D6180" w:rsidRDefault="0071640F" w:rsidP="0071640F">
      <w:pPr>
        <w:spacing w:after="0" w:line="276" w:lineRule="auto"/>
        <w:ind w:firstLine="708"/>
        <w:jc w:val="both"/>
        <w:rPr>
          <w:rFonts w:ascii="Verdana" w:hAnsi="Verdana" w:cs="Arial"/>
          <w:color w:val="000000" w:themeColor="text1"/>
          <w:sz w:val="21"/>
          <w:szCs w:val="21"/>
          <w:lang w:val="es-ES"/>
        </w:rPr>
      </w:pPr>
      <w:r w:rsidRPr="000D6180">
        <w:rPr>
          <w:rFonts w:ascii="Verdana" w:hAnsi="Verdana" w:cs="Arial"/>
          <w:color w:val="000000" w:themeColor="text1"/>
          <w:sz w:val="21"/>
          <w:szCs w:val="21"/>
          <w:lang w:val="es-ES"/>
        </w:rPr>
        <w:t xml:space="preserve"> </w:t>
      </w:r>
    </w:p>
    <w:p w14:paraId="3F164AAC" w14:textId="77777777" w:rsidR="0071640F" w:rsidRPr="000D6180" w:rsidRDefault="0071640F" w:rsidP="0071640F">
      <w:pPr>
        <w:spacing w:after="0" w:line="240" w:lineRule="auto"/>
        <w:ind w:left="709" w:right="709"/>
        <w:jc w:val="both"/>
        <w:rPr>
          <w:rFonts w:ascii="Verdana" w:hAnsi="Verdana" w:cs="Arial"/>
          <w:color w:val="000000" w:themeColor="text1"/>
          <w:sz w:val="20"/>
          <w:szCs w:val="20"/>
          <w:lang w:val="es-ES"/>
        </w:rPr>
      </w:pPr>
      <w:r w:rsidRPr="000D6180">
        <w:rPr>
          <w:rFonts w:ascii="Verdana" w:hAnsi="Verdana" w:cs="Arial"/>
          <w:color w:val="000000" w:themeColor="text1"/>
          <w:sz w:val="20"/>
          <w:szCs w:val="20"/>
          <w:lang w:val="es-ES"/>
        </w:rPr>
        <w:t xml:space="preserve">“[E]l objeto de la intermediación del corredor será el ofrecimiento de seguros, la promoción de su celebración y la obtención de la renovación de </w:t>
      </w:r>
      <w:proofErr w:type="gramStart"/>
      <w:r w:rsidRPr="000D6180">
        <w:rPr>
          <w:rFonts w:ascii="Verdana" w:hAnsi="Verdana" w:cs="Arial"/>
          <w:color w:val="000000" w:themeColor="text1"/>
          <w:sz w:val="20"/>
          <w:szCs w:val="20"/>
          <w:lang w:val="es-ES"/>
        </w:rPr>
        <w:t>los mismos</w:t>
      </w:r>
      <w:proofErr w:type="gramEnd"/>
      <w:r w:rsidRPr="000D6180">
        <w:rPr>
          <w:rFonts w:ascii="Verdana" w:hAnsi="Verdana" w:cs="Arial"/>
          <w:color w:val="000000" w:themeColor="text1"/>
          <w:sz w:val="20"/>
          <w:szCs w:val="20"/>
          <w:lang w:val="es-ES"/>
        </w:rPr>
        <w:t xml:space="preserve">, y se entenderá cumplido siempre que éste último realice sus obligaciones a cabalidad, independientemente de que el respectivo </w:t>
      </w:r>
      <w:r w:rsidRPr="000D6180">
        <w:rPr>
          <w:rFonts w:ascii="Verdana" w:hAnsi="Verdana" w:cs="Arial"/>
          <w:color w:val="000000" w:themeColor="text1"/>
          <w:sz w:val="20"/>
          <w:szCs w:val="20"/>
          <w:lang w:val="es-ES"/>
        </w:rPr>
        <w:lastRenderedPageBreak/>
        <w:t>contrato de seguro se celebre.  En efecto, la circunstancia de que sólo cuando esto sucede tiene el corredor derecho a recibir la comisión, según lo dispuesto en el artículo 1341 del C. de Co.,  no puede dar lugar a obtener una conclusión diferente; el corredor de seguros celebra los contratos de intermediación con el tomador y con el asegurador, adquiriendo obligaciones que cumple, en el primer caso, de manera gratuita, y en el segundo, a cambio de una comisión aleatoria, esto es, condicionada a la celebración del contrato de seguro objeto de la intermediación”.</w:t>
      </w:r>
    </w:p>
    <w:p w14:paraId="553B87F1" w14:textId="77777777" w:rsidR="0071640F" w:rsidRPr="000D6180" w:rsidRDefault="0071640F" w:rsidP="0071640F">
      <w:pPr>
        <w:spacing w:after="0" w:line="276" w:lineRule="auto"/>
        <w:ind w:left="709" w:right="709"/>
        <w:jc w:val="both"/>
        <w:rPr>
          <w:rFonts w:ascii="Verdana" w:hAnsi="Verdana" w:cs="Arial"/>
          <w:color w:val="000000" w:themeColor="text1"/>
          <w:lang w:val="es-ES"/>
        </w:rPr>
      </w:pPr>
    </w:p>
    <w:p w14:paraId="67DB121F" w14:textId="77777777" w:rsidR="0071640F" w:rsidRPr="000D6180" w:rsidRDefault="0071640F" w:rsidP="0071640F">
      <w:pPr>
        <w:spacing w:after="0" w:line="276" w:lineRule="auto"/>
        <w:ind w:firstLine="708"/>
        <w:jc w:val="both"/>
        <w:rPr>
          <w:rFonts w:ascii="Verdana" w:hAnsi="Verdana" w:cs="Arial"/>
          <w:color w:val="000000" w:themeColor="text1"/>
          <w:lang w:val="es-ES"/>
        </w:rPr>
      </w:pPr>
      <w:r w:rsidRPr="000D6180">
        <w:rPr>
          <w:rFonts w:ascii="Verdana" w:hAnsi="Verdana" w:cs="Arial"/>
          <w:color w:val="000000" w:themeColor="text1"/>
          <w:lang w:val="es-ES"/>
        </w:rPr>
        <w:t xml:space="preserve">A partir de lo anterior, </w:t>
      </w:r>
      <w:bookmarkStart w:id="3" w:name="_Hlk174633953"/>
      <w:r w:rsidRPr="000D6180">
        <w:rPr>
          <w:rFonts w:ascii="Verdana" w:hAnsi="Verdana" w:cs="Arial"/>
          <w:color w:val="000000" w:themeColor="text1"/>
          <w:lang w:val="es-ES"/>
        </w:rPr>
        <w:t>se puede concluir que el contrato de corretaje de seguros, además de ser autónomo, tiene la característica de contrato de tracto sucesivo</w:t>
      </w:r>
      <w:bookmarkEnd w:id="3"/>
      <w:r w:rsidRPr="000D6180">
        <w:rPr>
          <w:rFonts w:ascii="Verdana" w:hAnsi="Verdana" w:cs="Arial"/>
          <w:color w:val="000000" w:themeColor="text1"/>
          <w:lang w:val="es-ES"/>
        </w:rPr>
        <w:t xml:space="preserve"> porque: “la labor de intermediación se extiende, por lo general, a la etapa de ejecución del contrato celebrado entre el asegurador y el tomador, en la cual pueden presentarse situaciones que requieran la realización de diversos trámites, especialmente cuando el riesgo se realiza o hay necesidad de efectuar ajustes al contrato de seguro. Finalmente, la intervención del corredor en la etapa posterior a la celebración de este último resulta muy importante para efectos de obtener su renovación, tarea que, como se ha visto, constituye uno de los objetivos específicos de la intermediación”</w:t>
      </w:r>
      <w:r w:rsidRPr="000D6180">
        <w:rPr>
          <w:rFonts w:ascii="Verdana" w:hAnsi="Verdana"/>
          <w:vertAlign w:val="superscript"/>
          <w:lang w:val="es-ES"/>
        </w:rPr>
        <w:footnoteReference w:id="17"/>
      </w:r>
      <w:r w:rsidRPr="000D6180">
        <w:rPr>
          <w:rFonts w:ascii="Verdana" w:hAnsi="Verdana" w:cs="Arial"/>
          <w:color w:val="000000" w:themeColor="text1"/>
          <w:lang w:val="es-ES"/>
        </w:rPr>
        <w:t>.</w:t>
      </w:r>
    </w:p>
    <w:p w14:paraId="5A532CD7" w14:textId="77777777" w:rsidR="0071640F" w:rsidRPr="000D6180" w:rsidRDefault="0071640F" w:rsidP="0071640F">
      <w:pPr>
        <w:spacing w:before="120" w:after="0" w:line="276" w:lineRule="auto"/>
        <w:ind w:firstLine="708"/>
        <w:jc w:val="both"/>
        <w:rPr>
          <w:rFonts w:ascii="Verdana" w:hAnsi="Verdana" w:cs="Arial"/>
          <w:color w:val="000000" w:themeColor="text1"/>
          <w:lang w:val="es-ES"/>
        </w:rPr>
      </w:pPr>
      <w:r w:rsidRPr="000D6180">
        <w:rPr>
          <w:rFonts w:ascii="Verdana" w:eastAsia="Calibri" w:hAnsi="Verdana" w:cs="Arial"/>
          <w:szCs w:val="24"/>
          <w:lang w:val="es-ES" w:eastAsia="es-MX"/>
        </w:rPr>
        <w:t>Sobre la extinción del plazo en este tipo de contratos, es importante resaltar que el artículo 1551 del Código Civil define el “plazo” como la época para cumplir una obligación. El plazo puede ser i) expreso o ii) tácito</w:t>
      </w:r>
      <w:r w:rsidRPr="000D6180">
        <w:rPr>
          <w:rFonts w:ascii="Verdana" w:eastAsia="Calibri" w:hAnsi="Verdana" w:cs="Arial"/>
          <w:szCs w:val="24"/>
          <w:vertAlign w:val="superscript"/>
          <w:lang w:val="es-ES" w:eastAsia="es-MX"/>
        </w:rPr>
        <w:footnoteReference w:id="18"/>
      </w:r>
      <w:r w:rsidRPr="000D6180">
        <w:rPr>
          <w:rFonts w:ascii="Verdana" w:eastAsia="Calibri" w:hAnsi="Verdana" w:cs="Arial"/>
          <w:szCs w:val="24"/>
          <w:lang w:val="es-ES" w:eastAsia="es-MX"/>
        </w:rPr>
        <w:t xml:space="preserve">. </w:t>
      </w:r>
      <w:r w:rsidRPr="000D6180">
        <w:rPr>
          <w:rFonts w:ascii="Verdana" w:eastAsia="Calibri" w:hAnsi="Verdana" w:cs="Arial"/>
          <w:color w:val="000000"/>
          <w:lang w:val="es-ES"/>
        </w:rPr>
        <w:t xml:space="preserve">La doctrina define el “plazo” como un hecho futuro y cierto para el nacimiento o </w:t>
      </w:r>
      <w:r w:rsidRPr="000D6180">
        <w:rPr>
          <w:rFonts w:ascii="Verdana" w:eastAsia="Calibri" w:hAnsi="Verdana" w:cs="Arial"/>
          <w:color w:val="000000"/>
          <w:u w:val="single"/>
          <w:lang w:val="es-ES"/>
        </w:rPr>
        <w:t>la extinción de un derecho</w:t>
      </w:r>
      <w:r w:rsidRPr="000D6180">
        <w:rPr>
          <w:rFonts w:ascii="Verdana" w:eastAsia="Calibri" w:hAnsi="Verdana" w:cs="Arial"/>
          <w:color w:val="000000"/>
          <w:lang w:val="es-ES"/>
        </w:rPr>
        <w:t>, y elabora una clasificación de los plazos de la cual se destacan el plazo expreso y tácito, que complementa lo señalado en el Código Civil. Respecto del plazo expreso indica que es el señalado en términos explícitos, y el plazo tácito “[…] tiene lugar cuando no existe plazo expreso y la obligación no es susceptible de cumplirse inmediatamente […]”</w:t>
      </w:r>
      <w:r w:rsidRPr="000D6180">
        <w:rPr>
          <w:rFonts w:ascii="Verdana" w:eastAsia="Calibri" w:hAnsi="Verdana" w:cs="Arial"/>
          <w:color w:val="000000"/>
          <w:vertAlign w:val="superscript"/>
          <w:lang w:val="es-ES"/>
        </w:rPr>
        <w:footnoteReference w:id="19"/>
      </w:r>
      <w:r w:rsidRPr="000D6180">
        <w:rPr>
          <w:rFonts w:ascii="Verdana" w:eastAsia="Calibri" w:hAnsi="Verdana" w:cs="Arial"/>
          <w:color w:val="000000"/>
          <w:lang w:val="es-ES"/>
        </w:rPr>
        <w:t xml:space="preserve">. </w:t>
      </w:r>
    </w:p>
    <w:p w14:paraId="43EC1E6E" w14:textId="77777777" w:rsidR="0071640F" w:rsidRPr="000D6180" w:rsidRDefault="0071640F" w:rsidP="0071640F">
      <w:pPr>
        <w:spacing w:before="120" w:after="120" w:line="276" w:lineRule="auto"/>
        <w:ind w:firstLine="708"/>
        <w:jc w:val="both"/>
        <w:rPr>
          <w:rFonts w:ascii="Verdana" w:eastAsia="Calibri" w:hAnsi="Verdana" w:cs="Arial"/>
          <w:color w:val="000000"/>
          <w:lang w:val="es-ES"/>
        </w:rPr>
      </w:pPr>
      <w:r w:rsidRPr="000D6180">
        <w:rPr>
          <w:rFonts w:ascii="Verdana" w:eastAsia="Calibri" w:hAnsi="Verdana" w:cs="Arial"/>
          <w:color w:val="000000"/>
          <w:lang w:val="es-ES"/>
        </w:rPr>
        <w:t xml:space="preserve">Particularmente, el plazo es una de las modalidades por la cual las obligaciones dejan de ser puras y simples. De hecho, la regla general es que el </w:t>
      </w:r>
      <w:r w:rsidRPr="000D6180">
        <w:rPr>
          <w:rFonts w:ascii="Verdana" w:eastAsia="Calibri" w:hAnsi="Verdana" w:cs="Arial"/>
          <w:color w:val="000000"/>
          <w:lang w:val="es-ES"/>
        </w:rPr>
        <w:lastRenderedPageBreak/>
        <w:t xml:space="preserve">nacimiento del derecho sea concomitante con su exigibilidad, lo que repercute en el cumplimiento inmediato de la prestación debida. Sin embargo, con las cláusulas relativas al plazo, usuales en los contratos estatales, las partes modulan cualquiera de estos dos (2) elementos haciendo que las obligaciones sean exigibles o que lo derechos se extingan con el vencimiento de un periodo determinado en el contrato. </w:t>
      </w:r>
    </w:p>
    <w:p w14:paraId="54583222" w14:textId="2D57FA4F" w:rsidR="0071640F" w:rsidRPr="000D6180" w:rsidRDefault="0071640F" w:rsidP="0071640F">
      <w:pPr>
        <w:spacing w:after="120" w:line="276" w:lineRule="auto"/>
        <w:ind w:firstLine="708"/>
        <w:jc w:val="both"/>
        <w:rPr>
          <w:rFonts w:ascii="Verdana" w:eastAsia="Calibri" w:hAnsi="Verdana" w:cs="Arial"/>
          <w:color w:val="000000"/>
          <w:lang w:val="es-ES"/>
        </w:rPr>
      </w:pPr>
      <w:r w:rsidRPr="000D6180">
        <w:rPr>
          <w:rFonts w:ascii="Verdana" w:eastAsia="Calibri" w:hAnsi="Verdana" w:cs="Arial"/>
          <w:color w:val="000000"/>
          <w:lang w:val="es-ES"/>
        </w:rPr>
        <w:t>Esta precisión es relevante, pues es necesario tener en cuenta la diferencia entre los efectos de los plazos suspensivos y resolutorios. Los primeros tienen por objeto suspender la exigibilidad de las obligaciones, por lo que una vez vencido pasan a ser puras y simples de forma tal que el acreedor puede reclamar el cumplimiento inmediato de las prestaciones. En esta medida, “Cuando hay plazo suspensivo pendiente, el derecho respectivo ya ha nacido, tiene existencia real y útil. Lo que falta es solo la llegada del instante en que ese derecho puede ejercitarse, y consecuentemente, obligar al deudor”</w:t>
      </w:r>
      <w:r w:rsidRPr="000D6180">
        <w:rPr>
          <w:rFonts w:ascii="Verdana" w:eastAsia="Calibri" w:hAnsi="Verdana" w:cs="Arial"/>
          <w:color w:val="000000"/>
          <w:vertAlign w:val="superscript"/>
          <w:lang w:val="es-ES"/>
        </w:rPr>
        <w:footnoteReference w:id="20"/>
      </w:r>
      <w:r w:rsidRPr="000D6180">
        <w:rPr>
          <w:rFonts w:ascii="Verdana" w:eastAsia="Calibri" w:hAnsi="Verdana" w:cs="Arial"/>
          <w:color w:val="000000"/>
          <w:lang w:val="es-ES"/>
        </w:rPr>
        <w:t xml:space="preserve">. En contraste, los </w:t>
      </w:r>
      <w:r w:rsidR="00FD4370">
        <w:rPr>
          <w:rFonts w:ascii="Verdana" w:eastAsia="Calibri" w:hAnsi="Verdana" w:cs="Arial"/>
          <w:color w:val="000000"/>
          <w:lang w:val="es-ES"/>
        </w:rPr>
        <w:t>plazos extintivos</w:t>
      </w:r>
      <w:r w:rsidRPr="000D6180">
        <w:rPr>
          <w:rFonts w:ascii="Verdana" w:eastAsia="Calibri" w:hAnsi="Verdana" w:cs="Arial"/>
          <w:color w:val="000000"/>
          <w:lang w:val="es-ES"/>
        </w:rPr>
        <w:t xml:space="preserve"> tienen por efecto extinguir los derechos y las obligaciones nacidas del contrato, por lo que estando pendiente el vencimiento, la exigibilidad de las prestaciones es inmediata y el acreedor puede solicitar su cumplimiento, pero una vez se agota el plazo, el contrato pierde sus efectos</w:t>
      </w:r>
      <w:r w:rsidRPr="000D6180">
        <w:rPr>
          <w:rFonts w:ascii="Verdana" w:eastAsia="Calibri" w:hAnsi="Verdana" w:cs="Arial"/>
          <w:color w:val="000000"/>
          <w:vertAlign w:val="superscript"/>
          <w:lang w:val="es-ES"/>
        </w:rPr>
        <w:footnoteReference w:id="21"/>
      </w:r>
      <w:r w:rsidRPr="000D6180">
        <w:rPr>
          <w:rFonts w:ascii="Verdana" w:eastAsia="Calibri" w:hAnsi="Verdana" w:cs="Arial"/>
          <w:color w:val="000000"/>
          <w:lang w:val="es-ES"/>
        </w:rPr>
        <w:t>. Sobre el particular, el Consejo de Estado explica que:</w:t>
      </w:r>
    </w:p>
    <w:p w14:paraId="568829D4" w14:textId="77777777" w:rsidR="0071640F" w:rsidRPr="000D6180" w:rsidRDefault="0071640F" w:rsidP="0071640F">
      <w:pPr>
        <w:spacing w:line="240" w:lineRule="auto"/>
        <w:ind w:left="709" w:right="709"/>
        <w:jc w:val="both"/>
        <w:rPr>
          <w:rFonts w:ascii="Verdana" w:eastAsia="Calibri" w:hAnsi="Verdana" w:cs="Arial"/>
          <w:color w:val="000000"/>
          <w:sz w:val="20"/>
          <w:szCs w:val="20"/>
          <w:lang w:val="es-ES"/>
        </w:rPr>
      </w:pPr>
      <w:r w:rsidRPr="000D6180">
        <w:rPr>
          <w:rFonts w:ascii="Verdana" w:eastAsia="Calibri" w:hAnsi="Verdana" w:cs="Arial"/>
          <w:color w:val="000000"/>
          <w:sz w:val="20"/>
          <w:szCs w:val="20"/>
          <w:lang w:val="es-ES"/>
        </w:rPr>
        <w:t xml:space="preserve">Algunas obligaciones se contraen para ser cumplidas durante un plazo o en un día cierto, son las denominadas por la doctrina como </w:t>
      </w:r>
      <w:r w:rsidRPr="000D6180">
        <w:rPr>
          <w:rFonts w:ascii="Verdana" w:eastAsia="Calibri" w:hAnsi="Verdana" w:cs="Arial"/>
          <w:i/>
          <w:iCs/>
          <w:color w:val="000000"/>
          <w:sz w:val="20"/>
          <w:szCs w:val="20"/>
          <w:lang w:val="es-ES"/>
        </w:rPr>
        <w:t>ex die</w:t>
      </w:r>
      <w:r w:rsidRPr="000D6180">
        <w:rPr>
          <w:rFonts w:ascii="Verdana" w:eastAsia="Calibri" w:hAnsi="Verdana" w:cs="Arial"/>
          <w:color w:val="000000"/>
          <w:sz w:val="20"/>
          <w:szCs w:val="20"/>
          <w:lang w:val="es-ES"/>
        </w:rPr>
        <w:t xml:space="preserve"> o </w:t>
      </w:r>
      <w:r w:rsidRPr="000D6180">
        <w:rPr>
          <w:rFonts w:ascii="Verdana" w:eastAsia="Calibri" w:hAnsi="Verdana" w:cs="Arial"/>
          <w:i/>
          <w:iCs/>
          <w:color w:val="000000"/>
          <w:sz w:val="20"/>
          <w:szCs w:val="20"/>
          <w:lang w:val="es-ES"/>
        </w:rPr>
        <w:t>sub die</w:t>
      </w:r>
      <w:r w:rsidRPr="000D6180">
        <w:rPr>
          <w:rFonts w:ascii="Verdana" w:eastAsia="Calibri" w:hAnsi="Verdana" w:cs="Arial"/>
          <w:color w:val="000000"/>
          <w:sz w:val="20"/>
          <w:szCs w:val="20"/>
          <w:lang w:val="es-ES"/>
        </w:rPr>
        <w:t xml:space="preserve"> y otras se contraen para producir efectos hasta una época o día que se fija, las cuales se denominan </w:t>
      </w:r>
      <w:r w:rsidRPr="000D6180">
        <w:rPr>
          <w:rFonts w:ascii="Verdana" w:eastAsia="Calibri" w:hAnsi="Verdana" w:cs="Arial"/>
          <w:i/>
          <w:iCs/>
          <w:color w:val="000000"/>
          <w:sz w:val="20"/>
          <w:szCs w:val="20"/>
          <w:lang w:val="es-ES"/>
        </w:rPr>
        <w:t>ad diem</w:t>
      </w:r>
      <w:r w:rsidRPr="000D6180">
        <w:rPr>
          <w:rFonts w:ascii="Verdana" w:eastAsia="Calibri" w:hAnsi="Verdana" w:cs="Arial"/>
          <w:color w:val="000000"/>
          <w:sz w:val="20"/>
          <w:szCs w:val="20"/>
          <w:lang w:val="es-ES"/>
        </w:rPr>
        <w:t>, por tal razón, el plazo puede concebirse en función de la exigibilidad del pago o cumplimiento, o de la extinción del vínculo jurídico, diferenciándose así de las obligaciones puras y simples, las cuales no están sujetas a ninguna modalidad para su exigibilidad, es decir, nacen y se hacen exigibles en el mismo instante.</w:t>
      </w:r>
    </w:p>
    <w:p w14:paraId="40B97DF0" w14:textId="77777777" w:rsidR="0071640F" w:rsidRPr="000D6180" w:rsidRDefault="0071640F" w:rsidP="0071640F">
      <w:pPr>
        <w:spacing w:after="120" w:line="240" w:lineRule="auto"/>
        <w:ind w:left="709" w:right="709"/>
        <w:jc w:val="both"/>
        <w:rPr>
          <w:rFonts w:ascii="Verdana" w:eastAsia="Calibri" w:hAnsi="Verdana" w:cs="Arial"/>
          <w:color w:val="000000"/>
          <w:sz w:val="20"/>
          <w:szCs w:val="20"/>
          <w:lang w:val="es-ES"/>
        </w:rPr>
      </w:pPr>
      <w:r w:rsidRPr="000D6180">
        <w:rPr>
          <w:rFonts w:ascii="Verdana" w:eastAsia="Calibri" w:hAnsi="Verdana" w:cs="Arial"/>
          <w:color w:val="000000"/>
          <w:sz w:val="20"/>
          <w:szCs w:val="20"/>
          <w:lang w:val="es-ES"/>
        </w:rPr>
        <w:lastRenderedPageBreak/>
        <w:t>[…]</w:t>
      </w:r>
    </w:p>
    <w:p w14:paraId="27212473" w14:textId="77777777" w:rsidR="0071640F" w:rsidRPr="000D6180" w:rsidRDefault="0071640F" w:rsidP="0071640F">
      <w:pPr>
        <w:spacing w:line="240" w:lineRule="auto"/>
        <w:ind w:left="709" w:right="709"/>
        <w:jc w:val="both"/>
        <w:rPr>
          <w:rFonts w:ascii="Verdana" w:eastAsia="Calibri" w:hAnsi="Verdana" w:cs="Arial"/>
          <w:color w:val="000000"/>
          <w:sz w:val="21"/>
          <w:szCs w:val="21"/>
          <w:lang w:val="es-ES"/>
        </w:rPr>
      </w:pPr>
      <w:r w:rsidRPr="000D6180">
        <w:rPr>
          <w:rFonts w:ascii="Verdana" w:eastAsia="Calibri" w:hAnsi="Verdana" w:cs="Arial"/>
          <w:color w:val="000000"/>
          <w:sz w:val="20"/>
          <w:szCs w:val="20"/>
          <w:lang w:val="es-ES"/>
        </w:rPr>
        <w:t xml:space="preserve">El plazo </w:t>
      </w:r>
      <w:r w:rsidRPr="000D6180">
        <w:rPr>
          <w:rFonts w:ascii="Verdana" w:eastAsia="Calibri" w:hAnsi="Verdana" w:cs="Arial"/>
          <w:i/>
          <w:iCs/>
          <w:color w:val="000000"/>
          <w:sz w:val="20"/>
          <w:szCs w:val="20"/>
          <w:lang w:val="es-ES"/>
        </w:rPr>
        <w:t>ex die</w:t>
      </w:r>
      <w:r w:rsidRPr="000D6180">
        <w:rPr>
          <w:rFonts w:ascii="Verdana" w:eastAsia="Calibri" w:hAnsi="Verdana" w:cs="Arial"/>
          <w:color w:val="000000"/>
          <w:sz w:val="20"/>
          <w:szCs w:val="20"/>
          <w:lang w:val="es-ES"/>
        </w:rPr>
        <w:t xml:space="preserve"> o </w:t>
      </w:r>
      <w:r w:rsidRPr="000D6180">
        <w:rPr>
          <w:rFonts w:ascii="Verdana" w:eastAsia="Calibri" w:hAnsi="Verdana" w:cs="Arial"/>
          <w:i/>
          <w:iCs/>
          <w:color w:val="000000"/>
          <w:sz w:val="20"/>
          <w:szCs w:val="20"/>
          <w:lang w:val="es-ES"/>
        </w:rPr>
        <w:t>sub die</w:t>
      </w:r>
      <w:r w:rsidRPr="000D6180">
        <w:rPr>
          <w:rFonts w:ascii="Verdana" w:eastAsia="Calibri" w:hAnsi="Verdana" w:cs="Arial"/>
          <w:color w:val="000000"/>
          <w:sz w:val="20"/>
          <w:szCs w:val="20"/>
          <w:lang w:val="es-ES"/>
        </w:rPr>
        <w:t xml:space="preserve">, que la doctrina ha denominado término suspensivo, primordial o inicial, tiene como finalidad suspender la exigibilidad de las obligaciones en el tiempo hasta el acaecimiento del momento dispuesto, por </w:t>
      </w:r>
      <w:proofErr w:type="gramStart"/>
      <w:r w:rsidRPr="000D6180">
        <w:rPr>
          <w:rFonts w:ascii="Verdana" w:eastAsia="Calibri" w:hAnsi="Verdana" w:cs="Arial"/>
          <w:color w:val="000000"/>
          <w:sz w:val="20"/>
          <w:szCs w:val="20"/>
          <w:lang w:val="es-ES"/>
        </w:rPr>
        <w:t>ende</w:t>
      </w:r>
      <w:proofErr w:type="gramEnd"/>
      <w:r w:rsidRPr="000D6180">
        <w:rPr>
          <w:rFonts w:ascii="Verdana" w:eastAsia="Calibri" w:hAnsi="Verdana" w:cs="Arial"/>
          <w:color w:val="000000"/>
          <w:sz w:val="20"/>
          <w:szCs w:val="20"/>
          <w:lang w:val="es-ES"/>
        </w:rPr>
        <w:t xml:space="preserve"> su incumplimiento durante el interregno comprendido entre el surgimiento del vínculo jurídico y hasta antes del vencimiento del plazo, no conlleva consecuencias jurídicas, es decir, hasta antes de la llegada del plazo el derecho no puede exigirse</w:t>
      </w:r>
      <w:r w:rsidRPr="000D6180">
        <w:rPr>
          <w:rFonts w:ascii="Verdana" w:eastAsia="Calibri" w:hAnsi="Verdana" w:cs="Arial"/>
          <w:color w:val="000000"/>
          <w:sz w:val="20"/>
          <w:szCs w:val="20"/>
          <w:vertAlign w:val="superscript"/>
          <w:lang w:val="es-ES"/>
        </w:rPr>
        <w:footnoteReference w:id="22"/>
      </w:r>
      <w:r w:rsidRPr="000D6180">
        <w:rPr>
          <w:rFonts w:ascii="Verdana" w:eastAsia="Calibri" w:hAnsi="Verdana" w:cs="Arial"/>
          <w:color w:val="000000"/>
          <w:sz w:val="20"/>
          <w:szCs w:val="20"/>
          <w:lang w:val="es-ES"/>
        </w:rPr>
        <w:t>.</w:t>
      </w:r>
    </w:p>
    <w:p w14:paraId="3D801576" w14:textId="77777777" w:rsidR="0071640F" w:rsidRPr="000D6180" w:rsidRDefault="0071640F" w:rsidP="0071640F">
      <w:pPr>
        <w:spacing w:after="120" w:line="276" w:lineRule="auto"/>
        <w:ind w:firstLine="708"/>
        <w:jc w:val="both"/>
        <w:rPr>
          <w:rFonts w:ascii="Verdana" w:eastAsia="Calibri" w:hAnsi="Verdana" w:cs="Arial"/>
          <w:color w:val="000000"/>
          <w:lang w:val="es-ES"/>
        </w:rPr>
      </w:pPr>
      <w:r w:rsidRPr="000D6180">
        <w:rPr>
          <w:rFonts w:ascii="Verdana" w:eastAsia="Calibri" w:hAnsi="Verdana" w:cs="Arial"/>
          <w:color w:val="000000"/>
          <w:lang w:val="es-ES"/>
        </w:rPr>
        <w:t xml:space="preserve">Ahora bien, </w:t>
      </w:r>
      <w:bookmarkStart w:id="4" w:name="_Hlk55584494"/>
      <w:r w:rsidRPr="000D6180">
        <w:rPr>
          <w:rFonts w:ascii="Verdana" w:eastAsia="Calibri" w:hAnsi="Verdana" w:cs="Arial"/>
          <w:color w:val="000000"/>
          <w:lang w:val="es-ES"/>
        </w:rPr>
        <w:t>usualmente los plazos en los contratos estatales son suspensivos, sin perjuicio de que del contenido del contrato se deriven plazos parciales u obligaciones que deben cumplirse en términos específicos. En todo caso, frente a cada contrato debe analizarse si se pactó un plazo suspensivo o extintivo, de conformidad con el régimen de las obligaciones establecido en el Código Civil, normas que se aplican a los contratos estatales, por la remisión realizada por el artículo 13 de la Ley 80 de 1993</w:t>
      </w:r>
      <w:r w:rsidRPr="000D6180">
        <w:rPr>
          <w:rFonts w:ascii="Verdana" w:eastAsia="Calibri" w:hAnsi="Verdana" w:cs="Arial"/>
          <w:color w:val="000000"/>
          <w:vertAlign w:val="superscript"/>
          <w:lang w:val="es-ES"/>
        </w:rPr>
        <w:footnoteReference w:id="23"/>
      </w:r>
      <w:r w:rsidRPr="000D6180">
        <w:rPr>
          <w:rFonts w:ascii="Verdana" w:eastAsia="Calibri" w:hAnsi="Verdana" w:cs="Arial"/>
          <w:color w:val="000000"/>
          <w:lang w:val="es-ES"/>
        </w:rPr>
        <w:t xml:space="preserve">. Esto sucede tanto cuando se pactan </w:t>
      </w:r>
      <w:r w:rsidRPr="00292579">
        <w:rPr>
          <w:rFonts w:ascii="Verdana" w:eastAsia="Calibri" w:hAnsi="Verdana" w:cs="Arial"/>
          <w:color w:val="000000"/>
          <w:lang w:val="es-ES"/>
        </w:rPr>
        <w:t>entregas parciales como cuando la entidad recibe el objeto al finalizar el plazo pactado</w:t>
      </w:r>
      <w:r w:rsidRPr="000D6180">
        <w:rPr>
          <w:rFonts w:ascii="Verdana" w:eastAsia="Calibri" w:hAnsi="Verdana" w:cs="Arial"/>
          <w:color w:val="000000"/>
          <w:lang w:val="es-ES"/>
        </w:rPr>
        <w:t>, porque la exigibilidad de las obligaciones está suspendida mientras cada uno de estos términos esté pendiente: la Administración solo podrá exigir el cumplimiento cuando venza el plazo pactado, pues solo a partir de ese momento las obligaciones son puras y simples. De hecho, la llegada o vencimiento del plazo suspensivo no extingue el contrato ni las obligaciones derivadas del vínculo jurídico, ya que, al contrario, lo que se requiere es precisamente su ejecución</w:t>
      </w:r>
      <w:r w:rsidRPr="000D6180">
        <w:rPr>
          <w:rFonts w:ascii="Verdana" w:eastAsia="Calibri" w:hAnsi="Verdana" w:cs="Arial"/>
          <w:color w:val="000000"/>
          <w:vertAlign w:val="superscript"/>
          <w:lang w:val="es-ES"/>
        </w:rPr>
        <w:footnoteReference w:id="24"/>
      </w:r>
      <w:r w:rsidRPr="000D6180">
        <w:rPr>
          <w:rFonts w:ascii="Verdana" w:eastAsia="Calibri" w:hAnsi="Verdana" w:cs="Arial"/>
          <w:color w:val="000000"/>
          <w:lang w:val="es-ES"/>
        </w:rPr>
        <w:t xml:space="preserve">. Lo contrario equivale a afirmar </w:t>
      </w:r>
      <w:proofErr w:type="gramStart"/>
      <w:r w:rsidRPr="000D6180">
        <w:rPr>
          <w:rFonts w:ascii="Verdana" w:eastAsia="Calibri" w:hAnsi="Verdana" w:cs="Arial"/>
          <w:color w:val="000000"/>
          <w:lang w:val="es-ES"/>
        </w:rPr>
        <w:t>que</w:t>
      </w:r>
      <w:proofErr w:type="gramEnd"/>
      <w:r w:rsidRPr="000D6180">
        <w:rPr>
          <w:rFonts w:ascii="Verdana" w:eastAsia="Calibri" w:hAnsi="Verdana" w:cs="Arial"/>
          <w:color w:val="000000"/>
          <w:lang w:val="es-ES"/>
        </w:rPr>
        <w:t xml:space="preserve"> si las obligaciones no se cumplen oportunamente, la entidad pierde el derecho a obtener el pago de la prestación debida, cuando considera que pese a su extemporaneidad se requiere su ejecución efectiva. Esta conclusión no solo sería contraria al interés público como fin de la contratación estatal, sino que </w:t>
      </w:r>
      <w:r w:rsidRPr="000D6180">
        <w:rPr>
          <w:rFonts w:ascii="Verdana" w:eastAsia="Calibri" w:hAnsi="Verdana" w:cs="Arial"/>
          <w:color w:val="000000"/>
          <w:lang w:val="es-ES"/>
        </w:rPr>
        <w:lastRenderedPageBreak/>
        <w:t xml:space="preserve">desconoce la normas sobre el pago de los artículos 1626 y siguientes del Código Civil, razón por la cual, sin perjuicio de la responsabilidad del contratista por el cumplimiento extemporáneo, </w:t>
      </w:r>
      <w:r w:rsidRPr="000D6180">
        <w:rPr>
          <w:rFonts w:ascii="Verdana" w:eastAsia="Calibri" w:hAnsi="Verdana" w:cs="Arial"/>
          <w:color w:val="000000"/>
          <w:u w:val="single"/>
          <w:lang w:val="es-ES"/>
        </w:rPr>
        <w:t>la entidad puede recibir lo que ejecute el contratista después de vencido el plazo del contrato, lo que se extiende a la exigibilidad de lo que está pendiente por cumplir</w:t>
      </w:r>
      <w:r w:rsidRPr="000D6180">
        <w:rPr>
          <w:rFonts w:ascii="Verdana" w:eastAsia="Calibri" w:hAnsi="Verdana" w:cs="Arial"/>
          <w:color w:val="000000"/>
          <w:lang w:val="es-ES"/>
        </w:rPr>
        <w:t>. Lo anterior, en la medida que “El contrato no podrá considerarse definitivamente concluido hasta tanto ambas obligaciones y derechos principales, la entrega y recepción –o puesta a disposición– de la obra o su producto […] no hayan sido cumplidos”</w:t>
      </w:r>
      <w:r w:rsidRPr="000D6180">
        <w:rPr>
          <w:rFonts w:ascii="Verdana" w:eastAsia="Calibri" w:hAnsi="Verdana" w:cs="Arial"/>
          <w:color w:val="000000"/>
          <w:vertAlign w:val="superscript"/>
          <w:lang w:val="es-ES"/>
        </w:rPr>
        <w:footnoteReference w:id="25"/>
      </w:r>
      <w:r w:rsidRPr="000D6180">
        <w:rPr>
          <w:rFonts w:ascii="Verdana" w:eastAsia="Calibri" w:hAnsi="Verdana" w:cs="Arial"/>
          <w:color w:val="000000"/>
          <w:lang w:val="es-ES"/>
        </w:rPr>
        <w:t>.</w:t>
      </w:r>
      <w:bookmarkEnd w:id="4"/>
      <w:r w:rsidRPr="000D6180">
        <w:rPr>
          <w:rFonts w:ascii="Verdana" w:eastAsia="Calibri" w:hAnsi="Verdana" w:cs="Arial"/>
          <w:color w:val="000000"/>
          <w:lang w:val="es-ES"/>
        </w:rPr>
        <w:t xml:space="preserve"> </w:t>
      </w:r>
      <w:r w:rsidRPr="000D6180">
        <w:rPr>
          <w:rFonts w:ascii="Verdana" w:eastAsia="Calibri" w:hAnsi="Verdana" w:cs="Arial"/>
          <w:color w:val="000000"/>
          <w:lang w:val="es-ES"/>
        </w:rPr>
        <w:tab/>
        <w:t xml:space="preserve"> </w:t>
      </w:r>
    </w:p>
    <w:p w14:paraId="75C426DB" w14:textId="77777777" w:rsidR="0071640F" w:rsidRPr="000D6180" w:rsidRDefault="0071640F" w:rsidP="0071640F">
      <w:pPr>
        <w:spacing w:after="0" w:line="276" w:lineRule="auto"/>
        <w:ind w:firstLine="708"/>
        <w:jc w:val="both"/>
        <w:rPr>
          <w:rFonts w:ascii="Verdana" w:eastAsia="Calibri" w:hAnsi="Verdana" w:cs="Arial"/>
          <w:color w:val="000000"/>
          <w:lang w:val="es-ES"/>
        </w:rPr>
      </w:pPr>
      <w:r w:rsidRPr="000D6180">
        <w:rPr>
          <w:rFonts w:ascii="Verdana" w:eastAsia="Calibri" w:hAnsi="Verdana" w:cs="Arial"/>
          <w:color w:val="000000"/>
          <w:lang w:val="es-ES"/>
        </w:rPr>
        <w:t>De esta manera se concluye que el plazo no siempre tiene efectos extintivos en todas las tipologías contractuales. En efecto, en la medida que suspenda la exigibilidad de las obligaciones, el “plazo” expreso es aquel estipulado en el contrato, en el cual las partes disponen un término específico para su cumplimiento. Esto significa que –antes del vencimiento– el contrato se encuentra en ejecución, y el contratista tiene ese tiempo para ejecutar las prestaciones a las cuales se comprometió en virtud de la suscripción del negocio jurídico. En este “plazo” el contratista puede cumplir sus obligaciones anticipadamente</w:t>
      </w:r>
      <w:r w:rsidRPr="000D6180">
        <w:rPr>
          <w:rFonts w:ascii="Verdana" w:eastAsia="Calibri" w:hAnsi="Verdana" w:cs="Arial"/>
          <w:color w:val="000000"/>
          <w:vertAlign w:val="superscript"/>
          <w:lang w:val="es-ES"/>
        </w:rPr>
        <w:footnoteReference w:id="26"/>
      </w:r>
      <w:r w:rsidRPr="000D6180">
        <w:rPr>
          <w:rFonts w:ascii="Verdana" w:eastAsia="Calibri" w:hAnsi="Verdana" w:cs="Arial"/>
          <w:color w:val="000000"/>
          <w:lang w:val="es-ES"/>
        </w:rPr>
        <w:t>, pero el bien, obra o servicio solo le será exigible cuando venza el plazo. De acuerdo con la doctrina:</w:t>
      </w:r>
    </w:p>
    <w:p w14:paraId="01139B58" w14:textId="77777777" w:rsidR="0071640F" w:rsidRPr="000D6180" w:rsidRDefault="0071640F" w:rsidP="0071640F">
      <w:pPr>
        <w:spacing w:after="0" w:line="276" w:lineRule="auto"/>
        <w:ind w:firstLine="708"/>
        <w:jc w:val="both"/>
        <w:rPr>
          <w:rFonts w:ascii="Verdana" w:eastAsia="Calibri" w:hAnsi="Verdana" w:cs="Arial"/>
          <w:color w:val="000000"/>
          <w:lang w:val="es-ES"/>
        </w:rPr>
      </w:pPr>
    </w:p>
    <w:p w14:paraId="683B3524" w14:textId="77777777" w:rsidR="0071640F" w:rsidRPr="000D6180" w:rsidRDefault="0071640F" w:rsidP="0071640F">
      <w:pPr>
        <w:spacing w:after="0" w:line="240" w:lineRule="auto"/>
        <w:ind w:left="708" w:right="709"/>
        <w:jc w:val="both"/>
        <w:rPr>
          <w:rFonts w:ascii="Verdana" w:eastAsia="Calibri" w:hAnsi="Verdana" w:cs="Arial"/>
          <w:color w:val="000000"/>
          <w:sz w:val="20"/>
          <w:szCs w:val="20"/>
          <w:lang w:val="es-ES"/>
        </w:rPr>
      </w:pPr>
      <w:r w:rsidRPr="000D6180">
        <w:rPr>
          <w:rFonts w:ascii="Verdana" w:eastAsia="Calibri" w:hAnsi="Verdana" w:cs="Arial"/>
          <w:color w:val="000000"/>
          <w:sz w:val="20"/>
          <w:szCs w:val="20"/>
          <w:lang w:val="es-ES"/>
        </w:rPr>
        <w:t>[…] Vencido el plazo, la obligación se hace exigible, es decir, se transforma en obligación pura y simple, de donde se colige: 1) el acreedor puede ejercer todas las acciones que le competen; 2) el término de la prescripción del crédito comienza a contarse (art. 2535); 3) la obligación puede entrar en compensación (art.1715, ord. 3); 4) y, por regla general, el deudor queda constituido en mora (art. 1608, ord 1)</w:t>
      </w:r>
      <w:r w:rsidRPr="000D6180">
        <w:rPr>
          <w:rFonts w:ascii="Verdana" w:eastAsia="Calibri" w:hAnsi="Verdana" w:cs="Arial"/>
          <w:color w:val="000000"/>
          <w:sz w:val="20"/>
          <w:szCs w:val="20"/>
          <w:vertAlign w:val="superscript"/>
          <w:lang w:val="es-ES"/>
        </w:rPr>
        <w:footnoteReference w:id="27"/>
      </w:r>
      <w:r w:rsidRPr="000D6180">
        <w:rPr>
          <w:rFonts w:ascii="Verdana" w:eastAsia="Calibri" w:hAnsi="Verdana" w:cs="Arial"/>
          <w:color w:val="000000"/>
          <w:sz w:val="20"/>
          <w:szCs w:val="20"/>
          <w:lang w:val="es-ES"/>
        </w:rPr>
        <w:t>.</w:t>
      </w:r>
    </w:p>
    <w:p w14:paraId="42728C6E" w14:textId="77777777" w:rsidR="0071640F" w:rsidRPr="000D6180" w:rsidRDefault="0071640F" w:rsidP="0071640F">
      <w:pPr>
        <w:spacing w:after="0" w:line="240" w:lineRule="auto"/>
        <w:ind w:left="708" w:right="709"/>
        <w:jc w:val="both"/>
        <w:rPr>
          <w:rFonts w:ascii="Verdana" w:eastAsia="Calibri" w:hAnsi="Verdana" w:cs="Arial"/>
          <w:color w:val="000000"/>
          <w:sz w:val="20"/>
          <w:szCs w:val="20"/>
          <w:lang w:val="es-ES"/>
        </w:rPr>
      </w:pPr>
    </w:p>
    <w:p w14:paraId="3F8241E9" w14:textId="77777777" w:rsidR="0071640F" w:rsidRPr="000D6180" w:rsidRDefault="0071640F" w:rsidP="0071640F">
      <w:pPr>
        <w:spacing w:after="120" w:line="276" w:lineRule="auto"/>
        <w:ind w:firstLine="709"/>
        <w:jc w:val="both"/>
        <w:rPr>
          <w:rFonts w:ascii="Verdana" w:eastAsia="Calibri" w:hAnsi="Verdana" w:cs="Arial"/>
          <w:color w:val="000000"/>
          <w:lang w:val="es-ES"/>
        </w:rPr>
      </w:pPr>
      <w:r w:rsidRPr="000D6180">
        <w:rPr>
          <w:rFonts w:ascii="Verdana" w:eastAsia="Calibri" w:hAnsi="Verdana" w:cs="Arial"/>
          <w:color w:val="000000"/>
          <w:lang w:val="es-ES"/>
        </w:rPr>
        <w:t xml:space="preserve">Es necesario aclarar que </w:t>
      </w:r>
      <w:r w:rsidRPr="00292579">
        <w:rPr>
          <w:rFonts w:ascii="Verdana" w:eastAsia="Calibri" w:hAnsi="Verdana" w:cs="Arial"/>
          <w:color w:val="000000"/>
          <w:lang w:val="es-ES"/>
        </w:rPr>
        <w:t>el plazo del contrato es el período requerido en este para que se cumpla su objeto, a cargo del contratista como deudor del bien, obra o servicio para satisfacer la necesidad de la entidad, y que esta última recibe como acreedora</w:t>
      </w:r>
      <w:r w:rsidRPr="000D6180">
        <w:rPr>
          <w:rFonts w:ascii="Verdana" w:eastAsia="Calibri" w:hAnsi="Verdana" w:cs="Arial"/>
          <w:color w:val="000000"/>
          <w:lang w:val="es-ES"/>
        </w:rPr>
        <w:t>. Esta definición no cambia respecto del marco normativo citado, pues el Estatuto General de Contratación de la Administración Pública no contiene normas especiales sobre el “plazo”, por lo que, en virtud de</w:t>
      </w:r>
      <w:r>
        <w:rPr>
          <w:rFonts w:ascii="Verdana" w:eastAsia="Calibri" w:hAnsi="Verdana" w:cs="Arial"/>
          <w:color w:val="000000"/>
          <w:lang w:val="es-ES"/>
        </w:rPr>
        <w:t xml:space="preserve"> los</w:t>
      </w:r>
      <w:r w:rsidRPr="000D6180">
        <w:rPr>
          <w:rFonts w:ascii="Verdana" w:eastAsia="Calibri" w:hAnsi="Verdana" w:cs="Arial"/>
          <w:color w:val="000000"/>
          <w:lang w:val="es-ES"/>
        </w:rPr>
        <w:t xml:space="preserve"> artículo</w:t>
      </w:r>
      <w:r>
        <w:rPr>
          <w:rFonts w:ascii="Verdana" w:eastAsia="Calibri" w:hAnsi="Verdana" w:cs="Arial"/>
          <w:color w:val="000000"/>
          <w:lang w:val="es-ES"/>
        </w:rPr>
        <w:t>s</w:t>
      </w:r>
      <w:r w:rsidRPr="000D6180">
        <w:rPr>
          <w:rFonts w:ascii="Verdana" w:eastAsia="Calibri" w:hAnsi="Verdana" w:cs="Arial"/>
          <w:color w:val="000000"/>
          <w:lang w:val="es-ES"/>
        </w:rPr>
        <w:t xml:space="preserve"> </w:t>
      </w:r>
      <w:r w:rsidRPr="000D6180">
        <w:rPr>
          <w:rFonts w:ascii="Verdana" w:eastAsia="Calibri" w:hAnsi="Verdana" w:cs="Arial"/>
          <w:color w:val="000000"/>
          <w:lang w:val="es-ES"/>
        </w:rPr>
        <w:lastRenderedPageBreak/>
        <w:t>13, 32 y 40 de la Ley 80 de 1993, es posible remitirse a las normas civiles y comerciales aplicables.</w:t>
      </w:r>
    </w:p>
    <w:p w14:paraId="03275B58" w14:textId="77777777" w:rsidR="0071640F" w:rsidRPr="000D6180" w:rsidRDefault="0071640F" w:rsidP="0071640F">
      <w:pPr>
        <w:spacing w:line="276" w:lineRule="auto"/>
        <w:ind w:firstLine="709"/>
        <w:jc w:val="both"/>
        <w:rPr>
          <w:rFonts w:ascii="Verdana" w:eastAsia="Calibri" w:hAnsi="Verdana" w:cs="Arial"/>
          <w:color w:val="000000"/>
          <w:lang w:val="es-ES"/>
        </w:rPr>
      </w:pPr>
      <w:r w:rsidRPr="000D6180">
        <w:rPr>
          <w:rFonts w:ascii="Verdana" w:eastAsia="Calibri" w:hAnsi="Verdana" w:cs="Arial"/>
          <w:color w:val="000000"/>
          <w:lang w:val="es-ES"/>
        </w:rPr>
        <w:t xml:space="preserve">Esta explicación sobre el </w:t>
      </w:r>
      <w:r w:rsidRPr="000D6180">
        <w:rPr>
          <w:rFonts w:ascii="Verdana" w:eastAsia="Calibri" w:hAnsi="Verdana" w:cs="Arial"/>
          <w:i/>
          <w:iCs/>
          <w:color w:val="000000"/>
          <w:lang w:val="es-ES"/>
        </w:rPr>
        <w:t>plazo del contrato</w:t>
      </w:r>
      <w:r w:rsidRPr="000D6180">
        <w:rPr>
          <w:rFonts w:ascii="Verdana" w:eastAsia="Calibri" w:hAnsi="Verdana" w:cs="Arial"/>
          <w:color w:val="000000"/>
          <w:lang w:val="es-ES"/>
        </w:rPr>
        <w:t xml:space="preserve">, es posible compararla con la distinción entre el </w:t>
      </w:r>
      <w:r w:rsidRPr="000D6180">
        <w:rPr>
          <w:rFonts w:ascii="Verdana" w:eastAsia="Calibri" w:hAnsi="Verdana" w:cs="Arial"/>
          <w:i/>
          <w:iCs/>
          <w:color w:val="000000"/>
          <w:lang w:val="es-ES"/>
        </w:rPr>
        <w:t>plazo de ejecución</w:t>
      </w:r>
      <w:r w:rsidRPr="000D6180">
        <w:rPr>
          <w:rFonts w:ascii="Verdana" w:eastAsia="Calibri" w:hAnsi="Verdana" w:cs="Arial"/>
          <w:color w:val="000000"/>
          <w:lang w:val="es-ES"/>
        </w:rPr>
        <w:t xml:space="preserve"> y el </w:t>
      </w:r>
      <w:r w:rsidRPr="000D6180">
        <w:rPr>
          <w:rFonts w:ascii="Verdana" w:eastAsia="Calibri" w:hAnsi="Verdana" w:cs="Arial"/>
          <w:i/>
          <w:iCs/>
          <w:color w:val="000000"/>
          <w:lang w:val="es-ES"/>
        </w:rPr>
        <w:t>plazo de vigencia</w:t>
      </w:r>
      <w:r w:rsidRPr="000D6180">
        <w:rPr>
          <w:rFonts w:ascii="Verdana" w:eastAsia="Calibri" w:hAnsi="Verdana" w:cs="Arial"/>
          <w:color w:val="000000"/>
          <w:lang w:val="es-ES"/>
        </w:rPr>
        <w:t xml:space="preserve"> del contrato desarrollada jurisprudencialmente. Al respecto, la jurisprudencia ha definido el </w:t>
      </w:r>
      <w:r w:rsidRPr="000D6180">
        <w:rPr>
          <w:rFonts w:ascii="Verdana" w:eastAsia="Calibri" w:hAnsi="Verdana" w:cs="Arial"/>
          <w:i/>
          <w:iCs/>
          <w:color w:val="000000"/>
          <w:lang w:val="es-ES"/>
        </w:rPr>
        <w:t>plazo de ejecución</w:t>
      </w:r>
      <w:r w:rsidRPr="000D6180">
        <w:rPr>
          <w:rFonts w:ascii="Verdana" w:eastAsia="Calibri" w:hAnsi="Verdana" w:cs="Arial"/>
          <w:color w:val="000000"/>
          <w:lang w:val="es-ES"/>
        </w:rPr>
        <w:t xml:space="preserve"> como el establecido para la realización de las prestaciones contractuales, y de igual forma, considera que mientras subsista la obligación para las partes de liquidar el contrato, el </w:t>
      </w:r>
      <w:r w:rsidRPr="000D6180">
        <w:rPr>
          <w:rFonts w:ascii="Verdana" w:eastAsia="Calibri" w:hAnsi="Verdana" w:cs="Arial"/>
          <w:i/>
          <w:iCs/>
          <w:color w:val="000000"/>
          <w:lang w:val="es-ES"/>
        </w:rPr>
        <w:t>plazo de vigencia</w:t>
      </w:r>
      <w:r w:rsidRPr="000D6180">
        <w:rPr>
          <w:rFonts w:ascii="Verdana" w:eastAsia="Calibri" w:hAnsi="Verdana" w:cs="Arial"/>
          <w:color w:val="000000"/>
          <w:lang w:val="es-ES"/>
        </w:rPr>
        <w:t xml:space="preserve"> de este no ha finalizado</w:t>
      </w:r>
      <w:r w:rsidRPr="000D6180">
        <w:rPr>
          <w:rFonts w:ascii="Verdana" w:eastAsia="Calibri" w:hAnsi="Verdana" w:cs="Arial"/>
          <w:color w:val="000000"/>
          <w:vertAlign w:val="superscript"/>
          <w:lang w:val="es-ES"/>
        </w:rPr>
        <w:footnoteReference w:id="28"/>
      </w:r>
      <w:r w:rsidRPr="000D6180">
        <w:rPr>
          <w:rFonts w:ascii="Verdana" w:eastAsia="Calibri" w:hAnsi="Verdana" w:cs="Arial"/>
          <w:color w:val="000000"/>
          <w:lang w:val="es-ES"/>
        </w:rPr>
        <w:t xml:space="preserve">. De esta idea se infiere que la noción de </w:t>
      </w:r>
      <w:r w:rsidRPr="000D6180">
        <w:rPr>
          <w:rFonts w:ascii="Verdana" w:eastAsia="Calibri" w:hAnsi="Verdana" w:cs="Arial"/>
          <w:i/>
          <w:iCs/>
          <w:color w:val="000000"/>
          <w:lang w:val="es-ES"/>
        </w:rPr>
        <w:t>plazo del contrato</w:t>
      </w:r>
      <w:r w:rsidRPr="000D6180">
        <w:rPr>
          <w:rFonts w:ascii="Verdana" w:eastAsia="Calibri" w:hAnsi="Verdana" w:cs="Arial"/>
          <w:color w:val="000000"/>
          <w:lang w:val="es-ES"/>
        </w:rPr>
        <w:t xml:space="preserve"> analizada en los párrafos precedentes equivale al concepto jurisprudencial de </w:t>
      </w:r>
      <w:r w:rsidRPr="000D6180">
        <w:rPr>
          <w:rFonts w:ascii="Verdana" w:eastAsia="Calibri" w:hAnsi="Verdana" w:cs="Arial"/>
          <w:i/>
          <w:iCs/>
          <w:color w:val="000000"/>
          <w:lang w:val="es-ES"/>
        </w:rPr>
        <w:t>plazo de ejecución</w:t>
      </w:r>
      <w:r w:rsidRPr="000D6180">
        <w:rPr>
          <w:rFonts w:ascii="Verdana" w:eastAsia="Calibri" w:hAnsi="Verdana" w:cs="Arial"/>
          <w:color w:val="000000"/>
          <w:lang w:val="es-ES"/>
        </w:rPr>
        <w:t xml:space="preserve">, pues ambos aluden al tiempo dispuesto para que el contratista cumpla sus obligaciones. No obstante, </w:t>
      </w:r>
      <w:r w:rsidRPr="00292579">
        <w:rPr>
          <w:rFonts w:ascii="Verdana" w:eastAsia="Calibri" w:hAnsi="Verdana" w:cs="Arial"/>
          <w:color w:val="000000"/>
          <w:lang w:val="es-ES"/>
        </w:rPr>
        <w:t xml:space="preserve">del vencimiento del </w:t>
      </w:r>
      <w:r w:rsidRPr="00292579">
        <w:rPr>
          <w:rFonts w:ascii="Verdana" w:eastAsia="Calibri" w:hAnsi="Verdana" w:cs="Arial"/>
          <w:i/>
          <w:color w:val="000000"/>
          <w:lang w:val="es-ES"/>
        </w:rPr>
        <w:t>plazo del contrato</w:t>
      </w:r>
      <w:r w:rsidRPr="00292579">
        <w:rPr>
          <w:rFonts w:ascii="Verdana" w:eastAsia="Calibri" w:hAnsi="Verdana" w:cs="Arial"/>
          <w:color w:val="000000"/>
          <w:lang w:val="es-ES"/>
        </w:rPr>
        <w:t xml:space="preserve"> o del </w:t>
      </w:r>
      <w:r w:rsidRPr="00292579">
        <w:rPr>
          <w:rFonts w:ascii="Verdana" w:eastAsia="Calibri" w:hAnsi="Verdana" w:cs="Arial"/>
          <w:i/>
          <w:color w:val="000000"/>
          <w:lang w:val="es-ES"/>
        </w:rPr>
        <w:t>plazo de ejecución</w:t>
      </w:r>
      <w:r w:rsidRPr="00292579">
        <w:rPr>
          <w:rFonts w:ascii="Verdana" w:eastAsia="Calibri" w:hAnsi="Verdana" w:cs="Arial"/>
          <w:color w:val="000000"/>
          <w:lang w:val="es-ES"/>
        </w:rPr>
        <w:t xml:space="preserve"> no se infiere la extinción de las obligaciones</w:t>
      </w:r>
      <w:r w:rsidRPr="000D6180">
        <w:rPr>
          <w:rFonts w:ascii="Verdana" w:eastAsia="Calibri" w:hAnsi="Verdana" w:cs="Arial"/>
          <w:color w:val="000000"/>
          <w:lang w:val="es-ES"/>
        </w:rPr>
        <w:t xml:space="preserve">, pues –siempre que sea suspensivo– es posible la recepción de pagos extemporáneos porque la vigencia del contrato solo cesa con la liquidación. A este punto se refiere el Consejo de Estado cuando explica que: </w:t>
      </w:r>
    </w:p>
    <w:p w14:paraId="17E7EE54" w14:textId="77777777" w:rsidR="0071640F" w:rsidRPr="000D6180" w:rsidRDefault="0071640F" w:rsidP="0071640F">
      <w:pPr>
        <w:spacing w:line="240" w:lineRule="auto"/>
        <w:ind w:left="709" w:right="709"/>
        <w:jc w:val="both"/>
        <w:rPr>
          <w:rFonts w:ascii="Verdana" w:eastAsia="Calibri" w:hAnsi="Verdana" w:cs="Arial"/>
          <w:color w:val="000000"/>
          <w:sz w:val="20"/>
          <w:szCs w:val="20"/>
          <w:lang w:val="es-ES"/>
        </w:rPr>
      </w:pPr>
      <w:r w:rsidRPr="000D6180">
        <w:rPr>
          <w:rFonts w:ascii="Verdana" w:eastAsia="Calibri" w:hAnsi="Verdana" w:cs="Arial"/>
          <w:color w:val="000000"/>
          <w:sz w:val="20"/>
          <w:szCs w:val="20"/>
          <w:lang w:val="es-ES"/>
        </w:rPr>
        <w:t xml:space="preserve">[…] si bien es cierto en la mayoría de los casos el plazo del contrato coincide con el de ejecución de la obra, con la entrega del suministro, con la prestación del servicio, </w:t>
      </w:r>
      <w:r w:rsidRPr="000D6180">
        <w:rPr>
          <w:rFonts w:ascii="Verdana" w:eastAsia="Calibri" w:hAnsi="Verdana" w:cs="Arial"/>
          <w:i/>
          <w:iCs/>
          <w:color w:val="000000"/>
          <w:sz w:val="20"/>
          <w:szCs w:val="20"/>
          <w:lang w:val="es-ES"/>
        </w:rPr>
        <w:t xml:space="preserve">también lo es, que este plazo no constituye propiamente hablando el periodo de ejecución del contrato porque al finalizar el plazo que se ha destinado para el cumplimiento de la obligación principal por parte del contratista las partes no quedan liberadas de pleno derecho mientras no se extingan todas las obligaciones adquiridas, lo cual se cumple necesariamente en la etapa de liquidación del contrato </w:t>
      </w:r>
      <w:r w:rsidRPr="000D6180">
        <w:rPr>
          <w:rFonts w:ascii="Verdana" w:eastAsia="Calibri" w:hAnsi="Verdana" w:cs="Arial"/>
          <w:color w:val="000000"/>
          <w:sz w:val="20"/>
          <w:szCs w:val="20"/>
          <w:lang w:val="es-ES"/>
        </w:rPr>
        <w:t>en la cual es donde la administración puede valorar el cumplimiento total de las obligaciones a cargo del contratista y es la que le pone término a la vinculación de las partes.</w:t>
      </w:r>
    </w:p>
    <w:p w14:paraId="37AEB834" w14:textId="77777777" w:rsidR="0071640F" w:rsidRPr="000D6180" w:rsidRDefault="0071640F" w:rsidP="0071640F">
      <w:pPr>
        <w:spacing w:after="120" w:line="240" w:lineRule="auto"/>
        <w:ind w:left="709" w:right="709"/>
        <w:jc w:val="both"/>
        <w:rPr>
          <w:rFonts w:ascii="Verdana" w:eastAsia="Calibri" w:hAnsi="Verdana" w:cs="Arial"/>
          <w:color w:val="000000"/>
          <w:sz w:val="20"/>
          <w:szCs w:val="20"/>
          <w:lang w:val="es-ES"/>
        </w:rPr>
      </w:pPr>
      <w:r w:rsidRPr="000D6180">
        <w:rPr>
          <w:rFonts w:ascii="Verdana" w:eastAsia="Calibri" w:hAnsi="Verdana" w:cs="Arial"/>
          <w:color w:val="000000"/>
          <w:sz w:val="20"/>
          <w:szCs w:val="20"/>
          <w:lang w:val="es-ES"/>
        </w:rPr>
        <w:t>[…]</w:t>
      </w:r>
    </w:p>
    <w:p w14:paraId="44DD6966" w14:textId="77777777" w:rsidR="0071640F" w:rsidRPr="000D6180" w:rsidRDefault="0071640F" w:rsidP="0071640F">
      <w:pPr>
        <w:spacing w:after="0" w:line="240" w:lineRule="auto"/>
        <w:ind w:left="709" w:right="709"/>
        <w:jc w:val="both"/>
        <w:rPr>
          <w:rFonts w:ascii="Verdana" w:eastAsia="Calibri" w:hAnsi="Verdana" w:cs="Arial"/>
          <w:color w:val="000000"/>
          <w:sz w:val="21"/>
          <w:szCs w:val="21"/>
          <w:lang w:val="es-ES"/>
        </w:rPr>
      </w:pPr>
      <w:r w:rsidRPr="000D6180">
        <w:rPr>
          <w:rFonts w:ascii="Verdana" w:eastAsia="Calibri" w:hAnsi="Verdana" w:cs="Arial"/>
          <w:color w:val="000000"/>
          <w:sz w:val="20"/>
          <w:szCs w:val="20"/>
          <w:lang w:val="es-ES"/>
        </w:rPr>
        <w:t xml:space="preserve">En este orden de ideas, debe precisarse que dentro de los plazos para la ejecución del contrato existe uno y con seguridad el de mayor importancia y es aquél que corresponde a la terminación definitiva de la obra, o a la entrega del último suministro o del estudio o diseño que se ha confiado, momento en el cual la administración podrá igualmente, como lo venía haciendo durante la ejecución del contrato, evaluar el cumplimiento del contratista para poderle recibir a satisfacción, puesto que es una exigencia del interés público que el colaborador privado cumpla sus prestaciones </w:t>
      </w:r>
      <w:r w:rsidRPr="000D6180">
        <w:rPr>
          <w:rFonts w:ascii="Verdana" w:eastAsia="Calibri" w:hAnsi="Verdana" w:cs="Arial"/>
          <w:color w:val="000000"/>
          <w:sz w:val="20"/>
          <w:szCs w:val="20"/>
          <w:lang w:val="es-ES"/>
        </w:rPr>
        <w:lastRenderedPageBreak/>
        <w:t>conforme al ritmo previsto en el programa y con sujeción a las especificaciones técnicas establecidas en el contrato. En el evento de que el contratista no haya cumplido cabalmente, vale decir, porque entrega la obra inconclusa o se presentan faltantes o se requiere de reparaciones, la administración podrá hacer valer sus poderes sancionatorios de acuerdo con la magnitud del incumplimiento</w:t>
      </w:r>
      <w:r w:rsidRPr="000D6180">
        <w:rPr>
          <w:rFonts w:ascii="Verdana" w:eastAsia="Calibri" w:hAnsi="Verdana" w:cs="Arial"/>
          <w:color w:val="000000"/>
          <w:sz w:val="20"/>
          <w:szCs w:val="20"/>
          <w:vertAlign w:val="superscript"/>
          <w:lang w:val="es-ES"/>
        </w:rPr>
        <w:footnoteReference w:id="29"/>
      </w:r>
      <w:r w:rsidRPr="000D6180">
        <w:rPr>
          <w:rFonts w:ascii="Verdana" w:eastAsia="Calibri" w:hAnsi="Verdana" w:cs="Arial"/>
          <w:color w:val="000000"/>
          <w:sz w:val="20"/>
          <w:szCs w:val="20"/>
          <w:lang w:val="es-ES"/>
        </w:rPr>
        <w:t>.</w:t>
      </w:r>
      <w:r w:rsidRPr="000D6180">
        <w:rPr>
          <w:rFonts w:ascii="Verdana" w:eastAsia="Calibri" w:hAnsi="Verdana" w:cs="Arial"/>
          <w:color w:val="000000"/>
          <w:sz w:val="21"/>
          <w:szCs w:val="21"/>
          <w:lang w:val="es-ES"/>
        </w:rPr>
        <w:t xml:space="preserve"> </w:t>
      </w:r>
    </w:p>
    <w:p w14:paraId="7D2144F8" w14:textId="77777777" w:rsidR="0071640F" w:rsidRPr="000D6180" w:rsidRDefault="0071640F" w:rsidP="0071640F">
      <w:pPr>
        <w:spacing w:after="0" w:line="240" w:lineRule="auto"/>
        <w:ind w:left="709" w:right="709"/>
        <w:jc w:val="both"/>
        <w:rPr>
          <w:rFonts w:ascii="Verdana" w:eastAsia="Calibri" w:hAnsi="Verdana" w:cs="Arial"/>
          <w:color w:val="000000"/>
          <w:sz w:val="21"/>
          <w:szCs w:val="21"/>
          <w:lang w:val="es-ES"/>
        </w:rPr>
      </w:pPr>
    </w:p>
    <w:p w14:paraId="005FD2E9" w14:textId="77777777" w:rsidR="0071640F" w:rsidRPr="000D6180" w:rsidRDefault="0071640F" w:rsidP="0071640F">
      <w:pPr>
        <w:spacing w:after="120" w:line="276" w:lineRule="auto"/>
        <w:jc w:val="both"/>
        <w:rPr>
          <w:rFonts w:ascii="Verdana" w:eastAsia="Calibri" w:hAnsi="Verdana" w:cs="Arial"/>
          <w:color w:val="000000"/>
          <w:lang w:val="es-ES"/>
        </w:rPr>
      </w:pPr>
      <w:r w:rsidRPr="000D6180">
        <w:rPr>
          <w:rFonts w:ascii="Verdana" w:eastAsia="Calibri" w:hAnsi="Verdana" w:cs="Arial"/>
          <w:color w:val="000000"/>
          <w:lang w:val="es-ES"/>
        </w:rPr>
        <w:tab/>
        <w:t>Lo anterior demuestra que, sin perjuicio de la responsabilidad contractual,</w:t>
      </w:r>
      <w:r w:rsidRPr="000D6180">
        <w:rPr>
          <w:rFonts w:ascii="Verdana" w:eastAsia="Calibri" w:hAnsi="Verdana" w:cs="Arial"/>
          <w:color w:val="000000"/>
          <w:u w:val="single"/>
          <w:lang w:val="es-ES"/>
        </w:rPr>
        <w:t xml:space="preserve"> el vencimiento del </w:t>
      </w:r>
      <w:r w:rsidRPr="000D6180">
        <w:rPr>
          <w:rFonts w:ascii="Verdana" w:eastAsia="Calibri" w:hAnsi="Verdana" w:cs="Arial"/>
          <w:i/>
          <w:iCs/>
          <w:color w:val="000000"/>
          <w:u w:val="single"/>
          <w:lang w:val="es-ES"/>
        </w:rPr>
        <w:t>plazo de ejecución</w:t>
      </w:r>
      <w:r w:rsidRPr="000D6180">
        <w:rPr>
          <w:rFonts w:ascii="Verdana" w:eastAsia="Calibri" w:hAnsi="Verdana" w:cs="Arial"/>
          <w:color w:val="000000"/>
          <w:u w:val="single"/>
          <w:lang w:val="es-ES"/>
        </w:rPr>
        <w:t xml:space="preserve"> no impide que la entidad reciba las tareas realizadas fuera de este término ni equivale a la imposibilidad de que el contratista realice prestaciones extemporáneas</w:t>
      </w:r>
      <w:r w:rsidRPr="00292579">
        <w:rPr>
          <w:rFonts w:ascii="Verdana" w:eastAsia="Calibri" w:hAnsi="Verdana" w:cs="Arial"/>
          <w:color w:val="000000"/>
          <w:u w:val="single"/>
          <w:lang w:val="es-ES"/>
        </w:rPr>
        <w:t xml:space="preserve">. Lo anterior se fundamenta en que el principal modo de extinción de las obligaciones es el pago efectivo, el cual define el artículo 1626 del Código Civil como “la prestación de lo que se debe”. Este pago puede ser oportuno o extemporáneo. En este último caso, </w:t>
      </w:r>
      <w:r w:rsidRPr="000D6180">
        <w:rPr>
          <w:rFonts w:ascii="Verdana" w:eastAsia="Calibri" w:hAnsi="Verdana" w:cs="Arial"/>
          <w:color w:val="000000"/>
          <w:u w:val="single"/>
          <w:lang w:val="es-ES"/>
        </w:rPr>
        <w:t>ni el contrato se extingue ni la entidad pierde la oportunidad para recibir el objeto contratado, pues al cumplimiento</w:t>
      </w:r>
      <w:r w:rsidRPr="00292579">
        <w:rPr>
          <w:rFonts w:ascii="Verdana" w:eastAsia="Calibri" w:hAnsi="Verdana" w:cs="Arial"/>
          <w:color w:val="000000"/>
          <w:u w:val="single"/>
          <w:lang w:val="es-ES"/>
        </w:rPr>
        <w:t xml:space="preserve"> </w:t>
      </w:r>
      <w:r w:rsidRPr="00292579">
        <w:rPr>
          <w:rFonts w:ascii="Verdana" w:eastAsia="Calibri" w:hAnsi="Verdana" w:cs="Arial"/>
          <w:i/>
          <w:color w:val="000000"/>
          <w:u w:val="single"/>
          <w:lang w:val="es-ES"/>
        </w:rPr>
        <w:t>in natura</w:t>
      </w:r>
      <w:r w:rsidRPr="00292579">
        <w:rPr>
          <w:rFonts w:ascii="Verdana" w:eastAsia="Calibri" w:hAnsi="Verdana" w:cs="Arial"/>
          <w:color w:val="000000"/>
          <w:u w:val="single"/>
          <w:lang w:val="es-ES"/>
        </w:rPr>
        <w:t xml:space="preserve"> se suma la responsabil</w:t>
      </w:r>
      <w:r w:rsidRPr="000D6180">
        <w:rPr>
          <w:rFonts w:ascii="Verdana" w:eastAsia="Calibri" w:hAnsi="Verdana" w:cs="Arial"/>
          <w:color w:val="000000"/>
          <w:lang w:val="es-ES"/>
        </w:rPr>
        <w:t xml:space="preserve">idad contractual por “no haberse cumplido la obligación, o de haberse cumplido imperfectamente, o de haberse retardado el cumplimiento” –art. 1613 </w:t>
      </w:r>
      <w:r w:rsidRPr="000D6180">
        <w:rPr>
          <w:rFonts w:ascii="Verdana" w:eastAsia="Calibri" w:hAnsi="Verdana" w:cs="Arial"/>
          <w:i/>
          <w:iCs/>
          <w:color w:val="000000"/>
          <w:lang w:val="es-ES"/>
        </w:rPr>
        <w:t>ibidem</w:t>
      </w:r>
      <w:r w:rsidRPr="000D6180">
        <w:rPr>
          <w:rFonts w:ascii="Verdana" w:eastAsia="Calibri" w:hAnsi="Verdana" w:cs="Arial"/>
          <w:color w:val="000000"/>
          <w:lang w:val="es-ES"/>
        </w:rPr>
        <w:t xml:space="preserve">–. Para estos efectos el vencimiento del término produce la mora </w:t>
      </w:r>
      <w:r w:rsidRPr="000D6180">
        <w:rPr>
          <w:rFonts w:ascii="Verdana" w:eastAsia="Calibri" w:hAnsi="Verdana" w:cs="Arial"/>
          <w:i/>
          <w:iCs/>
          <w:color w:val="000000"/>
          <w:lang w:val="es-ES"/>
        </w:rPr>
        <w:t>ex re</w:t>
      </w:r>
      <w:r w:rsidRPr="000D6180">
        <w:rPr>
          <w:rFonts w:ascii="Verdana" w:eastAsia="Calibri" w:hAnsi="Verdana" w:cs="Arial"/>
          <w:color w:val="000000"/>
          <w:lang w:val="es-ES"/>
        </w:rPr>
        <w:t xml:space="preserve">, caso en el cual se exceptúa la obligación de reconvenir en la medida que el plazo interpela por sí mismo –art- 1608.1 </w:t>
      </w:r>
      <w:r w:rsidRPr="000D6180">
        <w:rPr>
          <w:rFonts w:ascii="Verdana" w:eastAsia="Calibri" w:hAnsi="Verdana" w:cs="Arial"/>
          <w:i/>
          <w:iCs/>
          <w:color w:val="000000"/>
          <w:lang w:val="es-ES"/>
        </w:rPr>
        <w:t>ibidem</w:t>
      </w:r>
      <w:r w:rsidRPr="000D6180">
        <w:rPr>
          <w:rFonts w:ascii="Verdana" w:eastAsia="Calibri" w:hAnsi="Verdana" w:cs="Arial"/>
          <w:color w:val="000000"/>
          <w:lang w:val="es-ES"/>
        </w:rPr>
        <w:t xml:space="preserve">–. Además, aunque la doctrina considera que la enumeración del artículo 1625 </w:t>
      </w:r>
      <w:r w:rsidRPr="000D6180">
        <w:rPr>
          <w:rFonts w:ascii="Verdana" w:eastAsia="Calibri" w:hAnsi="Verdana" w:cs="Arial"/>
          <w:i/>
          <w:iCs/>
          <w:color w:val="000000"/>
          <w:lang w:val="es-ES"/>
        </w:rPr>
        <w:t>ibidem</w:t>
      </w:r>
      <w:r w:rsidRPr="000D6180">
        <w:rPr>
          <w:rFonts w:ascii="Verdana" w:eastAsia="Calibri" w:hAnsi="Verdana" w:cs="Arial"/>
          <w:color w:val="000000"/>
          <w:lang w:val="es-ES"/>
        </w:rPr>
        <w:t xml:space="preserve"> no es completa, el único plazo que elimina la fuerza obligatoria del contrato es el extintivo</w:t>
      </w:r>
      <w:r w:rsidRPr="000D6180">
        <w:rPr>
          <w:rFonts w:ascii="Verdana" w:eastAsia="Calibri" w:hAnsi="Verdana" w:cs="Arial"/>
          <w:color w:val="000000"/>
          <w:vertAlign w:val="superscript"/>
          <w:lang w:val="es-ES"/>
        </w:rPr>
        <w:footnoteReference w:id="30"/>
      </w:r>
      <w:r w:rsidRPr="000D6180">
        <w:rPr>
          <w:rFonts w:ascii="Verdana" w:eastAsia="Calibri" w:hAnsi="Verdana" w:cs="Arial"/>
          <w:color w:val="000000"/>
          <w:lang w:val="es-ES"/>
        </w:rPr>
        <w:t xml:space="preserve">. </w:t>
      </w:r>
      <w:r w:rsidRPr="00292579">
        <w:rPr>
          <w:rFonts w:ascii="Verdana" w:eastAsia="Calibri" w:hAnsi="Verdana" w:cs="Arial"/>
          <w:color w:val="000000"/>
          <w:lang w:val="es-ES"/>
        </w:rPr>
        <w:t>Esto significa que ante el vencimiento de un plazo suspensivo –como se pacta usualmente en los contratos estatales– las obligaciones del contratista subsisten mientras no se extingan por el cumplimiento de la prestación adeudada</w:t>
      </w:r>
      <w:r w:rsidRPr="000D6180">
        <w:rPr>
          <w:rFonts w:ascii="Verdana" w:eastAsia="Calibri" w:hAnsi="Verdana" w:cs="Arial"/>
          <w:color w:val="000000"/>
          <w:lang w:val="es-ES"/>
        </w:rPr>
        <w:t xml:space="preserve">. </w:t>
      </w:r>
    </w:p>
    <w:p w14:paraId="772AEF03" w14:textId="77777777" w:rsidR="0071640F" w:rsidRPr="000D6180" w:rsidRDefault="0071640F" w:rsidP="0071640F">
      <w:pPr>
        <w:spacing w:after="120" w:line="276" w:lineRule="auto"/>
        <w:ind w:firstLine="708"/>
        <w:jc w:val="both"/>
        <w:rPr>
          <w:rFonts w:ascii="Verdana" w:eastAsia="Calibri" w:hAnsi="Verdana" w:cs="Arial"/>
          <w:color w:val="000000"/>
          <w:lang w:val="es-ES"/>
        </w:rPr>
      </w:pPr>
      <w:r w:rsidRPr="000D6180">
        <w:rPr>
          <w:rFonts w:ascii="Verdana" w:eastAsia="Calibri" w:hAnsi="Verdana" w:cs="Arial"/>
          <w:color w:val="000000"/>
          <w:lang w:val="es-ES"/>
        </w:rPr>
        <w:t xml:space="preserve">Así las cosas, el plazo para el cumplimiento de las obligaciones de tracto sucesivo, como las que usualmente se pactan en un contrato de corretaje, es por naturaleza suspensivo, y su vencimiento no conlleva su extinción, pues tal como se desprende de las consideraciones de orden normativo, jurisprudencial y doctrinario, el vencimiento del plazo suspensivo, en realidad, implica que la obligación se hace exigible en su totalidad a partir de ese mismo instante. </w:t>
      </w:r>
      <w:r w:rsidRPr="00292579">
        <w:rPr>
          <w:rFonts w:ascii="Verdana" w:eastAsia="Calibri" w:hAnsi="Verdana" w:cs="Arial"/>
          <w:color w:val="000000"/>
          <w:lang w:val="es-ES"/>
        </w:rPr>
        <w:t xml:space="preserve">De esta manera, el vencimiento del plazo pactado en estos contratos estatales no </w:t>
      </w:r>
      <w:r w:rsidRPr="00292579">
        <w:rPr>
          <w:rFonts w:ascii="Verdana" w:eastAsia="Calibri" w:hAnsi="Verdana" w:cs="Arial"/>
          <w:color w:val="000000"/>
          <w:lang w:val="es-ES"/>
        </w:rPr>
        <w:lastRenderedPageBreak/>
        <w:t>impide que la entidad reciba las tareas realizadas fuera de este término ni equivale a la imposibilidad de que el contratista realice prestaciones extemporáneas</w:t>
      </w:r>
      <w:r w:rsidRPr="000D6180">
        <w:rPr>
          <w:rFonts w:ascii="Verdana" w:eastAsia="Calibri" w:hAnsi="Verdana" w:cs="Arial"/>
          <w:color w:val="000000"/>
          <w:lang w:val="es-ES"/>
        </w:rPr>
        <w:t xml:space="preserve">. De hecho, mientras el contrato esté vigente la entidad puede emplear los medios necesarios para exigir su cumplimiento. </w:t>
      </w:r>
    </w:p>
    <w:p w14:paraId="45203309" w14:textId="77777777" w:rsidR="0071640F" w:rsidRPr="000D6180" w:rsidRDefault="0071640F" w:rsidP="0071640F">
      <w:pPr>
        <w:spacing w:after="120" w:line="276" w:lineRule="auto"/>
        <w:jc w:val="both"/>
        <w:rPr>
          <w:rFonts w:ascii="Verdana" w:eastAsia="Arial" w:hAnsi="Verdana" w:cs="Arial"/>
          <w:lang w:val="es-ES" w:eastAsia="es-ES" w:bidi="es-ES"/>
        </w:rPr>
      </w:pPr>
      <w:r w:rsidRPr="000D6180">
        <w:rPr>
          <w:rFonts w:ascii="Verdana" w:eastAsia="Calibri" w:hAnsi="Verdana" w:cs="Arial"/>
          <w:color w:val="000000"/>
          <w:lang w:val="es-ES"/>
        </w:rPr>
        <w:t xml:space="preserve">iv. </w:t>
      </w:r>
      <w:r w:rsidRPr="000D6180">
        <w:rPr>
          <w:rFonts w:ascii="Verdana" w:eastAsia="Calibri" w:hAnsi="Verdana" w:cs="Arial"/>
          <w:lang w:val="es-ES"/>
        </w:rPr>
        <w:t>Aunque no existe un desarrollo legal amplio sobre las reglas o procedimientos aplicables a la modificación del contrato estatal, los aportes de la jurisprudencia y de la doctrina han permitido estructurar los límites y requisitos de orden temporal, formal, material y axiológico para que esto se lleve a cabalidad. Estos límites deben ser respetados por la entidad contratante para preservar los principios de origen legal, como el de planeación, selección objetiva, libre concurrencia, transparencia, igualdad, entre otros</w:t>
      </w:r>
      <w:r w:rsidRPr="000D6180">
        <w:rPr>
          <w:rFonts w:ascii="Verdana" w:eastAsia="Arial" w:hAnsi="Verdana" w:cs="Arial"/>
          <w:vertAlign w:val="superscript"/>
          <w:lang w:val="es-ES" w:eastAsia="es-ES" w:bidi="es-ES"/>
        </w:rPr>
        <w:footnoteReference w:id="31"/>
      </w:r>
      <w:r w:rsidRPr="000D6180">
        <w:rPr>
          <w:rFonts w:ascii="Verdana" w:eastAsia="Arial" w:hAnsi="Verdana" w:cs="Arial"/>
          <w:lang w:val="es-ES" w:eastAsia="es-ES" w:bidi="es-ES"/>
        </w:rPr>
        <w:t>.</w:t>
      </w:r>
    </w:p>
    <w:p w14:paraId="7F52CC8A" w14:textId="77777777" w:rsidR="0071640F" w:rsidRPr="000D6180" w:rsidRDefault="0071640F" w:rsidP="0071640F">
      <w:pPr>
        <w:spacing w:after="120" w:line="276" w:lineRule="auto"/>
        <w:ind w:firstLine="708"/>
        <w:jc w:val="both"/>
        <w:rPr>
          <w:rFonts w:ascii="Verdana" w:eastAsia="Arial" w:hAnsi="Verdana" w:cs="Arial"/>
          <w:lang w:val="es-ES" w:eastAsia="es-ES" w:bidi="es-ES"/>
        </w:rPr>
      </w:pPr>
      <w:r w:rsidRPr="000D6180">
        <w:rPr>
          <w:rFonts w:ascii="Verdana" w:eastAsia="Arial" w:hAnsi="Verdana" w:cs="Arial"/>
          <w:lang w:val="es-ES" w:eastAsia="es-ES" w:bidi="es-ES"/>
        </w:rPr>
        <w:t xml:space="preserve">Respecto de los límites de </w:t>
      </w:r>
      <w:r w:rsidRPr="000D6180">
        <w:rPr>
          <w:rFonts w:ascii="Verdana" w:eastAsia="Arial" w:hAnsi="Verdana" w:cs="Arial"/>
          <w:i/>
          <w:iCs/>
          <w:lang w:val="es-ES" w:eastAsia="es-ES" w:bidi="es-ES"/>
        </w:rPr>
        <w:t xml:space="preserve">orden formal, </w:t>
      </w:r>
      <w:r w:rsidRPr="000D6180">
        <w:rPr>
          <w:rFonts w:ascii="Verdana" w:eastAsia="Arial" w:hAnsi="Verdana" w:cs="Arial"/>
          <w:lang w:val="es-ES" w:eastAsia="es-ES" w:bidi="es-ES"/>
        </w:rPr>
        <w:t xml:space="preserve">debe </w:t>
      </w:r>
      <w:proofErr w:type="gramStart"/>
      <w:r w:rsidRPr="000D6180">
        <w:rPr>
          <w:rFonts w:ascii="Verdana" w:eastAsia="Arial" w:hAnsi="Verdana" w:cs="Arial"/>
          <w:lang w:val="es-ES" w:eastAsia="es-ES" w:bidi="es-ES"/>
        </w:rPr>
        <w:t>señalarse</w:t>
      </w:r>
      <w:proofErr w:type="gramEnd"/>
      <w:r w:rsidRPr="000D6180">
        <w:rPr>
          <w:rFonts w:ascii="Verdana" w:eastAsia="Arial" w:hAnsi="Verdana" w:cs="Arial"/>
          <w:lang w:val="es-ES" w:eastAsia="es-ES" w:bidi="es-ES"/>
        </w:rPr>
        <w:t xml:space="preserve"> por un lado, que es necesario que la modificación de los contratos estatales conste por escrito –dado el carácter solemne del contrato estatal y que sea suscrito por el jefe o representante legal o su delegado, de conformidad con lo dispuesto en los artículos 11 y 12 de la Ley 80 de 1993–, así como el deber de la existencia de las disponibilidades presupuestales para el cumplimiento de las obligaciones. </w:t>
      </w:r>
      <w:proofErr w:type="gramStart"/>
      <w:r w:rsidRPr="000D6180">
        <w:rPr>
          <w:rFonts w:ascii="Verdana" w:eastAsia="Arial" w:hAnsi="Verdana" w:cs="Arial"/>
          <w:lang w:val="es-ES" w:eastAsia="es-ES" w:bidi="es-ES"/>
        </w:rPr>
        <w:t>Y</w:t>
      </w:r>
      <w:proofErr w:type="gramEnd"/>
      <w:r w:rsidRPr="000D6180">
        <w:rPr>
          <w:rFonts w:ascii="Verdana" w:eastAsia="Arial" w:hAnsi="Verdana" w:cs="Arial"/>
          <w:lang w:val="es-ES" w:eastAsia="es-ES" w:bidi="es-ES"/>
        </w:rPr>
        <w:t xml:space="preserve"> por otro lado, que la Entidad Estatal debe motivar y justificar la modificación del contrato. </w:t>
      </w:r>
    </w:p>
    <w:p w14:paraId="267DB608" w14:textId="77777777" w:rsidR="0071640F" w:rsidRPr="000D6180" w:rsidRDefault="0071640F" w:rsidP="0071640F">
      <w:pPr>
        <w:spacing w:after="120" w:line="276" w:lineRule="auto"/>
        <w:jc w:val="both"/>
        <w:rPr>
          <w:rFonts w:ascii="Verdana" w:eastAsia="Calibri" w:hAnsi="Verdana" w:cs="Arial"/>
          <w:lang w:val="es-ES"/>
        </w:rPr>
      </w:pPr>
      <w:r w:rsidRPr="000D6180">
        <w:rPr>
          <w:rFonts w:ascii="Verdana" w:eastAsia="Calibri" w:hAnsi="Verdana" w:cs="Arial"/>
          <w:lang w:val="es-ES"/>
        </w:rPr>
        <w:tab/>
        <w:t xml:space="preserve">Por su parte, los </w:t>
      </w:r>
      <w:r w:rsidRPr="000D6180">
        <w:rPr>
          <w:rFonts w:ascii="Verdana" w:eastAsia="Calibri" w:hAnsi="Verdana" w:cs="Arial"/>
          <w:i/>
          <w:iCs/>
          <w:lang w:val="es-ES"/>
        </w:rPr>
        <w:t xml:space="preserve">límites materiales </w:t>
      </w:r>
      <w:r w:rsidRPr="000D6180">
        <w:rPr>
          <w:rFonts w:ascii="Verdana" w:eastAsia="Calibri" w:hAnsi="Verdana" w:cs="Arial"/>
          <w:lang w:val="es-ES"/>
        </w:rPr>
        <w:t>corresponden a la prohibición de modificar las condiciones sustanciales del contrato, que se presentará en los casos en que se incluyan elementos que, “habiendo figurado en el procedimiento inicial, hubiera permitido la participación de otros interesados aparte de los inicialmente admitidos, o seleccionar una oferta distinta de la inicialmente seleccionada”</w:t>
      </w:r>
      <w:r w:rsidRPr="000D6180">
        <w:rPr>
          <w:rFonts w:ascii="Verdana" w:eastAsia="Arial" w:hAnsi="Verdana" w:cs="Arial"/>
          <w:vertAlign w:val="superscript"/>
          <w:lang w:val="es-ES" w:eastAsia="es-ES" w:bidi="es-ES"/>
        </w:rPr>
        <w:footnoteReference w:id="32"/>
      </w:r>
      <w:r w:rsidRPr="000D6180">
        <w:rPr>
          <w:rFonts w:ascii="Verdana" w:eastAsia="Arial" w:hAnsi="Verdana" w:cs="Arial"/>
          <w:lang w:val="es-ES" w:eastAsia="es-ES" w:bidi="es-ES"/>
        </w:rPr>
        <w:t>.</w:t>
      </w:r>
    </w:p>
    <w:p w14:paraId="3FBD19F6" w14:textId="77777777" w:rsidR="0071640F" w:rsidRPr="000D6180" w:rsidRDefault="0071640F" w:rsidP="0071640F">
      <w:pPr>
        <w:widowControl w:val="0"/>
        <w:autoSpaceDE w:val="0"/>
        <w:autoSpaceDN w:val="0"/>
        <w:spacing w:after="120" w:line="276" w:lineRule="auto"/>
        <w:ind w:firstLine="708"/>
        <w:jc w:val="both"/>
        <w:rPr>
          <w:rFonts w:ascii="Verdana" w:eastAsia="Calibri" w:hAnsi="Verdana" w:cs="Arial"/>
          <w:lang w:val="es-ES"/>
        </w:rPr>
      </w:pPr>
      <w:r w:rsidRPr="000D6180">
        <w:rPr>
          <w:rFonts w:ascii="Verdana" w:eastAsia="Arial" w:hAnsi="Verdana" w:cs="Arial"/>
          <w:lang w:val="es-ES" w:eastAsia="es-ES" w:bidi="es-ES"/>
        </w:rPr>
        <w:t xml:space="preserve">Los </w:t>
      </w:r>
      <w:r w:rsidRPr="000D6180">
        <w:rPr>
          <w:rFonts w:ascii="Verdana" w:eastAsia="Arial" w:hAnsi="Verdana" w:cs="Arial"/>
          <w:i/>
          <w:lang w:val="es-ES" w:eastAsia="es-ES" w:bidi="es-ES"/>
        </w:rPr>
        <w:t>límites axiológicos</w:t>
      </w:r>
      <w:r w:rsidRPr="000D6180">
        <w:rPr>
          <w:rFonts w:ascii="Verdana" w:eastAsia="Arial" w:hAnsi="Verdana" w:cs="Arial"/>
          <w:lang w:val="es-ES" w:eastAsia="es-ES" w:bidi="es-ES"/>
        </w:rPr>
        <w:t xml:space="preserve">, los cuales se fundan en la necesidad de preservar los principios de igualdad, transparencia, libertad de concurrencia, selección objetiva y planeación. </w:t>
      </w:r>
      <w:r w:rsidRPr="000D6180">
        <w:rPr>
          <w:rFonts w:ascii="Verdana" w:eastAsia="Calibri" w:hAnsi="Verdana" w:cs="Arial"/>
          <w:lang w:val="es-ES" w:eastAsia="es-ES_tradnl"/>
        </w:rPr>
        <w:t>Lo anterior, con la finalidad de realizar la escogencia diligente de la mejor oferta, para beneficiar los intereses y fines públicos inmersos en la contratación de las entidades estatales. A modo de ejemplo, l</w:t>
      </w:r>
      <w:r w:rsidRPr="000D6180">
        <w:rPr>
          <w:rFonts w:ascii="Verdana" w:eastAsia="Calibri" w:hAnsi="Verdana" w:cs="Arial"/>
          <w:lang w:val="es-ES"/>
        </w:rPr>
        <w:t xml:space="preserve">a concepción de mayores cantidades de obra, como expresión del contrato original </w:t>
      </w:r>
      <w:r w:rsidRPr="000D6180">
        <w:rPr>
          <w:rFonts w:ascii="Verdana" w:eastAsia="Calibri" w:hAnsi="Verdana" w:cs="Arial"/>
          <w:lang w:val="es-ES"/>
        </w:rPr>
        <w:lastRenderedPageBreak/>
        <w:t xml:space="preserve">sin valor determinado, aunque determinable, no puede dar lugar a una ampliación ilimitada de estos contratos, pues no se encuentran exentos de la aplicación de los principios de la contratación estatal. </w:t>
      </w:r>
    </w:p>
    <w:p w14:paraId="5499D007" w14:textId="77777777" w:rsidR="0071640F" w:rsidRPr="000D6180" w:rsidRDefault="0071640F" w:rsidP="0071640F">
      <w:pPr>
        <w:spacing w:after="120" w:line="276" w:lineRule="auto"/>
        <w:ind w:firstLine="708"/>
        <w:jc w:val="both"/>
        <w:rPr>
          <w:rFonts w:ascii="Verdana" w:eastAsia="Arial" w:hAnsi="Verdana" w:cs="Arial"/>
          <w:lang w:val="es-ES" w:eastAsia="es-ES" w:bidi="es-ES"/>
        </w:rPr>
      </w:pPr>
      <w:r w:rsidRPr="000D6180">
        <w:rPr>
          <w:rFonts w:ascii="Verdana" w:eastAsia="Arial" w:hAnsi="Verdana" w:cs="Arial"/>
          <w:lang w:val="es-ES" w:eastAsia="es-ES" w:bidi="es-ES"/>
        </w:rPr>
        <w:t xml:space="preserve">Finalmente, dentro de los límites de </w:t>
      </w:r>
      <w:r w:rsidRPr="000D6180">
        <w:rPr>
          <w:rFonts w:ascii="Verdana" w:eastAsia="Arial" w:hAnsi="Verdana" w:cs="Arial"/>
          <w:i/>
          <w:iCs/>
          <w:lang w:val="es-ES" w:eastAsia="es-ES" w:bidi="es-ES"/>
        </w:rPr>
        <w:t>orden temporal</w:t>
      </w:r>
      <w:r w:rsidRPr="000D6180">
        <w:rPr>
          <w:rFonts w:ascii="Verdana" w:eastAsia="Arial" w:hAnsi="Verdana" w:cs="Arial"/>
          <w:lang w:val="es-ES" w:eastAsia="es-ES" w:bidi="es-ES"/>
        </w:rPr>
        <w:t>, están comprendidos: i)</w:t>
      </w:r>
      <w:r w:rsidRPr="000D6180">
        <w:rPr>
          <w:rFonts w:ascii="Verdana" w:hAnsi="Verdana"/>
          <w:lang w:val="es-ES"/>
        </w:rPr>
        <w:t xml:space="preserve"> </w:t>
      </w:r>
      <w:r w:rsidRPr="000D6180">
        <w:rPr>
          <w:rFonts w:ascii="Verdana" w:eastAsia="Arial" w:hAnsi="Verdana" w:cs="Arial"/>
          <w:lang w:val="es-ES" w:eastAsia="es-ES" w:bidi="es-ES"/>
        </w:rPr>
        <w:t>la vigencia del contrato, pues no podría modificarse un contrato cuyo plazo ha culminado y; ii) la prohibición de consagrar prórrogas automáticas, sucesivas o indefinidas, en tanto resultan contrarias al derecho esencial de la libertad de competencia. En ese sentido, y para efectos de claridad, la jurisprudencia del Consejo de Estado</w:t>
      </w:r>
      <w:r w:rsidRPr="000D6180">
        <w:rPr>
          <w:rStyle w:val="Refdenotaalpie"/>
          <w:rFonts w:ascii="Verdana" w:eastAsia="Calibri" w:hAnsi="Verdana" w:cs="Arial"/>
          <w:color w:val="000000" w:themeColor="text1"/>
          <w:lang w:val="es-ES"/>
        </w:rPr>
        <w:footnoteReference w:id="33"/>
      </w:r>
      <w:r w:rsidRPr="000D6180">
        <w:rPr>
          <w:rFonts w:ascii="Verdana" w:eastAsia="Arial" w:hAnsi="Verdana" w:cs="Arial"/>
          <w:lang w:val="es-ES" w:eastAsia="es-ES" w:bidi="es-ES"/>
        </w:rPr>
        <w:t xml:space="preserve"> ha definido el </w:t>
      </w:r>
      <w:r w:rsidRPr="000D6180">
        <w:rPr>
          <w:rFonts w:ascii="Verdana" w:eastAsia="Arial" w:hAnsi="Verdana" w:cs="Arial"/>
          <w:i/>
          <w:iCs/>
          <w:lang w:val="es-ES" w:eastAsia="es-ES" w:bidi="es-ES"/>
        </w:rPr>
        <w:t>plazo de ejecución</w:t>
      </w:r>
      <w:r w:rsidRPr="000D6180">
        <w:rPr>
          <w:rFonts w:ascii="Verdana" w:eastAsia="Arial" w:hAnsi="Verdana" w:cs="Arial"/>
          <w:lang w:val="es-ES" w:eastAsia="es-ES" w:bidi="es-ES"/>
        </w:rPr>
        <w:t xml:space="preserve"> del contrato como el establecido para la realización de las prestaciones contractuales, y de igual forma, considera que mientras subsista la obligación para las partes de liquidar el contrato, </w:t>
      </w:r>
      <w:r w:rsidRPr="000D6180">
        <w:rPr>
          <w:rFonts w:ascii="Verdana" w:eastAsia="Arial" w:hAnsi="Verdana" w:cs="Arial"/>
          <w:i/>
          <w:iCs/>
          <w:lang w:val="es-ES" w:eastAsia="es-ES" w:bidi="es-ES"/>
        </w:rPr>
        <w:t>el plazo de vigencia</w:t>
      </w:r>
      <w:r w:rsidRPr="000D6180">
        <w:rPr>
          <w:rFonts w:ascii="Verdana" w:eastAsia="Arial" w:hAnsi="Verdana" w:cs="Arial"/>
          <w:lang w:val="es-ES" w:eastAsia="es-ES" w:bidi="es-ES"/>
        </w:rPr>
        <w:t xml:space="preserve"> de este no ha finalizado. </w:t>
      </w:r>
    </w:p>
    <w:p w14:paraId="2BCE7855" w14:textId="77777777" w:rsidR="0071640F" w:rsidRPr="000D6180" w:rsidRDefault="0071640F" w:rsidP="0071640F">
      <w:pPr>
        <w:spacing w:after="120" w:line="276" w:lineRule="auto"/>
        <w:ind w:firstLine="708"/>
        <w:jc w:val="both"/>
        <w:rPr>
          <w:rFonts w:ascii="Verdana" w:eastAsia="Calibri" w:hAnsi="Verdana" w:cs="Arial"/>
          <w:lang w:val="es-ES"/>
        </w:rPr>
      </w:pPr>
      <w:r w:rsidRPr="000D6180">
        <w:rPr>
          <w:rFonts w:ascii="Verdana" w:eastAsia="Arial" w:hAnsi="Verdana" w:cs="Arial"/>
          <w:lang w:val="es-ES" w:eastAsia="es-ES" w:bidi="es-ES"/>
        </w:rPr>
        <w:t>En efecto, como</w:t>
      </w:r>
      <w:r>
        <w:rPr>
          <w:rFonts w:ascii="Verdana" w:eastAsia="Arial" w:hAnsi="Verdana" w:cs="Arial"/>
          <w:lang w:val="es-ES" w:eastAsia="es-ES" w:bidi="es-ES"/>
        </w:rPr>
        <w:t xml:space="preserve"> </w:t>
      </w:r>
      <w:r w:rsidRPr="000D6180">
        <w:rPr>
          <w:rFonts w:ascii="Verdana" w:eastAsia="Arial" w:hAnsi="Verdana" w:cs="Arial"/>
          <w:lang w:val="es-ES" w:eastAsia="es-ES" w:bidi="es-ES"/>
        </w:rPr>
        <w:t xml:space="preserve">se mencionó antes, </w:t>
      </w:r>
      <w:r w:rsidRPr="000D6180">
        <w:rPr>
          <w:rFonts w:ascii="Verdana" w:eastAsia="Calibri" w:hAnsi="Verdana" w:cs="Arial"/>
          <w:lang w:val="es-ES"/>
        </w:rPr>
        <w:t xml:space="preserve">el plazo de ejecución es el que establezcan las partes para la realización de las prestaciones contractuales, y la vigencia del contrato se puede prolongar hasta el momento de su liquidación, de modo que mientras subsista la obligación para las partes de liquidar el contrato, el plazo de vigencia de este no ha finalizado. Frente a este aspecto el límite temporal para realizar las modificaciones implica que no es posible modificar contrato cuyo plazo de vigencia ha finalizado. </w:t>
      </w:r>
    </w:p>
    <w:p w14:paraId="2AEB1BEA" w14:textId="77777777" w:rsidR="0071640F" w:rsidRPr="000D6180" w:rsidRDefault="0071640F" w:rsidP="0071640F">
      <w:pPr>
        <w:spacing w:after="0" w:line="276" w:lineRule="auto"/>
        <w:ind w:firstLine="708"/>
        <w:jc w:val="both"/>
        <w:rPr>
          <w:rFonts w:ascii="Verdana" w:eastAsia="Calibri" w:hAnsi="Verdana" w:cs="Arial"/>
          <w:lang w:val="es-ES"/>
        </w:rPr>
      </w:pPr>
      <w:r w:rsidRPr="000D6180">
        <w:rPr>
          <w:rFonts w:ascii="Verdana" w:eastAsia="Calibri" w:hAnsi="Verdana" w:cs="Arial"/>
          <w:lang w:val="es-ES"/>
        </w:rPr>
        <w:t xml:space="preserve">Por otra parte, </w:t>
      </w:r>
      <w:r>
        <w:rPr>
          <w:rFonts w:ascii="Verdana" w:eastAsia="Calibri" w:hAnsi="Verdana" w:cs="Arial"/>
          <w:lang w:val="es-ES"/>
        </w:rPr>
        <w:t>l</w:t>
      </w:r>
      <w:r w:rsidRPr="000D6180">
        <w:rPr>
          <w:rFonts w:ascii="Verdana" w:eastAsia="Calibri" w:hAnsi="Verdana" w:cs="Arial"/>
          <w:lang w:val="es-ES"/>
        </w:rPr>
        <w:t>a jurisprudencia prohíbe que en un contrato estatal las partes incluyan</w:t>
      </w:r>
      <w:r w:rsidRPr="000D6180">
        <w:rPr>
          <w:rFonts w:ascii="Verdana" w:eastAsia="Arial" w:hAnsi="Verdana" w:cs="Arial"/>
          <w:lang w:val="es-ES" w:eastAsia="es-ES" w:bidi="es-ES"/>
        </w:rPr>
        <w:t xml:space="preserve"> prórrogas automáticas, sucesivas o indefinidas. De este modo, las prórrogas automáticas son improcedentes en los contratos estatales. </w:t>
      </w:r>
      <w:r w:rsidRPr="000D6180">
        <w:rPr>
          <w:rFonts w:ascii="Verdana" w:eastAsia="Calibri" w:hAnsi="Verdana" w:cs="Arial"/>
          <w:lang w:val="es-ES"/>
        </w:rPr>
        <w:t xml:space="preserve">En este sentido no es posible que las Entidades Estatales pacten prórrogas automáticas que obliguen a su concesión e impidan a la Administración evaluar en cada caso su conveniencia y oportunidad; esta práctica contraría los principios de la contratación pública al no permitir que los ciudadanos participen en igualdad de condiciones. </w:t>
      </w:r>
    </w:p>
    <w:p w14:paraId="189A9AFB" w14:textId="77777777" w:rsidR="0071640F" w:rsidRPr="000D6180" w:rsidRDefault="0071640F" w:rsidP="0071640F">
      <w:pPr>
        <w:spacing w:after="0" w:line="276" w:lineRule="auto"/>
        <w:ind w:firstLine="708"/>
        <w:jc w:val="both"/>
        <w:rPr>
          <w:rFonts w:ascii="Verdana" w:eastAsia="Calibri" w:hAnsi="Verdana" w:cs="Arial"/>
          <w:lang w:val="es-ES"/>
        </w:rPr>
      </w:pPr>
    </w:p>
    <w:p w14:paraId="7E3840C8" w14:textId="77777777" w:rsidR="0071640F" w:rsidRPr="000D6180" w:rsidRDefault="0071640F" w:rsidP="0071640F">
      <w:pPr>
        <w:spacing w:after="120" w:line="276" w:lineRule="auto"/>
        <w:jc w:val="both"/>
        <w:rPr>
          <w:rFonts w:ascii="Verdana" w:eastAsia="Calibri" w:hAnsi="Verdana" w:cs="Arial"/>
          <w:lang w:val="es-ES"/>
        </w:rPr>
      </w:pPr>
      <w:r w:rsidRPr="000D6180">
        <w:rPr>
          <w:rFonts w:ascii="Verdana" w:eastAsia="Calibri" w:hAnsi="Verdana" w:cs="Arial"/>
          <w:lang w:val="es-ES"/>
        </w:rPr>
        <w:t xml:space="preserve">v. La distinción entre el plazo pactado y la vigencia del contrato, así como la prohibición de prórrogas automáticas suponen límites importantes para el supuesto objeto de consulta. En primer lugar, no es posible considerar que una cláusula que determina el plazo del contrato estatal de corretaje conlleve a </w:t>
      </w:r>
      <w:r w:rsidRPr="007E01DB">
        <w:rPr>
          <w:rFonts w:ascii="Verdana" w:eastAsia="Calibri" w:hAnsi="Verdana" w:cs="Arial"/>
          <w:lang w:val="es-ES"/>
        </w:rPr>
        <w:t xml:space="preserve">una </w:t>
      </w:r>
      <w:r w:rsidRPr="007E01DB">
        <w:rPr>
          <w:rFonts w:ascii="Verdana" w:eastAsia="Calibri" w:hAnsi="Verdana" w:cs="Arial"/>
          <w:lang w:val="es-ES"/>
        </w:rPr>
        <w:lastRenderedPageBreak/>
        <w:t>extensión automática hasta el vencimiento de las pólizas</w:t>
      </w:r>
      <w:r w:rsidRPr="000D6180">
        <w:rPr>
          <w:rFonts w:ascii="Verdana" w:eastAsia="Calibri" w:hAnsi="Verdana" w:cs="Arial"/>
          <w:lang w:val="es-ES"/>
        </w:rPr>
        <w:t>. I</w:t>
      </w:r>
      <w:r w:rsidRPr="007E01DB">
        <w:rPr>
          <w:rFonts w:ascii="Verdana" w:eastAsia="Calibri" w:hAnsi="Verdana" w:cs="Arial"/>
          <w:lang w:val="es-ES"/>
        </w:rPr>
        <w:t xml:space="preserve">nterpretar la cláusula como una extensión automática del plazo de ejecución </w:t>
      </w:r>
      <w:r w:rsidRPr="000D6180">
        <w:rPr>
          <w:rFonts w:ascii="Verdana" w:eastAsia="Calibri" w:hAnsi="Verdana" w:cs="Arial"/>
          <w:lang w:val="es-ES"/>
        </w:rPr>
        <w:t xml:space="preserve">choca con </w:t>
      </w:r>
      <w:r w:rsidRPr="007E01DB">
        <w:rPr>
          <w:rFonts w:ascii="Verdana" w:eastAsia="Calibri" w:hAnsi="Verdana" w:cs="Arial"/>
          <w:lang w:val="es-ES"/>
        </w:rPr>
        <w:t>la prohibición de prórrogas automáticas, sucesivas o indefinidas, que la jurisprudencia y esta Agencia han considerado contraria</w:t>
      </w:r>
      <w:r w:rsidRPr="000D6180">
        <w:rPr>
          <w:rFonts w:ascii="Verdana" w:eastAsia="Calibri" w:hAnsi="Verdana" w:cs="Arial"/>
          <w:lang w:val="es-ES"/>
        </w:rPr>
        <w:t>s</w:t>
      </w:r>
      <w:r w:rsidRPr="007E01DB">
        <w:rPr>
          <w:rFonts w:ascii="Verdana" w:eastAsia="Calibri" w:hAnsi="Verdana" w:cs="Arial"/>
          <w:lang w:val="es-ES"/>
        </w:rPr>
        <w:t xml:space="preserve"> a la libertad de concurrencia y al principio de planeación</w:t>
      </w:r>
      <w:r w:rsidRPr="000D6180">
        <w:rPr>
          <w:rFonts w:ascii="Verdana" w:eastAsia="Calibri" w:hAnsi="Verdana" w:cs="Arial"/>
          <w:lang w:val="es-ES"/>
        </w:rPr>
        <w:t xml:space="preserve"> en el marco de la contratación estatal</w:t>
      </w:r>
      <w:r w:rsidRPr="007E01DB">
        <w:rPr>
          <w:rFonts w:ascii="Verdana" w:eastAsia="Calibri" w:hAnsi="Verdana" w:cs="Arial"/>
          <w:lang w:val="es-ES"/>
        </w:rPr>
        <w:t xml:space="preserve">. </w:t>
      </w:r>
      <w:r w:rsidRPr="000D6180">
        <w:rPr>
          <w:rFonts w:ascii="Verdana" w:eastAsia="Calibri" w:hAnsi="Verdana" w:cs="Arial"/>
          <w:lang w:val="es-ES"/>
        </w:rPr>
        <w:t xml:space="preserve">Frente a este punto, se resalta que las normas que rigen la hermenéutica contractual señalan </w:t>
      </w:r>
      <w:proofErr w:type="gramStart"/>
      <w:r w:rsidRPr="000D6180">
        <w:rPr>
          <w:rFonts w:ascii="Verdana" w:eastAsia="Calibri" w:hAnsi="Verdana" w:cs="Arial"/>
          <w:lang w:val="es-ES"/>
        </w:rPr>
        <w:t>que</w:t>
      </w:r>
      <w:proofErr w:type="gramEnd"/>
      <w:r w:rsidRPr="000D6180">
        <w:rPr>
          <w:rFonts w:ascii="Verdana" w:eastAsia="Calibri" w:hAnsi="Verdana" w:cs="Arial"/>
          <w:lang w:val="es-ES"/>
        </w:rPr>
        <w:t xml:space="preserve"> entre dos </w:t>
      </w:r>
      <w:r w:rsidRPr="007E01DB">
        <w:rPr>
          <w:rFonts w:ascii="Verdana" w:eastAsia="Calibri" w:hAnsi="Verdana" w:cs="Arial"/>
          <w:lang w:val="es-ES"/>
        </w:rPr>
        <w:t xml:space="preserve">interpretaciones posibles, debe preferirse la que preserva la validez y los principios de la contratación </w:t>
      </w:r>
      <w:proofErr w:type="gramStart"/>
      <w:r w:rsidRPr="000D6180">
        <w:rPr>
          <w:rFonts w:ascii="Verdana" w:eastAsia="Calibri" w:hAnsi="Verdana" w:cs="Arial"/>
          <w:lang w:val="es-ES"/>
        </w:rPr>
        <w:t>pública</w:t>
      </w:r>
      <w:r w:rsidRPr="007E01DB">
        <w:rPr>
          <w:rFonts w:ascii="Verdana" w:eastAsia="Calibri" w:hAnsi="Verdana" w:cs="Arial"/>
          <w:lang w:val="es-ES"/>
        </w:rPr>
        <w:t>(</w:t>
      </w:r>
      <w:proofErr w:type="gramEnd"/>
      <w:r w:rsidRPr="007E01DB">
        <w:rPr>
          <w:rFonts w:ascii="Verdana" w:eastAsia="Calibri" w:hAnsi="Verdana" w:cs="Arial"/>
          <w:lang w:val="es-ES"/>
        </w:rPr>
        <w:t xml:space="preserve">arts. 1620 y 1621 C.C.). </w:t>
      </w:r>
    </w:p>
    <w:p w14:paraId="1A446B99" w14:textId="77777777" w:rsidR="005C59FA" w:rsidRDefault="005C59FA" w:rsidP="005C59FA">
      <w:pPr>
        <w:spacing w:after="120" w:line="276" w:lineRule="auto"/>
        <w:ind w:firstLine="708"/>
        <w:jc w:val="both"/>
        <w:rPr>
          <w:rFonts w:ascii="Verdana" w:eastAsia="Calibri" w:hAnsi="Verdana" w:cs="Arial"/>
          <w:lang w:val="es-ES"/>
        </w:rPr>
      </w:pPr>
      <w:r>
        <w:rPr>
          <w:rFonts w:ascii="Verdana" w:eastAsia="Calibri" w:hAnsi="Verdana" w:cs="Arial"/>
          <w:lang w:val="es-ES"/>
        </w:rPr>
        <w:t>A lo anterior se agrega que el plazo, como modalidad de la obligación, es por naturaleza un hecho futuro y cierto, cuya función es fijar con certeza el término de ejecución de las prestaciones, por lo que debe ser determinado o determinable al momento de la celebración del contrato. Interpretar que el plazo de ejecución se prolonga automáticamente hasta la vigencia de las pólizas lo sujetaría a un término de duración indeterminada —susceptible incluso de prórroga o renovación de aquellas—, con lo que perdería la certeza que le es consustancial y quedaría convertido, en la práctica, en un plazo indefinido. Por esta razón, entre la interpretación que ata el plazo de ejecución a un evento indeterminado y la que entiende que lo que subsiste son obligaciones puntuales ejecutables dentro de la vigencia del contrato, debe preferirse esta última, que preserva la certeza del plazo, la validez de la estipulación y los principios de planeación y libre concurrencia.</w:t>
      </w:r>
    </w:p>
    <w:p w14:paraId="4F1A424D" w14:textId="77777777" w:rsidR="0071640F" w:rsidRPr="000D6180" w:rsidRDefault="0071640F" w:rsidP="0071640F">
      <w:pPr>
        <w:spacing w:after="120" w:line="276" w:lineRule="auto"/>
        <w:ind w:firstLine="708"/>
        <w:jc w:val="both"/>
        <w:rPr>
          <w:rFonts w:ascii="Verdana" w:eastAsia="Calibri" w:hAnsi="Verdana" w:cs="Arial"/>
          <w:lang w:val="es-ES"/>
        </w:rPr>
      </w:pPr>
      <w:r w:rsidRPr="000D6180">
        <w:rPr>
          <w:rFonts w:ascii="Verdana" w:eastAsia="Calibri" w:hAnsi="Verdana" w:cs="Arial"/>
          <w:lang w:val="es-ES"/>
        </w:rPr>
        <w:t xml:space="preserve">En segundo lugar, corresponde a la entidad determinar si de acuerdo con el contrato y el negocio jurídico, el supuesto objeto de consulta puede entenderse como la </w:t>
      </w:r>
      <w:r w:rsidRPr="007E01DB">
        <w:rPr>
          <w:rFonts w:ascii="Verdana" w:eastAsia="Calibri" w:hAnsi="Verdana" w:cs="Arial"/>
          <w:lang w:val="es-ES"/>
        </w:rPr>
        <w:t>subsistencia de obligaciones asociadas a las pólizas intermediadas</w:t>
      </w:r>
      <w:r w:rsidRPr="000D6180">
        <w:rPr>
          <w:rFonts w:ascii="Verdana" w:eastAsia="Calibri" w:hAnsi="Verdana" w:cs="Arial"/>
          <w:lang w:val="es-ES"/>
        </w:rPr>
        <w:t xml:space="preserve"> que el contratista ejecuta dentro de la vigencia del contrato</w:t>
      </w:r>
      <w:r w:rsidRPr="007E01DB">
        <w:rPr>
          <w:rFonts w:ascii="Verdana" w:eastAsia="Calibri" w:hAnsi="Verdana" w:cs="Arial"/>
          <w:lang w:val="es-ES"/>
        </w:rPr>
        <w:t xml:space="preserve">, </w:t>
      </w:r>
      <w:r w:rsidRPr="000D6180">
        <w:rPr>
          <w:rFonts w:ascii="Verdana" w:eastAsia="Calibri" w:hAnsi="Verdana" w:cs="Arial"/>
          <w:lang w:val="es-ES"/>
        </w:rPr>
        <w:t xml:space="preserve">y </w:t>
      </w:r>
      <w:r w:rsidRPr="007E01DB">
        <w:rPr>
          <w:rFonts w:ascii="Verdana" w:eastAsia="Calibri" w:hAnsi="Verdana" w:cs="Arial"/>
          <w:lang w:val="es-ES"/>
        </w:rPr>
        <w:t>no como prórroga integral automática.</w:t>
      </w:r>
      <w:r w:rsidRPr="000D6180">
        <w:rPr>
          <w:rFonts w:ascii="Verdana" w:eastAsia="Calibri" w:hAnsi="Verdana" w:cs="Arial"/>
          <w:lang w:val="es-ES"/>
        </w:rPr>
        <w:t xml:space="preserve"> Sobre este punto, la entidad deberá tener en cuenta las consideraciones antes presentadas sobre la distinción entre e</w:t>
      </w:r>
      <w:r>
        <w:rPr>
          <w:rFonts w:ascii="Verdana" w:eastAsia="Calibri" w:hAnsi="Verdana" w:cs="Arial"/>
          <w:lang w:val="es-ES"/>
        </w:rPr>
        <w:t>l</w:t>
      </w:r>
      <w:r w:rsidRPr="000D6180">
        <w:rPr>
          <w:rFonts w:ascii="Verdana" w:eastAsia="Calibri" w:hAnsi="Verdana" w:cs="Arial"/>
          <w:lang w:val="es-ES"/>
        </w:rPr>
        <w:t xml:space="preserve"> plazo de ejecución pactado y la vigencia del contrato, pues es posible que </w:t>
      </w:r>
      <w:r w:rsidRPr="007E01DB">
        <w:rPr>
          <w:rFonts w:ascii="Verdana" w:eastAsia="Calibri" w:hAnsi="Verdana" w:cs="Arial"/>
          <w:lang w:val="es-ES"/>
        </w:rPr>
        <w:t>subsistan obligaciones ligadas a las pólizas</w:t>
      </w:r>
      <w:r w:rsidRPr="000D6180">
        <w:rPr>
          <w:rFonts w:ascii="Verdana" w:eastAsia="Calibri" w:hAnsi="Verdana" w:cs="Arial"/>
          <w:lang w:val="es-ES"/>
        </w:rPr>
        <w:t xml:space="preserve"> que deba ejecutar el contratista durante la vigencia del contrato, sin que ello equivalga a</w:t>
      </w:r>
      <w:r w:rsidRPr="007E01DB">
        <w:rPr>
          <w:rFonts w:ascii="Verdana" w:eastAsia="Calibri" w:hAnsi="Verdana" w:cs="Arial"/>
          <w:lang w:val="es-ES"/>
        </w:rPr>
        <w:t xml:space="preserve"> que el plazo de ejecución siga corriendo</w:t>
      </w:r>
      <w:r w:rsidRPr="000D6180">
        <w:rPr>
          <w:rFonts w:ascii="Verdana" w:eastAsia="Calibri" w:hAnsi="Verdana" w:cs="Arial"/>
          <w:lang w:val="es-ES"/>
        </w:rPr>
        <w:t xml:space="preserve">. </w:t>
      </w:r>
      <w:r w:rsidRPr="007E01DB">
        <w:rPr>
          <w:rFonts w:ascii="Verdana" w:eastAsia="Calibri" w:hAnsi="Verdana" w:cs="Arial"/>
          <w:lang w:val="es-ES"/>
        </w:rPr>
        <w:t xml:space="preserve">Por tanto, </w:t>
      </w:r>
      <w:proofErr w:type="gramStart"/>
      <w:r w:rsidRPr="007E01DB">
        <w:rPr>
          <w:rFonts w:ascii="Verdana" w:eastAsia="Calibri" w:hAnsi="Verdana" w:cs="Arial"/>
          <w:lang w:val="es-ES"/>
        </w:rPr>
        <w:t xml:space="preserve">la </w:t>
      </w:r>
      <w:r w:rsidRPr="000D6180">
        <w:rPr>
          <w:rFonts w:ascii="Verdana" w:eastAsia="Calibri" w:hAnsi="Verdana" w:cs="Arial"/>
          <w:lang w:val="es-ES"/>
        </w:rPr>
        <w:t xml:space="preserve"> entidad</w:t>
      </w:r>
      <w:proofErr w:type="gramEnd"/>
      <w:r w:rsidRPr="000D6180">
        <w:rPr>
          <w:rFonts w:ascii="Verdana" w:eastAsia="Calibri" w:hAnsi="Verdana" w:cs="Arial"/>
          <w:lang w:val="es-ES"/>
        </w:rPr>
        <w:t xml:space="preserve"> debe evaluar si, conforme a la voluntad real de las partes y la naturaleza del negocio jurídico, la </w:t>
      </w:r>
      <w:r w:rsidRPr="007E01DB">
        <w:rPr>
          <w:rFonts w:ascii="Verdana" w:eastAsia="Calibri" w:hAnsi="Verdana" w:cs="Arial"/>
          <w:lang w:val="es-ES"/>
        </w:rPr>
        <w:t xml:space="preserve">estipulación </w:t>
      </w:r>
      <w:r w:rsidRPr="000D6180">
        <w:rPr>
          <w:rFonts w:ascii="Verdana" w:eastAsia="Calibri" w:hAnsi="Verdana" w:cs="Arial"/>
          <w:lang w:val="es-ES"/>
        </w:rPr>
        <w:t xml:space="preserve">consiste en la ejecución de </w:t>
      </w:r>
      <w:r w:rsidRPr="007E01DB">
        <w:rPr>
          <w:rFonts w:ascii="Verdana" w:eastAsia="Calibri" w:hAnsi="Verdana" w:cs="Arial"/>
          <w:lang w:val="es-ES"/>
        </w:rPr>
        <w:t>obligaciones asociadas a las pólizas intermediadas</w:t>
      </w:r>
      <w:r w:rsidRPr="000D6180">
        <w:rPr>
          <w:rFonts w:ascii="Verdana" w:eastAsia="Calibri" w:hAnsi="Verdana" w:cs="Arial"/>
          <w:lang w:val="es-ES"/>
        </w:rPr>
        <w:t xml:space="preserve"> de forma previa a la liquidación y durante la ejecución de la vigencia contractual, o si, por el contrario, se trata de un supuesto en el que es necesario modificar el plazo del contrato estatal. En este último supuesto, la entidad deberá respetar </w:t>
      </w:r>
      <w:r w:rsidRPr="000D6180">
        <w:rPr>
          <w:rFonts w:ascii="Verdana" w:eastAsia="Calibri" w:hAnsi="Verdana" w:cs="Arial"/>
          <w:lang w:val="es-ES"/>
        </w:rPr>
        <w:lastRenderedPageBreak/>
        <w:t xml:space="preserve">los límites establecidos por la jurisprudencia a los cuales se hizo referencia anteriormente. </w:t>
      </w:r>
    </w:p>
    <w:p w14:paraId="1EB1762E" w14:textId="77777777" w:rsidR="000C5384" w:rsidRDefault="000C5384" w:rsidP="000C5384">
      <w:pPr>
        <w:spacing w:after="120" w:line="276" w:lineRule="auto"/>
        <w:ind w:firstLine="708"/>
        <w:jc w:val="both"/>
        <w:rPr>
          <w:rFonts w:ascii="Verdana" w:eastAsia="Calibri" w:hAnsi="Verdana" w:cs="Arial"/>
          <w:lang w:val="es-ES"/>
        </w:rPr>
      </w:pPr>
      <w:r>
        <w:rPr>
          <w:rFonts w:ascii="Verdana" w:eastAsia="Calibri" w:hAnsi="Verdana" w:cs="Arial"/>
          <w:lang w:val="es-ES"/>
        </w:rPr>
        <w:t xml:space="preserve">En tercer lugar, de lo expuesto se sigue que el vencimiento del plazo de ejecución no constituye, por sí mismo, un obstáculo para que la entidad estructure y adelante un nuevo proceso de selección orientado a satisfacer sus necesidades futuras de intermediación de seguros. La subsistencia de las obligaciones asociadas a las pólizas ya intermediadas —que se prolonga, cuando así corresponda, hasta la liquidación del contrato— opera en un plano distinto del de la planeación de las contrataciones futuras, de modo que la existencia de aquellas no enerva la potestad, ni el deber, de la entidad de programar oportunamente la satisfacción de la demanda de aseguramiento que sobrevenga. En consecuencia, en abstracto, nada impide que, agotado el plazo de ejecución, la entidad </w:t>
      </w:r>
      <w:proofErr w:type="gramStart"/>
      <w:r>
        <w:rPr>
          <w:rFonts w:ascii="Verdana" w:eastAsia="Calibri" w:hAnsi="Verdana" w:cs="Arial"/>
          <w:lang w:val="es-ES"/>
        </w:rPr>
        <w:t>dé inicio a</w:t>
      </w:r>
      <w:proofErr w:type="gramEnd"/>
      <w:r>
        <w:rPr>
          <w:rFonts w:ascii="Verdana" w:eastAsia="Calibri" w:hAnsi="Verdana" w:cs="Arial"/>
          <w:lang w:val="es-ES"/>
        </w:rPr>
        <w:t xml:space="preserve"> un nuevo procedimiento de selección para contratar la intermediación que requiera hacia el futuro, con observancia del principio de planeación (artículos 25, numerales 6, 7 y 12, de la Ley 80 de 1993, y 2.2.1.1.2.1.1 del Decreto 1082 de 2015) y de la modalidad de selección que corresponda según la naturaleza del contrato, que por regla general es la licitación pública. Corresponderá a la entidad, bajo su responsabilidad y a la luz de las circunstancias del caso, determinar el momento en que ello resulte procedente.</w:t>
      </w:r>
    </w:p>
    <w:p w14:paraId="190F95F5" w14:textId="77777777" w:rsidR="000C5384" w:rsidRDefault="000C5384" w:rsidP="000C5384">
      <w:pPr>
        <w:spacing w:after="120" w:line="276" w:lineRule="auto"/>
        <w:ind w:firstLine="708"/>
        <w:jc w:val="both"/>
        <w:rPr>
          <w:rFonts w:ascii="Verdana" w:eastAsia="Calibri" w:hAnsi="Verdana" w:cs="Arial"/>
          <w:lang w:val="es-ES"/>
        </w:rPr>
      </w:pPr>
      <w:r>
        <w:rPr>
          <w:rFonts w:ascii="Verdana" w:eastAsia="Calibri" w:hAnsi="Verdana" w:cs="Arial"/>
          <w:lang w:val="es-ES"/>
        </w:rPr>
        <w:t xml:space="preserve">En cuarto lugar, tampoco se advierte un impedimento jurídico de carácter general para que, adelantado un nuevo proceso de selección, el nuevo intermediario asuma la asesoría y la intermediación de las contrataciones de seguros futuras, mientras subsisten, dentro de la vigencia del contrato anterior y hasta su liquidación, las obligaciones del corredor precedente asociadas a las pólizas que este intermedió. Ello es coherente con la naturaleza autónoma y de tracto sucesivo del corretaje de seguros, en el que la labor del corredor se proyecta a la etapa de ejecución de las pólizas colocadas, y con el régimen de remuneración, en el que la comisión es pagada por el asegurador y no por la entidad, de manera que la subsistencia de esas obligaciones no comporta, por sí misma, una erogación adicional de recursos públicos. La entidad deberá, en todo caso, delimitar con precisión los objetos contractuales para evitar su superposición, de modo que el objeto del nuevo contrato recaiga sobre las necesidades futuras de aseguramiento y no sobre las pólizas cuya gestión permanezca a cargo del contratista anterior, y observar los principios de planeación, transparencia y selección objetiva. Con esas cautelas, la coexistencia </w:t>
      </w:r>
      <w:r>
        <w:rPr>
          <w:rFonts w:ascii="Verdana" w:eastAsia="Calibri" w:hAnsi="Verdana" w:cs="Arial"/>
          <w:lang w:val="es-ES"/>
        </w:rPr>
        <w:lastRenderedPageBreak/>
        <w:t>temporal de la ejecución residual del contrato anterior y del nuevo contrato de intermediación no resulta, en abstracto, contraria al ordenamiento.</w:t>
      </w:r>
    </w:p>
    <w:p w14:paraId="3D6E5160" w14:textId="3AC9CF86" w:rsidR="0071640F" w:rsidRPr="000D6180" w:rsidRDefault="0071640F" w:rsidP="0071640F">
      <w:pPr>
        <w:spacing w:after="120" w:line="276" w:lineRule="auto"/>
        <w:ind w:firstLine="708"/>
        <w:jc w:val="both"/>
        <w:rPr>
          <w:rFonts w:ascii="Verdana" w:eastAsia="Calibri" w:hAnsi="Verdana" w:cs="Arial"/>
          <w:lang w:val="es-ES"/>
        </w:rPr>
      </w:pPr>
      <w:r w:rsidRPr="000D6180">
        <w:rPr>
          <w:rFonts w:ascii="Verdana" w:eastAsia="Calibri" w:hAnsi="Verdana" w:cs="Arial"/>
          <w:lang w:val="es-ES"/>
        </w:rPr>
        <w:t xml:space="preserve">En cualquier </w:t>
      </w:r>
      <w:r w:rsidR="000C5384" w:rsidRPr="000D6180">
        <w:rPr>
          <w:rFonts w:ascii="Verdana" w:eastAsia="Calibri" w:hAnsi="Verdana" w:cs="Arial"/>
          <w:lang w:val="es-ES"/>
        </w:rPr>
        <w:t>caso,</w:t>
      </w:r>
      <w:r w:rsidRPr="000D6180">
        <w:rPr>
          <w:rFonts w:ascii="Verdana" w:eastAsia="Calibri" w:hAnsi="Verdana" w:cs="Arial"/>
          <w:lang w:val="es-ES"/>
        </w:rPr>
        <w:t xml:space="preserve"> se reitera que </w:t>
      </w:r>
      <w:r w:rsidRPr="000D6180">
        <w:rPr>
          <w:rFonts w:ascii="Verdana" w:eastAsia="Batang" w:hAnsi="Verdana" w:cs="Arial"/>
          <w:lang w:val="es-ES"/>
        </w:rPr>
        <w:t xml:space="preserve">excede la competencia de esta Agencia pronunciarse sobre la interpretación de la cláusula pactada en el contrato específico que es objeto de consulta, pues corresponde a las partes o a los jueces su valoración, de acuerdo con las reglas anteriormente expuestas </w:t>
      </w:r>
      <w:r w:rsidRPr="000D6180">
        <w:rPr>
          <w:rFonts w:ascii="Verdana" w:eastAsia="Calibri" w:hAnsi="Verdana" w:cs="Arial"/>
          <w:lang w:val="es-ES"/>
        </w:rPr>
        <w:t>y atendiendo a las circunstancias particulares de cada negocio jurídico</w:t>
      </w:r>
      <w:r w:rsidRPr="000D6180">
        <w:rPr>
          <w:rFonts w:ascii="Verdana" w:eastAsia="Batang" w:hAnsi="Verdana" w:cs="Arial"/>
          <w:vertAlign w:val="superscript"/>
          <w:lang w:val="es-ES"/>
        </w:rPr>
        <w:footnoteReference w:id="34"/>
      </w:r>
      <w:r w:rsidRPr="000D6180">
        <w:rPr>
          <w:rFonts w:ascii="Verdana" w:eastAsia="Batang" w:hAnsi="Verdana" w:cs="Arial"/>
          <w:lang w:val="es-ES"/>
        </w:rPr>
        <w:t>.</w:t>
      </w:r>
    </w:p>
    <w:p w14:paraId="4C349BB4" w14:textId="77777777" w:rsidR="0071640F" w:rsidRPr="000D6180" w:rsidRDefault="0071640F" w:rsidP="0071640F">
      <w:pPr>
        <w:spacing w:after="120" w:line="276" w:lineRule="auto"/>
        <w:ind w:firstLine="709"/>
        <w:jc w:val="both"/>
        <w:rPr>
          <w:rFonts w:ascii="Verdana" w:eastAsia="Verdana" w:hAnsi="Verdana" w:cs="Verdana"/>
          <w:lang w:val="es-ES"/>
        </w:rPr>
      </w:pPr>
      <w:r w:rsidRPr="000D6180">
        <w:rPr>
          <w:rFonts w:ascii="Verdana" w:eastAsia="Verdana" w:hAnsi="Verdana" w:cs="Verdana"/>
          <w:lang w:val="es-ES"/>
        </w:rPr>
        <w:t>Dentro de este marco, al tratarse de un análisis que debe realizarse frente a cada asunto particular y concreto,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Estatal establecerá la forma de adelantar su gestión contractual, sin que sea atribución de la Agencia Nacional de Contratación Pública – Colombia Compra Eficiente definir, autorizar o validar esa decisión.</w:t>
      </w:r>
    </w:p>
    <w:p w14:paraId="19461B57" w14:textId="77777777" w:rsidR="0071640F" w:rsidRPr="000D6180" w:rsidRDefault="0071640F" w:rsidP="0071640F">
      <w:pPr>
        <w:spacing w:after="0" w:line="276" w:lineRule="auto"/>
        <w:jc w:val="both"/>
        <w:rPr>
          <w:rFonts w:ascii="Verdana" w:eastAsia="Times New Roman" w:hAnsi="Verdana" w:cs="Arial"/>
          <w:color w:val="000000" w:themeColor="text1"/>
          <w:lang w:val="es-ES"/>
        </w:rPr>
      </w:pPr>
    </w:p>
    <w:p w14:paraId="31938F01" w14:textId="77777777" w:rsidR="0071640F" w:rsidRPr="000D6180" w:rsidRDefault="0071640F" w:rsidP="0071640F">
      <w:pPr>
        <w:pStyle w:val="Prrafodelista"/>
        <w:numPr>
          <w:ilvl w:val="0"/>
          <w:numId w:val="17"/>
        </w:numPr>
        <w:tabs>
          <w:tab w:val="left" w:pos="142"/>
          <w:tab w:val="left" w:pos="284"/>
        </w:tabs>
        <w:spacing w:after="0" w:line="276" w:lineRule="auto"/>
        <w:jc w:val="both"/>
        <w:rPr>
          <w:rFonts w:ascii="Verdana" w:eastAsia="Century Gothic" w:hAnsi="Verdana" w:cs="Century Gothic"/>
          <w:b/>
          <w:color w:val="000000" w:themeColor="text1"/>
        </w:rPr>
      </w:pPr>
      <w:r w:rsidRPr="000D6180">
        <w:rPr>
          <w:rFonts w:ascii="Verdana" w:eastAsia="Century Gothic" w:hAnsi="Verdana" w:cs="Century Gothic"/>
          <w:b/>
          <w:color w:val="000000" w:themeColor="text1"/>
        </w:rPr>
        <w:t>Referencias normativas, jurisprudenciales y otras fuentes:</w:t>
      </w:r>
    </w:p>
    <w:p w14:paraId="04E1EE43" w14:textId="77777777" w:rsidR="0071640F" w:rsidRPr="000D6180" w:rsidRDefault="0071640F" w:rsidP="0071640F">
      <w:pPr>
        <w:widowControl w:val="0"/>
        <w:autoSpaceDE w:val="0"/>
        <w:autoSpaceDN w:val="0"/>
        <w:spacing w:after="0" w:line="276" w:lineRule="auto"/>
        <w:jc w:val="both"/>
        <w:rPr>
          <w:rFonts w:ascii="Verdana" w:hAnsi="Verdana" w:cs="Arial"/>
          <w:color w:val="000000" w:themeColor="text1"/>
          <w:lang w:val="es-E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71640F" w:rsidRPr="000D6180" w14:paraId="27B94682" w14:textId="77777777" w:rsidTr="00163730">
        <w:trPr>
          <w:trHeight w:val="297"/>
        </w:trPr>
        <w:tc>
          <w:tcPr>
            <w:tcW w:w="8647" w:type="dxa"/>
          </w:tcPr>
          <w:p w14:paraId="6A7E2C19" w14:textId="77777777" w:rsidR="0071640F" w:rsidRPr="00864359" w:rsidRDefault="0071640F" w:rsidP="008255A1">
            <w:pPr>
              <w:widowControl w:val="0"/>
              <w:numPr>
                <w:ilvl w:val="0"/>
                <w:numId w:val="16"/>
              </w:numPr>
              <w:autoSpaceDE w:val="0"/>
              <w:autoSpaceDN w:val="0"/>
              <w:jc w:val="both"/>
              <w:rPr>
                <w:rFonts w:ascii="Verdana" w:hAnsi="Verdana" w:cs="Arial"/>
                <w:lang w:val="es-ES"/>
              </w:rPr>
            </w:pPr>
            <w:r w:rsidRPr="00864359">
              <w:rPr>
                <w:rFonts w:ascii="Verdana" w:hAnsi="Verdana" w:cs="Arial"/>
                <w:lang w:val="es-ES"/>
              </w:rPr>
              <w:t>Constitución Política de Colombia, artículo 228.</w:t>
            </w:r>
          </w:p>
          <w:p w14:paraId="056E97EC" w14:textId="77777777" w:rsidR="0071640F" w:rsidRPr="00864359" w:rsidRDefault="0071640F" w:rsidP="008255A1">
            <w:pPr>
              <w:widowControl w:val="0"/>
              <w:numPr>
                <w:ilvl w:val="0"/>
                <w:numId w:val="16"/>
              </w:numPr>
              <w:autoSpaceDE w:val="0"/>
              <w:autoSpaceDN w:val="0"/>
              <w:jc w:val="both"/>
              <w:rPr>
                <w:rFonts w:ascii="Verdana" w:hAnsi="Verdana" w:cs="Arial"/>
                <w:lang w:val="es-ES"/>
              </w:rPr>
            </w:pPr>
            <w:r w:rsidRPr="00864359">
              <w:rPr>
                <w:rFonts w:ascii="Verdana" w:hAnsi="Verdana" w:cs="Arial"/>
                <w:lang w:val="es-ES"/>
              </w:rPr>
              <w:t>Código Civil, artículos 1039, 1551, 1552, 1608, 1613, 1618, 1619, 1620, 1621, 1622, 1623, 1624, 1625 y 1626.</w:t>
            </w:r>
          </w:p>
          <w:p w14:paraId="7EC6EE3B" w14:textId="77777777" w:rsidR="0071640F" w:rsidRPr="00864359" w:rsidRDefault="0071640F" w:rsidP="008255A1">
            <w:pPr>
              <w:widowControl w:val="0"/>
              <w:numPr>
                <w:ilvl w:val="0"/>
                <w:numId w:val="16"/>
              </w:numPr>
              <w:autoSpaceDE w:val="0"/>
              <w:autoSpaceDN w:val="0"/>
              <w:jc w:val="both"/>
              <w:rPr>
                <w:rFonts w:ascii="Verdana" w:hAnsi="Verdana" w:cs="Arial"/>
                <w:lang w:val="es-ES"/>
              </w:rPr>
            </w:pPr>
            <w:r w:rsidRPr="00864359">
              <w:rPr>
                <w:rFonts w:ascii="Verdana" w:hAnsi="Verdana" w:cs="Arial"/>
                <w:lang w:val="es-ES"/>
              </w:rPr>
              <w:t>Código de Comercio, artículos 1036, 1039, 1340 a 1346, 1341, 1347, 1348, 1349, 1351 y 1353.</w:t>
            </w:r>
          </w:p>
          <w:p w14:paraId="30AE41CC" w14:textId="77777777" w:rsidR="0071640F" w:rsidRPr="00864359" w:rsidRDefault="0071640F" w:rsidP="008255A1">
            <w:pPr>
              <w:widowControl w:val="0"/>
              <w:numPr>
                <w:ilvl w:val="0"/>
                <w:numId w:val="16"/>
              </w:numPr>
              <w:autoSpaceDE w:val="0"/>
              <w:autoSpaceDN w:val="0"/>
              <w:jc w:val="both"/>
              <w:rPr>
                <w:rFonts w:ascii="Verdana" w:hAnsi="Verdana" w:cs="Arial"/>
                <w:lang w:val="es-ES"/>
              </w:rPr>
            </w:pPr>
            <w:r w:rsidRPr="00864359">
              <w:rPr>
                <w:rFonts w:ascii="Verdana" w:hAnsi="Verdana" w:cs="Arial"/>
                <w:lang w:val="es-ES"/>
              </w:rPr>
              <w:t>Ley 45 de 1990, artículo 62.</w:t>
            </w:r>
          </w:p>
          <w:p w14:paraId="281F0C66" w14:textId="77777777" w:rsidR="0071640F" w:rsidRPr="00864359" w:rsidRDefault="0071640F" w:rsidP="008255A1">
            <w:pPr>
              <w:widowControl w:val="0"/>
              <w:numPr>
                <w:ilvl w:val="0"/>
                <w:numId w:val="16"/>
              </w:numPr>
              <w:autoSpaceDE w:val="0"/>
              <w:autoSpaceDN w:val="0"/>
              <w:jc w:val="both"/>
              <w:rPr>
                <w:rFonts w:ascii="Verdana" w:hAnsi="Verdana" w:cs="Arial"/>
                <w:lang w:val="es-ES"/>
              </w:rPr>
            </w:pPr>
            <w:r w:rsidRPr="00864359">
              <w:rPr>
                <w:rFonts w:ascii="Verdana" w:hAnsi="Verdana" w:cs="Arial"/>
                <w:lang w:val="es-ES"/>
              </w:rPr>
              <w:t>Ley 42 de 1993, artículo 107.</w:t>
            </w:r>
          </w:p>
          <w:p w14:paraId="4A2B5E00" w14:textId="77777777" w:rsidR="0071640F" w:rsidRPr="00864359" w:rsidRDefault="0071640F" w:rsidP="008255A1">
            <w:pPr>
              <w:widowControl w:val="0"/>
              <w:numPr>
                <w:ilvl w:val="0"/>
                <w:numId w:val="16"/>
              </w:numPr>
              <w:autoSpaceDE w:val="0"/>
              <w:autoSpaceDN w:val="0"/>
              <w:jc w:val="both"/>
              <w:rPr>
                <w:rFonts w:ascii="Verdana" w:hAnsi="Verdana" w:cs="Arial"/>
                <w:lang w:val="es-ES"/>
              </w:rPr>
            </w:pPr>
            <w:r w:rsidRPr="00864359">
              <w:rPr>
                <w:rFonts w:ascii="Verdana" w:hAnsi="Verdana" w:cs="Arial"/>
                <w:lang w:val="es-ES"/>
              </w:rPr>
              <w:t>Ley 80 de 1993, artículos 1, 3, 11, 12, 13, 28, 32, 39, 40, 41 y 60.</w:t>
            </w:r>
          </w:p>
          <w:p w14:paraId="7CC201A2" w14:textId="77777777" w:rsidR="0071640F" w:rsidRPr="00864359" w:rsidRDefault="0071640F" w:rsidP="008255A1">
            <w:pPr>
              <w:widowControl w:val="0"/>
              <w:numPr>
                <w:ilvl w:val="0"/>
                <w:numId w:val="16"/>
              </w:numPr>
              <w:autoSpaceDE w:val="0"/>
              <w:autoSpaceDN w:val="0"/>
              <w:jc w:val="both"/>
              <w:rPr>
                <w:rFonts w:ascii="Verdana" w:hAnsi="Verdana" w:cs="Arial"/>
                <w:lang w:val="es-ES"/>
              </w:rPr>
            </w:pPr>
            <w:r w:rsidRPr="00864359">
              <w:rPr>
                <w:rFonts w:ascii="Verdana" w:hAnsi="Verdana" w:cs="Arial"/>
                <w:lang w:val="es-ES"/>
              </w:rPr>
              <w:t>Decreto Ley 663 de 1993 (Estatuto Orgánico del Sistema Financiero), artículos 5 y 40.</w:t>
            </w:r>
          </w:p>
          <w:p w14:paraId="39C5A9AD" w14:textId="77777777" w:rsidR="0071640F" w:rsidRPr="00864359" w:rsidRDefault="0071640F" w:rsidP="008255A1">
            <w:pPr>
              <w:widowControl w:val="0"/>
              <w:numPr>
                <w:ilvl w:val="0"/>
                <w:numId w:val="16"/>
              </w:numPr>
              <w:autoSpaceDE w:val="0"/>
              <w:autoSpaceDN w:val="0"/>
              <w:jc w:val="both"/>
              <w:rPr>
                <w:rFonts w:ascii="Verdana" w:hAnsi="Verdana" w:cs="Arial"/>
                <w:lang w:val="es-ES"/>
              </w:rPr>
            </w:pPr>
            <w:r w:rsidRPr="00864359">
              <w:rPr>
                <w:rFonts w:ascii="Verdana" w:hAnsi="Verdana" w:cs="Arial"/>
                <w:lang w:val="es-ES"/>
              </w:rPr>
              <w:t>Ley 1150 de 2007, artículo 2, numeral 1.</w:t>
            </w:r>
          </w:p>
          <w:p w14:paraId="6F0B1535" w14:textId="77777777" w:rsidR="0071640F" w:rsidRPr="00864359" w:rsidRDefault="0071640F" w:rsidP="008255A1">
            <w:pPr>
              <w:widowControl w:val="0"/>
              <w:numPr>
                <w:ilvl w:val="0"/>
                <w:numId w:val="16"/>
              </w:numPr>
              <w:autoSpaceDE w:val="0"/>
              <w:autoSpaceDN w:val="0"/>
              <w:jc w:val="both"/>
              <w:rPr>
                <w:rFonts w:ascii="Verdana" w:hAnsi="Verdana" w:cs="Arial"/>
                <w:lang w:val="es-ES"/>
              </w:rPr>
            </w:pPr>
            <w:r w:rsidRPr="00864359">
              <w:rPr>
                <w:rFonts w:ascii="Verdana" w:hAnsi="Verdana" w:cs="Arial"/>
                <w:lang w:val="es-ES"/>
              </w:rPr>
              <w:t>Ley 1474 de 2011.</w:t>
            </w:r>
          </w:p>
          <w:p w14:paraId="17397769" w14:textId="77777777" w:rsidR="0071640F" w:rsidRPr="00864359" w:rsidRDefault="0071640F" w:rsidP="008255A1">
            <w:pPr>
              <w:widowControl w:val="0"/>
              <w:numPr>
                <w:ilvl w:val="0"/>
                <w:numId w:val="16"/>
              </w:numPr>
              <w:autoSpaceDE w:val="0"/>
              <w:autoSpaceDN w:val="0"/>
              <w:jc w:val="both"/>
              <w:rPr>
                <w:rFonts w:ascii="Verdana" w:hAnsi="Verdana" w:cs="Arial"/>
                <w:lang w:val="es-ES"/>
              </w:rPr>
            </w:pPr>
            <w:r w:rsidRPr="00864359">
              <w:rPr>
                <w:rFonts w:ascii="Verdana" w:hAnsi="Verdana" w:cs="Arial"/>
                <w:lang w:val="es-ES"/>
              </w:rPr>
              <w:t>Decreto Ley 019 de 2012.</w:t>
            </w:r>
          </w:p>
          <w:p w14:paraId="12A6B304" w14:textId="77777777" w:rsidR="0071640F" w:rsidRPr="00864359" w:rsidRDefault="0071640F" w:rsidP="008255A1">
            <w:pPr>
              <w:widowControl w:val="0"/>
              <w:numPr>
                <w:ilvl w:val="0"/>
                <w:numId w:val="16"/>
              </w:numPr>
              <w:autoSpaceDE w:val="0"/>
              <w:autoSpaceDN w:val="0"/>
              <w:jc w:val="both"/>
              <w:rPr>
                <w:rFonts w:ascii="Verdana" w:hAnsi="Verdana" w:cs="Arial"/>
                <w:lang w:val="es-ES"/>
              </w:rPr>
            </w:pPr>
            <w:r w:rsidRPr="00864359">
              <w:rPr>
                <w:rFonts w:ascii="Verdana" w:hAnsi="Verdana" w:cs="Arial"/>
                <w:lang w:val="es-ES"/>
              </w:rPr>
              <w:t>Decreto 1082 de 2015, artículo 2.2.1.1.1.3.1.</w:t>
            </w:r>
          </w:p>
          <w:p w14:paraId="202E58F4" w14:textId="77777777" w:rsidR="0071640F" w:rsidRPr="00864359" w:rsidRDefault="0071640F" w:rsidP="008255A1">
            <w:pPr>
              <w:widowControl w:val="0"/>
              <w:numPr>
                <w:ilvl w:val="0"/>
                <w:numId w:val="16"/>
              </w:numPr>
              <w:autoSpaceDE w:val="0"/>
              <w:autoSpaceDN w:val="0"/>
              <w:jc w:val="both"/>
              <w:rPr>
                <w:rFonts w:ascii="Verdana" w:hAnsi="Verdana" w:cs="Arial"/>
                <w:lang w:val="es-ES"/>
              </w:rPr>
            </w:pPr>
            <w:r w:rsidRPr="00864359">
              <w:rPr>
                <w:rFonts w:ascii="Verdana" w:hAnsi="Verdana" w:cs="Arial"/>
                <w:lang w:val="es-ES"/>
              </w:rPr>
              <w:t>Ley 1437 de 2011 (CPACA), artículo 28.</w:t>
            </w:r>
          </w:p>
          <w:p w14:paraId="2D173A78" w14:textId="77777777" w:rsidR="0071640F" w:rsidRPr="00864359" w:rsidRDefault="0071640F" w:rsidP="008255A1">
            <w:pPr>
              <w:widowControl w:val="0"/>
              <w:numPr>
                <w:ilvl w:val="0"/>
                <w:numId w:val="16"/>
              </w:numPr>
              <w:autoSpaceDE w:val="0"/>
              <w:autoSpaceDN w:val="0"/>
              <w:jc w:val="both"/>
              <w:rPr>
                <w:rFonts w:ascii="Verdana" w:hAnsi="Verdana" w:cs="Arial"/>
                <w:lang w:val="es-ES"/>
              </w:rPr>
            </w:pPr>
            <w:r w:rsidRPr="00864359">
              <w:rPr>
                <w:rFonts w:ascii="Verdana" w:hAnsi="Verdana" w:cs="Arial"/>
                <w:lang w:val="es-ES"/>
              </w:rPr>
              <w:t>Ley 1952 de 2019, artículos 38, 57 y 62.</w:t>
            </w:r>
          </w:p>
          <w:p w14:paraId="6F2ADF6A" w14:textId="77777777" w:rsidR="0071640F" w:rsidRPr="00864359" w:rsidRDefault="0071640F" w:rsidP="008255A1">
            <w:pPr>
              <w:widowControl w:val="0"/>
              <w:numPr>
                <w:ilvl w:val="0"/>
                <w:numId w:val="16"/>
              </w:numPr>
              <w:autoSpaceDE w:val="0"/>
              <w:autoSpaceDN w:val="0"/>
              <w:jc w:val="both"/>
              <w:rPr>
                <w:rFonts w:ascii="Verdana" w:hAnsi="Verdana" w:cs="Arial"/>
                <w:lang w:val="es-ES"/>
              </w:rPr>
            </w:pPr>
            <w:r w:rsidRPr="00864359">
              <w:rPr>
                <w:rFonts w:ascii="Verdana" w:hAnsi="Verdana" w:cs="Arial"/>
              </w:rPr>
              <w:t xml:space="preserve">Corte Constitucional, Sentencia C-029 de 1995, M.P. Jorge Arango </w:t>
            </w:r>
            <w:r w:rsidRPr="00864359">
              <w:rPr>
                <w:rFonts w:ascii="Verdana" w:hAnsi="Verdana" w:cs="Arial"/>
              </w:rPr>
              <w:lastRenderedPageBreak/>
              <w:t>Mejía.</w:t>
            </w:r>
          </w:p>
          <w:p w14:paraId="5AC9CCD5" w14:textId="77777777" w:rsidR="0071640F" w:rsidRPr="00864359" w:rsidRDefault="0071640F" w:rsidP="008255A1">
            <w:pPr>
              <w:widowControl w:val="0"/>
              <w:numPr>
                <w:ilvl w:val="0"/>
                <w:numId w:val="16"/>
              </w:numPr>
              <w:autoSpaceDE w:val="0"/>
              <w:autoSpaceDN w:val="0"/>
              <w:jc w:val="both"/>
              <w:rPr>
                <w:rFonts w:ascii="Verdana" w:hAnsi="Verdana" w:cs="Arial"/>
                <w:lang w:val="es-ES"/>
              </w:rPr>
            </w:pPr>
            <w:r w:rsidRPr="00864359">
              <w:rPr>
                <w:rFonts w:ascii="Verdana" w:hAnsi="Verdana" w:cs="Arial"/>
                <w:lang w:val="es-ES"/>
              </w:rPr>
              <w:t>Corte Constitucional, Sentencia C-479 del 7 de julio de 1999, M.P. Vladimiro Naranjo Mesa.</w:t>
            </w:r>
          </w:p>
          <w:p w14:paraId="0AC3F3CE" w14:textId="77777777" w:rsidR="0071640F" w:rsidRPr="00864359" w:rsidRDefault="0071640F" w:rsidP="008255A1">
            <w:pPr>
              <w:widowControl w:val="0"/>
              <w:numPr>
                <w:ilvl w:val="0"/>
                <w:numId w:val="16"/>
              </w:numPr>
              <w:autoSpaceDE w:val="0"/>
              <w:autoSpaceDN w:val="0"/>
              <w:jc w:val="both"/>
              <w:rPr>
                <w:rFonts w:ascii="Verdana" w:hAnsi="Verdana" w:cs="Arial"/>
                <w:lang w:val="es-ES"/>
              </w:rPr>
            </w:pPr>
            <w:r w:rsidRPr="00864359">
              <w:rPr>
                <w:rFonts w:ascii="Verdana" w:hAnsi="Verdana" w:cs="Arial"/>
                <w:lang w:val="es-ES"/>
              </w:rPr>
              <w:t>Corte Suprema de Justicia, Sala de Casación Civil, Sentencia del 8 de agosto de 2000, Exp. No. 5383, M.P. José Fernando Ramírez Gómez.</w:t>
            </w:r>
          </w:p>
          <w:p w14:paraId="1A6CD2F2" w14:textId="77777777" w:rsidR="0071640F" w:rsidRPr="00864359" w:rsidRDefault="0071640F" w:rsidP="008255A1">
            <w:pPr>
              <w:widowControl w:val="0"/>
              <w:numPr>
                <w:ilvl w:val="0"/>
                <w:numId w:val="16"/>
              </w:numPr>
              <w:autoSpaceDE w:val="0"/>
              <w:autoSpaceDN w:val="0"/>
              <w:jc w:val="both"/>
              <w:rPr>
                <w:rFonts w:ascii="Verdana" w:hAnsi="Verdana" w:cs="Arial"/>
                <w:lang w:val="es-ES"/>
              </w:rPr>
            </w:pPr>
            <w:r w:rsidRPr="00864359">
              <w:rPr>
                <w:rFonts w:ascii="Verdana" w:hAnsi="Verdana" w:cs="Arial"/>
                <w:lang w:val="es-ES"/>
              </w:rPr>
              <w:t>Consejo de Estado, Sala de lo Contencioso Administrativo, Sección Tercera, Sentencia del 13 de septiembre de 1999, Exp. No. 10.264, C.P. Ricardo Hoyos Duque.</w:t>
            </w:r>
          </w:p>
          <w:p w14:paraId="5BE54EBA" w14:textId="77777777" w:rsidR="0071640F" w:rsidRPr="00864359" w:rsidRDefault="0071640F" w:rsidP="008255A1">
            <w:pPr>
              <w:widowControl w:val="0"/>
              <w:numPr>
                <w:ilvl w:val="0"/>
                <w:numId w:val="16"/>
              </w:numPr>
              <w:autoSpaceDE w:val="0"/>
              <w:autoSpaceDN w:val="0"/>
              <w:jc w:val="both"/>
              <w:rPr>
                <w:rFonts w:ascii="Verdana" w:hAnsi="Verdana" w:cs="Arial"/>
                <w:lang w:val="es-ES"/>
              </w:rPr>
            </w:pPr>
            <w:r w:rsidRPr="00864359">
              <w:rPr>
                <w:rFonts w:ascii="Verdana" w:hAnsi="Verdana" w:cs="Arial"/>
                <w:lang w:val="es-ES"/>
              </w:rPr>
              <w:t>Consejo de Estado, Sala de lo Contencioso Administrativo, Sección Tercera, Sentencia del 22 de marzo de 2001, Exp. No. 9840, C.P. Alier Eduardo Hernández Enríquez.</w:t>
            </w:r>
          </w:p>
          <w:p w14:paraId="070A13FC" w14:textId="77777777" w:rsidR="0071640F" w:rsidRPr="00864359" w:rsidRDefault="0071640F" w:rsidP="008255A1">
            <w:pPr>
              <w:widowControl w:val="0"/>
              <w:numPr>
                <w:ilvl w:val="0"/>
                <w:numId w:val="16"/>
              </w:numPr>
              <w:autoSpaceDE w:val="0"/>
              <w:autoSpaceDN w:val="0"/>
              <w:jc w:val="both"/>
              <w:rPr>
                <w:rFonts w:ascii="Verdana" w:hAnsi="Verdana" w:cs="Arial"/>
                <w:lang w:val="es-ES"/>
              </w:rPr>
            </w:pPr>
            <w:r w:rsidRPr="00864359">
              <w:rPr>
                <w:rFonts w:ascii="Verdana" w:hAnsi="Verdana" w:cs="Arial"/>
                <w:lang w:val="es-ES"/>
              </w:rPr>
              <w:t>Consejo de Estado, Sala de lo Contencioso Administrativo, Sección Tercera, Subsección C, Sentencia del 13 de febrero de 2015, Exp. No. 26.938, C.P. Olga Mélida Valle de De la Hoz (E).</w:t>
            </w:r>
          </w:p>
          <w:p w14:paraId="28AD58EE" w14:textId="77777777" w:rsidR="0071640F" w:rsidRPr="00864359" w:rsidRDefault="0071640F" w:rsidP="008255A1">
            <w:pPr>
              <w:widowControl w:val="0"/>
              <w:numPr>
                <w:ilvl w:val="0"/>
                <w:numId w:val="16"/>
              </w:numPr>
              <w:autoSpaceDE w:val="0"/>
              <w:autoSpaceDN w:val="0"/>
              <w:jc w:val="both"/>
              <w:rPr>
                <w:rFonts w:ascii="Verdana" w:hAnsi="Verdana" w:cs="Arial"/>
                <w:lang w:val="es-ES"/>
              </w:rPr>
            </w:pPr>
            <w:r w:rsidRPr="00864359">
              <w:rPr>
                <w:rFonts w:ascii="Verdana" w:hAnsi="Verdana" w:cs="Arial"/>
                <w:lang w:val="es-ES"/>
              </w:rPr>
              <w:t>Consejo de Estado, Sala de lo Contencioso Administrativo, Sección Tercera, Sentencia del 29 de julio de 2015, Exp. No. 42.494, C.P. Jaime Orlando Santofimio Gamboa.</w:t>
            </w:r>
          </w:p>
          <w:p w14:paraId="1D3966A6" w14:textId="77777777" w:rsidR="0071640F" w:rsidRPr="00864359" w:rsidRDefault="0071640F" w:rsidP="008255A1">
            <w:pPr>
              <w:widowControl w:val="0"/>
              <w:numPr>
                <w:ilvl w:val="0"/>
                <w:numId w:val="16"/>
              </w:numPr>
              <w:autoSpaceDE w:val="0"/>
              <w:autoSpaceDN w:val="0"/>
              <w:jc w:val="both"/>
              <w:rPr>
                <w:rFonts w:ascii="Verdana" w:hAnsi="Verdana" w:cs="Arial"/>
                <w:lang w:val="es-ES"/>
              </w:rPr>
            </w:pPr>
            <w:r w:rsidRPr="00864359">
              <w:rPr>
                <w:rFonts w:ascii="Verdana" w:hAnsi="Verdana" w:cs="Arial"/>
                <w:lang w:val="es-ES"/>
              </w:rPr>
              <w:t>Consejo de Estado, Sala de lo Contencioso Administrativo, Sección Tercera, Subsección A, Sentencia del 21 de junio de 2018, Exp. No. 13001-23-31-000-2003-01681-01 (40353), C.P. María Adriana Marín.</w:t>
            </w:r>
          </w:p>
          <w:p w14:paraId="3E23AD05" w14:textId="77777777" w:rsidR="0071640F" w:rsidRPr="00864359" w:rsidRDefault="0071640F" w:rsidP="008255A1">
            <w:pPr>
              <w:widowControl w:val="0"/>
              <w:numPr>
                <w:ilvl w:val="0"/>
                <w:numId w:val="16"/>
              </w:numPr>
              <w:autoSpaceDE w:val="0"/>
              <w:autoSpaceDN w:val="0"/>
              <w:jc w:val="both"/>
              <w:rPr>
                <w:rFonts w:ascii="Verdana" w:hAnsi="Verdana" w:cs="Arial"/>
                <w:lang w:val="es-ES"/>
              </w:rPr>
            </w:pPr>
            <w:r w:rsidRPr="00864359">
              <w:rPr>
                <w:rFonts w:ascii="Verdana" w:hAnsi="Verdana" w:cs="Arial"/>
                <w:lang w:val="es-ES"/>
              </w:rPr>
              <w:t>Consejo de Estado, Sala de Consulta y Servicio Civil, Concepto del 6 de junio de 2018, Radicación No. 2369, C.P. Óscar Darío Amaya Navas.</w:t>
            </w:r>
          </w:p>
          <w:p w14:paraId="79B173ED" w14:textId="77777777" w:rsidR="0071640F" w:rsidRPr="00864359" w:rsidRDefault="0071640F" w:rsidP="008255A1">
            <w:pPr>
              <w:widowControl w:val="0"/>
              <w:numPr>
                <w:ilvl w:val="0"/>
                <w:numId w:val="16"/>
              </w:numPr>
              <w:autoSpaceDE w:val="0"/>
              <w:autoSpaceDN w:val="0"/>
              <w:jc w:val="both"/>
              <w:rPr>
                <w:rFonts w:ascii="Verdana" w:hAnsi="Verdana" w:cs="Arial"/>
                <w:lang w:val="es-ES"/>
              </w:rPr>
            </w:pPr>
            <w:r w:rsidRPr="00864359">
              <w:rPr>
                <w:rFonts w:ascii="Verdana" w:hAnsi="Verdana" w:cs="Arial"/>
                <w:lang w:val="es-ES"/>
              </w:rPr>
              <w:t>Consejo de Estado, Sala de Consulta y Servicio Civil, Concepto del 13 de mayo de 2021, Radicación No. 11001-03-06-000-2020-00212-00 (2456), C.P. Álvaro Namén Vargas.</w:t>
            </w:r>
          </w:p>
        </w:tc>
      </w:tr>
    </w:tbl>
    <w:p w14:paraId="09D2A300" w14:textId="77777777" w:rsidR="0071640F" w:rsidRPr="000D6180" w:rsidRDefault="0071640F" w:rsidP="0071640F">
      <w:pPr>
        <w:widowControl w:val="0"/>
        <w:autoSpaceDE w:val="0"/>
        <w:autoSpaceDN w:val="0"/>
        <w:spacing w:after="0" w:line="276" w:lineRule="auto"/>
        <w:jc w:val="both"/>
        <w:rPr>
          <w:rFonts w:ascii="Verdana" w:hAnsi="Verdana" w:cs="Arial"/>
          <w:color w:val="000000" w:themeColor="text1"/>
          <w:lang w:val="es-ES"/>
        </w:rPr>
      </w:pPr>
    </w:p>
    <w:p w14:paraId="70C3EC32" w14:textId="77777777" w:rsidR="0071640F" w:rsidRPr="000D6180" w:rsidRDefault="0071640F" w:rsidP="0071640F">
      <w:pPr>
        <w:pStyle w:val="Prrafodelista"/>
        <w:numPr>
          <w:ilvl w:val="0"/>
          <w:numId w:val="17"/>
        </w:numPr>
        <w:tabs>
          <w:tab w:val="left" w:pos="142"/>
          <w:tab w:val="left" w:pos="284"/>
        </w:tabs>
        <w:spacing w:after="0" w:line="276" w:lineRule="auto"/>
        <w:jc w:val="both"/>
        <w:rPr>
          <w:rFonts w:ascii="Verdana" w:eastAsia="Century Gothic" w:hAnsi="Verdana" w:cs="Century Gothic"/>
          <w:b/>
          <w:color w:val="000000" w:themeColor="text1"/>
        </w:rPr>
      </w:pPr>
      <w:r w:rsidRPr="000D6180">
        <w:rPr>
          <w:rFonts w:ascii="Verdana" w:eastAsia="Century Gothic" w:hAnsi="Verdana" w:cs="Century Gothic"/>
          <w:b/>
          <w:color w:val="000000" w:themeColor="text1"/>
        </w:rPr>
        <w:t>Doctrina de la Agencia Nacional de Contratación Pública:</w:t>
      </w:r>
    </w:p>
    <w:p w14:paraId="27493905" w14:textId="77777777" w:rsidR="0071640F" w:rsidRPr="000D6180" w:rsidRDefault="0071640F" w:rsidP="0071640F">
      <w:pPr>
        <w:widowControl w:val="0"/>
        <w:autoSpaceDE w:val="0"/>
        <w:autoSpaceDN w:val="0"/>
        <w:spacing w:after="0" w:line="276" w:lineRule="auto"/>
        <w:jc w:val="both"/>
        <w:rPr>
          <w:rFonts w:ascii="Verdana" w:hAnsi="Verdana" w:cs="Arial"/>
          <w:color w:val="000000" w:themeColor="text1"/>
          <w:lang w:val="es-ES"/>
        </w:rPr>
      </w:pPr>
    </w:p>
    <w:p w14:paraId="39A54196" w14:textId="77777777" w:rsidR="008255A1" w:rsidRDefault="0071640F" w:rsidP="008255A1">
      <w:pPr>
        <w:spacing w:line="276" w:lineRule="auto"/>
        <w:contextualSpacing/>
        <w:jc w:val="both"/>
        <w:rPr>
          <w:rFonts w:ascii="Century Gothic" w:eastAsia="Calibri" w:hAnsi="Century Gothic" w:cs="Arial"/>
        </w:rPr>
      </w:pPr>
      <w:r w:rsidRPr="000D6180">
        <w:rPr>
          <w:rFonts w:ascii="Verdana" w:eastAsia="Calibri" w:hAnsi="Verdana" w:cs="Arial"/>
          <w:lang w:val="es-ES"/>
        </w:rPr>
        <w:t>La Agencia Nacional de Contratación Pública – Colombia Compra Eficiente se ha pronunciado</w:t>
      </w:r>
      <w:r>
        <w:rPr>
          <w:rFonts w:ascii="Verdana" w:eastAsia="Calibri" w:hAnsi="Verdana" w:cs="Arial"/>
          <w:lang w:val="es-ES"/>
        </w:rPr>
        <w:t xml:space="preserve"> sobre los contratos de corretaje en los conceptos con radicado</w:t>
      </w:r>
      <w:r w:rsidRPr="000D0FC3">
        <w:rPr>
          <w:rFonts w:ascii="Verdana" w:eastAsia="Calibri" w:hAnsi="Verdana" w:cs="Arial"/>
          <w:lang w:val="es-ES"/>
        </w:rPr>
        <w:t xml:space="preserve"> </w:t>
      </w:r>
      <w:r>
        <w:rPr>
          <w:rFonts w:ascii="Verdana" w:eastAsia="Calibri" w:hAnsi="Verdana" w:cs="Arial"/>
          <w:lang w:val="es-ES"/>
        </w:rPr>
        <w:t xml:space="preserve">C-030 de 2022, </w:t>
      </w:r>
      <w:r w:rsidRPr="005A3694">
        <w:rPr>
          <w:rFonts w:ascii="Verdana" w:eastAsia="Calibri" w:hAnsi="Verdana" w:cs="Arial"/>
          <w:lang w:val="es-ES"/>
        </w:rPr>
        <w:t xml:space="preserve">C– 018 del 02 de mayo de 2024, </w:t>
      </w:r>
      <w:r w:rsidRPr="000D0FC3">
        <w:rPr>
          <w:rFonts w:ascii="Verdana" w:eastAsia="Calibri" w:hAnsi="Verdana" w:cs="Arial"/>
          <w:lang w:val="es-ES"/>
        </w:rPr>
        <w:t>C- 199 del 16 de agosto de 2024</w:t>
      </w:r>
      <w:r>
        <w:rPr>
          <w:rFonts w:ascii="Verdana" w:eastAsia="Calibri" w:hAnsi="Verdana" w:cs="Arial"/>
          <w:lang w:val="es-ES"/>
        </w:rPr>
        <w:t xml:space="preserve">, </w:t>
      </w:r>
      <w:r w:rsidRPr="005A3694">
        <w:rPr>
          <w:rFonts w:ascii="Verdana" w:eastAsia="Calibri" w:hAnsi="Verdana" w:cs="Arial"/>
          <w:lang w:val="es-ES"/>
        </w:rPr>
        <w:t>C-837 del 28 de julio de 2025</w:t>
      </w:r>
      <w:r>
        <w:rPr>
          <w:rFonts w:ascii="Verdana" w:eastAsia="Calibri" w:hAnsi="Verdana" w:cs="Arial"/>
          <w:lang w:val="es-ES"/>
        </w:rPr>
        <w:t xml:space="preserve"> y </w:t>
      </w:r>
      <w:r w:rsidRPr="005A3694">
        <w:rPr>
          <w:rFonts w:ascii="Verdana" w:eastAsia="Calibri" w:hAnsi="Verdana" w:cs="Arial"/>
          <w:lang w:val="es-ES"/>
        </w:rPr>
        <w:t>C-444 del 18 de mayo de 2026</w:t>
      </w:r>
      <w:r>
        <w:rPr>
          <w:rFonts w:ascii="Verdana" w:eastAsia="Calibri" w:hAnsi="Verdana" w:cs="Arial"/>
          <w:lang w:val="es-ES"/>
        </w:rPr>
        <w:t>, entre otros</w:t>
      </w:r>
      <w:r w:rsidRPr="005A3694">
        <w:rPr>
          <w:rFonts w:ascii="Verdana" w:eastAsia="Calibri" w:hAnsi="Verdana" w:cs="Arial"/>
          <w:lang w:val="es-ES"/>
        </w:rPr>
        <w:t>.</w:t>
      </w:r>
      <w:r w:rsidRPr="000D0FC3">
        <w:rPr>
          <w:rFonts w:ascii="Verdana" w:eastAsia="Calibri" w:hAnsi="Verdana" w:cs="Arial"/>
          <w:lang w:val="es-ES"/>
        </w:rPr>
        <w:t xml:space="preserve"> </w:t>
      </w:r>
      <w:r>
        <w:rPr>
          <w:rFonts w:ascii="Verdana" w:eastAsia="Calibri" w:hAnsi="Verdana" w:cs="Arial"/>
          <w:lang w:val="es-ES"/>
        </w:rPr>
        <w:t xml:space="preserve">Sobre el plazo del contrato se pronunció en los conceptos </w:t>
      </w:r>
      <w:r w:rsidRPr="000D0FC3">
        <w:rPr>
          <w:rFonts w:ascii="Verdana" w:eastAsia="Calibri" w:hAnsi="Verdana" w:cs="Arial"/>
          <w:lang w:val="es-ES"/>
        </w:rPr>
        <w:t>C–276 de</w:t>
      </w:r>
      <w:r>
        <w:rPr>
          <w:rFonts w:ascii="Verdana" w:eastAsia="Calibri" w:hAnsi="Verdana" w:cs="Arial"/>
          <w:lang w:val="es-ES"/>
        </w:rPr>
        <w:t>l 14 de julio</w:t>
      </w:r>
      <w:r w:rsidRPr="000D0FC3">
        <w:rPr>
          <w:rFonts w:ascii="Verdana" w:eastAsia="Calibri" w:hAnsi="Verdana" w:cs="Arial"/>
          <w:lang w:val="es-ES"/>
        </w:rPr>
        <w:t xml:space="preserve"> 2023</w:t>
      </w:r>
      <w:r>
        <w:rPr>
          <w:rFonts w:ascii="Verdana" w:eastAsia="Calibri" w:hAnsi="Verdana" w:cs="Arial"/>
          <w:lang w:val="es-ES"/>
        </w:rPr>
        <w:t xml:space="preserve"> y </w:t>
      </w:r>
      <w:r w:rsidRPr="00453A45">
        <w:rPr>
          <w:rFonts w:ascii="Verdana" w:eastAsia="Calibri" w:hAnsi="Verdana" w:cs="Arial"/>
          <w:lang w:val="es-ES" w:eastAsia="es-ES"/>
        </w:rPr>
        <w:t>C-834 del 04 de agosto de 2025</w:t>
      </w:r>
      <w:r>
        <w:rPr>
          <w:rFonts w:ascii="Verdana" w:eastAsia="Calibri" w:hAnsi="Verdana" w:cs="Arial"/>
          <w:lang w:val="es-ES"/>
        </w:rPr>
        <w:t xml:space="preserve">. </w:t>
      </w:r>
      <w:r w:rsidRPr="000D0FC3">
        <w:rPr>
          <w:rFonts w:ascii="Verdana" w:eastAsia="Calibri" w:hAnsi="Verdana" w:cs="Arial"/>
          <w:lang w:val="es-ES"/>
        </w:rPr>
        <w:t>Estos</w:t>
      </w:r>
      <w:r w:rsidRPr="000D6180">
        <w:rPr>
          <w:rFonts w:ascii="Verdana" w:eastAsia="Arial" w:hAnsi="Verdana" w:cs="Arial"/>
          <w:lang w:val="es-ES"/>
        </w:rPr>
        <w:t xml:space="preserve"> y</w:t>
      </w:r>
      <w:r w:rsidRPr="000D6180">
        <w:rPr>
          <w:rFonts w:ascii="Verdana" w:hAnsi="Verdana" w:cs="Arial"/>
          <w:shd w:val="clear" w:color="auto" w:fill="FFFFFF"/>
          <w:lang w:val="es-ES"/>
        </w:rPr>
        <w:t xml:space="preserve"> </w:t>
      </w:r>
      <w:r w:rsidRPr="000D6180">
        <w:rPr>
          <w:rFonts w:ascii="Verdana" w:hAnsi="Verdana"/>
          <w:lang w:val="es-ES"/>
        </w:rPr>
        <w:t>otros conceptos se encuentran disponibles para consulta en el Sistema de relatoría de la Agencia, al cual se puede acceder a través del siguiente enlace:</w:t>
      </w:r>
      <w:r w:rsidRPr="000D6180">
        <w:rPr>
          <w:rFonts w:ascii="Verdana" w:hAnsi="Verdana" w:cs="Arial"/>
          <w:shd w:val="clear" w:color="auto" w:fill="FFFFFF"/>
          <w:lang w:val="es-ES"/>
        </w:rPr>
        <w:t xml:space="preserve"> </w:t>
      </w:r>
      <w:hyperlink r:id="rId13" w:history="1">
        <w:r w:rsidRPr="000D6180">
          <w:rPr>
            <w:rStyle w:val="Hipervnculo"/>
            <w:rFonts w:ascii="Verdana" w:hAnsi="Verdana"/>
            <w:lang w:val="es-ES"/>
          </w:rPr>
          <w:t>https://relatoria.colombiacompra.gov.co/busqueda/conceptos</w:t>
        </w:r>
      </w:hyperlink>
      <w:r w:rsidRPr="000D6180">
        <w:rPr>
          <w:rFonts w:ascii="Verdana" w:hAnsi="Verdana" w:cs="Arial"/>
          <w:shd w:val="clear" w:color="auto" w:fill="FFFFFF"/>
          <w:lang w:val="es-ES"/>
        </w:rPr>
        <w:t>.</w:t>
      </w:r>
      <w:r w:rsidRPr="000D6180">
        <w:rPr>
          <w:rFonts w:ascii="Verdana" w:hAnsi="Verdana" w:cs="Arial"/>
          <w:color w:val="FF0000"/>
          <w:shd w:val="clear" w:color="auto" w:fill="FFFFFF"/>
          <w:lang w:val="es-ES"/>
        </w:rPr>
        <w:t xml:space="preserve"> </w:t>
      </w:r>
      <w:r w:rsidRPr="000D6180">
        <w:rPr>
          <w:rFonts w:ascii="Verdana" w:hAnsi="Verdana" w:cs="Arial"/>
          <w:color w:val="000000" w:themeColor="text1"/>
          <w:shd w:val="clear" w:color="auto" w:fill="FFFFFF"/>
          <w:lang w:val="es-ES"/>
        </w:rPr>
        <w:t>  </w:t>
      </w:r>
    </w:p>
    <w:p w14:paraId="7885D727" w14:textId="77777777" w:rsidR="008255A1" w:rsidRDefault="008255A1" w:rsidP="008255A1">
      <w:pPr>
        <w:spacing w:before="120" w:line="276" w:lineRule="auto"/>
        <w:ind w:firstLine="709"/>
        <w:contextualSpacing/>
        <w:jc w:val="both"/>
        <w:rPr>
          <w:rFonts w:ascii="Verdana" w:hAnsi="Verdana"/>
          <w:lang w:val="es-ES"/>
        </w:rPr>
      </w:pPr>
    </w:p>
    <w:p w14:paraId="289F7F14" w14:textId="27F8C54A" w:rsidR="008255A1" w:rsidRPr="008255A1" w:rsidRDefault="0071640F" w:rsidP="008255A1">
      <w:pPr>
        <w:spacing w:line="276" w:lineRule="auto"/>
        <w:ind w:firstLine="709"/>
        <w:jc w:val="both"/>
        <w:rPr>
          <w:rFonts w:ascii="Verdana" w:hAnsi="Verdana"/>
          <w:lang w:val="es-ES"/>
        </w:rPr>
      </w:pPr>
      <w:r w:rsidRPr="000D6180">
        <w:rPr>
          <w:rFonts w:ascii="Verdana" w:hAnsi="Verdana"/>
          <w:lang w:val="es-ES"/>
        </w:rPr>
        <w:lastRenderedPageBreak/>
        <w:t>Las garantías no son un requisito formal: son el instrumento con el que se protege el patrimonio público frente a los riesgos del contrato. Por ello, la Agencia Nacional de Contratación Pública –Colombia Compra Eficiente</w:t>
      </w:r>
      <w:proofErr w:type="gramStart"/>
      <w:r w:rsidRPr="000D6180">
        <w:rPr>
          <w:rFonts w:ascii="Verdana" w:hAnsi="Verdana"/>
          <w:lang w:val="es-ES"/>
        </w:rPr>
        <w:t>–  invita</w:t>
      </w:r>
      <w:proofErr w:type="gramEnd"/>
      <w:r w:rsidRPr="000D6180">
        <w:rPr>
          <w:rFonts w:ascii="Verdana" w:hAnsi="Verdana"/>
          <w:lang w:val="es-ES"/>
        </w:rPr>
        <w:t xml:space="preserve"> a consultar la nueva versión de la </w:t>
      </w:r>
      <w:r w:rsidRPr="000D6180">
        <w:rPr>
          <w:rFonts w:ascii="Verdana" w:hAnsi="Verdana"/>
          <w:b/>
          <w:bCs/>
          <w:lang w:val="es-ES"/>
        </w:rPr>
        <w:t>Guía para la Exigencia y Constitución de Garantías en los Procesos de Contratación</w:t>
      </w:r>
      <w:r w:rsidRPr="000D6180">
        <w:rPr>
          <w:rFonts w:ascii="Verdana" w:hAnsi="Verdana"/>
          <w:lang w:val="es-ES"/>
        </w:rPr>
        <w:t>, dirigida a las entidades sometidas al EGCAP y a las de regímenes exceptuados, así como a proveedores y órganos de control. Encontrará orientaciones sobre las clases de garantías admi</w:t>
      </w:r>
      <w:r w:rsidRPr="008255A1">
        <w:rPr>
          <w:rFonts w:ascii="Verdana" w:hAnsi="Verdana"/>
          <w:lang w:val="es-ES"/>
        </w:rPr>
        <w:t>sibles, la correspondencia entre riesgos asignados y amparos exigidos, su suficiencia y vigencia, y el procedimiento para hacerlas efectivas. Consúltela aquí: </w:t>
      </w:r>
      <w:hyperlink r:id="rId14">
        <w:r w:rsidRPr="008255A1">
          <w:rPr>
            <w:rStyle w:val="Hipervnculo"/>
            <w:rFonts w:ascii="Verdana" w:hAnsi="Verdana"/>
            <w:lang w:val="es-ES"/>
          </w:rPr>
          <w:t>https://www.colombiacompra.gov.co/archivos/manual/guia-de-garantias-en-procesos-de-contratacion</w:t>
        </w:r>
      </w:hyperlink>
      <w:r w:rsidR="008255A1">
        <w:rPr>
          <w:rFonts w:ascii="Verdana" w:hAnsi="Verdana"/>
          <w:lang w:val="es-ES"/>
        </w:rPr>
        <w:t xml:space="preserve"> </w:t>
      </w:r>
    </w:p>
    <w:p w14:paraId="069795AE" w14:textId="7FD6B018" w:rsidR="0071640F" w:rsidRPr="008255A1" w:rsidRDefault="0071640F" w:rsidP="008255A1">
      <w:pPr>
        <w:spacing w:line="276" w:lineRule="auto"/>
        <w:ind w:firstLine="709"/>
        <w:jc w:val="both"/>
        <w:rPr>
          <w:rFonts w:ascii="Verdana" w:hAnsi="Verdana"/>
          <w:lang w:val="es-ES"/>
        </w:rPr>
      </w:pPr>
      <w:r w:rsidRPr="000D6180">
        <w:rPr>
          <w:rFonts w:ascii="Verdana" w:hAnsi="Verdana"/>
          <w:lang w:val="es-ES"/>
        </w:rPr>
        <w:t>De otro lado, le contamos que el Decreto 287 del 19 de marzo de 2026 sustituyó los artículos 2.2.1.2.4.2.6., 2.2.1.2.4.2.7. y 2.2.1.2.4.2.8. del Decreto 1082 de 2015 y estructuró el </w:t>
      </w:r>
      <w:r w:rsidRPr="008255A1">
        <w:rPr>
          <w:rFonts w:ascii="Verdana" w:hAnsi="Verdana"/>
          <w:lang w:val="es-ES"/>
        </w:rPr>
        <w:t>Sistema Integral de Preferencias en favor de las personas con discapacidad</w:t>
      </w:r>
      <w:r w:rsidRPr="000D6180">
        <w:rPr>
          <w:rFonts w:ascii="Verdana" w:hAnsi="Verdana"/>
          <w:lang w:val="es-ES"/>
        </w:rPr>
        <w:t>, en cumplimiento del artículo 13 de la Ley Estatutaria 1618 de 2013. Para orientar su aplicación, esta Agencia expidió la </w:t>
      </w:r>
      <w:r w:rsidRPr="000D6180">
        <w:rPr>
          <w:rFonts w:ascii="Verdana" w:hAnsi="Verdana"/>
          <w:b/>
          <w:bCs/>
          <w:lang w:val="es-ES"/>
        </w:rPr>
        <w:t>Cir</w:t>
      </w:r>
      <w:r w:rsidRPr="008255A1">
        <w:rPr>
          <w:rFonts w:ascii="Verdana" w:hAnsi="Verdana"/>
          <w:b/>
          <w:bCs/>
          <w:lang w:val="es-ES"/>
        </w:rPr>
        <w:t>cular Externa 003 del 12 de mayo de 2026, </w:t>
      </w:r>
      <w:r w:rsidRPr="008255A1">
        <w:rPr>
          <w:rFonts w:ascii="Verdana" w:hAnsi="Verdana"/>
          <w:lang w:val="es-ES"/>
        </w:rPr>
        <w:t>en la que precisa quiénes son los beneficiarios, las cinco medidas que integran el sistema y su obligatoriedad según la modalidad de selección, y el régimen de transición aplicable a los procesos en curso. Consúltela aquí: </w:t>
      </w:r>
      <w:hyperlink r:id="rId15">
        <w:r w:rsidRPr="008255A1">
          <w:rPr>
            <w:rStyle w:val="Hipervnculo"/>
            <w:rFonts w:ascii="Verdana" w:hAnsi="Verdana"/>
            <w:lang w:val="es-ES"/>
          </w:rPr>
          <w:t>https://www.colombiacompra.gov.co/archivos/circular/circular-externa-003-de-2026</w:t>
        </w:r>
      </w:hyperlink>
      <w:r w:rsidR="008255A1">
        <w:rPr>
          <w:rFonts w:ascii="Verdana" w:hAnsi="Verdana"/>
          <w:lang w:val="es-ES"/>
        </w:rPr>
        <w:t xml:space="preserve"> </w:t>
      </w:r>
    </w:p>
    <w:p w14:paraId="0055F301" w14:textId="77777777" w:rsidR="0071640F" w:rsidRPr="000D6180" w:rsidRDefault="0071640F" w:rsidP="0071640F">
      <w:pPr>
        <w:spacing w:line="276" w:lineRule="auto"/>
        <w:ind w:firstLine="709"/>
        <w:jc w:val="both"/>
        <w:rPr>
          <w:rFonts w:ascii="Verdana" w:eastAsia="Calibri" w:hAnsi="Verdana" w:cs="Arial"/>
          <w:b/>
          <w:bCs/>
          <w:color w:val="000000" w:themeColor="text1"/>
          <w:lang w:val="es-ES"/>
        </w:rPr>
      </w:pPr>
      <w:r w:rsidRPr="000D6180">
        <w:rPr>
          <w:rFonts w:ascii="Verdana" w:hAnsi="Verdana"/>
          <w:lang w:val="es-ES"/>
        </w:rPr>
        <w:t>Recuerde también que la</w:t>
      </w:r>
      <w:r w:rsidRPr="008255A1">
        <w:rPr>
          <w:rFonts w:ascii="Verdana" w:hAnsi="Verdana"/>
          <w:lang w:val="es-ES"/>
        </w:rPr>
        <w:t> información sobre sanciones e inhabilidades </w:t>
      </w:r>
      <w:r w:rsidRPr="000D6180">
        <w:rPr>
          <w:rFonts w:ascii="Verdana" w:hAnsi="Verdana"/>
          <w:lang w:val="es-ES"/>
        </w:rPr>
        <w:t>solo cumple su función preventiva si llega oportunamente a los registros públicos. Sobre este deber, esta Agencia expidió la </w:t>
      </w:r>
      <w:r w:rsidRPr="000D6180">
        <w:rPr>
          <w:rFonts w:ascii="Verdana" w:hAnsi="Verdana"/>
          <w:b/>
          <w:bCs/>
          <w:lang w:val="es-ES"/>
        </w:rPr>
        <w:t>Circular Externa 002 del 5 de mayo de 2026,</w:t>
      </w:r>
      <w:r w:rsidRPr="000D6180">
        <w:rPr>
          <w:rFonts w:ascii="Verdana" w:hAnsi="Verdana"/>
          <w:lang w:val="es-ES"/>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Consúltela aquí: </w:t>
      </w:r>
      <w:hyperlink r:id="rId16">
        <w:r w:rsidRPr="000D6180">
          <w:rPr>
            <w:rStyle w:val="Hipervnculo"/>
            <w:rFonts w:ascii="Verdana" w:hAnsi="Verdana"/>
            <w:lang w:val="es-ES"/>
          </w:rPr>
          <w:t>https://www.colombiacompra.gov.co/archivos/circular/circular-externa-002-de-2026</w:t>
        </w:r>
      </w:hyperlink>
    </w:p>
    <w:p w14:paraId="5D2CDB8D" w14:textId="2755F977" w:rsidR="0071640F" w:rsidRPr="008255A1" w:rsidRDefault="0071640F" w:rsidP="008255A1">
      <w:pPr>
        <w:spacing w:line="276" w:lineRule="auto"/>
        <w:ind w:firstLine="709"/>
        <w:jc w:val="both"/>
        <w:rPr>
          <w:rFonts w:ascii="Verdana" w:eastAsia="Calibri" w:hAnsi="Verdana" w:cs="Arial"/>
          <w:b/>
          <w:bCs/>
          <w:color w:val="000000" w:themeColor="text1"/>
          <w:lang w:val="es-ES"/>
        </w:rPr>
      </w:pPr>
      <w:r w:rsidRPr="000D6180">
        <w:rPr>
          <w:rFonts w:ascii="Verdana" w:hAnsi="Verdana"/>
          <w:lang w:val="es-ES"/>
        </w:rPr>
        <w:t>Finalmente, si quiere seguir de cerca la actividad de la Agencia, la tercera edición de 2026 del</w:t>
      </w:r>
      <w:r w:rsidRPr="000D6180">
        <w:rPr>
          <w:rFonts w:ascii="Verdana" w:hAnsi="Verdana"/>
          <w:b/>
          <w:bCs/>
          <w:lang w:val="es-ES"/>
        </w:rPr>
        <w:t> Radar de la Compra Pública</w:t>
      </w:r>
      <w:r w:rsidRPr="000D6180">
        <w:rPr>
          <w:rFonts w:ascii="Verdana" w:hAnsi="Verdana"/>
          <w:lang w:val="es-ES"/>
        </w:rPr>
        <w:t xml:space="preserve"> reúne, entre otros </w:t>
      </w:r>
      <w:r w:rsidRPr="000D6180">
        <w:rPr>
          <w:rFonts w:ascii="Verdana" w:hAnsi="Verdana"/>
          <w:lang w:val="es-ES"/>
        </w:rPr>
        <w:lastRenderedPageBreak/>
        <w:t>contenidos, la Circular Externa 003 de 2026, el Decreto 552 de 2026, un estudio sobre inteligencia artificial en la compra pública, los avances de la Relatoría, análisis jurisprudencial, conceptos jurídicos destacados y la oferta de la Escuela Virtual ANCP-CCE. Descárguelo aquí: </w:t>
      </w:r>
      <w:hyperlink r:id="rId17">
        <w:r w:rsidRPr="000D6180">
          <w:rPr>
            <w:rStyle w:val="Hipervnculo"/>
            <w:rFonts w:ascii="Verdana" w:hAnsi="Verdana"/>
            <w:lang w:val="es-ES"/>
          </w:rPr>
          <w:t>https://www.colombiacompra.gov.co/archivos/boletin/boletin-edicion-n-3-de-2026-radar-de-la-compra-publica</w:t>
        </w:r>
      </w:hyperlink>
    </w:p>
    <w:p w14:paraId="1CEF9F0B" w14:textId="77777777" w:rsidR="0071640F" w:rsidRPr="000D6180" w:rsidRDefault="0071640F" w:rsidP="0071640F">
      <w:pPr>
        <w:spacing w:after="0" w:line="276" w:lineRule="auto"/>
        <w:jc w:val="both"/>
        <w:rPr>
          <w:rFonts w:ascii="Verdana" w:hAnsi="Verdana"/>
          <w:lang w:val="es-ES"/>
        </w:rPr>
      </w:pPr>
      <w:r w:rsidRPr="000D6180">
        <w:rPr>
          <w:rFonts w:ascii="Verdana" w:hAnsi="Verdana"/>
          <w:lang w:val="es-ES"/>
        </w:rPr>
        <w:t xml:space="preserve">Por último, le invitamos a seguirnos en las redes sociales en las cuales se difunde información institucional: </w:t>
      </w:r>
    </w:p>
    <w:p w14:paraId="2FB53546" w14:textId="77777777" w:rsidR="0071640F" w:rsidRPr="000D6180" w:rsidRDefault="0071640F" w:rsidP="0071640F">
      <w:pPr>
        <w:spacing w:after="0" w:line="276" w:lineRule="auto"/>
        <w:jc w:val="both"/>
        <w:rPr>
          <w:rFonts w:ascii="Verdana" w:hAnsi="Verdana"/>
          <w:lang w:val="es-ES"/>
        </w:rPr>
      </w:pPr>
    </w:p>
    <w:p w14:paraId="55C994D2" w14:textId="77777777" w:rsidR="0071640F" w:rsidRPr="000D6180" w:rsidRDefault="0071640F" w:rsidP="0071640F">
      <w:pPr>
        <w:spacing w:after="0" w:line="276" w:lineRule="auto"/>
        <w:jc w:val="both"/>
        <w:rPr>
          <w:rFonts w:ascii="Verdana" w:hAnsi="Verdana"/>
          <w:lang w:val="es-ES"/>
        </w:rPr>
      </w:pPr>
      <w:r w:rsidRPr="000D6180">
        <w:rPr>
          <w:rFonts w:ascii="Verdana" w:hAnsi="Verdana"/>
          <w:lang w:val="es-ES"/>
        </w:rPr>
        <w:t xml:space="preserve">Twitter: </w:t>
      </w:r>
      <w:r w:rsidRPr="000D6180">
        <w:rPr>
          <w:rStyle w:val="Hipervnculo"/>
          <w:rFonts w:ascii="Verdana" w:hAnsi="Verdana" w:cs="Arial"/>
          <w:shd w:val="clear" w:color="auto" w:fill="FFFFFF"/>
          <w:lang w:val="es-ES"/>
        </w:rPr>
        <w:t>@colombiacompra</w:t>
      </w:r>
      <w:r w:rsidRPr="000D6180">
        <w:rPr>
          <w:rFonts w:ascii="Verdana" w:hAnsi="Verdana"/>
          <w:color w:val="4472C4" w:themeColor="accent1"/>
          <w:lang w:val="es-ES"/>
        </w:rPr>
        <w:t xml:space="preserve"> </w:t>
      </w:r>
    </w:p>
    <w:p w14:paraId="315F26B0" w14:textId="77777777" w:rsidR="0071640F" w:rsidRPr="000D6180" w:rsidRDefault="0071640F" w:rsidP="0071640F">
      <w:pPr>
        <w:spacing w:after="0" w:line="276" w:lineRule="auto"/>
        <w:jc w:val="both"/>
        <w:rPr>
          <w:rFonts w:ascii="Verdana" w:hAnsi="Verdana"/>
          <w:lang w:val="es-ES"/>
        </w:rPr>
      </w:pPr>
      <w:r w:rsidRPr="000D6180">
        <w:rPr>
          <w:rFonts w:ascii="Verdana" w:hAnsi="Verdana"/>
          <w:lang w:val="es-ES"/>
        </w:rPr>
        <w:t xml:space="preserve">Facebook: </w:t>
      </w:r>
      <w:r w:rsidRPr="000D6180">
        <w:rPr>
          <w:rStyle w:val="Hipervnculo"/>
          <w:rFonts w:ascii="Verdana" w:hAnsi="Verdana" w:cs="Arial"/>
          <w:shd w:val="clear" w:color="auto" w:fill="FFFFFF"/>
          <w:lang w:val="es-ES"/>
        </w:rPr>
        <w:t>ColombiaCompraEficiente</w:t>
      </w:r>
    </w:p>
    <w:p w14:paraId="2A5C0515" w14:textId="77777777" w:rsidR="0071640F" w:rsidRPr="000D6180" w:rsidRDefault="0071640F" w:rsidP="0071640F">
      <w:pPr>
        <w:spacing w:after="0" w:line="276" w:lineRule="auto"/>
        <w:jc w:val="both"/>
        <w:rPr>
          <w:rFonts w:ascii="Verdana" w:hAnsi="Verdana"/>
          <w:lang w:val="es-ES"/>
        </w:rPr>
      </w:pPr>
      <w:r w:rsidRPr="000D6180">
        <w:rPr>
          <w:rFonts w:ascii="Verdana" w:hAnsi="Verdana"/>
          <w:lang w:val="es-ES"/>
        </w:rPr>
        <w:t xml:space="preserve">LinkedIn: </w:t>
      </w:r>
      <w:r w:rsidRPr="000D6180">
        <w:rPr>
          <w:rStyle w:val="Hipervnculo"/>
          <w:rFonts w:ascii="Verdana" w:hAnsi="Verdana" w:cs="Arial"/>
          <w:shd w:val="clear" w:color="auto" w:fill="FFFFFF"/>
          <w:lang w:val="es-ES"/>
        </w:rPr>
        <w:t xml:space="preserve">Agencia Nacional de Contratación Pública - Colombia Compra Eficiente </w:t>
      </w:r>
      <w:r w:rsidRPr="000D6180">
        <w:rPr>
          <w:rFonts w:ascii="Verdana" w:hAnsi="Verdana"/>
          <w:lang w:val="es-ES"/>
        </w:rPr>
        <w:t xml:space="preserve">Instagram: </w:t>
      </w:r>
      <w:r w:rsidRPr="000D6180">
        <w:rPr>
          <w:rStyle w:val="Hipervnculo"/>
          <w:rFonts w:ascii="Verdana" w:hAnsi="Verdana" w:cs="Arial"/>
          <w:shd w:val="clear" w:color="auto" w:fill="FFFFFF"/>
          <w:lang w:val="es-ES"/>
        </w:rPr>
        <w:t>@colombiacompraeficiente_cce</w:t>
      </w:r>
    </w:p>
    <w:p w14:paraId="273BB39F" w14:textId="77777777" w:rsidR="0071640F" w:rsidRPr="000D6180" w:rsidRDefault="0071640F" w:rsidP="0071640F">
      <w:pPr>
        <w:widowControl w:val="0"/>
        <w:autoSpaceDE w:val="0"/>
        <w:autoSpaceDN w:val="0"/>
        <w:spacing w:after="0" w:line="276" w:lineRule="auto"/>
        <w:jc w:val="both"/>
        <w:rPr>
          <w:rFonts w:ascii="Verdana" w:hAnsi="Verdana" w:cs="Arial"/>
          <w:lang w:val="es-ES"/>
        </w:rPr>
      </w:pPr>
    </w:p>
    <w:p w14:paraId="3866AF0F" w14:textId="1DEF4530" w:rsidR="0071640F" w:rsidRPr="000D6180" w:rsidRDefault="0071640F" w:rsidP="0071640F">
      <w:pPr>
        <w:widowControl w:val="0"/>
        <w:autoSpaceDE w:val="0"/>
        <w:autoSpaceDN w:val="0"/>
        <w:spacing w:after="0" w:line="276" w:lineRule="auto"/>
        <w:jc w:val="both"/>
        <w:rPr>
          <w:rFonts w:ascii="Verdana" w:hAnsi="Verdana" w:cs="Arial"/>
          <w:lang w:val="es-ES"/>
        </w:rPr>
      </w:pPr>
      <w:r w:rsidRPr="000D6180">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56569330" w14:textId="01CC8345" w:rsidR="0071640F" w:rsidRPr="000D6180" w:rsidRDefault="0071640F" w:rsidP="0071640F">
      <w:pPr>
        <w:widowControl w:val="0"/>
        <w:autoSpaceDE w:val="0"/>
        <w:autoSpaceDN w:val="0"/>
        <w:spacing w:after="0" w:line="276" w:lineRule="auto"/>
        <w:jc w:val="both"/>
        <w:rPr>
          <w:rFonts w:ascii="Verdana" w:hAnsi="Verdana" w:cs="Arial"/>
          <w:lang w:val="es-ES"/>
        </w:rPr>
      </w:pPr>
    </w:p>
    <w:p w14:paraId="52596FE1" w14:textId="192EEC6A" w:rsidR="0071640F" w:rsidRPr="000D6180" w:rsidRDefault="0071640F" w:rsidP="0071640F">
      <w:pPr>
        <w:spacing w:after="0" w:line="276" w:lineRule="auto"/>
        <w:rPr>
          <w:rFonts w:ascii="Verdana" w:hAnsi="Verdana" w:cs="Arial"/>
          <w:color w:val="000000" w:themeColor="text1"/>
          <w:lang w:val="es-ES" w:eastAsia="es-CO"/>
        </w:rPr>
      </w:pPr>
      <w:r w:rsidRPr="000D6180">
        <w:rPr>
          <w:rFonts w:ascii="Verdana" w:eastAsia="Times New Roman" w:hAnsi="Verdana" w:cs="Arial"/>
          <w:color w:val="000000" w:themeColor="text1"/>
          <w:lang w:val="es-ES" w:eastAsia="es-CO"/>
        </w:rPr>
        <w:t>Atentamente,</w:t>
      </w:r>
      <w:r w:rsidRPr="000D6180">
        <w:rPr>
          <w:rFonts w:ascii="Verdana" w:hAnsi="Verdana" w:cs="Arial"/>
          <w:color w:val="000000" w:themeColor="text1"/>
          <w:lang w:val="es-ES" w:eastAsia="es-CO"/>
        </w:rPr>
        <w:t xml:space="preserve"> </w:t>
      </w:r>
    </w:p>
    <w:p w14:paraId="4C25E39A" w14:textId="180C7912" w:rsidR="0071640F" w:rsidRPr="000D6180" w:rsidRDefault="001E0E0D" w:rsidP="0071640F">
      <w:pPr>
        <w:spacing w:after="0" w:line="276" w:lineRule="auto"/>
        <w:rPr>
          <w:rFonts w:ascii="Verdana" w:hAnsi="Verdana" w:cs="Arial"/>
          <w:color w:val="000000" w:themeColor="text1"/>
          <w:lang w:val="es-ES" w:eastAsia="es-CO"/>
        </w:rPr>
      </w:pPr>
      <w:r w:rsidRPr="000E2097">
        <w:rPr>
          <w:rFonts w:ascii="Century Gothic" w:hAnsi="Century Gothic"/>
          <w:noProof/>
          <w:lang w:val="es-ES"/>
        </w:rPr>
        <w:drawing>
          <wp:anchor distT="0" distB="0" distL="114300" distR="114300" simplePos="0" relativeHeight="251659264" behindDoc="0" locked="0" layoutInCell="1" allowOverlap="1" wp14:anchorId="01917B0B" wp14:editId="6C050B1A">
            <wp:simplePos x="0" y="0"/>
            <wp:positionH relativeFrom="column">
              <wp:posOffset>1100244</wp:posOffset>
            </wp:positionH>
            <wp:positionV relativeFrom="paragraph">
              <wp:posOffset>91864</wp:posOffset>
            </wp:positionV>
            <wp:extent cx="3771900" cy="1402080"/>
            <wp:effectExtent l="0" t="0" r="0" b="0"/>
            <wp:wrapSquare wrapText="bothSides"/>
            <wp:docPr id="24617304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1900" cy="1402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99751E" w14:textId="70C6DCAB" w:rsidR="0071640F" w:rsidRPr="000D6180" w:rsidRDefault="0071640F" w:rsidP="0071640F">
      <w:pPr>
        <w:spacing w:line="276" w:lineRule="auto"/>
        <w:jc w:val="center"/>
        <w:rPr>
          <w:rFonts w:ascii="Verdana" w:hAnsi="Verdana" w:cs="Arial"/>
          <w:color w:val="000000" w:themeColor="text1"/>
          <w:lang w:val="es-ES"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71640F" w:rsidRPr="000D6180" w14:paraId="73B6BC1B" w14:textId="77777777" w:rsidTr="00163730">
        <w:trPr>
          <w:trHeight w:val="315"/>
        </w:trPr>
        <w:tc>
          <w:tcPr>
            <w:tcW w:w="893" w:type="dxa"/>
            <w:vAlign w:val="center"/>
            <w:hideMark/>
          </w:tcPr>
          <w:p w14:paraId="6E2EE87F" w14:textId="77777777" w:rsidR="0071640F" w:rsidRPr="000D6180" w:rsidRDefault="0071640F" w:rsidP="00163730">
            <w:pPr>
              <w:contextualSpacing/>
              <w:rPr>
                <w:rFonts w:ascii="Verdana" w:hAnsi="Verdana" w:cs="Arial"/>
                <w:sz w:val="16"/>
                <w:szCs w:val="16"/>
                <w:lang w:val="es-ES" w:eastAsia="es-ES"/>
              </w:rPr>
            </w:pPr>
            <w:r w:rsidRPr="000D6180">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189A3FDC" w14:textId="3344866C" w:rsidR="0071640F" w:rsidRPr="000D6180" w:rsidRDefault="0071640F" w:rsidP="00163730">
            <w:pPr>
              <w:contextualSpacing/>
              <w:rPr>
                <w:rFonts w:ascii="Verdana" w:eastAsia="Arial" w:hAnsi="Verdana" w:cs="Arial"/>
                <w:color w:val="000000" w:themeColor="text1"/>
                <w:sz w:val="16"/>
                <w:szCs w:val="16"/>
                <w:lang w:val="es-ES"/>
              </w:rPr>
            </w:pPr>
            <w:r w:rsidRPr="000D6180">
              <w:rPr>
                <w:rFonts w:ascii="Verdana" w:eastAsia="Arial" w:hAnsi="Verdana" w:cs="Arial"/>
                <w:color w:val="000000" w:themeColor="text1"/>
                <w:sz w:val="16"/>
                <w:szCs w:val="16"/>
                <w:lang w:val="es-ES"/>
              </w:rPr>
              <w:t>Anamaría Bonilla Prieto</w:t>
            </w:r>
          </w:p>
          <w:p w14:paraId="709087CD" w14:textId="77777777" w:rsidR="0071640F" w:rsidRPr="000D6180" w:rsidRDefault="0071640F" w:rsidP="00163730">
            <w:pPr>
              <w:contextualSpacing/>
              <w:rPr>
                <w:rFonts w:ascii="Verdana" w:eastAsia="Arial" w:hAnsi="Verdana" w:cs="Arial"/>
                <w:sz w:val="16"/>
                <w:szCs w:val="16"/>
                <w:lang w:val="es-ES"/>
              </w:rPr>
            </w:pPr>
            <w:r w:rsidRPr="000D6180">
              <w:rPr>
                <w:rStyle w:val="normaltextrun"/>
                <w:rFonts w:ascii="Verdana" w:eastAsia="Arial" w:hAnsi="Verdana" w:cs="Arial"/>
                <w:color w:val="000000" w:themeColor="text1"/>
                <w:sz w:val="16"/>
                <w:szCs w:val="16"/>
                <w:lang w:val="es-ES"/>
              </w:rPr>
              <w:t xml:space="preserve">Contratista de la Subdirección </w:t>
            </w:r>
            <w:r w:rsidRPr="000D6180">
              <w:rPr>
                <w:rStyle w:val="normaltextrun"/>
                <w:rFonts w:ascii="Verdana" w:eastAsia="Arial" w:hAnsi="Verdana" w:cs="Arial"/>
                <w:sz w:val="16"/>
                <w:szCs w:val="16"/>
                <w:lang w:val="es-ES"/>
              </w:rPr>
              <w:t>de Gestión Contractual</w:t>
            </w:r>
          </w:p>
        </w:tc>
      </w:tr>
      <w:tr w:rsidR="0071640F" w:rsidRPr="000D6180" w14:paraId="7CCEBC1C" w14:textId="77777777" w:rsidTr="00163730">
        <w:trPr>
          <w:trHeight w:val="330"/>
        </w:trPr>
        <w:tc>
          <w:tcPr>
            <w:tcW w:w="893" w:type="dxa"/>
            <w:vAlign w:val="center"/>
            <w:hideMark/>
          </w:tcPr>
          <w:p w14:paraId="445B42BB" w14:textId="77777777" w:rsidR="0071640F" w:rsidRPr="000D6180" w:rsidRDefault="0071640F" w:rsidP="00163730">
            <w:pPr>
              <w:contextualSpacing/>
              <w:rPr>
                <w:rFonts w:ascii="Verdana" w:hAnsi="Verdana" w:cs="Arial"/>
                <w:sz w:val="16"/>
                <w:szCs w:val="16"/>
                <w:lang w:val="es-ES" w:eastAsia="es-ES"/>
              </w:rPr>
            </w:pPr>
            <w:r w:rsidRPr="000D6180">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7C1BE190" w14:textId="77777777" w:rsidR="0071640F" w:rsidRPr="000D6180" w:rsidRDefault="0071640F" w:rsidP="00163730">
            <w:pPr>
              <w:spacing w:line="276" w:lineRule="auto"/>
              <w:contextualSpacing/>
              <w:textAlignment w:val="baseline"/>
              <w:rPr>
                <w:rStyle w:val="normaltextrun"/>
                <w:rFonts w:ascii="Verdana" w:eastAsia="Arial" w:hAnsi="Verdana"/>
                <w:color w:val="000000" w:themeColor="text1"/>
                <w:sz w:val="16"/>
                <w:szCs w:val="16"/>
                <w:lang w:val="es-ES"/>
              </w:rPr>
            </w:pPr>
            <w:r w:rsidRPr="000D6180">
              <w:rPr>
                <w:rStyle w:val="normaltextrun"/>
                <w:rFonts w:ascii="Verdana" w:eastAsia="Arial" w:hAnsi="Verdana"/>
                <w:color w:val="000000" w:themeColor="text1"/>
                <w:sz w:val="16"/>
                <w:szCs w:val="16"/>
                <w:lang w:val="es-ES"/>
              </w:rPr>
              <w:t>Alejandro Sarmiento Cantillo</w:t>
            </w:r>
          </w:p>
          <w:p w14:paraId="54A94527" w14:textId="77777777" w:rsidR="0071640F" w:rsidRPr="000D6180" w:rsidRDefault="0071640F" w:rsidP="00163730">
            <w:pPr>
              <w:pStyle w:val="paragraph"/>
              <w:spacing w:before="0" w:beforeAutospacing="0" w:after="0" w:afterAutospacing="0"/>
              <w:contextualSpacing/>
              <w:textAlignment w:val="baseline"/>
              <w:rPr>
                <w:rFonts w:ascii="Verdana" w:hAnsi="Verdana" w:cs="Segoe UI"/>
                <w:sz w:val="16"/>
                <w:szCs w:val="16"/>
                <w:lang w:val="es-ES"/>
              </w:rPr>
            </w:pPr>
            <w:r w:rsidRPr="000D6180">
              <w:rPr>
                <w:rStyle w:val="normaltextrun"/>
                <w:rFonts w:ascii="Verdana" w:eastAsia="Arial" w:hAnsi="Verdana"/>
                <w:color w:val="000000" w:themeColor="text1"/>
                <w:sz w:val="16"/>
                <w:szCs w:val="16"/>
                <w:lang w:val="es-ES" w:eastAsia="en-US"/>
              </w:rPr>
              <w:t xml:space="preserve">Gestor T1 – 15 </w:t>
            </w:r>
            <w:r w:rsidRPr="000D6180">
              <w:rPr>
                <w:rStyle w:val="normaltextrun"/>
                <w:rFonts w:ascii="Verdana" w:eastAsia="Arial" w:hAnsi="Verdana" w:cs="Arial"/>
                <w:color w:val="000000" w:themeColor="text1"/>
                <w:sz w:val="16"/>
                <w:szCs w:val="16"/>
                <w:lang w:val="es-ES" w:eastAsia="en-US"/>
              </w:rPr>
              <w:t>de la Subdirección de Gestión Contractual</w:t>
            </w:r>
            <w:r w:rsidRPr="000D6180">
              <w:rPr>
                <w:rStyle w:val="eop"/>
                <w:rFonts w:ascii="Verdana" w:hAnsi="Verdana" w:cs="Arial"/>
                <w:sz w:val="16"/>
                <w:szCs w:val="16"/>
                <w:lang w:val="es-ES"/>
              </w:rPr>
              <w:t> </w:t>
            </w:r>
          </w:p>
        </w:tc>
      </w:tr>
      <w:tr w:rsidR="0071640F" w:rsidRPr="000D6180" w14:paraId="4196BF2A" w14:textId="77777777" w:rsidTr="00163730">
        <w:trPr>
          <w:trHeight w:val="300"/>
        </w:trPr>
        <w:tc>
          <w:tcPr>
            <w:tcW w:w="893" w:type="dxa"/>
            <w:vAlign w:val="center"/>
          </w:tcPr>
          <w:p w14:paraId="2213814C" w14:textId="77777777" w:rsidR="0071640F" w:rsidRPr="000D6180" w:rsidRDefault="0071640F" w:rsidP="00163730">
            <w:pPr>
              <w:contextualSpacing/>
              <w:rPr>
                <w:rFonts w:ascii="Verdana" w:hAnsi="Verdana" w:cs="Arial"/>
                <w:sz w:val="16"/>
                <w:szCs w:val="16"/>
                <w:lang w:val="es-ES" w:eastAsia="es-ES"/>
              </w:rPr>
            </w:pPr>
            <w:r w:rsidRPr="000D6180">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615415A7" w14:textId="77777777" w:rsidR="0071640F" w:rsidRPr="000D6180" w:rsidRDefault="0071640F" w:rsidP="00163730">
            <w:pPr>
              <w:contextualSpacing/>
              <w:rPr>
                <w:rFonts w:ascii="Verdana" w:eastAsia="Calibri" w:hAnsi="Verdana" w:cs="Arial"/>
                <w:sz w:val="16"/>
                <w:szCs w:val="16"/>
                <w:lang w:val="es-ES" w:eastAsia="es-ES"/>
              </w:rPr>
            </w:pPr>
            <w:r w:rsidRPr="000D6180">
              <w:rPr>
                <w:rFonts w:ascii="Verdana" w:eastAsia="Calibri" w:hAnsi="Verdana" w:cs="Arial"/>
                <w:sz w:val="16"/>
                <w:szCs w:val="16"/>
                <w:lang w:val="es-ES" w:eastAsia="es-ES"/>
              </w:rPr>
              <w:t>Carolina Quintero Gacharná</w:t>
            </w:r>
          </w:p>
          <w:p w14:paraId="71CF87B9" w14:textId="77777777" w:rsidR="0071640F" w:rsidRPr="000D6180" w:rsidRDefault="0071640F" w:rsidP="00163730">
            <w:pPr>
              <w:contextualSpacing/>
              <w:rPr>
                <w:rFonts w:ascii="Verdana" w:eastAsia="Calibri" w:hAnsi="Verdana" w:cs="Arial"/>
                <w:sz w:val="16"/>
                <w:szCs w:val="16"/>
                <w:lang w:val="es-ES" w:eastAsia="es-ES"/>
              </w:rPr>
            </w:pPr>
            <w:r w:rsidRPr="000D6180">
              <w:rPr>
                <w:rFonts w:ascii="Verdana" w:eastAsia="Calibri" w:hAnsi="Verdana" w:cs="Arial"/>
                <w:sz w:val="16"/>
                <w:szCs w:val="16"/>
                <w:lang w:val="es-ES" w:eastAsia="es-ES"/>
              </w:rPr>
              <w:t>Subdirectora de Gestión Contractual ANCP – CCE</w:t>
            </w:r>
          </w:p>
        </w:tc>
      </w:tr>
    </w:tbl>
    <w:p w14:paraId="4F308AF2" w14:textId="53BCD26D" w:rsidR="0071640F" w:rsidRPr="000D6180" w:rsidRDefault="0071640F" w:rsidP="0071640F">
      <w:pPr>
        <w:spacing w:after="0" w:line="276" w:lineRule="auto"/>
        <w:jc w:val="center"/>
        <w:rPr>
          <w:rFonts w:ascii="Verdana" w:hAnsi="Verdana"/>
          <w:lang w:val="es-ES"/>
        </w:rPr>
      </w:pPr>
    </w:p>
    <w:p w14:paraId="3C36288F" w14:textId="77777777" w:rsidR="0071640F" w:rsidRPr="000D6180" w:rsidRDefault="0071640F" w:rsidP="0071640F">
      <w:pPr>
        <w:rPr>
          <w:rFonts w:ascii="Verdana" w:hAnsi="Verdana"/>
          <w:lang w:val="es-ES"/>
        </w:rPr>
      </w:pPr>
    </w:p>
    <w:p w14:paraId="0F293BF4" w14:textId="097CA9B6" w:rsidR="00127233" w:rsidRPr="006F4CCE" w:rsidRDefault="00127233" w:rsidP="006F4CCE"/>
    <w:sectPr w:rsidR="00127233" w:rsidRPr="006F4CCE"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97A6D" w14:textId="77777777" w:rsidR="009B1252" w:rsidRDefault="009B1252" w:rsidP="004A1847">
      <w:pPr>
        <w:spacing w:after="0" w:line="240" w:lineRule="auto"/>
      </w:pPr>
      <w:r>
        <w:separator/>
      </w:r>
    </w:p>
  </w:endnote>
  <w:endnote w:type="continuationSeparator" w:id="0">
    <w:p w14:paraId="4615F0D3" w14:textId="77777777" w:rsidR="009B1252" w:rsidRDefault="009B1252" w:rsidP="004A1847">
      <w:pPr>
        <w:spacing w:after="0" w:line="240" w:lineRule="auto"/>
      </w:pPr>
      <w:r>
        <w:continuationSeparator/>
      </w:r>
    </w:p>
  </w:endnote>
  <w:endnote w:type="continuationNotice" w:id="1">
    <w:p w14:paraId="5ABD9B42" w14:textId="77777777" w:rsidR="009B1252" w:rsidRDefault="009B12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2FFE0" w14:textId="77777777" w:rsidR="009B1252" w:rsidRDefault="009B1252" w:rsidP="004A1847">
      <w:pPr>
        <w:spacing w:after="0" w:line="240" w:lineRule="auto"/>
      </w:pPr>
      <w:r>
        <w:separator/>
      </w:r>
    </w:p>
  </w:footnote>
  <w:footnote w:type="continuationSeparator" w:id="0">
    <w:p w14:paraId="2C8B3454" w14:textId="77777777" w:rsidR="009B1252" w:rsidRDefault="009B1252" w:rsidP="004A1847">
      <w:pPr>
        <w:spacing w:after="0" w:line="240" w:lineRule="auto"/>
      </w:pPr>
      <w:r>
        <w:continuationSeparator/>
      </w:r>
    </w:p>
  </w:footnote>
  <w:footnote w:type="continuationNotice" w:id="1">
    <w:p w14:paraId="3FAEA069" w14:textId="77777777" w:rsidR="009B1252" w:rsidRDefault="009B1252">
      <w:pPr>
        <w:spacing w:after="0" w:line="240" w:lineRule="auto"/>
      </w:pPr>
    </w:p>
  </w:footnote>
  <w:footnote w:id="2">
    <w:p w14:paraId="635C5C18" w14:textId="77777777" w:rsidR="0071640F" w:rsidRPr="00F04CCC" w:rsidRDefault="0071640F" w:rsidP="0071640F">
      <w:pPr>
        <w:pStyle w:val="Textonotapie"/>
        <w:ind w:firstLine="708"/>
        <w:contextualSpacing/>
        <w:jc w:val="both"/>
        <w:rPr>
          <w:rFonts w:ascii="Verdana" w:hAnsi="Verdana" w:cs="Arial"/>
          <w:sz w:val="16"/>
          <w:szCs w:val="16"/>
        </w:rPr>
      </w:pPr>
      <w:r w:rsidRPr="00F04CCC">
        <w:rPr>
          <w:rStyle w:val="Refdenotaalpie"/>
          <w:rFonts w:ascii="Verdana" w:hAnsi="Verdana" w:cs="Arial"/>
          <w:sz w:val="16"/>
          <w:szCs w:val="16"/>
        </w:rPr>
        <w:footnoteRef/>
      </w:r>
      <w:r w:rsidRPr="00F04CCC">
        <w:rPr>
          <w:rFonts w:ascii="Verdana" w:hAnsi="Verdana" w:cs="Arial"/>
          <w:sz w:val="16"/>
          <w:szCs w:val="16"/>
          <w:lang w:val="pt-PT"/>
        </w:rPr>
        <w:t xml:space="preserve"> SANTOFIMIO GAMBÓA, Jaime Orlando. Compendio de Derecho Administrativo. </w:t>
      </w:r>
      <w:r w:rsidRPr="00F04CCC">
        <w:rPr>
          <w:rFonts w:ascii="Verdana" w:hAnsi="Verdana" w:cs="Arial"/>
          <w:sz w:val="16"/>
          <w:szCs w:val="16"/>
        </w:rPr>
        <w:t>Editorial Universidad Externado de Colombia. Págs. 672-673. Bogotá, 2017.</w:t>
      </w:r>
    </w:p>
  </w:footnote>
  <w:footnote w:id="3">
    <w:p w14:paraId="6945EBAB" w14:textId="1DBCF7CF" w:rsidR="0071640F" w:rsidRPr="00F04CCC" w:rsidRDefault="0071640F" w:rsidP="00292579">
      <w:pPr>
        <w:pStyle w:val="Textonotapie"/>
        <w:ind w:firstLine="708"/>
        <w:jc w:val="both"/>
        <w:rPr>
          <w:rFonts w:ascii="Verdana" w:hAnsi="Verdana"/>
          <w:sz w:val="16"/>
          <w:szCs w:val="16"/>
        </w:rPr>
      </w:pPr>
      <w:r w:rsidRPr="00F04CCC">
        <w:rPr>
          <w:rStyle w:val="Refdenotaalpie"/>
          <w:rFonts w:ascii="Verdana" w:hAnsi="Verdana"/>
          <w:sz w:val="16"/>
          <w:szCs w:val="16"/>
        </w:rPr>
        <w:footnoteRef/>
      </w:r>
      <w:r w:rsidRPr="00F04CCC">
        <w:rPr>
          <w:rFonts w:ascii="Verdana" w:hAnsi="Verdana"/>
          <w:sz w:val="16"/>
          <w:szCs w:val="16"/>
        </w:rPr>
        <w:t xml:space="preserve"> </w:t>
      </w:r>
      <w:r w:rsidR="00225F50" w:rsidRPr="00F04CCC">
        <w:rPr>
          <w:rFonts w:ascii="Verdana" w:hAnsi="Verdana"/>
          <w:sz w:val="16"/>
          <w:szCs w:val="16"/>
        </w:rPr>
        <w:t>CONSEJO DE ESTADO</w:t>
      </w:r>
      <w:r w:rsidRPr="00F04CCC">
        <w:rPr>
          <w:rFonts w:ascii="Verdana" w:hAnsi="Verdana"/>
          <w:sz w:val="16"/>
          <w:szCs w:val="16"/>
        </w:rPr>
        <w:t xml:space="preserve">, Sala de lo Contencioso Administrativo, Sección Tercera, Subsección A, sentencia del 21 de junio de 2018, expediente n.° 13001-23-31-000-2003-01681-01 (40353), C.P. María Adriana Marín. </w:t>
      </w:r>
    </w:p>
    <w:p w14:paraId="3A6EEEFD" w14:textId="77777777" w:rsidR="0071640F" w:rsidRPr="00F04CCC" w:rsidRDefault="0071640F" w:rsidP="0071640F">
      <w:pPr>
        <w:pStyle w:val="Textonotapie"/>
        <w:jc w:val="both"/>
        <w:rPr>
          <w:rFonts w:ascii="Verdana" w:hAnsi="Verdana"/>
          <w:sz w:val="16"/>
          <w:szCs w:val="16"/>
          <w:lang w:val="es-ES"/>
        </w:rPr>
      </w:pPr>
    </w:p>
  </w:footnote>
  <w:footnote w:id="4">
    <w:p w14:paraId="23CC1323" w14:textId="0C4533CA" w:rsidR="00B45179" w:rsidRPr="00B45179" w:rsidRDefault="00B45179" w:rsidP="00292579">
      <w:pPr>
        <w:pStyle w:val="Textonotapie"/>
        <w:ind w:firstLine="709"/>
      </w:pPr>
      <w:r>
        <w:rPr>
          <w:rStyle w:val="Refdenotaalpie"/>
        </w:rPr>
        <w:footnoteRef/>
      </w:r>
      <w:r>
        <w:t xml:space="preserve"> </w:t>
      </w:r>
      <w:r w:rsidR="0061028E" w:rsidRPr="00F04CCC">
        <w:rPr>
          <w:rFonts w:ascii="Verdana" w:hAnsi="Verdana" w:cs="Arial"/>
          <w:sz w:val="16"/>
          <w:szCs w:val="16"/>
        </w:rPr>
        <w:t>CORTE CONSTITUCIONAL. Sentencia C-029 del 2 de febrero de 1995. M.P. Jorge Arango Mejía.</w:t>
      </w:r>
    </w:p>
  </w:footnote>
  <w:footnote w:id="5">
    <w:p w14:paraId="5F721FE0" w14:textId="77777777" w:rsidR="0071640F" w:rsidRPr="00F04CCC" w:rsidRDefault="0071640F" w:rsidP="0071640F">
      <w:pPr>
        <w:pStyle w:val="Textonotapie"/>
        <w:ind w:firstLine="708"/>
        <w:contextualSpacing/>
        <w:jc w:val="both"/>
        <w:rPr>
          <w:rFonts w:ascii="Verdana" w:hAnsi="Verdana" w:cs="Arial"/>
          <w:sz w:val="16"/>
          <w:szCs w:val="16"/>
        </w:rPr>
      </w:pPr>
      <w:r w:rsidRPr="00F04CCC">
        <w:rPr>
          <w:rStyle w:val="Refdenotaalpie"/>
          <w:rFonts w:ascii="Verdana" w:hAnsi="Verdana" w:cs="Arial"/>
          <w:sz w:val="16"/>
          <w:szCs w:val="16"/>
        </w:rPr>
        <w:footnoteRef/>
      </w:r>
      <w:r w:rsidRPr="00F04CCC">
        <w:rPr>
          <w:rFonts w:ascii="Verdana" w:hAnsi="Verdana" w:cs="Arial"/>
          <w:sz w:val="16"/>
          <w:szCs w:val="16"/>
        </w:rPr>
        <w:t xml:space="preserve"> Agencia Nacional de Contratación Pública – Colombia Compra Eficiente. Concepto </w:t>
      </w:r>
      <w:r w:rsidRPr="00F04CCC">
        <w:rPr>
          <w:rFonts w:ascii="Verdana" w:hAnsi="Verdana" w:cs="Arial"/>
          <w:color w:val="000000"/>
          <w:sz w:val="16"/>
          <w:szCs w:val="16"/>
          <w:lang w:val="es-ES"/>
        </w:rPr>
        <w:t>C-030 de 2022</w:t>
      </w:r>
      <w:r w:rsidRPr="00F04CCC">
        <w:rPr>
          <w:rFonts w:ascii="Verdana" w:hAnsi="Verdana" w:cs="Arial"/>
          <w:sz w:val="16"/>
          <w:szCs w:val="16"/>
        </w:rPr>
        <w:t>.</w:t>
      </w:r>
    </w:p>
  </w:footnote>
  <w:footnote w:id="6">
    <w:p w14:paraId="383DC405" w14:textId="77777777" w:rsidR="0071640F" w:rsidRPr="00F04CCC" w:rsidRDefault="0071640F" w:rsidP="0071640F">
      <w:pPr>
        <w:pStyle w:val="Textonotapie"/>
        <w:ind w:firstLine="709"/>
        <w:jc w:val="both"/>
        <w:rPr>
          <w:rFonts w:ascii="Verdana" w:hAnsi="Verdana"/>
          <w:sz w:val="16"/>
          <w:szCs w:val="16"/>
          <w:lang w:val="es-CO"/>
        </w:rPr>
      </w:pPr>
      <w:r w:rsidRPr="00F04CCC">
        <w:rPr>
          <w:rStyle w:val="Refdenotaalpie"/>
          <w:rFonts w:ascii="Verdana" w:hAnsi="Verdana"/>
          <w:sz w:val="16"/>
          <w:szCs w:val="16"/>
        </w:rPr>
        <w:footnoteRef/>
      </w:r>
      <w:r w:rsidRPr="00F04CCC">
        <w:rPr>
          <w:rFonts w:ascii="Verdana" w:hAnsi="Verdana"/>
          <w:sz w:val="16"/>
          <w:szCs w:val="16"/>
        </w:rPr>
        <w:t xml:space="preserve"> </w:t>
      </w:r>
      <w:r w:rsidRPr="00F04CCC">
        <w:rPr>
          <w:rFonts w:ascii="Verdana" w:hAnsi="Verdana"/>
          <w:sz w:val="16"/>
          <w:szCs w:val="16"/>
          <w:lang w:val="es-ES"/>
        </w:rPr>
        <w:t xml:space="preserve">Ley 80 de 1993. </w:t>
      </w:r>
      <w:r w:rsidRPr="00F04CCC">
        <w:rPr>
          <w:rFonts w:ascii="Verdana" w:hAnsi="Verdana"/>
          <w:sz w:val="16"/>
          <w:szCs w:val="16"/>
          <w:lang w:val="es-CO"/>
        </w:rPr>
        <w:t>ARTICULO 1o. DEL OBJETO. La presente ley tiene por objeto disponer las reglas y principios que rigen los contratos de las entidades estatales. </w:t>
      </w:r>
    </w:p>
    <w:p w14:paraId="3495C005" w14:textId="77777777" w:rsidR="0071640F" w:rsidRPr="00F04CCC" w:rsidRDefault="0071640F" w:rsidP="0071640F">
      <w:pPr>
        <w:pStyle w:val="Textonotapie"/>
        <w:jc w:val="both"/>
        <w:rPr>
          <w:rFonts w:ascii="Verdana" w:hAnsi="Verdana"/>
          <w:sz w:val="16"/>
          <w:szCs w:val="16"/>
          <w:lang w:val="es-CO"/>
        </w:rPr>
      </w:pPr>
      <w:r w:rsidRPr="00F04CCC">
        <w:rPr>
          <w:rFonts w:ascii="Verdana" w:hAnsi="Verdana"/>
          <w:sz w:val="16"/>
          <w:szCs w:val="16"/>
          <w:lang w:val="es-CO"/>
        </w:rPr>
        <w:t>  </w:t>
      </w:r>
    </w:p>
  </w:footnote>
  <w:footnote w:id="7">
    <w:p w14:paraId="6FF44F3D" w14:textId="77777777" w:rsidR="0071640F" w:rsidRPr="00F04CCC" w:rsidRDefault="0071640F" w:rsidP="0071640F">
      <w:pPr>
        <w:pStyle w:val="Textonotapie"/>
        <w:ind w:firstLine="709"/>
        <w:jc w:val="both"/>
        <w:rPr>
          <w:rFonts w:ascii="Verdana" w:hAnsi="Verdana"/>
          <w:sz w:val="16"/>
          <w:szCs w:val="16"/>
          <w:lang w:val="es-CO"/>
        </w:rPr>
      </w:pPr>
      <w:r w:rsidRPr="00F04CCC">
        <w:rPr>
          <w:rStyle w:val="Refdenotaalpie"/>
          <w:rFonts w:ascii="Verdana" w:hAnsi="Verdana"/>
          <w:sz w:val="16"/>
          <w:szCs w:val="16"/>
        </w:rPr>
        <w:footnoteRef/>
      </w:r>
      <w:r w:rsidRPr="00F04CCC">
        <w:rPr>
          <w:rFonts w:ascii="Verdana" w:hAnsi="Verdana"/>
          <w:sz w:val="16"/>
          <w:szCs w:val="16"/>
        </w:rPr>
        <w:t xml:space="preserve"> </w:t>
      </w:r>
      <w:bookmarkStart w:id="2" w:name="3"/>
      <w:r w:rsidRPr="00F04CCC">
        <w:rPr>
          <w:rFonts w:ascii="Verdana" w:hAnsi="Verdana"/>
          <w:sz w:val="16"/>
          <w:szCs w:val="16"/>
        </w:rPr>
        <w:t xml:space="preserve">Ley 80 de 1993. </w:t>
      </w:r>
      <w:r w:rsidRPr="00F04CCC">
        <w:rPr>
          <w:rFonts w:ascii="Verdana" w:hAnsi="Verdana"/>
          <w:sz w:val="16"/>
          <w:szCs w:val="16"/>
          <w:lang w:val="es-CO"/>
        </w:rPr>
        <w:t>ARTÍCULO 3o. DE LOS FINES DE LA CONTRATACIÓN ESTATAL.</w:t>
      </w:r>
      <w:bookmarkEnd w:id="2"/>
      <w:r w:rsidRPr="00F04CCC">
        <w:rPr>
          <w:rFonts w:ascii="Verdana" w:hAnsi="Verdana"/>
          <w:sz w:val="16"/>
          <w:szCs w:val="16"/>
          <w:lang w:val="es-CO"/>
        </w:rPr>
        <w:t> Los servidores públicos tendrán en consideración que al celebrar contratos y con la ejecución de los mismos, las entidades buscan el cumplimiento de los fines estatales, la continua y eficiente prestación de los servicios públicos y la efectividad de los derechos e intereses de los administrados que colaboran con ellas en la consecución de dichos fines.</w:t>
      </w:r>
    </w:p>
    <w:p w14:paraId="0A90C5AF" w14:textId="77777777" w:rsidR="0071640F" w:rsidRPr="00F04CCC" w:rsidRDefault="0071640F" w:rsidP="0071640F">
      <w:pPr>
        <w:pStyle w:val="Textonotapie"/>
        <w:ind w:firstLine="709"/>
        <w:jc w:val="both"/>
        <w:rPr>
          <w:rFonts w:ascii="Verdana" w:hAnsi="Verdana"/>
          <w:sz w:val="16"/>
          <w:szCs w:val="16"/>
          <w:lang w:val="es-CO"/>
        </w:rPr>
      </w:pPr>
      <w:r w:rsidRPr="00F04CCC">
        <w:rPr>
          <w:rFonts w:ascii="Verdana" w:hAnsi="Verdana"/>
          <w:sz w:val="16"/>
          <w:szCs w:val="16"/>
          <w:lang w:val="es-CO"/>
        </w:rPr>
        <w:t>&lt;Aparte tachado derogado por el artículo </w:t>
      </w:r>
      <w:hyperlink r:id="rId1" w:anchor="32" w:history="1">
        <w:r w:rsidRPr="00F04CCC">
          <w:rPr>
            <w:rStyle w:val="Hipervnculo"/>
            <w:rFonts w:ascii="Verdana" w:hAnsi="Verdana"/>
            <w:color w:val="auto"/>
            <w:sz w:val="16"/>
            <w:szCs w:val="16"/>
            <w:lang w:val="es-CO"/>
          </w:rPr>
          <w:t>32</w:t>
        </w:r>
      </w:hyperlink>
      <w:r w:rsidRPr="00F04CCC">
        <w:rPr>
          <w:rFonts w:ascii="Verdana" w:hAnsi="Verdana"/>
          <w:sz w:val="16"/>
          <w:szCs w:val="16"/>
          <w:lang w:val="es-CO"/>
        </w:rPr>
        <w:t> de la Ley 1150 de 2007&gt; Los particulares, por su parte, tendrán en cuenta al celebrar y ejecutar contratos con las entidades estatales que, </w:t>
      </w:r>
      <w:r w:rsidRPr="00F04CCC">
        <w:rPr>
          <w:rFonts w:ascii="Verdana" w:hAnsi="Verdana"/>
          <w:strike/>
          <w:sz w:val="16"/>
          <w:szCs w:val="16"/>
          <w:lang w:val="es-CO"/>
        </w:rPr>
        <w:t>además de la obtención de utilidades cuya protección garantiza el Estado</w:t>
      </w:r>
      <w:r w:rsidRPr="00F04CCC">
        <w:rPr>
          <w:rFonts w:ascii="Verdana" w:hAnsi="Verdana"/>
          <w:sz w:val="16"/>
          <w:szCs w:val="16"/>
          <w:lang w:val="es-CO"/>
        </w:rPr>
        <w:t>, colaboran con ellas en el logro de sus fines y cumplen una función social que, como tal, implica obligaciones.</w:t>
      </w:r>
    </w:p>
    <w:p w14:paraId="6EFC7B0D" w14:textId="77777777" w:rsidR="0071640F" w:rsidRPr="00F04CCC" w:rsidRDefault="0071640F" w:rsidP="0071640F">
      <w:pPr>
        <w:pStyle w:val="Textonotapie"/>
        <w:jc w:val="both"/>
        <w:rPr>
          <w:rFonts w:ascii="Verdana" w:hAnsi="Verdana"/>
          <w:sz w:val="16"/>
          <w:szCs w:val="16"/>
          <w:lang w:val="es-CO"/>
        </w:rPr>
      </w:pPr>
    </w:p>
  </w:footnote>
  <w:footnote w:id="8">
    <w:p w14:paraId="67098F91" w14:textId="77777777" w:rsidR="0071640F" w:rsidRPr="00F04CCC" w:rsidRDefault="0071640F" w:rsidP="0071640F">
      <w:pPr>
        <w:pStyle w:val="Textonotapie"/>
        <w:spacing w:after="120"/>
        <w:ind w:firstLine="709"/>
        <w:jc w:val="both"/>
        <w:rPr>
          <w:rFonts w:ascii="Verdana" w:hAnsi="Verdana"/>
          <w:sz w:val="16"/>
          <w:szCs w:val="16"/>
          <w:lang w:val="es-CO"/>
        </w:rPr>
      </w:pPr>
      <w:r w:rsidRPr="00F04CCC">
        <w:rPr>
          <w:rStyle w:val="Refdenotaalpie"/>
          <w:rFonts w:ascii="Verdana" w:hAnsi="Verdana"/>
          <w:sz w:val="16"/>
          <w:szCs w:val="16"/>
        </w:rPr>
        <w:footnoteRef/>
      </w:r>
      <w:r w:rsidRPr="00F04CCC">
        <w:rPr>
          <w:rFonts w:ascii="Verdana" w:hAnsi="Verdana"/>
          <w:sz w:val="16"/>
          <w:szCs w:val="16"/>
        </w:rPr>
        <w:t xml:space="preserve"> Cfr. </w:t>
      </w:r>
      <w:r w:rsidRPr="00F04CCC">
        <w:rPr>
          <w:rFonts w:ascii="Verdana" w:hAnsi="Verdana"/>
          <w:sz w:val="16"/>
          <w:szCs w:val="16"/>
          <w:lang w:val="es-CO"/>
        </w:rPr>
        <w:t xml:space="preserve">GARCÍA DE ENTERRÍA, Eduardo, y FERNÁNDEZ, Tomás Ramón. Curso de Derecho Administrativo, Madrid, Editorial Civitas, 195, p. 675. En </w:t>
      </w:r>
      <w:r w:rsidRPr="00F04CCC">
        <w:rPr>
          <w:rFonts w:ascii="Verdana" w:hAnsi="Verdana"/>
          <w:sz w:val="16"/>
          <w:szCs w:val="16"/>
          <w:lang w:val="es-ES"/>
        </w:rPr>
        <w:t xml:space="preserve">Consejo de Estado. Sala de Consulta y Servicio Civil. Concepto del 13 de mayo de 2021. Radicado </w:t>
      </w:r>
      <w:r w:rsidRPr="00F04CCC">
        <w:rPr>
          <w:rFonts w:ascii="Verdana" w:hAnsi="Verdana"/>
          <w:sz w:val="16"/>
          <w:szCs w:val="16"/>
          <w:lang w:val="es-CO"/>
        </w:rPr>
        <w:t xml:space="preserve">11001-03-06-000-2020-00212-00 (2456). C.P: Álvaro Namén Vargas. </w:t>
      </w:r>
    </w:p>
  </w:footnote>
  <w:footnote w:id="9">
    <w:p w14:paraId="74D5929A" w14:textId="77777777" w:rsidR="0071640F" w:rsidRPr="00F04CCC" w:rsidRDefault="0071640F" w:rsidP="0071640F">
      <w:pPr>
        <w:pStyle w:val="Textonotapie"/>
        <w:ind w:firstLine="708"/>
        <w:contextualSpacing/>
        <w:jc w:val="both"/>
        <w:rPr>
          <w:rFonts w:ascii="Verdana" w:hAnsi="Verdana"/>
          <w:sz w:val="16"/>
          <w:szCs w:val="16"/>
        </w:rPr>
      </w:pPr>
      <w:r w:rsidRPr="00F04CCC">
        <w:rPr>
          <w:rStyle w:val="Refdenotaalpie"/>
          <w:rFonts w:ascii="Verdana" w:hAnsi="Verdana"/>
          <w:sz w:val="16"/>
          <w:szCs w:val="16"/>
        </w:rPr>
        <w:footnoteRef/>
      </w:r>
      <w:r w:rsidRPr="00F04CCC">
        <w:rPr>
          <w:rFonts w:ascii="Verdana" w:hAnsi="Verdana"/>
          <w:sz w:val="16"/>
          <w:szCs w:val="16"/>
        </w:rPr>
        <w:t xml:space="preserve"> Código de Comercio: “Artículo 1347. Corredores de seguros Son corredores de seguros las empresas constituidas o que se constituyan como sociedades comerciales, colectivas o de responsabilidad limitada, cuyo objeto social sea exclusivamente ofrecer seguros, promover su celebración y obtener su renovación a título de intermediarios entre el asegurado y el asegurador.</w:t>
      </w:r>
    </w:p>
    <w:p w14:paraId="4066117C" w14:textId="77777777" w:rsidR="0071640F" w:rsidRPr="00F04CCC" w:rsidRDefault="0071640F" w:rsidP="0071640F">
      <w:pPr>
        <w:pStyle w:val="Textonotapie"/>
        <w:ind w:firstLine="708"/>
        <w:contextualSpacing/>
        <w:jc w:val="both"/>
        <w:rPr>
          <w:rFonts w:ascii="Verdana" w:hAnsi="Verdana"/>
          <w:sz w:val="16"/>
          <w:szCs w:val="16"/>
        </w:rPr>
      </w:pPr>
      <w:r w:rsidRPr="00F04CCC">
        <w:rPr>
          <w:rFonts w:ascii="Verdana" w:hAnsi="Verdana"/>
          <w:sz w:val="16"/>
          <w:szCs w:val="16"/>
        </w:rPr>
        <w:t>Artículo 1348. Control y vigilancia de la Superintendencia Bancaria Las sociedades que se dediquen al corretaje de seguros estarán sometidas al control y vigilancia de la Superintendencia Bancaria y deberán tener un capital mínimo y una organización técnica y contable, con sujeción a las normas que dicte al efecto la misma Superintendencia.</w:t>
      </w:r>
    </w:p>
    <w:p w14:paraId="26B99F7C" w14:textId="77777777" w:rsidR="0071640F" w:rsidRPr="00F04CCC" w:rsidRDefault="0071640F" w:rsidP="0071640F">
      <w:pPr>
        <w:pStyle w:val="Textonotapie"/>
        <w:spacing w:after="120"/>
        <w:ind w:firstLine="708"/>
        <w:contextualSpacing/>
        <w:jc w:val="both"/>
        <w:rPr>
          <w:rFonts w:ascii="Verdana" w:hAnsi="Verdana"/>
          <w:sz w:val="16"/>
          <w:szCs w:val="16"/>
        </w:rPr>
      </w:pPr>
      <w:r w:rsidRPr="00F04CCC">
        <w:rPr>
          <w:rFonts w:ascii="Verdana" w:hAnsi="Verdana"/>
          <w:sz w:val="16"/>
          <w:szCs w:val="16"/>
        </w:rPr>
        <w:t>Artículo 1349.Deber de inscribirse en la Superintendencia Bancaria La sociedad corredora de seguros deberá inscribirse en la Superintendencia Bancaria, organismo que la proveerá de un certificado que la acredite como corredor, con el cual podrá ejercer las actividades propias de su objeto social ante todos los aseguradores y el público en general”.</w:t>
      </w:r>
    </w:p>
  </w:footnote>
  <w:footnote w:id="10">
    <w:p w14:paraId="3A281EEE" w14:textId="77777777" w:rsidR="0071640F" w:rsidRPr="00F04CCC" w:rsidRDefault="0071640F" w:rsidP="0071640F">
      <w:pPr>
        <w:pStyle w:val="Textonotapie"/>
        <w:spacing w:before="120"/>
        <w:ind w:firstLine="708"/>
        <w:contextualSpacing/>
        <w:jc w:val="both"/>
        <w:rPr>
          <w:rFonts w:ascii="Verdana" w:hAnsi="Verdana"/>
          <w:sz w:val="16"/>
          <w:szCs w:val="16"/>
          <w:lang w:val="es-CO"/>
        </w:rPr>
      </w:pPr>
      <w:r w:rsidRPr="00F04CCC">
        <w:rPr>
          <w:rStyle w:val="Refdenotaalpie"/>
          <w:rFonts w:ascii="Verdana" w:hAnsi="Verdana"/>
          <w:sz w:val="16"/>
          <w:szCs w:val="16"/>
        </w:rPr>
        <w:footnoteRef/>
      </w:r>
      <w:r w:rsidRPr="00F04CCC">
        <w:rPr>
          <w:rFonts w:ascii="Verdana" w:hAnsi="Verdana"/>
          <w:sz w:val="16"/>
          <w:szCs w:val="16"/>
        </w:rPr>
        <w:t xml:space="preserve"> OSSA G., J. Efrén, Teoría General del Seguro La Institución, Editorial Temis S.A., 1998, Bogotá, pp. 446.</w:t>
      </w:r>
    </w:p>
  </w:footnote>
  <w:footnote w:id="11">
    <w:p w14:paraId="303763DB" w14:textId="77777777" w:rsidR="0071640F" w:rsidRPr="00F04CCC" w:rsidRDefault="0071640F" w:rsidP="0071640F">
      <w:pPr>
        <w:pStyle w:val="Textonotapie"/>
        <w:ind w:firstLine="709"/>
        <w:contextualSpacing/>
        <w:jc w:val="both"/>
        <w:rPr>
          <w:rFonts w:ascii="Verdana" w:hAnsi="Verdana"/>
          <w:sz w:val="16"/>
          <w:szCs w:val="16"/>
        </w:rPr>
      </w:pPr>
      <w:r w:rsidRPr="00F04CCC">
        <w:rPr>
          <w:rStyle w:val="Refdenotaalpie"/>
          <w:rFonts w:ascii="Verdana" w:hAnsi="Verdana"/>
          <w:sz w:val="16"/>
          <w:szCs w:val="16"/>
        </w:rPr>
        <w:footnoteRef/>
      </w:r>
      <w:r w:rsidRPr="00F04CCC">
        <w:rPr>
          <w:rFonts w:ascii="Verdana" w:hAnsi="Verdana"/>
          <w:sz w:val="16"/>
          <w:szCs w:val="16"/>
        </w:rPr>
        <w:t xml:space="preserve"> Decreto ley 663 de 1993: «Artículo 5.- ENTIDADES ASEGURADORAS E INTERMEDIARIOS.</w:t>
      </w:r>
    </w:p>
    <w:p w14:paraId="57FEA8C4" w14:textId="77777777" w:rsidR="0071640F" w:rsidRPr="00F04CCC" w:rsidRDefault="0071640F" w:rsidP="0071640F">
      <w:pPr>
        <w:pStyle w:val="Textonotapie"/>
        <w:ind w:firstLine="709"/>
        <w:contextualSpacing/>
        <w:jc w:val="both"/>
        <w:rPr>
          <w:rFonts w:ascii="Verdana" w:hAnsi="Verdana"/>
          <w:sz w:val="16"/>
          <w:szCs w:val="16"/>
        </w:rPr>
      </w:pPr>
      <w:r w:rsidRPr="00F04CCC">
        <w:rPr>
          <w:rFonts w:ascii="Verdana" w:hAnsi="Verdana"/>
          <w:sz w:val="16"/>
          <w:szCs w:val="16"/>
        </w:rPr>
        <w:t>1. Entidades aseguradoras. Son entidades aseguradoras las compañías y cooperativas de seguros y las de reaseguros.</w:t>
      </w:r>
    </w:p>
    <w:p w14:paraId="5F9D49BB" w14:textId="77777777" w:rsidR="0071640F" w:rsidRPr="00F04CCC" w:rsidRDefault="0071640F" w:rsidP="0071640F">
      <w:pPr>
        <w:pStyle w:val="Textonotapie"/>
        <w:ind w:firstLine="709"/>
        <w:contextualSpacing/>
        <w:jc w:val="both"/>
        <w:rPr>
          <w:rFonts w:ascii="Verdana" w:hAnsi="Verdana"/>
          <w:sz w:val="16"/>
          <w:szCs w:val="16"/>
        </w:rPr>
      </w:pPr>
      <w:r w:rsidRPr="00F04CCC">
        <w:rPr>
          <w:rFonts w:ascii="Verdana" w:hAnsi="Verdana"/>
          <w:sz w:val="16"/>
          <w:szCs w:val="16"/>
        </w:rPr>
        <w:t>2. Intermediarios de seguros. Son intermediarios de seguros los corredores, las agencias y los agentes, cuya función consiste en la realización de las actividades contempladas en el presente Estatuto.</w:t>
      </w:r>
    </w:p>
    <w:p w14:paraId="302285AB" w14:textId="77777777" w:rsidR="0071640F" w:rsidRPr="00F04CCC" w:rsidRDefault="0071640F" w:rsidP="0071640F">
      <w:pPr>
        <w:pStyle w:val="Textonotapie"/>
        <w:ind w:firstLine="709"/>
        <w:contextualSpacing/>
        <w:jc w:val="both"/>
        <w:rPr>
          <w:rFonts w:ascii="Verdana" w:hAnsi="Verdana"/>
          <w:sz w:val="16"/>
          <w:szCs w:val="16"/>
        </w:rPr>
      </w:pPr>
      <w:r w:rsidRPr="00F04CCC">
        <w:rPr>
          <w:rFonts w:ascii="Verdana" w:hAnsi="Verdana"/>
          <w:sz w:val="16"/>
          <w:szCs w:val="16"/>
        </w:rPr>
        <w:t>3. Intermediarios de reaseguros. Son intermediarios de reaseguros los corredores de reaseguros</w:t>
      </w:r>
    </w:p>
    <w:p w14:paraId="376EB8D4" w14:textId="77777777" w:rsidR="0071640F" w:rsidRPr="00F04CCC" w:rsidRDefault="0071640F" w:rsidP="0071640F">
      <w:pPr>
        <w:pStyle w:val="Textonotapie"/>
        <w:ind w:firstLine="709"/>
        <w:contextualSpacing/>
        <w:jc w:val="both"/>
        <w:rPr>
          <w:rFonts w:ascii="Verdana" w:hAnsi="Verdana"/>
          <w:sz w:val="16"/>
          <w:szCs w:val="16"/>
        </w:rPr>
      </w:pPr>
      <w:r w:rsidRPr="00F04CCC">
        <w:rPr>
          <w:rFonts w:ascii="Verdana" w:hAnsi="Verdana"/>
          <w:sz w:val="16"/>
          <w:szCs w:val="16"/>
        </w:rPr>
        <w:t>[…]</w:t>
      </w:r>
    </w:p>
    <w:p w14:paraId="2DB57056" w14:textId="77777777" w:rsidR="0071640F" w:rsidRPr="00F04CCC" w:rsidRDefault="0071640F" w:rsidP="0071640F">
      <w:pPr>
        <w:pStyle w:val="Textonotapie"/>
        <w:ind w:firstLine="709"/>
        <w:contextualSpacing/>
        <w:jc w:val="both"/>
        <w:rPr>
          <w:rFonts w:ascii="Verdana" w:hAnsi="Verdana"/>
          <w:sz w:val="16"/>
          <w:szCs w:val="16"/>
        </w:rPr>
      </w:pPr>
      <w:r w:rsidRPr="00F04CCC">
        <w:rPr>
          <w:rFonts w:ascii="Verdana" w:hAnsi="Verdana"/>
          <w:sz w:val="16"/>
          <w:szCs w:val="16"/>
        </w:rPr>
        <w:t xml:space="preserve">Artículo 40.- Sociedades corredoras de seguros </w:t>
      </w:r>
    </w:p>
    <w:p w14:paraId="24A36C7C" w14:textId="77777777" w:rsidR="0071640F" w:rsidRPr="00F04CCC" w:rsidRDefault="0071640F" w:rsidP="0071640F">
      <w:pPr>
        <w:pStyle w:val="Textonotapie"/>
        <w:ind w:firstLine="709"/>
        <w:contextualSpacing/>
        <w:jc w:val="both"/>
        <w:rPr>
          <w:rFonts w:ascii="Verdana" w:hAnsi="Verdana"/>
          <w:sz w:val="16"/>
          <w:szCs w:val="16"/>
        </w:rPr>
      </w:pPr>
      <w:r w:rsidRPr="00F04CCC">
        <w:rPr>
          <w:rFonts w:ascii="Verdana" w:hAnsi="Verdana"/>
          <w:sz w:val="16"/>
          <w:szCs w:val="16"/>
        </w:rPr>
        <w:t xml:space="preserve">1. Definición. De acuerdo con el artículo 1347 del Código de Comercio, son corredores de seguros las empresas constituidas o que se constituyan como sociedades comerciales, colectivas o de responsabilidad limitada, cuyo objeto social sea exclusivamente ofrecer seguros, promover su celebración y obtener su renovación a título de intermediarios entre el asegurado y el asegurador. </w:t>
      </w:r>
    </w:p>
    <w:p w14:paraId="2C859156" w14:textId="77777777" w:rsidR="0071640F" w:rsidRPr="00F04CCC" w:rsidRDefault="0071640F" w:rsidP="0071640F">
      <w:pPr>
        <w:pStyle w:val="Textonotapie"/>
        <w:ind w:firstLine="709"/>
        <w:contextualSpacing/>
        <w:jc w:val="both"/>
        <w:rPr>
          <w:rFonts w:ascii="Verdana" w:hAnsi="Verdana"/>
          <w:sz w:val="16"/>
          <w:szCs w:val="16"/>
        </w:rPr>
      </w:pPr>
      <w:r w:rsidRPr="00F04CCC">
        <w:rPr>
          <w:rFonts w:ascii="Verdana" w:hAnsi="Verdana"/>
          <w:sz w:val="16"/>
          <w:szCs w:val="16"/>
        </w:rPr>
        <w:t>2. Control y vigilancia. De acuerdo con el artículo 1348 del Código de Comercio, las sociedades que se dediquen al corretaje de seguros estarán sometidas al control y vigilancia de la Superintendencia Bancaria, y deberán tener un capital mínimo</w:t>
      </w:r>
    </w:p>
    <w:p w14:paraId="1B25643D" w14:textId="77777777" w:rsidR="0071640F" w:rsidRPr="00F04CCC" w:rsidRDefault="0071640F" w:rsidP="0071640F">
      <w:pPr>
        <w:pStyle w:val="Textonotapie"/>
        <w:ind w:firstLine="709"/>
        <w:contextualSpacing/>
        <w:jc w:val="both"/>
        <w:rPr>
          <w:rFonts w:ascii="Verdana" w:hAnsi="Verdana"/>
          <w:sz w:val="16"/>
          <w:szCs w:val="16"/>
        </w:rPr>
      </w:pPr>
      <w:r w:rsidRPr="00F04CCC">
        <w:rPr>
          <w:rFonts w:ascii="Verdana" w:hAnsi="Verdana"/>
          <w:sz w:val="16"/>
          <w:szCs w:val="16"/>
        </w:rPr>
        <w:t xml:space="preserve">y una organización técnica y contable, con sujeción a las normas que dicte al efecto la misma Superintendencia. </w:t>
      </w:r>
    </w:p>
    <w:p w14:paraId="04834364" w14:textId="77777777" w:rsidR="0071640F" w:rsidRPr="00F04CCC" w:rsidRDefault="0071640F" w:rsidP="0071640F">
      <w:pPr>
        <w:pStyle w:val="Textonotapie"/>
        <w:ind w:firstLine="709"/>
        <w:contextualSpacing/>
        <w:jc w:val="both"/>
        <w:rPr>
          <w:rFonts w:ascii="Verdana" w:hAnsi="Verdana"/>
          <w:sz w:val="16"/>
          <w:szCs w:val="16"/>
        </w:rPr>
      </w:pPr>
      <w:r w:rsidRPr="00F04CCC">
        <w:rPr>
          <w:rFonts w:ascii="Verdana" w:hAnsi="Verdana"/>
          <w:sz w:val="16"/>
          <w:szCs w:val="16"/>
        </w:rPr>
        <w:t>3. Condiciones para el ejercicio. De acuerdo con el artículo 1351 del Código de Comercio, sólo podrán usar el título de corredores de seguros y ejercer esta profesión las sociedades debidamente inscritas en la Superintendencia Bancaria, que tengan vigente el certificado expedido por dicho organismo”.</w:t>
      </w:r>
    </w:p>
    <w:p w14:paraId="3ABD14E4" w14:textId="77777777" w:rsidR="0071640F" w:rsidRPr="00F04CCC" w:rsidRDefault="0071640F" w:rsidP="0071640F">
      <w:pPr>
        <w:pStyle w:val="Textonotapie"/>
        <w:ind w:firstLine="709"/>
        <w:contextualSpacing/>
        <w:jc w:val="both"/>
        <w:rPr>
          <w:rFonts w:ascii="Verdana" w:hAnsi="Verdana"/>
          <w:sz w:val="16"/>
          <w:szCs w:val="16"/>
        </w:rPr>
      </w:pPr>
    </w:p>
  </w:footnote>
  <w:footnote w:id="12">
    <w:p w14:paraId="02D74633" w14:textId="77777777" w:rsidR="0071640F" w:rsidRPr="00F04CCC" w:rsidRDefault="0071640F" w:rsidP="0071640F">
      <w:pPr>
        <w:pStyle w:val="Textonotapie"/>
        <w:ind w:firstLine="708"/>
        <w:contextualSpacing/>
        <w:jc w:val="both"/>
        <w:rPr>
          <w:rFonts w:ascii="Verdana" w:hAnsi="Verdana"/>
          <w:sz w:val="16"/>
          <w:szCs w:val="16"/>
        </w:rPr>
      </w:pPr>
      <w:r w:rsidRPr="00F04CCC">
        <w:rPr>
          <w:rStyle w:val="Refdenotaalpie"/>
          <w:rFonts w:ascii="Verdana" w:hAnsi="Verdana"/>
          <w:sz w:val="16"/>
          <w:szCs w:val="16"/>
        </w:rPr>
        <w:footnoteRef/>
      </w:r>
      <w:r w:rsidRPr="00F04CCC">
        <w:rPr>
          <w:rFonts w:ascii="Verdana" w:hAnsi="Verdana"/>
          <w:sz w:val="16"/>
          <w:szCs w:val="16"/>
        </w:rPr>
        <w:t xml:space="preserve"> “Artículo 1039. SEGURO POR CUENTA DE UN TERCERO Y OBLIGACIONES DE LAS PARTES. El seguro puede ser contratado por cuenta de un tercero determinado o determinable. En tal caso, al tomador incumben las obligaciones y al tercero corresponde el derecho a la prestación asegurada. </w:t>
      </w:r>
    </w:p>
    <w:p w14:paraId="17ACBE10" w14:textId="77777777" w:rsidR="0071640F" w:rsidRPr="00F04CCC" w:rsidRDefault="0071640F" w:rsidP="0071640F">
      <w:pPr>
        <w:pStyle w:val="Textonotapie"/>
        <w:ind w:firstLine="709"/>
        <w:contextualSpacing/>
        <w:jc w:val="both"/>
        <w:rPr>
          <w:rFonts w:ascii="Verdana" w:hAnsi="Verdana"/>
          <w:sz w:val="16"/>
          <w:szCs w:val="16"/>
        </w:rPr>
      </w:pPr>
      <w:r w:rsidRPr="00F04CCC">
        <w:rPr>
          <w:rFonts w:ascii="Verdana" w:hAnsi="Verdana"/>
          <w:sz w:val="16"/>
          <w:szCs w:val="16"/>
        </w:rPr>
        <w:t>No obstante, al asegurado corresponden aquellas obligaciones que no puedan ser cumplidas más que por él mismo”.</w:t>
      </w:r>
    </w:p>
  </w:footnote>
  <w:footnote w:id="13">
    <w:p w14:paraId="590433BF" w14:textId="77777777" w:rsidR="0071640F" w:rsidRPr="00F04CCC" w:rsidRDefault="0071640F" w:rsidP="0071640F">
      <w:pPr>
        <w:pStyle w:val="Textonotapie"/>
        <w:ind w:firstLine="708"/>
        <w:contextualSpacing/>
        <w:jc w:val="both"/>
        <w:rPr>
          <w:rFonts w:ascii="Verdana" w:hAnsi="Verdana"/>
          <w:sz w:val="16"/>
          <w:szCs w:val="16"/>
        </w:rPr>
      </w:pPr>
      <w:r w:rsidRPr="00F04CCC">
        <w:rPr>
          <w:rStyle w:val="Refdenotaalpie"/>
          <w:rFonts w:ascii="Verdana" w:hAnsi="Verdana"/>
          <w:sz w:val="16"/>
          <w:szCs w:val="16"/>
        </w:rPr>
        <w:footnoteRef/>
      </w:r>
      <w:r w:rsidRPr="00F04CCC">
        <w:rPr>
          <w:rFonts w:ascii="Verdana" w:hAnsi="Verdana"/>
          <w:sz w:val="16"/>
          <w:szCs w:val="16"/>
        </w:rPr>
        <w:t xml:space="preserve">  Corte Constitucional. Sentencia C-479 del 7 de julio de 1999. M.P. Vladimiro Naranjo Mesa.</w:t>
      </w:r>
    </w:p>
    <w:p w14:paraId="1141FF41" w14:textId="77777777" w:rsidR="0071640F" w:rsidRPr="00F04CCC" w:rsidRDefault="0071640F" w:rsidP="0071640F">
      <w:pPr>
        <w:pStyle w:val="Textonotapie"/>
        <w:ind w:firstLine="708"/>
        <w:contextualSpacing/>
        <w:jc w:val="both"/>
        <w:rPr>
          <w:rFonts w:ascii="Verdana" w:hAnsi="Verdana"/>
          <w:sz w:val="16"/>
          <w:szCs w:val="16"/>
          <w:lang w:val="es-CO"/>
        </w:rPr>
      </w:pPr>
    </w:p>
  </w:footnote>
  <w:footnote w:id="14">
    <w:p w14:paraId="2BEA246D" w14:textId="77777777" w:rsidR="0071640F" w:rsidRPr="00F04CCC" w:rsidRDefault="0071640F" w:rsidP="0071640F">
      <w:pPr>
        <w:pStyle w:val="Textonotapie"/>
        <w:ind w:firstLine="708"/>
        <w:contextualSpacing/>
        <w:jc w:val="both"/>
        <w:rPr>
          <w:rFonts w:ascii="Verdana" w:hAnsi="Verdana"/>
          <w:sz w:val="16"/>
          <w:szCs w:val="16"/>
        </w:rPr>
      </w:pPr>
      <w:r w:rsidRPr="00F04CCC">
        <w:rPr>
          <w:rStyle w:val="Refdenotaalpie"/>
          <w:rFonts w:ascii="Verdana" w:hAnsi="Verdana"/>
          <w:sz w:val="16"/>
          <w:szCs w:val="16"/>
        </w:rPr>
        <w:footnoteRef/>
      </w:r>
      <w:r w:rsidRPr="00F04CCC">
        <w:rPr>
          <w:rFonts w:ascii="Verdana" w:hAnsi="Verdana"/>
          <w:sz w:val="16"/>
          <w:szCs w:val="16"/>
        </w:rPr>
        <w:t xml:space="preserve"> Consejo de Estado. Sala de lo Contencioso Administrativo. Sección Tercera. Sentencia del 22 de marzo de 2001. Exp. No. 9840. C.P. Alier Eduardo Hernández Enríquez.</w:t>
      </w:r>
    </w:p>
    <w:p w14:paraId="50842BD5" w14:textId="77777777" w:rsidR="0071640F" w:rsidRPr="00F04CCC" w:rsidRDefault="0071640F" w:rsidP="0071640F">
      <w:pPr>
        <w:pStyle w:val="Textonotapie"/>
        <w:ind w:firstLine="708"/>
        <w:contextualSpacing/>
        <w:jc w:val="both"/>
        <w:rPr>
          <w:rFonts w:ascii="Verdana" w:hAnsi="Verdana"/>
          <w:sz w:val="16"/>
          <w:szCs w:val="16"/>
          <w:lang w:val="es-CO"/>
        </w:rPr>
      </w:pPr>
    </w:p>
  </w:footnote>
  <w:footnote w:id="15">
    <w:p w14:paraId="79927A18" w14:textId="77777777" w:rsidR="0071640F" w:rsidRPr="00F04CCC" w:rsidRDefault="0071640F" w:rsidP="0071640F">
      <w:pPr>
        <w:pStyle w:val="Textonotapie"/>
        <w:ind w:firstLine="708"/>
        <w:contextualSpacing/>
        <w:jc w:val="both"/>
        <w:rPr>
          <w:rFonts w:ascii="Verdana" w:hAnsi="Verdana"/>
          <w:sz w:val="16"/>
          <w:szCs w:val="16"/>
        </w:rPr>
      </w:pPr>
      <w:r w:rsidRPr="00F04CCC">
        <w:rPr>
          <w:rStyle w:val="Refdenotaalpie"/>
          <w:rFonts w:ascii="Verdana" w:hAnsi="Verdana"/>
          <w:sz w:val="16"/>
          <w:szCs w:val="16"/>
        </w:rPr>
        <w:footnoteRef/>
      </w:r>
      <w:r w:rsidRPr="00F04CCC">
        <w:rPr>
          <w:rFonts w:ascii="Verdana" w:hAnsi="Verdana"/>
          <w:sz w:val="16"/>
          <w:szCs w:val="16"/>
        </w:rPr>
        <w:t xml:space="preserve"> Corte Suprema De Justica. Sala de Casación Civil. Sentencia del 8 de agosto de 2000, Exp. No 5383, M.P. José Fernando Ramírez Gómez.</w:t>
      </w:r>
    </w:p>
  </w:footnote>
  <w:footnote w:id="16">
    <w:p w14:paraId="0362E442" w14:textId="77777777" w:rsidR="0071640F" w:rsidRPr="00F04CCC" w:rsidRDefault="0071640F" w:rsidP="0071640F">
      <w:pPr>
        <w:pStyle w:val="Textonotapie"/>
        <w:ind w:firstLine="708"/>
        <w:contextualSpacing/>
        <w:jc w:val="both"/>
        <w:rPr>
          <w:rFonts w:ascii="Verdana" w:hAnsi="Verdana"/>
          <w:sz w:val="16"/>
          <w:szCs w:val="16"/>
        </w:rPr>
      </w:pPr>
      <w:r w:rsidRPr="00F04CCC">
        <w:rPr>
          <w:rStyle w:val="Refdenotaalpie"/>
          <w:rFonts w:ascii="Verdana" w:hAnsi="Verdana"/>
          <w:sz w:val="16"/>
          <w:szCs w:val="16"/>
        </w:rPr>
        <w:footnoteRef/>
      </w:r>
      <w:r w:rsidRPr="00F04CCC">
        <w:rPr>
          <w:rFonts w:ascii="Verdana" w:hAnsi="Verdana"/>
          <w:sz w:val="16"/>
          <w:szCs w:val="16"/>
        </w:rPr>
        <w:t xml:space="preserve"> ARIZA VESGA, Rafael A. Reflexiones sobre la naturaleza jurídica del intermediario de seguros en Colombia, en Revista Ibero-Latinoamericana de Seguros, Vol 17, No 29, julio-diciembre de 2008, Pontificia Universidad Javeriana, pp. 95-126.</w:t>
      </w:r>
    </w:p>
  </w:footnote>
  <w:footnote w:id="17">
    <w:p w14:paraId="03DB5D12" w14:textId="77777777" w:rsidR="0071640F" w:rsidRPr="00F04CCC" w:rsidRDefault="0071640F" w:rsidP="0071640F">
      <w:pPr>
        <w:pStyle w:val="Textonotapie"/>
        <w:spacing w:after="120"/>
        <w:ind w:firstLine="708"/>
        <w:jc w:val="both"/>
        <w:rPr>
          <w:rFonts w:ascii="Verdana" w:hAnsi="Verdana" w:cs="Arial"/>
          <w:sz w:val="16"/>
          <w:szCs w:val="16"/>
        </w:rPr>
      </w:pPr>
      <w:r w:rsidRPr="00F04CCC">
        <w:rPr>
          <w:rStyle w:val="Refdenotaalpie"/>
          <w:rFonts w:ascii="Verdana" w:hAnsi="Verdana" w:cs="Arial"/>
          <w:sz w:val="16"/>
          <w:szCs w:val="16"/>
        </w:rPr>
        <w:footnoteRef/>
      </w:r>
      <w:r w:rsidRPr="00F04CCC">
        <w:rPr>
          <w:rFonts w:ascii="Verdana" w:hAnsi="Verdana" w:cs="Arial"/>
          <w:sz w:val="16"/>
          <w:szCs w:val="16"/>
        </w:rPr>
        <w:t xml:space="preserve"> Ídem. </w:t>
      </w:r>
    </w:p>
  </w:footnote>
  <w:footnote w:id="18">
    <w:p w14:paraId="118E2BA5" w14:textId="77777777" w:rsidR="0071640F" w:rsidRPr="00F04CCC" w:rsidRDefault="0071640F" w:rsidP="0071640F">
      <w:pPr>
        <w:pStyle w:val="Textonotapie"/>
        <w:ind w:firstLine="709"/>
        <w:jc w:val="both"/>
        <w:rPr>
          <w:rFonts w:ascii="Verdana" w:hAnsi="Verdana" w:cs="Arial"/>
          <w:sz w:val="16"/>
          <w:szCs w:val="16"/>
        </w:rPr>
      </w:pPr>
      <w:r w:rsidRPr="00F04CCC">
        <w:rPr>
          <w:rStyle w:val="Refdenotaalpie"/>
          <w:rFonts w:ascii="Verdana" w:hAnsi="Verdana" w:cs="Arial"/>
          <w:sz w:val="16"/>
          <w:szCs w:val="16"/>
        </w:rPr>
        <w:footnoteRef/>
      </w:r>
      <w:r w:rsidRPr="00F04CCC">
        <w:rPr>
          <w:rFonts w:ascii="Verdana" w:hAnsi="Verdana" w:cs="Arial"/>
          <w:sz w:val="16"/>
          <w:szCs w:val="16"/>
        </w:rPr>
        <w:t xml:space="preserve"> Código Civil: “Articulo 1551. Definición de plazo. El plazo es la época que se fija para el cumplimiento de la obligación; puede ser expreso o tácito. Es tácito, el indispensable para cumplirlo.</w:t>
      </w:r>
    </w:p>
    <w:p w14:paraId="162D23F3" w14:textId="77777777" w:rsidR="0071640F" w:rsidRPr="00F04CCC" w:rsidRDefault="0071640F" w:rsidP="0071640F">
      <w:pPr>
        <w:pStyle w:val="Textonotapie"/>
        <w:ind w:firstLine="709"/>
        <w:jc w:val="both"/>
        <w:rPr>
          <w:rFonts w:ascii="Verdana" w:hAnsi="Verdana" w:cs="Arial"/>
          <w:sz w:val="16"/>
          <w:szCs w:val="16"/>
        </w:rPr>
      </w:pPr>
      <w:r w:rsidRPr="00F04CCC">
        <w:rPr>
          <w:rFonts w:ascii="Verdana" w:hAnsi="Verdana" w:cs="Arial"/>
          <w:sz w:val="16"/>
          <w:szCs w:val="16"/>
        </w:rPr>
        <w:t>“No podrá el juez, sino en casos especiales que las leyes designe, señalar plazo para el cumplimiento de una obligación; solo podrá interpretar el concebido en términos vagos u oscuros, sobre cuya inteligencia y aplicación discuerden las partes”.</w:t>
      </w:r>
    </w:p>
  </w:footnote>
  <w:footnote w:id="19">
    <w:p w14:paraId="5CC8CDEF" w14:textId="77777777" w:rsidR="0071640F" w:rsidRPr="00F04CCC" w:rsidRDefault="0071640F" w:rsidP="0071640F">
      <w:pPr>
        <w:pStyle w:val="Textonotapie"/>
        <w:spacing w:after="120"/>
        <w:ind w:firstLine="709"/>
        <w:jc w:val="both"/>
        <w:rPr>
          <w:rFonts w:ascii="Verdana" w:hAnsi="Verdana" w:cs="Arial"/>
          <w:sz w:val="16"/>
          <w:szCs w:val="16"/>
        </w:rPr>
      </w:pPr>
      <w:r w:rsidRPr="00F04CCC">
        <w:rPr>
          <w:rStyle w:val="Refdenotaalpie"/>
          <w:rFonts w:ascii="Verdana" w:hAnsi="Verdana" w:cs="Arial"/>
          <w:sz w:val="16"/>
          <w:szCs w:val="16"/>
        </w:rPr>
        <w:footnoteRef/>
      </w:r>
      <w:r w:rsidRPr="00F04CCC">
        <w:rPr>
          <w:rFonts w:ascii="Verdana" w:hAnsi="Verdana" w:cs="Arial"/>
          <w:sz w:val="16"/>
          <w:szCs w:val="16"/>
        </w:rPr>
        <w:t xml:space="preserve"> OSPINA FERNÁNDEZ, Guillermo. Régimen General de las Obligaciones. Editorial Temis S.A., reimpresión de la octava edición, Bogotá, 2008. p. 218 y 219.</w:t>
      </w:r>
    </w:p>
  </w:footnote>
  <w:footnote w:id="20">
    <w:p w14:paraId="1E912D8E" w14:textId="77777777" w:rsidR="0071640F" w:rsidRPr="00F04CCC" w:rsidRDefault="0071640F" w:rsidP="0071640F">
      <w:pPr>
        <w:pStyle w:val="Textonotapie"/>
        <w:spacing w:after="120"/>
        <w:ind w:firstLine="708"/>
        <w:jc w:val="both"/>
        <w:rPr>
          <w:rFonts w:ascii="Verdana" w:hAnsi="Verdana" w:cs="Arial"/>
          <w:sz w:val="16"/>
          <w:szCs w:val="16"/>
        </w:rPr>
      </w:pPr>
      <w:r w:rsidRPr="00F04CCC">
        <w:rPr>
          <w:rStyle w:val="Refdenotaalpie"/>
          <w:rFonts w:ascii="Verdana" w:hAnsi="Verdana" w:cs="Arial"/>
          <w:sz w:val="16"/>
          <w:szCs w:val="16"/>
        </w:rPr>
        <w:footnoteRef/>
      </w:r>
      <w:r w:rsidRPr="00F04CCC">
        <w:rPr>
          <w:rFonts w:ascii="Verdana" w:hAnsi="Verdana" w:cs="Arial"/>
          <w:sz w:val="16"/>
          <w:szCs w:val="16"/>
        </w:rPr>
        <w:t xml:space="preserve"> FUEYO LANERI, Fernando. Derecho civil: de las obligaciones. Tomo IV. Volumen I. Santiago de Chile: Roberts y Cía. Ltda., 1958. p. 152.</w:t>
      </w:r>
    </w:p>
  </w:footnote>
  <w:footnote w:id="21">
    <w:p w14:paraId="428D715C" w14:textId="77777777" w:rsidR="0071640F" w:rsidRPr="00F04CCC" w:rsidRDefault="0071640F" w:rsidP="0071640F">
      <w:pPr>
        <w:pStyle w:val="Textonotapie"/>
        <w:spacing w:after="120"/>
        <w:ind w:firstLine="708"/>
        <w:jc w:val="both"/>
        <w:rPr>
          <w:rFonts w:ascii="Verdana" w:hAnsi="Verdana" w:cs="Arial"/>
          <w:sz w:val="16"/>
          <w:szCs w:val="16"/>
        </w:rPr>
      </w:pPr>
      <w:r w:rsidRPr="00F04CCC">
        <w:rPr>
          <w:rStyle w:val="Refdenotaalpie"/>
          <w:rFonts w:ascii="Verdana" w:hAnsi="Verdana" w:cs="Arial"/>
          <w:sz w:val="16"/>
          <w:szCs w:val="16"/>
        </w:rPr>
        <w:footnoteRef/>
      </w:r>
      <w:r w:rsidRPr="00F04CCC">
        <w:rPr>
          <w:rFonts w:ascii="Verdana" w:hAnsi="Verdana" w:cs="Arial"/>
          <w:sz w:val="16"/>
          <w:szCs w:val="16"/>
        </w:rPr>
        <w:t xml:space="preserve"> La doctrina explica lo siguiente: “Cuando se da un plazo para que se extinga un derecho, es claro que la obligación nace pura y simple frente al acreedor, pero al llegar el plazo se le extingue su derecho, que es el que en verdad está modalizado. Así, si alguien se obliga a entregar en arrendamiento un animal hasta el día treinta de cierto mes, su obligación es pura y simple. La fecha estará determinando la extinción del derecho del arrendatario. Pero, igualmente, el plazo extintivo, correlativamente, extingue la obligación, que para el caso es la que contrajo el arrendador de entregar la cosa y permitir el goce por parte del arrendatario. Y así como se extingue el derecho el derecho al goce del arrendatario y la obligación del arrendador de concederlo, también se extingue la obligación de pagar y derecho del arrendador a cobrar. Tomo ello como consecuencia de la extinción del contrato (art. 2008-2), lo que indica que el plazo extintivo es también una causal de extinción de los contratos […]” (VELÁSQUEZ GOMÉZ, Hernán Darío. Estudio sobre las obligaciones. Bogotá: Temis, 2010. p. 137).    </w:t>
      </w:r>
    </w:p>
  </w:footnote>
  <w:footnote w:id="22">
    <w:p w14:paraId="4742A8EB" w14:textId="77777777" w:rsidR="0071640F" w:rsidRPr="00F04CCC" w:rsidRDefault="0071640F" w:rsidP="0071640F">
      <w:pPr>
        <w:pStyle w:val="Textonotapie"/>
        <w:spacing w:after="120"/>
        <w:ind w:firstLine="709"/>
        <w:jc w:val="both"/>
        <w:rPr>
          <w:rFonts w:ascii="Verdana" w:hAnsi="Verdana" w:cs="Arial"/>
          <w:sz w:val="16"/>
          <w:szCs w:val="16"/>
        </w:rPr>
      </w:pPr>
      <w:r w:rsidRPr="00F04CCC">
        <w:rPr>
          <w:rStyle w:val="Refdenotaalpie"/>
          <w:rFonts w:ascii="Verdana" w:hAnsi="Verdana" w:cs="Arial"/>
          <w:sz w:val="16"/>
          <w:szCs w:val="16"/>
        </w:rPr>
        <w:footnoteRef/>
      </w:r>
      <w:r w:rsidRPr="00F04CCC">
        <w:rPr>
          <w:rFonts w:ascii="Verdana" w:hAnsi="Verdana" w:cs="Arial"/>
          <w:sz w:val="16"/>
          <w:szCs w:val="16"/>
        </w:rPr>
        <w:t xml:space="preserve"> CONSEJO DE ESTADO. Sección Tercera. Subsección C. Sentencia del 13 de febrero de 2015. Exp. 26.938 C.P. Olga Mélida Valle De De la Hoz (E).</w:t>
      </w:r>
    </w:p>
  </w:footnote>
  <w:footnote w:id="23">
    <w:p w14:paraId="635718AF" w14:textId="77777777" w:rsidR="0071640F" w:rsidRPr="00F04CCC" w:rsidRDefault="0071640F" w:rsidP="0071640F">
      <w:pPr>
        <w:pStyle w:val="Textonotapie"/>
        <w:ind w:firstLine="708"/>
        <w:jc w:val="both"/>
        <w:rPr>
          <w:rFonts w:ascii="Verdana" w:hAnsi="Verdana" w:cs="Arial"/>
          <w:sz w:val="16"/>
          <w:szCs w:val="16"/>
        </w:rPr>
      </w:pPr>
      <w:r w:rsidRPr="00F04CCC">
        <w:rPr>
          <w:rStyle w:val="Refdenotaalpie"/>
          <w:rFonts w:ascii="Verdana" w:hAnsi="Verdana" w:cs="Arial"/>
          <w:sz w:val="16"/>
          <w:szCs w:val="16"/>
        </w:rPr>
        <w:footnoteRef/>
      </w:r>
      <w:r w:rsidRPr="00F04CCC">
        <w:rPr>
          <w:rFonts w:ascii="Verdana" w:hAnsi="Verdana" w:cs="Arial"/>
          <w:sz w:val="16"/>
          <w:szCs w:val="16"/>
        </w:rPr>
        <w:t xml:space="preserve"> Ley 80 de 1993: “Artículo 13. De la normatividad aplicable a los contratos estatales. Los contratos que celebren las entidades a que se refiere el artículo 2o. del presente estatuto se regirán por las disposiciones comerciales y civiles pertinentes, salvo en las materias particularmente reguladas en esta ley”.</w:t>
      </w:r>
    </w:p>
    <w:p w14:paraId="1F5ADF32" w14:textId="77777777" w:rsidR="0071640F" w:rsidRPr="00F04CCC" w:rsidRDefault="0071640F" w:rsidP="0071640F">
      <w:pPr>
        <w:pStyle w:val="Textonotapie"/>
        <w:ind w:firstLine="708"/>
        <w:jc w:val="both"/>
        <w:rPr>
          <w:rFonts w:ascii="Verdana" w:hAnsi="Verdana" w:cs="Arial"/>
          <w:sz w:val="16"/>
          <w:szCs w:val="16"/>
          <w:lang w:val="es-CO"/>
        </w:rPr>
      </w:pPr>
    </w:p>
  </w:footnote>
  <w:footnote w:id="24">
    <w:p w14:paraId="7C315109" w14:textId="77777777" w:rsidR="0071640F" w:rsidRPr="00F04CCC" w:rsidRDefault="0071640F" w:rsidP="0071640F">
      <w:pPr>
        <w:pStyle w:val="Textonotapie"/>
        <w:spacing w:after="120"/>
        <w:ind w:firstLine="708"/>
        <w:jc w:val="both"/>
        <w:rPr>
          <w:rFonts w:ascii="Verdana" w:hAnsi="Verdana" w:cs="Arial"/>
          <w:sz w:val="16"/>
          <w:szCs w:val="16"/>
        </w:rPr>
      </w:pPr>
      <w:r w:rsidRPr="00F04CCC">
        <w:rPr>
          <w:rStyle w:val="Refdenotaalpie"/>
          <w:rFonts w:ascii="Verdana" w:hAnsi="Verdana" w:cs="Arial"/>
          <w:sz w:val="16"/>
          <w:szCs w:val="16"/>
        </w:rPr>
        <w:footnoteRef/>
      </w:r>
      <w:r w:rsidRPr="00F04CCC">
        <w:rPr>
          <w:rFonts w:ascii="Verdana" w:hAnsi="Verdana" w:cs="Arial"/>
          <w:sz w:val="16"/>
          <w:szCs w:val="16"/>
        </w:rPr>
        <w:t xml:space="preserve"> Al respecto, la doctrina explica que “El constructor se ha obligado a construir la obra, y no solo a poner los medios necesarios para ello, porque ha asumido una obligación de resultado. Su culminación es la entrega de la obra terminada o de lo que la obra produce, al comitente. </w:t>
      </w:r>
      <w:r w:rsidRPr="00F04CCC">
        <w:rPr>
          <w:rFonts w:ascii="Verdana" w:hAnsi="Verdana" w:cs="Arial"/>
          <w:i/>
          <w:iCs/>
          <w:sz w:val="16"/>
          <w:szCs w:val="16"/>
        </w:rPr>
        <w:t>En tanto acto material, la entrega es simultáneamente el medio por el por el que se da cumplimiento a la obligación principal del constructor y se satisface el derecho principal del comitente</w:t>
      </w:r>
      <w:r w:rsidRPr="00F04CCC">
        <w:rPr>
          <w:rFonts w:ascii="Verdana" w:hAnsi="Verdana" w:cs="Arial"/>
          <w:sz w:val="16"/>
          <w:szCs w:val="16"/>
        </w:rPr>
        <w:t xml:space="preserve">. La recepción es, consecuentemente, un derecho del constructor y una obligación del comitente, aunque sea obvio destacarlo” (PODETTI, Humberto. El contrato de construcción. Buenos Aires: Editorial Astrea, 2004. p. 435, cursivas fuera de texto).    </w:t>
      </w:r>
    </w:p>
  </w:footnote>
  <w:footnote w:id="25">
    <w:p w14:paraId="0AFEB83D" w14:textId="77777777" w:rsidR="0071640F" w:rsidRPr="00F04CCC" w:rsidRDefault="0071640F" w:rsidP="0071640F">
      <w:pPr>
        <w:pStyle w:val="Textonotapie"/>
        <w:spacing w:after="120"/>
        <w:ind w:firstLine="708"/>
        <w:jc w:val="both"/>
        <w:rPr>
          <w:rFonts w:ascii="Verdana" w:hAnsi="Verdana" w:cs="Arial"/>
          <w:sz w:val="16"/>
          <w:szCs w:val="16"/>
        </w:rPr>
      </w:pPr>
      <w:r w:rsidRPr="00F04CCC">
        <w:rPr>
          <w:rStyle w:val="Refdenotaalpie"/>
          <w:rFonts w:ascii="Verdana" w:hAnsi="Verdana" w:cs="Arial"/>
          <w:sz w:val="16"/>
          <w:szCs w:val="16"/>
        </w:rPr>
        <w:footnoteRef/>
      </w:r>
      <w:r w:rsidRPr="00F04CCC">
        <w:rPr>
          <w:rFonts w:ascii="Verdana" w:hAnsi="Verdana" w:cs="Arial"/>
          <w:sz w:val="16"/>
          <w:szCs w:val="16"/>
        </w:rPr>
        <w:t xml:space="preserve"> </w:t>
      </w:r>
      <w:r w:rsidRPr="00F04CCC">
        <w:rPr>
          <w:rFonts w:ascii="Verdana" w:hAnsi="Verdana" w:cs="Arial"/>
          <w:i/>
          <w:iCs/>
          <w:sz w:val="16"/>
          <w:szCs w:val="16"/>
        </w:rPr>
        <w:t>Ibidem</w:t>
      </w:r>
      <w:r w:rsidRPr="00F04CCC">
        <w:rPr>
          <w:rFonts w:ascii="Verdana" w:hAnsi="Verdana" w:cs="Arial"/>
          <w:sz w:val="16"/>
          <w:szCs w:val="16"/>
        </w:rPr>
        <w:t xml:space="preserve">., p. 435. </w:t>
      </w:r>
    </w:p>
  </w:footnote>
  <w:footnote w:id="26">
    <w:p w14:paraId="68EEBA46" w14:textId="77777777" w:rsidR="0071640F" w:rsidRPr="00F04CCC" w:rsidRDefault="0071640F" w:rsidP="0071640F">
      <w:pPr>
        <w:pStyle w:val="Textonotapie"/>
        <w:ind w:firstLine="709"/>
        <w:jc w:val="both"/>
        <w:rPr>
          <w:rFonts w:ascii="Verdana" w:hAnsi="Verdana" w:cs="Arial"/>
          <w:sz w:val="16"/>
          <w:szCs w:val="16"/>
        </w:rPr>
      </w:pPr>
      <w:r w:rsidRPr="00F04CCC">
        <w:rPr>
          <w:rStyle w:val="Refdenotaalpie"/>
          <w:rFonts w:ascii="Verdana" w:hAnsi="Verdana" w:cs="Arial"/>
          <w:sz w:val="16"/>
          <w:szCs w:val="16"/>
        </w:rPr>
        <w:footnoteRef/>
      </w:r>
      <w:r w:rsidRPr="00F04CCC">
        <w:rPr>
          <w:rFonts w:ascii="Verdana" w:hAnsi="Verdana" w:cs="Arial"/>
          <w:sz w:val="16"/>
          <w:szCs w:val="16"/>
        </w:rPr>
        <w:t xml:space="preserve"> Código Civil: Articulo 1552.</w:t>
      </w:r>
    </w:p>
  </w:footnote>
  <w:footnote w:id="27">
    <w:p w14:paraId="296CFF86" w14:textId="77777777" w:rsidR="0071640F" w:rsidRPr="00F04CCC" w:rsidRDefault="0071640F" w:rsidP="0071640F">
      <w:pPr>
        <w:pStyle w:val="Textonotapie"/>
        <w:spacing w:after="120"/>
        <w:ind w:firstLine="709"/>
        <w:jc w:val="both"/>
        <w:rPr>
          <w:rFonts w:ascii="Verdana" w:hAnsi="Verdana" w:cs="Arial"/>
          <w:sz w:val="16"/>
          <w:szCs w:val="16"/>
        </w:rPr>
      </w:pPr>
      <w:r w:rsidRPr="00F04CCC">
        <w:rPr>
          <w:rStyle w:val="Refdenotaalpie"/>
          <w:rFonts w:ascii="Verdana" w:hAnsi="Verdana" w:cs="Arial"/>
          <w:sz w:val="16"/>
          <w:szCs w:val="16"/>
        </w:rPr>
        <w:footnoteRef/>
      </w:r>
      <w:r w:rsidRPr="00F04CCC">
        <w:rPr>
          <w:rFonts w:ascii="Verdana" w:hAnsi="Verdana" w:cs="Arial"/>
          <w:sz w:val="16"/>
          <w:szCs w:val="16"/>
        </w:rPr>
        <w:t xml:space="preserve"> OSPINA FERNÁNDEZ, Op. Cit., p. 220 y 221.</w:t>
      </w:r>
    </w:p>
  </w:footnote>
  <w:footnote w:id="28">
    <w:p w14:paraId="55938754" w14:textId="77777777" w:rsidR="0071640F" w:rsidRPr="00F04CCC" w:rsidRDefault="0071640F" w:rsidP="0071640F">
      <w:pPr>
        <w:pStyle w:val="Textonotapie"/>
        <w:ind w:firstLine="709"/>
        <w:jc w:val="both"/>
        <w:rPr>
          <w:rFonts w:ascii="Verdana" w:hAnsi="Verdana" w:cs="Arial"/>
          <w:sz w:val="16"/>
          <w:szCs w:val="16"/>
        </w:rPr>
      </w:pPr>
      <w:r w:rsidRPr="00F04CCC">
        <w:rPr>
          <w:rStyle w:val="Refdenotaalpie"/>
          <w:rFonts w:ascii="Verdana" w:hAnsi="Verdana" w:cs="Arial"/>
          <w:sz w:val="16"/>
          <w:szCs w:val="16"/>
        </w:rPr>
        <w:footnoteRef/>
      </w:r>
      <w:r w:rsidRPr="00F04CCC">
        <w:rPr>
          <w:rFonts w:ascii="Verdana" w:hAnsi="Verdana" w:cs="Arial"/>
          <w:sz w:val="16"/>
          <w:szCs w:val="16"/>
        </w:rPr>
        <w:t xml:space="preserve"> CONSEJO DE ESTADO. Sección Tercera. Sentencia del 29 de julio de 2015. Exp. 42.494. C.P. Jaime Orlando Santofimio Gamboa.</w:t>
      </w:r>
    </w:p>
    <w:p w14:paraId="17BB7E94" w14:textId="77777777" w:rsidR="0071640F" w:rsidRPr="00F04CCC" w:rsidRDefault="0071640F" w:rsidP="0071640F">
      <w:pPr>
        <w:pStyle w:val="Textonotapie"/>
        <w:ind w:firstLine="709"/>
        <w:jc w:val="both"/>
        <w:rPr>
          <w:rFonts w:ascii="Verdana" w:hAnsi="Verdana" w:cs="Arial"/>
          <w:sz w:val="16"/>
          <w:szCs w:val="16"/>
          <w:lang w:val="es-CO"/>
        </w:rPr>
      </w:pPr>
    </w:p>
  </w:footnote>
  <w:footnote w:id="29">
    <w:p w14:paraId="0EF3BE2C" w14:textId="77777777" w:rsidR="0071640F" w:rsidRPr="00F04CCC" w:rsidRDefault="0071640F" w:rsidP="0071640F">
      <w:pPr>
        <w:pStyle w:val="Textonotapie"/>
        <w:spacing w:after="120"/>
        <w:ind w:firstLine="709"/>
        <w:jc w:val="both"/>
        <w:rPr>
          <w:rFonts w:ascii="Verdana" w:hAnsi="Verdana" w:cs="Arial"/>
          <w:sz w:val="16"/>
          <w:szCs w:val="16"/>
        </w:rPr>
      </w:pPr>
      <w:r w:rsidRPr="00F04CCC">
        <w:rPr>
          <w:rStyle w:val="Refdenotaalpie"/>
          <w:rFonts w:ascii="Verdana" w:hAnsi="Verdana" w:cs="Arial"/>
          <w:sz w:val="16"/>
          <w:szCs w:val="16"/>
        </w:rPr>
        <w:footnoteRef/>
      </w:r>
      <w:r w:rsidRPr="00F04CCC">
        <w:rPr>
          <w:rFonts w:ascii="Verdana" w:hAnsi="Verdana" w:cs="Arial"/>
          <w:sz w:val="16"/>
          <w:szCs w:val="16"/>
        </w:rPr>
        <w:t xml:space="preserve"> CONSEJO DE ESTADO. Sección Tercera. Sentencia del 13 de septiembre de 1999. Exp. 10.264. C.P. Ricardo Hoyos Duque.</w:t>
      </w:r>
    </w:p>
  </w:footnote>
  <w:footnote w:id="30">
    <w:p w14:paraId="37D35F9F" w14:textId="77777777" w:rsidR="0071640F" w:rsidRPr="00F04CCC" w:rsidRDefault="0071640F" w:rsidP="0071640F">
      <w:pPr>
        <w:pStyle w:val="Textonotapie"/>
        <w:ind w:firstLine="708"/>
        <w:jc w:val="both"/>
        <w:rPr>
          <w:rFonts w:ascii="Verdana" w:hAnsi="Verdana" w:cs="Arial"/>
          <w:sz w:val="16"/>
          <w:szCs w:val="16"/>
        </w:rPr>
      </w:pPr>
      <w:r w:rsidRPr="00F04CCC">
        <w:rPr>
          <w:rStyle w:val="Refdenotaalpie"/>
          <w:rFonts w:ascii="Verdana" w:hAnsi="Verdana" w:cs="Arial"/>
          <w:sz w:val="16"/>
          <w:szCs w:val="16"/>
        </w:rPr>
        <w:footnoteRef/>
      </w:r>
      <w:r w:rsidRPr="00F04CCC">
        <w:rPr>
          <w:rFonts w:ascii="Verdana" w:hAnsi="Verdana" w:cs="Arial"/>
          <w:sz w:val="16"/>
          <w:szCs w:val="16"/>
        </w:rPr>
        <w:t xml:space="preserve"> OSPINA FERNÁNDEZ, Op. Cit., p. 312.</w:t>
      </w:r>
    </w:p>
    <w:p w14:paraId="43083519" w14:textId="77777777" w:rsidR="0071640F" w:rsidRPr="00F04CCC" w:rsidRDefault="0071640F" w:rsidP="0071640F">
      <w:pPr>
        <w:pStyle w:val="Textonotapie"/>
        <w:ind w:firstLine="708"/>
        <w:jc w:val="both"/>
        <w:rPr>
          <w:rFonts w:ascii="Verdana" w:hAnsi="Verdana" w:cs="Arial"/>
          <w:sz w:val="16"/>
          <w:szCs w:val="16"/>
        </w:rPr>
      </w:pPr>
    </w:p>
  </w:footnote>
  <w:footnote w:id="31">
    <w:p w14:paraId="2CE9CDDC" w14:textId="77777777" w:rsidR="0071640F" w:rsidRPr="00F04CCC" w:rsidRDefault="0071640F" w:rsidP="0071640F">
      <w:pPr>
        <w:spacing w:after="0" w:line="240" w:lineRule="auto"/>
        <w:ind w:firstLine="708"/>
        <w:jc w:val="both"/>
        <w:rPr>
          <w:rFonts w:ascii="Verdana" w:hAnsi="Verdana"/>
          <w:sz w:val="16"/>
          <w:szCs w:val="16"/>
        </w:rPr>
      </w:pPr>
      <w:r w:rsidRPr="00F04CCC">
        <w:rPr>
          <w:rStyle w:val="Refdenotaalpie"/>
          <w:rFonts w:ascii="Verdana" w:hAnsi="Verdana"/>
          <w:sz w:val="16"/>
          <w:szCs w:val="16"/>
        </w:rPr>
        <w:footnoteRef/>
      </w:r>
      <w:r w:rsidRPr="00F04CCC">
        <w:rPr>
          <w:rFonts w:ascii="Verdana" w:hAnsi="Verdana"/>
          <w:sz w:val="16"/>
          <w:szCs w:val="16"/>
        </w:rPr>
        <w:t xml:space="preserve"> CONSEJO DE ESTADO. Sala de Consulta y Servicio Civil.</w:t>
      </w:r>
      <w:r w:rsidRPr="00F04CCC">
        <w:rPr>
          <w:rFonts w:ascii="Verdana" w:hAnsi="Verdana"/>
          <w:i/>
          <w:sz w:val="16"/>
          <w:szCs w:val="16"/>
        </w:rPr>
        <w:t xml:space="preserve"> </w:t>
      </w:r>
      <w:r w:rsidRPr="00F04CCC">
        <w:rPr>
          <w:rFonts w:ascii="Verdana" w:hAnsi="Verdana"/>
          <w:sz w:val="16"/>
          <w:szCs w:val="16"/>
        </w:rPr>
        <w:t>C.P.: Óscar Daría Amaya Navas. Concepto del 06 de junio 2018. Radicación número: 2369.</w:t>
      </w:r>
    </w:p>
    <w:p w14:paraId="208B393B" w14:textId="77777777" w:rsidR="0071640F" w:rsidRPr="00F04CCC" w:rsidRDefault="0071640F" w:rsidP="0071640F">
      <w:pPr>
        <w:spacing w:after="0" w:line="240" w:lineRule="auto"/>
        <w:ind w:firstLine="708"/>
        <w:jc w:val="both"/>
        <w:rPr>
          <w:rFonts w:ascii="Verdana" w:hAnsi="Verdana"/>
          <w:sz w:val="16"/>
          <w:szCs w:val="16"/>
        </w:rPr>
      </w:pPr>
    </w:p>
  </w:footnote>
  <w:footnote w:id="32">
    <w:p w14:paraId="181F4AC7" w14:textId="77777777" w:rsidR="0071640F" w:rsidRPr="00F04CCC" w:rsidRDefault="0071640F" w:rsidP="0071640F">
      <w:pPr>
        <w:pStyle w:val="Textonotapie"/>
        <w:ind w:firstLine="708"/>
        <w:jc w:val="both"/>
        <w:rPr>
          <w:rFonts w:ascii="Verdana" w:hAnsi="Verdana"/>
          <w:sz w:val="16"/>
          <w:szCs w:val="16"/>
        </w:rPr>
      </w:pPr>
      <w:r w:rsidRPr="00F04CCC">
        <w:rPr>
          <w:rStyle w:val="Refdenotaalpie"/>
          <w:rFonts w:ascii="Verdana" w:hAnsi="Verdana"/>
          <w:sz w:val="16"/>
          <w:szCs w:val="16"/>
        </w:rPr>
        <w:footnoteRef/>
      </w:r>
      <w:r w:rsidRPr="00F04CCC">
        <w:rPr>
          <w:rFonts w:ascii="Verdana" w:hAnsi="Verdana"/>
          <w:sz w:val="16"/>
          <w:szCs w:val="16"/>
        </w:rPr>
        <w:t xml:space="preserve"> Ibidem. </w:t>
      </w:r>
    </w:p>
    <w:p w14:paraId="03846C91" w14:textId="77777777" w:rsidR="0071640F" w:rsidRPr="00F04CCC" w:rsidRDefault="0071640F" w:rsidP="0071640F">
      <w:pPr>
        <w:pStyle w:val="Textonotapie"/>
        <w:ind w:firstLine="708"/>
        <w:jc w:val="both"/>
        <w:rPr>
          <w:rFonts w:ascii="Verdana" w:hAnsi="Verdana"/>
          <w:sz w:val="16"/>
          <w:szCs w:val="16"/>
        </w:rPr>
      </w:pPr>
    </w:p>
  </w:footnote>
  <w:footnote w:id="33">
    <w:p w14:paraId="0A45B9F7" w14:textId="77777777" w:rsidR="0071640F" w:rsidRPr="00F04CCC" w:rsidRDefault="0071640F" w:rsidP="0071640F">
      <w:pPr>
        <w:pStyle w:val="Textonotapie"/>
        <w:ind w:firstLine="709"/>
        <w:jc w:val="both"/>
        <w:rPr>
          <w:rFonts w:ascii="Verdana" w:hAnsi="Verdana" w:cs="Arial"/>
          <w:sz w:val="16"/>
          <w:szCs w:val="16"/>
        </w:rPr>
      </w:pPr>
      <w:r w:rsidRPr="00F04CCC">
        <w:rPr>
          <w:rStyle w:val="Refdenotaalpie"/>
          <w:rFonts w:ascii="Verdana" w:hAnsi="Verdana" w:cs="Arial"/>
          <w:sz w:val="16"/>
          <w:szCs w:val="16"/>
        </w:rPr>
        <w:footnoteRef/>
      </w:r>
      <w:r w:rsidRPr="00F04CCC">
        <w:rPr>
          <w:rFonts w:ascii="Verdana" w:hAnsi="Verdana" w:cs="Arial"/>
          <w:sz w:val="16"/>
          <w:szCs w:val="16"/>
        </w:rPr>
        <w:t xml:space="preserve"> </w:t>
      </w:r>
      <w:bookmarkStart w:id="5" w:name="_Hlk184327594"/>
      <w:r w:rsidRPr="00F04CCC">
        <w:rPr>
          <w:rFonts w:ascii="Verdana" w:hAnsi="Verdana" w:cs="Arial"/>
          <w:sz w:val="16"/>
          <w:szCs w:val="16"/>
        </w:rPr>
        <w:t>CONSEJO DE ESTADO. Sección Tercera. Sentencia del 29 de julio de 2015. Exp. 42.494. C.P. Jaime Orlando Santofimio Gamboa.</w:t>
      </w:r>
      <w:bookmarkEnd w:id="5"/>
    </w:p>
    <w:p w14:paraId="2FFBF08E" w14:textId="77777777" w:rsidR="0071640F" w:rsidRPr="00F04CCC" w:rsidRDefault="0071640F" w:rsidP="0071640F">
      <w:pPr>
        <w:pStyle w:val="Textonotapie"/>
        <w:ind w:firstLine="709"/>
        <w:jc w:val="both"/>
        <w:rPr>
          <w:rFonts w:ascii="Verdana" w:hAnsi="Verdana" w:cs="Arial"/>
          <w:sz w:val="16"/>
          <w:szCs w:val="16"/>
          <w:lang w:val="es-CO"/>
        </w:rPr>
      </w:pPr>
    </w:p>
  </w:footnote>
  <w:footnote w:id="34">
    <w:p w14:paraId="6F48376C" w14:textId="77777777" w:rsidR="0071640F" w:rsidRPr="00F04CCC" w:rsidRDefault="0071640F" w:rsidP="0071640F">
      <w:pPr>
        <w:pStyle w:val="Textonotapie"/>
        <w:ind w:firstLine="708"/>
        <w:contextualSpacing/>
        <w:jc w:val="both"/>
        <w:rPr>
          <w:rFonts w:ascii="Verdana" w:hAnsi="Verdana" w:cs="Arial"/>
          <w:sz w:val="16"/>
          <w:szCs w:val="16"/>
        </w:rPr>
      </w:pPr>
      <w:r w:rsidRPr="00F04CCC">
        <w:rPr>
          <w:rStyle w:val="Refdenotaalpie"/>
          <w:rFonts w:ascii="Verdana" w:hAnsi="Verdana" w:cs="Arial"/>
          <w:sz w:val="16"/>
          <w:szCs w:val="16"/>
        </w:rPr>
        <w:footnoteRef/>
      </w:r>
      <w:r w:rsidRPr="00F04CCC">
        <w:rPr>
          <w:rFonts w:ascii="Verdana" w:hAnsi="Verdana" w:cs="Arial"/>
          <w:sz w:val="16"/>
          <w:szCs w:val="16"/>
        </w:rPr>
        <w:t xml:space="preserve"> Agencia Nacional de Contratación Pública – Colombia Compra Eficiente. Concepto </w:t>
      </w:r>
      <w:r w:rsidRPr="00F04CCC">
        <w:rPr>
          <w:rFonts w:ascii="Verdana" w:hAnsi="Verdana" w:cs="Arial"/>
          <w:color w:val="000000"/>
          <w:sz w:val="16"/>
          <w:szCs w:val="16"/>
          <w:lang w:val="es-ES"/>
        </w:rPr>
        <w:t>C-030 de 2022</w:t>
      </w:r>
      <w:r w:rsidRPr="00F04CCC">
        <w:rPr>
          <w:rFonts w:ascii="Verdana" w:hAnsi="Verdana"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5pt;height:15.6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39675BC"/>
    <w:multiLevelType w:val="hybridMultilevel"/>
    <w:tmpl w:val="B5DC7236"/>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DE5CCA"/>
    <w:multiLevelType w:val="hybridMultilevel"/>
    <w:tmpl w:val="6F56A0F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8679D0"/>
    <w:multiLevelType w:val="hybridMultilevel"/>
    <w:tmpl w:val="00200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B913D1E"/>
    <w:multiLevelType w:val="multilevel"/>
    <w:tmpl w:val="B540F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1"/>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4"/>
  </w:num>
  <w:num w:numId="7" w16cid:durableId="1946422806">
    <w:abstractNumId w:val="6"/>
  </w:num>
  <w:num w:numId="8" w16cid:durableId="152644682">
    <w:abstractNumId w:val="13"/>
  </w:num>
  <w:num w:numId="9" w16cid:durableId="1317221377">
    <w:abstractNumId w:val="8"/>
  </w:num>
  <w:num w:numId="10" w16cid:durableId="1471245386">
    <w:abstractNumId w:val="12"/>
  </w:num>
  <w:num w:numId="11" w16cid:durableId="289172385">
    <w:abstractNumId w:val="9"/>
  </w:num>
  <w:num w:numId="12" w16cid:durableId="1470781324">
    <w:abstractNumId w:val="0"/>
  </w:num>
  <w:num w:numId="13" w16cid:durableId="1512908409">
    <w:abstractNumId w:val="3"/>
  </w:num>
  <w:num w:numId="14" w16cid:durableId="895897244">
    <w:abstractNumId w:val="15"/>
  </w:num>
  <w:num w:numId="15" w16cid:durableId="390349800">
    <w:abstractNumId w:val="11"/>
  </w:num>
  <w:num w:numId="16" w16cid:durableId="153255849">
    <w:abstractNumId w:val="10"/>
  </w:num>
  <w:num w:numId="17" w16cid:durableId="410347328">
    <w:abstractNumId w:val="2"/>
  </w:num>
  <w:num w:numId="18" w16cid:durableId="1657416961">
    <w:abstractNumId w:val="4"/>
  </w:num>
  <w:num w:numId="19" w16cid:durableId="6259359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52F8"/>
    <w:rsid w:val="00016F78"/>
    <w:rsid w:val="00046945"/>
    <w:rsid w:val="00061B2A"/>
    <w:rsid w:val="00082362"/>
    <w:rsid w:val="000A683E"/>
    <w:rsid w:val="000B19B9"/>
    <w:rsid w:val="000C5384"/>
    <w:rsid w:val="000D0334"/>
    <w:rsid w:val="000D5DA7"/>
    <w:rsid w:val="000F6486"/>
    <w:rsid w:val="00116940"/>
    <w:rsid w:val="00122971"/>
    <w:rsid w:val="00125105"/>
    <w:rsid w:val="00127233"/>
    <w:rsid w:val="00140C8F"/>
    <w:rsid w:val="0015487A"/>
    <w:rsid w:val="0015699B"/>
    <w:rsid w:val="00171A8E"/>
    <w:rsid w:val="00190050"/>
    <w:rsid w:val="001A33BF"/>
    <w:rsid w:val="001E0E0D"/>
    <w:rsid w:val="001E4177"/>
    <w:rsid w:val="001F0B24"/>
    <w:rsid w:val="001F7DC6"/>
    <w:rsid w:val="002146C7"/>
    <w:rsid w:val="00222425"/>
    <w:rsid w:val="0022400B"/>
    <w:rsid w:val="00225F50"/>
    <w:rsid w:val="002421BB"/>
    <w:rsid w:val="0025796E"/>
    <w:rsid w:val="002707A2"/>
    <w:rsid w:val="00292579"/>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5968"/>
    <w:rsid w:val="00377E3E"/>
    <w:rsid w:val="003A779E"/>
    <w:rsid w:val="003D0F4D"/>
    <w:rsid w:val="003D5B0D"/>
    <w:rsid w:val="003E0499"/>
    <w:rsid w:val="003E4F80"/>
    <w:rsid w:val="003E6439"/>
    <w:rsid w:val="003F3941"/>
    <w:rsid w:val="00406575"/>
    <w:rsid w:val="00414C74"/>
    <w:rsid w:val="0042722E"/>
    <w:rsid w:val="0044528D"/>
    <w:rsid w:val="00466E39"/>
    <w:rsid w:val="00471CB7"/>
    <w:rsid w:val="004A1847"/>
    <w:rsid w:val="004A305D"/>
    <w:rsid w:val="004F21C4"/>
    <w:rsid w:val="004F685F"/>
    <w:rsid w:val="005027F8"/>
    <w:rsid w:val="00523C59"/>
    <w:rsid w:val="005566E8"/>
    <w:rsid w:val="00574867"/>
    <w:rsid w:val="00591460"/>
    <w:rsid w:val="005A65E0"/>
    <w:rsid w:val="005C3777"/>
    <w:rsid w:val="005C59FA"/>
    <w:rsid w:val="005C5CDC"/>
    <w:rsid w:val="005D476C"/>
    <w:rsid w:val="005E66F6"/>
    <w:rsid w:val="0061028E"/>
    <w:rsid w:val="006200BF"/>
    <w:rsid w:val="006219F8"/>
    <w:rsid w:val="006302F7"/>
    <w:rsid w:val="00631E2E"/>
    <w:rsid w:val="00642749"/>
    <w:rsid w:val="00646B9F"/>
    <w:rsid w:val="00662332"/>
    <w:rsid w:val="00665D70"/>
    <w:rsid w:val="0067296B"/>
    <w:rsid w:val="006900D9"/>
    <w:rsid w:val="006C24C4"/>
    <w:rsid w:val="006F4CCE"/>
    <w:rsid w:val="00706C16"/>
    <w:rsid w:val="0071640F"/>
    <w:rsid w:val="007340C3"/>
    <w:rsid w:val="0075235A"/>
    <w:rsid w:val="00756841"/>
    <w:rsid w:val="007649AB"/>
    <w:rsid w:val="00771D0C"/>
    <w:rsid w:val="007833AC"/>
    <w:rsid w:val="007B268C"/>
    <w:rsid w:val="007B4375"/>
    <w:rsid w:val="007B7171"/>
    <w:rsid w:val="007C0C0F"/>
    <w:rsid w:val="007C3DC2"/>
    <w:rsid w:val="007E5497"/>
    <w:rsid w:val="0080515D"/>
    <w:rsid w:val="00806F5F"/>
    <w:rsid w:val="00811A04"/>
    <w:rsid w:val="00820278"/>
    <w:rsid w:val="008255A1"/>
    <w:rsid w:val="008258C9"/>
    <w:rsid w:val="00844AE9"/>
    <w:rsid w:val="00867F95"/>
    <w:rsid w:val="008843B6"/>
    <w:rsid w:val="0089124C"/>
    <w:rsid w:val="00891928"/>
    <w:rsid w:val="008A446D"/>
    <w:rsid w:val="008B25F1"/>
    <w:rsid w:val="008D180B"/>
    <w:rsid w:val="008F0EA7"/>
    <w:rsid w:val="00905F93"/>
    <w:rsid w:val="00923EEF"/>
    <w:rsid w:val="009311D9"/>
    <w:rsid w:val="009419F9"/>
    <w:rsid w:val="0095685E"/>
    <w:rsid w:val="00961B09"/>
    <w:rsid w:val="00965334"/>
    <w:rsid w:val="0097093E"/>
    <w:rsid w:val="00981B35"/>
    <w:rsid w:val="009A0B8E"/>
    <w:rsid w:val="009A0DFA"/>
    <w:rsid w:val="009A1C6F"/>
    <w:rsid w:val="009B1252"/>
    <w:rsid w:val="009B2D26"/>
    <w:rsid w:val="009C71FA"/>
    <w:rsid w:val="009C72E7"/>
    <w:rsid w:val="009C7F7E"/>
    <w:rsid w:val="009D3058"/>
    <w:rsid w:val="009D35CA"/>
    <w:rsid w:val="009D6C91"/>
    <w:rsid w:val="009F3A13"/>
    <w:rsid w:val="00A04084"/>
    <w:rsid w:val="00A122D3"/>
    <w:rsid w:val="00A14468"/>
    <w:rsid w:val="00A14D91"/>
    <w:rsid w:val="00A17F13"/>
    <w:rsid w:val="00A20739"/>
    <w:rsid w:val="00A22084"/>
    <w:rsid w:val="00A23AF9"/>
    <w:rsid w:val="00A33C78"/>
    <w:rsid w:val="00A40AE0"/>
    <w:rsid w:val="00A7556E"/>
    <w:rsid w:val="00AB0ADB"/>
    <w:rsid w:val="00AB77AE"/>
    <w:rsid w:val="00AC3054"/>
    <w:rsid w:val="00AD23FE"/>
    <w:rsid w:val="00B00C0E"/>
    <w:rsid w:val="00B01B1A"/>
    <w:rsid w:val="00B0381D"/>
    <w:rsid w:val="00B44A47"/>
    <w:rsid w:val="00B45179"/>
    <w:rsid w:val="00B72CD3"/>
    <w:rsid w:val="00B72FFF"/>
    <w:rsid w:val="00BC3D36"/>
    <w:rsid w:val="00BD54A6"/>
    <w:rsid w:val="00BD7F72"/>
    <w:rsid w:val="00BF7425"/>
    <w:rsid w:val="00C04FB3"/>
    <w:rsid w:val="00C11D8B"/>
    <w:rsid w:val="00C15139"/>
    <w:rsid w:val="00C330EB"/>
    <w:rsid w:val="00C36F34"/>
    <w:rsid w:val="00C50D69"/>
    <w:rsid w:val="00C5365C"/>
    <w:rsid w:val="00C66967"/>
    <w:rsid w:val="00C754BE"/>
    <w:rsid w:val="00C76B1C"/>
    <w:rsid w:val="00C925AC"/>
    <w:rsid w:val="00CA2517"/>
    <w:rsid w:val="00CB6357"/>
    <w:rsid w:val="00CC1B26"/>
    <w:rsid w:val="00D1102D"/>
    <w:rsid w:val="00D27756"/>
    <w:rsid w:val="00D361FD"/>
    <w:rsid w:val="00D423A2"/>
    <w:rsid w:val="00D44E26"/>
    <w:rsid w:val="00D520D8"/>
    <w:rsid w:val="00D63AC2"/>
    <w:rsid w:val="00D7383B"/>
    <w:rsid w:val="00D7788A"/>
    <w:rsid w:val="00DA231B"/>
    <w:rsid w:val="00DC39FC"/>
    <w:rsid w:val="00DC4263"/>
    <w:rsid w:val="00DF5254"/>
    <w:rsid w:val="00E02524"/>
    <w:rsid w:val="00E0734E"/>
    <w:rsid w:val="00E16408"/>
    <w:rsid w:val="00E20894"/>
    <w:rsid w:val="00E245AB"/>
    <w:rsid w:val="00E2764C"/>
    <w:rsid w:val="00E27F2E"/>
    <w:rsid w:val="00E50AFE"/>
    <w:rsid w:val="00E75C92"/>
    <w:rsid w:val="00E771DC"/>
    <w:rsid w:val="00E8772A"/>
    <w:rsid w:val="00E90F6B"/>
    <w:rsid w:val="00E92C27"/>
    <w:rsid w:val="00EA0E3D"/>
    <w:rsid w:val="00EC38A7"/>
    <w:rsid w:val="00EE1AA8"/>
    <w:rsid w:val="00EE47BA"/>
    <w:rsid w:val="00F03374"/>
    <w:rsid w:val="00F23FEA"/>
    <w:rsid w:val="00F31EDC"/>
    <w:rsid w:val="00F462B3"/>
    <w:rsid w:val="00F5664F"/>
    <w:rsid w:val="00F626D2"/>
    <w:rsid w:val="00F666C4"/>
    <w:rsid w:val="00F76AFC"/>
    <w:rsid w:val="00FA47C0"/>
    <w:rsid w:val="00FB5DD1"/>
    <w:rsid w:val="00FC2B5D"/>
    <w:rsid w:val="00FD4370"/>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71640F"/>
    <w:pPr>
      <w:spacing w:after="0"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71640F"/>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luisc.sanchez@aerocivil.gov.co" TargetMode="External"/><Relationship Id="rId17" Type="http://schemas.openxmlformats.org/officeDocument/2006/relationships/hyperlink" Target="https://nam02.safelinks.protection.outlook.com/?url=https%3A%2F%2Fwww.colombiacompra.gov.co%2Farchivos%2Fboletin%2Fboletin-edicion-n-3-de-2026-radar-de-la-compra-publica&amp;data=05%7C02%7Cana.bonilla%40colombiacompra.gov.co%7C7128555136e04fa6887d08dee99e1b50%7C7b09041e245149d08cb179d5e3d8c1be%7C0%7C0%7C639205062446582480%7CUnknown%7CTWFpbGZsb3d8eyJFbXB0eU1hcGkiOnRydWUsIlYiOiIwLjAuMDAwMCIsIlAiOiJXaW4zMiIsIkFOIjoiTWFpbCIsIldUIjoyfQ%3D%3D%7C0%7C%7C%7C&amp;sdata=3E87%2BXiPgcuKzNjb08X5RRG2n9%2BDsc2%2F5ZN9FROB4Eo%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ana.bonilla%40colombiacompra.gov.co%7C7128555136e04fa6887d08dee99e1b50%7C7b09041e245149d08cb179d5e3d8c1be%7C0%7C0%7C639205062446570577%7CUnknown%7CTWFpbGZsb3d8eyJFbXB0eU1hcGkiOnRydWUsIlYiOiIwLjAuMDAwMCIsIlAiOiJXaW4zMiIsIkFOIjoiTWFpbCIsIldUIjoyfQ%3D%3D%7C0%7C%7C%7C&amp;sdata=6oYBTCkdsvDccXezxO3daP3zceLkDc7blme%2Fm%2BpFFVc%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circular%2Fcircular-externa-003-de-2026&amp;data=05%7C02%7Cana.bonilla%40colombiacompra.gov.co%7C7128555136e04fa6887d08dee99e1b50%7C7b09041e245149d08cb179d5e3d8c1be%7C0%7C0%7C639205062446555980%7CUnknown%7CTWFpbGZsb3d8eyJFbXB0eU1hcGkiOnRydWUsIlYiOiIwLjAuMDAwMCIsIlAiOiJXaW4zMiIsIkFOIjoiTWFpbCIsIldUIjoyfQ%3D%3D%7C0%7C%7C%7C&amp;sdata=z9tH46pz12Y%2F%2FZUje8KdKmYbKJBPtpJQlVjKii38yCI%3D&amp;reserved=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www.colombiacompra.gov.co%2Farchivos%2Fmanual%2Fguia-de-garantias-en-procesos-de-contratacion&amp;data=05%7C02%7Cana.bonilla%40colombiacompra.gov.co%7C7128555136e04fa6887d08dee99e1b50%7C7b09041e245149d08cb179d5e3d8c1be%7C0%7C0%7C639205062446530248%7CUnknown%7CTWFpbGZsb3d8eyJFbXB0eU1hcGkiOnRydWUsIlYiOiIwLjAuMDAwMCIsIlAiOiJXaW4zMiIsIkFOIjoiTWFpbCIsIldUIjoyfQ%3D%3D%7C0%7C%7C%7C&amp;sdata=oQgit%2FAMaGzdnE2GcsPlQcBfwpAYw24fEB6r%2BBBZutg%3D&amp;reserved=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secretariasenado.gov.co/senado/basedoc/ley_1150_2007.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3B004E59-44A9-46A8-9227-096D47DBE0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E45C5E-292D-BF4F-81AB-A3A852A0C6FA}">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21</TotalTime>
  <Pages>36</Pages>
  <Words>13054</Words>
  <Characters>71803</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84688</CharactersWithSpaces>
  <SharedDoc>false</SharedDoc>
  <HLinks>
    <vt:vector size="42" baseType="variant">
      <vt:variant>
        <vt:i4>2424881</vt:i4>
      </vt:variant>
      <vt:variant>
        <vt:i4>15</vt:i4>
      </vt:variant>
      <vt:variant>
        <vt:i4>0</vt:i4>
      </vt:variant>
      <vt:variant>
        <vt:i4>5</vt:i4>
      </vt:variant>
      <vt:variant>
        <vt:lpwstr>https://nam02.safelinks.protection.outlook.com/?url=https%3A%2F%2Fwww.colombiacompra.gov.co%2Farchivos%2Fboletin%2Fboletin-edicion-n-3-de-2026-radar-de-la-compra-publica&amp;data=05%7C02%7Cana.bonilla%40colombiacompra.gov.co%7C7128555136e04fa6887d08dee99e1b50%7C7b09041e245149d08cb179d5e3d8c1be%7C0%7C0%7C639205062446582480%7CUnknown%7CTWFpbGZsb3d8eyJFbXB0eU1hcGkiOnRydWUsIlYiOiIwLjAuMDAwMCIsIlAiOiJXaW4zMiIsIkFOIjoiTWFpbCIsIldUIjoyfQ%3D%3D%7C0%7C%7C%7C&amp;sdata=3E87%2BXiPgcuKzNjb08X5RRG2n9%2BDsc2%2F5ZN9FROB4Eo%3D&amp;reserved=0</vt:lpwstr>
      </vt:variant>
      <vt:variant>
        <vt:lpwstr/>
      </vt:variant>
      <vt:variant>
        <vt:i4>2162795</vt:i4>
      </vt:variant>
      <vt:variant>
        <vt:i4>12</vt:i4>
      </vt:variant>
      <vt:variant>
        <vt:i4>0</vt:i4>
      </vt:variant>
      <vt:variant>
        <vt:i4>5</vt:i4>
      </vt:variant>
      <vt:variant>
        <vt:lpwstr>https://nam02.safelinks.protection.outlook.com/?url=https%3A%2F%2Fwww.colombiacompra.gov.co%2Farchivos%2Fcircular%2Fcircular-externa-002-de-2026&amp;data=05%7C02%7Cana.bonilla%40colombiacompra.gov.co%7C7128555136e04fa6887d08dee99e1b50%7C7b09041e245149d08cb179d5e3d8c1be%7C0%7C0%7C639205062446570577%7CUnknown%7CTWFpbGZsb3d8eyJFbXB0eU1hcGkiOnRydWUsIlYiOiIwLjAuMDAwMCIsIlAiOiJXaW4zMiIsIkFOIjoiTWFpbCIsIldUIjoyfQ%3D%3D%7C0%7C%7C%7C&amp;sdata=6oYBTCkdsvDccXezxO3daP3zceLkDc7blme%2Fm%2BpFFVc%3D&amp;reserved=0</vt:lpwstr>
      </vt:variant>
      <vt:variant>
        <vt:lpwstr/>
      </vt:variant>
      <vt:variant>
        <vt:i4>2097259</vt:i4>
      </vt:variant>
      <vt:variant>
        <vt:i4>9</vt:i4>
      </vt:variant>
      <vt:variant>
        <vt:i4>0</vt:i4>
      </vt:variant>
      <vt:variant>
        <vt:i4>5</vt:i4>
      </vt:variant>
      <vt:variant>
        <vt:lpwstr>https://nam02.safelinks.protection.outlook.com/?url=https%3A%2F%2Fwww.colombiacompra.gov.co%2Farchivos%2Fcircular%2Fcircular-externa-003-de-2026&amp;data=05%7C02%7Cana.bonilla%40colombiacompra.gov.co%7C7128555136e04fa6887d08dee99e1b50%7C7b09041e245149d08cb179d5e3d8c1be%7C0%7C0%7C639205062446555980%7CUnknown%7CTWFpbGZsb3d8eyJFbXB0eU1hcGkiOnRydWUsIlYiOiIwLjAuMDAwMCIsIlAiOiJXaW4zMiIsIkFOIjoiTWFpbCIsIldUIjoyfQ%3D%3D%7C0%7C%7C%7C&amp;sdata=z9tH46pz12Y%2F%2FZUje8KdKmYbKJBPtpJQlVjKii38yCI%3D&amp;reserved=0</vt:lpwstr>
      </vt:variant>
      <vt:variant>
        <vt:lpwstr/>
      </vt:variant>
      <vt:variant>
        <vt:i4>3145838</vt:i4>
      </vt:variant>
      <vt:variant>
        <vt:i4>6</vt:i4>
      </vt:variant>
      <vt:variant>
        <vt:i4>0</vt:i4>
      </vt:variant>
      <vt:variant>
        <vt:i4>5</vt:i4>
      </vt:variant>
      <vt:variant>
        <vt:lpwstr>https://nam02.safelinks.protection.outlook.com/?url=https%3A%2F%2Fwww.colombiacompra.gov.co%2Farchivos%2Fmanual%2Fguia-de-garantias-en-procesos-de-contratacion&amp;data=05%7C02%7Cana.bonilla%40colombiacompra.gov.co%7C7128555136e04fa6887d08dee99e1b50%7C7b09041e245149d08cb179d5e3d8c1be%7C0%7C0%7C639205062446530248%7CUnknown%7CTWFpbGZsb3d8eyJFbXB0eU1hcGkiOnRydWUsIlYiOiIwLjAuMDAwMCIsIlAiOiJXaW4zMiIsIkFOIjoiTWFpbCIsIldUIjoyfQ%3D%3D%7C0%7C%7C%7C&amp;sdata=oQgit%2FAMaGzdnE2GcsPlQcBfwpAYw24fEB6r%2BBBZutg%3D&amp;reserved=0</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1245216</vt:i4>
      </vt:variant>
      <vt:variant>
        <vt:i4>0</vt:i4>
      </vt:variant>
      <vt:variant>
        <vt:i4>0</vt:i4>
      </vt:variant>
      <vt:variant>
        <vt:i4>5</vt:i4>
      </vt:variant>
      <vt:variant>
        <vt:lpwstr>mailto:luisc.sanchez@aerocivil.gov.co</vt:lpwstr>
      </vt:variant>
      <vt:variant>
        <vt:lpwstr/>
      </vt:variant>
      <vt:variant>
        <vt:i4>20</vt:i4>
      </vt:variant>
      <vt:variant>
        <vt:i4>0</vt:i4>
      </vt:variant>
      <vt:variant>
        <vt:i4>0</vt:i4>
      </vt:variant>
      <vt:variant>
        <vt:i4>5</vt:i4>
      </vt:variant>
      <vt:variant>
        <vt:lpwstr>http://www.secretariasenado.gov.co/senado/basedoc/ley_1150_2007.html</vt:lpwstr>
      </vt:variant>
      <vt:variant>
        <vt:lpwstr>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11</cp:revision>
  <cp:lastPrinted>2023-01-10T21:18:00Z</cp:lastPrinted>
  <dcterms:created xsi:type="dcterms:W3CDTF">2026-09-15T22:25:00Z</dcterms:created>
  <dcterms:modified xsi:type="dcterms:W3CDTF">2026-09-16T01:08:00Z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