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5633D" w14:textId="77777777" w:rsidR="00D4216E" w:rsidRPr="008D1818" w:rsidRDefault="00D4216E" w:rsidP="002B2665">
      <w:pPr>
        <w:spacing w:after="0" w:line="240" w:lineRule="auto"/>
        <w:jc w:val="both"/>
        <w:rPr>
          <w:rFonts w:ascii="Verdana" w:eastAsia="Verdana" w:hAnsi="Verdana" w:cs="Verdana"/>
          <w:b/>
          <w:bCs/>
          <w:highlight w:val="white"/>
        </w:rPr>
      </w:pPr>
      <w:bookmarkStart w:id="0" w:name="_Hlk143780582"/>
      <w:r w:rsidRPr="008D1818">
        <w:rPr>
          <w:rFonts w:ascii="Verdana" w:eastAsia="Verdana" w:hAnsi="Verdana" w:cs="Verdana"/>
          <w:b/>
          <w:bCs/>
          <w:highlight w:val="white"/>
        </w:rPr>
        <w:t xml:space="preserve">PLANEACIÓN CONTRACTUAL – Estudios y documentos previos – Análisis del sector – Estudio de mercado – Determinación del valor estimado – Componente de transporte </w:t>
      </w:r>
    </w:p>
    <w:p w14:paraId="3CA4AA36" w14:textId="77777777" w:rsidR="00D4216E" w:rsidRPr="008D1818" w:rsidRDefault="00D4216E" w:rsidP="002B2665">
      <w:pPr>
        <w:spacing w:after="0" w:line="240" w:lineRule="auto"/>
        <w:jc w:val="both"/>
        <w:rPr>
          <w:rFonts w:ascii="Verdana" w:eastAsia="Verdana" w:hAnsi="Verdana" w:cs="Verdana"/>
          <w:b/>
          <w:bCs/>
          <w:highlight w:val="white"/>
        </w:rPr>
      </w:pPr>
    </w:p>
    <w:p w14:paraId="0C942D67" w14:textId="77777777" w:rsidR="00920A7D" w:rsidRDefault="00920A7D" w:rsidP="002B2665">
      <w:pPr>
        <w:spacing w:after="0" w:line="240" w:lineRule="auto"/>
        <w:jc w:val="both"/>
        <w:rPr>
          <w:rFonts w:ascii="Verdana" w:eastAsia="Verdana" w:hAnsi="Verdana" w:cs="Verdana"/>
          <w:sz w:val="20"/>
          <w:szCs w:val="20"/>
          <w:highlight w:val="white"/>
        </w:rPr>
      </w:pPr>
      <w:r w:rsidRPr="00E82F8E">
        <w:rPr>
          <w:rFonts w:ascii="Verdana" w:eastAsia="Verdana" w:hAnsi="Verdana" w:cs="Verdana"/>
          <w:sz w:val="20"/>
          <w:szCs w:val="20"/>
          <w:highlight w:val="white"/>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entre otros. Lo anterior con la finalidad de realizar la escogencia diligente de la mejor oferta, para beneficiar los intereses y fines públicos inmersos en la contratación de las Entidades Estatales.</w:t>
      </w:r>
      <w:r w:rsidRPr="00E82F8E">
        <w:rPr>
          <w:rFonts w:ascii="Verdana" w:eastAsia="Verdana" w:hAnsi="Verdana" w:cs="Verdana"/>
          <w:sz w:val="20"/>
          <w:szCs w:val="20"/>
          <w:highlight w:val="white"/>
        </w:rPr>
        <w:tab/>
      </w:r>
    </w:p>
    <w:p w14:paraId="3EF27057" w14:textId="77777777" w:rsidR="00E82F8E" w:rsidRPr="00E82F8E" w:rsidRDefault="00E82F8E" w:rsidP="002B2665">
      <w:pPr>
        <w:spacing w:after="0" w:line="240" w:lineRule="auto"/>
        <w:jc w:val="both"/>
        <w:rPr>
          <w:rFonts w:ascii="Verdana" w:eastAsia="Verdana" w:hAnsi="Verdana" w:cs="Verdana"/>
          <w:sz w:val="20"/>
          <w:szCs w:val="20"/>
          <w:highlight w:val="white"/>
        </w:rPr>
      </w:pPr>
    </w:p>
    <w:p w14:paraId="0FA4FFB3" w14:textId="1BAF0DBD" w:rsidR="00D4216E" w:rsidRDefault="00920A7D" w:rsidP="002B2665">
      <w:pPr>
        <w:spacing w:after="0" w:line="240" w:lineRule="auto"/>
        <w:jc w:val="both"/>
        <w:rPr>
          <w:rFonts w:ascii="Verdana" w:eastAsia="Verdana" w:hAnsi="Verdana" w:cs="Verdana"/>
          <w:sz w:val="20"/>
          <w:szCs w:val="20"/>
          <w:highlight w:val="white"/>
        </w:rPr>
      </w:pPr>
      <w:r w:rsidRPr="00E82F8E">
        <w:rPr>
          <w:rFonts w:ascii="Verdana" w:eastAsia="Verdana" w:hAnsi="Verdana" w:cs="Verdana"/>
          <w:sz w:val="20"/>
          <w:szCs w:val="20"/>
          <w:highlight w:val="white"/>
        </w:rPr>
        <w:t>El Estatuto General de Contratación de la Administración Pública – EGCAP –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w:t>
      </w:r>
    </w:p>
    <w:p w14:paraId="438C363C" w14:textId="76AF53A2" w:rsidR="00E82F8E" w:rsidRDefault="00DB3166" w:rsidP="002B2665">
      <w:pPr>
        <w:spacing w:after="0" w:line="240" w:lineRule="auto"/>
        <w:jc w:val="both"/>
        <w:rPr>
          <w:rFonts w:ascii="Verdana" w:eastAsia="Verdana" w:hAnsi="Verdana" w:cs="Verdana"/>
          <w:sz w:val="20"/>
          <w:szCs w:val="20"/>
          <w:highlight w:val="white"/>
        </w:rPr>
      </w:pPr>
      <w:r>
        <w:rPr>
          <w:rFonts w:ascii="Verdana" w:eastAsia="Verdana" w:hAnsi="Verdana" w:cs="Verdana"/>
          <w:sz w:val="20"/>
          <w:szCs w:val="20"/>
          <w:highlight w:val="white"/>
        </w:rPr>
        <w:t>[…]</w:t>
      </w:r>
    </w:p>
    <w:p w14:paraId="26201005" w14:textId="77777777" w:rsidR="00DB3166" w:rsidRDefault="00DB3166" w:rsidP="002B2665">
      <w:pPr>
        <w:spacing w:line="240" w:lineRule="auto"/>
        <w:jc w:val="both"/>
        <w:rPr>
          <w:rFonts w:ascii="Verdana" w:eastAsia="Verdana" w:hAnsi="Verdana" w:cs="Verdana"/>
          <w:sz w:val="20"/>
          <w:szCs w:val="20"/>
          <w:highlight w:val="white"/>
        </w:rPr>
      </w:pPr>
      <w:r w:rsidRPr="00DB3166">
        <w:rPr>
          <w:rFonts w:ascii="Verdana" w:eastAsia="Verdana" w:hAnsi="Verdana" w:cs="Verdana"/>
          <w:sz w:val="20"/>
          <w:szCs w:val="20"/>
          <w:highlight w:val="white"/>
        </w:rPr>
        <w:t>Para ello, el análisis del sector debe permitir establecer, de acuerdo con las particularidades del objeto y las condiciones de su ejecución, cómo interviene el transporte dentro de la cadena de producción, comercialización y distribución; quién asumirá materialmente su prestación; cuáles son las condiciones regulatorias aplicables; y de qué manera los gastos asociados inciden en el valor estimado del contrato. La profundidad de este análisis dependerá, entre otros factores, de la relevancia del transporte dentro del negocio, las rutas previstas, las cantidades y frecuencias de movilización, las características de la carga y de los vehículos requeridos, así como de las condiciones territoriales y logísticas en las que deberá ejecutarse el contrato.</w:t>
      </w:r>
    </w:p>
    <w:p w14:paraId="7CAE2E7C" w14:textId="77777777" w:rsidR="00DB3166" w:rsidRPr="00DB3166" w:rsidRDefault="00DB3166" w:rsidP="002B2665">
      <w:pPr>
        <w:spacing w:after="0" w:line="240" w:lineRule="auto"/>
        <w:jc w:val="both"/>
        <w:rPr>
          <w:rFonts w:ascii="Verdana" w:eastAsia="Verdana" w:hAnsi="Verdana" w:cs="Verdana"/>
          <w:sz w:val="20"/>
          <w:szCs w:val="20"/>
          <w:highlight w:val="white"/>
        </w:rPr>
      </w:pPr>
    </w:p>
    <w:p w14:paraId="37134B29" w14:textId="77777777" w:rsidR="00DB3166" w:rsidRPr="00DB3166" w:rsidRDefault="00DB3166" w:rsidP="002B2665">
      <w:pPr>
        <w:spacing w:after="0" w:line="240" w:lineRule="auto"/>
        <w:jc w:val="both"/>
        <w:rPr>
          <w:rFonts w:ascii="Verdana" w:eastAsia="Verdana" w:hAnsi="Verdana" w:cs="Verdana"/>
          <w:sz w:val="20"/>
          <w:szCs w:val="20"/>
          <w:highlight w:val="white"/>
        </w:rPr>
      </w:pPr>
      <w:r w:rsidRPr="00DB3166">
        <w:rPr>
          <w:rFonts w:ascii="Verdana" w:eastAsia="Verdana" w:hAnsi="Verdana" w:cs="Verdana"/>
          <w:sz w:val="20"/>
          <w:szCs w:val="20"/>
          <w:highlight w:val="white"/>
        </w:rPr>
        <w:t>Los resultados de dicho análisis deben reflejarse en los estudios y documentos previos y, según corresponda, en las especificaciones técnicas, la estimación del presupuesto oficial, la matriz de riesgos, los requisitos habilitantes y las obligaciones contractuales. Sin embargo, el ordenamiento jurídico no establece una metodología única para incorporar el componente de transporte en todos los Procesos de Contratación ni exige, de manera general y uniforme, que este se presente siempre como un ítem separado. Corresponde a cada Entidad Estatal definir la forma adecuada de estructurarlo y justificarlo, atendiendo a la naturaleza del contrato, al sistema de precios escogido y a la información obtenida en el análisis del sector y en el estudio de mercado.</w:t>
      </w:r>
    </w:p>
    <w:p w14:paraId="48C419D6" w14:textId="77777777" w:rsidR="00DB3166" w:rsidRPr="00DD2517" w:rsidRDefault="00DB3166" w:rsidP="002B2665">
      <w:pPr>
        <w:spacing w:after="0" w:line="240" w:lineRule="auto"/>
        <w:jc w:val="both"/>
        <w:rPr>
          <w:rFonts w:ascii="Verdana" w:eastAsia="Verdana" w:hAnsi="Verdana" w:cs="Verdana"/>
          <w:highlight w:val="white"/>
        </w:rPr>
      </w:pPr>
    </w:p>
    <w:p w14:paraId="6D865666" w14:textId="77777777" w:rsidR="00D4216E" w:rsidRPr="00DD2517" w:rsidRDefault="00D4216E" w:rsidP="002B2665">
      <w:pPr>
        <w:spacing w:after="0" w:line="240" w:lineRule="auto"/>
        <w:jc w:val="both"/>
        <w:rPr>
          <w:rFonts w:ascii="Verdana" w:eastAsia="Verdana" w:hAnsi="Verdana" w:cs="Verdana"/>
          <w:b/>
          <w:bCs/>
          <w:highlight w:val="white"/>
        </w:rPr>
      </w:pPr>
      <w:r w:rsidRPr="00DD2517">
        <w:rPr>
          <w:rFonts w:ascii="Verdana" w:eastAsia="Verdana" w:hAnsi="Verdana" w:cs="Verdana"/>
          <w:b/>
          <w:bCs/>
          <w:highlight w:val="white"/>
        </w:rPr>
        <w:t xml:space="preserve">TRANSPORTE TERRESTRE AUTOMOTOR DE CARGA – Servicio público – Transporte privado – Empresa habilitada – Generador de la carga – Flete – Valor a Pagar </w:t>
      </w:r>
    </w:p>
    <w:p w14:paraId="7B369739" w14:textId="77777777" w:rsidR="00D4216E" w:rsidRPr="00DD2517" w:rsidRDefault="00D4216E" w:rsidP="002B2665">
      <w:pPr>
        <w:spacing w:line="240" w:lineRule="auto"/>
        <w:jc w:val="both"/>
        <w:rPr>
          <w:rFonts w:ascii="Verdana" w:eastAsia="Verdana" w:hAnsi="Verdana" w:cs="Verdana"/>
          <w:b/>
          <w:bCs/>
          <w:sz w:val="20"/>
          <w:szCs w:val="20"/>
          <w:highlight w:val="white"/>
        </w:rPr>
      </w:pPr>
    </w:p>
    <w:p w14:paraId="306376F9" w14:textId="77777777" w:rsidR="00930299" w:rsidRDefault="00930299" w:rsidP="002B2665">
      <w:pPr>
        <w:spacing w:after="0" w:line="240" w:lineRule="auto"/>
        <w:jc w:val="both"/>
        <w:rPr>
          <w:rFonts w:ascii="Verdana" w:eastAsia="Verdana" w:hAnsi="Verdana" w:cs="Verdana"/>
          <w:sz w:val="20"/>
          <w:szCs w:val="20"/>
          <w:highlight w:val="white"/>
        </w:rPr>
      </w:pPr>
      <w:r w:rsidRPr="008B4649">
        <w:rPr>
          <w:rFonts w:ascii="Verdana" w:eastAsia="Verdana" w:hAnsi="Verdana" w:cs="Verdana"/>
          <w:sz w:val="20"/>
          <w:szCs w:val="20"/>
          <w:highlight w:val="white"/>
        </w:rPr>
        <w:lastRenderedPageBreak/>
        <w:t>Para estos efectos, el artículo 2.2.1.7.4 del Decreto 1079 de 2015 contiene las definiciones aplicables a esta modalidad de transporte. Entre los sujetos que intervienen en la operación se encuentran el generador de la carga, la empresa de transporte y el propietario, poseedor o tenedor del vehículo. En particular, la norma define al generador de la carga como: “El remitente, o el destinatario de la carga cuando acepte el contrato en los términos de los artículos 1008 y 1009 del Código de Comercio”.</w:t>
      </w:r>
    </w:p>
    <w:p w14:paraId="691D3745" w14:textId="77777777" w:rsidR="008B4649" w:rsidRPr="008B4649" w:rsidRDefault="008B4649" w:rsidP="002B2665">
      <w:pPr>
        <w:spacing w:after="0" w:line="240" w:lineRule="auto"/>
        <w:jc w:val="both"/>
        <w:rPr>
          <w:rFonts w:ascii="Verdana" w:eastAsia="Verdana" w:hAnsi="Verdana" w:cs="Verdana"/>
          <w:sz w:val="20"/>
          <w:szCs w:val="20"/>
          <w:highlight w:val="white"/>
        </w:rPr>
      </w:pPr>
    </w:p>
    <w:p w14:paraId="72D80DFD" w14:textId="77777777" w:rsidR="00930299" w:rsidRDefault="00930299" w:rsidP="002B2665">
      <w:pPr>
        <w:spacing w:after="0" w:line="240" w:lineRule="auto"/>
        <w:jc w:val="both"/>
        <w:rPr>
          <w:rFonts w:ascii="Verdana" w:eastAsia="Verdana" w:hAnsi="Verdana" w:cs="Verdana"/>
          <w:sz w:val="20"/>
          <w:szCs w:val="20"/>
          <w:highlight w:val="white"/>
        </w:rPr>
      </w:pPr>
      <w:r w:rsidRPr="008B4649">
        <w:rPr>
          <w:rFonts w:ascii="Verdana" w:eastAsia="Verdana" w:hAnsi="Verdana" w:cs="Verdana"/>
          <w:sz w:val="20"/>
          <w:szCs w:val="20"/>
          <w:highlight w:val="white"/>
        </w:rPr>
        <w:t>Por su parte, la empresa de transporte es la persona jurídica legalmente constituida y debidamente habilitada por el Ministerio de Transporte, cuyo objeto consiste en movilizar cosas de un lugar a otro mediante vehículos automotores apropiados. El propietario, poseedor o tenedor del vehículo es quien pone a disposición el equipo con el cual se ejecuta materialmente la operación.</w:t>
      </w:r>
    </w:p>
    <w:p w14:paraId="0C013300" w14:textId="77777777" w:rsidR="008B4649" w:rsidRPr="008B4649" w:rsidRDefault="008B4649" w:rsidP="002B2665">
      <w:pPr>
        <w:spacing w:after="0" w:line="240" w:lineRule="auto"/>
        <w:jc w:val="both"/>
        <w:rPr>
          <w:rFonts w:ascii="Verdana" w:eastAsia="Verdana" w:hAnsi="Verdana" w:cs="Verdana"/>
          <w:sz w:val="20"/>
          <w:szCs w:val="20"/>
          <w:highlight w:val="white"/>
        </w:rPr>
      </w:pPr>
    </w:p>
    <w:p w14:paraId="659D9373" w14:textId="77777777" w:rsidR="00930299" w:rsidRPr="008B4649" w:rsidRDefault="00930299" w:rsidP="002B2665">
      <w:pPr>
        <w:spacing w:after="0" w:line="240" w:lineRule="auto"/>
        <w:jc w:val="both"/>
        <w:rPr>
          <w:rFonts w:ascii="Verdana" w:eastAsia="Verdana" w:hAnsi="Verdana" w:cs="Verdana"/>
          <w:sz w:val="20"/>
          <w:szCs w:val="20"/>
          <w:highlight w:val="white"/>
        </w:rPr>
      </w:pPr>
      <w:r w:rsidRPr="008B4649">
        <w:rPr>
          <w:rFonts w:ascii="Verdana" w:eastAsia="Verdana" w:hAnsi="Verdana" w:cs="Verdana"/>
          <w:sz w:val="20"/>
          <w:szCs w:val="20"/>
          <w:highlight w:val="white"/>
        </w:rPr>
        <w:t>A partir de estos sujetos se configuran dos relaciones económicas distintas. De un lado, la relación entre el generador de la carga y la empresa transportadora, en la cual se pacta el flete. De otro, la relación entre la empresa de transporte y el propietario, poseedor o tenedor del vehículo, respecto de la cual se determina el Valor a Pagar. Esta distinción es relevante para establecer el ámbito de aplicación de los costos eficientes calculados mediante el SICE-TAC.</w:t>
      </w:r>
    </w:p>
    <w:p w14:paraId="580A567F" w14:textId="77777777" w:rsidR="00D4216E" w:rsidRPr="008D1818" w:rsidRDefault="00D4216E" w:rsidP="002B2665">
      <w:pPr>
        <w:spacing w:after="0" w:line="240" w:lineRule="auto"/>
        <w:jc w:val="both"/>
        <w:rPr>
          <w:rFonts w:ascii="Verdana" w:eastAsia="Verdana" w:hAnsi="Verdana" w:cs="Verdana"/>
          <w:b/>
          <w:bCs/>
          <w:highlight w:val="white"/>
        </w:rPr>
      </w:pPr>
    </w:p>
    <w:p w14:paraId="53E833B2" w14:textId="77777777" w:rsidR="008D1818" w:rsidRPr="008D1818" w:rsidRDefault="00D4216E" w:rsidP="002B2665">
      <w:pPr>
        <w:spacing w:after="0" w:line="240" w:lineRule="auto"/>
        <w:jc w:val="both"/>
        <w:rPr>
          <w:rFonts w:ascii="Verdana" w:eastAsia="Verdana" w:hAnsi="Verdana" w:cs="Verdana"/>
          <w:b/>
          <w:bCs/>
          <w:highlight w:val="white"/>
        </w:rPr>
      </w:pPr>
      <w:r w:rsidRPr="008D1818">
        <w:rPr>
          <w:rFonts w:ascii="Verdana" w:eastAsia="Verdana" w:hAnsi="Verdana" w:cs="Verdana"/>
          <w:b/>
          <w:bCs/>
          <w:highlight w:val="white"/>
        </w:rPr>
        <w:t xml:space="preserve">SICE-TAC – Costos eficientes de operación – Costos mínimos obligatorios – Aplicación de la regulación sectorial en la contratación estatal </w:t>
      </w:r>
    </w:p>
    <w:p w14:paraId="00830F26" w14:textId="77777777" w:rsidR="00EB2F19" w:rsidRDefault="00EB2F19" w:rsidP="002B2665">
      <w:pPr>
        <w:spacing w:after="0" w:line="240" w:lineRule="auto"/>
        <w:jc w:val="both"/>
        <w:rPr>
          <w:rFonts w:ascii="Verdana" w:eastAsia="Verdana" w:hAnsi="Verdana" w:cs="Verdana"/>
          <w:sz w:val="20"/>
          <w:szCs w:val="20"/>
          <w:highlight w:val="white"/>
        </w:rPr>
      </w:pPr>
    </w:p>
    <w:p w14:paraId="3D9ED5E2" w14:textId="4840FEFD" w:rsidR="00EB2F19" w:rsidRDefault="00EB2F19" w:rsidP="002B2665">
      <w:pPr>
        <w:spacing w:after="0" w:line="240" w:lineRule="auto"/>
        <w:jc w:val="both"/>
        <w:rPr>
          <w:rFonts w:ascii="Verdana" w:eastAsia="Verdana" w:hAnsi="Verdana" w:cs="Verdana"/>
          <w:sz w:val="20"/>
          <w:szCs w:val="20"/>
          <w:highlight w:val="white"/>
        </w:rPr>
      </w:pPr>
      <w:r w:rsidRPr="00EB2F19">
        <w:rPr>
          <w:rFonts w:ascii="Verdana" w:eastAsia="Verdana" w:hAnsi="Verdana" w:cs="Verdana"/>
          <w:sz w:val="20"/>
          <w:szCs w:val="20"/>
          <w:highlight w:val="white"/>
        </w:rPr>
        <w:t>Dentro de este régimen se encuentra el Sistema de Información de Costos Eficientes para el Transporte Automotor de Carga (SICE-TAC), herramienta administrada por el Ministerio de Transporte que permite calcular los costos eficientes de una operación de transporte público terrestre automotor de carga, considerando las condiciones particulares de cada movilización. Este sistema facilita la estimación de los costos de acuerdo con variables como el tipo de vehículo, la naturaleza de la carga, el origen y destino del viaje, así como los tiempos de espera, cargue y descargue.</w:t>
      </w:r>
    </w:p>
    <w:p w14:paraId="04F7BCC2" w14:textId="77777777" w:rsidR="00EB2F19" w:rsidRPr="00EB2F19" w:rsidRDefault="00EB2F19" w:rsidP="002B2665">
      <w:pPr>
        <w:spacing w:after="0" w:line="240" w:lineRule="auto"/>
        <w:jc w:val="both"/>
        <w:rPr>
          <w:rFonts w:ascii="Verdana" w:eastAsia="Verdana" w:hAnsi="Verdana" w:cs="Verdana"/>
          <w:sz w:val="20"/>
          <w:szCs w:val="20"/>
          <w:highlight w:val="white"/>
        </w:rPr>
      </w:pPr>
    </w:p>
    <w:p w14:paraId="1180022A" w14:textId="372D164A" w:rsidR="00EB2F19" w:rsidRDefault="00EB2F19" w:rsidP="002B2665">
      <w:pPr>
        <w:spacing w:after="0" w:line="240" w:lineRule="auto"/>
        <w:jc w:val="both"/>
        <w:rPr>
          <w:rFonts w:ascii="Verdana" w:eastAsia="Verdana" w:hAnsi="Verdana" w:cs="Verdana"/>
          <w:sz w:val="20"/>
          <w:szCs w:val="20"/>
          <w:highlight w:val="white"/>
        </w:rPr>
      </w:pPr>
      <w:r w:rsidRPr="00EB2F19">
        <w:rPr>
          <w:rFonts w:ascii="Verdana" w:eastAsia="Verdana" w:hAnsi="Verdana" w:cs="Verdana"/>
          <w:sz w:val="20"/>
          <w:szCs w:val="20"/>
          <w:highlight w:val="white"/>
        </w:rPr>
        <w:t>La estructura de los costos de operación se divide en tres categorías principales. En primer lugar, los costos variables, que se generan directamente por la movilización del vehículo e incluyen rubros como combustibles, mantenimiento y reparaciones, llantas, peajes, lubricantes, lavado y engrase, además de imprevistos. En segundo lugar, los costos fijos, que corresponden a gastos en los que incurre el propietario del vehículo independientemente de su operación, tales como salarios y prestaciones de la tripulación, seguros, parqueadero, impuestos y recuperación de capital. Finalmente, se encuentran los otros costos, que dependen de la facturación específica de cada viaje. En esta categoría se incluyen las comisiones y prestaciones, el factor de administración, así como las retenciones tributarias (retefuente y reteICA). De esta manera, el SICE-TAC constituye una herramienta integral que permite identificar y calcular de forma precisa los diferentes componentes que inciden en la operación del transporte automotor de carga, garantizando eficiencia y transparencia en la determinación de los costos.</w:t>
      </w:r>
    </w:p>
    <w:p w14:paraId="4393E31B" w14:textId="77777777" w:rsidR="00EB2F19" w:rsidRPr="00EB2F19" w:rsidRDefault="00EB2F19" w:rsidP="002B2665">
      <w:pPr>
        <w:spacing w:after="0" w:line="240" w:lineRule="auto"/>
        <w:jc w:val="both"/>
        <w:rPr>
          <w:rFonts w:ascii="Verdana" w:eastAsia="Verdana" w:hAnsi="Verdana" w:cs="Verdana"/>
          <w:sz w:val="20"/>
          <w:szCs w:val="20"/>
          <w:highlight w:val="white"/>
        </w:rPr>
      </w:pPr>
    </w:p>
    <w:p w14:paraId="323740F5" w14:textId="76DFCE89" w:rsidR="008D1818" w:rsidRPr="00EB2F19" w:rsidRDefault="00EB2F19" w:rsidP="002B2665">
      <w:pPr>
        <w:spacing w:after="0" w:line="240" w:lineRule="auto"/>
        <w:jc w:val="both"/>
        <w:rPr>
          <w:rFonts w:ascii="Verdana" w:eastAsia="Verdana" w:hAnsi="Verdana" w:cs="Verdana"/>
          <w:sz w:val="20"/>
          <w:szCs w:val="20"/>
          <w:highlight w:val="white"/>
        </w:rPr>
      </w:pPr>
      <w:r w:rsidRPr="00EB2F19">
        <w:rPr>
          <w:rFonts w:ascii="Verdana" w:eastAsia="Verdana" w:hAnsi="Verdana" w:cs="Verdana"/>
          <w:sz w:val="20"/>
          <w:szCs w:val="20"/>
          <w:highlight w:val="white"/>
        </w:rPr>
        <w:t>El artículo 2.2.1.7.6.2 del Decreto 1079 de 2015, modificado por el artículo 12 del Decreto 1017 de 2025, establece el alcance de estos costos en los siguientes términos: “Los costos eficientes de operación publicados a través del SICE-TAC se consideran costos mínimos de carácter obligatorio en relación con el Valor a Pagar al propietario, poseedor o tenedor del vehículo que realice la movilización de la carga”. De esta manera, aunque las partes conservan la facultad de determinar las condiciones económicas de la operación, dicha autonomía se encuentra limitada por los costos eficientes publicados mediante el SICE-TAC. En particular, el Valor a Pagar acordado entre la empresa transportadora y el propietario, poseedor o tenedor del vehículo no puede ser inferior al costo eficiente aplicable a la respectiva operación.</w:t>
      </w:r>
    </w:p>
    <w:p w14:paraId="6A042F7E" w14:textId="77777777" w:rsidR="00EB2F19" w:rsidRPr="008D1818" w:rsidRDefault="00EB2F19" w:rsidP="002B2665">
      <w:pPr>
        <w:spacing w:after="0" w:line="240" w:lineRule="auto"/>
        <w:jc w:val="both"/>
        <w:rPr>
          <w:rFonts w:ascii="Verdana" w:eastAsia="Verdana" w:hAnsi="Verdana" w:cs="Verdana"/>
          <w:b/>
          <w:bCs/>
          <w:highlight w:val="white"/>
        </w:rPr>
      </w:pPr>
    </w:p>
    <w:p w14:paraId="72205175" w14:textId="77777777" w:rsidR="008D1818" w:rsidRPr="008D1818" w:rsidRDefault="00D4216E" w:rsidP="002B2665">
      <w:pPr>
        <w:spacing w:after="0" w:line="240" w:lineRule="auto"/>
        <w:jc w:val="both"/>
        <w:rPr>
          <w:rFonts w:ascii="Verdana" w:eastAsia="Verdana" w:hAnsi="Verdana" w:cs="Verdana"/>
          <w:b/>
          <w:bCs/>
        </w:rPr>
      </w:pPr>
      <w:r w:rsidRPr="008D1818">
        <w:rPr>
          <w:rFonts w:ascii="Verdana" w:eastAsia="Verdana" w:hAnsi="Verdana" w:cs="Verdana"/>
          <w:b/>
          <w:bCs/>
          <w:highlight w:val="white"/>
        </w:rPr>
        <w:t xml:space="preserve">RIESGOS PREVISIBLES – Identificación – Tipificación – Estimación – Asignación – Variación de los costos eficientes </w:t>
      </w:r>
    </w:p>
    <w:p w14:paraId="3EDB5A40" w14:textId="77777777" w:rsidR="008D1818" w:rsidRPr="007306DA" w:rsidRDefault="008D1818" w:rsidP="002B2665">
      <w:pPr>
        <w:spacing w:after="0" w:line="240" w:lineRule="auto"/>
        <w:jc w:val="both"/>
        <w:rPr>
          <w:rFonts w:ascii="Verdana" w:eastAsia="Verdana" w:hAnsi="Verdana" w:cs="Verdana"/>
          <w:sz w:val="20"/>
          <w:szCs w:val="20"/>
          <w:highlight w:val="white"/>
        </w:rPr>
      </w:pPr>
    </w:p>
    <w:p w14:paraId="049CCBE7" w14:textId="77777777" w:rsidR="007306DA" w:rsidRDefault="007306DA" w:rsidP="002B2665">
      <w:pPr>
        <w:spacing w:after="0" w:line="240" w:lineRule="auto"/>
        <w:jc w:val="both"/>
        <w:rPr>
          <w:rFonts w:ascii="Verdana" w:eastAsia="Verdana" w:hAnsi="Verdana" w:cs="Verdana"/>
          <w:sz w:val="20"/>
          <w:szCs w:val="20"/>
          <w:highlight w:val="white"/>
        </w:rPr>
      </w:pPr>
      <w:r w:rsidRPr="007306DA">
        <w:rPr>
          <w:rFonts w:ascii="Verdana" w:eastAsia="Verdana" w:hAnsi="Verdana" w:cs="Verdana"/>
          <w:sz w:val="20"/>
          <w:szCs w:val="20"/>
          <w:highlight w:val="white"/>
        </w:rPr>
        <w:t>En este aspecto, resulta pertinente señalar que el análisis de los riesgos previsibles y la definición de su tratamiento deben incorporarse desde la etapa de planeación, tal como se expuso en consideraciones anteriores. La forma, el nivel de detalle y el instrumento en que dicho análisis se documente corresponde a la autonomía de la entidad estatal, siendo suficiente que se refleje en los estudios previos con el alcance y formato que esta determine.</w:t>
      </w:r>
    </w:p>
    <w:p w14:paraId="7EDED1C3" w14:textId="77777777" w:rsidR="007306DA" w:rsidRPr="007306DA" w:rsidRDefault="007306DA" w:rsidP="002B2665">
      <w:pPr>
        <w:spacing w:after="0" w:line="240" w:lineRule="auto"/>
        <w:jc w:val="both"/>
        <w:rPr>
          <w:rFonts w:ascii="Verdana" w:eastAsia="Verdana" w:hAnsi="Verdana" w:cs="Verdana"/>
          <w:sz w:val="20"/>
          <w:szCs w:val="20"/>
          <w:highlight w:val="white"/>
        </w:rPr>
      </w:pPr>
    </w:p>
    <w:p w14:paraId="0E4718B7" w14:textId="77777777" w:rsidR="007306DA" w:rsidRDefault="007306DA" w:rsidP="002B2665">
      <w:pPr>
        <w:spacing w:after="0" w:line="240" w:lineRule="auto"/>
        <w:jc w:val="both"/>
        <w:rPr>
          <w:rFonts w:ascii="Verdana" w:eastAsia="Verdana" w:hAnsi="Verdana" w:cs="Verdana"/>
          <w:sz w:val="20"/>
          <w:szCs w:val="20"/>
          <w:highlight w:val="white"/>
        </w:rPr>
      </w:pPr>
      <w:r w:rsidRPr="007306DA">
        <w:rPr>
          <w:rFonts w:ascii="Verdana" w:eastAsia="Verdana" w:hAnsi="Verdana" w:cs="Verdana"/>
          <w:sz w:val="20"/>
          <w:szCs w:val="20"/>
          <w:highlight w:val="white"/>
        </w:rPr>
        <w:t>En cuanto a los riesgos asociados a la regulación del transporte de carga, incluidos los derivados de la variación de los costos eficientes publicados mediante el SICE-TAC, no puede afirmarse de manera general que deban ser asumidos siempre por la entidad estatal o por el contratista. Su tipificación, estimación y asignación dependerán de las condiciones específicas de cada proceso de contratación, considerando factores como el objeto contractual, el plazo, el sistema de precios, la forma de pago, la relevancia económica del transporte, las condiciones logísticas y los mecanismos de ajuste previstos.</w:t>
      </w:r>
    </w:p>
    <w:p w14:paraId="47402697" w14:textId="77777777" w:rsidR="007306DA" w:rsidRPr="007306DA" w:rsidRDefault="007306DA" w:rsidP="002B2665">
      <w:pPr>
        <w:spacing w:after="0" w:line="240" w:lineRule="auto"/>
        <w:jc w:val="both"/>
        <w:rPr>
          <w:rFonts w:ascii="Verdana" w:eastAsia="Verdana" w:hAnsi="Verdana" w:cs="Verdana"/>
          <w:sz w:val="20"/>
          <w:szCs w:val="20"/>
          <w:highlight w:val="white"/>
        </w:rPr>
      </w:pPr>
    </w:p>
    <w:p w14:paraId="588BD602" w14:textId="77777777" w:rsidR="007306DA" w:rsidRPr="007306DA" w:rsidRDefault="007306DA" w:rsidP="002B2665">
      <w:pPr>
        <w:spacing w:after="0" w:line="240" w:lineRule="auto"/>
        <w:jc w:val="both"/>
        <w:rPr>
          <w:rFonts w:ascii="Verdana" w:eastAsia="Verdana" w:hAnsi="Verdana" w:cs="Verdana"/>
          <w:sz w:val="20"/>
          <w:szCs w:val="20"/>
          <w:highlight w:val="white"/>
        </w:rPr>
      </w:pPr>
      <w:r w:rsidRPr="007306DA">
        <w:rPr>
          <w:rFonts w:ascii="Verdana" w:eastAsia="Verdana" w:hAnsi="Verdana" w:cs="Verdana"/>
          <w:sz w:val="20"/>
          <w:szCs w:val="20"/>
          <w:highlight w:val="white"/>
        </w:rPr>
        <w:t xml:space="preserve"> En este aspecto, hay que señalar que la aplicación del SICE-TAC en los procesos de contratación implica la identificación de riesgos específicos que deben ser analizados y gestionados por la entidad estatal, tales como, los riesgos derivados de la variación de los costos eficientes publicados por el sistema, los cuales pueden impactar directamente en la estructura económica del contrato, así como los riegos asociados a las condiciones logísticas. En todo caso, el análisis sectorial debe permitir asignar cada riesgo a la parte que se encuentre en mejores condiciones de administrarlo, ya sea la entidad estatal o el contratista. La decisión sobre quién asume el riesgo debe reflejarse en los estudios previos y en la matriz de riesgos, garantizando que existan medidas de mitigación adecuadas. </w:t>
      </w:r>
    </w:p>
    <w:p w14:paraId="4599289C" w14:textId="77777777" w:rsidR="007306DA" w:rsidRPr="008D1818" w:rsidRDefault="007306DA" w:rsidP="002B2665">
      <w:pPr>
        <w:spacing w:after="0" w:line="240" w:lineRule="auto"/>
        <w:jc w:val="both"/>
        <w:rPr>
          <w:rFonts w:ascii="Verdana" w:eastAsia="Verdana" w:hAnsi="Verdana" w:cs="Verdana"/>
          <w:b/>
          <w:bCs/>
          <w:highlight w:val="white"/>
        </w:rPr>
      </w:pPr>
    </w:p>
    <w:p w14:paraId="6693FFFF" w14:textId="77777777" w:rsidR="008D1818" w:rsidRPr="008D1818" w:rsidRDefault="00D4216E" w:rsidP="002B2665">
      <w:pPr>
        <w:spacing w:after="0" w:line="240" w:lineRule="auto"/>
        <w:jc w:val="both"/>
        <w:rPr>
          <w:rFonts w:ascii="Verdana" w:eastAsia="Verdana" w:hAnsi="Verdana" w:cs="Verdana"/>
          <w:b/>
          <w:bCs/>
          <w:highlight w:val="white"/>
        </w:rPr>
      </w:pPr>
      <w:r w:rsidRPr="008D1818">
        <w:rPr>
          <w:rFonts w:ascii="Verdana" w:eastAsia="Verdana" w:hAnsi="Verdana" w:cs="Verdana"/>
          <w:b/>
          <w:bCs/>
          <w:highlight w:val="white"/>
        </w:rPr>
        <w:t xml:space="preserve">SUPERVISIÓN E INTERVENTORIA – Diferencias – Características </w:t>
      </w:r>
    </w:p>
    <w:p w14:paraId="21D2465A" w14:textId="77777777" w:rsidR="008D1818" w:rsidRDefault="008D1818" w:rsidP="002B2665">
      <w:pPr>
        <w:spacing w:line="240" w:lineRule="auto"/>
        <w:jc w:val="both"/>
        <w:rPr>
          <w:rFonts w:ascii="Verdana" w:eastAsia="Verdana" w:hAnsi="Verdana" w:cs="Verdana"/>
          <w:b/>
          <w:bCs/>
          <w:highlight w:val="white"/>
        </w:rPr>
      </w:pPr>
    </w:p>
    <w:p w14:paraId="07C98643" w14:textId="637E072B" w:rsidR="007306DA" w:rsidRPr="007306DA" w:rsidRDefault="007306DA" w:rsidP="002B2665">
      <w:pPr>
        <w:spacing w:after="0" w:line="240" w:lineRule="auto"/>
        <w:jc w:val="both"/>
        <w:rPr>
          <w:rFonts w:ascii="Verdana" w:eastAsia="Verdana" w:hAnsi="Verdana" w:cs="Verdana"/>
          <w:sz w:val="20"/>
          <w:szCs w:val="20"/>
          <w:highlight w:val="white"/>
          <w:lang w:val="es-ES"/>
        </w:rPr>
      </w:pPr>
      <w:r w:rsidRPr="007306DA">
        <w:rPr>
          <w:rFonts w:ascii="Verdana" w:eastAsia="Verdana" w:hAnsi="Verdana" w:cs="Verdana"/>
          <w:sz w:val="20"/>
          <w:szCs w:val="20"/>
          <w:highlight w:val="white"/>
          <w:lang w:val="es-ES"/>
        </w:rPr>
        <w:lastRenderedPageBreak/>
        <w:t>Sin perjuicio de lo anterior, según lo expresado por esta Agencia en el concepto No. 4201913000008240 del 20 de diciembre de 2019 y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 ii) no requiere conocimientos tan especializados como la interventoría; iii) se ejerce por la Entidad Estatal por conducto de la designación de servidores públicos idóneos para cumplir la función; iv) puede recibir apoyo de personal contratado para tal fin mediante contratos de prestación de servicios; y v) le es inseparable el seguimiento técnico, administrativo, financiero, contable y jurídico del contrato vigilado.</w:t>
      </w:r>
    </w:p>
    <w:p w14:paraId="242F0373" w14:textId="77777777" w:rsidR="007306DA" w:rsidRDefault="007306DA" w:rsidP="002B2665">
      <w:pPr>
        <w:spacing w:after="0" w:line="240" w:lineRule="auto"/>
        <w:jc w:val="both"/>
        <w:rPr>
          <w:rFonts w:ascii="Verdana" w:eastAsia="Verdana" w:hAnsi="Verdana" w:cs="Verdana"/>
          <w:sz w:val="20"/>
          <w:szCs w:val="20"/>
          <w:highlight w:val="white"/>
          <w:lang w:val="es-ES"/>
        </w:rPr>
      </w:pPr>
    </w:p>
    <w:p w14:paraId="59306FDC" w14:textId="6E11C7C7" w:rsidR="007306DA" w:rsidRPr="007306DA" w:rsidRDefault="007306DA" w:rsidP="002B2665">
      <w:pPr>
        <w:spacing w:after="0" w:line="240" w:lineRule="auto"/>
        <w:jc w:val="both"/>
        <w:rPr>
          <w:rFonts w:ascii="Verdana" w:eastAsia="Verdana" w:hAnsi="Verdana" w:cs="Verdana"/>
          <w:sz w:val="20"/>
          <w:szCs w:val="20"/>
          <w:highlight w:val="white"/>
        </w:rPr>
      </w:pPr>
      <w:r w:rsidRPr="007306DA">
        <w:rPr>
          <w:rFonts w:ascii="Verdana" w:eastAsia="Verdana" w:hAnsi="Verdana" w:cs="Verdana"/>
          <w:sz w:val="20"/>
          <w:szCs w:val="20"/>
          <w:highlight w:val="white"/>
          <w:lang w:val="es-ES"/>
        </w:rPr>
        <w:t xml:space="preserve">Por otro lado, </w:t>
      </w:r>
      <w:r w:rsidRPr="007306DA">
        <w:rPr>
          <w:rFonts w:ascii="Verdana" w:eastAsia="Verdana" w:hAnsi="Verdana" w:cs="Verdana"/>
          <w:sz w:val="20"/>
          <w:szCs w:val="20"/>
          <w:highlight w:val="white"/>
        </w:rPr>
        <w:t>la interventoría puede caracterizarse de la siguiente manera: i) es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del mismo lo justifique” –art, 83, Ley 1474 de 2011–; ii) es un mecanismo de vigilancia que exige, en su ejecución, la utilización de conocimientos especializados; iii) por lo anterior, la entidad contrata un experto, por regla general, mediante la modalidad de selección de concurso de méritos, al tratarse la interventoría de una especie del contrato de consultoría –art. 32, numeral 2, inciso 2, Ley 80 de 1993‒, de manera que la interventoría es realizada por “una persona natural o jurídica contratada para tal fin por la Entidad Estatal” –art. 83, Ley 1474–; iv)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4–, y finalmente, vi) el contrato de interventoría será supervisado directamente por la entidad –art. 83, inciso 4–.</w:t>
      </w:r>
    </w:p>
    <w:p w14:paraId="6CFED8A1" w14:textId="77777777" w:rsidR="007306DA" w:rsidRPr="008D1818" w:rsidRDefault="007306DA" w:rsidP="002B2665">
      <w:pPr>
        <w:spacing w:after="0" w:line="240" w:lineRule="auto"/>
        <w:jc w:val="both"/>
        <w:rPr>
          <w:rFonts w:ascii="Verdana" w:eastAsia="Verdana" w:hAnsi="Verdana" w:cs="Verdana"/>
          <w:b/>
          <w:bCs/>
          <w:highlight w:val="white"/>
        </w:rPr>
      </w:pPr>
    </w:p>
    <w:p w14:paraId="39958BAD" w14:textId="77777777" w:rsidR="008D1818" w:rsidRPr="008D1818" w:rsidRDefault="00D4216E" w:rsidP="002B2665">
      <w:pPr>
        <w:spacing w:after="0" w:line="240" w:lineRule="auto"/>
        <w:jc w:val="both"/>
        <w:rPr>
          <w:rFonts w:ascii="Verdana" w:eastAsia="Verdana" w:hAnsi="Verdana" w:cs="Verdana"/>
          <w:b/>
          <w:bCs/>
          <w:highlight w:val="white"/>
        </w:rPr>
      </w:pPr>
      <w:r w:rsidRPr="008D1818">
        <w:rPr>
          <w:rFonts w:ascii="Verdana" w:eastAsia="Verdana" w:hAnsi="Verdana" w:cs="Verdana"/>
          <w:b/>
          <w:bCs/>
          <w:highlight w:val="white"/>
        </w:rPr>
        <w:t xml:space="preserve">SUPERVISIÓN E INTERVENTORÍA – Seguimiento contractual – Evidencia documental – Informes – Consecuencias del incumplimiento </w:t>
      </w:r>
    </w:p>
    <w:p w14:paraId="302368E8" w14:textId="77777777" w:rsidR="00F73708" w:rsidRPr="004A10A6" w:rsidRDefault="00F73708" w:rsidP="002B2665">
      <w:pPr>
        <w:spacing w:after="0" w:line="240" w:lineRule="auto"/>
        <w:jc w:val="both"/>
        <w:rPr>
          <w:rFonts w:ascii="Verdana" w:eastAsia="Verdana" w:hAnsi="Verdana" w:cs="Verdana"/>
          <w:sz w:val="20"/>
          <w:szCs w:val="20"/>
          <w:highlight w:val="white"/>
        </w:rPr>
      </w:pPr>
    </w:p>
    <w:p w14:paraId="5CA11E6C" w14:textId="77777777" w:rsidR="004A10A6" w:rsidRDefault="004A10A6" w:rsidP="002B2665">
      <w:pPr>
        <w:spacing w:after="0" w:line="240" w:lineRule="auto"/>
        <w:jc w:val="both"/>
        <w:rPr>
          <w:rFonts w:ascii="Verdana" w:eastAsia="Verdana" w:hAnsi="Verdana" w:cs="Verdana"/>
          <w:sz w:val="20"/>
          <w:szCs w:val="20"/>
          <w:highlight w:val="white"/>
        </w:rPr>
      </w:pPr>
      <w:r w:rsidRPr="004A10A6">
        <w:rPr>
          <w:rFonts w:ascii="Verdana" w:eastAsia="Verdana" w:hAnsi="Verdana" w:cs="Verdana"/>
          <w:sz w:val="20"/>
          <w:szCs w:val="20"/>
          <w:highlight w:val="white"/>
        </w:rPr>
        <w:t>No obstante, lo anterior no implica que todos estos soportes deban exigirse de manera uniforme en cualquier contrato que involucre la movilización de bienes. Corresponde a cada Entidad Estatal determinar cuáles resultan pertinentes, necesarios y proporcionales, de acuerdo con el contenido del contrato, los riesgos identificados y las condiciones de ejecución. Tampoco existe una periodicidad general para su presentación, pues esta podrá asociarse a los informes de ejecución, las cuentas de cobro, las facturas, los hitos contractuales o la frecuencia de las operaciones de transporte. Tales condiciones deben quedar definidas desde la estructuración del proceso, sin perjuicio de que el supervisor o interventor solicite información adicional cuando advierta hechos que puedan poner en riesgo el cumplimiento del contrato.</w:t>
      </w:r>
    </w:p>
    <w:p w14:paraId="142D0786" w14:textId="77777777" w:rsidR="00F73708" w:rsidRPr="004A10A6" w:rsidRDefault="00F73708" w:rsidP="002B2665">
      <w:pPr>
        <w:spacing w:after="0" w:line="240" w:lineRule="auto"/>
        <w:jc w:val="both"/>
        <w:rPr>
          <w:rFonts w:ascii="Verdana" w:eastAsia="Verdana" w:hAnsi="Verdana" w:cs="Verdana"/>
          <w:sz w:val="20"/>
          <w:szCs w:val="20"/>
          <w:highlight w:val="white"/>
        </w:rPr>
      </w:pPr>
    </w:p>
    <w:p w14:paraId="2C18FC30" w14:textId="77777777" w:rsidR="004A10A6" w:rsidRDefault="004A10A6" w:rsidP="002B2665">
      <w:pPr>
        <w:spacing w:after="0" w:line="240" w:lineRule="auto"/>
        <w:jc w:val="both"/>
        <w:rPr>
          <w:rFonts w:ascii="Verdana" w:eastAsia="Verdana" w:hAnsi="Verdana" w:cs="Verdana"/>
          <w:sz w:val="20"/>
          <w:szCs w:val="20"/>
          <w:highlight w:val="white"/>
        </w:rPr>
      </w:pPr>
      <w:r w:rsidRPr="004A10A6">
        <w:rPr>
          <w:rFonts w:ascii="Verdana" w:eastAsia="Verdana" w:hAnsi="Verdana" w:cs="Verdana"/>
          <w:sz w:val="20"/>
          <w:szCs w:val="20"/>
          <w:highlight w:val="white"/>
        </w:rPr>
        <w:t>Si como resultado de la vigilancia se identifica un posible incumplimiento, el supervisor o interventor debe documentar los hechos, solicitar las explicaciones correspondientes y mantener informada a la Entidad Estatal. Sin embargo, la imposición de multas, la declaratoria de incumplimiento, la efectividad de la cláusula penal o la adopción de otras medidas contractuales corresponde a la entidad, con observancia del procedimiento y de las garantías del debido proceso. Esto se entiende sin perjuicio de que la información sea remitida a las autoridades del sector transporte para que, dentro de sus competencias, determinen la existencia de una infracción al régimen sectorial e impongan las sanciones a que haya lugar.</w:t>
      </w:r>
    </w:p>
    <w:p w14:paraId="22FA2E27" w14:textId="77777777" w:rsidR="00F73708" w:rsidRPr="004A10A6" w:rsidRDefault="00F73708" w:rsidP="002B2665">
      <w:pPr>
        <w:spacing w:after="0" w:line="240" w:lineRule="auto"/>
        <w:jc w:val="both"/>
        <w:rPr>
          <w:rFonts w:ascii="Verdana" w:eastAsia="Verdana" w:hAnsi="Verdana" w:cs="Verdana"/>
          <w:sz w:val="20"/>
          <w:szCs w:val="20"/>
          <w:highlight w:val="white"/>
        </w:rPr>
      </w:pPr>
    </w:p>
    <w:p w14:paraId="558F86F1" w14:textId="77777777" w:rsidR="004A10A6" w:rsidRPr="004A10A6" w:rsidRDefault="004A10A6" w:rsidP="002B2665">
      <w:pPr>
        <w:spacing w:after="0" w:line="240" w:lineRule="auto"/>
        <w:jc w:val="both"/>
        <w:rPr>
          <w:rFonts w:ascii="Verdana" w:eastAsia="Verdana" w:hAnsi="Verdana" w:cs="Verdana"/>
          <w:sz w:val="20"/>
          <w:szCs w:val="20"/>
          <w:highlight w:val="white"/>
        </w:rPr>
      </w:pPr>
      <w:r w:rsidRPr="004A10A6">
        <w:rPr>
          <w:rFonts w:ascii="Verdana" w:eastAsia="Verdana" w:hAnsi="Verdana" w:cs="Verdana"/>
          <w:sz w:val="20"/>
          <w:szCs w:val="20"/>
          <w:highlight w:val="white"/>
        </w:rPr>
        <w:t xml:space="preserve">Este deber de control exige un seguimiento técnico, jurídico y financiero que abarque la revisión periódica de los costos, la verificación de la tipología vehicular utilizada, la comprobación de las condiciones logísticas (tiempos de espera, cargue y descargue) y la identificación de variaciones normativas que puedan impactar la operación. La supervisión debe actuar de manera preventiva, anticipando riesgos como fluctuaciones en los costos eficientes o ajustes regulatorios, y reportando oportunamente cualquier incumplimiento que pueda comprometer la legalidad o la transparencia del contrato que se encuentra en ejecución. </w:t>
      </w:r>
    </w:p>
    <w:p w14:paraId="5332F12E" w14:textId="77777777" w:rsidR="008D1818" w:rsidRPr="008D1818" w:rsidRDefault="008D1818" w:rsidP="002B2665">
      <w:pPr>
        <w:spacing w:after="0" w:line="240" w:lineRule="auto"/>
        <w:jc w:val="both"/>
        <w:rPr>
          <w:rFonts w:ascii="Verdana" w:eastAsia="Verdana" w:hAnsi="Verdana" w:cs="Verdana"/>
          <w:b/>
          <w:bCs/>
          <w:highlight w:val="white"/>
        </w:rPr>
      </w:pPr>
    </w:p>
    <w:p w14:paraId="5D875403" w14:textId="74FD24E9" w:rsidR="00D4216E" w:rsidRPr="008D1818" w:rsidRDefault="00D4216E" w:rsidP="002B2665">
      <w:pPr>
        <w:spacing w:after="0" w:line="240" w:lineRule="auto"/>
        <w:jc w:val="both"/>
        <w:rPr>
          <w:rFonts w:ascii="Verdana" w:eastAsia="Calibri" w:hAnsi="Verdana" w:cs="Arial"/>
          <w:b/>
          <w:bCs/>
          <w:lang w:val="es-ES" w:eastAsia="es-ES"/>
        </w:rPr>
      </w:pPr>
      <w:r w:rsidRPr="008D1818">
        <w:rPr>
          <w:rFonts w:ascii="Verdana" w:eastAsia="Verdana" w:hAnsi="Verdana" w:cs="Verdana"/>
          <w:b/>
          <w:bCs/>
          <w:highlight w:val="white"/>
        </w:rPr>
        <w:t>DOCUMENTOS TIPO – Ámbito de aplicación – Ausencia de disposiciones expresas sobre el SICE-TAC</w:t>
      </w:r>
    </w:p>
    <w:p w14:paraId="037A47B6" w14:textId="77777777" w:rsidR="00D4216E" w:rsidRPr="00D4216E" w:rsidRDefault="00D4216E" w:rsidP="002B2665">
      <w:pPr>
        <w:spacing w:after="0" w:line="240" w:lineRule="auto"/>
        <w:rPr>
          <w:rFonts w:ascii="Verdana" w:eastAsia="Verdana" w:hAnsi="Verdana" w:cs="Verdana"/>
          <w:lang w:val="es-ES"/>
        </w:rPr>
      </w:pPr>
    </w:p>
    <w:p w14:paraId="777B8275" w14:textId="77777777" w:rsidR="00FC39FE" w:rsidRDefault="00FC39FE" w:rsidP="002B2665">
      <w:pPr>
        <w:spacing w:after="0" w:line="240" w:lineRule="auto"/>
        <w:jc w:val="both"/>
        <w:rPr>
          <w:rFonts w:ascii="Verdana" w:eastAsia="Verdana" w:hAnsi="Verdana" w:cs="Verdana"/>
          <w:bCs/>
          <w:sz w:val="20"/>
          <w:szCs w:val="20"/>
        </w:rPr>
      </w:pPr>
      <w:r w:rsidRPr="00FC39FE">
        <w:rPr>
          <w:rFonts w:ascii="Verdana" w:eastAsia="Verdana" w:hAnsi="Verdana" w:cs="Verdana"/>
          <w:sz w:val="20"/>
          <w:szCs w:val="20"/>
          <w:lang w:val="es-ES_tradnl"/>
        </w:rPr>
        <w:t xml:space="preserve">En primer lugar, en torno a los procesos </w:t>
      </w:r>
      <w:r w:rsidRPr="00FC39FE">
        <w:rPr>
          <w:rFonts w:ascii="Verdana" w:eastAsia="Verdana" w:hAnsi="Verdana" w:cs="Verdana"/>
          <w:bCs/>
          <w:sz w:val="20"/>
          <w:szCs w:val="20"/>
        </w:rPr>
        <w:t>relacionadas con el Sistema de Información de Costos Eficientes para el Transporte Automotor de Carga —SICE-TAC— se señala que los Documentos Tipo actualmente vigentes no contienen disposiciones expresas ni con el régimen de relaciones económicas del servicio público de transporte terrestre automotor de carga. Si bien algunos de estos instrumentos son aplicables a procesos de obra pública, interventoría y consultoría de estudios de ingeniería en los sectores de infraestructura de transporte, agua potable y saneamiento básico e infraestructura social, su obligatoriedad se determina a partir del objeto contractual, la modalidad de selección y el ámbito de aplicación establecido en el acto administrativo que los adopta.</w:t>
      </w:r>
    </w:p>
    <w:p w14:paraId="6FAB86C1" w14:textId="142F5924" w:rsidR="00FC39FE" w:rsidRPr="00FC39FE" w:rsidRDefault="00FC39FE" w:rsidP="002B2665">
      <w:pPr>
        <w:spacing w:after="0" w:line="240" w:lineRule="auto"/>
        <w:jc w:val="both"/>
        <w:rPr>
          <w:rFonts w:ascii="Verdana" w:eastAsia="Verdana" w:hAnsi="Verdana" w:cs="Verdana"/>
          <w:bCs/>
          <w:sz w:val="20"/>
          <w:szCs w:val="20"/>
        </w:rPr>
      </w:pPr>
      <w:r w:rsidRPr="00FC39FE">
        <w:rPr>
          <w:rFonts w:ascii="Verdana" w:eastAsia="Verdana" w:hAnsi="Verdana" w:cs="Verdana"/>
          <w:bCs/>
          <w:sz w:val="20"/>
          <w:szCs w:val="20"/>
        </w:rPr>
        <w:t xml:space="preserve"> </w:t>
      </w:r>
    </w:p>
    <w:p w14:paraId="225D7B99" w14:textId="77777777" w:rsidR="00FC39FE" w:rsidRPr="00FC39FE" w:rsidRDefault="00FC39FE" w:rsidP="002B2665">
      <w:pPr>
        <w:spacing w:after="0" w:line="240" w:lineRule="auto"/>
        <w:jc w:val="both"/>
        <w:rPr>
          <w:rFonts w:ascii="Verdana" w:eastAsia="Verdana" w:hAnsi="Verdana" w:cs="Verdana"/>
          <w:bCs/>
          <w:sz w:val="20"/>
          <w:szCs w:val="20"/>
        </w:rPr>
      </w:pPr>
      <w:r w:rsidRPr="00FC39FE">
        <w:rPr>
          <w:rFonts w:ascii="Verdana" w:eastAsia="Verdana" w:hAnsi="Verdana" w:cs="Verdana"/>
          <w:bCs/>
          <w:sz w:val="20"/>
          <w:szCs w:val="20"/>
        </w:rPr>
        <w:t xml:space="preserve">Por tanto, la circunstancia de que un contrato comprenda el transporte de materiales, insumos, equipos o residuos como una actividad necesaria para su ejecución no determina, por sí sola, la aplicación de un Documento Tipo. En esta línea, no existe un Documento Tipo que comprenda, como categoría contractual autónoma, la prestación del servicio público de transporte terrestre automotor de carga ni todas las familias contractuales relacionadas en la petición. </w:t>
      </w:r>
    </w:p>
    <w:p w14:paraId="5F206E84" w14:textId="77777777" w:rsidR="00D4216E" w:rsidRDefault="00D4216E" w:rsidP="005F5849">
      <w:pPr>
        <w:spacing w:after="0"/>
        <w:rPr>
          <w:rFonts w:ascii="Verdana" w:eastAsia="Verdana" w:hAnsi="Verdana" w:cs="Verdana"/>
        </w:rPr>
      </w:pPr>
    </w:p>
    <w:p w14:paraId="011F5DDB" w14:textId="77777777" w:rsidR="00D4216E" w:rsidRDefault="00D4216E" w:rsidP="005F5849">
      <w:pPr>
        <w:spacing w:after="0"/>
        <w:rPr>
          <w:rFonts w:ascii="Verdana" w:eastAsia="Verdana" w:hAnsi="Verdana" w:cs="Verdana"/>
        </w:rPr>
      </w:pPr>
    </w:p>
    <w:p w14:paraId="1B02D700" w14:textId="77777777" w:rsidR="00A51B13" w:rsidRDefault="00A51B13" w:rsidP="005F5849">
      <w:pPr>
        <w:spacing w:after="0"/>
        <w:rPr>
          <w:rFonts w:ascii="Verdana" w:eastAsia="Verdana" w:hAnsi="Verdana" w:cs="Verdana"/>
        </w:rPr>
      </w:pPr>
    </w:p>
    <w:p w14:paraId="0B408D98" w14:textId="77777777" w:rsidR="00A51B13" w:rsidRDefault="00A51B13" w:rsidP="005F5849">
      <w:pPr>
        <w:spacing w:after="0"/>
        <w:rPr>
          <w:rFonts w:ascii="Verdana" w:eastAsia="Verdana" w:hAnsi="Verdana" w:cs="Verdana"/>
        </w:rPr>
      </w:pPr>
    </w:p>
    <w:p w14:paraId="6E4FE9EB" w14:textId="77777777" w:rsidR="00A51B13" w:rsidRDefault="00A51B13" w:rsidP="005F5849">
      <w:pPr>
        <w:spacing w:after="0"/>
        <w:rPr>
          <w:rFonts w:ascii="Verdana" w:eastAsia="Verdana" w:hAnsi="Verdana" w:cs="Verdana"/>
        </w:rPr>
      </w:pPr>
    </w:p>
    <w:p w14:paraId="7E2BB59F" w14:textId="544A7F1A" w:rsidR="005F5849" w:rsidRPr="001F1C13" w:rsidRDefault="005F5849" w:rsidP="005F5849">
      <w:pPr>
        <w:spacing w:after="0"/>
        <w:rPr>
          <w:rFonts w:ascii="Verdana" w:eastAsia="Calibri" w:hAnsi="Verdana" w:cs="Arial"/>
          <w:lang w:val="es-ES_tradnl" w:eastAsia="es-ES"/>
        </w:rPr>
      </w:pPr>
      <w:r w:rsidRPr="30821638">
        <w:rPr>
          <w:rFonts w:ascii="Verdana" w:eastAsia="Verdana" w:hAnsi="Verdana" w:cs="Verdana"/>
        </w:rPr>
        <w:lastRenderedPageBreak/>
        <w:t xml:space="preserve">Bogotá D.C., </w:t>
      </w:r>
      <w:r w:rsidR="00295C23">
        <w:rPr>
          <w:rFonts w:ascii="Verdana" w:eastAsia="Verdana" w:hAnsi="Verdana" w:cs="Verdana"/>
        </w:rPr>
        <w:t>18 de septiembre de 2026</w:t>
      </w:r>
      <w:r>
        <w:tab/>
      </w:r>
    </w:p>
    <w:p w14:paraId="6DE37F4F" w14:textId="48FADC97" w:rsidR="005F5849" w:rsidRPr="001F1C13" w:rsidRDefault="008D34DA" w:rsidP="005F5849">
      <w:pPr>
        <w:spacing w:after="0" w:line="240" w:lineRule="auto"/>
        <w:rPr>
          <w:rFonts w:ascii="Verdana" w:eastAsia="Calibri" w:hAnsi="Verdana" w:cs="Arial"/>
          <w:color w:val="000000"/>
          <w:lang w:val="es-ES"/>
        </w:rPr>
      </w:pPr>
      <w:r w:rsidRPr="008D34DA">
        <w:rPr>
          <w:noProof/>
        </w:rPr>
        <w:drawing>
          <wp:anchor distT="0" distB="0" distL="114300" distR="114300" simplePos="0" relativeHeight="251658240" behindDoc="0" locked="0" layoutInCell="1" allowOverlap="1" wp14:anchorId="6131AEBD" wp14:editId="2D0359D2">
            <wp:simplePos x="0" y="0"/>
            <wp:positionH relativeFrom="margin">
              <wp:posOffset>2989580</wp:posOffset>
            </wp:positionH>
            <wp:positionV relativeFrom="paragraph">
              <wp:posOffset>10795</wp:posOffset>
            </wp:positionV>
            <wp:extent cx="2617470" cy="709930"/>
            <wp:effectExtent l="0" t="0" r="0" b="0"/>
            <wp:wrapSquare wrapText="bothSides"/>
            <wp:docPr id="20810998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17470" cy="7099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97DEED" w14:textId="77777777" w:rsidR="005F5849" w:rsidRPr="001F1C13" w:rsidRDefault="005F5849" w:rsidP="005F5849">
      <w:pPr>
        <w:spacing w:after="0" w:line="240" w:lineRule="auto"/>
        <w:jc w:val="both"/>
        <w:rPr>
          <w:rFonts w:ascii="Verdana" w:eastAsia="Calibri" w:hAnsi="Verdana" w:cs="Arial"/>
          <w:color w:val="000000"/>
          <w:lang w:val="es-ES"/>
        </w:rPr>
      </w:pPr>
    </w:p>
    <w:p w14:paraId="1C501339" w14:textId="77777777" w:rsidR="005F5849" w:rsidRPr="001F1C13" w:rsidRDefault="005F5849" w:rsidP="005F5849">
      <w:pPr>
        <w:spacing w:after="0" w:line="240" w:lineRule="auto"/>
        <w:jc w:val="both"/>
        <w:rPr>
          <w:rFonts w:ascii="Verdana" w:eastAsia="Calibri" w:hAnsi="Verdana" w:cs="Arial"/>
          <w:lang w:eastAsia="es-ES"/>
        </w:rPr>
      </w:pPr>
      <w:r>
        <w:rPr>
          <w:rFonts w:ascii="Verdana" w:eastAsia="Calibri" w:hAnsi="Verdana" w:cs="Arial"/>
          <w:lang w:eastAsia="es-ES"/>
        </w:rPr>
        <w:t>Doctor</w:t>
      </w:r>
    </w:p>
    <w:p w14:paraId="46FE457A" w14:textId="77777777" w:rsidR="005F5849" w:rsidRPr="001F1C13" w:rsidRDefault="005F5849" w:rsidP="005F5849">
      <w:pPr>
        <w:spacing w:after="0" w:line="240" w:lineRule="auto"/>
        <w:rPr>
          <w:rFonts w:ascii="Verdana" w:eastAsia="Calibri" w:hAnsi="Verdana" w:cs="Arial"/>
          <w:b/>
          <w:lang w:eastAsia="es-ES_tradnl"/>
        </w:rPr>
      </w:pPr>
      <w:r w:rsidRPr="001F1C13">
        <w:rPr>
          <w:rFonts w:ascii="Verdana" w:eastAsia="Calibri" w:hAnsi="Verdana" w:cs="Arial"/>
          <w:b/>
          <w:lang w:eastAsia="es-ES_tradnl"/>
        </w:rPr>
        <w:t>Francisco Javier Fajardo Angarita</w:t>
      </w:r>
    </w:p>
    <w:p w14:paraId="23BC3602" w14:textId="77777777" w:rsidR="005F5849" w:rsidRPr="001F1C13" w:rsidRDefault="005F5849" w:rsidP="005F5849">
      <w:pPr>
        <w:spacing w:after="0" w:line="240" w:lineRule="auto"/>
        <w:rPr>
          <w:rFonts w:ascii="Verdana" w:eastAsia="Calibri" w:hAnsi="Verdana" w:cs="Arial"/>
          <w:lang w:val="es-ES" w:eastAsia="es-ES"/>
        </w:rPr>
      </w:pPr>
      <w:hyperlink r:id="rId12" w:history="1">
        <w:r w:rsidRPr="001F1C13">
          <w:rPr>
            <w:rStyle w:val="Hipervnculo"/>
            <w:rFonts w:ascii="Verdana" w:eastAsia="Calibri" w:hAnsi="Verdana" w:cs="Arial"/>
            <w:lang w:val="es-ES" w:eastAsia="es-ES"/>
          </w:rPr>
          <w:t>gerencia@franciscofajardoabogados.com</w:t>
        </w:r>
      </w:hyperlink>
      <w:r w:rsidRPr="001F1C13">
        <w:rPr>
          <w:rFonts w:ascii="Verdana" w:eastAsia="Calibri" w:hAnsi="Verdana" w:cs="Arial"/>
          <w:lang w:val="es-ES" w:eastAsia="es-ES"/>
        </w:rPr>
        <w:t xml:space="preserve"> </w:t>
      </w:r>
    </w:p>
    <w:p w14:paraId="0670B8A8" w14:textId="05FB0A2D" w:rsidR="005F5849" w:rsidRDefault="005F5849" w:rsidP="005F5849">
      <w:pPr>
        <w:spacing w:after="0" w:line="240" w:lineRule="auto"/>
        <w:rPr>
          <w:rFonts w:ascii="Verdana" w:eastAsia="Calibri" w:hAnsi="Verdana" w:cs="Arial"/>
          <w:lang w:val="es-ES" w:eastAsia="es-ES"/>
        </w:rPr>
      </w:pPr>
      <w:r>
        <w:rPr>
          <w:rFonts w:ascii="Verdana" w:eastAsia="Calibri" w:hAnsi="Verdana" w:cs="Arial"/>
          <w:lang w:val="es-ES" w:eastAsia="es-ES"/>
        </w:rPr>
        <w:t>Pasto, Nariño</w:t>
      </w:r>
    </w:p>
    <w:p w14:paraId="2D68B4E9" w14:textId="77777777" w:rsidR="005F5849" w:rsidRPr="00593A5F" w:rsidRDefault="005F5849" w:rsidP="005F5849">
      <w:pPr>
        <w:spacing w:after="0" w:line="240" w:lineRule="auto"/>
        <w:rPr>
          <w:rFonts w:ascii="Verdana" w:eastAsia="Calibri" w:hAnsi="Verdana" w:cs="Arial"/>
          <w:b/>
          <w:bCs/>
          <w:color w:val="000000"/>
          <w:lang w:val="es-ES_tradnl" w:eastAsia="es-ES_tradnl"/>
        </w:rPr>
      </w:pPr>
    </w:p>
    <w:p w14:paraId="24F12B1C" w14:textId="77777777" w:rsidR="005F5849" w:rsidRPr="00593A5F" w:rsidRDefault="005F5849" w:rsidP="005F5849">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F5849" w:rsidRPr="00593A5F" w14:paraId="1826DD1F" w14:textId="77777777" w:rsidTr="00B46413">
        <w:trPr>
          <w:trHeight w:val="884"/>
        </w:trPr>
        <w:tc>
          <w:tcPr>
            <w:tcW w:w="2689" w:type="dxa"/>
          </w:tcPr>
          <w:p w14:paraId="530F8A31" w14:textId="77777777" w:rsidR="005F5849" w:rsidRPr="00C00976" w:rsidRDefault="005F5849" w:rsidP="00B46413">
            <w:pPr>
              <w:jc w:val="both"/>
              <w:rPr>
                <w:rFonts w:ascii="Verdana" w:eastAsia="Calibri" w:hAnsi="Verdana" w:cs="Arial"/>
                <w:b/>
                <w:bCs/>
                <w:color w:val="7030A0"/>
                <w:lang w:val="es-ES_tradnl" w:eastAsia="es-ES_tradnl"/>
              </w:rPr>
            </w:pPr>
          </w:p>
        </w:tc>
        <w:tc>
          <w:tcPr>
            <w:tcW w:w="6100" w:type="dxa"/>
          </w:tcPr>
          <w:p w14:paraId="16355C69" w14:textId="67E0E91A" w:rsidR="005F5849" w:rsidRPr="00C00976" w:rsidRDefault="005F5849" w:rsidP="00B46413">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Concepto C</w:t>
            </w:r>
            <w:r w:rsidR="00E0248B">
              <w:rPr>
                <w:rFonts w:ascii="Verdana" w:eastAsia="Calibri" w:hAnsi="Verdana" w:cs="Arial"/>
                <w:b/>
                <w:bCs/>
                <w:lang w:val="es-ES" w:eastAsia="es-ES"/>
              </w:rPr>
              <w:t>-</w:t>
            </w:r>
            <w:r>
              <w:rPr>
                <w:rFonts w:ascii="Verdana" w:eastAsia="Calibri" w:hAnsi="Verdana" w:cs="Arial"/>
                <w:b/>
                <w:bCs/>
                <w:lang w:val="es-ES" w:eastAsia="es-ES"/>
              </w:rPr>
              <w:t>1242 de 2026</w:t>
            </w:r>
          </w:p>
        </w:tc>
      </w:tr>
      <w:tr w:rsidR="005F5849" w:rsidRPr="00593A5F" w14:paraId="0FAD4556" w14:textId="77777777" w:rsidTr="00B46413">
        <w:trPr>
          <w:trHeight w:val="884"/>
        </w:trPr>
        <w:tc>
          <w:tcPr>
            <w:tcW w:w="2689" w:type="dxa"/>
          </w:tcPr>
          <w:p w14:paraId="25FDB1D9" w14:textId="77777777" w:rsidR="005F5849" w:rsidRPr="00593A5F" w:rsidRDefault="005F5849" w:rsidP="00B46413">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109CA588" w14:textId="3A5B724C" w:rsidR="005F5849" w:rsidRPr="00B039CC" w:rsidRDefault="005F5849" w:rsidP="00B46413">
            <w:pPr>
              <w:spacing w:line="276" w:lineRule="auto"/>
              <w:jc w:val="both"/>
              <w:rPr>
                <w:rFonts w:ascii="Verdana" w:eastAsia="Calibri" w:hAnsi="Verdana" w:cs="Arial"/>
                <w:lang w:val="es-ES" w:eastAsia="es-ES"/>
              </w:rPr>
            </w:pPr>
            <w:r>
              <w:rPr>
                <w:rFonts w:ascii="Verdana" w:eastAsia="Verdana" w:hAnsi="Verdana" w:cs="Verdana"/>
                <w:highlight w:val="white"/>
              </w:rPr>
              <w:t xml:space="preserve">PLANEACIÓN CONTRACTUAL – Estudios y documentos previos – Análisis del sector – Estudio de mercado – Determinación del valor estimado – Componente de transporte / TRANSPORTE TERRESTRE AUTOMOTOR DE CARGA – Servicio público – Transporte privado – Empresa habilitada – Generador de la carga – Flete – Valor a Pagar / SICE-TAC – Costos eficientes de operación – Costos mínimos obligatorios – Aplicación de la regulación sectorial en la contratación estatal / RIESGOS PREVISIBLES – Identificación – Tipificación – Estimación – Asignación – Variación de los costos eficientes </w:t>
            </w:r>
            <w:r>
              <w:rPr>
                <w:rFonts w:ascii="Verdana" w:eastAsia="Verdana" w:hAnsi="Verdana" w:cs="Verdana"/>
              </w:rPr>
              <w:t xml:space="preserve">/ </w:t>
            </w:r>
            <w:r>
              <w:rPr>
                <w:rFonts w:ascii="Verdana" w:eastAsia="Verdana" w:hAnsi="Verdana" w:cs="Verdana"/>
                <w:highlight w:val="white"/>
              </w:rPr>
              <w:t>RIESGOS PREVISIBLES – Identificación – Tipificación – Estimación – Asignación – Variación de los costos eficientes / SUPERVISIÓN E INTERVENTORIA – Diferencias – Características / SUPERVISIÓN E INTERVENTORÍA – Seguimiento contractual – Evidencia documental – Informes – Consecuencias del incumplimiento / DOCUMENTOS TIPO – Ámbito de aplicación – Ausencia de disposiciones expresas sobre el SICE-TAC</w:t>
            </w:r>
            <w:r>
              <w:rPr>
                <w:rFonts w:ascii="Verdana" w:eastAsia="Verdana" w:hAnsi="Verdana" w:cs="Verdana"/>
              </w:rPr>
              <w:t xml:space="preserve"> </w:t>
            </w:r>
          </w:p>
          <w:p w14:paraId="648701C2" w14:textId="77777777" w:rsidR="005F5849" w:rsidRDefault="005F5849" w:rsidP="00B46413">
            <w:pPr>
              <w:spacing w:line="276" w:lineRule="auto"/>
              <w:jc w:val="both"/>
              <w:rPr>
                <w:rFonts w:ascii="Verdana" w:eastAsia="Calibri" w:hAnsi="Verdana" w:cs="Arial"/>
                <w:lang w:val="es-ES" w:eastAsia="es-ES"/>
              </w:rPr>
            </w:pPr>
          </w:p>
          <w:p w14:paraId="2A5B67E3" w14:textId="77777777" w:rsidR="005F5849" w:rsidRPr="00593A5F" w:rsidRDefault="005F5849" w:rsidP="00B46413">
            <w:pPr>
              <w:spacing w:line="276" w:lineRule="auto"/>
              <w:jc w:val="both"/>
              <w:rPr>
                <w:rFonts w:ascii="Verdana" w:eastAsia="Calibri" w:hAnsi="Verdana" w:cs="Arial"/>
                <w:lang w:val="es-ES" w:eastAsia="es-ES"/>
              </w:rPr>
            </w:pPr>
          </w:p>
        </w:tc>
      </w:tr>
      <w:tr w:rsidR="005F5849" w:rsidRPr="008E6AD9" w14:paraId="6A51FF60" w14:textId="77777777" w:rsidTr="00B46413">
        <w:tc>
          <w:tcPr>
            <w:tcW w:w="2689" w:type="dxa"/>
          </w:tcPr>
          <w:p w14:paraId="0549ADDE" w14:textId="77777777" w:rsidR="005F5849" w:rsidRPr="008E6AD9" w:rsidRDefault="005F5849" w:rsidP="00B46413">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769FC4E8" w14:textId="6D8688BE" w:rsidR="005F5849" w:rsidRPr="005E4484" w:rsidRDefault="005F5849" w:rsidP="00B46413">
            <w:pPr>
              <w:spacing w:line="276" w:lineRule="auto"/>
              <w:jc w:val="both"/>
              <w:rPr>
                <w:rFonts w:ascii="Verdana" w:eastAsia="Calibri" w:hAnsi="Verdana" w:cs="Arial"/>
                <w:lang w:val="es-ES" w:eastAsia="es-ES"/>
              </w:rPr>
            </w:pPr>
            <w:r w:rsidRPr="7A56CD1C">
              <w:rPr>
                <w:rFonts w:ascii="Verdana" w:eastAsia="Calibri" w:hAnsi="Verdana" w:cs="Arial"/>
                <w:lang w:val="es-ES" w:eastAsia="es-ES"/>
              </w:rPr>
              <w:t xml:space="preserve">Respuesta a la consulta con radicado </w:t>
            </w:r>
            <w:r w:rsidR="00E0248B" w:rsidRPr="7A56CD1C">
              <w:rPr>
                <w:rFonts w:ascii="Verdana" w:eastAsia="Calibri" w:hAnsi="Verdana" w:cs="Arial"/>
                <w:lang w:val="es-ES" w:eastAsia="es-ES"/>
              </w:rPr>
              <w:t>No. 1</w:t>
            </w:r>
            <w:r w:rsidRPr="7A56CD1C">
              <w:rPr>
                <w:rFonts w:ascii="Verdana" w:eastAsia="Calibri" w:hAnsi="Verdana" w:cs="Arial"/>
                <w:lang w:val="es-ES" w:eastAsia="es-ES"/>
              </w:rPr>
              <w:t xml:space="preserve">_2026_08_06_010425, 1_2026_08_06_010431, </w:t>
            </w:r>
            <w:r w:rsidRPr="7A56CD1C">
              <w:rPr>
                <w:rFonts w:ascii="Verdana" w:eastAsia="Calibri" w:hAnsi="Verdana" w:cs="Arial"/>
                <w:lang w:val="es-ES" w:eastAsia="es-ES"/>
              </w:rPr>
              <w:lastRenderedPageBreak/>
              <w:t>1_2026_08_06_010432, 1_2026_08_06_010460 y 1_2026_08_12_010697 (acumulado).</w:t>
            </w:r>
          </w:p>
        </w:tc>
      </w:tr>
    </w:tbl>
    <w:p w14:paraId="66BEF2E5" w14:textId="77777777" w:rsidR="005F5849" w:rsidRPr="00593A5F" w:rsidRDefault="005F5849" w:rsidP="005F5849">
      <w:pPr>
        <w:spacing w:after="0" w:line="240" w:lineRule="auto"/>
        <w:jc w:val="both"/>
        <w:rPr>
          <w:rFonts w:ascii="Verdana" w:eastAsia="Calibri" w:hAnsi="Verdana" w:cs="Arial"/>
          <w:color w:val="000000"/>
          <w:lang w:val="es-ES_tradnl" w:eastAsia="es-ES_tradnl"/>
        </w:rPr>
      </w:pPr>
    </w:p>
    <w:p w14:paraId="4679200B" w14:textId="77777777" w:rsidR="005F5849" w:rsidRPr="00593A5F" w:rsidRDefault="005F5849" w:rsidP="005F5849">
      <w:pPr>
        <w:spacing w:after="0" w:line="240" w:lineRule="auto"/>
        <w:jc w:val="both"/>
        <w:rPr>
          <w:rFonts w:ascii="Verdana" w:eastAsia="Calibri" w:hAnsi="Verdana" w:cs="Arial"/>
          <w:color w:val="000000"/>
          <w:lang w:val="es-ES_tradnl" w:eastAsia="es-ES_tradnl"/>
        </w:rPr>
      </w:pPr>
    </w:p>
    <w:p w14:paraId="2FCF3292" w14:textId="77777777" w:rsidR="005F5849" w:rsidRPr="008E6AD9" w:rsidRDefault="005F5849" w:rsidP="005F5849">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 Doctor Angarita</w:t>
      </w:r>
      <w:r w:rsidRPr="008E6AD9">
        <w:rPr>
          <w:rFonts w:ascii="Verdana" w:eastAsia="Calibri" w:hAnsi="Verdana" w:cs="Arial"/>
          <w:lang w:val="es-ES" w:eastAsia="es-ES"/>
        </w:rPr>
        <w:t xml:space="preserve">: </w:t>
      </w:r>
    </w:p>
    <w:p w14:paraId="3AD3C615" w14:textId="77777777" w:rsidR="005F5849" w:rsidRDefault="005F5849" w:rsidP="005F5849">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962F290" w14:textId="77777777" w:rsidR="005F5849" w:rsidRPr="00593A5F" w:rsidRDefault="005F5849" w:rsidP="005F5849">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FF469C">
        <w:rPr>
          <w:rFonts w:ascii="Verdana" w:hAnsi="Verdana" w:cs="Arial"/>
        </w:rPr>
        <w:t>así como lo establecido en el artículo 4 de la Resolución 469 de 2025 expedida por esta Entidad</w:t>
      </w:r>
      <w:r w:rsidRPr="00593A5F">
        <w:rPr>
          <w:rFonts w:ascii="Verdana" w:hAnsi="Verdana" w:cs="Arial"/>
        </w:rPr>
        <w:t xml:space="preserve">, </w:t>
      </w:r>
      <w:r w:rsidRPr="00593A5F">
        <w:rPr>
          <w:rFonts w:ascii="Verdana" w:eastAsia="Calibri" w:hAnsi="Verdana" w:cs="Arial"/>
          <w:color w:val="000000" w:themeColor="text1"/>
          <w:lang w:val="es-ES" w:eastAsia="es-ES"/>
        </w:rPr>
        <w:t xml:space="preserve">la Agencia Nacional de Contratación Pública – Colombia Compra Eficiente responde </w:t>
      </w:r>
      <w:r>
        <w:rPr>
          <w:rFonts w:ascii="Verdana" w:eastAsia="Calibri" w:hAnsi="Verdana" w:cs="Arial"/>
          <w:color w:val="000000" w:themeColor="text1"/>
          <w:lang w:val="es-ES" w:eastAsia="es-ES"/>
        </w:rPr>
        <w:t>sus solicitudes de consulta del 6 y 12 de agosto de 2026, en la cual manifiesta</w:t>
      </w:r>
      <w:r>
        <w:rPr>
          <w:rFonts w:ascii="Verdana" w:eastAsia="Calibri" w:hAnsi="Verdana" w:cs="Arial"/>
          <w:lang w:val="es-ES" w:eastAsia="es-ES"/>
        </w:rPr>
        <w:t>:</w:t>
      </w:r>
      <w:r w:rsidRPr="008E6AD9">
        <w:rPr>
          <w:rFonts w:ascii="Verdana" w:eastAsia="Calibri" w:hAnsi="Verdana" w:cs="Arial"/>
          <w:lang w:val="es-ES" w:eastAsia="es-ES"/>
        </w:rPr>
        <w:t xml:space="preserve"> </w:t>
      </w:r>
    </w:p>
    <w:p w14:paraId="14005D79" w14:textId="77777777" w:rsidR="005F5849" w:rsidRPr="00272A7B" w:rsidRDefault="005F5849" w:rsidP="005F5849">
      <w:pPr>
        <w:pStyle w:val="Prrafodelista"/>
        <w:tabs>
          <w:tab w:val="left" w:pos="142"/>
          <w:tab w:val="left" w:pos="284"/>
        </w:tabs>
        <w:spacing w:after="0" w:line="276" w:lineRule="auto"/>
        <w:ind w:left="0"/>
        <w:jc w:val="both"/>
        <w:rPr>
          <w:rFonts w:ascii="Verdana" w:eastAsia="Century Gothic" w:hAnsi="Verdana" w:cs="Century Gothic"/>
          <w:b/>
          <w:bCs/>
        </w:rPr>
      </w:pPr>
    </w:p>
    <w:p w14:paraId="6D0EB8A8" w14:textId="77777777" w:rsidR="005F5849" w:rsidRPr="004C6E0F" w:rsidRDefault="005F5849" w:rsidP="005F5849">
      <w:pPr>
        <w:spacing w:after="0" w:line="240" w:lineRule="auto"/>
        <w:ind w:left="709" w:right="709"/>
        <w:jc w:val="both"/>
        <w:rPr>
          <w:rFonts w:ascii="Verdana" w:eastAsia="Century Gothic" w:hAnsi="Verdana" w:cs="Century Gothic"/>
          <w:sz w:val="20"/>
          <w:szCs w:val="20"/>
        </w:rPr>
      </w:pPr>
      <w:r>
        <w:rPr>
          <w:rFonts w:ascii="Verdana" w:eastAsia="Century Gothic" w:hAnsi="Verdana" w:cs="Century Gothic"/>
          <w:sz w:val="20"/>
          <w:szCs w:val="20"/>
          <w:lang w:val="es-ES"/>
        </w:rPr>
        <w:t>“</w:t>
      </w:r>
      <w:r w:rsidRPr="004C6E0F">
        <w:rPr>
          <w:rFonts w:ascii="Verdana" w:eastAsia="Century Gothic" w:hAnsi="Verdana" w:cs="Century Gothic"/>
          <w:sz w:val="20"/>
          <w:szCs w:val="20"/>
        </w:rPr>
        <w:t xml:space="preserve">20. INFORMAR si los documentos tipo actualmente vigentes —adoptados en ejercicio de la competencia del artículo 1 de la Ley 2022 de 2020— contienen previsiones expresas relacionadas con la observancia del SICE-TAC o del régimen de relaciones económicas del transporte terrestre automotor de carga. En caso negativo, informar si su incorporación ha sido evaluada y en qué estado se encuentra dicho análisis.  </w:t>
      </w:r>
    </w:p>
    <w:p w14:paraId="68CEECBB" w14:textId="77777777" w:rsidR="005F5849" w:rsidRPr="004C6E0F" w:rsidRDefault="005F5849" w:rsidP="005F5849">
      <w:pPr>
        <w:spacing w:after="0" w:line="240" w:lineRule="auto"/>
        <w:ind w:left="709" w:right="709"/>
        <w:jc w:val="both"/>
        <w:rPr>
          <w:rFonts w:ascii="Verdana" w:eastAsia="Century Gothic" w:hAnsi="Verdana" w:cs="Century Gothic"/>
          <w:sz w:val="20"/>
          <w:szCs w:val="20"/>
        </w:rPr>
      </w:pPr>
      <w:r w:rsidRPr="004C6E0F">
        <w:rPr>
          <w:rFonts w:ascii="Verdana" w:eastAsia="Century Gothic" w:hAnsi="Verdana" w:cs="Century Gothic"/>
          <w:sz w:val="20"/>
          <w:szCs w:val="20"/>
        </w:rPr>
        <w:t xml:space="preserve">21. INFORMAR cuáles de las familias contractuales relacionadas en el Anexo III de este escrito se encuentran hoy cubiertas por documentos tipo y cuáles no, y precisar el criterio aplicable para incorporar exigencias sobre costos eficientes del transporte en las familias no cubiertas, en las que la entidad contratante conserva libertad de configuración de pliegos y minutas.  </w:t>
      </w:r>
    </w:p>
    <w:p w14:paraId="655CAAC2" w14:textId="77777777" w:rsidR="005F5849" w:rsidRPr="004C6E0F" w:rsidRDefault="005F5849" w:rsidP="005F5849">
      <w:pPr>
        <w:spacing w:after="0" w:line="240" w:lineRule="auto"/>
        <w:ind w:left="709" w:right="709"/>
        <w:jc w:val="both"/>
        <w:rPr>
          <w:rFonts w:ascii="Verdana" w:eastAsia="Century Gothic" w:hAnsi="Verdana" w:cs="Century Gothic"/>
          <w:sz w:val="20"/>
          <w:szCs w:val="20"/>
        </w:rPr>
      </w:pPr>
      <w:r w:rsidRPr="004C6E0F">
        <w:rPr>
          <w:rFonts w:ascii="Verdana" w:eastAsia="Century Gothic" w:hAnsi="Verdana" w:cs="Century Gothic"/>
          <w:sz w:val="20"/>
          <w:szCs w:val="20"/>
        </w:rPr>
        <w:t xml:space="preserve">22. EVALUAR y, de encontrarlo jurídicamente procedente, EXPEDIR una circular externa dirigida a las entidades sometidas al Estatuto General de Contratación de la Administración Pública en la que se recuerde el deber de observar el régimen sectorial de costos eficientes del transporte terrestre automotor de carga en la estructuración, evaluación, adjudicación y ejecución de los procesos de contratación que involucren dicha actividad, incluidos aquellos en que el transporte se integra verticalmente dentro de un objeto más amplio. De estimarlo improcedente, exponer las razones jurídicas correspondientes. </w:t>
      </w:r>
    </w:p>
    <w:p w14:paraId="2F0FB2BD" w14:textId="77777777" w:rsidR="005F5849" w:rsidRPr="004C6E0F" w:rsidRDefault="005F5849" w:rsidP="005F5849">
      <w:pPr>
        <w:spacing w:after="0" w:line="240" w:lineRule="auto"/>
        <w:ind w:left="709" w:right="709"/>
        <w:jc w:val="both"/>
        <w:rPr>
          <w:rFonts w:ascii="Verdana" w:eastAsia="Century Gothic" w:hAnsi="Verdana" w:cs="Century Gothic"/>
          <w:sz w:val="20"/>
          <w:szCs w:val="20"/>
        </w:rPr>
      </w:pPr>
      <w:r w:rsidRPr="004C6E0F">
        <w:rPr>
          <w:rFonts w:ascii="Verdana" w:eastAsia="Century Gothic" w:hAnsi="Verdana" w:cs="Century Gothic"/>
          <w:sz w:val="20"/>
          <w:szCs w:val="20"/>
        </w:rPr>
        <w:t>23. EVALUAR y, de encontrarlo procedente, ADOPTAR o recomendar una cláusula contractual tipo sobre cumplimiento del régimen de costos eficientes del transporte terrestre automotor de carga, aplicable a los contratos estatales que comprendan dicha actividad como prestación principal o accesoria. Para facilitar el análisis, se somete a consideración de la Agencia la propuesta de redacción contenida en el Anexo I de este escrito, sin perjuicio de los ajustes técnicos y jurídicos que la entidad estime necesarios.</w:t>
      </w:r>
    </w:p>
    <w:p w14:paraId="0848C379" w14:textId="77777777" w:rsidR="005F5849" w:rsidRPr="004C6E0F" w:rsidRDefault="005F5849" w:rsidP="005F5849">
      <w:pPr>
        <w:spacing w:after="0" w:line="240" w:lineRule="auto"/>
        <w:ind w:left="709" w:right="709"/>
        <w:jc w:val="both"/>
        <w:rPr>
          <w:rFonts w:ascii="Verdana" w:eastAsia="Century Gothic" w:hAnsi="Verdana" w:cs="Century Gothic"/>
          <w:sz w:val="20"/>
          <w:szCs w:val="20"/>
        </w:rPr>
      </w:pPr>
      <w:r w:rsidRPr="004C6E0F">
        <w:rPr>
          <w:rFonts w:ascii="Verdana" w:eastAsia="Century Gothic" w:hAnsi="Verdana" w:cs="Century Gothic"/>
          <w:sz w:val="20"/>
          <w:szCs w:val="20"/>
        </w:rPr>
        <w:t xml:space="preserve">24. EVALUAR y, de encontrarlo procedente, ADOPTAR o recomendar reglas de estructuración y de pliego que hagan verificable el componente de </w:t>
      </w:r>
      <w:r w:rsidRPr="004C6E0F">
        <w:rPr>
          <w:rFonts w:ascii="Verdana" w:eastAsia="Century Gothic" w:hAnsi="Verdana" w:cs="Century Gothic"/>
          <w:sz w:val="20"/>
          <w:szCs w:val="20"/>
        </w:rPr>
        <w:lastRenderedPageBreak/>
        <w:t xml:space="preserve">transporte en los procesos de contratación, en los términos de la propuesta contenida en el Anexo II de este escrito, referidas en particular a: (i) el análisis del sector; (ii) la desagregación del componente de transporte en el presupuesto oficial; (iii) la declaración exigible al oferente; (iv) el tratamiento del componente de transporte en el examen de ofertas con valor artificialmente bajo; y (v) los requisitos habilitantes cuando el transporte constituya prestación relevante del objeto.  </w:t>
      </w:r>
    </w:p>
    <w:p w14:paraId="6A7F9F05" w14:textId="77777777" w:rsidR="005F5849" w:rsidRPr="004C6E0F" w:rsidRDefault="005F5849" w:rsidP="005F5849">
      <w:pPr>
        <w:spacing w:after="0" w:line="240" w:lineRule="auto"/>
        <w:ind w:left="709" w:right="709"/>
        <w:jc w:val="both"/>
        <w:rPr>
          <w:rFonts w:ascii="Verdana" w:eastAsia="Century Gothic" w:hAnsi="Verdana" w:cs="Century Gothic"/>
          <w:sz w:val="20"/>
          <w:szCs w:val="20"/>
        </w:rPr>
      </w:pPr>
      <w:r w:rsidRPr="004C6E0F">
        <w:rPr>
          <w:rFonts w:ascii="Verdana" w:eastAsia="Century Gothic" w:hAnsi="Verdana" w:cs="Century Gothic"/>
          <w:sz w:val="20"/>
          <w:szCs w:val="20"/>
        </w:rPr>
        <w:t xml:space="preserve">25. INFORMAR si la Agencia considera procedente incorporar orientaciones específicas sobre esta materia en sus guías y manuales vigentes —en particular en los relativos al análisis del sector, a la elaboración de estudios previos, a la determinación y cobertura de riesgos, y a la supervisión e interventoría de contratos estatales— y, en caso afirmativo, indicar el cronograma, la dependencia responsable y los canales de divulgación. </w:t>
      </w:r>
    </w:p>
    <w:p w14:paraId="3D046725" w14:textId="77777777" w:rsidR="005F5849" w:rsidRPr="004C6E0F" w:rsidRDefault="005F5849" w:rsidP="005F5849">
      <w:pPr>
        <w:spacing w:after="0" w:line="240" w:lineRule="auto"/>
        <w:ind w:left="709" w:right="709"/>
        <w:jc w:val="both"/>
        <w:rPr>
          <w:rFonts w:ascii="Verdana" w:eastAsia="Century Gothic" w:hAnsi="Verdana" w:cs="Century Gothic"/>
          <w:sz w:val="20"/>
          <w:szCs w:val="20"/>
        </w:rPr>
      </w:pPr>
      <w:r w:rsidRPr="004C6E0F">
        <w:rPr>
          <w:rFonts w:ascii="Verdana" w:eastAsia="Century Gothic" w:hAnsi="Verdana" w:cs="Century Gothic"/>
          <w:sz w:val="20"/>
          <w:szCs w:val="20"/>
        </w:rPr>
        <w:t xml:space="preserve">26.  INFORMAR si, conforme a la regla de inalterabilidad de los documentos tipo, las entidades estatales pueden incorporar en los pliegos, en las minutas contractuales o en los anexos técnicos obligaciones de acreditación del cumplimiento del régimen de costos eficientes del transporte de carga, o si tal incorporación requiere previa adopción o ajuste por parte de la Agencia.   </w:t>
      </w:r>
    </w:p>
    <w:p w14:paraId="6CF5D898" w14:textId="77777777" w:rsidR="005F5849" w:rsidRPr="004C6E0F" w:rsidRDefault="005F5849" w:rsidP="005F5849">
      <w:pPr>
        <w:spacing w:after="0" w:line="240" w:lineRule="auto"/>
        <w:ind w:left="709" w:right="709"/>
        <w:jc w:val="both"/>
        <w:rPr>
          <w:rFonts w:ascii="Verdana" w:eastAsia="Century Gothic" w:hAnsi="Verdana" w:cs="Century Gothic"/>
          <w:sz w:val="20"/>
          <w:szCs w:val="20"/>
        </w:rPr>
      </w:pPr>
      <w:r w:rsidRPr="004C6E0F">
        <w:rPr>
          <w:rFonts w:ascii="Verdana" w:eastAsia="Century Gothic" w:hAnsi="Verdana" w:cs="Century Gothic"/>
          <w:sz w:val="20"/>
          <w:szCs w:val="20"/>
        </w:rPr>
        <w:t xml:space="preserve"> 27.  INFORMAR el criterio de la Agencia sobre la tipificación, estimación y asignación del riesgo asociado a la regulación sectorial del transporte de carga —incluida la variación periódica de los costos eficientes durante la ejecución— en la matriz de riesgos de los procesos de contratación, en los términos del artículo 4 de la Ley 1150 de 2007, precisando a cuál de las partes correspondería su asunción y en qué condiciones.</w:t>
      </w:r>
    </w:p>
    <w:p w14:paraId="2E833D79" w14:textId="77777777" w:rsidR="005F5849" w:rsidRPr="004C6E0F" w:rsidRDefault="005F5849" w:rsidP="005F5849">
      <w:pPr>
        <w:spacing w:after="0" w:line="240" w:lineRule="auto"/>
        <w:ind w:left="709" w:right="709"/>
        <w:jc w:val="both"/>
        <w:rPr>
          <w:rFonts w:ascii="Verdana" w:eastAsia="Century Gothic" w:hAnsi="Verdana" w:cs="Century Gothic"/>
          <w:sz w:val="20"/>
          <w:szCs w:val="20"/>
        </w:rPr>
      </w:pPr>
      <w:r w:rsidRPr="004C6E0F">
        <w:rPr>
          <w:rFonts w:ascii="Verdana" w:eastAsia="Century Gothic" w:hAnsi="Verdana" w:cs="Century Gothic"/>
          <w:sz w:val="20"/>
          <w:szCs w:val="20"/>
        </w:rPr>
        <w:t xml:space="preserve">28. INFORMAR el criterio de la Agencia sobre la evidencia documental que la supervisión o la interventoría pueden y deben exigir al contratista para verificar el cumplimiento del régimen sectorial durante la ejecución —tales como manifiestos electrónicos de carga, soportes de pago al propietario, poseedor o tenedor del vehículo, constancias de habilitación de la empresa transportadora y reportes al RNDC—, así como sobre la periodicidad de los informes y las consecuencias contractuales del incumplimiento. </w:t>
      </w:r>
    </w:p>
    <w:p w14:paraId="7BDA2757" w14:textId="77777777" w:rsidR="005F5849" w:rsidRPr="004C6E0F" w:rsidRDefault="005F5849" w:rsidP="005F5849">
      <w:pPr>
        <w:spacing w:after="0" w:line="240" w:lineRule="auto"/>
        <w:ind w:left="709" w:right="709"/>
        <w:jc w:val="both"/>
        <w:rPr>
          <w:rFonts w:ascii="Verdana" w:eastAsia="Century Gothic" w:hAnsi="Verdana" w:cs="Century Gothic"/>
          <w:sz w:val="20"/>
          <w:szCs w:val="20"/>
        </w:rPr>
      </w:pPr>
      <w:r w:rsidRPr="004C6E0F">
        <w:rPr>
          <w:rFonts w:ascii="Verdana" w:eastAsia="Century Gothic" w:hAnsi="Verdana" w:cs="Century Gothic"/>
          <w:sz w:val="20"/>
          <w:szCs w:val="20"/>
        </w:rPr>
        <w:t xml:space="preserve">29. INFORMAR si la Agencia ha emitido conceptos, pronunciamientos o respuestas a consultas relacionadas con el SICE-TAC, con el régimen de relaciones económicas del transporte de carga o con la aplicación de la regulación sectorial del transporte en la contratación estatal, y remitir su identificación y enlace de consulta en la relatoría institucional. </w:t>
      </w:r>
    </w:p>
    <w:p w14:paraId="7B243361" w14:textId="77777777" w:rsidR="005F5849" w:rsidRPr="004C6E0F" w:rsidRDefault="005F5849" w:rsidP="005F5849">
      <w:pPr>
        <w:spacing w:after="0" w:line="240" w:lineRule="auto"/>
        <w:ind w:left="709" w:right="709"/>
        <w:jc w:val="both"/>
        <w:rPr>
          <w:rFonts w:ascii="Verdana" w:eastAsia="Century Gothic" w:hAnsi="Verdana" w:cs="Century Gothic"/>
          <w:sz w:val="20"/>
          <w:szCs w:val="20"/>
        </w:rPr>
      </w:pPr>
      <w:r w:rsidRPr="004C6E0F">
        <w:rPr>
          <w:rFonts w:ascii="Verdana" w:eastAsia="Century Gothic" w:hAnsi="Verdana" w:cs="Century Gothic"/>
          <w:sz w:val="20"/>
          <w:szCs w:val="20"/>
        </w:rPr>
        <w:t xml:space="preserve"> 30. INFORMAR si en la Tienda Virtual del Estado Colombiano existen acuerdos marco de precios o instrumentos de agregación de demanda cuyo objeto involucre o comprenda transporte terrestre automotor de carga —incluidos aquellos cuya cotización comprende la entrega en las sedes del comprador— y, en caso afirmativo, de qué manera se garantiza en ellos la observancia del piso mínimo obligatorio de costos eficientes.</w:t>
      </w:r>
    </w:p>
    <w:p w14:paraId="36D41D54" w14:textId="77777777" w:rsidR="005F5849" w:rsidRPr="004C6E0F" w:rsidRDefault="005F5849" w:rsidP="005F5849">
      <w:pPr>
        <w:spacing w:after="0" w:line="240" w:lineRule="auto"/>
        <w:ind w:left="709" w:right="709"/>
        <w:jc w:val="both"/>
        <w:rPr>
          <w:rFonts w:ascii="Verdana" w:eastAsia="Century Gothic" w:hAnsi="Verdana" w:cs="Century Gothic"/>
          <w:sz w:val="20"/>
          <w:szCs w:val="20"/>
        </w:rPr>
      </w:pPr>
      <w:r w:rsidRPr="004C6E0F">
        <w:rPr>
          <w:rFonts w:ascii="Verdana" w:eastAsia="Century Gothic" w:hAnsi="Verdana" w:cs="Century Gothic"/>
          <w:sz w:val="20"/>
          <w:szCs w:val="20"/>
        </w:rPr>
        <w:t xml:space="preserve">31. INFORMAR si el SECOP permite —o si la Agencia ha previsto habilitar— la identificación y el seguimiento agregado de los procesos de contratación que involucran transporte terrestre automotor de carga, por ejemplo, a </w:t>
      </w:r>
      <w:r w:rsidRPr="004C6E0F">
        <w:rPr>
          <w:rFonts w:ascii="Verdana" w:eastAsia="Century Gothic" w:hAnsi="Verdana" w:cs="Century Gothic"/>
          <w:sz w:val="20"/>
          <w:szCs w:val="20"/>
        </w:rPr>
        <w:lastRenderedPageBreak/>
        <w:t>través de los códigos del Clasificador de Bienes y Servicios (UNSPSC), y si dicha funcionalidad permitiría dimensionar el universo a que se refiere la petición 2.</w:t>
      </w:r>
    </w:p>
    <w:p w14:paraId="0275FA8F" w14:textId="77777777" w:rsidR="005F5849" w:rsidRPr="005E4484" w:rsidRDefault="005F5849" w:rsidP="005F5849">
      <w:pPr>
        <w:spacing w:after="0" w:line="240" w:lineRule="auto"/>
        <w:ind w:left="709" w:right="709"/>
        <w:jc w:val="both"/>
        <w:rPr>
          <w:rFonts w:ascii="Verdana" w:eastAsia="Century Gothic" w:hAnsi="Verdana" w:cs="Century Gothic"/>
          <w:sz w:val="20"/>
          <w:szCs w:val="20"/>
        </w:rPr>
      </w:pPr>
      <w:r w:rsidRPr="004C6E0F">
        <w:rPr>
          <w:rFonts w:ascii="Verdana" w:eastAsia="Century Gothic" w:hAnsi="Verdana" w:cs="Century Gothic"/>
          <w:sz w:val="20"/>
          <w:szCs w:val="20"/>
        </w:rPr>
        <w:t>32. INFORMAR si la Agencia estima procedente convocar o participar en una mesa técnica conjunta con el Ministerio de Transporte y con las entidades rectoras sectoriales relacionadas en el Anexo III para abordar la materia objeto de esta petición y, en caso afirmativo, indicar el cronograma previsto</w:t>
      </w:r>
      <w:r>
        <w:rPr>
          <w:rFonts w:ascii="Verdana" w:eastAsia="Century Gothic" w:hAnsi="Verdana" w:cs="Century Gothic"/>
          <w:sz w:val="20"/>
          <w:szCs w:val="20"/>
        </w:rPr>
        <w:t>”</w:t>
      </w:r>
      <w:r w:rsidRPr="005E4484">
        <w:rPr>
          <w:rFonts w:ascii="Verdana" w:eastAsia="Century Gothic" w:hAnsi="Verdana" w:cs="Century Gothic"/>
          <w:sz w:val="20"/>
          <w:szCs w:val="20"/>
        </w:rPr>
        <w:t>.</w:t>
      </w:r>
    </w:p>
    <w:p w14:paraId="0319E7AA" w14:textId="77777777" w:rsidR="005F5849" w:rsidRPr="008E6AD9" w:rsidRDefault="005F5849" w:rsidP="005F5849">
      <w:pPr>
        <w:pStyle w:val="Prrafodelista"/>
        <w:tabs>
          <w:tab w:val="left" w:pos="142"/>
          <w:tab w:val="left" w:pos="284"/>
        </w:tabs>
        <w:spacing w:after="0" w:line="276" w:lineRule="auto"/>
        <w:ind w:left="0"/>
        <w:jc w:val="both"/>
        <w:rPr>
          <w:rFonts w:ascii="Verdana" w:eastAsia="Century Gothic" w:hAnsi="Verdana" w:cs="Century Gothic"/>
          <w:b/>
          <w:bCs/>
        </w:rPr>
      </w:pPr>
    </w:p>
    <w:p w14:paraId="13D92294" w14:textId="77777777" w:rsidR="005F5849" w:rsidRPr="00A652FF" w:rsidRDefault="005F5849" w:rsidP="005F5849">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0C104CA0" w14:textId="77777777" w:rsidR="005F5849" w:rsidRDefault="005F5849" w:rsidP="005F5849">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 xml:space="preserve">los problemas jurídicos de su consulta. </w:t>
      </w:r>
    </w:p>
    <w:p w14:paraId="68583F34" w14:textId="77777777" w:rsidR="005F5849" w:rsidRPr="00593A5F" w:rsidRDefault="005F5849" w:rsidP="005F5849">
      <w:pPr>
        <w:spacing w:after="0" w:line="276" w:lineRule="auto"/>
        <w:ind w:firstLine="709"/>
        <w:jc w:val="both"/>
        <w:rPr>
          <w:rFonts w:ascii="Verdana" w:eastAsia="Calibri" w:hAnsi="Verdana" w:cs="Arial"/>
          <w:color w:val="000000"/>
          <w:lang w:val="es-ES" w:eastAsia="es-ES"/>
        </w:rPr>
      </w:pPr>
    </w:p>
    <w:p w14:paraId="1C7D9490" w14:textId="77777777" w:rsidR="005F5849" w:rsidRPr="00593A5F" w:rsidRDefault="005F5849" w:rsidP="005F5849">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18B92471" w14:textId="77777777" w:rsidR="005F5849" w:rsidRPr="00593A5F" w:rsidRDefault="005F5849" w:rsidP="005F5849">
      <w:pPr>
        <w:tabs>
          <w:tab w:val="left" w:pos="426"/>
        </w:tabs>
        <w:spacing w:after="0" w:line="276" w:lineRule="auto"/>
        <w:jc w:val="both"/>
        <w:rPr>
          <w:rFonts w:ascii="Verdana" w:eastAsia="Century Gothic" w:hAnsi="Verdana" w:cs="Century Gothic"/>
          <w:lang w:val="es-ES"/>
        </w:rPr>
      </w:pPr>
    </w:p>
    <w:p w14:paraId="11B7CB82" w14:textId="77777777" w:rsidR="005F5849" w:rsidRDefault="005F5849" w:rsidP="005F5849">
      <w:pPr>
        <w:spacing w:after="0" w:line="276" w:lineRule="auto"/>
        <w:jc w:val="both"/>
        <w:rPr>
          <w:rFonts w:ascii="Verdana" w:eastAsia="Century Gothic" w:hAnsi="Verdana" w:cs="Century Gothic"/>
        </w:rPr>
      </w:pPr>
      <w:r w:rsidRPr="00EF1386">
        <w:rPr>
          <w:rFonts w:ascii="Verdana" w:eastAsia="Century Gothic" w:hAnsi="Verdana" w:cs="Century Gothic"/>
        </w:rPr>
        <w:t>De acuerdo con el contenido de su solicitud, esta Agencia resolverá</w:t>
      </w:r>
      <w:r>
        <w:rPr>
          <w:rFonts w:ascii="Verdana" w:eastAsia="Century Gothic" w:hAnsi="Verdana" w:cs="Century Gothic"/>
        </w:rPr>
        <w:t xml:space="preserve"> los siguientes problemas jurídicos</w:t>
      </w:r>
      <w:r w:rsidRPr="00EF1386">
        <w:rPr>
          <w:rFonts w:ascii="Verdana" w:eastAsia="Century Gothic" w:hAnsi="Verdana" w:cs="Century Gothic"/>
        </w:rPr>
        <w:t>:</w:t>
      </w:r>
      <w:r>
        <w:rPr>
          <w:rFonts w:ascii="Verdana" w:eastAsia="Century Gothic" w:hAnsi="Verdana" w:cs="Century Gothic"/>
        </w:rPr>
        <w:t xml:space="preserve"> </w:t>
      </w:r>
      <w:r w:rsidRPr="00D60ECC">
        <w:rPr>
          <w:rFonts w:ascii="Verdana" w:eastAsia="Century Gothic" w:hAnsi="Verdana" w:cs="Century Gothic"/>
        </w:rPr>
        <w:t>i) ¿Los Documentos Tipo actualmente vigentes contienen disposiciones expresas sobre el SICE-TAC o sobre el régimen de relaciones económicas del transporte terrestre automotor de carga?;</w:t>
      </w:r>
      <w:r>
        <w:rPr>
          <w:rFonts w:ascii="Verdana" w:eastAsia="Century Gothic" w:hAnsi="Verdana" w:cs="Century Gothic"/>
        </w:rPr>
        <w:t xml:space="preserve"> </w:t>
      </w:r>
      <w:r w:rsidRPr="00D60ECC">
        <w:rPr>
          <w:rFonts w:ascii="Verdana" w:eastAsia="Century Gothic" w:hAnsi="Verdana" w:cs="Century Gothic"/>
        </w:rPr>
        <w:t>ii) ¿la Agencia ha adoptado o proyecta adoptar circulares, cláusulas contractuales tipo, reglas de estructuración u orientaciones en sus guías y manuales relacionadas con</w:t>
      </w:r>
      <w:r>
        <w:rPr>
          <w:rFonts w:ascii="Verdana" w:eastAsia="Century Gothic" w:hAnsi="Verdana" w:cs="Century Gothic"/>
        </w:rPr>
        <w:t xml:space="preserve"> el transporte terrestre automotor de carga</w:t>
      </w:r>
      <w:r w:rsidRPr="00D60ECC">
        <w:rPr>
          <w:rFonts w:ascii="Verdana" w:eastAsia="Century Gothic" w:hAnsi="Verdana" w:cs="Century Gothic"/>
        </w:rPr>
        <w:t>?; i</w:t>
      </w:r>
      <w:r>
        <w:rPr>
          <w:rFonts w:ascii="Verdana" w:eastAsia="Century Gothic" w:hAnsi="Verdana" w:cs="Century Gothic"/>
        </w:rPr>
        <w:t>ii</w:t>
      </w:r>
      <w:r w:rsidRPr="00D60ECC">
        <w:rPr>
          <w:rFonts w:ascii="Verdana" w:eastAsia="Century Gothic" w:hAnsi="Verdana" w:cs="Century Gothic"/>
        </w:rPr>
        <w:t xml:space="preserve">) ¿cómo deben las Entidades Estatales identificar, tipificar, estimar y asignar los riesgos derivados de la regulación sectorial del transporte de carga, incluida la variación de los costos </w:t>
      </w:r>
      <w:r w:rsidRPr="00D60ECC">
        <w:rPr>
          <w:rFonts w:ascii="Verdana" w:eastAsia="Century Gothic" w:hAnsi="Verdana" w:cs="Century Gothic"/>
        </w:rPr>
        <w:lastRenderedPageBreak/>
        <w:t xml:space="preserve">eficientes durante la ejecución contractual?; </w:t>
      </w:r>
      <w:r>
        <w:rPr>
          <w:rFonts w:ascii="Verdana" w:eastAsia="Century Gothic" w:hAnsi="Verdana" w:cs="Century Gothic"/>
        </w:rPr>
        <w:t>i</w:t>
      </w:r>
      <w:r w:rsidRPr="00D60ECC">
        <w:rPr>
          <w:rFonts w:ascii="Verdana" w:eastAsia="Century Gothic" w:hAnsi="Verdana" w:cs="Century Gothic"/>
        </w:rPr>
        <w:t>v) ¿qué</w:t>
      </w:r>
      <w:r>
        <w:rPr>
          <w:rFonts w:ascii="Verdana" w:eastAsia="Century Gothic" w:hAnsi="Verdana" w:cs="Century Gothic"/>
        </w:rPr>
        <w:t xml:space="preserve"> condiciones</w:t>
      </w:r>
      <w:r w:rsidRPr="00D60ECC">
        <w:rPr>
          <w:rFonts w:ascii="Verdana" w:eastAsia="Century Gothic" w:hAnsi="Verdana" w:cs="Century Gothic"/>
        </w:rPr>
        <w:t xml:space="preserve"> pueden exigir los supervisores e interventores para verificar el cumplimiento de este régimen, con qué periodicidad debe realizarse la verificación y cuáles son las consecuencias contractuales de su incumplimiento?; v) ¿</w:t>
      </w:r>
      <w:r>
        <w:rPr>
          <w:rFonts w:ascii="Verdana" w:eastAsia="Century Gothic" w:hAnsi="Verdana" w:cs="Century Gothic"/>
        </w:rPr>
        <w:t>Existen</w:t>
      </w:r>
      <w:r w:rsidRPr="00D60ECC">
        <w:rPr>
          <w:rFonts w:ascii="Verdana" w:eastAsia="Century Gothic" w:hAnsi="Verdana" w:cs="Century Gothic"/>
        </w:rPr>
        <w:t xml:space="preserve"> Acuerdos Marco de Precios o instrumentos de agregación de demanda cuyo objeto comprenda la prestación del servicio público de transporte terrestre automotor de carga?</w:t>
      </w:r>
      <w:r>
        <w:rPr>
          <w:rFonts w:ascii="Verdana" w:eastAsia="Century Gothic" w:hAnsi="Verdana" w:cs="Century Gothic"/>
        </w:rPr>
        <w:t xml:space="preserve">; y vi) </w:t>
      </w:r>
      <w:r w:rsidRPr="007154A7">
        <w:rPr>
          <w:rFonts w:ascii="Verdana" w:eastAsia="Century Gothic" w:hAnsi="Verdana" w:cs="Century Gothic"/>
        </w:rPr>
        <w:t>¿El SECOP cuenta actualmente —o se prevé habilitar— mecanismos que permitan identificar y realizar seguimiento agregado de los procesos de contratación relacionados con el transporte terrestre automotor de carga, por ejemplo, mediante el uso de los códigos del Clasificador de Bienes y Servicios (UNSPSC), y que faciliten dimensionar el universo de procesos vinculados a esta actividad?</w:t>
      </w:r>
    </w:p>
    <w:p w14:paraId="53070681" w14:textId="77777777" w:rsidR="005F5849" w:rsidRPr="00DD4AA5" w:rsidRDefault="005F5849" w:rsidP="005F5849">
      <w:pPr>
        <w:spacing w:after="0" w:line="276" w:lineRule="auto"/>
        <w:jc w:val="both"/>
        <w:rPr>
          <w:rFonts w:ascii="Verdana" w:eastAsia="Century Gothic" w:hAnsi="Verdana" w:cs="Century Gothic"/>
        </w:rPr>
      </w:pPr>
    </w:p>
    <w:p w14:paraId="4F915941" w14:textId="77777777" w:rsidR="005F5849" w:rsidRPr="00593A5F" w:rsidRDefault="005F5849" w:rsidP="005F584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1619FD04" w14:textId="77777777" w:rsidR="005F5849" w:rsidRPr="00593A5F" w:rsidRDefault="005F5849" w:rsidP="005F584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F5849" w:rsidRPr="00593A5F" w14:paraId="6F44460B" w14:textId="77777777" w:rsidTr="00B46413">
        <w:trPr>
          <w:jc w:val="center"/>
        </w:trPr>
        <w:tc>
          <w:tcPr>
            <w:tcW w:w="8828" w:type="dxa"/>
          </w:tcPr>
          <w:p w14:paraId="7E0C333A" w14:textId="77777777" w:rsidR="005F5849" w:rsidRDefault="005F5849" w:rsidP="00B46413">
            <w:pPr>
              <w:spacing w:line="276" w:lineRule="auto"/>
              <w:jc w:val="both"/>
              <w:rPr>
                <w:rFonts w:ascii="Verdana" w:eastAsia="Calibri" w:hAnsi="Verdana" w:cs="Arial"/>
                <w:lang w:val="es-MX"/>
              </w:rPr>
            </w:pPr>
            <w:bookmarkStart w:id="1" w:name="_Hlk171694685"/>
            <w:r w:rsidRPr="00C53E3E">
              <w:rPr>
                <w:rFonts w:ascii="Verdana" w:eastAsia="Calibri" w:hAnsi="Verdana" w:cs="Arial"/>
                <w:lang w:val="es-MX"/>
              </w:rPr>
              <w:t>Conforme a l</w:t>
            </w:r>
            <w:r>
              <w:rPr>
                <w:rFonts w:ascii="Verdana" w:eastAsia="Calibri" w:hAnsi="Verdana" w:cs="Arial"/>
                <w:lang w:val="es-MX"/>
              </w:rPr>
              <w:t>os problemas jurídicos de su consulta, se expresa lo siguiente:</w:t>
            </w:r>
          </w:p>
          <w:p w14:paraId="351641CA" w14:textId="77777777" w:rsidR="005F5849" w:rsidRDefault="005F5849" w:rsidP="00B46413">
            <w:pPr>
              <w:spacing w:line="276" w:lineRule="auto"/>
              <w:jc w:val="both"/>
              <w:rPr>
                <w:rFonts w:ascii="Verdana" w:eastAsia="Calibri" w:hAnsi="Verdana" w:cs="Arial"/>
                <w:lang w:val="es-MX"/>
              </w:rPr>
            </w:pPr>
          </w:p>
          <w:p w14:paraId="31E6B6D4" w14:textId="77777777" w:rsidR="005F5849" w:rsidRDefault="005F5849" w:rsidP="00B46413">
            <w:pPr>
              <w:spacing w:after="120" w:line="276" w:lineRule="auto"/>
              <w:jc w:val="both"/>
              <w:rPr>
                <w:rFonts w:ascii="Verdana" w:eastAsia="Calibri" w:hAnsi="Verdana" w:cs="Arial"/>
                <w:bCs/>
                <w:color w:val="000000" w:themeColor="text1"/>
              </w:rPr>
            </w:pPr>
            <w:r>
              <w:rPr>
                <w:rFonts w:ascii="Verdana" w:eastAsia="Calibri" w:hAnsi="Verdana" w:cs="Arial"/>
                <w:lang w:val="es-MX"/>
              </w:rPr>
              <w:t>i. En torno al primer problema jurídico de su consulta, se expone que en</w:t>
            </w:r>
            <w:r>
              <w:rPr>
                <w:rFonts w:ascii="Verdana" w:hAnsi="Verdana" w:cs="Arial"/>
                <w:color w:val="000000" w:themeColor="text1"/>
                <w:lang w:val="es-ES_tradnl"/>
              </w:rPr>
              <w:t xml:space="preserve"> torno a los procesos </w:t>
            </w:r>
            <w:r w:rsidRPr="009D75D7">
              <w:rPr>
                <w:rFonts w:ascii="Verdana" w:eastAsia="Calibri" w:hAnsi="Verdana" w:cs="Arial"/>
                <w:bCs/>
                <w:color w:val="000000" w:themeColor="text1"/>
              </w:rPr>
              <w:t>relacionadas con el Sistema de Información de Costos Eficientes para el Transporte Automotor de Carga —SICE-TAC—</w:t>
            </w:r>
            <w:r>
              <w:rPr>
                <w:rFonts w:ascii="Verdana" w:eastAsia="Calibri" w:hAnsi="Verdana" w:cs="Arial"/>
                <w:bCs/>
                <w:color w:val="000000" w:themeColor="text1"/>
              </w:rPr>
              <w:t>que l</w:t>
            </w:r>
            <w:r w:rsidRPr="009D75D7">
              <w:rPr>
                <w:rFonts w:ascii="Verdana" w:eastAsia="Calibri" w:hAnsi="Verdana" w:cs="Arial"/>
                <w:bCs/>
                <w:color w:val="000000" w:themeColor="text1"/>
              </w:rPr>
              <w:t xml:space="preserve">os Documentos Tipo actualmente vigentes no contienen disposiciones expresas ni con el régimen de relaciones económicas del servicio público de transporte terrestre automotor de carga. Si bien algunos de estos instrumentos son aplicables a procesos de obra pública, interventoría y consultoría de estudios de ingeniería en los sectores de infraestructura de transporte, agua potable y saneamiento básico e infraestructura social, su obligatoriedad se determina a partir del objeto contractual, la modalidad de selección y el ámbito de aplicación establecido en el acto administrativo que los adopta. </w:t>
            </w:r>
          </w:p>
          <w:p w14:paraId="7B00B1B0" w14:textId="77777777" w:rsidR="005F5849" w:rsidRDefault="005F5849" w:rsidP="00B46413">
            <w:pPr>
              <w:spacing w:line="276" w:lineRule="auto"/>
              <w:ind w:firstLine="709"/>
              <w:jc w:val="both"/>
              <w:rPr>
                <w:rFonts w:ascii="Verdana" w:eastAsia="Calibri" w:hAnsi="Verdana" w:cs="Arial"/>
                <w:bCs/>
                <w:color w:val="000000" w:themeColor="text1"/>
              </w:rPr>
            </w:pPr>
            <w:r w:rsidRPr="009D75D7">
              <w:rPr>
                <w:rFonts w:ascii="Verdana" w:eastAsia="Calibri" w:hAnsi="Verdana" w:cs="Arial"/>
                <w:bCs/>
                <w:color w:val="000000" w:themeColor="text1"/>
              </w:rPr>
              <w:t>Por tanto, la circunstancia de que un contrato comprenda el transporte de materiales, insumos, equipos o residuos como una actividad necesaria para su ejecución no determina, por sí sola, la aplicación de un Documento Tipo.</w:t>
            </w:r>
            <w:r>
              <w:rPr>
                <w:rFonts w:ascii="Verdana" w:eastAsia="Calibri" w:hAnsi="Verdana" w:cs="Arial"/>
                <w:bCs/>
                <w:color w:val="000000" w:themeColor="text1"/>
              </w:rPr>
              <w:t xml:space="preserve"> En esta línea, no </w:t>
            </w:r>
            <w:r w:rsidRPr="009D75D7">
              <w:rPr>
                <w:rFonts w:ascii="Verdana" w:eastAsia="Calibri" w:hAnsi="Verdana" w:cs="Arial"/>
                <w:bCs/>
                <w:color w:val="000000" w:themeColor="text1"/>
              </w:rPr>
              <w:t xml:space="preserve">existe un Documento Tipo que comprenda, como categoría contractual autónoma, la prestación del servicio público de transporte terrestre automotor de carga ni todas las familias contractuales relacionadas en la petición. </w:t>
            </w:r>
          </w:p>
          <w:p w14:paraId="64ADA280" w14:textId="77777777" w:rsidR="005F5849" w:rsidRPr="009D75D7" w:rsidRDefault="005F5849" w:rsidP="00B46413">
            <w:pPr>
              <w:spacing w:line="276" w:lineRule="auto"/>
              <w:ind w:firstLine="709"/>
              <w:jc w:val="both"/>
              <w:rPr>
                <w:rFonts w:ascii="Verdana" w:eastAsia="Calibri" w:hAnsi="Verdana" w:cs="Arial"/>
                <w:bCs/>
                <w:color w:val="000000" w:themeColor="text1"/>
              </w:rPr>
            </w:pPr>
          </w:p>
          <w:p w14:paraId="743FE230" w14:textId="77777777" w:rsidR="005F5849" w:rsidRDefault="005F5849" w:rsidP="00B46413">
            <w:pPr>
              <w:spacing w:after="120" w:line="276" w:lineRule="auto"/>
              <w:jc w:val="both"/>
              <w:rPr>
                <w:rFonts w:ascii="Verdana" w:eastAsia="Calibri" w:hAnsi="Verdana" w:cs="Arial"/>
                <w:bCs/>
                <w:color w:val="000000" w:themeColor="text1"/>
              </w:rPr>
            </w:pPr>
            <w:r>
              <w:rPr>
                <w:rFonts w:ascii="Verdana" w:eastAsia="Calibri" w:hAnsi="Verdana" w:cs="Arial"/>
                <w:lang w:val="es-MX"/>
              </w:rPr>
              <w:lastRenderedPageBreak/>
              <w:t xml:space="preserve">ii. En referencia al segundo problema jurídico, </w:t>
            </w:r>
            <w:r w:rsidRPr="009D75D7">
              <w:rPr>
                <w:rFonts w:ascii="Verdana" w:eastAsia="Calibri" w:hAnsi="Verdana" w:cs="Arial"/>
                <w:bCs/>
                <w:color w:val="000000" w:themeColor="text1"/>
              </w:rPr>
              <w:t>la Agencia no ha adoptado circulares externas, cláusulas contractuales tipo, reglas estandarizadas de estructuración ni orientaciones específicas en sus guías y manuales sobre la aplicación del SICE-TAC en los Procesos de Contratación. Tampoco se encuentra programada actualmente la expedición o modificación de alguno de estos instrumentos. Aunque la Agencia podrá evaluar posteriormente la conveniencia de adoptar orientaciones sobre la materia, mediante el presente concepto no es posible acoger como obligatorias las propuestas de cláusula y de reglas de estructuración presentadas por el peticionario, fijar un cronograma para su implementación o anticipar una decisión institucional. La adopción de esta clase de instrumentos exige una evaluación técnica y jurídica previa y, cuando corresponda, la articulación con el Ministerio de Transporte como autoridad encargada de la regulación sectorial.</w:t>
            </w:r>
          </w:p>
          <w:p w14:paraId="51D53589" w14:textId="77777777" w:rsidR="005F5849" w:rsidRPr="002B6348" w:rsidRDefault="005F5849" w:rsidP="00B46413">
            <w:pPr>
              <w:spacing w:after="120" w:line="276" w:lineRule="auto"/>
              <w:ind w:firstLine="709"/>
              <w:jc w:val="both"/>
              <w:rPr>
                <w:rFonts w:ascii="Verdana" w:eastAsia="Calibri" w:hAnsi="Verdana" w:cs="Arial"/>
                <w:bCs/>
                <w:color w:val="000000" w:themeColor="text1"/>
              </w:rPr>
            </w:pPr>
            <w:r w:rsidRPr="002B6348">
              <w:rPr>
                <w:rFonts w:ascii="Verdana" w:eastAsia="Calibri" w:hAnsi="Verdana" w:cs="Arial"/>
                <w:bCs/>
                <w:color w:val="000000" w:themeColor="text1"/>
              </w:rPr>
              <w:t>En</w:t>
            </w:r>
            <w:r>
              <w:rPr>
                <w:rFonts w:ascii="Verdana" w:eastAsia="Calibri" w:hAnsi="Verdana" w:cs="Arial"/>
                <w:bCs/>
                <w:color w:val="000000" w:themeColor="text1"/>
              </w:rPr>
              <w:t xml:space="preserve"> esta línea, se señala que en</w:t>
            </w:r>
            <w:r w:rsidRPr="002B6348">
              <w:rPr>
                <w:rFonts w:ascii="Verdana" w:eastAsia="Calibri" w:hAnsi="Verdana" w:cs="Arial"/>
                <w:bCs/>
                <w:color w:val="000000" w:themeColor="text1"/>
              </w:rPr>
              <w:t xml:space="preserve"> el marco de la transición administrativa que actualmente atraviesa la </w:t>
            </w:r>
            <w:r w:rsidRPr="00E40A2C">
              <w:rPr>
                <w:rFonts w:ascii="Verdana" w:eastAsia="Calibri" w:hAnsi="Verdana" w:cs="Arial"/>
                <w:color w:val="000000" w:themeColor="text1"/>
              </w:rPr>
              <w:t>Agencia Nacional de Contratación Pública – Colombia Compra Eficiente,</w:t>
            </w:r>
            <w:r w:rsidRPr="002B6348">
              <w:rPr>
                <w:rFonts w:ascii="Verdana" w:eastAsia="Calibri" w:hAnsi="Verdana" w:cs="Arial"/>
                <w:bCs/>
                <w:color w:val="000000" w:themeColor="text1"/>
              </w:rPr>
              <w:t xml:space="preserve"> esta iniciativa será presentada a la nueva Dirección General como parte de los asuntos que requieren definición institucional. Su consideración se fundamentará en el análisis técnico y jurídico previamente elaborado, lo que permitirá contar con insumos sólidos para la toma de decisiones.</w:t>
            </w:r>
            <w:r>
              <w:rPr>
                <w:rFonts w:ascii="Verdana" w:eastAsia="Calibri" w:hAnsi="Verdana" w:cs="Arial"/>
                <w:bCs/>
                <w:color w:val="000000" w:themeColor="text1"/>
              </w:rPr>
              <w:t xml:space="preserve"> </w:t>
            </w:r>
            <w:r w:rsidRPr="002B6348">
              <w:rPr>
                <w:rFonts w:ascii="Verdana" w:eastAsia="Calibri" w:hAnsi="Verdana" w:cs="Arial"/>
                <w:bCs/>
                <w:color w:val="000000" w:themeColor="text1"/>
              </w:rPr>
              <w:t xml:space="preserve">En este contexto, la propuesta será puesta a disposición de la nueva Dirección General para su valoración y para la definición de las actuaciones de coordinación interinstitucional que se estimen pertinentes. </w:t>
            </w:r>
          </w:p>
          <w:p w14:paraId="7B73AA66" w14:textId="77777777" w:rsidR="005F5849" w:rsidRPr="00004608" w:rsidRDefault="005F5849" w:rsidP="00B46413">
            <w:pPr>
              <w:spacing w:after="12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En todo caso, l</w:t>
            </w:r>
            <w:r w:rsidRPr="009D75D7">
              <w:rPr>
                <w:rFonts w:ascii="Verdana" w:eastAsia="Calibri" w:hAnsi="Verdana" w:cs="Arial"/>
                <w:bCs/>
                <w:color w:val="000000" w:themeColor="text1"/>
              </w:rPr>
              <w:t xml:space="preserve">a ausencia de un instrumento general expedido por la Agencia no exime a las Entidades Estatales de identificar y observar las normas aplicables a las actividades necesarias para la ejecución de sus contratos. </w:t>
            </w:r>
            <w:r>
              <w:rPr>
                <w:rFonts w:ascii="Verdana" w:eastAsia="Calibri" w:hAnsi="Verdana" w:cs="Arial"/>
                <w:bCs/>
                <w:color w:val="000000" w:themeColor="text1"/>
              </w:rPr>
              <w:t xml:space="preserve">Para una mayor comprensión de este tema, el SICE-TAC es una </w:t>
            </w:r>
            <w:r w:rsidRPr="00004608">
              <w:rPr>
                <w:rFonts w:ascii="Verdana" w:eastAsia="Calibri" w:hAnsi="Verdana" w:cs="Arial"/>
                <w:bCs/>
                <w:color w:val="000000" w:themeColor="text1"/>
              </w:rPr>
              <w:t xml:space="preserve">herramienta </w:t>
            </w:r>
            <w:r>
              <w:rPr>
                <w:rFonts w:ascii="Verdana" w:eastAsia="Calibri" w:hAnsi="Verdana" w:cs="Arial"/>
                <w:bCs/>
                <w:color w:val="000000" w:themeColor="text1"/>
              </w:rPr>
              <w:t xml:space="preserve">que </w:t>
            </w:r>
            <w:r w:rsidRPr="00004608">
              <w:rPr>
                <w:rFonts w:ascii="Verdana" w:eastAsia="Calibri" w:hAnsi="Verdana" w:cs="Arial"/>
                <w:bCs/>
                <w:color w:val="000000" w:themeColor="text1"/>
              </w:rPr>
              <w:t xml:space="preserve">permite calcular los costos eficientes de cada operación, considerando variables como el tipo de vehículo, la naturaleza de la carga, el origen y destino del viaje, así como los </w:t>
            </w:r>
            <w:r w:rsidRPr="00CD18D9">
              <w:rPr>
                <w:rFonts w:ascii="Verdana" w:eastAsia="Calibri" w:hAnsi="Verdana" w:cs="Arial"/>
                <w:bCs/>
                <w:color w:val="000000" w:themeColor="text1"/>
              </w:rPr>
              <w:t xml:space="preserve">tiempos de espera, cargue y descargue. La estructura de los costos se divide en tres categorías: costos variables, derivados directamente de la movilización del vehículo (combustibles, mantenimiento, llantas, peajes, lubricantes, lavado y engrase, imprevistos); costos fijos, que corresponden a gastos en los que incurre el propietario independientemente de la operación (salarios y prestaciones de la tripulación, seguros, parqueadero, impuestos y recuperación de capital); y otros costos, vinculados </w:t>
            </w:r>
            <w:r w:rsidRPr="00CD18D9">
              <w:rPr>
                <w:rFonts w:ascii="Verdana" w:eastAsia="Calibri" w:hAnsi="Verdana" w:cs="Arial"/>
                <w:bCs/>
                <w:color w:val="000000" w:themeColor="text1"/>
              </w:rPr>
              <w:lastRenderedPageBreak/>
              <w:t>a la facturación específica de cada viaje (comisiones, factor de administración y retenciones tributarias como la retefuente y la reteICA). De esta manera, el SICE-TAC constituye un mecanismo integral que garantiza transparencia y precisión en la determinación de los costos de operación.</w:t>
            </w:r>
          </w:p>
          <w:p w14:paraId="1F5CFEE5" w14:textId="77777777" w:rsidR="005F5849" w:rsidRDefault="005F5849" w:rsidP="00B46413">
            <w:pPr>
              <w:spacing w:after="120" w:line="276" w:lineRule="auto"/>
              <w:ind w:firstLine="709"/>
              <w:jc w:val="both"/>
              <w:rPr>
                <w:rFonts w:ascii="Verdana" w:eastAsia="Calibri" w:hAnsi="Verdana" w:cs="Arial"/>
                <w:bCs/>
                <w:color w:val="000000" w:themeColor="text1"/>
              </w:rPr>
            </w:pPr>
            <w:r w:rsidRPr="00004608">
              <w:rPr>
                <w:rFonts w:ascii="Verdana" w:eastAsia="Calibri" w:hAnsi="Verdana" w:cs="Arial"/>
                <w:bCs/>
                <w:color w:val="000000" w:themeColor="text1"/>
              </w:rPr>
              <w:t xml:space="preserve">El artículo 2.2.1.7.6.2 del Decreto 1079 de 2015, modificado por el artículo 12 del Decreto 1017 de 2025, establece que los costos eficientes publicados a través del SICE-TAC se consideran mínimos obligatorios respecto del </w:t>
            </w:r>
            <w:r w:rsidRPr="00CD18D9">
              <w:rPr>
                <w:rFonts w:ascii="Verdana" w:eastAsia="Calibri" w:hAnsi="Verdana" w:cs="Arial"/>
                <w:color w:val="000000" w:themeColor="text1"/>
              </w:rPr>
              <w:t>Valor a Pagar</w:t>
            </w:r>
            <w:r w:rsidRPr="00004608">
              <w:rPr>
                <w:rFonts w:ascii="Verdana" w:eastAsia="Calibri" w:hAnsi="Verdana" w:cs="Arial"/>
                <w:bCs/>
                <w:color w:val="000000" w:themeColor="text1"/>
              </w:rPr>
              <w:t xml:space="preserve"> al propietario, poseedor o tenedor del vehículo que movilice la carga. Aunque las partes conservan autonomía para pactar las condiciones económicas de la operación, esta se encuentra limitada por los costos eficientes fijados en el sistema. En consecuencia, el Valor a Pagar acordado entre la empresa transportadora y el propietario del vehículo no puede ser inferior al costo eficiente aplicable a la respectiva operación, lo que asegura un estándar mínimo de remuneración y evita prácticas contractuales que desconozcan la regulación sectorial.</w:t>
            </w:r>
          </w:p>
          <w:p w14:paraId="4DAB6A23" w14:textId="77777777" w:rsidR="005F5849" w:rsidRDefault="005F5849" w:rsidP="00B46413">
            <w:pPr>
              <w:spacing w:after="120" w:line="276" w:lineRule="auto"/>
              <w:ind w:firstLine="709"/>
              <w:jc w:val="both"/>
              <w:rPr>
                <w:rFonts w:ascii="Verdana" w:eastAsia="Verdana" w:hAnsi="Verdana" w:cs="Verdana"/>
                <w:lang w:eastAsia="es-CO"/>
              </w:rPr>
            </w:pPr>
            <w:r w:rsidRPr="001C3A60">
              <w:rPr>
                <w:rFonts w:ascii="Verdana" w:eastAsia="Verdana" w:hAnsi="Verdana" w:cs="Verdana"/>
                <w:lang w:eastAsia="es-CO"/>
              </w:rPr>
              <w:t xml:space="preserve">La regulación también articula el SICE-TAC con el Registro Nacional de Despachos de Carga —RNDC—. En este sistema se registra la información asociada a la operación, incluidos el flete, el </w:t>
            </w:r>
            <w:r>
              <w:rPr>
                <w:rFonts w:ascii="Verdana" w:eastAsia="Verdana" w:hAnsi="Verdana" w:cs="Verdana"/>
                <w:lang w:eastAsia="es-CO"/>
              </w:rPr>
              <w:t>v</w:t>
            </w:r>
            <w:r w:rsidRPr="001C3A60">
              <w:rPr>
                <w:rFonts w:ascii="Verdana" w:eastAsia="Verdana" w:hAnsi="Verdana" w:cs="Verdana"/>
                <w:lang w:eastAsia="es-CO"/>
              </w:rPr>
              <w:t xml:space="preserve">alor a </w:t>
            </w:r>
            <w:r>
              <w:rPr>
                <w:rFonts w:ascii="Verdana" w:eastAsia="Verdana" w:hAnsi="Verdana" w:cs="Verdana"/>
                <w:lang w:eastAsia="es-CO"/>
              </w:rPr>
              <w:t>p</w:t>
            </w:r>
            <w:r w:rsidRPr="001C3A60">
              <w:rPr>
                <w:rFonts w:ascii="Verdana" w:eastAsia="Verdana" w:hAnsi="Verdana" w:cs="Verdana"/>
                <w:lang w:eastAsia="es-CO"/>
              </w:rPr>
              <w:t xml:space="preserve">agar y los documentos que soportan la movilización. Conforme a las disposiciones vigentes, la empresa transportadora únicamente puede expedir el Manifiesto Electrónico de Carga cuando el </w:t>
            </w:r>
            <w:r>
              <w:rPr>
                <w:rFonts w:ascii="Verdana" w:eastAsia="Verdana" w:hAnsi="Verdana" w:cs="Verdana"/>
                <w:lang w:eastAsia="es-CO"/>
              </w:rPr>
              <w:t>v</w:t>
            </w:r>
            <w:r w:rsidRPr="001C3A60">
              <w:rPr>
                <w:rFonts w:ascii="Verdana" w:eastAsia="Verdana" w:hAnsi="Verdana" w:cs="Verdana"/>
                <w:lang w:eastAsia="es-CO"/>
              </w:rPr>
              <w:t xml:space="preserve">alor a </w:t>
            </w:r>
            <w:r>
              <w:rPr>
                <w:rFonts w:ascii="Verdana" w:eastAsia="Verdana" w:hAnsi="Verdana" w:cs="Verdana"/>
                <w:lang w:eastAsia="es-CO"/>
              </w:rPr>
              <w:t>p</w:t>
            </w:r>
            <w:r w:rsidRPr="001C3A60">
              <w:rPr>
                <w:rFonts w:ascii="Verdana" w:eastAsia="Verdana" w:hAnsi="Verdana" w:cs="Verdana"/>
                <w:lang w:eastAsia="es-CO"/>
              </w:rPr>
              <w:t>agar registrado sea igual o superior al costo eficiente determinado por el SICE-TAC.</w:t>
            </w:r>
          </w:p>
          <w:p w14:paraId="44139D7A" w14:textId="77777777" w:rsidR="005F5849" w:rsidRPr="00B81266" w:rsidRDefault="005F5849" w:rsidP="00B46413">
            <w:pPr>
              <w:spacing w:after="120" w:line="276" w:lineRule="auto"/>
              <w:ind w:firstLine="709"/>
              <w:jc w:val="both"/>
              <w:rPr>
                <w:rFonts w:ascii="Verdana" w:eastAsia="Verdana" w:hAnsi="Verdana" w:cs="Verdana"/>
                <w:lang w:eastAsia="es-CO"/>
              </w:rPr>
            </w:pPr>
            <w:r w:rsidRPr="0004666F">
              <w:rPr>
                <w:rFonts w:ascii="Verdana" w:eastAsia="Verdana" w:hAnsi="Verdana" w:cs="Verdana"/>
                <w:lang w:eastAsia="es-CO"/>
              </w:rPr>
              <w:t>En atención a lo expuesto, corresponde a la Entidad Estatal realizar el análisis sectorial sobre la aplicabilidad del SICE-TAC en cada proceso de contratación. Este examen debe partir de las consideraciones normativas señaladas en</w:t>
            </w:r>
            <w:r>
              <w:rPr>
                <w:rFonts w:ascii="Verdana" w:eastAsia="Verdana" w:hAnsi="Verdana" w:cs="Verdana"/>
                <w:lang w:eastAsia="es-CO"/>
              </w:rPr>
              <w:t xml:space="preserve"> las razones y consideraciones de la respuesta</w:t>
            </w:r>
            <w:r w:rsidRPr="0004666F">
              <w:rPr>
                <w:rFonts w:ascii="Verdana" w:eastAsia="Verdana" w:hAnsi="Verdana" w:cs="Verdana"/>
                <w:lang w:eastAsia="es-CO"/>
              </w:rPr>
              <w:t>, verificando si la operación de transporte que se pretende ejecutar se encuentra sometida al régimen del servicio público de transporte terrestre automotor de carga. En particular, la entidad debe establecer si la movilización se realiza mediante transporte privado con equipos propios o si, por el contrario, requiere la participación de una empresa de transporte público habilitada, caso en el cual resulta obligatorio aplicar la regulación vigente del SICE-TAC.</w:t>
            </w:r>
          </w:p>
          <w:p w14:paraId="3F8D2637" w14:textId="77777777" w:rsidR="005F5849" w:rsidRPr="008C4743" w:rsidRDefault="005F5849" w:rsidP="00B46413">
            <w:pPr>
              <w:spacing w:line="276" w:lineRule="auto"/>
              <w:jc w:val="both"/>
              <w:rPr>
                <w:rFonts w:ascii="Verdana" w:eastAsia="Calibri" w:hAnsi="Verdana" w:cs="Arial"/>
              </w:rPr>
            </w:pPr>
          </w:p>
          <w:p w14:paraId="24FFDE1B" w14:textId="77777777" w:rsidR="005F5849" w:rsidRDefault="005F5849" w:rsidP="00B46413">
            <w:pPr>
              <w:spacing w:after="120" w:line="276" w:lineRule="auto"/>
              <w:jc w:val="both"/>
              <w:rPr>
                <w:rFonts w:ascii="Verdana" w:eastAsia="Aptos" w:hAnsi="Verdana" w:cs="Arial"/>
                <w:bCs/>
              </w:rPr>
            </w:pPr>
            <w:r>
              <w:rPr>
                <w:rFonts w:ascii="Verdana" w:eastAsia="Calibri" w:hAnsi="Verdana" w:cs="Arial"/>
                <w:lang w:val="es-MX"/>
              </w:rPr>
              <w:t xml:space="preserve">iv. En torno al cuarto problema jurídico de su consulta, </w:t>
            </w:r>
            <w:r>
              <w:rPr>
                <w:rFonts w:ascii="Verdana" w:eastAsia="Arial MT" w:hAnsi="Verdana" w:cs="Arial"/>
                <w:color w:val="000000" w:themeColor="text1"/>
                <w:lang w:val="es-MX"/>
              </w:rPr>
              <w:t xml:space="preserve">se señala que el precitado artículo 83 del Estatuto Anticorrupción, el seguimiento de los </w:t>
            </w:r>
            <w:r>
              <w:rPr>
                <w:rFonts w:ascii="Verdana" w:eastAsia="Arial MT" w:hAnsi="Verdana" w:cs="Arial"/>
                <w:color w:val="000000" w:themeColor="text1"/>
                <w:lang w:val="es-MX"/>
              </w:rPr>
              <w:lastRenderedPageBreak/>
              <w:t xml:space="preserve">supervisores e interventores corresponde al cumplimiento de las obligaciones pactadas en el contrato estatal, aspecto que se ratifica en el inciso primero del artículo 84 </w:t>
            </w:r>
            <w:r w:rsidRPr="00894572">
              <w:rPr>
                <w:rFonts w:ascii="Verdana" w:eastAsia="Arial MT" w:hAnsi="Verdana" w:cs="Arial"/>
                <w:i/>
                <w:iCs/>
                <w:color w:val="000000" w:themeColor="text1"/>
                <w:lang w:val="es-MX"/>
              </w:rPr>
              <w:t>ibidem</w:t>
            </w:r>
            <w:r>
              <w:rPr>
                <w:rFonts w:ascii="Verdana" w:eastAsia="Arial MT" w:hAnsi="Verdana" w:cs="Arial"/>
                <w:color w:val="000000" w:themeColor="text1"/>
                <w:lang w:val="es-MX"/>
              </w:rPr>
              <w:t>. En su fase técnica, esto implica tanto “V</w:t>
            </w:r>
            <w:r w:rsidRPr="004D03FA">
              <w:rPr>
                <w:rFonts w:ascii="Verdana" w:eastAsia="Arial MT" w:hAnsi="Verdana" w:cs="Arial"/>
                <w:color w:val="000000" w:themeColor="text1"/>
                <w:lang w:val="es-MX"/>
              </w:rPr>
              <w:t>igilar, controlar y verificar el cumplimiento del objeto contractual y las</w:t>
            </w:r>
            <w:r>
              <w:rPr>
                <w:rFonts w:ascii="Verdana" w:eastAsia="Arial MT" w:hAnsi="Verdana" w:cs="Arial"/>
                <w:color w:val="000000" w:themeColor="text1"/>
                <w:lang w:val="es-MX"/>
              </w:rPr>
              <w:t xml:space="preserve"> </w:t>
            </w:r>
            <w:r w:rsidRPr="004D03FA">
              <w:rPr>
                <w:rFonts w:ascii="Verdana" w:eastAsia="Arial MT" w:hAnsi="Verdana" w:cs="Arial"/>
                <w:color w:val="000000" w:themeColor="text1"/>
                <w:lang w:val="es-MX"/>
              </w:rPr>
              <w:t>obligaciones a cargo del contratista</w:t>
            </w:r>
            <w:r>
              <w:rPr>
                <w:rFonts w:ascii="Verdana" w:eastAsia="Arial MT" w:hAnsi="Verdana" w:cs="Arial"/>
                <w:color w:val="000000" w:themeColor="text1"/>
                <w:lang w:val="es-MX"/>
              </w:rPr>
              <w:t>” como “</w:t>
            </w:r>
            <w:r w:rsidRPr="004D03FA">
              <w:rPr>
                <w:rFonts w:ascii="Verdana" w:eastAsia="Arial MT" w:hAnsi="Verdana" w:cs="Arial"/>
                <w:color w:val="000000" w:themeColor="text1"/>
                <w:lang w:val="es-MX"/>
              </w:rPr>
              <w:t>Verificar que las condiciones técnicas del bien, obra o servicio contratado, cumplan con los requisitos establecidos por la entidad y con el ofrecimiento formulado, según sea el caso</w:t>
            </w:r>
            <w:r>
              <w:rPr>
                <w:rFonts w:ascii="Verdana" w:eastAsia="Arial MT" w:hAnsi="Verdana" w:cs="Arial"/>
                <w:color w:val="000000" w:themeColor="text1"/>
                <w:lang w:val="es-MX"/>
              </w:rPr>
              <w:t>”</w:t>
            </w:r>
            <w:r w:rsidRPr="004D03FA">
              <w:rPr>
                <w:rFonts w:ascii="Verdana" w:eastAsia="Arial MT" w:hAnsi="Verdana" w:cs="Arial"/>
                <w:color w:val="000000" w:themeColor="text1"/>
                <w:lang w:val="es-MX"/>
              </w:rPr>
              <w:t>.</w:t>
            </w:r>
            <w:r>
              <w:rPr>
                <w:rFonts w:ascii="Verdana" w:eastAsia="Arial MT" w:hAnsi="Verdana" w:cs="Arial"/>
                <w:color w:val="000000" w:themeColor="text1"/>
                <w:lang w:val="es-MX"/>
              </w:rPr>
              <w:t xml:space="preserve"> Así, la verificación del cumplimiento se realiza dentro las exigencias pactadas entre la entidad estatal y el contratista; razón por la cual, pueden abstenerse de recibir obras, bienes o servicios que no satisfagan las especificaciones del contrato. </w:t>
            </w:r>
            <w:r w:rsidRPr="00515430">
              <w:rPr>
                <w:rFonts w:ascii="Verdana" w:eastAsia="Aptos" w:hAnsi="Verdana" w:cs="Arial"/>
                <w:bCs/>
              </w:rPr>
              <w:t>Para este propósito, quien ejerza la vigilancia podrá solicitar los informes, aclaraciones, explicaciones y soportes necesarios, conforme al artículo 84 de la Ley 1474 de 2011. Dependiendo de las características de la operación, estos documentos podrán comprender los manifiestos electrónicos de carga, las remesas terrestres, las constancias de habilitación de las empresas transportadoras, los soportes del Valor a Pagar al propietario, poseedor o tenedor del vehículo y la información registrada en el RNDC.</w:t>
            </w:r>
          </w:p>
          <w:p w14:paraId="06F86849" w14:textId="77777777" w:rsidR="005F5849" w:rsidRPr="00515430" w:rsidRDefault="005F5849" w:rsidP="00B46413">
            <w:pPr>
              <w:spacing w:after="120" w:line="276" w:lineRule="auto"/>
              <w:ind w:firstLine="708"/>
              <w:jc w:val="both"/>
              <w:rPr>
                <w:rFonts w:ascii="Verdana" w:eastAsia="Aptos" w:hAnsi="Verdana" w:cs="Arial"/>
                <w:bCs/>
              </w:rPr>
            </w:pPr>
            <w:r w:rsidRPr="00515430">
              <w:rPr>
                <w:rFonts w:ascii="Verdana" w:eastAsia="Aptos" w:hAnsi="Verdana" w:cs="Arial"/>
                <w:bCs/>
              </w:rPr>
              <w:t>No obstante, lo anterior no implica que todos estos soportes deban exigirse de manera uniforme en cualquier contrato que involucre la movilización de bienes. Corresponde a cada Entidad Estatal determinar cuáles resultan pertinentes, necesarios y proporcionales, de acuerdo con el contenido del contrato, los riesgos identificados y las condiciones de ejecución. Tampoco existe una periodicidad general para su presentación, pues esta podrá asociarse a los informes de ejecución, las cuentas de cobro, las facturas, los hitos contractuales o la frecuencia de las operaciones de transporte. Tales condiciones deben quedar definidas desde la estructuración del proceso, sin perjuicio de que el supervisor o interventor solicite información adicional cuando advierta hechos que puedan poner en riesgo el cumplimiento del contrato.</w:t>
            </w:r>
          </w:p>
          <w:p w14:paraId="02C56E06" w14:textId="77777777" w:rsidR="005F5849" w:rsidRPr="00515430" w:rsidRDefault="005F5849" w:rsidP="00B46413">
            <w:pPr>
              <w:spacing w:after="120" w:line="276" w:lineRule="auto"/>
              <w:ind w:firstLine="708"/>
              <w:jc w:val="both"/>
              <w:rPr>
                <w:rFonts w:ascii="Verdana" w:eastAsia="Aptos" w:hAnsi="Verdana" w:cs="Arial"/>
                <w:bCs/>
              </w:rPr>
            </w:pPr>
            <w:r w:rsidRPr="00515430">
              <w:rPr>
                <w:rFonts w:ascii="Verdana" w:eastAsia="Aptos" w:hAnsi="Verdana" w:cs="Arial"/>
                <w:bCs/>
              </w:rPr>
              <w:t xml:space="preserve">Si como resultado de la vigilancia se identifica un posible incumplimiento, el supervisor o interventor debe documentar los hechos, solicitar las explicaciones correspondientes y mantener informada a la Entidad Estatal. Sin embargo, la imposición de multas, la declaratoria de incumplimiento, la efectividad de la cláusula penal o la adopción de otras medidas contractuales corresponde a la entidad, con observancia del </w:t>
            </w:r>
            <w:r w:rsidRPr="00515430">
              <w:rPr>
                <w:rFonts w:ascii="Verdana" w:eastAsia="Aptos" w:hAnsi="Verdana" w:cs="Arial"/>
                <w:bCs/>
              </w:rPr>
              <w:lastRenderedPageBreak/>
              <w:t>procedimiento y de las garantías del debido proceso. Esto se entiende sin perjuicio de que la información sea remitida a las autoridades del sector transporte para que, dentro de sus competencias, determinen la existencia de una infracción al régimen sectorial e impongan las sanciones a que haya lugar.</w:t>
            </w:r>
          </w:p>
          <w:p w14:paraId="6B1A83D1" w14:textId="77777777" w:rsidR="005F5849" w:rsidRPr="004A2104" w:rsidRDefault="005F5849" w:rsidP="00B46413">
            <w:pPr>
              <w:spacing w:line="276" w:lineRule="auto"/>
              <w:ind w:firstLine="709"/>
              <w:jc w:val="both"/>
              <w:rPr>
                <w:rFonts w:ascii="Verdana" w:eastAsia="Aptos" w:hAnsi="Verdana" w:cs="Arial"/>
                <w:bCs/>
              </w:rPr>
            </w:pPr>
            <w:r w:rsidRPr="004A2104">
              <w:rPr>
                <w:rFonts w:ascii="Verdana" w:eastAsia="Aptos" w:hAnsi="Verdana" w:cs="Arial"/>
                <w:bCs/>
              </w:rPr>
              <w:t>Este deber de control exige un seguimiento técnico, jurídico y financiero que abarque la revisión periódica de los costos, la verificación de la tipología vehicular utilizada, la comprobación de las condiciones logísticas (tiempos de espera, cargue y descargue) y la identificación de variaciones normativas que puedan impactar la operación. La supervisión debe actuar de manera preventiva, anticipando riesgos como fluctuaciones en los costos eficientes o ajustes regulatorios, y reportando oportunamente cualquier incumplimiento que pueda comprometer la legalidad o la transparencia del contrato</w:t>
            </w:r>
            <w:r>
              <w:rPr>
                <w:rFonts w:ascii="Verdana" w:eastAsia="Aptos" w:hAnsi="Verdana" w:cs="Arial"/>
                <w:bCs/>
              </w:rPr>
              <w:t xml:space="preserve"> que se encuentra en ejecución. </w:t>
            </w:r>
          </w:p>
          <w:p w14:paraId="733FC623" w14:textId="77777777" w:rsidR="005F5849" w:rsidRDefault="005F5849" w:rsidP="00B46413">
            <w:pPr>
              <w:spacing w:line="276" w:lineRule="auto"/>
              <w:jc w:val="both"/>
              <w:rPr>
                <w:rFonts w:ascii="Verdana" w:eastAsia="Calibri" w:hAnsi="Verdana" w:cs="Arial"/>
              </w:rPr>
            </w:pPr>
          </w:p>
          <w:p w14:paraId="70A11C21" w14:textId="77777777" w:rsidR="005F5849" w:rsidRPr="00E64282" w:rsidRDefault="005F5849" w:rsidP="00B46413">
            <w:pPr>
              <w:spacing w:after="120" w:line="276" w:lineRule="auto"/>
              <w:jc w:val="both"/>
              <w:rPr>
                <w:rFonts w:ascii="Verdana" w:eastAsia="Calibri" w:hAnsi="Verdana" w:cs="Arial"/>
                <w:bCs/>
                <w:color w:val="000000" w:themeColor="text1"/>
              </w:rPr>
            </w:pPr>
            <w:r>
              <w:rPr>
                <w:rFonts w:ascii="Verdana" w:eastAsia="Calibri" w:hAnsi="Verdana" w:cs="Arial"/>
              </w:rPr>
              <w:t xml:space="preserve">v. </w:t>
            </w:r>
            <w:r>
              <w:rPr>
                <w:rFonts w:ascii="Verdana" w:eastAsia="Calibri" w:hAnsi="Verdana" w:cs="Arial"/>
                <w:bCs/>
                <w:color w:val="000000" w:themeColor="text1"/>
              </w:rPr>
              <w:t xml:space="preserve">Frente al quinto problema jurídico, se señala que </w:t>
            </w:r>
            <w:r w:rsidRPr="00C82BAE">
              <w:rPr>
                <w:rFonts w:ascii="Verdana" w:eastAsia="Calibri" w:hAnsi="Verdana" w:cs="Arial"/>
                <w:bCs/>
                <w:color w:val="000000" w:themeColor="text1"/>
              </w:rPr>
              <w:t xml:space="preserve">el </w:t>
            </w:r>
            <w:r w:rsidRPr="004E1091">
              <w:rPr>
                <w:rFonts w:ascii="Verdana" w:eastAsia="Calibri" w:hAnsi="Verdana" w:cs="Arial"/>
                <w:color w:val="000000" w:themeColor="text1"/>
              </w:rPr>
              <w:t>Acuerdo Marco de Precios para la adquisición de Vehículos, Vehículos Eléctricos y Vehículos Híbridos para Transporte Terrestre – Vehículos III, CCE</w:t>
            </w:r>
            <w:r w:rsidRPr="004E1091">
              <w:rPr>
                <w:rFonts w:ascii="Verdana" w:eastAsia="Calibri" w:hAnsi="Verdana" w:cs="Arial"/>
                <w:color w:val="000000" w:themeColor="text1"/>
              </w:rPr>
              <w:noBreakHyphen/>
              <w:t>163</w:t>
            </w:r>
            <w:r w:rsidRPr="004E1091">
              <w:rPr>
                <w:rFonts w:ascii="Verdana" w:eastAsia="Calibri" w:hAnsi="Verdana" w:cs="Arial"/>
                <w:color w:val="000000" w:themeColor="text1"/>
              </w:rPr>
              <w:noBreakHyphen/>
              <w:t>III</w:t>
            </w:r>
            <w:r w:rsidRPr="004E1091">
              <w:rPr>
                <w:rFonts w:ascii="Verdana" w:eastAsia="Calibri" w:hAnsi="Verdana" w:cs="Arial"/>
                <w:color w:val="000000" w:themeColor="text1"/>
              </w:rPr>
              <w:noBreakHyphen/>
              <w:t>AMP</w:t>
            </w:r>
            <w:r w:rsidRPr="004E1091">
              <w:rPr>
                <w:rFonts w:ascii="Verdana" w:eastAsia="Calibri" w:hAnsi="Verdana" w:cs="Arial"/>
                <w:color w:val="000000" w:themeColor="text1"/>
              </w:rPr>
              <w:noBreakHyphen/>
              <w:t>2020,</w:t>
            </w:r>
            <w:r w:rsidRPr="00C82BAE">
              <w:rPr>
                <w:rFonts w:ascii="Verdana" w:eastAsia="Calibri" w:hAnsi="Verdana" w:cs="Arial"/>
                <w:bCs/>
                <w:color w:val="000000" w:themeColor="text1"/>
              </w:rPr>
              <w:t xml:space="preserve"> tiene como objeto establecer las condiciones para la adquisición de vehículos, incluyendo el mantenimiento preventivo, las adecuaciones y los accesorios asociados, así como las reglas de vinculación de las entidades compradoras y las condiciones de pago.</w:t>
            </w:r>
            <w:r w:rsidRPr="00E64282">
              <w:rPr>
                <w:rFonts w:ascii="Verdana" w:eastAsia="Calibri" w:hAnsi="Verdana" w:cs="Arial"/>
                <w:bCs/>
                <w:color w:val="000000" w:themeColor="text1"/>
              </w:rPr>
              <w:t xml:space="preserve"> De igual manera, su alcance comprende la entrega de vehículos para transporte terrestre, de características técnicas uniformes y de común utilización.</w:t>
            </w:r>
          </w:p>
          <w:p w14:paraId="6FC12216" w14:textId="77777777" w:rsidR="005F5849" w:rsidRPr="00E64282" w:rsidRDefault="005F5849" w:rsidP="00B46413">
            <w:pPr>
              <w:spacing w:after="120" w:line="276" w:lineRule="auto"/>
              <w:ind w:firstLine="709"/>
              <w:jc w:val="both"/>
              <w:rPr>
                <w:rFonts w:ascii="Verdana" w:eastAsia="Calibri" w:hAnsi="Verdana" w:cs="Arial"/>
                <w:bCs/>
                <w:color w:val="000000" w:themeColor="text1"/>
              </w:rPr>
            </w:pPr>
            <w:r w:rsidRPr="00E64282">
              <w:rPr>
                <w:rFonts w:ascii="Verdana" w:eastAsia="Calibri" w:hAnsi="Verdana" w:cs="Arial"/>
                <w:bCs/>
                <w:color w:val="000000" w:themeColor="text1"/>
              </w:rPr>
              <w:t xml:space="preserve">En </w:t>
            </w:r>
            <w:r>
              <w:rPr>
                <w:rFonts w:ascii="Verdana" w:eastAsia="Calibri" w:hAnsi="Verdana" w:cs="Arial"/>
                <w:bCs/>
                <w:color w:val="000000" w:themeColor="text1"/>
              </w:rPr>
              <w:t>tal sentido</w:t>
            </w:r>
            <w:r w:rsidRPr="00E64282">
              <w:rPr>
                <w:rFonts w:ascii="Verdana" w:eastAsia="Calibri" w:hAnsi="Verdana" w:cs="Arial"/>
                <w:bCs/>
                <w:color w:val="000000" w:themeColor="text1"/>
              </w:rPr>
              <w:t>, debe diferenciarse entre la adquisición de un vehículo destinado al transporte de carga y la contratación del servicio de transporte terrestre automotor de carga. Si bien el Acuerdo Marco de Vehículos III puede contemplar vehículos que por sus características estén destinados al transporte de carga, su objeto no comprende la prestación del servicio de transporte de carga, ni la regulación de las relaciones económicas que se generan entre quien contrata y quien presta dicho servicio.</w:t>
            </w:r>
          </w:p>
          <w:p w14:paraId="5F4588D2" w14:textId="77777777" w:rsidR="005F5849" w:rsidRPr="00E64282" w:rsidRDefault="005F5849" w:rsidP="00B46413">
            <w:pPr>
              <w:spacing w:after="120" w:line="276" w:lineRule="auto"/>
              <w:ind w:firstLine="709"/>
              <w:jc w:val="both"/>
              <w:rPr>
                <w:rFonts w:ascii="Verdana" w:eastAsia="Calibri" w:hAnsi="Verdana" w:cs="Arial"/>
                <w:bCs/>
                <w:color w:val="000000" w:themeColor="text1"/>
              </w:rPr>
            </w:pPr>
            <w:r w:rsidRPr="00E64282">
              <w:rPr>
                <w:rFonts w:ascii="Verdana" w:eastAsia="Calibri" w:hAnsi="Verdana" w:cs="Arial"/>
                <w:bCs/>
                <w:color w:val="000000" w:themeColor="text1"/>
              </w:rPr>
              <w:t xml:space="preserve">De otra parte, el Acuerdo Marco de Precios para el Servicio de Transporte Terrestre Especial de Pasajeros II, CCE-144-2023, tampoco resulta aplicable al requerimiento planteado, toda vez que su objeto está dirigido específicamente a establecer las condiciones para la contratación del servicio de Transporte Terrestre Automotor Especial de Pasajeros. Por tanto, su </w:t>
            </w:r>
            <w:r w:rsidRPr="00E64282">
              <w:rPr>
                <w:rFonts w:ascii="Verdana" w:eastAsia="Calibri" w:hAnsi="Verdana" w:cs="Arial"/>
                <w:bCs/>
                <w:color w:val="000000" w:themeColor="text1"/>
              </w:rPr>
              <w:lastRenderedPageBreak/>
              <w:t>alcance se encuentra circunscrito a la prestación de servicios de transporte especial de pasajeros y no comprende el transporte terrestre automotor de carga.</w:t>
            </w:r>
            <w:r>
              <w:rPr>
                <w:rFonts w:ascii="Verdana" w:eastAsia="Calibri" w:hAnsi="Verdana" w:cs="Arial"/>
                <w:bCs/>
                <w:color w:val="000000" w:themeColor="text1"/>
              </w:rPr>
              <w:t xml:space="preserve"> Así pues</w:t>
            </w:r>
            <w:r w:rsidRPr="00E64282">
              <w:rPr>
                <w:rFonts w:ascii="Verdana" w:eastAsia="Calibri" w:hAnsi="Verdana" w:cs="Arial"/>
                <w:bCs/>
                <w:color w:val="000000" w:themeColor="text1"/>
              </w:rPr>
              <w:t>, ninguno de los Acuerdos Marco de Precios mencionados resulta aplicable para atender una necesidad cuyo objeto corresponda a la prestación del servicio de transporte terrestre automotor de carga. Actualmente, no se encuentra disponible un Acuerdo Marco de Precios administrado por la Agencia Nacional de Contratación Pública – Colombia Compra Eficiente cuyo objeto comprenda específicamente dicha prestación.</w:t>
            </w:r>
            <w:r>
              <w:rPr>
                <w:rFonts w:ascii="Verdana" w:eastAsia="Calibri" w:hAnsi="Verdana" w:cs="Arial"/>
                <w:bCs/>
                <w:color w:val="000000" w:themeColor="text1"/>
              </w:rPr>
              <w:t xml:space="preserve"> En efecto, </w:t>
            </w:r>
            <w:r w:rsidRPr="00E64282">
              <w:rPr>
                <w:rFonts w:ascii="Verdana" w:eastAsia="Calibri" w:hAnsi="Verdana" w:cs="Arial"/>
                <w:bCs/>
                <w:color w:val="000000" w:themeColor="text1"/>
              </w:rPr>
              <w:t xml:space="preserve">dentro de la estructuración del Acuerdo Marco de Vehículos III no se contempló la prestación del servicio de transporte terrestre automotor de carga, sino la adquisición de los vehículos y de los bienes y servicios asociados previstos en su objeto y alcance. </w:t>
            </w:r>
          </w:p>
          <w:p w14:paraId="099ED09C" w14:textId="77777777" w:rsidR="005F5849" w:rsidRPr="00E64282" w:rsidRDefault="005F5849" w:rsidP="00B46413">
            <w:pPr>
              <w:spacing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En todo caso</w:t>
            </w:r>
            <w:r w:rsidRPr="00E64282">
              <w:rPr>
                <w:rFonts w:ascii="Verdana" w:eastAsia="Calibri" w:hAnsi="Verdana" w:cs="Arial"/>
                <w:bCs/>
                <w:color w:val="000000" w:themeColor="text1"/>
              </w:rPr>
              <w:t>, si la necesidad de la Entidad corresponde exclusivamente a la adquisición de un vehículo destinado al transporte de carga, y no a la contratación del servicio de transporte de carga, podrá verificarse de manera independiente si la tipología de vehículo requerida se encuentra contemplada dentro del catálogo y las condiciones del Acuerdo Marco de Vehículos III .</w:t>
            </w:r>
            <w:hyperlink r:id="rId13" w:tgtFrame="_blank" w:tooltip="Dirección URL original: https://www.colombiacompra.gov.co/archivos/portfolio-item/vehiculos-iii. Haga clic o pulse si confía en este vínculo." w:history="1">
              <w:r w:rsidRPr="00E64282">
                <w:rPr>
                  <w:rStyle w:val="Hipervnculo"/>
                  <w:rFonts w:ascii="Verdana" w:eastAsia="Calibri" w:hAnsi="Verdana" w:cs="Arial"/>
                  <w:bCs/>
                </w:rPr>
                <w:t>Vehículos III – ANCP Colombia Compra Eficiente</w:t>
              </w:r>
            </w:hyperlink>
            <w:r w:rsidRPr="00E64282">
              <w:rPr>
                <w:rFonts w:ascii="Verdana" w:eastAsia="Calibri" w:hAnsi="Verdana" w:cs="Arial"/>
                <w:bCs/>
                <w:color w:val="000000" w:themeColor="text1"/>
              </w:rPr>
              <w:t> /documentos / catalogo.</w:t>
            </w:r>
          </w:p>
          <w:p w14:paraId="2CB5AEDD" w14:textId="77777777" w:rsidR="005F5849" w:rsidRDefault="005F5849" w:rsidP="00B46413">
            <w:pPr>
              <w:shd w:val="clear" w:color="auto" w:fill="FFFFFF"/>
              <w:spacing w:line="276" w:lineRule="auto"/>
              <w:jc w:val="both"/>
              <w:rPr>
                <w:rFonts w:ascii="Verdana" w:eastAsia="Times New Roman" w:hAnsi="Verdana" w:cs="Arial"/>
                <w:lang w:eastAsia="es-MX"/>
              </w:rPr>
            </w:pPr>
          </w:p>
          <w:p w14:paraId="510224FB" w14:textId="77777777" w:rsidR="005F5849" w:rsidRPr="00401DA3" w:rsidRDefault="005F5849" w:rsidP="00B46413">
            <w:pPr>
              <w:spacing w:after="120" w:line="276" w:lineRule="auto"/>
              <w:jc w:val="both"/>
              <w:rPr>
                <w:rFonts w:ascii="Verdana" w:eastAsia="Calibri" w:hAnsi="Verdana" w:cs="Arial"/>
                <w:bCs/>
                <w:color w:val="000000" w:themeColor="text1"/>
              </w:rPr>
            </w:pPr>
            <w:r>
              <w:rPr>
                <w:rFonts w:ascii="Verdana" w:eastAsia="Times New Roman" w:hAnsi="Verdana" w:cs="Arial"/>
                <w:lang w:eastAsia="es-MX"/>
              </w:rPr>
              <w:t xml:space="preserve">vi. Frente al último problema jurídico, se precisa que </w:t>
            </w:r>
            <w:r w:rsidRPr="00855C55">
              <w:rPr>
                <w:rFonts w:ascii="Verdana" w:eastAsia="Calibri" w:hAnsi="Verdana" w:cs="Arial"/>
                <w:bCs/>
                <w:color w:val="000000" w:themeColor="text1"/>
              </w:rPr>
              <w:t>el SECOP permite la identificación de los procesos de contratación relacionados con el transporte terrestre automotor de carga, a partir de los códigos del Clasificador de Bienes y Servicios de las Naciones Unidas – UNSPSC registrados en los procesos de contratación, se identificó la clase UNSPSC 781018 – Transporte de carga por carretera, a partir de la cual es posible consultar los procesos asociados.</w:t>
            </w:r>
            <w:r>
              <w:rPr>
                <w:rFonts w:ascii="Verdana" w:eastAsia="Calibri" w:hAnsi="Verdana" w:cs="Arial"/>
                <w:bCs/>
                <w:color w:val="000000" w:themeColor="text1"/>
              </w:rPr>
              <w:t xml:space="preserve"> </w:t>
            </w:r>
            <w:r w:rsidRPr="00401DA3">
              <w:rPr>
                <w:rFonts w:ascii="Verdana" w:eastAsia="Calibri" w:hAnsi="Verdana" w:cs="Arial"/>
                <w:bCs/>
                <w:color w:val="000000" w:themeColor="text1"/>
              </w:rPr>
              <w:t xml:space="preserve">No obstante, es importante precisar que la identificación de estos procesos depende de la correcta clasificación y registro de los códigos UNSPSC por parte de las entidades. En </w:t>
            </w:r>
            <w:r>
              <w:rPr>
                <w:rFonts w:ascii="Verdana" w:eastAsia="Calibri" w:hAnsi="Verdana" w:cs="Arial"/>
                <w:bCs/>
                <w:color w:val="000000" w:themeColor="text1"/>
              </w:rPr>
              <w:t>efecto</w:t>
            </w:r>
            <w:r w:rsidRPr="00401DA3">
              <w:rPr>
                <w:rFonts w:ascii="Verdana" w:eastAsia="Calibri" w:hAnsi="Verdana" w:cs="Arial"/>
                <w:bCs/>
                <w:color w:val="000000" w:themeColor="text1"/>
              </w:rPr>
              <w:t xml:space="preserve">, los resultados obtenidos a partir de este criterio corresponden a los procesos que fueron registrados bajo los códigos asociados al transporte de carga por carretera y pueden que no sea la totalidad de los procesos que su objeto contractual tengan la palabra clave. </w:t>
            </w:r>
          </w:p>
          <w:p w14:paraId="5A51A313" w14:textId="77777777" w:rsidR="005F5849" w:rsidRPr="00401DA3" w:rsidRDefault="005F5849" w:rsidP="00B46413">
            <w:pPr>
              <w:spacing w:after="120" w:line="276" w:lineRule="auto"/>
              <w:ind w:firstLine="709"/>
              <w:jc w:val="both"/>
              <w:rPr>
                <w:rFonts w:ascii="Verdana" w:eastAsia="Calibri" w:hAnsi="Verdana" w:cs="Arial"/>
                <w:bCs/>
                <w:color w:val="000000" w:themeColor="text1"/>
              </w:rPr>
            </w:pPr>
            <w:r w:rsidRPr="00401DA3">
              <w:rPr>
                <w:rFonts w:ascii="Verdana" w:eastAsia="Calibri" w:hAnsi="Verdana" w:cs="Arial"/>
                <w:bCs/>
                <w:color w:val="000000" w:themeColor="text1"/>
              </w:rPr>
              <w:t xml:space="preserve">Cabe destacar que la Agencia, como ente rector de contratación pública y administradora de las plataformas del Sistema Electrónico de Compras Públicas (SECOP), no es responsable por la información reportada por las entidades públicas. Esto se debe a que, conforme a lo </w:t>
            </w:r>
            <w:r>
              <w:rPr>
                <w:rFonts w:ascii="Verdana" w:eastAsia="Calibri" w:hAnsi="Verdana" w:cs="Arial"/>
                <w:bCs/>
                <w:color w:val="000000" w:themeColor="text1"/>
              </w:rPr>
              <w:t>prescrito</w:t>
            </w:r>
            <w:r w:rsidRPr="00401DA3">
              <w:rPr>
                <w:rFonts w:ascii="Verdana" w:eastAsia="Calibri" w:hAnsi="Verdana" w:cs="Arial"/>
                <w:bCs/>
                <w:color w:val="000000" w:themeColor="text1"/>
              </w:rPr>
              <w:t xml:space="preserve"> en el artículo </w:t>
            </w:r>
            <w:r w:rsidRPr="00401DA3">
              <w:rPr>
                <w:rFonts w:ascii="Verdana" w:eastAsia="Calibri" w:hAnsi="Verdana" w:cs="Arial"/>
                <w:bCs/>
                <w:color w:val="000000" w:themeColor="text1"/>
              </w:rPr>
              <w:lastRenderedPageBreak/>
              <w:t xml:space="preserve">3 de la Ley 1712 de 2014 sobre el principio de calidad de la información, las Entidades Estatales son responsables de la oportunidad, objetividad y veracidad de la información que publican. Por esta razón, la Agencia no está facultada para certificar sobre procesos contractuales que no son o no han sido de su resorte, ni para pronunciarse sobre aspectos específicos relacionados con información generada por otra entidad pública en el cumplimiento de sus funciones y las características particulares de sus procesos contractuales. </w:t>
            </w:r>
          </w:p>
          <w:p w14:paraId="08E9ED57" w14:textId="77777777" w:rsidR="005F5849" w:rsidRDefault="005F5849" w:rsidP="00B46413">
            <w:pPr>
              <w:spacing w:after="120" w:line="276" w:lineRule="auto"/>
              <w:ind w:firstLine="709"/>
              <w:jc w:val="both"/>
              <w:rPr>
                <w:rFonts w:ascii="Verdana" w:eastAsia="Calibri" w:hAnsi="Verdana" w:cs="Arial"/>
                <w:bCs/>
                <w:color w:val="000000" w:themeColor="text1"/>
              </w:rPr>
            </w:pPr>
            <w:r w:rsidRPr="00401DA3">
              <w:rPr>
                <w:rFonts w:ascii="Verdana" w:eastAsia="Calibri" w:hAnsi="Verdana" w:cs="Arial"/>
                <w:bCs/>
                <w:color w:val="000000" w:themeColor="text1"/>
              </w:rPr>
              <w:t xml:space="preserve">De igual manera, le informamos que la Agencia ha puesto a disposición de la ciudadanía y de los diferentes actores del Sistema de Compra Pública, diferentes herramientas y mecanismos de consulta de la información que reposa en las plataformas del SECOP. Estos mecanismos incluyen aplicativos de búsqueda, conjuntos de datos abiertos y herramientas de visualización que, de una manera fácil y dinámica, permiten consultar, explorar y analizar la información de contratación pública. Cada una de estas herramientas cuenta con una ficha técnica y, cuando aplica, con material de apoyo o tutorial para facilitar su uso, los cuales se </w:t>
            </w:r>
            <w:r>
              <w:rPr>
                <w:rFonts w:ascii="Verdana" w:eastAsia="Calibri" w:hAnsi="Verdana" w:cs="Arial"/>
                <w:bCs/>
                <w:color w:val="000000" w:themeColor="text1"/>
              </w:rPr>
              <w:t xml:space="preserve">detallan en las razones de la respuesta. </w:t>
            </w:r>
          </w:p>
          <w:p w14:paraId="1142E97E" w14:textId="77777777" w:rsidR="005F5849" w:rsidRPr="00C342E4" w:rsidRDefault="005F5849" w:rsidP="00B46413">
            <w:pPr>
              <w:spacing w:after="120" w:line="276" w:lineRule="auto"/>
              <w:ind w:firstLine="709"/>
              <w:jc w:val="both"/>
              <w:rPr>
                <w:rFonts w:ascii="Verdana" w:eastAsia="Calibri" w:hAnsi="Verdana" w:cs="Arial"/>
                <w:bCs/>
                <w:color w:val="000000" w:themeColor="text1"/>
              </w:rPr>
            </w:pPr>
            <w:r w:rsidRPr="00686EE7">
              <w:rPr>
                <w:rFonts w:ascii="Verdana" w:eastAsia="Calibri" w:hAnsi="Verdana" w:cs="Arial"/>
                <w:bCs/>
                <w:color w:val="000000" w:themeColor="text1"/>
              </w:rPr>
              <w:t xml:space="preserve">Dentro de estas herramientas </w:t>
            </w:r>
            <w:r w:rsidRPr="00686EE7">
              <w:rPr>
                <w:rFonts w:ascii="Verdana" w:eastAsia="Times New Roman" w:hAnsi="Verdana" w:cs="Arial"/>
                <w:bCs/>
                <w:lang w:eastAsia="es-MX"/>
              </w:rPr>
              <w:t>se destacan la Herramienta de Transparencia, que permite explorar datos a nivel nacional y territorial; el Aplicativo de búsqueda de procesos contractuales, que facilita consultas segmentadas por entidad o proveedor; y la Plataforma de Datos Abiertos, que centraliza la información proveniente de SECOP I, SECOP II y la Tienda Virtual del Estado Colombiano. Estas herramientas permiten acceder al detalle de contratos, realizar análisis por criterios específicos y consultar registros históricos desde 2008 en SECOP I, 2015 en SECOP II y 2013 en la TVEC.</w:t>
            </w:r>
            <w:r>
              <w:rPr>
                <w:rFonts w:ascii="Verdana" w:eastAsia="Times New Roman" w:hAnsi="Verdana" w:cs="Arial"/>
                <w:bCs/>
                <w:lang w:eastAsia="es-MX"/>
              </w:rPr>
              <w:t xml:space="preserve"> Así mismo</w:t>
            </w:r>
            <w:r w:rsidRPr="00686EE7">
              <w:rPr>
                <w:rFonts w:ascii="Verdana" w:eastAsia="Times New Roman" w:hAnsi="Verdana" w:cs="Arial"/>
                <w:bCs/>
                <w:lang w:eastAsia="es-MX"/>
              </w:rPr>
              <w:t>, la Agencia ha desarrollado una herramienta de visualización para el análisis de la demanda y la oferta, en el marco del Modelo de Abastecimiento Estratégico, que evidencia el comportamiento histórico de compra de las entidades. Para profundizar en el uso de estas herramientas, los interesados pueden acceder al material disponible en la página web institucional o solicitar capacitaciones específicas a través del correo electrónico informacion.emae@colombiacompra.gov.co, garantizando así un mejor aprovechamiento de los recursos de transparencia y análisis de la contratación pública</w:t>
            </w:r>
            <w:r>
              <w:rPr>
                <w:rFonts w:ascii="Verdana" w:eastAsia="Times New Roman" w:hAnsi="Verdana" w:cs="Arial"/>
                <w:bCs/>
                <w:lang w:eastAsia="es-MX"/>
              </w:rPr>
              <w:t>.</w:t>
            </w:r>
          </w:p>
          <w:p w14:paraId="4F0433CE" w14:textId="77777777" w:rsidR="005F5849" w:rsidRPr="00CB7337" w:rsidRDefault="005F5849" w:rsidP="00B46413">
            <w:pPr>
              <w:spacing w:after="120" w:line="276" w:lineRule="auto"/>
              <w:ind w:firstLine="708"/>
              <w:jc w:val="both"/>
              <w:rPr>
                <w:rFonts w:ascii="Verdana" w:eastAsia="Calibri" w:hAnsi="Verdana" w:cs="Arial"/>
                <w:bCs/>
                <w:color w:val="000000" w:themeColor="text1"/>
              </w:rPr>
            </w:pPr>
            <w:r>
              <w:rPr>
                <w:rFonts w:ascii="Verdana" w:eastAsia="Calibri" w:hAnsi="Verdana" w:cs="Arial"/>
                <w:bCs/>
                <w:color w:val="000000" w:themeColor="text1"/>
              </w:rPr>
              <w:t>Por último, a</w:t>
            </w:r>
            <w:r w:rsidRPr="00F4158D">
              <w:rPr>
                <w:rFonts w:ascii="Verdana" w:eastAsia="Calibri" w:hAnsi="Verdana" w:cs="Arial"/>
                <w:bCs/>
                <w:color w:val="000000" w:themeColor="text1"/>
              </w:rPr>
              <w:t xml:space="preserve">l margen de la explicación precedente debe advertirse que el análisis requerido para resolver problemas específicos en torno a la gestión </w:t>
            </w:r>
            <w:r w:rsidRPr="00F4158D">
              <w:rPr>
                <w:rFonts w:ascii="Verdana" w:eastAsia="Calibri" w:hAnsi="Verdana" w:cs="Arial"/>
                <w:bCs/>
                <w:color w:val="000000" w:themeColor="text1"/>
              </w:rPr>
              <w:lastRenderedPageBreak/>
              <w:t xml:space="preserve">contractual </w:t>
            </w:r>
            <w:r>
              <w:rPr>
                <w:rFonts w:ascii="Verdana" w:eastAsia="Calibri" w:hAnsi="Verdana" w:cs="Arial"/>
                <w:bCs/>
                <w:color w:val="000000" w:themeColor="text1"/>
              </w:rPr>
              <w:t xml:space="preserve">de servicios de transporte de carga terrestre </w:t>
            </w:r>
            <w:r w:rsidRPr="00F4158D">
              <w:rPr>
                <w:rFonts w:ascii="Verdana" w:eastAsia="Calibri" w:hAnsi="Verdana" w:cs="Arial"/>
                <w:bCs/>
                <w:color w:val="000000" w:themeColor="text1"/>
              </w:rPr>
              <w:t xml:space="preserve">de las entidades públicas debe </w:t>
            </w:r>
            <w:r>
              <w:rPr>
                <w:rFonts w:ascii="Verdana" w:eastAsia="Calibri" w:hAnsi="Verdana" w:cs="Arial"/>
                <w:bCs/>
                <w:color w:val="000000" w:themeColor="text1"/>
              </w:rPr>
              <w:t xml:space="preserve">realizarse </w:t>
            </w:r>
            <w:r w:rsidRPr="00F4158D">
              <w:rPr>
                <w:rFonts w:ascii="Verdana" w:eastAsia="Calibri" w:hAnsi="Verdana" w:cs="Arial"/>
                <w:bCs/>
                <w:color w:val="000000" w:themeColor="text1"/>
              </w:rPr>
              <w:t xml:space="preserve">por quienes tengan interés en ello, de acuerdo con lo explicado </w:t>
            </w:r>
            <w:r>
              <w:rPr>
                <w:rFonts w:ascii="Verdana" w:eastAsia="Calibri" w:hAnsi="Verdana" w:cs="Arial"/>
                <w:bCs/>
                <w:color w:val="000000" w:themeColor="text1"/>
              </w:rPr>
              <w:t>en</w:t>
            </w:r>
            <w:r w:rsidRPr="00F4158D">
              <w:rPr>
                <w:rFonts w:ascii="Verdana" w:eastAsia="Calibri" w:hAnsi="Verdana" w:cs="Arial"/>
                <w:bCs/>
                <w:color w:val="000000" w:themeColor="text1"/>
              </w:rPr>
              <w:t xml:space="preserve"> la aclaración preliminar del presente oficio. De esta manera, las afirmaciones aquí realizadas no pueden ser interpretadas como juicios de valor sobre circunstancias concretas relacionadas con los hechos que motivan la consulta. </w:t>
            </w:r>
          </w:p>
        </w:tc>
      </w:tr>
    </w:tbl>
    <w:p w14:paraId="293FF687" w14:textId="77777777" w:rsidR="005F5849" w:rsidRPr="00593A5F" w:rsidRDefault="005F5849" w:rsidP="005F5849">
      <w:pPr>
        <w:tabs>
          <w:tab w:val="left" w:pos="142"/>
          <w:tab w:val="left" w:pos="284"/>
        </w:tabs>
        <w:spacing w:after="0" w:line="240" w:lineRule="auto"/>
        <w:jc w:val="both"/>
        <w:rPr>
          <w:rFonts w:ascii="Verdana" w:eastAsia="Century Gothic" w:hAnsi="Verdana" w:cs="Century Gothic"/>
          <w:b/>
          <w:bCs/>
          <w:lang w:val="es-ES"/>
        </w:rPr>
      </w:pPr>
    </w:p>
    <w:bookmarkEnd w:id="1"/>
    <w:p w14:paraId="15E16D7D" w14:textId="77777777" w:rsidR="005F5849" w:rsidRPr="00593A5F" w:rsidRDefault="005F5849" w:rsidP="005F5849">
      <w:pPr>
        <w:pStyle w:val="Prrafodelista"/>
        <w:numPr>
          <w:ilvl w:val="0"/>
          <w:numId w:val="16"/>
        </w:numPr>
        <w:tabs>
          <w:tab w:val="left" w:pos="142"/>
          <w:tab w:val="left" w:pos="284"/>
        </w:tabs>
        <w:spacing w:after="0" w:line="240"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04322317" w14:textId="77777777" w:rsidR="005F5849" w:rsidRPr="00593A5F" w:rsidRDefault="005F5849" w:rsidP="005F5849">
      <w:pPr>
        <w:spacing w:after="0" w:line="240" w:lineRule="auto"/>
        <w:jc w:val="both"/>
        <w:rPr>
          <w:rFonts w:ascii="Verdana" w:eastAsia="Calibri" w:hAnsi="Verdana" w:cs="Arial"/>
          <w:color w:val="7030A0"/>
          <w:lang w:val="es-ES"/>
        </w:rPr>
      </w:pPr>
    </w:p>
    <w:p w14:paraId="1278D232" w14:textId="77777777" w:rsidR="005F5849" w:rsidRDefault="005F5849" w:rsidP="005F5849">
      <w:pPr>
        <w:spacing w:after="0" w:line="240"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40247B6A" w14:textId="77777777" w:rsidR="005F5849" w:rsidRDefault="005F5849" w:rsidP="005F5849">
      <w:pPr>
        <w:spacing w:after="0" w:line="240" w:lineRule="auto"/>
        <w:jc w:val="both"/>
        <w:rPr>
          <w:rFonts w:ascii="Verdana" w:eastAsia="Calibri" w:hAnsi="Verdana" w:cs="Arial"/>
          <w:lang w:val="es-ES"/>
        </w:rPr>
      </w:pPr>
    </w:p>
    <w:p w14:paraId="529F74A3" w14:textId="77777777" w:rsidR="005F5849" w:rsidRPr="00851835" w:rsidRDefault="005F5849" w:rsidP="005F5849">
      <w:pPr>
        <w:spacing w:after="120" w:line="276" w:lineRule="auto"/>
        <w:jc w:val="both"/>
        <w:rPr>
          <w:rFonts w:ascii="Verdana" w:eastAsia="Verdana" w:hAnsi="Verdana" w:cs="Verdana"/>
          <w:lang w:eastAsia="es-CO"/>
        </w:rPr>
      </w:pPr>
      <w:r>
        <w:rPr>
          <w:rFonts w:ascii="Verdana" w:eastAsia="Calibri" w:hAnsi="Verdana" w:cs="Arial"/>
          <w:bCs/>
          <w:color w:val="000000" w:themeColor="text1"/>
          <w:lang w:val="es-ES_tradnl"/>
        </w:rPr>
        <w:t xml:space="preserve">i. </w:t>
      </w:r>
      <w:r w:rsidRPr="00851835">
        <w:rPr>
          <w:rFonts w:ascii="Verdana" w:eastAsia="Verdana" w:hAnsi="Verdana" w:cs="Verdana"/>
          <w:lang w:eastAsia="es-CO"/>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entre otros. Lo anterior con la finalidad de realizar la escogencia diligente de la mejor oferta, para beneficiar los intereses y fines públicos inmersos en la contratación de las Entidades Estatales.</w:t>
      </w:r>
      <w:r w:rsidRPr="00851835">
        <w:rPr>
          <w:rFonts w:ascii="Verdana" w:eastAsia="Verdana" w:hAnsi="Verdana" w:cs="Verdana"/>
          <w:lang w:eastAsia="es-CO"/>
        </w:rPr>
        <w:tab/>
      </w:r>
    </w:p>
    <w:p w14:paraId="4A4A76F8" w14:textId="77777777" w:rsidR="005F5849" w:rsidRPr="00851835" w:rsidRDefault="005F5849" w:rsidP="005F5849">
      <w:pPr>
        <w:spacing w:after="0" w:line="276" w:lineRule="auto"/>
        <w:jc w:val="both"/>
        <w:rPr>
          <w:rFonts w:ascii="Verdana" w:eastAsia="Verdana" w:hAnsi="Verdana" w:cs="Verdana"/>
          <w:lang w:eastAsia="es-CO"/>
        </w:rPr>
      </w:pPr>
      <w:r w:rsidRPr="00851835">
        <w:rPr>
          <w:rFonts w:ascii="Verdana" w:eastAsia="Verdana" w:hAnsi="Verdana" w:cs="Verdana"/>
          <w:lang w:eastAsia="es-CO"/>
        </w:rPr>
        <w:tab/>
        <w:t xml:space="preserve">El Estatuto General de Contratación de la Administración Pública – EGCAP –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 </w:t>
      </w:r>
    </w:p>
    <w:p w14:paraId="25C2D532" w14:textId="77777777" w:rsidR="005F5849" w:rsidRPr="00851835" w:rsidRDefault="005F5849" w:rsidP="005F5849">
      <w:pPr>
        <w:spacing w:after="0" w:line="276" w:lineRule="auto"/>
        <w:ind w:firstLine="709"/>
        <w:jc w:val="both"/>
        <w:rPr>
          <w:rFonts w:ascii="Verdana" w:eastAsia="Verdana" w:hAnsi="Verdana" w:cs="Verdana"/>
          <w:lang w:eastAsia="es-CO"/>
        </w:rPr>
      </w:pPr>
    </w:p>
    <w:p w14:paraId="3E79B57B" w14:textId="77777777" w:rsidR="005F5849" w:rsidRPr="00851835" w:rsidRDefault="005F5849" w:rsidP="005F5849">
      <w:pPr>
        <w:spacing w:after="0" w:line="240" w:lineRule="auto"/>
        <w:ind w:left="709" w:right="709"/>
        <w:jc w:val="both"/>
        <w:rPr>
          <w:rFonts w:ascii="Verdana" w:eastAsia="Verdana" w:hAnsi="Verdana" w:cs="Verdana"/>
          <w:sz w:val="20"/>
          <w:szCs w:val="20"/>
          <w:lang w:eastAsia="es-CO"/>
        </w:rPr>
      </w:pPr>
      <w:r w:rsidRPr="00851835">
        <w:rPr>
          <w:rFonts w:ascii="Verdana" w:eastAsia="Verdana" w:hAnsi="Verdana" w:cs="Verdana"/>
          <w:sz w:val="20"/>
          <w:szCs w:val="20"/>
          <w:lang w:eastAsia="es-CO"/>
        </w:rPr>
        <w:t>“7o. La conveniencia o inconveniencia del objeto a contratar y las autorizaciones y aprobaciones para ello, se analizarán o impartirán con antelación al inicio del proceso de selección del contratista o al de la firma del contrato, según el caso.</w:t>
      </w:r>
    </w:p>
    <w:p w14:paraId="5E34131D" w14:textId="77777777" w:rsidR="005F5849" w:rsidRPr="00851835" w:rsidRDefault="005F5849" w:rsidP="005F5849">
      <w:pPr>
        <w:spacing w:after="0" w:line="240" w:lineRule="auto"/>
        <w:ind w:left="709" w:right="709"/>
        <w:jc w:val="both"/>
        <w:rPr>
          <w:rFonts w:ascii="Verdana" w:eastAsia="Verdana" w:hAnsi="Verdana" w:cs="Verdana"/>
          <w:sz w:val="20"/>
          <w:szCs w:val="20"/>
          <w:lang w:eastAsia="es-CO"/>
        </w:rPr>
      </w:pPr>
      <w:r w:rsidRPr="00851835">
        <w:rPr>
          <w:rFonts w:ascii="Verdana" w:eastAsia="Verdana" w:hAnsi="Verdana" w:cs="Verdana"/>
          <w:sz w:val="20"/>
          <w:szCs w:val="20"/>
          <w:lang w:eastAsia="es-CO"/>
        </w:rPr>
        <w:t>[…]</w:t>
      </w:r>
    </w:p>
    <w:p w14:paraId="0ECE1ACD" w14:textId="77777777" w:rsidR="005F5849" w:rsidRPr="00851835" w:rsidRDefault="005F5849" w:rsidP="005F5849">
      <w:pPr>
        <w:spacing w:after="0" w:line="240" w:lineRule="auto"/>
        <w:ind w:left="709" w:right="709"/>
        <w:jc w:val="both"/>
        <w:rPr>
          <w:rFonts w:ascii="Verdana" w:eastAsia="Verdana" w:hAnsi="Verdana" w:cs="Verdana"/>
          <w:sz w:val="20"/>
          <w:szCs w:val="20"/>
          <w:lang w:eastAsia="es-CO"/>
        </w:rPr>
      </w:pPr>
      <w:r w:rsidRPr="00851835">
        <w:rPr>
          <w:rFonts w:ascii="Verdana" w:eastAsia="Verdana" w:hAnsi="Verdana" w:cs="Verdana"/>
          <w:sz w:val="20"/>
          <w:szCs w:val="20"/>
          <w:lang w:eastAsia="es-CO"/>
        </w:rPr>
        <w:lastRenderedPageBreak/>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13E6E718" w14:textId="77777777" w:rsidR="005F5849" w:rsidRPr="00851835" w:rsidRDefault="005F5849" w:rsidP="005F5849">
      <w:pPr>
        <w:spacing w:after="0" w:line="240" w:lineRule="auto"/>
        <w:ind w:left="709" w:right="709"/>
        <w:jc w:val="both"/>
        <w:rPr>
          <w:rFonts w:ascii="Verdana" w:eastAsia="Verdana" w:hAnsi="Verdana" w:cs="Verdana"/>
          <w:sz w:val="20"/>
          <w:szCs w:val="20"/>
          <w:lang w:eastAsia="es-CO"/>
        </w:rPr>
      </w:pPr>
    </w:p>
    <w:p w14:paraId="1C3C352D" w14:textId="77777777" w:rsidR="005F5849" w:rsidRPr="00851835" w:rsidRDefault="005F5849" w:rsidP="005F5849">
      <w:pPr>
        <w:spacing w:after="0" w:line="240" w:lineRule="auto"/>
        <w:ind w:left="709" w:right="709"/>
        <w:jc w:val="both"/>
        <w:rPr>
          <w:rFonts w:ascii="Verdana" w:eastAsia="Verdana" w:hAnsi="Verdana" w:cs="Verdana"/>
          <w:sz w:val="20"/>
          <w:szCs w:val="20"/>
          <w:lang w:eastAsia="es-CO"/>
        </w:rPr>
      </w:pPr>
      <w:r w:rsidRPr="00851835">
        <w:rPr>
          <w:rFonts w:ascii="Verdana" w:eastAsia="Verdana" w:hAnsi="Verdana" w:cs="Verdana"/>
          <w:sz w:val="20"/>
          <w:szCs w:val="20"/>
          <w:lang w:eastAsia="es-CO"/>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4CD0AE54" w14:textId="77777777" w:rsidR="005F5849" w:rsidRPr="00851835" w:rsidRDefault="005F5849" w:rsidP="005F5849">
      <w:pPr>
        <w:spacing w:after="0" w:line="240" w:lineRule="auto"/>
        <w:ind w:left="709" w:right="709"/>
        <w:jc w:val="both"/>
        <w:rPr>
          <w:rFonts w:ascii="Verdana" w:eastAsia="Verdana" w:hAnsi="Verdana" w:cs="Verdana"/>
          <w:sz w:val="20"/>
          <w:szCs w:val="20"/>
          <w:lang w:eastAsia="es-CO"/>
        </w:rPr>
      </w:pPr>
    </w:p>
    <w:p w14:paraId="7CBCA215" w14:textId="77777777" w:rsidR="005F5849" w:rsidRPr="00851835" w:rsidRDefault="005F5849" w:rsidP="005F5849">
      <w:pPr>
        <w:spacing w:after="0" w:line="240" w:lineRule="auto"/>
        <w:ind w:left="709" w:right="709"/>
        <w:jc w:val="both"/>
        <w:rPr>
          <w:rFonts w:ascii="Verdana" w:eastAsia="Verdana" w:hAnsi="Verdana" w:cs="Verdana"/>
          <w:sz w:val="20"/>
          <w:szCs w:val="20"/>
          <w:lang w:eastAsia="es-CO"/>
        </w:rPr>
      </w:pPr>
      <w:r w:rsidRPr="00851835">
        <w:rPr>
          <w:rFonts w:ascii="Verdana" w:eastAsia="Verdana" w:hAnsi="Verdana" w:cs="Verdana"/>
          <w:sz w:val="20"/>
          <w:szCs w:val="20"/>
          <w:lang w:eastAsia="es-CO"/>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6BA2EA1A" w14:textId="77777777" w:rsidR="005F5849" w:rsidRPr="00851835" w:rsidRDefault="005F5849" w:rsidP="005F5849">
      <w:pPr>
        <w:spacing w:after="0" w:line="240" w:lineRule="auto"/>
        <w:ind w:left="709" w:right="709"/>
        <w:jc w:val="both"/>
        <w:rPr>
          <w:rFonts w:ascii="Verdana" w:eastAsia="Verdana" w:hAnsi="Verdana" w:cs="Verdana"/>
          <w:sz w:val="20"/>
          <w:szCs w:val="20"/>
          <w:lang w:eastAsia="es-CO"/>
        </w:rPr>
      </w:pPr>
    </w:p>
    <w:p w14:paraId="63FBC5A1" w14:textId="77777777" w:rsidR="005F5849" w:rsidRPr="00851835" w:rsidRDefault="005F5849" w:rsidP="005F5849">
      <w:pPr>
        <w:spacing w:after="0" w:line="240" w:lineRule="auto"/>
        <w:ind w:left="709" w:right="709"/>
        <w:jc w:val="both"/>
        <w:rPr>
          <w:rFonts w:ascii="Verdana" w:eastAsia="Verdana" w:hAnsi="Verdana" w:cs="Verdana"/>
          <w:sz w:val="20"/>
          <w:szCs w:val="20"/>
          <w:lang w:eastAsia="es-CO"/>
        </w:rPr>
      </w:pPr>
      <w:r w:rsidRPr="00851835">
        <w:rPr>
          <w:rFonts w:ascii="Verdana" w:eastAsia="Verdana" w:hAnsi="Verdana" w:cs="Verdana"/>
          <w:sz w:val="20"/>
          <w:szCs w:val="20"/>
          <w:lang w:eastAsia="es-CO"/>
        </w:rPr>
        <w:t>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w:t>
      </w:r>
    </w:p>
    <w:p w14:paraId="4CD997C4" w14:textId="77777777" w:rsidR="005F5849" w:rsidRPr="00851835" w:rsidRDefault="005F5849" w:rsidP="005F5849">
      <w:pPr>
        <w:spacing w:after="0" w:line="276" w:lineRule="auto"/>
        <w:jc w:val="both"/>
        <w:rPr>
          <w:rFonts w:ascii="Verdana" w:eastAsia="Verdana" w:hAnsi="Verdana" w:cs="Verdana"/>
          <w:lang w:eastAsia="es-CO"/>
        </w:rPr>
      </w:pPr>
    </w:p>
    <w:p w14:paraId="52A011B8" w14:textId="77777777" w:rsidR="005F5849" w:rsidRPr="00851835" w:rsidRDefault="005F5849" w:rsidP="005F5849">
      <w:pPr>
        <w:spacing w:after="0" w:line="276" w:lineRule="auto"/>
        <w:ind w:firstLine="708"/>
        <w:jc w:val="both"/>
        <w:rPr>
          <w:rFonts w:ascii="Verdana" w:eastAsia="Verdana" w:hAnsi="Verdana" w:cs="Verdana"/>
          <w:lang w:eastAsia="es-CO"/>
        </w:rPr>
      </w:pPr>
      <w:r w:rsidRPr="00851835">
        <w:rPr>
          <w:rFonts w:ascii="Verdana" w:eastAsia="Verdana" w:hAnsi="Verdana" w:cs="Verdana"/>
          <w:lang w:eastAsia="es-CO"/>
        </w:rPr>
        <w:t>Lo anterior le permitirá a la Entidad Estatal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sidRPr="00851835">
        <w:rPr>
          <w:rFonts w:ascii="Geom Light" w:eastAsia="Geom Light" w:hAnsi="Geom Light" w:cs="Geom Light"/>
          <w:vertAlign w:val="superscript"/>
          <w:lang w:eastAsia="es-CO"/>
        </w:rPr>
        <w:footnoteReference w:id="1"/>
      </w:r>
      <w:r w:rsidRPr="00851835">
        <w:rPr>
          <w:rFonts w:ascii="Verdana" w:eastAsia="Verdana" w:hAnsi="Verdana" w:cs="Verdana"/>
          <w:lang w:eastAsia="es-CO"/>
        </w:rPr>
        <w:t>. En congruencia con el artículo 25 de la Ley 80 de 1993, el Decreto Único Reglamentario del Sector Administrativo de Planeación Nacional –Decreto 1082 de 2015–, dispone en el artículo 2.2.1.1.2.1.1 el contenido mínimo de los estudios y documentos previos:</w:t>
      </w:r>
    </w:p>
    <w:p w14:paraId="61D49FAD" w14:textId="77777777" w:rsidR="005F5849" w:rsidRPr="00851835" w:rsidRDefault="005F5849" w:rsidP="005F5849">
      <w:pPr>
        <w:spacing w:after="0" w:line="276" w:lineRule="auto"/>
        <w:rPr>
          <w:rFonts w:ascii="Verdana" w:eastAsia="Verdana" w:hAnsi="Verdana" w:cs="Verdana"/>
          <w:lang w:eastAsia="es-CO"/>
        </w:rPr>
      </w:pPr>
    </w:p>
    <w:p w14:paraId="34FE95E7" w14:textId="77777777" w:rsidR="005F5849" w:rsidRPr="00851835" w:rsidRDefault="005F5849" w:rsidP="005F5849">
      <w:pPr>
        <w:spacing w:after="0" w:line="240" w:lineRule="auto"/>
        <w:ind w:left="709" w:right="709"/>
        <w:jc w:val="both"/>
        <w:rPr>
          <w:rFonts w:ascii="Verdana" w:eastAsia="Verdana" w:hAnsi="Verdana" w:cs="Verdana"/>
          <w:sz w:val="20"/>
          <w:szCs w:val="20"/>
          <w:lang w:eastAsia="es-CO"/>
        </w:rPr>
      </w:pPr>
      <w:r w:rsidRPr="00851835">
        <w:rPr>
          <w:rFonts w:ascii="Verdana" w:eastAsia="Verdana" w:hAnsi="Verdana" w:cs="Verdana"/>
          <w:sz w:val="20"/>
          <w:szCs w:val="20"/>
          <w:lang w:eastAsia="es-CO"/>
        </w:rPr>
        <w:lastRenderedPageBreak/>
        <w:t xml:space="preserve">“Artículo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14:paraId="25C98188" w14:textId="77777777" w:rsidR="005F5849" w:rsidRPr="00851835" w:rsidRDefault="005F5849" w:rsidP="005F5849">
      <w:pPr>
        <w:spacing w:after="0" w:line="240" w:lineRule="auto"/>
        <w:ind w:left="709" w:right="709"/>
        <w:jc w:val="both"/>
        <w:rPr>
          <w:rFonts w:ascii="Verdana" w:eastAsia="Verdana" w:hAnsi="Verdana" w:cs="Verdana"/>
          <w:sz w:val="20"/>
          <w:szCs w:val="20"/>
          <w:lang w:eastAsia="es-CO"/>
        </w:rPr>
      </w:pPr>
    </w:p>
    <w:p w14:paraId="3E7B043D" w14:textId="77777777" w:rsidR="005F5849" w:rsidRPr="00851835" w:rsidRDefault="005F5849" w:rsidP="005F5849">
      <w:pPr>
        <w:spacing w:after="0" w:line="240" w:lineRule="auto"/>
        <w:ind w:left="709" w:right="709"/>
        <w:jc w:val="both"/>
        <w:rPr>
          <w:rFonts w:ascii="Verdana" w:eastAsia="Verdana" w:hAnsi="Verdana" w:cs="Verdana"/>
          <w:sz w:val="20"/>
          <w:szCs w:val="20"/>
          <w:lang w:eastAsia="es-CO"/>
        </w:rPr>
      </w:pPr>
      <w:r w:rsidRPr="00851835">
        <w:rPr>
          <w:rFonts w:ascii="Verdana" w:eastAsia="Verdana" w:hAnsi="Verdana" w:cs="Verdana"/>
          <w:sz w:val="20"/>
          <w:szCs w:val="20"/>
          <w:lang w:eastAsia="es-CO"/>
        </w:rPr>
        <w:t xml:space="preserve">1. La descripción de la necesidad que la Entidad Estatal pretende satisfacer con el Proceso de Contratación. </w:t>
      </w:r>
      <w:r w:rsidRPr="00851835">
        <w:rPr>
          <w:rFonts w:ascii="Arial" w:eastAsia="Arial" w:hAnsi="Arial" w:cs="Arial"/>
          <w:sz w:val="20"/>
          <w:szCs w:val="20"/>
          <w:lang w:eastAsia="es-CO"/>
        </w:rPr>
        <w:t>​</w:t>
      </w:r>
    </w:p>
    <w:p w14:paraId="105E7D18" w14:textId="77777777" w:rsidR="005F5849" w:rsidRPr="00851835" w:rsidRDefault="005F5849" w:rsidP="005F5849">
      <w:pPr>
        <w:spacing w:after="0" w:line="240" w:lineRule="auto"/>
        <w:ind w:left="709" w:right="709"/>
        <w:jc w:val="both"/>
        <w:rPr>
          <w:rFonts w:ascii="Verdana" w:eastAsia="Verdana" w:hAnsi="Verdana" w:cs="Verdana"/>
          <w:sz w:val="20"/>
          <w:szCs w:val="20"/>
          <w:lang w:eastAsia="es-CO"/>
        </w:rPr>
      </w:pPr>
    </w:p>
    <w:p w14:paraId="13F1A889" w14:textId="77777777" w:rsidR="005F5849" w:rsidRPr="00851835" w:rsidRDefault="005F5849" w:rsidP="005F5849">
      <w:pPr>
        <w:spacing w:after="0" w:line="240" w:lineRule="auto"/>
        <w:ind w:left="709" w:right="709"/>
        <w:jc w:val="both"/>
        <w:rPr>
          <w:rFonts w:ascii="Verdana" w:eastAsia="Verdana" w:hAnsi="Verdana" w:cs="Verdana"/>
          <w:sz w:val="20"/>
          <w:szCs w:val="20"/>
          <w:lang w:eastAsia="es-CO"/>
        </w:rPr>
      </w:pPr>
      <w:r w:rsidRPr="00851835">
        <w:rPr>
          <w:rFonts w:ascii="Verdana" w:eastAsia="Verdana" w:hAnsi="Verdana" w:cs="Verdana"/>
          <w:sz w:val="20"/>
          <w:szCs w:val="20"/>
          <w:lang w:eastAsia="es-CO"/>
        </w:rPr>
        <w:t xml:space="preserve">2. El objeto a contratar, con sus especificaciones, las autorizaciones, permisos y licencias requeridos para su ejecución, y cuando el contrato incluye diseño y construcción, los documentos técnicos para el desarrollo del proyecto. </w:t>
      </w:r>
    </w:p>
    <w:p w14:paraId="38DB46B1" w14:textId="77777777" w:rsidR="005F5849" w:rsidRPr="00851835" w:rsidRDefault="005F5849" w:rsidP="005F5849">
      <w:pPr>
        <w:spacing w:after="0" w:line="240" w:lineRule="auto"/>
        <w:ind w:left="709" w:right="709"/>
        <w:jc w:val="both"/>
        <w:rPr>
          <w:rFonts w:ascii="Verdana" w:eastAsia="Verdana" w:hAnsi="Verdana" w:cs="Verdana"/>
          <w:sz w:val="20"/>
          <w:szCs w:val="20"/>
          <w:lang w:eastAsia="es-CO"/>
        </w:rPr>
      </w:pPr>
    </w:p>
    <w:p w14:paraId="4F33D39C" w14:textId="77777777" w:rsidR="005F5849" w:rsidRPr="00851835" w:rsidRDefault="005F5849" w:rsidP="005F5849">
      <w:pPr>
        <w:spacing w:after="0" w:line="240" w:lineRule="auto"/>
        <w:ind w:left="709" w:right="709"/>
        <w:jc w:val="both"/>
        <w:rPr>
          <w:rFonts w:ascii="Verdana" w:eastAsia="Verdana" w:hAnsi="Verdana" w:cs="Verdana"/>
          <w:sz w:val="20"/>
          <w:szCs w:val="20"/>
          <w:lang w:eastAsia="es-CO"/>
        </w:rPr>
      </w:pPr>
      <w:r w:rsidRPr="00851835">
        <w:rPr>
          <w:rFonts w:ascii="Verdana" w:eastAsia="Verdana" w:hAnsi="Verdana" w:cs="Verdana"/>
          <w:sz w:val="20"/>
          <w:szCs w:val="20"/>
          <w:lang w:eastAsia="es-CO"/>
        </w:rPr>
        <w:t xml:space="preserve">3. La modalidad de selección del contratista y su justificación, incluyendo los fundamentos jurídicos. </w:t>
      </w:r>
    </w:p>
    <w:p w14:paraId="1249E350" w14:textId="77777777" w:rsidR="005F5849" w:rsidRPr="00851835" w:rsidRDefault="005F5849" w:rsidP="005F5849">
      <w:pPr>
        <w:spacing w:after="0" w:line="240" w:lineRule="auto"/>
        <w:ind w:left="709" w:right="709"/>
        <w:jc w:val="both"/>
        <w:rPr>
          <w:rFonts w:ascii="Verdana" w:eastAsia="Verdana" w:hAnsi="Verdana" w:cs="Verdana"/>
          <w:sz w:val="20"/>
          <w:szCs w:val="20"/>
          <w:lang w:eastAsia="es-CO"/>
        </w:rPr>
      </w:pPr>
    </w:p>
    <w:p w14:paraId="37A22D29" w14:textId="77777777" w:rsidR="005F5849" w:rsidRPr="00851835" w:rsidRDefault="005F5849" w:rsidP="005F5849">
      <w:pPr>
        <w:spacing w:after="0" w:line="240" w:lineRule="auto"/>
        <w:ind w:left="709" w:right="709"/>
        <w:jc w:val="both"/>
        <w:rPr>
          <w:rFonts w:ascii="Verdana" w:eastAsia="Verdana" w:hAnsi="Verdana" w:cs="Verdana"/>
          <w:sz w:val="20"/>
          <w:szCs w:val="20"/>
          <w:lang w:eastAsia="es-CO"/>
        </w:rPr>
      </w:pPr>
      <w:r w:rsidRPr="00851835">
        <w:rPr>
          <w:rFonts w:ascii="Verdana" w:eastAsia="Verdana" w:hAnsi="Verdana" w:cs="Verdana"/>
          <w:sz w:val="20"/>
          <w:szCs w:val="20"/>
          <w:lang w:eastAsia="es-CO"/>
        </w:rPr>
        <w:t xml:space="preserve">4. El valor estimado del contrato y la justificación del mismo.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63AB411A" w14:textId="77777777" w:rsidR="005F5849" w:rsidRPr="00851835" w:rsidRDefault="005F5849" w:rsidP="005F5849">
      <w:pPr>
        <w:spacing w:after="0" w:line="240" w:lineRule="auto"/>
        <w:ind w:left="709" w:right="709"/>
        <w:jc w:val="both"/>
        <w:rPr>
          <w:rFonts w:ascii="Verdana" w:eastAsia="Verdana" w:hAnsi="Verdana" w:cs="Verdana"/>
          <w:sz w:val="20"/>
          <w:szCs w:val="20"/>
          <w:lang w:eastAsia="es-CO"/>
        </w:rPr>
      </w:pPr>
    </w:p>
    <w:p w14:paraId="3BED8007" w14:textId="77777777" w:rsidR="005F5849" w:rsidRPr="00851835" w:rsidRDefault="005F5849" w:rsidP="005F5849">
      <w:pPr>
        <w:spacing w:after="0" w:line="240" w:lineRule="auto"/>
        <w:ind w:left="709" w:right="709"/>
        <w:jc w:val="both"/>
        <w:rPr>
          <w:rFonts w:ascii="Verdana" w:eastAsia="Verdana" w:hAnsi="Verdana" w:cs="Verdana"/>
          <w:sz w:val="20"/>
          <w:szCs w:val="20"/>
          <w:lang w:eastAsia="es-CO"/>
        </w:rPr>
      </w:pPr>
      <w:r w:rsidRPr="00851835">
        <w:rPr>
          <w:rFonts w:ascii="Verdana" w:eastAsia="Verdana" w:hAnsi="Verdana" w:cs="Verdana"/>
          <w:sz w:val="20"/>
          <w:szCs w:val="20"/>
          <w:lang w:eastAsia="es-CO"/>
        </w:rPr>
        <w:t xml:space="preserve">5. Los criterios para seleccionar la oferta más favorable. </w:t>
      </w:r>
    </w:p>
    <w:p w14:paraId="21555081" w14:textId="77777777" w:rsidR="005F5849" w:rsidRPr="00851835" w:rsidRDefault="005F5849" w:rsidP="005F5849">
      <w:pPr>
        <w:spacing w:after="0" w:line="240" w:lineRule="auto"/>
        <w:ind w:left="709" w:right="709"/>
        <w:jc w:val="both"/>
        <w:rPr>
          <w:rFonts w:ascii="Verdana" w:eastAsia="Verdana" w:hAnsi="Verdana" w:cs="Verdana"/>
          <w:sz w:val="20"/>
          <w:szCs w:val="20"/>
          <w:lang w:eastAsia="es-CO"/>
        </w:rPr>
      </w:pPr>
    </w:p>
    <w:p w14:paraId="60FE3509" w14:textId="77777777" w:rsidR="005F5849" w:rsidRPr="00851835" w:rsidRDefault="005F5849" w:rsidP="005F5849">
      <w:pPr>
        <w:spacing w:after="0" w:line="240" w:lineRule="auto"/>
        <w:ind w:left="709" w:right="709"/>
        <w:jc w:val="both"/>
        <w:rPr>
          <w:rFonts w:ascii="Verdana" w:eastAsia="Verdana" w:hAnsi="Verdana" w:cs="Verdana"/>
          <w:sz w:val="20"/>
          <w:szCs w:val="20"/>
          <w:lang w:eastAsia="es-CO"/>
        </w:rPr>
      </w:pPr>
      <w:r w:rsidRPr="00851835">
        <w:rPr>
          <w:rFonts w:ascii="Verdana" w:eastAsia="Verdana" w:hAnsi="Verdana" w:cs="Verdana"/>
          <w:sz w:val="20"/>
          <w:szCs w:val="20"/>
          <w:lang w:eastAsia="es-CO"/>
        </w:rPr>
        <w:t xml:space="preserve">6. El análisis de Riesgo y la forma de mitigarlo. </w:t>
      </w:r>
    </w:p>
    <w:p w14:paraId="134581C0" w14:textId="77777777" w:rsidR="005F5849" w:rsidRPr="00851835" w:rsidRDefault="005F5849" w:rsidP="005F5849">
      <w:pPr>
        <w:spacing w:after="0" w:line="240" w:lineRule="auto"/>
        <w:ind w:left="709" w:right="709"/>
        <w:jc w:val="both"/>
        <w:rPr>
          <w:rFonts w:ascii="Verdana" w:eastAsia="Verdana" w:hAnsi="Verdana" w:cs="Verdana"/>
          <w:sz w:val="20"/>
          <w:szCs w:val="20"/>
          <w:lang w:eastAsia="es-CO"/>
        </w:rPr>
      </w:pPr>
    </w:p>
    <w:p w14:paraId="6C8F504E" w14:textId="77777777" w:rsidR="005F5849" w:rsidRPr="00851835" w:rsidRDefault="005F5849" w:rsidP="005F5849">
      <w:pPr>
        <w:spacing w:after="0" w:line="240" w:lineRule="auto"/>
        <w:ind w:left="709" w:right="709"/>
        <w:jc w:val="both"/>
        <w:rPr>
          <w:rFonts w:ascii="Verdana" w:eastAsia="Verdana" w:hAnsi="Verdana" w:cs="Verdana"/>
          <w:sz w:val="20"/>
          <w:szCs w:val="20"/>
          <w:lang w:eastAsia="es-CO"/>
        </w:rPr>
      </w:pPr>
      <w:r w:rsidRPr="00851835">
        <w:rPr>
          <w:rFonts w:ascii="Verdana" w:eastAsia="Verdana" w:hAnsi="Verdana" w:cs="Verdana"/>
          <w:sz w:val="20"/>
          <w:szCs w:val="20"/>
          <w:lang w:eastAsia="es-CO"/>
        </w:rPr>
        <w:t xml:space="preserve">7. Las garantías que la Entidad Estatal contempla exigir en el proceso de contratación. </w:t>
      </w:r>
    </w:p>
    <w:p w14:paraId="5108AAF5" w14:textId="77777777" w:rsidR="005F5849" w:rsidRPr="00851835" w:rsidRDefault="005F5849" w:rsidP="005F5849">
      <w:pPr>
        <w:spacing w:after="0" w:line="240" w:lineRule="auto"/>
        <w:ind w:left="709" w:right="709"/>
        <w:jc w:val="both"/>
        <w:rPr>
          <w:rFonts w:ascii="Verdana" w:eastAsia="Verdana" w:hAnsi="Verdana" w:cs="Verdana"/>
          <w:sz w:val="20"/>
          <w:szCs w:val="20"/>
          <w:lang w:eastAsia="es-CO"/>
        </w:rPr>
      </w:pPr>
    </w:p>
    <w:p w14:paraId="54936520" w14:textId="77777777" w:rsidR="005F5849" w:rsidRPr="00851835" w:rsidRDefault="005F5849" w:rsidP="005F5849">
      <w:pPr>
        <w:spacing w:after="0" w:line="240" w:lineRule="auto"/>
        <w:ind w:left="709" w:right="709"/>
        <w:jc w:val="both"/>
        <w:rPr>
          <w:rFonts w:ascii="Verdana" w:eastAsia="Verdana" w:hAnsi="Verdana" w:cs="Verdana"/>
          <w:sz w:val="20"/>
          <w:szCs w:val="20"/>
          <w:lang w:eastAsia="es-CO"/>
        </w:rPr>
      </w:pPr>
      <w:r w:rsidRPr="00851835">
        <w:rPr>
          <w:rFonts w:ascii="Verdana" w:eastAsia="Verdana" w:hAnsi="Verdana" w:cs="Verdana"/>
          <w:sz w:val="20"/>
          <w:szCs w:val="20"/>
          <w:lang w:eastAsia="es-CO"/>
        </w:rPr>
        <w:t xml:space="preserve">8. La indicación de si el proceso de contratación está cobijado por un acuerdo comercial. </w:t>
      </w:r>
    </w:p>
    <w:p w14:paraId="359B5A96" w14:textId="77777777" w:rsidR="005F5849" w:rsidRPr="00851835" w:rsidRDefault="005F5849" w:rsidP="005F5849">
      <w:pPr>
        <w:spacing w:after="0" w:line="240" w:lineRule="auto"/>
        <w:ind w:left="709" w:right="709"/>
        <w:jc w:val="both"/>
        <w:rPr>
          <w:rFonts w:ascii="Verdana" w:eastAsia="Verdana" w:hAnsi="Verdana" w:cs="Verdana"/>
          <w:sz w:val="20"/>
          <w:szCs w:val="20"/>
          <w:lang w:eastAsia="es-CO"/>
        </w:rPr>
      </w:pPr>
    </w:p>
    <w:p w14:paraId="23EEFDCB" w14:textId="77777777" w:rsidR="005F5849" w:rsidRPr="00851835" w:rsidRDefault="005F5849" w:rsidP="005F5849">
      <w:pPr>
        <w:spacing w:after="0" w:line="240" w:lineRule="auto"/>
        <w:ind w:left="709" w:right="709"/>
        <w:jc w:val="both"/>
        <w:rPr>
          <w:rFonts w:ascii="Verdana" w:eastAsia="Verdana" w:hAnsi="Verdana" w:cs="Verdana"/>
          <w:sz w:val="20"/>
          <w:szCs w:val="20"/>
          <w:lang w:eastAsia="es-CO"/>
        </w:rPr>
      </w:pPr>
      <w:r w:rsidRPr="00851835">
        <w:rPr>
          <w:rFonts w:ascii="Verdana" w:eastAsia="Verdana" w:hAnsi="Verdana" w:cs="Verdana"/>
          <w:sz w:val="20"/>
          <w:szCs w:val="20"/>
          <w:lang w:eastAsia="es-CO"/>
        </w:rPr>
        <w:t>El presente artículo no es aplicable a la contratación por mínima cuantía”.</w:t>
      </w:r>
    </w:p>
    <w:p w14:paraId="228B0B4C" w14:textId="77777777" w:rsidR="005F5849" w:rsidRPr="00851835" w:rsidRDefault="005F5849" w:rsidP="005F5849">
      <w:pPr>
        <w:widowControl w:val="0"/>
        <w:tabs>
          <w:tab w:val="left" w:pos="1305"/>
        </w:tabs>
        <w:spacing w:after="0" w:line="276" w:lineRule="auto"/>
        <w:ind w:left="828" w:right="822"/>
        <w:rPr>
          <w:rFonts w:ascii="Verdana" w:eastAsia="Verdana" w:hAnsi="Verdana" w:cs="Verdana"/>
          <w:lang w:eastAsia="es-CO"/>
        </w:rPr>
      </w:pPr>
    </w:p>
    <w:p w14:paraId="4B3D1F13" w14:textId="77777777" w:rsidR="005F5849" w:rsidRPr="00851835" w:rsidRDefault="005F5849" w:rsidP="005F5849">
      <w:pPr>
        <w:spacing w:after="120" w:line="276" w:lineRule="auto"/>
        <w:ind w:firstLine="708"/>
        <w:jc w:val="both"/>
        <w:rPr>
          <w:rFonts w:ascii="Verdana" w:eastAsia="Verdana" w:hAnsi="Verdana" w:cs="Verdana"/>
          <w:lang w:eastAsia="es-CO"/>
        </w:rPr>
      </w:pPr>
      <w:bookmarkStart w:id="2" w:name="_heading=h.1qwoylsva8u2" w:colFirst="0" w:colLast="0"/>
      <w:bookmarkEnd w:id="2"/>
      <w:r w:rsidRPr="00851835">
        <w:rPr>
          <w:rFonts w:ascii="Verdana" w:eastAsia="Verdana" w:hAnsi="Verdana" w:cs="Verdana"/>
          <w:lang w:eastAsia="es-CO"/>
        </w:rPr>
        <w:t xml:space="preserve">De esta manera, antes de iniciar un procedimiento de selección, la Entidad Estatal podrá determinar con los estudios previos: i) la verdadera necesidad de la celebración del contrato; ii) las modalidades existentes para satisfacer esa necesidad y las razones que justifiquen la modalidad o tipo contractual que se escoja; iii) las calidades, especificaciones, cantidades y demás características que puedan o deban reunir los bienes, las obras o los servicios cuya contratación se haya determinado necesaria, iv) los costos, valores y alternativas que, a precios de mercado reales, podría demandar la celebración y ejecución del </w:t>
      </w:r>
      <w:r w:rsidRPr="00851835">
        <w:rPr>
          <w:rFonts w:ascii="Verdana" w:eastAsia="Verdana" w:hAnsi="Verdana" w:cs="Verdana"/>
          <w:lang w:eastAsia="es-CO"/>
        </w:rPr>
        <w:lastRenderedPageBreak/>
        <w:t>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vii) los procedimientos, trámites y requisitos que deban satisfacerse, reunirse u obtenerse para llevar a cabo la selección del respectivo contratista y la celebración del contrato que se pretenda celebrar. La consideración de todos estos aspectos permite que los contratos resultantes de la planeación cuenten con el sustento técnico, económico y jurídico que incidirá en una adecuada ejecución.</w:t>
      </w:r>
    </w:p>
    <w:p w14:paraId="02DE0C26" w14:textId="77777777" w:rsidR="005F5849" w:rsidRPr="00851835" w:rsidRDefault="005F5849" w:rsidP="005F5849">
      <w:pPr>
        <w:spacing w:after="120" w:line="276" w:lineRule="auto"/>
        <w:ind w:firstLine="708"/>
        <w:jc w:val="both"/>
        <w:rPr>
          <w:rFonts w:ascii="Verdana" w:eastAsia="Verdana" w:hAnsi="Verdana" w:cs="Verdana"/>
          <w:lang w:eastAsia="es-CO"/>
        </w:rPr>
      </w:pPr>
      <w:bookmarkStart w:id="3" w:name="_heading=h.e00o5okpo6d9" w:colFirst="0" w:colLast="0"/>
      <w:bookmarkEnd w:id="3"/>
      <w:r w:rsidRPr="00851835">
        <w:rPr>
          <w:rFonts w:ascii="Verdana" w:eastAsia="Verdana" w:hAnsi="Verdana" w:cs="Verdana"/>
          <w:lang w:eastAsia="es-CO"/>
        </w:rPr>
        <w:t>Más allá del cumplimiento de la normativa, “los estudios y documentos previos son el soporte para elaborar el proyecto de pliegos, los pliegos de condiciones, y el contrato”</w:t>
      </w:r>
      <w:r w:rsidRPr="00851835">
        <w:rPr>
          <w:rFonts w:ascii="Geom Light" w:eastAsia="Geom Light" w:hAnsi="Geom Light" w:cs="Geom Light"/>
          <w:vertAlign w:val="superscript"/>
          <w:lang w:eastAsia="es-CO"/>
        </w:rPr>
        <w:footnoteReference w:id="2"/>
      </w:r>
      <w:r w:rsidRPr="00851835">
        <w:rPr>
          <w:rFonts w:ascii="Verdana" w:eastAsia="Verdana" w:hAnsi="Verdana" w:cs="Verdana"/>
          <w:lang w:eastAsia="es-CO"/>
        </w:rPr>
        <w:t>, por lo que deben publicarse en la etapa precontractual y sirven de motivación para los documentos expedidos unilateralmente por la Entidad Estatal tales como el acto administrativo de apertura, los pliegos de condiciones y el acto de adjudicación, entre otros. En ese sentido, los estudios y documentos previos son necesarios antes de la celebración del contrato, pues fundamentan las condiciones que la Entidad Estatal exige en su Proceso de Contratación. Sin embargo, luego de la suscripción del contrato la entidad no debe actuar unilateralmente, sino que debe respetar la buena fe contractual y proceder de acuerdo con lo pactado</w:t>
      </w:r>
      <w:r w:rsidRPr="00851835">
        <w:rPr>
          <w:rFonts w:ascii="Geom Light" w:eastAsia="Geom Light" w:hAnsi="Geom Light" w:cs="Geom Light"/>
          <w:vertAlign w:val="superscript"/>
          <w:lang w:eastAsia="es-CO"/>
        </w:rPr>
        <w:footnoteReference w:id="3"/>
      </w:r>
      <w:r w:rsidRPr="00851835">
        <w:rPr>
          <w:rFonts w:ascii="Verdana" w:eastAsia="Verdana" w:hAnsi="Verdana" w:cs="Verdana"/>
          <w:lang w:eastAsia="es-CO"/>
        </w:rPr>
        <w:t>.</w:t>
      </w:r>
    </w:p>
    <w:p w14:paraId="1B84C508" w14:textId="77777777" w:rsidR="005F5849" w:rsidRPr="00851835" w:rsidRDefault="005F5849" w:rsidP="005F5849">
      <w:pPr>
        <w:spacing w:after="120" w:line="276" w:lineRule="auto"/>
        <w:ind w:firstLine="708"/>
        <w:jc w:val="both"/>
        <w:rPr>
          <w:rFonts w:ascii="Verdana" w:eastAsia="Verdana" w:hAnsi="Verdana" w:cs="Verdana"/>
          <w:lang w:eastAsia="es-CO"/>
        </w:rPr>
      </w:pPr>
      <w:r w:rsidRPr="00851835">
        <w:rPr>
          <w:rFonts w:ascii="Verdana" w:eastAsia="Verdana" w:hAnsi="Verdana" w:cs="Verdana"/>
          <w:lang w:eastAsia="es-CO"/>
        </w:rPr>
        <w:t xml:space="preserve">Ahora bien, el numeral 12 del artículo 25 de la Ley 80 de 1993, antes citado, establece el deber de las entidades de realizar estudios previos en dos (2) momentos específicos: i) previo a la apertura de un proceso de selección y ii) previo a la firma del contrato en el caso en que la modalidad de selección sea contratación directa. </w:t>
      </w:r>
    </w:p>
    <w:p w14:paraId="4F87725D" w14:textId="77777777" w:rsidR="005F5849" w:rsidRPr="00851835" w:rsidRDefault="005F5849" w:rsidP="005F5849">
      <w:pPr>
        <w:spacing w:after="120" w:line="276" w:lineRule="auto"/>
        <w:ind w:firstLine="708"/>
        <w:jc w:val="both"/>
        <w:rPr>
          <w:rFonts w:ascii="Verdana" w:eastAsia="Verdana" w:hAnsi="Verdana" w:cs="Verdana"/>
          <w:lang w:eastAsia="es-CO"/>
        </w:rPr>
      </w:pPr>
      <w:r w:rsidRPr="00851835">
        <w:rPr>
          <w:rFonts w:ascii="Verdana" w:eastAsia="Verdana" w:hAnsi="Verdana" w:cs="Verdana"/>
          <w:lang w:eastAsia="es-CO"/>
        </w:rPr>
        <w:lastRenderedPageBreak/>
        <w:t xml:space="preserve">Por otra parte, conforme se infiere en el artículo 2.2.1.1.2.1.1 del Decreto 1082 de 2015, que dentro de los aspectos principales que deben abarcar los estudios previos es la determinación del objeto a contratar con sus especificaciones, el valor estimado del contrato aparejado de su respectiva justificación, el análisis del riesgo y la forma de mitigarlo, las garantías que contempla exigir, entre otros. </w:t>
      </w:r>
    </w:p>
    <w:p w14:paraId="1A3B3BF2" w14:textId="77777777" w:rsidR="005F5849" w:rsidRPr="00851835" w:rsidRDefault="005F5849" w:rsidP="005F5849">
      <w:pPr>
        <w:spacing w:after="120" w:line="276" w:lineRule="auto"/>
        <w:ind w:firstLine="708"/>
        <w:jc w:val="both"/>
        <w:rPr>
          <w:rFonts w:ascii="Verdana" w:eastAsia="Verdana" w:hAnsi="Verdana" w:cs="Verdana"/>
          <w:lang w:eastAsia="es-CO"/>
        </w:rPr>
      </w:pPr>
      <w:bookmarkStart w:id="4" w:name="_heading=h.9ktp9346xw5f" w:colFirst="0" w:colLast="0"/>
      <w:bookmarkEnd w:id="4"/>
      <w:r w:rsidRPr="00851835">
        <w:rPr>
          <w:rFonts w:ascii="Verdana" w:eastAsia="Verdana" w:hAnsi="Verdana" w:cs="Verdana"/>
          <w:lang w:eastAsia="es-CO"/>
        </w:rPr>
        <w:t xml:space="preserve">Para estos efectos resulta relevante la información recolectada en el marco del </w:t>
      </w:r>
      <w:r w:rsidRPr="00851835">
        <w:rPr>
          <w:rFonts w:ascii="Verdana" w:eastAsia="Verdana" w:hAnsi="Verdana" w:cs="Verdana"/>
          <w:i/>
          <w:iCs/>
          <w:lang w:eastAsia="es-CO"/>
        </w:rPr>
        <w:t>estudio del mercado</w:t>
      </w:r>
      <w:r w:rsidRPr="00851835">
        <w:rPr>
          <w:rFonts w:ascii="Verdana" w:eastAsia="Verdana" w:hAnsi="Verdana" w:cs="Verdana"/>
          <w:lang w:eastAsia="es-CO"/>
        </w:rPr>
        <w:t xml:space="preserve"> y el análisis del sector económico y de los potenciales oferentes, actividades de planeación previa que sirven para identificar aspectos concretos del mercado que pueden afectar el proceso de selección o las condiciones del negocio a realizar mediante el proceso de contratación. En este sentido, el análisis del sector de las perspectivas legal, comercial, financiera, organizacional, técnica, y de análisis de Riesgo, al que se refiere el artículo 2.2.1.1.1.6.1 del Decreto 1082 de 2015, constituye un insumo importante para determinar factores que pudieran determinar el valor del contrato y orientar a la entidad en torno al monto de la disponibilidad presupuestal que requiere para realizar la contratación</w:t>
      </w:r>
      <w:r w:rsidRPr="00851835">
        <w:rPr>
          <w:rFonts w:ascii="Geom Light" w:eastAsia="Geom Light" w:hAnsi="Geom Light" w:cs="Geom Light"/>
          <w:vertAlign w:val="superscript"/>
          <w:lang w:eastAsia="es-CO"/>
        </w:rPr>
        <w:footnoteReference w:id="4"/>
      </w:r>
      <w:r w:rsidRPr="00851835">
        <w:rPr>
          <w:rFonts w:ascii="Verdana" w:eastAsia="Verdana" w:hAnsi="Verdana" w:cs="Verdana"/>
          <w:lang w:eastAsia="es-CO"/>
        </w:rPr>
        <w:t xml:space="preserve">. </w:t>
      </w:r>
    </w:p>
    <w:p w14:paraId="6D776470" w14:textId="77777777" w:rsidR="005F5849" w:rsidRPr="00851835" w:rsidRDefault="005F5849" w:rsidP="005F5849">
      <w:pPr>
        <w:spacing w:after="120" w:line="276" w:lineRule="auto"/>
        <w:ind w:firstLine="708"/>
        <w:jc w:val="both"/>
        <w:rPr>
          <w:rFonts w:ascii="Verdana" w:eastAsia="Verdana" w:hAnsi="Verdana" w:cs="Verdana"/>
          <w:lang w:eastAsia="es-CO"/>
        </w:rPr>
      </w:pPr>
      <w:bookmarkStart w:id="5" w:name="_heading=h.ute08ihfc21u" w:colFirst="0" w:colLast="0"/>
      <w:bookmarkEnd w:id="5"/>
      <w:r w:rsidRPr="00851835">
        <w:rPr>
          <w:rFonts w:ascii="Verdana" w:eastAsia="Verdana" w:hAnsi="Verdana" w:cs="Verdana"/>
          <w:lang w:eastAsia="es-CO"/>
        </w:rPr>
        <w:t>De acuerdo con la norma citada, la entidad debe realizar el análisis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se refiere a 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pretende que la Entidad Estatal entienda cómo están organizados internamente los posibles oferentes y de qué manera realizan sus negocios y operaciones.</w:t>
      </w:r>
    </w:p>
    <w:p w14:paraId="18551F5D" w14:textId="77777777" w:rsidR="005F5849" w:rsidRPr="00851835" w:rsidRDefault="005F5849" w:rsidP="005F5849">
      <w:pPr>
        <w:spacing w:after="120" w:line="276" w:lineRule="auto"/>
        <w:ind w:firstLine="708"/>
        <w:jc w:val="both"/>
        <w:rPr>
          <w:rFonts w:ascii="Verdana" w:eastAsia="Verdana" w:hAnsi="Verdana" w:cs="Verdana"/>
          <w:lang w:eastAsia="es-CO"/>
        </w:rPr>
      </w:pPr>
      <w:r w:rsidRPr="00851835">
        <w:rPr>
          <w:rFonts w:ascii="Verdana" w:eastAsia="Verdana" w:hAnsi="Verdana" w:cs="Verdana"/>
          <w:lang w:eastAsia="es-CO"/>
        </w:rPr>
        <w:lastRenderedPageBreak/>
        <w:t>Para negociar de manera adecuada, es necesario conocer la estructura de los posibles contratistas, pues permite identificar la forma en la que suplirán los requerimientos de la entidad. El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14:paraId="14A1043C" w14:textId="77777777" w:rsidR="005F5849" w:rsidRPr="00851835" w:rsidRDefault="005F5849" w:rsidP="005F5849">
      <w:pPr>
        <w:spacing w:after="120" w:line="276" w:lineRule="auto"/>
        <w:ind w:firstLine="708"/>
        <w:jc w:val="both"/>
        <w:rPr>
          <w:rFonts w:ascii="Verdana" w:eastAsia="Verdana" w:hAnsi="Verdana" w:cs="Verdana"/>
          <w:lang w:eastAsia="es-CO"/>
        </w:rPr>
      </w:pPr>
      <w:r w:rsidRPr="00851835">
        <w:rPr>
          <w:rFonts w:ascii="Verdana" w:eastAsia="Verdana" w:hAnsi="Verdana" w:cs="Verdana"/>
          <w:lang w:eastAsia="es-CO"/>
        </w:rPr>
        <w:t xml:space="preserve">Dicho análisis facilita tanto el conocimiento del sector, desde una perspectiva multidisciplinaria, como de los proveedores disponibles en el mercado para satisfacer la necesidad de la entidad contratante. Igualmente, el análisis del sector implica un estudio de la oferta, lo que permitirá identificar qué proveedores existen en el mercado y cómo intervienen en la cadena de producción, comercialización y distribución de los bienes, obras o servicios. De igual manera, podrá estudiar la demanda para determinar cómo las Entidades Estatales y los particulares adquieren esos bienes, obras o servicios para extraer las mejores prácticas e información para el Proceso de Contratación y así estructurar de mejor manera el tipo contractual a utilizar y las condiciones y características que se podrán pactar para cumplir el objeto del contrato y para la realización de las prestaciones derivadas de las obligaciones que serán pactadas, tanto para la entidad contratante como para el contratista que proveerá el bien, obra o servicio. </w:t>
      </w:r>
    </w:p>
    <w:p w14:paraId="002C3649" w14:textId="77777777" w:rsidR="005F5849" w:rsidRPr="00851835" w:rsidRDefault="005F5849" w:rsidP="005F5849">
      <w:pPr>
        <w:spacing w:after="120" w:line="276" w:lineRule="auto"/>
        <w:ind w:firstLine="708"/>
        <w:jc w:val="both"/>
        <w:rPr>
          <w:rFonts w:ascii="Verdana" w:eastAsia="Verdana" w:hAnsi="Verdana" w:cs="Verdana"/>
          <w:lang w:eastAsia="es-CO"/>
        </w:rPr>
      </w:pPr>
      <w:r w:rsidRPr="00851835">
        <w:rPr>
          <w:rFonts w:ascii="Verdana" w:eastAsia="Verdana" w:hAnsi="Verdana" w:cs="Verdana"/>
          <w:lang w:eastAsia="es-CO"/>
        </w:rPr>
        <w:t>Si bien la normativa en materia de contratación estatal establece la obligatoriedad de realizar el análisis necesario para conocer el sector relativo al objeto del Proceso de Contratación, no determinan un procedimiento específico para efectuar dicho análisis por lo que las entidades son autónomas para estructurarlo, para lo cual deberán cumplir lo dispuesto en el artículo 2.2.1.1.1.6.1 del Decreto 1082 de 2015 y realizar un análisis integral de planeación que sirva de sustento a la decisión de realizar un Proceso de Contratación.</w:t>
      </w:r>
    </w:p>
    <w:p w14:paraId="3B2B42BF" w14:textId="77777777" w:rsidR="005F5849" w:rsidRPr="00851835" w:rsidRDefault="005F5849" w:rsidP="005F5849">
      <w:pPr>
        <w:spacing w:after="120" w:line="276" w:lineRule="auto"/>
        <w:ind w:firstLine="709"/>
        <w:jc w:val="both"/>
        <w:rPr>
          <w:rFonts w:ascii="Verdana" w:eastAsia="Verdana" w:hAnsi="Verdana" w:cs="Verdana"/>
          <w:lang w:eastAsia="es-CO"/>
        </w:rPr>
      </w:pPr>
      <w:bookmarkStart w:id="6" w:name="_heading=h.nh9y2joh2mnu" w:colFirst="0" w:colLast="0"/>
      <w:bookmarkEnd w:id="6"/>
      <w:r w:rsidRPr="00851835">
        <w:rPr>
          <w:rFonts w:ascii="Verdana" w:eastAsia="Verdana" w:hAnsi="Verdana" w:cs="Verdana"/>
          <w:lang w:eastAsia="es-CO"/>
        </w:rPr>
        <w:t>La Agencia Nacional de Contratación Pública – Colombia Compra Eficiente dispone de una “Guía para la Elaboración de Estudios del Sector”</w:t>
      </w:r>
      <w:r w:rsidRPr="00851835">
        <w:rPr>
          <w:rFonts w:ascii="Verdana" w:eastAsia="Verdana" w:hAnsi="Verdana" w:cs="Verdana"/>
          <w:vertAlign w:val="superscript"/>
          <w:lang w:eastAsia="es-CO"/>
        </w:rPr>
        <w:t xml:space="preserve"> </w:t>
      </w:r>
      <w:r w:rsidRPr="00851835">
        <w:rPr>
          <w:rFonts w:ascii="Geom Light" w:eastAsia="Geom Light" w:hAnsi="Geom Light" w:cs="Geom Light"/>
          <w:vertAlign w:val="superscript"/>
          <w:lang w:eastAsia="es-CO"/>
        </w:rPr>
        <w:footnoteReference w:id="5"/>
      </w:r>
      <w:r w:rsidRPr="00851835">
        <w:rPr>
          <w:rFonts w:ascii="Verdana" w:eastAsia="Verdana" w:hAnsi="Verdana" w:cs="Verdana"/>
          <w:lang w:eastAsia="es-CO"/>
        </w:rPr>
        <w:t xml:space="preserve">, instrumento </w:t>
      </w:r>
      <w:r w:rsidRPr="00851835">
        <w:rPr>
          <w:rFonts w:ascii="Verdana" w:eastAsia="Verdana" w:hAnsi="Verdana" w:cs="Verdana"/>
          <w:lang w:eastAsia="es-CO"/>
        </w:rPr>
        <w:lastRenderedPageBreak/>
        <w:t xml:space="preserve">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 Esta Guía es un insumo para realizar el estudio del sector relativo al Proceso de Contratación, ya que comprende pautas sobre los aspectos generales del mercado, el análisis de la demanda y de la oferta y constituye un instrumento de orientación, por lo que –al carecer de fuerza vinculante– su aplicación no exime a las entidades de acatar las normas vigentes. De este modo, la Guía contiene recomendaciones generales por lo que no debe aplicarse de manera mecánica, pues la profundidad del estudio del sector depende de la complejidad y particularidades de cada Proceso de Contratación. </w:t>
      </w:r>
    </w:p>
    <w:p w14:paraId="05AC6405" w14:textId="77777777" w:rsidR="005F5849" w:rsidRPr="00851835" w:rsidRDefault="005F5849" w:rsidP="005F5849">
      <w:pPr>
        <w:spacing w:after="120" w:line="276" w:lineRule="auto"/>
        <w:ind w:firstLine="709"/>
        <w:jc w:val="both"/>
        <w:rPr>
          <w:rFonts w:ascii="Verdana" w:eastAsia="Verdana" w:hAnsi="Verdana" w:cs="Verdana"/>
          <w:lang w:eastAsia="es-CO"/>
        </w:rPr>
      </w:pPr>
      <w:r w:rsidRPr="00851835">
        <w:rPr>
          <w:rFonts w:ascii="Verdana" w:eastAsia="Verdana" w:hAnsi="Verdana" w:cs="Verdana"/>
          <w:lang w:eastAsia="es-CO"/>
        </w:rPr>
        <w:t xml:space="preserve">En este instrumento se recomienda un análisis integral sobre varios aspectos del mercado –económico, técnico, regulatorio, entre otros,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entre otros. </w:t>
      </w:r>
    </w:p>
    <w:p w14:paraId="4185D262" w14:textId="77777777" w:rsidR="005F5849" w:rsidRPr="00851835" w:rsidRDefault="005F5849" w:rsidP="005F5849">
      <w:pPr>
        <w:spacing w:after="120" w:line="276" w:lineRule="auto"/>
        <w:ind w:firstLine="709"/>
        <w:jc w:val="both"/>
        <w:rPr>
          <w:rFonts w:ascii="Verdana" w:eastAsia="Verdana" w:hAnsi="Verdana" w:cs="Verdana"/>
          <w:lang w:eastAsia="es-CO"/>
        </w:rPr>
      </w:pPr>
      <w:bookmarkStart w:id="7" w:name="_heading=h.ldla2kcrgded" w:colFirst="0" w:colLast="0"/>
      <w:bookmarkEnd w:id="7"/>
      <w:r w:rsidRPr="00851835">
        <w:rPr>
          <w:rFonts w:ascii="Verdana" w:eastAsia="Verdana" w:hAnsi="Verdana" w:cs="Verdana"/>
          <w:lang w:eastAsia="es-CO"/>
        </w:rPr>
        <w:t xml:space="preserve">Así mismo, en la Guía se indica que como parte de la estructura del estudio del sector debe realizarse un análisis del comportamiento del gasto histórico, el estudio de la oferta y el estudio del mercado. De forma puntual, la Guía indica que “la Entidad Estatal debe identificar los proveedores en el mercado del bien o servicio, así como sus principales características como tamaño empresarial, ubicación, esquemas de producción y comportamiento financiero”. </w:t>
      </w:r>
    </w:p>
    <w:p w14:paraId="45E4C6C7" w14:textId="77777777" w:rsidR="005F5849" w:rsidRPr="00851835" w:rsidRDefault="005F5849" w:rsidP="005F5849">
      <w:pPr>
        <w:spacing w:after="120" w:line="276" w:lineRule="auto"/>
        <w:ind w:firstLine="708"/>
        <w:jc w:val="both"/>
        <w:rPr>
          <w:rFonts w:ascii="Verdana" w:eastAsia="Verdana" w:hAnsi="Verdana" w:cs="Verdana"/>
          <w:lang w:eastAsia="es-CO"/>
        </w:rPr>
      </w:pPr>
      <w:bookmarkStart w:id="8" w:name="_heading=h.t09w5il9qpb2" w:colFirst="0" w:colLast="0"/>
      <w:bookmarkEnd w:id="8"/>
      <w:r w:rsidRPr="00851835">
        <w:rPr>
          <w:rFonts w:ascii="Verdana" w:eastAsia="Verdana" w:hAnsi="Verdana" w:cs="Verdana"/>
          <w:lang w:eastAsia="es-CO"/>
        </w:rPr>
        <w:t xml:space="preserve">Ahora bien, respecto a el </w:t>
      </w:r>
      <w:r w:rsidRPr="00851835">
        <w:rPr>
          <w:rFonts w:ascii="Verdana" w:eastAsia="Verdana" w:hAnsi="Verdana" w:cs="Verdana"/>
          <w:i/>
          <w:iCs/>
          <w:lang w:eastAsia="es-CO"/>
        </w:rPr>
        <w:t xml:space="preserve">estudio del mercado, </w:t>
      </w:r>
      <w:r w:rsidRPr="00851835">
        <w:rPr>
          <w:rFonts w:ascii="Verdana" w:eastAsia="Verdana" w:hAnsi="Verdana" w:cs="Verdana"/>
          <w:lang w:eastAsia="es-CO"/>
        </w:rPr>
        <w:t>este se encuentra inmerso dentro del análisis del sector y permite comprender la dinámica de los precios y establecer el presupuesto oficial de la contratación, el cual incluye la realización de un análisis de los diferentes precios de los bienes o servicios a contratar que se registran en el mercado, los cuales pueden consultarse a través de mecanismos como:</w:t>
      </w:r>
    </w:p>
    <w:p w14:paraId="74AA9D93" w14:textId="77777777" w:rsidR="005F5849" w:rsidRPr="00851835" w:rsidRDefault="005F5849" w:rsidP="005F5849">
      <w:pPr>
        <w:spacing w:after="120" w:line="276" w:lineRule="auto"/>
        <w:ind w:firstLine="708"/>
        <w:jc w:val="both"/>
        <w:rPr>
          <w:rFonts w:ascii="Verdana" w:eastAsia="Verdana" w:hAnsi="Verdana" w:cs="Verdana"/>
          <w:lang w:eastAsia="es-CO"/>
        </w:rPr>
      </w:pPr>
      <w:r w:rsidRPr="00851835">
        <w:rPr>
          <w:rFonts w:ascii="Verdana" w:eastAsia="Verdana" w:hAnsi="Verdana" w:cs="Verdana"/>
          <w:lang w:eastAsia="es-CO"/>
        </w:rPr>
        <w:t xml:space="preserve">a. Revisión de precios por solicitud de cotizaciones: la Guía recomienda requerir a los potenciales proveedores de los bienes o servicios para que remitan la información necesaria para determinar, entre otros aspectos, el valor del servicio o del bien correspondiente. Para estos efectos, se sugiere incluir en la </w:t>
      </w:r>
      <w:r w:rsidRPr="00851835">
        <w:rPr>
          <w:rFonts w:ascii="Verdana" w:eastAsia="Verdana" w:hAnsi="Verdana" w:cs="Verdana"/>
          <w:lang w:eastAsia="es-CO"/>
        </w:rPr>
        <w:lastRenderedPageBreak/>
        <w:t xml:space="preserve">comunicación toda aquella información pertinente del contrato a ejecutar que permita a los potenciales proveedores estructurar una cotización integral y ajustada a las necesidades de la entidad. Así mismo, se indica que, al recibir las cotizaciones, debe verificarse la ocurrencia de circunstancias que eventualmente pueden distorsionar los precios del mercado, como ofertas especiales de almacenes de cadena, fenómenos de escasez o abundancia del producto, entre otros aspectos. </w:t>
      </w:r>
    </w:p>
    <w:p w14:paraId="506C1613" w14:textId="77777777" w:rsidR="005F5849" w:rsidRPr="00851835" w:rsidRDefault="005F5849" w:rsidP="005F5849">
      <w:pPr>
        <w:spacing w:after="120" w:line="276" w:lineRule="auto"/>
        <w:ind w:firstLine="708"/>
        <w:jc w:val="both"/>
        <w:rPr>
          <w:rFonts w:ascii="Verdana" w:eastAsia="Verdana" w:hAnsi="Verdana" w:cs="Verdana"/>
          <w:lang w:eastAsia="es-CO"/>
        </w:rPr>
      </w:pPr>
      <w:r w:rsidRPr="00851835">
        <w:rPr>
          <w:rFonts w:ascii="Verdana" w:eastAsia="Verdana" w:hAnsi="Verdana" w:cs="Verdana"/>
          <w:lang w:eastAsia="es-CO"/>
        </w:rPr>
        <w:t xml:space="preserve">b. Revisión de bases de datos especializadas: la Guía señala que es conveniente adelantarla cuando por las condiciones del mercado del bien o servicio a contratar se requiera, y el responsable deberá dejar constancia de las consultas realizadas y de los precios que soportan su estudio. Las bases de datos consultadas deben ser especializadas y representativas en el mercado del bien o servicio a contratar. </w:t>
      </w:r>
    </w:p>
    <w:p w14:paraId="5D97B28A" w14:textId="77777777" w:rsidR="005F5849" w:rsidRPr="00851835" w:rsidRDefault="005F5849" w:rsidP="005F5849">
      <w:pPr>
        <w:spacing w:after="120" w:line="276" w:lineRule="auto"/>
        <w:ind w:firstLine="708"/>
        <w:jc w:val="both"/>
        <w:rPr>
          <w:rFonts w:ascii="Verdana" w:eastAsia="Verdana" w:hAnsi="Verdana" w:cs="Verdana"/>
          <w:lang w:eastAsia="es-CO"/>
        </w:rPr>
      </w:pPr>
      <w:r w:rsidRPr="00851835">
        <w:rPr>
          <w:rFonts w:ascii="Verdana" w:eastAsia="Verdana" w:hAnsi="Verdana" w:cs="Verdana"/>
          <w:lang w:eastAsia="es-CO"/>
        </w:rPr>
        <w:t xml:space="preserve">c. Revisión de precios históricos se sugiere verificar la variación de los precios históricos derivados del índice de precios al consumidor en cada año, examinando si se han presentado fenómenos económicos que hayan implicado fluctuaciones importantes en el comercio del bien o servicio, siempre que las características del bien o servicio sean las mismas entre una contratación y otra.  </w:t>
      </w:r>
    </w:p>
    <w:p w14:paraId="1FA93798" w14:textId="77777777" w:rsidR="005F5849" w:rsidRPr="00851835" w:rsidRDefault="005F5849" w:rsidP="005F5849">
      <w:pPr>
        <w:spacing w:after="120" w:line="276" w:lineRule="auto"/>
        <w:ind w:firstLine="708"/>
        <w:jc w:val="both"/>
        <w:rPr>
          <w:rFonts w:ascii="Verdana" w:eastAsia="Verdana" w:hAnsi="Verdana" w:cs="Verdana"/>
          <w:lang w:eastAsia="es-CO"/>
        </w:rPr>
      </w:pPr>
      <w:bookmarkStart w:id="9" w:name="_heading=h.48drzqlvhstg" w:colFirst="0" w:colLast="0"/>
      <w:bookmarkEnd w:id="9"/>
      <w:r w:rsidRPr="00851835">
        <w:rPr>
          <w:rFonts w:ascii="Verdana" w:eastAsia="Verdana" w:hAnsi="Verdana" w:cs="Verdana"/>
          <w:lang w:eastAsia="es-CO"/>
        </w:rPr>
        <w:t xml:space="preserve">Como se observa, la “Guía de Elaboración de Estudios del Sector” recomienda como mecanismo para la elaboración de </w:t>
      </w:r>
      <w:r w:rsidRPr="00851835">
        <w:rPr>
          <w:rFonts w:ascii="Verdana" w:eastAsia="Verdana" w:hAnsi="Verdana" w:cs="Verdana"/>
          <w:i/>
          <w:iCs/>
          <w:lang w:eastAsia="es-CO"/>
        </w:rPr>
        <w:t>estudios del mercado</w:t>
      </w:r>
      <w:r w:rsidRPr="00851835">
        <w:rPr>
          <w:rFonts w:ascii="Verdana" w:eastAsia="Verdana" w:hAnsi="Verdana" w:cs="Verdana"/>
          <w:lang w:eastAsia="es-CO"/>
        </w:rPr>
        <w:t>, que sirvan para entender la dinámica de los precios y establecer el presupuesto oficial de la contratación, requerir a los potenciales proveedores a fin de que remitan la información necesaria para determinar diversos aspectos de los bienes o servicios a contratar, entre ellos su valor, especificaciones técnicas, el plazo, entre otra información relevante. En principio, que un potencial proveedor participe en estos estudios del mercado, remitiendo cotizaciones por citar un ejemplo, no implica que en el futuro no pueda participar del Proceso de Contratación que se adelante; ni tampoco estas son vinculantes para la entidad contratante.</w:t>
      </w:r>
    </w:p>
    <w:p w14:paraId="39C6856E" w14:textId="77777777" w:rsidR="005F5849" w:rsidRPr="00851835" w:rsidRDefault="005F5849" w:rsidP="005F5849">
      <w:pPr>
        <w:spacing w:after="120" w:line="276" w:lineRule="auto"/>
        <w:ind w:firstLine="708"/>
        <w:jc w:val="both"/>
        <w:rPr>
          <w:rFonts w:ascii="Verdana" w:eastAsia="Verdana" w:hAnsi="Verdana" w:cs="Verdana"/>
          <w:color w:val="000000"/>
          <w:lang w:eastAsia="es-CO"/>
        </w:rPr>
      </w:pPr>
      <w:r w:rsidRPr="00851835">
        <w:rPr>
          <w:rFonts w:ascii="Verdana" w:eastAsia="Verdana" w:hAnsi="Verdana" w:cs="Verdana"/>
          <w:lang w:eastAsia="es-CO"/>
        </w:rPr>
        <w:t xml:space="preserve">En ese orden de ideas, el análisis del sector parte de un estudio desde una perspectiva multidisciplinaria, que implica los aspectos generales del mercado, el análisis de la demanda y de la oferta, así como el estudio del mercado que le permite a la entidad entender el mercado del bien, obra o servicio que pretenden adquirir, así como identificar los factores que inciden en el valor del contrato, tales como el análisis de precios, las cargas tributarias, la tasa de cambio, las </w:t>
      </w:r>
      <w:r w:rsidRPr="00851835">
        <w:rPr>
          <w:rFonts w:ascii="Verdana" w:eastAsia="Verdana" w:hAnsi="Verdana" w:cs="Verdana"/>
          <w:lang w:eastAsia="es-CO"/>
        </w:rPr>
        <w:lastRenderedPageBreak/>
        <w:t xml:space="preserve">garantías, los gastos de transporte, entre otros. Este análisis se debe consignar en los Documentos del Proceso, bien sea en los estudios previos o en la información soporte de estos. En consecuencia, </w:t>
      </w:r>
      <w:r w:rsidRPr="00851835">
        <w:rPr>
          <w:rFonts w:ascii="Verdana" w:eastAsia="Verdana" w:hAnsi="Verdana" w:cs="Verdana"/>
          <w:color w:val="000000"/>
          <w:lang w:eastAsia="es-CO"/>
        </w:rPr>
        <w:t>el análisis del sector es un insumo de planeación obligatorio y sus resultados deben reflejarse en los estudios previos, que son documentos que permiten orientar y motivar las decisiones de la Administración en los procesos de contratación pública.</w:t>
      </w:r>
    </w:p>
    <w:p w14:paraId="0FF9A42E" w14:textId="77777777" w:rsidR="005F5849" w:rsidRPr="00851835" w:rsidRDefault="005F5849" w:rsidP="005F5849">
      <w:pPr>
        <w:spacing w:after="120" w:line="276" w:lineRule="auto"/>
        <w:ind w:firstLine="709"/>
        <w:jc w:val="both"/>
        <w:rPr>
          <w:rFonts w:ascii="Verdana" w:eastAsia="Verdana" w:hAnsi="Verdana" w:cs="Verdana"/>
          <w:color w:val="000000"/>
          <w:lang w:eastAsia="es-CO"/>
        </w:rPr>
      </w:pPr>
      <w:r w:rsidRPr="00851835">
        <w:rPr>
          <w:rFonts w:ascii="Verdana" w:eastAsia="Verdana" w:hAnsi="Verdana" w:cs="Verdana"/>
          <w:color w:val="000000"/>
          <w:lang w:eastAsia="es-CO"/>
        </w:rPr>
        <w:t>Aunque el análisis del sector pueda ser extenso y técnico, los estudios previos deben incorporar los elementos mínimos que la norma exige y que la Guía identifica como determinantes para la estructuración del proceso. Entre ellos se encuentran: la caracterización de la necesidad y las alternativas para satisfacerla; las especificaciones técnicas derivadas del análisis del mercado; la caracterización del sector desde las perspectivas legal, comercial, financiera, organizacional y técnica; el estudio de la demanda y del gasto histórico; la identificación de la oferta y de los proveedores; y la justificación del valor estimado del contrato sustentada en información real del mercado.</w:t>
      </w:r>
    </w:p>
    <w:p w14:paraId="771C3CAB" w14:textId="77777777" w:rsidR="005F5849" w:rsidRPr="00851835" w:rsidRDefault="005F5849" w:rsidP="005F5849">
      <w:pPr>
        <w:spacing w:after="120" w:line="276" w:lineRule="auto"/>
        <w:ind w:firstLine="709"/>
        <w:jc w:val="both"/>
        <w:rPr>
          <w:rFonts w:ascii="Verdana" w:eastAsia="Verdana" w:hAnsi="Verdana" w:cs="Verdana"/>
          <w:color w:val="000000"/>
          <w:lang w:eastAsia="es-CO"/>
        </w:rPr>
      </w:pPr>
      <w:r w:rsidRPr="00851835">
        <w:rPr>
          <w:rFonts w:ascii="Verdana" w:eastAsia="Verdana" w:hAnsi="Verdana" w:cs="Verdana"/>
          <w:color w:val="000000"/>
          <w:lang w:eastAsia="es-CO"/>
        </w:rPr>
        <w:t>Asimismo, los estudios previos deben integrar los riesgos identificados en el análisis del sector, las condiciones regulatorias aplicables, las prácticas comerciales relevantes, las barreras de entrada, las tendencias tecnológicas y los factores socioambientales que la Guía exige considerar. Estos elementos no pueden quedar únicamente en el documento independiente, pues son los que permiten motivar la modalidad de selección, los requisitos habilitantes, los criterios diferenciales, las condiciones contractuales y la estrategia de compra, asegurando que el proceso se estructure conforme a los principios de eficiencia, economía, transparencia y la selección objetiva.</w:t>
      </w:r>
    </w:p>
    <w:p w14:paraId="115062A9" w14:textId="77777777" w:rsidR="005F5849" w:rsidRPr="00851835" w:rsidRDefault="005F5849" w:rsidP="005F5849">
      <w:pPr>
        <w:spacing w:after="120" w:line="276" w:lineRule="auto"/>
        <w:ind w:firstLine="709"/>
        <w:jc w:val="both"/>
        <w:rPr>
          <w:rFonts w:ascii="Verdana" w:eastAsia="Verdana" w:hAnsi="Verdana" w:cs="Verdana"/>
          <w:color w:val="000000"/>
          <w:lang w:eastAsia="es-CO"/>
        </w:rPr>
      </w:pPr>
      <w:r w:rsidRPr="00851835">
        <w:rPr>
          <w:rFonts w:ascii="Verdana" w:eastAsia="Verdana" w:hAnsi="Verdana" w:cs="Verdana"/>
          <w:color w:val="000000"/>
          <w:lang w:eastAsia="es-CO"/>
        </w:rPr>
        <w:t>En síntesis, el análisis del sector puede ser un documento autónomo en su elaboración, pero no puede ser independiente frente a la planeación contractual, ya que sus hallazgos deben integrarse necesariamente en los estudios previos para que estos cumplan su función jurídica de soportar la apertura, los pliegos y la adjudicación. La entidad es libre de estructurar el análisis del sector como documento técnico independiente, pero está obligada a trasladar a los estudios previos los elementos esenciales que inciden en la definición del objeto, el valor, los riesgos, la forma de escogencia del contratista, la identificación del posible tipo de garantías a exigir, entre otros elementos.</w:t>
      </w:r>
    </w:p>
    <w:p w14:paraId="53E5AEA8" w14:textId="77777777" w:rsidR="005F5849" w:rsidRPr="00851835" w:rsidRDefault="005F5849" w:rsidP="005F5849">
      <w:pPr>
        <w:pBdr>
          <w:top w:val="nil"/>
          <w:left w:val="nil"/>
          <w:bottom w:val="nil"/>
          <w:right w:val="nil"/>
          <w:between w:val="nil"/>
        </w:pBdr>
        <w:spacing w:line="276" w:lineRule="auto"/>
        <w:ind w:firstLine="708"/>
        <w:jc w:val="both"/>
        <w:rPr>
          <w:rFonts w:ascii="Verdana" w:eastAsia="Verdana" w:hAnsi="Verdana" w:cs="Verdana"/>
          <w:color w:val="000000"/>
          <w:lang w:eastAsia="es-CO"/>
        </w:rPr>
      </w:pPr>
      <w:r w:rsidRPr="00851835">
        <w:rPr>
          <w:rFonts w:ascii="Verdana" w:eastAsia="Verdana" w:hAnsi="Verdana" w:cs="Verdana"/>
          <w:color w:val="000000"/>
          <w:lang w:eastAsia="es-CO"/>
        </w:rPr>
        <w:t xml:space="preserve">En relación con la consulta planteada, las consideraciones anteriores permiten concluir que, cuando la ejecución de un contrato estatal implique la </w:t>
      </w:r>
      <w:r w:rsidRPr="00851835">
        <w:rPr>
          <w:rFonts w:ascii="Verdana" w:eastAsia="Verdana" w:hAnsi="Verdana" w:cs="Verdana"/>
          <w:color w:val="000000"/>
          <w:lang w:eastAsia="es-CO"/>
        </w:rPr>
        <w:lastRenderedPageBreak/>
        <w:t>movilización de bienes, la entidad contratante debe examinar el componente de transporte durante la etapa de planeación, incluso si este no constituye el objeto principal del contrato ni aparece como una prestación remunerada de manera autónoma. La circunstancia de que su costo se encuentre incorporado en el precio de una obra, un suministro o un servicio no releva a la entidad de identificar su incidencia técnica, económica y jurídica en la ejecución contractual.</w:t>
      </w:r>
    </w:p>
    <w:p w14:paraId="2D6A44E4" w14:textId="77777777" w:rsidR="005F5849" w:rsidRPr="00851835" w:rsidRDefault="005F5849" w:rsidP="005F5849">
      <w:pPr>
        <w:pBdr>
          <w:top w:val="nil"/>
          <w:left w:val="nil"/>
          <w:bottom w:val="nil"/>
          <w:right w:val="nil"/>
          <w:between w:val="nil"/>
        </w:pBdr>
        <w:spacing w:line="276" w:lineRule="auto"/>
        <w:ind w:firstLine="708"/>
        <w:jc w:val="both"/>
        <w:rPr>
          <w:rFonts w:ascii="Verdana" w:eastAsia="Verdana" w:hAnsi="Verdana" w:cs="Verdana"/>
          <w:color w:val="000000"/>
          <w:lang w:eastAsia="es-CO"/>
        </w:rPr>
      </w:pPr>
      <w:r w:rsidRPr="00851835">
        <w:rPr>
          <w:rFonts w:ascii="Verdana" w:eastAsia="Verdana" w:hAnsi="Verdana" w:cs="Verdana"/>
          <w:color w:val="000000"/>
          <w:lang w:eastAsia="es-CO"/>
        </w:rPr>
        <w:t>Para ello, el análisis del sector debe permitir establecer, de acuerdo con las particularidades del objeto y las condiciones de su ejecución, cómo interviene el transporte dentro de la cadena de producción, comercialización y distribución; quién asumirá materialmente su prestación; cuáles son las condiciones regulatorias aplicables; y de qué manera los gastos asociados inciden en el valor estimado del contrato. La profundidad de este análisis dependerá, entre otros factores, de la relevancia del transporte dentro del negocio, las rutas previstas, las cantidades y frecuencias de movilización, las características de la carga y de los vehículos requeridos, así como de las condiciones territoriales y logísticas en las que deberá ejecutarse el contrato.</w:t>
      </w:r>
    </w:p>
    <w:p w14:paraId="60E19AD8" w14:textId="77777777" w:rsidR="005F5849" w:rsidRPr="00851835" w:rsidRDefault="005F5849" w:rsidP="005F5849">
      <w:pPr>
        <w:pBdr>
          <w:top w:val="nil"/>
          <w:left w:val="nil"/>
          <w:bottom w:val="nil"/>
          <w:right w:val="nil"/>
          <w:between w:val="nil"/>
        </w:pBdr>
        <w:spacing w:line="276" w:lineRule="auto"/>
        <w:ind w:firstLine="708"/>
        <w:jc w:val="both"/>
        <w:rPr>
          <w:rFonts w:ascii="Verdana" w:eastAsia="Verdana" w:hAnsi="Verdana" w:cs="Verdana"/>
          <w:color w:val="000000"/>
          <w:lang w:eastAsia="es-CO"/>
        </w:rPr>
      </w:pPr>
      <w:r w:rsidRPr="00851835">
        <w:rPr>
          <w:rFonts w:ascii="Verdana" w:eastAsia="Verdana" w:hAnsi="Verdana" w:cs="Verdana"/>
          <w:color w:val="000000"/>
          <w:lang w:eastAsia="es-CO"/>
        </w:rPr>
        <w:t>Los resultados de dicho análisis deben reflejarse en los estudios y documentos previos y, según corresponda, en las especificaciones técnicas, la estimación del presupuesto oficial, la matriz de riesgos, los requisitos habilitantes y las obligaciones contractuales. Sin embargo, el ordenamiento jurídico no establece una metodología única para incorporar el componente de transporte en todos los Procesos de Contratación ni exige, de manera general y uniforme, que este se presente siempre como un ítem separado. Corresponde a cada Entidad Estatal definir la forma adecuada de estructurarlo y justificarlo, atendiendo a la naturaleza del contrato, al sistema de precios escogido y a la información obtenida en el análisis del sector y en el estudio de mercado.</w:t>
      </w:r>
    </w:p>
    <w:p w14:paraId="49FE3D44" w14:textId="77777777" w:rsidR="005F5849" w:rsidRPr="00851835" w:rsidRDefault="005F5849" w:rsidP="005F5849">
      <w:pPr>
        <w:pBdr>
          <w:top w:val="nil"/>
          <w:left w:val="nil"/>
          <w:bottom w:val="nil"/>
          <w:right w:val="nil"/>
          <w:between w:val="nil"/>
        </w:pBdr>
        <w:spacing w:after="0" w:line="276" w:lineRule="auto"/>
        <w:ind w:firstLine="709"/>
        <w:jc w:val="both"/>
        <w:rPr>
          <w:rFonts w:ascii="Verdana" w:eastAsia="Verdana" w:hAnsi="Verdana" w:cs="Verdana"/>
          <w:color w:val="000000"/>
          <w:lang w:eastAsia="es-CO"/>
        </w:rPr>
      </w:pPr>
      <w:r w:rsidRPr="00851835">
        <w:rPr>
          <w:rFonts w:ascii="Verdana" w:eastAsia="Verdana" w:hAnsi="Verdana" w:cs="Verdana"/>
          <w:color w:val="000000"/>
          <w:lang w:eastAsia="es-CO"/>
        </w:rPr>
        <w:t xml:space="preserve">En consecuencia, la autonomía de las Entidades Estatales para estructurar sus Procesos de Contratación no las exime de considerar las normas sectoriales que resulten aplicables a las actividades necesarias para ejecutar el contrato. Por el contrario, el análisis realizado desde la perspectiva legal exige identificar esas disposiciones e incorporar en los Documentos del Proceso las condiciones necesarias para su cumplimiento. Determinar cuáles son las reglas específicas que gobiernan el transporte terrestre automotor de carga y cómo inciden en la estructuración contractual requiere examinar el régimen de esa actividad, asunto que se abordará en el siguiente acápite. </w:t>
      </w:r>
    </w:p>
    <w:p w14:paraId="398129A7" w14:textId="77777777" w:rsidR="005F5849" w:rsidRDefault="005F5849" w:rsidP="005F5849">
      <w:pPr>
        <w:spacing w:after="0" w:line="276" w:lineRule="auto"/>
        <w:jc w:val="both"/>
        <w:rPr>
          <w:rFonts w:ascii="Verdana" w:eastAsia="Calibri" w:hAnsi="Verdana" w:cs="Arial"/>
          <w:bCs/>
          <w:color w:val="000000" w:themeColor="text1"/>
        </w:rPr>
      </w:pPr>
    </w:p>
    <w:p w14:paraId="2B27BE3E" w14:textId="77777777" w:rsidR="005F5849" w:rsidRPr="001C3A60" w:rsidRDefault="005F5849" w:rsidP="005F5849">
      <w:pPr>
        <w:spacing w:after="0" w:line="276" w:lineRule="auto"/>
        <w:jc w:val="both"/>
        <w:rPr>
          <w:rFonts w:ascii="Verdana" w:eastAsia="Verdana" w:hAnsi="Verdana" w:cs="Verdana"/>
          <w:lang w:eastAsia="es-CO"/>
        </w:rPr>
      </w:pPr>
      <w:r w:rsidRPr="001C3A60">
        <w:rPr>
          <w:rFonts w:ascii="Verdana" w:eastAsia="Verdana" w:hAnsi="Verdana" w:cs="Verdana"/>
          <w:lang w:eastAsia="es-CO"/>
        </w:rPr>
        <w:t>ii. La Ley 336 de 1996 “Por medio del cual se adopta el Estatuto Nacional de Transporte”, en su artículo 4° prescribe que el transporte recibe una protección especial por parte del Estado y estará sujeto a las condiciones y beneficios que determinen las normas que lo regulan, las cuales se incorporarán en el Plan Nacional de Desarrollo. Como servicio público, sigue bajo la dirección, regulación y control estatal, aunque su prestación podrá encargarse a particulares.</w:t>
      </w:r>
      <w:r>
        <w:rPr>
          <w:rFonts w:ascii="Verdana" w:eastAsia="Verdana" w:hAnsi="Verdana" w:cs="Verdana"/>
          <w:lang w:eastAsia="es-CO"/>
        </w:rPr>
        <w:t xml:space="preserve"> </w:t>
      </w:r>
      <w:r w:rsidRPr="001C3A60">
        <w:rPr>
          <w:rFonts w:ascii="Verdana" w:eastAsia="Verdana" w:hAnsi="Verdana" w:cs="Verdana"/>
          <w:lang w:eastAsia="es-CO"/>
        </w:rPr>
        <w:t xml:space="preserve">Su artículo 5 diferencia el servicio público de transporte del transporte privado en los siguientes términos: </w:t>
      </w:r>
    </w:p>
    <w:p w14:paraId="2EBA0A72" w14:textId="77777777" w:rsidR="005F5849" w:rsidRPr="001C3A60" w:rsidRDefault="005F5849" w:rsidP="005F5849">
      <w:pPr>
        <w:spacing w:after="0" w:line="276" w:lineRule="auto"/>
        <w:jc w:val="both"/>
        <w:rPr>
          <w:rFonts w:ascii="Verdana" w:eastAsia="Verdana" w:hAnsi="Verdana" w:cs="Verdana"/>
          <w:lang w:eastAsia="es-CO"/>
        </w:rPr>
      </w:pPr>
    </w:p>
    <w:p w14:paraId="322F7A8D" w14:textId="77777777" w:rsidR="005F5849" w:rsidRPr="00401B76" w:rsidRDefault="005F5849" w:rsidP="005F5849">
      <w:pPr>
        <w:spacing w:after="0" w:line="240" w:lineRule="auto"/>
        <w:ind w:left="709" w:right="709"/>
        <w:jc w:val="both"/>
        <w:rPr>
          <w:rFonts w:ascii="Verdana" w:eastAsia="Verdana" w:hAnsi="Verdana" w:cs="Verdana"/>
          <w:sz w:val="20"/>
          <w:szCs w:val="20"/>
          <w:lang w:eastAsia="es-CO"/>
        </w:rPr>
      </w:pPr>
      <w:r w:rsidRPr="00401B76">
        <w:rPr>
          <w:rFonts w:ascii="Verdana" w:eastAsia="Verdana" w:hAnsi="Verdana" w:cs="Verdana"/>
          <w:sz w:val="20"/>
          <w:szCs w:val="20"/>
          <w:lang w:eastAsia="es-CO"/>
        </w:rPr>
        <w:t xml:space="preserve">“El carácter de servicio público esencial bajo la regulación del Estado que la ley le otorga a la operación de las empresas de transporte público implicará la prelación del interés general sobre el particular, especialmente en cuanto a la garantía de la prestación del servicio y a la protección de los usuarios […]. </w:t>
      </w:r>
    </w:p>
    <w:p w14:paraId="627D4378" w14:textId="77777777" w:rsidR="005F5849" w:rsidRPr="00401B76" w:rsidRDefault="005F5849" w:rsidP="005F5849">
      <w:pPr>
        <w:spacing w:after="0" w:line="240" w:lineRule="auto"/>
        <w:ind w:left="709" w:right="709"/>
        <w:jc w:val="both"/>
        <w:rPr>
          <w:rFonts w:ascii="Verdana" w:eastAsia="Verdana" w:hAnsi="Verdana" w:cs="Verdana"/>
          <w:sz w:val="20"/>
          <w:szCs w:val="20"/>
          <w:lang w:eastAsia="es-CO"/>
        </w:rPr>
      </w:pPr>
    </w:p>
    <w:p w14:paraId="7A924109" w14:textId="77777777" w:rsidR="005F5849" w:rsidRPr="00401B76" w:rsidRDefault="005F5849" w:rsidP="005F5849">
      <w:pPr>
        <w:spacing w:after="0" w:line="240" w:lineRule="auto"/>
        <w:ind w:left="709" w:right="709"/>
        <w:jc w:val="both"/>
        <w:rPr>
          <w:rFonts w:ascii="Verdana" w:eastAsia="Verdana" w:hAnsi="Verdana" w:cs="Verdana"/>
          <w:sz w:val="20"/>
          <w:szCs w:val="20"/>
          <w:lang w:eastAsia="es-CO"/>
        </w:rPr>
      </w:pPr>
      <w:r w:rsidRPr="00401B76">
        <w:rPr>
          <w:rFonts w:ascii="Verdana" w:eastAsia="Verdana" w:hAnsi="Verdana" w:cs="Verdana"/>
          <w:sz w:val="20"/>
          <w:szCs w:val="20"/>
          <w:lang w:eastAsia="es-CO"/>
        </w:rPr>
        <w:t xml:space="preserve">El servicio privado de transporte es aquel que tiende a satisfacer necesidades de movilización de personas o cosas, dentro del ámbito de las actividades exclusivas de las personas naturales y/o jurídicas. En tal caso sus equipos propios deberán cumplir con la normatividad establecida por el Ministerio de Transporte. Cuando no se utilicen equipos propios, la contratación del servicio de transporte deberá realizarse con empresas de transporte público legalmente constituidas y debidamente habilitadas”. </w:t>
      </w:r>
    </w:p>
    <w:p w14:paraId="57D5EC6E" w14:textId="77777777" w:rsidR="005F5849" w:rsidRDefault="005F5849" w:rsidP="005F5849">
      <w:pPr>
        <w:spacing w:after="0" w:line="276" w:lineRule="auto"/>
        <w:jc w:val="both"/>
        <w:rPr>
          <w:rFonts w:ascii="Verdana" w:eastAsia="Verdana" w:hAnsi="Verdana" w:cs="Verdana"/>
          <w:lang w:eastAsia="es-CO"/>
        </w:rPr>
      </w:pPr>
    </w:p>
    <w:p w14:paraId="44DC2309" w14:textId="77777777" w:rsidR="005F5849" w:rsidRPr="001C3A60" w:rsidRDefault="005F5849" w:rsidP="005F5849">
      <w:pPr>
        <w:spacing w:after="0" w:line="276" w:lineRule="auto"/>
        <w:jc w:val="both"/>
        <w:rPr>
          <w:rFonts w:ascii="Verdana" w:eastAsia="Verdana" w:hAnsi="Verdana" w:cs="Verdana"/>
          <w:lang w:eastAsia="es-CO"/>
        </w:rPr>
      </w:pPr>
      <w:r w:rsidRPr="001C3A60">
        <w:rPr>
          <w:rFonts w:ascii="Verdana" w:eastAsia="Verdana" w:hAnsi="Verdana" w:cs="Verdana"/>
          <w:lang w:eastAsia="es-CO"/>
        </w:rPr>
        <w:t xml:space="preserve"> </w:t>
      </w:r>
      <w:r>
        <w:rPr>
          <w:rFonts w:ascii="Verdana" w:eastAsia="Verdana" w:hAnsi="Verdana" w:cs="Verdana"/>
          <w:lang w:eastAsia="es-CO"/>
        </w:rPr>
        <w:tab/>
      </w:r>
      <w:r w:rsidRPr="007044AE">
        <w:rPr>
          <w:rFonts w:ascii="Verdana" w:eastAsia="Verdana" w:hAnsi="Verdana" w:cs="Verdana"/>
          <w:lang w:eastAsia="es-CO"/>
        </w:rPr>
        <w:t>De acuerdo con esta disposición, el transporte privado se configura cuando una persona natural o jurídica moviliza personas o cosas para satisfacer necesidades propias de su actividad y utiliza equipos de su propiedad. Por el contrario, cuando no se utilizan equipos propios y se contrata la movilización con un tercero, la prestación debe realizarse mediante una empresa de transporte público legalmente constituida y habilitada.</w:t>
      </w:r>
      <w:r>
        <w:rPr>
          <w:rFonts w:ascii="Verdana" w:eastAsia="Verdana" w:hAnsi="Verdana" w:cs="Verdana"/>
          <w:lang w:eastAsia="es-CO"/>
        </w:rPr>
        <w:t xml:space="preserve"> </w:t>
      </w:r>
      <w:r w:rsidRPr="001C3A60">
        <w:rPr>
          <w:rFonts w:ascii="Verdana" w:eastAsia="Verdana" w:hAnsi="Verdana" w:cs="Verdana"/>
          <w:lang w:eastAsia="es-CO"/>
        </w:rPr>
        <w:t>En este sentido, el artículo 9° del precitado Estatuto dispone:</w:t>
      </w:r>
    </w:p>
    <w:p w14:paraId="4C38D966" w14:textId="77777777" w:rsidR="005F5849" w:rsidRPr="001C3A60" w:rsidRDefault="005F5849" w:rsidP="005F5849">
      <w:pPr>
        <w:spacing w:after="0" w:line="276" w:lineRule="auto"/>
        <w:jc w:val="both"/>
        <w:rPr>
          <w:rFonts w:ascii="Verdana" w:eastAsia="Verdana" w:hAnsi="Verdana" w:cs="Verdana"/>
          <w:lang w:eastAsia="es-CO"/>
        </w:rPr>
      </w:pPr>
    </w:p>
    <w:p w14:paraId="3BF902AF" w14:textId="77777777" w:rsidR="005F5849" w:rsidRPr="001C3A60" w:rsidRDefault="005F5849" w:rsidP="005F5849">
      <w:pPr>
        <w:spacing w:after="0" w:line="240" w:lineRule="auto"/>
        <w:ind w:left="709" w:right="709"/>
        <w:jc w:val="both"/>
        <w:rPr>
          <w:rFonts w:ascii="Verdana" w:eastAsia="Verdana" w:hAnsi="Verdana" w:cs="Verdana"/>
          <w:sz w:val="20"/>
          <w:szCs w:val="20"/>
          <w:lang w:eastAsia="es-CO"/>
        </w:rPr>
      </w:pPr>
      <w:r w:rsidRPr="001C3A60">
        <w:rPr>
          <w:rFonts w:ascii="Verdana" w:eastAsia="Verdana" w:hAnsi="Verdana" w:cs="Verdana"/>
          <w:sz w:val="20"/>
          <w:szCs w:val="20"/>
          <w:lang w:eastAsia="es-CO"/>
        </w:rPr>
        <w:t>Artículo 9. El servicio público de Transporte dentro del país tiene un alcance nacional y se prestará por empresas, personas naturales o jurídicas, legalmente constituidas de acuerdo con las disposiciones colombianas y debidamente habilitadas por la autoridad de transporte competentes. </w:t>
      </w:r>
    </w:p>
    <w:p w14:paraId="5AE8CB3D" w14:textId="77777777" w:rsidR="005F5849" w:rsidRPr="001C3A60" w:rsidRDefault="005F5849" w:rsidP="005F5849">
      <w:pPr>
        <w:spacing w:after="0" w:line="240" w:lineRule="auto"/>
        <w:ind w:left="709" w:right="709"/>
        <w:jc w:val="both"/>
        <w:rPr>
          <w:rFonts w:ascii="Verdana" w:eastAsia="Verdana" w:hAnsi="Verdana" w:cs="Verdana"/>
          <w:sz w:val="20"/>
          <w:szCs w:val="20"/>
          <w:lang w:eastAsia="es-CO"/>
        </w:rPr>
      </w:pPr>
      <w:r w:rsidRPr="001C3A60">
        <w:rPr>
          <w:rFonts w:ascii="Verdana" w:eastAsia="Verdana" w:hAnsi="Verdana" w:cs="Verdana"/>
          <w:sz w:val="20"/>
          <w:szCs w:val="20"/>
          <w:lang w:eastAsia="es-CO"/>
        </w:rPr>
        <w:t>  </w:t>
      </w:r>
    </w:p>
    <w:p w14:paraId="2FC9D0EE" w14:textId="77777777" w:rsidR="005F5849" w:rsidRPr="001C3A60" w:rsidRDefault="005F5849" w:rsidP="005F5849">
      <w:pPr>
        <w:spacing w:after="0" w:line="240" w:lineRule="auto"/>
        <w:ind w:left="709" w:right="709"/>
        <w:jc w:val="both"/>
        <w:rPr>
          <w:rFonts w:ascii="Verdana" w:eastAsia="Verdana" w:hAnsi="Verdana" w:cs="Verdana"/>
          <w:sz w:val="20"/>
          <w:szCs w:val="20"/>
          <w:lang w:eastAsia="es-CO"/>
        </w:rPr>
      </w:pPr>
      <w:r w:rsidRPr="001C3A60">
        <w:rPr>
          <w:rFonts w:ascii="Verdana" w:eastAsia="Verdana" w:hAnsi="Verdana" w:cs="Verdana"/>
          <w:sz w:val="20"/>
          <w:szCs w:val="20"/>
          <w:lang w:eastAsia="es-CO"/>
        </w:rPr>
        <w:t xml:space="preserve">La prestación del servicio público de Transporte Internacional, a más de las normas nacionales aplicables para el caso, se regirá de conformidad </w:t>
      </w:r>
      <w:r w:rsidRPr="001C3A60">
        <w:rPr>
          <w:rFonts w:ascii="Verdana" w:eastAsia="Verdana" w:hAnsi="Verdana" w:cs="Verdana"/>
          <w:sz w:val="20"/>
          <w:szCs w:val="20"/>
          <w:lang w:eastAsia="es-CO"/>
        </w:rPr>
        <w:lastRenderedPageBreak/>
        <w:t>con los Tratados, Convenios, Acuerdos y prácticas, celebrados o acogidos por el país para tal efecto. </w:t>
      </w:r>
    </w:p>
    <w:p w14:paraId="6C611845" w14:textId="77777777" w:rsidR="005F5849" w:rsidRPr="001C3A60" w:rsidRDefault="005F5849" w:rsidP="005F5849">
      <w:pPr>
        <w:spacing w:after="120" w:line="276" w:lineRule="auto"/>
        <w:jc w:val="both"/>
        <w:rPr>
          <w:rFonts w:ascii="Verdana" w:eastAsia="Verdana" w:hAnsi="Verdana" w:cs="Verdana"/>
          <w:lang w:eastAsia="es-CO"/>
        </w:rPr>
      </w:pPr>
    </w:p>
    <w:p w14:paraId="63ECF8CA" w14:textId="77777777" w:rsidR="005F5849" w:rsidRPr="001C3A60" w:rsidRDefault="005F5849" w:rsidP="005F5849">
      <w:pPr>
        <w:spacing w:after="120" w:line="276" w:lineRule="auto"/>
        <w:jc w:val="both"/>
        <w:rPr>
          <w:rFonts w:ascii="Verdana" w:eastAsia="Verdana" w:hAnsi="Verdana" w:cs="Verdana"/>
          <w:lang w:eastAsia="es-CO"/>
        </w:rPr>
      </w:pPr>
      <w:r w:rsidRPr="001C3A60">
        <w:rPr>
          <w:rFonts w:ascii="Verdana" w:eastAsia="Verdana" w:hAnsi="Verdana" w:cs="Verdana"/>
          <w:lang w:eastAsia="es-CO"/>
        </w:rPr>
        <w:tab/>
        <w:t xml:space="preserve">Para la prestación del servicio de transporte, el artículo 12 establece que, para habilitar una empresa de dicho sector, deben cumplirse condiciones relacionadas con su organización, aspectos técnicos, seguridad y capacidad financiera: i) en cuanto a la organización, se consideran la estructura de dirección y administración, los sistemas de selección del personal y la disponibilidad de instalaciones adecuadas; ii) en lo técnico, se exige preparación especializada de quienes administran y operan la empresa, además de la incorporación de avances tecnológicos; iii) en materia de seguridad, se requiere la implementación de programas de mantenimiento y reposición de equipos, sistemas de abastecimiento de combustibles y mecanismos de protección para pasajeros y carga; y por último, iv) en lo financiero, deben presentarse declaraciones de renta, estados financieros certificados y análisis que permitan verificar el origen y solidez del capital invertido. En esta línea, el artículo 13 prescribe que la habilitación otorgada a una empresa de transporte es intransferible, lo que significa que no puede cederse ni utilizarse por terceros distintos al beneficiario original. La única excepción corresponde a los derechos sucesorales, es decir, cuando la actividad pasa a los herederos en caso de fallecimiento del titular. </w:t>
      </w:r>
    </w:p>
    <w:p w14:paraId="1511429D" w14:textId="77777777" w:rsidR="005F5849" w:rsidRPr="001C3A60" w:rsidRDefault="005F5849" w:rsidP="005F5849">
      <w:pPr>
        <w:spacing w:after="120" w:line="276" w:lineRule="auto"/>
        <w:ind w:firstLine="708"/>
        <w:jc w:val="both"/>
        <w:rPr>
          <w:rFonts w:ascii="Verdana" w:eastAsia="Verdana" w:hAnsi="Verdana" w:cs="Verdana"/>
          <w:lang w:eastAsia="es-CO"/>
        </w:rPr>
      </w:pPr>
      <w:r w:rsidRPr="001C3A60">
        <w:rPr>
          <w:rFonts w:ascii="Verdana" w:eastAsia="Verdana" w:hAnsi="Verdana" w:cs="Verdana"/>
          <w:lang w:eastAsia="es-CO"/>
        </w:rPr>
        <w:t>Por su parte, el artículo 14 del precitado Estatuto dispone que la autoridad competente de cada modo de transporte cuenta con un plazo de noventa días, a partir de la solicitud, para verificar el cumplimiento de los requisitos y decidir sobre la habilitación. Esta se concede mediante resolución motivada, en la que se detallan las características de la empresa y del servicio. Además, la habilitación se otorga con el mismo nombre utilizado por los solicitantes desde el inicio del trámite, y cualquier modificación en la denominación o distintivos de la empresa requiere autorización previa de la autoridad, la cual debe llevar un registro de estos elementos.</w:t>
      </w:r>
    </w:p>
    <w:p w14:paraId="523543B8" w14:textId="77777777" w:rsidR="005F5849" w:rsidRPr="001C3A60" w:rsidRDefault="005F5849" w:rsidP="005F5849">
      <w:pPr>
        <w:spacing w:after="120" w:line="276" w:lineRule="auto"/>
        <w:ind w:firstLine="709"/>
        <w:jc w:val="both"/>
        <w:rPr>
          <w:rFonts w:ascii="Verdana" w:eastAsia="Verdana" w:hAnsi="Verdana" w:cs="Verdana"/>
          <w:lang w:eastAsia="es-CO"/>
        </w:rPr>
      </w:pPr>
      <w:r w:rsidRPr="001C3A60">
        <w:rPr>
          <w:rFonts w:ascii="Verdana" w:eastAsia="Verdana" w:hAnsi="Verdana" w:cs="Verdana"/>
          <w:lang w:eastAsia="es-CO"/>
        </w:rPr>
        <w:t>En relación con el transporte terrestre automotor de carga, el artículo 2.2.1.7.3 del Decreto 1079 de 2015 lo define de la siguiente manera:</w:t>
      </w:r>
      <w:r>
        <w:rPr>
          <w:rFonts w:ascii="Verdana" w:eastAsia="Verdana" w:hAnsi="Verdana" w:cs="Verdana"/>
          <w:lang w:eastAsia="es-CO"/>
        </w:rPr>
        <w:t xml:space="preserve"> </w:t>
      </w:r>
      <w:r w:rsidRPr="001C3A60">
        <w:rPr>
          <w:rFonts w:ascii="Verdana" w:eastAsia="Verdana" w:hAnsi="Verdana" w:cs="Verdana"/>
          <w:lang w:eastAsia="es-CO"/>
        </w:rPr>
        <w:t>“Es aquel destinado a satisfacer las necesidades generales de movilización de cosas de un lugar a otro, en vehículos automotores de servicio público a cambio de una remuneración o precio, bajo la responsabilidad de una empresa de transporte legalmente constituida y debidamente habilitada en esta modalidad”.</w:t>
      </w:r>
    </w:p>
    <w:p w14:paraId="6073DD02" w14:textId="77777777" w:rsidR="005F5849" w:rsidRDefault="005F5849" w:rsidP="005F5849">
      <w:pPr>
        <w:spacing w:after="120" w:line="276" w:lineRule="auto"/>
        <w:ind w:firstLine="709"/>
        <w:jc w:val="both"/>
        <w:rPr>
          <w:rFonts w:ascii="Verdana" w:eastAsia="Verdana" w:hAnsi="Verdana" w:cs="Verdana"/>
          <w:lang w:eastAsia="es-CO"/>
        </w:rPr>
      </w:pPr>
      <w:r w:rsidRPr="001C3A60">
        <w:rPr>
          <w:rFonts w:ascii="Verdana" w:eastAsia="Verdana" w:hAnsi="Verdana" w:cs="Verdana"/>
          <w:lang w:eastAsia="es-CO"/>
        </w:rPr>
        <w:lastRenderedPageBreak/>
        <w:t>En este sentido, la existencia de una operación de servicio público de transporte terrestre automotor de carga depende de las condiciones materiales en las que se desarrolla la movilización. Por tanto, la calificación de la actividad no está determinada exclusivamente por la denominación que las partes le otorguen al negocio jurídico, por su inclusión dentro de un contrato de suministro, obra o prestación de servicios, ni por la existencia de un precio autónomo para el transporte.</w:t>
      </w:r>
    </w:p>
    <w:p w14:paraId="57F27688" w14:textId="77777777" w:rsidR="005F5849" w:rsidRDefault="005F5849" w:rsidP="005F5849">
      <w:pPr>
        <w:spacing w:after="120" w:line="276" w:lineRule="auto"/>
        <w:ind w:firstLine="709"/>
        <w:jc w:val="both"/>
        <w:rPr>
          <w:rFonts w:ascii="Verdana" w:eastAsia="Verdana" w:hAnsi="Verdana" w:cs="Verdana"/>
          <w:lang w:eastAsia="es-CO"/>
        </w:rPr>
      </w:pPr>
      <w:r w:rsidRPr="001C3A60">
        <w:rPr>
          <w:rFonts w:ascii="Verdana" w:eastAsia="Verdana" w:hAnsi="Verdana" w:cs="Verdana"/>
          <w:lang w:eastAsia="es-CO"/>
        </w:rPr>
        <w:t>Cuando la movilización se efectúa por intermedio de terceros, deben observarse las reglas que disciplinan la prestación del servicio público de transporte de carga. Estas disposiciones regulan, entre otros aspectos, la habilitación de las empresas transportadoras, los documentos que soportan la operación, el suministro y reporte de información, así como las relaciones económicas entre los diferentes participantes de la cadena.</w:t>
      </w:r>
    </w:p>
    <w:p w14:paraId="0BBA3353" w14:textId="77777777" w:rsidR="005F5849" w:rsidRDefault="005F5849" w:rsidP="005F5849">
      <w:pPr>
        <w:spacing w:after="120" w:line="276" w:lineRule="auto"/>
        <w:ind w:firstLine="709"/>
        <w:jc w:val="both"/>
        <w:rPr>
          <w:rFonts w:ascii="Verdana" w:eastAsia="Verdana" w:hAnsi="Verdana" w:cs="Verdana"/>
          <w:lang w:eastAsia="es-CO"/>
        </w:rPr>
      </w:pPr>
      <w:r w:rsidRPr="001C3A60">
        <w:rPr>
          <w:rFonts w:ascii="Verdana" w:eastAsia="Verdana" w:hAnsi="Verdana" w:cs="Verdana"/>
          <w:lang w:eastAsia="es-CO"/>
        </w:rPr>
        <w:t>Para estos efectos, el artículo 2.2.1.7.4 del Decreto 1079 de 2015 contiene las definiciones aplicables a esta modalidad de transporte. Entre los sujetos que intervienen en la operación se encuentran el generador de la carga, la empresa de transporte y el propietario, poseedor o tenedor del vehículo. En particular, la norma define al generador de la carga como:</w:t>
      </w:r>
      <w:r>
        <w:rPr>
          <w:rFonts w:ascii="Verdana" w:eastAsia="Verdana" w:hAnsi="Verdana" w:cs="Verdana"/>
          <w:lang w:eastAsia="es-CO"/>
        </w:rPr>
        <w:t xml:space="preserve"> </w:t>
      </w:r>
      <w:r w:rsidRPr="001C3A60">
        <w:rPr>
          <w:rFonts w:ascii="Verdana" w:eastAsia="Verdana" w:hAnsi="Verdana" w:cs="Verdana"/>
          <w:lang w:eastAsia="es-CO"/>
        </w:rPr>
        <w:t>“El remitente, o el destinatario de la carga cuando acepte el contrato en los términos de los artículos 1008 y 1009 del Código de Comercio”.</w:t>
      </w:r>
    </w:p>
    <w:p w14:paraId="014FAA8F" w14:textId="77777777" w:rsidR="005F5849" w:rsidRDefault="005F5849" w:rsidP="005F5849">
      <w:pPr>
        <w:spacing w:after="120" w:line="276" w:lineRule="auto"/>
        <w:ind w:firstLine="709"/>
        <w:jc w:val="both"/>
        <w:rPr>
          <w:rFonts w:ascii="Verdana" w:eastAsia="Verdana" w:hAnsi="Verdana" w:cs="Verdana"/>
          <w:lang w:eastAsia="es-CO"/>
        </w:rPr>
      </w:pPr>
      <w:r w:rsidRPr="001C3A60">
        <w:rPr>
          <w:rFonts w:ascii="Verdana" w:eastAsia="Verdana" w:hAnsi="Verdana" w:cs="Verdana"/>
          <w:lang w:eastAsia="es-CO"/>
        </w:rPr>
        <w:t>Por su parte, la empresa de transporte es la persona jurídica legalmente constituida y debidamente habilitada por el Ministerio de Transporte, cuyo objeto consiste en movilizar cosas de un lugar a otro mediante vehículos automotores apropiados. El propietario, poseedor o tenedor del vehículo es quien pone a disposición el equipo con el cual se ejecuta materialmente la operación.</w:t>
      </w:r>
    </w:p>
    <w:p w14:paraId="684ED44A" w14:textId="77777777" w:rsidR="005F5849" w:rsidRDefault="005F5849" w:rsidP="005F5849">
      <w:pPr>
        <w:spacing w:after="120" w:line="276" w:lineRule="auto"/>
        <w:ind w:firstLine="709"/>
        <w:jc w:val="both"/>
        <w:rPr>
          <w:rFonts w:ascii="Verdana" w:eastAsia="Verdana" w:hAnsi="Verdana" w:cs="Verdana"/>
          <w:lang w:eastAsia="es-CO"/>
        </w:rPr>
      </w:pPr>
      <w:r w:rsidRPr="001C3A60">
        <w:rPr>
          <w:rFonts w:ascii="Verdana" w:eastAsia="Verdana" w:hAnsi="Verdana" w:cs="Verdana"/>
          <w:lang w:eastAsia="es-CO"/>
        </w:rPr>
        <w:t>A partir de estos sujetos se configuran dos relaciones económicas distintas. De un lado, la relación entre el generador de la carga y la empresa transportadora, en la cual se pacta el flete. De otro, la relación entre la empresa de transporte y el propietario, poseedor o tenedor del vehículo, respecto de la cual se determina el Valor a Pagar. Esta distinción es relevante para establecer el ámbito de aplicación de los costos eficientes calculados mediante el SICE-TAC.</w:t>
      </w:r>
    </w:p>
    <w:p w14:paraId="3332F865" w14:textId="77777777" w:rsidR="005F5849" w:rsidRDefault="005F5849" w:rsidP="005F5849">
      <w:pPr>
        <w:spacing w:after="120" w:line="276" w:lineRule="auto"/>
        <w:ind w:firstLine="709"/>
        <w:jc w:val="both"/>
        <w:rPr>
          <w:rFonts w:ascii="Verdana" w:eastAsia="Verdana" w:hAnsi="Verdana" w:cs="Verdana"/>
          <w:lang w:eastAsia="es-CO"/>
        </w:rPr>
      </w:pPr>
      <w:r w:rsidRPr="001C3A60">
        <w:rPr>
          <w:rFonts w:ascii="Verdana" w:eastAsia="Verdana" w:hAnsi="Verdana" w:cs="Verdana"/>
          <w:lang w:eastAsia="es-CO"/>
        </w:rPr>
        <w:t>El artículo 2.2.1.7.6.1 del Decreto 1079 de 2015 establece el marco general de estas relaciones económicas y dispone:</w:t>
      </w:r>
      <w:r>
        <w:rPr>
          <w:rFonts w:ascii="Verdana" w:eastAsia="Verdana" w:hAnsi="Verdana" w:cs="Verdana"/>
          <w:lang w:eastAsia="es-CO"/>
        </w:rPr>
        <w:t xml:space="preserve"> </w:t>
      </w:r>
      <w:r w:rsidRPr="001C3A60">
        <w:rPr>
          <w:rFonts w:ascii="Verdana" w:eastAsia="Verdana" w:hAnsi="Verdana" w:cs="Verdana"/>
          <w:lang w:eastAsia="es-CO"/>
        </w:rPr>
        <w:t xml:space="preserve">“Las relaciones económicas entre el generador de la carga y la empresa de transporte público, y de esta con </w:t>
      </w:r>
      <w:r w:rsidRPr="001C3A60">
        <w:rPr>
          <w:rFonts w:ascii="Verdana" w:eastAsia="Verdana" w:hAnsi="Verdana" w:cs="Verdana"/>
          <w:lang w:eastAsia="es-CO"/>
        </w:rPr>
        <w:lastRenderedPageBreak/>
        <w:t>los propietarios, poseedores o tenedores de vehículos, serán establecidas por las partes, sin que en ningún caso se puedan efectuar pagos por debajo de los costos eficientes de operación”.</w:t>
      </w:r>
    </w:p>
    <w:p w14:paraId="45701402" w14:textId="77777777" w:rsidR="005F5849" w:rsidRPr="00451EC3" w:rsidRDefault="005F5849" w:rsidP="005F5849">
      <w:pPr>
        <w:spacing w:after="120" w:line="276" w:lineRule="auto"/>
        <w:ind w:firstLine="709"/>
        <w:jc w:val="both"/>
        <w:rPr>
          <w:rFonts w:ascii="Verdana" w:eastAsia="Verdana" w:hAnsi="Verdana" w:cs="Verdana"/>
          <w:lang w:eastAsia="es-CO"/>
        </w:rPr>
      </w:pPr>
      <w:r w:rsidRPr="00451EC3">
        <w:rPr>
          <w:rFonts w:ascii="Verdana" w:eastAsia="Verdana" w:hAnsi="Verdana" w:cs="Verdana"/>
          <w:lang w:eastAsia="es-CO"/>
        </w:rPr>
        <w:t>Dentro de este régimen se encuentra el Sistema de Información de Costos Eficientes para el Transporte Automotor de Carga (SICE-TAC), herramienta administrada por el Ministerio de Transporte que permite calcular los costos eficientes de una operación de transporte público terrestre automotor de carga, considerando las condiciones particulares de cada movilización. Este sistema facilita la estimación de los costos de acuerdo con variables como el tipo de vehículo, la naturaleza de la carga, el origen y destino del viaje, así como los tiempos de espera, cargue y descargue.</w:t>
      </w:r>
    </w:p>
    <w:p w14:paraId="77BC57FB" w14:textId="77777777" w:rsidR="005F5849" w:rsidRDefault="005F5849" w:rsidP="005F5849">
      <w:pPr>
        <w:spacing w:after="120" w:line="276" w:lineRule="auto"/>
        <w:ind w:firstLine="709"/>
        <w:jc w:val="both"/>
        <w:rPr>
          <w:rFonts w:ascii="Verdana" w:eastAsia="Verdana" w:hAnsi="Verdana" w:cs="Verdana"/>
          <w:lang w:eastAsia="es-CO"/>
        </w:rPr>
      </w:pPr>
      <w:r w:rsidRPr="00451EC3">
        <w:rPr>
          <w:rFonts w:ascii="Verdana" w:eastAsia="Verdana" w:hAnsi="Verdana" w:cs="Verdana"/>
          <w:lang w:eastAsia="es-CO"/>
        </w:rPr>
        <w:t>La estructura de los costos de operación se divide en tres categorías principales</w:t>
      </w:r>
      <w:r>
        <w:rPr>
          <w:rStyle w:val="Refdenotaalpie"/>
          <w:rFonts w:ascii="Verdana" w:eastAsia="Verdana" w:hAnsi="Verdana" w:cs="Verdana"/>
          <w:lang w:eastAsia="es-CO"/>
        </w:rPr>
        <w:footnoteReference w:id="6"/>
      </w:r>
      <w:r w:rsidRPr="00451EC3">
        <w:rPr>
          <w:rFonts w:ascii="Verdana" w:eastAsia="Verdana" w:hAnsi="Verdana" w:cs="Verdana"/>
          <w:lang w:eastAsia="es-CO"/>
        </w:rPr>
        <w:t>. En primer lugar, los costos variables, que se generan directamente por la movilización del vehículo e incluyen rubros como combustibles, mantenimiento y reparaciones, llantas, peajes, lubricantes, lavado y engrase, además de imprevistos. En segundo lugar, los costos fijos, que corresponden a gastos en los que incurre el propietario del vehículo independientemente de su operación, tales como salarios y prestaciones de la tripulación, seguros, parqueadero, impuestos y recuperación de capital.</w:t>
      </w:r>
      <w:r>
        <w:rPr>
          <w:rFonts w:ascii="Verdana" w:eastAsia="Verdana" w:hAnsi="Verdana" w:cs="Verdana"/>
          <w:lang w:eastAsia="es-CO"/>
        </w:rPr>
        <w:t xml:space="preserve"> </w:t>
      </w:r>
      <w:r w:rsidRPr="00451EC3">
        <w:rPr>
          <w:rFonts w:ascii="Verdana" w:eastAsia="Verdana" w:hAnsi="Verdana" w:cs="Verdana"/>
          <w:lang w:eastAsia="es-CO"/>
        </w:rPr>
        <w:t>Finalmente, se encuentran los otros costos, que dependen de la facturación específica de cada viaje. En esta categoría se incluyen las comisiones y prestaciones, el factor de administración, así como las retenciones tributarias (retefuente y reteICA). De esta manera, el SICE-TAC constituye una herramienta integral que permite identificar y calcular de forma precisa los diferentes componentes que inciden en la operación del transporte automotor de carga, garantizando eficiencia y transparencia en la determinación de los costos.</w:t>
      </w:r>
    </w:p>
    <w:p w14:paraId="0F882E6C" w14:textId="77777777" w:rsidR="005F5849" w:rsidRDefault="005F5849" w:rsidP="005F5849">
      <w:pPr>
        <w:spacing w:after="120" w:line="276" w:lineRule="auto"/>
        <w:ind w:firstLine="709"/>
        <w:jc w:val="both"/>
        <w:rPr>
          <w:rFonts w:ascii="Verdana" w:eastAsia="Verdana" w:hAnsi="Verdana" w:cs="Verdana"/>
          <w:lang w:eastAsia="es-CO"/>
        </w:rPr>
      </w:pPr>
      <w:r w:rsidRPr="001C3A60">
        <w:rPr>
          <w:rFonts w:ascii="Verdana" w:eastAsia="Verdana" w:hAnsi="Verdana" w:cs="Verdana"/>
          <w:lang w:eastAsia="es-CO"/>
        </w:rPr>
        <w:t>El artículo 2.2.1.7.6.2 del Decreto 1079 de 2015, modificado por el artículo 12 del Decreto 1017 de 2025, establece el alcance de estos costos en los siguientes términos:</w:t>
      </w:r>
      <w:r>
        <w:rPr>
          <w:rFonts w:ascii="Verdana" w:eastAsia="Verdana" w:hAnsi="Verdana" w:cs="Verdana"/>
          <w:lang w:eastAsia="es-CO"/>
        </w:rPr>
        <w:t xml:space="preserve"> </w:t>
      </w:r>
      <w:r w:rsidRPr="001C3A60">
        <w:rPr>
          <w:rFonts w:ascii="Verdana" w:eastAsia="Verdana" w:hAnsi="Verdana" w:cs="Verdana"/>
          <w:lang w:eastAsia="es-CO"/>
        </w:rPr>
        <w:t>“Los costos eficientes de operación publicados a través del SICE-TAC se consideran costos mínimos de carácter obligatorio en relación con el Valor a Pagar al propietario, poseedor o tenedor del vehículo que realice la movilización de la carga”.</w:t>
      </w:r>
      <w:r>
        <w:rPr>
          <w:rFonts w:ascii="Verdana" w:eastAsia="Verdana" w:hAnsi="Verdana" w:cs="Verdana"/>
          <w:lang w:eastAsia="es-CO"/>
        </w:rPr>
        <w:t xml:space="preserve"> </w:t>
      </w:r>
      <w:r w:rsidRPr="001C3A60">
        <w:rPr>
          <w:rFonts w:ascii="Verdana" w:eastAsia="Verdana" w:hAnsi="Verdana" w:cs="Verdana"/>
          <w:lang w:eastAsia="es-CO"/>
        </w:rPr>
        <w:t xml:space="preserve">De esta manera, aunque las partes conservan la facultad de determinar las condiciones económicas de la operación, dicha </w:t>
      </w:r>
      <w:r w:rsidRPr="001C3A60">
        <w:rPr>
          <w:rFonts w:ascii="Verdana" w:eastAsia="Verdana" w:hAnsi="Verdana" w:cs="Verdana"/>
          <w:lang w:eastAsia="es-CO"/>
        </w:rPr>
        <w:lastRenderedPageBreak/>
        <w:t>autonomía se encuentra limitada por los costos eficientes publicados mediante el SICE-TAC. En particular, el Valor a Pagar acordado entre la empresa transportadora y el propietario, poseedor o tenedor del vehículo no puede ser inferior al costo eficiente aplicable a la respectiva operación.</w:t>
      </w:r>
    </w:p>
    <w:p w14:paraId="7669B0FC" w14:textId="77777777" w:rsidR="005F5849" w:rsidRDefault="005F5849" w:rsidP="005F5849">
      <w:pPr>
        <w:spacing w:after="120" w:line="276" w:lineRule="auto"/>
        <w:ind w:firstLine="709"/>
        <w:jc w:val="both"/>
        <w:rPr>
          <w:rFonts w:ascii="Verdana" w:eastAsia="Verdana" w:hAnsi="Verdana" w:cs="Verdana"/>
          <w:lang w:eastAsia="es-CO"/>
        </w:rPr>
      </w:pPr>
      <w:r w:rsidRPr="001C3A60">
        <w:rPr>
          <w:rFonts w:ascii="Verdana" w:eastAsia="Verdana" w:hAnsi="Verdana" w:cs="Verdana"/>
          <w:lang w:eastAsia="es-CO"/>
        </w:rPr>
        <w:t xml:space="preserve">Para comprender el alcance de esta disposición deben distinguirse tres conceptos. El costo eficiente es el resultado técnico calculado mediante el SICE-TAC; el </w:t>
      </w:r>
      <w:r>
        <w:rPr>
          <w:rFonts w:ascii="Verdana" w:eastAsia="Verdana" w:hAnsi="Verdana" w:cs="Verdana"/>
          <w:lang w:eastAsia="es-CO"/>
        </w:rPr>
        <w:t xml:space="preserve">valor a pagar </w:t>
      </w:r>
      <w:r w:rsidRPr="001C3A60">
        <w:rPr>
          <w:rFonts w:ascii="Verdana" w:eastAsia="Verdana" w:hAnsi="Verdana" w:cs="Verdana"/>
          <w:lang w:eastAsia="es-CO"/>
        </w:rPr>
        <w:t xml:space="preserve">corresponde a la suma acordada entre la empresa de transporte y el propietario, poseedor o tenedor del vehículo; y el flete es el precio pactado entre el generador de la carga y la empresa transportadora. El flete comprende el </w:t>
      </w:r>
      <w:r>
        <w:rPr>
          <w:rFonts w:ascii="Verdana" w:eastAsia="Verdana" w:hAnsi="Verdana" w:cs="Verdana"/>
          <w:lang w:eastAsia="es-CO"/>
        </w:rPr>
        <w:t>v</w:t>
      </w:r>
      <w:r w:rsidRPr="001C3A60">
        <w:rPr>
          <w:rFonts w:ascii="Verdana" w:eastAsia="Verdana" w:hAnsi="Verdana" w:cs="Verdana"/>
          <w:lang w:eastAsia="es-CO"/>
        </w:rPr>
        <w:t xml:space="preserve">alor a </w:t>
      </w:r>
      <w:r>
        <w:rPr>
          <w:rFonts w:ascii="Verdana" w:eastAsia="Verdana" w:hAnsi="Verdana" w:cs="Verdana"/>
          <w:lang w:eastAsia="es-CO"/>
        </w:rPr>
        <w:t>p</w:t>
      </w:r>
      <w:r w:rsidRPr="001C3A60">
        <w:rPr>
          <w:rFonts w:ascii="Verdana" w:eastAsia="Verdana" w:hAnsi="Verdana" w:cs="Verdana"/>
          <w:lang w:eastAsia="es-CO"/>
        </w:rPr>
        <w:t>agar y puede incorporar otros conceptos relacionados con la organización y prestación del servicio.</w:t>
      </w:r>
    </w:p>
    <w:p w14:paraId="4FB7A5E3" w14:textId="77777777" w:rsidR="005F5849" w:rsidRDefault="005F5849" w:rsidP="005F5849">
      <w:pPr>
        <w:spacing w:after="120" w:line="276" w:lineRule="auto"/>
        <w:ind w:firstLine="709"/>
        <w:jc w:val="both"/>
        <w:rPr>
          <w:rFonts w:ascii="Verdana" w:eastAsia="Verdana" w:hAnsi="Verdana" w:cs="Verdana"/>
          <w:lang w:eastAsia="es-CO"/>
        </w:rPr>
      </w:pPr>
      <w:r w:rsidRPr="001C3A60">
        <w:rPr>
          <w:rFonts w:ascii="Verdana" w:eastAsia="Verdana" w:hAnsi="Verdana" w:cs="Verdana"/>
          <w:lang w:eastAsia="es-CO"/>
        </w:rPr>
        <w:t>El Protocolo del SICE-TAC fue actualizado mediante la Resolución 20243040057465 de 2024 del Ministerio de Transporte. De acuerdo con su artículo 2, el sistema es aplicable:</w:t>
      </w:r>
      <w:r>
        <w:rPr>
          <w:rFonts w:ascii="Verdana" w:eastAsia="Verdana" w:hAnsi="Verdana" w:cs="Verdana"/>
          <w:lang w:eastAsia="es-CO"/>
        </w:rPr>
        <w:t xml:space="preserve"> </w:t>
      </w:r>
      <w:r w:rsidRPr="001C3A60">
        <w:rPr>
          <w:rFonts w:ascii="Verdana" w:eastAsia="Verdana" w:hAnsi="Verdana" w:cs="Verdana"/>
          <w:lang w:eastAsia="es-CO"/>
        </w:rPr>
        <w:t>“A las relaciones económicas que se generen en la prestación del servicio público de transporte terrestre automotor de carga, entre el generador de la carga y la empresa de transporte, y entre esta última y el propietario, poseedor o tenedor del vehículo”.</w:t>
      </w:r>
    </w:p>
    <w:p w14:paraId="5363D67F" w14:textId="77777777" w:rsidR="005F5849" w:rsidRDefault="005F5849" w:rsidP="005F5849">
      <w:pPr>
        <w:spacing w:after="120" w:line="276" w:lineRule="auto"/>
        <w:ind w:firstLine="709"/>
        <w:jc w:val="both"/>
        <w:rPr>
          <w:rFonts w:ascii="Verdana" w:eastAsia="Verdana" w:hAnsi="Verdana" w:cs="Verdana"/>
          <w:lang w:eastAsia="es-CO"/>
        </w:rPr>
      </w:pPr>
      <w:r w:rsidRPr="001C3A60">
        <w:rPr>
          <w:rFonts w:ascii="Verdana" w:eastAsia="Verdana" w:hAnsi="Verdana" w:cs="Verdana"/>
          <w:lang w:eastAsia="es-CO"/>
        </w:rPr>
        <w:t>Esta resolución establece los parámetros y la metodología para calcular y actualizar los costos eficientes de operación. El sistema considera, entre otros elementos, los costos fijos y variables asociados a la configuración vehicular, los combustibles, el mantenimiento, los peajes, la ruta, el tipo y condición de la carga y los tiempos logísticos. Por ello, el resultado del SICE-TAC corresponde al costo de una operación de transporte determinada y no necesariamente a un precio individual por cada unidad de bien transportado.</w:t>
      </w:r>
    </w:p>
    <w:p w14:paraId="3828A898" w14:textId="77777777" w:rsidR="005F5849" w:rsidRDefault="005F5849" w:rsidP="005F5849">
      <w:pPr>
        <w:spacing w:after="120" w:line="276" w:lineRule="auto"/>
        <w:ind w:firstLine="709"/>
        <w:jc w:val="both"/>
        <w:rPr>
          <w:rFonts w:ascii="Verdana" w:eastAsia="Verdana" w:hAnsi="Verdana" w:cs="Verdana"/>
          <w:lang w:eastAsia="es-CO"/>
        </w:rPr>
      </w:pPr>
      <w:r w:rsidRPr="001C3A60">
        <w:rPr>
          <w:rFonts w:ascii="Verdana" w:eastAsia="Verdana" w:hAnsi="Verdana" w:cs="Verdana"/>
          <w:lang w:eastAsia="es-CO"/>
        </w:rPr>
        <w:t>Posteriormente, la Resolución 20263040018445 de 2026 modificó y adicionó el protocolo, ajustó algunos de sus parámetros e incorporó tipologías correspondientes a vehículos de carga liviana. No obstante, la Resolución 20263040036525 del 8 de septiembre de 2026 suspendió durante seis meses la aplicación y el obligatorio cumplimiento de los costos eficientes publicados para los vehículos con peso bruto vehicular entre 3.500 y 7.500 kilogramos. En consecuencia, para determinar el costo eficiente aplicable debe consultarse la regulación vigente para la fecha de la operación y verificarse si la tipología vehicular, la carga y la ruta están parametrizadas en el sistema.</w:t>
      </w:r>
    </w:p>
    <w:p w14:paraId="0AD89CA0" w14:textId="77777777" w:rsidR="005F5849" w:rsidRDefault="005F5849" w:rsidP="005F5849">
      <w:pPr>
        <w:spacing w:after="120" w:line="276" w:lineRule="auto"/>
        <w:ind w:firstLine="709"/>
        <w:jc w:val="both"/>
        <w:rPr>
          <w:rFonts w:ascii="Verdana" w:eastAsia="Verdana" w:hAnsi="Verdana" w:cs="Verdana"/>
          <w:lang w:eastAsia="es-CO"/>
        </w:rPr>
      </w:pPr>
      <w:r w:rsidRPr="001C3A60">
        <w:rPr>
          <w:rFonts w:ascii="Verdana" w:eastAsia="Verdana" w:hAnsi="Verdana" w:cs="Verdana"/>
          <w:lang w:eastAsia="es-CO"/>
        </w:rPr>
        <w:lastRenderedPageBreak/>
        <w:t xml:space="preserve">La regulación también articula el SICE-TAC con el Registro Nacional de Despachos de Carga —RNDC—. En este sistema se registra la información asociada a la operación, incluidos el flete, el </w:t>
      </w:r>
      <w:r>
        <w:rPr>
          <w:rFonts w:ascii="Verdana" w:eastAsia="Verdana" w:hAnsi="Verdana" w:cs="Verdana"/>
          <w:lang w:eastAsia="es-CO"/>
        </w:rPr>
        <w:t>v</w:t>
      </w:r>
      <w:r w:rsidRPr="001C3A60">
        <w:rPr>
          <w:rFonts w:ascii="Verdana" w:eastAsia="Verdana" w:hAnsi="Verdana" w:cs="Verdana"/>
          <w:lang w:eastAsia="es-CO"/>
        </w:rPr>
        <w:t xml:space="preserve">alor a </w:t>
      </w:r>
      <w:r>
        <w:rPr>
          <w:rFonts w:ascii="Verdana" w:eastAsia="Verdana" w:hAnsi="Verdana" w:cs="Verdana"/>
          <w:lang w:eastAsia="es-CO"/>
        </w:rPr>
        <w:t>p</w:t>
      </w:r>
      <w:r w:rsidRPr="001C3A60">
        <w:rPr>
          <w:rFonts w:ascii="Verdana" w:eastAsia="Verdana" w:hAnsi="Verdana" w:cs="Verdana"/>
          <w:lang w:eastAsia="es-CO"/>
        </w:rPr>
        <w:t xml:space="preserve">agar y los documentos que soportan la movilización. Conforme a las disposiciones vigentes, la empresa transportadora únicamente puede expedir el Manifiesto Electrónico de Carga cuando el </w:t>
      </w:r>
      <w:r>
        <w:rPr>
          <w:rFonts w:ascii="Verdana" w:eastAsia="Verdana" w:hAnsi="Verdana" w:cs="Verdana"/>
          <w:lang w:eastAsia="es-CO"/>
        </w:rPr>
        <w:t>v</w:t>
      </w:r>
      <w:r w:rsidRPr="001C3A60">
        <w:rPr>
          <w:rFonts w:ascii="Verdana" w:eastAsia="Verdana" w:hAnsi="Verdana" w:cs="Verdana"/>
          <w:lang w:eastAsia="es-CO"/>
        </w:rPr>
        <w:t xml:space="preserve">alor a </w:t>
      </w:r>
      <w:r>
        <w:rPr>
          <w:rFonts w:ascii="Verdana" w:eastAsia="Verdana" w:hAnsi="Verdana" w:cs="Verdana"/>
          <w:lang w:eastAsia="es-CO"/>
        </w:rPr>
        <w:t>p</w:t>
      </w:r>
      <w:r w:rsidRPr="001C3A60">
        <w:rPr>
          <w:rFonts w:ascii="Verdana" w:eastAsia="Verdana" w:hAnsi="Verdana" w:cs="Verdana"/>
          <w:lang w:eastAsia="es-CO"/>
        </w:rPr>
        <w:t>agar registrado sea igual o superior al costo eficiente determinado por el SICE-TAC.</w:t>
      </w:r>
    </w:p>
    <w:p w14:paraId="32FD4B97" w14:textId="77777777" w:rsidR="005F5849" w:rsidRPr="0004666F" w:rsidRDefault="005F5849" w:rsidP="005F5849">
      <w:pPr>
        <w:spacing w:after="120" w:line="276" w:lineRule="auto"/>
        <w:ind w:firstLine="709"/>
        <w:jc w:val="both"/>
        <w:rPr>
          <w:rFonts w:ascii="Verdana" w:eastAsia="Verdana" w:hAnsi="Verdana" w:cs="Verdana"/>
          <w:lang w:eastAsia="es-CO"/>
        </w:rPr>
      </w:pPr>
      <w:r w:rsidRPr="0004666F">
        <w:rPr>
          <w:rFonts w:ascii="Verdana" w:eastAsia="Verdana" w:hAnsi="Verdana" w:cs="Verdana"/>
          <w:lang w:eastAsia="es-CO"/>
        </w:rPr>
        <w:t>En atención a lo expuesto, corresponde a la Entidad Estatal realizar el análisis sectorial sobre la aplicabilidad del SICE-TAC en cada proceso de contratación. Este examen debe partir de las consideraciones normativas señaladas en el numeral anterior, verificando si la operación de transporte que se pretende ejecutar se encuentra sometida al régimen del servicio público de transporte terrestre automotor de carga. En particular, la entidad debe establecer si la movilización se realiza mediante transporte privado con equipos propios o si, por el contrario, requiere la participación de una empresa de transporte público habilitada, caso en el cual resulta obligatorio aplicar la regulación vigente del SICE-TAC.</w:t>
      </w:r>
    </w:p>
    <w:p w14:paraId="3A49B2CD" w14:textId="77777777" w:rsidR="005F5849" w:rsidRDefault="005F5849" w:rsidP="005F5849">
      <w:pPr>
        <w:spacing w:after="0" w:line="276" w:lineRule="auto"/>
        <w:ind w:firstLine="709"/>
        <w:jc w:val="both"/>
        <w:rPr>
          <w:rFonts w:ascii="Verdana" w:eastAsia="Verdana" w:hAnsi="Verdana" w:cs="Verdana"/>
          <w:lang w:eastAsia="es-CO"/>
        </w:rPr>
      </w:pPr>
      <w:r w:rsidRPr="0004666F">
        <w:rPr>
          <w:rFonts w:ascii="Verdana" w:eastAsia="Verdana" w:hAnsi="Verdana" w:cs="Verdana"/>
          <w:lang w:eastAsia="es-CO"/>
        </w:rPr>
        <w:t>Por tanto, será necesario que la entidad revise de manera detallada la normativa aplicable, los parámetros actualizados del sistema y las tipologías vehiculares previstas, con el fin de garantizar que el proceso contractual se estructure conforme a las disposiciones sectoriales. Este análisis previo asegura que las condiciones económicas de la operación respeten los costos eficientes obligatorios, fortalece la transparencia en la contratación y evita contingencias derivadas del incumplimiento de la regulación especial en materia de transporte automotor de carga.</w:t>
      </w:r>
    </w:p>
    <w:p w14:paraId="385D3F3C" w14:textId="77777777" w:rsidR="005F5849" w:rsidRDefault="005F5849" w:rsidP="005F5849">
      <w:pPr>
        <w:spacing w:after="0" w:line="276" w:lineRule="auto"/>
        <w:jc w:val="both"/>
        <w:rPr>
          <w:rFonts w:ascii="Verdana" w:eastAsia="Calibri" w:hAnsi="Verdana" w:cs="Arial"/>
          <w:bCs/>
          <w:color w:val="000000" w:themeColor="text1"/>
        </w:rPr>
      </w:pPr>
    </w:p>
    <w:p w14:paraId="6C4FB5B0" w14:textId="77777777" w:rsidR="005F5849" w:rsidRPr="00897CA0" w:rsidRDefault="005F5849" w:rsidP="005F5849">
      <w:pPr>
        <w:spacing w:after="120" w:line="276" w:lineRule="auto"/>
        <w:jc w:val="both"/>
        <w:rPr>
          <w:rFonts w:ascii="Verdana" w:eastAsia="Calibri" w:hAnsi="Verdana" w:cs="Arial"/>
          <w:bCs/>
          <w:color w:val="000000" w:themeColor="text1"/>
        </w:rPr>
      </w:pPr>
      <w:r>
        <w:rPr>
          <w:rFonts w:ascii="Verdana" w:eastAsia="Calibri" w:hAnsi="Verdana" w:cs="Arial"/>
          <w:bCs/>
          <w:color w:val="000000" w:themeColor="text1"/>
        </w:rPr>
        <w:t xml:space="preserve">iv. </w:t>
      </w:r>
      <w:r>
        <w:rPr>
          <w:rFonts w:ascii="Verdana" w:eastAsia="Times New Roman" w:hAnsi="Verdana" w:cs="Times New Roman"/>
        </w:rPr>
        <w:t xml:space="preserve">Precisado lo anterior, corresponde examinar el régimen de los riesgos en la contratación estatal y su ámbito de aplicación. Con la expedición de la Ley 1150 de 2007 se propendió porque, durante la planeación de los procesos de contratación, las entidades estatales estimaran de forma anticipada las posibles eventualidades que puedan generarse durante la ejecución del contrato. Así, el artículo 4 de dicha ley obliga a las entidades estatales a estimar, tipificar y asignar los riesgos previsibles involucrados en la contratación dentro de los pliegos de condiciones o sus equivalentes, y a señalar, en las licitaciones públicas, el momento en el que, con anterioridad a la presentación de las ofertas, los oferentes y la entidad revisarán la asignación de riesgos con el fin de </w:t>
      </w:r>
      <w:r>
        <w:rPr>
          <w:rFonts w:ascii="Verdana" w:eastAsia="Times New Roman" w:hAnsi="Verdana" w:cs="Times New Roman"/>
        </w:rPr>
        <w:lastRenderedPageBreak/>
        <w:t>establecer su distribución definitiva. Por su parte, el numeral 6 del artículo 2.2.1.1.2.1.1 del Decreto 1082 de 2015 reiteró esta obligación al exigir que los estudios y documentos previos contengan el análisis de riesgo y la forma de mitigarlo. En el mismo sentido, los documentos CONPES 3107 y 3714 de 2011 fijaron lineamientos sobre la política de manejo del riesgo contractual y sobre el entendimiento del concepto de riesgo previsible en el marco de los procesos de selección sometidos al Estatuto General de Contratación de la Administración Pública.</w:t>
      </w:r>
    </w:p>
    <w:p w14:paraId="48FA196C" w14:textId="77777777" w:rsidR="005F5849" w:rsidRDefault="005F5849" w:rsidP="005F5849">
      <w:pPr>
        <w:widowControl w:val="0"/>
        <w:autoSpaceDE w:val="0"/>
        <w:autoSpaceDN w:val="0"/>
        <w:spacing w:after="120" w:line="276" w:lineRule="auto"/>
        <w:ind w:firstLine="708"/>
        <w:jc w:val="both"/>
        <w:rPr>
          <w:rFonts w:ascii="Verdana" w:eastAsia="Times New Roman" w:hAnsi="Verdana" w:cs="Times New Roman"/>
        </w:rPr>
      </w:pPr>
      <w:r>
        <w:rPr>
          <w:rFonts w:ascii="Verdana" w:eastAsia="Times New Roman" w:hAnsi="Verdana" w:cs="Times New Roman"/>
        </w:rPr>
        <w:t>De la interpretación de estas disposiciones se advierte que ellas integran el régimen del EGCAP: el artículo 4 de la Ley 1150 de 2007 se refiere a los pliegos de condiciones o sus equivalentes de los procesos de selección regidos por dicho estatuto, y el artículo 2.2.1.1.2.1.1 del Decreto 1082 de 2015 regula los estudios y documentos previos exigidos para las modalidades de selección allí reguladas. En consecuencia, su exigibilidad, como tal, se predica de los procesos sometidos al EGCAP. Frente a los manuales y guías para la identificación y cobertura del riesgo, el Consejo de Estado concluyó que, a la luz del artículo 4 de la Ley 1150 de 2007, son las entidades contratantes las obligadas a incluir en los pliegos de condiciones la estimación, tipificación y asignación del riesgo previsible en cada proceso de contratación, y que, frente a la cobertura de ese riesgo, el artículo 7 de la misma ley determinó que era el Gobierno Nacional quien debía fijar los criterios para la exigencia de garantías y los niveles de amparo. Por ello, una vez declarada la nulidad del literal a) del numeral 2 del artículo 159 del Decreto 1510 de 2013, se determinó que las guías o manuales que expida Colombia Compra Eficiente, en relación con la identificación y cobertura de riesgos, no son vinculantes para las entidades, quienes podrán, de manera facultativa, acudir a ellas como una guía para llevar a cabo la estimación, tipificación, asignación y cobertura de riesgos en cada proceso de contratación particular. Si el Manual para la Identificación y Cobertura del Riesgo en los Procesos de Contratación —que contiene la matriz sugerida— no es vinculante para las entidades sometidas al EGCAP.</w:t>
      </w:r>
    </w:p>
    <w:p w14:paraId="3DAE2112" w14:textId="77777777" w:rsidR="005F5849" w:rsidRPr="007D5BF2" w:rsidRDefault="005F5849" w:rsidP="005F5849">
      <w:pPr>
        <w:widowControl w:val="0"/>
        <w:autoSpaceDE w:val="0"/>
        <w:autoSpaceDN w:val="0"/>
        <w:spacing w:after="120" w:line="276" w:lineRule="auto"/>
        <w:ind w:firstLine="708"/>
        <w:jc w:val="both"/>
        <w:rPr>
          <w:rFonts w:ascii="Verdana" w:eastAsia="Times New Roman" w:hAnsi="Verdana" w:cs="Times New Roman"/>
        </w:rPr>
      </w:pPr>
      <w:r w:rsidRPr="007D5BF2">
        <w:rPr>
          <w:rFonts w:ascii="Verdana" w:eastAsia="Times New Roman" w:hAnsi="Verdana" w:cs="Times New Roman"/>
        </w:rPr>
        <w:t>En este aspecto, resulta pertinente señalar que el análisis de los riesgos previsibles y la definición de su tratamiento deben incorporarse desde la etapa de planeación, tal como se expuso en consideraciones anteriores. La forma, el nivel de detalle y el instrumento en que dicho análisis se documente corresponde a la autonomía de la entidad estatal, siendo suficiente que se refleje en los estudios previos con el alcance y formato que esta determine.</w:t>
      </w:r>
    </w:p>
    <w:p w14:paraId="5C378B66" w14:textId="77777777" w:rsidR="005F5849" w:rsidRDefault="005F5849" w:rsidP="005F5849">
      <w:pPr>
        <w:widowControl w:val="0"/>
        <w:autoSpaceDE w:val="0"/>
        <w:autoSpaceDN w:val="0"/>
        <w:spacing w:after="120" w:line="276" w:lineRule="auto"/>
        <w:ind w:firstLine="708"/>
        <w:jc w:val="both"/>
        <w:rPr>
          <w:rFonts w:ascii="Verdana" w:eastAsia="Times New Roman" w:hAnsi="Verdana" w:cs="Times New Roman"/>
        </w:rPr>
      </w:pPr>
      <w:r w:rsidRPr="00C660E3">
        <w:rPr>
          <w:rFonts w:ascii="Verdana" w:eastAsia="Times New Roman" w:hAnsi="Verdana" w:cs="Times New Roman"/>
        </w:rPr>
        <w:lastRenderedPageBreak/>
        <w:t>En cuanto a los riesgos asociados a la regulación del transporte de carga, incluidos los derivados de la variación de los costos eficientes publicados mediante el SICE-TAC, no puede afirmarse de manera general que deban ser asumidos siempre por la entidad estatal o por el contratista. Su tipificación, estimación y asignación dependerán de las condiciones específicas de cada proceso de contratación, considerando factores como el objeto contractual, el plazo, el sistema de precios, la forma de pago, la relevancia económica del transporte, las condiciones logísticas y los mecanismos de ajuste previstos.</w:t>
      </w:r>
    </w:p>
    <w:p w14:paraId="59EBBC6B" w14:textId="77777777" w:rsidR="005F5849" w:rsidRDefault="005F5849" w:rsidP="005F5849">
      <w:pPr>
        <w:widowControl w:val="0"/>
        <w:autoSpaceDE w:val="0"/>
        <w:autoSpaceDN w:val="0"/>
        <w:spacing w:after="120" w:line="276" w:lineRule="auto"/>
        <w:ind w:firstLine="708"/>
        <w:jc w:val="both"/>
        <w:rPr>
          <w:rFonts w:ascii="Verdana" w:eastAsia="Times New Roman" w:hAnsi="Verdana" w:cs="Times New Roman"/>
        </w:rPr>
      </w:pPr>
      <w:r w:rsidRPr="00C660E3">
        <w:rPr>
          <w:rFonts w:ascii="Verdana" w:eastAsia="Times New Roman" w:hAnsi="Verdana" w:cs="Times New Roman"/>
        </w:rPr>
        <w:t xml:space="preserve"> En este aspecto, hay que señalar que la aplicación </w:t>
      </w:r>
      <w:r w:rsidRPr="00C660E3">
        <w:rPr>
          <w:rFonts w:ascii="Verdana" w:hAnsi="Verdana"/>
        </w:rPr>
        <w:t xml:space="preserve">del SICE-TAC en los procesos de contratación implica la identificación de riesgos específicos que deben ser analizados y gestionados por la entidad estatal, tales como, los riesgos derivados de la variación de los costos eficientes publicados por el sistema, los cuales pueden impactar directamente en la estructura económica del contrato, así como los riegos asociados a </w:t>
      </w:r>
      <w:r w:rsidRPr="00C660E3">
        <w:rPr>
          <w:rFonts w:ascii="Verdana" w:eastAsia="Times New Roman" w:hAnsi="Verdana" w:cs="Times New Roman"/>
        </w:rPr>
        <w:t xml:space="preserve">las condiciones logísticas. En todo caso, el análisis sectorial debe permitir asignar cada riesgo a la parte que se encuentre en mejores condiciones de administrarlo, ya sea la entidad estatal o el contratista. La decisión sobre quién asume el riesgo debe reflejarse en los estudios previos y en la matriz de riesgos, garantizando que existan medidas de mitigación adecuadas. </w:t>
      </w:r>
    </w:p>
    <w:p w14:paraId="43A83215" w14:textId="77777777" w:rsidR="005F5849" w:rsidRDefault="005F5849" w:rsidP="005F5849">
      <w:pPr>
        <w:widowControl w:val="0"/>
        <w:autoSpaceDE w:val="0"/>
        <w:autoSpaceDN w:val="0"/>
        <w:spacing w:after="0" w:line="276" w:lineRule="auto"/>
        <w:jc w:val="both"/>
        <w:rPr>
          <w:rFonts w:ascii="Verdana" w:hAnsi="Verdana"/>
        </w:rPr>
      </w:pPr>
      <w:r>
        <w:rPr>
          <w:rFonts w:ascii="Verdana" w:eastAsia="Times New Roman" w:hAnsi="Verdana" w:cs="Times New Roman"/>
        </w:rPr>
        <w:tab/>
      </w:r>
      <w:r w:rsidRPr="00863B8A">
        <w:rPr>
          <w:rFonts w:ascii="Verdana" w:hAnsi="Verdana"/>
        </w:rPr>
        <w:t>Ahora bien, resulta necesario abordar el seguimiento y control de los contratos de transporte de carga sujetos al sistema SICE-TAC. Este componente es esencial para verificar que las operaciones se ajusten a los costos eficientes publicados y que las condiciones económicas pactadas respeten los parámetros obligatorios establecidos por la normativa sectorial.</w:t>
      </w:r>
    </w:p>
    <w:p w14:paraId="269627F9" w14:textId="77777777" w:rsidR="005F5849" w:rsidRPr="00863B8A" w:rsidRDefault="005F5849" w:rsidP="005F5849">
      <w:pPr>
        <w:widowControl w:val="0"/>
        <w:autoSpaceDE w:val="0"/>
        <w:autoSpaceDN w:val="0"/>
        <w:spacing w:after="0" w:line="276" w:lineRule="auto"/>
        <w:jc w:val="both"/>
        <w:rPr>
          <w:rFonts w:ascii="Verdana" w:hAnsi="Verdana"/>
        </w:rPr>
      </w:pPr>
    </w:p>
    <w:p w14:paraId="698834DA" w14:textId="77777777" w:rsidR="005F5849" w:rsidRPr="00E7254D" w:rsidRDefault="005F5849" w:rsidP="005F5849">
      <w:pPr>
        <w:spacing w:after="120" w:line="276" w:lineRule="auto"/>
        <w:jc w:val="both"/>
        <w:rPr>
          <w:rFonts w:ascii="Verdana" w:eastAsia="Calibri" w:hAnsi="Verdana" w:cs="Arial"/>
          <w:color w:val="000000"/>
          <w:lang w:val="es-ES"/>
        </w:rPr>
      </w:pPr>
      <w:r>
        <w:rPr>
          <w:rFonts w:ascii="Verdana" w:eastAsia="Verdana" w:hAnsi="Verdana" w:cs="Verdana"/>
          <w:lang w:eastAsia="es-CO"/>
        </w:rPr>
        <w:t xml:space="preserve">v. </w:t>
      </w:r>
      <w:r w:rsidRPr="00E7254D">
        <w:rPr>
          <w:rFonts w:ascii="Verdana" w:eastAsia="Calibri" w:hAnsi="Verdana" w:cs="Arial"/>
          <w:color w:val="000000"/>
          <w:lang w:val="es-ES"/>
        </w:rPr>
        <w:t xml:space="preserve">El seguimiento de la ejecución del contrato para la dirección, control y vigilancia de su correcto cumplimiento es un deber legal que permite a las entidades estatales tomar medidas orientadas a la satisfacción de los fines de la contratación. Por esto, el EGCAP alude a la obligación mencionada, que 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de este, y las condiciones de calidad </w:t>
      </w:r>
      <w:r w:rsidRPr="00E7254D">
        <w:rPr>
          <w:rFonts w:ascii="Verdana" w:eastAsia="Calibri" w:hAnsi="Verdana" w:cs="Arial"/>
          <w:color w:val="000000"/>
          <w:lang w:val="es-ES"/>
        </w:rPr>
        <w:lastRenderedPageBreak/>
        <w:t>ofrecidas, entre otras.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29606E48" w14:textId="77777777" w:rsidR="005F5849" w:rsidRPr="00E7254D" w:rsidRDefault="005F5849" w:rsidP="005F5849">
      <w:pPr>
        <w:spacing w:after="0" w:line="276" w:lineRule="auto"/>
        <w:ind w:firstLine="708"/>
        <w:jc w:val="both"/>
        <w:rPr>
          <w:rFonts w:ascii="Verdana" w:eastAsia="Times New Roman" w:hAnsi="Verdana" w:cs="Arial"/>
          <w:lang w:val="es-ES" w:eastAsia="es-MX"/>
        </w:rPr>
      </w:pPr>
      <w:r w:rsidRPr="00E7254D">
        <w:rPr>
          <w:rFonts w:ascii="Verdana" w:eastAsia="Times New Roman" w:hAnsi="Verdana" w:cs="Arial"/>
          <w:lang w:val="es-ES" w:eastAsia="es-MX"/>
        </w:rPr>
        <w:t>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E7254D">
        <w:rPr>
          <w:rFonts w:ascii="Verdana" w:eastAsia="Times New Roman" w:hAnsi="Verdana" w:cs="Arial"/>
          <w:vertAlign w:val="superscript"/>
          <w:lang w:val="es-ES" w:eastAsia="es-MX"/>
        </w:rPr>
        <w:footnoteReference w:id="7"/>
      </w:r>
      <w:r w:rsidRPr="00E7254D">
        <w:rPr>
          <w:rFonts w:ascii="Verdana" w:eastAsia="Times New Roman" w:hAnsi="Verdana" w:cs="Arial"/>
          <w:lang w:val="es-ES" w:eastAsia="es-MX"/>
        </w:rPr>
        <w:t>. También se establecen los límites de la responsabilidad del representante legal ante la delegación de sus funciones en materia contractual</w:t>
      </w:r>
      <w:r w:rsidRPr="00E7254D">
        <w:rPr>
          <w:rFonts w:ascii="Verdana" w:eastAsia="Times New Roman" w:hAnsi="Verdana" w:cs="Arial"/>
          <w:vertAlign w:val="superscript"/>
          <w:lang w:val="es-ES" w:eastAsia="es-MX"/>
        </w:rPr>
        <w:footnoteReference w:id="8"/>
      </w:r>
      <w:r w:rsidRPr="00E7254D">
        <w:rPr>
          <w:rFonts w:ascii="Verdana" w:eastAsia="Times New Roman" w:hAnsi="Verdana" w:cs="Arial"/>
          <w:lang w:val="es-ES" w:eastAsia="es-MX"/>
        </w:rPr>
        <w:t xml:space="preserve"> y se regula la supervisión y la interventoría de los contratos estatales</w:t>
      </w:r>
      <w:r w:rsidRPr="00E7254D">
        <w:rPr>
          <w:rFonts w:ascii="Verdana" w:eastAsia="Times New Roman" w:hAnsi="Verdana" w:cs="Arial"/>
          <w:vertAlign w:val="superscript"/>
          <w:lang w:val="es-ES" w:eastAsia="es-MX"/>
        </w:rPr>
        <w:footnoteReference w:id="9"/>
      </w:r>
      <w:r w:rsidRPr="00E7254D">
        <w:rPr>
          <w:rFonts w:ascii="Verdana" w:eastAsia="Times New Roman" w:hAnsi="Verdana" w:cs="Arial"/>
          <w:lang w:val="es-ES" w:eastAsia="es-MX"/>
        </w:rPr>
        <w:t xml:space="preserve">. En consecuencia, se tiene que, la jurisprudencia contencioso-administrativa, por su parte, ha considerado que la obligación de vigilar la correcta ejecución del objeto contractual es una función de la entidad contratante, en los siguientes términos: </w:t>
      </w:r>
    </w:p>
    <w:p w14:paraId="737386E3" w14:textId="77777777" w:rsidR="005F5849" w:rsidRPr="00624EEC" w:rsidRDefault="005F5849" w:rsidP="005F5849">
      <w:pPr>
        <w:spacing w:after="0"/>
        <w:ind w:left="709"/>
        <w:contextualSpacing/>
        <w:jc w:val="both"/>
        <w:rPr>
          <w:rFonts w:ascii="Verdana" w:eastAsia="Times New Roman" w:hAnsi="Verdana" w:cs="Arial"/>
          <w:sz w:val="20"/>
          <w:szCs w:val="20"/>
          <w:lang w:val="es-ES_tradnl" w:eastAsia="es-MX"/>
        </w:rPr>
      </w:pPr>
    </w:p>
    <w:p w14:paraId="320A9E4A" w14:textId="77777777" w:rsidR="005F5849" w:rsidRPr="00624EEC" w:rsidRDefault="005F5849" w:rsidP="005F5849">
      <w:pPr>
        <w:spacing w:after="0" w:line="240" w:lineRule="auto"/>
        <w:ind w:left="709" w:right="709"/>
        <w:contextualSpacing/>
        <w:jc w:val="both"/>
        <w:rPr>
          <w:rFonts w:ascii="Verdana" w:eastAsia="Times New Roman" w:hAnsi="Verdana" w:cs="Arial"/>
          <w:sz w:val="20"/>
          <w:szCs w:val="20"/>
          <w:lang w:val="es-ES_tradnl" w:eastAsia="es-MX"/>
        </w:rPr>
      </w:pPr>
      <w:r w:rsidRPr="00624EEC">
        <w:rPr>
          <w:rFonts w:ascii="Verdana" w:eastAsia="Times New Roman" w:hAnsi="Verdana" w:cs="Arial"/>
          <w:sz w:val="20"/>
          <w:szCs w:val="20"/>
          <w:lang w:val="es-ES_tradnl" w:eastAsia="es-MX"/>
        </w:rPr>
        <w:t>“La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624EEC">
        <w:rPr>
          <w:rFonts w:ascii="Verdana" w:eastAsia="Times New Roman" w:hAnsi="Verdana" w:cs="Arial"/>
          <w:sz w:val="20"/>
          <w:szCs w:val="20"/>
          <w:vertAlign w:val="superscript"/>
          <w:lang w:val="es-ES_tradnl" w:eastAsia="es-MX"/>
        </w:rPr>
        <w:footnoteReference w:id="10"/>
      </w:r>
      <w:r w:rsidRPr="00624EEC">
        <w:rPr>
          <w:rFonts w:ascii="Verdana" w:eastAsia="Times New Roman" w:hAnsi="Verdana" w:cs="Arial"/>
          <w:sz w:val="20"/>
          <w:szCs w:val="20"/>
          <w:lang w:val="es-ES_tradnl" w:eastAsia="es-MX"/>
        </w:rPr>
        <w:t>.</w:t>
      </w:r>
    </w:p>
    <w:p w14:paraId="5C673F0B" w14:textId="77777777" w:rsidR="005F5849" w:rsidRPr="00E7254D" w:rsidRDefault="005F5849" w:rsidP="005F5849">
      <w:pPr>
        <w:snapToGrid w:val="0"/>
        <w:spacing w:after="0" w:line="276" w:lineRule="auto"/>
        <w:ind w:left="720"/>
        <w:rPr>
          <w:rFonts w:ascii="Verdana" w:eastAsia="Times New Roman" w:hAnsi="Verdana" w:cs="Arial"/>
          <w:lang w:val="es-ES_tradnl" w:eastAsia="es-MX"/>
        </w:rPr>
      </w:pPr>
    </w:p>
    <w:p w14:paraId="7FEA71BE" w14:textId="77777777" w:rsidR="005F5849" w:rsidRPr="00EB721B" w:rsidRDefault="005F5849" w:rsidP="005F5849">
      <w:pPr>
        <w:spacing w:after="0" w:line="276" w:lineRule="auto"/>
        <w:ind w:firstLine="709"/>
        <w:jc w:val="both"/>
        <w:rPr>
          <w:rFonts w:ascii="Verdana" w:eastAsia="Times New Roman" w:hAnsi="Verdana" w:cs="Arial"/>
          <w:lang w:eastAsia="es-MX"/>
        </w:rPr>
      </w:pPr>
      <w:r>
        <w:rPr>
          <w:rFonts w:ascii="Verdana" w:eastAsia="Times New Roman" w:hAnsi="Verdana" w:cs="Arial"/>
          <w:lang w:val="es-ES_tradnl" w:eastAsia="es-MX"/>
        </w:rPr>
        <w:t>En este sentido</w:t>
      </w:r>
      <w:r w:rsidRPr="00D31A78">
        <w:rPr>
          <w:rFonts w:ascii="Verdana" w:eastAsia="Times New Roman" w:hAnsi="Verdana" w:cs="Arial"/>
          <w:lang w:eastAsia="es-MX"/>
        </w:rPr>
        <w:t xml:space="preserve">, la vigilancia contractual se entiende como una </w:t>
      </w:r>
      <w:r w:rsidRPr="00D05606">
        <w:rPr>
          <w:rFonts w:ascii="Verdana" w:eastAsia="Times New Roman" w:hAnsi="Verdana" w:cs="Arial"/>
          <w:lang w:eastAsia="es-MX"/>
        </w:rPr>
        <w:t>función</w:t>
      </w:r>
      <w:r>
        <w:rPr>
          <w:rFonts w:ascii="Verdana" w:eastAsia="Times New Roman" w:hAnsi="Verdana" w:cs="Arial"/>
          <w:lang w:eastAsia="es-MX"/>
        </w:rPr>
        <w:t xml:space="preserve"> pública y con mayor precisión es el ejercicio de una función</w:t>
      </w:r>
      <w:r w:rsidRPr="00D05606">
        <w:rPr>
          <w:rFonts w:ascii="Verdana" w:eastAsia="Times New Roman" w:hAnsi="Verdana" w:cs="Arial"/>
          <w:lang w:eastAsia="es-MX"/>
        </w:rPr>
        <w:t xml:space="preserve"> administrativa</w:t>
      </w:r>
      <w:r w:rsidRPr="00D31A78">
        <w:rPr>
          <w:rFonts w:ascii="Verdana" w:eastAsia="Times New Roman" w:hAnsi="Verdana" w:cs="Arial"/>
          <w:lang w:eastAsia="es-MX"/>
        </w:rPr>
        <w:t xml:space="preserve"> en la medida en que comporta el ejercicio de prerrogativas públicas dirigidas a proteger el interés general, prevenir riesgos para el patrimonio público y garantizar la observancia de las obligaciones contractuales. La supervisión y la interventoría, ya sea ejercidas directamente por servidores públicos o delegadas </w:t>
      </w:r>
      <w:r w:rsidRPr="00D31A78">
        <w:rPr>
          <w:rFonts w:ascii="Verdana" w:eastAsia="Times New Roman" w:hAnsi="Verdana" w:cs="Arial"/>
          <w:lang w:eastAsia="es-MX"/>
        </w:rPr>
        <w:lastRenderedPageBreak/>
        <w:t>en terceros, se insertan en el marco de la gestión contractual de la entidad y se desarrollan bajo parámetros normativos que delimitan su alcance, responsabilidades y deberes. Por ello, quien administra la adecuada y oportuna ejecución del contrato debe velar no solo por el cumplimiento de las obligaciones, sino por la ejecución en el tiempo y la forma convenidos, lo que reafirma su naturaleza como función pública ejercida en desarrollo de la función administrativa.</w:t>
      </w:r>
      <w:r>
        <w:rPr>
          <w:rFonts w:ascii="Verdana" w:eastAsia="Times New Roman" w:hAnsi="Verdana" w:cs="Arial"/>
          <w:lang w:eastAsia="es-MX"/>
        </w:rPr>
        <w:t xml:space="preserve"> </w:t>
      </w:r>
      <w:r w:rsidRPr="00E7254D">
        <w:rPr>
          <w:rFonts w:ascii="Verdana" w:eastAsia="Times New Roman" w:hAnsi="Verdana" w:cs="Arial"/>
          <w:lang w:val="es-ES" w:eastAsia="es-MX"/>
        </w:rPr>
        <w:t xml:space="preserve">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w:t>
      </w:r>
      <w:r>
        <w:rPr>
          <w:rFonts w:ascii="Verdana" w:eastAsia="Times New Roman" w:hAnsi="Verdana" w:cs="Arial"/>
          <w:lang w:val="es-ES" w:eastAsia="es-MX"/>
        </w:rPr>
        <w:t>e</w:t>
      </w:r>
      <w:r w:rsidRPr="00E7254D">
        <w:rPr>
          <w:rFonts w:ascii="Verdana" w:eastAsia="Times New Roman" w:hAnsi="Verdana" w:cs="Arial"/>
          <w:lang w:val="es-ES" w:eastAsia="es-MX"/>
        </w:rPr>
        <w:t xml:space="preserve">ntidades </w:t>
      </w:r>
      <w:r>
        <w:rPr>
          <w:rFonts w:ascii="Verdana" w:eastAsia="Times New Roman" w:hAnsi="Verdana" w:cs="Arial"/>
          <w:lang w:val="es-ES" w:eastAsia="es-MX"/>
        </w:rPr>
        <w:t>e</w:t>
      </w:r>
      <w:r w:rsidRPr="00E7254D">
        <w:rPr>
          <w:rFonts w:ascii="Verdana" w:eastAsia="Times New Roman" w:hAnsi="Verdana" w:cs="Arial"/>
          <w:lang w:val="es-ES" w:eastAsia="es-MX"/>
        </w:rPr>
        <w:t xml:space="preserve">statales para vigilar el contrato, en estos términos: </w:t>
      </w:r>
    </w:p>
    <w:p w14:paraId="601A83AD" w14:textId="77777777" w:rsidR="005F5849" w:rsidRPr="00E7254D" w:rsidRDefault="005F5849" w:rsidP="005F5849">
      <w:pPr>
        <w:spacing w:after="0" w:line="276" w:lineRule="auto"/>
        <w:ind w:left="720"/>
        <w:jc w:val="both"/>
        <w:textAlignment w:val="baseline"/>
        <w:rPr>
          <w:rFonts w:ascii="Verdana" w:eastAsia="Times New Roman" w:hAnsi="Verdana" w:cs="Arial"/>
          <w:lang w:val="es-ES_tradnl" w:eastAsia="es-MX"/>
        </w:rPr>
      </w:pPr>
    </w:p>
    <w:p w14:paraId="743A7536" w14:textId="77777777" w:rsidR="005F5849" w:rsidRDefault="005F5849" w:rsidP="005F5849">
      <w:pPr>
        <w:spacing w:after="0" w:line="240" w:lineRule="auto"/>
        <w:ind w:left="709" w:right="709"/>
        <w:jc w:val="both"/>
        <w:textAlignment w:val="baseline"/>
        <w:rPr>
          <w:rFonts w:ascii="Verdana" w:eastAsia="Times New Roman" w:hAnsi="Verdana" w:cs="Arial"/>
          <w:sz w:val="20"/>
          <w:szCs w:val="20"/>
          <w:lang w:val="es-ES" w:eastAsia="es-MX"/>
        </w:rPr>
      </w:pPr>
      <w:r w:rsidRPr="00624EEC">
        <w:rPr>
          <w:rFonts w:ascii="Verdana" w:eastAsia="Times New Roman" w:hAnsi="Verdana" w:cs="Arial"/>
          <w:sz w:val="20"/>
          <w:szCs w:val="20"/>
          <w:lang w:val="es-ES" w:eastAsia="es-MX"/>
        </w:rPr>
        <w:t>“La supervisión consistirá en el seguimiento técnico, administrativo, financiero, contable, y jurídico que sobre el cumplimiento del objeto del contrato, es ejercida por la misma entidad estatal cuando no requieran conocimientos especializadas. Para la supervisión, la entidad estatal podrá contratar personal de apoyo, a través de los contratos de prestación de servicio que sean requeridos.</w:t>
      </w:r>
    </w:p>
    <w:p w14:paraId="01AF9201" w14:textId="77777777" w:rsidR="005F5849" w:rsidRPr="00624EEC" w:rsidRDefault="005F5849" w:rsidP="005F5849">
      <w:pPr>
        <w:spacing w:after="0" w:line="240" w:lineRule="auto"/>
        <w:ind w:left="709" w:right="709"/>
        <w:jc w:val="both"/>
        <w:textAlignment w:val="baseline"/>
        <w:rPr>
          <w:rFonts w:ascii="Verdana" w:eastAsia="Times New Roman" w:hAnsi="Verdana" w:cs="Arial"/>
          <w:sz w:val="20"/>
          <w:szCs w:val="20"/>
          <w:lang w:val="es-ES" w:eastAsia="es-MX"/>
        </w:rPr>
      </w:pPr>
    </w:p>
    <w:p w14:paraId="4780EDBB" w14:textId="77777777" w:rsidR="005F5849" w:rsidRPr="00624EEC" w:rsidRDefault="005F5849" w:rsidP="005F5849">
      <w:pPr>
        <w:spacing w:after="0" w:line="240" w:lineRule="auto"/>
        <w:ind w:left="709" w:right="709"/>
        <w:jc w:val="both"/>
        <w:textAlignment w:val="baseline"/>
        <w:rPr>
          <w:rFonts w:ascii="Verdana" w:eastAsia="Times New Roman" w:hAnsi="Verdana" w:cs="Arial"/>
          <w:sz w:val="20"/>
          <w:szCs w:val="20"/>
          <w:lang w:val="es-ES" w:eastAsia="es-MX"/>
        </w:rPr>
      </w:pPr>
      <w:r w:rsidRPr="00624EEC">
        <w:rPr>
          <w:rFonts w:ascii="Verdana" w:eastAsia="Times New Roman" w:hAnsi="Verdana" w:cs="Arial"/>
          <w:sz w:val="20"/>
          <w:szCs w:val="20"/>
          <w:lang w:val="es-ES" w:eastAsia="es-MX"/>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r w:rsidRPr="00624EEC">
        <w:rPr>
          <w:rFonts w:ascii="Verdana" w:eastAsia="Times New Roman" w:hAnsi="Verdana" w:cs="Arial"/>
          <w:sz w:val="20"/>
          <w:szCs w:val="20"/>
          <w:vertAlign w:val="superscript"/>
          <w:lang w:val="es-ES" w:eastAsia="es-MX"/>
        </w:rPr>
        <w:footnoteReference w:id="11"/>
      </w:r>
      <w:r w:rsidRPr="00624EEC">
        <w:rPr>
          <w:rFonts w:ascii="Verdana" w:eastAsia="Times New Roman" w:hAnsi="Verdana" w:cs="Arial"/>
          <w:sz w:val="20"/>
          <w:szCs w:val="20"/>
          <w:lang w:val="es-ES" w:eastAsia="es-MX"/>
        </w:rPr>
        <w:t>.</w:t>
      </w:r>
    </w:p>
    <w:p w14:paraId="382CEFB6" w14:textId="77777777" w:rsidR="005F5849" w:rsidRPr="00E7254D" w:rsidRDefault="005F5849" w:rsidP="005F5849">
      <w:pPr>
        <w:spacing w:after="0" w:line="276" w:lineRule="auto"/>
        <w:ind w:left="720"/>
        <w:contextualSpacing/>
        <w:jc w:val="both"/>
        <w:textAlignment w:val="baseline"/>
        <w:rPr>
          <w:rFonts w:ascii="Verdana" w:eastAsia="Times New Roman" w:hAnsi="Verdana" w:cs="Arial"/>
          <w:lang w:val="es-ES" w:eastAsia="es-MX"/>
        </w:rPr>
      </w:pPr>
    </w:p>
    <w:p w14:paraId="2EF4DC41" w14:textId="77777777" w:rsidR="005F5849" w:rsidRPr="00E7254D" w:rsidRDefault="005F5849" w:rsidP="005F5849">
      <w:pPr>
        <w:spacing w:after="120" w:line="276" w:lineRule="auto"/>
        <w:ind w:firstLine="709"/>
        <w:jc w:val="both"/>
        <w:rPr>
          <w:rFonts w:ascii="Verdana" w:eastAsia="Times New Roman" w:hAnsi="Verdana" w:cs="Arial"/>
          <w:shd w:val="clear" w:color="auto" w:fill="FFFFFF"/>
          <w:lang w:val="es-ES"/>
        </w:rPr>
      </w:pPr>
      <w:r w:rsidRPr="00E7254D">
        <w:rPr>
          <w:rFonts w:ascii="Verdana" w:eastAsia="Times New Roman" w:hAnsi="Verdana" w:cs="Arial"/>
          <w:bCs/>
          <w:lang w:val="es-ES"/>
        </w:rPr>
        <w:t xml:space="preserve">Sin perjuicio de lo anterior, según lo expresado por esta Agencia en el concepto No. 4201913000008240 del 20 de diciembre de 2019 y en el concepto C-972 de 2024, de las disposiciones contenidas en los artículos 83 y 84 de la Ley 1474 de 2011, se infieren las siguientes características de la supervisión: i) </w:t>
      </w:r>
      <w:r w:rsidRPr="00E7254D">
        <w:rPr>
          <w:rFonts w:ascii="Verdana" w:eastAsia="Times New Roman" w:hAnsi="Verdana" w:cs="Arial"/>
          <w:bCs/>
          <w:lang w:val="es-ES"/>
        </w:rPr>
        <w:lastRenderedPageBreak/>
        <w:t>la labor de supervisión siempre existirá en relación con cualquier contrato estatal, incluidos los contratos de prestación de servicios –a diferencia de la interventoría que depende del análisis de su necesidad y extensión</w:t>
      </w:r>
      <w:r w:rsidRPr="00E7254D">
        <w:rPr>
          <w:rFonts w:ascii="Verdana" w:eastAsia="Times New Roman" w:hAnsi="Verdana" w:cs="Arial"/>
          <w:bCs/>
          <w:vertAlign w:val="superscript"/>
          <w:lang w:val="es-ES"/>
        </w:rPr>
        <w:footnoteReference w:id="12"/>
      </w:r>
      <w:r w:rsidRPr="00E7254D">
        <w:rPr>
          <w:rFonts w:ascii="Verdana" w:eastAsia="Times New Roman" w:hAnsi="Verdana" w:cs="Arial"/>
          <w:bCs/>
          <w:lang w:val="es-ES"/>
        </w:rPr>
        <w:t>–; ii) no requiere conocimientos tan especializados como la interventoría; iii) se ejerce por la Entidad Estatal por conducto de la designación de servidores públicos idóneos para cumplir la función; iv) puede recibir apoyo de personal contratado para tal fin mediante contratos de prestación de servicios; y v) le es inseparable el seguimiento técnico, administrativo, financiero, contable y jurídico del contrato vigilado.</w:t>
      </w:r>
    </w:p>
    <w:p w14:paraId="02B279DE" w14:textId="77777777" w:rsidR="005F5849" w:rsidRDefault="005F5849" w:rsidP="005F5849">
      <w:pPr>
        <w:spacing w:after="120" w:line="276" w:lineRule="auto"/>
        <w:jc w:val="both"/>
        <w:rPr>
          <w:rFonts w:ascii="Verdana" w:eastAsia="Aptos" w:hAnsi="Verdana" w:cs="Arial"/>
          <w:bCs/>
        </w:rPr>
      </w:pPr>
      <w:r w:rsidRPr="00E7254D">
        <w:rPr>
          <w:rFonts w:ascii="Verdana" w:eastAsia="Aptos" w:hAnsi="Verdana" w:cs="Arial"/>
          <w:bCs/>
          <w:lang w:val="es-ES"/>
        </w:rPr>
        <w:tab/>
        <w:t xml:space="preserve">Por otro lado, </w:t>
      </w:r>
      <w:r w:rsidRPr="00E7254D">
        <w:rPr>
          <w:rFonts w:ascii="Verdana" w:eastAsia="Aptos" w:hAnsi="Verdana" w:cs="Arial"/>
          <w:bCs/>
        </w:rPr>
        <w:t xml:space="preserve">la interventoría puede caracterizarse de la siguiente manera: i) es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del mismo lo justifique” –art, 83, Ley 1474 de 2011–; ii) es un mecanismo de vigilancia que exige, en su ejecución, la </w:t>
      </w:r>
      <w:r w:rsidRPr="00337394">
        <w:rPr>
          <w:rFonts w:ascii="Verdana" w:eastAsia="Aptos" w:hAnsi="Verdana" w:cs="Arial"/>
          <w:bCs/>
        </w:rPr>
        <w:t>utilización de conocimientos especializados; iii) por lo anterior, la entidad contrata un experto, por regla general, mediante la modalidad de selección de concurso de méritos, al tratarse la interventoría de una especie del contrato de consultoría –art. 32, numeral 2, inciso 2, Ley 80 de 1993</w:t>
      </w:r>
      <w:r w:rsidRPr="00337394">
        <w:rPr>
          <w:rFonts w:ascii="Verdana" w:eastAsia="Aptos" w:hAnsi="Verdana" w:cs="Times New Roman"/>
          <w:kern w:val="2"/>
          <w:vertAlign w:val="superscript"/>
          <w14:ligatures w14:val="standardContextual"/>
        </w:rPr>
        <w:footnoteReference w:id="13"/>
      </w:r>
      <w:r w:rsidRPr="00337394">
        <w:rPr>
          <w:rFonts w:ascii="Verdana" w:eastAsia="Aptos" w:hAnsi="Verdana" w:cs="Arial"/>
          <w:bCs/>
        </w:rPr>
        <w:t>‒, de manera que la interventoría es realizada por “una persona natural o jurídica contratada para tal fin por la Entidad Estatal” –art. 83, Ley 1474–; iv)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4–, y finalmente, vi) el contrato de interventoría será supervisado directamente por la entidad –art. 83, inciso 4–.</w:t>
      </w:r>
    </w:p>
    <w:p w14:paraId="13F9DB5F" w14:textId="77777777" w:rsidR="005F5849" w:rsidRDefault="005F5849" w:rsidP="005F5849">
      <w:pPr>
        <w:widowControl w:val="0"/>
        <w:autoSpaceDE w:val="0"/>
        <w:autoSpaceDN w:val="0"/>
        <w:spacing w:after="120" w:line="276" w:lineRule="auto"/>
        <w:ind w:firstLine="709"/>
        <w:jc w:val="both"/>
        <w:rPr>
          <w:rFonts w:ascii="Verdana" w:eastAsia="Arial MT" w:hAnsi="Verdana" w:cs="Arial"/>
          <w:color w:val="000000" w:themeColor="text1"/>
          <w:lang w:val="es-MX"/>
        </w:rPr>
      </w:pPr>
      <w:r>
        <w:rPr>
          <w:rFonts w:ascii="Verdana" w:eastAsia="Arial MT" w:hAnsi="Verdana" w:cs="Arial"/>
          <w:color w:val="000000" w:themeColor="text1"/>
          <w:lang w:val="es-MX"/>
        </w:rPr>
        <w:t xml:space="preserve">Aquí cobra importancia la metodología para ejercicio la supervisión e interventoría usualmente, la cual se formaliza mediante de manuales que </w:t>
      </w:r>
      <w:r>
        <w:rPr>
          <w:rFonts w:ascii="Verdana" w:eastAsia="Arial MT" w:hAnsi="Verdana" w:cs="Arial"/>
          <w:color w:val="000000" w:themeColor="text1"/>
          <w:lang w:val="es-MX"/>
        </w:rPr>
        <w:lastRenderedPageBreak/>
        <w:t>expiden las entidades públicas, que estandarizan las condiciones de control y vigilancia. Además, de la habilitación del artículo 84 del Estatuto Anticorrupción para solicitar</w:t>
      </w:r>
      <w:r w:rsidRPr="00445243">
        <w:rPr>
          <w:rFonts w:ascii="Verdana" w:eastAsia="Arial MT" w:hAnsi="Verdana" w:cs="Arial"/>
          <w:color w:val="000000" w:themeColor="text1"/>
          <w:lang w:val="es-MX"/>
        </w:rPr>
        <w:t xml:space="preserve"> informes, aclaraciones y explicaciones sobre el desarrollo de la ejecución contractual</w:t>
      </w:r>
      <w:r>
        <w:rPr>
          <w:rFonts w:ascii="Verdana" w:eastAsia="Arial MT" w:hAnsi="Verdana" w:cs="Arial"/>
          <w:color w:val="000000" w:themeColor="text1"/>
          <w:lang w:val="es-MX"/>
        </w:rPr>
        <w:t xml:space="preserve">, dichos manuales desarrollan procedimientos internos para desarrollo de estas actividades. Estos últimos sujetan al contratista vigilado, ya que existe un nexo </w:t>
      </w:r>
      <w:r w:rsidRPr="00445243">
        <w:rPr>
          <w:rFonts w:ascii="Verdana" w:eastAsia="Arial MT" w:hAnsi="Verdana" w:cs="Arial"/>
          <w:color w:val="000000" w:themeColor="text1"/>
          <w:lang w:val="es-MX"/>
        </w:rPr>
        <w:t>inescindible</w:t>
      </w:r>
      <w:r>
        <w:rPr>
          <w:rFonts w:ascii="Verdana" w:eastAsia="Arial MT" w:hAnsi="Verdana" w:cs="Arial"/>
          <w:color w:val="000000" w:themeColor="text1"/>
          <w:lang w:val="es-MX"/>
        </w:rPr>
        <w:t xml:space="preserve"> entre las obligaciones ejecutadas y el control sobre su efectivo cumplimiento. Sumado a lo anterior, tratándose de la interventoría, el contrato también delimita criterios adicionales para verificar el avance de las obras o la prestación de los servicios de acuerdo con la complejidad del objeto. Éstos últimos también sujetan al contratista vigilado, pues tiene la obligación de acatar las directrices derivadas del ejercicio de la potestad de control.  </w:t>
      </w:r>
    </w:p>
    <w:p w14:paraId="736174F2" w14:textId="77777777" w:rsidR="005F5849" w:rsidRPr="00656EF5" w:rsidRDefault="005F5849" w:rsidP="005F5849">
      <w:pPr>
        <w:widowControl w:val="0"/>
        <w:autoSpaceDE w:val="0"/>
        <w:autoSpaceDN w:val="0"/>
        <w:spacing w:after="120" w:line="276" w:lineRule="auto"/>
        <w:ind w:firstLine="709"/>
        <w:jc w:val="both"/>
        <w:rPr>
          <w:rFonts w:ascii="Verdana" w:eastAsia="Arial MT" w:hAnsi="Verdana" w:cs="Arial"/>
          <w:color w:val="000000" w:themeColor="text1"/>
          <w:lang w:val="es-MX"/>
        </w:rPr>
      </w:pPr>
      <w:r>
        <w:rPr>
          <w:rFonts w:ascii="Verdana" w:eastAsia="Arial MT" w:hAnsi="Verdana" w:cs="Arial"/>
          <w:color w:val="000000" w:themeColor="text1"/>
          <w:lang w:val="es-MX"/>
        </w:rPr>
        <w:t xml:space="preserve">La vigilancia sobre el cumplimiento obligacional se somete a la ley, los manuales internos y las condiciones que establece la entidad tanto en el contrato de interventoría como en el contrato vigilado, criterios que debe acatar el contratista ejecutor de la obra o prestador del servicio, así como el supervisor de la interventoría y la entidad como responsable de la dirección y control. Como los mismos establecen los linderos de la potestad de control, no pueden adoptarse protocolos, requisitos o procedimientos ajenos al marco citado, por lo que no son oponibles al contratista salvo que medien modificaciones previas a los manuales expedidos y/o a los contratos suscritos. Estas actividades no implican coejecución por las razones expuestas </w:t>
      </w:r>
      <w:r w:rsidRPr="0046041F">
        <w:rPr>
          <w:rFonts w:ascii="Verdana" w:eastAsia="Arial MT" w:hAnsi="Verdana" w:cs="Arial"/>
          <w:i/>
          <w:iCs/>
          <w:color w:val="000000" w:themeColor="text1"/>
          <w:lang w:val="es-MX"/>
        </w:rPr>
        <w:t>ut supra</w:t>
      </w:r>
      <w:r>
        <w:rPr>
          <w:rFonts w:ascii="Verdana" w:eastAsia="Arial MT" w:hAnsi="Verdana" w:cs="Arial"/>
          <w:color w:val="000000" w:themeColor="text1"/>
          <w:lang w:val="es-MX"/>
        </w:rPr>
        <w:t xml:space="preserve">, y las modificaciones sobre la forma de validar el cumplimiento no dan lugar a reconocimientos económicos adicionales, a menos que impliquen mayores costos para el contratista. </w:t>
      </w:r>
    </w:p>
    <w:p w14:paraId="7CD069E9" w14:textId="77777777" w:rsidR="005F5849" w:rsidRPr="00E611A1" w:rsidRDefault="005F5849" w:rsidP="005F5849">
      <w:pPr>
        <w:widowControl w:val="0"/>
        <w:autoSpaceDE w:val="0"/>
        <w:autoSpaceDN w:val="0"/>
        <w:spacing w:after="120" w:line="276" w:lineRule="auto"/>
        <w:ind w:firstLine="709"/>
        <w:jc w:val="both"/>
        <w:rPr>
          <w:rFonts w:ascii="Verdana" w:eastAsia="Arial MT" w:hAnsi="Verdana" w:cs="Arial"/>
          <w:color w:val="000000" w:themeColor="text1"/>
          <w:lang w:val="es-ES"/>
        </w:rPr>
      </w:pPr>
      <w:r w:rsidRPr="00FE58B5">
        <w:rPr>
          <w:rFonts w:ascii="Verdana" w:eastAsia="Arial MT" w:hAnsi="Verdana" w:cs="Arial"/>
          <w:color w:val="000000" w:themeColor="text1"/>
        </w:rPr>
        <w:t>Frente a situaciones de extralimitación en el ejercicio de la actividad contractual, los artículos 50, 51 y 52 de la Ley 80 de 1993 consagran el régimen de responsabilidad que recae sobre las entidades estatales, sus servidores públicos y los contratistas. La valoración y determinación de dicha responsabilidad corresponde a las autoridades competentes, las cuales deberán efectuar el análisis respectivo atendiendo las circunstancias y particularidades del caso concreto.</w:t>
      </w:r>
      <w:r>
        <w:rPr>
          <w:rFonts w:ascii="Verdana" w:eastAsia="Arial MT" w:hAnsi="Verdana" w:cs="Arial"/>
          <w:color w:val="000000" w:themeColor="text1"/>
          <w:lang w:val="es-ES"/>
        </w:rPr>
        <w:t xml:space="preserve"> </w:t>
      </w:r>
      <w:r>
        <w:rPr>
          <w:rFonts w:ascii="Verdana" w:eastAsia="Arial MT" w:hAnsi="Verdana" w:cs="Arial"/>
          <w:color w:val="000000" w:themeColor="text1"/>
          <w:lang w:val="es-MX"/>
        </w:rPr>
        <w:t xml:space="preserve">Para delimitar la frontera entre la vigilancia y el contrato vigilado, es necesario tener en cuenta que es al contratista a quien le corresponde la ejecución material del objeto contratado. Este último se sujeta a la potestad de control que ejerce la entidad estatal, bien a través de sus propios funcionarios –supervisión– o a través de terceros –interventoría–. Por tanto, </w:t>
      </w:r>
      <w:r>
        <w:rPr>
          <w:rFonts w:ascii="Verdana" w:eastAsia="Arial MT" w:hAnsi="Verdana" w:cs="Arial"/>
          <w:color w:val="000000" w:themeColor="text1"/>
          <w:lang w:val="es-MX"/>
        </w:rPr>
        <w:lastRenderedPageBreak/>
        <w:t xml:space="preserve">dado que el contratista es sujeto de la vigilancia sobre el cumplimiento de las obligaciones, éste se somete al control de los supervisores o interventores, según corresponda. </w:t>
      </w:r>
    </w:p>
    <w:p w14:paraId="627C158A" w14:textId="77777777" w:rsidR="005F5849" w:rsidRDefault="005F5849" w:rsidP="005F5849">
      <w:pPr>
        <w:widowControl w:val="0"/>
        <w:autoSpaceDE w:val="0"/>
        <w:autoSpaceDN w:val="0"/>
        <w:spacing w:after="120" w:line="276" w:lineRule="auto"/>
        <w:ind w:firstLine="709"/>
        <w:jc w:val="both"/>
        <w:rPr>
          <w:rFonts w:ascii="Verdana" w:eastAsia="Arial MT" w:hAnsi="Verdana" w:cs="Arial"/>
          <w:color w:val="000000" w:themeColor="text1"/>
          <w:lang w:val="es-MX"/>
        </w:rPr>
      </w:pPr>
      <w:r>
        <w:rPr>
          <w:rFonts w:ascii="Verdana" w:eastAsia="Arial MT" w:hAnsi="Verdana" w:cs="Arial"/>
          <w:color w:val="000000" w:themeColor="text1"/>
          <w:lang w:val="es-MX"/>
        </w:rPr>
        <w:t>Para RINCÓN CÓRDOBA, la supervisión o la interventoría</w:t>
      </w:r>
      <w:r w:rsidRPr="006F024A">
        <w:rPr>
          <w:rFonts w:ascii="Verdana" w:eastAsia="Arial MT" w:hAnsi="Verdana" w:cs="Arial"/>
          <w:color w:val="000000" w:themeColor="text1"/>
          <w:lang w:val="es-MX"/>
        </w:rPr>
        <w:t xml:space="preserve"> constituye una actividad estrechamente vinculada al contrato objeto de vigilancia, cuya finalidad es garantizar que las obligaciones contractuales se ejecuten conforme a lo pactado. Aunque el incumplimiento del contratista no implica, </w:t>
      </w:r>
      <w:r w:rsidRPr="006F024A">
        <w:rPr>
          <w:rFonts w:ascii="Verdana" w:eastAsia="Arial MT" w:hAnsi="Verdana" w:cs="Arial"/>
          <w:i/>
          <w:iCs/>
          <w:color w:val="000000" w:themeColor="text1"/>
          <w:lang w:val="es-MX"/>
        </w:rPr>
        <w:t>per se</w:t>
      </w:r>
      <w:r w:rsidRPr="006F024A">
        <w:rPr>
          <w:rFonts w:ascii="Verdana" w:eastAsia="Arial MT" w:hAnsi="Verdana" w:cs="Arial"/>
          <w:color w:val="000000" w:themeColor="text1"/>
          <w:lang w:val="es-MX"/>
        </w:rPr>
        <w:t>, responsabilidad del interventor o supervisor</w:t>
      </w:r>
      <w:r>
        <w:rPr>
          <w:rFonts w:ascii="Verdana" w:eastAsia="Arial MT" w:hAnsi="Verdana" w:cs="Arial"/>
          <w:color w:val="000000" w:themeColor="text1"/>
          <w:lang w:val="es-MX"/>
        </w:rPr>
        <w:t xml:space="preserve">, ésta </w:t>
      </w:r>
      <w:r w:rsidRPr="006F024A">
        <w:rPr>
          <w:rFonts w:ascii="Verdana" w:eastAsia="Arial MT" w:hAnsi="Verdana" w:cs="Arial"/>
          <w:color w:val="000000" w:themeColor="text1"/>
          <w:lang w:val="es-MX"/>
        </w:rPr>
        <w:t xml:space="preserve">surge </w:t>
      </w:r>
      <w:r>
        <w:rPr>
          <w:rFonts w:ascii="Verdana" w:eastAsia="Arial MT" w:hAnsi="Verdana" w:cs="Arial"/>
          <w:color w:val="000000" w:themeColor="text1"/>
          <w:lang w:val="es-MX"/>
        </w:rPr>
        <w:t>si</w:t>
      </w:r>
      <w:r w:rsidRPr="006F024A">
        <w:rPr>
          <w:rFonts w:ascii="Verdana" w:eastAsia="Arial MT" w:hAnsi="Verdana" w:cs="Arial"/>
          <w:color w:val="000000" w:themeColor="text1"/>
          <w:lang w:val="es-MX"/>
        </w:rPr>
        <w:t xml:space="preserve"> omite</w:t>
      </w:r>
      <w:r>
        <w:rPr>
          <w:rFonts w:ascii="Verdana" w:eastAsia="Arial MT" w:hAnsi="Verdana" w:cs="Arial"/>
          <w:color w:val="000000" w:themeColor="text1"/>
          <w:lang w:val="es-MX"/>
        </w:rPr>
        <w:t>n</w:t>
      </w:r>
      <w:r w:rsidRPr="006F024A">
        <w:rPr>
          <w:rFonts w:ascii="Verdana" w:eastAsia="Arial MT" w:hAnsi="Verdana" w:cs="Arial"/>
          <w:color w:val="000000" w:themeColor="text1"/>
          <w:lang w:val="es-MX"/>
        </w:rPr>
        <w:t xml:space="preserve"> advertir, informar o gestionar oportunamente las situaciones que puedan conducir </w:t>
      </w:r>
      <w:r>
        <w:rPr>
          <w:rFonts w:ascii="Verdana" w:eastAsia="Arial MT" w:hAnsi="Verdana" w:cs="Arial"/>
          <w:color w:val="000000" w:themeColor="text1"/>
          <w:lang w:val="es-MX"/>
        </w:rPr>
        <w:t>al incumplimiento</w:t>
      </w:r>
      <w:r w:rsidRPr="006F024A">
        <w:rPr>
          <w:rFonts w:ascii="Verdana" w:eastAsia="Arial MT" w:hAnsi="Verdana" w:cs="Arial"/>
          <w:color w:val="000000" w:themeColor="text1"/>
          <w:lang w:val="es-MX"/>
        </w:rPr>
        <w:t>. En ejercicio de sus funciones, debe verificar que el objeto contractual se desarrolle dentro de los plazos previstos, con observancia de las especificaciones técnicas establecidas, así como asegurar la adecuada custodia, administración o entrega de bienes, obras o recursos cuando la naturaleza del contrato lo exija</w:t>
      </w:r>
      <w:r>
        <w:rPr>
          <w:rStyle w:val="Refdenotaalpie"/>
          <w:rFonts w:ascii="Verdana" w:eastAsia="Arial MT" w:hAnsi="Verdana" w:cs="Arial"/>
          <w:color w:val="000000" w:themeColor="text1"/>
          <w:lang w:val="es-MX"/>
        </w:rPr>
        <w:footnoteReference w:id="14"/>
      </w:r>
      <w:r w:rsidRPr="006F024A">
        <w:rPr>
          <w:rFonts w:ascii="Verdana" w:eastAsia="Arial MT" w:hAnsi="Verdana" w:cs="Arial"/>
          <w:color w:val="000000" w:themeColor="text1"/>
          <w:lang w:val="es-MX"/>
        </w:rPr>
        <w:t>.</w:t>
      </w:r>
    </w:p>
    <w:p w14:paraId="4D533FC0" w14:textId="77777777" w:rsidR="005F5849" w:rsidRDefault="005F5849" w:rsidP="005F5849">
      <w:pPr>
        <w:widowControl w:val="0"/>
        <w:autoSpaceDE w:val="0"/>
        <w:autoSpaceDN w:val="0"/>
        <w:spacing w:after="120" w:line="276" w:lineRule="auto"/>
        <w:jc w:val="both"/>
        <w:rPr>
          <w:rFonts w:ascii="Verdana" w:eastAsia="Arial MT" w:hAnsi="Verdana" w:cs="Arial"/>
          <w:color w:val="000000" w:themeColor="text1"/>
          <w:lang w:val="es-MX"/>
        </w:rPr>
      </w:pPr>
      <w:r>
        <w:rPr>
          <w:rFonts w:ascii="Verdana" w:eastAsia="Arial MT" w:hAnsi="Verdana" w:cs="Arial"/>
          <w:color w:val="000000" w:themeColor="text1"/>
          <w:lang w:val="es-MX"/>
        </w:rPr>
        <w:tab/>
        <w:t>El mismo autor agrega que</w:t>
      </w:r>
      <w:r w:rsidRPr="00B807C9">
        <w:rPr>
          <w:rFonts w:ascii="Verdana" w:eastAsia="Arial MT" w:hAnsi="Verdana" w:cs="Arial"/>
          <w:color w:val="000000" w:themeColor="text1"/>
          <w:lang w:val="es-MX"/>
        </w:rPr>
        <w:t xml:space="preserve"> corresponde al interventor o supervisor identificar las causas de las irregularidades que se presenten durante la ejecución contractual, proponer y verificar la implementación de medidas correctivas, certificar el cumplimiento de las obligaciones para efectos de los pagos y, cuando exista incumplimiento, evaluar su gravedad y recomendar la imposición de las sanciones o la declaratoria de caducidad que resulten procedentes. </w:t>
      </w:r>
      <w:r>
        <w:rPr>
          <w:rFonts w:ascii="Verdana" w:eastAsia="Arial MT" w:hAnsi="Verdana" w:cs="Arial"/>
          <w:color w:val="000000" w:themeColor="text1"/>
          <w:lang w:val="es-MX"/>
        </w:rPr>
        <w:t>Por lo demás</w:t>
      </w:r>
      <w:r w:rsidRPr="00B807C9">
        <w:rPr>
          <w:rFonts w:ascii="Verdana" w:eastAsia="Arial MT" w:hAnsi="Verdana" w:cs="Arial"/>
          <w:color w:val="000000" w:themeColor="text1"/>
          <w:lang w:val="es-MX"/>
        </w:rPr>
        <w:t>, debe rendir informes periódicos sobre el estado de ejecución del contrato, suministrar a la entidad los elementos de juicio necesarios para la adopción de decisiones administrativas o judiciales y ejercer la facultad de solicitar al contratista los informes, aclaraciones y explicaciones requeridos para garantizar un adecuado control de la ejecución contractual</w:t>
      </w:r>
      <w:r>
        <w:rPr>
          <w:rStyle w:val="Refdenotaalpie"/>
          <w:rFonts w:ascii="Verdana" w:eastAsia="Arial MT" w:hAnsi="Verdana" w:cs="Arial"/>
          <w:color w:val="000000" w:themeColor="text1"/>
          <w:lang w:val="es-MX"/>
        </w:rPr>
        <w:footnoteReference w:id="15"/>
      </w:r>
      <w:r w:rsidRPr="00B807C9">
        <w:rPr>
          <w:rFonts w:ascii="Verdana" w:eastAsia="Arial MT" w:hAnsi="Verdana" w:cs="Arial"/>
          <w:color w:val="000000" w:themeColor="text1"/>
          <w:lang w:val="es-MX"/>
        </w:rPr>
        <w:t>.</w:t>
      </w:r>
    </w:p>
    <w:p w14:paraId="0DC182D1" w14:textId="77777777" w:rsidR="005F5849" w:rsidRDefault="005F5849" w:rsidP="005F5849">
      <w:pPr>
        <w:spacing w:after="120" w:line="276" w:lineRule="auto"/>
        <w:ind w:firstLine="708"/>
        <w:jc w:val="both"/>
        <w:rPr>
          <w:rFonts w:ascii="Verdana" w:eastAsia="Aptos" w:hAnsi="Verdana" w:cs="Arial"/>
          <w:bCs/>
        </w:rPr>
      </w:pPr>
      <w:r>
        <w:rPr>
          <w:rFonts w:ascii="Verdana" w:eastAsia="Arial MT" w:hAnsi="Verdana" w:cs="Arial"/>
          <w:color w:val="000000" w:themeColor="text1"/>
          <w:lang w:val="es-MX"/>
        </w:rPr>
        <w:t xml:space="preserve">Como dispone el precitado artículo 83 del Estatuto Anticorrupción, el seguimiento de los supervisores e interventores corresponde al cumplimiento de las obligaciones pactadas en el contrato estatal, aspecto que se ratifica en el inciso primero del artículo 84 </w:t>
      </w:r>
      <w:r w:rsidRPr="00894572">
        <w:rPr>
          <w:rFonts w:ascii="Verdana" w:eastAsia="Arial MT" w:hAnsi="Verdana" w:cs="Arial"/>
          <w:i/>
          <w:iCs/>
          <w:color w:val="000000" w:themeColor="text1"/>
          <w:lang w:val="es-MX"/>
        </w:rPr>
        <w:t>ibidem</w:t>
      </w:r>
      <w:r>
        <w:rPr>
          <w:rFonts w:ascii="Verdana" w:eastAsia="Arial MT" w:hAnsi="Verdana" w:cs="Arial"/>
          <w:color w:val="000000" w:themeColor="text1"/>
          <w:lang w:val="es-MX"/>
        </w:rPr>
        <w:t>. En su fase técnica, esto implica tanto “V</w:t>
      </w:r>
      <w:r w:rsidRPr="004D03FA">
        <w:rPr>
          <w:rFonts w:ascii="Verdana" w:eastAsia="Arial MT" w:hAnsi="Verdana" w:cs="Arial"/>
          <w:color w:val="000000" w:themeColor="text1"/>
          <w:lang w:val="es-MX"/>
        </w:rPr>
        <w:t>igilar, controlar y verificar el cumplimiento del objeto contractual y las</w:t>
      </w:r>
      <w:r>
        <w:rPr>
          <w:rFonts w:ascii="Verdana" w:eastAsia="Arial MT" w:hAnsi="Verdana" w:cs="Arial"/>
          <w:color w:val="000000" w:themeColor="text1"/>
          <w:lang w:val="es-MX"/>
        </w:rPr>
        <w:t xml:space="preserve"> </w:t>
      </w:r>
      <w:r w:rsidRPr="004D03FA">
        <w:rPr>
          <w:rFonts w:ascii="Verdana" w:eastAsia="Arial MT" w:hAnsi="Verdana" w:cs="Arial"/>
          <w:color w:val="000000" w:themeColor="text1"/>
          <w:lang w:val="es-MX"/>
        </w:rPr>
        <w:lastRenderedPageBreak/>
        <w:t>obligaciones a cargo del contratista</w:t>
      </w:r>
      <w:r>
        <w:rPr>
          <w:rFonts w:ascii="Verdana" w:eastAsia="Arial MT" w:hAnsi="Verdana" w:cs="Arial"/>
          <w:color w:val="000000" w:themeColor="text1"/>
          <w:lang w:val="es-MX"/>
        </w:rPr>
        <w:t>”</w:t>
      </w:r>
      <w:r>
        <w:rPr>
          <w:rStyle w:val="Refdenotaalpie"/>
          <w:rFonts w:ascii="Verdana" w:eastAsia="Arial MT" w:hAnsi="Verdana" w:cs="Arial"/>
          <w:color w:val="000000" w:themeColor="text1"/>
          <w:lang w:val="es-MX"/>
        </w:rPr>
        <w:footnoteReference w:id="16"/>
      </w:r>
      <w:r>
        <w:rPr>
          <w:rFonts w:ascii="Verdana" w:eastAsia="Arial MT" w:hAnsi="Verdana" w:cs="Arial"/>
          <w:color w:val="000000" w:themeColor="text1"/>
          <w:lang w:val="es-MX"/>
        </w:rPr>
        <w:t xml:space="preserve"> como “</w:t>
      </w:r>
      <w:r w:rsidRPr="004D03FA">
        <w:rPr>
          <w:rFonts w:ascii="Verdana" w:eastAsia="Arial MT" w:hAnsi="Verdana" w:cs="Arial"/>
          <w:color w:val="000000" w:themeColor="text1"/>
          <w:lang w:val="es-MX"/>
        </w:rPr>
        <w:t>Verificar que las condiciones técnicas del bien, obra o servicio contratado, cumplan con los requisitos establecidos por la entidad y con el ofrecimiento formulado, según sea el caso</w:t>
      </w:r>
      <w:r>
        <w:rPr>
          <w:rFonts w:ascii="Verdana" w:eastAsia="Arial MT" w:hAnsi="Verdana" w:cs="Arial"/>
          <w:color w:val="000000" w:themeColor="text1"/>
          <w:lang w:val="es-MX"/>
        </w:rPr>
        <w:t>”</w:t>
      </w:r>
      <w:r>
        <w:rPr>
          <w:rStyle w:val="Refdenotaalpie"/>
          <w:rFonts w:ascii="Verdana" w:eastAsia="Arial MT" w:hAnsi="Verdana" w:cs="Arial"/>
          <w:color w:val="000000" w:themeColor="text1"/>
          <w:lang w:val="es-MX"/>
        </w:rPr>
        <w:footnoteReference w:id="17"/>
      </w:r>
      <w:r w:rsidRPr="004D03FA">
        <w:rPr>
          <w:rFonts w:ascii="Verdana" w:eastAsia="Arial MT" w:hAnsi="Verdana" w:cs="Arial"/>
          <w:color w:val="000000" w:themeColor="text1"/>
          <w:lang w:val="es-MX"/>
        </w:rPr>
        <w:t>.</w:t>
      </w:r>
      <w:r>
        <w:rPr>
          <w:rFonts w:ascii="Verdana" w:eastAsia="Arial MT" w:hAnsi="Verdana" w:cs="Arial"/>
          <w:color w:val="000000" w:themeColor="text1"/>
          <w:lang w:val="es-MX"/>
        </w:rPr>
        <w:t xml:space="preserve"> Así, la verificación del cumplimiento se realiza dentro las exigencias pactadas entre la entidad estatal y el contratista; razón por la cual, pueden abstenerse de recibir obras, bienes o servicios que no satisfagan las especificaciones del contrato. </w:t>
      </w:r>
      <w:r w:rsidRPr="00515430">
        <w:rPr>
          <w:rFonts w:ascii="Verdana" w:eastAsia="Aptos" w:hAnsi="Verdana" w:cs="Arial"/>
          <w:bCs/>
        </w:rPr>
        <w:t>Para este propósito, quien ejerza la vigilancia podrá solicitar los informes, aclaraciones, explicaciones y soportes necesarios, conforme al artículo 84 de la Ley 1474 de 2011. Dependiendo de las características de la operación, estos documentos podrán comprender los manifiestos electrónicos de carga, las remesas terrestres, las constancias de habilitación de las empresas transportadoras, los soportes del Valor a Pagar al propietario, poseedor o tenedor del vehículo y la información registrada en el RNDC.</w:t>
      </w:r>
    </w:p>
    <w:p w14:paraId="53C44C23" w14:textId="77777777" w:rsidR="005F5849" w:rsidRPr="00515430" w:rsidRDefault="005F5849" w:rsidP="005F5849">
      <w:pPr>
        <w:spacing w:after="120" w:line="276" w:lineRule="auto"/>
        <w:ind w:firstLine="708"/>
        <w:jc w:val="both"/>
        <w:rPr>
          <w:rFonts w:ascii="Verdana" w:eastAsia="Aptos" w:hAnsi="Verdana" w:cs="Arial"/>
          <w:bCs/>
        </w:rPr>
      </w:pPr>
      <w:r w:rsidRPr="00515430">
        <w:rPr>
          <w:rFonts w:ascii="Verdana" w:eastAsia="Aptos" w:hAnsi="Verdana" w:cs="Arial"/>
          <w:bCs/>
        </w:rPr>
        <w:t>No obstante, lo anterior no implica que todos estos soportes deban exigirse de manera uniforme en cualquier contrato que involucre la movilización de bienes. Corresponde a cada Entidad Estatal determinar cuáles resultan pertinentes, necesarios y proporcionales, de acuerdo con el contenido del contrato, los riesgos identificados y las condiciones de ejecución. Tampoco existe una periodicidad general para su presentación, pues esta podrá asociarse a los informes de ejecución, las cuentas de cobro, las facturas, los hitos contractuales o la frecuencia de las operaciones de transporte. Tales condiciones deben quedar definidas desde la estructuración del proceso, sin perjuicio de que el supervisor o interventor solicite información adicional cuando advierta hechos que puedan poner en riesgo el cumplimiento del contrato.</w:t>
      </w:r>
    </w:p>
    <w:p w14:paraId="2CA9CE1B" w14:textId="77777777" w:rsidR="005F5849" w:rsidRPr="00515430" w:rsidRDefault="005F5849" w:rsidP="005F5849">
      <w:pPr>
        <w:spacing w:after="120" w:line="276" w:lineRule="auto"/>
        <w:ind w:firstLine="708"/>
        <w:jc w:val="both"/>
        <w:rPr>
          <w:rFonts w:ascii="Verdana" w:eastAsia="Aptos" w:hAnsi="Verdana" w:cs="Arial"/>
          <w:bCs/>
        </w:rPr>
      </w:pPr>
      <w:r w:rsidRPr="00515430">
        <w:rPr>
          <w:rFonts w:ascii="Verdana" w:eastAsia="Aptos" w:hAnsi="Verdana" w:cs="Arial"/>
          <w:bCs/>
        </w:rPr>
        <w:t xml:space="preserve">Si como resultado de la vigilancia se identifica un posible incumplimiento, el supervisor o interventor debe documentar los hechos, solicitar las explicaciones correspondientes y mantener informada a la Entidad Estatal. Sin embargo, la imposición de multas, la declaratoria de incumplimiento, la efectividad de la cláusula penal o la adopción de otras medidas contractuales corresponde a la entidad, con observancia del procedimiento y de las garantías del debido proceso. Esto se entiende sin perjuicio de que la información sea remitida a las autoridades del sector transporte para que, dentro de sus </w:t>
      </w:r>
      <w:r w:rsidRPr="00515430">
        <w:rPr>
          <w:rFonts w:ascii="Verdana" w:eastAsia="Aptos" w:hAnsi="Verdana" w:cs="Arial"/>
          <w:bCs/>
        </w:rPr>
        <w:lastRenderedPageBreak/>
        <w:t>competencias, determinen la existencia de una infracción al régimen sectorial e impongan las sanciones a que haya lugar.</w:t>
      </w:r>
    </w:p>
    <w:p w14:paraId="0954B129" w14:textId="77777777" w:rsidR="005F5849" w:rsidRPr="004A2104" w:rsidRDefault="005F5849" w:rsidP="005F5849">
      <w:pPr>
        <w:spacing w:after="0" w:line="276" w:lineRule="auto"/>
        <w:ind w:firstLine="709"/>
        <w:jc w:val="both"/>
        <w:rPr>
          <w:rFonts w:ascii="Verdana" w:eastAsia="Aptos" w:hAnsi="Verdana" w:cs="Arial"/>
          <w:bCs/>
        </w:rPr>
      </w:pPr>
      <w:r w:rsidRPr="004A2104">
        <w:rPr>
          <w:rFonts w:ascii="Verdana" w:eastAsia="Aptos" w:hAnsi="Verdana" w:cs="Arial"/>
          <w:bCs/>
        </w:rPr>
        <w:t>Este deber de control exige un seguimiento técnico, jurídico y financiero que abarque la revisión periódica de los costos, la verificación de la tipología vehicular utilizada, la comprobación de las condiciones logísticas (tiempos de espera, cargue y descargue) y la identificación de variaciones normativas que puedan impactar la operación. La supervisión debe actuar de manera preventiva, anticipando riesgos como fluctuaciones en los costos eficientes o ajustes regulatorios, y reportando oportunamente cualquier incumplimiento que pueda comprometer la legalidad o la transparencia del contrato</w:t>
      </w:r>
      <w:r>
        <w:rPr>
          <w:rFonts w:ascii="Verdana" w:eastAsia="Aptos" w:hAnsi="Verdana" w:cs="Arial"/>
          <w:bCs/>
        </w:rPr>
        <w:t xml:space="preserve"> que se encuentra en ejecución. </w:t>
      </w:r>
    </w:p>
    <w:p w14:paraId="111D3316" w14:textId="77777777" w:rsidR="005F5849" w:rsidRPr="00E10B16" w:rsidRDefault="005F5849" w:rsidP="005F5849">
      <w:pPr>
        <w:spacing w:after="0" w:line="276" w:lineRule="auto"/>
        <w:jc w:val="both"/>
        <w:rPr>
          <w:rFonts w:ascii="Verdana" w:eastAsia="Verdana" w:hAnsi="Verdana" w:cs="Verdana"/>
          <w:lang w:eastAsia="es-CO"/>
        </w:rPr>
      </w:pPr>
    </w:p>
    <w:p w14:paraId="283D8785" w14:textId="77777777" w:rsidR="005F5849" w:rsidRDefault="005F5849" w:rsidP="005F5849">
      <w:pPr>
        <w:spacing w:after="120" w:line="276" w:lineRule="auto"/>
        <w:jc w:val="both"/>
        <w:rPr>
          <w:rFonts w:ascii="Verdana" w:hAnsi="Verdana" w:cs="Arial"/>
          <w:color w:val="000000" w:themeColor="text1"/>
          <w:lang w:val="es-ES_tradnl"/>
        </w:rPr>
      </w:pPr>
      <w:r>
        <w:rPr>
          <w:rFonts w:ascii="Verdana" w:hAnsi="Verdana" w:cs="Arial"/>
          <w:color w:val="000000" w:themeColor="text1"/>
          <w:lang w:val="es-ES_tradnl"/>
        </w:rPr>
        <w:t xml:space="preserve">v. </w:t>
      </w:r>
      <w:r w:rsidRPr="002B0F7C">
        <w:rPr>
          <w:rFonts w:ascii="Verdana" w:hAnsi="Verdana" w:cs="Arial"/>
          <w:color w:val="000000" w:themeColor="text1"/>
        </w:rPr>
        <w:t>En relación con los demás interrogantes planteados por el peticionario sobre el servicio de transporte de carga, la Agencia procede a resolverlos de la siguiente manera:</w:t>
      </w:r>
    </w:p>
    <w:p w14:paraId="5B84B974" w14:textId="77777777" w:rsidR="005F5849" w:rsidRDefault="005F5849" w:rsidP="005F5849">
      <w:pPr>
        <w:spacing w:after="120" w:line="276" w:lineRule="auto"/>
        <w:ind w:firstLine="708"/>
        <w:jc w:val="both"/>
        <w:rPr>
          <w:rFonts w:ascii="Verdana" w:eastAsia="Calibri" w:hAnsi="Verdana" w:cs="Arial"/>
          <w:bCs/>
          <w:color w:val="000000" w:themeColor="text1"/>
        </w:rPr>
      </w:pPr>
      <w:r>
        <w:rPr>
          <w:rFonts w:ascii="Verdana" w:hAnsi="Verdana" w:cs="Arial"/>
          <w:color w:val="000000" w:themeColor="text1"/>
          <w:lang w:val="es-ES_tradnl"/>
        </w:rPr>
        <w:t xml:space="preserve">En primer lugar, en torno a los procesos </w:t>
      </w:r>
      <w:r w:rsidRPr="009D75D7">
        <w:rPr>
          <w:rFonts w:ascii="Verdana" w:eastAsia="Calibri" w:hAnsi="Verdana" w:cs="Arial"/>
          <w:bCs/>
          <w:color w:val="000000" w:themeColor="text1"/>
        </w:rPr>
        <w:t>relacionadas con el Sistema de Información de Costos Eficientes para el Transporte Automotor de Carga —SICE-TAC—</w:t>
      </w:r>
      <w:r>
        <w:rPr>
          <w:rFonts w:ascii="Verdana" w:eastAsia="Calibri" w:hAnsi="Verdana" w:cs="Arial"/>
          <w:bCs/>
          <w:color w:val="000000" w:themeColor="text1"/>
        </w:rPr>
        <w:t xml:space="preserve"> se señala que l</w:t>
      </w:r>
      <w:r w:rsidRPr="009D75D7">
        <w:rPr>
          <w:rFonts w:ascii="Verdana" w:eastAsia="Calibri" w:hAnsi="Verdana" w:cs="Arial"/>
          <w:bCs/>
          <w:color w:val="000000" w:themeColor="text1"/>
        </w:rPr>
        <w:t xml:space="preserve">os Documentos Tipo actualmente vigentes no contienen disposiciones expresas ni con el régimen de relaciones económicas del servicio público de transporte terrestre automotor de carga. Si bien algunos de estos instrumentos son aplicables a procesos de obra pública, interventoría y consultoría de estudios de ingeniería en los sectores de infraestructura de transporte, agua potable y saneamiento básico e infraestructura social, su obligatoriedad se determina a partir del objeto contractual, la modalidad de selección y el ámbito de aplicación establecido en el acto administrativo que los adopta. </w:t>
      </w:r>
    </w:p>
    <w:p w14:paraId="0DCB8391" w14:textId="77777777" w:rsidR="005F5849" w:rsidRPr="009D75D7" w:rsidRDefault="005F5849" w:rsidP="005F5849">
      <w:pPr>
        <w:spacing w:after="120" w:line="276" w:lineRule="auto"/>
        <w:ind w:firstLine="708"/>
        <w:jc w:val="both"/>
        <w:rPr>
          <w:rFonts w:ascii="Verdana" w:eastAsia="Calibri" w:hAnsi="Verdana" w:cs="Arial"/>
          <w:bCs/>
          <w:color w:val="000000" w:themeColor="text1"/>
        </w:rPr>
      </w:pPr>
      <w:r w:rsidRPr="009D75D7">
        <w:rPr>
          <w:rFonts w:ascii="Verdana" w:eastAsia="Calibri" w:hAnsi="Verdana" w:cs="Arial"/>
          <w:bCs/>
          <w:color w:val="000000" w:themeColor="text1"/>
        </w:rPr>
        <w:t>Por tanto, la circunstancia de que un contrato comprenda el transporte de materiales, insumos, equipos o residuos como una actividad necesaria para su ejecución no determina, por sí sola, la aplicación de un Documento Tipo.</w:t>
      </w:r>
      <w:r>
        <w:rPr>
          <w:rFonts w:ascii="Verdana" w:eastAsia="Calibri" w:hAnsi="Verdana" w:cs="Arial"/>
          <w:bCs/>
          <w:color w:val="000000" w:themeColor="text1"/>
        </w:rPr>
        <w:t xml:space="preserve"> En esta línea, no </w:t>
      </w:r>
      <w:r w:rsidRPr="009D75D7">
        <w:rPr>
          <w:rFonts w:ascii="Verdana" w:eastAsia="Calibri" w:hAnsi="Verdana" w:cs="Arial"/>
          <w:bCs/>
          <w:color w:val="000000" w:themeColor="text1"/>
        </w:rPr>
        <w:t xml:space="preserve">existe un Documento Tipo que comprenda, como categoría contractual autónoma, la prestación del servicio público de transporte terrestre automotor de carga ni todas las familias contractuales relacionadas en la petición. </w:t>
      </w:r>
    </w:p>
    <w:p w14:paraId="5382FEC8" w14:textId="77777777" w:rsidR="005F5849" w:rsidRDefault="005F5849" w:rsidP="005F5849">
      <w:pPr>
        <w:spacing w:after="12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En segundo lugar</w:t>
      </w:r>
      <w:r w:rsidRPr="009D75D7">
        <w:rPr>
          <w:rFonts w:ascii="Verdana" w:eastAsia="Calibri" w:hAnsi="Verdana" w:cs="Arial"/>
          <w:bCs/>
          <w:color w:val="000000" w:themeColor="text1"/>
        </w:rPr>
        <w:t>,</w:t>
      </w:r>
      <w:r>
        <w:rPr>
          <w:rFonts w:ascii="Verdana" w:eastAsia="Calibri" w:hAnsi="Verdana" w:cs="Arial"/>
          <w:bCs/>
          <w:color w:val="000000" w:themeColor="text1"/>
        </w:rPr>
        <w:t xml:space="preserve"> </w:t>
      </w:r>
      <w:r w:rsidRPr="009D75D7">
        <w:rPr>
          <w:rFonts w:ascii="Verdana" w:eastAsia="Calibri" w:hAnsi="Verdana" w:cs="Arial"/>
          <w:bCs/>
          <w:color w:val="000000" w:themeColor="text1"/>
        </w:rPr>
        <w:t>la Agencia no ha adoptado circulares externas, cláusulas contractuales tipo, reglas estandarizadas de estructuración ni orientaciones específicas en sus guías y manuales sobre la aplicación del SICE-</w:t>
      </w:r>
      <w:r w:rsidRPr="009D75D7">
        <w:rPr>
          <w:rFonts w:ascii="Verdana" w:eastAsia="Calibri" w:hAnsi="Verdana" w:cs="Arial"/>
          <w:bCs/>
          <w:color w:val="000000" w:themeColor="text1"/>
        </w:rPr>
        <w:lastRenderedPageBreak/>
        <w:t>TAC en los Procesos de Contratación. Tampoco se encuentra programada actualmente la expedición o modificación de alguno de estos instrumentos. Aunque la Agencia podrá evaluar posteriormente la conveniencia de adoptar orientaciones sobre la materia, mediante el presente concepto no es posible acoger como obligatorias las propuestas de cláusula y de reglas de estructuración presentadas por el peticionario, fijar un cronograma para su implementación o anticipar una decisión institucional. La adopción de esta clase de instrumentos exige una evaluación técnica y jurídica previa y, cuando corresponda, la articulación con el Ministerio de Transporte como autoridad encargada de la regulación sectorial.</w:t>
      </w:r>
    </w:p>
    <w:p w14:paraId="637525D5" w14:textId="77777777" w:rsidR="005F5849" w:rsidRPr="002B6348" w:rsidRDefault="005F5849" w:rsidP="005F5849">
      <w:pPr>
        <w:spacing w:after="120" w:line="276" w:lineRule="auto"/>
        <w:ind w:firstLine="709"/>
        <w:jc w:val="both"/>
        <w:rPr>
          <w:rFonts w:ascii="Verdana" w:eastAsia="Calibri" w:hAnsi="Verdana" w:cs="Arial"/>
          <w:bCs/>
          <w:color w:val="000000" w:themeColor="text1"/>
        </w:rPr>
      </w:pPr>
      <w:r w:rsidRPr="002B6348">
        <w:rPr>
          <w:rFonts w:ascii="Verdana" w:eastAsia="Calibri" w:hAnsi="Verdana" w:cs="Arial"/>
          <w:bCs/>
          <w:color w:val="000000" w:themeColor="text1"/>
        </w:rPr>
        <w:t>En</w:t>
      </w:r>
      <w:r>
        <w:rPr>
          <w:rFonts w:ascii="Verdana" w:eastAsia="Calibri" w:hAnsi="Verdana" w:cs="Arial"/>
          <w:bCs/>
          <w:color w:val="000000" w:themeColor="text1"/>
        </w:rPr>
        <w:t xml:space="preserve"> este aspecto, se señala que en</w:t>
      </w:r>
      <w:r w:rsidRPr="002B6348">
        <w:rPr>
          <w:rFonts w:ascii="Verdana" w:eastAsia="Calibri" w:hAnsi="Verdana" w:cs="Arial"/>
          <w:bCs/>
          <w:color w:val="000000" w:themeColor="text1"/>
        </w:rPr>
        <w:t xml:space="preserve"> el marco de la transición administrativa que actualmente atraviesa la </w:t>
      </w:r>
      <w:r w:rsidRPr="00E40A2C">
        <w:rPr>
          <w:rFonts w:ascii="Verdana" w:eastAsia="Calibri" w:hAnsi="Verdana" w:cs="Arial"/>
          <w:color w:val="000000" w:themeColor="text1"/>
        </w:rPr>
        <w:t>Agencia Nacional de Contratación Pública – Colombia Compra Eficiente,</w:t>
      </w:r>
      <w:r w:rsidRPr="002B6348">
        <w:rPr>
          <w:rFonts w:ascii="Verdana" w:eastAsia="Calibri" w:hAnsi="Verdana" w:cs="Arial"/>
          <w:bCs/>
          <w:color w:val="000000" w:themeColor="text1"/>
        </w:rPr>
        <w:t xml:space="preserve"> esta iniciativa será presentada a la nueva Dirección General como parte de los asuntos que requieren definición institucional. Su consideración se fundamentará en el análisis técnico y jurídico previamente elaborado, lo que permitirá contar con insumos sólidos para la toma de decisiones.</w:t>
      </w:r>
      <w:r>
        <w:rPr>
          <w:rFonts w:ascii="Verdana" w:eastAsia="Calibri" w:hAnsi="Verdana" w:cs="Arial"/>
          <w:bCs/>
          <w:color w:val="000000" w:themeColor="text1"/>
        </w:rPr>
        <w:t xml:space="preserve"> </w:t>
      </w:r>
      <w:r w:rsidRPr="002B6348">
        <w:rPr>
          <w:rFonts w:ascii="Verdana" w:eastAsia="Calibri" w:hAnsi="Verdana" w:cs="Arial"/>
          <w:bCs/>
          <w:color w:val="000000" w:themeColor="text1"/>
        </w:rPr>
        <w:t xml:space="preserve">En este contexto, la propuesta será puesta a disposición de la nueva Dirección General para su valoración y para la definición de las actuaciones de coordinación interinstitucional que se estimen pertinentes. </w:t>
      </w:r>
    </w:p>
    <w:p w14:paraId="20393ACA" w14:textId="77777777" w:rsidR="005F5849" w:rsidRDefault="005F5849" w:rsidP="005F5849">
      <w:pPr>
        <w:spacing w:after="12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Ahora bien, l</w:t>
      </w:r>
      <w:r w:rsidRPr="009D75D7">
        <w:rPr>
          <w:rFonts w:ascii="Verdana" w:eastAsia="Calibri" w:hAnsi="Verdana" w:cs="Arial"/>
          <w:bCs/>
          <w:color w:val="000000" w:themeColor="text1"/>
        </w:rPr>
        <w:t>a ausencia de un instrumento general expedido por la Agencia no exime a las Entidades Estatales de identificar y observar las normas aplicables a las actividades necesarias para la ejecución de sus contratos. En virtud del principio de planeación, cuando un Proceso de Contratación implique la movilización de bienes, la entidad deberá establecer, a partir del análisis del sector y del estudio de mercado, la incidencia técnica, jurídica y económica del componente de transporte. Para ello tendrá que examinar, entre otros aspectos, quién realizará materialmente la movilización, si se utilizarán equipos propios o se contratará una empresa de transporte habilitada, qué regulación sectorial resulta aplicable y de qué manera los costos del traslado inciden en el valor estimado del contrato, aun cuando estos se encuentren incorporados en el precio de una obra, suministro o servicio.</w:t>
      </w:r>
    </w:p>
    <w:p w14:paraId="4E912C20" w14:textId="77777777" w:rsidR="005F5849" w:rsidRDefault="005F5849" w:rsidP="005F5849">
      <w:pPr>
        <w:spacing w:after="12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En tercer lugar, a</w:t>
      </w:r>
      <w:r w:rsidRPr="00855C55">
        <w:rPr>
          <w:rFonts w:ascii="Verdana" w:eastAsia="Calibri" w:hAnsi="Verdana" w:cs="Arial"/>
          <w:bCs/>
          <w:color w:val="000000" w:themeColor="text1"/>
        </w:rPr>
        <w:t xml:space="preserve">ctualmente el SECOP permite la identificación de los procesos de contratación relacionados con el transporte terrestre automotor de carga, a partir de los códigos del Clasificador de Bienes y Servicios de las Naciones Unidas – UNSPSC registrados en los procesos de contratación, se </w:t>
      </w:r>
      <w:r w:rsidRPr="00855C55">
        <w:rPr>
          <w:rFonts w:ascii="Verdana" w:eastAsia="Calibri" w:hAnsi="Verdana" w:cs="Arial"/>
          <w:bCs/>
          <w:color w:val="000000" w:themeColor="text1"/>
        </w:rPr>
        <w:lastRenderedPageBreak/>
        <w:t>identificó la clase UNSPSC 781018 – Transporte de carga por carretera, a partir de la cual es posible consultar los procesos asociados.</w:t>
      </w:r>
    </w:p>
    <w:p w14:paraId="3256B22D" w14:textId="77777777" w:rsidR="005F5849" w:rsidRPr="00401DA3" w:rsidRDefault="005F5849" w:rsidP="005F5849">
      <w:pPr>
        <w:spacing w:after="120" w:line="276" w:lineRule="auto"/>
        <w:ind w:firstLine="709"/>
        <w:jc w:val="both"/>
        <w:rPr>
          <w:rFonts w:ascii="Verdana" w:eastAsia="Calibri" w:hAnsi="Verdana" w:cs="Arial"/>
          <w:bCs/>
          <w:color w:val="000000" w:themeColor="text1"/>
        </w:rPr>
      </w:pPr>
      <w:r w:rsidRPr="00401DA3">
        <w:rPr>
          <w:rFonts w:ascii="Verdana" w:eastAsia="Calibri" w:hAnsi="Verdana" w:cs="Arial"/>
          <w:bCs/>
          <w:color w:val="000000" w:themeColor="text1"/>
        </w:rPr>
        <w:t xml:space="preserve">No obstante, es importante precisar que la identificación de estos procesos depende de la correcta clasificación y registro de los códigos UNSPSC por parte de las entidades. En consecuencia, los resultados obtenidos a partir de este criterio corresponden a los procesos que fueron registrados bajo los códigos asociados al transporte de carga por carretera y pueden que no sea la totalidad de los procesos que su objeto contractual tengan la palabra clave. </w:t>
      </w:r>
    </w:p>
    <w:p w14:paraId="42FE2710" w14:textId="77777777" w:rsidR="005F5849" w:rsidRPr="00401DA3" w:rsidRDefault="005F5849" w:rsidP="005F5849">
      <w:pPr>
        <w:spacing w:after="120" w:line="276" w:lineRule="auto"/>
        <w:ind w:firstLine="709"/>
        <w:jc w:val="both"/>
        <w:rPr>
          <w:rFonts w:ascii="Verdana" w:eastAsia="Calibri" w:hAnsi="Verdana" w:cs="Arial"/>
          <w:bCs/>
          <w:color w:val="000000" w:themeColor="text1"/>
        </w:rPr>
      </w:pPr>
      <w:r w:rsidRPr="00401DA3">
        <w:rPr>
          <w:rFonts w:ascii="Verdana" w:eastAsia="Calibri" w:hAnsi="Verdana" w:cs="Arial"/>
          <w:bCs/>
          <w:color w:val="000000" w:themeColor="text1"/>
        </w:rPr>
        <w:t xml:space="preserve">Cabe destacar que la Agencia, como ente rector de contratación pública y administradora de las plataformas del Sistema Electrónico de Compras Públicas (SECOP), no es responsable por la información reportada por las entidades públicas. Esto se debe a que, conforme a lo estipulado en el artículo 3 de la Ley 1712 de 2014 sobre el principio de calidad de la información, las Entidades Estatales son responsables de la oportunidad, objetividad y veracidad de la información que publican. Por esta razón, la Agencia no está facultada para certificar sobre procesos contractuales que no son o no han sido de su resorte, ni para pronunciarse sobre aspectos específicos relacionados con información generada por otra entidad pública en el cumplimiento de sus funciones y las características particulares de sus procesos contractuales. </w:t>
      </w:r>
    </w:p>
    <w:p w14:paraId="2B2D6BED" w14:textId="77777777" w:rsidR="005F5849" w:rsidRDefault="005F5849" w:rsidP="005F5849">
      <w:pPr>
        <w:spacing w:after="120" w:line="276" w:lineRule="auto"/>
        <w:ind w:firstLine="709"/>
        <w:jc w:val="both"/>
        <w:rPr>
          <w:rFonts w:ascii="Verdana" w:eastAsia="Calibri" w:hAnsi="Verdana" w:cs="Arial"/>
          <w:bCs/>
          <w:color w:val="000000" w:themeColor="text1"/>
        </w:rPr>
      </w:pPr>
      <w:r w:rsidRPr="00401DA3">
        <w:rPr>
          <w:rFonts w:ascii="Verdana" w:eastAsia="Calibri" w:hAnsi="Verdana" w:cs="Arial"/>
          <w:bCs/>
          <w:color w:val="000000" w:themeColor="text1"/>
        </w:rPr>
        <w:t xml:space="preserve">De igual manera, le informamos que la Agencia ha puesto a disposición de la ciudadanía y de los diferentes actores del Sistema de Compra Pública, diferentes herramientas y mecanismos de consulta de la información que reposa en las plataformas del SECOP. Estos mecanismos incluyen aplicativos de búsqueda, conjuntos de datos abiertos y herramientas de visualización que, de una manera fácil y dinámica, permiten consultar, explorar y analizar la información de contratación pública. Cada una de estas herramientas cuenta con una ficha técnica y, cuando aplica, con material de apoyo o tutorial para facilitar su uso, los cuales se adjuntan al presente. </w:t>
      </w:r>
    </w:p>
    <w:p w14:paraId="08923825" w14:textId="77777777" w:rsidR="005F5849" w:rsidRPr="00E5770E" w:rsidRDefault="005F5849" w:rsidP="005F5849">
      <w:pPr>
        <w:spacing w:after="12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 xml:space="preserve">1. </w:t>
      </w:r>
      <w:r w:rsidRPr="00E5770E">
        <w:rPr>
          <w:rFonts w:ascii="Verdana" w:eastAsia="Calibri" w:hAnsi="Verdana" w:cs="Arial"/>
          <w:bCs/>
          <w:color w:val="000000" w:themeColor="text1"/>
        </w:rPr>
        <w:t xml:space="preserve">Herramienta </w:t>
      </w:r>
      <w:r w:rsidRPr="00E5770E">
        <w:rPr>
          <w:rFonts w:ascii="Verdana" w:eastAsia="Calibri" w:hAnsi="Verdana" w:cs="Arial"/>
          <w:bCs/>
          <w:i/>
          <w:iCs/>
          <w:color w:val="000000" w:themeColor="text1"/>
        </w:rPr>
        <w:t>Transparencia</w:t>
      </w:r>
      <w:r w:rsidRPr="00E5770E">
        <w:rPr>
          <w:rFonts w:ascii="Verdana" w:eastAsia="Calibri" w:hAnsi="Verdana" w:cs="Arial"/>
          <w:bCs/>
          <w:color w:val="000000" w:themeColor="text1"/>
        </w:rPr>
        <w:t xml:space="preserve">: Permite consultar, visualizar y analizar información de la contratación pública registrada en el Sistema de Compra Pública, mediante una interfaz interactiva que facilita la exploración de los datos a nivel nacional y territorial. La herramienta permite realizar consultas y análisis por periodo, departamento, entidad, proveedor, modalidad de contratación, bienes y servicios, entre otros criterios, así como acceder al detalle de contratos y a los enlaces correspondientes a la información publicada en SECOP. Puede </w:t>
      </w:r>
      <w:r w:rsidRPr="00E5770E">
        <w:rPr>
          <w:rFonts w:ascii="Verdana" w:eastAsia="Calibri" w:hAnsi="Verdana" w:cs="Arial"/>
          <w:bCs/>
          <w:color w:val="000000" w:themeColor="text1"/>
        </w:rPr>
        <w:lastRenderedPageBreak/>
        <w:t xml:space="preserve">acceder mediante el siguiente enlace: </w:t>
      </w:r>
      <w:hyperlink r:id="rId14" w:history="1">
        <w:r w:rsidRPr="005B1D4D">
          <w:rPr>
            <w:rStyle w:val="Hipervnculo"/>
            <w:rFonts w:ascii="Verdana" w:eastAsia="Calibri" w:hAnsi="Verdana" w:cs="Arial"/>
            <w:bCs/>
          </w:rPr>
          <w:t>https://app.powerbi.com/view?r=eyJrIjoiZmI4NzE4MjgtZDU1ZS00NjA3LWIwMWItMTE0YjA4ZWMxNmM2IiwidCI6IjdiMDkwNDFlLTI0NTEtNDlkMC04Y2IxLTc5ZDVlM2Q4YzFiZSIsImMiOjR9</w:t>
        </w:r>
      </w:hyperlink>
      <w:r>
        <w:rPr>
          <w:rFonts w:ascii="Verdana" w:eastAsia="Calibri" w:hAnsi="Verdana" w:cs="Arial"/>
          <w:bCs/>
          <w:color w:val="000000" w:themeColor="text1"/>
        </w:rPr>
        <w:t xml:space="preserve"> </w:t>
      </w:r>
    </w:p>
    <w:p w14:paraId="6C809D22" w14:textId="77777777" w:rsidR="005F5849" w:rsidRPr="00E5770E" w:rsidRDefault="005F5849" w:rsidP="005F5849">
      <w:pPr>
        <w:spacing w:after="120" w:line="276" w:lineRule="auto"/>
        <w:ind w:firstLine="709"/>
        <w:jc w:val="both"/>
        <w:rPr>
          <w:rFonts w:ascii="Verdana" w:eastAsia="Calibri" w:hAnsi="Verdana" w:cs="Arial"/>
          <w:bCs/>
          <w:color w:val="000000" w:themeColor="text1"/>
        </w:rPr>
      </w:pPr>
      <w:r w:rsidRPr="00E5770E">
        <w:rPr>
          <w:rFonts w:ascii="Verdana" w:eastAsia="Calibri" w:hAnsi="Verdana" w:cs="Arial"/>
          <w:bCs/>
          <w:color w:val="000000" w:themeColor="text1"/>
        </w:rPr>
        <w:t>2.</w:t>
      </w:r>
      <w:r>
        <w:rPr>
          <w:rFonts w:ascii="Verdana" w:eastAsia="Calibri" w:hAnsi="Verdana" w:cs="Arial"/>
          <w:bCs/>
          <w:color w:val="000000" w:themeColor="text1"/>
        </w:rPr>
        <w:t xml:space="preserve"> </w:t>
      </w:r>
      <w:r w:rsidRPr="00E5770E">
        <w:rPr>
          <w:rFonts w:ascii="Verdana" w:eastAsia="Calibri" w:hAnsi="Verdana" w:cs="Arial"/>
          <w:bCs/>
          <w:color w:val="000000" w:themeColor="text1"/>
        </w:rPr>
        <w:t>Aplicativo de búsqueda de procesos contractuales: Facilita la consulta de procesos de contratación en las plataformas, con opción de búsqueda segmentada por entidades o proveedores, usando como insumos el número de identificación y rango de fechas. Puede acceder mediante el siguiente enlace: Consulta de Procesos ANCP-CCE – Aplicativo de consulta procesos de la ANCP-CCE</w:t>
      </w:r>
      <w:r>
        <w:rPr>
          <w:rFonts w:ascii="Verdana" w:eastAsia="Calibri" w:hAnsi="Verdana" w:cs="Arial"/>
          <w:bCs/>
          <w:color w:val="000000" w:themeColor="text1"/>
        </w:rPr>
        <w:t xml:space="preserve">. </w:t>
      </w:r>
      <w:r w:rsidRPr="00E5770E">
        <w:rPr>
          <w:rFonts w:ascii="Verdana" w:eastAsia="Calibri" w:hAnsi="Verdana" w:cs="Arial"/>
          <w:bCs/>
          <w:color w:val="000000" w:themeColor="text1"/>
        </w:rPr>
        <w:t>Para consultas futuras, le recomendamos hacer uso de esta herramienta, usando el número de identificación (Cédula o Nit.) del contratista o la Entidad, con el rango de fechas requerido para obtener los registros disponibles en las plataformas del SECOP con sus respectivos enlaces de acceso.</w:t>
      </w:r>
    </w:p>
    <w:p w14:paraId="1D191C50" w14:textId="77777777" w:rsidR="005F5849" w:rsidRPr="00E5770E" w:rsidRDefault="005F5849" w:rsidP="005F5849">
      <w:pPr>
        <w:spacing w:after="120" w:line="276" w:lineRule="auto"/>
        <w:ind w:firstLine="709"/>
        <w:jc w:val="both"/>
        <w:rPr>
          <w:rFonts w:ascii="Verdana" w:eastAsia="Calibri" w:hAnsi="Verdana" w:cs="Arial"/>
          <w:bCs/>
          <w:color w:val="000000" w:themeColor="text1"/>
        </w:rPr>
      </w:pPr>
      <w:r w:rsidRPr="00E5770E">
        <w:rPr>
          <w:rFonts w:ascii="Verdana" w:eastAsia="Calibri" w:hAnsi="Verdana" w:cs="Arial"/>
          <w:bCs/>
          <w:color w:val="000000" w:themeColor="text1"/>
        </w:rPr>
        <w:t>Nota: Le informamos que los registros en SECOP I iniciaron a partir del año 2008, en SECOP II a partir de 2015 y en la Tienda Virtual del Estado Colombiano (TVEC) a partir de 2013. De requerir información de años anteriores a estas fechas, podrá solicitarla directamente a la Entidad contratante.</w:t>
      </w:r>
    </w:p>
    <w:p w14:paraId="675FDF62" w14:textId="77777777" w:rsidR="005F5849" w:rsidRPr="00E5770E" w:rsidRDefault="005F5849" w:rsidP="005F5849">
      <w:pPr>
        <w:spacing w:after="120" w:line="276" w:lineRule="auto"/>
        <w:ind w:firstLine="709"/>
        <w:jc w:val="both"/>
        <w:rPr>
          <w:rFonts w:ascii="Verdana" w:eastAsia="Calibri" w:hAnsi="Verdana" w:cs="Arial"/>
          <w:bCs/>
          <w:color w:val="000000" w:themeColor="text1"/>
        </w:rPr>
      </w:pPr>
      <w:r w:rsidRPr="00E5770E">
        <w:rPr>
          <w:rFonts w:ascii="Verdana" w:eastAsia="Calibri" w:hAnsi="Verdana" w:cs="Arial"/>
          <w:bCs/>
          <w:color w:val="000000" w:themeColor="text1"/>
        </w:rPr>
        <w:t>3.</w:t>
      </w:r>
      <w:r>
        <w:rPr>
          <w:rFonts w:ascii="Verdana" w:eastAsia="Calibri" w:hAnsi="Verdana" w:cs="Arial"/>
          <w:bCs/>
          <w:color w:val="000000" w:themeColor="text1"/>
        </w:rPr>
        <w:t xml:space="preserve"> </w:t>
      </w:r>
      <w:r w:rsidRPr="00E5770E">
        <w:rPr>
          <w:rFonts w:ascii="Verdana" w:eastAsia="Calibri" w:hAnsi="Verdana" w:cs="Arial"/>
          <w:bCs/>
          <w:color w:val="000000" w:themeColor="text1"/>
        </w:rPr>
        <w:t>Plataforma de Datos Abiertos: Contiene toda la información de contratación reportada por las entidades, y está puesta a disposición de los interesados a través de la plataforma de Datos Abiertos del Estado Colombiano (www.datos.gov.co). Esta información proviene de las plataformas SECOP I, SECOP II y TVEC. Puede acceder mediante el siguiente enlace:</w:t>
      </w:r>
      <w:r>
        <w:rPr>
          <w:rFonts w:ascii="Verdana" w:eastAsia="Calibri" w:hAnsi="Verdana" w:cs="Arial"/>
          <w:bCs/>
          <w:color w:val="000000" w:themeColor="text1"/>
        </w:rPr>
        <w:t xml:space="preserve"> </w:t>
      </w:r>
      <w:hyperlink r:id="rId15" w:history="1">
        <w:r w:rsidRPr="005B1D4D">
          <w:rPr>
            <w:rStyle w:val="Hipervnculo"/>
            <w:rFonts w:ascii="Verdana" w:eastAsia="Calibri" w:hAnsi="Verdana" w:cs="Arial"/>
            <w:bCs/>
          </w:rPr>
          <w:t>https://www.colombiacompra.gov.co/transparencia/gestion-documental/datos-abiertos</w:t>
        </w:r>
      </w:hyperlink>
      <w:r>
        <w:rPr>
          <w:rFonts w:ascii="Verdana" w:eastAsia="Calibri" w:hAnsi="Verdana" w:cs="Arial"/>
          <w:bCs/>
          <w:color w:val="000000" w:themeColor="text1"/>
        </w:rPr>
        <w:t xml:space="preserve">. </w:t>
      </w:r>
      <w:r w:rsidRPr="00E5770E">
        <w:rPr>
          <w:rFonts w:ascii="Verdana" w:eastAsia="Calibri" w:hAnsi="Verdana" w:cs="Arial"/>
          <w:bCs/>
          <w:color w:val="000000" w:themeColor="text1"/>
        </w:rPr>
        <w:t>Si desea profundizar en el uso de datos abiertos puede consultar el material disponible en la página web de la entidad, referenciado anteriormente junto al documento anexo “Infografía Datos Abiertos”.</w:t>
      </w:r>
    </w:p>
    <w:p w14:paraId="6409A6E3" w14:textId="77777777" w:rsidR="005F5849" w:rsidRPr="006E5A11" w:rsidRDefault="005F5849" w:rsidP="005F5849">
      <w:pPr>
        <w:spacing w:after="120" w:line="276" w:lineRule="auto"/>
        <w:ind w:firstLine="709"/>
        <w:jc w:val="both"/>
        <w:rPr>
          <w:rFonts w:ascii="Verdana" w:eastAsia="Calibri" w:hAnsi="Verdana" w:cs="Arial"/>
          <w:bCs/>
          <w:color w:val="000000" w:themeColor="text1"/>
        </w:rPr>
      </w:pPr>
      <w:r w:rsidRPr="00E5770E">
        <w:rPr>
          <w:rFonts w:ascii="Verdana" w:eastAsia="Calibri" w:hAnsi="Verdana" w:cs="Arial"/>
          <w:bCs/>
          <w:color w:val="000000" w:themeColor="text1"/>
        </w:rPr>
        <w:t>4.</w:t>
      </w:r>
      <w:r>
        <w:rPr>
          <w:rFonts w:ascii="Verdana" w:eastAsia="Calibri" w:hAnsi="Verdana" w:cs="Arial"/>
          <w:bCs/>
          <w:color w:val="000000" w:themeColor="text1"/>
        </w:rPr>
        <w:t xml:space="preserve"> </w:t>
      </w:r>
      <w:r w:rsidRPr="00E5770E">
        <w:rPr>
          <w:rFonts w:ascii="Verdana" w:eastAsia="Calibri" w:hAnsi="Verdana" w:cs="Arial"/>
          <w:bCs/>
          <w:color w:val="000000" w:themeColor="text1"/>
        </w:rPr>
        <w:t>Herramienta de visualización para el Análisis de la Demanda y el Análisis de la Oferta. En el marco del Modelo de Abastecimiento Estratégico, la Agencia desarrolló una herramienta de visualización que permite</w:t>
      </w:r>
      <w:r>
        <w:rPr>
          <w:rFonts w:ascii="Verdana" w:eastAsia="Calibri" w:hAnsi="Verdana" w:cs="Arial"/>
          <w:bCs/>
          <w:color w:val="000000" w:themeColor="text1"/>
        </w:rPr>
        <w:t xml:space="preserve"> </w:t>
      </w:r>
      <w:r w:rsidRPr="006E5A11">
        <w:rPr>
          <w:rFonts w:ascii="Verdana" w:eastAsia="Calibri" w:hAnsi="Verdana" w:cs="Arial"/>
          <w:bCs/>
          <w:color w:val="000000" w:themeColor="text1"/>
        </w:rPr>
        <w:t xml:space="preserve">evidenciar el comportamiento histórico de compra de las entidades, a la cual se puede acceder mediante el siguiente enlace: </w:t>
      </w:r>
      <w:hyperlink r:id="rId16" w:history="1">
        <w:r w:rsidRPr="005B1D4D">
          <w:rPr>
            <w:rStyle w:val="Hipervnculo"/>
            <w:rFonts w:ascii="Verdana" w:eastAsia="Calibri" w:hAnsi="Verdana" w:cs="Arial"/>
            <w:bCs/>
          </w:rPr>
          <w:t>https://www.colombiacompra.gov.co/analisis-de-datos-de-compra-publica/visualizaciones-compra-publica/herramienta-de-visualizacion-para-el-analisis-de-la-demanda-y-de-la-oferta</w:t>
        </w:r>
      </w:hyperlink>
      <w:r>
        <w:rPr>
          <w:rFonts w:ascii="Verdana" w:eastAsia="Calibri" w:hAnsi="Verdana" w:cs="Arial"/>
          <w:bCs/>
          <w:color w:val="000000" w:themeColor="text1"/>
        </w:rPr>
        <w:t xml:space="preserve"> </w:t>
      </w:r>
    </w:p>
    <w:p w14:paraId="61544F12" w14:textId="77777777" w:rsidR="005F5849" w:rsidRPr="009D75D7" w:rsidRDefault="005F5849" w:rsidP="005F5849">
      <w:pPr>
        <w:spacing w:after="120" w:line="276" w:lineRule="auto"/>
        <w:ind w:firstLine="709"/>
        <w:jc w:val="both"/>
        <w:rPr>
          <w:rFonts w:ascii="Verdana" w:eastAsia="Calibri" w:hAnsi="Verdana" w:cs="Arial"/>
          <w:bCs/>
          <w:color w:val="000000" w:themeColor="text1"/>
        </w:rPr>
      </w:pPr>
      <w:r w:rsidRPr="006E5A11">
        <w:rPr>
          <w:rFonts w:ascii="Verdana" w:eastAsia="Calibri" w:hAnsi="Verdana" w:cs="Arial"/>
          <w:bCs/>
          <w:color w:val="000000" w:themeColor="text1"/>
        </w:rPr>
        <w:lastRenderedPageBreak/>
        <w:t xml:space="preserve">Si requiere profundizar en el uso de las herramientas que dispone la Agencia para la búsqueda de procesos contractuales, gustosamente estaremos atentos a capacitarlos en torno a su uso, así como al uso del material disponible en la página web de la entidad. Para ello, lo invitamos a dirigir su solicitud de capacitación al correo electrónico: </w:t>
      </w:r>
      <w:hyperlink r:id="rId17" w:history="1">
        <w:r w:rsidRPr="005B1D4D">
          <w:rPr>
            <w:rStyle w:val="Hipervnculo"/>
            <w:rFonts w:ascii="Verdana" w:eastAsia="Calibri" w:hAnsi="Verdana" w:cs="Arial"/>
            <w:bCs/>
          </w:rPr>
          <w:t>informacion.emae@colombiacompra.gov.co</w:t>
        </w:r>
      </w:hyperlink>
      <w:r>
        <w:rPr>
          <w:rFonts w:ascii="Verdana" w:eastAsia="Calibri" w:hAnsi="Verdana" w:cs="Arial"/>
          <w:bCs/>
          <w:color w:val="000000" w:themeColor="text1"/>
        </w:rPr>
        <w:t xml:space="preserve"> </w:t>
      </w:r>
    </w:p>
    <w:p w14:paraId="7A6A41FF" w14:textId="77777777" w:rsidR="005F5849" w:rsidRPr="00E64282" w:rsidRDefault="005F5849" w:rsidP="005F5849">
      <w:pPr>
        <w:spacing w:after="120" w:line="276" w:lineRule="auto"/>
        <w:ind w:firstLine="709"/>
        <w:jc w:val="both"/>
        <w:rPr>
          <w:rFonts w:ascii="Verdana" w:eastAsia="Calibri" w:hAnsi="Verdana" w:cs="Arial"/>
          <w:bCs/>
          <w:color w:val="000000" w:themeColor="text1"/>
        </w:rPr>
      </w:pPr>
      <w:r w:rsidRPr="00C82BAE">
        <w:rPr>
          <w:rFonts w:ascii="Verdana" w:eastAsia="Calibri" w:hAnsi="Verdana" w:cs="Arial"/>
          <w:bCs/>
          <w:color w:val="000000" w:themeColor="text1"/>
        </w:rPr>
        <w:t>En</w:t>
      </w:r>
      <w:r>
        <w:rPr>
          <w:rFonts w:ascii="Verdana" w:eastAsia="Calibri" w:hAnsi="Verdana" w:cs="Arial"/>
          <w:bCs/>
          <w:color w:val="000000" w:themeColor="text1"/>
        </w:rPr>
        <w:t xml:space="preserve"> cuarto lugar, en</w:t>
      </w:r>
      <w:r w:rsidRPr="00C82BAE">
        <w:rPr>
          <w:rFonts w:ascii="Verdana" w:eastAsia="Calibri" w:hAnsi="Verdana" w:cs="Arial"/>
          <w:bCs/>
          <w:color w:val="000000" w:themeColor="text1"/>
        </w:rPr>
        <w:t xml:space="preserve"> </w:t>
      </w:r>
      <w:r>
        <w:rPr>
          <w:rFonts w:ascii="Verdana" w:eastAsia="Calibri" w:hAnsi="Verdana" w:cs="Arial"/>
          <w:bCs/>
          <w:color w:val="000000" w:themeColor="text1"/>
        </w:rPr>
        <w:t>torno</w:t>
      </w:r>
      <w:r w:rsidRPr="00C82BAE">
        <w:rPr>
          <w:rFonts w:ascii="Verdana" w:eastAsia="Calibri" w:hAnsi="Verdana" w:cs="Arial"/>
          <w:bCs/>
          <w:color w:val="000000" w:themeColor="text1"/>
        </w:rPr>
        <w:t xml:space="preserve"> a la vigencia de los Acuerdos Marco de Precios, se precisa que el </w:t>
      </w:r>
      <w:r w:rsidRPr="004E1091">
        <w:rPr>
          <w:rFonts w:ascii="Verdana" w:eastAsia="Calibri" w:hAnsi="Verdana" w:cs="Arial"/>
          <w:color w:val="000000" w:themeColor="text1"/>
        </w:rPr>
        <w:t>Acuerdo Marco de Precios para la adquisición de Vehículos, Vehículos Eléctricos y Vehículos Híbridos para Transporte Terrestre – Vehículos III, CCE</w:t>
      </w:r>
      <w:r w:rsidRPr="004E1091">
        <w:rPr>
          <w:rFonts w:ascii="Verdana" w:eastAsia="Calibri" w:hAnsi="Verdana" w:cs="Arial"/>
          <w:color w:val="000000" w:themeColor="text1"/>
        </w:rPr>
        <w:noBreakHyphen/>
        <w:t>163</w:t>
      </w:r>
      <w:r w:rsidRPr="004E1091">
        <w:rPr>
          <w:rFonts w:ascii="Verdana" w:eastAsia="Calibri" w:hAnsi="Verdana" w:cs="Arial"/>
          <w:color w:val="000000" w:themeColor="text1"/>
        </w:rPr>
        <w:noBreakHyphen/>
        <w:t>III</w:t>
      </w:r>
      <w:r w:rsidRPr="004E1091">
        <w:rPr>
          <w:rFonts w:ascii="Verdana" w:eastAsia="Calibri" w:hAnsi="Verdana" w:cs="Arial"/>
          <w:color w:val="000000" w:themeColor="text1"/>
        </w:rPr>
        <w:noBreakHyphen/>
        <w:t>AMP</w:t>
      </w:r>
      <w:r w:rsidRPr="004E1091">
        <w:rPr>
          <w:rFonts w:ascii="Verdana" w:eastAsia="Calibri" w:hAnsi="Verdana" w:cs="Arial"/>
          <w:color w:val="000000" w:themeColor="text1"/>
        </w:rPr>
        <w:noBreakHyphen/>
        <w:t>2020,</w:t>
      </w:r>
      <w:r w:rsidRPr="00C82BAE">
        <w:rPr>
          <w:rFonts w:ascii="Verdana" w:eastAsia="Calibri" w:hAnsi="Verdana" w:cs="Arial"/>
          <w:bCs/>
          <w:color w:val="000000" w:themeColor="text1"/>
        </w:rPr>
        <w:t xml:space="preserve"> tiene como objeto establecer las condiciones para la adquisición de vehículos, incluyendo el mantenimiento preventivo, las adecuaciones y los accesorios asociados, así como las reglas de vinculación de las entidades compradoras y las condiciones de pago.</w:t>
      </w:r>
      <w:r w:rsidRPr="00E64282">
        <w:rPr>
          <w:rFonts w:ascii="Verdana" w:eastAsia="Calibri" w:hAnsi="Verdana" w:cs="Arial"/>
          <w:bCs/>
          <w:color w:val="000000" w:themeColor="text1"/>
        </w:rPr>
        <w:t xml:space="preserve"> De igual manera, su alcance comprende la entrega de vehículos para transporte terrestre, de características técnicas uniformes y de común utilización.</w:t>
      </w:r>
    </w:p>
    <w:p w14:paraId="5972D962" w14:textId="77777777" w:rsidR="005F5849" w:rsidRPr="00E64282" w:rsidRDefault="005F5849" w:rsidP="005F5849">
      <w:pPr>
        <w:spacing w:after="120" w:line="276" w:lineRule="auto"/>
        <w:ind w:firstLine="709"/>
        <w:jc w:val="both"/>
        <w:rPr>
          <w:rFonts w:ascii="Verdana" w:eastAsia="Calibri" w:hAnsi="Verdana" w:cs="Arial"/>
          <w:bCs/>
          <w:color w:val="000000" w:themeColor="text1"/>
        </w:rPr>
      </w:pPr>
      <w:r w:rsidRPr="00E64282">
        <w:rPr>
          <w:rFonts w:ascii="Verdana" w:eastAsia="Calibri" w:hAnsi="Verdana" w:cs="Arial"/>
          <w:bCs/>
          <w:color w:val="000000" w:themeColor="text1"/>
        </w:rPr>
        <w:t>En consecuencia, debe diferenciarse entre la adquisición de un vehículo destinado al transporte de carga y la contratación del servicio de transporte terrestre automotor de carga. Si bien el Acuerdo Marco de Vehículos III puede contemplar vehículos que por sus características estén destinados al transporte de carga, su objeto no comprende la prestación del servicio de transporte de carga, ni la regulación de las relaciones económicas que se generan entre quien contrata y quien presta dicho servicio.</w:t>
      </w:r>
    </w:p>
    <w:p w14:paraId="260A6749" w14:textId="77777777" w:rsidR="005F5849" w:rsidRPr="00E64282" w:rsidRDefault="005F5849" w:rsidP="005F5849">
      <w:pPr>
        <w:spacing w:after="120" w:line="276" w:lineRule="auto"/>
        <w:ind w:firstLine="709"/>
        <w:jc w:val="both"/>
        <w:rPr>
          <w:rFonts w:ascii="Verdana" w:eastAsia="Calibri" w:hAnsi="Verdana" w:cs="Arial"/>
          <w:bCs/>
          <w:color w:val="000000" w:themeColor="text1"/>
        </w:rPr>
      </w:pPr>
      <w:r w:rsidRPr="00E64282">
        <w:rPr>
          <w:rFonts w:ascii="Verdana" w:eastAsia="Calibri" w:hAnsi="Verdana" w:cs="Arial"/>
          <w:bCs/>
          <w:color w:val="000000" w:themeColor="text1"/>
        </w:rPr>
        <w:t>De otra parte, el Acuerdo Marco de Precios para el Servicio de Transporte Terrestre Especial de Pasajeros II, CCE-144-2023, tampoco resulta aplicable al requerimiento planteado, toda vez que su objeto está dirigido específicamente a establecer las condiciones para la contratación del servicio de Transporte Terrestre Automotor Especial de Pasajeros. Por tanto, su alcance se encuentra circunscrito a la prestación de servicios de transporte especial de pasajeros y no comprende el transporte terrestre automotor de carga.</w:t>
      </w:r>
      <w:r>
        <w:rPr>
          <w:rFonts w:ascii="Verdana" w:eastAsia="Calibri" w:hAnsi="Verdana" w:cs="Arial"/>
          <w:bCs/>
          <w:color w:val="000000" w:themeColor="text1"/>
        </w:rPr>
        <w:t xml:space="preserve"> Así pues</w:t>
      </w:r>
      <w:r w:rsidRPr="00E64282">
        <w:rPr>
          <w:rFonts w:ascii="Verdana" w:eastAsia="Calibri" w:hAnsi="Verdana" w:cs="Arial"/>
          <w:bCs/>
          <w:color w:val="000000" w:themeColor="text1"/>
        </w:rPr>
        <w:t>, ninguno de los Acuerdos Marco de Precios mencionados resulta aplicable para atender una necesidad cuyo objeto corresponda a la prestación del servicio de transporte terrestre automotor de carga. Actualmente, no se encuentra disponible un Acuerdo Marco de Precios administrado por la Agencia Nacional de Contratación Pública – Colombia Compra Eficiente cuyo objeto comprenda específicamente dicha prestación.</w:t>
      </w:r>
    </w:p>
    <w:p w14:paraId="78291776" w14:textId="77777777" w:rsidR="005F5849" w:rsidRPr="00E64282" w:rsidRDefault="005F5849" w:rsidP="005F5849">
      <w:pPr>
        <w:spacing w:after="120" w:line="276" w:lineRule="auto"/>
        <w:ind w:firstLine="709"/>
        <w:jc w:val="both"/>
        <w:rPr>
          <w:rFonts w:ascii="Verdana" w:eastAsia="Calibri" w:hAnsi="Verdana" w:cs="Arial"/>
          <w:bCs/>
          <w:color w:val="000000" w:themeColor="text1"/>
        </w:rPr>
      </w:pPr>
      <w:r w:rsidRPr="00E64282">
        <w:rPr>
          <w:rFonts w:ascii="Verdana" w:eastAsia="Calibri" w:hAnsi="Verdana" w:cs="Arial"/>
          <w:bCs/>
          <w:color w:val="000000" w:themeColor="text1"/>
        </w:rPr>
        <w:lastRenderedPageBreak/>
        <w:t>En ese sentido, dentro de la estructuración del Acuerdo Marco de Vehículos III no se contempló la prestación del servicio de transporte terrestre automotor de carga, sino la adquisición de los vehículos y de los bienes y servicios asociados previstos en su objeto y alcance. De igual manera, el Acuerdo Marco de Transporte Especial de Pasajeros II fue estructurado para atender una necesidad diferente, correspondiente al transporte especial de pasajeros.</w:t>
      </w:r>
      <w:r>
        <w:rPr>
          <w:rFonts w:ascii="Verdana" w:eastAsia="Calibri" w:hAnsi="Verdana" w:cs="Arial"/>
          <w:bCs/>
          <w:color w:val="000000" w:themeColor="text1"/>
        </w:rPr>
        <w:t xml:space="preserve"> </w:t>
      </w:r>
      <w:r w:rsidRPr="00E64282">
        <w:rPr>
          <w:rFonts w:ascii="Verdana" w:eastAsia="Calibri" w:hAnsi="Verdana" w:cs="Arial"/>
          <w:bCs/>
          <w:color w:val="000000" w:themeColor="text1"/>
        </w:rPr>
        <w:t xml:space="preserve">Por lo anterior, los aspectos relacionados con la estructuración, evaluación, adjudicación, ejecución y supervisión del servicio de transporte terrestre automotor de carga, así como la aplicación del SICE-TAC y del régimen de relaciones económicas previsto en el Decreto 1079 de 2015, </w:t>
      </w:r>
      <w:r>
        <w:rPr>
          <w:rFonts w:ascii="Verdana" w:eastAsia="Calibri" w:hAnsi="Verdana" w:cs="Arial"/>
          <w:bCs/>
          <w:color w:val="000000" w:themeColor="text1"/>
        </w:rPr>
        <w:t xml:space="preserve">deben analizarse </w:t>
      </w:r>
      <w:r w:rsidRPr="00E64282">
        <w:rPr>
          <w:rFonts w:ascii="Verdana" w:eastAsia="Calibri" w:hAnsi="Verdana" w:cs="Arial"/>
          <w:bCs/>
          <w:color w:val="000000" w:themeColor="text1"/>
        </w:rPr>
        <w:t>por la Entidad</w:t>
      </w:r>
      <w:r>
        <w:rPr>
          <w:rFonts w:ascii="Verdana" w:eastAsia="Calibri" w:hAnsi="Verdana" w:cs="Arial"/>
          <w:bCs/>
          <w:color w:val="000000" w:themeColor="text1"/>
        </w:rPr>
        <w:t xml:space="preserve">, </w:t>
      </w:r>
      <w:r w:rsidRPr="00E64282">
        <w:rPr>
          <w:rFonts w:ascii="Verdana" w:eastAsia="Calibri" w:hAnsi="Verdana" w:cs="Arial"/>
          <w:bCs/>
          <w:color w:val="000000" w:themeColor="text1"/>
        </w:rPr>
        <w:t>de conformidad con la normativa sectorial aplicable y mediante el mecanismo de contratación que corresponda a la naturaleza de la necesidad que pretende satisfacer.</w:t>
      </w:r>
    </w:p>
    <w:p w14:paraId="5B75EFB2" w14:textId="77777777" w:rsidR="005F5849" w:rsidRPr="00E64282" w:rsidRDefault="005F5849" w:rsidP="005F5849">
      <w:pPr>
        <w:spacing w:after="12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En todo caso</w:t>
      </w:r>
      <w:r w:rsidRPr="00E64282">
        <w:rPr>
          <w:rFonts w:ascii="Verdana" w:eastAsia="Calibri" w:hAnsi="Verdana" w:cs="Arial"/>
          <w:bCs/>
          <w:color w:val="000000" w:themeColor="text1"/>
        </w:rPr>
        <w:t>, si la necesidad de la Entidad corresponde exclusivamente a la adquisición de un vehículo destinado al transporte de carga, y no a la contratación del servicio de transporte de carga, podrá verificarse de manera independiente si la tipología de vehículo requerida se encuentra contemplada dentro del catálogo y las condiciones del Acuerdo Marco de Vehículos III .</w:t>
      </w:r>
      <w:hyperlink r:id="rId18" w:tgtFrame="_blank" w:tooltip="Dirección URL original: https://www.colombiacompra.gov.co/archivos/portfolio-item/vehiculos-iii. Haga clic o pulse si confía en este vínculo." w:history="1">
        <w:r w:rsidRPr="00E64282">
          <w:rPr>
            <w:rStyle w:val="Hipervnculo"/>
            <w:rFonts w:ascii="Verdana" w:eastAsia="Calibri" w:hAnsi="Verdana" w:cs="Arial"/>
            <w:bCs/>
          </w:rPr>
          <w:t>Vehículos III – ANCP Colombia Compra Eficiente</w:t>
        </w:r>
      </w:hyperlink>
      <w:r w:rsidRPr="00E64282">
        <w:rPr>
          <w:rFonts w:ascii="Verdana" w:eastAsia="Calibri" w:hAnsi="Verdana" w:cs="Arial"/>
          <w:bCs/>
          <w:color w:val="000000" w:themeColor="text1"/>
        </w:rPr>
        <w:t> /documentos / catalogo.</w:t>
      </w:r>
    </w:p>
    <w:p w14:paraId="567953CF" w14:textId="77777777" w:rsidR="005F5849" w:rsidRPr="00F4158D" w:rsidRDefault="005F5849" w:rsidP="005F5849">
      <w:pPr>
        <w:spacing w:after="120" w:line="276" w:lineRule="auto"/>
        <w:ind w:firstLine="708"/>
        <w:jc w:val="both"/>
        <w:rPr>
          <w:rFonts w:ascii="Verdana" w:eastAsia="Calibri" w:hAnsi="Verdana" w:cs="Arial"/>
          <w:bCs/>
          <w:color w:val="000000" w:themeColor="text1"/>
        </w:rPr>
      </w:pPr>
      <w:r>
        <w:rPr>
          <w:rFonts w:ascii="Verdana" w:eastAsia="Calibri" w:hAnsi="Verdana" w:cs="Arial"/>
          <w:bCs/>
          <w:color w:val="000000" w:themeColor="text1"/>
        </w:rPr>
        <w:t>Por último, a</w:t>
      </w:r>
      <w:r w:rsidRPr="00F4158D">
        <w:rPr>
          <w:rFonts w:ascii="Verdana" w:eastAsia="Calibri" w:hAnsi="Verdana" w:cs="Arial"/>
          <w:bCs/>
          <w:color w:val="000000" w:themeColor="text1"/>
        </w:rPr>
        <w:t xml:space="preserve">l margen de la explicación precedente debe advertirse que el análisis requerido para resolver problemas específicos en torno a la gestión contractual </w:t>
      </w:r>
      <w:r>
        <w:rPr>
          <w:rFonts w:ascii="Verdana" w:eastAsia="Calibri" w:hAnsi="Verdana" w:cs="Arial"/>
          <w:bCs/>
          <w:color w:val="000000" w:themeColor="text1"/>
        </w:rPr>
        <w:t xml:space="preserve">de servicios de transporte de carga terrestre </w:t>
      </w:r>
      <w:r w:rsidRPr="00F4158D">
        <w:rPr>
          <w:rFonts w:ascii="Verdana" w:eastAsia="Calibri" w:hAnsi="Verdana" w:cs="Arial"/>
          <w:bCs/>
          <w:color w:val="000000" w:themeColor="text1"/>
        </w:rPr>
        <w:t xml:space="preserve">de las entidades públicas debe </w:t>
      </w:r>
      <w:r>
        <w:rPr>
          <w:rFonts w:ascii="Verdana" w:eastAsia="Calibri" w:hAnsi="Verdana" w:cs="Arial"/>
          <w:bCs/>
          <w:color w:val="000000" w:themeColor="text1"/>
        </w:rPr>
        <w:t xml:space="preserve">realizarse </w:t>
      </w:r>
      <w:r w:rsidRPr="00F4158D">
        <w:rPr>
          <w:rFonts w:ascii="Verdana" w:eastAsia="Calibri" w:hAnsi="Verdana" w:cs="Arial"/>
          <w:bCs/>
          <w:color w:val="000000" w:themeColor="text1"/>
        </w:rPr>
        <w:t xml:space="preserve">por quienes tengan interés en ello, de acuerdo con lo explicado </w:t>
      </w:r>
      <w:r>
        <w:rPr>
          <w:rFonts w:ascii="Verdana" w:eastAsia="Calibri" w:hAnsi="Verdana" w:cs="Arial"/>
          <w:bCs/>
          <w:color w:val="000000" w:themeColor="text1"/>
        </w:rPr>
        <w:t>en</w:t>
      </w:r>
      <w:r w:rsidRPr="00F4158D">
        <w:rPr>
          <w:rFonts w:ascii="Verdana" w:eastAsia="Calibri" w:hAnsi="Verdana" w:cs="Arial"/>
          <w:bCs/>
          <w:color w:val="000000" w:themeColor="text1"/>
        </w:rPr>
        <w:t xml:space="preserve">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791055E" w14:textId="77777777" w:rsidR="005F5849" w:rsidRPr="00F4158D" w:rsidRDefault="005F5849" w:rsidP="005F5849">
      <w:pPr>
        <w:spacing w:after="0" w:line="276" w:lineRule="auto"/>
        <w:ind w:firstLine="708"/>
        <w:jc w:val="both"/>
        <w:rPr>
          <w:rFonts w:ascii="Verdana" w:hAnsi="Verdana" w:cs="Arial"/>
          <w:color w:val="000000" w:themeColor="text1"/>
        </w:rPr>
      </w:pPr>
      <w:r w:rsidRPr="00F4158D">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w:t>
      </w:r>
      <w:r w:rsidRPr="00F4158D">
        <w:rPr>
          <w:rFonts w:ascii="Verdana" w:eastAsia="Calibri" w:hAnsi="Verdana" w:cs="Arial"/>
          <w:bCs/>
          <w:color w:val="000000" w:themeColor="text1"/>
        </w:rPr>
        <w:lastRenderedPageBreak/>
        <w:t>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187A078" w14:textId="77777777" w:rsidR="005F5849" w:rsidRPr="00F4158D" w:rsidRDefault="005F5849" w:rsidP="005F5849">
      <w:pPr>
        <w:spacing w:after="0" w:line="276" w:lineRule="auto"/>
        <w:jc w:val="both"/>
        <w:rPr>
          <w:rFonts w:ascii="Verdana" w:eastAsia="Calibri" w:hAnsi="Verdana" w:cs="Arial"/>
          <w:bCs/>
          <w:color w:val="000000" w:themeColor="text1"/>
        </w:rPr>
      </w:pPr>
      <w:r w:rsidRPr="00F4158D">
        <w:rPr>
          <w:rFonts w:ascii="Verdana" w:eastAsia="Calibri" w:hAnsi="Verdana" w:cs="Arial"/>
          <w:bCs/>
          <w:color w:val="000000" w:themeColor="text1"/>
        </w:rPr>
        <w:t xml:space="preserve"> </w:t>
      </w:r>
    </w:p>
    <w:p w14:paraId="2B23F3B6" w14:textId="77777777" w:rsidR="005F5849" w:rsidRPr="00593A5F" w:rsidRDefault="005F5849" w:rsidP="005F584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1D4957F9" w14:textId="77777777" w:rsidR="005F5849" w:rsidRPr="00593A5F" w:rsidRDefault="005F5849" w:rsidP="005F5849">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F5849" w:rsidRPr="002407CE" w14:paraId="3F5E1F70" w14:textId="77777777" w:rsidTr="00B46413">
        <w:trPr>
          <w:trHeight w:val="870"/>
          <w:jc w:val="center"/>
        </w:trPr>
        <w:tc>
          <w:tcPr>
            <w:tcW w:w="8647" w:type="dxa"/>
          </w:tcPr>
          <w:p w14:paraId="21C0B08B" w14:textId="77777777" w:rsidR="005F5849" w:rsidRPr="00D32B20" w:rsidRDefault="005F5849" w:rsidP="00B4641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D32B20">
              <w:rPr>
                <w:rFonts w:ascii="Verdana" w:hAnsi="Verdana" w:cs="Arial"/>
              </w:rPr>
              <w:t xml:space="preserve">Ley 336 de 1996, artículos 4, 5, 9, 12, 13 y 14. </w:t>
            </w:r>
          </w:p>
          <w:p w14:paraId="78418A1A" w14:textId="77777777" w:rsidR="005F5849" w:rsidRDefault="005F5849" w:rsidP="00B4641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D32B20">
              <w:rPr>
                <w:rFonts w:ascii="Verdana" w:hAnsi="Verdana" w:cs="Arial"/>
              </w:rPr>
              <w:t>Ley 80 de 1993, artículo 25.</w:t>
            </w:r>
          </w:p>
          <w:p w14:paraId="055BFDD6" w14:textId="77777777" w:rsidR="005F5849" w:rsidRPr="00D32B20" w:rsidRDefault="005F5849" w:rsidP="00B4641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1474 de 2011, artículos 82 al 85.</w:t>
            </w:r>
            <w:r w:rsidRPr="00D32B20">
              <w:rPr>
                <w:rFonts w:ascii="Verdana" w:hAnsi="Verdana" w:cs="Arial"/>
              </w:rPr>
              <w:t xml:space="preserve"> </w:t>
            </w:r>
          </w:p>
          <w:p w14:paraId="3525ADEB" w14:textId="77777777" w:rsidR="005F5849" w:rsidRPr="00D32B20" w:rsidRDefault="005F5849" w:rsidP="00B4641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D32B20">
              <w:rPr>
                <w:rFonts w:ascii="Verdana" w:hAnsi="Verdana" w:cs="Arial"/>
              </w:rPr>
              <w:t>Decreto 1082 de 2015, artículos 2.2.1.1.2.1.1. y 2.2.1.1.1.6.1.</w:t>
            </w:r>
          </w:p>
          <w:p w14:paraId="018DEC89" w14:textId="77777777" w:rsidR="005F5849" w:rsidRPr="00D32B20" w:rsidRDefault="005F5849" w:rsidP="00B4641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D32B20">
              <w:rPr>
                <w:rFonts w:ascii="Verdana" w:hAnsi="Verdana" w:cs="Arial"/>
              </w:rPr>
              <w:t>Decreto 1079 de 2015, artículo 2.2.1.7.6.1., 2.2.1.7.4, 2.2.1.7.6.2., 2.2.1.7.3</w:t>
            </w:r>
          </w:p>
          <w:p w14:paraId="3CB80748" w14:textId="77777777" w:rsidR="005F5849" w:rsidRPr="00D32B20" w:rsidRDefault="005F5849" w:rsidP="00B4641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D32B20">
              <w:rPr>
                <w:rFonts w:ascii="Verdana" w:hAnsi="Verdana" w:cs="Arial"/>
              </w:rPr>
              <w:t xml:space="preserve">Decreto 1017 de 2025, artículo 12. </w:t>
            </w:r>
          </w:p>
          <w:p w14:paraId="7AFC21E1" w14:textId="77777777" w:rsidR="005F5849" w:rsidRPr="00D32B20" w:rsidRDefault="005F5849" w:rsidP="00B4641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D32B20">
              <w:rPr>
                <w:rFonts w:ascii="Verdana" w:hAnsi="Verdana" w:cs="Arial"/>
              </w:rPr>
              <w:t>Resolución 20263040018445 de 2026</w:t>
            </w:r>
          </w:p>
          <w:p w14:paraId="35ACC068" w14:textId="77777777" w:rsidR="005F5849" w:rsidRPr="007005D4" w:rsidRDefault="005F5849" w:rsidP="00B4641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D32B20">
              <w:rPr>
                <w:rFonts w:ascii="Verdana" w:hAnsi="Verdana" w:cs="Arial"/>
              </w:rPr>
              <w:t>Resolución 20243040057465 de 2024</w:t>
            </w:r>
          </w:p>
        </w:tc>
      </w:tr>
    </w:tbl>
    <w:p w14:paraId="18E8D45F" w14:textId="77777777" w:rsidR="005F5849" w:rsidRPr="002407CE" w:rsidRDefault="005F5849" w:rsidP="005F5849">
      <w:pPr>
        <w:widowControl w:val="0"/>
        <w:autoSpaceDE w:val="0"/>
        <w:autoSpaceDN w:val="0"/>
        <w:spacing w:after="0" w:line="276" w:lineRule="auto"/>
        <w:jc w:val="both"/>
        <w:rPr>
          <w:rFonts w:ascii="Verdana" w:hAnsi="Verdana" w:cs="Arial"/>
        </w:rPr>
      </w:pPr>
    </w:p>
    <w:p w14:paraId="3727FB55" w14:textId="77777777" w:rsidR="005F5849" w:rsidRPr="00593A5F" w:rsidRDefault="005F5849" w:rsidP="005F584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13E1B5E9" w14:textId="77777777" w:rsidR="005F5849" w:rsidRPr="003E4CC9" w:rsidRDefault="005F5849" w:rsidP="005F5849">
      <w:pPr>
        <w:widowControl w:val="0"/>
        <w:autoSpaceDE w:val="0"/>
        <w:autoSpaceDN w:val="0"/>
        <w:spacing w:after="0" w:line="276" w:lineRule="auto"/>
        <w:jc w:val="both"/>
        <w:rPr>
          <w:rFonts w:ascii="Verdana" w:hAnsi="Verdana" w:cs="Arial"/>
          <w:bCs/>
          <w:shd w:val="clear" w:color="auto" w:fill="FFFFFF"/>
        </w:rPr>
      </w:pPr>
    </w:p>
    <w:p w14:paraId="550C70CD" w14:textId="77777777" w:rsidR="005F5849" w:rsidRPr="00CB524C" w:rsidRDefault="005F5849" w:rsidP="005F5849">
      <w:pPr>
        <w:widowControl w:val="0"/>
        <w:autoSpaceDE w:val="0"/>
        <w:autoSpaceDN w:val="0"/>
        <w:spacing w:after="0" w:line="276" w:lineRule="auto"/>
        <w:jc w:val="both"/>
        <w:rPr>
          <w:rFonts w:ascii="Verdana" w:hAnsi="Verdana" w:cs="Arial"/>
          <w:bCs/>
          <w:shd w:val="clear" w:color="auto" w:fill="FFFFFF"/>
        </w:rPr>
      </w:pPr>
      <w:r w:rsidRPr="005156D9">
        <w:rPr>
          <w:rFonts w:ascii="Verdana" w:eastAsia="Calibri" w:hAnsi="Verdana" w:cs="Arial"/>
          <w:color w:val="000000" w:themeColor="text1"/>
          <w:lang w:eastAsia="es-ES_tradnl"/>
        </w:rPr>
        <w:t xml:space="preserve">La Agencia Nacional de Contratación Pública – Colombia Compra Eficiente no ha emitido conceptos específicos sobre el servicio de transporte de carga. Sin embargo, en el marco de la contratación estatal, se han identificado ciertos elementos que resultan esenciales para comprender la naturaleza de este tipo de servicios, particularmente en lo relativo a su carácter de servicio público, la necesidad de garantizar condiciones de eficiencia y transparencia, y la obligación de observar los parámetros regulatorios fijados por el Ministerio de Transporte </w:t>
      </w:r>
      <w:r>
        <w:rPr>
          <w:rFonts w:ascii="Verdana" w:eastAsia="Calibri" w:hAnsi="Verdana" w:cs="Arial"/>
          <w:color w:val="000000" w:themeColor="text1"/>
          <w:lang w:eastAsia="es-ES_tradnl"/>
        </w:rPr>
        <w:t xml:space="preserve">mediante </w:t>
      </w:r>
      <w:r w:rsidRPr="005156D9">
        <w:rPr>
          <w:rFonts w:ascii="Verdana" w:eastAsia="Calibri" w:hAnsi="Verdana" w:cs="Arial"/>
          <w:color w:val="000000" w:themeColor="text1"/>
          <w:lang w:eastAsia="es-ES_tradnl"/>
        </w:rPr>
        <w:t>instrumentos como el SICE-TAC.</w:t>
      </w:r>
      <w:r>
        <w:rPr>
          <w:rFonts w:ascii="Verdana" w:eastAsia="Calibri" w:hAnsi="Verdana" w:cs="Arial"/>
          <w:color w:val="000000" w:themeColor="text1"/>
          <w:lang w:val="es-ES" w:eastAsia="es-ES_tradnl"/>
        </w:rPr>
        <w:t xml:space="preserve">  </w:t>
      </w:r>
      <w:r w:rsidRPr="003E4CC9">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r w:rsidRPr="003E4CC9">
        <w:rPr>
          <w:rFonts w:ascii="Verdana" w:hAnsi="Verdana" w:cs="Arial"/>
          <w:bCs/>
          <w:shd w:val="clear" w:color="auto" w:fill="FFFFFF"/>
        </w:rPr>
        <w:t xml:space="preserve"> </w:t>
      </w:r>
      <w:hyperlink r:id="rId19" w:history="1">
        <w:r w:rsidRPr="003E4CC9">
          <w:rPr>
            <w:rFonts w:ascii="Verdana" w:eastAsia="Calibri" w:hAnsi="Verdana" w:cs="Times New Roman"/>
            <w:color w:val="0000FF"/>
            <w:u w:val="single"/>
            <w:lang w:val="es-ES"/>
          </w:rPr>
          <w:t>https://relatoria.colombiacompra.gov.co/busqueda/conceptos</w:t>
        </w:r>
      </w:hyperlink>
      <w:r w:rsidRPr="003E4CC9">
        <w:rPr>
          <w:rFonts w:ascii="Verdana" w:eastAsia="Calibri" w:hAnsi="Verdana" w:cs="Times New Roman"/>
        </w:rPr>
        <w:t xml:space="preserve">. </w:t>
      </w:r>
    </w:p>
    <w:p w14:paraId="59505B69" w14:textId="77777777" w:rsidR="005F5849" w:rsidRDefault="005F5849" w:rsidP="005F5849">
      <w:pPr>
        <w:widowControl w:val="0"/>
        <w:autoSpaceDE w:val="0"/>
        <w:autoSpaceDN w:val="0"/>
        <w:spacing w:after="0" w:line="276" w:lineRule="auto"/>
        <w:jc w:val="both"/>
        <w:rPr>
          <w:rFonts w:ascii="Verdana" w:eastAsia="Calibri" w:hAnsi="Verdana" w:cs="Times New Roman"/>
        </w:rPr>
      </w:pPr>
    </w:p>
    <w:p w14:paraId="7ACFBD68" w14:textId="77777777" w:rsidR="005F5849" w:rsidRPr="003D5C91" w:rsidRDefault="005F5849" w:rsidP="005F5849">
      <w:pPr>
        <w:spacing w:after="0" w:line="276" w:lineRule="auto"/>
        <w:jc w:val="both"/>
        <w:rPr>
          <w:rFonts w:ascii="Verdana" w:eastAsia="Calibri" w:hAnsi="Verdana" w:cs="Arial"/>
          <w:color w:val="000000"/>
          <w:lang w:eastAsia="es-ES_tradnl"/>
        </w:rPr>
      </w:pPr>
      <w:r w:rsidRPr="003D5C91">
        <w:rPr>
          <w:rFonts w:ascii="Verdana" w:eastAsia="Calibri" w:hAnsi="Verdana" w:cs="Arial"/>
          <w:color w:val="000000"/>
          <w:lang w:eastAsia="es-ES_tradnl"/>
        </w:rPr>
        <w:lastRenderedPageBreak/>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3D5C91">
        <w:rPr>
          <w:rFonts w:ascii="Verdana" w:eastAsia="Calibri" w:hAnsi="Verdana" w:cs="Arial"/>
          <w:b/>
          <w:bCs/>
          <w:color w:val="000000"/>
          <w:lang w:eastAsia="es-ES_tradnl"/>
        </w:rPr>
        <w:t>Guía para la Exigencia y Constitución de Garantías en los Procesos de Contratación</w:t>
      </w:r>
      <w:r w:rsidRPr="003D5C91">
        <w:rPr>
          <w:rFonts w:ascii="Verdana" w:eastAsia="Calibri" w:hAnsi="Verdana" w:cs="Arial"/>
          <w:color w:val="000000"/>
          <w:lang w:eastAsia="es-ES_tradn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20" w:tgtFrame="_blank" w:tooltip="https://www.colombiacompra.gov.co/archivos/manual/guia-de-garantias-en-procesos-de-contratacion" w:history="1">
        <w:r w:rsidRPr="003D5C91">
          <w:rPr>
            <w:rStyle w:val="Hipervnculo"/>
            <w:rFonts w:ascii="Verdana" w:eastAsia="Calibri" w:hAnsi="Verdana" w:cs="Arial"/>
            <w:lang w:eastAsia="es-ES_tradnl"/>
          </w:rPr>
          <w:t>https://www.colombiacompra.gov.co/archivos/manual/guia-de-garantias-en-procesos-de-contratacion</w:t>
        </w:r>
      </w:hyperlink>
    </w:p>
    <w:p w14:paraId="0EA23F10" w14:textId="77777777" w:rsidR="005F5849" w:rsidRDefault="005F5849" w:rsidP="005F5849">
      <w:pPr>
        <w:spacing w:after="0" w:line="276" w:lineRule="auto"/>
        <w:jc w:val="both"/>
        <w:rPr>
          <w:rFonts w:ascii="Verdana" w:eastAsia="Calibri" w:hAnsi="Verdana" w:cs="Arial"/>
          <w:color w:val="000000"/>
          <w:lang w:eastAsia="es-ES_tradnl"/>
        </w:rPr>
      </w:pPr>
    </w:p>
    <w:p w14:paraId="0159FB18" w14:textId="77777777" w:rsidR="005F5849" w:rsidRPr="003D5C91" w:rsidRDefault="005F5849" w:rsidP="005F5849">
      <w:pPr>
        <w:spacing w:after="0" w:line="276" w:lineRule="auto"/>
        <w:jc w:val="both"/>
        <w:rPr>
          <w:rFonts w:ascii="Verdana" w:eastAsia="Calibri" w:hAnsi="Verdana" w:cs="Arial"/>
          <w:color w:val="000000"/>
          <w:lang w:eastAsia="es-ES_tradnl"/>
        </w:rPr>
      </w:pPr>
      <w:r w:rsidRPr="003D5C91">
        <w:rPr>
          <w:rFonts w:ascii="Verdana" w:eastAsia="Calibri" w:hAnsi="Verdana" w:cs="Arial"/>
          <w:color w:val="000000"/>
          <w:lang w:eastAsia="es-ES_tradnl"/>
        </w:rPr>
        <w:t>De otro lado, te contamos que el Decreto 287 del 19 de marzo de 2026 sustituyó los artículos 2.2.1.2.4.2.6., 2.2.1.2.4.2.7. y 2.2.1.2.4.2.8. del Decreto 1082 de 2015 y estructuró el </w:t>
      </w:r>
      <w:r w:rsidRPr="003D5C91">
        <w:rPr>
          <w:rFonts w:ascii="Verdana" w:eastAsia="Calibri" w:hAnsi="Verdana" w:cs="Arial"/>
          <w:b/>
          <w:bCs/>
          <w:color w:val="000000"/>
          <w:lang w:eastAsia="es-ES_tradnl"/>
        </w:rPr>
        <w:t>Sistema Integral de Preferencias en favor de las personas con discapacidad</w:t>
      </w:r>
      <w:r w:rsidRPr="003D5C91">
        <w:rPr>
          <w:rFonts w:ascii="Verdana" w:eastAsia="Calibri" w:hAnsi="Verdana" w:cs="Arial"/>
          <w:color w:val="000000"/>
          <w:lang w:eastAsia="es-ES_tradnl"/>
        </w:rPr>
        <w:t>, en cumplimiento del artículo 13 de la Ley Estatutaria 1618 de 2013. Para orientar su aplicación, esta Agencia expidió la </w:t>
      </w:r>
      <w:r w:rsidRPr="003D5C91">
        <w:rPr>
          <w:rFonts w:ascii="Verdana" w:eastAsia="Calibri" w:hAnsi="Verdana" w:cs="Arial"/>
          <w:b/>
          <w:bCs/>
          <w:color w:val="000000"/>
          <w:lang w:eastAsia="es-ES_tradnl"/>
        </w:rPr>
        <w:t>Circular Externa 003 del 12 de mayo de 2026, </w:t>
      </w:r>
      <w:r w:rsidRPr="003D5C91">
        <w:rPr>
          <w:rFonts w:ascii="Verdana" w:eastAsia="Calibri" w:hAnsi="Verdana" w:cs="Arial"/>
          <w:color w:val="000000"/>
          <w:lang w:eastAsia="es-ES_tradnl"/>
        </w:rPr>
        <w:t>en la que precisa quiénes son los beneficiarios, las cinco medidas que integran el sistema y su obligatoriedad según la modalidad de selección, y el régimen de transición aplicable a los procesos en curso. Consúltala aquí: </w:t>
      </w:r>
      <w:hyperlink r:id="rId21" w:tgtFrame="_blank" w:tooltip="https://www.colombiacompra.gov.co/archivos/circular/circular-externa-003-de-2026" w:history="1">
        <w:r w:rsidRPr="003D5C91">
          <w:rPr>
            <w:rStyle w:val="Hipervnculo"/>
            <w:rFonts w:ascii="Verdana" w:eastAsia="Calibri" w:hAnsi="Verdana" w:cs="Arial"/>
            <w:lang w:eastAsia="es-ES_tradnl"/>
          </w:rPr>
          <w:t>https://www.colombiacompra.gov.co/archivos/circular/circular-externa-003-de-2026</w:t>
        </w:r>
      </w:hyperlink>
    </w:p>
    <w:p w14:paraId="7402769F" w14:textId="77777777" w:rsidR="005F5849" w:rsidRDefault="005F5849" w:rsidP="005F5849">
      <w:pPr>
        <w:spacing w:after="0" w:line="276" w:lineRule="auto"/>
        <w:jc w:val="both"/>
        <w:rPr>
          <w:rFonts w:ascii="Verdana" w:eastAsia="Calibri" w:hAnsi="Verdana" w:cs="Arial"/>
          <w:color w:val="000000"/>
          <w:lang w:eastAsia="es-ES_tradnl"/>
        </w:rPr>
      </w:pPr>
    </w:p>
    <w:p w14:paraId="1D8DA6BA" w14:textId="77777777" w:rsidR="005F5849" w:rsidRDefault="005F5849" w:rsidP="005F5849">
      <w:pPr>
        <w:spacing w:after="0" w:line="276" w:lineRule="auto"/>
        <w:jc w:val="both"/>
      </w:pPr>
      <w:r w:rsidRPr="003D5C91">
        <w:rPr>
          <w:rFonts w:ascii="Verdana" w:eastAsia="Calibri" w:hAnsi="Verdana" w:cs="Arial"/>
          <w:color w:val="000000"/>
          <w:lang w:eastAsia="es-ES_tradnl"/>
        </w:rPr>
        <w:t>Recuerda también que la</w:t>
      </w:r>
      <w:r w:rsidRPr="003D5C91">
        <w:rPr>
          <w:rFonts w:ascii="Verdana" w:eastAsia="Calibri" w:hAnsi="Verdana" w:cs="Arial"/>
          <w:b/>
          <w:bCs/>
          <w:color w:val="000000"/>
          <w:lang w:eastAsia="es-ES_tradnl"/>
        </w:rPr>
        <w:t> información sobre sanciones e inhabilidades </w:t>
      </w:r>
      <w:r w:rsidRPr="003D5C91">
        <w:rPr>
          <w:rFonts w:ascii="Verdana" w:eastAsia="Calibri" w:hAnsi="Verdana" w:cs="Arial"/>
          <w:color w:val="000000"/>
          <w:lang w:eastAsia="es-ES_tradnl"/>
        </w:rPr>
        <w:t>solo cumple su función preventiva si llega oportunamente a los registros públicos. Sobre este deber, esta Agencia expidió la </w:t>
      </w:r>
      <w:r w:rsidRPr="003D5C91">
        <w:rPr>
          <w:rFonts w:ascii="Verdana" w:eastAsia="Calibri" w:hAnsi="Verdana" w:cs="Arial"/>
          <w:b/>
          <w:bCs/>
          <w:color w:val="000000"/>
          <w:lang w:eastAsia="es-ES_tradnl"/>
        </w:rPr>
        <w:t>Circular Externa 002 del 5 de mayo de 2026,</w:t>
      </w:r>
      <w:r w:rsidRPr="003D5C91">
        <w:rPr>
          <w:rFonts w:ascii="Verdana" w:eastAsia="Calibri" w:hAnsi="Verdana" w:cs="Arial"/>
          <w:color w:val="000000"/>
          <w:lang w:eastAsia="es-ES_tradn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22" w:tgtFrame="_blank" w:tooltip="https://www.colombiacompra.gov.co/archivos/circular/circular-externa-002-de-2026" w:history="1">
        <w:r w:rsidRPr="003D5C91">
          <w:rPr>
            <w:rStyle w:val="Hipervnculo"/>
            <w:rFonts w:ascii="Verdana" w:eastAsia="Calibri" w:hAnsi="Verdana" w:cs="Arial"/>
            <w:lang w:eastAsia="es-ES_tradnl"/>
          </w:rPr>
          <w:t>https://www.colombiacompra.gov.co/archivos/circular/circular-externa-002-de-2026</w:t>
        </w:r>
      </w:hyperlink>
    </w:p>
    <w:p w14:paraId="5E42016A" w14:textId="77777777" w:rsidR="005F5849" w:rsidRPr="003D5C91" w:rsidRDefault="005F5849" w:rsidP="005F5849">
      <w:pPr>
        <w:spacing w:after="0" w:line="276" w:lineRule="auto"/>
        <w:jc w:val="both"/>
        <w:rPr>
          <w:rFonts w:ascii="Verdana" w:eastAsia="Calibri" w:hAnsi="Verdana" w:cs="Arial"/>
          <w:color w:val="000000"/>
          <w:lang w:eastAsia="es-ES_tradnl"/>
        </w:rPr>
      </w:pPr>
    </w:p>
    <w:p w14:paraId="253D232A" w14:textId="77777777" w:rsidR="005F5849" w:rsidRPr="003D5C91" w:rsidRDefault="005F5849" w:rsidP="005F5849">
      <w:pPr>
        <w:spacing w:after="0" w:line="276" w:lineRule="auto"/>
        <w:jc w:val="both"/>
        <w:rPr>
          <w:rFonts w:ascii="Verdana" w:eastAsia="Calibri" w:hAnsi="Verdana" w:cs="Arial"/>
          <w:color w:val="000000"/>
          <w:lang w:eastAsia="es-ES_tradnl"/>
        </w:rPr>
      </w:pPr>
      <w:r w:rsidRPr="003D5C91">
        <w:rPr>
          <w:rFonts w:ascii="Verdana" w:eastAsia="Calibri" w:hAnsi="Verdana" w:cs="Arial"/>
          <w:color w:val="000000"/>
          <w:lang w:eastAsia="es-ES_tradnl"/>
        </w:rPr>
        <w:lastRenderedPageBreak/>
        <w:t>Finalmente, si quieres seguir de cerca la actividad de la Agencia, la tercera edición de 2026 del</w:t>
      </w:r>
      <w:r w:rsidRPr="003D5C91">
        <w:rPr>
          <w:rFonts w:ascii="Verdana" w:eastAsia="Calibri" w:hAnsi="Verdana" w:cs="Arial"/>
          <w:b/>
          <w:bCs/>
          <w:color w:val="000000"/>
          <w:lang w:eastAsia="es-ES_tradnl"/>
        </w:rPr>
        <w:t> Radar de la Compra Pública</w:t>
      </w:r>
      <w:r w:rsidRPr="003D5C91">
        <w:rPr>
          <w:rFonts w:ascii="Verdana" w:eastAsia="Calibri" w:hAnsi="Verdana" w:cs="Arial"/>
          <w:color w:val="000000"/>
          <w:lang w:eastAsia="es-ES_tradn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23" w:tgtFrame="_blank" w:tooltip="https://www.colombiacompra.gov.co/archivos/boletin/boletin-edicion-n-3-de-2026-radar-de-la-compra-publica" w:history="1">
        <w:r w:rsidRPr="003D5C91">
          <w:rPr>
            <w:rStyle w:val="Hipervnculo"/>
            <w:rFonts w:ascii="Verdana" w:eastAsia="Calibri" w:hAnsi="Verdana" w:cs="Arial"/>
            <w:lang w:eastAsia="es-ES_tradnl"/>
          </w:rPr>
          <w:t>https://www.colombiacompra.gov.co/archivos/boletin/boletin-edicion-n-3-de-2026-radar-de-la-compra-publica</w:t>
        </w:r>
      </w:hyperlink>
    </w:p>
    <w:p w14:paraId="357ACC10" w14:textId="77777777" w:rsidR="005F5849" w:rsidRDefault="005F5849" w:rsidP="005F5849">
      <w:pPr>
        <w:spacing w:after="0"/>
        <w:jc w:val="both"/>
        <w:rPr>
          <w:rFonts w:ascii="Verdana" w:hAnsi="Verdana"/>
        </w:rPr>
      </w:pPr>
    </w:p>
    <w:p w14:paraId="42F3586E" w14:textId="77777777" w:rsidR="005F5849" w:rsidRPr="00116940" w:rsidRDefault="005F5849" w:rsidP="005F5849">
      <w:pPr>
        <w:spacing w:after="0"/>
        <w:jc w:val="both"/>
        <w:rPr>
          <w:rFonts w:ascii="Verdana" w:hAnsi="Verdana"/>
        </w:rPr>
      </w:pPr>
      <w:r w:rsidRPr="00E02524">
        <w:rPr>
          <w:rFonts w:ascii="Verdana" w:hAnsi="Verdana"/>
        </w:rPr>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0C944CE7" w14:textId="77777777" w:rsidR="005F5849" w:rsidRPr="00116940" w:rsidRDefault="005F5849" w:rsidP="005F5849">
      <w:pPr>
        <w:spacing w:after="0"/>
        <w:jc w:val="both"/>
        <w:rPr>
          <w:rFonts w:ascii="Verdana" w:hAnsi="Verdana"/>
        </w:rPr>
      </w:pPr>
    </w:p>
    <w:p w14:paraId="305704B3" w14:textId="77777777" w:rsidR="005F5849" w:rsidRPr="00116940" w:rsidRDefault="005F5849" w:rsidP="005F5849">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155C0525" w14:textId="77777777" w:rsidR="005F5849" w:rsidRPr="00116940" w:rsidRDefault="005F5849" w:rsidP="005F5849">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063E262D" w14:textId="77777777" w:rsidR="005F5849" w:rsidRPr="00116940" w:rsidRDefault="005F5849" w:rsidP="005F5849">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24">
        <w:r w:rsidRPr="00116940">
          <w:rPr>
            <w:rStyle w:val="Hipervnculo"/>
            <w:rFonts w:ascii="Verdana" w:eastAsia="Verdana" w:hAnsi="Verdana" w:cs="Verdana"/>
            <w:lang w:val="es-MX"/>
          </w:rPr>
          <w:t>ventanilladeradicacion@colombiacompra.gov.co</w:t>
        </w:r>
      </w:hyperlink>
    </w:p>
    <w:p w14:paraId="194B35A3" w14:textId="77777777" w:rsidR="005F5849" w:rsidRPr="00116940" w:rsidRDefault="005F5849" w:rsidP="005F5849">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25">
        <w:r w:rsidRPr="00116940">
          <w:rPr>
            <w:rStyle w:val="Hipervnculo"/>
            <w:rFonts w:ascii="Verdana" w:eastAsia="Verdana" w:hAnsi="Verdana" w:cs="Verdana"/>
            <w:lang w:val="es-MX"/>
          </w:rPr>
          <w:t>https://www.colombiacompra.gov.co/pqrsd/informacion-importante-antes-de-formular-una-pqrsd</w:t>
        </w:r>
      </w:hyperlink>
    </w:p>
    <w:p w14:paraId="755564E9" w14:textId="77777777" w:rsidR="005F5849" w:rsidRPr="00116940" w:rsidRDefault="005F5849" w:rsidP="005F5849">
      <w:pPr>
        <w:spacing w:after="0" w:line="240" w:lineRule="auto"/>
        <w:ind w:left="720"/>
        <w:jc w:val="both"/>
        <w:rPr>
          <w:rFonts w:ascii="Verdana" w:hAnsi="Verdana"/>
        </w:rPr>
      </w:pPr>
    </w:p>
    <w:p w14:paraId="680D2F69" w14:textId="77777777" w:rsidR="005F5849" w:rsidRPr="00116940" w:rsidRDefault="005F5849" w:rsidP="005F5849">
      <w:pPr>
        <w:spacing w:after="0" w:line="240" w:lineRule="auto"/>
        <w:rPr>
          <w:rFonts w:ascii="Verdana" w:hAnsi="Verdana"/>
        </w:rPr>
      </w:pPr>
      <w:r w:rsidRPr="00116940">
        <w:rPr>
          <w:rFonts w:ascii="Verdana" w:hAnsi="Verdana"/>
        </w:rPr>
        <w:t>Evalúa el servicio que ofrece la Agencia por el canal de atención de PQRSD en el siguiente enlace :</w:t>
      </w:r>
      <w:hyperlink r:id="rId26"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5CE0B738" w14:textId="77777777" w:rsidR="005F5849" w:rsidRPr="00116940" w:rsidRDefault="005F5849" w:rsidP="005F5849">
      <w:pPr>
        <w:spacing w:after="0" w:line="240" w:lineRule="auto"/>
        <w:rPr>
          <w:rFonts w:ascii="Verdana" w:hAnsi="Verdana"/>
        </w:rPr>
      </w:pPr>
    </w:p>
    <w:p w14:paraId="33E1C4A6" w14:textId="77777777" w:rsidR="005F5849" w:rsidRPr="00116940" w:rsidRDefault="005F5849" w:rsidP="005F5849">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7741DDF5" w14:textId="77777777" w:rsidR="005F5849" w:rsidRPr="00116940" w:rsidRDefault="005F5849" w:rsidP="005F5849">
      <w:pPr>
        <w:spacing w:after="0" w:line="240" w:lineRule="auto"/>
        <w:jc w:val="both"/>
        <w:rPr>
          <w:rFonts w:ascii="Verdana" w:hAnsi="Verdana"/>
        </w:rPr>
      </w:pPr>
    </w:p>
    <w:p w14:paraId="34ECEF0C" w14:textId="77777777" w:rsidR="005F5849" w:rsidRPr="00116940" w:rsidRDefault="005F5849" w:rsidP="005F5849">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009B80B2" w14:textId="77777777" w:rsidR="005F5849" w:rsidRPr="00116940" w:rsidRDefault="005F5849" w:rsidP="005F5849">
      <w:pPr>
        <w:spacing w:after="0" w:line="240" w:lineRule="auto"/>
        <w:jc w:val="both"/>
        <w:rPr>
          <w:rFonts w:ascii="Verdana" w:hAnsi="Verdana"/>
        </w:rPr>
      </w:pPr>
      <w:r w:rsidRPr="00116940">
        <w:rPr>
          <w:rFonts w:ascii="Verdana" w:hAnsi="Verdana"/>
        </w:rPr>
        <w:t xml:space="preserve">Facebook: </w:t>
      </w:r>
      <w:r w:rsidRPr="00116940">
        <w:rPr>
          <w:rStyle w:val="Hipervnculo"/>
          <w:rFonts w:ascii="Verdana" w:hAnsi="Verdana"/>
        </w:rPr>
        <w:t>ColombiaCompraEficiente</w:t>
      </w:r>
    </w:p>
    <w:p w14:paraId="68A4DE44" w14:textId="77777777" w:rsidR="005F5849" w:rsidRPr="00116940" w:rsidRDefault="005F5849" w:rsidP="005F5849">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17EFB9FD" w14:textId="77777777" w:rsidR="005F5849" w:rsidRPr="00116940" w:rsidRDefault="005F5849" w:rsidP="005F5849">
      <w:pPr>
        <w:spacing w:after="0" w:line="240" w:lineRule="auto"/>
        <w:jc w:val="both"/>
        <w:rPr>
          <w:rFonts w:ascii="Verdana" w:hAnsi="Verdana"/>
        </w:rPr>
      </w:pPr>
    </w:p>
    <w:p w14:paraId="62BED156" w14:textId="77777777" w:rsidR="005F5849" w:rsidRPr="009037F6" w:rsidRDefault="005F5849" w:rsidP="005F5849">
      <w:pPr>
        <w:spacing w:after="0" w:line="256" w:lineRule="auto"/>
        <w:jc w:val="both"/>
        <w:rPr>
          <w:rFonts w:ascii="Verdana" w:eastAsia="Calibri" w:hAnsi="Verdana" w:cs="Times New Roman"/>
          <w:bCs/>
          <w:lang w:val="es-ES_tradnl"/>
        </w:rPr>
      </w:pPr>
      <w:r w:rsidRPr="009037F6">
        <w:rPr>
          <w:rFonts w:ascii="Verdana" w:eastAsia="Calibri" w:hAnsi="Verdana" w:cs="Times New Roman"/>
          <w:lang w:val="es-ES_tradnl"/>
        </w:rPr>
        <w:t xml:space="preserve">Este concepto tiene el alcance previsto en el artículo 28 del Código de Procedimiento Administrativo y de lo Contencioso Administrativo y las </w:t>
      </w:r>
      <w:r w:rsidRPr="009037F6">
        <w:rPr>
          <w:rFonts w:ascii="Verdana" w:eastAsia="Calibri" w:hAnsi="Verdana" w:cs="Times New Roman"/>
          <w:lang w:val="es-ES_tradnl"/>
        </w:rPr>
        <w:lastRenderedPageBreak/>
        <w:t>expresiones utilizadas con mayúscula inicial deben ser entendidas con el significado que les otorga el artículo 2.2.1.1.1.3.1 del Decreto 1082 de 2015.</w:t>
      </w:r>
    </w:p>
    <w:p w14:paraId="4D71B372" w14:textId="77777777" w:rsidR="005F5849" w:rsidRPr="00492C4A" w:rsidRDefault="005F5849" w:rsidP="005F5849">
      <w:pPr>
        <w:spacing w:after="0" w:line="256" w:lineRule="auto"/>
        <w:jc w:val="both"/>
        <w:rPr>
          <w:rFonts w:ascii="Verdana" w:eastAsia="Calibri" w:hAnsi="Verdana" w:cs="Times New Roman"/>
          <w:lang w:val="es-ES_tradnl"/>
        </w:rPr>
      </w:pPr>
    </w:p>
    <w:p w14:paraId="1DFE0923" w14:textId="77777777" w:rsidR="005F5849" w:rsidRPr="00B513EA" w:rsidRDefault="005F5849" w:rsidP="005F5849">
      <w:pPr>
        <w:spacing w:after="0" w:line="256" w:lineRule="auto"/>
        <w:jc w:val="both"/>
        <w:rPr>
          <w:rFonts w:ascii="Verdana" w:eastAsia="Calibri" w:hAnsi="Verdana" w:cs="Times New Roman"/>
        </w:rPr>
      </w:pPr>
      <w:r w:rsidRPr="009037F6">
        <w:rPr>
          <w:rFonts w:ascii="Verdana" w:eastAsia="Calibri" w:hAnsi="Verdana" w:cs="Times New Roman"/>
        </w:rPr>
        <w:t>Atentamente,</w:t>
      </w:r>
    </w:p>
    <w:p w14:paraId="35B14CB2" w14:textId="77777777" w:rsidR="005F5849" w:rsidRDefault="005F5849" w:rsidP="005F5849">
      <w:pPr>
        <w:spacing w:after="0" w:line="256" w:lineRule="auto"/>
        <w:jc w:val="center"/>
        <w:rPr>
          <w:rFonts w:ascii="Century Gothic" w:hAnsi="Century Gothic"/>
          <w:noProof/>
          <w:sz w:val="16"/>
          <w:szCs w:val="16"/>
          <w:lang w:val="en-US"/>
        </w:rPr>
      </w:pPr>
    </w:p>
    <w:p w14:paraId="6DD81F5B" w14:textId="29F862CB" w:rsidR="005F5849" w:rsidRDefault="0018133F" w:rsidP="005F5849">
      <w:pPr>
        <w:spacing w:after="0" w:line="256" w:lineRule="auto"/>
        <w:jc w:val="center"/>
        <w:rPr>
          <w:rFonts w:ascii="Century Gothic" w:hAnsi="Century Gothic"/>
          <w:noProof/>
          <w:sz w:val="16"/>
          <w:szCs w:val="16"/>
          <w:lang w:val="en-US"/>
        </w:rPr>
      </w:pPr>
      <w:r w:rsidRPr="002C3AD6">
        <w:rPr>
          <w:rFonts w:ascii="Century Gothic" w:hAnsi="Century Gothic"/>
          <w:noProof/>
          <w:lang w:val="en-US"/>
        </w:rPr>
        <w:drawing>
          <wp:inline distT="0" distB="0" distL="0" distR="0" wp14:anchorId="38F2BE18" wp14:editId="537368F9">
            <wp:extent cx="3670300" cy="1423554"/>
            <wp:effectExtent l="0" t="0" r="6350" b="571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7"/>
                    <a:stretch>
                      <a:fillRect/>
                    </a:stretch>
                  </pic:blipFill>
                  <pic:spPr>
                    <a:xfrm>
                      <a:off x="0" y="0"/>
                      <a:ext cx="3891299" cy="1509270"/>
                    </a:xfrm>
                    <a:prstGeom prst="rect">
                      <a:avLst/>
                    </a:prstGeom>
                  </pic:spPr>
                </pic:pic>
              </a:graphicData>
            </a:graphic>
          </wp:inline>
        </w:drawing>
      </w:r>
    </w:p>
    <w:p w14:paraId="1737C5F8" w14:textId="77777777" w:rsidR="005F5849" w:rsidRPr="002961A6" w:rsidRDefault="005F5849" w:rsidP="005F5849">
      <w:pPr>
        <w:spacing w:after="0" w:line="256" w:lineRule="auto"/>
        <w:jc w:val="center"/>
        <w:rPr>
          <w:rFonts w:ascii="Century Gothic" w:hAnsi="Century Gothic"/>
          <w:noProof/>
          <w:sz w:val="16"/>
          <w:szCs w:val="16"/>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5F5849" w:rsidRPr="00D56F8A" w14:paraId="1BB1A85D" w14:textId="77777777" w:rsidTr="00B46413">
        <w:trPr>
          <w:trHeight w:val="409"/>
        </w:trPr>
        <w:tc>
          <w:tcPr>
            <w:tcW w:w="817" w:type="dxa"/>
            <w:tcBorders>
              <w:top w:val="nil"/>
              <w:left w:val="nil"/>
              <w:bottom w:val="nil"/>
              <w:right w:val="nil"/>
            </w:tcBorders>
            <w:vAlign w:val="center"/>
            <w:hideMark/>
          </w:tcPr>
          <w:p w14:paraId="51B281C0" w14:textId="77777777" w:rsidR="005F5849" w:rsidRPr="00D56F8A" w:rsidRDefault="005F5849" w:rsidP="00B46413">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4828879A" w14:textId="77777777" w:rsidR="005F5849" w:rsidRPr="00D56F8A" w:rsidRDefault="005F5849" w:rsidP="00B46413">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José Luis Sánchez Cardona</w:t>
            </w:r>
          </w:p>
          <w:p w14:paraId="55E70B84" w14:textId="77777777" w:rsidR="005F5849" w:rsidRPr="00D56F8A" w:rsidRDefault="005F5849" w:rsidP="00B46413">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Contratista de la Subdirección de Gestión Contractual</w:t>
            </w:r>
          </w:p>
        </w:tc>
      </w:tr>
      <w:tr w:rsidR="005F5849" w:rsidRPr="00D56F8A" w14:paraId="585F39B2" w14:textId="77777777" w:rsidTr="00B46413">
        <w:trPr>
          <w:trHeight w:val="409"/>
        </w:trPr>
        <w:tc>
          <w:tcPr>
            <w:tcW w:w="817" w:type="dxa"/>
            <w:tcBorders>
              <w:top w:val="nil"/>
              <w:left w:val="nil"/>
              <w:bottom w:val="nil"/>
              <w:right w:val="nil"/>
            </w:tcBorders>
            <w:vAlign w:val="center"/>
            <w:hideMark/>
          </w:tcPr>
          <w:p w14:paraId="0994B05C" w14:textId="77777777" w:rsidR="005F5849" w:rsidRPr="00D56F8A" w:rsidRDefault="005F5849" w:rsidP="00B46413">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83E7238" w14:textId="77777777" w:rsidR="005F5849" w:rsidRPr="00D56F8A" w:rsidRDefault="005F5849" w:rsidP="00B46413">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Alejandro R. Sarmiento Cantillo</w:t>
            </w:r>
          </w:p>
          <w:p w14:paraId="7EB09C0A" w14:textId="77777777" w:rsidR="005F5849" w:rsidRPr="00D56F8A" w:rsidRDefault="005F5849" w:rsidP="00B46413">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Gestor T1-15 de la Subdirección de Gestión Contractual </w:t>
            </w:r>
          </w:p>
        </w:tc>
      </w:tr>
      <w:tr w:rsidR="005F5849" w:rsidRPr="00D56F8A" w14:paraId="50A5D5AC" w14:textId="77777777" w:rsidTr="00B46413">
        <w:trPr>
          <w:trHeight w:val="389"/>
        </w:trPr>
        <w:tc>
          <w:tcPr>
            <w:tcW w:w="817" w:type="dxa"/>
            <w:tcBorders>
              <w:top w:val="nil"/>
              <w:left w:val="nil"/>
              <w:bottom w:val="nil"/>
              <w:right w:val="nil"/>
            </w:tcBorders>
            <w:vAlign w:val="center"/>
            <w:hideMark/>
          </w:tcPr>
          <w:p w14:paraId="58354A7D" w14:textId="77777777" w:rsidR="005F5849" w:rsidRPr="00D56F8A" w:rsidRDefault="005F5849" w:rsidP="00B46413">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F777BAC" w14:textId="77777777" w:rsidR="005F5849" w:rsidRPr="00D56F8A" w:rsidRDefault="005F5849" w:rsidP="00B46413">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Carolina Quintero Gacharná</w:t>
            </w:r>
          </w:p>
          <w:p w14:paraId="75D03C4A" w14:textId="77777777" w:rsidR="005F5849" w:rsidRPr="00D56F8A" w:rsidRDefault="005F5849" w:rsidP="00B46413">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Subdirectora de Gestión Contractual ANCP – CCE</w:t>
            </w:r>
          </w:p>
        </w:tc>
      </w:tr>
    </w:tbl>
    <w:p w14:paraId="05030BD1" w14:textId="77777777" w:rsidR="005F5849" w:rsidRPr="000E2B93" w:rsidRDefault="005F5849" w:rsidP="005F5849">
      <w:pPr>
        <w:spacing w:after="0" w:line="240" w:lineRule="auto"/>
        <w:jc w:val="both"/>
        <w:textAlignment w:val="baseline"/>
        <w:rPr>
          <w:rFonts w:ascii="Verdana" w:eastAsia="Verdana" w:hAnsi="Verdana" w:cs="Verdana"/>
          <w:lang w:eastAsia="es-CO"/>
        </w:rPr>
      </w:pPr>
    </w:p>
    <w:p w14:paraId="60E90CB8" w14:textId="346DA08D" w:rsidR="005F5849" w:rsidRPr="000E2B93" w:rsidRDefault="005F5849" w:rsidP="005F5849">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0F293BF4" w14:textId="79628E04" w:rsidR="00127233" w:rsidRPr="005F5849" w:rsidRDefault="00127233" w:rsidP="005F5849"/>
    <w:sectPr w:rsidR="00127233" w:rsidRPr="005F5849" w:rsidSect="007C0C0F">
      <w:headerReference w:type="default" r:id="rId28"/>
      <w:footerReference w:type="default" r:id="rId2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CC2FB" w14:textId="77777777" w:rsidR="00BA350A" w:rsidRDefault="00BA350A" w:rsidP="004A1847">
      <w:pPr>
        <w:spacing w:after="0" w:line="240" w:lineRule="auto"/>
      </w:pPr>
      <w:r>
        <w:separator/>
      </w:r>
    </w:p>
  </w:endnote>
  <w:endnote w:type="continuationSeparator" w:id="0">
    <w:p w14:paraId="68D4CCAA" w14:textId="77777777" w:rsidR="00BA350A" w:rsidRDefault="00BA350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manist Light">
    <w:altName w:val="Cambria"/>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 Light">
    <w:altName w:val="Calibri"/>
    <w:charset w:val="00"/>
    <w:family w:val="auto"/>
    <w:pitch w:val="default"/>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6110444F"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00B95CDA" w:rsidRPr="00B95CDA">
      <w:rPr>
        <w:rFonts w:ascii="Verdana" w:eastAsia="Verdana" w:hAnsi="Verdana" w:cs="Verdana"/>
        <w:b/>
        <w:bCs/>
        <w:noProof/>
        <w:sz w:val="18"/>
        <w:szCs w:val="18"/>
      </w:rPr>
      <w:t>5</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E86B2C"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BR" w:eastAsia="es-CO"/>
      </w:rPr>
    </w:pPr>
    <w:r w:rsidRPr="00E86B2C">
      <w:rPr>
        <w:rFonts w:ascii="Verdana" w:eastAsia="Verdana" w:hAnsi="Verdana" w:cs="Verdana"/>
        <w:b/>
        <w:color w:val="000000" w:themeColor="text1"/>
        <w:sz w:val="18"/>
        <w:szCs w:val="18"/>
        <w:lang w:val="pt-BR" w:eastAsia="es-CO"/>
      </w:rPr>
      <w:t xml:space="preserve">Código: </w:t>
    </w:r>
    <w:r w:rsidRPr="00E86B2C">
      <w:rPr>
        <w:rFonts w:ascii="Verdana" w:eastAsia="Verdana" w:hAnsi="Verdana" w:cs="Verdana"/>
        <w:color w:val="000000" w:themeColor="text1"/>
        <w:sz w:val="18"/>
        <w:szCs w:val="18"/>
        <w:lang w:val="pt-BR" w:eastAsia="es-CO"/>
      </w:rPr>
      <w:t xml:space="preserve">CCE-REC-FM-17 </w:t>
    </w:r>
    <w:r w:rsidRPr="00E86B2C">
      <w:rPr>
        <w:rFonts w:ascii="Verdana" w:eastAsia="Verdana" w:hAnsi="Verdana" w:cs="Verdana"/>
        <w:b/>
        <w:color w:val="000000" w:themeColor="text1"/>
        <w:sz w:val="18"/>
        <w:szCs w:val="18"/>
        <w:lang w:val="pt-BR" w:eastAsia="es-CO"/>
      </w:rPr>
      <w:t xml:space="preserve">V: </w:t>
    </w:r>
    <w:r w:rsidRPr="00E86B2C">
      <w:rPr>
        <w:rFonts w:ascii="Verdana" w:eastAsia="Verdana" w:hAnsi="Verdana" w:cs="Verdana"/>
        <w:sz w:val="18"/>
        <w:szCs w:val="18"/>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13100" w14:textId="77777777" w:rsidR="00BA350A" w:rsidRDefault="00BA350A" w:rsidP="004A1847">
      <w:pPr>
        <w:spacing w:after="0" w:line="240" w:lineRule="auto"/>
      </w:pPr>
      <w:r>
        <w:separator/>
      </w:r>
    </w:p>
  </w:footnote>
  <w:footnote w:type="continuationSeparator" w:id="0">
    <w:p w14:paraId="7F4B90D9" w14:textId="77777777" w:rsidR="00BA350A" w:rsidRDefault="00BA350A" w:rsidP="004A1847">
      <w:pPr>
        <w:spacing w:after="0" w:line="240" w:lineRule="auto"/>
      </w:pPr>
      <w:r>
        <w:continuationSeparator/>
      </w:r>
    </w:p>
  </w:footnote>
  <w:footnote w:id="1">
    <w:p w14:paraId="3DA9AEFA" w14:textId="77777777" w:rsidR="005F5849" w:rsidRPr="00D965A1" w:rsidRDefault="005F5849" w:rsidP="005F5849">
      <w:pPr>
        <w:spacing w:after="0" w:line="240" w:lineRule="auto"/>
        <w:ind w:firstLine="707"/>
        <w:jc w:val="both"/>
        <w:rPr>
          <w:rFonts w:ascii="Verdana" w:eastAsia="Verdana" w:hAnsi="Verdana" w:cs="Verdana"/>
          <w:sz w:val="16"/>
          <w:szCs w:val="16"/>
        </w:rPr>
      </w:pPr>
      <w:r w:rsidRPr="00D965A1">
        <w:rPr>
          <w:rFonts w:ascii="Verdana" w:hAnsi="Verdana"/>
          <w:sz w:val="16"/>
          <w:szCs w:val="16"/>
          <w:vertAlign w:val="superscript"/>
        </w:rPr>
        <w:footnoteRef/>
      </w:r>
      <w:r w:rsidRPr="00D965A1">
        <w:rPr>
          <w:rFonts w:ascii="Verdana" w:eastAsia="Verdana" w:hAnsi="Verdana" w:cs="Verdana"/>
          <w:sz w:val="16"/>
          <w:szCs w:val="16"/>
          <w:vertAlign w:val="superscript"/>
        </w:rPr>
        <w:t xml:space="preserve"> </w:t>
      </w:r>
      <w:r w:rsidRPr="00D965A1">
        <w:rPr>
          <w:rFonts w:ascii="Verdana" w:eastAsia="Verdana" w:hAnsi="Verdana" w:cs="Verdana"/>
          <w:sz w:val="16"/>
          <w:szCs w:val="16"/>
        </w:rPr>
        <w:t>DEIK ACOSTAMADIEDO, Carolina, Guía de Contratación Estatal: Deber de planeación y modalidades de selección, Buenos Aires, 2015, p. 59.</w:t>
      </w:r>
    </w:p>
    <w:p w14:paraId="31AA7773" w14:textId="77777777" w:rsidR="005F5849" w:rsidRPr="00D965A1" w:rsidRDefault="005F5849" w:rsidP="005F5849">
      <w:pPr>
        <w:pBdr>
          <w:top w:val="nil"/>
          <w:left w:val="nil"/>
          <w:bottom w:val="nil"/>
          <w:right w:val="nil"/>
          <w:between w:val="nil"/>
        </w:pBdr>
        <w:spacing w:after="0" w:line="240" w:lineRule="auto"/>
        <w:jc w:val="both"/>
        <w:rPr>
          <w:rFonts w:ascii="Verdana" w:eastAsia="Verdana" w:hAnsi="Verdana" w:cs="Verdana"/>
          <w:color w:val="000000"/>
          <w:sz w:val="16"/>
          <w:szCs w:val="16"/>
        </w:rPr>
      </w:pPr>
    </w:p>
  </w:footnote>
  <w:footnote w:id="2">
    <w:p w14:paraId="73B54D51" w14:textId="77777777" w:rsidR="005F5849" w:rsidRPr="00D965A1" w:rsidRDefault="005F5849" w:rsidP="005F5849">
      <w:pPr>
        <w:widowControl w:val="0"/>
        <w:pBdr>
          <w:top w:val="nil"/>
          <w:left w:val="nil"/>
          <w:bottom w:val="nil"/>
          <w:right w:val="nil"/>
          <w:between w:val="nil"/>
        </w:pBdr>
        <w:spacing w:after="0" w:line="240" w:lineRule="auto"/>
        <w:ind w:firstLine="709"/>
        <w:jc w:val="both"/>
        <w:rPr>
          <w:rFonts w:ascii="Verdana" w:eastAsia="Verdana" w:hAnsi="Verdana" w:cs="Verdana"/>
          <w:color w:val="000000"/>
          <w:sz w:val="16"/>
          <w:szCs w:val="16"/>
        </w:rPr>
      </w:pPr>
      <w:r w:rsidRPr="00D965A1">
        <w:rPr>
          <w:rFonts w:ascii="Verdana" w:hAnsi="Verdana"/>
          <w:sz w:val="16"/>
          <w:szCs w:val="16"/>
          <w:vertAlign w:val="superscript"/>
        </w:rPr>
        <w:footnoteRef/>
      </w:r>
      <w:r w:rsidRPr="00D965A1">
        <w:rPr>
          <w:rFonts w:ascii="Verdana" w:eastAsia="Verdana" w:hAnsi="Verdana" w:cs="Verdana"/>
          <w:color w:val="000000"/>
          <w:sz w:val="16"/>
          <w:szCs w:val="16"/>
        </w:rPr>
        <w:t xml:space="preserve"> “Artículo 2.2.1.1.2.1.1.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p w14:paraId="0D6414C4" w14:textId="77777777" w:rsidR="005F5849" w:rsidRPr="00D965A1" w:rsidRDefault="005F5849" w:rsidP="005F5849">
      <w:pPr>
        <w:pBdr>
          <w:top w:val="nil"/>
          <w:left w:val="nil"/>
          <w:bottom w:val="nil"/>
          <w:right w:val="nil"/>
          <w:between w:val="nil"/>
        </w:pBdr>
        <w:spacing w:after="0" w:line="240" w:lineRule="auto"/>
        <w:ind w:firstLine="709"/>
        <w:jc w:val="both"/>
        <w:rPr>
          <w:rFonts w:ascii="Verdana" w:eastAsia="Verdana" w:hAnsi="Verdana" w:cs="Verdana"/>
          <w:color w:val="000000"/>
          <w:sz w:val="16"/>
          <w:szCs w:val="16"/>
        </w:rPr>
      </w:pPr>
    </w:p>
  </w:footnote>
  <w:footnote w:id="3">
    <w:p w14:paraId="537D4BE3" w14:textId="77777777" w:rsidR="005F5849" w:rsidRPr="00D965A1" w:rsidRDefault="005F5849" w:rsidP="005F5849">
      <w:pPr>
        <w:widowControl w:val="0"/>
        <w:pBdr>
          <w:top w:val="nil"/>
          <w:left w:val="nil"/>
          <w:bottom w:val="nil"/>
          <w:right w:val="nil"/>
          <w:between w:val="nil"/>
        </w:pBdr>
        <w:spacing w:after="0" w:line="240" w:lineRule="auto"/>
        <w:ind w:firstLine="709"/>
        <w:jc w:val="both"/>
        <w:rPr>
          <w:rFonts w:ascii="Verdana" w:eastAsia="Verdana" w:hAnsi="Verdana" w:cs="Verdana"/>
          <w:color w:val="000000"/>
          <w:sz w:val="16"/>
          <w:szCs w:val="16"/>
        </w:rPr>
      </w:pPr>
      <w:r w:rsidRPr="00D965A1">
        <w:rPr>
          <w:rFonts w:ascii="Verdana" w:hAnsi="Verdana"/>
          <w:sz w:val="16"/>
          <w:szCs w:val="16"/>
          <w:vertAlign w:val="superscript"/>
        </w:rPr>
        <w:footnoteRef/>
      </w:r>
      <w:r w:rsidRPr="00D965A1">
        <w:rPr>
          <w:rFonts w:ascii="Verdana" w:eastAsia="Verdana" w:hAnsi="Verdana" w:cs="Verdana"/>
          <w:color w:val="000000"/>
          <w:sz w:val="16"/>
          <w:szCs w:val="16"/>
        </w:rPr>
        <w:t xml:space="preserve"> Consejo de Estado. Sección Tercera. Subsección B. Sentencia del 31 de agosto de 2011. Exp. 18.080. C.P. Ruth Stella Correa Palacio: “(…)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p>
    <w:p w14:paraId="08D53582" w14:textId="77777777" w:rsidR="005F5849" w:rsidRPr="00D965A1" w:rsidRDefault="005F5849" w:rsidP="005F5849">
      <w:pPr>
        <w:pBdr>
          <w:top w:val="nil"/>
          <w:left w:val="nil"/>
          <w:bottom w:val="nil"/>
          <w:right w:val="nil"/>
          <w:between w:val="nil"/>
        </w:pBdr>
        <w:spacing w:after="0" w:line="240" w:lineRule="auto"/>
        <w:jc w:val="both"/>
        <w:rPr>
          <w:rFonts w:ascii="Verdana" w:eastAsia="Verdana" w:hAnsi="Verdana" w:cs="Verdana"/>
          <w:color w:val="000000"/>
          <w:sz w:val="16"/>
          <w:szCs w:val="16"/>
        </w:rPr>
      </w:pPr>
    </w:p>
  </w:footnote>
  <w:footnote w:id="4">
    <w:p w14:paraId="7672813C" w14:textId="77777777" w:rsidR="005F5849" w:rsidRPr="00D965A1" w:rsidRDefault="005F5849" w:rsidP="005F5849">
      <w:pPr>
        <w:pBdr>
          <w:top w:val="nil"/>
          <w:left w:val="nil"/>
          <w:bottom w:val="nil"/>
          <w:right w:val="nil"/>
          <w:between w:val="nil"/>
        </w:pBdr>
        <w:spacing w:after="0" w:line="240" w:lineRule="auto"/>
        <w:ind w:firstLine="708"/>
        <w:jc w:val="both"/>
        <w:rPr>
          <w:rFonts w:ascii="Verdana" w:eastAsia="Verdana" w:hAnsi="Verdana" w:cs="Verdana"/>
          <w:color w:val="000000"/>
          <w:sz w:val="16"/>
          <w:szCs w:val="16"/>
        </w:rPr>
      </w:pPr>
      <w:r w:rsidRPr="00D965A1">
        <w:rPr>
          <w:rFonts w:ascii="Verdana" w:hAnsi="Verdana"/>
          <w:sz w:val="16"/>
          <w:szCs w:val="16"/>
          <w:vertAlign w:val="superscript"/>
        </w:rPr>
        <w:footnoteRef/>
      </w:r>
      <w:r w:rsidRPr="00D965A1">
        <w:rPr>
          <w:rFonts w:ascii="Verdana" w:eastAsia="Verdana" w:hAnsi="Verdana" w:cs="Verdana"/>
          <w:color w:val="000000"/>
          <w:sz w:val="16"/>
          <w:szCs w:val="16"/>
        </w:rPr>
        <w:t xml:space="preserve"> Decreto 1082 de 2015: “Artículo 2.2.1.1.1.6.1. Deber de análisis de las Entidades Estatales.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footnote>
  <w:footnote w:id="5">
    <w:p w14:paraId="21D4BFCD" w14:textId="77777777" w:rsidR="005F5849" w:rsidRPr="00D965A1" w:rsidRDefault="005F5849" w:rsidP="005F5849">
      <w:pPr>
        <w:pBdr>
          <w:top w:val="nil"/>
          <w:left w:val="nil"/>
          <w:bottom w:val="nil"/>
          <w:right w:val="nil"/>
          <w:between w:val="nil"/>
        </w:pBdr>
        <w:spacing w:after="0" w:line="240" w:lineRule="auto"/>
        <w:ind w:firstLine="708"/>
        <w:jc w:val="both"/>
        <w:rPr>
          <w:rFonts w:ascii="Verdana" w:eastAsia="Verdana" w:hAnsi="Verdana" w:cs="Verdana"/>
          <w:color w:val="000000"/>
          <w:sz w:val="16"/>
          <w:szCs w:val="16"/>
        </w:rPr>
      </w:pPr>
      <w:r w:rsidRPr="00D965A1">
        <w:rPr>
          <w:rFonts w:ascii="Verdana" w:hAnsi="Verdana"/>
          <w:sz w:val="16"/>
          <w:szCs w:val="16"/>
          <w:vertAlign w:val="superscript"/>
        </w:rPr>
        <w:footnoteRef/>
      </w:r>
      <w:r w:rsidRPr="00D965A1">
        <w:rPr>
          <w:rFonts w:ascii="Verdana" w:eastAsia="Verdana" w:hAnsi="Verdana" w:cs="Verdana"/>
          <w:color w:val="000000"/>
          <w:sz w:val="16"/>
          <w:szCs w:val="16"/>
        </w:rPr>
        <w:t xml:space="preserve"> Colombia Compra Eficiente. Guía de Elaboración de Estudios del Sector. Disponible en: </w:t>
      </w:r>
      <w:hyperlink r:id="rId1">
        <w:r w:rsidRPr="00D965A1">
          <w:rPr>
            <w:rFonts w:ascii="Verdana" w:eastAsia="Verdana" w:hAnsi="Verdana" w:cs="Verdana"/>
            <w:color w:val="0000FF"/>
            <w:sz w:val="16"/>
            <w:szCs w:val="16"/>
            <w:u w:val="single"/>
          </w:rPr>
          <w:t>https://www.colombiacompra.gov.co/manuales-guias-y-pliegos-tipo/manuales-y-guias</w:t>
        </w:r>
      </w:hyperlink>
      <w:r w:rsidRPr="00D965A1">
        <w:rPr>
          <w:rFonts w:ascii="Verdana" w:eastAsia="Verdana" w:hAnsi="Verdana" w:cs="Verdana"/>
          <w:color w:val="000000"/>
          <w:sz w:val="16"/>
          <w:szCs w:val="16"/>
        </w:rPr>
        <w:t xml:space="preserve"> </w:t>
      </w:r>
    </w:p>
    <w:p w14:paraId="79CEEF9D" w14:textId="77777777" w:rsidR="005F5849" w:rsidRPr="00D965A1" w:rsidRDefault="005F5849" w:rsidP="005F5849">
      <w:pPr>
        <w:pBdr>
          <w:top w:val="nil"/>
          <w:left w:val="nil"/>
          <w:bottom w:val="nil"/>
          <w:right w:val="nil"/>
          <w:between w:val="nil"/>
        </w:pBdr>
        <w:spacing w:after="0" w:line="240" w:lineRule="auto"/>
        <w:ind w:firstLine="708"/>
        <w:jc w:val="both"/>
        <w:rPr>
          <w:rFonts w:ascii="Verdana" w:eastAsia="Verdana" w:hAnsi="Verdana" w:cs="Verdana"/>
          <w:color w:val="000000"/>
          <w:sz w:val="16"/>
          <w:szCs w:val="16"/>
        </w:rPr>
      </w:pPr>
    </w:p>
  </w:footnote>
  <w:footnote w:id="6">
    <w:p w14:paraId="12CB5991" w14:textId="77777777" w:rsidR="005F5849" w:rsidRPr="00D965A1" w:rsidRDefault="005F5849" w:rsidP="005F5849">
      <w:pPr>
        <w:pStyle w:val="Textonotapie"/>
        <w:ind w:firstLine="708"/>
        <w:jc w:val="both"/>
        <w:rPr>
          <w:rFonts w:ascii="Verdana" w:hAnsi="Verdana"/>
          <w:sz w:val="16"/>
          <w:szCs w:val="16"/>
          <w:lang w:val="es-CO"/>
        </w:rPr>
      </w:pPr>
      <w:r w:rsidRPr="00D965A1">
        <w:rPr>
          <w:rStyle w:val="Refdenotaalpie"/>
          <w:rFonts w:ascii="Verdana" w:hAnsi="Verdana"/>
          <w:sz w:val="16"/>
          <w:szCs w:val="16"/>
        </w:rPr>
        <w:footnoteRef/>
      </w:r>
      <w:r w:rsidRPr="00D965A1">
        <w:rPr>
          <w:rFonts w:ascii="Verdana" w:hAnsi="Verdana"/>
          <w:sz w:val="16"/>
          <w:szCs w:val="16"/>
        </w:rPr>
        <w:t xml:space="preserve"> En torno a la estructuración de costos del SICE-TAC, puede acudirse a la siguiente link con la consulta: </w:t>
      </w:r>
      <w:hyperlink r:id="rId2" w:history="1">
        <w:r w:rsidRPr="00D965A1">
          <w:rPr>
            <w:rStyle w:val="Hipervnculo"/>
            <w:rFonts w:ascii="Verdana" w:hAnsi="Verdana"/>
            <w:sz w:val="16"/>
            <w:szCs w:val="16"/>
          </w:rPr>
          <w:t>https://mintransporte.gov.co/publicaciones/4462/sice-tac/</w:t>
        </w:r>
      </w:hyperlink>
      <w:r w:rsidRPr="00D965A1">
        <w:rPr>
          <w:rFonts w:ascii="Verdana" w:hAnsi="Verdana"/>
          <w:sz w:val="16"/>
          <w:szCs w:val="16"/>
        </w:rPr>
        <w:t xml:space="preserve"> </w:t>
      </w:r>
    </w:p>
  </w:footnote>
  <w:footnote w:id="7">
    <w:p w14:paraId="1E37C926" w14:textId="77777777" w:rsidR="005F5849" w:rsidRPr="00D965A1" w:rsidRDefault="005F5849" w:rsidP="005F5849">
      <w:pPr>
        <w:pStyle w:val="Textonotapie"/>
        <w:ind w:firstLine="709"/>
        <w:jc w:val="both"/>
        <w:rPr>
          <w:rFonts w:ascii="Verdana" w:hAnsi="Verdana"/>
          <w:sz w:val="16"/>
          <w:szCs w:val="16"/>
        </w:rPr>
      </w:pPr>
      <w:r w:rsidRPr="00D965A1">
        <w:rPr>
          <w:rFonts w:ascii="Verdana" w:hAnsi="Verdana"/>
          <w:sz w:val="16"/>
          <w:szCs w:val="16"/>
          <w:vertAlign w:val="superscript"/>
        </w:rPr>
        <w:footnoteRef/>
      </w:r>
      <w:r w:rsidRPr="00D965A1">
        <w:rPr>
          <w:rFonts w:ascii="Verdana" w:hAnsi="Verdana"/>
          <w:sz w:val="16"/>
          <w:szCs w:val="16"/>
        </w:rPr>
        <w:t xml:space="preserve"> Artículo 17 de la Ley 1150 de 2007</w:t>
      </w:r>
    </w:p>
  </w:footnote>
  <w:footnote w:id="8">
    <w:p w14:paraId="5D2C767E" w14:textId="77777777" w:rsidR="005F5849" w:rsidRPr="00D965A1" w:rsidRDefault="005F5849" w:rsidP="005F5849">
      <w:pPr>
        <w:pStyle w:val="Textonotapie"/>
        <w:ind w:firstLine="709"/>
        <w:jc w:val="both"/>
        <w:rPr>
          <w:rFonts w:ascii="Verdana" w:hAnsi="Verdana"/>
          <w:sz w:val="16"/>
          <w:szCs w:val="16"/>
        </w:rPr>
      </w:pPr>
      <w:r w:rsidRPr="00D965A1">
        <w:rPr>
          <w:rFonts w:ascii="Verdana" w:hAnsi="Verdana"/>
          <w:sz w:val="16"/>
          <w:szCs w:val="16"/>
          <w:vertAlign w:val="superscript"/>
        </w:rPr>
        <w:footnoteRef/>
      </w:r>
      <w:r w:rsidRPr="00D965A1">
        <w:rPr>
          <w:rFonts w:ascii="Verdana" w:hAnsi="Verdana"/>
          <w:sz w:val="16"/>
          <w:szCs w:val="16"/>
        </w:rPr>
        <w:t xml:space="preserve"> Artículo 21 de la Ley 1150 de 2007</w:t>
      </w:r>
    </w:p>
  </w:footnote>
  <w:footnote w:id="9">
    <w:p w14:paraId="0DCAA8C0" w14:textId="77777777" w:rsidR="005F5849" w:rsidRPr="00D965A1" w:rsidRDefault="005F5849" w:rsidP="005F5849">
      <w:pPr>
        <w:pStyle w:val="Textonotapie"/>
        <w:ind w:firstLine="709"/>
        <w:jc w:val="both"/>
        <w:rPr>
          <w:rFonts w:ascii="Verdana" w:hAnsi="Verdana"/>
          <w:sz w:val="16"/>
          <w:szCs w:val="16"/>
        </w:rPr>
      </w:pPr>
      <w:r w:rsidRPr="00D965A1">
        <w:rPr>
          <w:rFonts w:ascii="Verdana" w:hAnsi="Verdana"/>
          <w:sz w:val="16"/>
          <w:szCs w:val="16"/>
          <w:vertAlign w:val="superscript"/>
        </w:rPr>
        <w:footnoteRef/>
      </w:r>
      <w:r w:rsidRPr="00D965A1">
        <w:rPr>
          <w:rFonts w:ascii="Verdana" w:hAnsi="Verdana"/>
          <w:sz w:val="16"/>
          <w:szCs w:val="16"/>
        </w:rPr>
        <w:t xml:space="preserve"> Artículos 83 a 86 de la Ley 1474 de 2011</w:t>
      </w:r>
    </w:p>
  </w:footnote>
  <w:footnote w:id="10">
    <w:p w14:paraId="32B89396" w14:textId="77777777" w:rsidR="005F5849" w:rsidRPr="00D965A1" w:rsidRDefault="005F5849" w:rsidP="005F5849">
      <w:pPr>
        <w:pStyle w:val="Textonotapie"/>
        <w:ind w:firstLine="709"/>
        <w:jc w:val="both"/>
        <w:rPr>
          <w:rFonts w:ascii="Verdana" w:hAnsi="Verdana"/>
          <w:sz w:val="16"/>
          <w:szCs w:val="16"/>
        </w:rPr>
      </w:pPr>
      <w:r w:rsidRPr="00D965A1">
        <w:rPr>
          <w:rFonts w:ascii="Verdana" w:hAnsi="Verdana"/>
          <w:sz w:val="16"/>
          <w:szCs w:val="16"/>
          <w:vertAlign w:val="superscript"/>
        </w:rPr>
        <w:footnoteRef/>
      </w:r>
      <w:r w:rsidRPr="00D965A1">
        <w:rPr>
          <w:rFonts w:ascii="Verdana" w:hAnsi="Verdana"/>
          <w:sz w:val="16"/>
          <w:szCs w:val="16"/>
        </w:rPr>
        <w:t xml:space="preserve"> Consejo de Estado. Sección Tercera –Subsección C. Sentencia del 27 de noviembre de 2017.</w:t>
      </w:r>
      <w:r w:rsidRPr="00D965A1">
        <w:rPr>
          <w:rFonts w:ascii="Verdana" w:hAnsi="Verdana"/>
          <w:sz w:val="16"/>
          <w:szCs w:val="16"/>
          <w:lang w:val="es-CO"/>
        </w:rPr>
        <w:t xml:space="preserve"> Exp. 51.802.</w:t>
      </w:r>
      <w:r w:rsidRPr="00D965A1">
        <w:rPr>
          <w:rFonts w:ascii="Verdana" w:hAnsi="Verdana"/>
          <w:sz w:val="16"/>
          <w:szCs w:val="16"/>
        </w:rPr>
        <w:t xml:space="preserve"> C.P. Jaime Orlando Santofimio Gamboa. </w:t>
      </w:r>
    </w:p>
  </w:footnote>
  <w:footnote w:id="11">
    <w:p w14:paraId="6E02A00E" w14:textId="77777777" w:rsidR="005F5849" w:rsidRPr="00D965A1" w:rsidRDefault="005F5849" w:rsidP="005F5849">
      <w:pPr>
        <w:pStyle w:val="Textonotapie"/>
        <w:ind w:firstLine="709"/>
        <w:jc w:val="both"/>
        <w:rPr>
          <w:rFonts w:ascii="Verdana" w:hAnsi="Verdana"/>
          <w:sz w:val="16"/>
          <w:szCs w:val="16"/>
        </w:rPr>
      </w:pPr>
      <w:r w:rsidRPr="00D965A1">
        <w:rPr>
          <w:rFonts w:ascii="Verdana" w:hAnsi="Verdana"/>
          <w:sz w:val="16"/>
          <w:szCs w:val="16"/>
          <w:vertAlign w:val="superscript"/>
        </w:rPr>
        <w:footnoteRef/>
      </w:r>
      <w:r w:rsidRPr="00D965A1">
        <w:rPr>
          <w:rFonts w:ascii="Verdana" w:hAnsi="Verdana"/>
          <w:sz w:val="16"/>
          <w:szCs w:val="16"/>
        </w:rPr>
        <w:t xml:space="preserve"> Artículo 83 de la Ley 1474 de 2011</w:t>
      </w:r>
    </w:p>
  </w:footnote>
  <w:footnote w:id="12">
    <w:p w14:paraId="75C32C9F" w14:textId="77777777" w:rsidR="005F5849" w:rsidRPr="00D965A1" w:rsidRDefault="005F5849" w:rsidP="005F5849">
      <w:pPr>
        <w:pStyle w:val="Textonotapie"/>
        <w:ind w:firstLine="709"/>
        <w:jc w:val="both"/>
        <w:rPr>
          <w:rFonts w:ascii="Verdana" w:hAnsi="Verdana"/>
          <w:sz w:val="16"/>
          <w:szCs w:val="16"/>
        </w:rPr>
      </w:pPr>
      <w:r w:rsidRPr="00D965A1">
        <w:rPr>
          <w:rFonts w:ascii="Verdana" w:hAnsi="Verdana"/>
          <w:sz w:val="16"/>
          <w:szCs w:val="16"/>
          <w:vertAlign w:val="superscript"/>
        </w:rPr>
        <w:footnoteRef/>
      </w:r>
      <w:r w:rsidRPr="00D965A1">
        <w:rPr>
          <w:rFonts w:ascii="Verdana" w:hAnsi="Verdana"/>
          <w:sz w:val="16"/>
          <w:szCs w:val="16"/>
        </w:rPr>
        <w:t xml:space="preserve"> A excepción de la interventoría del contrato de obra adjudicado por licitación pública que es obligatoria según el numeral 1° del artículo 32 de la Ley 80 de 1993.</w:t>
      </w:r>
    </w:p>
  </w:footnote>
  <w:footnote w:id="13">
    <w:p w14:paraId="5B93D38F" w14:textId="77777777" w:rsidR="005F5849" w:rsidRPr="00D965A1" w:rsidRDefault="005F5849" w:rsidP="005F5849">
      <w:pPr>
        <w:pStyle w:val="Textonotapie"/>
        <w:adjustRightInd w:val="0"/>
        <w:snapToGrid w:val="0"/>
        <w:ind w:firstLine="709"/>
        <w:jc w:val="both"/>
        <w:rPr>
          <w:rFonts w:ascii="Verdana" w:hAnsi="Verdana" w:cs="Arial"/>
          <w:color w:val="161616"/>
          <w:sz w:val="16"/>
          <w:szCs w:val="16"/>
        </w:rPr>
      </w:pPr>
      <w:r w:rsidRPr="00D965A1">
        <w:rPr>
          <w:rStyle w:val="Refdenotaalpie"/>
          <w:rFonts w:ascii="Verdana" w:hAnsi="Verdana"/>
          <w:sz w:val="16"/>
          <w:szCs w:val="16"/>
        </w:rPr>
        <w:footnoteRef/>
      </w:r>
      <w:r w:rsidRPr="00D965A1">
        <w:rPr>
          <w:rFonts w:ascii="Verdana" w:hAnsi="Verdana"/>
          <w:sz w:val="16"/>
          <w:szCs w:val="16"/>
        </w:rPr>
        <w:t xml:space="preserve"> </w:t>
      </w:r>
      <w:r w:rsidRPr="00D965A1">
        <w:rPr>
          <w:rFonts w:ascii="Verdana" w:hAnsi="Verdana" w:cs="Arial"/>
          <w:color w:val="161616"/>
          <w:sz w:val="16"/>
          <w:szCs w:val="16"/>
        </w:rPr>
        <w:t>“Son también contratos de consultoría los que tienen por objeto la interventoría […]”</w:t>
      </w:r>
    </w:p>
  </w:footnote>
  <w:footnote w:id="14">
    <w:p w14:paraId="51280245" w14:textId="77777777" w:rsidR="005F5849" w:rsidRPr="00D965A1" w:rsidRDefault="005F5849" w:rsidP="005F5849">
      <w:pPr>
        <w:pStyle w:val="Textonotapie"/>
        <w:ind w:firstLine="708"/>
        <w:jc w:val="both"/>
        <w:rPr>
          <w:rFonts w:ascii="Verdana" w:hAnsi="Verdana"/>
          <w:sz w:val="16"/>
          <w:szCs w:val="16"/>
          <w:lang w:val="es-CO"/>
        </w:rPr>
      </w:pPr>
      <w:r w:rsidRPr="00D965A1">
        <w:rPr>
          <w:rStyle w:val="Refdenotaalpie"/>
          <w:rFonts w:ascii="Verdana" w:hAnsi="Verdana"/>
          <w:sz w:val="16"/>
          <w:szCs w:val="16"/>
        </w:rPr>
        <w:footnoteRef/>
      </w:r>
      <w:r w:rsidRPr="00D965A1">
        <w:rPr>
          <w:rFonts w:ascii="Verdana" w:hAnsi="Verdana"/>
          <w:sz w:val="16"/>
          <w:szCs w:val="16"/>
        </w:rPr>
        <w:t xml:space="preserve"> RINCÓN CÓRDOBA, Jorge Iván. La interventoría y supervisión: los presupuestos en los que se desarrolla la función administrativa de vigilancia de la ejecución contractual. En: Contratos públicos: problemas, perspectivas y prospectivas. Bogotá: Universidad Externado de Colombia, 2017. p. 628. </w:t>
      </w:r>
    </w:p>
  </w:footnote>
  <w:footnote w:id="15">
    <w:p w14:paraId="06EBEB6F" w14:textId="77777777" w:rsidR="005F5849" w:rsidRPr="00D965A1" w:rsidRDefault="005F5849" w:rsidP="005F5849">
      <w:pPr>
        <w:pStyle w:val="Textonotapie"/>
        <w:ind w:firstLine="708"/>
        <w:jc w:val="both"/>
        <w:rPr>
          <w:rFonts w:ascii="Verdana" w:hAnsi="Verdana"/>
          <w:sz w:val="16"/>
          <w:szCs w:val="16"/>
          <w:lang w:val="es-CO"/>
        </w:rPr>
      </w:pPr>
      <w:r w:rsidRPr="00D965A1">
        <w:rPr>
          <w:rStyle w:val="Refdenotaalpie"/>
          <w:rFonts w:ascii="Verdana" w:hAnsi="Verdana"/>
          <w:sz w:val="16"/>
          <w:szCs w:val="16"/>
        </w:rPr>
        <w:footnoteRef/>
      </w:r>
      <w:r w:rsidRPr="00D965A1">
        <w:rPr>
          <w:rFonts w:ascii="Verdana" w:hAnsi="Verdana"/>
          <w:sz w:val="16"/>
          <w:szCs w:val="16"/>
        </w:rPr>
        <w:t xml:space="preserve"> </w:t>
      </w:r>
      <w:r w:rsidRPr="00D965A1">
        <w:rPr>
          <w:rFonts w:ascii="Verdana" w:hAnsi="Verdana"/>
          <w:i/>
          <w:iCs/>
          <w:sz w:val="16"/>
          <w:szCs w:val="16"/>
        </w:rPr>
        <w:t>Ibidem</w:t>
      </w:r>
      <w:r w:rsidRPr="00D965A1">
        <w:rPr>
          <w:rFonts w:ascii="Verdana" w:hAnsi="Verdana"/>
          <w:sz w:val="16"/>
          <w:szCs w:val="16"/>
        </w:rPr>
        <w:t>, p. 629.</w:t>
      </w:r>
    </w:p>
  </w:footnote>
  <w:footnote w:id="16">
    <w:p w14:paraId="23B3B70D" w14:textId="77777777" w:rsidR="005F5849" w:rsidRPr="00D965A1" w:rsidRDefault="005F5849" w:rsidP="005F5849">
      <w:pPr>
        <w:pStyle w:val="Textonotapie"/>
        <w:ind w:firstLine="708"/>
        <w:jc w:val="both"/>
        <w:rPr>
          <w:rFonts w:ascii="Verdana" w:hAnsi="Verdana"/>
          <w:sz w:val="16"/>
          <w:szCs w:val="16"/>
          <w:lang w:val="en-US"/>
        </w:rPr>
      </w:pPr>
      <w:r w:rsidRPr="00D965A1">
        <w:rPr>
          <w:rStyle w:val="Refdenotaalpie"/>
          <w:rFonts w:ascii="Verdana" w:hAnsi="Verdana"/>
          <w:sz w:val="16"/>
          <w:szCs w:val="16"/>
        </w:rPr>
        <w:footnoteRef/>
      </w:r>
      <w:r w:rsidRPr="00D965A1">
        <w:rPr>
          <w:rFonts w:ascii="Verdana" w:hAnsi="Verdana"/>
          <w:sz w:val="16"/>
          <w:szCs w:val="16"/>
        </w:rPr>
        <w:t xml:space="preserve"> SUÁREZ BELTRÁN, Gonzalo. Estudios de derecho contractual público. Bogotá: Universidad Pontificia Javeriana – Legis, 2014. p. 259.</w:t>
      </w:r>
    </w:p>
  </w:footnote>
  <w:footnote w:id="17">
    <w:p w14:paraId="40822A44" w14:textId="77777777" w:rsidR="005F5849" w:rsidRPr="004D03FA" w:rsidRDefault="005F5849" w:rsidP="005F5849">
      <w:pPr>
        <w:pStyle w:val="Textonotapie"/>
        <w:ind w:firstLine="708"/>
        <w:jc w:val="both"/>
        <w:rPr>
          <w:rFonts w:ascii="Verdana" w:hAnsi="Verdana"/>
          <w:sz w:val="16"/>
          <w:szCs w:val="16"/>
          <w:lang w:val="en-US"/>
        </w:rPr>
      </w:pPr>
      <w:r w:rsidRPr="00D965A1">
        <w:rPr>
          <w:rStyle w:val="Refdenotaalpie"/>
          <w:rFonts w:ascii="Verdana" w:hAnsi="Verdana"/>
          <w:sz w:val="16"/>
          <w:szCs w:val="16"/>
        </w:rPr>
        <w:footnoteRef/>
      </w:r>
      <w:r w:rsidRPr="00D965A1">
        <w:rPr>
          <w:rFonts w:ascii="Verdana" w:hAnsi="Verdana"/>
          <w:sz w:val="16"/>
          <w:szCs w:val="16"/>
        </w:rPr>
        <w:t xml:space="preserve"> </w:t>
      </w:r>
      <w:r w:rsidRPr="00D965A1">
        <w:rPr>
          <w:rFonts w:ascii="Verdana" w:hAnsi="Verdana"/>
          <w:i/>
          <w:iCs/>
          <w:sz w:val="16"/>
          <w:szCs w:val="16"/>
        </w:rPr>
        <w:t>Ibidem</w:t>
      </w:r>
      <w:r w:rsidRPr="00D965A1">
        <w:rPr>
          <w:rFonts w:ascii="Verdana" w:hAnsi="Verdan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BBD45DE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62C6F08"/>
    <w:multiLevelType w:val="hybridMultilevel"/>
    <w:tmpl w:val="1A3E4554"/>
    <w:lvl w:ilvl="0" w:tplc="F052FAF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E8F07C9"/>
    <w:multiLevelType w:val="hybridMultilevel"/>
    <w:tmpl w:val="8E4C713C"/>
    <w:lvl w:ilvl="0" w:tplc="C67C1F5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2064869927">
    <w:abstractNumId w:val="8"/>
  </w:num>
  <w:num w:numId="2" w16cid:durableId="1679043163">
    <w:abstractNumId w:val="3"/>
  </w:num>
  <w:num w:numId="3" w16cid:durableId="721825068">
    <w:abstractNumId w:val="6"/>
  </w:num>
  <w:num w:numId="4" w16cid:durableId="18310998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06137640">
    <w:abstractNumId w:val="3"/>
  </w:num>
  <w:num w:numId="6" w16cid:durableId="569776655">
    <w:abstractNumId w:val="17"/>
  </w:num>
  <w:num w:numId="7" w16cid:durableId="1312059012">
    <w:abstractNumId w:val="7"/>
  </w:num>
  <w:num w:numId="8" w16cid:durableId="2026008029">
    <w:abstractNumId w:val="16"/>
  </w:num>
  <w:num w:numId="9" w16cid:durableId="2099867316">
    <w:abstractNumId w:val="10"/>
  </w:num>
  <w:num w:numId="10" w16cid:durableId="837158844">
    <w:abstractNumId w:val="15"/>
  </w:num>
  <w:num w:numId="11" w16cid:durableId="1490363418">
    <w:abstractNumId w:val="11"/>
  </w:num>
  <w:num w:numId="12" w16cid:durableId="2058774802">
    <w:abstractNumId w:val="2"/>
  </w:num>
  <w:num w:numId="13" w16cid:durableId="967201648">
    <w:abstractNumId w:val="4"/>
  </w:num>
  <w:num w:numId="14" w16cid:durableId="1045330939">
    <w:abstractNumId w:val="18"/>
  </w:num>
  <w:num w:numId="15" w16cid:durableId="1154832368">
    <w:abstractNumId w:val="14"/>
  </w:num>
  <w:num w:numId="16" w16cid:durableId="1511411592">
    <w:abstractNumId w:val="1"/>
  </w:num>
  <w:num w:numId="17" w16cid:durableId="1282030367">
    <w:abstractNumId w:val="12"/>
  </w:num>
  <w:num w:numId="18" w16cid:durableId="74788305">
    <w:abstractNumId w:val="5"/>
  </w:num>
  <w:num w:numId="19" w16cid:durableId="399910336">
    <w:abstractNumId w:val="9"/>
  </w:num>
  <w:num w:numId="20" w16cid:durableId="153255849">
    <w:abstractNumId w:val="13"/>
  </w:num>
  <w:num w:numId="21" w16cid:durableId="742219035">
    <w:abstractNumId w:val="0"/>
  </w:num>
  <w:num w:numId="22" w16cid:durableId="4910697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4608"/>
    <w:rsid w:val="00016F78"/>
    <w:rsid w:val="00027D37"/>
    <w:rsid w:val="00031D68"/>
    <w:rsid w:val="0003562F"/>
    <w:rsid w:val="0004666F"/>
    <w:rsid w:val="00046945"/>
    <w:rsid w:val="00053242"/>
    <w:rsid w:val="000535E9"/>
    <w:rsid w:val="00054028"/>
    <w:rsid w:val="00061B2A"/>
    <w:rsid w:val="00064880"/>
    <w:rsid w:val="0006532D"/>
    <w:rsid w:val="00077FC6"/>
    <w:rsid w:val="00082362"/>
    <w:rsid w:val="00082F5C"/>
    <w:rsid w:val="00086F05"/>
    <w:rsid w:val="0009585C"/>
    <w:rsid w:val="000A1417"/>
    <w:rsid w:val="000A4639"/>
    <w:rsid w:val="000A683E"/>
    <w:rsid w:val="000B19B9"/>
    <w:rsid w:val="000B418E"/>
    <w:rsid w:val="000C0086"/>
    <w:rsid w:val="000C04CE"/>
    <w:rsid w:val="000C185B"/>
    <w:rsid w:val="000C20B2"/>
    <w:rsid w:val="000C35F5"/>
    <w:rsid w:val="000D0334"/>
    <w:rsid w:val="000D5DA7"/>
    <w:rsid w:val="000E2AE0"/>
    <w:rsid w:val="000E49DB"/>
    <w:rsid w:val="000E761B"/>
    <w:rsid w:val="000E7D3E"/>
    <w:rsid w:val="000F6486"/>
    <w:rsid w:val="000F7920"/>
    <w:rsid w:val="000F7B70"/>
    <w:rsid w:val="00100688"/>
    <w:rsid w:val="00102527"/>
    <w:rsid w:val="00104937"/>
    <w:rsid w:val="00113479"/>
    <w:rsid w:val="00113DD6"/>
    <w:rsid w:val="001141C8"/>
    <w:rsid w:val="0011522F"/>
    <w:rsid w:val="001155DF"/>
    <w:rsid w:val="00116940"/>
    <w:rsid w:val="00120B2D"/>
    <w:rsid w:val="00125105"/>
    <w:rsid w:val="00127233"/>
    <w:rsid w:val="001371CF"/>
    <w:rsid w:val="001377A0"/>
    <w:rsid w:val="0014242F"/>
    <w:rsid w:val="00145082"/>
    <w:rsid w:val="001464E8"/>
    <w:rsid w:val="001465A6"/>
    <w:rsid w:val="00146F78"/>
    <w:rsid w:val="00155AC5"/>
    <w:rsid w:val="0015699B"/>
    <w:rsid w:val="00161169"/>
    <w:rsid w:val="001623C3"/>
    <w:rsid w:val="00163E17"/>
    <w:rsid w:val="0016531D"/>
    <w:rsid w:val="00167371"/>
    <w:rsid w:val="0018133F"/>
    <w:rsid w:val="00197091"/>
    <w:rsid w:val="00197E62"/>
    <w:rsid w:val="001A33BF"/>
    <w:rsid w:val="001A7908"/>
    <w:rsid w:val="001B5486"/>
    <w:rsid w:val="001C3A60"/>
    <w:rsid w:val="001C6BA3"/>
    <w:rsid w:val="001E3C75"/>
    <w:rsid w:val="001E4177"/>
    <w:rsid w:val="001F02FF"/>
    <w:rsid w:val="001F0B24"/>
    <w:rsid w:val="001F1C13"/>
    <w:rsid w:val="001F3C80"/>
    <w:rsid w:val="001F77DC"/>
    <w:rsid w:val="001F7DC6"/>
    <w:rsid w:val="002055CF"/>
    <w:rsid w:val="0021426F"/>
    <w:rsid w:val="00217968"/>
    <w:rsid w:val="0022361B"/>
    <w:rsid w:val="0022400B"/>
    <w:rsid w:val="002259C3"/>
    <w:rsid w:val="00230CF1"/>
    <w:rsid w:val="00232DFC"/>
    <w:rsid w:val="002410C7"/>
    <w:rsid w:val="002421BB"/>
    <w:rsid w:val="0025796E"/>
    <w:rsid w:val="0026315F"/>
    <w:rsid w:val="00263661"/>
    <w:rsid w:val="002707A2"/>
    <w:rsid w:val="0028373C"/>
    <w:rsid w:val="00286CD5"/>
    <w:rsid w:val="0029095E"/>
    <w:rsid w:val="002951A0"/>
    <w:rsid w:val="00295C23"/>
    <w:rsid w:val="002962BC"/>
    <w:rsid w:val="00297591"/>
    <w:rsid w:val="002975E1"/>
    <w:rsid w:val="002A093D"/>
    <w:rsid w:val="002A0DD0"/>
    <w:rsid w:val="002A49AC"/>
    <w:rsid w:val="002A64FD"/>
    <w:rsid w:val="002B0F7C"/>
    <w:rsid w:val="002B2010"/>
    <w:rsid w:val="002B2665"/>
    <w:rsid w:val="002B29D7"/>
    <w:rsid w:val="002B2D28"/>
    <w:rsid w:val="002B2DC2"/>
    <w:rsid w:val="002B6348"/>
    <w:rsid w:val="002B78E1"/>
    <w:rsid w:val="002C5EF4"/>
    <w:rsid w:val="002C7930"/>
    <w:rsid w:val="002C7A84"/>
    <w:rsid w:val="002E09B3"/>
    <w:rsid w:val="002E2BF8"/>
    <w:rsid w:val="002E4FD9"/>
    <w:rsid w:val="002F10DD"/>
    <w:rsid w:val="002F482F"/>
    <w:rsid w:val="002F50CD"/>
    <w:rsid w:val="0030657A"/>
    <w:rsid w:val="00311B03"/>
    <w:rsid w:val="00314545"/>
    <w:rsid w:val="0031491B"/>
    <w:rsid w:val="00322A85"/>
    <w:rsid w:val="00324168"/>
    <w:rsid w:val="00326E74"/>
    <w:rsid w:val="00330834"/>
    <w:rsid w:val="00331E39"/>
    <w:rsid w:val="003361DA"/>
    <w:rsid w:val="003448F4"/>
    <w:rsid w:val="00350544"/>
    <w:rsid w:val="003531B0"/>
    <w:rsid w:val="00355A91"/>
    <w:rsid w:val="00360C73"/>
    <w:rsid w:val="00363B2F"/>
    <w:rsid w:val="00367615"/>
    <w:rsid w:val="003723A0"/>
    <w:rsid w:val="00374B6B"/>
    <w:rsid w:val="00374D66"/>
    <w:rsid w:val="00374F5E"/>
    <w:rsid w:val="00374FB0"/>
    <w:rsid w:val="00375282"/>
    <w:rsid w:val="00376E22"/>
    <w:rsid w:val="003778EA"/>
    <w:rsid w:val="00377E3E"/>
    <w:rsid w:val="00386D20"/>
    <w:rsid w:val="00394FDD"/>
    <w:rsid w:val="0039657C"/>
    <w:rsid w:val="003A779E"/>
    <w:rsid w:val="003B0355"/>
    <w:rsid w:val="003B3419"/>
    <w:rsid w:val="003B57F2"/>
    <w:rsid w:val="003C37E1"/>
    <w:rsid w:val="003C6133"/>
    <w:rsid w:val="003C7A8E"/>
    <w:rsid w:val="003D044F"/>
    <w:rsid w:val="003D0F4D"/>
    <w:rsid w:val="003D1644"/>
    <w:rsid w:val="003D2041"/>
    <w:rsid w:val="003D5716"/>
    <w:rsid w:val="003D5AFD"/>
    <w:rsid w:val="003D5B0D"/>
    <w:rsid w:val="003D75FE"/>
    <w:rsid w:val="003E0499"/>
    <w:rsid w:val="003E0971"/>
    <w:rsid w:val="003E2B0B"/>
    <w:rsid w:val="003E2F4C"/>
    <w:rsid w:val="003E4CB0"/>
    <w:rsid w:val="003E4F80"/>
    <w:rsid w:val="003E6439"/>
    <w:rsid w:val="003F3941"/>
    <w:rsid w:val="00401B76"/>
    <w:rsid w:val="00401DA3"/>
    <w:rsid w:val="00402D8A"/>
    <w:rsid w:val="00404CEC"/>
    <w:rsid w:val="00405499"/>
    <w:rsid w:val="00406575"/>
    <w:rsid w:val="0040707D"/>
    <w:rsid w:val="00410BD7"/>
    <w:rsid w:val="0041294F"/>
    <w:rsid w:val="0041305E"/>
    <w:rsid w:val="00413B44"/>
    <w:rsid w:val="00414C74"/>
    <w:rsid w:val="004155AC"/>
    <w:rsid w:val="00417021"/>
    <w:rsid w:val="00422382"/>
    <w:rsid w:val="00422FED"/>
    <w:rsid w:val="0042722E"/>
    <w:rsid w:val="0043185A"/>
    <w:rsid w:val="00433C4C"/>
    <w:rsid w:val="0044528D"/>
    <w:rsid w:val="00451132"/>
    <w:rsid w:val="00451EC3"/>
    <w:rsid w:val="00466E39"/>
    <w:rsid w:val="004734C7"/>
    <w:rsid w:val="004752F6"/>
    <w:rsid w:val="00476377"/>
    <w:rsid w:val="0047708B"/>
    <w:rsid w:val="004853DA"/>
    <w:rsid w:val="00490F1D"/>
    <w:rsid w:val="004A10A6"/>
    <w:rsid w:val="004A1847"/>
    <w:rsid w:val="004A1D39"/>
    <w:rsid w:val="004A2104"/>
    <w:rsid w:val="004A305D"/>
    <w:rsid w:val="004A3A1C"/>
    <w:rsid w:val="004A6A6C"/>
    <w:rsid w:val="004B0C48"/>
    <w:rsid w:val="004B1C1A"/>
    <w:rsid w:val="004B2DE7"/>
    <w:rsid w:val="004B7467"/>
    <w:rsid w:val="004C6E0F"/>
    <w:rsid w:val="004C786B"/>
    <w:rsid w:val="004D5C8D"/>
    <w:rsid w:val="004D606B"/>
    <w:rsid w:val="004D6D1E"/>
    <w:rsid w:val="004D6F7C"/>
    <w:rsid w:val="004E1091"/>
    <w:rsid w:val="004E1359"/>
    <w:rsid w:val="004E53E7"/>
    <w:rsid w:val="004F21C4"/>
    <w:rsid w:val="004F4D33"/>
    <w:rsid w:val="004F685F"/>
    <w:rsid w:val="00501B1B"/>
    <w:rsid w:val="00510C7F"/>
    <w:rsid w:val="00511EAE"/>
    <w:rsid w:val="00511EFD"/>
    <w:rsid w:val="005139E6"/>
    <w:rsid w:val="00515430"/>
    <w:rsid w:val="005156D9"/>
    <w:rsid w:val="00515854"/>
    <w:rsid w:val="0052318B"/>
    <w:rsid w:val="00526C7B"/>
    <w:rsid w:val="00536AC7"/>
    <w:rsid w:val="005435C8"/>
    <w:rsid w:val="005459D6"/>
    <w:rsid w:val="0055546F"/>
    <w:rsid w:val="005554E3"/>
    <w:rsid w:val="005566E8"/>
    <w:rsid w:val="0055795A"/>
    <w:rsid w:val="005729BC"/>
    <w:rsid w:val="00574867"/>
    <w:rsid w:val="00577CF3"/>
    <w:rsid w:val="00587F46"/>
    <w:rsid w:val="00591460"/>
    <w:rsid w:val="00591B33"/>
    <w:rsid w:val="0059467F"/>
    <w:rsid w:val="005A08A5"/>
    <w:rsid w:val="005A2393"/>
    <w:rsid w:val="005A65E0"/>
    <w:rsid w:val="005A7F62"/>
    <w:rsid w:val="005B2D86"/>
    <w:rsid w:val="005C1412"/>
    <w:rsid w:val="005C1689"/>
    <w:rsid w:val="005C3777"/>
    <w:rsid w:val="005C5CDC"/>
    <w:rsid w:val="005D0CFB"/>
    <w:rsid w:val="005D24A8"/>
    <w:rsid w:val="005D476C"/>
    <w:rsid w:val="005D6D17"/>
    <w:rsid w:val="005D758A"/>
    <w:rsid w:val="005E4484"/>
    <w:rsid w:val="005F5849"/>
    <w:rsid w:val="006026DF"/>
    <w:rsid w:val="00602EC7"/>
    <w:rsid w:val="00603154"/>
    <w:rsid w:val="00605FE0"/>
    <w:rsid w:val="006113DD"/>
    <w:rsid w:val="0061335C"/>
    <w:rsid w:val="006200BF"/>
    <w:rsid w:val="006219F8"/>
    <w:rsid w:val="0062667E"/>
    <w:rsid w:val="006302F7"/>
    <w:rsid w:val="006322A9"/>
    <w:rsid w:val="00633222"/>
    <w:rsid w:val="006435D3"/>
    <w:rsid w:val="006440B1"/>
    <w:rsid w:val="006462A5"/>
    <w:rsid w:val="00646B9F"/>
    <w:rsid w:val="00656DAE"/>
    <w:rsid w:val="00662AD1"/>
    <w:rsid w:val="00664AE2"/>
    <w:rsid w:val="00665D70"/>
    <w:rsid w:val="00675D24"/>
    <w:rsid w:val="00676B4E"/>
    <w:rsid w:val="00680A44"/>
    <w:rsid w:val="00681676"/>
    <w:rsid w:val="00683371"/>
    <w:rsid w:val="006864DC"/>
    <w:rsid w:val="00686EE7"/>
    <w:rsid w:val="006873C4"/>
    <w:rsid w:val="006900D9"/>
    <w:rsid w:val="0069156C"/>
    <w:rsid w:val="00693932"/>
    <w:rsid w:val="006A242F"/>
    <w:rsid w:val="006A2A09"/>
    <w:rsid w:val="006A6E2F"/>
    <w:rsid w:val="006A7093"/>
    <w:rsid w:val="006B03B6"/>
    <w:rsid w:val="006B404B"/>
    <w:rsid w:val="006C0727"/>
    <w:rsid w:val="006D0BA8"/>
    <w:rsid w:val="006D10B0"/>
    <w:rsid w:val="006D3F70"/>
    <w:rsid w:val="006E5A11"/>
    <w:rsid w:val="006E7E44"/>
    <w:rsid w:val="006F1F72"/>
    <w:rsid w:val="006F3D08"/>
    <w:rsid w:val="006F45AF"/>
    <w:rsid w:val="006F699B"/>
    <w:rsid w:val="007043FF"/>
    <w:rsid w:val="007044AE"/>
    <w:rsid w:val="007059A3"/>
    <w:rsid w:val="00706880"/>
    <w:rsid w:val="00706C16"/>
    <w:rsid w:val="00710AEF"/>
    <w:rsid w:val="00710DAB"/>
    <w:rsid w:val="007154A7"/>
    <w:rsid w:val="007172F3"/>
    <w:rsid w:val="00722AE9"/>
    <w:rsid w:val="00725483"/>
    <w:rsid w:val="007275F1"/>
    <w:rsid w:val="007306DA"/>
    <w:rsid w:val="00730A74"/>
    <w:rsid w:val="00731FF5"/>
    <w:rsid w:val="007340C3"/>
    <w:rsid w:val="007340E6"/>
    <w:rsid w:val="00737B91"/>
    <w:rsid w:val="0075235A"/>
    <w:rsid w:val="00756841"/>
    <w:rsid w:val="007642BC"/>
    <w:rsid w:val="007649AB"/>
    <w:rsid w:val="007666FB"/>
    <w:rsid w:val="00770BB4"/>
    <w:rsid w:val="00771D0C"/>
    <w:rsid w:val="007833AC"/>
    <w:rsid w:val="00784B98"/>
    <w:rsid w:val="007934CD"/>
    <w:rsid w:val="007A105E"/>
    <w:rsid w:val="007A3474"/>
    <w:rsid w:val="007A736C"/>
    <w:rsid w:val="007B268C"/>
    <w:rsid w:val="007B7171"/>
    <w:rsid w:val="007C072B"/>
    <w:rsid w:val="007C0C0F"/>
    <w:rsid w:val="007C39EA"/>
    <w:rsid w:val="007C3DC2"/>
    <w:rsid w:val="007C6206"/>
    <w:rsid w:val="007C67A0"/>
    <w:rsid w:val="007D213C"/>
    <w:rsid w:val="007D4163"/>
    <w:rsid w:val="007D5BF2"/>
    <w:rsid w:val="007D7D9B"/>
    <w:rsid w:val="007E23D7"/>
    <w:rsid w:val="007E5497"/>
    <w:rsid w:val="007F2C86"/>
    <w:rsid w:val="007F6C31"/>
    <w:rsid w:val="007F71CD"/>
    <w:rsid w:val="008013D1"/>
    <w:rsid w:val="008020AE"/>
    <w:rsid w:val="008029E1"/>
    <w:rsid w:val="00803064"/>
    <w:rsid w:val="00806F5F"/>
    <w:rsid w:val="0081176E"/>
    <w:rsid w:val="008125ED"/>
    <w:rsid w:val="00812C21"/>
    <w:rsid w:val="00820278"/>
    <w:rsid w:val="00822BA1"/>
    <w:rsid w:val="008258C9"/>
    <w:rsid w:val="00831D69"/>
    <w:rsid w:val="00841964"/>
    <w:rsid w:val="0084199B"/>
    <w:rsid w:val="00841ECF"/>
    <w:rsid w:val="00844AE9"/>
    <w:rsid w:val="00845B78"/>
    <w:rsid w:val="0084772E"/>
    <w:rsid w:val="00847BED"/>
    <w:rsid w:val="00851835"/>
    <w:rsid w:val="0085193E"/>
    <w:rsid w:val="00851CCC"/>
    <w:rsid w:val="00855C55"/>
    <w:rsid w:val="00863B8A"/>
    <w:rsid w:val="00863D2B"/>
    <w:rsid w:val="00867F95"/>
    <w:rsid w:val="00872BB2"/>
    <w:rsid w:val="0087597E"/>
    <w:rsid w:val="00876F35"/>
    <w:rsid w:val="008843B6"/>
    <w:rsid w:val="0089046A"/>
    <w:rsid w:val="00891928"/>
    <w:rsid w:val="00894FE6"/>
    <w:rsid w:val="008953FC"/>
    <w:rsid w:val="0089690B"/>
    <w:rsid w:val="0089716F"/>
    <w:rsid w:val="00897CA0"/>
    <w:rsid w:val="008A088E"/>
    <w:rsid w:val="008A446D"/>
    <w:rsid w:val="008B25F1"/>
    <w:rsid w:val="008B2850"/>
    <w:rsid w:val="008B4649"/>
    <w:rsid w:val="008B7454"/>
    <w:rsid w:val="008C0831"/>
    <w:rsid w:val="008C117F"/>
    <w:rsid w:val="008C2C64"/>
    <w:rsid w:val="008C4743"/>
    <w:rsid w:val="008C68BF"/>
    <w:rsid w:val="008D180B"/>
    <w:rsid w:val="008D1818"/>
    <w:rsid w:val="008D34DA"/>
    <w:rsid w:val="008D66C4"/>
    <w:rsid w:val="008D6FFF"/>
    <w:rsid w:val="008E11A5"/>
    <w:rsid w:val="008E4CF0"/>
    <w:rsid w:val="008F0EA7"/>
    <w:rsid w:val="008F338F"/>
    <w:rsid w:val="008F6576"/>
    <w:rsid w:val="008F6EFB"/>
    <w:rsid w:val="0090085C"/>
    <w:rsid w:val="00906BD9"/>
    <w:rsid w:val="00907362"/>
    <w:rsid w:val="00912E7E"/>
    <w:rsid w:val="00916AC7"/>
    <w:rsid w:val="00916FE4"/>
    <w:rsid w:val="00920A7D"/>
    <w:rsid w:val="00923EEF"/>
    <w:rsid w:val="00930299"/>
    <w:rsid w:val="00934025"/>
    <w:rsid w:val="00940B9A"/>
    <w:rsid w:val="009419F9"/>
    <w:rsid w:val="00950208"/>
    <w:rsid w:val="0095186B"/>
    <w:rsid w:val="00954B1C"/>
    <w:rsid w:val="0095685E"/>
    <w:rsid w:val="00961B09"/>
    <w:rsid w:val="00964A84"/>
    <w:rsid w:val="00965334"/>
    <w:rsid w:val="0097093E"/>
    <w:rsid w:val="0097394E"/>
    <w:rsid w:val="00977294"/>
    <w:rsid w:val="009906D7"/>
    <w:rsid w:val="00990BEC"/>
    <w:rsid w:val="00992C7B"/>
    <w:rsid w:val="00993A0E"/>
    <w:rsid w:val="009A0DFA"/>
    <w:rsid w:val="009A12A4"/>
    <w:rsid w:val="009A1C6F"/>
    <w:rsid w:val="009A6EFF"/>
    <w:rsid w:val="009A761D"/>
    <w:rsid w:val="009B275A"/>
    <w:rsid w:val="009B2D26"/>
    <w:rsid w:val="009B58F5"/>
    <w:rsid w:val="009C23FA"/>
    <w:rsid w:val="009C71FA"/>
    <w:rsid w:val="009C72E7"/>
    <w:rsid w:val="009C7F7E"/>
    <w:rsid w:val="009D25E7"/>
    <w:rsid w:val="009D3058"/>
    <w:rsid w:val="009D4E94"/>
    <w:rsid w:val="009D75D7"/>
    <w:rsid w:val="009E3703"/>
    <w:rsid w:val="009E3E70"/>
    <w:rsid w:val="009E5249"/>
    <w:rsid w:val="009E655C"/>
    <w:rsid w:val="009E6FFC"/>
    <w:rsid w:val="009E73D2"/>
    <w:rsid w:val="009F24E8"/>
    <w:rsid w:val="009F2903"/>
    <w:rsid w:val="009F3A13"/>
    <w:rsid w:val="00A122D3"/>
    <w:rsid w:val="00A14468"/>
    <w:rsid w:val="00A14941"/>
    <w:rsid w:val="00A17727"/>
    <w:rsid w:val="00A17F13"/>
    <w:rsid w:val="00A20739"/>
    <w:rsid w:val="00A23AF9"/>
    <w:rsid w:val="00A25808"/>
    <w:rsid w:val="00A27B9C"/>
    <w:rsid w:val="00A30A1D"/>
    <w:rsid w:val="00A339CB"/>
    <w:rsid w:val="00A33C78"/>
    <w:rsid w:val="00A35DF7"/>
    <w:rsid w:val="00A3751E"/>
    <w:rsid w:val="00A42A4C"/>
    <w:rsid w:val="00A457FD"/>
    <w:rsid w:val="00A45838"/>
    <w:rsid w:val="00A51B13"/>
    <w:rsid w:val="00A54F0A"/>
    <w:rsid w:val="00A636BF"/>
    <w:rsid w:val="00A75B7F"/>
    <w:rsid w:val="00A765F3"/>
    <w:rsid w:val="00A82EFD"/>
    <w:rsid w:val="00A95D1E"/>
    <w:rsid w:val="00AA475C"/>
    <w:rsid w:val="00AA6E8E"/>
    <w:rsid w:val="00AB0ADB"/>
    <w:rsid w:val="00AB1573"/>
    <w:rsid w:val="00AB3756"/>
    <w:rsid w:val="00AD01D8"/>
    <w:rsid w:val="00AD2E94"/>
    <w:rsid w:val="00AD34C0"/>
    <w:rsid w:val="00AD3CA1"/>
    <w:rsid w:val="00AE3C2D"/>
    <w:rsid w:val="00AF31BD"/>
    <w:rsid w:val="00B00C0E"/>
    <w:rsid w:val="00B01B1A"/>
    <w:rsid w:val="00B0381D"/>
    <w:rsid w:val="00B039CC"/>
    <w:rsid w:val="00B1219D"/>
    <w:rsid w:val="00B234CD"/>
    <w:rsid w:val="00B234FF"/>
    <w:rsid w:val="00B2384E"/>
    <w:rsid w:val="00B24119"/>
    <w:rsid w:val="00B303D9"/>
    <w:rsid w:val="00B3632A"/>
    <w:rsid w:val="00B44A47"/>
    <w:rsid w:val="00B637A3"/>
    <w:rsid w:val="00B72CD3"/>
    <w:rsid w:val="00B72FFF"/>
    <w:rsid w:val="00B7581F"/>
    <w:rsid w:val="00B81266"/>
    <w:rsid w:val="00B87C32"/>
    <w:rsid w:val="00B9485E"/>
    <w:rsid w:val="00B95CDA"/>
    <w:rsid w:val="00BA2C06"/>
    <w:rsid w:val="00BA3116"/>
    <w:rsid w:val="00BA350A"/>
    <w:rsid w:val="00BA37B6"/>
    <w:rsid w:val="00BA3D59"/>
    <w:rsid w:val="00BA57F5"/>
    <w:rsid w:val="00BA6726"/>
    <w:rsid w:val="00BB378A"/>
    <w:rsid w:val="00BB4CEA"/>
    <w:rsid w:val="00BB56A1"/>
    <w:rsid w:val="00BC353C"/>
    <w:rsid w:val="00BC3D36"/>
    <w:rsid w:val="00BD4373"/>
    <w:rsid w:val="00BD54A6"/>
    <w:rsid w:val="00BD7F72"/>
    <w:rsid w:val="00BE3530"/>
    <w:rsid w:val="00BE3F8B"/>
    <w:rsid w:val="00BE49C0"/>
    <w:rsid w:val="00BF39F0"/>
    <w:rsid w:val="00BF7425"/>
    <w:rsid w:val="00C04FB3"/>
    <w:rsid w:val="00C102D1"/>
    <w:rsid w:val="00C11D8B"/>
    <w:rsid w:val="00C15139"/>
    <w:rsid w:val="00C163A6"/>
    <w:rsid w:val="00C17CAD"/>
    <w:rsid w:val="00C2341F"/>
    <w:rsid w:val="00C309F7"/>
    <w:rsid w:val="00C31003"/>
    <w:rsid w:val="00C3126E"/>
    <w:rsid w:val="00C330EB"/>
    <w:rsid w:val="00C342E4"/>
    <w:rsid w:val="00C354D7"/>
    <w:rsid w:val="00C36306"/>
    <w:rsid w:val="00C377D1"/>
    <w:rsid w:val="00C42028"/>
    <w:rsid w:val="00C474B7"/>
    <w:rsid w:val="00C50D69"/>
    <w:rsid w:val="00C5365C"/>
    <w:rsid w:val="00C5699F"/>
    <w:rsid w:val="00C660E3"/>
    <w:rsid w:val="00C7239C"/>
    <w:rsid w:val="00C723B9"/>
    <w:rsid w:val="00C72E68"/>
    <w:rsid w:val="00C754BE"/>
    <w:rsid w:val="00C76B1C"/>
    <w:rsid w:val="00C82BAE"/>
    <w:rsid w:val="00C9136D"/>
    <w:rsid w:val="00C91E97"/>
    <w:rsid w:val="00C925AC"/>
    <w:rsid w:val="00C93770"/>
    <w:rsid w:val="00CA0F7F"/>
    <w:rsid w:val="00CA4800"/>
    <w:rsid w:val="00CA7840"/>
    <w:rsid w:val="00CB28F3"/>
    <w:rsid w:val="00CB3F4A"/>
    <w:rsid w:val="00CB6357"/>
    <w:rsid w:val="00CB7337"/>
    <w:rsid w:val="00CB7EA9"/>
    <w:rsid w:val="00CC1B26"/>
    <w:rsid w:val="00CC677B"/>
    <w:rsid w:val="00CD18D9"/>
    <w:rsid w:val="00CD4D06"/>
    <w:rsid w:val="00CD6F1F"/>
    <w:rsid w:val="00CF12DD"/>
    <w:rsid w:val="00CF1802"/>
    <w:rsid w:val="00D02CEA"/>
    <w:rsid w:val="00D12753"/>
    <w:rsid w:val="00D12C0E"/>
    <w:rsid w:val="00D1359D"/>
    <w:rsid w:val="00D226DE"/>
    <w:rsid w:val="00D32B20"/>
    <w:rsid w:val="00D361FD"/>
    <w:rsid w:val="00D3708F"/>
    <w:rsid w:val="00D4216E"/>
    <w:rsid w:val="00D423A2"/>
    <w:rsid w:val="00D4458B"/>
    <w:rsid w:val="00D44E26"/>
    <w:rsid w:val="00D451EF"/>
    <w:rsid w:val="00D465C2"/>
    <w:rsid w:val="00D50246"/>
    <w:rsid w:val="00D520D8"/>
    <w:rsid w:val="00D57D01"/>
    <w:rsid w:val="00D60ECC"/>
    <w:rsid w:val="00D63AC2"/>
    <w:rsid w:val="00D6459F"/>
    <w:rsid w:val="00D7383B"/>
    <w:rsid w:val="00D7788A"/>
    <w:rsid w:val="00D81973"/>
    <w:rsid w:val="00D965A1"/>
    <w:rsid w:val="00DA231B"/>
    <w:rsid w:val="00DB3166"/>
    <w:rsid w:val="00DB4B30"/>
    <w:rsid w:val="00DC0E7B"/>
    <w:rsid w:val="00DC234C"/>
    <w:rsid w:val="00DC39FC"/>
    <w:rsid w:val="00DC580C"/>
    <w:rsid w:val="00DD2517"/>
    <w:rsid w:val="00DD4AA5"/>
    <w:rsid w:val="00DE5772"/>
    <w:rsid w:val="00DE5C1C"/>
    <w:rsid w:val="00DF5254"/>
    <w:rsid w:val="00DF5956"/>
    <w:rsid w:val="00DF65E1"/>
    <w:rsid w:val="00E02273"/>
    <w:rsid w:val="00E0248B"/>
    <w:rsid w:val="00E02524"/>
    <w:rsid w:val="00E02658"/>
    <w:rsid w:val="00E07C6C"/>
    <w:rsid w:val="00E10B16"/>
    <w:rsid w:val="00E16408"/>
    <w:rsid w:val="00E20894"/>
    <w:rsid w:val="00E245AB"/>
    <w:rsid w:val="00E2764C"/>
    <w:rsid w:val="00E27F2E"/>
    <w:rsid w:val="00E40A2C"/>
    <w:rsid w:val="00E433AA"/>
    <w:rsid w:val="00E44FF3"/>
    <w:rsid w:val="00E46975"/>
    <w:rsid w:val="00E50AFE"/>
    <w:rsid w:val="00E575BD"/>
    <w:rsid w:val="00E5770E"/>
    <w:rsid w:val="00E611A1"/>
    <w:rsid w:val="00E62629"/>
    <w:rsid w:val="00E64282"/>
    <w:rsid w:val="00E73031"/>
    <w:rsid w:val="00E74CB2"/>
    <w:rsid w:val="00E75C92"/>
    <w:rsid w:val="00E771DC"/>
    <w:rsid w:val="00E82F8E"/>
    <w:rsid w:val="00E862BD"/>
    <w:rsid w:val="00E86B2C"/>
    <w:rsid w:val="00E8772A"/>
    <w:rsid w:val="00E90602"/>
    <w:rsid w:val="00E90F6B"/>
    <w:rsid w:val="00E925F7"/>
    <w:rsid w:val="00E92C27"/>
    <w:rsid w:val="00E954B4"/>
    <w:rsid w:val="00E96321"/>
    <w:rsid w:val="00EA0E3D"/>
    <w:rsid w:val="00EA2D1C"/>
    <w:rsid w:val="00EB173B"/>
    <w:rsid w:val="00EB2F19"/>
    <w:rsid w:val="00EC38A7"/>
    <w:rsid w:val="00EC4CE6"/>
    <w:rsid w:val="00ED073C"/>
    <w:rsid w:val="00ED73B7"/>
    <w:rsid w:val="00EE1AA8"/>
    <w:rsid w:val="00EE20B6"/>
    <w:rsid w:val="00EE3667"/>
    <w:rsid w:val="00EE5926"/>
    <w:rsid w:val="00EE6981"/>
    <w:rsid w:val="00EE6C80"/>
    <w:rsid w:val="00EF1024"/>
    <w:rsid w:val="00EF44CF"/>
    <w:rsid w:val="00EF5266"/>
    <w:rsid w:val="00EF5522"/>
    <w:rsid w:val="00F02780"/>
    <w:rsid w:val="00F04DB8"/>
    <w:rsid w:val="00F06575"/>
    <w:rsid w:val="00F074D0"/>
    <w:rsid w:val="00F157C6"/>
    <w:rsid w:val="00F206B3"/>
    <w:rsid w:val="00F23FEA"/>
    <w:rsid w:val="00F313AA"/>
    <w:rsid w:val="00F31EDC"/>
    <w:rsid w:val="00F370ED"/>
    <w:rsid w:val="00F419A5"/>
    <w:rsid w:val="00F4371B"/>
    <w:rsid w:val="00F45BD1"/>
    <w:rsid w:val="00F462B3"/>
    <w:rsid w:val="00F47ABE"/>
    <w:rsid w:val="00F51A04"/>
    <w:rsid w:val="00F526C2"/>
    <w:rsid w:val="00F54439"/>
    <w:rsid w:val="00F5664F"/>
    <w:rsid w:val="00F621F4"/>
    <w:rsid w:val="00F6524F"/>
    <w:rsid w:val="00F666C4"/>
    <w:rsid w:val="00F73708"/>
    <w:rsid w:val="00F76AFC"/>
    <w:rsid w:val="00F83086"/>
    <w:rsid w:val="00F844F9"/>
    <w:rsid w:val="00F86294"/>
    <w:rsid w:val="00F8740A"/>
    <w:rsid w:val="00F91B6A"/>
    <w:rsid w:val="00F91DED"/>
    <w:rsid w:val="00F9243D"/>
    <w:rsid w:val="00F93E53"/>
    <w:rsid w:val="00F96316"/>
    <w:rsid w:val="00F9748F"/>
    <w:rsid w:val="00FA2659"/>
    <w:rsid w:val="00FA47C0"/>
    <w:rsid w:val="00FB070A"/>
    <w:rsid w:val="00FB5DD1"/>
    <w:rsid w:val="00FB7203"/>
    <w:rsid w:val="00FC0A94"/>
    <w:rsid w:val="00FC2B5D"/>
    <w:rsid w:val="00FC3743"/>
    <w:rsid w:val="00FC39FE"/>
    <w:rsid w:val="00FC6F9B"/>
    <w:rsid w:val="00FD3790"/>
    <w:rsid w:val="00FD7D41"/>
    <w:rsid w:val="00FE1357"/>
    <w:rsid w:val="00FE1A22"/>
    <w:rsid w:val="00FE25B7"/>
    <w:rsid w:val="00FE51C5"/>
    <w:rsid w:val="00FE6F5A"/>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0BB5D8B"/>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D24"/>
  </w:style>
  <w:style w:type="paragraph" w:styleId="Ttulo2">
    <w:name w:val="heading 2"/>
    <w:basedOn w:val="Normal"/>
    <w:next w:val="Normal"/>
    <w:link w:val="Ttulo2Car"/>
    <w:uiPriority w:val="9"/>
    <w:semiHidden/>
    <w:unhideWhenUsed/>
    <w:qFormat/>
    <w:rsid w:val="00B3632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B157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B1573"/>
    <w:rPr>
      <w:rFonts w:ascii="Geomanist Light" w:hAnsi="Geomanist Light"/>
      <w:lang w:val="es-ES"/>
    </w:rPr>
  </w:style>
  <w:style w:type="character" w:customStyle="1" w:styleId="s15">
    <w:name w:val="s15"/>
    <w:basedOn w:val="Fuentedeprrafopredeter"/>
    <w:rsid w:val="00AB1573"/>
  </w:style>
  <w:style w:type="character" w:customStyle="1" w:styleId="NormalWebCar">
    <w:name w:val="Normal (Web) Car"/>
    <w:link w:val="NormalWeb"/>
    <w:uiPriority w:val="99"/>
    <w:locked/>
    <w:rsid w:val="00AB1573"/>
    <w:rPr>
      <w:rFonts w:ascii="Times New Roman" w:eastAsia="Times New Roman" w:hAnsi="Times New Roman" w:cs="Times New Roman"/>
      <w:sz w:val="24"/>
      <w:szCs w:val="24"/>
      <w:lang w:eastAsia="es-CO"/>
    </w:rPr>
  </w:style>
  <w:style w:type="character" w:customStyle="1" w:styleId="baj">
    <w:name w:val="b_aj"/>
    <w:basedOn w:val="Fuentedeprrafopredeter"/>
    <w:rsid w:val="00AB1573"/>
  </w:style>
  <w:style w:type="character" w:styleId="Mencinsinresolver">
    <w:name w:val="Unresolved Mention"/>
    <w:basedOn w:val="Fuentedeprrafopredeter"/>
    <w:uiPriority w:val="99"/>
    <w:semiHidden/>
    <w:unhideWhenUsed/>
    <w:rsid w:val="00AE3C2D"/>
    <w:rPr>
      <w:color w:val="605E5C"/>
      <w:shd w:val="clear" w:color="auto" w:fill="E1DFDD"/>
    </w:rPr>
  </w:style>
  <w:style w:type="paragraph" w:styleId="Bibliografa">
    <w:name w:val="Bibliography"/>
    <w:basedOn w:val="Normal"/>
    <w:next w:val="Normal"/>
    <w:uiPriority w:val="37"/>
    <w:unhideWhenUsed/>
    <w:rsid w:val="00D02CEA"/>
    <w:pPr>
      <w:spacing w:after="200" w:line="276" w:lineRule="auto"/>
    </w:pPr>
    <w:rPr>
      <w:rFonts w:ascii="Calibri" w:eastAsia="Calibri" w:hAnsi="Calibri" w:cs="Times New Roman"/>
      <w:lang w:val="es-ES"/>
    </w:rPr>
  </w:style>
  <w:style w:type="character" w:customStyle="1" w:styleId="Ttulo2Car">
    <w:name w:val="Título 2 Car"/>
    <w:basedOn w:val="Fuentedeprrafopredeter"/>
    <w:link w:val="Ttulo2"/>
    <w:uiPriority w:val="9"/>
    <w:semiHidden/>
    <w:rsid w:val="00B3632A"/>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colombiacompra.gov.co%2Farchivos%2Fportfolio-item%2Fvehiculos-iii&amp;data=05%7C02%7Cjose.sanchez%40colombiacompra.gov.co%7Cf27c32c1a3d7418749a708df104982fe%7C7b09041e245149d08cb179d5e3d8c1be%7C0%7C0%7C639247580064573336%7CUnknown%7CTWFpbGZsb3d8eyJFbXB0eU1hcGkiOnRydWUsIlYiOiIwLjAuMDAwMCIsIlAiOiJXaW4zMiIsIkFOIjoiTWFpbCIsIldUIjoyfQ%3D%3D%7C0%7C%7C%7C&amp;sdata=KCAUPjoawJbjLYunri9Pjkm3X6%2FRLfxbW8n8lCrYs08%3D&amp;reserved=0" TargetMode="External"/><Relationship Id="rId18" Type="http://schemas.openxmlformats.org/officeDocument/2006/relationships/hyperlink" Target="https://nam02.safelinks.protection.outlook.com/?url=https%3A%2F%2Fwww.colombiacompra.gov.co%2Farchivos%2Fportfolio-item%2Fvehiculos-iii&amp;data=05%7C02%7Cjose.sanchez%40colombiacompra.gov.co%7Cf27c32c1a3d7418749a708df104982fe%7C7b09041e245149d08cb179d5e3d8c1be%7C0%7C0%7C639247580064573336%7CUnknown%7CTWFpbGZsb3d8eyJFbXB0eU1hcGkiOnRydWUsIlYiOiIwLjAuMDAwMCIsIlAiOiJXaW4zMiIsIkFOIjoiTWFpbCIsIldUIjoyfQ%3D%3D%7C0%7C%7C%7C&amp;sdata=KCAUPjoawJbjLYunri9Pjkm3X6%2FRLfxbW8n8lCrYs08%3D&amp;reserved=0" TargetMode="External"/><Relationship Id="rId26"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hyperlink" Target="https://www.colombiacompra.gov.co/archivos/circular/circular-externa-003-de-2026" TargetMode="External"/><Relationship Id="rId7" Type="http://schemas.openxmlformats.org/officeDocument/2006/relationships/settings" Target="settings.xml"/><Relationship Id="rId12" Type="http://schemas.openxmlformats.org/officeDocument/2006/relationships/hyperlink" Target="mailto:gerencia@franciscofajardoabogados.com" TargetMode="External"/><Relationship Id="rId17" Type="http://schemas.openxmlformats.org/officeDocument/2006/relationships/hyperlink" Target="mailto:informacion.emae@colombiacompra.gov.co" TargetMode="External"/><Relationship Id="rId25"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https://www.colombiacompra.gov.co/analisis-de-datos-de-compra-publica/visualizaciones-compra-publica/herramienta-de-visualizacion-para-el-analisis-de-la-demanda-y-de-la-oferta" TargetMode="External"/><Relationship Id="rId20" Type="http://schemas.openxmlformats.org/officeDocument/2006/relationships/hyperlink" Target="https://www.colombiacompra.gov.co/archivos/manual/guia-de-garantias-en-procesos-de-contratacion"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hyperlink" Target="mailto:ventanilladeradicacion@colombiacompra.gov.co" TargetMode="External"/><Relationship Id="rId5" Type="http://schemas.openxmlformats.org/officeDocument/2006/relationships/numbering" Target="numbering.xml"/><Relationship Id="rId15" Type="http://schemas.openxmlformats.org/officeDocument/2006/relationships/hyperlink" Target="https://www.colombiacompra.gov.co/transparencia/gestion-documental/datos-abiertos" TargetMode="External"/><Relationship Id="rId23" Type="http://schemas.openxmlformats.org/officeDocument/2006/relationships/hyperlink" Target="https://www.colombiacompra.gov.co/archivos/boletin/boletin-edicion-n-3-de-2026-radar-de-la-compra-publica"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relatoria.colombiacompra.gov.co/busqueda/concepto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p.powerbi.com/view?r=eyJrIjoiZmI4NzE4MjgtZDU1ZS00NjA3LWIwMWItMTE0YjA4ZWMxNmM2IiwidCI6IjdiMDkwNDFlLTI0NTEtNDlkMC04Y2IxLTc5ZDVlM2Q4YzFiZSIsImMiOjR9" TargetMode="External"/><Relationship Id="rId22" Type="http://schemas.openxmlformats.org/officeDocument/2006/relationships/hyperlink" Target="https://www.colombiacompra.gov.co/archivos/circular/circular-externa-002-de-2026" TargetMode="External"/><Relationship Id="rId27" Type="http://schemas.openxmlformats.org/officeDocument/2006/relationships/image" Target="media/image3.png"/><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mintransporte.gov.co/publicaciones/4462/sice-tac/" TargetMode="External"/><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B6763D5-F2A1-435A-A741-E44A3599593A}">
  <ds:schemaRefs>
    <ds:schemaRef ds:uri="http://schemas.openxmlformats.org/officeDocument/2006/bibliography"/>
  </ds:schemaRefs>
</ds:datastoreItem>
</file>

<file path=customXml/itemProps4.xml><?xml version="1.0" encoding="utf-8"?>
<ds:datastoreItem xmlns:ds="http://schemas.openxmlformats.org/officeDocument/2006/customXml" ds:itemID="{AE3A57AF-BAA0-4553-92F9-DA90CAB117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37</TotalTime>
  <Pages>50</Pages>
  <Words>19190</Words>
  <Characters>105546</Characters>
  <Application>Microsoft Office Word</Application>
  <DocSecurity>0</DocSecurity>
  <Lines>879</Lines>
  <Paragraphs>248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26</cp:revision>
  <cp:lastPrinted>2023-01-10T21:18:00Z</cp:lastPrinted>
  <dcterms:created xsi:type="dcterms:W3CDTF">2026-09-17T21:55:00Z</dcterms:created>
  <dcterms:modified xsi:type="dcterms:W3CDTF">2026-09-18T16:00:00Z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