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2071E" w14:textId="77777777" w:rsidR="00401758" w:rsidRPr="00E703FE" w:rsidRDefault="00401758" w:rsidP="00401758">
      <w:pPr>
        <w:jc w:val="both"/>
        <w:rPr>
          <w:rFonts w:ascii="Verdana" w:eastAsia="Calibri" w:hAnsi="Verdana" w:cs="Arial"/>
          <w:b/>
          <w:bCs/>
          <w:lang w:val="es-ES" w:eastAsia="es-ES"/>
        </w:rPr>
      </w:pPr>
      <w:bookmarkStart w:id="0" w:name="_Hlk143780582"/>
      <w:r w:rsidRPr="00E703FE">
        <w:rPr>
          <w:rFonts w:ascii="Verdana" w:eastAsia="Calibri" w:hAnsi="Verdana" w:cs="Arial"/>
          <w:b/>
          <w:bCs/>
          <w:lang w:val="es-ES_tradnl" w:eastAsia="es-MX"/>
        </w:rPr>
        <w:t xml:space="preserve">MODALIDADES DE SELECCIÓN – Concurrencia </w:t>
      </w:r>
      <w:r w:rsidRPr="00E703FE">
        <w:rPr>
          <w:rFonts w:ascii="Verdana" w:eastAsia="Aptos" w:hAnsi="Verdana" w:cs="Arial"/>
          <w:b/>
          <w:bCs/>
          <w:lang w:val="es-ES_tradnl" w:eastAsia="es-ES"/>
        </w:rPr>
        <w:t xml:space="preserve">– Mínima cuantía – Licitación Pública – Prevalencia </w:t>
      </w:r>
    </w:p>
    <w:p w14:paraId="51640C8B" w14:textId="4E85EBD4" w:rsidR="00830D45" w:rsidRPr="00830D45" w:rsidRDefault="00830D45" w:rsidP="00830D45">
      <w:pPr>
        <w:spacing w:line="240" w:lineRule="auto"/>
        <w:jc w:val="both"/>
        <w:rPr>
          <w:rFonts w:ascii="Verdana" w:eastAsia="Arial" w:hAnsi="Verdana" w:cs="Arial"/>
          <w:bCs/>
          <w:sz w:val="20"/>
          <w:szCs w:val="20"/>
          <w:lang w:eastAsia="es-MX"/>
        </w:rPr>
      </w:pPr>
      <w:r>
        <w:rPr>
          <w:rFonts w:ascii="Verdana" w:eastAsia="Arial" w:hAnsi="Verdana" w:cs="Arial"/>
          <w:bCs/>
          <w:sz w:val="20"/>
          <w:szCs w:val="20"/>
          <w:lang w:eastAsia="es-MX"/>
        </w:rPr>
        <w:t xml:space="preserve">[…] </w:t>
      </w:r>
      <w:r w:rsidR="00712C16" w:rsidRPr="00830D45">
        <w:rPr>
          <w:rFonts w:ascii="Verdana" w:eastAsia="Arial" w:hAnsi="Verdana" w:cs="Arial"/>
          <w:bCs/>
          <w:sz w:val="20"/>
          <w:szCs w:val="20"/>
          <w:lang w:eastAsia="es-MX"/>
        </w:rPr>
        <w:t>la concurrencia entre la regla especial de selección de sociedades fiduciarias y la modalidad de mínima cuantía se debe resolver mediante una interpretación histórica, sistemática y teleológica del régimen de contratación estatal. Bajo este entendimiento, si el valor del proceso para la sociedad fiduciaria se encuentra dentro del límite de la mínima cuantía, la entidad deberá acudir a esta modalidad de selección, en tanto el legislador dispuso expresamente que su aplicación opera independientemente del objeto contractual. La referencia a la licitación o concurso contenida en la Ley 80 de 1993 debe ser comprendida a la luz del régimen vigente y del contexto histórico en el que fue expedida, sin que pueda interpretarse como una exclusión de una modalidad de selección creada posteriormente por el propio legislador.</w:t>
      </w:r>
    </w:p>
    <w:p w14:paraId="26175B6D" w14:textId="77777777" w:rsidR="00830D45" w:rsidRDefault="00830D45">
      <w:pPr>
        <w:rPr>
          <w:rFonts w:ascii="Verdana" w:eastAsia="Arial" w:hAnsi="Verdana" w:cs="Arial"/>
          <w:bCs/>
          <w:lang w:eastAsia="es-MX"/>
        </w:rPr>
      </w:pPr>
      <w:r>
        <w:rPr>
          <w:rFonts w:ascii="Verdana" w:eastAsia="Arial" w:hAnsi="Verdana" w:cs="Arial"/>
          <w:bCs/>
          <w:lang w:eastAsia="es-MX"/>
        </w:rPr>
        <w:br w:type="page"/>
      </w:r>
    </w:p>
    <w:p w14:paraId="1468C46D" w14:textId="3E873329" w:rsidR="00C15139" w:rsidRPr="0024624F" w:rsidRDefault="001D5085" w:rsidP="30821638">
      <w:pPr>
        <w:spacing w:after="0"/>
        <w:rPr>
          <w:rFonts w:ascii="Verdana" w:eastAsia="Verdana" w:hAnsi="Verdana" w:cs="Verdana"/>
        </w:rPr>
      </w:pPr>
      <w:r w:rsidRPr="001D5085">
        <w:rPr>
          <w:rFonts w:ascii="Verdana" w:eastAsia="Verdana" w:hAnsi="Verdana" w:cs="Verdana"/>
        </w:rPr>
        <w:lastRenderedPageBreak/>
        <w:drawing>
          <wp:anchor distT="0" distB="0" distL="114300" distR="114300" simplePos="0" relativeHeight="251658240" behindDoc="1" locked="0" layoutInCell="1" allowOverlap="1" wp14:anchorId="0B3A7499" wp14:editId="40A48602">
            <wp:simplePos x="0" y="0"/>
            <wp:positionH relativeFrom="column">
              <wp:posOffset>2965654</wp:posOffset>
            </wp:positionH>
            <wp:positionV relativeFrom="paragraph">
              <wp:posOffset>8854</wp:posOffset>
            </wp:positionV>
            <wp:extent cx="2665562" cy="728865"/>
            <wp:effectExtent l="0" t="0" r="1905" b="0"/>
            <wp:wrapNone/>
            <wp:docPr id="15852146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214633" name=""/>
                    <pic:cNvPicPr/>
                  </pic:nvPicPr>
                  <pic:blipFill>
                    <a:blip r:embed="rId11">
                      <a:extLst>
                        <a:ext uri="{28A0092B-C50C-407E-A947-70E740481C1C}">
                          <a14:useLocalDpi xmlns:a14="http://schemas.microsoft.com/office/drawing/2010/main" val="0"/>
                        </a:ext>
                      </a:extLst>
                    </a:blip>
                    <a:stretch>
                      <a:fillRect/>
                    </a:stretch>
                  </pic:blipFill>
                  <pic:spPr>
                    <a:xfrm>
                      <a:off x="0" y="0"/>
                      <a:ext cx="2684746" cy="734111"/>
                    </a:xfrm>
                    <a:prstGeom prst="rect">
                      <a:avLst/>
                    </a:prstGeom>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sidR="008D08A8">
        <w:rPr>
          <w:rFonts w:ascii="Verdana" w:eastAsia="Verdana" w:hAnsi="Verdana" w:cs="Verdana"/>
        </w:rPr>
        <w:t>17 Septiembre 2026</w:t>
      </w:r>
      <w:r w:rsidR="00C15139">
        <w:br/>
      </w:r>
      <w:r w:rsidR="00C15139">
        <w:tab/>
      </w:r>
    </w:p>
    <w:p w14:paraId="0080D39F" w14:textId="42F8D5BF" w:rsidR="000632AA" w:rsidRPr="00DB6C5D" w:rsidRDefault="000632AA" w:rsidP="000632AA">
      <w:pPr>
        <w:pStyle w:val="Sinespaciado"/>
        <w:jc w:val="both"/>
        <w:rPr>
          <w:rFonts w:ascii="Verdana" w:hAnsi="Verdana"/>
          <w:lang w:eastAsia="es-ES"/>
        </w:rPr>
      </w:pPr>
      <w:bookmarkStart w:id="1" w:name="_Hlk186494164"/>
      <w:r w:rsidRPr="00DB6C5D">
        <w:rPr>
          <w:rFonts w:ascii="Verdana" w:hAnsi="Verdana"/>
          <w:lang w:eastAsia="es-ES"/>
        </w:rPr>
        <w:t>Señor</w:t>
      </w:r>
      <w:r w:rsidR="005B1CC7">
        <w:rPr>
          <w:rFonts w:ascii="Verdana" w:hAnsi="Verdana"/>
          <w:lang w:eastAsia="es-ES"/>
        </w:rPr>
        <w:t>a</w:t>
      </w:r>
    </w:p>
    <w:p w14:paraId="69432C70" w14:textId="7C33A811" w:rsidR="000632AA" w:rsidRDefault="0055116B" w:rsidP="000632AA">
      <w:pPr>
        <w:pStyle w:val="Sinespaciado"/>
        <w:jc w:val="both"/>
        <w:rPr>
          <w:rFonts w:ascii="Verdana" w:hAnsi="Verdana" w:cs="Times New Roman"/>
          <w:b/>
          <w:bCs/>
        </w:rPr>
      </w:pPr>
      <w:r>
        <w:rPr>
          <w:rFonts w:ascii="Verdana" w:hAnsi="Verdana" w:cs="Times New Roman"/>
          <w:b/>
          <w:bCs/>
        </w:rPr>
        <w:t>Maria Alejandra Restrepo Bedoya</w:t>
      </w:r>
    </w:p>
    <w:p w14:paraId="0FEA4E06" w14:textId="135D3084" w:rsidR="00146AB8" w:rsidRPr="00146AB8" w:rsidRDefault="00146AB8" w:rsidP="000632AA">
      <w:pPr>
        <w:pStyle w:val="Sinespaciado"/>
        <w:jc w:val="both"/>
        <w:rPr>
          <w:rFonts w:ascii="Verdana" w:hAnsi="Verdana"/>
        </w:rPr>
      </w:pPr>
      <w:hyperlink r:id="rId12" w:history="1">
        <w:r w:rsidRPr="00146AB8">
          <w:rPr>
            <w:rStyle w:val="Hipervnculo"/>
            <w:rFonts w:ascii="Verdana" w:hAnsi="Verdana"/>
          </w:rPr>
          <w:t>malejandra.restrepo11@gmail.com</w:t>
        </w:r>
      </w:hyperlink>
    </w:p>
    <w:p w14:paraId="6EA001DB" w14:textId="2C9D59C4" w:rsidR="000632AA" w:rsidRPr="00DB6C5D" w:rsidRDefault="005B1CC7" w:rsidP="000632AA">
      <w:pPr>
        <w:pStyle w:val="Sinespaciado"/>
        <w:jc w:val="both"/>
        <w:rPr>
          <w:rFonts w:ascii="Verdana" w:hAnsi="Verdana" w:cs="Times New Roman"/>
          <w:b/>
          <w:bCs/>
        </w:rPr>
      </w:pPr>
      <w:r>
        <w:rPr>
          <w:rFonts w:ascii="Verdana" w:hAnsi="Verdana" w:cs="Times New Roman"/>
        </w:rPr>
        <w:t>Itagüí</w:t>
      </w:r>
      <w:r w:rsidR="000632AA">
        <w:rPr>
          <w:rFonts w:ascii="Verdana" w:hAnsi="Verdana" w:cs="Times New Roman"/>
        </w:rPr>
        <w:t xml:space="preserve"> – Antioquia, Colombia</w:t>
      </w:r>
    </w:p>
    <w:p w14:paraId="0B741224" w14:textId="77777777" w:rsidR="000632AA" w:rsidRPr="00DB6C5D" w:rsidRDefault="000632AA" w:rsidP="000632AA">
      <w:pPr>
        <w:pStyle w:val="Sinespaciado"/>
        <w:jc w:val="both"/>
        <w:rPr>
          <w:rFonts w:ascii="Verdana" w:hAnsi="Verdana" w:cs="Times New Roman"/>
        </w:rPr>
      </w:pPr>
    </w:p>
    <w:p w14:paraId="7EE8B1FC" w14:textId="77777777" w:rsidR="000632AA" w:rsidRPr="00DB6C5D" w:rsidRDefault="000632AA" w:rsidP="000632AA">
      <w:pPr>
        <w:pStyle w:val="Sinespaciado"/>
        <w:jc w:val="both"/>
        <w:rPr>
          <w:rFonts w:ascii="Verdana" w:hAnsi="Verdana" w:cs="Times New Roman"/>
          <w:b/>
          <w:bCs/>
        </w:rPr>
      </w:pPr>
    </w:p>
    <w:p w14:paraId="4001189E" w14:textId="496216F9" w:rsidR="000632AA" w:rsidRPr="00DB6C5D" w:rsidRDefault="000632AA" w:rsidP="000632AA">
      <w:pPr>
        <w:spacing w:after="0" w:line="240" w:lineRule="auto"/>
        <w:jc w:val="both"/>
        <w:rPr>
          <w:rFonts w:ascii="Verdana" w:eastAsia="Calibri" w:hAnsi="Verdana" w:cs="Arial"/>
          <w:b/>
          <w:bCs/>
          <w:lang w:eastAsia="es-ES"/>
        </w:rPr>
      </w:pPr>
      <w:r w:rsidRPr="00DB6C5D">
        <w:rPr>
          <w:rFonts w:ascii="Verdana" w:eastAsia="Calibri" w:hAnsi="Verdana" w:cs="Arial"/>
          <w:b/>
          <w:bCs/>
          <w:lang w:eastAsia="es-ES"/>
        </w:rPr>
        <w:t xml:space="preserve">                                    Concepto </w:t>
      </w:r>
      <w:r w:rsidRPr="00BE041B">
        <w:rPr>
          <w:rFonts w:ascii="Verdana" w:eastAsia="Calibri" w:hAnsi="Verdana" w:cs="Arial"/>
          <w:b/>
          <w:bCs/>
          <w:lang w:eastAsia="es-ES"/>
        </w:rPr>
        <w:t>C-</w:t>
      </w:r>
      <w:r w:rsidR="005B1CC7">
        <w:rPr>
          <w:rFonts w:ascii="Verdana" w:eastAsia="Calibri" w:hAnsi="Verdana" w:cs="Arial"/>
          <w:b/>
          <w:bCs/>
          <w:lang w:eastAsia="es-ES"/>
        </w:rPr>
        <w:t>1243</w:t>
      </w:r>
      <w:r>
        <w:rPr>
          <w:rFonts w:ascii="Verdana" w:eastAsia="Calibri" w:hAnsi="Verdana" w:cs="Arial"/>
          <w:b/>
          <w:bCs/>
          <w:lang w:eastAsia="es-ES"/>
        </w:rPr>
        <w:t xml:space="preserve"> </w:t>
      </w:r>
      <w:r w:rsidRPr="00DB6C5D">
        <w:rPr>
          <w:rFonts w:ascii="Verdana" w:eastAsia="Calibri" w:hAnsi="Verdana" w:cs="Arial"/>
          <w:b/>
          <w:bCs/>
          <w:lang w:eastAsia="es-ES"/>
        </w:rPr>
        <w:t>de 2026</w:t>
      </w:r>
    </w:p>
    <w:p w14:paraId="051A39D9" w14:textId="77777777" w:rsidR="000632AA" w:rsidRPr="00DB6C5D" w:rsidRDefault="000632AA" w:rsidP="000632AA">
      <w:pPr>
        <w:spacing w:after="0" w:line="240" w:lineRule="auto"/>
        <w:jc w:val="both"/>
        <w:rPr>
          <w:rFonts w:ascii="Verdana" w:eastAsia="Calibri" w:hAnsi="Verdana" w:cs="Arial"/>
          <w:b/>
          <w:bCs/>
          <w:lang w:eastAsia="es-ES"/>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632AA" w:rsidRPr="00DB6C5D" w14:paraId="3B16E7EE" w14:textId="77777777" w:rsidTr="00B61CA8">
        <w:trPr>
          <w:trHeight w:val="884"/>
        </w:trPr>
        <w:tc>
          <w:tcPr>
            <w:tcW w:w="2689" w:type="dxa"/>
          </w:tcPr>
          <w:p w14:paraId="5A29E224" w14:textId="77777777" w:rsidR="000632AA" w:rsidRPr="00DB6C5D" w:rsidRDefault="000632AA" w:rsidP="00B61CA8">
            <w:pPr>
              <w:jc w:val="both"/>
              <w:rPr>
                <w:rFonts w:ascii="Verdana" w:eastAsia="Calibri" w:hAnsi="Verdana" w:cs="Arial"/>
                <w:color w:val="000000"/>
                <w:lang w:eastAsia="es-ES_tradnl"/>
              </w:rPr>
            </w:pPr>
            <w:r w:rsidRPr="00DB6C5D">
              <w:rPr>
                <w:rFonts w:ascii="Verdana" w:eastAsia="Calibri" w:hAnsi="Verdana" w:cs="Arial"/>
                <w:b/>
                <w:color w:val="000000"/>
                <w:lang w:eastAsia="es-ES_tradnl"/>
              </w:rPr>
              <w:t>Temas:</w:t>
            </w:r>
            <w:r w:rsidRPr="00DB6C5D">
              <w:rPr>
                <w:rFonts w:ascii="Verdana" w:eastAsia="Calibri" w:hAnsi="Verdana" w:cs="Arial"/>
                <w:color w:val="000000"/>
                <w:lang w:eastAsia="es-ES_tradnl"/>
              </w:rPr>
              <w:t xml:space="preserve">                   </w:t>
            </w:r>
          </w:p>
        </w:tc>
        <w:tc>
          <w:tcPr>
            <w:tcW w:w="6100" w:type="dxa"/>
          </w:tcPr>
          <w:p w14:paraId="13D574A5" w14:textId="192F538D" w:rsidR="000632AA" w:rsidRPr="00940B15" w:rsidRDefault="00261795" w:rsidP="00B61CA8">
            <w:pPr>
              <w:jc w:val="both"/>
              <w:rPr>
                <w:rFonts w:ascii="Verdana" w:eastAsia="Calibri" w:hAnsi="Verdana" w:cs="Arial"/>
                <w:b/>
                <w:bCs/>
                <w:lang w:val="es-ES" w:eastAsia="es-ES"/>
              </w:rPr>
            </w:pPr>
            <w:r w:rsidRPr="006849EB">
              <w:rPr>
                <w:rFonts w:ascii="Verdana" w:eastAsia="Calibri" w:hAnsi="Verdana" w:cs="Arial"/>
                <w:lang w:val="es-ES_tradnl" w:eastAsia="es-MX"/>
              </w:rPr>
              <w:t xml:space="preserve">MODALIDADES DE SELECCIÓN – Concurrencia </w:t>
            </w:r>
            <w:r w:rsidRPr="006849EB">
              <w:rPr>
                <w:rFonts w:ascii="Verdana" w:eastAsia="Aptos" w:hAnsi="Verdana" w:cs="Arial"/>
                <w:lang w:val="es-ES_tradnl" w:eastAsia="es-ES"/>
              </w:rPr>
              <w:t xml:space="preserve">– Mínima cuantía – </w:t>
            </w:r>
            <w:r>
              <w:rPr>
                <w:rFonts w:ascii="Verdana" w:eastAsia="Aptos" w:hAnsi="Verdana" w:cs="Arial"/>
                <w:lang w:val="es-ES_tradnl" w:eastAsia="es-ES"/>
              </w:rPr>
              <w:t>Licitación Pública</w:t>
            </w:r>
            <w:r w:rsidRPr="006849EB">
              <w:rPr>
                <w:rFonts w:ascii="Verdana" w:eastAsia="Aptos" w:hAnsi="Verdana" w:cs="Arial"/>
                <w:lang w:val="es-ES_tradnl" w:eastAsia="es-ES"/>
              </w:rPr>
              <w:t xml:space="preserve"> – Prevalencia </w:t>
            </w:r>
          </w:p>
          <w:p w14:paraId="7EE89130" w14:textId="77777777" w:rsidR="000632AA" w:rsidRPr="00BE0FF3" w:rsidRDefault="000632AA" w:rsidP="00B61CA8">
            <w:pPr>
              <w:jc w:val="both"/>
              <w:rPr>
                <w:rFonts w:ascii="Verdana" w:eastAsia="Calibri" w:hAnsi="Verdana" w:cs="Arial"/>
                <w:b/>
                <w:bCs/>
                <w:lang w:eastAsia="es-ES"/>
              </w:rPr>
            </w:pPr>
          </w:p>
        </w:tc>
      </w:tr>
      <w:tr w:rsidR="000632AA" w:rsidRPr="00DB6C5D" w14:paraId="13F8F7FD" w14:textId="77777777" w:rsidTr="00B61CA8">
        <w:tc>
          <w:tcPr>
            <w:tcW w:w="2689" w:type="dxa"/>
          </w:tcPr>
          <w:p w14:paraId="78CC7B49" w14:textId="77777777" w:rsidR="000632AA" w:rsidRPr="00DB6C5D" w:rsidRDefault="000632AA" w:rsidP="00B61CA8">
            <w:pPr>
              <w:jc w:val="both"/>
              <w:rPr>
                <w:rFonts w:ascii="Verdana" w:eastAsia="Calibri" w:hAnsi="Verdana" w:cs="Arial"/>
                <w:b/>
                <w:lang w:eastAsia="es-ES_tradnl"/>
              </w:rPr>
            </w:pPr>
            <w:r w:rsidRPr="00DB6C5D">
              <w:rPr>
                <w:rFonts w:ascii="Verdana" w:eastAsia="Calibri" w:hAnsi="Verdana" w:cs="Arial"/>
                <w:b/>
                <w:lang w:eastAsia="es-ES_tradnl"/>
              </w:rPr>
              <w:t>Radicación:</w:t>
            </w:r>
            <w:r w:rsidRPr="00DB6C5D">
              <w:rPr>
                <w:rFonts w:ascii="Verdana" w:eastAsia="Calibri" w:hAnsi="Verdana" w:cs="Arial"/>
                <w:lang w:eastAsia="es-ES_tradnl"/>
              </w:rPr>
              <w:t xml:space="preserve">               </w:t>
            </w:r>
          </w:p>
        </w:tc>
        <w:tc>
          <w:tcPr>
            <w:tcW w:w="6100" w:type="dxa"/>
          </w:tcPr>
          <w:p w14:paraId="57A299F4" w14:textId="177324CA" w:rsidR="000632AA" w:rsidRPr="00DB6C5D" w:rsidRDefault="000632AA" w:rsidP="00B61CA8">
            <w:pPr>
              <w:jc w:val="both"/>
              <w:rPr>
                <w:rFonts w:ascii="Verdana" w:eastAsia="Calibri" w:hAnsi="Verdana" w:cs="Arial"/>
                <w:lang w:eastAsia="es-ES_tradnl"/>
              </w:rPr>
            </w:pPr>
            <w:r w:rsidRPr="00DB6C5D">
              <w:rPr>
                <w:rFonts w:ascii="Verdana" w:eastAsia="Calibri" w:hAnsi="Verdana" w:cs="Arial"/>
                <w:lang w:eastAsia="es-ES_tradnl"/>
              </w:rPr>
              <w:t xml:space="preserve">Respuesta a consultas con radicado No. </w:t>
            </w:r>
            <w:r w:rsidR="0055116B" w:rsidRPr="0055116B">
              <w:rPr>
                <w:rFonts w:ascii="Verdana" w:eastAsia="Calibri" w:hAnsi="Verdana" w:cs="Arial"/>
                <w:lang w:eastAsia="es-ES_tradnl"/>
              </w:rPr>
              <w:t>1_2026_08_06_010433</w:t>
            </w:r>
          </w:p>
        </w:tc>
      </w:tr>
    </w:tbl>
    <w:p w14:paraId="514E704A" w14:textId="77777777" w:rsidR="000632AA" w:rsidRPr="00DB6C5D" w:rsidRDefault="000632AA" w:rsidP="000632AA">
      <w:pPr>
        <w:spacing w:after="0" w:line="240" w:lineRule="auto"/>
        <w:jc w:val="both"/>
        <w:rPr>
          <w:rFonts w:ascii="Verdana" w:eastAsia="Calibri" w:hAnsi="Verdana" w:cs="Arial"/>
          <w:color w:val="000000"/>
          <w:lang w:eastAsia="es-ES_tradnl"/>
        </w:rPr>
      </w:pPr>
    </w:p>
    <w:p w14:paraId="49369662" w14:textId="77777777" w:rsidR="000632AA" w:rsidRPr="00DB6C5D" w:rsidRDefault="000632AA" w:rsidP="000632AA">
      <w:pPr>
        <w:spacing w:after="0" w:line="240" w:lineRule="auto"/>
        <w:jc w:val="both"/>
        <w:rPr>
          <w:rFonts w:ascii="Verdana" w:eastAsia="Calibri" w:hAnsi="Verdana" w:cs="Arial"/>
          <w:color w:val="000000"/>
          <w:lang w:eastAsia="es-ES_tradnl"/>
        </w:rPr>
      </w:pPr>
    </w:p>
    <w:p w14:paraId="4E33FCBA" w14:textId="1307D5E6" w:rsidR="000632AA" w:rsidRDefault="000632AA" w:rsidP="000632AA">
      <w:pPr>
        <w:spacing w:after="0" w:line="276" w:lineRule="auto"/>
        <w:jc w:val="both"/>
        <w:rPr>
          <w:rFonts w:ascii="Verdana" w:eastAsia="Calibri" w:hAnsi="Verdana" w:cs="Arial"/>
          <w:color w:val="000000"/>
          <w:lang w:eastAsia="es-ES"/>
        </w:rPr>
      </w:pPr>
      <w:r w:rsidRPr="00DB6C5D">
        <w:rPr>
          <w:rFonts w:ascii="Verdana" w:eastAsia="Calibri" w:hAnsi="Verdana" w:cs="Arial"/>
          <w:lang w:eastAsia="es-ES"/>
        </w:rPr>
        <w:t>Estimad</w:t>
      </w:r>
      <w:r w:rsidR="005B1CC7">
        <w:rPr>
          <w:rFonts w:ascii="Verdana" w:eastAsia="Calibri" w:hAnsi="Verdana" w:cs="Arial"/>
          <w:lang w:eastAsia="es-ES"/>
        </w:rPr>
        <w:t>a</w:t>
      </w:r>
      <w:r w:rsidRPr="00DB6C5D">
        <w:rPr>
          <w:rFonts w:ascii="Verdana" w:eastAsia="Calibri" w:hAnsi="Verdana" w:cs="Arial"/>
          <w:lang w:eastAsia="es-ES"/>
        </w:rPr>
        <w:t xml:space="preserve"> señor</w:t>
      </w:r>
      <w:r w:rsidR="005B1CC7">
        <w:rPr>
          <w:rFonts w:ascii="Verdana" w:eastAsia="Calibri" w:hAnsi="Verdana" w:cs="Arial"/>
          <w:lang w:eastAsia="es-ES"/>
        </w:rPr>
        <w:t>a</w:t>
      </w:r>
      <w:r w:rsidRPr="00DB6C5D">
        <w:rPr>
          <w:rFonts w:ascii="Verdana" w:eastAsia="Calibri" w:hAnsi="Verdana" w:cs="Arial"/>
          <w:lang w:eastAsia="es-ES"/>
        </w:rPr>
        <w:t xml:space="preserve"> </w:t>
      </w:r>
      <w:r w:rsidR="005B1CC7">
        <w:rPr>
          <w:rFonts w:ascii="Verdana" w:eastAsia="Calibri" w:hAnsi="Verdana" w:cs="Arial"/>
          <w:lang w:eastAsia="es-ES"/>
        </w:rPr>
        <w:t>Restrepo</w:t>
      </w:r>
      <w:r w:rsidRPr="00DB6C5D">
        <w:rPr>
          <w:rFonts w:ascii="Verdana" w:eastAsia="Calibri" w:hAnsi="Verdana" w:cs="Arial"/>
          <w:lang w:eastAsia="es-ES"/>
        </w:rPr>
        <w:t>, cordial saludo:</w:t>
      </w:r>
      <w:r w:rsidRPr="00DB6C5D">
        <w:rPr>
          <w:rFonts w:ascii="Verdana" w:eastAsia="Calibri" w:hAnsi="Verdana" w:cs="Arial"/>
          <w:color w:val="000000"/>
          <w:lang w:eastAsia="es-ES"/>
        </w:rPr>
        <w:tab/>
      </w:r>
    </w:p>
    <w:p w14:paraId="3B733E38" w14:textId="77777777" w:rsidR="000632AA" w:rsidRPr="00DB6C5D" w:rsidRDefault="000632AA" w:rsidP="000632AA">
      <w:pPr>
        <w:spacing w:after="0" w:line="276" w:lineRule="auto"/>
        <w:jc w:val="both"/>
        <w:rPr>
          <w:rFonts w:ascii="Verdana" w:eastAsia="Calibri" w:hAnsi="Verdana" w:cs="Arial"/>
          <w:color w:val="000000"/>
          <w:lang w:eastAsia="es-ES"/>
        </w:rPr>
      </w:pPr>
    </w:p>
    <w:p w14:paraId="4F26AB3B" w14:textId="7BA935E6" w:rsidR="000632AA" w:rsidRPr="00DB6C5D" w:rsidRDefault="000632AA" w:rsidP="000632AA">
      <w:pPr>
        <w:spacing w:after="0" w:line="276" w:lineRule="auto"/>
        <w:jc w:val="both"/>
        <w:rPr>
          <w:rFonts w:ascii="Verdana" w:eastAsia="Calibri" w:hAnsi="Verdana" w:cs="Arial"/>
          <w:i/>
          <w:iCs/>
          <w:lang w:eastAsia="es-ES"/>
        </w:rPr>
      </w:pPr>
      <w:r w:rsidRPr="00DB6C5D">
        <w:rPr>
          <w:rFonts w:ascii="Verdana" w:eastAsia="Calibri" w:hAnsi="Verdana" w:cs="Arial"/>
          <w:color w:val="000000"/>
          <w:lang w:eastAsia="es-ES"/>
        </w:rPr>
        <w:t>En ejercicio de la competencia otorgada por los artículos 3, numeral 5º, y 11, numeral 8º, del Decreto Ley 4170 de 2011,</w:t>
      </w:r>
      <w:r w:rsidRPr="00DB6C5D">
        <w:rPr>
          <w:rFonts w:ascii="Verdana" w:eastAsia="Arial MT" w:hAnsi="Verdana" w:cs="Arial MT"/>
          <w:lang w:eastAsia="es-ES"/>
        </w:rPr>
        <w:t xml:space="preserve"> </w:t>
      </w:r>
      <w:r w:rsidRPr="00DB6C5D">
        <w:rPr>
          <w:rFonts w:ascii="Verdana" w:eastAsia="Calibri" w:hAnsi="Verdana" w:cs="Arial"/>
        </w:rPr>
        <w:t xml:space="preserve">así como lo establecido en el artículo 4 de la Resolución 1707 de 2018 expedida por esta Entidad, </w:t>
      </w:r>
      <w:r w:rsidRPr="00DB6C5D">
        <w:rPr>
          <w:rFonts w:ascii="Verdana" w:eastAsia="Calibri" w:hAnsi="Verdana" w:cs="Arial"/>
          <w:color w:val="000000"/>
          <w:lang w:eastAsia="es-ES"/>
        </w:rPr>
        <w:t>la Agencia Nacional de Contratación Pública – Colombia Compra Eficiente responde su solicitud de concepto del</w:t>
      </w:r>
      <w:r>
        <w:rPr>
          <w:rFonts w:ascii="Verdana" w:eastAsia="Calibri" w:hAnsi="Verdana" w:cs="Arial"/>
          <w:color w:val="000000"/>
          <w:lang w:eastAsia="es-ES"/>
        </w:rPr>
        <w:t xml:space="preserve"> </w:t>
      </w:r>
      <w:r w:rsidR="005F0BA9">
        <w:rPr>
          <w:rFonts w:ascii="Verdana" w:eastAsia="Calibri" w:hAnsi="Verdana" w:cs="Arial"/>
          <w:color w:val="000000"/>
          <w:lang w:eastAsia="es-ES"/>
        </w:rPr>
        <w:t>06</w:t>
      </w:r>
      <w:r w:rsidRPr="00DB6C5D">
        <w:rPr>
          <w:rFonts w:ascii="Verdana" w:eastAsia="Calibri" w:hAnsi="Verdana" w:cs="Arial"/>
          <w:color w:val="000000"/>
          <w:lang w:eastAsia="es-ES"/>
        </w:rPr>
        <w:t xml:space="preserve"> de </w:t>
      </w:r>
      <w:r>
        <w:rPr>
          <w:rFonts w:ascii="Verdana" w:eastAsia="Calibri" w:hAnsi="Verdana" w:cs="Arial"/>
          <w:color w:val="000000"/>
          <w:lang w:eastAsia="es-ES"/>
        </w:rPr>
        <w:t>agosto</w:t>
      </w:r>
      <w:r w:rsidRPr="00DB6C5D">
        <w:rPr>
          <w:rFonts w:ascii="Verdana" w:eastAsia="Calibri" w:hAnsi="Verdana" w:cs="Arial"/>
          <w:color w:val="000000"/>
          <w:lang w:eastAsia="es-ES"/>
        </w:rPr>
        <w:t xml:space="preserve"> de 2026,</w:t>
      </w:r>
      <w:r w:rsidRPr="00DB6C5D">
        <w:rPr>
          <w:rFonts w:ascii="Verdana" w:eastAsia="Calibri" w:hAnsi="Verdana" w:cs="Arial"/>
          <w:lang w:eastAsia="es-ES"/>
        </w:rPr>
        <w:t xml:space="preserve"> en la que manifiesta lo siguiente:</w:t>
      </w:r>
      <w:r w:rsidRPr="00DB6C5D">
        <w:rPr>
          <w:rFonts w:ascii="Verdana" w:eastAsia="Calibri" w:hAnsi="Verdana" w:cs="Arial"/>
          <w:i/>
          <w:iCs/>
          <w:lang w:eastAsia="es-ES"/>
        </w:rPr>
        <w:t xml:space="preserve"> </w:t>
      </w:r>
      <w:bookmarkStart w:id="2" w:name="_Hlk95313578"/>
    </w:p>
    <w:p w14:paraId="1983DBD0" w14:textId="77777777" w:rsidR="000632AA" w:rsidRPr="00DB6C5D" w:rsidRDefault="000632AA" w:rsidP="000632AA">
      <w:pPr>
        <w:spacing w:after="0" w:line="276" w:lineRule="auto"/>
        <w:jc w:val="both"/>
        <w:rPr>
          <w:rFonts w:ascii="Verdana" w:eastAsia="Calibri" w:hAnsi="Verdana" w:cs="Arial"/>
          <w:i/>
          <w:iCs/>
          <w:lang w:eastAsia="es-ES"/>
        </w:rPr>
      </w:pPr>
    </w:p>
    <w:p w14:paraId="1AB5D74B" w14:textId="305A47B6" w:rsidR="000632AA" w:rsidRPr="005F0BA9" w:rsidRDefault="000632AA" w:rsidP="005F0BA9">
      <w:pPr>
        <w:spacing w:after="0" w:line="240" w:lineRule="auto"/>
        <w:ind w:left="709" w:right="709"/>
        <w:jc w:val="both"/>
        <w:rPr>
          <w:rFonts w:ascii="Verdana" w:hAnsi="Verdana" w:cs="Arial"/>
          <w:i/>
          <w:iCs/>
          <w:sz w:val="20"/>
          <w:szCs w:val="20"/>
          <w:shd w:val="clear" w:color="auto" w:fill="FFFFFF"/>
        </w:rPr>
      </w:pPr>
      <w:r w:rsidRPr="00DB6C5D">
        <w:rPr>
          <w:rFonts w:ascii="Verdana" w:hAnsi="Verdana" w:cs="Arial"/>
          <w:i/>
          <w:iCs/>
          <w:sz w:val="20"/>
          <w:szCs w:val="20"/>
          <w:shd w:val="clear" w:color="auto" w:fill="FFFFFF"/>
        </w:rPr>
        <w:t>“</w:t>
      </w:r>
      <w:bookmarkEnd w:id="2"/>
      <w:r w:rsidR="005F0BA9" w:rsidRPr="005F0BA9">
        <w:rPr>
          <w:rFonts w:ascii="Verdana" w:hAnsi="Verdana" w:cs="Arial"/>
          <w:i/>
          <w:iCs/>
          <w:sz w:val="20"/>
          <w:szCs w:val="20"/>
          <w:shd w:val="clear" w:color="auto" w:fill="FFFFFF"/>
        </w:rPr>
        <w:t>El inciso 4 del numeral 5 del Artículo 32 de la ley 80 de 1993 advierte que " La selección de las sociedades fiduciarias a contratar, sea pública o privada, se hará con rigurosa observancia del procedimiento de licitación previsto en esta ley" por lo que se ha considerado que las entidades fiduciarias deben elegirse independientemente de la cuantía del proceso, sin excepción, por la modalidad de selección de LICITACIÓNPÚBLICA, sin embargo con la creación de la modalidad de Mínima cuantía, para la contratación que no exceda el 10% de la menor cuantía independientemente del Objeto, se generó la duda si para procesos de selección de entidades fiduciarias cuya cuantía no exceda el 10% de la menor cuantía de la entidad, debe seguirse este procedimiento de Mínima Cuantía o debe hacerse por Licitación Pública como lo indica la ley 80 de 1993? cuál modalidad prevalece atendiendo un presupuesto que no excede el 10% de la Menor cuantía? prevalece la ley posterior sobre la anterior disposición?</w:t>
      </w:r>
      <w:r w:rsidRPr="005F0BA9">
        <w:rPr>
          <w:rFonts w:ascii="Verdana" w:hAnsi="Verdana" w:cs="Arial"/>
          <w:i/>
          <w:iCs/>
          <w:sz w:val="20"/>
          <w:szCs w:val="20"/>
          <w:shd w:val="clear" w:color="auto" w:fill="FFFFFF"/>
        </w:rPr>
        <w:t>.”</w:t>
      </w:r>
    </w:p>
    <w:p w14:paraId="4D112712" w14:textId="77777777" w:rsidR="000632AA" w:rsidRPr="00DB6C5D" w:rsidRDefault="000632AA" w:rsidP="000632AA">
      <w:pPr>
        <w:spacing w:after="0" w:line="276" w:lineRule="auto"/>
        <w:jc w:val="both"/>
        <w:rPr>
          <w:rFonts w:ascii="Verdana" w:eastAsia="Calibri" w:hAnsi="Verdana" w:cs="Arial"/>
        </w:rPr>
      </w:pPr>
    </w:p>
    <w:p w14:paraId="2614BAAD" w14:textId="77777777" w:rsidR="000632AA" w:rsidRPr="00DB6C5D" w:rsidRDefault="000632AA" w:rsidP="000632AA">
      <w:pPr>
        <w:spacing w:after="120" w:line="276" w:lineRule="auto"/>
        <w:jc w:val="both"/>
        <w:rPr>
          <w:rFonts w:ascii="Verdana" w:eastAsia="Calibri" w:hAnsi="Verdana" w:cs="Arial"/>
          <w:color w:val="000000"/>
          <w:lang w:eastAsia="es-ES"/>
        </w:rPr>
      </w:pPr>
      <w:r w:rsidRPr="00DB6C5D">
        <w:rPr>
          <w:rFonts w:ascii="Verdana" w:eastAsia="Calibri" w:hAnsi="Verdana" w:cs="Arial"/>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w:t>
      </w:r>
      <w:r w:rsidRPr="00DB6C5D">
        <w:rPr>
          <w:rFonts w:ascii="Verdana" w:eastAsia="Calibri" w:hAnsi="Verdana" w:cs="Arial"/>
          <w:color w:val="000000"/>
          <w:lang w:eastAsia="es-ES"/>
        </w:rPr>
        <w:t xml:space="preserve">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B6C5D">
        <w:rPr>
          <w:rFonts w:ascii="Verdana" w:eastAsia="Calibri" w:hAnsi="Verdana" w:cs="Arial"/>
          <w:color w:val="000000"/>
          <w:lang w:eastAsia="es-ES_tradnl"/>
        </w:rPr>
        <w:tab/>
      </w:r>
    </w:p>
    <w:p w14:paraId="044A5039" w14:textId="77777777" w:rsidR="000632AA" w:rsidRPr="00DB6C5D" w:rsidRDefault="000632AA" w:rsidP="000632AA">
      <w:pPr>
        <w:spacing w:after="0" w:line="276" w:lineRule="auto"/>
        <w:ind w:firstLine="708"/>
        <w:jc w:val="both"/>
        <w:rPr>
          <w:rFonts w:ascii="Verdana" w:eastAsia="Calibri" w:hAnsi="Verdana" w:cs="Arial"/>
          <w:b/>
          <w:bCs/>
          <w:color w:val="000000"/>
          <w:lang w:eastAsia="es-ES"/>
        </w:rPr>
      </w:pPr>
      <w:r w:rsidRPr="00DB6C5D">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DB6C5D">
        <w:rPr>
          <w:rFonts w:ascii="Verdana" w:eastAsia="Calibri" w:hAnsi="Verdana" w:cs="Arial"/>
          <w:color w:val="7030A0"/>
          <w:lang w:eastAsia="es-ES"/>
        </w:rPr>
        <w:t xml:space="preserve"> </w:t>
      </w:r>
      <w:r w:rsidRPr="00DB6C5D">
        <w:rPr>
          <w:rFonts w:ascii="Verdana" w:eastAsia="Calibri" w:hAnsi="Verdana" w:cs="Arial"/>
          <w:color w:val="000000"/>
          <w:lang w:eastAsia="es-ES"/>
        </w:rPr>
        <w:t>problemas</w:t>
      </w:r>
      <w:r w:rsidRPr="00DB6C5D">
        <w:rPr>
          <w:rFonts w:ascii="Verdana" w:eastAsia="Calibri" w:hAnsi="Verdana" w:cs="Arial"/>
          <w:color w:val="7030A0"/>
          <w:lang w:eastAsia="es-ES"/>
        </w:rPr>
        <w:t xml:space="preserve"> </w:t>
      </w:r>
      <w:r w:rsidRPr="00DB6C5D">
        <w:rPr>
          <w:rFonts w:ascii="Verdana" w:eastAsia="Calibri" w:hAnsi="Verdana" w:cs="Arial"/>
          <w:color w:val="000000"/>
          <w:lang w:eastAsia="es-ES"/>
        </w:rPr>
        <w:t>jurídicos</w:t>
      </w:r>
      <w:r w:rsidRPr="00DB6C5D">
        <w:rPr>
          <w:rFonts w:ascii="Verdana" w:eastAsia="Calibri" w:hAnsi="Verdana" w:cs="Arial"/>
          <w:color w:val="7030A0"/>
          <w:lang w:eastAsia="es-ES"/>
        </w:rPr>
        <w:t xml:space="preserve"> </w:t>
      </w:r>
      <w:r w:rsidRPr="00DB6C5D">
        <w:rPr>
          <w:rFonts w:ascii="Verdana" w:eastAsia="Calibri" w:hAnsi="Verdana" w:cs="Arial"/>
          <w:color w:val="000000"/>
          <w:lang w:eastAsia="es-ES"/>
        </w:rPr>
        <w:t>de su consulta.</w:t>
      </w:r>
      <w:r w:rsidRPr="00DB6C5D">
        <w:rPr>
          <w:rFonts w:ascii="Verdana" w:eastAsia="Calibri" w:hAnsi="Verdana" w:cs="Arial"/>
          <w:b/>
          <w:bCs/>
          <w:color w:val="000000"/>
          <w:lang w:eastAsia="es-ES"/>
        </w:rPr>
        <w:t xml:space="preserve"> </w:t>
      </w:r>
    </w:p>
    <w:p w14:paraId="31F45839" w14:textId="77777777" w:rsidR="000632AA" w:rsidRPr="00DB6C5D" w:rsidRDefault="000632AA" w:rsidP="000632AA">
      <w:pPr>
        <w:spacing w:after="0" w:line="276" w:lineRule="auto"/>
        <w:ind w:firstLine="708"/>
        <w:jc w:val="both"/>
        <w:rPr>
          <w:rFonts w:ascii="Verdana" w:eastAsia="Calibri" w:hAnsi="Verdana" w:cs="Arial"/>
          <w:b/>
          <w:bCs/>
          <w:color w:val="000000"/>
          <w:lang w:eastAsia="es-ES"/>
        </w:rPr>
      </w:pPr>
    </w:p>
    <w:p w14:paraId="05E9616C" w14:textId="77777777" w:rsidR="000632AA" w:rsidRPr="00DB6C5D" w:rsidRDefault="000632AA" w:rsidP="000632AA">
      <w:pPr>
        <w:numPr>
          <w:ilvl w:val="0"/>
          <w:numId w:val="16"/>
        </w:numPr>
        <w:tabs>
          <w:tab w:val="left" w:pos="142"/>
          <w:tab w:val="left" w:pos="284"/>
        </w:tabs>
        <w:spacing w:after="0" w:line="276" w:lineRule="auto"/>
        <w:ind w:left="0" w:firstLine="357"/>
        <w:jc w:val="both"/>
        <w:rPr>
          <w:rFonts w:ascii="Verdana" w:eastAsia="Century Gothic" w:hAnsi="Verdana" w:cs="Century Gothic"/>
        </w:rPr>
      </w:pPr>
      <w:r w:rsidRPr="00DB6C5D">
        <w:rPr>
          <w:rFonts w:ascii="Verdana" w:eastAsia="Century Gothic" w:hAnsi="Verdana" w:cs="Century Gothic"/>
          <w:b/>
          <w:bCs/>
        </w:rPr>
        <w:t>Problema planteado:</w:t>
      </w:r>
    </w:p>
    <w:p w14:paraId="654B1020" w14:textId="77777777" w:rsidR="000632AA" w:rsidRPr="00DB6C5D" w:rsidRDefault="000632AA" w:rsidP="000632AA">
      <w:pPr>
        <w:spacing w:after="0" w:line="276" w:lineRule="auto"/>
        <w:jc w:val="both"/>
        <w:rPr>
          <w:rFonts w:ascii="Verdana" w:eastAsia="Century Gothic" w:hAnsi="Verdana" w:cs="Century Gothic"/>
        </w:rPr>
      </w:pPr>
    </w:p>
    <w:p w14:paraId="0BB675B1" w14:textId="70C7B466" w:rsidR="000632AA" w:rsidRPr="00DB6C5D" w:rsidRDefault="000632AA" w:rsidP="000632AA">
      <w:pPr>
        <w:spacing w:after="0" w:line="276" w:lineRule="auto"/>
        <w:jc w:val="both"/>
        <w:rPr>
          <w:rFonts w:ascii="Verdana" w:eastAsia="Calibri" w:hAnsi="Verdana" w:cs="Times New Roman"/>
        </w:rPr>
      </w:pPr>
      <w:r w:rsidRPr="00DB6C5D">
        <w:rPr>
          <w:rFonts w:ascii="Verdana" w:eastAsia="Century Gothic" w:hAnsi="Verdana" w:cs="Century Gothic"/>
        </w:rPr>
        <w:t>De acuerdo con el contenido de su solicitud, esta Agencia resolverá los siguientes problemas jurídicos:</w:t>
      </w:r>
      <w:r w:rsidRPr="00DB6C5D">
        <w:rPr>
          <w:rFonts w:ascii="Verdana" w:eastAsia="Calibri" w:hAnsi="Verdana" w:cs="Times New Roman"/>
          <w:iCs/>
        </w:rPr>
        <w:t xml:space="preserve"> </w:t>
      </w:r>
      <w:r w:rsidR="0004012C">
        <w:rPr>
          <w:rFonts w:ascii="Verdana" w:eastAsia="Century Gothic" w:hAnsi="Verdana" w:cs="Century Gothic"/>
          <w:color w:val="000000" w:themeColor="text1"/>
        </w:rPr>
        <w:t xml:space="preserve">¿Cuál es la modalidad de selección aplicable </w:t>
      </w:r>
      <w:r w:rsidR="00171033">
        <w:rPr>
          <w:rFonts w:ascii="Verdana" w:eastAsia="Century Gothic" w:hAnsi="Verdana" w:cs="Century Gothic"/>
          <w:color w:val="000000" w:themeColor="text1"/>
        </w:rPr>
        <w:t>cuando concurren la Licitación Pública</w:t>
      </w:r>
      <w:r w:rsidR="00C17E66">
        <w:rPr>
          <w:rFonts w:ascii="Verdana" w:eastAsia="Century Gothic" w:hAnsi="Verdana" w:cs="Century Gothic"/>
          <w:color w:val="000000" w:themeColor="text1"/>
        </w:rPr>
        <w:t>,</w:t>
      </w:r>
      <w:r w:rsidR="004176FB">
        <w:rPr>
          <w:rFonts w:ascii="Verdana" w:eastAsia="Century Gothic" w:hAnsi="Verdana" w:cs="Century Gothic"/>
          <w:color w:val="000000" w:themeColor="text1"/>
        </w:rPr>
        <w:t xml:space="preserve"> </w:t>
      </w:r>
      <w:r w:rsidR="005E4864">
        <w:rPr>
          <w:rFonts w:ascii="Verdana" w:eastAsia="Century Gothic" w:hAnsi="Verdana" w:cs="Century Gothic"/>
          <w:color w:val="000000" w:themeColor="text1"/>
        </w:rPr>
        <w:t>previsto para la contratación de</w:t>
      </w:r>
      <w:r w:rsidR="00C17E66" w:rsidRPr="00C17E66">
        <w:rPr>
          <w:rFonts w:ascii="Verdana" w:eastAsia="Century Gothic" w:hAnsi="Verdana" w:cs="Century Gothic"/>
          <w:color w:val="000000" w:themeColor="text1"/>
        </w:rPr>
        <w:t xml:space="preserve"> sociedades fiduciarias </w:t>
      </w:r>
      <w:r w:rsidR="00171033">
        <w:rPr>
          <w:rFonts w:ascii="Verdana" w:eastAsia="Century Gothic" w:hAnsi="Verdana" w:cs="Century Gothic"/>
          <w:color w:val="000000" w:themeColor="text1"/>
        </w:rPr>
        <w:t>y la Mínima Cuantía?</w:t>
      </w:r>
    </w:p>
    <w:p w14:paraId="71CDC783" w14:textId="77777777" w:rsidR="000632AA" w:rsidRPr="00DB6C5D" w:rsidRDefault="000632AA" w:rsidP="000632AA">
      <w:pPr>
        <w:spacing w:after="0" w:line="276" w:lineRule="auto"/>
        <w:jc w:val="both"/>
        <w:rPr>
          <w:rFonts w:ascii="Verdana" w:eastAsia="Verdana" w:hAnsi="Verdana" w:cs="Verdana"/>
        </w:rPr>
      </w:pPr>
    </w:p>
    <w:p w14:paraId="7E6BDFFA" w14:textId="77777777" w:rsidR="000632AA" w:rsidRPr="00DB6C5D" w:rsidRDefault="000632AA" w:rsidP="000632AA">
      <w:pPr>
        <w:numPr>
          <w:ilvl w:val="0"/>
          <w:numId w:val="16"/>
        </w:numPr>
        <w:tabs>
          <w:tab w:val="left" w:pos="142"/>
          <w:tab w:val="left" w:pos="284"/>
        </w:tabs>
        <w:spacing w:after="0" w:line="276" w:lineRule="auto"/>
        <w:ind w:left="0" w:firstLine="357"/>
        <w:jc w:val="both"/>
        <w:rPr>
          <w:rFonts w:ascii="Verdana" w:eastAsia="Century Gothic" w:hAnsi="Verdana" w:cs="Century Gothic"/>
          <w:b/>
          <w:bCs/>
        </w:rPr>
      </w:pPr>
      <w:r w:rsidRPr="00DB6C5D">
        <w:rPr>
          <w:rFonts w:ascii="Verdana" w:eastAsia="Century Gothic" w:hAnsi="Verdana" w:cs="Century Gothic"/>
          <w:b/>
          <w:bCs/>
        </w:rPr>
        <w:t xml:space="preserve"> Respuesta: </w:t>
      </w:r>
    </w:p>
    <w:p w14:paraId="0B7C6F89" w14:textId="77777777" w:rsidR="000632AA" w:rsidRPr="00DB6C5D" w:rsidRDefault="000632AA" w:rsidP="000632AA">
      <w:pPr>
        <w:tabs>
          <w:tab w:val="left" w:pos="142"/>
          <w:tab w:val="left" w:pos="284"/>
        </w:tabs>
        <w:spacing w:after="0" w:line="276" w:lineRule="auto"/>
        <w:ind w:left="357"/>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632AA" w:rsidRPr="00DB6C5D" w14:paraId="4CA0936D" w14:textId="77777777" w:rsidTr="00B61CA8">
        <w:trPr>
          <w:jc w:val="center"/>
        </w:trPr>
        <w:tc>
          <w:tcPr>
            <w:tcW w:w="8828" w:type="dxa"/>
          </w:tcPr>
          <w:p w14:paraId="7B618BF6" w14:textId="306FB03B" w:rsidR="00271E73" w:rsidRPr="00271E73" w:rsidRDefault="000632AA" w:rsidP="00271E73">
            <w:pPr>
              <w:spacing w:after="120" w:line="276" w:lineRule="auto"/>
              <w:jc w:val="both"/>
              <w:rPr>
                <w:rFonts w:ascii="Verdana" w:eastAsia="Arial" w:hAnsi="Verdana" w:cs="Arial"/>
                <w:bCs/>
                <w:lang w:eastAsia="es-MX"/>
              </w:rPr>
            </w:pPr>
            <w:bookmarkStart w:id="3" w:name="_Hlk171694685"/>
            <w:r w:rsidRPr="00DB6C5D">
              <w:rPr>
                <w:rFonts w:ascii="Verdana" w:hAnsi="Verdana" w:cs="Arial"/>
              </w:rPr>
              <w:t xml:space="preserve">Para dar respuesta al problema jurídico derivado de su consulta, es pertinente precisar </w:t>
            </w:r>
            <w:r>
              <w:rPr>
                <w:rFonts w:ascii="Verdana" w:hAnsi="Verdana" w:cs="Arial"/>
              </w:rPr>
              <w:t xml:space="preserve">que </w:t>
            </w:r>
            <w:r w:rsidR="00BA5434">
              <w:rPr>
                <w:rFonts w:ascii="Verdana" w:hAnsi="Verdana" w:cs="Arial"/>
              </w:rPr>
              <w:t>e</w:t>
            </w:r>
            <w:r w:rsidR="00271E73" w:rsidRPr="00271E73">
              <w:rPr>
                <w:rFonts w:ascii="Verdana" w:eastAsia="Arial" w:hAnsi="Verdana" w:cs="Arial"/>
                <w:bCs/>
                <w:lang w:eastAsia="es-MX"/>
              </w:rPr>
              <w:t xml:space="preserve">n relación con la modalidad de selección aplicable para la contratación de una sociedad fiduciaria, cuando el valor estimado del negocio se encuentra dentro de los límites establecidos para la mínima cuantía, resulta necesario armonizar la regla prevista en el numeral 5 del artículo 32 de la Ley 80 de 1993 con el régimen de modalidades de selección incorporado </w:t>
            </w:r>
            <w:r w:rsidR="00271E73" w:rsidRPr="00271E73">
              <w:rPr>
                <w:rFonts w:ascii="Verdana" w:eastAsia="Arial" w:hAnsi="Verdana" w:cs="Arial"/>
                <w:bCs/>
                <w:lang w:eastAsia="es-MX"/>
              </w:rPr>
              <w:lastRenderedPageBreak/>
              <w:t>posteriormente al Estatuto General de Contratación de la Administración Pública</w:t>
            </w:r>
            <w:r w:rsidR="00BA5434">
              <w:rPr>
                <w:rFonts w:ascii="Verdana" w:eastAsia="Arial" w:hAnsi="Verdana" w:cs="Arial"/>
                <w:bCs/>
                <w:lang w:eastAsia="es-MX"/>
              </w:rPr>
              <w:t>, en adelante E</w:t>
            </w:r>
            <w:r w:rsidR="00A83549">
              <w:rPr>
                <w:rFonts w:ascii="Verdana" w:eastAsia="Arial" w:hAnsi="Verdana" w:cs="Arial"/>
                <w:bCs/>
                <w:lang w:eastAsia="es-MX"/>
              </w:rPr>
              <w:t>GCAP.</w:t>
            </w:r>
          </w:p>
          <w:p w14:paraId="68436230" w14:textId="755F0363" w:rsidR="00271E73" w:rsidRPr="00271E73" w:rsidRDefault="00271E73" w:rsidP="00810328">
            <w:pPr>
              <w:spacing w:after="120" w:line="276" w:lineRule="auto"/>
              <w:ind w:firstLine="709"/>
              <w:jc w:val="both"/>
              <w:rPr>
                <w:rFonts w:ascii="Verdana" w:eastAsia="Arial" w:hAnsi="Verdana" w:cs="Arial"/>
                <w:bCs/>
                <w:lang w:eastAsia="es-MX"/>
              </w:rPr>
            </w:pPr>
            <w:r w:rsidRPr="00271E73">
              <w:rPr>
                <w:rFonts w:ascii="Verdana" w:eastAsia="Arial" w:hAnsi="Verdana" w:cs="Arial"/>
                <w:bCs/>
                <w:lang w:eastAsia="es-MX"/>
              </w:rPr>
              <w:t xml:space="preserve">El artículo </w:t>
            </w:r>
            <w:r w:rsidR="009F50A8">
              <w:rPr>
                <w:rFonts w:ascii="Verdana" w:eastAsia="Arial" w:hAnsi="Verdana" w:cs="Arial"/>
                <w:bCs/>
                <w:lang w:eastAsia="es-MX"/>
              </w:rPr>
              <w:t>mencionado</w:t>
            </w:r>
            <w:r w:rsidRPr="00271E73">
              <w:rPr>
                <w:rFonts w:ascii="Verdana" w:eastAsia="Arial" w:hAnsi="Verdana" w:cs="Arial"/>
                <w:bCs/>
                <w:lang w:eastAsia="es-MX"/>
              </w:rPr>
              <w:t xml:space="preserve"> dispone que los encargos fiduciarios y los contratos de fiducia pública solo podrán celebrarse con estricta sujeción a lo dispuesto en dicho estatuto y establece, en relación con la selección de la sociedad fiduciaria, que esta, sea pública o privada, se hará con rigurosa observancia del procedimiento de licitación o concurso previsto en la misma ley. Esta disposición fue expedida en un contexto normativo en el cual la Ley 80 de 1993 </w:t>
            </w:r>
            <w:r w:rsidR="00B26D35">
              <w:rPr>
                <w:rFonts w:ascii="Verdana" w:eastAsia="Arial" w:hAnsi="Verdana" w:cs="Arial"/>
                <w:bCs/>
                <w:lang w:eastAsia="es-MX"/>
              </w:rPr>
              <w:t>– en su redacción original –</w:t>
            </w:r>
            <w:r w:rsidRPr="00271E73">
              <w:rPr>
                <w:rFonts w:ascii="Verdana" w:eastAsia="Arial" w:hAnsi="Verdana" w:cs="Arial"/>
                <w:bCs/>
                <w:lang w:eastAsia="es-MX"/>
              </w:rPr>
              <w:t xml:space="preserve"> contemplaba la licitación pública como el mecanismo ordinario de selección de contratistas y no existía el actual sistema de modalidades de selección establecido posteriormente por el legislador. En efecto, fue la Ley 1150 de 2007 la que modificó de manera sustancial el sistema de selección previsto en la Ley 80 de 1993, al establecer, entre otras, las modalidades de licitación pública, selección abreviada, concurso de méritos</w:t>
            </w:r>
            <w:r w:rsidR="00EF0C51">
              <w:rPr>
                <w:rFonts w:ascii="Verdana" w:eastAsia="Arial" w:hAnsi="Verdana" w:cs="Arial"/>
                <w:bCs/>
                <w:lang w:eastAsia="es-MX"/>
              </w:rPr>
              <w:t xml:space="preserve"> y</w:t>
            </w:r>
            <w:r w:rsidR="00EA236D">
              <w:rPr>
                <w:rFonts w:ascii="Verdana" w:eastAsia="Arial" w:hAnsi="Verdana" w:cs="Arial"/>
                <w:bCs/>
                <w:lang w:eastAsia="es-MX"/>
              </w:rPr>
              <w:t xml:space="preserve"> </w:t>
            </w:r>
            <w:r w:rsidRPr="00271E73">
              <w:rPr>
                <w:rFonts w:ascii="Verdana" w:eastAsia="Arial" w:hAnsi="Verdana" w:cs="Arial"/>
                <w:bCs/>
                <w:lang w:eastAsia="es-MX"/>
              </w:rPr>
              <w:t>contratación directa</w:t>
            </w:r>
            <w:r w:rsidR="00EA236D">
              <w:rPr>
                <w:rFonts w:ascii="Verdana" w:eastAsia="Arial" w:hAnsi="Verdana" w:cs="Arial"/>
                <w:bCs/>
                <w:lang w:eastAsia="es-MX"/>
              </w:rPr>
              <w:t>,</w:t>
            </w:r>
            <w:r w:rsidRPr="00271E73">
              <w:rPr>
                <w:rFonts w:ascii="Verdana" w:eastAsia="Arial" w:hAnsi="Verdana" w:cs="Arial"/>
                <w:bCs/>
                <w:lang w:eastAsia="es-MX"/>
              </w:rPr>
              <w:t xml:space="preserve"> cada una con supuestos específicos de procedencia.</w:t>
            </w:r>
          </w:p>
          <w:p w14:paraId="7C1ACC16" w14:textId="6D21A235" w:rsidR="00271E73" w:rsidRPr="00271E73" w:rsidRDefault="00271E73" w:rsidP="00810328">
            <w:pPr>
              <w:spacing w:after="120" w:line="276" w:lineRule="auto"/>
              <w:ind w:firstLine="709"/>
              <w:jc w:val="both"/>
              <w:rPr>
                <w:rFonts w:ascii="Verdana" w:eastAsia="Arial" w:hAnsi="Verdana" w:cs="Arial"/>
                <w:bCs/>
                <w:lang w:eastAsia="es-MX"/>
              </w:rPr>
            </w:pPr>
            <w:r w:rsidRPr="00271E73">
              <w:rPr>
                <w:rFonts w:ascii="Verdana" w:eastAsia="Arial" w:hAnsi="Verdana" w:cs="Arial"/>
                <w:bCs/>
                <w:lang w:eastAsia="es-MX"/>
              </w:rPr>
              <w:t xml:space="preserve">Posteriormente, </w:t>
            </w:r>
            <w:r w:rsidR="00417CF0">
              <w:rPr>
                <w:rFonts w:ascii="Verdana" w:eastAsia="Arial" w:hAnsi="Verdana" w:cs="Arial"/>
                <w:bCs/>
                <w:lang w:eastAsia="es-MX"/>
              </w:rPr>
              <w:t xml:space="preserve">fue incorporado por </w:t>
            </w:r>
            <w:r w:rsidRPr="00271E73">
              <w:rPr>
                <w:rFonts w:ascii="Verdana" w:eastAsia="Arial" w:hAnsi="Verdana" w:cs="Arial"/>
                <w:bCs/>
                <w:lang w:eastAsia="es-MX"/>
              </w:rPr>
              <w:t xml:space="preserve">el legislador </w:t>
            </w:r>
            <w:r w:rsidR="00417CF0">
              <w:rPr>
                <w:rFonts w:ascii="Verdana" w:eastAsia="Arial" w:hAnsi="Verdana" w:cs="Arial"/>
                <w:bCs/>
                <w:lang w:eastAsia="es-MX"/>
              </w:rPr>
              <w:t>a</w:t>
            </w:r>
            <w:r w:rsidRPr="00271E73">
              <w:rPr>
                <w:rFonts w:ascii="Verdana" w:eastAsia="Arial" w:hAnsi="Verdana" w:cs="Arial"/>
                <w:bCs/>
                <w:lang w:eastAsia="es-MX"/>
              </w:rPr>
              <w:t xml:space="preserve">l ordenamiento la modalidad de selección de mínima cuantía. En particular, el artículo 94 de la Ley 1474 de 2011 </w:t>
            </w:r>
            <w:r w:rsidR="00EC3DA3">
              <w:rPr>
                <w:rFonts w:ascii="Verdana" w:eastAsia="Arial" w:hAnsi="Verdana" w:cs="Arial"/>
                <w:bCs/>
                <w:lang w:eastAsia="es-MX"/>
              </w:rPr>
              <w:t xml:space="preserve">la </w:t>
            </w:r>
            <w:r w:rsidRPr="00271E73">
              <w:rPr>
                <w:rFonts w:ascii="Verdana" w:eastAsia="Arial" w:hAnsi="Verdana" w:cs="Arial"/>
                <w:bCs/>
                <w:lang w:eastAsia="es-MX"/>
              </w:rPr>
              <w:t xml:space="preserve">adicionó el artículo 2 de la Ley 1150 de 2007 para disponer que la contratación cuyo valor no exceda del diez por ciento (10%) de la menor cuantía de la entidad, </w:t>
            </w:r>
            <w:r w:rsidR="00115C3F">
              <w:rPr>
                <w:rFonts w:ascii="Verdana" w:eastAsia="Arial" w:hAnsi="Verdana" w:cs="Arial"/>
                <w:bCs/>
                <w:lang w:eastAsia="es-MX"/>
              </w:rPr>
              <w:t>“i</w:t>
            </w:r>
            <w:r w:rsidRPr="00115C3F">
              <w:rPr>
                <w:rFonts w:ascii="Verdana" w:eastAsia="Arial" w:hAnsi="Verdana" w:cs="Arial"/>
                <w:bCs/>
                <w:i/>
                <w:iCs/>
                <w:lang w:eastAsia="es-MX"/>
              </w:rPr>
              <w:t>ndependientemente de su objeto”</w:t>
            </w:r>
            <w:r w:rsidRPr="00271E73">
              <w:rPr>
                <w:rFonts w:ascii="Verdana" w:eastAsia="Arial" w:hAnsi="Verdana" w:cs="Arial"/>
                <w:bCs/>
                <w:lang w:eastAsia="es-MX"/>
              </w:rPr>
              <w:t>, se efectuará de conformidad con las reglas propias de dicha modalidad. Esta expresión resulta relevante para resolver la cuestión planteada</w:t>
            </w:r>
            <w:r w:rsidR="00190A6E">
              <w:rPr>
                <w:rFonts w:ascii="Verdana" w:eastAsia="Arial" w:hAnsi="Verdana" w:cs="Arial"/>
                <w:bCs/>
                <w:lang w:eastAsia="es-MX"/>
              </w:rPr>
              <w:t xml:space="preserve"> en su consulta</w:t>
            </w:r>
            <w:r w:rsidRPr="00271E73">
              <w:rPr>
                <w:rFonts w:ascii="Verdana" w:eastAsia="Arial" w:hAnsi="Verdana" w:cs="Arial"/>
                <w:bCs/>
                <w:lang w:eastAsia="es-MX"/>
              </w:rPr>
              <w:t xml:space="preserve">, en tanto el legislador no condicionó la procedencia de la mínima cuantía a la naturaleza del bien, servicio u obra que se pretenda contratar, sino que estableció como presupuesto determinante el valor </w:t>
            </w:r>
            <w:r w:rsidR="00190A6E">
              <w:rPr>
                <w:rFonts w:ascii="Verdana" w:eastAsia="Arial" w:hAnsi="Verdana" w:cs="Arial"/>
                <w:bCs/>
                <w:lang w:eastAsia="es-MX"/>
              </w:rPr>
              <w:t xml:space="preserve">o cuantía </w:t>
            </w:r>
            <w:r w:rsidR="00D64A65">
              <w:rPr>
                <w:rFonts w:ascii="Verdana" w:eastAsia="Arial" w:hAnsi="Verdana" w:cs="Arial"/>
                <w:bCs/>
                <w:lang w:eastAsia="es-MX"/>
              </w:rPr>
              <w:t>del proceso.</w:t>
            </w:r>
          </w:p>
          <w:p w14:paraId="2B14637A" w14:textId="77777777" w:rsidR="00271E73" w:rsidRPr="00271E73" w:rsidRDefault="00271E73" w:rsidP="00810328">
            <w:pPr>
              <w:spacing w:after="120" w:line="276" w:lineRule="auto"/>
              <w:ind w:firstLine="709"/>
              <w:jc w:val="both"/>
              <w:rPr>
                <w:rFonts w:ascii="Verdana" w:eastAsia="Arial" w:hAnsi="Verdana" w:cs="Arial"/>
                <w:bCs/>
                <w:lang w:eastAsia="es-MX"/>
              </w:rPr>
            </w:pPr>
            <w:r w:rsidRPr="00271E73">
              <w:rPr>
                <w:rFonts w:ascii="Verdana" w:eastAsia="Arial" w:hAnsi="Verdana" w:cs="Arial"/>
                <w:bCs/>
                <w:lang w:eastAsia="es-MX"/>
              </w:rPr>
              <w:t xml:space="preserve">La naturaleza especial de esta modalidad fue, además, reconocida desde su incorporación al ordenamiento. El Decreto 2516 de 2011, al reglamentar la mínima cuantía, señaló que esta modalidad comprendía las adquisiciones cuyo valor no excediera el diez por ciento (10%) de la menor cuantía de la entidad, independientemente de su objeto, y que sus reglas constituían el procedimiento aplicable a las adquisiciones que no superaran dicho valor. Actualmente, el artículo 2.2.1.2.1.5.2 del Decreto 1082 de 2015 mantiene esta misma regla, al señalar que el procedimiento de mínima cuantía </w:t>
            </w:r>
            <w:r w:rsidRPr="00271E73">
              <w:rPr>
                <w:rFonts w:ascii="Verdana" w:eastAsia="Arial" w:hAnsi="Verdana" w:cs="Arial"/>
                <w:bCs/>
                <w:lang w:eastAsia="es-MX"/>
              </w:rPr>
              <w:lastRenderedPageBreak/>
              <w:t>es aplicable a la contratación cuyo valor no exceda el diez por ciento (10%) de la menor cuantía de la entidad estatal, independientemente de su objeto.</w:t>
            </w:r>
          </w:p>
          <w:p w14:paraId="4838FFFC" w14:textId="77777777" w:rsidR="00271E73" w:rsidRPr="00271E73" w:rsidRDefault="00271E73" w:rsidP="00810328">
            <w:pPr>
              <w:spacing w:after="120" w:line="276" w:lineRule="auto"/>
              <w:ind w:firstLine="709"/>
              <w:jc w:val="both"/>
              <w:rPr>
                <w:rFonts w:ascii="Verdana" w:eastAsia="Arial" w:hAnsi="Verdana" w:cs="Arial"/>
                <w:bCs/>
                <w:lang w:eastAsia="es-MX"/>
              </w:rPr>
            </w:pPr>
            <w:r w:rsidRPr="00271E73">
              <w:rPr>
                <w:rFonts w:ascii="Verdana" w:eastAsia="Arial" w:hAnsi="Verdana" w:cs="Arial"/>
                <w:bCs/>
                <w:lang w:eastAsia="es-MX"/>
              </w:rPr>
              <w:t>En este contexto, la referencia contenida en el numeral 5 del artículo 32 de la Ley 80 de 1993 a la licitación o concurso no puede ser interpretada de manera aislada del desarrollo posterior del régimen de contratación estatal. Si bien dicha disposición estableció una regla especial respecto de la selección de las sociedades fiduciarias, su alcance debe determinarse atendiendo al sistema normativo vigente y a la evolución que el legislador ha introducido en materia de modalidades de selección.</w:t>
            </w:r>
          </w:p>
          <w:p w14:paraId="4DC13705" w14:textId="77777777" w:rsidR="00271E73" w:rsidRPr="00271E73" w:rsidRDefault="00271E73" w:rsidP="00810328">
            <w:pPr>
              <w:spacing w:after="120" w:line="276" w:lineRule="auto"/>
              <w:ind w:firstLine="709"/>
              <w:jc w:val="both"/>
              <w:rPr>
                <w:rFonts w:ascii="Verdana" w:eastAsia="Arial" w:hAnsi="Verdana" w:cs="Arial"/>
                <w:bCs/>
                <w:lang w:eastAsia="es-MX"/>
              </w:rPr>
            </w:pPr>
            <w:r w:rsidRPr="00271E73">
              <w:rPr>
                <w:rFonts w:ascii="Verdana" w:eastAsia="Arial" w:hAnsi="Verdana" w:cs="Arial"/>
                <w:bCs/>
                <w:lang w:eastAsia="es-MX"/>
              </w:rPr>
              <w:t xml:space="preserve">Una interpretación estrictamente literal de la expresión </w:t>
            </w:r>
            <w:r w:rsidRPr="00962286">
              <w:rPr>
                <w:rFonts w:ascii="Verdana" w:eastAsia="Arial" w:hAnsi="Verdana" w:cs="Arial"/>
                <w:bCs/>
                <w:i/>
                <w:iCs/>
                <w:lang w:eastAsia="es-MX"/>
              </w:rPr>
              <w:t>“licitación o concurso”</w:t>
            </w:r>
            <w:r w:rsidRPr="00271E73">
              <w:rPr>
                <w:rFonts w:ascii="Verdana" w:eastAsia="Arial" w:hAnsi="Verdana" w:cs="Arial"/>
                <w:bCs/>
                <w:lang w:eastAsia="es-MX"/>
              </w:rPr>
              <w:t xml:space="preserve"> conduciría a entender que, aun cuando el valor del negocio se encuentre dentro del límite legal de la mínima cuantía, la entidad tendría que adelantar una licitación pública exclusivamente por razón de tratarse de la selección de una sociedad fiduciaria. Sin embargo, tal entendimiento produciría una tensión entre la regla especial contenida en la Ley 80 de 1993 y la disposición posterior que ordena aplicar la mínima cuantía a las contrataciones que se encuentren dentro de su límite, </w:t>
            </w:r>
            <w:r w:rsidRPr="00EC6F21">
              <w:rPr>
                <w:rFonts w:ascii="Verdana" w:eastAsia="Arial" w:hAnsi="Verdana" w:cs="Arial"/>
                <w:bCs/>
                <w:i/>
                <w:iCs/>
                <w:lang w:eastAsia="es-MX"/>
              </w:rPr>
              <w:t>“independientemente de su objeto”.</w:t>
            </w:r>
            <w:r w:rsidRPr="00271E73">
              <w:rPr>
                <w:rFonts w:ascii="Verdana" w:eastAsia="Arial" w:hAnsi="Verdana" w:cs="Arial"/>
                <w:bCs/>
                <w:lang w:eastAsia="es-MX"/>
              </w:rPr>
              <w:t xml:space="preserve"> Por ello, la solución debe obtenerse mediante una interpretación histórica, sistemática y teleológica del ordenamiento.</w:t>
            </w:r>
          </w:p>
          <w:p w14:paraId="086897CE" w14:textId="77777777" w:rsidR="00271E73" w:rsidRPr="00271E73" w:rsidRDefault="00271E73" w:rsidP="00810328">
            <w:pPr>
              <w:spacing w:after="120" w:line="276" w:lineRule="auto"/>
              <w:ind w:firstLine="709"/>
              <w:jc w:val="both"/>
              <w:rPr>
                <w:rFonts w:ascii="Verdana" w:eastAsia="Arial" w:hAnsi="Verdana" w:cs="Arial"/>
                <w:bCs/>
                <w:lang w:eastAsia="es-MX"/>
              </w:rPr>
            </w:pPr>
            <w:r w:rsidRPr="00271E73">
              <w:rPr>
                <w:rFonts w:ascii="Verdana" w:eastAsia="Arial" w:hAnsi="Verdana" w:cs="Arial"/>
                <w:bCs/>
                <w:lang w:eastAsia="es-MX"/>
              </w:rPr>
              <w:t>Desde una perspectiva histórica, debe considerarse que la expresión utilizada por el legislador en 1993 se incorporó al ordenamiento en un momento en el cual no existía el actual catálogo de modalidades de selección. La Ley 80 de 1993 estructuró el régimen de selección alrededor de la licitación y el concurso, por lo que la remisión efectuada por el numeral 5 del artículo 32 debe comprenderse dentro de ese contexto normativo. No resulta jurídicamente adecuado atribuir a dicha disposición una finalidad de exclusión respecto de modalidades de selección que, para ese momento, no habían sido creadas por el legislador.</w:t>
            </w:r>
          </w:p>
          <w:p w14:paraId="2F947D46" w14:textId="77777777" w:rsidR="00271E73" w:rsidRPr="00271E73" w:rsidRDefault="00271E73" w:rsidP="00810328">
            <w:pPr>
              <w:spacing w:after="120" w:line="276" w:lineRule="auto"/>
              <w:ind w:firstLine="709"/>
              <w:jc w:val="both"/>
              <w:rPr>
                <w:rFonts w:ascii="Verdana" w:eastAsia="Arial" w:hAnsi="Verdana" w:cs="Arial"/>
                <w:bCs/>
                <w:lang w:eastAsia="es-MX"/>
              </w:rPr>
            </w:pPr>
            <w:r w:rsidRPr="00271E73">
              <w:rPr>
                <w:rFonts w:ascii="Verdana" w:eastAsia="Arial" w:hAnsi="Verdana" w:cs="Arial"/>
                <w:bCs/>
                <w:lang w:eastAsia="es-MX"/>
              </w:rPr>
              <w:t xml:space="preserve">En efecto, la Ley 1150 de 2007 introdujo un nuevo esquema de selección objetiva, dentro del cual la licitación pública dejó de operar de manera exclusiva como mecanismo de selección, al coexistir con otras modalidades cuya procedencia depende de las características del objeto, de determinadas circunstancias legalmente previstas o, como ocurre en la mínima cuantía, del valor de la contratación. Posteriormente, el legislador, mediante la Ley 1474 de 2011, estableció expresamente que la mínima cuantía resulta </w:t>
            </w:r>
            <w:r w:rsidRPr="00271E73">
              <w:rPr>
                <w:rFonts w:ascii="Verdana" w:eastAsia="Arial" w:hAnsi="Verdana" w:cs="Arial"/>
                <w:bCs/>
                <w:lang w:eastAsia="es-MX"/>
              </w:rPr>
              <w:lastRenderedPageBreak/>
              <w:t>aplicable independientemente del objeto contractual. En consecuencia, la referencia histórica a la licitación contenida en la Ley 80 de 1993 no puede entenderse como una prohibición para aplicar las modalidades de selección creadas con posterioridad por el propio legislador.</w:t>
            </w:r>
          </w:p>
          <w:p w14:paraId="6E96AC2F" w14:textId="42442A3E" w:rsidR="00271E73" w:rsidRPr="00271E73" w:rsidRDefault="00271E73" w:rsidP="00810328">
            <w:pPr>
              <w:spacing w:after="120" w:line="276" w:lineRule="auto"/>
              <w:ind w:firstLine="709"/>
              <w:jc w:val="both"/>
              <w:rPr>
                <w:rFonts w:ascii="Verdana" w:eastAsia="Arial" w:hAnsi="Verdana" w:cs="Arial"/>
                <w:bCs/>
                <w:lang w:eastAsia="es-MX"/>
              </w:rPr>
            </w:pPr>
            <w:r w:rsidRPr="00271E73">
              <w:rPr>
                <w:rFonts w:ascii="Verdana" w:eastAsia="Arial" w:hAnsi="Verdana" w:cs="Arial"/>
                <w:bCs/>
                <w:lang w:eastAsia="es-MX"/>
              </w:rPr>
              <w:t xml:space="preserve">Desde una perspectiva sistemática, la regulación debe ser entendida como un conjunto normativo integrado y coherente. Por ello, la disposición especial relativa a la selección de sociedades fiduciarias debe armonizarse con las normas posteriores que regulan las modalidades de selección y, particularmente, con aquella que establece la mínima cuantía como un procedimiento aplicable independientemente del objeto. </w:t>
            </w:r>
            <w:r w:rsidR="00BE3E11">
              <w:rPr>
                <w:rFonts w:ascii="Verdana" w:eastAsia="Arial" w:hAnsi="Verdana" w:cs="Arial"/>
                <w:bCs/>
                <w:lang w:eastAsia="es-MX"/>
              </w:rPr>
              <w:t>Sobre este aspecto, e</w:t>
            </w:r>
            <w:r w:rsidRPr="00271E73">
              <w:rPr>
                <w:rFonts w:ascii="Verdana" w:eastAsia="Arial" w:hAnsi="Verdana" w:cs="Arial"/>
                <w:bCs/>
                <w:lang w:eastAsia="es-MX"/>
              </w:rPr>
              <w:t>l Consejo de Estado ha señalado, precisamente, que frente a la concurrencia de procedimientos de selección es necesario acudir a una interpretación sistemática que permita preservar la coherencia y unidad del ordenamiento y garantizar el efecto útil de las disposiciones que lo integran.</w:t>
            </w:r>
          </w:p>
          <w:p w14:paraId="50E89980" w14:textId="77777777" w:rsidR="00271E73" w:rsidRPr="00271E73" w:rsidRDefault="00271E73" w:rsidP="00810328">
            <w:pPr>
              <w:spacing w:after="120" w:line="276" w:lineRule="auto"/>
              <w:ind w:firstLine="709"/>
              <w:jc w:val="both"/>
              <w:rPr>
                <w:rFonts w:ascii="Verdana" w:eastAsia="Arial" w:hAnsi="Verdana" w:cs="Arial"/>
                <w:bCs/>
                <w:lang w:eastAsia="es-MX"/>
              </w:rPr>
            </w:pPr>
            <w:r w:rsidRPr="00271E73">
              <w:rPr>
                <w:rFonts w:ascii="Verdana" w:eastAsia="Arial" w:hAnsi="Verdana" w:cs="Arial"/>
                <w:bCs/>
                <w:lang w:eastAsia="es-MX"/>
              </w:rPr>
              <w:t xml:space="preserve">A su vez, desde una perspectiva teleológica, la mínima cuantía responde a una finalidad de racionalización y simplificación del procedimiento de selección cuando el valor de la contratación no supera el límite legal establecido. Desconocer dicha modalidad exclusivamente porque el objeto contractual involucra la selección de una sociedad fiduciaria implicaría introducir una restricción que no fue prevista por el legislador y que, además, desconocería el mandato expreso conforme al cual la mínima cuantía opera </w:t>
            </w:r>
            <w:r w:rsidRPr="00AE4F7F">
              <w:rPr>
                <w:rFonts w:ascii="Verdana" w:eastAsia="Arial" w:hAnsi="Verdana" w:cs="Arial"/>
                <w:bCs/>
                <w:i/>
                <w:iCs/>
                <w:lang w:eastAsia="es-MX"/>
              </w:rPr>
              <w:t>“independientemente de su objeto”.</w:t>
            </w:r>
            <w:r w:rsidRPr="00271E73">
              <w:rPr>
                <w:rFonts w:ascii="Verdana" w:eastAsia="Arial" w:hAnsi="Verdana" w:cs="Arial"/>
                <w:bCs/>
                <w:lang w:eastAsia="es-MX"/>
              </w:rPr>
              <w:t xml:space="preserve"> La propia regulación de esta modalidad evidencia que el legislador quiso conferir prevalencia al criterio cuantitativo dentro de su ámbito de aplicación.</w:t>
            </w:r>
          </w:p>
          <w:p w14:paraId="0655AE5A" w14:textId="234DEBA2" w:rsidR="00271E73" w:rsidRPr="00271E73" w:rsidRDefault="00271E73" w:rsidP="00810328">
            <w:pPr>
              <w:spacing w:after="120" w:line="276" w:lineRule="auto"/>
              <w:ind w:firstLine="709"/>
              <w:jc w:val="both"/>
              <w:rPr>
                <w:rFonts w:ascii="Verdana" w:eastAsia="Arial" w:hAnsi="Verdana" w:cs="Arial"/>
                <w:bCs/>
                <w:lang w:eastAsia="es-MX"/>
              </w:rPr>
            </w:pPr>
            <w:r w:rsidRPr="00271E73">
              <w:rPr>
                <w:rFonts w:ascii="Verdana" w:eastAsia="Arial" w:hAnsi="Verdana" w:cs="Arial"/>
                <w:bCs/>
                <w:lang w:eastAsia="es-MX"/>
              </w:rPr>
              <w:t>Por consiguiente, cuando la entidad estatal pretenda celebrar un negocio fiduciario cuya selección corresponda realizar mediante un procedimiento de selección objetiva, pero cuyo valor no exceda el límite establecido para la mínima cuantía, la modalidad de selección aplicable será la mínima cuantía, siempre que no concurra una circunstancia legal que determine la procedencia de otra modalidad o de una causal de contratación directa. Lo anterior</w:t>
            </w:r>
            <w:r w:rsidR="00AA2CA7">
              <w:rPr>
                <w:rFonts w:ascii="Verdana" w:eastAsia="Arial" w:hAnsi="Verdana" w:cs="Arial"/>
                <w:bCs/>
                <w:lang w:eastAsia="es-MX"/>
              </w:rPr>
              <w:t xml:space="preserve">, se reitera, </w:t>
            </w:r>
            <w:r w:rsidRPr="00271E73">
              <w:rPr>
                <w:rFonts w:ascii="Verdana" w:eastAsia="Arial" w:hAnsi="Verdana" w:cs="Arial"/>
                <w:bCs/>
                <w:lang w:eastAsia="es-MX"/>
              </w:rPr>
              <w:t>no supone desconocer la regla especial prevista en el numeral 5 del artículo 32 de la Ley 80 de 1993, sino interpretarla de manera armónica con el régimen de selección actualmente vigente.</w:t>
            </w:r>
          </w:p>
          <w:p w14:paraId="200E66EC" w14:textId="7152BE90" w:rsidR="00271E73" w:rsidRPr="00271E73" w:rsidRDefault="00271E73" w:rsidP="00810328">
            <w:pPr>
              <w:spacing w:after="120" w:line="276" w:lineRule="auto"/>
              <w:ind w:firstLine="709"/>
              <w:jc w:val="both"/>
              <w:rPr>
                <w:rFonts w:ascii="Verdana" w:eastAsia="Arial" w:hAnsi="Verdana" w:cs="Arial"/>
                <w:bCs/>
                <w:lang w:eastAsia="es-MX"/>
              </w:rPr>
            </w:pPr>
            <w:r w:rsidRPr="00271E73">
              <w:rPr>
                <w:rFonts w:ascii="Verdana" w:eastAsia="Arial" w:hAnsi="Verdana" w:cs="Arial"/>
                <w:bCs/>
                <w:lang w:eastAsia="es-MX"/>
              </w:rPr>
              <w:t xml:space="preserve">En este sentido, la exigencia de que la selección de la sociedad fiduciaria se realice mediante licitación o concurso debe entenderse referida al régimen </w:t>
            </w:r>
            <w:r w:rsidRPr="00271E73">
              <w:rPr>
                <w:rFonts w:ascii="Verdana" w:eastAsia="Arial" w:hAnsi="Verdana" w:cs="Arial"/>
                <w:bCs/>
                <w:lang w:eastAsia="es-MX"/>
              </w:rPr>
              <w:lastRenderedPageBreak/>
              <w:t xml:space="preserve">de selección aplicable de conformidad con la evolución normativa del </w:t>
            </w:r>
            <w:r w:rsidR="00DF2935">
              <w:rPr>
                <w:rFonts w:ascii="Verdana" w:eastAsia="Arial" w:hAnsi="Verdana" w:cs="Arial"/>
                <w:bCs/>
                <w:lang w:eastAsia="es-MX"/>
              </w:rPr>
              <w:t>EGACP</w:t>
            </w:r>
            <w:r w:rsidRPr="00271E73">
              <w:rPr>
                <w:rFonts w:ascii="Verdana" w:eastAsia="Arial" w:hAnsi="Verdana" w:cs="Arial"/>
                <w:bCs/>
                <w:lang w:eastAsia="es-MX"/>
              </w:rPr>
              <w:t>, y no como una exclusión absoluta de las modalidades de selección incorporadas con posterioridad. Así, cuando por razón de la cuantía resulte aplicable la mínima cuantía, será este el procedimiento que deberá observar la entidad para seleccionar la sociedad fiduciaria, pues se trata de una modalidad especial cuya procedencia ha sido definida por el legislador atendiendo al valor de la contratación, independientemente de su objeto.</w:t>
            </w:r>
          </w:p>
          <w:p w14:paraId="638F365C" w14:textId="4D08C906" w:rsidR="00271E73" w:rsidRPr="00271E73" w:rsidRDefault="00271E73" w:rsidP="00810328">
            <w:pPr>
              <w:spacing w:after="120" w:line="276" w:lineRule="auto"/>
              <w:ind w:firstLine="709"/>
              <w:jc w:val="both"/>
              <w:rPr>
                <w:rFonts w:ascii="Verdana" w:eastAsia="Arial" w:hAnsi="Verdana" w:cs="Arial"/>
                <w:bCs/>
                <w:lang w:eastAsia="es-MX"/>
              </w:rPr>
            </w:pPr>
            <w:r w:rsidRPr="00271E73">
              <w:rPr>
                <w:rFonts w:ascii="Verdana" w:eastAsia="Arial" w:hAnsi="Verdana" w:cs="Arial"/>
                <w:bCs/>
                <w:lang w:eastAsia="es-MX"/>
              </w:rPr>
              <w:t xml:space="preserve">Esta interpretación resulta, además, compatible con la jurisprudencia del Consejo de Estado, que ha reconocido la existencia de disposiciones especiales en materia de selección de sociedades fiduciarias, pero también ha destacado la necesidad de interpretar las normas que regulan las modalidades de selección atendiendo al contexto integral del régimen de contratación estatal. En consecuencia, la regla especial </w:t>
            </w:r>
            <w:r w:rsidR="00EB7347">
              <w:rPr>
                <w:rFonts w:ascii="Verdana" w:eastAsia="Arial" w:hAnsi="Verdana" w:cs="Arial"/>
                <w:bCs/>
                <w:lang w:eastAsia="es-MX"/>
              </w:rPr>
              <w:t>sobre las sociedades fiduciarias</w:t>
            </w:r>
            <w:r w:rsidRPr="00271E73">
              <w:rPr>
                <w:rFonts w:ascii="Verdana" w:eastAsia="Arial" w:hAnsi="Verdana" w:cs="Arial"/>
                <w:bCs/>
                <w:lang w:eastAsia="es-MX"/>
              </w:rPr>
              <w:t xml:space="preserve"> no puede ser examinada de manera estática, desconociendo las modificaciones introducidas posteriormente por el legislador al sistema de selección de contratistas.</w:t>
            </w:r>
          </w:p>
          <w:p w14:paraId="7567A5B3" w14:textId="708C06EF" w:rsidR="00171033" w:rsidRPr="00F956B8" w:rsidRDefault="00271E73" w:rsidP="00810328">
            <w:pPr>
              <w:spacing w:after="120" w:line="276" w:lineRule="auto"/>
              <w:ind w:firstLine="709"/>
              <w:jc w:val="both"/>
              <w:rPr>
                <w:rFonts w:ascii="Verdana" w:eastAsia="Arial" w:hAnsi="Verdana" w:cs="Arial"/>
                <w:bCs/>
                <w:lang w:eastAsia="es-MX"/>
              </w:rPr>
            </w:pPr>
            <w:r w:rsidRPr="00271E73">
              <w:rPr>
                <w:rFonts w:ascii="Verdana" w:eastAsia="Arial" w:hAnsi="Verdana" w:cs="Arial"/>
                <w:bCs/>
                <w:lang w:eastAsia="es-MX"/>
              </w:rPr>
              <w:t xml:space="preserve">En conclusión, la concurrencia entre la regla especial de selección de sociedades fiduciarias y la modalidad de mínima cuantía </w:t>
            </w:r>
            <w:r w:rsidR="00A10D48">
              <w:rPr>
                <w:rFonts w:ascii="Verdana" w:eastAsia="Arial" w:hAnsi="Verdana" w:cs="Arial"/>
                <w:bCs/>
                <w:lang w:eastAsia="es-MX"/>
              </w:rPr>
              <w:t xml:space="preserve">se </w:t>
            </w:r>
            <w:r w:rsidRPr="00271E73">
              <w:rPr>
                <w:rFonts w:ascii="Verdana" w:eastAsia="Arial" w:hAnsi="Verdana" w:cs="Arial"/>
                <w:bCs/>
                <w:lang w:eastAsia="es-MX"/>
              </w:rPr>
              <w:t xml:space="preserve">debe resolver mediante una interpretación histórica, sistemática y teleológica del régimen de contratación estatal. Bajo este entendimiento, si el valor del </w:t>
            </w:r>
            <w:r w:rsidR="00655B5A">
              <w:rPr>
                <w:rFonts w:ascii="Verdana" w:eastAsia="Arial" w:hAnsi="Verdana" w:cs="Arial"/>
                <w:bCs/>
                <w:lang w:eastAsia="es-MX"/>
              </w:rPr>
              <w:t xml:space="preserve">proceso para la sociedad </w:t>
            </w:r>
            <w:r w:rsidR="00F956B8">
              <w:rPr>
                <w:rFonts w:ascii="Verdana" w:eastAsia="Arial" w:hAnsi="Verdana" w:cs="Arial"/>
                <w:bCs/>
                <w:lang w:eastAsia="es-MX"/>
              </w:rPr>
              <w:t>fiduciaria</w:t>
            </w:r>
            <w:r w:rsidRPr="00271E73">
              <w:rPr>
                <w:rFonts w:ascii="Verdana" w:eastAsia="Arial" w:hAnsi="Verdana" w:cs="Arial"/>
                <w:bCs/>
                <w:lang w:eastAsia="es-MX"/>
              </w:rPr>
              <w:t xml:space="preserve"> se encuentra dentro del límite de la mínima cuantía, la entidad deberá acudir a esta modalidad de selección, en tanto el legislador dispuso expresamente que su aplicación opera independientemente del objeto contractual. La referencia a la licitación o concurso contenida en la Ley 80 de 1993 debe ser comprendida a la luz del régimen vigente y del contexto histórico en el que fue expedida, sin que pueda interpretarse como una exclusión de una modalidad de selección creada posteriormente por el propio legislador.</w:t>
            </w:r>
          </w:p>
          <w:p w14:paraId="1C5038D2" w14:textId="2DAD88D9" w:rsidR="000632AA" w:rsidRPr="00DB6C5D" w:rsidRDefault="000632AA" w:rsidP="00810328">
            <w:pPr>
              <w:spacing w:after="120" w:line="276" w:lineRule="auto"/>
              <w:ind w:firstLine="709"/>
              <w:jc w:val="both"/>
              <w:rPr>
                <w:rFonts w:ascii="Verdana" w:hAnsi="Verdana" w:cs="Arial"/>
              </w:rPr>
            </w:pPr>
            <w:r w:rsidRPr="00DB6C5D">
              <w:rPr>
                <w:rFonts w:ascii="Verdana" w:eastAsia="Verdana" w:hAnsi="Verdana" w:cs="Verdana"/>
              </w:rPr>
              <w:t xml:space="preserve">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sobre las inhabilidades sobrevinientes, sino que brinda elementos de carácter general para que adopten la decisión que corresponda, lo cual es acorde con el principio de juridicidad. Así, cada entidad definirá la forma de adelantar su </w:t>
            </w:r>
            <w:r w:rsidRPr="00DB6C5D">
              <w:rPr>
                <w:rFonts w:ascii="Verdana" w:eastAsia="Verdana" w:hAnsi="Verdana" w:cs="Verdana"/>
              </w:rPr>
              <w:lastRenderedPageBreak/>
              <w:t>gestión contractual, sin que sea atribución de Colombia Compra Eficiente validarla.</w:t>
            </w:r>
          </w:p>
        </w:tc>
      </w:tr>
      <w:bookmarkEnd w:id="3"/>
    </w:tbl>
    <w:p w14:paraId="47448CD9" w14:textId="77777777" w:rsidR="000632AA" w:rsidRPr="00DB6C5D" w:rsidRDefault="000632AA" w:rsidP="000632AA">
      <w:pPr>
        <w:tabs>
          <w:tab w:val="left" w:pos="142"/>
          <w:tab w:val="left" w:pos="284"/>
        </w:tabs>
        <w:spacing w:after="0" w:line="276" w:lineRule="auto"/>
        <w:ind w:left="360"/>
        <w:jc w:val="both"/>
        <w:rPr>
          <w:rFonts w:ascii="Verdana" w:eastAsia="Century Gothic" w:hAnsi="Verdana" w:cs="Century Gothic"/>
          <w:b/>
          <w:bCs/>
        </w:rPr>
      </w:pPr>
    </w:p>
    <w:p w14:paraId="2BDC28EA" w14:textId="77777777" w:rsidR="000632AA" w:rsidRPr="00DB6C5D" w:rsidRDefault="000632AA" w:rsidP="000632AA">
      <w:pPr>
        <w:numPr>
          <w:ilvl w:val="0"/>
          <w:numId w:val="16"/>
        </w:numPr>
        <w:tabs>
          <w:tab w:val="left" w:pos="142"/>
          <w:tab w:val="left" w:pos="284"/>
        </w:tabs>
        <w:spacing w:after="0" w:line="276" w:lineRule="auto"/>
        <w:jc w:val="both"/>
        <w:rPr>
          <w:rFonts w:ascii="Verdana" w:eastAsia="Century Gothic" w:hAnsi="Verdana" w:cs="Century Gothic"/>
          <w:b/>
          <w:bCs/>
        </w:rPr>
      </w:pPr>
      <w:r w:rsidRPr="00DB6C5D">
        <w:rPr>
          <w:rFonts w:ascii="Verdana" w:eastAsia="Century Gothic" w:hAnsi="Verdana" w:cs="Century Gothic"/>
          <w:b/>
          <w:bCs/>
        </w:rPr>
        <w:t>Razones de la respuesta:</w:t>
      </w:r>
    </w:p>
    <w:p w14:paraId="381A68CF" w14:textId="77777777" w:rsidR="000632AA" w:rsidRPr="00DB6C5D" w:rsidRDefault="000632AA" w:rsidP="000632AA">
      <w:pPr>
        <w:spacing w:after="0" w:line="276" w:lineRule="auto"/>
        <w:jc w:val="both"/>
        <w:rPr>
          <w:rFonts w:ascii="Verdana" w:eastAsia="Calibri" w:hAnsi="Verdana" w:cs="Arial"/>
        </w:rPr>
      </w:pPr>
    </w:p>
    <w:p w14:paraId="683391D5" w14:textId="77777777" w:rsidR="000632AA" w:rsidRDefault="000632AA" w:rsidP="000632AA">
      <w:pPr>
        <w:spacing w:after="0" w:line="276" w:lineRule="auto"/>
        <w:jc w:val="both"/>
        <w:rPr>
          <w:rFonts w:ascii="Verdana" w:eastAsia="Calibri" w:hAnsi="Verdana" w:cs="Arial"/>
        </w:rPr>
      </w:pPr>
      <w:r w:rsidRPr="00DB6C5D">
        <w:rPr>
          <w:rFonts w:ascii="Verdana" w:eastAsia="Calibri" w:hAnsi="Verdana" w:cs="Arial"/>
        </w:rPr>
        <w:t>Lo anterior se sustenta en las siguientes consideraciones:</w:t>
      </w:r>
      <w:r w:rsidRPr="00DB6C5D">
        <w:rPr>
          <w:rFonts w:ascii="Verdana" w:eastAsia="Century Gothic" w:hAnsi="Verdana" w:cs="Century Gothic"/>
          <w:lang w:eastAsia="es-ES_tradnl"/>
        </w:rPr>
        <w:t xml:space="preserve"> </w:t>
      </w:r>
    </w:p>
    <w:p w14:paraId="1D6E80E8" w14:textId="77777777" w:rsidR="000632AA" w:rsidRDefault="000632AA" w:rsidP="000632AA">
      <w:pPr>
        <w:spacing w:after="0" w:line="276" w:lineRule="auto"/>
        <w:jc w:val="both"/>
        <w:rPr>
          <w:rFonts w:ascii="Verdana" w:eastAsia="Century Gothic" w:hAnsi="Verdana" w:cs="Century Gothic"/>
          <w:lang w:eastAsia="es-ES_tradnl"/>
        </w:rPr>
      </w:pPr>
    </w:p>
    <w:p w14:paraId="346C73A4" w14:textId="77777777" w:rsidR="00BE348D" w:rsidRPr="00DA679C" w:rsidRDefault="00BE348D" w:rsidP="00BE348D">
      <w:pPr>
        <w:spacing w:after="120" w:line="276" w:lineRule="auto"/>
        <w:jc w:val="both"/>
        <w:rPr>
          <w:rFonts w:ascii="Verdana" w:eastAsia="Times New Roman" w:hAnsi="Verdana" w:cs="Arial"/>
          <w:b/>
          <w:kern w:val="2"/>
          <w:sz w:val="24"/>
          <w:szCs w:val="24"/>
          <w:lang w:eastAsia="es-ES_tradnl"/>
          <w14:ligatures w14:val="standardContextual"/>
        </w:rPr>
      </w:pPr>
      <w:r w:rsidRPr="00DA679C">
        <w:rPr>
          <w:rFonts w:ascii="Verdana" w:eastAsia="Times New Roman" w:hAnsi="Verdana" w:cs="Arial"/>
          <w:kern w:val="2"/>
          <w:lang w:val="es-ES" w:eastAsia="es-MX"/>
          <w14:ligatures w14:val="standardContextual"/>
        </w:rPr>
        <w:t>M</w:t>
      </w:r>
      <w:r w:rsidRPr="00DA679C">
        <w:rPr>
          <w:rFonts w:ascii="Verdana" w:eastAsia="Times New Roman" w:hAnsi="Verdana" w:cs="Arial"/>
          <w:kern w:val="2"/>
          <w:lang w:val="es-ES_tradnl" w:eastAsia="es-MX"/>
          <w14:ligatures w14:val="standardContextual"/>
        </w:rPr>
        <w:t xml:space="preserve">ediante el artículo 2 de la Ley 1150 de 2007 se determinaron las modalidades de selección aplicables a las entidades sometidas al EGCAP, indicando que: </w:t>
      </w:r>
      <w:r w:rsidRPr="00DA679C">
        <w:rPr>
          <w:rFonts w:ascii="Verdana" w:eastAsia="Times New Roman" w:hAnsi="Verdana" w:cs="Arial"/>
          <w:i/>
          <w:iCs/>
          <w:kern w:val="2"/>
          <w:lang w:val="es-ES_tradnl" w:eastAsia="es-MX"/>
          <w14:ligatures w14:val="standardContextual"/>
        </w:rPr>
        <w:t>“(…) la escogencia del contratista se efectuará por regla general bajo la modalidad de licitación pública, con las excepciones que se señalan en los numerales 2, 3 y 4 del presente artículo</w:t>
      </w:r>
      <w:r w:rsidRPr="00DA679C">
        <w:rPr>
          <w:rFonts w:ascii="Verdana" w:eastAsia="Times New Roman" w:hAnsi="Verdana" w:cs="Arial"/>
          <w:kern w:val="2"/>
          <w:lang w:val="es-ES_tradnl" w:eastAsia="es-MX"/>
          <w14:ligatures w14:val="standardContextual"/>
        </w:rPr>
        <w:t>”.</w:t>
      </w:r>
      <w:r w:rsidRPr="00DA679C">
        <w:rPr>
          <w:rFonts w:ascii="Verdana" w:eastAsia="Times New Roman" w:hAnsi="Verdana" w:cs="Arial"/>
          <w:kern w:val="2"/>
          <w:sz w:val="24"/>
          <w:szCs w:val="24"/>
          <w:lang w:val="es-ES_tradnl" w:eastAsia="es-MX"/>
          <w14:ligatures w14:val="standardContextual"/>
        </w:rPr>
        <w:t xml:space="preserve"> </w:t>
      </w:r>
    </w:p>
    <w:p w14:paraId="3F9D3CA9" w14:textId="553AEF40" w:rsidR="00BE348D" w:rsidRPr="00DA679C" w:rsidRDefault="00BE348D" w:rsidP="00BE348D">
      <w:pPr>
        <w:spacing w:after="120" w:line="276" w:lineRule="auto"/>
        <w:ind w:firstLine="708"/>
        <w:jc w:val="both"/>
        <w:rPr>
          <w:rFonts w:ascii="Verdana" w:eastAsia="Times New Roman" w:hAnsi="Verdana" w:cs="Arial"/>
          <w:kern w:val="2"/>
          <w:lang w:val="es-ES_tradnl" w:eastAsia="es-ES_tradnl"/>
          <w14:ligatures w14:val="standardContextual"/>
        </w:rPr>
      </w:pPr>
      <w:r w:rsidRPr="00DA679C">
        <w:rPr>
          <w:rFonts w:ascii="Verdana" w:eastAsia="Times New Roman" w:hAnsi="Verdana" w:cs="Arial"/>
          <w:kern w:val="2"/>
          <w:lang w:val="es-ES_tradnl" w:eastAsia="es-ES_tradnl"/>
          <w14:ligatures w14:val="standardContextual"/>
        </w:rPr>
        <w:t>Particularmente,</w:t>
      </w:r>
      <w:r w:rsidR="00066230">
        <w:rPr>
          <w:rFonts w:ascii="Verdana" w:eastAsia="Times New Roman" w:hAnsi="Verdana" w:cs="Arial"/>
          <w:kern w:val="2"/>
          <w:lang w:val="es-ES_tradnl" w:eastAsia="es-ES_tradnl"/>
          <w14:ligatures w14:val="standardContextual"/>
        </w:rPr>
        <w:t xml:space="preserve"> </w:t>
      </w:r>
      <w:r w:rsidRPr="00DA679C">
        <w:rPr>
          <w:rFonts w:ascii="Verdana" w:eastAsia="Times New Roman" w:hAnsi="Verdana" w:cs="Arial"/>
          <w:kern w:val="2"/>
          <w:lang w:val="es-ES_tradnl" w:eastAsia="es-ES_tradnl"/>
          <w14:ligatures w14:val="standardContextual"/>
        </w:rPr>
        <w:t xml:space="preserve">el numeral 5° </w:t>
      </w:r>
      <w:r w:rsidRPr="00DA679C">
        <w:rPr>
          <w:rFonts w:ascii="Verdana" w:eastAsia="Times New Roman" w:hAnsi="Verdana" w:cs="Arial"/>
          <w:i/>
          <w:iCs/>
          <w:kern w:val="2"/>
          <w:lang w:val="es-ES_tradnl" w:eastAsia="es-ES_tradnl"/>
          <w14:ligatures w14:val="standardContextual"/>
        </w:rPr>
        <w:t>ibidem</w:t>
      </w:r>
      <w:r w:rsidRPr="00DA679C">
        <w:rPr>
          <w:rFonts w:ascii="Verdana" w:eastAsia="Times New Roman" w:hAnsi="Verdana" w:cs="Arial"/>
          <w:kern w:val="2"/>
          <w:lang w:val="es-ES_tradnl" w:eastAsia="es-ES_tradnl"/>
          <w14:ligatures w14:val="standardContextual"/>
        </w:rPr>
        <w:t>, reguló la modalidad de contratación de mínima cuantía, determinando mandatos especiales para su procedimiento, que se aplicará cuando el valor de la contratación no excede del diez por ciento (10%) de la menor cuantía de la entidad.</w:t>
      </w:r>
    </w:p>
    <w:p w14:paraId="0E2CF052" w14:textId="3D8A25CF" w:rsidR="00BE348D" w:rsidRPr="00DA679C" w:rsidRDefault="00BE348D" w:rsidP="00BE348D">
      <w:pPr>
        <w:spacing w:after="120" w:line="276" w:lineRule="auto"/>
        <w:ind w:firstLine="708"/>
        <w:jc w:val="both"/>
        <w:rPr>
          <w:rFonts w:ascii="Verdana" w:eastAsia="Times New Roman" w:hAnsi="Verdana" w:cs="Arial"/>
          <w:color w:val="000000"/>
          <w:lang w:val="es-ES_tradnl" w:eastAsia="es-ES"/>
        </w:rPr>
      </w:pPr>
      <w:r w:rsidRPr="00DA679C">
        <w:rPr>
          <w:rFonts w:ascii="Verdana" w:eastAsia="Times New Roman" w:hAnsi="Verdana" w:cs="Arial"/>
          <w:lang w:eastAsia="es-ES_tradnl"/>
        </w:rPr>
        <w:t xml:space="preserve">En este sentido, </w:t>
      </w:r>
      <w:r w:rsidR="004B5441">
        <w:rPr>
          <w:rFonts w:ascii="Verdana" w:eastAsia="Times New Roman" w:hAnsi="Verdana" w:cs="Arial"/>
          <w:lang w:eastAsia="es-ES_tradnl"/>
        </w:rPr>
        <w:t xml:space="preserve">la licitación pública se entiende como </w:t>
      </w:r>
      <w:r w:rsidRPr="00235478">
        <w:rPr>
          <w:rFonts w:ascii="Verdana" w:eastAsia="Aptos" w:hAnsi="Verdana" w:cs="Times New Roman"/>
          <w:i/>
          <w:iCs/>
          <w:kern w:val="2"/>
          <w:lang w:eastAsia="es-ES_tradnl"/>
          <w14:ligatures w14:val="standardContextual"/>
        </w:rPr>
        <w:t>“</w:t>
      </w:r>
      <w:r w:rsidR="00F25D0F" w:rsidRPr="00235478">
        <w:rPr>
          <w:rFonts w:ascii="Verdana" w:eastAsia="Times New Roman" w:hAnsi="Verdana" w:cs="Arial"/>
          <w:i/>
          <w:iCs/>
          <w:lang w:eastAsia="es-ES_tradnl"/>
        </w:rPr>
        <w:t xml:space="preserve">el proceso de selección </w:t>
      </w:r>
      <w:r w:rsidR="009F2DF4" w:rsidRPr="00235478">
        <w:rPr>
          <w:rFonts w:ascii="Verdana" w:eastAsia="Times New Roman" w:hAnsi="Verdana" w:cs="Arial"/>
          <w:i/>
          <w:iCs/>
          <w:lang w:eastAsia="es-ES_tradnl"/>
        </w:rPr>
        <w:t>utilizado</w:t>
      </w:r>
      <w:r w:rsidR="00F25D0F" w:rsidRPr="00235478">
        <w:rPr>
          <w:rFonts w:ascii="Verdana" w:eastAsia="Times New Roman" w:hAnsi="Verdana" w:cs="Arial"/>
          <w:i/>
          <w:iCs/>
          <w:lang w:eastAsia="es-ES_tradnl"/>
        </w:rPr>
        <w:t xml:space="preserve"> por las entidades estatales mediante el cual escoge a </w:t>
      </w:r>
      <w:r w:rsidR="009F2DF4" w:rsidRPr="00235478">
        <w:rPr>
          <w:rFonts w:ascii="Verdana" w:eastAsia="Times New Roman" w:hAnsi="Verdana" w:cs="Arial"/>
          <w:i/>
          <w:iCs/>
          <w:lang w:eastAsia="es-ES_tradnl"/>
        </w:rPr>
        <w:t>sus contratistas</w:t>
      </w:r>
      <w:r w:rsidR="00F25D0F" w:rsidRPr="00235478">
        <w:rPr>
          <w:rFonts w:ascii="Verdana" w:eastAsia="Times New Roman" w:hAnsi="Verdana" w:cs="Arial"/>
          <w:i/>
          <w:iCs/>
          <w:lang w:eastAsia="es-ES_tradnl"/>
        </w:rPr>
        <w:t xml:space="preserve"> a través de una invitación de carácter público que se </w:t>
      </w:r>
      <w:r w:rsidR="009F2DF4" w:rsidRPr="00235478">
        <w:rPr>
          <w:rFonts w:ascii="Verdana" w:eastAsia="Times New Roman" w:hAnsi="Verdana" w:cs="Arial"/>
          <w:i/>
          <w:iCs/>
          <w:lang w:eastAsia="es-ES_tradnl"/>
        </w:rPr>
        <w:t>dirige</w:t>
      </w:r>
      <w:r w:rsidR="00F25D0F" w:rsidRPr="00235478">
        <w:rPr>
          <w:rFonts w:ascii="Verdana" w:eastAsia="Times New Roman" w:hAnsi="Verdana" w:cs="Arial"/>
          <w:i/>
          <w:iCs/>
          <w:lang w:eastAsia="es-ES_tradnl"/>
        </w:rPr>
        <w:t xml:space="preserve"> a todas</w:t>
      </w:r>
      <w:r w:rsidR="00F706ED" w:rsidRPr="00235478">
        <w:rPr>
          <w:rFonts w:ascii="Verdana" w:eastAsia="Times New Roman" w:hAnsi="Verdana" w:cs="Arial"/>
          <w:i/>
          <w:iCs/>
          <w:lang w:eastAsia="es-ES_tradnl"/>
        </w:rPr>
        <w:t xml:space="preserve"> las personas potencialmente interesadas en ejecutar un contrato, para que en igualdad de condiciones y bajo</w:t>
      </w:r>
      <w:r w:rsidR="00A213C6" w:rsidRPr="00235478">
        <w:rPr>
          <w:rFonts w:ascii="Verdana" w:eastAsia="Times New Roman" w:hAnsi="Verdana" w:cs="Arial"/>
          <w:i/>
          <w:iCs/>
          <w:lang w:eastAsia="es-ES_tradnl"/>
        </w:rPr>
        <w:t xml:space="preserve"> </w:t>
      </w:r>
      <w:r w:rsidR="009F2DF4" w:rsidRPr="00235478">
        <w:rPr>
          <w:rFonts w:ascii="Verdana" w:eastAsia="Times New Roman" w:hAnsi="Verdana" w:cs="Arial"/>
          <w:i/>
          <w:iCs/>
          <w:lang w:eastAsia="es-ES_tradnl"/>
        </w:rPr>
        <w:t>criterios</w:t>
      </w:r>
      <w:r w:rsidR="00A213C6" w:rsidRPr="00235478">
        <w:rPr>
          <w:rFonts w:ascii="Verdana" w:eastAsia="Times New Roman" w:hAnsi="Verdana" w:cs="Arial"/>
          <w:i/>
          <w:iCs/>
          <w:lang w:eastAsia="es-ES_tradnl"/>
        </w:rPr>
        <w:t xml:space="preserve"> objetivos garantizados por el pliego de condiciones</w:t>
      </w:r>
      <w:r w:rsidR="000666D3" w:rsidRPr="00235478">
        <w:rPr>
          <w:rFonts w:ascii="Verdana" w:eastAsia="Times New Roman" w:hAnsi="Verdana" w:cs="Arial"/>
          <w:i/>
          <w:iCs/>
          <w:lang w:eastAsia="es-ES_tradnl"/>
        </w:rPr>
        <w:t xml:space="preserve">, presenten ofertas entre las cuales se escogerá la </w:t>
      </w:r>
      <w:r w:rsidR="009F2DF4" w:rsidRPr="00235478">
        <w:rPr>
          <w:rFonts w:ascii="Verdana" w:eastAsia="Times New Roman" w:hAnsi="Verdana" w:cs="Arial"/>
          <w:i/>
          <w:iCs/>
          <w:lang w:eastAsia="es-ES_tradnl"/>
        </w:rPr>
        <w:t>más</w:t>
      </w:r>
      <w:r w:rsidR="000666D3" w:rsidRPr="00235478">
        <w:rPr>
          <w:rFonts w:ascii="Verdana" w:eastAsia="Times New Roman" w:hAnsi="Verdana" w:cs="Arial"/>
          <w:i/>
          <w:iCs/>
          <w:lang w:eastAsia="es-ES_tradnl"/>
        </w:rPr>
        <w:t xml:space="preserve"> favorables</w:t>
      </w:r>
      <w:r w:rsidRPr="00DA679C">
        <w:rPr>
          <w:rFonts w:ascii="Verdana" w:eastAsia="Aptos" w:hAnsi="Verdana" w:cs="Times New Roman"/>
          <w:kern w:val="2"/>
          <w:lang w:eastAsia="es-ES_tradnl"/>
          <w14:ligatures w14:val="standardContextual"/>
        </w:rPr>
        <w:t>”</w:t>
      </w:r>
      <w:r w:rsidRPr="00DA679C">
        <w:rPr>
          <w:rFonts w:ascii="Verdana" w:eastAsia="Times New Roman" w:hAnsi="Verdana" w:cs="Arial"/>
          <w:vertAlign w:val="superscript"/>
          <w:lang w:eastAsia="es-ES_tradnl"/>
        </w:rPr>
        <w:footnoteReference w:id="1"/>
      </w:r>
      <w:r w:rsidR="00E05F8E">
        <w:rPr>
          <w:rFonts w:ascii="Verdana" w:eastAsia="Times New Roman" w:hAnsi="Verdana" w:cs="Arial"/>
          <w:lang w:eastAsia="es-ES_tradnl"/>
        </w:rPr>
        <w:t xml:space="preserve"> o en palabras de Dromi</w:t>
      </w:r>
      <w:r w:rsidR="00253B84">
        <w:rPr>
          <w:rFonts w:ascii="Verdana" w:eastAsia="Times New Roman" w:hAnsi="Verdana" w:cs="Arial"/>
          <w:lang w:eastAsia="es-ES_tradnl"/>
        </w:rPr>
        <w:t xml:space="preserve"> </w:t>
      </w:r>
      <w:r w:rsidR="00235478" w:rsidRPr="00235478">
        <w:rPr>
          <w:rFonts w:ascii="Verdana" w:eastAsia="Times New Roman" w:hAnsi="Verdana" w:cs="Arial"/>
          <w:i/>
          <w:iCs/>
          <w:lang w:eastAsia="es-ES_tradnl"/>
        </w:rPr>
        <w:t>“el procedimiento administrativo de preparación de la voluntad contractual, por el que un ente público, en ejercicio de la función administrativa invita a los interesados para que, sujetándose a las bases fijadas en el pliego de condiciones, formulen propuestas de entre las cuales seleccionará y aceptará la más conveniente</w:t>
      </w:r>
      <w:r w:rsidR="005246EF">
        <w:rPr>
          <w:rFonts w:ascii="Verdana" w:eastAsia="Times New Roman" w:hAnsi="Verdana" w:cs="Arial"/>
          <w:lang w:eastAsia="es-ES_tradnl"/>
        </w:rPr>
        <w:t>”</w:t>
      </w:r>
      <w:r w:rsidR="005246EF">
        <w:rPr>
          <w:rStyle w:val="Refdenotaalpie"/>
          <w:rFonts w:ascii="Verdana" w:eastAsia="Times New Roman" w:hAnsi="Verdana" w:cs="Arial"/>
          <w:lang w:eastAsia="es-ES_tradnl"/>
        </w:rPr>
        <w:footnoteReference w:id="2"/>
      </w:r>
      <w:r w:rsidR="005F4925">
        <w:rPr>
          <w:rFonts w:ascii="Verdana" w:eastAsia="Times New Roman" w:hAnsi="Verdana" w:cs="Arial"/>
          <w:lang w:eastAsia="es-ES_tradnl"/>
        </w:rPr>
        <w:t>.</w:t>
      </w:r>
      <w:r w:rsidR="005246EF">
        <w:rPr>
          <w:rFonts w:ascii="Verdana" w:eastAsia="Times New Roman" w:hAnsi="Verdana" w:cs="Arial"/>
          <w:lang w:eastAsia="es-ES_tradnl"/>
        </w:rPr>
        <w:t xml:space="preserve"> </w:t>
      </w:r>
      <w:r w:rsidRPr="00DA679C">
        <w:rPr>
          <w:rFonts w:ascii="Verdana" w:eastAsia="Times New Roman" w:hAnsi="Verdana" w:cs="Arial"/>
          <w:lang w:eastAsia="es-ES_tradnl"/>
        </w:rPr>
        <w:t>A</w:t>
      </w:r>
      <w:r w:rsidR="005F4925">
        <w:rPr>
          <w:rFonts w:ascii="Verdana" w:eastAsia="Times New Roman" w:hAnsi="Verdana" w:cs="Arial"/>
          <w:lang w:eastAsia="es-ES_tradnl"/>
        </w:rPr>
        <w:t xml:space="preserve">sí, esta modalidad de </w:t>
      </w:r>
      <w:r w:rsidR="00551AB6">
        <w:rPr>
          <w:rFonts w:ascii="Verdana" w:eastAsia="Times New Roman" w:hAnsi="Verdana" w:cs="Arial"/>
          <w:lang w:eastAsia="es-ES_tradnl"/>
        </w:rPr>
        <w:t>selección es considerada</w:t>
      </w:r>
      <w:r w:rsidR="00E1506F">
        <w:rPr>
          <w:rFonts w:ascii="Verdana" w:eastAsia="Times New Roman" w:hAnsi="Verdana" w:cs="Arial"/>
          <w:lang w:eastAsia="es-ES_tradnl"/>
        </w:rPr>
        <w:t xml:space="preserve"> como el procedimient</w:t>
      </w:r>
      <w:r w:rsidR="00532DED">
        <w:rPr>
          <w:rFonts w:ascii="Verdana" w:eastAsia="Times New Roman" w:hAnsi="Verdana" w:cs="Arial"/>
          <w:lang w:eastAsia="es-ES_tradnl"/>
        </w:rPr>
        <w:t>o de selección principal y aplicable para todos los casos, con excepción de los eventos dispuestos en la le</w:t>
      </w:r>
      <w:r w:rsidR="002050AC">
        <w:rPr>
          <w:rFonts w:ascii="Verdana" w:eastAsia="Times New Roman" w:hAnsi="Verdana" w:cs="Arial"/>
          <w:lang w:eastAsia="es-ES_tradnl"/>
        </w:rPr>
        <w:t>y específicamente para las demás modalidades</w:t>
      </w:r>
      <w:r w:rsidR="00AB0547">
        <w:rPr>
          <w:rFonts w:ascii="Verdana" w:eastAsia="Times New Roman" w:hAnsi="Verdana" w:cs="Arial"/>
          <w:lang w:eastAsia="es-ES_tradnl"/>
        </w:rPr>
        <w:t xml:space="preserve">, lo que la convierte en la regla general. </w:t>
      </w:r>
    </w:p>
    <w:p w14:paraId="6D0C33DB" w14:textId="77777777" w:rsidR="00BE348D" w:rsidRPr="00DA679C" w:rsidRDefault="00BE348D" w:rsidP="00BE348D">
      <w:pPr>
        <w:spacing w:before="120" w:after="120" w:line="276" w:lineRule="auto"/>
        <w:ind w:firstLine="709"/>
        <w:jc w:val="both"/>
        <w:rPr>
          <w:rFonts w:ascii="Verdana" w:eastAsia="Calibri" w:hAnsi="Verdana" w:cs="Arial"/>
          <w:color w:val="000000"/>
          <w:lang w:val="es-ES_tradnl" w:eastAsia="es-ES"/>
        </w:rPr>
      </w:pPr>
      <w:r w:rsidRPr="00DA679C">
        <w:rPr>
          <w:rFonts w:ascii="Verdana" w:eastAsia="Times New Roman" w:hAnsi="Verdana" w:cs="Arial"/>
          <w:color w:val="000000"/>
          <w:lang w:val="es-ES_tradnl" w:eastAsia="es-ES"/>
        </w:rPr>
        <w:lastRenderedPageBreak/>
        <w:t xml:space="preserve">Por su parte, </w:t>
      </w:r>
      <w:r w:rsidRPr="00DA679C">
        <w:rPr>
          <w:rFonts w:ascii="Verdana" w:eastAsia="Calibri" w:hAnsi="Verdana" w:cs="Arial"/>
          <w:color w:val="000000"/>
          <w:lang w:val="es-ES_tradnl" w:eastAsia="es-ES"/>
        </w:rPr>
        <w:t>la mínima cuantía es un procedimiento de selección “exceptivo”</w:t>
      </w:r>
      <w:r w:rsidRPr="00DA679C">
        <w:rPr>
          <w:rFonts w:ascii="Verdana" w:eastAsia="Calibri" w:hAnsi="Verdana" w:cs="Arial"/>
          <w:color w:val="000000"/>
          <w:vertAlign w:val="superscript"/>
          <w:lang w:val="es-ES_tradnl" w:eastAsia="es-ES"/>
        </w:rPr>
        <w:footnoteReference w:id="3"/>
      </w:r>
      <w:r w:rsidRPr="00DA679C">
        <w:rPr>
          <w:rFonts w:ascii="Verdana" w:eastAsia="Calibri" w:hAnsi="Verdana" w:cs="Arial"/>
          <w:color w:val="000000"/>
          <w:lang w:val="es-ES_tradnl" w:eastAsia="es-ES"/>
        </w:rPr>
        <w:t>, porque es una excepción adicional a la regla general constituida por la licitación pública, pero se parece a esta en que también es un llamado general a presentar ofertas, efectuado por la entidad estatal interesada en contratar, aunque es distinta en otros aspectos, como su conducencia y su procedimiento; lo primero, porque solo procede por razón de una cuantía específica</w:t>
      </w:r>
      <w:r w:rsidRPr="00DA679C">
        <w:rPr>
          <w:rFonts w:ascii="Verdana" w:eastAsia="Calibri" w:hAnsi="Verdana" w:cs="Arial"/>
          <w:color w:val="000000"/>
          <w:vertAlign w:val="superscript"/>
          <w:lang w:val="es-ES_tradnl" w:eastAsia="es-ES"/>
        </w:rPr>
        <w:footnoteReference w:id="4"/>
      </w:r>
      <w:r w:rsidRPr="00DA679C">
        <w:rPr>
          <w:rFonts w:ascii="Verdana" w:eastAsia="Calibri" w:hAnsi="Verdana" w:cs="Arial"/>
          <w:color w:val="000000"/>
          <w:lang w:val="es-ES_tradnl" w:eastAsia="es-ES"/>
        </w:rPr>
        <w:t>, y lo segundo, porque sus requisitos, etapas y términos son peculiares.</w:t>
      </w:r>
    </w:p>
    <w:p w14:paraId="082E4FFF" w14:textId="3F3DE2A2" w:rsidR="00BE348D" w:rsidRPr="00DA679C" w:rsidRDefault="00BE348D" w:rsidP="00BE348D">
      <w:pPr>
        <w:spacing w:before="120" w:after="120" w:line="276" w:lineRule="auto"/>
        <w:ind w:firstLine="709"/>
        <w:jc w:val="both"/>
        <w:rPr>
          <w:rFonts w:ascii="Verdana" w:eastAsia="Calibri" w:hAnsi="Verdana" w:cs="Arial"/>
          <w:color w:val="000000"/>
          <w:lang w:val="es-ES_tradnl" w:eastAsia="es-ES"/>
        </w:rPr>
      </w:pPr>
      <w:r w:rsidRPr="00DA679C">
        <w:rPr>
          <w:rFonts w:ascii="Verdana" w:eastAsia="Calibri" w:hAnsi="Verdana" w:cs="Arial"/>
          <w:color w:val="000000"/>
          <w:lang w:val="es-ES_tradnl" w:eastAsia="es-ES"/>
        </w:rPr>
        <w:t xml:space="preserve">Entonces, como se observa de lo anterior, </w:t>
      </w:r>
      <w:r w:rsidR="00D11ED4">
        <w:rPr>
          <w:rFonts w:ascii="Verdana" w:eastAsia="Calibri" w:hAnsi="Verdana" w:cs="Arial"/>
          <w:color w:val="000000"/>
          <w:lang w:val="es-ES_tradnl" w:eastAsia="es-ES"/>
        </w:rPr>
        <w:t xml:space="preserve">en </w:t>
      </w:r>
      <w:r w:rsidRPr="00DA679C">
        <w:rPr>
          <w:rFonts w:ascii="Verdana" w:eastAsia="Calibri" w:hAnsi="Verdana" w:cs="Arial"/>
          <w:color w:val="000000"/>
          <w:lang w:val="es-ES_tradnl" w:eastAsia="es-ES"/>
        </w:rPr>
        <w:t xml:space="preserve">el proceso de selección de mínima cuantía el criterio determinante para establecer la procedencia de esta modalidad de selección de contratistas es la cuantía, y ello, se reitera, con independencia del objeto a contratar, lo que se traduce en que, frente a eventuales concurrencia de este procedimiento y otros específicos para determinados objetos contractuales, por disposición legal, deberá preferirse aquella modalidad –mínima cuantía–. </w:t>
      </w:r>
    </w:p>
    <w:p w14:paraId="73BFB1CA" w14:textId="3977731E" w:rsidR="00BE348D" w:rsidRPr="00DA679C" w:rsidRDefault="00BE348D" w:rsidP="00BE348D">
      <w:pPr>
        <w:spacing w:after="120" w:line="276" w:lineRule="auto"/>
        <w:ind w:firstLine="708"/>
        <w:jc w:val="both"/>
        <w:rPr>
          <w:rFonts w:ascii="Verdana" w:eastAsia="Times New Roman" w:hAnsi="Verdana" w:cs="Arial"/>
          <w:bCs/>
          <w:kern w:val="2"/>
          <w:lang w:eastAsia="es-ES_tradnl"/>
          <w14:ligatures w14:val="standardContextual"/>
        </w:rPr>
      </w:pPr>
      <w:r w:rsidRPr="00DA679C">
        <w:rPr>
          <w:rFonts w:ascii="Verdana" w:eastAsia="Times New Roman" w:hAnsi="Verdana" w:cs="Arial"/>
          <w:bCs/>
          <w:kern w:val="2"/>
          <w:lang w:eastAsia="es-ES_tradnl"/>
          <w14:ligatures w14:val="standardContextual"/>
        </w:rPr>
        <w:t xml:space="preserve">De este modo, es importante analizar la solución específica para aquellos eventos en donde podría considerarse en principio que existe concurrencia de modalidades de selección, como es el caso de la consulta. En efecto, por regla general la escogencia de </w:t>
      </w:r>
      <w:r w:rsidR="00912A25">
        <w:rPr>
          <w:rFonts w:ascii="Verdana" w:eastAsia="Times New Roman" w:hAnsi="Verdana" w:cs="Arial"/>
          <w:bCs/>
          <w:kern w:val="2"/>
          <w:lang w:eastAsia="es-ES_tradnl"/>
          <w14:ligatures w14:val="standardContextual"/>
        </w:rPr>
        <w:t>sociedades fiducia</w:t>
      </w:r>
      <w:r w:rsidR="004C7935">
        <w:rPr>
          <w:rFonts w:ascii="Verdana" w:eastAsia="Times New Roman" w:hAnsi="Verdana" w:cs="Arial"/>
          <w:bCs/>
          <w:kern w:val="2"/>
          <w:lang w:eastAsia="es-ES_tradnl"/>
          <w14:ligatures w14:val="standardContextual"/>
        </w:rPr>
        <w:t>rias</w:t>
      </w:r>
      <w:r w:rsidR="007A3724">
        <w:rPr>
          <w:rFonts w:ascii="Verdana" w:eastAsia="Times New Roman" w:hAnsi="Verdana" w:cs="Arial"/>
          <w:bCs/>
          <w:kern w:val="2"/>
          <w:lang w:eastAsia="es-ES_tradnl"/>
          <w14:ligatures w14:val="standardContextual"/>
        </w:rPr>
        <w:t xml:space="preserve"> </w:t>
      </w:r>
      <w:r w:rsidRPr="00DA679C">
        <w:rPr>
          <w:rFonts w:ascii="Verdana" w:eastAsia="Times New Roman" w:hAnsi="Verdana" w:cs="Arial"/>
          <w:bCs/>
          <w:kern w:val="2"/>
          <w:lang w:eastAsia="es-ES_tradnl"/>
          <w14:ligatures w14:val="standardContextual"/>
        </w:rPr>
        <w:t xml:space="preserve">se </w:t>
      </w:r>
      <w:r w:rsidR="007A3724">
        <w:rPr>
          <w:rFonts w:ascii="Verdana" w:eastAsia="Times New Roman" w:hAnsi="Verdana" w:cs="Arial"/>
          <w:bCs/>
          <w:kern w:val="2"/>
          <w:lang w:eastAsia="es-ES_tradnl"/>
          <w14:ligatures w14:val="standardContextual"/>
        </w:rPr>
        <w:t>debe surtir</w:t>
      </w:r>
      <w:r w:rsidRPr="00DA679C">
        <w:rPr>
          <w:rFonts w:ascii="Verdana" w:eastAsia="Times New Roman" w:hAnsi="Verdana" w:cs="Arial"/>
          <w:bCs/>
          <w:kern w:val="2"/>
          <w:lang w:eastAsia="es-ES_tradnl"/>
          <w14:ligatures w14:val="standardContextual"/>
        </w:rPr>
        <w:t xml:space="preserve"> por </w:t>
      </w:r>
      <w:r w:rsidR="007A3724">
        <w:rPr>
          <w:rFonts w:ascii="Verdana" w:eastAsia="Times New Roman" w:hAnsi="Verdana" w:cs="Arial"/>
          <w:bCs/>
          <w:kern w:val="2"/>
          <w:lang w:eastAsia="es-ES_tradnl"/>
          <w14:ligatures w14:val="standardContextual"/>
        </w:rPr>
        <w:t>licitación pública</w:t>
      </w:r>
      <w:r w:rsidRPr="00DA679C">
        <w:rPr>
          <w:rFonts w:ascii="Verdana" w:eastAsia="Times New Roman" w:hAnsi="Verdana" w:cs="Arial"/>
          <w:bCs/>
          <w:kern w:val="2"/>
          <w:lang w:eastAsia="es-ES_tradnl"/>
          <w14:ligatures w14:val="standardContextual"/>
        </w:rPr>
        <w:t xml:space="preserve">, </w:t>
      </w:r>
      <w:r w:rsidR="007A3724">
        <w:rPr>
          <w:rFonts w:ascii="Verdana" w:eastAsia="Times New Roman" w:hAnsi="Verdana" w:cs="Arial"/>
          <w:bCs/>
          <w:kern w:val="2"/>
          <w:lang w:eastAsia="es-ES_tradnl"/>
          <w14:ligatures w14:val="standardContextual"/>
        </w:rPr>
        <w:t>la cual</w:t>
      </w:r>
      <w:r w:rsidRPr="00DA679C">
        <w:rPr>
          <w:rFonts w:ascii="Verdana" w:eastAsia="Times New Roman" w:hAnsi="Verdana" w:cs="Arial"/>
          <w:bCs/>
          <w:kern w:val="2"/>
          <w:lang w:eastAsia="es-ES_tradnl"/>
          <w14:ligatures w14:val="standardContextual"/>
        </w:rPr>
        <w:t>, según el</w:t>
      </w:r>
      <w:r w:rsidR="00922CA7" w:rsidRPr="00922CA7">
        <w:rPr>
          <w:rFonts w:ascii="Verdana" w:eastAsia="Times New Roman" w:hAnsi="Verdana" w:cs="Arial"/>
          <w:bCs/>
          <w:kern w:val="2"/>
          <w:lang w:eastAsia="es-ES_tradnl"/>
          <w14:ligatures w14:val="standardContextual"/>
        </w:rPr>
        <w:t xml:space="preserve"> inciso 4 del numeral 5 del Artículo 32 de la ley 80 de </w:t>
      </w:r>
      <w:r w:rsidR="00922CA7" w:rsidRPr="00922CA7">
        <w:rPr>
          <w:rFonts w:ascii="Verdana" w:eastAsia="Times New Roman" w:hAnsi="Verdana" w:cs="Arial"/>
          <w:bCs/>
          <w:kern w:val="2"/>
          <w:lang w:eastAsia="es-ES_tradnl"/>
          <w14:ligatures w14:val="standardContextual"/>
        </w:rPr>
        <w:lastRenderedPageBreak/>
        <w:t>1993</w:t>
      </w:r>
      <w:r w:rsidR="00922CA7">
        <w:rPr>
          <w:rFonts w:ascii="Verdana" w:eastAsia="Times New Roman" w:hAnsi="Verdana" w:cs="Arial"/>
          <w:bCs/>
          <w:kern w:val="2"/>
          <w:lang w:eastAsia="es-ES_tradnl"/>
          <w14:ligatures w14:val="standardContextual"/>
        </w:rPr>
        <w:t xml:space="preserve"> </w:t>
      </w:r>
      <w:r w:rsidR="00922CA7" w:rsidRPr="00DA679C">
        <w:rPr>
          <w:rFonts w:ascii="Verdana" w:eastAsia="Times New Roman" w:hAnsi="Verdana" w:cs="Arial"/>
          <w:bCs/>
          <w:kern w:val="2"/>
          <w:lang w:eastAsia="es-ES_tradnl"/>
          <w14:ligatures w14:val="standardContextual"/>
        </w:rPr>
        <w:t>corresponde a la modalidad prevista para</w:t>
      </w:r>
      <w:r w:rsidR="00922CA7">
        <w:rPr>
          <w:rFonts w:ascii="Verdana" w:eastAsia="Times New Roman" w:hAnsi="Verdana" w:cs="Arial"/>
          <w:bCs/>
          <w:kern w:val="2"/>
          <w:lang w:eastAsia="es-ES_tradnl"/>
          <w14:ligatures w14:val="standardContextual"/>
        </w:rPr>
        <w:t xml:space="preserve"> </w:t>
      </w:r>
      <w:r w:rsidR="00922CA7" w:rsidRPr="002D41E5">
        <w:rPr>
          <w:rFonts w:ascii="Verdana" w:eastAsia="Times New Roman" w:hAnsi="Verdana" w:cs="Arial"/>
          <w:bCs/>
          <w:i/>
          <w:iCs/>
          <w:kern w:val="2"/>
          <w:lang w:eastAsia="es-ES_tradnl"/>
          <w14:ligatures w14:val="standardContextual"/>
        </w:rPr>
        <w:t>"La selección de las sociedades fiduciarias a contratar, sea pública o privada</w:t>
      </w:r>
      <w:r w:rsidR="00DD3FCD">
        <w:rPr>
          <w:rFonts w:ascii="Verdana" w:eastAsia="Times New Roman" w:hAnsi="Verdana" w:cs="Arial"/>
          <w:bCs/>
          <w:i/>
          <w:iCs/>
          <w:kern w:val="2"/>
          <w:lang w:eastAsia="es-ES_tradnl"/>
          <w14:ligatures w14:val="standardContextual"/>
        </w:rPr>
        <w:t>”.</w:t>
      </w:r>
      <w:r w:rsidRPr="00DA679C">
        <w:rPr>
          <w:rFonts w:ascii="Verdana" w:eastAsia="Times New Roman" w:hAnsi="Verdana" w:cs="Arial"/>
          <w:bCs/>
          <w:kern w:val="2"/>
          <w:lang w:eastAsia="es-ES_tradnl"/>
          <w14:ligatures w14:val="standardContextual"/>
        </w:rPr>
        <w:t xml:space="preserve"> </w:t>
      </w:r>
    </w:p>
    <w:p w14:paraId="1C148F84" w14:textId="70BAA9C4" w:rsidR="00BE348D" w:rsidRPr="00DA679C" w:rsidRDefault="00BE348D" w:rsidP="00BE348D">
      <w:pPr>
        <w:spacing w:before="120" w:after="120" w:line="276" w:lineRule="auto"/>
        <w:ind w:firstLine="709"/>
        <w:jc w:val="both"/>
        <w:rPr>
          <w:rFonts w:ascii="Verdana" w:eastAsia="Times New Roman" w:hAnsi="Verdana" w:cs="Arial"/>
          <w:color w:val="000000"/>
          <w:lang w:val="es-ES_tradnl" w:eastAsia="es-ES"/>
        </w:rPr>
      </w:pPr>
      <w:r w:rsidRPr="00DA679C">
        <w:rPr>
          <w:rFonts w:ascii="Verdana" w:eastAsia="Times New Roman" w:hAnsi="Verdana" w:cs="Arial"/>
          <w:bCs/>
          <w:kern w:val="2"/>
          <w:lang w:eastAsia="es-ES_tradnl"/>
          <w14:ligatures w14:val="standardContextual"/>
        </w:rPr>
        <w:t xml:space="preserve">En este contexto, la escogencia </w:t>
      </w:r>
      <w:r w:rsidR="009E68B1">
        <w:rPr>
          <w:rFonts w:ascii="Verdana" w:eastAsia="Times New Roman" w:hAnsi="Verdana" w:cs="Arial"/>
          <w:bCs/>
          <w:kern w:val="2"/>
          <w:lang w:eastAsia="es-ES_tradnl"/>
          <w14:ligatures w14:val="standardContextual"/>
        </w:rPr>
        <w:t>de la sociedad fiduciaria</w:t>
      </w:r>
      <w:r w:rsidRPr="00DA679C">
        <w:rPr>
          <w:rFonts w:ascii="Verdana" w:eastAsia="Times New Roman" w:hAnsi="Verdana" w:cs="Arial"/>
          <w:bCs/>
          <w:kern w:val="2"/>
          <w:lang w:eastAsia="es-ES_tradnl"/>
          <w14:ligatures w14:val="standardContextual"/>
        </w:rPr>
        <w:t xml:space="preserve">, a través de </w:t>
      </w:r>
      <w:r w:rsidR="009E68B1">
        <w:rPr>
          <w:rFonts w:ascii="Verdana" w:eastAsia="Times New Roman" w:hAnsi="Verdana" w:cs="Arial"/>
          <w:bCs/>
          <w:kern w:val="2"/>
          <w:lang w:eastAsia="es-ES_tradnl"/>
          <w14:ligatures w14:val="standardContextual"/>
        </w:rPr>
        <w:t>licitación pública</w:t>
      </w:r>
      <w:r w:rsidRPr="00DA679C">
        <w:rPr>
          <w:rFonts w:ascii="Verdana" w:eastAsia="Times New Roman" w:hAnsi="Verdana" w:cs="Arial"/>
          <w:bCs/>
          <w:kern w:val="2"/>
          <w:lang w:eastAsia="es-ES_tradnl"/>
          <w14:ligatures w14:val="standardContextual"/>
        </w:rPr>
        <w:t>, podría parecer que concurre con la modalidad de mínima cuantía que, como se referenció, según el artículo 94 de la Ley 1474 de 2011, modificado por el artículo 30 de la Ley 2069 de 2020, consiste en la contratación cuyo valor no excede del diez por ciento (10%) de la menor cuantía de la entidad independientemente de su objeto.</w:t>
      </w:r>
    </w:p>
    <w:p w14:paraId="635347FC" w14:textId="1B27DBAA" w:rsidR="00933CD0" w:rsidRDefault="00E957A3" w:rsidP="00BE348D">
      <w:pPr>
        <w:spacing w:before="120" w:after="120" w:line="276" w:lineRule="auto"/>
        <w:ind w:firstLine="709"/>
        <w:jc w:val="both"/>
        <w:rPr>
          <w:rFonts w:ascii="Verdana" w:eastAsia="Times New Roman" w:hAnsi="Verdana" w:cs="Arial"/>
          <w:szCs w:val="24"/>
          <w:lang w:val="es-ES_tradnl" w:eastAsia="es-ES_tradnl"/>
        </w:rPr>
      </w:pPr>
      <w:r>
        <w:rPr>
          <w:rFonts w:ascii="Verdana" w:eastAsia="Times New Roman" w:hAnsi="Verdana" w:cs="Arial"/>
          <w:szCs w:val="24"/>
          <w:lang w:val="es-ES_tradnl" w:eastAsia="es-ES_tradnl"/>
        </w:rPr>
        <w:t>Aunado a</w:t>
      </w:r>
      <w:r w:rsidR="00BE348D" w:rsidRPr="00DA679C">
        <w:rPr>
          <w:rFonts w:ascii="Verdana" w:eastAsia="Times New Roman" w:hAnsi="Verdana" w:cs="Arial"/>
          <w:szCs w:val="24"/>
          <w:lang w:val="es-ES_tradnl" w:eastAsia="es-ES_tradnl"/>
        </w:rPr>
        <w:t xml:space="preserve"> lo anterior, el “Manual de la modalidad de selección de mínima cuantía”, publicado por la Agencia Nacional de Contratación Pública – Colombia Compra Eficiente, expresa que “</w:t>
      </w:r>
      <w:r w:rsidRPr="00E957A3">
        <w:rPr>
          <w:rFonts w:ascii="Verdana" w:eastAsia="Times New Roman" w:hAnsi="Verdana" w:cs="Arial"/>
          <w:i/>
          <w:iCs/>
          <w:szCs w:val="24"/>
          <w:lang w:eastAsia="es-ES_tradnl"/>
        </w:rPr>
        <w:t>Dentro de la determinación de la modalidad de selección de contratación por medio de la cual se va a llevar a cabo el proceso, puede existir un conflicto de normas contenidas en el artículo 2 de la Ley 1150 de 2007, dado que concurren la modalidad de selección de mínima cuantía con otras modalidades. En estos casos, es necesario acudir a los criterios de interpretación, particularmente, al del efecto útil, con el objetivo de adoptar una decisión</w:t>
      </w:r>
      <w:r w:rsidR="00BE348D" w:rsidRPr="00DA679C">
        <w:rPr>
          <w:rFonts w:ascii="Verdana" w:eastAsia="Times New Roman" w:hAnsi="Verdana" w:cs="Arial"/>
          <w:szCs w:val="24"/>
          <w:vertAlign w:val="superscript"/>
          <w:lang w:val="es-ES_tradnl" w:eastAsia="es-ES_tradnl"/>
        </w:rPr>
        <w:footnoteReference w:id="5"/>
      </w:r>
      <w:r w:rsidR="00BE348D" w:rsidRPr="00DA679C">
        <w:rPr>
          <w:rFonts w:ascii="Verdana" w:eastAsia="Times New Roman" w:hAnsi="Verdana" w:cs="Arial"/>
          <w:szCs w:val="24"/>
          <w:lang w:val="es-ES_tradnl" w:eastAsia="es-ES_tradnl"/>
        </w:rPr>
        <w:t>.</w:t>
      </w:r>
    </w:p>
    <w:p w14:paraId="75407A18" w14:textId="31426CC7" w:rsidR="00933CD0" w:rsidRDefault="00F768EE" w:rsidP="00BE348D">
      <w:pPr>
        <w:spacing w:before="120" w:after="120" w:line="276" w:lineRule="auto"/>
        <w:ind w:firstLine="709"/>
        <w:jc w:val="both"/>
        <w:rPr>
          <w:rFonts w:ascii="Verdana" w:eastAsia="Times New Roman" w:hAnsi="Verdana" w:cs="Arial"/>
          <w:szCs w:val="24"/>
          <w:lang w:val="es-ES_tradnl" w:eastAsia="es-ES_tradnl"/>
        </w:rPr>
      </w:pPr>
      <w:r>
        <w:rPr>
          <w:rFonts w:ascii="Verdana" w:eastAsia="Times New Roman" w:hAnsi="Verdana" w:cs="Arial"/>
          <w:szCs w:val="24"/>
          <w:lang w:val="es-ES_tradnl" w:eastAsia="es-ES_tradnl"/>
        </w:rPr>
        <w:t>En este sentido, da</w:t>
      </w:r>
      <w:r w:rsidR="00EF5BBB">
        <w:rPr>
          <w:rFonts w:ascii="Verdana" w:eastAsia="Times New Roman" w:hAnsi="Verdana" w:cs="Arial"/>
          <w:szCs w:val="24"/>
          <w:lang w:val="es-ES_tradnl" w:eastAsia="es-ES_tradnl"/>
        </w:rPr>
        <w:t>do que la selección de mínima cuantía es especial para cualquier o</w:t>
      </w:r>
      <w:r w:rsidR="00585524">
        <w:rPr>
          <w:rFonts w:ascii="Verdana" w:eastAsia="Times New Roman" w:hAnsi="Verdana" w:cs="Arial"/>
          <w:szCs w:val="24"/>
          <w:lang w:val="es-ES_tradnl" w:eastAsia="es-ES_tradnl"/>
        </w:rPr>
        <w:t>bjeto contractual</w:t>
      </w:r>
      <w:r w:rsidR="00FC548D">
        <w:rPr>
          <w:rFonts w:ascii="Verdana" w:eastAsia="Times New Roman" w:hAnsi="Verdana" w:cs="Arial"/>
          <w:szCs w:val="24"/>
          <w:lang w:val="es-ES_tradnl" w:eastAsia="es-ES_tradnl"/>
        </w:rPr>
        <w:t>, en el caso de la concurrencia que nos ocupa</w:t>
      </w:r>
      <w:r w:rsidR="00C13BEE">
        <w:rPr>
          <w:rFonts w:ascii="Verdana" w:eastAsia="Times New Roman" w:hAnsi="Verdana" w:cs="Arial"/>
          <w:szCs w:val="24"/>
          <w:lang w:val="es-ES_tradnl" w:eastAsia="es-ES_tradnl"/>
        </w:rPr>
        <w:t xml:space="preserve">, la modalidad de selección aplicable será la de mínima cuantía. </w:t>
      </w:r>
    </w:p>
    <w:p w14:paraId="34DD2CDF" w14:textId="6A4463A1" w:rsidR="00BE348D" w:rsidRPr="00DA679C" w:rsidRDefault="00660551" w:rsidP="00BE348D">
      <w:pPr>
        <w:spacing w:after="0" w:line="276" w:lineRule="auto"/>
        <w:ind w:firstLine="709"/>
        <w:jc w:val="both"/>
        <w:rPr>
          <w:rFonts w:ascii="Verdana" w:eastAsia="Times New Roman" w:hAnsi="Verdana" w:cs="Arial"/>
          <w:color w:val="000000"/>
          <w:lang w:val="es-ES" w:eastAsia="es-ES"/>
        </w:rPr>
      </w:pPr>
      <w:r>
        <w:rPr>
          <w:rFonts w:ascii="Verdana" w:eastAsia="Times New Roman" w:hAnsi="Verdana" w:cs="Arial"/>
          <w:color w:val="000000" w:themeColor="text1"/>
          <w:lang w:val="es-ES" w:eastAsia="es-ES"/>
        </w:rPr>
        <w:t>E</w:t>
      </w:r>
      <w:r w:rsidR="00BE348D" w:rsidRPr="0DC886BD">
        <w:rPr>
          <w:rFonts w:ascii="Verdana" w:eastAsia="Times New Roman" w:hAnsi="Verdana" w:cs="Arial"/>
          <w:color w:val="000000" w:themeColor="text1"/>
          <w:lang w:val="es-ES" w:eastAsia="es-ES"/>
        </w:rPr>
        <w:t xml:space="preserve">sta ha sido la interpretación del Consejo de Estado, </w:t>
      </w:r>
      <w:proofErr w:type="gramStart"/>
      <w:r w:rsidR="00BE348D" w:rsidRPr="0DC886BD">
        <w:rPr>
          <w:rFonts w:ascii="Verdana" w:eastAsia="Times New Roman" w:hAnsi="Verdana" w:cs="Arial"/>
          <w:color w:val="000000" w:themeColor="text1"/>
          <w:lang w:val="es-ES" w:eastAsia="es-ES"/>
        </w:rPr>
        <w:t>que</w:t>
      </w:r>
      <w:proofErr w:type="gramEnd"/>
      <w:r w:rsidR="00BE348D" w:rsidRPr="0DC886BD">
        <w:rPr>
          <w:rFonts w:ascii="Verdana" w:eastAsia="Times New Roman" w:hAnsi="Verdana" w:cs="Arial"/>
          <w:color w:val="000000" w:themeColor="text1"/>
          <w:lang w:val="es-ES" w:eastAsia="es-ES"/>
        </w:rPr>
        <w:t xml:space="preserve"> al estudiar la concurrencia entre la mínima cuantía y otras modalidades de selección, ha concluido que:</w:t>
      </w:r>
    </w:p>
    <w:p w14:paraId="240F4400" w14:textId="77777777" w:rsidR="00BE348D" w:rsidRPr="00DA679C" w:rsidRDefault="00BE348D" w:rsidP="00BE348D">
      <w:pPr>
        <w:spacing w:after="0" w:line="240" w:lineRule="auto"/>
        <w:ind w:left="709" w:right="709"/>
        <w:jc w:val="both"/>
        <w:rPr>
          <w:rFonts w:ascii="Verdana" w:eastAsia="Times New Roman" w:hAnsi="Verdana" w:cs="Arial"/>
          <w:sz w:val="21"/>
          <w:szCs w:val="21"/>
          <w:lang w:val="es-ES_tradnl" w:eastAsia="es-ES_tradnl"/>
        </w:rPr>
      </w:pPr>
    </w:p>
    <w:p w14:paraId="78B0776F" w14:textId="77777777" w:rsidR="00BE348D" w:rsidRPr="0031472E" w:rsidRDefault="00BE348D" w:rsidP="00BE348D">
      <w:pPr>
        <w:spacing w:after="0" w:line="240" w:lineRule="auto"/>
        <w:ind w:left="709" w:right="709"/>
        <w:jc w:val="both"/>
        <w:rPr>
          <w:rFonts w:ascii="Verdana" w:eastAsia="Times New Roman" w:hAnsi="Verdana" w:cs="Arial"/>
          <w:sz w:val="20"/>
          <w:szCs w:val="20"/>
          <w:lang w:val="es-ES_tradnl" w:eastAsia="es-ES_tradnl"/>
        </w:rPr>
      </w:pPr>
      <w:r w:rsidRPr="0031472E">
        <w:rPr>
          <w:rFonts w:ascii="Verdana" w:eastAsia="Times New Roman" w:hAnsi="Verdana" w:cs="Arial"/>
          <w:sz w:val="20"/>
          <w:szCs w:val="20"/>
          <w:lang w:val="es-ES_tradnl" w:eastAsia="es-ES_tradnl"/>
        </w:rPr>
        <w:t xml:space="preserve">“(…),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w:t>
      </w:r>
      <w:r w:rsidRPr="0031472E">
        <w:rPr>
          <w:rFonts w:ascii="Verdana" w:eastAsia="Times New Roman" w:hAnsi="Verdana" w:cs="Arial"/>
          <w:sz w:val="20"/>
          <w:szCs w:val="20"/>
          <w:u w:val="single"/>
          <w:lang w:val="es-ES_tradnl" w:eastAsia="es-ES_tradnl"/>
        </w:rPr>
        <w:t>el procedimiento que debe seguirse será el de mínima cuantía, independientemente –se insiste– del objeto a contratar</w:t>
      </w:r>
      <w:r w:rsidRPr="0031472E">
        <w:rPr>
          <w:rFonts w:ascii="Verdana" w:eastAsia="Times New Roman" w:hAnsi="Verdana" w:cs="Arial"/>
          <w:sz w:val="20"/>
          <w:szCs w:val="20"/>
          <w:lang w:val="es-ES_tradnl" w:eastAsia="es-ES_tradnl"/>
        </w:rPr>
        <w:t xml:space="preserve">. </w:t>
      </w:r>
      <w:r w:rsidRPr="0031472E">
        <w:rPr>
          <w:rFonts w:ascii="Verdana" w:eastAsia="Times New Roman" w:hAnsi="Verdana" w:cs="Arial"/>
          <w:i/>
          <w:iCs/>
          <w:sz w:val="20"/>
          <w:szCs w:val="20"/>
          <w:lang w:val="es-ES_tradnl" w:eastAsia="es-ES_tradnl"/>
        </w:rPr>
        <w:lastRenderedPageBreak/>
        <w:t>Lo mismo se aplica cuando se necesita contratar una consultoría</w:t>
      </w:r>
      <w:r w:rsidRPr="0031472E">
        <w:rPr>
          <w:rFonts w:ascii="Verdana" w:eastAsia="Times New Roman" w:hAnsi="Verdana" w:cs="Arial"/>
          <w:sz w:val="20"/>
          <w:szCs w:val="20"/>
          <w:lang w:val="es-ES_tradnl" w:eastAsia="es-ES_tradnl"/>
        </w:rPr>
        <w:t xml:space="preserve"> o adquirir bienes o servicios de características técnicas uniformes y de común utilización, entre otros, siempre que el costo de la contratación no supere la mínima cuantía de la entidad”</w:t>
      </w:r>
      <w:r w:rsidRPr="0031472E">
        <w:rPr>
          <w:rFonts w:ascii="Verdana" w:eastAsia="Times New Roman" w:hAnsi="Verdana" w:cs="Arial"/>
          <w:sz w:val="20"/>
          <w:szCs w:val="20"/>
          <w:vertAlign w:val="superscript"/>
          <w:lang w:eastAsia="es-ES_tradnl"/>
        </w:rPr>
        <w:footnoteReference w:id="6"/>
      </w:r>
      <w:r w:rsidRPr="0031472E">
        <w:rPr>
          <w:rFonts w:ascii="Verdana" w:eastAsia="Times New Roman" w:hAnsi="Verdana" w:cs="Arial"/>
          <w:sz w:val="20"/>
          <w:szCs w:val="20"/>
          <w:lang w:val="es-ES_tradnl" w:eastAsia="es-ES_tradnl"/>
        </w:rPr>
        <w:t xml:space="preserve"> (Cursiva y subraya fuera de texto).</w:t>
      </w:r>
    </w:p>
    <w:p w14:paraId="24E2C973" w14:textId="77777777" w:rsidR="00BE348D" w:rsidRPr="00DA679C" w:rsidRDefault="00BE348D" w:rsidP="00BE348D">
      <w:pPr>
        <w:spacing w:after="0" w:line="276" w:lineRule="auto"/>
        <w:jc w:val="both"/>
        <w:rPr>
          <w:rFonts w:ascii="Verdana" w:eastAsia="Times New Roman" w:hAnsi="Verdana" w:cs="Arial"/>
          <w:color w:val="000000"/>
          <w:lang w:val="es-ES_tradnl" w:eastAsia="es-ES"/>
        </w:rPr>
      </w:pPr>
    </w:p>
    <w:p w14:paraId="2B56F873" w14:textId="6960F8AD" w:rsidR="00BE348D" w:rsidRPr="00DA679C" w:rsidRDefault="00BE348D" w:rsidP="00BE348D">
      <w:pPr>
        <w:snapToGrid w:val="0"/>
        <w:spacing w:after="0" w:line="276" w:lineRule="auto"/>
        <w:ind w:firstLine="709"/>
        <w:jc w:val="both"/>
        <w:rPr>
          <w:rFonts w:ascii="Verdana" w:eastAsia="Times New Roman" w:hAnsi="Verdana" w:cs="Arial"/>
          <w:kern w:val="2"/>
          <w:lang w:val="es-ES_tradnl" w:eastAsia="es-ES_tradnl"/>
          <w14:ligatures w14:val="standardContextual"/>
        </w:rPr>
      </w:pPr>
      <w:r w:rsidRPr="00DA679C">
        <w:rPr>
          <w:rFonts w:ascii="Verdana" w:eastAsia="Times New Roman" w:hAnsi="Verdana" w:cs="Arial"/>
          <w:kern w:val="2"/>
          <w:lang w:val="es-ES_tradnl" w:eastAsia="es-ES_tradnl"/>
          <w14:ligatures w14:val="standardContextual"/>
        </w:rPr>
        <w:t xml:space="preserve">De acuerdo con la jurisprudencia citada, cuando el valor estimado del contrato corresponde a la mínima cuantía de la entidad estatal, esta circunstancia prevalece sobre la modalidad de selección que, por razón del objeto contractual, podría resultar aplicable. Lo anterior, para efectos de la concurrencia de la modalidad de selección de mínima cuantía y la de </w:t>
      </w:r>
      <w:r w:rsidR="00525F43">
        <w:rPr>
          <w:rFonts w:ascii="Verdana" w:eastAsia="Times New Roman" w:hAnsi="Verdana" w:cs="Arial"/>
          <w:kern w:val="2"/>
          <w:lang w:val="es-ES_tradnl" w:eastAsia="es-ES_tradnl"/>
          <w14:ligatures w14:val="standardContextual"/>
        </w:rPr>
        <w:t>licitación pública.</w:t>
      </w:r>
    </w:p>
    <w:p w14:paraId="22AF66EF" w14:textId="77777777" w:rsidR="00971F85" w:rsidRDefault="00BE348D" w:rsidP="00971F85">
      <w:pPr>
        <w:snapToGrid w:val="0"/>
        <w:spacing w:before="120" w:after="0" w:line="276" w:lineRule="auto"/>
        <w:ind w:firstLine="709"/>
        <w:jc w:val="both"/>
        <w:rPr>
          <w:rFonts w:ascii="Verdana" w:eastAsia="Times New Roman" w:hAnsi="Verdana" w:cs="Arial"/>
          <w:color w:val="000000"/>
          <w:kern w:val="2"/>
          <w:lang w:val="es-ES" w:eastAsia="es-ES"/>
          <w14:ligatures w14:val="standardContextual"/>
        </w:rPr>
      </w:pPr>
      <w:r w:rsidRPr="0DC886BD">
        <w:rPr>
          <w:rFonts w:ascii="Verdana" w:eastAsia="Times New Roman" w:hAnsi="Verdana" w:cs="Arial"/>
          <w:color w:val="000000"/>
          <w:kern w:val="2"/>
          <w:lang w:val="es-ES" w:eastAsia="es-ES"/>
          <w14:ligatures w14:val="standardContextual"/>
        </w:rPr>
        <w:t xml:space="preserve">De acuerdo con lo expuesto, considerando </w:t>
      </w:r>
      <w:r w:rsidR="00A04C88" w:rsidRPr="0DC886BD">
        <w:rPr>
          <w:rFonts w:ascii="Verdana" w:eastAsia="Times New Roman" w:hAnsi="Verdana" w:cs="Arial"/>
          <w:color w:val="000000"/>
          <w:kern w:val="2"/>
          <w:lang w:val="es-ES" w:eastAsia="es-ES"/>
          <w14:ligatures w14:val="standardContextual"/>
        </w:rPr>
        <w:t xml:space="preserve">los planteamientos esbozados </w:t>
      </w:r>
      <w:r w:rsidRPr="0DC886BD">
        <w:rPr>
          <w:rFonts w:ascii="Verdana" w:eastAsia="Times New Roman" w:hAnsi="Verdana" w:cs="Arial"/>
          <w:color w:val="000000"/>
          <w:kern w:val="2"/>
          <w:lang w:val="es-ES" w:eastAsia="es-ES"/>
          <w14:ligatures w14:val="standardContextual"/>
        </w:rPr>
        <w:t xml:space="preserve">en </w:t>
      </w:r>
      <w:r w:rsidR="0093505C" w:rsidRPr="0DC886BD">
        <w:rPr>
          <w:rFonts w:ascii="Verdana" w:eastAsia="Times New Roman" w:hAnsi="Verdana" w:cs="Arial"/>
          <w:color w:val="000000"/>
          <w:kern w:val="2"/>
          <w:lang w:val="es-ES" w:eastAsia="es-ES"/>
          <w14:ligatures w14:val="standardContextual"/>
        </w:rPr>
        <w:t>su</w:t>
      </w:r>
      <w:r w:rsidRPr="0DC886BD">
        <w:rPr>
          <w:rFonts w:ascii="Verdana" w:eastAsia="Times New Roman" w:hAnsi="Verdana" w:cs="Arial"/>
          <w:color w:val="000000"/>
          <w:kern w:val="2"/>
          <w:lang w:val="es-ES" w:eastAsia="es-ES"/>
          <w14:ligatures w14:val="standardContextual"/>
        </w:rPr>
        <w:t xml:space="preserve"> consulta, se observa la concurrencia de las modalidades de selección de mínima cuantía y de </w:t>
      </w:r>
      <w:r w:rsidR="0093505C" w:rsidRPr="0DC886BD">
        <w:rPr>
          <w:rFonts w:ascii="Verdana" w:eastAsia="Times New Roman" w:hAnsi="Verdana" w:cs="Arial"/>
          <w:color w:val="000000"/>
          <w:kern w:val="2"/>
          <w:lang w:val="es-ES" w:eastAsia="es-ES"/>
          <w14:ligatures w14:val="standardContextual"/>
        </w:rPr>
        <w:t>licitación pública</w:t>
      </w:r>
      <w:r w:rsidRPr="0DC886BD">
        <w:rPr>
          <w:rFonts w:ascii="Verdana" w:eastAsia="Times New Roman" w:hAnsi="Verdana" w:cs="Arial"/>
          <w:color w:val="000000"/>
          <w:kern w:val="2"/>
          <w:lang w:val="es-ES" w:eastAsia="es-ES"/>
          <w14:ligatures w14:val="standardContextual"/>
        </w:rPr>
        <w:t xml:space="preserve">, siendo esta última la procedente, por regla general, para la selección de </w:t>
      </w:r>
      <w:r w:rsidR="0093505C" w:rsidRPr="0DC886BD">
        <w:rPr>
          <w:rFonts w:ascii="Verdana" w:eastAsia="Times New Roman" w:hAnsi="Verdana" w:cs="Arial"/>
          <w:color w:val="000000"/>
          <w:kern w:val="2"/>
          <w:lang w:val="es-ES" w:eastAsia="es-ES"/>
          <w14:ligatures w14:val="standardContextual"/>
        </w:rPr>
        <w:t>sociedades fiduciarias</w:t>
      </w:r>
      <w:r w:rsidRPr="0DC886BD">
        <w:rPr>
          <w:rFonts w:ascii="Verdana" w:eastAsia="Times New Roman" w:hAnsi="Verdana" w:cs="Arial"/>
          <w:color w:val="000000"/>
          <w:kern w:val="2"/>
          <w:lang w:val="es-ES" w:eastAsia="es-ES"/>
          <w14:ligatures w14:val="standardContextual"/>
        </w:rPr>
        <w:t xml:space="preserve">. No obstante, como se indicó, si el valor de la contratación no excede del diez por ciento (10%) de la menor cuantía de la entidad, independientemente de su objeto –y sin perjuicio del análisis de procedencia de otros mecanismos especiales de selección del contratista–, el proceso de selección deberá adelantarse mediante la modalidad de selección de </w:t>
      </w:r>
      <w:r w:rsidRPr="0DC886BD">
        <w:rPr>
          <w:rFonts w:ascii="Verdana" w:eastAsia="Times New Roman" w:hAnsi="Verdana" w:cs="Arial"/>
          <w:i/>
          <w:color w:val="000000"/>
          <w:kern w:val="2"/>
          <w:lang w:val="es-ES" w:eastAsia="es-ES"/>
          <w14:ligatures w14:val="standardContextual"/>
        </w:rPr>
        <w:t>mínima cuantía</w:t>
      </w:r>
      <w:r w:rsidRPr="0DC886BD">
        <w:rPr>
          <w:rFonts w:ascii="Verdana" w:eastAsia="Times New Roman" w:hAnsi="Verdana" w:cs="Arial"/>
          <w:color w:val="000000"/>
          <w:kern w:val="2"/>
          <w:lang w:val="es-ES" w:eastAsia="es-ES"/>
          <w14:ligatures w14:val="standardContextual"/>
        </w:rPr>
        <w:t>, en aplicación de lo preceptuado en el artículo 2, numeral 5, de la Ley 1150 de 2007, modificado por el artículo 30 de la Ley 2069 de 2020. En consecuencia, el criterio para la escogencia del contratista será el menor precio, siempre y cuando cumpla con las condiciones exigidas en la invitación.</w:t>
      </w:r>
    </w:p>
    <w:p w14:paraId="1AE44BA0" w14:textId="77777777" w:rsidR="00971F85" w:rsidRDefault="00971F85" w:rsidP="00971F85">
      <w:pPr>
        <w:snapToGrid w:val="0"/>
        <w:spacing w:before="120" w:after="0" w:line="276" w:lineRule="auto"/>
        <w:ind w:firstLine="709"/>
        <w:jc w:val="both"/>
        <w:rPr>
          <w:rFonts w:ascii="Verdana" w:eastAsia="Times New Roman" w:hAnsi="Verdana" w:cs="Arial"/>
          <w:color w:val="000000"/>
          <w:kern w:val="2"/>
          <w:lang w:val="es-ES_tradnl" w:eastAsia="es-ES"/>
          <w14:ligatures w14:val="standardContextual"/>
        </w:rPr>
      </w:pPr>
      <w:r w:rsidRPr="00271E73">
        <w:rPr>
          <w:rFonts w:ascii="Verdana" w:eastAsia="Arial" w:hAnsi="Verdana" w:cs="Arial"/>
          <w:bCs/>
          <w:lang w:eastAsia="es-MX"/>
        </w:rPr>
        <w:t xml:space="preserve">En conclusión, la concurrencia entre la regla especial de selección de sociedades fiduciarias y la modalidad de mínima cuantía </w:t>
      </w:r>
      <w:r>
        <w:rPr>
          <w:rFonts w:ascii="Verdana" w:eastAsia="Arial" w:hAnsi="Verdana" w:cs="Arial"/>
          <w:bCs/>
          <w:lang w:eastAsia="es-MX"/>
        </w:rPr>
        <w:t xml:space="preserve">se </w:t>
      </w:r>
      <w:r w:rsidRPr="00271E73">
        <w:rPr>
          <w:rFonts w:ascii="Verdana" w:eastAsia="Arial" w:hAnsi="Verdana" w:cs="Arial"/>
          <w:bCs/>
          <w:lang w:eastAsia="es-MX"/>
        </w:rPr>
        <w:t xml:space="preserve">debe resolver mediante una interpretación histórica, sistemática y teleológica del régimen de contratación estatal. Bajo este entendimiento, si el valor del </w:t>
      </w:r>
      <w:r>
        <w:rPr>
          <w:rFonts w:ascii="Verdana" w:eastAsia="Arial" w:hAnsi="Verdana" w:cs="Arial"/>
          <w:bCs/>
          <w:lang w:eastAsia="es-MX"/>
        </w:rPr>
        <w:t>proceso para la sociedad fiduciaria</w:t>
      </w:r>
      <w:r w:rsidRPr="00271E73">
        <w:rPr>
          <w:rFonts w:ascii="Verdana" w:eastAsia="Arial" w:hAnsi="Verdana" w:cs="Arial"/>
          <w:bCs/>
          <w:lang w:eastAsia="es-MX"/>
        </w:rPr>
        <w:t xml:space="preserve"> se encuentra dentro del límite de la mínima cuantía, la entidad deberá acudir a esta modalidad de selección, en tanto el legislador dispuso expresamente que su aplicación opera independientemente del objeto contractual. La referencia a la licitación o concurso contenida en la Ley 80 de 1993 debe ser comprendida a la luz del régimen vigente y del contexto histórico </w:t>
      </w:r>
      <w:r w:rsidRPr="00271E73">
        <w:rPr>
          <w:rFonts w:ascii="Verdana" w:eastAsia="Arial" w:hAnsi="Verdana" w:cs="Arial"/>
          <w:bCs/>
          <w:lang w:eastAsia="es-MX"/>
        </w:rPr>
        <w:lastRenderedPageBreak/>
        <w:t>en el que fue expedida, sin que pueda interpretarse como una exclusión de una modalidad de selección creada posteriormente por el propio legislador.</w:t>
      </w:r>
    </w:p>
    <w:p w14:paraId="3218B2BB" w14:textId="2C06C5F0" w:rsidR="00BE348D" w:rsidRPr="00971F85" w:rsidRDefault="00BE348D" w:rsidP="00971F85">
      <w:pPr>
        <w:snapToGrid w:val="0"/>
        <w:spacing w:before="120" w:after="0" w:line="276" w:lineRule="auto"/>
        <w:ind w:firstLine="709"/>
        <w:jc w:val="both"/>
        <w:rPr>
          <w:rFonts w:ascii="Verdana" w:eastAsia="Times New Roman" w:hAnsi="Verdana" w:cs="Arial"/>
          <w:color w:val="000000"/>
          <w:kern w:val="2"/>
          <w:lang w:val="es-ES_tradnl" w:eastAsia="es-ES"/>
          <w14:ligatures w14:val="standardContextual"/>
        </w:rPr>
      </w:pPr>
      <w:r w:rsidRPr="00DA679C">
        <w:rPr>
          <w:rFonts w:ascii="Verdana" w:eastAsia="Calibri" w:hAnsi="Verdana" w:cs="Arial"/>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67B66DC7" w14:textId="77777777" w:rsidR="000632AA" w:rsidRPr="00DB6C5D" w:rsidRDefault="000632AA" w:rsidP="00260CA8">
      <w:pPr>
        <w:tabs>
          <w:tab w:val="left" w:pos="142"/>
          <w:tab w:val="left" w:pos="426"/>
        </w:tabs>
        <w:spacing w:after="0" w:line="276" w:lineRule="auto"/>
        <w:jc w:val="both"/>
        <w:rPr>
          <w:rFonts w:ascii="Verdana" w:eastAsia="Calibri" w:hAnsi="Verdana" w:cs="Arial"/>
          <w:bCs/>
          <w:color w:val="000000" w:themeColor="text1"/>
        </w:rPr>
      </w:pPr>
    </w:p>
    <w:p w14:paraId="5C9E5C6F" w14:textId="77777777" w:rsidR="000632AA" w:rsidRPr="00DB6C5D" w:rsidRDefault="000632AA" w:rsidP="000632AA">
      <w:pPr>
        <w:numPr>
          <w:ilvl w:val="0"/>
          <w:numId w:val="16"/>
        </w:numPr>
        <w:tabs>
          <w:tab w:val="left" w:pos="142"/>
          <w:tab w:val="left" w:pos="284"/>
        </w:tabs>
        <w:spacing w:after="0" w:line="276" w:lineRule="auto"/>
        <w:jc w:val="both"/>
        <w:rPr>
          <w:rFonts w:ascii="Verdana" w:eastAsia="Century Gothic" w:hAnsi="Verdana" w:cs="Century Gothic"/>
          <w:b/>
          <w:bCs/>
        </w:rPr>
      </w:pPr>
      <w:r w:rsidRPr="00DB6C5D">
        <w:rPr>
          <w:rFonts w:ascii="Verdana" w:eastAsia="Century Gothic" w:hAnsi="Verdana" w:cs="Century Gothic"/>
          <w:b/>
          <w:bCs/>
        </w:rPr>
        <w:t>Referencias normativas y jurisprudenciales:</w:t>
      </w:r>
    </w:p>
    <w:p w14:paraId="424CF2CE" w14:textId="77777777" w:rsidR="000632AA" w:rsidRPr="00DB6C5D" w:rsidRDefault="000632AA" w:rsidP="000632AA">
      <w:pPr>
        <w:widowControl w:val="0"/>
        <w:autoSpaceDE w:val="0"/>
        <w:autoSpaceDN w:val="0"/>
        <w:spacing w:after="0" w:line="276" w:lineRule="auto"/>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632AA" w:rsidRPr="00DB6C5D" w14:paraId="779619EE" w14:textId="77777777" w:rsidTr="00B61CA8">
        <w:trPr>
          <w:trHeight w:val="410"/>
          <w:jc w:val="center"/>
        </w:trPr>
        <w:tc>
          <w:tcPr>
            <w:tcW w:w="8647" w:type="dxa"/>
          </w:tcPr>
          <w:p w14:paraId="3F361EDC" w14:textId="41174D9E" w:rsidR="00792C14" w:rsidRPr="007B62DB" w:rsidRDefault="00792C14" w:rsidP="00792C14">
            <w:pPr>
              <w:pStyle w:val="Prrafodelista"/>
              <w:numPr>
                <w:ilvl w:val="0"/>
                <w:numId w:val="18"/>
              </w:numPr>
              <w:spacing w:line="276" w:lineRule="auto"/>
              <w:ind w:left="357" w:hanging="357"/>
              <w:jc w:val="both"/>
              <w:rPr>
                <w:rFonts w:ascii="Verdana" w:hAnsi="Verdana" w:cs="Arial"/>
                <w:color w:val="000000" w:themeColor="text1"/>
              </w:rPr>
            </w:pPr>
            <w:r w:rsidRPr="007B62DB">
              <w:rPr>
                <w:rFonts w:ascii="Verdana" w:hAnsi="Verdana" w:cs="Arial"/>
                <w:color w:val="000000" w:themeColor="text1"/>
              </w:rPr>
              <w:t xml:space="preserve">Ley 80 de 1993, artículo 32, numeral 5, inciso 4. </w:t>
            </w:r>
          </w:p>
          <w:p w14:paraId="1A4AB837" w14:textId="3EB04F07" w:rsidR="00792C14" w:rsidRPr="007B62DB" w:rsidRDefault="00792C14" w:rsidP="00792C14">
            <w:pPr>
              <w:pStyle w:val="Prrafodelista"/>
              <w:numPr>
                <w:ilvl w:val="0"/>
                <w:numId w:val="18"/>
              </w:numPr>
              <w:spacing w:line="276" w:lineRule="auto"/>
              <w:ind w:left="357" w:hanging="357"/>
              <w:jc w:val="both"/>
              <w:rPr>
                <w:rFonts w:ascii="Verdana" w:hAnsi="Verdana" w:cs="Arial"/>
                <w:color w:val="000000" w:themeColor="text1"/>
              </w:rPr>
            </w:pPr>
            <w:r w:rsidRPr="007B62DB">
              <w:rPr>
                <w:rFonts w:ascii="Verdana" w:hAnsi="Verdana" w:cs="Arial"/>
                <w:color w:val="000000" w:themeColor="text1"/>
              </w:rPr>
              <w:t xml:space="preserve">Ley 1150 de 2007, artículo 2°, numerales 2, 3, 4 y 5. </w:t>
            </w:r>
          </w:p>
          <w:p w14:paraId="3F89C4BC" w14:textId="57E0D604" w:rsidR="00792C14" w:rsidRPr="007B62DB" w:rsidRDefault="00792C14" w:rsidP="00792C14">
            <w:pPr>
              <w:pStyle w:val="Prrafodelista"/>
              <w:numPr>
                <w:ilvl w:val="0"/>
                <w:numId w:val="18"/>
              </w:numPr>
              <w:spacing w:line="276" w:lineRule="auto"/>
              <w:ind w:left="357" w:hanging="357"/>
              <w:jc w:val="both"/>
              <w:rPr>
                <w:rFonts w:ascii="Verdana" w:hAnsi="Verdana" w:cs="Arial"/>
                <w:color w:val="000000" w:themeColor="text1"/>
              </w:rPr>
            </w:pPr>
            <w:r w:rsidRPr="007B62DB">
              <w:rPr>
                <w:rFonts w:ascii="Verdana" w:hAnsi="Verdana" w:cs="Arial"/>
                <w:color w:val="000000" w:themeColor="text1"/>
              </w:rPr>
              <w:t xml:space="preserve">Ley 1474 de 2011, artículo 94. </w:t>
            </w:r>
          </w:p>
          <w:p w14:paraId="24331C23" w14:textId="77777777" w:rsidR="000632AA" w:rsidRPr="007B62DB" w:rsidRDefault="00792C14" w:rsidP="00792C14">
            <w:pPr>
              <w:pStyle w:val="Prrafodelista"/>
              <w:numPr>
                <w:ilvl w:val="0"/>
                <w:numId w:val="18"/>
              </w:numPr>
              <w:spacing w:line="276" w:lineRule="auto"/>
              <w:ind w:left="357" w:hanging="357"/>
              <w:contextualSpacing w:val="0"/>
              <w:jc w:val="both"/>
              <w:rPr>
                <w:rFonts w:ascii="Verdana" w:hAnsi="Verdana" w:cs="Arial"/>
                <w:color w:val="000000" w:themeColor="text1"/>
                <w:lang w:val="es-CO"/>
              </w:rPr>
            </w:pPr>
            <w:r w:rsidRPr="007B62DB">
              <w:rPr>
                <w:rFonts w:ascii="Verdana" w:hAnsi="Verdana" w:cs="Arial"/>
                <w:color w:val="000000" w:themeColor="text1"/>
                <w:lang w:val="es-CO"/>
              </w:rPr>
              <w:t>Ley 2069 de 2020, artículo 30.</w:t>
            </w:r>
          </w:p>
          <w:p w14:paraId="24258C0F" w14:textId="77777777" w:rsidR="00792C14" w:rsidRPr="007B62DB" w:rsidRDefault="00792C14" w:rsidP="00792C14">
            <w:pPr>
              <w:pStyle w:val="Prrafodelista"/>
              <w:numPr>
                <w:ilvl w:val="0"/>
                <w:numId w:val="18"/>
              </w:numPr>
              <w:spacing w:line="276" w:lineRule="auto"/>
              <w:ind w:left="357" w:hanging="357"/>
              <w:contextualSpacing w:val="0"/>
              <w:jc w:val="both"/>
              <w:rPr>
                <w:rFonts w:ascii="Verdana" w:hAnsi="Verdana" w:cs="Arial"/>
                <w:color w:val="000000" w:themeColor="text1"/>
                <w:lang w:val="es-CO"/>
              </w:rPr>
            </w:pPr>
            <w:r w:rsidRPr="007B62DB">
              <w:rPr>
                <w:rFonts w:ascii="Verdana" w:hAnsi="Verdana" w:cs="Arial"/>
                <w:color w:val="000000" w:themeColor="text1"/>
                <w:lang w:val="es-CO"/>
              </w:rPr>
              <w:t xml:space="preserve">Consejo de Estado. Sección Tercera. Subsección A. Auto del 29 de marzo de 2017. </w:t>
            </w:r>
            <w:proofErr w:type="spellStart"/>
            <w:r w:rsidRPr="007B62DB">
              <w:rPr>
                <w:rFonts w:ascii="Verdana" w:hAnsi="Verdana" w:cs="Arial"/>
                <w:color w:val="000000" w:themeColor="text1"/>
                <w:lang w:val="es-CO"/>
              </w:rPr>
              <w:t>Exp</w:t>
            </w:r>
            <w:proofErr w:type="spellEnd"/>
            <w:r w:rsidRPr="007B62DB">
              <w:rPr>
                <w:rFonts w:ascii="Verdana" w:hAnsi="Verdana" w:cs="Arial"/>
                <w:color w:val="000000" w:themeColor="text1"/>
                <w:lang w:val="es-CO"/>
              </w:rPr>
              <w:t>. 56307. Consejero Ponente: Carlos Alberto Zambrano Barrera.</w:t>
            </w:r>
          </w:p>
          <w:p w14:paraId="3444C5AA" w14:textId="57250EB6" w:rsidR="00E71801" w:rsidRPr="007B62DB" w:rsidRDefault="00E71801" w:rsidP="00E71801">
            <w:pPr>
              <w:pStyle w:val="Prrafodelista"/>
              <w:numPr>
                <w:ilvl w:val="0"/>
                <w:numId w:val="18"/>
              </w:numPr>
              <w:spacing w:line="276" w:lineRule="auto"/>
              <w:ind w:left="357" w:hanging="357"/>
              <w:jc w:val="both"/>
              <w:rPr>
                <w:rFonts w:ascii="Verdana" w:hAnsi="Verdana" w:cs="Arial"/>
                <w:color w:val="000000" w:themeColor="text1"/>
              </w:rPr>
            </w:pPr>
            <w:r w:rsidRPr="007B62DB">
              <w:rPr>
                <w:rFonts w:ascii="Verdana" w:hAnsi="Verdana" w:cs="Arial"/>
                <w:color w:val="000000" w:themeColor="text1"/>
              </w:rPr>
              <w:t xml:space="preserve">DROMI, Robert. </w:t>
            </w:r>
            <w:r w:rsidRPr="007B62DB">
              <w:rPr>
                <w:rFonts w:ascii="Verdana" w:hAnsi="Verdana" w:cs="Arial"/>
                <w:i/>
                <w:iCs/>
                <w:color w:val="000000" w:themeColor="text1"/>
              </w:rPr>
              <w:t>Licitación Pública</w:t>
            </w:r>
            <w:r w:rsidRPr="007B62DB">
              <w:rPr>
                <w:rFonts w:ascii="Verdana" w:hAnsi="Verdana" w:cs="Arial"/>
                <w:color w:val="000000" w:themeColor="text1"/>
              </w:rPr>
              <w:t xml:space="preserve">. 2.ª ed. Buenos Aires: Ediciones Ciudad Argentina, 1995. p. 76. </w:t>
            </w:r>
          </w:p>
          <w:p w14:paraId="7D4C6A47" w14:textId="78FE7403" w:rsidR="00792C14" w:rsidRPr="007B62DB" w:rsidRDefault="00E71801" w:rsidP="007B62DB">
            <w:pPr>
              <w:pStyle w:val="Prrafodelista"/>
              <w:numPr>
                <w:ilvl w:val="0"/>
                <w:numId w:val="18"/>
              </w:numPr>
              <w:spacing w:line="276" w:lineRule="auto"/>
              <w:ind w:left="357" w:hanging="357"/>
              <w:jc w:val="both"/>
              <w:rPr>
                <w:rFonts w:ascii="Verdana" w:hAnsi="Verdana" w:cs="Arial"/>
                <w:color w:val="000000" w:themeColor="text1"/>
              </w:rPr>
            </w:pPr>
            <w:r w:rsidRPr="007B62DB">
              <w:rPr>
                <w:rFonts w:ascii="Verdana" w:hAnsi="Verdana" w:cs="Arial"/>
                <w:color w:val="000000" w:themeColor="text1"/>
              </w:rPr>
              <w:t xml:space="preserve">DÁVILA VINUEZA, Luis Guillermo. </w:t>
            </w:r>
            <w:r w:rsidRPr="007B62DB">
              <w:rPr>
                <w:rFonts w:ascii="Verdana" w:hAnsi="Verdana" w:cs="Arial"/>
                <w:i/>
                <w:iCs/>
                <w:color w:val="000000" w:themeColor="text1"/>
              </w:rPr>
              <w:t>Régimen Jurídico de la Contratación Estatal</w:t>
            </w:r>
            <w:r w:rsidRPr="007B62DB">
              <w:rPr>
                <w:rFonts w:ascii="Verdana" w:hAnsi="Verdana" w:cs="Arial"/>
                <w:color w:val="000000" w:themeColor="text1"/>
              </w:rPr>
              <w:t>. 3.ª ed. Bogotá: Legis, 2016. p</w:t>
            </w:r>
            <w:r w:rsidR="005A5442">
              <w:rPr>
                <w:rFonts w:ascii="Verdana" w:hAnsi="Verdana" w:cs="Arial"/>
                <w:color w:val="000000" w:themeColor="text1"/>
              </w:rPr>
              <w:t>ág</w:t>
            </w:r>
            <w:r w:rsidRPr="007B62DB">
              <w:rPr>
                <w:rFonts w:ascii="Verdana" w:hAnsi="Verdana" w:cs="Arial"/>
                <w:color w:val="000000" w:themeColor="text1"/>
              </w:rPr>
              <w:t>. 245</w:t>
            </w:r>
            <w:r w:rsidR="007B62DB" w:rsidRPr="007B62DB">
              <w:rPr>
                <w:rFonts w:ascii="Verdana" w:hAnsi="Verdana" w:cs="Arial"/>
                <w:color w:val="000000" w:themeColor="text1"/>
              </w:rPr>
              <w:t xml:space="preserve"> y 463.</w:t>
            </w:r>
          </w:p>
        </w:tc>
      </w:tr>
    </w:tbl>
    <w:p w14:paraId="546DAE47" w14:textId="77777777" w:rsidR="000632AA" w:rsidRPr="004C0FC3" w:rsidRDefault="000632AA" w:rsidP="000632AA">
      <w:pPr>
        <w:widowControl w:val="0"/>
        <w:tabs>
          <w:tab w:val="left" w:pos="142"/>
          <w:tab w:val="left" w:pos="284"/>
        </w:tabs>
        <w:autoSpaceDE w:val="0"/>
        <w:autoSpaceDN w:val="0"/>
        <w:spacing w:after="0" w:line="276" w:lineRule="auto"/>
        <w:ind w:left="360"/>
        <w:jc w:val="both"/>
        <w:rPr>
          <w:rFonts w:ascii="Verdana" w:eastAsia="Calibri" w:hAnsi="Verdana" w:cs="Arial"/>
          <w:color w:val="000000"/>
          <w:kern w:val="2"/>
          <w:shd w:val="clear" w:color="auto" w:fill="FFFFFF"/>
          <w14:ligatures w14:val="standardContextual"/>
        </w:rPr>
      </w:pPr>
    </w:p>
    <w:p w14:paraId="0EC3CC83" w14:textId="77777777" w:rsidR="000632AA" w:rsidRPr="007976FC" w:rsidRDefault="000632AA" w:rsidP="000632AA">
      <w:pPr>
        <w:widowControl w:val="0"/>
        <w:numPr>
          <w:ilvl w:val="0"/>
          <w:numId w:val="16"/>
        </w:numPr>
        <w:tabs>
          <w:tab w:val="left" w:pos="142"/>
          <w:tab w:val="left" w:pos="284"/>
        </w:tabs>
        <w:autoSpaceDE w:val="0"/>
        <w:autoSpaceDN w:val="0"/>
        <w:spacing w:after="0" w:line="276" w:lineRule="auto"/>
        <w:jc w:val="both"/>
        <w:rPr>
          <w:rFonts w:ascii="Verdana" w:eastAsia="Calibri" w:hAnsi="Verdana" w:cs="Arial"/>
          <w:color w:val="000000"/>
          <w:kern w:val="2"/>
          <w:shd w:val="clear" w:color="auto" w:fill="FFFFFF"/>
          <w14:ligatures w14:val="standardContextual"/>
        </w:rPr>
      </w:pPr>
      <w:r w:rsidRPr="00DB6C5D">
        <w:rPr>
          <w:rFonts w:ascii="Verdana" w:eastAsia="Century Gothic" w:hAnsi="Verdana" w:cs="Century Gothic"/>
          <w:b/>
          <w:bCs/>
        </w:rPr>
        <w:t>Doctrina de la Agencia Nacional de Contratación Pública:</w:t>
      </w:r>
    </w:p>
    <w:p w14:paraId="08897497" w14:textId="77777777" w:rsidR="000632AA" w:rsidRDefault="000632AA" w:rsidP="000632AA">
      <w:pPr>
        <w:widowControl w:val="0"/>
        <w:spacing w:after="0" w:line="276" w:lineRule="auto"/>
        <w:jc w:val="both"/>
        <w:rPr>
          <w:rFonts w:ascii="Verdana" w:eastAsia="Calibri" w:hAnsi="Verdana" w:cs="Arial"/>
          <w:lang w:val="es-ES" w:eastAsia="es-ES"/>
        </w:rPr>
      </w:pPr>
    </w:p>
    <w:p w14:paraId="7D0F6EE3" w14:textId="05686C0B" w:rsidR="00612929" w:rsidRPr="009D4CFB" w:rsidRDefault="000632AA" w:rsidP="00612929">
      <w:pPr>
        <w:widowControl w:val="0"/>
        <w:autoSpaceDE w:val="0"/>
        <w:autoSpaceDN w:val="0"/>
        <w:spacing w:after="0" w:line="276" w:lineRule="auto"/>
        <w:jc w:val="both"/>
        <w:rPr>
          <w:rFonts w:ascii="Verdana" w:eastAsia="Calibri" w:hAnsi="Verdana" w:cs="Arial"/>
          <w:shd w:val="clear" w:color="auto" w:fill="FFFFFF"/>
        </w:rPr>
      </w:pPr>
      <w:r w:rsidRPr="006E3E0D">
        <w:rPr>
          <w:rFonts w:ascii="Verdana" w:eastAsia="Calibri" w:hAnsi="Verdana" w:cs="Arial"/>
          <w:lang w:val="es-ES" w:eastAsia="es-ES"/>
        </w:rPr>
        <w:t xml:space="preserve">La Agencia Nacional de Contratación Pública – Colombia Compra Eficiente </w:t>
      </w:r>
      <w:r w:rsidRPr="006E3E0D">
        <w:rPr>
          <w:rFonts w:ascii="Verdana" w:hAnsi="Verdana" w:cs="Arial"/>
          <w:shd w:val="clear" w:color="auto" w:fill="FFFFFF"/>
          <w:lang w:val="es-ES"/>
        </w:rPr>
        <w:t xml:space="preserve">se ha pronunciado </w:t>
      </w:r>
      <w:r w:rsidR="00367FDC" w:rsidRPr="006E3E0D">
        <w:rPr>
          <w:rFonts w:ascii="Verdana" w:hAnsi="Verdana" w:cs="Arial"/>
          <w:shd w:val="clear" w:color="auto" w:fill="FFFFFF"/>
          <w:lang w:val="es-ES"/>
        </w:rPr>
        <w:t>sobre</w:t>
      </w:r>
      <w:r w:rsidR="00367FDC">
        <w:rPr>
          <w:rFonts w:ascii="Verdana" w:hAnsi="Verdana" w:cs="Arial"/>
          <w:shd w:val="clear" w:color="auto" w:fill="FFFFFF"/>
          <w:lang w:val="es-ES"/>
        </w:rPr>
        <w:t xml:space="preserve"> </w:t>
      </w:r>
      <w:r w:rsidR="00612929" w:rsidRPr="009D4CFB">
        <w:rPr>
          <w:rFonts w:ascii="Verdana" w:eastAsia="Calibri" w:hAnsi="Verdana" w:cs="Arial"/>
          <w:shd w:val="clear" w:color="auto" w:fill="FFFFFF"/>
        </w:rPr>
        <w:t>la concurrencia entre la mínima cuantía y otras modalidades de selección, en los conceptos C-108 del 3 de marzo de 2020, C-157 del 13 de abril de 2021, C-587 de 19 de octubre de 2021, C-557 del 6 de septiembre de 2022, C-927 del 29 de diciembre de 2022, C-393 del 27 de septiembre de 2023 y C-215 del 25 de marzo de 2025.</w:t>
      </w:r>
    </w:p>
    <w:p w14:paraId="1C4A84C6" w14:textId="541DF86B" w:rsidR="000632AA" w:rsidRDefault="000632AA" w:rsidP="000632AA">
      <w:pPr>
        <w:widowControl w:val="0"/>
        <w:spacing w:after="0" w:line="276" w:lineRule="auto"/>
        <w:jc w:val="both"/>
        <w:rPr>
          <w:rFonts w:ascii="Verdana" w:eastAsia="Calibri" w:hAnsi="Verdana" w:cs="Arial"/>
          <w:lang w:val="es-ES" w:eastAsia="es-ES"/>
        </w:rPr>
      </w:pPr>
    </w:p>
    <w:p w14:paraId="71D45114" w14:textId="77777777" w:rsidR="000632AA" w:rsidRPr="00DB6C5D" w:rsidRDefault="000632AA" w:rsidP="000632AA">
      <w:pPr>
        <w:widowControl w:val="0"/>
        <w:spacing w:after="0" w:line="276" w:lineRule="auto"/>
        <w:jc w:val="both"/>
        <w:rPr>
          <w:rFonts w:ascii="Verdana" w:eastAsia="Verdana" w:hAnsi="Verdana" w:cs="Verdana"/>
          <w:highlight w:val="white"/>
        </w:rPr>
      </w:pPr>
      <w:r w:rsidRPr="00DB6C5D">
        <w:rPr>
          <w:rFonts w:ascii="Verdana" w:eastAsia="Verdana" w:hAnsi="Verdana" w:cs="Verdana"/>
        </w:rPr>
        <w:t xml:space="preserve">Estos y otros conceptos se encuentran disponibles para consulta en el Sistema </w:t>
      </w:r>
      <w:r w:rsidRPr="00DB6C5D">
        <w:rPr>
          <w:rFonts w:ascii="Verdana" w:eastAsia="Verdana" w:hAnsi="Verdana" w:cs="Verdana"/>
        </w:rPr>
        <w:lastRenderedPageBreak/>
        <w:t xml:space="preserve">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r w:rsidRPr="00DB6C5D">
          <w:rPr>
            <w:rFonts w:ascii="Verdana" w:eastAsia="Verdana" w:hAnsi="Verdana" w:cs="Verdana"/>
            <w:color w:val="0000FF"/>
            <w:u w:val="single"/>
          </w:rPr>
          <w:t>https://relatoria.colombiacompra.gov.co/busqueda/conceptos</w:t>
        </w:r>
      </w:hyperlink>
      <w:r w:rsidRPr="00DB6C5D">
        <w:rPr>
          <w:rFonts w:ascii="Verdana" w:eastAsia="Verdana" w:hAnsi="Verdana" w:cs="Verdana"/>
        </w:rPr>
        <w:t xml:space="preserve">. </w:t>
      </w:r>
    </w:p>
    <w:p w14:paraId="79377276" w14:textId="77777777" w:rsidR="000632AA" w:rsidRPr="00DB6C5D" w:rsidRDefault="000632AA" w:rsidP="000632AA">
      <w:pPr>
        <w:spacing w:after="0" w:line="276" w:lineRule="auto"/>
        <w:jc w:val="both"/>
        <w:rPr>
          <w:rFonts w:ascii="Verdana" w:hAnsi="Verdana"/>
        </w:rPr>
      </w:pPr>
    </w:p>
    <w:p w14:paraId="5F2EFEFE" w14:textId="77777777" w:rsidR="000632AA" w:rsidRPr="00DB6C5D" w:rsidRDefault="000632AA" w:rsidP="000632AA">
      <w:pPr>
        <w:spacing w:after="0" w:line="276" w:lineRule="auto"/>
        <w:jc w:val="both"/>
        <w:rPr>
          <w:rStyle w:val="Hipervnculo"/>
          <w:rFonts w:ascii="Verdana" w:hAnsi="Verdana"/>
        </w:rPr>
      </w:pPr>
      <w:r w:rsidRPr="00DB6C5D">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DB6C5D">
        <w:rPr>
          <w:rFonts w:ascii="Verdana" w:hAnsi="Verdana"/>
          <w:b/>
          <w:bCs/>
        </w:rPr>
        <w:t>Guía para la Exigencia y Constitución de Garantías en los Procesos de Contratación</w:t>
      </w:r>
      <w:r w:rsidRPr="00DB6C5D">
        <w:rPr>
          <w:rFonts w:ascii="Verdana" w:hAnsi="Verdana"/>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w:t>
      </w:r>
      <w:r w:rsidRPr="00167454">
        <w:rPr>
          <w:rFonts w:ascii="Verdana" w:hAnsi="Verdana"/>
        </w:rPr>
        <w:t>Consúltala aquí: </w:t>
      </w:r>
      <w:hyperlink r:id="rId14" w:tooltip="Dirección URL original: https://www.colombiacompra.gov.co/archivos/manual/guia-de-garantias-en-procesos-de-contratacion. Haga clic o pulse si confía en este vínculo." w:history="1">
        <w:r w:rsidRPr="00167454">
          <w:rPr>
            <w:rStyle w:val="Hipervnculo"/>
            <w:rFonts w:ascii="Verdana" w:hAnsi="Verdana"/>
          </w:rPr>
          <w:t>https://www.colombiacompra.gov.co/archivos/manual/guia-de-garantias-en-procesos-de-contratacion</w:t>
        </w:r>
      </w:hyperlink>
    </w:p>
    <w:p w14:paraId="28F9464B" w14:textId="77777777" w:rsidR="000632AA" w:rsidRPr="00DB6C5D" w:rsidRDefault="000632AA" w:rsidP="000632AA">
      <w:pPr>
        <w:spacing w:after="0" w:line="276" w:lineRule="auto"/>
        <w:jc w:val="both"/>
        <w:rPr>
          <w:rFonts w:ascii="Verdana" w:hAnsi="Verdana"/>
        </w:rPr>
      </w:pPr>
    </w:p>
    <w:p w14:paraId="7E0A73EC" w14:textId="77777777" w:rsidR="000632AA" w:rsidRPr="00DB6C5D" w:rsidRDefault="000632AA" w:rsidP="000632AA">
      <w:pPr>
        <w:spacing w:after="0" w:line="276" w:lineRule="auto"/>
        <w:jc w:val="both"/>
        <w:rPr>
          <w:rStyle w:val="Hipervnculo"/>
          <w:rFonts w:ascii="Verdana" w:hAnsi="Verdana"/>
        </w:rPr>
      </w:pPr>
      <w:r w:rsidRPr="00DB6C5D">
        <w:rPr>
          <w:rFonts w:ascii="Verdana" w:hAnsi="Verdana"/>
        </w:rPr>
        <w:t>De otro lado, te contamos que el Decreto 287 del 19 de marzo de 2026 sustituyó los artículos 2.2.1.2.4.2.6., 2.2.1.2.4.2.7. y 2.2.1.2.4.2.8. del Decreto 1082 de 2015 y estructuró el </w:t>
      </w:r>
      <w:r w:rsidRPr="00DB6C5D">
        <w:rPr>
          <w:rFonts w:ascii="Verdana" w:hAnsi="Verdana"/>
          <w:b/>
          <w:bCs/>
        </w:rPr>
        <w:t>Sistema Integral de Preferencias en favor de las personas con discapacidad</w:t>
      </w:r>
      <w:r w:rsidRPr="00DB6C5D">
        <w:rPr>
          <w:rFonts w:ascii="Verdana" w:hAnsi="Verdana"/>
        </w:rPr>
        <w:t>, en cumplimiento del artículo 13 de la Ley Estatutaria 1618 de 2013. Para orientar su aplicación, esta Agencia expidió la </w:t>
      </w:r>
      <w:r w:rsidRPr="00DB6C5D">
        <w:rPr>
          <w:rFonts w:ascii="Verdana" w:hAnsi="Verdana"/>
          <w:b/>
          <w:bCs/>
        </w:rPr>
        <w:t>Circular Externa 003 del 12 de mayo de 2026, </w:t>
      </w:r>
      <w:r w:rsidRPr="00DB6C5D">
        <w:rPr>
          <w:rFonts w:ascii="Verdana" w:hAnsi="Verdana"/>
        </w:rPr>
        <w:t xml:space="preserve">en la que precisa quiénes son los beneficiarios, las cinco medidas que integran el sistema y su obligatoriedad según la modalidad de selección, y el régimen de transición aplicable a los procesos en curso. </w:t>
      </w:r>
      <w:r w:rsidRPr="00167454">
        <w:rPr>
          <w:rFonts w:ascii="Verdana" w:hAnsi="Verdana"/>
        </w:rPr>
        <w:t>Consúltala aquí: </w:t>
      </w:r>
      <w:hyperlink r:id="rId15" w:tooltip="Dirección URL original: https://www.colombiacompra.gov.co/archivos/circular/circular-externa-003-de-2026. Haga clic o pulse si confía en este vínculo." w:history="1">
        <w:r w:rsidRPr="00167454">
          <w:rPr>
            <w:rStyle w:val="Hipervnculo"/>
            <w:rFonts w:ascii="Verdana" w:hAnsi="Verdana"/>
          </w:rPr>
          <w:t>https://www.colombiacompra.gov.co/archivos/circular/circular-externa-003-de-2026</w:t>
        </w:r>
      </w:hyperlink>
    </w:p>
    <w:p w14:paraId="720E2C47" w14:textId="77777777" w:rsidR="000632AA" w:rsidRPr="00DB6C5D" w:rsidRDefault="000632AA" w:rsidP="000632AA">
      <w:pPr>
        <w:spacing w:after="0" w:line="276" w:lineRule="auto"/>
        <w:jc w:val="both"/>
        <w:rPr>
          <w:rFonts w:ascii="Verdana" w:hAnsi="Verdana"/>
        </w:rPr>
      </w:pPr>
    </w:p>
    <w:p w14:paraId="24C59043" w14:textId="77777777" w:rsidR="000632AA" w:rsidRPr="00DB6C5D" w:rsidRDefault="000632AA" w:rsidP="000632AA">
      <w:pPr>
        <w:spacing w:after="0" w:line="276" w:lineRule="auto"/>
        <w:jc w:val="both"/>
        <w:rPr>
          <w:rStyle w:val="Hipervnculo"/>
          <w:rFonts w:ascii="Verdana" w:hAnsi="Verdana"/>
        </w:rPr>
      </w:pPr>
      <w:r w:rsidRPr="00DB6C5D">
        <w:rPr>
          <w:rFonts w:ascii="Verdana" w:hAnsi="Verdana"/>
        </w:rPr>
        <w:t>Recuerda también que la</w:t>
      </w:r>
      <w:r w:rsidRPr="00DB6C5D">
        <w:rPr>
          <w:rFonts w:ascii="Verdana" w:hAnsi="Verdana"/>
          <w:b/>
          <w:bCs/>
        </w:rPr>
        <w:t> información sobre sanciones e inhabilidades </w:t>
      </w:r>
      <w:r w:rsidRPr="00DB6C5D">
        <w:rPr>
          <w:rFonts w:ascii="Verdana" w:hAnsi="Verdana"/>
        </w:rPr>
        <w:t>solo cumple su función preventiva si llega oportunamente a los registros públicos. Sobre este deber, esta Agencia expidió la </w:t>
      </w:r>
      <w:r w:rsidRPr="00DB6C5D">
        <w:rPr>
          <w:rFonts w:ascii="Verdana" w:hAnsi="Verdana"/>
          <w:b/>
          <w:bCs/>
        </w:rPr>
        <w:t>Circular Externa 002 del 5 de mayo de 2026,</w:t>
      </w:r>
      <w:r w:rsidRPr="00DB6C5D">
        <w:rPr>
          <w:rFonts w:ascii="Verdana" w:hAnsi="Verdana"/>
        </w:rPr>
        <w:t xml:space="preserve"> dirigida a todas las entidades del Estado sin distinción de su régimen contractual, en la que reitera la obligatoriedad de reportar caducidades, multas, sanciones, declaratorias de incumplimiento e inhabilidades ante las Cámaras de </w:t>
      </w:r>
      <w:r w:rsidRPr="00DB6C5D">
        <w:rPr>
          <w:rFonts w:ascii="Verdana" w:hAnsi="Verdana"/>
        </w:rPr>
        <w:lastRenderedPageBreak/>
        <w:t xml:space="preserve">Comercio, la Procuraduría General de la Nación y el SECOP, e indica los responsables, los portales dispuestos para el efecto y las consecuencias disciplinarias de omitir este deber. </w:t>
      </w:r>
      <w:r w:rsidRPr="00167454">
        <w:rPr>
          <w:rFonts w:ascii="Verdana" w:hAnsi="Verdana"/>
        </w:rPr>
        <w:t>Consúltala aquí: </w:t>
      </w:r>
      <w:hyperlink r:id="rId16" w:tooltip="Dirección URL original: https://www.colombiacompra.gov.co/archivos/circular/circular-externa-002-de-2026. Haga clic o pulse si confía en este vínculo." w:history="1">
        <w:r w:rsidRPr="00167454">
          <w:rPr>
            <w:rStyle w:val="Hipervnculo"/>
            <w:rFonts w:ascii="Verdana" w:hAnsi="Verdana"/>
          </w:rPr>
          <w:t>https://www.colombiacompra.gov.co/archivos/circular/circular-externa-002-de-2026</w:t>
        </w:r>
      </w:hyperlink>
    </w:p>
    <w:p w14:paraId="4A3C268B" w14:textId="77777777" w:rsidR="000632AA" w:rsidRPr="00DB6C5D" w:rsidRDefault="000632AA" w:rsidP="000632AA">
      <w:pPr>
        <w:spacing w:after="0" w:line="276" w:lineRule="auto"/>
        <w:jc w:val="both"/>
        <w:rPr>
          <w:rFonts w:ascii="Verdana" w:hAnsi="Verdana"/>
        </w:rPr>
      </w:pPr>
    </w:p>
    <w:p w14:paraId="009F71ED" w14:textId="77777777" w:rsidR="000632AA" w:rsidRPr="00DB6C5D" w:rsidRDefault="000632AA" w:rsidP="000632AA">
      <w:pPr>
        <w:spacing w:after="0" w:line="276" w:lineRule="auto"/>
        <w:jc w:val="both"/>
        <w:rPr>
          <w:rStyle w:val="Hipervnculo"/>
          <w:rFonts w:ascii="Verdana" w:hAnsi="Verdana"/>
        </w:rPr>
      </w:pPr>
      <w:r w:rsidRPr="00DB6C5D">
        <w:rPr>
          <w:rFonts w:ascii="Verdana" w:hAnsi="Verdana"/>
        </w:rPr>
        <w:t>Finalmente, si quieres seguir de cerca la actividad de la Agencia, la tercera edición de 2026 del</w:t>
      </w:r>
      <w:r w:rsidRPr="00DB6C5D">
        <w:rPr>
          <w:rFonts w:ascii="Verdana" w:hAnsi="Verdana"/>
          <w:b/>
          <w:bCs/>
        </w:rPr>
        <w:t> Radar de la Compra Pública</w:t>
      </w:r>
      <w:r w:rsidRPr="00DB6C5D">
        <w:rPr>
          <w:rFonts w:ascii="Verdana" w:hAnsi="Verdana"/>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w:t>
      </w:r>
      <w:r w:rsidRPr="00167454">
        <w:rPr>
          <w:rFonts w:ascii="Verdana" w:hAnsi="Verdana"/>
        </w:rPr>
        <w:t>Descárgalo aquí: </w:t>
      </w:r>
      <w:hyperlink r:id="rId17" w:tooltip="Dirección URL original: https://www.colombiacompra.gov.co/archivos/boletin/boletin-edicion-n-3-de-2026-radar-de-la-compra-publica. Haga clic o pulse si confía en este vínculo." w:history="1">
        <w:r w:rsidRPr="00167454">
          <w:rPr>
            <w:rStyle w:val="Hipervnculo"/>
            <w:rFonts w:ascii="Verdana" w:hAnsi="Verdana"/>
          </w:rPr>
          <w:t>https://www.colombiacompra.gov.co/archivos/boletin/boletin-edicion-n-3-de-2026-radar-de-la-compra-publica</w:t>
        </w:r>
      </w:hyperlink>
    </w:p>
    <w:p w14:paraId="7FE232E3" w14:textId="77777777" w:rsidR="000632AA" w:rsidRPr="00DB6C5D" w:rsidRDefault="000632AA" w:rsidP="000632AA">
      <w:pPr>
        <w:spacing w:after="0" w:line="276" w:lineRule="auto"/>
        <w:jc w:val="both"/>
        <w:rPr>
          <w:rFonts w:ascii="Verdana" w:hAnsi="Verdana"/>
          <w:color w:val="0000FF"/>
          <w:u w:val="single"/>
        </w:rPr>
      </w:pPr>
    </w:p>
    <w:p w14:paraId="23C72B99" w14:textId="77777777" w:rsidR="000632AA" w:rsidRPr="00DB6C5D" w:rsidRDefault="000632AA" w:rsidP="000632AA">
      <w:pPr>
        <w:spacing w:after="0" w:line="276" w:lineRule="auto"/>
        <w:jc w:val="both"/>
        <w:rPr>
          <w:rFonts w:ascii="Verdana" w:eastAsia="Verdana" w:hAnsi="Verdana" w:cs="Verdana"/>
        </w:rPr>
      </w:pPr>
      <w:r w:rsidRPr="00DB6C5D">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w:t>
      </w:r>
      <w:r w:rsidRPr="00DB6C5D">
        <w:rPr>
          <w:rFonts w:ascii="Verdana" w:eastAsia="Verdana" w:hAnsi="Verdana" w:cs="Verdana"/>
        </w:rPr>
        <w:t xml:space="preserve">atención: </w:t>
      </w:r>
    </w:p>
    <w:p w14:paraId="2AE058A3" w14:textId="77777777" w:rsidR="000632AA" w:rsidRPr="00DB6C5D" w:rsidRDefault="000632AA" w:rsidP="000632AA">
      <w:pPr>
        <w:spacing w:after="0" w:line="276" w:lineRule="auto"/>
        <w:jc w:val="both"/>
        <w:rPr>
          <w:rFonts w:ascii="Verdana" w:eastAsia="Verdana" w:hAnsi="Verdana" w:cs="Verdana"/>
        </w:rPr>
      </w:pPr>
    </w:p>
    <w:p w14:paraId="7BB526B3" w14:textId="77777777" w:rsidR="000632AA" w:rsidRPr="00DB6C5D" w:rsidRDefault="000632AA" w:rsidP="000632AA">
      <w:pPr>
        <w:pStyle w:val="Prrafodelista"/>
        <w:numPr>
          <w:ilvl w:val="0"/>
          <w:numId w:val="17"/>
        </w:numPr>
        <w:spacing w:after="0" w:line="276" w:lineRule="auto"/>
        <w:contextualSpacing w:val="0"/>
        <w:jc w:val="both"/>
        <w:rPr>
          <w:rFonts w:ascii="Verdana" w:eastAsia="Verdana" w:hAnsi="Verdana" w:cs="Verdana"/>
          <w:color w:val="4472C4" w:themeColor="accent1"/>
          <w:u w:val="single"/>
          <w:lang w:val="es-CO"/>
        </w:rPr>
      </w:pPr>
      <w:r w:rsidRPr="00DB6C5D">
        <w:rPr>
          <w:rFonts w:ascii="Verdana" w:eastAsia="Verdana" w:hAnsi="Verdana" w:cs="Verdana"/>
          <w:lang w:val="es-CO"/>
        </w:rPr>
        <w:t xml:space="preserve">Línea nacional gratuita o servicio a la ciudadanía (Mesa de servicio): </w:t>
      </w:r>
      <w:r w:rsidRPr="00DB6C5D">
        <w:rPr>
          <w:rStyle w:val="Hipervnculo"/>
          <w:rFonts w:ascii="Verdana" w:hAnsi="Verdana"/>
          <w:lang w:val="es-CO"/>
        </w:rPr>
        <w:t>01800 0520808</w:t>
      </w:r>
    </w:p>
    <w:p w14:paraId="6F9A97C9" w14:textId="77777777" w:rsidR="000632AA" w:rsidRPr="00DB6C5D" w:rsidRDefault="000632AA" w:rsidP="000632AA">
      <w:pPr>
        <w:pStyle w:val="Prrafodelista"/>
        <w:numPr>
          <w:ilvl w:val="0"/>
          <w:numId w:val="17"/>
        </w:numPr>
        <w:spacing w:after="0" w:line="276" w:lineRule="auto"/>
        <w:contextualSpacing w:val="0"/>
        <w:jc w:val="both"/>
        <w:rPr>
          <w:rFonts w:ascii="Verdana" w:eastAsia="Verdana" w:hAnsi="Verdana" w:cs="Verdana"/>
          <w:color w:val="4472C4" w:themeColor="accent1"/>
          <w:u w:val="single"/>
          <w:lang w:val="es-CO"/>
        </w:rPr>
      </w:pPr>
      <w:r w:rsidRPr="00DB6C5D">
        <w:rPr>
          <w:rFonts w:ascii="Verdana" w:eastAsia="Verdana" w:hAnsi="Verdana" w:cs="Verdana"/>
          <w:lang w:val="es-CO"/>
        </w:rPr>
        <w:t xml:space="preserve">Línea en Bogotá (Mesa de servicio): </w:t>
      </w:r>
      <w:r w:rsidRPr="00DB6C5D">
        <w:rPr>
          <w:rStyle w:val="Hipervnculo"/>
          <w:rFonts w:ascii="Verdana" w:hAnsi="Verdana"/>
          <w:lang w:val="es-CO"/>
        </w:rPr>
        <w:t>+57 601 7456788</w:t>
      </w:r>
    </w:p>
    <w:p w14:paraId="18BDF67A" w14:textId="77777777" w:rsidR="000632AA" w:rsidRPr="00DB6C5D" w:rsidRDefault="000632AA" w:rsidP="000632AA">
      <w:pPr>
        <w:pStyle w:val="Prrafodelista"/>
        <w:numPr>
          <w:ilvl w:val="0"/>
          <w:numId w:val="17"/>
        </w:numPr>
        <w:spacing w:after="0" w:line="276" w:lineRule="auto"/>
        <w:contextualSpacing w:val="0"/>
        <w:jc w:val="both"/>
        <w:rPr>
          <w:rFonts w:ascii="Verdana" w:eastAsia="Verdana" w:hAnsi="Verdana" w:cs="Verdana"/>
          <w:color w:val="0000FF"/>
          <w:u w:val="single"/>
          <w:lang w:val="es-CO"/>
        </w:rPr>
      </w:pPr>
      <w:r w:rsidRPr="00167454">
        <w:rPr>
          <w:rFonts w:ascii="Verdana" w:eastAsia="Verdana" w:hAnsi="Verdana" w:cs="Verdana"/>
          <w:lang w:val="es-CO"/>
        </w:rPr>
        <w:t xml:space="preserve">Correo de radicación de correspondencia: </w:t>
      </w:r>
      <w:hyperlink r:id="rId18" w:history="1">
        <w:r w:rsidRPr="00167454">
          <w:rPr>
            <w:rStyle w:val="Hipervnculo"/>
            <w:rFonts w:ascii="Verdana" w:eastAsia="Verdana" w:hAnsi="Verdana" w:cs="Verdana"/>
            <w:lang w:val="es-CO"/>
          </w:rPr>
          <w:t>ventanilladeradicacion@colombiacompra.gov.co</w:t>
        </w:r>
      </w:hyperlink>
    </w:p>
    <w:p w14:paraId="4AA574EB" w14:textId="77777777" w:rsidR="000632AA" w:rsidRPr="00DB6C5D" w:rsidRDefault="000632AA" w:rsidP="000632AA">
      <w:pPr>
        <w:pStyle w:val="Prrafodelista"/>
        <w:numPr>
          <w:ilvl w:val="0"/>
          <w:numId w:val="17"/>
        </w:numPr>
        <w:spacing w:after="0" w:line="276" w:lineRule="auto"/>
        <w:contextualSpacing w:val="0"/>
        <w:jc w:val="both"/>
        <w:rPr>
          <w:rFonts w:ascii="Verdana" w:hAnsi="Verdana"/>
          <w:lang w:val="es-CO"/>
        </w:rPr>
      </w:pPr>
      <w:r w:rsidRPr="00167454">
        <w:rPr>
          <w:rFonts w:ascii="Verdana" w:eastAsia="Verdana" w:hAnsi="Verdana" w:cs="Verdana"/>
          <w:lang w:val="es-CO"/>
        </w:rPr>
        <w:t xml:space="preserve">Formulario web para PQRSD: </w:t>
      </w:r>
      <w:hyperlink r:id="rId19" w:history="1">
        <w:r w:rsidRPr="00167454">
          <w:rPr>
            <w:rStyle w:val="Hipervnculo"/>
            <w:rFonts w:ascii="Verdana" w:eastAsia="Verdana" w:hAnsi="Verdana" w:cs="Verdana"/>
            <w:lang w:val="es-CO"/>
          </w:rPr>
          <w:t>https://www.colombiacompra.gov.co/pqrsd/informacion-importante-antes-de-formular-una-pqrsd</w:t>
        </w:r>
      </w:hyperlink>
    </w:p>
    <w:p w14:paraId="488349F7" w14:textId="77777777" w:rsidR="000632AA" w:rsidRDefault="000632AA" w:rsidP="000632AA">
      <w:pPr>
        <w:spacing w:after="0" w:line="276" w:lineRule="auto"/>
        <w:jc w:val="both"/>
        <w:rPr>
          <w:rFonts w:ascii="Verdana" w:hAnsi="Verdana"/>
        </w:rPr>
      </w:pPr>
    </w:p>
    <w:p w14:paraId="6FB96677" w14:textId="77777777" w:rsidR="000632AA" w:rsidRDefault="000632AA" w:rsidP="000632AA">
      <w:pPr>
        <w:spacing w:after="0" w:line="276" w:lineRule="auto"/>
        <w:jc w:val="both"/>
        <w:rPr>
          <w:rFonts w:ascii="Verdana" w:hAnsi="Verdana"/>
        </w:rPr>
      </w:pPr>
      <w:r w:rsidRPr="00DB6C5D">
        <w:rPr>
          <w:rFonts w:ascii="Verdana" w:hAnsi="Verdana"/>
        </w:rPr>
        <w:t xml:space="preserve">Evalúa el servicio que ofrece la Agencia por el canal de atención de PQRSD en el siguiente enlace: </w:t>
      </w:r>
      <w:hyperlink r:id="rId20" w:history="1">
        <w:r w:rsidRPr="00167454">
          <w:rPr>
            <w:rStyle w:val="Hipervnculo"/>
            <w:rFonts w:ascii="Verdana" w:hAnsi="Verdana"/>
          </w:rPr>
          <w:t>https://forms.office.com/r/pPHyWVs2SZ</w:t>
        </w:r>
      </w:hyperlink>
      <w:r w:rsidRPr="00DB6C5D">
        <w:rPr>
          <w:rFonts w:ascii="Verdana" w:hAnsi="Verdana"/>
        </w:rPr>
        <w:t xml:space="preserve">. </w:t>
      </w:r>
    </w:p>
    <w:p w14:paraId="369CC5FD" w14:textId="77777777" w:rsidR="000632AA" w:rsidRPr="00DB6C5D" w:rsidRDefault="000632AA" w:rsidP="000632AA">
      <w:pPr>
        <w:spacing w:after="0" w:line="276" w:lineRule="auto"/>
        <w:jc w:val="both"/>
        <w:rPr>
          <w:rFonts w:ascii="Verdana" w:hAnsi="Verdana"/>
        </w:rPr>
      </w:pPr>
      <w:r w:rsidRPr="00DB6C5D">
        <w:rPr>
          <w:rFonts w:ascii="Verdana" w:hAnsi="Verdana"/>
        </w:rPr>
        <w:t>¡Ayúdanos a mejorar porque el compromiso es de todos!</w:t>
      </w:r>
    </w:p>
    <w:p w14:paraId="37643DF9" w14:textId="77777777" w:rsidR="000632AA" w:rsidRDefault="000632AA" w:rsidP="000632AA">
      <w:pPr>
        <w:spacing w:after="0" w:line="276" w:lineRule="auto"/>
        <w:jc w:val="both"/>
        <w:rPr>
          <w:rFonts w:ascii="Verdana" w:hAnsi="Verdana"/>
        </w:rPr>
      </w:pPr>
    </w:p>
    <w:p w14:paraId="1BAA42BD" w14:textId="77777777" w:rsidR="000632AA" w:rsidRDefault="000632AA" w:rsidP="000632AA">
      <w:pPr>
        <w:spacing w:after="0" w:line="276" w:lineRule="auto"/>
        <w:jc w:val="both"/>
        <w:rPr>
          <w:rFonts w:ascii="Verdana" w:hAnsi="Verdana"/>
        </w:rPr>
      </w:pPr>
      <w:r w:rsidRPr="00DB6C5D">
        <w:rPr>
          <w:rFonts w:ascii="Verdana" w:hAnsi="Verdana"/>
        </w:rPr>
        <w:t xml:space="preserve">Por último, lo invitamos a seguirnos en las redes sociales en las cuales se difunde información institucional: </w:t>
      </w:r>
    </w:p>
    <w:p w14:paraId="6DCF18DC" w14:textId="77777777" w:rsidR="000632AA" w:rsidRDefault="000632AA" w:rsidP="000632AA">
      <w:pPr>
        <w:spacing w:after="0" w:line="276" w:lineRule="auto"/>
        <w:jc w:val="both"/>
        <w:rPr>
          <w:rFonts w:ascii="Verdana" w:hAnsi="Verdana"/>
        </w:rPr>
      </w:pPr>
    </w:p>
    <w:p w14:paraId="3CF9A5B6" w14:textId="77777777" w:rsidR="000632AA" w:rsidRPr="00DB6C5D" w:rsidRDefault="000632AA" w:rsidP="000632AA">
      <w:pPr>
        <w:spacing w:after="0" w:line="276" w:lineRule="auto"/>
        <w:jc w:val="both"/>
        <w:rPr>
          <w:rFonts w:ascii="Verdana" w:hAnsi="Verdana"/>
        </w:rPr>
      </w:pPr>
      <w:r w:rsidRPr="00DB6C5D">
        <w:rPr>
          <w:rFonts w:ascii="Verdana" w:hAnsi="Verdana"/>
        </w:rPr>
        <w:t xml:space="preserve">Twitter: </w:t>
      </w:r>
      <w:r w:rsidRPr="00DB6C5D">
        <w:rPr>
          <w:rStyle w:val="Hipervnculo"/>
          <w:rFonts w:ascii="Verdana" w:hAnsi="Verdana"/>
        </w:rPr>
        <w:t>@colombiacompra</w:t>
      </w:r>
      <w:r w:rsidRPr="00DB6C5D">
        <w:rPr>
          <w:rFonts w:ascii="Verdana" w:hAnsi="Verdana"/>
        </w:rPr>
        <w:t xml:space="preserve"> </w:t>
      </w:r>
    </w:p>
    <w:p w14:paraId="5056FF46" w14:textId="77777777" w:rsidR="000632AA" w:rsidRPr="00DB6C5D" w:rsidRDefault="000632AA" w:rsidP="000632AA">
      <w:pPr>
        <w:spacing w:after="0" w:line="276" w:lineRule="auto"/>
        <w:jc w:val="both"/>
        <w:rPr>
          <w:rFonts w:ascii="Verdana" w:hAnsi="Verdana"/>
        </w:rPr>
      </w:pPr>
      <w:r w:rsidRPr="00DB6C5D">
        <w:rPr>
          <w:rFonts w:ascii="Verdana" w:hAnsi="Verdana"/>
        </w:rPr>
        <w:t xml:space="preserve">Facebook: </w:t>
      </w:r>
      <w:proofErr w:type="spellStart"/>
      <w:r w:rsidRPr="00DB6C5D">
        <w:rPr>
          <w:rStyle w:val="Hipervnculo"/>
          <w:rFonts w:ascii="Verdana" w:hAnsi="Verdana"/>
        </w:rPr>
        <w:t>ColombiaCompraEficiente</w:t>
      </w:r>
      <w:proofErr w:type="spellEnd"/>
    </w:p>
    <w:p w14:paraId="348BF733" w14:textId="77777777" w:rsidR="000632AA" w:rsidRPr="00DB6C5D" w:rsidRDefault="000632AA" w:rsidP="000632AA">
      <w:pPr>
        <w:spacing w:after="0" w:line="276" w:lineRule="auto"/>
        <w:jc w:val="both"/>
        <w:rPr>
          <w:rFonts w:ascii="Verdana" w:hAnsi="Verdana"/>
        </w:rPr>
      </w:pPr>
      <w:r w:rsidRPr="00DB6C5D">
        <w:rPr>
          <w:rFonts w:ascii="Verdana" w:hAnsi="Verdana"/>
        </w:rPr>
        <w:t xml:space="preserve">LinkedIn: </w:t>
      </w:r>
      <w:r w:rsidRPr="00DB6C5D">
        <w:rPr>
          <w:rStyle w:val="Hipervnculo"/>
          <w:rFonts w:ascii="Verdana" w:hAnsi="Verdana"/>
        </w:rPr>
        <w:t>Agencia Nacional de Contratación Pública - Colombia Compra Eficiente</w:t>
      </w:r>
      <w:r w:rsidRPr="00DB6C5D">
        <w:rPr>
          <w:rFonts w:ascii="Verdana" w:hAnsi="Verdana"/>
        </w:rPr>
        <w:t xml:space="preserve"> </w:t>
      </w:r>
    </w:p>
    <w:p w14:paraId="7897200A" w14:textId="77777777" w:rsidR="000632AA" w:rsidRPr="00DB6C5D" w:rsidRDefault="000632AA" w:rsidP="000632AA">
      <w:pPr>
        <w:spacing w:after="0" w:line="276" w:lineRule="auto"/>
        <w:jc w:val="both"/>
        <w:rPr>
          <w:rFonts w:ascii="Verdana" w:hAnsi="Verdana"/>
          <w:color w:val="0000FF"/>
          <w:u w:val="single"/>
        </w:rPr>
      </w:pPr>
      <w:r w:rsidRPr="00DB6C5D">
        <w:rPr>
          <w:rFonts w:ascii="Verdana" w:hAnsi="Verdana"/>
        </w:rPr>
        <w:t xml:space="preserve">Instagram: </w:t>
      </w:r>
      <w:r w:rsidRPr="00DB6C5D">
        <w:rPr>
          <w:rStyle w:val="Hipervnculo"/>
          <w:rFonts w:ascii="Verdana" w:hAnsi="Verdana"/>
        </w:rPr>
        <w:t>@colombiacompraeficiente_cce</w:t>
      </w:r>
    </w:p>
    <w:p w14:paraId="58B50888" w14:textId="77777777" w:rsidR="000632AA" w:rsidRDefault="000632AA" w:rsidP="000632AA">
      <w:pPr>
        <w:spacing w:after="0" w:line="276" w:lineRule="auto"/>
        <w:jc w:val="both"/>
        <w:rPr>
          <w:rFonts w:ascii="Verdana" w:eastAsia="Calibri" w:hAnsi="Verdana" w:cs="Times New Roman"/>
        </w:rPr>
      </w:pPr>
    </w:p>
    <w:p w14:paraId="34152EA3" w14:textId="77777777" w:rsidR="000632AA" w:rsidRPr="00DB6C5D" w:rsidRDefault="000632AA" w:rsidP="000632AA">
      <w:pPr>
        <w:spacing w:after="0" w:line="276" w:lineRule="auto"/>
        <w:jc w:val="both"/>
        <w:rPr>
          <w:rFonts w:ascii="Verdana" w:eastAsia="Calibri" w:hAnsi="Verdana" w:cs="Times New Roman"/>
          <w:bCs/>
        </w:rPr>
      </w:pPr>
      <w:r w:rsidRPr="00DB6C5D">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BAAE5E7" w14:textId="77777777" w:rsidR="000632AA" w:rsidRPr="00DB6C5D" w:rsidRDefault="000632AA" w:rsidP="000632AA">
      <w:pPr>
        <w:spacing w:after="0" w:line="276" w:lineRule="auto"/>
        <w:jc w:val="both"/>
        <w:rPr>
          <w:rFonts w:ascii="Verdana" w:eastAsia="Times New Roman" w:hAnsi="Verdana" w:cs="Arial"/>
          <w:lang w:eastAsia="es-CO"/>
        </w:rPr>
      </w:pPr>
      <w:bookmarkStart w:id="4" w:name="_Hlk117695077"/>
    </w:p>
    <w:p w14:paraId="56429BB8" w14:textId="77777777" w:rsidR="000632AA" w:rsidRPr="00DB6C5D" w:rsidRDefault="000632AA" w:rsidP="000632AA">
      <w:pPr>
        <w:spacing w:after="0" w:line="276" w:lineRule="auto"/>
        <w:jc w:val="both"/>
        <w:rPr>
          <w:rFonts w:ascii="Verdana" w:eastAsia="Times New Roman" w:hAnsi="Verdana" w:cs="Arial"/>
          <w:lang w:eastAsia="es-CO"/>
        </w:rPr>
      </w:pPr>
      <w:r w:rsidRPr="00DB6C5D">
        <w:rPr>
          <w:rFonts w:ascii="Verdana" w:eastAsia="Times New Roman" w:hAnsi="Verdana" w:cs="Arial"/>
          <w:lang w:eastAsia="es-CO"/>
        </w:rPr>
        <w:t xml:space="preserve">Atentamente, </w:t>
      </w:r>
    </w:p>
    <w:p w14:paraId="20554D30" w14:textId="79FDDEA7" w:rsidR="00D7407A" w:rsidRPr="00D7407A" w:rsidRDefault="00D7407A" w:rsidP="00D7407A">
      <w:pPr>
        <w:spacing w:line="276" w:lineRule="auto"/>
        <w:jc w:val="center"/>
        <w:rPr>
          <w:rFonts w:ascii="Verdana" w:eastAsia="Times New Roman" w:hAnsi="Verdana" w:cs="Arial"/>
          <w:lang w:eastAsia="es-CO"/>
        </w:rPr>
      </w:pPr>
      <w:r w:rsidRPr="00D7407A">
        <w:rPr>
          <w:rFonts w:ascii="Verdana" w:eastAsia="Times New Roman" w:hAnsi="Verdana" w:cs="Arial"/>
          <w:lang w:eastAsia="es-CO"/>
        </w:rPr>
        <w:drawing>
          <wp:inline distT="0" distB="0" distL="0" distR="0" wp14:anchorId="5EFCB915" wp14:editId="2A28CAEE">
            <wp:extent cx="2990850" cy="1276350"/>
            <wp:effectExtent l="0" t="0" r="0" b="0"/>
            <wp:docPr id="137890616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90850" cy="1276350"/>
                    </a:xfrm>
                    <a:prstGeom prst="rect">
                      <a:avLst/>
                    </a:prstGeom>
                    <a:noFill/>
                    <a:ln>
                      <a:noFill/>
                    </a:ln>
                  </pic:spPr>
                </pic:pic>
              </a:graphicData>
            </a:graphic>
          </wp:inline>
        </w:drawing>
      </w:r>
    </w:p>
    <w:p w14:paraId="696A1FF2" w14:textId="12B186FC" w:rsidR="00035A1E" w:rsidRPr="00035A1E" w:rsidRDefault="00035A1E" w:rsidP="00035A1E">
      <w:pPr>
        <w:spacing w:line="276" w:lineRule="auto"/>
        <w:jc w:val="center"/>
        <w:rPr>
          <w:rFonts w:ascii="Verdana" w:eastAsia="Times New Roman" w:hAnsi="Verdana" w:cs="Arial"/>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632AA" w:rsidRPr="00DB6C5D" w14:paraId="6D5B2EE2" w14:textId="77777777" w:rsidTr="00B61CA8">
        <w:trPr>
          <w:trHeight w:val="315"/>
        </w:trPr>
        <w:tc>
          <w:tcPr>
            <w:tcW w:w="893" w:type="dxa"/>
            <w:vAlign w:val="center"/>
            <w:hideMark/>
          </w:tcPr>
          <w:bookmarkEnd w:id="4"/>
          <w:p w14:paraId="05A44E39" w14:textId="77777777" w:rsidR="000632AA" w:rsidRPr="00DB6C5D" w:rsidRDefault="000632AA" w:rsidP="00B61CA8">
            <w:pPr>
              <w:spacing w:line="276" w:lineRule="auto"/>
              <w:jc w:val="both"/>
              <w:rPr>
                <w:rFonts w:ascii="Verdana" w:eastAsia="Times New Roman" w:hAnsi="Verdana" w:cs="Arial"/>
                <w:color w:val="000000"/>
                <w:sz w:val="16"/>
                <w:szCs w:val="16"/>
                <w:lang w:eastAsia="es-ES"/>
              </w:rPr>
            </w:pPr>
            <w:r w:rsidRPr="00DB6C5D">
              <w:rPr>
                <w:rFonts w:ascii="Verdana" w:eastAsia="Times New Roman" w:hAnsi="Verdana" w:cs="Arial"/>
                <w:color w:val="000000"/>
                <w:sz w:val="16"/>
                <w:szCs w:val="16"/>
                <w:lang w:eastAsia="es-ES"/>
              </w:rPr>
              <w:t>Elaboró:</w:t>
            </w:r>
          </w:p>
        </w:tc>
        <w:tc>
          <w:tcPr>
            <w:tcW w:w="5628" w:type="dxa"/>
            <w:tcBorders>
              <w:top w:val="nil"/>
              <w:left w:val="nil"/>
              <w:bottom w:val="dotted" w:sz="4" w:space="0" w:color="7F7F7F"/>
              <w:right w:val="nil"/>
            </w:tcBorders>
            <w:vAlign w:val="center"/>
            <w:hideMark/>
          </w:tcPr>
          <w:p w14:paraId="0B59941D" w14:textId="77777777" w:rsidR="000632AA" w:rsidRPr="00DB6C5D" w:rsidRDefault="000632AA" w:rsidP="00B61CA8">
            <w:pPr>
              <w:spacing w:line="276" w:lineRule="auto"/>
              <w:jc w:val="both"/>
              <w:rPr>
                <w:rFonts w:ascii="Verdana" w:eastAsia="Arial" w:hAnsi="Verdana" w:cs="Arial"/>
                <w:color w:val="000000"/>
                <w:sz w:val="16"/>
                <w:szCs w:val="16"/>
              </w:rPr>
            </w:pPr>
            <w:r w:rsidRPr="00DB6C5D">
              <w:rPr>
                <w:rFonts w:ascii="Verdana" w:eastAsia="Arial" w:hAnsi="Verdana" w:cs="Arial"/>
                <w:color w:val="000000"/>
                <w:sz w:val="16"/>
                <w:szCs w:val="16"/>
              </w:rPr>
              <w:t>Ángela María Olmos Andrade</w:t>
            </w:r>
          </w:p>
          <w:p w14:paraId="0693C0E1" w14:textId="77777777" w:rsidR="000632AA" w:rsidRPr="00DB6C5D" w:rsidRDefault="000632AA" w:rsidP="00B61CA8">
            <w:pPr>
              <w:spacing w:line="276" w:lineRule="auto"/>
              <w:jc w:val="both"/>
              <w:rPr>
                <w:rFonts w:ascii="Verdana" w:eastAsia="Arial" w:hAnsi="Verdana" w:cs="Arial"/>
                <w:color w:val="000000"/>
                <w:sz w:val="16"/>
                <w:szCs w:val="16"/>
              </w:rPr>
            </w:pPr>
            <w:r w:rsidRPr="00DB6C5D">
              <w:rPr>
                <w:rFonts w:ascii="Verdana" w:eastAsia="Arial" w:hAnsi="Verdana" w:cs="Arial"/>
                <w:color w:val="000000"/>
                <w:sz w:val="16"/>
                <w:szCs w:val="16"/>
              </w:rPr>
              <w:t>Analista T2 - 02 de la Subdirección de Gestión Contractual</w:t>
            </w:r>
          </w:p>
        </w:tc>
      </w:tr>
      <w:tr w:rsidR="000632AA" w:rsidRPr="00DB6C5D" w14:paraId="73955AB8" w14:textId="77777777" w:rsidTr="00B61CA8">
        <w:trPr>
          <w:trHeight w:val="330"/>
        </w:trPr>
        <w:tc>
          <w:tcPr>
            <w:tcW w:w="893" w:type="dxa"/>
            <w:vAlign w:val="center"/>
            <w:hideMark/>
          </w:tcPr>
          <w:p w14:paraId="5E228850" w14:textId="77777777" w:rsidR="000632AA" w:rsidRPr="00DB6C5D" w:rsidRDefault="000632AA" w:rsidP="00B61CA8">
            <w:pPr>
              <w:spacing w:line="276" w:lineRule="auto"/>
              <w:jc w:val="both"/>
              <w:rPr>
                <w:rFonts w:ascii="Verdana" w:eastAsia="Times New Roman" w:hAnsi="Verdana" w:cs="Arial"/>
                <w:color w:val="000000"/>
                <w:sz w:val="16"/>
                <w:szCs w:val="16"/>
                <w:lang w:eastAsia="es-ES"/>
              </w:rPr>
            </w:pPr>
            <w:r w:rsidRPr="00DB6C5D">
              <w:rPr>
                <w:rFonts w:ascii="Verdana" w:eastAsia="Times New Roman" w:hAnsi="Verdana" w:cs="Arial"/>
                <w:color w:val="000000"/>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6DD45AC6" w14:textId="77777777" w:rsidR="000632AA" w:rsidRPr="00DB6C5D" w:rsidRDefault="000632AA" w:rsidP="00B61CA8">
            <w:pPr>
              <w:spacing w:line="276" w:lineRule="auto"/>
              <w:jc w:val="both"/>
              <w:rPr>
                <w:rFonts w:ascii="Verdana" w:eastAsia="Times New Roman" w:hAnsi="Verdana" w:cs="Arial"/>
                <w:color w:val="000000"/>
                <w:sz w:val="16"/>
                <w:szCs w:val="16"/>
              </w:rPr>
            </w:pPr>
            <w:r w:rsidRPr="00DB6C5D">
              <w:rPr>
                <w:rFonts w:ascii="Verdana" w:eastAsia="Times New Roman" w:hAnsi="Verdana" w:cs="Arial"/>
                <w:color w:val="000000"/>
                <w:sz w:val="16"/>
                <w:szCs w:val="16"/>
              </w:rPr>
              <w:t>Diana Lucia Saavedra</w:t>
            </w:r>
            <w:r>
              <w:rPr>
                <w:rFonts w:ascii="Verdana" w:eastAsia="Times New Roman" w:hAnsi="Verdana" w:cs="Arial"/>
                <w:color w:val="000000"/>
                <w:sz w:val="16"/>
                <w:szCs w:val="16"/>
              </w:rPr>
              <w:t xml:space="preserve"> Castañeda</w:t>
            </w:r>
          </w:p>
          <w:p w14:paraId="06AB457C" w14:textId="77777777" w:rsidR="000632AA" w:rsidRPr="00DB6C5D" w:rsidRDefault="000632AA" w:rsidP="00B61CA8">
            <w:pPr>
              <w:spacing w:line="276" w:lineRule="auto"/>
              <w:jc w:val="both"/>
              <w:textAlignment w:val="baseline"/>
              <w:rPr>
                <w:rFonts w:ascii="Verdana" w:eastAsia="Times New Roman" w:hAnsi="Verdana" w:cs="Arial"/>
                <w:color w:val="000000"/>
                <w:sz w:val="16"/>
                <w:szCs w:val="16"/>
              </w:rPr>
            </w:pPr>
            <w:r w:rsidRPr="00DB6C5D">
              <w:rPr>
                <w:rFonts w:ascii="Verdana" w:eastAsia="Times New Roman" w:hAnsi="Verdana" w:cs="Arial"/>
                <w:color w:val="000000"/>
                <w:sz w:val="16"/>
                <w:szCs w:val="16"/>
              </w:rPr>
              <w:t>Contratista de la Subdirección de Gestión Contractual</w:t>
            </w:r>
          </w:p>
        </w:tc>
      </w:tr>
      <w:tr w:rsidR="000632AA" w:rsidRPr="00DB6C5D" w14:paraId="5EA198C8" w14:textId="77777777" w:rsidTr="00B61CA8">
        <w:trPr>
          <w:trHeight w:val="300"/>
        </w:trPr>
        <w:tc>
          <w:tcPr>
            <w:tcW w:w="893" w:type="dxa"/>
            <w:vAlign w:val="center"/>
            <w:hideMark/>
          </w:tcPr>
          <w:p w14:paraId="43C63948" w14:textId="77777777" w:rsidR="000632AA" w:rsidRPr="00DB6C5D" w:rsidRDefault="000632AA" w:rsidP="00B61CA8">
            <w:pPr>
              <w:spacing w:line="276" w:lineRule="auto"/>
              <w:jc w:val="both"/>
              <w:rPr>
                <w:rFonts w:ascii="Verdana" w:eastAsia="Times New Roman" w:hAnsi="Verdana" w:cs="Arial"/>
                <w:color w:val="000000"/>
                <w:sz w:val="16"/>
                <w:szCs w:val="16"/>
                <w:lang w:eastAsia="es-ES"/>
              </w:rPr>
            </w:pPr>
            <w:r w:rsidRPr="00DB6C5D">
              <w:rPr>
                <w:rFonts w:ascii="Verdana" w:eastAsia="Times New Roman" w:hAnsi="Verdana" w:cs="Arial"/>
                <w:color w:val="000000"/>
                <w:sz w:val="16"/>
                <w:szCs w:val="16"/>
                <w:lang w:eastAsia="es-ES"/>
              </w:rPr>
              <w:t>Aprobó:</w:t>
            </w:r>
          </w:p>
        </w:tc>
        <w:tc>
          <w:tcPr>
            <w:tcW w:w="5628" w:type="dxa"/>
            <w:tcBorders>
              <w:top w:val="dotted" w:sz="4" w:space="0" w:color="7F7F7F"/>
              <w:left w:val="nil"/>
              <w:bottom w:val="dotted" w:sz="4" w:space="0" w:color="7F7F7F"/>
              <w:right w:val="nil"/>
            </w:tcBorders>
            <w:vAlign w:val="center"/>
            <w:hideMark/>
          </w:tcPr>
          <w:p w14:paraId="2690637D" w14:textId="77777777" w:rsidR="000632AA" w:rsidRPr="00DB6C5D" w:rsidRDefault="000632AA" w:rsidP="00B61CA8">
            <w:pPr>
              <w:spacing w:line="276" w:lineRule="auto"/>
              <w:jc w:val="both"/>
              <w:rPr>
                <w:rFonts w:ascii="Verdana" w:eastAsia="Times New Roman" w:hAnsi="Verdana" w:cs="Arial"/>
                <w:color w:val="000000"/>
                <w:sz w:val="16"/>
                <w:szCs w:val="16"/>
              </w:rPr>
            </w:pPr>
            <w:r w:rsidRPr="00DB6C5D">
              <w:rPr>
                <w:rFonts w:ascii="Verdana" w:eastAsia="Times New Roman" w:hAnsi="Verdana" w:cs="Arial"/>
                <w:color w:val="000000"/>
                <w:sz w:val="16"/>
                <w:szCs w:val="16"/>
              </w:rPr>
              <w:t>Carolina Quintero Gacharná</w:t>
            </w:r>
          </w:p>
          <w:p w14:paraId="0C456E35" w14:textId="77777777" w:rsidR="000632AA" w:rsidRPr="00DB6C5D" w:rsidRDefault="000632AA" w:rsidP="00B61CA8">
            <w:pPr>
              <w:spacing w:line="276" w:lineRule="auto"/>
              <w:jc w:val="both"/>
              <w:rPr>
                <w:rFonts w:ascii="Verdana" w:eastAsia="Times New Roman" w:hAnsi="Verdana" w:cs="Arial"/>
                <w:color w:val="000000"/>
                <w:sz w:val="16"/>
                <w:szCs w:val="16"/>
              </w:rPr>
            </w:pPr>
            <w:r w:rsidRPr="00DB6C5D">
              <w:rPr>
                <w:rFonts w:ascii="Verdana" w:eastAsia="Times New Roman" w:hAnsi="Verdana" w:cs="Arial"/>
                <w:color w:val="000000"/>
                <w:sz w:val="16"/>
                <w:szCs w:val="16"/>
              </w:rPr>
              <w:t>Subdirectora de Gestión Contractual ANCP – CCE</w:t>
            </w:r>
          </w:p>
        </w:tc>
      </w:tr>
      <w:bookmarkEnd w:id="1"/>
    </w:tbl>
    <w:p w14:paraId="786F0CF7" w14:textId="77777777" w:rsidR="000632AA" w:rsidRPr="00DB6C5D" w:rsidRDefault="000632AA" w:rsidP="000632AA">
      <w:pPr>
        <w:spacing w:after="0" w:line="240" w:lineRule="auto"/>
        <w:jc w:val="both"/>
        <w:textAlignment w:val="baseline"/>
        <w:rPr>
          <w:rFonts w:ascii="Verdana" w:eastAsia="Verdana" w:hAnsi="Verdana" w:cs="Verdana"/>
          <w:lang w:eastAsia="es-CO"/>
        </w:rPr>
      </w:pPr>
    </w:p>
    <w:p w14:paraId="5751578A" w14:textId="77777777" w:rsidR="000632AA" w:rsidRPr="00DB6C5D" w:rsidRDefault="000632AA" w:rsidP="000632AA">
      <w:pPr>
        <w:spacing w:after="0" w:line="240" w:lineRule="auto"/>
        <w:jc w:val="both"/>
        <w:textAlignment w:val="baseline"/>
        <w:rPr>
          <w:rFonts w:ascii="Verdana" w:eastAsia="Verdana" w:hAnsi="Verdana" w:cs="Verdana"/>
          <w:lang w:eastAsia="es-CO"/>
        </w:rPr>
      </w:pPr>
    </w:p>
    <w:p w14:paraId="1006A388" w14:textId="14EEB7E4" w:rsidR="00C15139" w:rsidRPr="000E2B93" w:rsidRDefault="000632AA" w:rsidP="00D86BC1">
      <w:pPr>
        <w:spacing w:after="0" w:line="240" w:lineRule="auto"/>
        <w:textAlignment w:val="baseline"/>
        <w:rPr>
          <w:rFonts w:ascii="Verdana" w:eastAsia="Verdana" w:hAnsi="Verdana" w:cs="Verdana"/>
          <w:lang w:eastAsia="es-CO"/>
        </w:rPr>
      </w:pPr>
      <w:r w:rsidRPr="00DB6C5D">
        <w:rPr>
          <w:rFonts w:ascii="Verdana" w:eastAsia="Verdana" w:hAnsi="Verdana" w:cs="Verdana"/>
          <w:lang w:eastAsia="es-CO"/>
        </w:rPr>
        <w:t> </w:t>
      </w:r>
    </w:p>
    <w:p w14:paraId="69BC4D14" w14:textId="02B5C775"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96E18" w14:textId="77777777" w:rsidR="00DA3B54" w:rsidRDefault="00DA3B54" w:rsidP="004A1847">
      <w:pPr>
        <w:spacing w:after="0" w:line="240" w:lineRule="auto"/>
      </w:pPr>
      <w:r>
        <w:separator/>
      </w:r>
    </w:p>
  </w:endnote>
  <w:endnote w:type="continuationSeparator" w:id="0">
    <w:p w14:paraId="40ACCDC2" w14:textId="77777777" w:rsidR="00DA3B54" w:rsidRDefault="00DA3B5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90F8D" w14:textId="77777777" w:rsidR="00DA3B54" w:rsidRDefault="00DA3B54" w:rsidP="004A1847">
      <w:pPr>
        <w:spacing w:after="0" w:line="240" w:lineRule="auto"/>
      </w:pPr>
      <w:r>
        <w:separator/>
      </w:r>
    </w:p>
  </w:footnote>
  <w:footnote w:type="continuationSeparator" w:id="0">
    <w:p w14:paraId="4F68BB82" w14:textId="77777777" w:rsidR="00DA3B54" w:rsidRDefault="00DA3B54" w:rsidP="004A1847">
      <w:pPr>
        <w:spacing w:after="0" w:line="240" w:lineRule="auto"/>
      </w:pPr>
      <w:r>
        <w:continuationSeparator/>
      </w:r>
    </w:p>
  </w:footnote>
  <w:footnote w:id="1">
    <w:p w14:paraId="07B2C850" w14:textId="602CF0A6" w:rsidR="00BE348D" w:rsidRPr="00AD6BD7" w:rsidRDefault="00BE348D" w:rsidP="00810328">
      <w:pPr>
        <w:pStyle w:val="Textonotapie"/>
        <w:ind w:firstLine="709"/>
        <w:jc w:val="both"/>
        <w:rPr>
          <w:rFonts w:ascii="Verdana" w:hAnsi="Verdana"/>
          <w:sz w:val="16"/>
          <w:szCs w:val="16"/>
        </w:rPr>
      </w:pPr>
      <w:r w:rsidRPr="00AD6BD7">
        <w:rPr>
          <w:rStyle w:val="Refdenotaalpie"/>
          <w:rFonts w:ascii="Verdana" w:hAnsi="Verdana"/>
          <w:sz w:val="16"/>
          <w:szCs w:val="16"/>
        </w:rPr>
        <w:footnoteRef/>
      </w:r>
      <w:r w:rsidRPr="00AD6BD7">
        <w:rPr>
          <w:rFonts w:ascii="Verdana" w:hAnsi="Verdana" w:cs="Arial"/>
          <w:sz w:val="16"/>
          <w:szCs w:val="16"/>
        </w:rPr>
        <w:t xml:space="preserve"> </w:t>
      </w:r>
      <w:r w:rsidR="009F2DF4" w:rsidRPr="00AD6BD7">
        <w:rPr>
          <w:rFonts w:ascii="Verdana" w:hAnsi="Verdana" w:cs="Arial"/>
          <w:sz w:val="16"/>
          <w:szCs w:val="16"/>
        </w:rPr>
        <w:t>DÁVILA</w:t>
      </w:r>
      <w:r w:rsidRPr="00AD6BD7">
        <w:rPr>
          <w:rFonts w:ascii="Verdana" w:hAnsi="Verdana" w:cs="Arial"/>
          <w:sz w:val="16"/>
          <w:szCs w:val="16"/>
        </w:rPr>
        <w:t>,</w:t>
      </w:r>
      <w:r w:rsidR="009F2DF4" w:rsidRPr="00AD6BD7">
        <w:rPr>
          <w:rFonts w:ascii="Verdana" w:hAnsi="Verdana" w:cs="Arial"/>
          <w:sz w:val="16"/>
          <w:szCs w:val="16"/>
        </w:rPr>
        <w:t xml:space="preserve"> Vinueza</w:t>
      </w:r>
      <w:r w:rsidRPr="00AD6BD7">
        <w:rPr>
          <w:rFonts w:ascii="Verdana" w:hAnsi="Verdana" w:cs="Arial"/>
          <w:sz w:val="16"/>
          <w:szCs w:val="16"/>
        </w:rPr>
        <w:t xml:space="preserve">. </w:t>
      </w:r>
      <w:r w:rsidR="009F2DF4" w:rsidRPr="00AD6BD7">
        <w:rPr>
          <w:rFonts w:ascii="Verdana" w:hAnsi="Verdana" w:cs="Arial"/>
          <w:sz w:val="16"/>
          <w:szCs w:val="16"/>
        </w:rPr>
        <w:t>Luis Guillermo</w:t>
      </w:r>
      <w:r w:rsidRPr="00AD6BD7">
        <w:rPr>
          <w:rFonts w:ascii="Verdana" w:hAnsi="Verdana" w:cs="Arial"/>
          <w:sz w:val="16"/>
          <w:szCs w:val="16"/>
        </w:rPr>
        <w:t xml:space="preserve">. </w:t>
      </w:r>
      <w:r w:rsidR="00987076" w:rsidRPr="00AD6BD7">
        <w:rPr>
          <w:rFonts w:ascii="Verdana" w:hAnsi="Verdana" w:cs="Arial"/>
          <w:sz w:val="16"/>
          <w:szCs w:val="16"/>
        </w:rPr>
        <w:t xml:space="preserve">Régimen Jurídico de la Contratación Estatal. </w:t>
      </w:r>
      <w:r w:rsidRPr="00AD6BD7">
        <w:rPr>
          <w:rFonts w:ascii="Verdana" w:hAnsi="Verdana" w:cs="Arial"/>
          <w:sz w:val="16"/>
          <w:szCs w:val="16"/>
        </w:rPr>
        <w:t>Editorial Legis. Bogotá, 201</w:t>
      </w:r>
      <w:r w:rsidR="00987076" w:rsidRPr="00AD6BD7">
        <w:rPr>
          <w:rFonts w:ascii="Verdana" w:hAnsi="Verdana" w:cs="Arial"/>
          <w:sz w:val="16"/>
          <w:szCs w:val="16"/>
        </w:rPr>
        <w:t>6</w:t>
      </w:r>
      <w:r w:rsidRPr="00AD6BD7">
        <w:rPr>
          <w:rFonts w:ascii="Verdana" w:hAnsi="Verdana" w:cs="Arial"/>
          <w:sz w:val="16"/>
          <w:szCs w:val="16"/>
        </w:rPr>
        <w:t xml:space="preserve">, </w:t>
      </w:r>
      <w:r w:rsidR="00D81B14" w:rsidRPr="00AD6BD7">
        <w:rPr>
          <w:rFonts w:ascii="Verdana" w:hAnsi="Verdana" w:cs="Arial"/>
          <w:sz w:val="16"/>
          <w:szCs w:val="16"/>
        </w:rPr>
        <w:t>3</w:t>
      </w:r>
      <w:r w:rsidRPr="00AD6BD7">
        <w:rPr>
          <w:rFonts w:ascii="Verdana" w:hAnsi="Verdana" w:cs="Arial"/>
          <w:sz w:val="16"/>
          <w:szCs w:val="16"/>
        </w:rPr>
        <w:t xml:space="preserve">ra Ed. p. </w:t>
      </w:r>
      <w:r w:rsidR="00D81B14" w:rsidRPr="00AD6BD7">
        <w:rPr>
          <w:rFonts w:ascii="Verdana" w:hAnsi="Verdana" w:cs="Arial"/>
          <w:sz w:val="16"/>
          <w:szCs w:val="16"/>
        </w:rPr>
        <w:t>245</w:t>
      </w:r>
      <w:r w:rsidRPr="00AD6BD7">
        <w:rPr>
          <w:rFonts w:ascii="Verdana" w:hAnsi="Verdana" w:cs="Arial"/>
          <w:sz w:val="16"/>
          <w:szCs w:val="16"/>
        </w:rPr>
        <w:t>.</w:t>
      </w:r>
    </w:p>
  </w:footnote>
  <w:footnote w:id="2">
    <w:p w14:paraId="02B19953" w14:textId="46ECCC1F" w:rsidR="005246EF" w:rsidRPr="00AD6BD7" w:rsidRDefault="005246EF" w:rsidP="00810328">
      <w:pPr>
        <w:pStyle w:val="Textonotapie"/>
        <w:ind w:firstLine="709"/>
        <w:rPr>
          <w:rFonts w:ascii="Verdana" w:hAnsi="Verdana"/>
          <w:sz w:val="16"/>
          <w:szCs w:val="16"/>
        </w:rPr>
      </w:pPr>
      <w:r w:rsidRPr="00AD6BD7">
        <w:rPr>
          <w:rStyle w:val="Refdenotaalpie"/>
          <w:rFonts w:ascii="Verdana" w:hAnsi="Verdana"/>
          <w:sz w:val="16"/>
          <w:szCs w:val="16"/>
        </w:rPr>
        <w:footnoteRef/>
      </w:r>
      <w:r w:rsidRPr="00AD6BD7">
        <w:rPr>
          <w:rFonts w:ascii="Verdana" w:hAnsi="Verdana"/>
          <w:sz w:val="16"/>
          <w:szCs w:val="16"/>
        </w:rPr>
        <w:t xml:space="preserve"> Dromi, </w:t>
      </w:r>
      <w:r w:rsidR="004A7E19" w:rsidRPr="00AD6BD7">
        <w:rPr>
          <w:rFonts w:ascii="Verdana" w:hAnsi="Verdana"/>
          <w:sz w:val="16"/>
          <w:szCs w:val="16"/>
        </w:rPr>
        <w:t xml:space="preserve">Robert. Licitación </w:t>
      </w:r>
      <w:r w:rsidR="004672B8" w:rsidRPr="00AD6BD7">
        <w:rPr>
          <w:rFonts w:ascii="Verdana" w:hAnsi="Verdana"/>
          <w:sz w:val="16"/>
          <w:szCs w:val="16"/>
        </w:rPr>
        <w:t>Pública</w:t>
      </w:r>
      <w:r w:rsidR="004A7E19" w:rsidRPr="00AD6BD7">
        <w:rPr>
          <w:rFonts w:ascii="Verdana" w:hAnsi="Verdana"/>
          <w:sz w:val="16"/>
          <w:szCs w:val="16"/>
        </w:rPr>
        <w:t xml:space="preserve">. 2ª ed. </w:t>
      </w:r>
      <w:r w:rsidR="004672B8" w:rsidRPr="00AD6BD7">
        <w:rPr>
          <w:rFonts w:ascii="Verdana" w:hAnsi="Verdana"/>
          <w:sz w:val="16"/>
          <w:szCs w:val="16"/>
        </w:rPr>
        <w:t>Ediciones</w:t>
      </w:r>
      <w:r w:rsidR="004A7E19" w:rsidRPr="00AD6BD7">
        <w:rPr>
          <w:rFonts w:ascii="Verdana" w:hAnsi="Verdana"/>
          <w:sz w:val="16"/>
          <w:szCs w:val="16"/>
        </w:rPr>
        <w:t xml:space="preserve"> Ciudad Argentina. 1995. P.76.</w:t>
      </w:r>
    </w:p>
  </w:footnote>
  <w:footnote w:id="3">
    <w:p w14:paraId="575514AE" w14:textId="3564A36B" w:rsidR="00BE348D" w:rsidRPr="00AD6BD7" w:rsidRDefault="00BE348D" w:rsidP="00BE348D">
      <w:pPr>
        <w:pStyle w:val="Textonotapie"/>
        <w:ind w:firstLine="709"/>
        <w:jc w:val="both"/>
        <w:rPr>
          <w:rFonts w:ascii="Verdana" w:hAnsi="Verdana" w:cs="Arial"/>
          <w:color w:val="000000"/>
          <w:sz w:val="16"/>
          <w:szCs w:val="16"/>
        </w:rPr>
      </w:pPr>
      <w:r w:rsidRPr="00AD6BD7">
        <w:rPr>
          <w:rStyle w:val="Refdenotaalpie"/>
          <w:rFonts w:ascii="Verdana" w:hAnsi="Verdana" w:cs="Arial"/>
          <w:color w:val="000000"/>
          <w:sz w:val="16"/>
          <w:szCs w:val="16"/>
        </w:rPr>
        <w:footnoteRef/>
      </w:r>
      <w:r w:rsidRPr="00AD6BD7">
        <w:rPr>
          <w:rFonts w:ascii="Verdana" w:hAnsi="Verdana" w:cs="Arial"/>
          <w:color w:val="000000"/>
          <w:sz w:val="16"/>
          <w:szCs w:val="16"/>
        </w:rPr>
        <w:t xml:space="preserve"> DÁVILA</w:t>
      </w:r>
      <w:r w:rsidR="00AD6BD7" w:rsidRPr="00AD6BD7">
        <w:rPr>
          <w:rFonts w:ascii="Verdana" w:hAnsi="Verdana" w:cs="Arial"/>
          <w:color w:val="000000"/>
          <w:sz w:val="16"/>
          <w:szCs w:val="16"/>
        </w:rPr>
        <w:t xml:space="preserve">, </w:t>
      </w:r>
      <w:r w:rsidR="00D81B14" w:rsidRPr="00AD6BD7">
        <w:rPr>
          <w:rFonts w:ascii="Verdana" w:hAnsi="Verdana" w:cs="Arial"/>
          <w:color w:val="000000"/>
          <w:sz w:val="16"/>
          <w:szCs w:val="16"/>
        </w:rPr>
        <w:t>Vinueza</w:t>
      </w:r>
      <w:r w:rsidR="00AD6BD7" w:rsidRPr="00AD6BD7">
        <w:rPr>
          <w:rFonts w:ascii="Verdana" w:hAnsi="Verdana" w:cs="Arial"/>
          <w:color w:val="000000"/>
          <w:sz w:val="16"/>
          <w:szCs w:val="16"/>
        </w:rPr>
        <w:t>.</w:t>
      </w:r>
      <w:r w:rsidRPr="00AD6BD7">
        <w:rPr>
          <w:rFonts w:ascii="Verdana" w:hAnsi="Verdana" w:cs="Arial"/>
          <w:color w:val="000000"/>
          <w:sz w:val="16"/>
          <w:szCs w:val="16"/>
        </w:rPr>
        <w:t xml:space="preserve"> Luis Guillermo. Régimen jurídico de la contratación estatal. 3ª ed. Bogotá: Legis, 2016. p. 463.</w:t>
      </w:r>
    </w:p>
    <w:p w14:paraId="76074ABF" w14:textId="77777777" w:rsidR="00BE348D" w:rsidRPr="00AD6BD7" w:rsidRDefault="00BE348D" w:rsidP="00BE348D">
      <w:pPr>
        <w:pStyle w:val="Textonotapie"/>
        <w:ind w:firstLine="709"/>
        <w:jc w:val="both"/>
        <w:rPr>
          <w:rFonts w:ascii="Verdana" w:hAnsi="Verdana" w:cs="Arial"/>
          <w:color w:val="000000"/>
          <w:sz w:val="16"/>
          <w:szCs w:val="16"/>
        </w:rPr>
      </w:pPr>
    </w:p>
  </w:footnote>
  <w:footnote w:id="4">
    <w:p w14:paraId="10CB850A" w14:textId="77777777" w:rsidR="00BE348D" w:rsidRPr="00AD6BD7" w:rsidRDefault="00BE348D" w:rsidP="00BE348D">
      <w:pPr>
        <w:pStyle w:val="Textonotapie"/>
        <w:ind w:firstLine="709"/>
        <w:jc w:val="both"/>
        <w:rPr>
          <w:rFonts w:ascii="Verdana" w:hAnsi="Verdana" w:cs="Arial"/>
          <w:color w:val="000000"/>
          <w:sz w:val="16"/>
          <w:szCs w:val="16"/>
        </w:rPr>
      </w:pPr>
      <w:r w:rsidRPr="00AD6BD7">
        <w:rPr>
          <w:rStyle w:val="Refdenotaalpie"/>
          <w:rFonts w:ascii="Verdana" w:hAnsi="Verdana" w:cs="Arial"/>
          <w:color w:val="000000"/>
          <w:sz w:val="16"/>
          <w:szCs w:val="16"/>
        </w:rPr>
        <w:footnoteRef/>
      </w:r>
      <w:r w:rsidRPr="00AD6BD7">
        <w:rPr>
          <w:rFonts w:ascii="Verdana" w:hAnsi="Verdana" w:cs="Arial"/>
          <w:color w:val="000000"/>
          <w:sz w:val="16"/>
          <w:szCs w:val="16"/>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6ABB89A7" w14:textId="77777777" w:rsidR="00BE348D" w:rsidRPr="00AD6BD7" w:rsidRDefault="00BE348D" w:rsidP="00BE348D">
      <w:pPr>
        <w:pStyle w:val="Textonotapie"/>
        <w:ind w:firstLine="709"/>
        <w:jc w:val="both"/>
        <w:rPr>
          <w:rFonts w:ascii="Verdana" w:hAnsi="Verdana" w:cs="Arial"/>
          <w:color w:val="000000"/>
          <w:sz w:val="16"/>
          <w:szCs w:val="16"/>
        </w:rPr>
      </w:pPr>
      <w:r w:rsidRPr="00AD6BD7">
        <w:rPr>
          <w:rFonts w:ascii="Verdana" w:hAnsi="Verdana" w:cs="Arial"/>
          <w:color w:val="000000"/>
          <w:sz w:val="16"/>
          <w:szCs w:val="16"/>
        </w:rPr>
        <w:t>Para las entidades que tengan un presupuesto anual superior o igual a 1.200.000 salarios mínimos legales mensuales, la menor cuantía será hasta 1.000 salarios mínimos legales mensuales.</w:t>
      </w:r>
    </w:p>
    <w:p w14:paraId="379CAE46" w14:textId="77777777" w:rsidR="00BE348D" w:rsidRPr="00AD6BD7" w:rsidRDefault="00BE348D" w:rsidP="00BE348D">
      <w:pPr>
        <w:pStyle w:val="Textonotapie"/>
        <w:ind w:firstLine="709"/>
        <w:jc w:val="both"/>
        <w:rPr>
          <w:rFonts w:ascii="Verdana" w:hAnsi="Verdana" w:cs="Arial"/>
          <w:color w:val="000000"/>
          <w:sz w:val="16"/>
          <w:szCs w:val="16"/>
        </w:rPr>
      </w:pPr>
      <w:r w:rsidRPr="00AD6BD7">
        <w:rPr>
          <w:rFonts w:ascii="Verdana" w:hAnsi="Verdana" w:cs="Arial"/>
          <w:color w:val="000000"/>
          <w:sz w:val="16"/>
          <w:szCs w:val="16"/>
        </w:rPr>
        <w:t>Las que tengan un presupuesto anual superior o igual a 850.000 salarios mínimos legales mensuales e inferiores a 1.200.000 salarios mínimos legales mensuales, la menor cuantía será hasta 850 salarios mínimos legales mensuales.</w:t>
      </w:r>
    </w:p>
    <w:p w14:paraId="10D68EC5" w14:textId="77777777" w:rsidR="00BE348D" w:rsidRPr="00AD6BD7" w:rsidRDefault="00BE348D" w:rsidP="00BE348D">
      <w:pPr>
        <w:pStyle w:val="Textonotapie"/>
        <w:ind w:firstLine="709"/>
        <w:jc w:val="both"/>
        <w:rPr>
          <w:rFonts w:ascii="Verdana" w:hAnsi="Verdana" w:cs="Arial"/>
          <w:color w:val="000000"/>
          <w:sz w:val="16"/>
          <w:szCs w:val="16"/>
        </w:rPr>
      </w:pPr>
      <w:r w:rsidRPr="00AD6BD7">
        <w:rPr>
          <w:rFonts w:ascii="Verdana" w:hAnsi="Verdana" w:cs="Arial"/>
          <w:color w:val="000000"/>
          <w:sz w:val="16"/>
          <w:szCs w:val="16"/>
        </w:rPr>
        <w:t>Las que tengan un presupuesto anual superior o igual a 400.000 salarios mínimos legales mensuales e inferior a 850.000 salarios mínimos legales mensuales, la menor cuantía será hasta 650 salarios mínimos legales mensuales.</w:t>
      </w:r>
    </w:p>
    <w:p w14:paraId="122FDF28" w14:textId="77777777" w:rsidR="00BE348D" w:rsidRPr="00AD6BD7" w:rsidRDefault="00BE348D" w:rsidP="00BE348D">
      <w:pPr>
        <w:pStyle w:val="Textonotapie"/>
        <w:ind w:firstLine="709"/>
        <w:jc w:val="both"/>
        <w:rPr>
          <w:rFonts w:ascii="Verdana" w:hAnsi="Verdana" w:cs="Arial"/>
          <w:color w:val="000000"/>
          <w:sz w:val="16"/>
          <w:szCs w:val="16"/>
        </w:rPr>
      </w:pPr>
      <w:r w:rsidRPr="00AD6BD7">
        <w:rPr>
          <w:rFonts w:ascii="Verdana" w:hAnsi="Verdana" w:cs="Arial"/>
          <w:color w:val="000000"/>
          <w:sz w:val="16"/>
          <w:szCs w:val="16"/>
        </w:rPr>
        <w:t>Las que tengan un presupuesto anual superior o igual a 120.000 salarios mínimos legales mensuales e inferior a 400.000 salarios mínimos legales mensuales, la menor cuantía será hasta 450 salarios mínimos legales mensuales.</w:t>
      </w:r>
    </w:p>
    <w:p w14:paraId="5190AEDD" w14:textId="77777777" w:rsidR="00BE348D" w:rsidRPr="00AD6BD7" w:rsidRDefault="00BE348D" w:rsidP="00BE348D">
      <w:pPr>
        <w:pStyle w:val="Textonotapie"/>
        <w:ind w:firstLine="709"/>
        <w:jc w:val="both"/>
        <w:rPr>
          <w:rFonts w:ascii="Verdana" w:hAnsi="Verdana" w:cs="Arial"/>
          <w:color w:val="000000"/>
          <w:sz w:val="16"/>
          <w:szCs w:val="16"/>
        </w:rPr>
      </w:pPr>
      <w:r w:rsidRPr="00AD6BD7">
        <w:rPr>
          <w:rFonts w:ascii="Verdana" w:hAnsi="Verdana" w:cs="Arial"/>
          <w:color w:val="000000"/>
          <w:sz w:val="16"/>
          <w:szCs w:val="16"/>
        </w:rPr>
        <w:t>Las que tengan un presupuesto anual inferior a 120.000 salarios mínimos legales mensuales, la menor cuantía será hasta 280 salarios mínimos legales mensuales”.</w:t>
      </w:r>
    </w:p>
    <w:p w14:paraId="36912A01" w14:textId="77777777" w:rsidR="00BE348D" w:rsidRPr="00AD6BD7" w:rsidRDefault="00BE348D" w:rsidP="00BE348D">
      <w:pPr>
        <w:pStyle w:val="Textonotapie"/>
        <w:ind w:firstLine="709"/>
        <w:jc w:val="both"/>
        <w:rPr>
          <w:rFonts w:ascii="Verdana" w:hAnsi="Verdana" w:cs="Arial"/>
          <w:color w:val="000000"/>
          <w:sz w:val="16"/>
          <w:szCs w:val="16"/>
        </w:rPr>
      </w:pPr>
    </w:p>
  </w:footnote>
  <w:footnote w:id="5">
    <w:p w14:paraId="359EA403" w14:textId="7173310B" w:rsidR="00BE348D" w:rsidRPr="00AD6BD7" w:rsidRDefault="00BE348D" w:rsidP="00BE348D">
      <w:pPr>
        <w:pStyle w:val="Textonotapie"/>
        <w:ind w:firstLine="709"/>
        <w:jc w:val="both"/>
        <w:rPr>
          <w:rFonts w:ascii="Verdana" w:hAnsi="Verdana" w:cs="Arial"/>
          <w:sz w:val="16"/>
          <w:szCs w:val="16"/>
        </w:rPr>
      </w:pPr>
      <w:r w:rsidRPr="00AD6BD7">
        <w:rPr>
          <w:rStyle w:val="Refdenotaalpie"/>
          <w:rFonts w:ascii="Verdana" w:hAnsi="Verdana" w:cs="Arial"/>
          <w:sz w:val="16"/>
          <w:szCs w:val="16"/>
        </w:rPr>
        <w:footnoteRef/>
      </w:r>
      <w:hyperlink r:id="rId1" w:history="1">
        <w:r w:rsidRPr="00AD6BD7">
          <w:rPr>
            <w:rStyle w:val="Hipervnculo"/>
            <w:rFonts w:ascii="Verdana" w:hAnsi="Verdana" w:cs="Arial"/>
            <w:sz w:val="16"/>
            <w:szCs w:val="16"/>
          </w:rPr>
          <w:t>https://www.colombiacompra.gov.co/wp-content/uploads/2024/08/manual_de_la_modalidad_de_seleccion_de_minima_cuantia.pdf</w:t>
        </w:r>
      </w:hyperlink>
      <w:r w:rsidRPr="00AD6BD7">
        <w:rPr>
          <w:rFonts w:ascii="Verdana" w:hAnsi="Verdana" w:cs="Arial"/>
          <w:sz w:val="16"/>
          <w:szCs w:val="16"/>
        </w:rPr>
        <w:t xml:space="preserve"> </w:t>
      </w:r>
    </w:p>
  </w:footnote>
  <w:footnote w:id="6">
    <w:p w14:paraId="6A81575F" w14:textId="0EDBF11D" w:rsidR="00BE348D" w:rsidRPr="00971F85" w:rsidRDefault="00BE348D" w:rsidP="00971F85">
      <w:pPr>
        <w:pStyle w:val="Textonotapie"/>
        <w:ind w:firstLine="709"/>
        <w:jc w:val="both"/>
        <w:rPr>
          <w:rFonts w:ascii="Verdana" w:hAnsi="Verdana" w:cs="Arial"/>
          <w:color w:val="000000"/>
          <w:sz w:val="16"/>
          <w:szCs w:val="16"/>
          <w:lang w:val="es-ES"/>
        </w:rPr>
      </w:pPr>
      <w:r w:rsidRPr="00AD6BD7">
        <w:rPr>
          <w:rStyle w:val="Refdenotaalpie"/>
          <w:rFonts w:ascii="Verdana" w:hAnsi="Verdana" w:cs="Arial"/>
          <w:sz w:val="16"/>
          <w:szCs w:val="16"/>
        </w:rPr>
        <w:footnoteRef/>
      </w:r>
      <w:r w:rsidRPr="00AD6BD7">
        <w:rPr>
          <w:rFonts w:ascii="Verdana" w:hAnsi="Verdana" w:cs="Arial"/>
          <w:sz w:val="16"/>
          <w:szCs w:val="16"/>
        </w:rPr>
        <w:t xml:space="preserve"> </w:t>
      </w:r>
      <w:r w:rsidRPr="00AD6BD7">
        <w:rPr>
          <w:rFonts w:ascii="Verdana" w:hAnsi="Verdana" w:cs="Arial"/>
          <w:color w:val="000000"/>
          <w:sz w:val="16"/>
          <w:szCs w:val="16"/>
          <w:lang w:val="es-ES"/>
        </w:rPr>
        <w:t xml:space="preserve">Consejo de Estado. Sección Tercera. Subsección A. Auto del 29 de marzo de 2017. </w:t>
      </w:r>
      <w:r w:rsidRPr="00AD6BD7">
        <w:rPr>
          <w:rFonts w:ascii="Verdana" w:hAnsi="Verdana" w:cs="Arial"/>
          <w:color w:val="000000"/>
          <w:sz w:val="16"/>
          <w:szCs w:val="16"/>
          <w:lang w:val="es-ES"/>
        </w:rPr>
        <w:t>Exp. 56307. Consejero: Carlos Alberto Zambrano Barrera.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5pt;height:12.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79A5723"/>
    <w:multiLevelType w:val="hybridMultilevel"/>
    <w:tmpl w:val="4614EE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1934292"/>
    <w:multiLevelType w:val="hybridMultilevel"/>
    <w:tmpl w:val="80909676"/>
    <w:lvl w:ilvl="0" w:tplc="D452D83C">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F371B4A"/>
    <w:multiLevelType w:val="hybridMultilevel"/>
    <w:tmpl w:val="F79E1380"/>
    <w:lvl w:ilvl="0" w:tplc="240A000F">
      <w:start w:val="1"/>
      <w:numFmt w:val="decimal"/>
      <w:lvlText w:val="%1."/>
      <w:lvlJc w:val="left"/>
      <w:pPr>
        <w:ind w:left="360" w:hanging="360"/>
      </w:pPr>
      <w:rPr>
        <w:rFonts w:hint="default"/>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0"/>
  </w:num>
  <w:num w:numId="13" w16cid:durableId="1512908409">
    <w:abstractNumId w:val="3"/>
  </w:num>
  <w:num w:numId="14" w16cid:durableId="895897244">
    <w:abstractNumId w:val="15"/>
  </w:num>
  <w:num w:numId="15" w16cid:durableId="390349800">
    <w:abstractNumId w:val="11"/>
  </w:num>
  <w:num w:numId="16" w16cid:durableId="2024895314">
    <w:abstractNumId w:val="10"/>
  </w:num>
  <w:num w:numId="17" w16cid:durableId="2037461892">
    <w:abstractNumId w:val="9"/>
  </w:num>
  <w:num w:numId="18" w16cid:durableId="14408358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5A1E"/>
    <w:rsid w:val="0004012C"/>
    <w:rsid w:val="00046945"/>
    <w:rsid w:val="0005715E"/>
    <w:rsid w:val="00061B2A"/>
    <w:rsid w:val="000632AA"/>
    <w:rsid w:val="00064013"/>
    <w:rsid w:val="00066230"/>
    <w:rsid w:val="000666D3"/>
    <w:rsid w:val="00073E44"/>
    <w:rsid w:val="0008179F"/>
    <w:rsid w:val="00082362"/>
    <w:rsid w:val="000A683E"/>
    <w:rsid w:val="000B19B9"/>
    <w:rsid w:val="000D0334"/>
    <w:rsid w:val="000D5DA7"/>
    <w:rsid w:val="000F6486"/>
    <w:rsid w:val="001057C7"/>
    <w:rsid w:val="00115C3F"/>
    <w:rsid w:val="00116940"/>
    <w:rsid w:val="00125105"/>
    <w:rsid w:val="00127233"/>
    <w:rsid w:val="00133631"/>
    <w:rsid w:val="00140338"/>
    <w:rsid w:val="00146AB8"/>
    <w:rsid w:val="0015699B"/>
    <w:rsid w:val="00171033"/>
    <w:rsid w:val="00190A6E"/>
    <w:rsid w:val="001A33BF"/>
    <w:rsid w:val="001D5085"/>
    <w:rsid w:val="001E4177"/>
    <w:rsid w:val="001F0B24"/>
    <w:rsid w:val="001F2061"/>
    <w:rsid w:val="001F7DC6"/>
    <w:rsid w:val="002050AC"/>
    <w:rsid w:val="0022400B"/>
    <w:rsid w:val="00235478"/>
    <w:rsid w:val="002421BB"/>
    <w:rsid w:val="00253B84"/>
    <w:rsid w:val="0025796E"/>
    <w:rsid w:val="00260CA8"/>
    <w:rsid w:val="00261795"/>
    <w:rsid w:val="002707A2"/>
    <w:rsid w:val="00271E73"/>
    <w:rsid w:val="0028317D"/>
    <w:rsid w:val="002951A0"/>
    <w:rsid w:val="002962BC"/>
    <w:rsid w:val="002A093D"/>
    <w:rsid w:val="002A0DD0"/>
    <w:rsid w:val="002A49AC"/>
    <w:rsid w:val="002A64FD"/>
    <w:rsid w:val="002C7A84"/>
    <w:rsid w:val="002D41E5"/>
    <w:rsid w:val="002E2BF8"/>
    <w:rsid w:val="002E4FD9"/>
    <w:rsid w:val="00304455"/>
    <w:rsid w:val="0030657A"/>
    <w:rsid w:val="0031472E"/>
    <w:rsid w:val="00322A85"/>
    <w:rsid w:val="00324168"/>
    <w:rsid w:val="00330834"/>
    <w:rsid w:val="003448F4"/>
    <w:rsid w:val="00367FDC"/>
    <w:rsid w:val="00374F5E"/>
    <w:rsid w:val="00377E3E"/>
    <w:rsid w:val="00397699"/>
    <w:rsid w:val="003A779E"/>
    <w:rsid w:val="003D0F4D"/>
    <w:rsid w:val="003D5B0D"/>
    <w:rsid w:val="003E0499"/>
    <w:rsid w:val="003E4F80"/>
    <w:rsid w:val="003E6439"/>
    <w:rsid w:val="003F3941"/>
    <w:rsid w:val="00401758"/>
    <w:rsid w:val="00406575"/>
    <w:rsid w:val="00414C74"/>
    <w:rsid w:val="004176FB"/>
    <w:rsid w:val="00417CF0"/>
    <w:rsid w:val="0042722E"/>
    <w:rsid w:val="0044528D"/>
    <w:rsid w:val="00466E39"/>
    <w:rsid w:val="004672B8"/>
    <w:rsid w:val="00485B94"/>
    <w:rsid w:val="004A1847"/>
    <w:rsid w:val="004A305D"/>
    <w:rsid w:val="004A7E19"/>
    <w:rsid w:val="004B5441"/>
    <w:rsid w:val="004C7935"/>
    <w:rsid w:val="004F21C4"/>
    <w:rsid w:val="004F685F"/>
    <w:rsid w:val="00503CEA"/>
    <w:rsid w:val="005246EF"/>
    <w:rsid w:val="00525F43"/>
    <w:rsid w:val="00532DED"/>
    <w:rsid w:val="0055116B"/>
    <w:rsid w:val="00551AB6"/>
    <w:rsid w:val="005566E8"/>
    <w:rsid w:val="00573D42"/>
    <w:rsid w:val="00574867"/>
    <w:rsid w:val="00585524"/>
    <w:rsid w:val="00591460"/>
    <w:rsid w:val="005A5442"/>
    <w:rsid w:val="005A65E0"/>
    <w:rsid w:val="005B1CC7"/>
    <w:rsid w:val="005C3777"/>
    <w:rsid w:val="005C5CDC"/>
    <w:rsid w:val="005D3FCE"/>
    <w:rsid w:val="005D476C"/>
    <w:rsid w:val="005E4864"/>
    <w:rsid w:val="005F0BA9"/>
    <w:rsid w:val="005F4925"/>
    <w:rsid w:val="00612929"/>
    <w:rsid w:val="006200BF"/>
    <w:rsid w:val="006219F8"/>
    <w:rsid w:val="006302F7"/>
    <w:rsid w:val="00646B9F"/>
    <w:rsid w:val="00655B5A"/>
    <w:rsid w:val="00660551"/>
    <w:rsid w:val="00665D70"/>
    <w:rsid w:val="0068327B"/>
    <w:rsid w:val="006900D9"/>
    <w:rsid w:val="006B1FA6"/>
    <w:rsid w:val="006B4E0C"/>
    <w:rsid w:val="00703A3E"/>
    <w:rsid w:val="00706C16"/>
    <w:rsid w:val="00712C16"/>
    <w:rsid w:val="007340C3"/>
    <w:rsid w:val="0075235A"/>
    <w:rsid w:val="00756841"/>
    <w:rsid w:val="007649AB"/>
    <w:rsid w:val="00771D0C"/>
    <w:rsid w:val="007833AC"/>
    <w:rsid w:val="00792C14"/>
    <w:rsid w:val="007A3724"/>
    <w:rsid w:val="007B268C"/>
    <w:rsid w:val="007B62DB"/>
    <w:rsid w:val="007B7171"/>
    <w:rsid w:val="007C0C0F"/>
    <w:rsid w:val="007C3DC2"/>
    <w:rsid w:val="007E5497"/>
    <w:rsid w:val="00806F5F"/>
    <w:rsid w:val="00810328"/>
    <w:rsid w:val="00820278"/>
    <w:rsid w:val="008258C9"/>
    <w:rsid w:val="00830D45"/>
    <w:rsid w:val="00844AE9"/>
    <w:rsid w:val="00867F95"/>
    <w:rsid w:val="00880B7B"/>
    <w:rsid w:val="008843B6"/>
    <w:rsid w:val="00891928"/>
    <w:rsid w:val="008A446D"/>
    <w:rsid w:val="008B25F1"/>
    <w:rsid w:val="008D08A8"/>
    <w:rsid w:val="008D180B"/>
    <w:rsid w:val="008F0EA7"/>
    <w:rsid w:val="00912A25"/>
    <w:rsid w:val="00922CA7"/>
    <w:rsid w:val="00923EEF"/>
    <w:rsid w:val="00933CD0"/>
    <w:rsid w:val="0093505C"/>
    <w:rsid w:val="009419F9"/>
    <w:rsid w:val="0095685E"/>
    <w:rsid w:val="00961B09"/>
    <w:rsid w:val="00962286"/>
    <w:rsid w:val="00965334"/>
    <w:rsid w:val="0097093E"/>
    <w:rsid w:val="00971F85"/>
    <w:rsid w:val="00974FE8"/>
    <w:rsid w:val="00987076"/>
    <w:rsid w:val="009A0DFA"/>
    <w:rsid w:val="009A1C6F"/>
    <w:rsid w:val="009B2D26"/>
    <w:rsid w:val="009C71FA"/>
    <w:rsid w:val="009C72E7"/>
    <w:rsid w:val="009C7F7E"/>
    <w:rsid w:val="009D3058"/>
    <w:rsid w:val="009E68B1"/>
    <w:rsid w:val="009F2DF4"/>
    <w:rsid w:val="009F3A13"/>
    <w:rsid w:val="009F50A8"/>
    <w:rsid w:val="00A04C88"/>
    <w:rsid w:val="00A10D48"/>
    <w:rsid w:val="00A122D3"/>
    <w:rsid w:val="00A14468"/>
    <w:rsid w:val="00A17F13"/>
    <w:rsid w:val="00A20739"/>
    <w:rsid w:val="00A213C6"/>
    <w:rsid w:val="00A23AF9"/>
    <w:rsid w:val="00A33C78"/>
    <w:rsid w:val="00A83549"/>
    <w:rsid w:val="00AA2CA7"/>
    <w:rsid w:val="00AB0547"/>
    <w:rsid w:val="00AB0ADB"/>
    <w:rsid w:val="00AD6BD7"/>
    <w:rsid w:val="00AE4F7F"/>
    <w:rsid w:val="00B00C0E"/>
    <w:rsid w:val="00B01B1A"/>
    <w:rsid w:val="00B0381D"/>
    <w:rsid w:val="00B06FD9"/>
    <w:rsid w:val="00B26D35"/>
    <w:rsid w:val="00B44A47"/>
    <w:rsid w:val="00B72CD3"/>
    <w:rsid w:val="00B72FFF"/>
    <w:rsid w:val="00BA5434"/>
    <w:rsid w:val="00BB4FEA"/>
    <w:rsid w:val="00BC3D36"/>
    <w:rsid w:val="00BD54A6"/>
    <w:rsid w:val="00BD7F72"/>
    <w:rsid w:val="00BE348D"/>
    <w:rsid w:val="00BE3E11"/>
    <w:rsid w:val="00BE59CF"/>
    <w:rsid w:val="00BF7425"/>
    <w:rsid w:val="00C04FB3"/>
    <w:rsid w:val="00C11D8B"/>
    <w:rsid w:val="00C13BEE"/>
    <w:rsid w:val="00C15139"/>
    <w:rsid w:val="00C17E66"/>
    <w:rsid w:val="00C330EB"/>
    <w:rsid w:val="00C50D69"/>
    <w:rsid w:val="00C5365C"/>
    <w:rsid w:val="00C752C1"/>
    <w:rsid w:val="00C754BE"/>
    <w:rsid w:val="00C76B1C"/>
    <w:rsid w:val="00C84739"/>
    <w:rsid w:val="00C925AC"/>
    <w:rsid w:val="00CB6357"/>
    <w:rsid w:val="00CC1B26"/>
    <w:rsid w:val="00CC4639"/>
    <w:rsid w:val="00D11ED4"/>
    <w:rsid w:val="00D361FD"/>
    <w:rsid w:val="00D423A2"/>
    <w:rsid w:val="00D42A86"/>
    <w:rsid w:val="00D44E26"/>
    <w:rsid w:val="00D464A9"/>
    <w:rsid w:val="00D520D8"/>
    <w:rsid w:val="00D63AC2"/>
    <w:rsid w:val="00D64A65"/>
    <w:rsid w:val="00D7383B"/>
    <w:rsid w:val="00D7407A"/>
    <w:rsid w:val="00D7788A"/>
    <w:rsid w:val="00D81B14"/>
    <w:rsid w:val="00D86BC1"/>
    <w:rsid w:val="00DA231B"/>
    <w:rsid w:val="00DA3B54"/>
    <w:rsid w:val="00DC39FC"/>
    <w:rsid w:val="00DD3FCD"/>
    <w:rsid w:val="00DF2935"/>
    <w:rsid w:val="00DF5254"/>
    <w:rsid w:val="00DF7CAD"/>
    <w:rsid w:val="00E02524"/>
    <w:rsid w:val="00E05DEC"/>
    <w:rsid w:val="00E05F8E"/>
    <w:rsid w:val="00E1506F"/>
    <w:rsid w:val="00E16408"/>
    <w:rsid w:val="00E20894"/>
    <w:rsid w:val="00E245AB"/>
    <w:rsid w:val="00E2764C"/>
    <w:rsid w:val="00E27F2E"/>
    <w:rsid w:val="00E327B4"/>
    <w:rsid w:val="00E50AFE"/>
    <w:rsid w:val="00E703FE"/>
    <w:rsid w:val="00E71801"/>
    <w:rsid w:val="00E75C92"/>
    <w:rsid w:val="00E771DC"/>
    <w:rsid w:val="00E8772A"/>
    <w:rsid w:val="00E90F6B"/>
    <w:rsid w:val="00E92C27"/>
    <w:rsid w:val="00E957A3"/>
    <w:rsid w:val="00EA0E3D"/>
    <w:rsid w:val="00EA236D"/>
    <w:rsid w:val="00EB7347"/>
    <w:rsid w:val="00EC19BC"/>
    <w:rsid w:val="00EC38A7"/>
    <w:rsid w:val="00EC3DA3"/>
    <w:rsid w:val="00EC6F21"/>
    <w:rsid w:val="00EE1AA8"/>
    <w:rsid w:val="00EF0C51"/>
    <w:rsid w:val="00EF5BBB"/>
    <w:rsid w:val="00F23FEA"/>
    <w:rsid w:val="00F25D0F"/>
    <w:rsid w:val="00F31EDC"/>
    <w:rsid w:val="00F462B3"/>
    <w:rsid w:val="00F5664F"/>
    <w:rsid w:val="00F666C4"/>
    <w:rsid w:val="00F706ED"/>
    <w:rsid w:val="00F768EE"/>
    <w:rsid w:val="00F76AFC"/>
    <w:rsid w:val="00F85C3D"/>
    <w:rsid w:val="00F956B8"/>
    <w:rsid w:val="00FA320B"/>
    <w:rsid w:val="00FA47C0"/>
    <w:rsid w:val="00FB5DD1"/>
    <w:rsid w:val="00FC2B5D"/>
    <w:rsid w:val="00FC548D"/>
    <w:rsid w:val="00FF1449"/>
    <w:rsid w:val="00FF7963"/>
    <w:rsid w:val="071B8F93"/>
    <w:rsid w:val="07C73DD1"/>
    <w:rsid w:val="09908A09"/>
    <w:rsid w:val="0DC886BD"/>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632A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632AA"/>
    <w:rPr>
      <w:rFonts w:ascii="Geomanist Light" w:hAnsi="Geomanist Light"/>
      <w:lang w:val="es-ES"/>
    </w:rPr>
  </w:style>
  <w:style w:type="paragraph" w:styleId="Sinespaciado">
    <w:name w:val="No Spacing"/>
    <w:uiPriority w:val="1"/>
    <w:qFormat/>
    <w:rsid w:val="000632AA"/>
    <w:pPr>
      <w:spacing w:after="0" w:line="240" w:lineRule="auto"/>
    </w:pPr>
  </w:style>
  <w:style w:type="character" w:customStyle="1" w:styleId="s15">
    <w:name w:val="s15"/>
    <w:basedOn w:val="Fuentedeprrafopredeter"/>
    <w:rsid w:val="00063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malejandra.restrepo11@gmail.com" TargetMode="External"/><Relationship Id="rId17" Type="http://schemas.openxmlformats.org/officeDocument/2006/relationships/hyperlink" Target="https://nam02.safelinks.protection.outlook.com/?url=https%3A%2F%2Fwww.colombiacompra.gov.co%2Farchivos%2Fboletin%2Fboletin-edicion-n-3-de-2026-radar-de-la-compra-publica&amp;data=05%7C02%7Cangela.olmos%40colombiacompra.gov.co%7C7128555136e04fa6887d08dee99e1b50%7C7b09041e245149d08cb179d5e3d8c1be%7C0%7C0%7C639205062455813537%7CUnknown%7CTWFpbGZsb3d8eyJFbXB0eU1hcGkiOnRydWUsIlYiOiIwLjAuMDAwMCIsIlAiOiJXaW4zMiIsIkFOIjoiTWFpbCIsIldUIjoyfQ%3D%3D%7C0%7C%7C%7C&amp;sdata=BI9eiPyO2YOdvz%2Fmc8zSJAqeX5zdIJr9lpFGCdSRWT0%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angela.olmos%40colombiacompra.gov.co%7C7128555136e04fa6887d08dee99e1b50%7C7b09041e245149d08cb179d5e3d8c1be%7C0%7C0%7C639205062455783512%7CUnknown%7CTWFpbGZsb3d8eyJFbXB0eU1hcGkiOnRydWUsIlYiOiIwLjAuMDAwMCIsIlAiOiJXaW4zMiIsIkFOIjoiTWFpbCIsIldUIjoyfQ%3D%3D%7C0%7C%7C%7C&amp;sdata=o0aNWXLtqBTIjjTfbvEP4fWtwRbbpR5F3D8%2Bgi0xYRw%3D&amp;reserved=0"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angela.olmos%40colombiacompra.gov.co%7C7128555136e04fa6887d08dee99e1b50%7C7b09041e245149d08cb179d5e3d8c1be%7C0%7C0%7C639205062455749430%7CUnknown%7CTWFpbGZsb3d8eyJFbXB0eU1hcGkiOnRydWUsIlYiOiIwLjAuMDAwMCIsIlAiOiJXaW4zMiIsIkFOIjoiTWFpbCIsIldUIjoyfQ%3D%3D%7C0%7C%7C%7C&amp;sdata=%2BwyO1QjPoqQ85c4iiQUT%2B4%2BSIhHwUEw62Bt4IPe08Xs%3D&amp;reserved=0"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olombiacompra.gov.co/pqrsd/informacion-importante-antes-de-formular-una-pqrs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wp-content/uploads/2024/08/manual_de_la_modalidad_de_seleccion_de_minima_cuantia.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199A59-7D2D-4110-8320-75D314D9CF96}"/>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89B25C5D-5972-4DDB-8459-B067981E07DA}">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15</Pages>
  <Words>5016</Words>
  <Characters>27594</Characters>
  <Application>Microsoft Office Word</Application>
  <DocSecurity>0</DocSecurity>
  <Lines>229</Lines>
  <Paragraphs>65</Paragraphs>
  <ScaleCrop>false</ScaleCrop>
  <Company/>
  <LinksUpToDate>false</LinksUpToDate>
  <CharactersWithSpaces>32545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Angela Maria Olmos Andrade</cp:lastModifiedBy>
  <cp:revision>9</cp:revision>
  <cp:lastPrinted>2023-01-10T21:18:00Z</cp:lastPrinted>
  <dcterms:created xsi:type="dcterms:W3CDTF">2026-09-16T21:25:00Z</dcterms:created>
  <dcterms:modified xsi:type="dcterms:W3CDTF">2026-09-17T20:47:00Z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