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2B0FF" w14:textId="77777777" w:rsidR="00A21E0C" w:rsidRPr="00D93B69" w:rsidRDefault="00A21E0C" w:rsidP="00A21E0C">
      <w:pPr>
        <w:snapToGrid w:val="0"/>
        <w:spacing w:after="0" w:line="240" w:lineRule="auto"/>
        <w:rPr>
          <w:rFonts w:ascii="Verdana" w:eastAsia="Aptos" w:hAnsi="Verdana" w:cs="Times New Roman"/>
        </w:rPr>
      </w:pPr>
      <w:bookmarkStart w:id="0" w:name="_Hlk143780582"/>
      <w:r w:rsidRPr="00D93B69">
        <w:rPr>
          <w:rFonts w:ascii="Verdana" w:eastAsia="Aptos" w:hAnsi="Verdana" w:cs="Times New Roman"/>
          <w:b/>
          <w:bCs/>
          <w:color w:val="000000"/>
        </w:rPr>
        <w:t xml:space="preserve">DOCUMENTOS TIPO – Fundamento normativo – Obligatoriedad </w:t>
      </w:r>
    </w:p>
    <w:p w14:paraId="085CFA86" w14:textId="77777777" w:rsidR="00A21E0C" w:rsidRPr="00BC09A4" w:rsidRDefault="00A21E0C" w:rsidP="00A21E0C">
      <w:pPr>
        <w:snapToGrid w:val="0"/>
        <w:spacing w:after="0" w:line="240" w:lineRule="auto"/>
        <w:jc w:val="both"/>
        <w:rPr>
          <w:rFonts w:ascii="Verdana" w:eastAsia="Calibri" w:hAnsi="Verdana" w:cs="Arial"/>
          <w:b/>
          <w:bCs/>
          <w:lang w:val="es-ES_tradnl"/>
        </w:rPr>
      </w:pPr>
    </w:p>
    <w:p w14:paraId="72039445" w14:textId="77777777" w:rsidR="00A21E0C" w:rsidRPr="00D93B69" w:rsidRDefault="00A21E0C" w:rsidP="00A21E0C">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D93B69">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D93B69">
        <w:rPr>
          <w:rFonts w:ascii="Verdana" w:eastAsia="Symbol" w:hAnsi="Verdana" w:cs="Symbol"/>
          <w:sz w:val="20"/>
          <w:szCs w:val="20"/>
          <w:shd w:val="clear" w:color="auto" w:fill="FFFFFF"/>
          <w:lang w:val="es-ES_tradnl" w:eastAsia="es-ES_tradnl"/>
        </w:rPr>
        <w:t>-</w:t>
      </w:r>
      <w:r w:rsidRPr="00D93B69">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E5C1C5C" w14:textId="77777777" w:rsidR="00A21E0C" w:rsidRDefault="00A21E0C" w:rsidP="00A21E0C">
      <w:pPr>
        <w:snapToGrid w:val="0"/>
        <w:spacing w:after="0" w:line="240" w:lineRule="auto"/>
        <w:jc w:val="both"/>
        <w:rPr>
          <w:rFonts w:ascii="Verdana" w:eastAsia="Geomanist Light" w:hAnsi="Verdana" w:cs="Arial"/>
          <w:lang w:val="es-ES_tradnl"/>
        </w:rPr>
      </w:pPr>
    </w:p>
    <w:p w14:paraId="7EB8A5E6" w14:textId="77777777" w:rsidR="00A21E0C" w:rsidRPr="001507B6" w:rsidRDefault="00A21E0C" w:rsidP="00A21E0C">
      <w:pPr>
        <w:snapToGrid w:val="0"/>
        <w:spacing w:after="0" w:line="240" w:lineRule="auto"/>
        <w:jc w:val="both"/>
        <w:rPr>
          <w:rFonts w:ascii="Verdana" w:eastAsia="Geomanist Light" w:hAnsi="Verdana" w:cs="Arial"/>
          <w:b/>
          <w:bCs/>
          <w:lang w:val="es-ES_tradnl"/>
        </w:rPr>
      </w:pPr>
      <w:r w:rsidRPr="001507B6">
        <w:rPr>
          <w:rFonts w:ascii="Verdana" w:eastAsia="Geomanist Light" w:hAnsi="Verdana" w:cs="Arial"/>
          <w:b/>
          <w:bCs/>
          <w:lang w:val="es-ES_tradnl"/>
        </w:rPr>
        <w:t>CAUSALES DE RECHAZO –</w:t>
      </w:r>
      <w:r>
        <w:rPr>
          <w:rFonts w:ascii="Verdana" w:eastAsia="Geomanist Light" w:hAnsi="Verdana" w:cs="Arial"/>
          <w:b/>
          <w:bCs/>
          <w:lang w:val="es-ES_tradnl"/>
        </w:rPr>
        <w:t xml:space="preserve"> Establecidas en la Ley – Pliegos de condiciones</w:t>
      </w:r>
    </w:p>
    <w:p w14:paraId="0CC15667" w14:textId="77777777" w:rsidR="00A21E0C" w:rsidRDefault="00A21E0C" w:rsidP="00A21E0C">
      <w:pPr>
        <w:snapToGrid w:val="0"/>
        <w:spacing w:after="0" w:line="240" w:lineRule="auto"/>
        <w:jc w:val="both"/>
        <w:rPr>
          <w:rFonts w:ascii="Verdana" w:eastAsia="Geomanist Light" w:hAnsi="Verdana" w:cs="Arial"/>
          <w:lang w:val="es-ES_tradnl"/>
        </w:rPr>
      </w:pPr>
    </w:p>
    <w:p w14:paraId="701C6BD5" w14:textId="77777777" w:rsidR="00A21E0C" w:rsidRDefault="00A21E0C" w:rsidP="00A21E0C">
      <w:pPr>
        <w:snapToGrid w:val="0"/>
        <w:spacing w:after="0" w:line="240" w:lineRule="auto"/>
        <w:jc w:val="both"/>
        <w:rPr>
          <w:rFonts w:ascii="Verdana" w:eastAsia="Calibri" w:hAnsi="Verdana" w:cs="Arial"/>
          <w:sz w:val="20"/>
          <w:szCs w:val="20"/>
        </w:rPr>
      </w:pPr>
      <w:r w:rsidRPr="00B36678">
        <w:rPr>
          <w:rFonts w:ascii="Verdana" w:eastAsia="Calibri" w:hAnsi="Verdana" w:cs="Arial"/>
          <w:sz w:val="20"/>
          <w:szCs w:val="20"/>
        </w:rPr>
        <w:t xml:space="preserve">Las causales de rechazo son las establecidas en la Ley y las fijadas por la entidad estatal en los pliegos de condiciones. Sin embargo, en ejercicio de dicha facultad a las entidades no le es dable fijar causales de rechazo que soslayen o afecten la selección objetiva en la contratación. </w:t>
      </w:r>
    </w:p>
    <w:p w14:paraId="0D61AFFC" w14:textId="77777777" w:rsidR="00A21E0C" w:rsidRDefault="00A21E0C" w:rsidP="00A21E0C">
      <w:pPr>
        <w:spacing w:after="0" w:line="240" w:lineRule="auto"/>
        <w:jc w:val="both"/>
        <w:rPr>
          <w:rFonts w:ascii="Verdana" w:eastAsia="Calibri" w:hAnsi="Verdana" w:cs="Arial"/>
          <w:sz w:val="20"/>
          <w:szCs w:val="20"/>
        </w:rPr>
      </w:pPr>
    </w:p>
    <w:p w14:paraId="77A915B5" w14:textId="77777777" w:rsidR="00A21E0C" w:rsidRPr="00B36678" w:rsidRDefault="00A21E0C" w:rsidP="00A21E0C">
      <w:pPr>
        <w:spacing w:after="0" w:line="240" w:lineRule="auto"/>
        <w:rPr>
          <w:rFonts w:ascii="Verdana" w:eastAsia="Calibri" w:hAnsi="Verdana" w:cs="Arial"/>
          <w:sz w:val="20"/>
          <w:szCs w:val="20"/>
        </w:rPr>
      </w:pPr>
      <w:r w:rsidRPr="001507B6">
        <w:rPr>
          <w:rFonts w:ascii="Verdana" w:eastAsia="Geomanist Light" w:hAnsi="Verdana" w:cs="Arial"/>
          <w:b/>
          <w:bCs/>
          <w:lang w:val="es-ES_tradnl"/>
        </w:rPr>
        <w:t>CAUSALES DE RECHAZO</w:t>
      </w:r>
      <w:r>
        <w:rPr>
          <w:rFonts w:ascii="Verdana" w:eastAsia="Geomanist Light" w:hAnsi="Verdana" w:cs="Arial"/>
          <w:b/>
          <w:bCs/>
          <w:lang w:val="es-ES_tradnl"/>
        </w:rPr>
        <w:t xml:space="preserve"> – Aplicación restrictiva </w:t>
      </w:r>
    </w:p>
    <w:p w14:paraId="2CB2C5AE" w14:textId="77777777" w:rsidR="00A21E0C" w:rsidRPr="00B36678" w:rsidRDefault="00A21E0C" w:rsidP="00A21E0C">
      <w:pPr>
        <w:tabs>
          <w:tab w:val="left" w:pos="709"/>
        </w:tabs>
        <w:spacing w:after="0" w:line="240" w:lineRule="auto"/>
        <w:ind w:firstLine="709"/>
        <w:jc w:val="both"/>
        <w:rPr>
          <w:rFonts w:ascii="Verdana" w:eastAsia="Calibri" w:hAnsi="Verdana" w:cs="Arial"/>
          <w:sz w:val="20"/>
          <w:szCs w:val="20"/>
        </w:rPr>
      </w:pPr>
    </w:p>
    <w:p w14:paraId="61566087" w14:textId="77777777" w:rsidR="00A21E0C" w:rsidRDefault="00A21E0C" w:rsidP="00A21E0C">
      <w:pPr>
        <w:spacing w:after="0" w:line="240" w:lineRule="auto"/>
        <w:jc w:val="both"/>
        <w:rPr>
          <w:rFonts w:ascii="Verdana" w:eastAsia="Calibri" w:hAnsi="Verdana" w:cs="Arial"/>
          <w:bCs/>
          <w:sz w:val="20"/>
          <w:szCs w:val="20"/>
        </w:rPr>
      </w:pPr>
      <w:r w:rsidRPr="00B36678">
        <w:rPr>
          <w:rFonts w:ascii="Verdana" w:eastAsia="Calibri" w:hAnsi="Verdana" w:cs="Arial"/>
          <w:bCs/>
          <w:sz w:val="20"/>
          <w:szCs w:val="20"/>
        </w:rPr>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w:t>
      </w:r>
    </w:p>
    <w:p w14:paraId="49C1FD59" w14:textId="77777777" w:rsidR="00A21E0C" w:rsidRDefault="00A21E0C" w:rsidP="00A21E0C">
      <w:pPr>
        <w:spacing w:after="0" w:line="240" w:lineRule="auto"/>
        <w:jc w:val="both"/>
        <w:rPr>
          <w:rFonts w:ascii="Verdana" w:eastAsia="Calibri" w:hAnsi="Verdana" w:cs="Arial"/>
          <w:bCs/>
          <w:sz w:val="20"/>
          <w:szCs w:val="20"/>
        </w:rPr>
      </w:pPr>
    </w:p>
    <w:p w14:paraId="32212529" w14:textId="77777777" w:rsidR="00A21E0C" w:rsidRPr="00944EA9" w:rsidRDefault="00A21E0C" w:rsidP="00A21E0C">
      <w:pPr>
        <w:spacing w:after="0" w:line="240" w:lineRule="auto"/>
        <w:rPr>
          <w:rFonts w:ascii="Verdana" w:eastAsia="Geomanist Light" w:hAnsi="Verdana" w:cs="Arial"/>
          <w:b/>
          <w:bCs/>
          <w:lang w:val="es-ES_tradnl"/>
        </w:rPr>
      </w:pPr>
      <w:r w:rsidRPr="00944EA9">
        <w:rPr>
          <w:rFonts w:ascii="Verdana" w:eastAsia="Geomanist Light" w:hAnsi="Verdana" w:cs="Arial"/>
          <w:b/>
          <w:bCs/>
          <w:lang w:val="es-ES_tradnl"/>
        </w:rPr>
        <w:t xml:space="preserve">DOCUMENTO BASE – </w:t>
      </w:r>
      <w:r>
        <w:rPr>
          <w:rFonts w:ascii="Verdana" w:eastAsia="Geomanist Light" w:hAnsi="Verdana" w:cs="Arial"/>
          <w:b/>
          <w:bCs/>
          <w:lang w:val="es-ES_tradnl"/>
        </w:rPr>
        <w:t xml:space="preserve">Licitación pública – Agua potable y saneamiento básico – </w:t>
      </w:r>
      <w:r w:rsidRPr="00944EA9">
        <w:rPr>
          <w:rFonts w:ascii="Verdana" w:eastAsia="Geomanist Light" w:hAnsi="Verdana" w:cs="Arial"/>
          <w:b/>
          <w:bCs/>
          <w:lang w:val="es-ES_tradnl"/>
        </w:rPr>
        <w:t>Causales de rechazo</w:t>
      </w:r>
      <w:r>
        <w:rPr>
          <w:rFonts w:ascii="Verdana" w:eastAsia="Geomanist Light" w:hAnsi="Verdana" w:cs="Arial"/>
          <w:b/>
          <w:bCs/>
          <w:lang w:val="es-ES_tradnl"/>
        </w:rPr>
        <w:t xml:space="preserve"> – Oferta económica</w:t>
      </w:r>
    </w:p>
    <w:p w14:paraId="3C9B69F7" w14:textId="77777777" w:rsidR="00A21E0C" w:rsidRPr="00B36678" w:rsidRDefault="00A21E0C" w:rsidP="00A21E0C">
      <w:pPr>
        <w:spacing w:after="0" w:line="240" w:lineRule="auto"/>
        <w:jc w:val="both"/>
        <w:rPr>
          <w:rFonts w:ascii="Verdana" w:eastAsia="Calibri" w:hAnsi="Verdana" w:cs="Arial"/>
          <w:bCs/>
          <w:sz w:val="20"/>
          <w:szCs w:val="20"/>
        </w:rPr>
      </w:pPr>
    </w:p>
    <w:p w14:paraId="313CFAEE" w14:textId="77777777" w:rsidR="00A21E0C" w:rsidRPr="00B36678" w:rsidRDefault="00A21E0C" w:rsidP="00A21E0C">
      <w:pPr>
        <w:widowControl w:val="0"/>
        <w:autoSpaceDE w:val="0"/>
        <w:autoSpaceDN w:val="0"/>
        <w:spacing w:after="0" w:line="240" w:lineRule="auto"/>
        <w:jc w:val="both"/>
        <w:rPr>
          <w:rFonts w:ascii="Verdana" w:eastAsia="Calibri" w:hAnsi="Verdana" w:cs="Arial"/>
          <w:sz w:val="20"/>
          <w:szCs w:val="20"/>
          <w:lang w:val="es-ES" w:eastAsia="es-ES" w:bidi="es-ES"/>
        </w:rPr>
      </w:pPr>
      <w:r w:rsidRPr="00B36678">
        <w:rPr>
          <w:rFonts w:ascii="Verdana" w:eastAsia="Calibri" w:hAnsi="Verdana" w:cs="Arial"/>
          <w:sz w:val="20"/>
          <w:szCs w:val="20"/>
        </w:rPr>
        <w:t>De acuerdo con lo anterior, al consultar el numeral 1.15</w:t>
      </w:r>
      <w:r w:rsidRPr="00B36678">
        <w:rPr>
          <w:rFonts w:ascii="Verdana" w:eastAsia="Arial" w:hAnsi="Verdana" w:cs="Arial"/>
          <w:bCs/>
          <w:sz w:val="20"/>
          <w:szCs w:val="20"/>
          <w:lang w:val="es-ES" w:eastAsia="es-ES" w:bidi="es-ES"/>
        </w:rPr>
        <w:t xml:space="preserve"> del Documento Base, existen varias relacionadas con aspectos relativos a la oferta económica. </w:t>
      </w:r>
      <w:r w:rsidRPr="00B36678">
        <w:rPr>
          <w:rFonts w:ascii="Verdana" w:eastAsia="Calibri" w:hAnsi="Verdana" w:cs="Arial"/>
          <w:sz w:val="20"/>
          <w:szCs w:val="20"/>
          <w:lang w:val="es-ES" w:eastAsia="es-ES" w:bidi="es-ES"/>
        </w:rPr>
        <w:t xml:space="preserve">Ante la imposibilidad de incluir nuevas causales, con fundamento en el principio de inalterabilidad, las entidades estatales deben evaluar en la presentación de la oferta económica la configuración de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 </w:t>
      </w:r>
    </w:p>
    <w:p w14:paraId="0B7339E8" w14:textId="77777777" w:rsidR="00A21E0C" w:rsidRDefault="00A21E0C" w:rsidP="00A21E0C">
      <w:pPr>
        <w:widowControl w:val="0"/>
        <w:autoSpaceDE w:val="0"/>
        <w:autoSpaceDN w:val="0"/>
        <w:spacing w:after="0" w:line="240" w:lineRule="auto"/>
        <w:jc w:val="both"/>
        <w:rPr>
          <w:rFonts w:ascii="Verdana" w:eastAsia="Calibri" w:hAnsi="Verdana" w:cs="Arial"/>
          <w:sz w:val="20"/>
          <w:szCs w:val="20"/>
          <w:lang w:val="es-ES" w:eastAsia="es-ES" w:bidi="es-ES"/>
        </w:rPr>
      </w:pPr>
    </w:p>
    <w:p w14:paraId="5E812AA8" w14:textId="77777777" w:rsidR="00A21E0C" w:rsidRPr="00B36678" w:rsidRDefault="00A21E0C" w:rsidP="00A21E0C">
      <w:pPr>
        <w:widowControl w:val="0"/>
        <w:autoSpaceDE w:val="0"/>
        <w:autoSpaceDN w:val="0"/>
        <w:spacing w:after="0" w:line="240" w:lineRule="auto"/>
        <w:jc w:val="both"/>
        <w:rPr>
          <w:rFonts w:ascii="Verdana" w:eastAsia="Calibri" w:hAnsi="Verdana" w:cs="Arial"/>
          <w:sz w:val="20"/>
          <w:szCs w:val="20"/>
          <w:lang w:val="es-ES" w:eastAsia="es-ES" w:bidi="es-ES"/>
        </w:rPr>
      </w:pPr>
      <w:r w:rsidRPr="00B36678">
        <w:rPr>
          <w:rFonts w:ascii="Verdana" w:eastAsia="Calibri" w:hAnsi="Verdana" w:cs="Arial"/>
          <w:sz w:val="20"/>
          <w:szCs w:val="20"/>
          <w:lang w:val="es-ES" w:eastAsia="es-ES" w:bidi="es-ES"/>
        </w:rPr>
        <w:t>Dentro de los múltiples hechos que podría tener lugar en el marco de procesos de selección, puede suceder, por ejemplo, que se presente una oferta cuyo total exceda el valor del Presupuesto Oficial, configurándose la causal de rechazo del literal M; también puede ocurrir que no se ofrezca el valor de un precio unitario –causal de rechazo del literal P</w:t>
      </w:r>
      <w:r w:rsidRPr="00B36678">
        <w:rPr>
          <w:rFonts w:ascii="Verdana" w:eastAsia="Calibri" w:hAnsi="Verdana" w:cs="Arial"/>
          <w:sz w:val="20"/>
          <w:szCs w:val="20"/>
          <w:lang w:val="es-ES" w:eastAsia="es-ES" w:bidi="es-ES"/>
        </w:rPr>
        <w:softHyphen/>
        <w:t>– o que se oferte por encima del tope establecido por la entidad –literal Q–; que “</w:t>
      </w:r>
      <w:r w:rsidRPr="00B36678">
        <w:rPr>
          <w:rFonts w:ascii="Verdana" w:eastAsia="Arial" w:hAnsi="Verdana" w:cs="Arial"/>
          <w:sz w:val="20"/>
          <w:szCs w:val="20"/>
          <w:lang w:eastAsia="es-ES" w:bidi="es-ES"/>
        </w:rPr>
        <w:t>el proponente adicione, suprima, cambie, o modifique los ítems, la descripción, las especificaciones, el detalle, las unidades o cantidades (…)”</w:t>
      </w:r>
      <w:r w:rsidRPr="003B09C0">
        <w:rPr>
          <w:rFonts w:ascii="Verdana" w:eastAsia="Arial" w:hAnsi="Verdana" w:cs="Arial"/>
          <w:sz w:val="20"/>
          <w:szCs w:val="20"/>
          <w:lang w:eastAsia="es-ES" w:bidi="es-ES"/>
        </w:rPr>
        <w:t xml:space="preserve"> –literal O –</w:t>
      </w:r>
      <w:r w:rsidRPr="00B36678">
        <w:rPr>
          <w:rFonts w:ascii="Verdana" w:eastAsia="Arial" w:hAnsi="Verdana" w:cs="Arial"/>
          <w:sz w:val="20"/>
          <w:szCs w:val="20"/>
          <w:lang w:eastAsia="es-ES" w:bidi="es-ES"/>
        </w:rPr>
        <w:t xml:space="preserve">; o que el </w:t>
      </w:r>
      <w:r w:rsidRPr="00B36678">
        <w:rPr>
          <w:rFonts w:ascii="Verdana" w:eastAsia="Arial" w:hAnsi="Verdana" w:cs="Arial"/>
          <w:sz w:val="20"/>
          <w:szCs w:val="20"/>
          <w:lang w:eastAsia="es-ES" w:bidi="es-ES"/>
        </w:rPr>
        <w:lastRenderedPageBreak/>
        <w:t>proponente no presente la oferta económica –literal V–,</w:t>
      </w:r>
      <w:r w:rsidRPr="00B36678">
        <w:rPr>
          <w:rFonts w:ascii="Verdana" w:eastAsia="Calibri" w:hAnsi="Verdana" w:cs="Arial"/>
          <w:sz w:val="20"/>
          <w:szCs w:val="20"/>
          <w:lang w:val="es-ES" w:eastAsia="es-ES" w:bidi="es-ES"/>
        </w:rPr>
        <w:t xml:space="preserve"> eventos que ameritarían el rechazo de la oferta.</w:t>
      </w:r>
    </w:p>
    <w:p w14:paraId="1C4E63C6" w14:textId="77777777" w:rsidR="00A21E0C" w:rsidRPr="00BE76C9" w:rsidRDefault="00A21E0C" w:rsidP="00A21E0C">
      <w:pPr>
        <w:spacing w:after="0" w:line="276" w:lineRule="auto"/>
        <w:jc w:val="both"/>
        <w:rPr>
          <w:rFonts w:ascii="Verdana" w:eastAsia="Geomanist Light" w:hAnsi="Verdana" w:cs="Arial"/>
          <w:lang w:val="es-ES_tradnl"/>
        </w:rPr>
      </w:pPr>
    </w:p>
    <w:p w14:paraId="06565642" w14:textId="77777777" w:rsidR="00A21E0C" w:rsidRPr="00D93B69" w:rsidRDefault="00A21E0C" w:rsidP="00A21E0C">
      <w:pPr>
        <w:spacing w:after="0" w:line="240" w:lineRule="auto"/>
        <w:jc w:val="both"/>
        <w:rPr>
          <w:rFonts w:ascii="Verdana" w:eastAsia="Calibri" w:hAnsi="Verdana" w:cs="Arial"/>
          <w:b/>
          <w:bCs/>
        </w:rPr>
      </w:pPr>
      <w:r w:rsidRPr="00D93B69">
        <w:rPr>
          <w:rFonts w:ascii="Verdana" w:eastAsia="Calibri" w:hAnsi="Verdana" w:cs="Arial"/>
          <w:b/>
          <w:bCs/>
        </w:rPr>
        <w:t xml:space="preserve">DOCUMENTOS TIPO </w:t>
      </w:r>
      <w:r w:rsidRPr="00D93B69">
        <w:rPr>
          <w:rFonts w:ascii="Verdana" w:eastAsia="Calibri" w:hAnsi="Verdana" w:cs="Arial"/>
          <w:b/>
          <w:bCs/>
          <w:color w:val="000000"/>
        </w:rPr>
        <w:t xml:space="preserve">– Infraestructura de agua potable y saneamiento básico – </w:t>
      </w:r>
      <w:r w:rsidRPr="00D93B69">
        <w:rPr>
          <w:rFonts w:ascii="Verdana" w:eastAsia="Calibri" w:hAnsi="Verdana" w:cs="Arial"/>
          <w:b/>
          <w:bCs/>
        </w:rPr>
        <w:t xml:space="preserve">Causales de rechazo </w:t>
      </w:r>
      <w:r w:rsidRPr="00D93B69">
        <w:rPr>
          <w:rFonts w:ascii="Verdana" w:eastAsia="Calibri" w:hAnsi="Verdana" w:cs="Arial"/>
          <w:b/>
          <w:bCs/>
          <w:color w:val="000000"/>
        </w:rPr>
        <w:t>–</w:t>
      </w:r>
      <w:r w:rsidRPr="00D93B69">
        <w:rPr>
          <w:rFonts w:ascii="Verdana" w:eastAsia="Calibri" w:hAnsi="Verdana" w:cs="Arial"/>
          <w:b/>
          <w:bCs/>
        </w:rPr>
        <w:t xml:space="preserve"> Literal O – Adicionar, suprimir, cambiar y modificar</w:t>
      </w:r>
      <w:r w:rsidRPr="00D93B69">
        <w:rPr>
          <w:rFonts w:ascii="Verdana" w:hAnsi="Verdana" w:cs="Arial"/>
          <w:color w:val="000000" w:themeColor="text1"/>
        </w:rPr>
        <w:t xml:space="preserve"> </w:t>
      </w:r>
    </w:p>
    <w:p w14:paraId="3937E5B6" w14:textId="77777777" w:rsidR="00A21E0C" w:rsidRPr="004A164B" w:rsidRDefault="00A21E0C" w:rsidP="00A21E0C">
      <w:pPr>
        <w:spacing w:after="0" w:line="240" w:lineRule="auto"/>
        <w:jc w:val="both"/>
        <w:rPr>
          <w:rFonts w:ascii="Arial" w:eastAsia="Calibri" w:hAnsi="Arial" w:cs="Arial"/>
          <w:b/>
          <w:bCs/>
          <w:sz w:val="20"/>
          <w:szCs w:val="20"/>
          <w:highlight w:val="yellow"/>
        </w:rPr>
      </w:pPr>
    </w:p>
    <w:p w14:paraId="307458C0" w14:textId="77777777" w:rsidR="00A21E0C" w:rsidRPr="00D93B69" w:rsidRDefault="00A21E0C" w:rsidP="00A21E0C">
      <w:pPr>
        <w:spacing w:after="0" w:line="240" w:lineRule="auto"/>
        <w:jc w:val="both"/>
        <w:rPr>
          <w:rFonts w:ascii="Verdana" w:hAnsi="Verdana" w:cs="Arial"/>
          <w:color w:val="000000" w:themeColor="text1"/>
          <w:sz w:val="20"/>
          <w:szCs w:val="20"/>
        </w:rPr>
      </w:pPr>
      <w:r w:rsidRPr="00D93B69">
        <w:rPr>
          <w:rFonts w:ascii="Verdana" w:hAnsi="Verdana" w:cs="Arial"/>
          <w:color w:val="000000" w:themeColor="text1"/>
          <w:sz w:val="20"/>
          <w:szCs w:val="20"/>
        </w:rPr>
        <w:t xml:space="preserve">Respecto del alcance de esta causal, esta Agencia estableció que su análisis implica desagregar cada uno de los verbos  </w:t>
      </w:r>
      <w:r w:rsidRPr="00D93B69">
        <w:rPr>
          <w:rFonts w:ascii="Arial" w:hAnsi="Arial" w:cs="Arial"/>
          <w:color w:val="000000" w:themeColor="text1"/>
          <w:sz w:val="20"/>
          <w:szCs w:val="20"/>
        </w:rPr>
        <w:t>̶</w:t>
      </w:r>
      <w:r w:rsidRPr="00D93B69">
        <w:rPr>
          <w:rFonts w:ascii="Verdana" w:hAnsi="Verdana" w:cs="Arial"/>
          <w:color w:val="000000" w:themeColor="text1"/>
          <w:sz w:val="20"/>
          <w:szCs w:val="20"/>
        </w:rPr>
        <w:t xml:space="preserve"> adicionar, suprimir, cambiar y modificar </w:t>
      </w:r>
      <w:r w:rsidRPr="00D93B69">
        <w:rPr>
          <w:rFonts w:ascii="Arial" w:hAnsi="Arial" w:cs="Arial"/>
          <w:color w:val="000000" w:themeColor="text1"/>
          <w:sz w:val="20"/>
          <w:szCs w:val="20"/>
        </w:rPr>
        <w:t>̶</w:t>
      </w:r>
      <w:r w:rsidRPr="00D93B69">
        <w:rPr>
          <w:rFonts w:ascii="Verdana" w:hAnsi="Verdana" w:cs="Arial"/>
          <w:color w:val="000000" w:themeColor="text1"/>
          <w:sz w:val="20"/>
          <w:szCs w:val="20"/>
        </w:rPr>
        <w:t xml:space="preserve">  y de los elementos que la componen  </w:t>
      </w:r>
      <w:r w:rsidRPr="00D93B69">
        <w:rPr>
          <w:rFonts w:ascii="Arial" w:hAnsi="Arial" w:cs="Arial"/>
          <w:color w:val="000000" w:themeColor="text1"/>
          <w:sz w:val="20"/>
          <w:szCs w:val="20"/>
        </w:rPr>
        <w:t>̶</w:t>
      </w:r>
      <w:r w:rsidRPr="00D93B69">
        <w:rPr>
          <w:rFonts w:ascii="Verdana" w:hAnsi="Verdana" w:cs="Arial"/>
          <w:color w:val="000000" w:themeColor="text1"/>
          <w:sz w:val="20"/>
          <w:szCs w:val="20"/>
        </w:rPr>
        <w:t xml:space="preserve"> </w:t>
      </w:r>
      <w:r w:rsidRPr="00D93B69">
        <w:rPr>
          <w:rFonts w:ascii="Verdana" w:hAnsi="Verdana" w:cs="Arial"/>
          <w:i/>
          <w:color w:val="000000" w:themeColor="text1"/>
          <w:sz w:val="20"/>
          <w:szCs w:val="20"/>
        </w:rPr>
        <w:t>ítem</w:t>
      </w:r>
      <w:r w:rsidRPr="00D93B69">
        <w:rPr>
          <w:rFonts w:ascii="Verdana" w:hAnsi="Verdana" w:cs="Arial"/>
          <w:color w:val="000000" w:themeColor="text1"/>
          <w:sz w:val="20"/>
          <w:szCs w:val="20"/>
        </w:rPr>
        <w:t xml:space="preserve">, descripción, cantidad y unidad </w:t>
      </w:r>
      <w:r w:rsidRPr="00D93B69">
        <w:rPr>
          <w:rFonts w:ascii="Arial" w:hAnsi="Arial" w:cs="Arial"/>
          <w:color w:val="000000" w:themeColor="text1"/>
          <w:sz w:val="20"/>
          <w:szCs w:val="20"/>
        </w:rPr>
        <w:t>̶</w:t>
      </w:r>
      <w:r w:rsidRPr="00D93B69">
        <w:rPr>
          <w:rFonts w:ascii="Verdana" w:hAnsi="Verdana" w:cs="Arial"/>
          <w:color w:val="000000" w:themeColor="text1"/>
          <w:sz w:val="20"/>
          <w:szCs w:val="20"/>
        </w:rPr>
        <w:t xml:space="preserve"> . </w:t>
      </w:r>
    </w:p>
    <w:p w14:paraId="7A7D8B39" w14:textId="77777777" w:rsidR="00A21E0C" w:rsidRPr="009C55F0" w:rsidRDefault="00A21E0C" w:rsidP="00A21E0C">
      <w:pPr>
        <w:pStyle w:val="Prrafodelista"/>
        <w:spacing w:after="0" w:line="276" w:lineRule="auto"/>
        <w:jc w:val="both"/>
        <w:rPr>
          <w:rFonts w:ascii="Verdana" w:hAnsi="Verdana" w:cs="Arial"/>
          <w:color w:val="000000" w:themeColor="text1"/>
        </w:rPr>
      </w:pPr>
    </w:p>
    <w:p w14:paraId="3D5302DE" w14:textId="77777777" w:rsidR="00A21E0C" w:rsidRPr="009504A5" w:rsidRDefault="00A21E0C" w:rsidP="00A21E0C">
      <w:pPr>
        <w:spacing w:after="0" w:line="240" w:lineRule="auto"/>
        <w:jc w:val="both"/>
        <w:rPr>
          <w:rFonts w:ascii="Verdana" w:eastAsia="Calibri" w:hAnsi="Verdana" w:cs="Arial"/>
          <w:b/>
          <w:bCs/>
        </w:rPr>
      </w:pPr>
      <w:r w:rsidRPr="009504A5">
        <w:rPr>
          <w:rFonts w:ascii="Verdana" w:eastAsia="Calibri" w:hAnsi="Verdana" w:cs="Arial"/>
          <w:b/>
          <w:bCs/>
        </w:rPr>
        <w:t xml:space="preserve">DOCUMENTOS TIPO </w:t>
      </w:r>
      <w:r w:rsidRPr="009504A5">
        <w:rPr>
          <w:rFonts w:ascii="Verdana" w:eastAsia="Calibri" w:hAnsi="Verdana" w:cs="Arial"/>
          <w:b/>
          <w:bCs/>
          <w:color w:val="000000"/>
        </w:rPr>
        <w:t xml:space="preserve">– </w:t>
      </w:r>
      <w:r w:rsidRPr="009504A5">
        <w:rPr>
          <w:rFonts w:ascii="Verdana" w:eastAsia="Calibri" w:hAnsi="Verdana" w:cs="Arial"/>
          <w:b/>
          <w:bCs/>
        </w:rPr>
        <w:t xml:space="preserve">Causales de rechazo – Literal O – Configuración </w:t>
      </w:r>
    </w:p>
    <w:p w14:paraId="34A1CD8D" w14:textId="77777777" w:rsidR="00A21E0C" w:rsidRDefault="00A21E0C" w:rsidP="00A21E0C">
      <w:pPr>
        <w:spacing w:after="0" w:line="276" w:lineRule="auto"/>
        <w:jc w:val="both"/>
        <w:rPr>
          <w:rFonts w:ascii="Verdana" w:hAnsi="Verdana" w:cs="Arial"/>
          <w:color w:val="000000" w:themeColor="text1"/>
        </w:rPr>
      </w:pPr>
    </w:p>
    <w:p w14:paraId="3E5757F7" w14:textId="77777777" w:rsidR="00A21E0C" w:rsidRDefault="00A21E0C" w:rsidP="00A21E0C">
      <w:pPr>
        <w:spacing w:after="0" w:line="240" w:lineRule="auto"/>
        <w:jc w:val="both"/>
        <w:rPr>
          <w:rFonts w:ascii="Verdana" w:hAnsi="Verdana" w:cs="Arial"/>
          <w:color w:val="000000" w:themeColor="text1"/>
          <w:sz w:val="20"/>
          <w:szCs w:val="20"/>
        </w:rPr>
      </w:pPr>
      <w:r w:rsidRPr="00BC2AAC">
        <w:rPr>
          <w:rFonts w:ascii="Verdana" w:hAnsi="Verdana" w:cs="Arial"/>
          <w:color w:val="000000" w:themeColor="text1"/>
          <w:sz w:val="20"/>
          <w:szCs w:val="20"/>
        </w:rPr>
        <w:t xml:space="preserve">(…) la configuración de la causal de rechazo es objetiva, en el sentido en que la entidad estatal debe comparar que la propuesta económica del oferente no haya sido adicionada, suprimida, cambiada o modificada en los ítems, especificaciones, el detalle, descripciones, unidades o cantidades definidas en el “Formulario 1– Formulario de Presupuesto Oficial” con las implicaciones enunciadas. </w:t>
      </w:r>
    </w:p>
    <w:p w14:paraId="37D66BFB" w14:textId="77777777" w:rsidR="00A21E0C" w:rsidRPr="00BC2AAC" w:rsidRDefault="00A21E0C" w:rsidP="00A21E0C">
      <w:pPr>
        <w:spacing w:after="0" w:line="240" w:lineRule="auto"/>
        <w:jc w:val="both"/>
        <w:rPr>
          <w:rFonts w:ascii="Verdana" w:hAnsi="Verdana" w:cs="Arial"/>
          <w:color w:val="000000" w:themeColor="text1"/>
          <w:sz w:val="20"/>
          <w:szCs w:val="20"/>
        </w:rPr>
      </w:pPr>
    </w:p>
    <w:p w14:paraId="37F96070" w14:textId="77777777" w:rsidR="00A21E0C" w:rsidRDefault="00A21E0C" w:rsidP="00A21E0C">
      <w:pPr>
        <w:spacing w:after="0" w:line="240" w:lineRule="auto"/>
        <w:jc w:val="both"/>
        <w:rPr>
          <w:rFonts w:ascii="Verdana" w:hAnsi="Verdana" w:cs="Arial"/>
          <w:color w:val="000000" w:themeColor="text1"/>
          <w:sz w:val="20"/>
          <w:szCs w:val="20"/>
        </w:rPr>
      </w:pPr>
      <w:r w:rsidRPr="00BC2AAC">
        <w:rPr>
          <w:rFonts w:ascii="Verdana" w:hAnsi="Verdana" w:cs="Arial"/>
          <w:color w:val="000000" w:themeColor="text1"/>
          <w:sz w:val="20"/>
          <w:szCs w:val="20"/>
        </w:rPr>
        <w:t xml:space="preserve">En este sentido debe indicarse que, tal como se señala en la pestaña de “Propuesta Económica” contenida en el “Formulario 1– Formulario de Presupuesto Oficial” “Los proponentes emplearán el Formulario establecido por la Entidad para determinar su propuesta económica conforme con el Formulario 1 (…) publicado por la Entidad”. Así, la comparación que debe realizar la entidad supone verificar que la adición, supresión, cambio o modificación de la propuesta no se trate de un mero error formal o de digitación, determinado además si ello afectó la descripción, especificaciones, detalles o cantidades de los </w:t>
      </w:r>
      <w:r w:rsidRPr="00BC2AAC">
        <w:rPr>
          <w:rFonts w:ascii="Verdana" w:hAnsi="Verdana" w:cs="Arial"/>
          <w:i/>
          <w:iCs/>
          <w:color w:val="000000" w:themeColor="text1"/>
          <w:sz w:val="20"/>
          <w:szCs w:val="20"/>
        </w:rPr>
        <w:t xml:space="preserve">ítems </w:t>
      </w:r>
      <w:r w:rsidRPr="00BC2AAC">
        <w:rPr>
          <w:rFonts w:ascii="Verdana" w:hAnsi="Verdana" w:cs="Arial"/>
          <w:color w:val="000000" w:themeColor="text1"/>
          <w:sz w:val="20"/>
          <w:szCs w:val="20"/>
        </w:rPr>
        <w:t xml:space="preserve">solicitados. </w:t>
      </w:r>
    </w:p>
    <w:p w14:paraId="74F583DF" w14:textId="77777777" w:rsidR="00A21E0C" w:rsidRPr="00B36678" w:rsidRDefault="00A21E0C" w:rsidP="00A21E0C">
      <w:pPr>
        <w:spacing w:after="0" w:line="240" w:lineRule="auto"/>
        <w:rPr>
          <w:rFonts w:ascii="Verdana" w:eastAsia="Calibri" w:hAnsi="Verdana" w:cs="Times New Roman"/>
        </w:rPr>
      </w:pPr>
    </w:p>
    <w:p w14:paraId="09D10464" w14:textId="77777777" w:rsidR="00A21E0C" w:rsidRPr="00B36678" w:rsidRDefault="00A21E0C" w:rsidP="00A21E0C">
      <w:pPr>
        <w:spacing w:after="0" w:line="240" w:lineRule="auto"/>
        <w:rPr>
          <w:rFonts w:ascii="Verdana" w:eastAsia="Calibri" w:hAnsi="Verdana" w:cs="Times New Roman"/>
        </w:rPr>
      </w:pPr>
    </w:p>
    <w:p w14:paraId="32A225E7" w14:textId="77777777" w:rsidR="00A21E0C" w:rsidRPr="00B36678" w:rsidRDefault="00A21E0C" w:rsidP="00A21E0C">
      <w:pPr>
        <w:spacing w:after="0" w:line="240" w:lineRule="auto"/>
        <w:rPr>
          <w:rFonts w:ascii="Verdana" w:eastAsia="Calibri" w:hAnsi="Verdana" w:cs="Times New Roman"/>
        </w:rPr>
      </w:pPr>
    </w:p>
    <w:p w14:paraId="1194E3E4" w14:textId="77777777" w:rsidR="00A21E0C" w:rsidRPr="00B36678" w:rsidRDefault="00A21E0C" w:rsidP="00A21E0C">
      <w:pPr>
        <w:spacing w:after="0" w:line="240" w:lineRule="auto"/>
        <w:rPr>
          <w:rFonts w:ascii="Verdana" w:eastAsia="Calibri" w:hAnsi="Verdana" w:cs="Times New Roman"/>
        </w:rPr>
      </w:pPr>
    </w:p>
    <w:p w14:paraId="17F7548F" w14:textId="77777777" w:rsidR="00A21E0C" w:rsidRPr="00B36678" w:rsidRDefault="00A21E0C" w:rsidP="00A21E0C">
      <w:pPr>
        <w:spacing w:after="0" w:line="240" w:lineRule="auto"/>
        <w:rPr>
          <w:rFonts w:ascii="Verdana" w:eastAsia="Calibri" w:hAnsi="Verdana" w:cs="Times New Roman"/>
        </w:rPr>
      </w:pPr>
    </w:p>
    <w:p w14:paraId="0673A44E" w14:textId="77777777" w:rsidR="00A21E0C" w:rsidRPr="00B36678" w:rsidRDefault="00A21E0C" w:rsidP="00A21E0C">
      <w:pPr>
        <w:spacing w:after="0" w:line="240" w:lineRule="auto"/>
        <w:rPr>
          <w:rFonts w:ascii="Verdana" w:eastAsia="Calibri" w:hAnsi="Verdana" w:cs="Times New Roman"/>
        </w:rPr>
      </w:pPr>
    </w:p>
    <w:p w14:paraId="1D72FA36" w14:textId="77777777" w:rsidR="00A21E0C" w:rsidRPr="00B36678" w:rsidRDefault="00A21E0C" w:rsidP="00A21E0C">
      <w:pPr>
        <w:spacing w:after="0" w:line="240" w:lineRule="auto"/>
        <w:rPr>
          <w:rFonts w:ascii="Verdana" w:eastAsia="Calibri" w:hAnsi="Verdana" w:cs="Times New Roman"/>
        </w:rPr>
      </w:pPr>
    </w:p>
    <w:p w14:paraId="5EF5B418" w14:textId="77777777" w:rsidR="00A21E0C" w:rsidRPr="00B36678" w:rsidRDefault="00A21E0C" w:rsidP="00A21E0C">
      <w:pPr>
        <w:spacing w:after="0" w:line="240" w:lineRule="auto"/>
        <w:rPr>
          <w:rFonts w:ascii="Verdana" w:eastAsia="Calibri" w:hAnsi="Verdana" w:cs="Times New Roman"/>
        </w:rPr>
      </w:pPr>
    </w:p>
    <w:p w14:paraId="130AEBB1" w14:textId="77777777" w:rsidR="00A21E0C" w:rsidRPr="00B36678" w:rsidRDefault="00A21E0C" w:rsidP="00A21E0C">
      <w:pPr>
        <w:spacing w:after="0" w:line="240" w:lineRule="auto"/>
        <w:rPr>
          <w:rFonts w:ascii="Verdana" w:eastAsia="Calibri" w:hAnsi="Verdana" w:cs="Times New Roman"/>
        </w:rPr>
      </w:pPr>
    </w:p>
    <w:p w14:paraId="25009927" w14:textId="77777777" w:rsidR="00A21E0C" w:rsidRPr="00B36678" w:rsidRDefault="00A21E0C" w:rsidP="00A21E0C">
      <w:pPr>
        <w:spacing w:after="0" w:line="240" w:lineRule="auto"/>
        <w:rPr>
          <w:rFonts w:ascii="Verdana" w:eastAsia="Calibri" w:hAnsi="Verdana" w:cs="Times New Roman"/>
        </w:rPr>
      </w:pPr>
    </w:p>
    <w:p w14:paraId="23003B52" w14:textId="77777777" w:rsidR="00A21E0C" w:rsidRPr="00B36678" w:rsidRDefault="00A21E0C" w:rsidP="00A21E0C">
      <w:pPr>
        <w:spacing w:after="0" w:line="240" w:lineRule="auto"/>
        <w:rPr>
          <w:rFonts w:ascii="Verdana" w:eastAsia="Calibri" w:hAnsi="Verdana" w:cs="Times New Roman"/>
        </w:rPr>
      </w:pPr>
    </w:p>
    <w:p w14:paraId="5AF07D92" w14:textId="77777777" w:rsidR="00A21E0C" w:rsidRPr="00B36678" w:rsidRDefault="00A21E0C" w:rsidP="00A21E0C">
      <w:pPr>
        <w:spacing w:after="0" w:line="240" w:lineRule="auto"/>
        <w:rPr>
          <w:rFonts w:ascii="Verdana" w:eastAsia="Calibri" w:hAnsi="Verdana" w:cs="Times New Roman"/>
        </w:rPr>
      </w:pPr>
    </w:p>
    <w:p w14:paraId="570E4080" w14:textId="77777777" w:rsidR="00A21E0C" w:rsidRPr="00B36678" w:rsidRDefault="00A21E0C" w:rsidP="00A21E0C">
      <w:pPr>
        <w:spacing w:after="0" w:line="240" w:lineRule="auto"/>
        <w:rPr>
          <w:rFonts w:ascii="Verdana" w:eastAsia="Calibri" w:hAnsi="Verdana" w:cs="Times New Roman"/>
        </w:rPr>
      </w:pPr>
    </w:p>
    <w:p w14:paraId="58CD4F02" w14:textId="77777777" w:rsidR="00A21E0C" w:rsidRPr="00B36678" w:rsidRDefault="00A21E0C" w:rsidP="00A21E0C">
      <w:pPr>
        <w:spacing w:after="0" w:line="240" w:lineRule="auto"/>
        <w:rPr>
          <w:rFonts w:ascii="Verdana" w:eastAsia="Calibri" w:hAnsi="Verdana" w:cs="Times New Roman"/>
        </w:rPr>
      </w:pPr>
    </w:p>
    <w:p w14:paraId="575CD7C4" w14:textId="77777777" w:rsidR="00A21E0C" w:rsidRPr="00B36678" w:rsidRDefault="00A21E0C" w:rsidP="00A21E0C">
      <w:pPr>
        <w:spacing w:after="0" w:line="240" w:lineRule="auto"/>
        <w:rPr>
          <w:rFonts w:ascii="Verdana" w:eastAsia="Calibri" w:hAnsi="Verdana" w:cs="Times New Roman"/>
        </w:rPr>
      </w:pPr>
    </w:p>
    <w:p w14:paraId="1FCE6474" w14:textId="77777777" w:rsidR="00A21E0C" w:rsidRPr="00B36678" w:rsidRDefault="00A21E0C" w:rsidP="00A21E0C">
      <w:pPr>
        <w:spacing w:after="0" w:line="240" w:lineRule="auto"/>
        <w:rPr>
          <w:rFonts w:ascii="Verdana" w:eastAsia="Calibri" w:hAnsi="Verdana" w:cs="Times New Roman"/>
        </w:rPr>
      </w:pPr>
    </w:p>
    <w:p w14:paraId="4ED08FF8" w14:textId="77777777" w:rsidR="00516988" w:rsidRDefault="00A21E0C" w:rsidP="00A21E0C">
      <w:pPr>
        <w:spacing w:after="0" w:line="240" w:lineRule="auto"/>
        <w:rPr>
          <w:rFonts w:ascii="Verdana" w:eastAsia="Verdana" w:hAnsi="Verdana" w:cs="Verdana"/>
        </w:rPr>
      </w:pPr>
      <w:r w:rsidRPr="30821638">
        <w:rPr>
          <w:rFonts w:ascii="Verdana" w:eastAsia="Verdana" w:hAnsi="Verdana" w:cs="Verdana"/>
        </w:rPr>
        <w:lastRenderedPageBreak/>
        <w:t>Bogotá D.C.,</w:t>
      </w:r>
      <w:r w:rsidR="00516988">
        <w:rPr>
          <w:rFonts w:ascii="Verdana" w:eastAsia="Verdana" w:hAnsi="Verdana" w:cs="Verdana"/>
        </w:rPr>
        <w:t xml:space="preserve"> 17 de septiembre de 2026</w:t>
      </w:r>
    </w:p>
    <w:p w14:paraId="736C1427" w14:textId="77777777" w:rsidR="00516988" w:rsidRDefault="00516988" w:rsidP="00A21E0C">
      <w:pPr>
        <w:spacing w:after="0" w:line="240" w:lineRule="auto"/>
        <w:rPr>
          <w:rFonts w:ascii="Verdana" w:eastAsia="Verdana" w:hAnsi="Verdana" w:cs="Verdana"/>
        </w:rPr>
      </w:pPr>
    </w:p>
    <w:p w14:paraId="4BF07F58" w14:textId="5DEF7F88" w:rsidR="00A21E0C" w:rsidRDefault="00A21E0C" w:rsidP="00516988">
      <w:pPr>
        <w:spacing w:after="0" w:line="240" w:lineRule="auto"/>
        <w:jc w:val="right"/>
      </w:pPr>
      <w:r>
        <w:tab/>
      </w:r>
    </w:p>
    <w:p w14:paraId="64523E90" w14:textId="47FC643D" w:rsidR="00A21E0C" w:rsidRPr="00B36678" w:rsidRDefault="00A16AC0" w:rsidP="00A21E0C">
      <w:pPr>
        <w:spacing w:after="0" w:line="240" w:lineRule="auto"/>
        <w:rPr>
          <w:rFonts w:ascii="Verdana" w:eastAsia="Calibri" w:hAnsi="Verdana" w:cs="Arial"/>
          <w:lang w:val="es-ES" w:eastAsia="es-ES"/>
        </w:rPr>
      </w:pPr>
      <w:r w:rsidRPr="00516988">
        <w:rPr>
          <w:noProof/>
        </w:rPr>
        <w:drawing>
          <wp:anchor distT="0" distB="0" distL="114300" distR="114300" simplePos="0" relativeHeight="251658240" behindDoc="0" locked="0" layoutInCell="1" allowOverlap="1" wp14:anchorId="11E38A5F" wp14:editId="47A9C127">
            <wp:simplePos x="0" y="0"/>
            <wp:positionH relativeFrom="margin">
              <wp:align>right</wp:align>
            </wp:positionH>
            <wp:positionV relativeFrom="paragraph">
              <wp:posOffset>8255</wp:posOffset>
            </wp:positionV>
            <wp:extent cx="2852420" cy="882015"/>
            <wp:effectExtent l="0" t="0" r="5080" b="0"/>
            <wp:wrapSquare wrapText="bothSides"/>
            <wp:docPr id="3087049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04973" name=""/>
                    <pic:cNvPicPr/>
                  </pic:nvPicPr>
                  <pic:blipFill>
                    <a:blip r:embed="rId10">
                      <a:extLst>
                        <a:ext uri="{28A0092B-C50C-407E-A947-70E740481C1C}">
                          <a14:useLocalDpi xmlns:a14="http://schemas.microsoft.com/office/drawing/2010/main" val="0"/>
                        </a:ext>
                      </a:extLst>
                    </a:blip>
                    <a:stretch>
                      <a:fillRect/>
                    </a:stretch>
                  </pic:blipFill>
                  <pic:spPr>
                    <a:xfrm>
                      <a:off x="0" y="0"/>
                      <a:ext cx="2852420" cy="882015"/>
                    </a:xfrm>
                    <a:prstGeom prst="rect">
                      <a:avLst/>
                    </a:prstGeom>
                  </pic:spPr>
                </pic:pic>
              </a:graphicData>
            </a:graphic>
            <wp14:sizeRelH relativeFrom="margin">
              <wp14:pctWidth>0</wp14:pctWidth>
            </wp14:sizeRelH>
            <wp14:sizeRelV relativeFrom="margin">
              <wp14:pctHeight>0</wp14:pctHeight>
            </wp14:sizeRelV>
          </wp:anchor>
        </w:drawing>
      </w:r>
    </w:p>
    <w:p w14:paraId="42371439" w14:textId="77777777" w:rsidR="00A21E0C" w:rsidRPr="00B36678" w:rsidRDefault="00A21E0C" w:rsidP="00A21E0C">
      <w:pPr>
        <w:spacing w:after="0" w:line="240" w:lineRule="auto"/>
        <w:rPr>
          <w:rFonts w:ascii="Verdana" w:eastAsia="Aptos" w:hAnsi="Verdana" w:cs="Times New Roman"/>
        </w:rPr>
      </w:pPr>
      <w:r w:rsidRPr="00B36678">
        <w:rPr>
          <w:rFonts w:ascii="Verdana" w:eastAsia="Calibri" w:hAnsi="Verdana" w:cs="Arial"/>
          <w:lang w:val="es-ES" w:eastAsia="es-ES"/>
        </w:rPr>
        <w:t>Señor</w:t>
      </w:r>
      <w:r>
        <w:rPr>
          <w:rFonts w:ascii="Verdana" w:eastAsia="Calibri" w:hAnsi="Verdana" w:cs="Arial"/>
          <w:lang w:val="es-ES" w:eastAsia="es-ES"/>
        </w:rPr>
        <w:t>a</w:t>
      </w:r>
    </w:p>
    <w:p w14:paraId="560F967D" w14:textId="77777777" w:rsidR="00A21E0C" w:rsidRDefault="00A21E0C" w:rsidP="00A21E0C">
      <w:pPr>
        <w:spacing w:after="0" w:line="240" w:lineRule="auto"/>
        <w:ind w:left="708" w:hanging="708"/>
        <w:rPr>
          <w:rFonts w:ascii="Verdana" w:eastAsia="Calibri" w:hAnsi="Verdana" w:cs="Arial"/>
          <w:b/>
          <w:bCs/>
          <w:lang w:eastAsia="es-ES_tradnl"/>
        </w:rPr>
      </w:pPr>
      <w:r>
        <w:rPr>
          <w:rFonts w:ascii="Verdana" w:eastAsia="Calibri" w:hAnsi="Verdana" w:cs="Arial"/>
          <w:b/>
          <w:bCs/>
          <w:lang w:eastAsia="es-ES_tradnl"/>
        </w:rPr>
        <w:t>Claudia Sánchez Chavestan</w:t>
      </w:r>
    </w:p>
    <w:p w14:paraId="2F0D13B3" w14:textId="77777777" w:rsidR="00A21E0C" w:rsidRPr="00B36678" w:rsidRDefault="00A21E0C" w:rsidP="00A21E0C">
      <w:pPr>
        <w:spacing w:after="0" w:line="240" w:lineRule="auto"/>
        <w:rPr>
          <w:rFonts w:ascii="Verdana" w:eastAsia="Calibri" w:hAnsi="Verdana" w:cs="Arial"/>
          <w:b/>
          <w:bCs/>
          <w:lang w:val="es-ES_tradnl" w:eastAsia="es-ES_tradnl"/>
        </w:rPr>
      </w:pPr>
      <w:r>
        <w:rPr>
          <w:rFonts w:ascii="Verdana" w:eastAsia="Calibri" w:hAnsi="Verdana" w:cs="Arial"/>
          <w:lang w:val="es-ES_tradnl" w:eastAsia="es-ES_tradnl"/>
        </w:rPr>
        <w:t>Santander de Quilichao, Cauca</w:t>
      </w:r>
    </w:p>
    <w:p w14:paraId="23B98F26" w14:textId="77777777" w:rsidR="00A21E0C" w:rsidRDefault="00A21E0C" w:rsidP="00A21E0C">
      <w:pPr>
        <w:spacing w:after="0" w:line="240" w:lineRule="auto"/>
        <w:rPr>
          <w:rFonts w:ascii="Verdana" w:eastAsia="Calibri" w:hAnsi="Verdana" w:cs="Arial"/>
          <w:b/>
          <w:bCs/>
          <w:lang w:val="es-ES_tradnl" w:eastAsia="es-ES_tradnl"/>
        </w:rPr>
      </w:pPr>
    </w:p>
    <w:p w14:paraId="20B56578" w14:textId="77777777" w:rsidR="00A21E0C" w:rsidRPr="00B36678" w:rsidRDefault="00A21E0C" w:rsidP="00A21E0C">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A21E0C" w:rsidRPr="00B36678" w14:paraId="61518F31" w14:textId="77777777" w:rsidTr="008F5556">
        <w:trPr>
          <w:trHeight w:val="229"/>
        </w:trPr>
        <w:tc>
          <w:tcPr>
            <w:tcW w:w="1985" w:type="dxa"/>
          </w:tcPr>
          <w:p w14:paraId="6A027D11" w14:textId="77777777" w:rsidR="00A21E0C" w:rsidRPr="00B36678" w:rsidRDefault="00A21E0C" w:rsidP="008F5556">
            <w:pPr>
              <w:jc w:val="both"/>
              <w:rPr>
                <w:rFonts w:ascii="Verdana" w:eastAsia="Calibri" w:hAnsi="Verdana" w:cs="Arial"/>
                <w:b/>
                <w:bCs/>
                <w:lang w:val="es-ES_tradnl" w:eastAsia="es-ES_tradnl"/>
              </w:rPr>
            </w:pPr>
          </w:p>
        </w:tc>
        <w:tc>
          <w:tcPr>
            <w:tcW w:w="6383" w:type="dxa"/>
          </w:tcPr>
          <w:p w14:paraId="7C84D229" w14:textId="77777777" w:rsidR="00A21E0C" w:rsidRPr="00B36678" w:rsidRDefault="00A21E0C" w:rsidP="008F5556">
            <w:pPr>
              <w:jc w:val="both"/>
              <w:rPr>
                <w:rFonts w:ascii="Verdana" w:eastAsia="Calibri" w:hAnsi="Verdana" w:cs="Arial"/>
                <w:b/>
                <w:bCs/>
                <w:lang w:val="es-ES" w:eastAsia="es-ES"/>
              </w:rPr>
            </w:pPr>
            <w:r w:rsidRPr="00B36678">
              <w:rPr>
                <w:rFonts w:ascii="Verdana" w:eastAsia="Calibri" w:hAnsi="Verdana" w:cs="Arial"/>
                <w:b/>
                <w:bCs/>
                <w:lang w:val="es-ES" w:eastAsia="es-ES"/>
              </w:rPr>
              <w:t>Concepto C-1</w:t>
            </w:r>
            <w:r>
              <w:rPr>
                <w:rFonts w:ascii="Verdana" w:eastAsia="Calibri" w:hAnsi="Verdana" w:cs="Arial"/>
                <w:b/>
                <w:bCs/>
                <w:lang w:val="es-ES" w:eastAsia="es-ES"/>
              </w:rPr>
              <w:t>246</w:t>
            </w:r>
            <w:r w:rsidRPr="00B36678">
              <w:rPr>
                <w:rFonts w:ascii="Verdana" w:eastAsia="Calibri" w:hAnsi="Verdana" w:cs="Arial"/>
                <w:b/>
                <w:bCs/>
                <w:lang w:val="es-ES" w:eastAsia="es-ES"/>
              </w:rPr>
              <w:t xml:space="preserve"> de 202</w:t>
            </w:r>
            <w:r>
              <w:rPr>
                <w:rFonts w:ascii="Verdana" w:eastAsia="Calibri" w:hAnsi="Verdana" w:cs="Arial"/>
                <w:b/>
                <w:bCs/>
                <w:lang w:val="es-ES" w:eastAsia="es-ES"/>
              </w:rPr>
              <w:t>6</w:t>
            </w:r>
          </w:p>
          <w:p w14:paraId="0E7F58B2" w14:textId="77777777" w:rsidR="00A21E0C" w:rsidRPr="00B36678" w:rsidRDefault="00A21E0C" w:rsidP="008F5556">
            <w:pPr>
              <w:jc w:val="both"/>
              <w:rPr>
                <w:rFonts w:ascii="Verdana" w:eastAsia="Calibri" w:hAnsi="Verdana" w:cs="Arial"/>
                <w:b/>
                <w:bCs/>
                <w:lang w:val="es-ES" w:eastAsia="es-ES"/>
              </w:rPr>
            </w:pPr>
          </w:p>
          <w:p w14:paraId="467A6A6C" w14:textId="77777777" w:rsidR="00A21E0C" w:rsidRPr="00B36678" w:rsidRDefault="00A21E0C" w:rsidP="008F5556">
            <w:pPr>
              <w:jc w:val="both"/>
              <w:rPr>
                <w:rFonts w:ascii="Verdana" w:eastAsia="Calibri" w:hAnsi="Verdana" w:cs="Arial"/>
                <w:b/>
                <w:bCs/>
                <w:lang w:val="es-ES" w:eastAsia="es-ES"/>
              </w:rPr>
            </w:pPr>
          </w:p>
        </w:tc>
      </w:tr>
      <w:tr w:rsidR="00A21E0C" w:rsidRPr="00B36678" w14:paraId="0349C382" w14:textId="77777777" w:rsidTr="008F5556">
        <w:trPr>
          <w:trHeight w:val="884"/>
        </w:trPr>
        <w:tc>
          <w:tcPr>
            <w:tcW w:w="1985" w:type="dxa"/>
          </w:tcPr>
          <w:p w14:paraId="10EF4277" w14:textId="77777777" w:rsidR="00A21E0C" w:rsidRPr="00B36678" w:rsidRDefault="00A21E0C" w:rsidP="008F5556">
            <w:pPr>
              <w:jc w:val="both"/>
              <w:rPr>
                <w:rFonts w:ascii="Verdana" w:eastAsia="Calibri" w:hAnsi="Verdana" w:cs="Arial"/>
                <w:lang w:val="es-ES_tradnl" w:eastAsia="es-ES_tradnl"/>
              </w:rPr>
            </w:pPr>
            <w:r w:rsidRPr="00B36678">
              <w:rPr>
                <w:rFonts w:ascii="Verdana" w:eastAsia="Calibri" w:hAnsi="Verdana" w:cs="Arial"/>
                <w:b/>
                <w:lang w:val="es-ES_tradnl" w:eastAsia="es-ES_tradnl"/>
              </w:rPr>
              <w:t>Temas:</w:t>
            </w:r>
            <w:r w:rsidRPr="00B36678">
              <w:rPr>
                <w:rFonts w:ascii="Verdana" w:eastAsia="Calibri" w:hAnsi="Verdana" w:cs="Arial"/>
                <w:lang w:val="es-ES_tradnl" w:eastAsia="es-ES_tradnl"/>
              </w:rPr>
              <w:t xml:space="preserve">                   </w:t>
            </w:r>
          </w:p>
        </w:tc>
        <w:tc>
          <w:tcPr>
            <w:tcW w:w="6383" w:type="dxa"/>
          </w:tcPr>
          <w:p w14:paraId="45D585C7" w14:textId="77777777" w:rsidR="00A21E0C" w:rsidRPr="0097440F" w:rsidRDefault="00A21E0C" w:rsidP="008F5556">
            <w:pPr>
              <w:jc w:val="both"/>
              <w:rPr>
                <w:rFonts w:ascii="Verdana" w:eastAsia="Calibri" w:hAnsi="Verdana" w:cs="Arial"/>
              </w:rPr>
            </w:pPr>
            <w:r w:rsidRPr="0097440F">
              <w:rPr>
                <w:rFonts w:ascii="Verdana" w:eastAsia="Aptos" w:hAnsi="Verdana" w:cs="Times New Roman"/>
                <w:color w:val="000000"/>
              </w:rPr>
              <w:t xml:space="preserve">DOCUMENTOS TIPO – Fundamento normativo – Obligatoriedad </w:t>
            </w:r>
            <w:r w:rsidRPr="0097440F">
              <w:rPr>
                <w:rFonts w:ascii="Verdana" w:eastAsia="Aptos" w:hAnsi="Verdana" w:cs="Times New Roman"/>
              </w:rPr>
              <w:t xml:space="preserve">/ </w:t>
            </w:r>
            <w:r w:rsidRPr="0097440F">
              <w:rPr>
                <w:rFonts w:ascii="Verdana" w:eastAsia="Geomanist Light" w:hAnsi="Verdana" w:cs="Arial"/>
                <w:lang w:val="es-ES_tradnl"/>
              </w:rPr>
              <w:t xml:space="preserve">CAUSALES DE RECHAZO – Establecidas en la Ley – Pliegos de condiciones / CAUSALES DE RECHAZO – Aplicación restrictiva </w:t>
            </w:r>
            <w:r w:rsidRPr="0097440F">
              <w:rPr>
                <w:rFonts w:ascii="Verdana" w:eastAsia="Calibri" w:hAnsi="Verdana" w:cs="Arial"/>
                <w:sz w:val="20"/>
                <w:szCs w:val="20"/>
              </w:rPr>
              <w:t xml:space="preserve">/ </w:t>
            </w:r>
            <w:r w:rsidRPr="0097440F">
              <w:rPr>
                <w:rFonts w:ascii="Verdana" w:eastAsia="Geomanist Light" w:hAnsi="Verdana" w:cs="Arial"/>
                <w:lang w:val="es-ES_tradnl"/>
              </w:rPr>
              <w:t xml:space="preserve">DOCUMENTO BASE – Licitación pública – Agua potable y saneamiento básico – Causales de rechazo – Oferta económica / </w:t>
            </w:r>
            <w:r w:rsidRPr="0097440F">
              <w:rPr>
                <w:rFonts w:ascii="Verdana" w:eastAsia="Calibri" w:hAnsi="Verdana" w:cs="Arial"/>
              </w:rPr>
              <w:t xml:space="preserve">DOCUMENTOS TIPO </w:t>
            </w:r>
            <w:r w:rsidRPr="0097440F">
              <w:rPr>
                <w:rFonts w:ascii="Verdana" w:eastAsia="Calibri" w:hAnsi="Verdana" w:cs="Arial"/>
                <w:color w:val="000000"/>
              </w:rPr>
              <w:t xml:space="preserve">– Infraestructura de agua potable y saneamiento básico – </w:t>
            </w:r>
            <w:r w:rsidRPr="0097440F">
              <w:rPr>
                <w:rFonts w:ascii="Verdana" w:eastAsia="Calibri" w:hAnsi="Verdana" w:cs="Arial"/>
              </w:rPr>
              <w:t xml:space="preserve">Causales de rechazo </w:t>
            </w:r>
            <w:r w:rsidRPr="0097440F">
              <w:rPr>
                <w:rFonts w:ascii="Verdana" w:eastAsia="Calibri" w:hAnsi="Verdana" w:cs="Arial"/>
                <w:color w:val="000000"/>
              </w:rPr>
              <w:t>–</w:t>
            </w:r>
            <w:r w:rsidRPr="0097440F">
              <w:rPr>
                <w:rFonts w:ascii="Verdana" w:eastAsia="Calibri" w:hAnsi="Verdana" w:cs="Arial"/>
              </w:rPr>
              <w:t xml:space="preserve"> Literal O – Adicionar, suprimir, cambiar y modificar</w:t>
            </w:r>
            <w:r w:rsidRPr="0097440F">
              <w:rPr>
                <w:rFonts w:ascii="Verdana" w:hAnsi="Verdana" w:cs="Arial"/>
                <w:color w:val="000000" w:themeColor="text1"/>
              </w:rPr>
              <w:t xml:space="preserve"> </w:t>
            </w:r>
            <w:r w:rsidRPr="0097440F">
              <w:rPr>
                <w:rFonts w:ascii="Verdana" w:eastAsia="Calibri" w:hAnsi="Verdana" w:cs="Arial"/>
              </w:rPr>
              <w:t xml:space="preserve"> / DOCUMENTOS TIPO </w:t>
            </w:r>
            <w:r w:rsidRPr="0097440F">
              <w:rPr>
                <w:rFonts w:ascii="Verdana" w:eastAsia="Calibri" w:hAnsi="Verdana" w:cs="Arial"/>
                <w:color w:val="000000"/>
              </w:rPr>
              <w:t xml:space="preserve">– </w:t>
            </w:r>
            <w:r w:rsidRPr="0097440F">
              <w:rPr>
                <w:rFonts w:ascii="Verdana" w:eastAsia="Calibri" w:hAnsi="Verdana" w:cs="Arial"/>
              </w:rPr>
              <w:t>Causales de rechazo – Literal O – Configuración</w:t>
            </w:r>
          </w:p>
          <w:p w14:paraId="2B7A0620" w14:textId="77777777" w:rsidR="00A21E0C" w:rsidRPr="00B36678" w:rsidRDefault="00A21E0C" w:rsidP="008F5556">
            <w:pPr>
              <w:jc w:val="both"/>
              <w:rPr>
                <w:rFonts w:ascii="Verdana" w:eastAsia="Calibri" w:hAnsi="Verdana" w:cs="Arial"/>
                <w:bCs/>
                <w:highlight w:val="yellow"/>
                <w:lang w:val="es-ES" w:eastAsia="es-ES"/>
              </w:rPr>
            </w:pPr>
          </w:p>
        </w:tc>
      </w:tr>
      <w:tr w:rsidR="00A21E0C" w:rsidRPr="00B36678" w14:paraId="3469B0BD" w14:textId="77777777" w:rsidTr="008F5556">
        <w:tc>
          <w:tcPr>
            <w:tcW w:w="1985" w:type="dxa"/>
          </w:tcPr>
          <w:p w14:paraId="3FDE0973" w14:textId="77777777" w:rsidR="00A21E0C" w:rsidRPr="00B36678" w:rsidRDefault="00A21E0C" w:rsidP="008F5556">
            <w:pPr>
              <w:jc w:val="both"/>
              <w:rPr>
                <w:rFonts w:ascii="Verdana" w:eastAsia="Calibri" w:hAnsi="Verdana" w:cs="Arial"/>
                <w:b/>
                <w:lang w:val="es-ES_tradnl" w:eastAsia="es-ES_tradnl"/>
              </w:rPr>
            </w:pPr>
            <w:r w:rsidRPr="00B36678">
              <w:rPr>
                <w:rFonts w:ascii="Verdana" w:eastAsia="Calibri" w:hAnsi="Verdana" w:cs="Arial"/>
                <w:b/>
                <w:lang w:val="es-ES_tradnl" w:eastAsia="es-ES_tradnl"/>
              </w:rPr>
              <w:t>Radicación:</w:t>
            </w:r>
            <w:r w:rsidRPr="00B36678">
              <w:rPr>
                <w:rFonts w:ascii="Verdana" w:eastAsia="Calibri" w:hAnsi="Verdana" w:cs="Arial"/>
                <w:lang w:val="es-ES_tradnl" w:eastAsia="es-ES_tradnl"/>
              </w:rPr>
              <w:t xml:space="preserve">               </w:t>
            </w:r>
          </w:p>
        </w:tc>
        <w:tc>
          <w:tcPr>
            <w:tcW w:w="6383" w:type="dxa"/>
          </w:tcPr>
          <w:p w14:paraId="441D5599" w14:textId="77777777" w:rsidR="00A21E0C" w:rsidRPr="00B36678" w:rsidRDefault="00A21E0C" w:rsidP="008F5556">
            <w:pPr>
              <w:ind w:left="3" w:hanging="3"/>
              <w:jc w:val="both"/>
              <w:rPr>
                <w:rFonts w:ascii="Verdana" w:eastAsia="Calibri" w:hAnsi="Verdana" w:cs="Arial"/>
                <w:lang w:val="es-ES_tradnl" w:eastAsia="es-ES_tradnl"/>
              </w:rPr>
            </w:pPr>
            <w:r w:rsidRPr="00B36678">
              <w:rPr>
                <w:rFonts w:ascii="Verdana" w:eastAsia="Calibri" w:hAnsi="Verdana" w:cs="Arial"/>
                <w:lang w:val="es-ES_tradnl" w:eastAsia="es-ES_tradnl"/>
              </w:rPr>
              <w:t>Respuesta a consulta con radicado No. 1_2026_08_06_010452</w:t>
            </w:r>
          </w:p>
        </w:tc>
      </w:tr>
    </w:tbl>
    <w:p w14:paraId="55AE1A8D" w14:textId="77777777" w:rsidR="00A21E0C" w:rsidRPr="00B36678" w:rsidRDefault="00A21E0C" w:rsidP="00A21E0C">
      <w:pPr>
        <w:spacing w:after="0" w:line="240" w:lineRule="auto"/>
        <w:jc w:val="both"/>
        <w:rPr>
          <w:rFonts w:ascii="Verdana" w:eastAsia="Calibri" w:hAnsi="Verdana" w:cs="Arial"/>
          <w:lang w:val="es-ES_tradnl" w:eastAsia="es-ES_tradnl"/>
        </w:rPr>
      </w:pPr>
    </w:p>
    <w:p w14:paraId="133D6F8A" w14:textId="77777777" w:rsidR="00A21E0C" w:rsidRPr="00B36678" w:rsidRDefault="00A21E0C" w:rsidP="00A21E0C">
      <w:pPr>
        <w:spacing w:after="0" w:line="276" w:lineRule="auto"/>
        <w:jc w:val="both"/>
        <w:rPr>
          <w:rFonts w:ascii="Verdana" w:eastAsia="Calibri" w:hAnsi="Verdana" w:cs="Arial"/>
          <w:lang w:val="es-ES" w:eastAsia="es-ES"/>
        </w:rPr>
      </w:pPr>
      <w:r w:rsidRPr="00B36678">
        <w:rPr>
          <w:rFonts w:ascii="Verdana" w:eastAsia="Calibri" w:hAnsi="Verdana" w:cs="Arial"/>
          <w:lang w:val="es-ES" w:eastAsia="es-ES"/>
        </w:rPr>
        <w:t>Estimad</w:t>
      </w:r>
      <w:r>
        <w:rPr>
          <w:rFonts w:ascii="Verdana" w:eastAsia="Calibri" w:hAnsi="Verdana" w:cs="Arial"/>
          <w:lang w:val="es-ES" w:eastAsia="es-ES"/>
        </w:rPr>
        <w:t>a</w:t>
      </w:r>
      <w:r w:rsidRPr="00B36678">
        <w:rPr>
          <w:rFonts w:ascii="Verdana" w:eastAsia="Calibri" w:hAnsi="Verdana" w:cs="Arial"/>
          <w:lang w:val="es-ES" w:eastAsia="es-ES"/>
        </w:rPr>
        <w:t xml:space="preserve"> señor</w:t>
      </w:r>
      <w:r>
        <w:rPr>
          <w:rFonts w:ascii="Verdana" w:eastAsia="Calibri" w:hAnsi="Verdana" w:cs="Arial"/>
          <w:lang w:val="es-ES" w:eastAsia="es-ES"/>
        </w:rPr>
        <w:t>a</w:t>
      </w:r>
      <w:r w:rsidRPr="00B36678">
        <w:rPr>
          <w:rFonts w:ascii="Verdana" w:eastAsia="Calibri" w:hAnsi="Verdana" w:cs="Arial"/>
          <w:lang w:val="es-ES" w:eastAsia="es-ES"/>
        </w:rPr>
        <w:t xml:space="preserve"> </w:t>
      </w:r>
      <w:r w:rsidRPr="00B36678">
        <w:rPr>
          <w:rFonts w:ascii="Verdana" w:eastAsia="Calibri" w:hAnsi="Verdana" w:cs="Arial"/>
          <w:lang w:eastAsia="es-ES_tradnl"/>
        </w:rPr>
        <w:t>Sánchez Chavest</w:t>
      </w:r>
      <w:r>
        <w:rPr>
          <w:rFonts w:ascii="Verdana" w:eastAsia="Calibri" w:hAnsi="Verdana" w:cs="Arial"/>
          <w:lang w:eastAsia="es-ES_tradnl"/>
        </w:rPr>
        <w:t>a</w:t>
      </w:r>
      <w:r w:rsidRPr="00B36678">
        <w:rPr>
          <w:rFonts w:ascii="Verdana" w:eastAsia="Calibri" w:hAnsi="Verdana" w:cs="Arial"/>
          <w:lang w:eastAsia="es-ES_tradnl"/>
        </w:rPr>
        <w:t>n</w:t>
      </w:r>
      <w:r w:rsidRPr="00B36678">
        <w:rPr>
          <w:rFonts w:ascii="Verdana" w:eastAsia="Calibri" w:hAnsi="Verdana" w:cs="Arial"/>
          <w:lang w:val="es-ES" w:eastAsia="es-ES"/>
        </w:rPr>
        <w:t xml:space="preserve">: </w:t>
      </w:r>
    </w:p>
    <w:p w14:paraId="36ECAC38" w14:textId="77777777" w:rsidR="00A21E0C" w:rsidRPr="00B36678" w:rsidRDefault="00A21E0C" w:rsidP="00A21E0C">
      <w:pPr>
        <w:tabs>
          <w:tab w:val="left" w:pos="3768"/>
        </w:tabs>
        <w:spacing w:after="0" w:line="276" w:lineRule="auto"/>
        <w:jc w:val="both"/>
        <w:rPr>
          <w:rFonts w:ascii="Verdana" w:eastAsia="Calibri" w:hAnsi="Verdana" w:cs="Arial"/>
          <w:lang w:val="es-ES" w:eastAsia="es-ES"/>
        </w:rPr>
      </w:pPr>
      <w:r w:rsidRPr="00B36678">
        <w:rPr>
          <w:rFonts w:ascii="Verdana" w:eastAsia="Calibri" w:hAnsi="Verdana" w:cs="Arial"/>
          <w:lang w:val="es-ES" w:eastAsia="es-ES"/>
        </w:rPr>
        <w:tab/>
      </w:r>
    </w:p>
    <w:p w14:paraId="3097A4D4" w14:textId="77777777" w:rsidR="00A21E0C" w:rsidRPr="00B36678" w:rsidRDefault="00A21E0C" w:rsidP="00A21E0C">
      <w:pPr>
        <w:spacing w:after="0" w:line="276" w:lineRule="auto"/>
        <w:jc w:val="both"/>
        <w:rPr>
          <w:rFonts w:ascii="Verdana" w:eastAsia="Calibri" w:hAnsi="Verdana" w:cs="Arial"/>
          <w:lang w:val="es-ES" w:eastAsia="es-ES"/>
        </w:rPr>
      </w:pPr>
      <w:r w:rsidRPr="00B36678">
        <w:rPr>
          <w:rFonts w:ascii="Verdana" w:eastAsia="Calibri" w:hAnsi="Verdana" w:cs="Arial"/>
          <w:lang w:val="es-ES"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del </w:t>
      </w:r>
      <w:r>
        <w:rPr>
          <w:rFonts w:ascii="Verdana" w:eastAsia="Calibri" w:hAnsi="Verdana" w:cs="Arial"/>
          <w:lang w:val="es-ES" w:eastAsia="es-ES"/>
        </w:rPr>
        <w:t>05</w:t>
      </w:r>
      <w:r w:rsidRPr="00B36678">
        <w:rPr>
          <w:rFonts w:ascii="Verdana" w:eastAsia="Calibri" w:hAnsi="Verdana" w:cs="Arial"/>
          <w:lang w:val="es-ES" w:eastAsia="es-ES"/>
        </w:rPr>
        <w:t xml:space="preserve"> de </w:t>
      </w:r>
      <w:r>
        <w:rPr>
          <w:rFonts w:ascii="Verdana" w:eastAsia="Calibri" w:hAnsi="Verdana" w:cs="Arial"/>
          <w:lang w:val="es-ES" w:eastAsia="es-ES"/>
        </w:rPr>
        <w:t>agosto</w:t>
      </w:r>
      <w:r w:rsidRPr="00B36678">
        <w:rPr>
          <w:rFonts w:ascii="Verdana" w:eastAsia="Calibri" w:hAnsi="Verdana" w:cs="Arial"/>
          <w:lang w:val="es-ES" w:eastAsia="es-ES"/>
        </w:rPr>
        <w:t xml:space="preserve"> de 202</w:t>
      </w:r>
      <w:r>
        <w:rPr>
          <w:rFonts w:ascii="Verdana" w:eastAsia="Calibri" w:hAnsi="Verdana" w:cs="Arial"/>
          <w:lang w:val="es-ES" w:eastAsia="es-ES"/>
        </w:rPr>
        <w:t>6</w:t>
      </w:r>
      <w:r w:rsidRPr="00B36678">
        <w:rPr>
          <w:rFonts w:ascii="Verdana" w:eastAsia="Calibri" w:hAnsi="Verdana" w:cs="Arial"/>
          <w:lang w:val="es-ES" w:eastAsia="es-ES"/>
        </w:rPr>
        <w:t>, en la cual manifiesta lo siguiente:</w:t>
      </w:r>
    </w:p>
    <w:p w14:paraId="449B339B" w14:textId="77777777" w:rsidR="00A21E0C" w:rsidRPr="00B36678" w:rsidRDefault="00A21E0C" w:rsidP="00A21E0C">
      <w:pPr>
        <w:spacing w:after="0" w:line="276" w:lineRule="auto"/>
        <w:jc w:val="both"/>
        <w:rPr>
          <w:rFonts w:ascii="Verdana" w:eastAsia="Calibri" w:hAnsi="Verdana" w:cs="Arial"/>
          <w:lang w:val="es-ES" w:eastAsia="es-ES"/>
        </w:rPr>
      </w:pPr>
    </w:p>
    <w:p w14:paraId="11178BF1"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eastAsia="Aptos" w:hAnsi="Verdana" w:cs="Helvetica"/>
          <w:color w:val="000000"/>
          <w:sz w:val="20"/>
          <w:szCs w:val="20"/>
        </w:rPr>
        <w:t>“</w:t>
      </w:r>
      <w:r w:rsidRPr="00B36678">
        <w:rPr>
          <w:rFonts w:ascii="Verdana" w:hAnsi="Verdana"/>
          <w:sz w:val="20"/>
          <w:szCs w:val="20"/>
        </w:rPr>
        <w:t xml:space="preserve">En ejercicio del derecho de petición en la modalidad de consulta, previsto en el artículo 23 de la Constitución Política y regulado por la Ley 1755 de 2015, respetuosamente solicito a esa Agencia emitir un concepto jurídico de carácter general y académico sobre el alcance e interpretación de la causal de rechazo prevista en el literal O de los Documentos Tipo para procesos de Licitación Pública de Agua Potable y Saneamiento Básico. </w:t>
      </w:r>
    </w:p>
    <w:p w14:paraId="4F604CBB"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lastRenderedPageBreak/>
        <w:t xml:space="preserve">La presente consulta no tiene por objeto obtener un pronunciamiento sobre un proceso de selección específico, una actuación administrativa en particular o la legalidad de una decisión adoptada por una entidad estatal, sino conocer el criterio jurídico de esta Agencia respecto de la correcta interpretación y aplicación de dicha causal de rechazo, de manera que sirva como orientación para futuros procesos de selección adelantados bajo los Documentos Tipo. </w:t>
      </w:r>
    </w:p>
    <w:p w14:paraId="3C6C73E8"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 xml:space="preserve">Para ello, se plantea el siguiente supuesto académico: </w:t>
      </w:r>
    </w:p>
    <w:p w14:paraId="27A75A2F"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En un proceso de Licitación Pública de Agua Potable y Saneamiento Básico, el proponente presenta su oferta económica mediante el Formulario No. 1 – Formulario de Presupuesto Oficial, debidamente diligenciado, impreso y suscrito, conforme al formato establecido por la entidad.</w:t>
      </w:r>
    </w:p>
    <w:p w14:paraId="5A3B7AD0"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Durante la evaluación de la oferta económica, la entidad observa que, en aproximadamente treinta y ocho (38) ítems del Formulario No. 1, la descripción no puede visualizarse en su totalidad, debido a que el segmento final del texto no aparece reflejado en el documento físico presentado por el proponente, impidiendo la lectura completa de dichas descripciones.</w:t>
      </w:r>
    </w:p>
    <w:p w14:paraId="36E3712D"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Al revisar el comportamiento del documento, se advierte que esta circunstancia se presenta de manera uniforme y repetitiva en los diferentes ítems afectados, por lo que, prima facie, podría corresponder a un aparente comportamiento asociado a la impresión del formulario y no necesariamente a una actuación deliberada del proponente sobre su contenido.</w:t>
      </w:r>
    </w:p>
    <w:p w14:paraId="4E79AF9A"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 xml:space="preserve">Así mismo, en los mismos ítems permanecen plenamente visibles y legibles el número del ítem, el código, la unidad de medida, la cantidad, el precio unitario, el valor parcial, las operaciones aritméticas y el valor total de la propuesta, sin evidenciarse, desde el contenido visible del documento, la incorporación de nuevos ítems, la eliminación de renglones completos, la modificación de cantidades, unidades de medida, precios unitarios, valores parciales o de la estructura general del Formulario No. 1. </w:t>
      </w:r>
    </w:p>
    <w:p w14:paraId="2D528222"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 xml:space="preserve">En el supuesto planteado, la entidad únicamente dispone para la evaluación de la propuesta económica presentada en medio físico, no existiendo otro documento que haga parte de la oferta económica sobre el cual pueda efectuarse la revisión del contenido del Formulario No. 1. </w:t>
      </w:r>
    </w:p>
    <w:p w14:paraId="51572E5D" w14:textId="77777777" w:rsidR="00A21E0C" w:rsidRPr="00B36678" w:rsidRDefault="00A21E0C" w:rsidP="00A21E0C">
      <w:pPr>
        <w:spacing w:after="120" w:line="240" w:lineRule="auto"/>
        <w:ind w:left="709" w:right="709"/>
        <w:jc w:val="both"/>
        <w:rPr>
          <w:rFonts w:ascii="Verdana" w:hAnsi="Verdana"/>
          <w:kern w:val="2"/>
          <w:sz w:val="20"/>
          <w:szCs w:val="20"/>
        </w:rPr>
      </w:pPr>
      <w:r w:rsidRPr="00B36678">
        <w:rPr>
          <w:rFonts w:ascii="Verdana" w:hAnsi="Verdana"/>
          <w:sz w:val="20"/>
          <w:szCs w:val="20"/>
        </w:rPr>
        <w:t>La inquietud jurídica surge porque el literal O de las causales de rechazo establece:</w:t>
      </w:r>
    </w:p>
    <w:p w14:paraId="189A81BA" w14:textId="77777777" w:rsidR="00A21E0C" w:rsidRPr="00B36678" w:rsidRDefault="00A21E0C" w:rsidP="00A21E0C">
      <w:pPr>
        <w:spacing w:after="120" w:line="240" w:lineRule="auto"/>
        <w:ind w:left="709" w:right="709"/>
        <w:jc w:val="both"/>
        <w:rPr>
          <w:rFonts w:ascii="Verdana" w:eastAsia="Aptos" w:hAnsi="Verdana" w:cs="Helvetica"/>
          <w:b/>
          <w:bCs/>
          <w:color w:val="000000"/>
          <w:sz w:val="20"/>
          <w:szCs w:val="20"/>
        </w:rPr>
      </w:pPr>
      <w:r w:rsidRPr="00B36678">
        <w:rPr>
          <w:rFonts w:ascii="Verdana" w:hAnsi="Verdana"/>
          <w:b/>
          <w:bCs/>
          <w:sz w:val="20"/>
          <w:szCs w:val="20"/>
        </w:rPr>
        <w:t>"Que el proponente adicione, suprima, cambie o modifique los ítems, la descripción, las especificaciones, el detalle, las unidades o cantidades señaladas en el Formulario No. 1 – Formulario de Presupuesto Oficial, de acuerdo con lo exigido por la Entidad."</w:t>
      </w:r>
    </w:p>
    <w:p w14:paraId="7A6F6B2C"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lastRenderedPageBreak/>
        <w:t>De igual forma, se observa que mediante el Concepto C-781 de 2025, esa Agencia desarrolló el alcance de dicha causal de rechazo, indicando que la misma se encuentra orientada a impedir que el proponente realice actuaciones consistentes en adicionar, suprimir, cambiar o modificar los elementos definidos por la entidad dentro del Formulario de Presupuesto Oficial.</w:t>
      </w:r>
    </w:p>
    <w:p w14:paraId="1F6F7671"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En ese contexto, surge la inquietud interpretativa respecto del alcance de dichas expresiones, pues el supuesto planteado no corresponde, al menos de manera evidente, a la incorporación de nuevos contenidos, ni a la sustitución de información, ni a la alteración de valores o cantidades, sino a una situación en la cual únicamente se aprecia que el segmento final de la descripción de algunos ítems no resulta visible en el documento físico objeto de evaluación</w:t>
      </w:r>
    </w:p>
    <w:p w14:paraId="121F7F7B"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Con fundamento en lo anterior, respetuosamente solicito a esa Agencia emitir concepto respecto de los siguientes interrogantes:</w:t>
      </w:r>
    </w:p>
    <w:p w14:paraId="5D6A4E86"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1. ¿Cuál es el alcance jurídico de las expresiones "adicione", "suprima", "cambie" y "modifique" contenidas en el literal O de las causales de rechazo de los Documentos Tipo para procesos de Licitación Pública de Agua Potable y Saneamiento Básico?</w:t>
      </w:r>
    </w:p>
    <w:p w14:paraId="52535766"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2. Conforme a la interpretación desarrollada por esa Agencia en el Concepto C781 de 2025, ¿la configuración de cualquiera de estas conductas exige necesariamente acreditar una actuación material atribuible al proponente sobre el contenido del Formulario No. 1, o basta la sola constatación de que una parte de la descripción de algunos ítems no pueda visualizarse completamente en el documento físico objeto de evaluación?</w:t>
      </w:r>
    </w:p>
    <w:p w14:paraId="624CD365"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3. Cuando la única circunstancia observada consiste en que el segmento final de la descripción de aproximadamente treinta y ocho (38) ítems no resulta visible, mientras permanecen íntegros el número del ítem, el código, la unidad de medida, las cantidades, los precios unitarios, los valores parciales, el valor total de la oferta y la estructura del formulario, ¿puede considerarse que dicha situación configura alguno de los supuestos de adicionar, suprimir, cambiar o modificar previstos en el literal O?</w:t>
      </w:r>
    </w:p>
    <w:p w14:paraId="3856C6BF"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4. En una situación como la descrita, en la que el comportamiento observado presenta características uniformes que, prima facie, podrían corresponder a un aparente error de impresión del formulario, ¿qué actuaciones de verificación considera esa Agencia que debe adelantar la entidad contratante antes de concluir que el proponente incurrió en alguna de las conductas descritas en el literal O?</w:t>
      </w:r>
    </w:p>
    <w:p w14:paraId="74136D4B"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 xml:space="preserve">5. ¿Resulta jurídicamente procedente que la entidad concluya que se configuró la causal de rechazo prevista en el literal O cuando no cuenta con elementos objetivos que permitan determinar si la visualización </w:t>
      </w:r>
      <w:r w:rsidRPr="00B36678">
        <w:rPr>
          <w:rFonts w:ascii="Verdana" w:hAnsi="Verdana"/>
          <w:sz w:val="20"/>
          <w:szCs w:val="20"/>
        </w:rPr>
        <w:lastRenderedPageBreak/>
        <w:t>parcial de la descripción obedece efectivamente a una actuación atribuible al proponente o a otra circunstancia relacionada con la presentación material del documento?</w:t>
      </w:r>
    </w:p>
    <w:p w14:paraId="2854C345"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6. En aplicación de los principios de transparencia, selección objetiva, buena fe, debido proceso, proporcionalidad y prevalencia del derecho sustancial, ¿cuál considera esa Agencia que debe ser el estándar de valoración y de motivación que deben observar las entidades estatales para determinar la configuración de la causal prevista en el literal O en situaciones como la descrita?</w:t>
      </w:r>
    </w:p>
    <w:p w14:paraId="56D3ECA1"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7. ¿El deber de verificación que corresponde adelantar a las entidades estatales durante la evaluación de las ofertas implica la obligación de agotar actuaciones razonables encaminadas a establecer el origen de la situación observada antes de adoptar una decisión de rechazo? En caso afirmativo, ¿cuáles serían, en criterio de esa Agencia, las actuaciones mínimas que deberían adelantarse?</w:t>
      </w:r>
    </w:p>
    <w:p w14:paraId="1B29D008" w14:textId="77777777" w:rsidR="00A21E0C" w:rsidRPr="00B36678" w:rsidRDefault="00A21E0C" w:rsidP="00A21E0C">
      <w:pPr>
        <w:spacing w:after="120" w:line="240" w:lineRule="auto"/>
        <w:ind w:left="709" w:right="709"/>
        <w:jc w:val="both"/>
        <w:rPr>
          <w:rFonts w:ascii="Verdana" w:hAnsi="Verdana"/>
          <w:sz w:val="20"/>
          <w:szCs w:val="20"/>
        </w:rPr>
      </w:pPr>
      <w:r w:rsidRPr="00B36678">
        <w:rPr>
          <w:rFonts w:ascii="Verdana" w:hAnsi="Verdana"/>
          <w:sz w:val="20"/>
          <w:szCs w:val="20"/>
        </w:rPr>
        <w:t xml:space="preserve">8. Finalmente, con el propósito de promover una aplicación uniforme de los Documentos Tipo y brindar seguridad jurídica a entidades y proponentes, ¿qué criterios recomienda esa Agencia para diferenciar una verdadera alteración del contenido del Formulario No. 1 atribuible al proponente de una circunstancia que, objetivamente, pueda corresponder a una limitación en la visualización o presentación material del documento? </w:t>
      </w:r>
    </w:p>
    <w:p w14:paraId="2E1E79D5" w14:textId="77777777" w:rsidR="00A21E0C" w:rsidRPr="00B36678" w:rsidRDefault="00A21E0C" w:rsidP="00A21E0C">
      <w:pPr>
        <w:spacing w:after="120" w:line="240" w:lineRule="auto"/>
        <w:ind w:left="709" w:right="709"/>
        <w:jc w:val="both"/>
        <w:rPr>
          <w:rFonts w:ascii="Verdana" w:hAnsi="Verdana"/>
          <w:kern w:val="2"/>
          <w:sz w:val="20"/>
          <w:szCs w:val="20"/>
        </w:rPr>
      </w:pPr>
      <w:r w:rsidRPr="00B36678">
        <w:rPr>
          <w:rFonts w:ascii="Verdana" w:hAnsi="Verdana"/>
          <w:sz w:val="20"/>
          <w:szCs w:val="20"/>
        </w:rPr>
        <w:t>Agradezco de antemano la atención prestada y la orientación jurídica que esa Agencia pueda brindar sobre los aspectos consultados, la cual constituirá un importante referente para la correcta aplicación de los Documentos Tipo en futuros procesos de contratación pública</w:t>
      </w:r>
      <w:r w:rsidRPr="00B36678">
        <w:rPr>
          <w:rFonts w:ascii="Verdana" w:eastAsia="Aptos" w:hAnsi="Verdana" w:cs="Helvetica"/>
          <w:color w:val="000000"/>
          <w:sz w:val="20"/>
          <w:szCs w:val="20"/>
        </w:rPr>
        <w:t>”.</w:t>
      </w:r>
    </w:p>
    <w:p w14:paraId="62349953" w14:textId="77777777" w:rsidR="00A21E0C" w:rsidRPr="00B36678" w:rsidRDefault="00A21E0C" w:rsidP="00A21E0C">
      <w:pPr>
        <w:spacing w:after="0" w:line="276" w:lineRule="auto"/>
        <w:jc w:val="both"/>
        <w:rPr>
          <w:rFonts w:ascii="Verdana" w:eastAsia="Calibri" w:hAnsi="Verdana" w:cs="Arial"/>
          <w:lang w:val="es-ES" w:eastAsia="es-ES"/>
        </w:rPr>
      </w:pPr>
    </w:p>
    <w:p w14:paraId="16EAE0CB" w14:textId="77777777" w:rsidR="00A21E0C" w:rsidRPr="00B36678" w:rsidRDefault="00A21E0C" w:rsidP="00A21E0C">
      <w:pPr>
        <w:spacing w:after="120" w:line="276" w:lineRule="auto"/>
        <w:ind w:firstLine="709"/>
        <w:jc w:val="both"/>
        <w:rPr>
          <w:rFonts w:ascii="Verdana" w:eastAsia="Calibri" w:hAnsi="Verdana" w:cs="Arial"/>
          <w:color w:val="000000"/>
          <w:lang w:eastAsia="es-ES"/>
        </w:rPr>
      </w:pPr>
      <w:r w:rsidRPr="00B3667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36678">
        <w:rPr>
          <w:rFonts w:ascii="Verdana" w:eastAsia="Calibri" w:hAnsi="Verdana" w:cs="Arial"/>
          <w:color w:val="000000"/>
          <w:lang w:eastAsia="es-ES"/>
        </w:rPr>
        <w:tab/>
      </w:r>
    </w:p>
    <w:p w14:paraId="4BBE84D7" w14:textId="77777777" w:rsidR="00A21E0C" w:rsidRPr="00B36678" w:rsidRDefault="00A21E0C" w:rsidP="00A21E0C">
      <w:pPr>
        <w:spacing w:after="0" w:line="276" w:lineRule="auto"/>
        <w:ind w:firstLine="709"/>
        <w:jc w:val="both"/>
        <w:rPr>
          <w:rFonts w:ascii="Verdana" w:eastAsia="Calibri" w:hAnsi="Verdana" w:cs="Arial"/>
          <w:color w:val="000000"/>
          <w:lang w:eastAsia="es-ES"/>
        </w:rPr>
      </w:pPr>
      <w:r w:rsidRPr="00B36678">
        <w:rPr>
          <w:rFonts w:ascii="Verdana" w:eastAsia="Calibri" w:hAnsi="Verdana" w:cs="Arial"/>
          <w:color w:val="000000"/>
          <w:lang w:eastAsia="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6FB15AD" w14:textId="77777777" w:rsidR="00A21E0C" w:rsidRPr="00B36678" w:rsidRDefault="00A21E0C" w:rsidP="00A21E0C">
      <w:pPr>
        <w:spacing w:after="0" w:line="276" w:lineRule="auto"/>
        <w:jc w:val="both"/>
        <w:rPr>
          <w:rFonts w:ascii="Verdana" w:eastAsia="Calibri" w:hAnsi="Verdana" w:cs="Arial"/>
          <w:lang w:val="es-ES" w:eastAsia="es-ES"/>
        </w:rPr>
      </w:pPr>
    </w:p>
    <w:p w14:paraId="497B8B6D" w14:textId="77777777" w:rsidR="00A21E0C" w:rsidRPr="00B36678" w:rsidRDefault="00A21E0C" w:rsidP="00A21E0C">
      <w:pPr>
        <w:numPr>
          <w:ilvl w:val="0"/>
          <w:numId w:val="17"/>
        </w:numPr>
        <w:tabs>
          <w:tab w:val="left" w:pos="142"/>
          <w:tab w:val="left" w:pos="284"/>
        </w:tabs>
        <w:spacing w:after="0" w:line="276" w:lineRule="auto"/>
        <w:jc w:val="both"/>
        <w:rPr>
          <w:rFonts w:ascii="Verdana" w:eastAsia="Century Gothic" w:hAnsi="Verdana" w:cs="Century Gothic"/>
          <w:b/>
          <w:bCs/>
        </w:rPr>
      </w:pPr>
      <w:r w:rsidRPr="00B36678">
        <w:rPr>
          <w:rFonts w:ascii="Verdana" w:eastAsia="Century Gothic" w:hAnsi="Verdana" w:cs="Century Gothic"/>
          <w:b/>
          <w:bCs/>
        </w:rPr>
        <w:t>Problema planteado:</w:t>
      </w:r>
    </w:p>
    <w:p w14:paraId="23A0BEEC" w14:textId="77777777" w:rsidR="00A21E0C" w:rsidRPr="00B36678" w:rsidRDefault="00A21E0C" w:rsidP="00A21E0C">
      <w:pPr>
        <w:tabs>
          <w:tab w:val="left" w:pos="426"/>
        </w:tabs>
        <w:spacing w:after="0" w:line="276" w:lineRule="auto"/>
        <w:jc w:val="both"/>
        <w:rPr>
          <w:rFonts w:ascii="Verdana" w:eastAsia="Century Gothic" w:hAnsi="Verdana" w:cs="Century Gothic"/>
          <w:lang w:val="es-ES"/>
        </w:rPr>
      </w:pPr>
    </w:p>
    <w:p w14:paraId="68C933E8" w14:textId="77777777" w:rsidR="00A21E0C" w:rsidRPr="00B36678" w:rsidRDefault="00A21E0C" w:rsidP="00A21E0C">
      <w:pPr>
        <w:spacing w:after="0" w:line="276" w:lineRule="auto"/>
        <w:jc w:val="both"/>
        <w:rPr>
          <w:rFonts w:ascii="Verdana" w:eastAsia="Calibri" w:hAnsi="Verdana" w:cs="Arial"/>
          <w:lang w:val="es-ES" w:eastAsia="es-ES"/>
        </w:rPr>
      </w:pPr>
      <w:r w:rsidRPr="00B36678">
        <w:rPr>
          <w:rFonts w:ascii="Verdana" w:eastAsia="Century Gothic" w:hAnsi="Verdana" w:cs="Century Gothic"/>
        </w:rPr>
        <w:t xml:space="preserve">De acuerdo con el contenido de su solicitud, esta Agencia en relación con los </w:t>
      </w:r>
      <w:r w:rsidRPr="00B36678">
        <w:rPr>
          <w:rFonts w:ascii="Verdana" w:eastAsia="Calibri" w:hAnsi="Verdana" w:cs="Times New Roman"/>
          <w:lang w:val="es-ES"/>
        </w:rPr>
        <w:t>documentos tipo para los procesos de licitación pública para obras de infraestructura de agua potable y saneamiento básico,</w:t>
      </w:r>
      <w:r w:rsidRPr="00B36678">
        <w:rPr>
          <w:rFonts w:ascii="Verdana" w:eastAsia="Century Gothic" w:hAnsi="Verdana" w:cs="Century Gothic"/>
        </w:rPr>
        <w:t xml:space="preserve"> resolverá los siguientes problemas jurídicos: i) </w:t>
      </w:r>
      <w:r w:rsidRPr="005C2E4B">
        <w:rPr>
          <w:rFonts w:ascii="Verdana" w:eastAsia="Century Gothic" w:hAnsi="Verdana" w:cs="Century Gothic"/>
        </w:rPr>
        <w:t xml:space="preserve">¿Qué causales de rechazo del numeral 1.15 se relacionan con la oferta económica?, </w:t>
      </w:r>
      <w:proofErr w:type="spellStart"/>
      <w:r w:rsidRPr="005C2E4B">
        <w:rPr>
          <w:rFonts w:ascii="Verdana" w:eastAsia="Century Gothic" w:hAnsi="Verdana" w:cs="Century Gothic"/>
        </w:rPr>
        <w:t>ii</w:t>
      </w:r>
      <w:proofErr w:type="spellEnd"/>
      <w:r w:rsidRPr="005C2E4B">
        <w:rPr>
          <w:rFonts w:ascii="Verdana" w:eastAsia="Century Gothic" w:hAnsi="Verdana" w:cs="Century Gothic"/>
        </w:rPr>
        <w:t xml:space="preserve">) </w:t>
      </w:r>
      <w:r w:rsidRPr="00B36678">
        <w:rPr>
          <w:rFonts w:ascii="Verdana" w:eastAsia="Calibri" w:hAnsi="Verdana" w:cs="Arial"/>
          <w:lang w:val="es-ES" w:eastAsia="es-ES"/>
        </w:rPr>
        <w:t>¿Cuál es el alcance</w:t>
      </w:r>
      <w:r w:rsidRPr="005C2E4B">
        <w:rPr>
          <w:rFonts w:ascii="Verdana" w:eastAsia="Calibri" w:hAnsi="Verdana" w:cs="Arial"/>
          <w:lang w:val="es-ES" w:eastAsia="es-ES"/>
        </w:rPr>
        <w:t xml:space="preserve"> de la causal de rechazo del literal “o” contenida en el numeral 1.15 del documento base</w:t>
      </w:r>
      <w:r w:rsidRPr="00B36678">
        <w:rPr>
          <w:rFonts w:ascii="Verdana" w:eastAsia="Calibri" w:hAnsi="Verdana" w:cs="Arial"/>
          <w:lang w:val="es-ES" w:eastAsia="es-ES"/>
        </w:rPr>
        <w:t>?</w:t>
      </w:r>
      <w:r w:rsidRPr="005C2E4B">
        <w:rPr>
          <w:rFonts w:ascii="Verdana" w:eastAsia="Calibri" w:hAnsi="Verdana" w:cs="Arial"/>
          <w:lang w:val="es-ES" w:eastAsia="es-ES"/>
        </w:rPr>
        <w:t xml:space="preserve">, </w:t>
      </w:r>
      <w:proofErr w:type="spellStart"/>
      <w:r w:rsidRPr="005C2E4B">
        <w:rPr>
          <w:rFonts w:ascii="Verdana" w:eastAsia="Calibri" w:hAnsi="Verdana" w:cs="Arial"/>
          <w:lang w:val="es-ES" w:eastAsia="es-ES"/>
        </w:rPr>
        <w:t>iii</w:t>
      </w:r>
      <w:proofErr w:type="spellEnd"/>
      <w:r w:rsidRPr="005C2E4B">
        <w:rPr>
          <w:rFonts w:ascii="Verdana" w:eastAsia="Calibri" w:hAnsi="Verdana" w:cs="Arial"/>
          <w:lang w:val="es-ES" w:eastAsia="es-ES"/>
        </w:rPr>
        <w:t xml:space="preserve">) ¿Qué acción debe adelantar una entidad para determinar si se encuentra ante la causal de rechazo contenida en el literal “o” del numeral 1.15 del documento base? y </w:t>
      </w:r>
      <w:proofErr w:type="spellStart"/>
      <w:r w:rsidRPr="005C2E4B">
        <w:rPr>
          <w:rFonts w:ascii="Verdana" w:eastAsia="Calibri" w:hAnsi="Verdana" w:cs="Arial"/>
          <w:lang w:val="es-ES" w:eastAsia="es-ES"/>
        </w:rPr>
        <w:t>iv</w:t>
      </w:r>
      <w:proofErr w:type="spellEnd"/>
      <w:r w:rsidRPr="005C2E4B">
        <w:rPr>
          <w:rFonts w:ascii="Verdana" w:eastAsia="Calibri" w:hAnsi="Verdana" w:cs="Arial"/>
          <w:lang w:val="es-ES" w:eastAsia="es-ES"/>
        </w:rPr>
        <w:t xml:space="preserve">) ¿Cuál es el alcance de la regla de </w:t>
      </w:r>
      <w:proofErr w:type="spellStart"/>
      <w:r w:rsidRPr="005C2E4B">
        <w:rPr>
          <w:rFonts w:ascii="Verdana" w:eastAsia="Calibri" w:hAnsi="Verdana" w:cs="Arial"/>
          <w:lang w:val="es-ES" w:eastAsia="es-ES"/>
        </w:rPr>
        <w:t>subsanabilidad</w:t>
      </w:r>
      <w:proofErr w:type="spellEnd"/>
      <w:r w:rsidRPr="005C2E4B">
        <w:rPr>
          <w:rFonts w:ascii="Verdana" w:eastAsia="Calibri" w:hAnsi="Verdana" w:cs="Arial"/>
          <w:lang w:val="es-ES" w:eastAsia="es-ES"/>
        </w:rPr>
        <w:t xml:space="preserve"> y de aclaración de las ofertas?</w:t>
      </w:r>
    </w:p>
    <w:p w14:paraId="09D932C3" w14:textId="77777777" w:rsidR="00A21E0C" w:rsidRPr="00B36678" w:rsidRDefault="00A21E0C" w:rsidP="00A21E0C">
      <w:pPr>
        <w:spacing w:after="0" w:line="276" w:lineRule="auto"/>
        <w:jc w:val="both"/>
        <w:rPr>
          <w:rFonts w:ascii="Verdana" w:eastAsia="Century Gothic" w:hAnsi="Verdana" w:cs="Century Gothic"/>
        </w:rPr>
      </w:pPr>
    </w:p>
    <w:p w14:paraId="6C7D1065" w14:textId="77777777" w:rsidR="00A21E0C" w:rsidRPr="00B36678" w:rsidRDefault="00A21E0C" w:rsidP="00A21E0C">
      <w:pPr>
        <w:tabs>
          <w:tab w:val="left" w:pos="142"/>
          <w:tab w:val="left" w:pos="284"/>
        </w:tabs>
        <w:spacing w:after="0" w:line="276" w:lineRule="auto"/>
        <w:contextualSpacing/>
        <w:jc w:val="both"/>
        <w:rPr>
          <w:rFonts w:ascii="Verdana" w:eastAsia="Century Gothic" w:hAnsi="Verdana" w:cs="Century Gothic"/>
          <w:b/>
          <w:bCs/>
          <w:lang w:val="es-ES"/>
        </w:rPr>
      </w:pPr>
      <w:r w:rsidRPr="00B36678">
        <w:rPr>
          <w:rFonts w:ascii="Verdana" w:eastAsia="Century Gothic" w:hAnsi="Verdana" w:cs="Century Gothic"/>
          <w:b/>
          <w:bCs/>
          <w:lang w:val="es-ES"/>
        </w:rPr>
        <w:t>2. Respuestas:</w:t>
      </w:r>
    </w:p>
    <w:p w14:paraId="14EADD51" w14:textId="77777777" w:rsidR="00A21E0C" w:rsidRPr="00B36678" w:rsidRDefault="00A21E0C" w:rsidP="00A21E0C">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21E0C" w:rsidRPr="00B36678" w14:paraId="2DF17BD9" w14:textId="77777777" w:rsidTr="008F5556">
        <w:trPr>
          <w:trHeight w:val="40"/>
        </w:trPr>
        <w:tc>
          <w:tcPr>
            <w:tcW w:w="8828" w:type="dxa"/>
            <w:tcBorders>
              <w:top w:val="dotted" w:sz="4" w:space="0" w:color="auto"/>
              <w:left w:val="dotted" w:sz="4" w:space="0" w:color="auto"/>
              <w:bottom w:val="dotted" w:sz="4" w:space="0" w:color="auto"/>
              <w:right w:val="dotted" w:sz="4" w:space="0" w:color="auto"/>
            </w:tcBorders>
          </w:tcPr>
          <w:p w14:paraId="11393230" w14:textId="77777777" w:rsidR="00A21E0C" w:rsidRPr="00B36678" w:rsidRDefault="00A21E0C" w:rsidP="008F5556">
            <w:pPr>
              <w:widowControl w:val="0"/>
              <w:autoSpaceDE w:val="0"/>
              <w:autoSpaceDN w:val="0"/>
              <w:spacing w:after="120" w:line="276" w:lineRule="auto"/>
              <w:jc w:val="both"/>
              <w:rPr>
                <w:rFonts w:ascii="Verdana" w:eastAsia="Calibri" w:hAnsi="Verdana" w:cs="Arial"/>
                <w:lang w:val="es-ES" w:eastAsia="es-ES" w:bidi="es-ES"/>
              </w:rPr>
            </w:pPr>
            <w:r>
              <w:rPr>
                <w:rFonts w:ascii="Verdana" w:eastAsia="Calibri" w:hAnsi="Verdana" w:cs="Arial"/>
              </w:rPr>
              <w:t>i. A</w:t>
            </w:r>
            <w:r w:rsidRPr="00B36678">
              <w:rPr>
                <w:rFonts w:ascii="Verdana" w:eastAsia="Calibri" w:hAnsi="Verdana" w:cs="Arial"/>
              </w:rPr>
              <w:t>l consultar el numeral 1.15</w:t>
            </w:r>
            <w:r w:rsidRPr="00B36678">
              <w:rPr>
                <w:rFonts w:ascii="Verdana" w:eastAsia="Arial" w:hAnsi="Verdana" w:cs="Arial"/>
                <w:bCs/>
                <w:lang w:val="es-ES" w:eastAsia="es-ES" w:bidi="es-ES"/>
              </w:rPr>
              <w:t xml:space="preserve"> del Documento Base</w:t>
            </w:r>
            <w:r>
              <w:rPr>
                <w:rFonts w:ascii="Verdana" w:eastAsia="Arial" w:hAnsi="Verdana" w:cs="Arial"/>
                <w:bCs/>
                <w:lang w:val="es-ES" w:eastAsia="es-ES" w:bidi="es-ES"/>
              </w:rPr>
              <w:t xml:space="preserve"> de los documentos tipo de licitación de obra pública de infraestructura de agua potable y saneamiento básico</w:t>
            </w:r>
            <w:r w:rsidRPr="00B36678">
              <w:rPr>
                <w:rFonts w:ascii="Verdana" w:eastAsia="Arial" w:hAnsi="Verdana" w:cs="Arial"/>
                <w:bCs/>
                <w:lang w:val="es-ES" w:eastAsia="es-ES" w:bidi="es-ES"/>
              </w:rPr>
              <w:t xml:space="preserve">, existen varias </w:t>
            </w:r>
            <w:r>
              <w:rPr>
                <w:rFonts w:ascii="Verdana" w:eastAsia="Arial" w:hAnsi="Verdana" w:cs="Arial"/>
                <w:bCs/>
                <w:lang w:val="es-ES" w:eastAsia="es-ES" w:bidi="es-ES"/>
              </w:rPr>
              <w:t xml:space="preserve">causales de rechazo </w:t>
            </w:r>
            <w:r w:rsidRPr="00B36678">
              <w:rPr>
                <w:rFonts w:ascii="Verdana" w:eastAsia="Arial" w:hAnsi="Verdana" w:cs="Arial"/>
                <w:bCs/>
                <w:lang w:val="es-ES" w:eastAsia="es-ES" w:bidi="es-ES"/>
              </w:rPr>
              <w:t xml:space="preserve">relacionadas con aspectos relativos a la oferta económica. </w:t>
            </w:r>
            <w:r w:rsidRPr="00B36678">
              <w:rPr>
                <w:rFonts w:ascii="Verdana" w:eastAsia="Calibri" w:hAnsi="Verdana" w:cs="Arial"/>
                <w:lang w:val="es-ES" w:eastAsia="es-ES" w:bidi="es-ES"/>
              </w:rPr>
              <w:t xml:space="preserve">Ante la imposibilidad de incluir nuevas causales, con fundamento en el principio de inalterabilidad, las entidades estatales deben evaluar en la presentación de la oferta económica la configuración de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 </w:t>
            </w:r>
          </w:p>
          <w:p w14:paraId="5A471308" w14:textId="77777777" w:rsidR="00A21E0C" w:rsidRPr="00B36678" w:rsidRDefault="00A21E0C" w:rsidP="008F5556">
            <w:pPr>
              <w:widowControl w:val="0"/>
              <w:autoSpaceDE w:val="0"/>
              <w:autoSpaceDN w:val="0"/>
              <w:spacing w:after="120" w:line="276" w:lineRule="auto"/>
              <w:ind w:firstLine="709"/>
              <w:jc w:val="both"/>
              <w:rPr>
                <w:rFonts w:ascii="Verdana" w:eastAsia="Calibri" w:hAnsi="Verdana" w:cs="Arial"/>
                <w:lang w:val="es-ES" w:eastAsia="es-ES" w:bidi="es-ES"/>
              </w:rPr>
            </w:pPr>
            <w:r w:rsidRPr="00B36678">
              <w:rPr>
                <w:rFonts w:ascii="Verdana" w:eastAsia="Calibri" w:hAnsi="Verdana" w:cs="Arial"/>
                <w:lang w:val="es-ES" w:eastAsia="es-ES" w:bidi="es-ES"/>
              </w:rPr>
              <w:t>Dentro de los múltiples hechos que podría tener lugar en el marco de procesos de selección, puede suceder, por ejemplo, que se presente una oferta cuyo total exceda el valor del Presupuesto Oficial, configurándose la causal de rechazo del literal M; también puede ocurrir que no se ofrezca el valor de un precio unitario –causal de rechazo del literal P</w:t>
            </w:r>
            <w:r w:rsidRPr="00B36678">
              <w:rPr>
                <w:rFonts w:ascii="Verdana" w:eastAsia="Calibri" w:hAnsi="Verdana" w:cs="Arial"/>
                <w:lang w:val="es-ES" w:eastAsia="es-ES" w:bidi="es-ES"/>
              </w:rPr>
              <w:softHyphen/>
              <w:t>– o que se oferte por encima del tope establecido por la entidad –literal Q–; que “</w:t>
            </w:r>
            <w:r w:rsidRPr="00B36678">
              <w:rPr>
                <w:rFonts w:ascii="Verdana" w:eastAsia="Arial" w:hAnsi="Verdana" w:cs="Arial"/>
                <w:lang w:eastAsia="es-ES" w:bidi="es-ES"/>
              </w:rPr>
              <w:t xml:space="preserve">el proponente adicione, </w:t>
            </w:r>
            <w:r w:rsidRPr="00B36678">
              <w:rPr>
                <w:rFonts w:ascii="Verdana" w:eastAsia="Arial" w:hAnsi="Verdana" w:cs="Arial"/>
                <w:lang w:eastAsia="es-ES" w:bidi="es-ES"/>
              </w:rPr>
              <w:lastRenderedPageBreak/>
              <w:t>suprima, cambie, o modifique los ítems, la descripción, las especificaciones, el detalle, las unidades o cantidades (…)”</w:t>
            </w:r>
            <w:r>
              <w:rPr>
                <w:rFonts w:ascii="Verdana" w:eastAsia="Arial" w:hAnsi="Verdana" w:cs="Arial"/>
                <w:lang w:eastAsia="es-ES" w:bidi="es-ES"/>
              </w:rPr>
              <w:t xml:space="preserve"> –literal O –</w:t>
            </w:r>
            <w:r w:rsidRPr="00B36678">
              <w:rPr>
                <w:rFonts w:ascii="Verdana" w:eastAsia="Arial" w:hAnsi="Verdana" w:cs="Arial"/>
                <w:lang w:eastAsia="es-ES" w:bidi="es-ES"/>
              </w:rPr>
              <w:t>; o que el proponente no presente la oferta económica –literal V–,</w:t>
            </w:r>
            <w:r w:rsidRPr="00B36678">
              <w:rPr>
                <w:rFonts w:ascii="Verdana" w:eastAsia="Calibri" w:hAnsi="Verdana" w:cs="Arial"/>
                <w:lang w:val="es-ES" w:eastAsia="es-ES" w:bidi="es-ES"/>
              </w:rPr>
              <w:t xml:space="preserve"> eventos que ameritarían el rechazo de la oferta.</w:t>
            </w:r>
          </w:p>
          <w:p w14:paraId="73B21190" w14:textId="77777777" w:rsidR="00A21E0C" w:rsidRDefault="00A21E0C" w:rsidP="008F5556">
            <w:pPr>
              <w:widowControl w:val="0"/>
              <w:autoSpaceDE w:val="0"/>
              <w:autoSpaceDN w:val="0"/>
              <w:spacing w:line="276" w:lineRule="auto"/>
              <w:ind w:firstLine="709"/>
              <w:jc w:val="both"/>
              <w:rPr>
                <w:rFonts w:ascii="Verdana" w:eastAsia="Calibri" w:hAnsi="Verdana" w:cs="Arial"/>
                <w:lang w:val="es-ES" w:eastAsia="es-ES" w:bidi="es-ES"/>
              </w:rPr>
            </w:pPr>
            <w:r w:rsidRPr="00B36678">
              <w:rPr>
                <w:rFonts w:ascii="Verdana" w:eastAsia="Calibri" w:hAnsi="Verdana" w:cs="Arial"/>
                <w:lang w:val="es-ES" w:eastAsia="es-ES" w:bidi="es-ES"/>
              </w:rPr>
              <w:t>Otra de las situaciones que imposibilitan evaluar la oferta económica presentada, consiste en la inclusión de información de la oferta económica en el sobre que no corresponde, según lo establecido en los parágrafos 2 y 3 del artículo 30 de la Ley 80 de 1993, adicionados por la Ley 1882 de 2018, y regulados en los numerales 2.3, 2.3.1 y 2.3.2 del Documento Base. Esto dado que estas normas exigen que los documentos relacionados con la acreditación de los requisitos habilitantes se presenten en un sobre –Sobre 1–, y la oferta económica sea presentada en otro distinto –Sobre 2</w:t>
            </w:r>
            <w:r w:rsidRPr="00B36678">
              <w:rPr>
                <w:rFonts w:ascii="Verdana" w:eastAsia="Calibri" w:hAnsi="Verdana" w:cs="Arial"/>
                <w:lang w:val="es-ES" w:eastAsia="es-ES" w:bidi="es-ES"/>
              </w:rPr>
              <w:softHyphen/>
              <w:t xml:space="preserve">–.  </w:t>
            </w:r>
          </w:p>
          <w:p w14:paraId="1158C497" w14:textId="77777777" w:rsidR="00A21E0C" w:rsidRDefault="00A21E0C" w:rsidP="008F5556">
            <w:pPr>
              <w:spacing w:line="276" w:lineRule="auto"/>
              <w:jc w:val="both"/>
              <w:rPr>
                <w:rFonts w:ascii="Verdana" w:eastAsia="Calibri" w:hAnsi="Verdana" w:cs="Arial"/>
                <w:lang w:val="es-ES" w:eastAsia="es-ES" w:bidi="es-ES"/>
              </w:rPr>
            </w:pPr>
          </w:p>
          <w:p w14:paraId="157A9153" w14:textId="77777777" w:rsidR="00A21E0C" w:rsidRDefault="00A21E0C" w:rsidP="008F5556">
            <w:pPr>
              <w:spacing w:line="276" w:lineRule="auto"/>
              <w:jc w:val="both"/>
              <w:rPr>
                <w:rFonts w:ascii="Verdana" w:eastAsia="Calibri" w:hAnsi="Verdana" w:cs="Arial"/>
                <w:lang w:val="es-ES" w:eastAsia="es-ES" w:bidi="es-ES"/>
              </w:rPr>
            </w:pPr>
            <w:proofErr w:type="spellStart"/>
            <w:r>
              <w:rPr>
                <w:rFonts w:ascii="Verdana" w:eastAsia="Calibri" w:hAnsi="Verdana" w:cs="Arial"/>
                <w:lang w:val="es-ES" w:eastAsia="es-ES" w:bidi="es-ES"/>
              </w:rPr>
              <w:t>ii</w:t>
            </w:r>
            <w:proofErr w:type="spellEnd"/>
            <w:r>
              <w:rPr>
                <w:rFonts w:ascii="Verdana" w:eastAsia="Calibri" w:hAnsi="Verdana" w:cs="Arial"/>
                <w:lang w:val="es-ES" w:eastAsia="es-ES" w:bidi="es-ES"/>
              </w:rPr>
              <w:t xml:space="preserve">. y </w:t>
            </w:r>
            <w:proofErr w:type="spellStart"/>
            <w:r>
              <w:rPr>
                <w:rFonts w:ascii="Verdana" w:eastAsia="Calibri" w:hAnsi="Verdana" w:cs="Arial"/>
                <w:lang w:val="es-ES" w:eastAsia="es-ES" w:bidi="es-ES"/>
              </w:rPr>
              <w:t>iii</w:t>
            </w:r>
            <w:proofErr w:type="spellEnd"/>
            <w:r>
              <w:rPr>
                <w:rFonts w:ascii="Verdana" w:eastAsia="Calibri" w:hAnsi="Verdana" w:cs="Arial"/>
                <w:lang w:val="es-ES" w:eastAsia="es-ES" w:bidi="es-ES"/>
              </w:rPr>
              <w:t>. Por unidad de materia los problemas jurídicos dos y tres se responderán de forma conjunta en los siguientes términos:</w:t>
            </w:r>
          </w:p>
          <w:p w14:paraId="1A25E709" w14:textId="77777777" w:rsidR="00A21E0C" w:rsidRDefault="00A21E0C" w:rsidP="008F5556">
            <w:pPr>
              <w:spacing w:line="276" w:lineRule="auto"/>
              <w:jc w:val="both"/>
              <w:rPr>
                <w:rFonts w:ascii="Verdana" w:eastAsia="Calibri" w:hAnsi="Verdana" w:cs="Arial"/>
                <w:lang w:val="es-ES" w:eastAsia="es-ES" w:bidi="es-ES"/>
              </w:rPr>
            </w:pPr>
          </w:p>
          <w:p w14:paraId="3B1CFB7E" w14:textId="77777777" w:rsidR="00A21E0C" w:rsidRPr="00F52630" w:rsidRDefault="00A21E0C" w:rsidP="008F5556">
            <w:pPr>
              <w:spacing w:line="276" w:lineRule="auto"/>
              <w:jc w:val="both"/>
              <w:rPr>
                <w:rFonts w:ascii="Verdana" w:eastAsia="Calibri" w:hAnsi="Verdana" w:cs="Arial"/>
                <w:bCs/>
              </w:rPr>
            </w:pPr>
            <w:r w:rsidRPr="00F52630">
              <w:rPr>
                <w:rFonts w:ascii="Verdana" w:eastAsia="Calibri" w:hAnsi="Verdana" w:cs="Arial"/>
                <w:bCs/>
              </w:rPr>
              <w:t>En los documentos tipo de licitación de obra pública de infraestructura</w:t>
            </w:r>
            <w:r>
              <w:rPr>
                <w:rFonts w:ascii="Verdana" w:eastAsia="Calibri" w:hAnsi="Verdana" w:cs="Arial"/>
                <w:bCs/>
              </w:rPr>
              <w:t xml:space="preserve"> de agua potable y saneamiento básico</w:t>
            </w:r>
            <w:r w:rsidRPr="00F52630">
              <w:rPr>
                <w:rFonts w:ascii="Verdana" w:eastAsia="Calibri" w:hAnsi="Verdana" w:cs="Arial"/>
                <w:bCs/>
              </w:rPr>
              <w:t xml:space="preserve">, se incluyeron las causales de rechazo de las ofertas, entre ellas, la relacionada con la presente consulta –causal </w:t>
            </w:r>
            <w:r>
              <w:rPr>
                <w:rFonts w:ascii="Verdana" w:eastAsia="Calibri" w:hAnsi="Verdana" w:cs="Arial"/>
                <w:bCs/>
              </w:rPr>
              <w:t>O</w:t>
            </w:r>
            <w:r w:rsidRPr="00F52630">
              <w:rPr>
                <w:rFonts w:ascii="Verdana" w:eastAsia="Calibri" w:hAnsi="Verdana" w:cs="Arial"/>
                <w:bCs/>
              </w:rPr>
              <w:t xml:space="preserve">–, la cual se transcribe en los siguientes términos:    </w:t>
            </w:r>
          </w:p>
          <w:p w14:paraId="61E8E597" w14:textId="77777777" w:rsidR="00A21E0C" w:rsidRPr="00F52630" w:rsidRDefault="00A21E0C" w:rsidP="008F5556">
            <w:pPr>
              <w:ind w:left="709" w:right="709"/>
              <w:jc w:val="both"/>
              <w:rPr>
                <w:rFonts w:ascii="Verdana" w:eastAsia="Calibri" w:hAnsi="Verdana" w:cs="Arial"/>
                <w:bCs/>
                <w:sz w:val="21"/>
                <w:szCs w:val="21"/>
              </w:rPr>
            </w:pPr>
          </w:p>
          <w:p w14:paraId="3EBCC35F" w14:textId="77777777" w:rsidR="00A21E0C" w:rsidRPr="00F52630" w:rsidRDefault="00A21E0C" w:rsidP="008F5556">
            <w:pPr>
              <w:ind w:left="709" w:right="709"/>
              <w:jc w:val="both"/>
              <w:rPr>
                <w:rFonts w:ascii="Verdana" w:eastAsia="Calibri" w:hAnsi="Verdana" w:cs="Times New Roman"/>
                <w:sz w:val="21"/>
                <w:szCs w:val="21"/>
                <w:lang w:val="es-MX"/>
              </w:rPr>
            </w:pPr>
            <w:r w:rsidRPr="00F52630">
              <w:rPr>
                <w:rFonts w:ascii="Verdana" w:eastAsia="Calibri" w:hAnsi="Verdana" w:cs="Times New Roman"/>
                <w:sz w:val="21"/>
                <w:szCs w:val="21"/>
                <w:lang w:val="es-MX"/>
              </w:rPr>
              <w:t>“</w:t>
            </w:r>
            <w:r>
              <w:rPr>
                <w:rFonts w:ascii="Verdana" w:eastAsia="Calibri" w:hAnsi="Verdana" w:cs="Times New Roman"/>
                <w:sz w:val="21"/>
                <w:szCs w:val="21"/>
                <w:lang w:val="es-MX"/>
              </w:rPr>
              <w:t>O</w:t>
            </w:r>
            <w:r w:rsidRPr="00F52630">
              <w:rPr>
                <w:rFonts w:ascii="Verdana" w:eastAsia="Calibri" w:hAnsi="Verdana" w:cs="Times New Roman"/>
                <w:sz w:val="21"/>
                <w:szCs w:val="21"/>
                <w:lang w:val="es-MX"/>
              </w:rPr>
              <w:t>. Que el proponente adicione, suprima, cambie, o modifique los ítems, la descripción, las especificaciones, el detalle, las unidades o cantidades señaladas en el Formulario 1 – Formulario de Presupuesto Oficial, de acuerdo con lo exigido por la entidad”.</w:t>
            </w:r>
          </w:p>
          <w:p w14:paraId="6A9FF477" w14:textId="77777777" w:rsidR="00A21E0C" w:rsidRPr="00F52630" w:rsidRDefault="00A21E0C" w:rsidP="008F5556">
            <w:pPr>
              <w:ind w:right="709"/>
              <w:jc w:val="both"/>
              <w:rPr>
                <w:rFonts w:ascii="Verdana" w:eastAsia="Calibri" w:hAnsi="Verdana" w:cs="Times New Roman"/>
                <w:sz w:val="21"/>
                <w:szCs w:val="21"/>
                <w:lang w:val="es-MX"/>
              </w:rPr>
            </w:pPr>
          </w:p>
          <w:p w14:paraId="15727B16" w14:textId="77777777" w:rsidR="00A21E0C" w:rsidRDefault="00A21E0C" w:rsidP="008F5556">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 xml:space="preserve">Respecto del alcance de esta causal, </w:t>
            </w:r>
            <w:r>
              <w:rPr>
                <w:rFonts w:ascii="Verdana" w:eastAsia="Calibri" w:hAnsi="Verdana" w:cs="Arial"/>
                <w:color w:val="000000"/>
                <w:lang w:val="es-ES"/>
              </w:rPr>
              <w:t>la</w:t>
            </w:r>
            <w:r w:rsidRPr="00F52630">
              <w:rPr>
                <w:rFonts w:ascii="Verdana" w:eastAsia="Calibri" w:hAnsi="Verdana" w:cs="Arial"/>
                <w:color w:val="000000"/>
                <w:lang w:val="es-ES"/>
              </w:rPr>
              <w:t xml:space="preserve"> Agencia</w:t>
            </w:r>
            <w:r>
              <w:rPr>
                <w:rFonts w:ascii="Verdana" w:eastAsia="Calibri" w:hAnsi="Verdana" w:cs="Arial"/>
                <w:color w:val="000000"/>
                <w:lang w:val="es-ES"/>
              </w:rPr>
              <w:t xml:space="preserve"> Nacional de Contratación Pública – Colombia Compra Eficiente</w:t>
            </w:r>
            <w:r w:rsidRPr="00F52630">
              <w:rPr>
                <w:rFonts w:ascii="Verdana" w:eastAsia="Calibri" w:hAnsi="Verdana" w:cs="Arial"/>
                <w:color w:val="000000"/>
                <w:lang w:val="es-ES"/>
              </w:rPr>
              <w:t xml:space="preserve"> estableció que su análisis implica desagregar cada uno de los </w:t>
            </w:r>
            <w:proofErr w:type="gramStart"/>
            <w:r w:rsidRPr="00F52630">
              <w:rPr>
                <w:rFonts w:ascii="Verdana" w:eastAsia="Calibri" w:hAnsi="Verdana" w:cs="Arial"/>
                <w:color w:val="000000"/>
                <w:lang w:val="es-ES"/>
              </w:rPr>
              <w:t xml:space="preserve">verbos  </w:t>
            </w:r>
            <w:r w:rsidRPr="00F52630">
              <w:rPr>
                <w:rFonts w:ascii="Arial" w:eastAsia="Calibri" w:hAnsi="Arial" w:cs="Arial"/>
                <w:color w:val="000000"/>
                <w:lang w:val="es-ES"/>
              </w:rPr>
              <w:t>̶</w:t>
            </w:r>
            <w:proofErr w:type="gramEnd"/>
            <w:r w:rsidRPr="00F52630">
              <w:rPr>
                <w:rFonts w:ascii="Verdana" w:eastAsia="Calibri" w:hAnsi="Verdana" w:cs="Arial"/>
                <w:color w:val="000000"/>
                <w:lang w:val="es-ES"/>
              </w:rPr>
              <w:t xml:space="preserve"> adicionar, suprimir, cambiar y modificar </w:t>
            </w:r>
            <w:r w:rsidRPr="00F52630">
              <w:rPr>
                <w:rFonts w:ascii="Arial" w:eastAsia="Calibri" w:hAnsi="Arial" w:cs="Arial"/>
                <w:color w:val="000000"/>
                <w:lang w:val="es-ES"/>
              </w:rPr>
              <w:t>̶</w:t>
            </w:r>
            <w:r w:rsidRPr="00F52630">
              <w:rPr>
                <w:rFonts w:ascii="Verdana" w:eastAsia="Calibri" w:hAnsi="Verdana" w:cs="Arial"/>
                <w:color w:val="000000"/>
                <w:lang w:val="es-ES"/>
              </w:rPr>
              <w:t xml:space="preserve"> y de los elementos que la componen </w:t>
            </w:r>
            <w:r w:rsidRPr="00F52630">
              <w:rPr>
                <w:rFonts w:ascii="Arial" w:eastAsia="Calibri" w:hAnsi="Arial" w:cs="Arial"/>
                <w:color w:val="000000"/>
                <w:lang w:val="es-ES"/>
              </w:rPr>
              <w:t>̶</w:t>
            </w:r>
            <w:r w:rsidRPr="00F52630">
              <w:rPr>
                <w:rFonts w:ascii="Verdana" w:eastAsia="Calibri" w:hAnsi="Verdana" w:cs="Arial"/>
                <w:color w:val="000000"/>
                <w:lang w:val="es-ES"/>
              </w:rPr>
              <w:t xml:space="preserve"> </w:t>
            </w:r>
            <w:r w:rsidRPr="00F52630">
              <w:rPr>
                <w:rFonts w:ascii="Verdana" w:eastAsia="Calibri" w:hAnsi="Verdana" w:cs="Arial"/>
                <w:i/>
                <w:color w:val="000000"/>
                <w:lang w:val="es-ES"/>
              </w:rPr>
              <w:t>ítem</w:t>
            </w:r>
            <w:r w:rsidRPr="00F52630">
              <w:rPr>
                <w:rFonts w:ascii="Verdana" w:eastAsia="Calibri" w:hAnsi="Verdana" w:cs="Arial"/>
                <w:color w:val="000000"/>
                <w:lang w:val="es-ES"/>
              </w:rPr>
              <w:t xml:space="preserve">, descripción, cantidad y unidad </w:t>
            </w:r>
            <w:proofErr w:type="gramStart"/>
            <w:r w:rsidRPr="00F52630">
              <w:rPr>
                <w:rFonts w:ascii="Arial" w:eastAsia="Calibri" w:hAnsi="Arial" w:cs="Arial"/>
                <w:color w:val="000000"/>
                <w:lang w:val="es-ES"/>
              </w:rPr>
              <w:t>̶</w:t>
            </w:r>
            <w:r w:rsidRPr="00F52630">
              <w:rPr>
                <w:rFonts w:ascii="Verdana" w:eastAsia="Calibri" w:hAnsi="Verdana" w:cs="Arial"/>
                <w:color w:val="000000"/>
                <w:lang w:val="es-ES"/>
              </w:rPr>
              <w:t xml:space="preserve"> .</w:t>
            </w:r>
            <w:proofErr w:type="gramEnd"/>
            <w:r w:rsidRPr="00F52630">
              <w:rPr>
                <w:rFonts w:ascii="Verdana" w:eastAsia="Calibri" w:hAnsi="Verdana" w:cs="Arial"/>
                <w:color w:val="000000"/>
                <w:lang w:val="es-ES"/>
              </w:rPr>
              <w:t xml:space="preserve"> </w:t>
            </w:r>
          </w:p>
          <w:p w14:paraId="63E8A626" w14:textId="77777777" w:rsidR="00A21E0C" w:rsidRDefault="00A21E0C" w:rsidP="008F5556">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De acuerdo con el Diccionario de la Lengua Española</w:t>
            </w:r>
            <w:r w:rsidRPr="00F52630">
              <w:rPr>
                <w:rFonts w:ascii="Verdana" w:eastAsia="Calibri" w:hAnsi="Verdana" w:cs="Arial"/>
                <w:color w:val="000000"/>
                <w:vertAlign w:val="superscript"/>
              </w:rPr>
              <w:footnoteReference w:id="2"/>
            </w:r>
            <w:r w:rsidRPr="00F52630">
              <w:rPr>
                <w:rFonts w:ascii="Verdana" w:eastAsia="Calibri" w:hAnsi="Verdana" w:cs="Arial"/>
                <w:color w:val="000000"/>
                <w:lang w:val="es-ES"/>
              </w:rPr>
              <w:t xml:space="preserve">, </w:t>
            </w:r>
            <w:r w:rsidRPr="00F52630">
              <w:rPr>
                <w:rFonts w:ascii="Verdana" w:eastAsia="Calibri" w:hAnsi="Verdana" w:cs="Arial"/>
                <w:i/>
                <w:iCs/>
                <w:color w:val="000000"/>
                <w:lang w:val="es-ES"/>
              </w:rPr>
              <w:t xml:space="preserve">adicionar </w:t>
            </w:r>
            <w:r w:rsidRPr="00F52630">
              <w:rPr>
                <w:rFonts w:ascii="Verdana" w:eastAsia="Calibri" w:hAnsi="Verdana" w:cs="Arial"/>
                <w:color w:val="000000"/>
                <w:lang w:val="es-ES"/>
              </w:rPr>
              <w:t xml:space="preserve">es “hacer o poner adiciones” y </w:t>
            </w:r>
            <w:r w:rsidRPr="00F52630">
              <w:rPr>
                <w:rFonts w:ascii="Verdana" w:eastAsia="Calibri" w:hAnsi="Verdana" w:cs="Arial"/>
                <w:i/>
                <w:iCs/>
                <w:color w:val="000000"/>
                <w:lang w:val="es-ES"/>
              </w:rPr>
              <w:t xml:space="preserve">adición </w:t>
            </w:r>
            <w:r w:rsidRPr="00F52630">
              <w:rPr>
                <w:rFonts w:ascii="Verdana" w:eastAsia="Calibri" w:hAnsi="Verdana" w:cs="Arial"/>
                <w:color w:val="000000"/>
                <w:lang w:val="es-ES"/>
              </w:rPr>
              <w:t>es “1. f. Acción y efecto de añadir (</w:t>
            </w:r>
            <w:r w:rsidRPr="00F52630">
              <w:rPr>
                <w:rFonts w:ascii="Arial" w:eastAsia="Calibri" w:hAnsi="Arial" w:cs="Arial"/>
                <w:color w:val="000000"/>
                <w:lang w:val="es-ES"/>
              </w:rPr>
              <w:t>‖</w:t>
            </w:r>
            <w:r w:rsidRPr="00F52630">
              <w:rPr>
                <w:rFonts w:ascii="Verdana" w:eastAsia="Calibri" w:hAnsi="Verdana" w:cs="Arial"/>
                <w:color w:val="000000"/>
                <w:lang w:val="es-ES"/>
              </w:rPr>
              <w:t xml:space="preserve"> agregar) 2. f. Añadidura que se hace, o parte que se aumenta en alguna obra </w:t>
            </w:r>
            <w:r w:rsidRPr="00F52630">
              <w:rPr>
                <w:rFonts w:ascii="Verdana" w:eastAsia="Calibri" w:hAnsi="Verdana" w:cs="Arial"/>
                <w:color w:val="000000"/>
                <w:lang w:val="es-ES"/>
              </w:rPr>
              <w:lastRenderedPageBreak/>
              <w:t xml:space="preserve">o escrito”. En el contexto de la causal de rechazo, implicaría añadir o agregar </w:t>
            </w:r>
            <w:r w:rsidRPr="00F52630">
              <w:rPr>
                <w:rFonts w:ascii="Verdana" w:eastAsia="Calibri" w:hAnsi="Verdana" w:cs="Arial"/>
                <w:i/>
                <w:iCs/>
                <w:color w:val="000000"/>
                <w:lang w:val="es-ES"/>
              </w:rPr>
              <w:t>ítems</w:t>
            </w:r>
            <w:r w:rsidRPr="00F52630">
              <w:rPr>
                <w:rFonts w:ascii="Verdana" w:eastAsia="Calibri" w:hAnsi="Verdana" w:cs="Arial"/>
                <w:color w:val="000000"/>
                <w:lang w:val="es-ES"/>
              </w:rPr>
              <w:t xml:space="preserve">, descripciones, especificaciones, detalles, unidades o cantidades a las descritas en el “Formulario 1– Formulario de Presupuesto Oficial”. </w:t>
            </w:r>
            <w:r w:rsidRPr="00F52630">
              <w:rPr>
                <w:rFonts w:ascii="Verdana" w:eastAsia="Calibri" w:hAnsi="Verdana" w:cs="Arial"/>
                <w:i/>
                <w:iCs/>
                <w:color w:val="000000"/>
                <w:lang w:val="es-ES"/>
              </w:rPr>
              <w:t xml:space="preserve">Suprimir </w:t>
            </w:r>
            <w:r w:rsidRPr="00F52630">
              <w:rPr>
                <w:rFonts w:ascii="Verdana" w:eastAsia="Calibri" w:hAnsi="Verdana" w:cs="Arial"/>
                <w:color w:val="000000"/>
                <w:lang w:val="es-ES"/>
              </w:rPr>
              <w:t xml:space="preserve">está definido como “1. </w:t>
            </w:r>
            <w:proofErr w:type="spellStart"/>
            <w:r w:rsidRPr="00F52630">
              <w:rPr>
                <w:rFonts w:ascii="Verdana" w:eastAsia="Calibri" w:hAnsi="Verdana" w:cs="Arial"/>
                <w:color w:val="000000"/>
                <w:lang w:val="es-ES"/>
              </w:rPr>
              <w:t>tr</w:t>
            </w:r>
            <w:proofErr w:type="spellEnd"/>
            <w:r w:rsidRPr="00F52630">
              <w:rPr>
                <w:rFonts w:ascii="Verdana" w:eastAsia="Calibri" w:hAnsi="Verdana" w:cs="Arial"/>
                <w:color w:val="000000"/>
                <w:lang w:val="es-ES"/>
              </w:rPr>
              <w:t xml:space="preserve">. Hacer cesar, hacer desaparecer”; </w:t>
            </w:r>
            <w:r w:rsidRPr="00F52630">
              <w:rPr>
                <w:rFonts w:ascii="Verdana" w:eastAsia="Calibri" w:hAnsi="Verdana" w:cs="Arial"/>
                <w:i/>
                <w:iCs/>
                <w:color w:val="000000"/>
                <w:lang w:val="es-ES"/>
              </w:rPr>
              <w:t xml:space="preserve">cambiar </w:t>
            </w:r>
            <w:r w:rsidRPr="00F52630">
              <w:rPr>
                <w:rFonts w:ascii="Verdana" w:eastAsia="Calibri" w:hAnsi="Verdana" w:cs="Arial"/>
                <w:color w:val="000000"/>
                <w:lang w:val="es-ES"/>
              </w:rPr>
              <w:t xml:space="preserve">es “1. </w:t>
            </w:r>
            <w:proofErr w:type="spellStart"/>
            <w:r w:rsidRPr="00F52630">
              <w:rPr>
                <w:rFonts w:ascii="Verdana" w:eastAsia="Calibri" w:hAnsi="Verdana" w:cs="Arial"/>
                <w:color w:val="000000"/>
                <w:lang w:val="es-ES"/>
              </w:rPr>
              <w:t>tr</w:t>
            </w:r>
            <w:proofErr w:type="spellEnd"/>
            <w:r w:rsidRPr="00F52630">
              <w:rPr>
                <w:rFonts w:ascii="Verdana" w:eastAsia="Calibri" w:hAnsi="Verdana" w:cs="Arial"/>
                <w:color w:val="000000"/>
                <w:lang w:val="es-ES"/>
              </w:rPr>
              <w:t xml:space="preserve">. Dejar una cosa o situación para tomar otra. 2. </w:t>
            </w:r>
            <w:proofErr w:type="spellStart"/>
            <w:r w:rsidRPr="00F52630">
              <w:rPr>
                <w:rFonts w:ascii="Verdana" w:eastAsia="Calibri" w:hAnsi="Verdana" w:cs="Arial"/>
                <w:color w:val="000000"/>
                <w:lang w:val="es-ES"/>
              </w:rPr>
              <w:t>tr</w:t>
            </w:r>
            <w:proofErr w:type="spellEnd"/>
            <w:r w:rsidRPr="00F52630">
              <w:rPr>
                <w:rFonts w:ascii="Verdana" w:eastAsia="Calibri" w:hAnsi="Verdana" w:cs="Arial"/>
                <w:color w:val="000000"/>
                <w:lang w:val="es-ES"/>
              </w:rPr>
              <w:t xml:space="preserve">. Convertir o mudar algo en otra cosa, frecuentemente su contraria” y </w:t>
            </w:r>
            <w:r w:rsidRPr="00F52630">
              <w:rPr>
                <w:rFonts w:ascii="Verdana" w:eastAsia="Calibri" w:hAnsi="Verdana" w:cs="Arial"/>
                <w:i/>
                <w:iCs/>
                <w:color w:val="000000"/>
                <w:lang w:val="es-ES"/>
              </w:rPr>
              <w:t xml:space="preserve">modificar </w:t>
            </w:r>
            <w:r w:rsidRPr="00F52630">
              <w:rPr>
                <w:rFonts w:ascii="Verdana" w:eastAsia="Calibri" w:hAnsi="Verdana" w:cs="Arial"/>
                <w:color w:val="000000"/>
                <w:lang w:val="es-ES"/>
              </w:rPr>
              <w:t xml:space="preserve">es “1. </w:t>
            </w:r>
            <w:proofErr w:type="spellStart"/>
            <w:r w:rsidRPr="00F52630">
              <w:rPr>
                <w:rFonts w:ascii="Verdana" w:eastAsia="Calibri" w:hAnsi="Verdana" w:cs="Arial"/>
                <w:color w:val="000000"/>
                <w:lang w:val="es-ES"/>
              </w:rPr>
              <w:t>tr</w:t>
            </w:r>
            <w:proofErr w:type="spellEnd"/>
            <w:r w:rsidRPr="00F52630">
              <w:rPr>
                <w:rFonts w:ascii="Verdana" w:eastAsia="Calibri" w:hAnsi="Verdana" w:cs="Arial"/>
                <w:color w:val="000000"/>
                <w:lang w:val="es-ES"/>
              </w:rPr>
              <w:t xml:space="preserve">. Transformar o cambiar algo mudando alguna de sus características”. </w:t>
            </w:r>
          </w:p>
          <w:p w14:paraId="6F3AF19E" w14:textId="77777777" w:rsidR="00A21E0C" w:rsidRDefault="00A21E0C" w:rsidP="008F5556">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Por su parte,</w:t>
            </w:r>
            <w:r w:rsidRPr="00F52630">
              <w:rPr>
                <w:rFonts w:ascii="Verdana" w:eastAsia="Calibri" w:hAnsi="Verdana" w:cs="Arial"/>
                <w:i/>
                <w:iCs/>
                <w:color w:val="000000"/>
                <w:lang w:val="es-ES"/>
              </w:rPr>
              <w:t xml:space="preserve"> ítem </w:t>
            </w:r>
            <w:r w:rsidRPr="00F52630">
              <w:rPr>
                <w:rFonts w:ascii="Verdana" w:eastAsia="Calibri" w:hAnsi="Verdana" w:cs="Arial"/>
                <w:color w:val="000000"/>
                <w:lang w:val="es-ES"/>
              </w:rPr>
              <w:t>está definido como “1. adv. U. para hacer distinción de artículos o capítulos en una escritura u otro instrumento, o como señal de adición”. En el contexto de los Documentos Tipo, y específicamente del “Formulario 1– Formulario de Presupuesto Oficial” es el número, código o referencia que permite identificar cada uno de los elementos que componen el presupuesto oficial de la entidad estatal, relacionados con las actividades, bienes o servicios que componen el alcance de la obra.</w:t>
            </w:r>
          </w:p>
          <w:p w14:paraId="4354373B" w14:textId="77777777" w:rsidR="00A21E0C" w:rsidRDefault="00A21E0C" w:rsidP="008F5556">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 xml:space="preserve">La </w:t>
            </w:r>
            <w:r w:rsidRPr="00F52630">
              <w:rPr>
                <w:rFonts w:ascii="Verdana" w:eastAsia="Calibri" w:hAnsi="Verdana" w:cs="Arial"/>
                <w:i/>
                <w:iCs/>
                <w:color w:val="000000"/>
                <w:lang w:val="es-ES"/>
              </w:rPr>
              <w:t xml:space="preserve">descripción </w:t>
            </w:r>
            <w:r w:rsidRPr="00F52630">
              <w:rPr>
                <w:rFonts w:ascii="Verdana" w:eastAsia="Calibri" w:hAnsi="Verdana" w:cs="Arial"/>
                <w:color w:val="000000"/>
                <w:lang w:val="es-ES"/>
              </w:rPr>
              <w:t xml:space="preserve">implica detallar el </w:t>
            </w:r>
            <w:r w:rsidRPr="00F52630">
              <w:rPr>
                <w:rFonts w:ascii="Verdana" w:eastAsia="Calibri" w:hAnsi="Verdana" w:cs="Arial"/>
                <w:i/>
                <w:iCs/>
                <w:color w:val="000000"/>
                <w:lang w:val="es-ES"/>
              </w:rPr>
              <w:t>ítem</w:t>
            </w:r>
            <w:r w:rsidRPr="00F52630">
              <w:rPr>
                <w:rFonts w:ascii="Verdana" w:eastAsia="Calibri" w:hAnsi="Verdana" w:cs="Arial"/>
                <w:color w:val="000000"/>
                <w:lang w:val="es-ES"/>
              </w:rPr>
              <w:t xml:space="preserve">, es decir, señalar o definir el </w:t>
            </w:r>
            <w:r w:rsidRPr="00F52630">
              <w:rPr>
                <w:rFonts w:ascii="Verdana" w:eastAsia="Calibri" w:hAnsi="Verdana" w:cs="Arial"/>
                <w:i/>
                <w:iCs/>
                <w:color w:val="000000"/>
                <w:lang w:val="es-ES"/>
              </w:rPr>
              <w:t xml:space="preserve">ítem, </w:t>
            </w:r>
            <w:r w:rsidRPr="00F52630">
              <w:rPr>
                <w:rFonts w:ascii="Verdana" w:eastAsia="Calibri" w:hAnsi="Verdana" w:cs="Arial"/>
                <w:color w:val="000000"/>
                <w:lang w:val="es-ES"/>
              </w:rPr>
              <w:t xml:space="preserve">ejemplo: </w:t>
            </w:r>
            <w:r w:rsidRPr="00F52630">
              <w:rPr>
                <w:rFonts w:ascii="Verdana" w:eastAsia="Calibri" w:hAnsi="Verdana" w:cs="Arial"/>
                <w:i/>
                <w:iCs/>
                <w:color w:val="000000"/>
                <w:lang w:val="es-ES"/>
              </w:rPr>
              <w:t xml:space="preserve">ítem: </w:t>
            </w:r>
            <w:r w:rsidRPr="00F52630">
              <w:rPr>
                <w:rFonts w:ascii="Verdana" w:eastAsia="Calibri" w:hAnsi="Verdana" w:cs="Arial"/>
                <w:color w:val="000000"/>
                <w:lang w:val="es-ES"/>
              </w:rPr>
              <w:t xml:space="preserve">200.2; descripción: “Desmonte y limpieza en zonas no boscosas”. La </w:t>
            </w:r>
            <w:r w:rsidRPr="00F52630">
              <w:rPr>
                <w:rFonts w:ascii="Verdana" w:eastAsia="Calibri" w:hAnsi="Verdana" w:cs="Arial"/>
                <w:i/>
                <w:iCs/>
                <w:color w:val="000000"/>
                <w:lang w:val="es-ES"/>
              </w:rPr>
              <w:t>cantidad</w:t>
            </w:r>
            <w:r w:rsidRPr="00F52630">
              <w:rPr>
                <w:rFonts w:ascii="Verdana" w:eastAsia="Calibri" w:hAnsi="Verdana" w:cs="Arial"/>
                <w:color w:val="000000"/>
                <w:lang w:val="es-ES"/>
              </w:rPr>
              <w:t xml:space="preserve"> se refiere al número de unidades que requiere cada uno de los </w:t>
            </w:r>
            <w:r w:rsidRPr="00F52630">
              <w:rPr>
                <w:rFonts w:ascii="Verdana" w:eastAsia="Calibri" w:hAnsi="Verdana" w:cs="Arial"/>
                <w:i/>
                <w:iCs/>
                <w:color w:val="000000"/>
                <w:lang w:val="es-ES"/>
              </w:rPr>
              <w:t>ítems.</w:t>
            </w:r>
            <w:r w:rsidRPr="00F52630">
              <w:rPr>
                <w:rFonts w:ascii="Verdana" w:eastAsia="Calibri" w:hAnsi="Verdana" w:cs="Arial"/>
                <w:color w:val="000000"/>
                <w:lang w:val="es-ES"/>
              </w:rPr>
              <w:t xml:space="preserve"> La </w:t>
            </w:r>
            <w:r w:rsidRPr="00F52630">
              <w:rPr>
                <w:rFonts w:ascii="Verdana" w:eastAsia="Calibri" w:hAnsi="Verdana" w:cs="Arial"/>
                <w:i/>
                <w:iCs/>
                <w:color w:val="000000"/>
                <w:lang w:val="es-ES"/>
              </w:rPr>
              <w:t xml:space="preserve">unidad </w:t>
            </w:r>
            <w:r w:rsidRPr="00F52630">
              <w:rPr>
                <w:rFonts w:ascii="Verdana" w:eastAsia="Calibri" w:hAnsi="Verdana" w:cs="Arial"/>
                <w:color w:val="000000"/>
                <w:lang w:val="es-ES"/>
              </w:rPr>
              <w:t xml:space="preserve">se refiere a la unidad de medida en la que se expresa el </w:t>
            </w:r>
            <w:r w:rsidRPr="00F52630">
              <w:rPr>
                <w:rFonts w:ascii="Verdana" w:eastAsia="Calibri" w:hAnsi="Verdana" w:cs="Arial"/>
                <w:i/>
                <w:iCs/>
                <w:color w:val="000000"/>
                <w:lang w:val="es-ES"/>
              </w:rPr>
              <w:t>ítem</w:t>
            </w:r>
            <w:r w:rsidRPr="00F52630">
              <w:rPr>
                <w:rFonts w:ascii="Verdana" w:eastAsia="Calibri" w:hAnsi="Verdana" w:cs="Arial"/>
                <w:color w:val="000000"/>
                <w:lang w:val="es-ES"/>
              </w:rPr>
              <w:t>. A título de ejemplo, la letra “C” se refiere a grados Celsius, las letras “cm” a centímetros y la letra “l” al litro.</w:t>
            </w:r>
            <w:r w:rsidRPr="00F52630">
              <w:rPr>
                <w:rFonts w:ascii="Verdana" w:eastAsia="Calibri" w:hAnsi="Verdana" w:cs="Arial"/>
                <w:color w:val="000000"/>
                <w:lang w:val="es-ES" w:eastAsia="es-CO"/>
              </w:rPr>
              <w:t xml:space="preserve"> </w:t>
            </w:r>
          </w:p>
          <w:p w14:paraId="10D79D71" w14:textId="77777777" w:rsidR="00A21E0C" w:rsidRDefault="00A21E0C" w:rsidP="008F5556">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 xml:space="preserve">En relación con el problema planteado en este concepto, debe indicarse que la configuración de la causal de rechazo es objetiva, en el sentido en que la entidad estatal debe comparar que la propuesta económica del oferente no haya sido adicionada, suprimida, cambiada o modificada en los ítems, especificaciones, el detalle, descripciones, unidades o cantidades definidas en el “Formulario 1– Formulario de Presupuesto Oficial” con las implicaciones enunciadas. </w:t>
            </w:r>
          </w:p>
          <w:p w14:paraId="3ABFA4B5" w14:textId="77777777" w:rsidR="00A21E0C" w:rsidRDefault="00A21E0C" w:rsidP="008F5556">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 xml:space="preserve">En este sentido debe indicarse que, tal como se señala en la pestaña de “Propuesta Económica” contenida en el “Formulario 1– Formulario de Presupuesto Oficial” “Los proponentes emplearán el Formulario establecido por la Entidad para determinar su propuesta económica conforme con el Formulario 1 (…) publicado por la Entidad”. Así, la comparación que debe realizar la entidad supone verificar que la adición, supresión, cambio o modificación de la propuesta no se trate de un mero error formal o de </w:t>
            </w:r>
            <w:r w:rsidRPr="00F52630">
              <w:rPr>
                <w:rFonts w:ascii="Verdana" w:eastAsia="Calibri" w:hAnsi="Verdana" w:cs="Arial"/>
                <w:color w:val="000000"/>
                <w:lang w:val="es-ES"/>
              </w:rPr>
              <w:lastRenderedPageBreak/>
              <w:t xml:space="preserve">digitación, determinado además si ello afectó la descripción, especificaciones, detalles o cantidades de los </w:t>
            </w:r>
            <w:r w:rsidRPr="00F52630">
              <w:rPr>
                <w:rFonts w:ascii="Verdana" w:eastAsia="Calibri" w:hAnsi="Verdana" w:cs="Arial"/>
                <w:i/>
                <w:iCs/>
                <w:color w:val="000000"/>
                <w:lang w:val="es-ES"/>
              </w:rPr>
              <w:t xml:space="preserve">ítems </w:t>
            </w:r>
            <w:r w:rsidRPr="00F52630">
              <w:rPr>
                <w:rFonts w:ascii="Verdana" w:eastAsia="Calibri" w:hAnsi="Verdana" w:cs="Arial"/>
                <w:color w:val="000000"/>
                <w:lang w:val="es-ES"/>
              </w:rPr>
              <w:t xml:space="preserve">solicitados. </w:t>
            </w:r>
          </w:p>
          <w:p w14:paraId="651E977B" w14:textId="77777777" w:rsidR="00A21E0C" w:rsidRDefault="00A21E0C" w:rsidP="008F5556">
            <w:pPr>
              <w:snapToGrid w:val="0"/>
              <w:spacing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Sin perjuicio de lo anterior, debe indicarse que, tal como se dispuso con anterioridad, las causales de rechazo aplicables a los procesos de contratación que se adelanten mediante documentos tipo son únicamente las establecidas directamente en la ley y las contenidas en el numeral 1.15 “Causales de rechazo” del documento base”. En este sentido, la entidad estatal deberá verificar cuál de los supuestos previstos se configura durante la evaluación del “Formulario 1 – Presupuesto Oficial”.</w:t>
            </w:r>
          </w:p>
          <w:p w14:paraId="61A640D1" w14:textId="77777777" w:rsidR="00A21E0C" w:rsidRDefault="00A21E0C" w:rsidP="008F5556">
            <w:pPr>
              <w:snapToGrid w:val="0"/>
              <w:spacing w:line="276" w:lineRule="auto"/>
              <w:jc w:val="both"/>
              <w:rPr>
                <w:rFonts w:ascii="Verdana" w:eastAsia="Calibri" w:hAnsi="Verdana" w:cs="Arial"/>
                <w:color w:val="000000"/>
                <w:lang w:val="es-ES"/>
              </w:rPr>
            </w:pPr>
          </w:p>
          <w:p w14:paraId="42118AC9" w14:textId="77777777" w:rsidR="00A21E0C" w:rsidRPr="00BE64FC" w:rsidRDefault="00A21E0C" w:rsidP="008F5556">
            <w:pPr>
              <w:spacing w:after="120" w:line="276" w:lineRule="auto"/>
              <w:jc w:val="both"/>
              <w:rPr>
                <w:rFonts w:ascii="Verdana" w:eastAsia="Times New Roman" w:hAnsi="Verdana" w:cs="Arial"/>
                <w:lang w:val="es-ES_tradnl" w:eastAsia="es-ES_tradnl"/>
              </w:rPr>
            </w:pPr>
            <w:proofErr w:type="spellStart"/>
            <w:r>
              <w:rPr>
                <w:rFonts w:ascii="Verdana" w:eastAsia="Calibri" w:hAnsi="Verdana" w:cs="Arial"/>
                <w:color w:val="000000"/>
                <w:lang w:val="es-ES"/>
              </w:rPr>
              <w:t>iv</w:t>
            </w:r>
            <w:proofErr w:type="spellEnd"/>
            <w:r>
              <w:rPr>
                <w:rFonts w:ascii="Verdana" w:eastAsia="Calibri" w:hAnsi="Verdana" w:cs="Arial"/>
                <w:color w:val="000000"/>
                <w:lang w:val="es-ES"/>
              </w:rPr>
              <w:t xml:space="preserve">. </w:t>
            </w:r>
            <w:r w:rsidRPr="00BE64FC">
              <w:rPr>
                <w:rFonts w:ascii="Verdana" w:eastAsia="Calibri" w:hAnsi="Verdana" w:cs="Arial"/>
                <w:noProof/>
                <w:lang w:val="es-ES_tradnl"/>
              </w:rPr>
              <w:t>L</w:t>
            </w:r>
            <w:r w:rsidRPr="00BE64FC">
              <w:rPr>
                <w:rFonts w:ascii="Verdana" w:eastAsia="Times New Roman" w:hAnsi="Verdana" w:cs="Arial"/>
              </w:rPr>
              <w:t xml:space="preserve">a regla de la </w:t>
            </w:r>
            <w:proofErr w:type="spellStart"/>
            <w:r w:rsidRPr="00BE64FC">
              <w:rPr>
                <w:rFonts w:ascii="Verdana" w:eastAsia="Times New Roman" w:hAnsi="Verdana" w:cs="Arial"/>
              </w:rPr>
              <w:t>subsanabilidad</w:t>
            </w:r>
            <w:proofErr w:type="spellEnd"/>
            <w:r w:rsidRPr="00BE64FC">
              <w:rPr>
                <w:rFonts w:ascii="Verdana" w:eastAsia="Times New Roman" w:hAnsi="Verdana" w:cs="Arial"/>
              </w:rPr>
              <w:t xml:space="preserve"> de las ofertas en los procedimientos de selección</w:t>
            </w:r>
            <w:r w:rsidRPr="00BE64FC">
              <w:rPr>
                <w:rFonts w:ascii="Verdana" w:eastAsia="Times New Roman" w:hAnsi="Verdana" w:cs="Arial"/>
                <w:b/>
                <w:bCs/>
              </w:rPr>
              <w:t xml:space="preserve"> </w:t>
            </w:r>
            <w:r w:rsidRPr="00BE64FC">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36061A56" w14:textId="77777777" w:rsidR="00A21E0C" w:rsidRPr="00BE64FC" w:rsidRDefault="00A21E0C" w:rsidP="008F5556">
            <w:pPr>
              <w:spacing w:after="120" w:line="276" w:lineRule="auto"/>
              <w:ind w:firstLine="709"/>
              <w:jc w:val="both"/>
              <w:rPr>
                <w:rFonts w:ascii="Verdana" w:eastAsia="Times New Roman" w:hAnsi="Verdana" w:cs="Arial"/>
                <w:lang w:val="es-ES_tradnl" w:eastAsia="es-ES_tradnl"/>
              </w:rPr>
            </w:pPr>
            <w:r w:rsidRPr="00BE64FC">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232D1C80" w14:textId="77777777" w:rsidR="00A21E0C" w:rsidRPr="00BE64FC" w:rsidRDefault="00A21E0C" w:rsidP="008F5556">
            <w:pPr>
              <w:spacing w:after="120" w:line="276" w:lineRule="auto"/>
              <w:ind w:firstLine="709"/>
              <w:jc w:val="both"/>
              <w:rPr>
                <w:rFonts w:ascii="Verdana" w:eastAsia="Times New Roman" w:hAnsi="Verdana" w:cs="Arial"/>
                <w:lang w:val="es-ES" w:eastAsia="es-ES"/>
              </w:rPr>
            </w:pPr>
            <w:r w:rsidRPr="00BE64FC">
              <w:rPr>
                <w:rFonts w:ascii="Verdana" w:eastAsia="Times New Roman" w:hAnsi="Verdana" w:cs="Arial"/>
                <w:lang w:val="es-ES" w:eastAsia="es-ES"/>
              </w:rPr>
              <w:t xml:space="preserve">Un mejor entendimiento del significado de la expresión </w:t>
            </w:r>
            <w:r w:rsidRPr="00BE64FC">
              <w:rPr>
                <w:rFonts w:ascii="Verdana" w:eastAsia="Times New Roman" w:hAnsi="Verdana" w:cs="Arial"/>
                <w:i/>
                <w:lang w:val="es-ES" w:eastAsia="es-ES"/>
              </w:rPr>
              <w:t>“circunstancias ocurridas con posterioridad al cierre del proceso”</w:t>
            </w:r>
            <w:r w:rsidRPr="00BE64FC">
              <w:rPr>
                <w:rFonts w:ascii="Verdana" w:eastAsia="Times New Roman" w:hAnsi="Verdana" w:cs="Arial"/>
                <w:lang w:val="es-ES" w:eastAsia="es-ES"/>
              </w:rPr>
              <w:t xml:space="preserve"> implica distinguir entre la prueba de un hecho y el hecho mismo. En el caso de la </w:t>
            </w:r>
            <w:proofErr w:type="spellStart"/>
            <w:r w:rsidRPr="00BE64FC">
              <w:rPr>
                <w:rFonts w:ascii="Verdana" w:eastAsia="Times New Roman" w:hAnsi="Verdana" w:cs="Arial"/>
                <w:lang w:val="es-ES" w:eastAsia="es-ES"/>
              </w:rPr>
              <w:t>subsanabilidad</w:t>
            </w:r>
            <w:proofErr w:type="spellEnd"/>
            <w:r w:rsidRPr="00BE64FC">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14AB2A60" w14:textId="77777777" w:rsidR="00A21E0C" w:rsidRPr="00BE64FC" w:rsidRDefault="00A21E0C" w:rsidP="008F5556">
            <w:pPr>
              <w:spacing w:after="120" w:line="276" w:lineRule="auto"/>
              <w:ind w:firstLine="709"/>
              <w:jc w:val="both"/>
              <w:rPr>
                <w:rFonts w:ascii="Verdana" w:eastAsia="Times New Roman" w:hAnsi="Verdana" w:cs="Arial"/>
                <w:lang w:val="es-ES" w:eastAsia="es-ES"/>
              </w:rPr>
            </w:pPr>
            <w:r w:rsidRPr="00BE64FC">
              <w:rPr>
                <w:rFonts w:ascii="Verdana" w:eastAsia="Times New Roman" w:hAnsi="Verdana" w:cs="Arial"/>
                <w:lang w:val="es-ES" w:eastAsia="es-ES"/>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BE64FC">
              <w:rPr>
                <w:rFonts w:ascii="Verdana" w:eastAsia="Times New Roman" w:hAnsi="Verdana" w:cs="Arial"/>
                <w:lang w:val="es-ES" w:eastAsia="es-ES"/>
              </w:rPr>
              <w:t>ii</w:t>
            </w:r>
            <w:proofErr w:type="spellEnd"/>
            <w:r w:rsidRPr="00BE64FC">
              <w:rPr>
                <w:rFonts w:ascii="Verdana" w:eastAsia="Times New Roman" w:hAnsi="Verdana" w:cs="Arial"/>
                <w:lang w:val="es-ES" w:eastAsia="es-ES"/>
              </w:rPr>
              <w:t xml:space="preserve">)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 </w:t>
            </w:r>
            <w:proofErr w:type="spellStart"/>
            <w:r w:rsidRPr="00BE64FC">
              <w:rPr>
                <w:rFonts w:ascii="Verdana" w:eastAsia="Times New Roman" w:hAnsi="Verdana" w:cs="Arial"/>
                <w:lang w:val="es-ES" w:eastAsia="es-ES"/>
              </w:rPr>
              <w:t>iii</w:t>
            </w:r>
            <w:proofErr w:type="spellEnd"/>
            <w:r w:rsidRPr="00BE64FC">
              <w:rPr>
                <w:rFonts w:ascii="Verdana" w:eastAsia="Times New Roman" w:hAnsi="Verdana" w:cs="Arial"/>
                <w:lang w:val="es-ES" w:eastAsia="es-ES"/>
              </w:rPr>
              <w:t xml:space="preserve">) si un oferente no anexó el Certificado de existencia y representación legal, el documento aportado con posterioridad debe dar cuenta de que la sociedad existía antes del cierre del proceso; </w:t>
            </w:r>
            <w:proofErr w:type="spellStart"/>
            <w:r w:rsidRPr="00BE64FC">
              <w:rPr>
                <w:rFonts w:ascii="Verdana" w:eastAsia="Times New Roman" w:hAnsi="Verdana" w:cs="Arial"/>
                <w:lang w:val="es-ES" w:eastAsia="es-ES"/>
              </w:rPr>
              <w:t>iv</w:t>
            </w:r>
            <w:proofErr w:type="spellEnd"/>
            <w:r w:rsidRPr="00BE64FC">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0585707B" w14:textId="77777777" w:rsidR="00A21E0C" w:rsidRPr="00BE64FC" w:rsidRDefault="00A21E0C" w:rsidP="008F5556">
            <w:pPr>
              <w:spacing w:after="120" w:line="276" w:lineRule="auto"/>
              <w:ind w:firstLine="709"/>
              <w:jc w:val="both"/>
              <w:rPr>
                <w:rFonts w:ascii="Verdana" w:eastAsia="Times New Roman" w:hAnsi="Verdana" w:cs="Arial"/>
                <w:i/>
                <w:lang w:val="es-ES" w:eastAsia="es-ES"/>
              </w:rPr>
            </w:pPr>
            <w:r w:rsidRPr="00BE64FC">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BE64FC">
              <w:rPr>
                <w:rFonts w:ascii="Verdana" w:eastAsia="Times New Roman" w:hAnsi="Verdana" w:cs="Arial"/>
                <w:lang w:val="es-ES" w:eastAsia="es-ES"/>
              </w:rPr>
              <w:t>que</w:t>
            </w:r>
            <w:proofErr w:type="gramEnd"/>
            <w:r w:rsidRPr="00BE64FC">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14:paraId="6B38DCB9" w14:textId="77777777" w:rsidR="00A21E0C" w:rsidRPr="00BE64FC" w:rsidRDefault="00A21E0C" w:rsidP="008F5556">
            <w:pPr>
              <w:spacing w:after="120" w:line="276" w:lineRule="auto"/>
              <w:ind w:firstLine="709"/>
              <w:jc w:val="both"/>
              <w:rPr>
                <w:rFonts w:ascii="Verdana" w:eastAsia="Calibri" w:hAnsi="Verdana" w:cs="Times New Roman"/>
                <w:color w:val="000000"/>
              </w:rPr>
            </w:pPr>
            <w:r w:rsidRPr="00BE64FC">
              <w:rPr>
                <w:rFonts w:ascii="Verdana" w:eastAsia="Times New Roman" w:hAnsi="Verdana" w:cs="Arial"/>
                <w:iCs/>
                <w:lang w:val="es-ES" w:eastAsia="es-ES"/>
              </w:rPr>
              <w:t>Ahora bien,</w:t>
            </w:r>
            <w:r w:rsidRPr="00BE64FC">
              <w:rPr>
                <w:rFonts w:ascii="Verdana" w:eastAsia="Times New Roman" w:hAnsi="Verdana" w:cs="Arial"/>
                <w:i/>
                <w:lang w:val="es-ES" w:eastAsia="es-ES"/>
              </w:rPr>
              <w:t xml:space="preserve"> e</w:t>
            </w:r>
            <w:r w:rsidRPr="00BE64FC">
              <w:rPr>
                <w:rFonts w:ascii="Verdana" w:eastAsia="Calibri" w:hAnsi="Verdana" w:cs="Arial"/>
                <w:color w:val="000000"/>
                <w:lang w:val="es-ES"/>
              </w:rPr>
              <w:t xml:space="preserve">l parágrafo 3 del artículo 5 de la Ley 1882 de 2018 determinó, de manera expresa, que “la no entrega de la garantía de seriedad </w:t>
            </w:r>
            <w:r w:rsidRPr="00BE64FC">
              <w:rPr>
                <w:rFonts w:ascii="Verdana" w:eastAsia="Calibri" w:hAnsi="Verdana" w:cs="Arial"/>
                <w:color w:val="000000"/>
                <w:lang w:val="es-ES"/>
              </w:rPr>
              <w:lastRenderedPageBreak/>
              <w:t xml:space="preserve">junto con la propuesta no será subsanable y será causal de rechazo de </w:t>
            </w:r>
            <w:proofErr w:type="gramStart"/>
            <w:r w:rsidRPr="00BE64FC">
              <w:rPr>
                <w:rFonts w:ascii="Verdana" w:eastAsia="Calibri" w:hAnsi="Verdana" w:cs="Arial"/>
                <w:color w:val="000000"/>
                <w:lang w:val="es-ES"/>
              </w:rPr>
              <w:t>la misma</w:t>
            </w:r>
            <w:proofErr w:type="gramEnd"/>
            <w:r w:rsidRPr="00BE64FC">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BE64FC">
              <w:rPr>
                <w:rFonts w:ascii="Verdana" w:eastAsia="Calibri" w:hAnsi="Verdana" w:cs="Times New Roman"/>
                <w:color w:val="000000"/>
              </w:rPr>
              <w:t> </w:t>
            </w:r>
          </w:p>
          <w:p w14:paraId="7F788E54" w14:textId="77777777" w:rsidR="00A21E0C" w:rsidRPr="00BE64FC" w:rsidRDefault="00A21E0C" w:rsidP="008F5556">
            <w:pPr>
              <w:spacing w:after="120" w:line="276" w:lineRule="auto"/>
              <w:ind w:firstLine="709"/>
              <w:jc w:val="both"/>
              <w:rPr>
                <w:rFonts w:ascii="Verdana" w:eastAsia="Calibri" w:hAnsi="Verdana" w:cs="Times New Roman"/>
                <w:color w:val="000000"/>
              </w:rPr>
            </w:pPr>
            <w:r w:rsidRPr="00BE64FC">
              <w:rPr>
                <w:rFonts w:ascii="Verdana" w:eastAsia="Calibri" w:hAnsi="Verdana" w:cs="Times New Roman"/>
                <w:color w:val="000000"/>
              </w:rPr>
              <w:t>En línea con lo anterior, una vez verificada la ausencia de requisitos y/o documentos de la oferta, para efectos de saber si se pueden subsanar, la entidad contratante debe preguntarse,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4EF926B9" w14:textId="77777777" w:rsidR="00A21E0C" w:rsidRPr="00BE64FC" w:rsidRDefault="00A21E0C" w:rsidP="008F5556">
            <w:pPr>
              <w:spacing w:after="120" w:line="276" w:lineRule="auto"/>
              <w:ind w:firstLine="709"/>
              <w:jc w:val="both"/>
              <w:rPr>
                <w:rFonts w:ascii="Verdana" w:eastAsia="Calibri" w:hAnsi="Verdana" w:cs="Times New Roman"/>
                <w:color w:val="000000"/>
              </w:rPr>
            </w:pPr>
            <w:r w:rsidRPr="00BE64FC">
              <w:rPr>
                <w:rFonts w:ascii="Verdana" w:eastAsia="Calibri" w:hAnsi="Verdana" w:cs="Times New Roman"/>
                <w:color w:val="000000"/>
              </w:rPr>
              <w:t>Ahora bien, teniendo en cuenta el objeto bajo consulta, se hace necesario que esta Agencia se manifieste sobre la diferencia entre la regla sobre subsanación de ofertas en los procesos de selección antes explicada, y la aclaración de las ofertas, cuestiones que resultan ser distintas, pese a que ambas puedan contener considerandos como elementos propios del principio de selección objetiva. Así, en aras de que la Entidad Estatal al momento de evaluar las ofertas recibidas y, con el fin de comprender integralmente cada documento contenido en la oferta, podrá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para solicitar a los proponentes las aclaraciones y explicaciones que se estimen indispensables”.</w:t>
            </w:r>
          </w:p>
          <w:p w14:paraId="474F6AF0" w14:textId="77777777" w:rsidR="00A21E0C" w:rsidRPr="00BE64FC" w:rsidRDefault="00A21E0C" w:rsidP="008F5556">
            <w:pPr>
              <w:spacing w:after="120" w:line="276" w:lineRule="auto"/>
              <w:ind w:firstLine="708"/>
              <w:jc w:val="both"/>
              <w:rPr>
                <w:rFonts w:ascii="Verdana" w:eastAsia="Calibri" w:hAnsi="Verdana" w:cs="Times New Roman"/>
                <w:bCs/>
                <w:color w:val="000000"/>
                <w:lang w:val="es-ES"/>
              </w:rPr>
            </w:pPr>
            <w:r w:rsidRPr="00BE64FC">
              <w:rPr>
                <w:rFonts w:ascii="Verdana" w:eastAsia="Calibri" w:hAnsi="Verdana" w:cs="Times New Roman"/>
                <w:color w:val="000000"/>
                <w:lang w:val="es-ES_tradnl"/>
              </w:rPr>
              <w:t xml:space="preserve">Dicha facultad, a su vez se establece entre otras, en el artículo </w:t>
            </w:r>
            <w:r w:rsidRPr="00BE64FC">
              <w:rPr>
                <w:rFonts w:ascii="Verdana" w:eastAsia="Calibri" w:hAnsi="Verdana" w:cs="Times New Roman"/>
                <w:bCs/>
                <w:color w:val="000000"/>
                <w:lang w:val="es-ES"/>
              </w:rPr>
              <w:t xml:space="preserve">2.2.1.1.2.2.4. del Decreto 1082 de 2015, referido a las explicaciones que la Entidad Estatal deberá solicitar al oferente cuando advierta que su oferta contiene un precio artificialmente bajo. Todas estas normas contienen ejemplos de aplicación del principio de selección objetiva, pues pretenden que la entidad u organismo que evaluará las respectiva oferta o iniciativa, según </w:t>
            </w:r>
            <w:r w:rsidRPr="00BE64FC">
              <w:rPr>
                <w:rFonts w:ascii="Verdana" w:eastAsia="Calibri" w:hAnsi="Verdana" w:cs="Times New Roman"/>
                <w:bCs/>
                <w:color w:val="000000"/>
                <w:lang w:val="es-ES"/>
              </w:rPr>
              <w:lastRenderedPageBreak/>
              <w:t>el caso, cuente con el conocimiento e información veraz y suficiente para tomar una decisión acertada.</w:t>
            </w:r>
          </w:p>
          <w:p w14:paraId="4CC649F6" w14:textId="77777777" w:rsidR="00A21E0C" w:rsidRPr="00BE64FC" w:rsidRDefault="00A21E0C" w:rsidP="008F5556">
            <w:pPr>
              <w:spacing w:after="120" w:line="276" w:lineRule="auto"/>
              <w:ind w:firstLine="708"/>
              <w:jc w:val="both"/>
              <w:rPr>
                <w:rFonts w:ascii="Verdana" w:eastAsia="Calibri" w:hAnsi="Verdana" w:cs="Times New Roman"/>
                <w:color w:val="000000"/>
                <w:lang w:val="es-ES_tradnl"/>
              </w:rPr>
            </w:pPr>
            <w:r w:rsidRPr="00BE64FC">
              <w:rPr>
                <w:rFonts w:ascii="Verdana" w:eastAsia="Calibri" w:hAnsi="Verdana" w:cs="Times New Roman"/>
                <w:bCs/>
                <w:color w:val="000000"/>
                <w:lang w:val="es-ES"/>
              </w:rPr>
              <w:t>En ese sentido, la facultad de solicitar aclaraciones en cabeza de la entidad contratante, establecida principal y genéricamente en el artículo 30 de la Ley 80 de 1993, debe comprenderse bajo el entendido que el oferente cuya oferta requiera ser aclarada, no podrá, so pena de proceder de conformidad con el requerimiento de la Entidad Estatal, realizar modificaciones que impliquen una mejora o alteración sustancial de la oferta, tal y como ha sido expresado por el Consejo de Estado.</w:t>
            </w:r>
          </w:p>
          <w:p w14:paraId="6E1034DC" w14:textId="77777777" w:rsidR="00A21E0C" w:rsidRPr="00BE64FC" w:rsidRDefault="00A21E0C" w:rsidP="008F5556">
            <w:pPr>
              <w:spacing w:after="120" w:line="276" w:lineRule="auto"/>
              <w:ind w:firstLine="708"/>
              <w:jc w:val="both"/>
              <w:rPr>
                <w:rFonts w:ascii="Verdana" w:eastAsia="Calibri" w:hAnsi="Verdana" w:cs="Times New Roman"/>
                <w:color w:val="000000"/>
                <w:lang w:val="es-ES_tradnl"/>
              </w:rPr>
            </w:pPr>
            <w:r w:rsidRPr="00BE64FC">
              <w:rPr>
                <w:rFonts w:ascii="Verdana" w:eastAsia="Calibri" w:hAnsi="Verdana" w:cs="Times New Roman"/>
                <w:color w:val="000000"/>
                <w:lang w:val="es-ES_tradnl"/>
              </w:rPr>
              <w:t xml:space="preserve">Sin embargo, lo anterior no impide que se puedan realizar aclaraciones a las propuestas, bien sea porque la Entidad Estatal las solicite en la evaluación de las mismas, o porque las realicen los oferentes en la etapa dispuesta para las observaciones a los informes de evaluación; pero, siempre y cuando versen sobre aspectos meramente formales o adjetivos o que en todo caso, no impliquen una variación o corrección del fondo de las propuestas a favor de quien las presenta y en detrimento de la posición de los demás proponentes en la evaluación, es decir, que con las mismas no se altere de manera sustancial la información inicialmente suministrada y la situación de los oferentes en el Proceso de Contratación. </w:t>
            </w:r>
          </w:p>
          <w:p w14:paraId="7EC8DB99" w14:textId="77777777" w:rsidR="00A21E0C" w:rsidRPr="00BE64FC" w:rsidRDefault="00A21E0C" w:rsidP="008F5556">
            <w:pPr>
              <w:spacing w:after="120" w:line="276" w:lineRule="auto"/>
              <w:ind w:firstLine="708"/>
              <w:jc w:val="both"/>
              <w:rPr>
                <w:rFonts w:ascii="Verdana" w:eastAsia="Calibri" w:hAnsi="Verdana" w:cs="Times New Roman"/>
                <w:color w:val="000000"/>
                <w:lang w:val="es-ES"/>
              </w:rPr>
            </w:pPr>
            <w:r w:rsidRPr="00BE64FC">
              <w:rPr>
                <w:rFonts w:ascii="Verdana" w:eastAsia="Calibri" w:hAnsi="Verdana" w:cs="Times New Roman"/>
                <w:color w:val="000000"/>
                <w:lang w:val="es-ES"/>
              </w:rPr>
              <w:t>Así pues, como es posible que por vía aclaratoria los proponentes intenten modificar o mejorar sus ofertas, debe distinguirse entre las simples aclaraciones de las propuestas y las modificaciones a estas. Las primeras son los medios para que se pueda hacer perceptible, manifiesto, explícito o inteligible algún aspecto confuso de la propuesta, sin que ello implique una complementación, adición, modificación o mejora de dicho aspecto, que es, precisamente, en lo que consisten las segundas.</w:t>
            </w:r>
          </w:p>
          <w:p w14:paraId="7A9D6A33" w14:textId="77777777" w:rsidR="00A21E0C" w:rsidRPr="00BE64FC" w:rsidRDefault="00A21E0C" w:rsidP="008F5556">
            <w:pPr>
              <w:spacing w:after="120" w:line="276" w:lineRule="auto"/>
              <w:ind w:firstLine="708"/>
              <w:jc w:val="both"/>
              <w:rPr>
                <w:rFonts w:ascii="Verdana" w:eastAsia="Calibri" w:hAnsi="Verdana" w:cs="Times New Roman"/>
                <w:bCs/>
                <w:color w:val="000000"/>
                <w:lang w:val="es-ES"/>
              </w:rPr>
            </w:pPr>
            <w:r w:rsidRPr="00BE64FC">
              <w:rPr>
                <w:rFonts w:ascii="Verdana" w:eastAsia="Calibri" w:hAnsi="Verdana" w:cs="Times New Roman"/>
                <w:color w:val="000000"/>
                <w:lang w:val="es-ES"/>
              </w:rPr>
              <w:t xml:space="preserve">La solicitud de aclaraciones permite que las Entidad Estatales requieran a los proponentes para esclarecer aspectos de sus propuestas que, en principio, resultan confusos para efectos de evaluación, diferenciándose de la </w:t>
            </w:r>
            <w:proofErr w:type="spellStart"/>
            <w:r w:rsidRPr="00BE64FC">
              <w:rPr>
                <w:rFonts w:ascii="Verdana" w:eastAsia="Calibri" w:hAnsi="Verdana" w:cs="Times New Roman"/>
                <w:color w:val="000000"/>
                <w:lang w:val="es-ES"/>
              </w:rPr>
              <w:t>subsanabilidad</w:t>
            </w:r>
            <w:proofErr w:type="spellEnd"/>
            <w:r w:rsidRPr="00BE64FC">
              <w:rPr>
                <w:rFonts w:ascii="Verdana" w:eastAsia="Calibri" w:hAnsi="Verdana" w:cs="Times New Roman"/>
                <w:color w:val="000000"/>
                <w:lang w:val="es-ES"/>
              </w:rPr>
              <w:t>, pues no parte del supuesto de la ausencia de requisitos de la oferta sino de la existencia de dudas sobre esta, cuya explicación se requiere para su evaluación. Esta diferencia es importante, pues es posible aclarar los requisitos que asignan puntaje, tal y como lo ha señalado la jurisprudencia del Consejo de Estado</w:t>
            </w:r>
            <w:r>
              <w:rPr>
                <w:rFonts w:ascii="Verdana" w:eastAsia="Calibri" w:hAnsi="Verdana" w:cs="Times New Roman"/>
                <w:color w:val="000000"/>
                <w:lang w:val="es-ES"/>
              </w:rPr>
              <w:t>.</w:t>
            </w:r>
          </w:p>
          <w:p w14:paraId="04001CD8" w14:textId="77777777" w:rsidR="00A21E0C" w:rsidRPr="00BE64FC" w:rsidRDefault="00A21E0C" w:rsidP="008F5556">
            <w:pPr>
              <w:spacing w:after="120" w:line="276" w:lineRule="auto"/>
              <w:ind w:firstLine="708"/>
              <w:jc w:val="both"/>
              <w:rPr>
                <w:rFonts w:ascii="Verdana" w:eastAsia="Calibri" w:hAnsi="Verdana" w:cs="Times New Roman"/>
                <w:bCs/>
                <w:color w:val="000000"/>
                <w:lang w:val="es-ES"/>
              </w:rPr>
            </w:pPr>
            <w:r>
              <w:rPr>
                <w:rFonts w:ascii="Verdana" w:eastAsia="Calibri" w:hAnsi="Verdana" w:cs="Times New Roman"/>
                <w:bCs/>
                <w:color w:val="000000"/>
                <w:lang w:val="es-ES"/>
              </w:rPr>
              <w:lastRenderedPageBreak/>
              <w:t>C</w:t>
            </w:r>
            <w:r w:rsidRPr="00BE64FC">
              <w:rPr>
                <w:rFonts w:ascii="Verdana" w:eastAsia="Calibri" w:hAnsi="Verdana" w:cs="Times New Roman"/>
                <w:bCs/>
                <w:color w:val="000000"/>
                <w:lang w:val="es-ES"/>
              </w:rPr>
              <w:t>omo lo expresó el Alto Tribunal Administrativo, aclarar una oferta no puede implicar su alteración sustancial o mejoría de sus componentes, sino limitarse a disipar lo que resulta borroso u otorgar claridad a lo que oscuro o intangible. En este punto, se concluye, es plausible la diferencia entre aclarar y subsanar una oferta, siendo este último una institución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por su parte, permite el mejor entendimiento de los elementos de la oferta, sean o no subsanables, para la correcta verificación y evaluación de estos por parte de la Entidad Estatal.</w:t>
            </w:r>
          </w:p>
          <w:p w14:paraId="135F36C1" w14:textId="77777777" w:rsidR="00A21E0C" w:rsidRPr="00BE64FC" w:rsidRDefault="00A21E0C" w:rsidP="008F5556">
            <w:pPr>
              <w:spacing w:after="120" w:line="276" w:lineRule="auto"/>
              <w:ind w:firstLine="708"/>
              <w:jc w:val="both"/>
              <w:rPr>
                <w:rFonts w:ascii="Verdana" w:eastAsia="Calibri" w:hAnsi="Verdana" w:cs="Times New Roman"/>
                <w:color w:val="000000"/>
                <w:lang w:val="es-ES_tradnl"/>
              </w:rPr>
            </w:pPr>
            <w:r w:rsidRPr="00BE64FC">
              <w:rPr>
                <w:rFonts w:ascii="Verdana" w:eastAsia="Calibri" w:hAnsi="Verdana" w:cs="Times New Roman"/>
                <w:color w:val="000000"/>
                <w:lang w:val="es-ES_tradnl"/>
              </w:rPr>
              <w:t>De acuerdo con lo dispuesto en el numeral 7 del artículo 30 de la Ley 80 de 1993, la aclaración de las propuestas se realiza durante la evaluación de estas, pues es necesario esclarecer los aspectos dudosos de las ofertas antes de la adjudicación</w:t>
            </w:r>
            <w:r w:rsidRPr="00BE64FC">
              <w:rPr>
                <w:rFonts w:ascii="Verdana" w:eastAsia="Calibri" w:hAnsi="Verdana" w:cs="Times New Roman"/>
                <w:bCs/>
                <w:color w:val="000000"/>
                <w:lang w:val="es-ES"/>
              </w:rPr>
              <w:t>. De ahí que, la jurisprudencia explica a su vez que “[…] el proponente debe acogerse al tiempo que le otorga la administración para subsanar o aclarar la oferta, lapso que la entidad no puede extender más allá de la adjudicación […]”. De esta manera, “lo ideal en un proceso de selección es que las aclaraciones y explicaciones se anticipen y soliciten durante la etapa de evaluación, lo más pronto posible, es decir, antes de que la entidad elabore el informe respectivo, de tal manera que las tenga en cuenta para producir este acto administrativo”</w:t>
            </w:r>
            <w:r>
              <w:rPr>
                <w:rFonts w:ascii="Verdana" w:eastAsia="Calibri" w:hAnsi="Verdana" w:cs="Times New Roman"/>
                <w:bCs/>
                <w:color w:val="000000"/>
                <w:lang w:val="es-ES"/>
              </w:rPr>
              <w:t>.</w:t>
            </w:r>
          </w:p>
          <w:p w14:paraId="46C44B00" w14:textId="77777777" w:rsidR="00A21E0C" w:rsidRPr="00BE64FC" w:rsidRDefault="00A21E0C" w:rsidP="008F5556">
            <w:pPr>
              <w:spacing w:after="120" w:line="276" w:lineRule="auto"/>
              <w:ind w:firstLine="607"/>
              <w:jc w:val="both"/>
              <w:rPr>
                <w:rFonts w:ascii="Verdana" w:eastAsia="Calibri" w:hAnsi="Verdana" w:cs="Times New Roman"/>
                <w:color w:val="000000"/>
              </w:rPr>
            </w:pPr>
            <w:r w:rsidRPr="00BE64FC">
              <w:rPr>
                <w:rFonts w:ascii="Verdana" w:eastAsia="Calibri" w:hAnsi="Verdana" w:cs="Times New Roman"/>
                <w:color w:val="000000"/>
                <w:lang w:val="es-ES_tradnl"/>
              </w:rPr>
              <w:t xml:space="preserve">En ese contexto, considerando la diferencia entre aclarar y subsanar en el evento en que la Entidad Estatal, con ocasión de la elaboración del informe de evaluación de las propuestas o de las observaciones presentadas por los proponentes a este, identifique en una propuesta aspectos que no sean claros o generen dudas, podrá requerir al proponente para que haga la aclaración correspondiente. De ahí que, habida consideración del principio de prevalencia de lo sustancial sobre lo formal, podrán aclararse aspectos puramente formales de las propuestas, inclusive aquellos que otorgan puntaje, siempre y cuando ese hecho no conlleve una adición, modificación o mejora sustancial de la oferta. </w:t>
            </w:r>
          </w:p>
          <w:p w14:paraId="737E2460" w14:textId="77777777" w:rsidR="00A21E0C" w:rsidRPr="00BE64FC" w:rsidRDefault="00A21E0C" w:rsidP="008F5556">
            <w:pPr>
              <w:spacing w:before="120" w:line="276" w:lineRule="auto"/>
              <w:ind w:firstLine="709"/>
              <w:jc w:val="both"/>
              <w:rPr>
                <w:rFonts w:ascii="Verdana" w:eastAsia="Calibri" w:hAnsi="Verdana" w:cs="Arial"/>
                <w:color w:val="000000"/>
                <w:lang w:val="es-ES_tradnl"/>
              </w:rPr>
            </w:pPr>
            <w:r w:rsidRPr="00BE64FC">
              <w:rPr>
                <w:rFonts w:ascii="Verdana" w:eastAsia="Arial" w:hAnsi="Verdana" w:cs="Arial"/>
              </w:rPr>
              <w:t xml:space="preserve">Al margen de lo anterior, debe advertirse que el análisis sobre la subsanación o el rechazo de las ofertas al interior de los procedimientos de </w:t>
            </w:r>
            <w:r w:rsidRPr="00BE64FC">
              <w:rPr>
                <w:rFonts w:ascii="Verdana" w:eastAsia="Arial" w:hAnsi="Verdana" w:cs="Arial"/>
              </w:rPr>
              <w:lastRenderedPageBreak/>
              <w:t xml:space="preserve">selección debe ser realizado por quienes tengan interés en ello, de acuerdo con lo explicado en 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49466DDC" w14:textId="77777777" w:rsidR="00A21E0C" w:rsidRPr="00B36678" w:rsidRDefault="00A21E0C" w:rsidP="008F5556">
            <w:pPr>
              <w:spacing w:before="120" w:line="276" w:lineRule="auto"/>
              <w:ind w:firstLine="709"/>
              <w:jc w:val="both"/>
              <w:rPr>
                <w:rFonts w:ascii="Verdana" w:eastAsia="Arial" w:hAnsi="Verdana" w:cs="Arial"/>
                <w:bCs/>
              </w:rPr>
            </w:pPr>
            <w:r w:rsidRPr="00BE64FC">
              <w:rPr>
                <w:rFonts w:ascii="Verdana" w:eastAsia="Arial" w:hAnsi="Verdana" w:cs="Arial"/>
                <w:bCs/>
              </w:rPr>
              <w:t>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atender las necesidades de la Entidad Pública.</w:t>
            </w:r>
          </w:p>
        </w:tc>
      </w:tr>
    </w:tbl>
    <w:p w14:paraId="2428EF07" w14:textId="77777777" w:rsidR="00A21E0C" w:rsidRPr="00B36678" w:rsidRDefault="00A21E0C" w:rsidP="00A21E0C">
      <w:pPr>
        <w:tabs>
          <w:tab w:val="left" w:pos="142"/>
          <w:tab w:val="left" w:pos="284"/>
        </w:tabs>
        <w:spacing w:after="0" w:line="276" w:lineRule="auto"/>
        <w:jc w:val="both"/>
        <w:rPr>
          <w:rFonts w:ascii="Verdana" w:eastAsia="Century Gothic" w:hAnsi="Verdana" w:cs="Century Gothic"/>
          <w:b/>
          <w:bCs/>
          <w:lang w:val="es-ES"/>
        </w:rPr>
      </w:pPr>
    </w:p>
    <w:p w14:paraId="5166A60D" w14:textId="77777777" w:rsidR="00A21E0C" w:rsidRPr="00B36678" w:rsidRDefault="00A21E0C" w:rsidP="00A21E0C">
      <w:pPr>
        <w:tabs>
          <w:tab w:val="left" w:pos="142"/>
          <w:tab w:val="left" w:pos="284"/>
        </w:tabs>
        <w:spacing w:after="0" w:line="276" w:lineRule="auto"/>
        <w:jc w:val="both"/>
        <w:rPr>
          <w:rFonts w:ascii="Verdana" w:eastAsia="Century Gothic" w:hAnsi="Verdana" w:cs="Century Gothic"/>
          <w:b/>
          <w:bCs/>
          <w:lang w:val="es-ES"/>
        </w:rPr>
      </w:pPr>
      <w:r w:rsidRPr="00B36678">
        <w:rPr>
          <w:rFonts w:ascii="Verdana" w:eastAsia="Century Gothic" w:hAnsi="Verdana" w:cs="Century Gothic"/>
          <w:b/>
          <w:bCs/>
          <w:lang w:val="es-ES"/>
        </w:rPr>
        <w:t>3. Razones de la respuesta:</w:t>
      </w:r>
    </w:p>
    <w:p w14:paraId="69FD17A3" w14:textId="77777777" w:rsidR="00A21E0C" w:rsidRPr="00B36678" w:rsidRDefault="00A21E0C" w:rsidP="00A21E0C">
      <w:pPr>
        <w:spacing w:after="0" w:line="276" w:lineRule="auto"/>
        <w:jc w:val="both"/>
        <w:rPr>
          <w:rFonts w:ascii="Verdana" w:eastAsia="Calibri" w:hAnsi="Verdana" w:cs="Arial"/>
          <w:lang w:val="es-ES"/>
        </w:rPr>
      </w:pPr>
    </w:p>
    <w:p w14:paraId="2D80BD08" w14:textId="77777777" w:rsidR="00A21E0C" w:rsidRPr="00B36678" w:rsidRDefault="00A21E0C" w:rsidP="00A21E0C">
      <w:pPr>
        <w:spacing w:after="0" w:line="276" w:lineRule="auto"/>
        <w:jc w:val="both"/>
        <w:rPr>
          <w:rFonts w:ascii="Verdana" w:eastAsia="Calibri" w:hAnsi="Verdana" w:cs="Arial"/>
          <w:lang w:val="es-ES"/>
        </w:rPr>
      </w:pPr>
      <w:r w:rsidRPr="00B36678">
        <w:rPr>
          <w:rFonts w:ascii="Verdana" w:eastAsia="Calibri" w:hAnsi="Verdana" w:cs="Arial"/>
          <w:lang w:val="es-ES"/>
        </w:rPr>
        <w:t xml:space="preserve">Lo anterior se sustenta en las siguientes consideraciones: </w:t>
      </w:r>
    </w:p>
    <w:p w14:paraId="3EE09633" w14:textId="77777777" w:rsidR="00A21E0C" w:rsidRPr="00B36678" w:rsidRDefault="00A21E0C" w:rsidP="00A21E0C">
      <w:pPr>
        <w:spacing w:after="0" w:line="276" w:lineRule="auto"/>
        <w:jc w:val="both"/>
        <w:rPr>
          <w:rFonts w:ascii="Verdana" w:eastAsia="Calibri" w:hAnsi="Verdana" w:cs="Arial"/>
          <w:lang w:val="es-ES"/>
        </w:rPr>
      </w:pPr>
    </w:p>
    <w:p w14:paraId="48EF0881" w14:textId="77777777" w:rsidR="00A21E0C" w:rsidRPr="00B36678" w:rsidRDefault="00A21E0C" w:rsidP="00A21E0C">
      <w:pPr>
        <w:widowControl w:val="0"/>
        <w:autoSpaceDE w:val="0"/>
        <w:autoSpaceDN w:val="0"/>
        <w:spacing w:after="120" w:line="276" w:lineRule="auto"/>
        <w:jc w:val="both"/>
        <w:rPr>
          <w:rFonts w:ascii="Verdana" w:eastAsia="Calibri" w:hAnsi="Verdana" w:cs="Times New Roman"/>
          <w:lang w:val="es-ES"/>
        </w:rPr>
      </w:pPr>
      <w:bookmarkStart w:id="1" w:name="_Hlk113022941"/>
      <w:r w:rsidRPr="00B36678">
        <w:rPr>
          <w:rFonts w:ascii="Verdana" w:eastAsia="Calibri" w:hAnsi="Verdana" w:cs="Times New Roman"/>
          <w:lang w:val="es-ES"/>
        </w:rPr>
        <w:t>i</w:t>
      </w:r>
      <w:r>
        <w:rPr>
          <w:rFonts w:ascii="Verdana" w:eastAsia="Calibri" w:hAnsi="Verdana" w:cs="Times New Roman"/>
          <w:lang w:val="es-ES"/>
        </w:rPr>
        <w:t>.</w:t>
      </w:r>
      <w:r w:rsidRPr="00B36678">
        <w:rPr>
          <w:rFonts w:ascii="Verdana" w:eastAsia="Calibri" w:hAnsi="Verdana" w:cs="Times New Roman"/>
          <w:lang w:val="es-ES"/>
        </w:rPr>
        <w:t xml:space="preserve">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5261EDF" w14:textId="77777777" w:rsidR="00A21E0C" w:rsidRPr="00B36678" w:rsidRDefault="00A21E0C" w:rsidP="00A21E0C">
      <w:pPr>
        <w:widowControl w:val="0"/>
        <w:autoSpaceDE w:val="0"/>
        <w:autoSpaceDN w:val="0"/>
        <w:spacing w:after="120" w:line="276" w:lineRule="auto"/>
        <w:ind w:firstLine="708"/>
        <w:jc w:val="both"/>
        <w:rPr>
          <w:rFonts w:ascii="Verdana" w:eastAsia="Calibri" w:hAnsi="Verdana" w:cs="Times New Roman"/>
          <w:lang w:val="es-ES"/>
        </w:rPr>
      </w:pPr>
      <w:r w:rsidRPr="00B36678">
        <w:rPr>
          <w:rFonts w:ascii="Verdana" w:eastAsia="Calibri" w:hAnsi="Verdana" w:cs="Times New Roman"/>
          <w:lang w:val="es-ES"/>
        </w:rPr>
        <w:t xml:space="preserve">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w:t>
      </w:r>
      <w:r w:rsidRPr="00B36678">
        <w:rPr>
          <w:rFonts w:ascii="Verdana" w:eastAsia="Calibri" w:hAnsi="Verdana" w:cs="Times New Roman"/>
          <w:lang w:val="es-ES"/>
        </w:rPr>
        <w:lastRenderedPageBreak/>
        <w:t>concurso de méritos y contratación directa.</w:t>
      </w:r>
    </w:p>
    <w:bookmarkEnd w:id="1"/>
    <w:p w14:paraId="727B1AF7" w14:textId="77777777" w:rsidR="00A21E0C" w:rsidRPr="00B36678" w:rsidRDefault="00A21E0C" w:rsidP="00A21E0C">
      <w:pPr>
        <w:spacing w:after="120" w:line="276" w:lineRule="auto"/>
        <w:jc w:val="both"/>
        <w:rPr>
          <w:rFonts w:ascii="Verdana" w:eastAsia="Calibri" w:hAnsi="Verdana" w:cs="Times New Roman"/>
          <w:lang w:val="es-ES"/>
        </w:rPr>
      </w:pPr>
      <w:r w:rsidRPr="00B36678">
        <w:rPr>
          <w:rFonts w:ascii="Verdana" w:eastAsia="Calibri" w:hAnsi="Verdana" w:cs="Times New Roman"/>
          <w:lang w:val="es-ES"/>
        </w:rPr>
        <w:tab/>
        <w:t xml:space="preserve">En el sector de infraestructura de agua potable y saneamiento básico, la Agencia Nacional de Contratación Pública – Colombia Compra Eficiente, mediante la Resolución 248 del 1 de diciembre de 2020, adoptó los documentos tipo para los procesos de licitación pública para obras de infraestructura de agua potable y saneamiento básico. Por su parte, mediante la Resolución 249 del 1 de diciembre de 2025, esta Agencia expidió los documentos tipo para los procesos de licitación pública para obras de infraestructura de agua potable y saneamiento básico en la modalidad de llave en mano. Finalmente, por medio de la Resolución 333 del 27 de julio de 2022, esta Entidad expidió los documentos tipo para los procesos de selección de interventoría de obra pública de infraestructura de agua potable y saneamiento básico que se adelanten por la modalidad de concurso de méritos. </w:t>
      </w:r>
    </w:p>
    <w:p w14:paraId="77C65A48" w14:textId="77777777" w:rsidR="00A21E0C" w:rsidRPr="00B36678" w:rsidRDefault="00A21E0C" w:rsidP="00A21E0C">
      <w:pPr>
        <w:spacing w:after="0" w:line="276" w:lineRule="auto"/>
        <w:ind w:firstLine="708"/>
        <w:jc w:val="both"/>
        <w:rPr>
          <w:rFonts w:ascii="Verdana" w:eastAsia="Calibri" w:hAnsi="Verdana" w:cs="Times New Roman"/>
          <w:lang w:val="es-ES"/>
        </w:rPr>
      </w:pPr>
      <w:r w:rsidRPr="00B36678">
        <w:rPr>
          <w:rFonts w:ascii="Verdana" w:eastAsia="Calibri" w:hAnsi="Verdana" w:cs="Arial"/>
        </w:rPr>
        <w:t xml:space="preserve">Los documentos tipo adoptados mediante </w:t>
      </w:r>
      <w:r w:rsidRPr="00B36678">
        <w:rPr>
          <w:rFonts w:ascii="Verdana" w:eastAsia="Arial" w:hAnsi="Verdana" w:cs="Arial"/>
        </w:rPr>
        <w:t>la Resolución No. 248 del 1 de diciembre de 2020</w:t>
      </w:r>
      <w:r w:rsidRPr="00B36678">
        <w:rPr>
          <w:rFonts w:ascii="Verdana" w:eastAsia="Calibri" w:hAnsi="Verdana" w:cs="Arial"/>
        </w:rPr>
        <w:t xml:space="preserve">, expedida por la Agencia Nacional de Contratación Pública </w:t>
      </w:r>
      <w:r w:rsidRPr="00B36678">
        <w:rPr>
          <w:rFonts w:ascii="Verdana" w:eastAsia="Calibri" w:hAnsi="Verdana" w:cs="Courier New"/>
        </w:rPr>
        <w:t>─</w:t>
      </w:r>
      <w:r w:rsidRPr="00B36678">
        <w:rPr>
          <w:rFonts w:ascii="Verdana" w:eastAsia="Calibri" w:hAnsi="Verdana" w:cs="Arial"/>
        </w:rPr>
        <w:t xml:space="preserve"> Colombia Compra Eficiente, establecen las condiciones habilitantes, los factores técnicos y económicos de escogencia, y los sistemas de ponderación de carácter obligatorio para las entidades sometidas al Estatuto General de la Contratación Pública, que adelanten procedimientos de selección de licitación de obra pública de infraestructura de agua potable y saneamiento básico.</w:t>
      </w:r>
    </w:p>
    <w:p w14:paraId="0F827338" w14:textId="77777777" w:rsidR="00A21E0C" w:rsidRPr="00B36678" w:rsidRDefault="00A21E0C" w:rsidP="00A21E0C">
      <w:pPr>
        <w:widowControl w:val="0"/>
        <w:autoSpaceDE w:val="0"/>
        <w:autoSpaceDN w:val="0"/>
        <w:spacing w:after="0" w:line="276" w:lineRule="auto"/>
        <w:jc w:val="both"/>
        <w:rPr>
          <w:rFonts w:ascii="Verdana" w:eastAsia="Arial" w:hAnsi="Verdana" w:cs="Arial"/>
          <w:lang w:val="es-ES" w:eastAsia="es-ES" w:bidi="es-ES"/>
        </w:rPr>
      </w:pPr>
    </w:p>
    <w:p w14:paraId="1A8AF6F3" w14:textId="77777777" w:rsidR="00A21E0C" w:rsidRPr="00B36678" w:rsidRDefault="00A21E0C" w:rsidP="00A21E0C">
      <w:pPr>
        <w:spacing w:after="0"/>
        <w:jc w:val="both"/>
        <w:rPr>
          <w:rFonts w:ascii="Verdana" w:eastAsia="Calibri" w:hAnsi="Verdana" w:cs="Arial"/>
        </w:rPr>
      </w:pPr>
      <w:proofErr w:type="spellStart"/>
      <w:r w:rsidRPr="00B36678">
        <w:rPr>
          <w:rFonts w:ascii="Verdana" w:eastAsia="Calibri" w:hAnsi="Verdana" w:cs="Arial"/>
          <w:bCs/>
        </w:rPr>
        <w:t>ii</w:t>
      </w:r>
      <w:proofErr w:type="spellEnd"/>
      <w:r>
        <w:rPr>
          <w:rFonts w:ascii="Verdana" w:eastAsia="Calibri" w:hAnsi="Verdana" w:cs="Arial"/>
          <w:bCs/>
        </w:rPr>
        <w:t>.</w:t>
      </w:r>
      <w:r w:rsidRPr="00B36678">
        <w:rPr>
          <w:rFonts w:ascii="Verdana" w:eastAsia="Calibri" w:hAnsi="Verdana" w:cs="Arial"/>
          <w:bCs/>
        </w:rPr>
        <w:t xml:space="preserve"> </w:t>
      </w:r>
      <w:bookmarkStart w:id="2" w:name="_Hlk118970363"/>
      <w:bookmarkStart w:id="3" w:name="_Hlk35001393"/>
      <w:r w:rsidRPr="00B36678">
        <w:rPr>
          <w:rFonts w:ascii="Verdana" w:eastAsia="Calibri" w:hAnsi="Verdana" w:cs="Arial"/>
        </w:rPr>
        <w:t>Las causales de rechazo son las establecidas en la Ley y las fijadas por la entidad estatal en los pliegos de condiciones. Sin embargo, en ejercicio de dicha facultad a las entidades no le es dable fijar causales de rechazo que soslayen o afecten la selección objetiva en la contratación. Sobre el particular, el Consejo de Estado señala:</w:t>
      </w:r>
    </w:p>
    <w:p w14:paraId="60308651" w14:textId="77777777" w:rsidR="00A21E0C" w:rsidRPr="00B36678" w:rsidRDefault="00A21E0C" w:rsidP="00A21E0C">
      <w:pPr>
        <w:tabs>
          <w:tab w:val="left" w:pos="709"/>
        </w:tabs>
        <w:spacing w:after="0" w:line="276" w:lineRule="auto"/>
        <w:ind w:firstLine="709"/>
        <w:jc w:val="both"/>
        <w:rPr>
          <w:rFonts w:ascii="Verdana" w:eastAsia="Calibri" w:hAnsi="Verdana" w:cs="Arial"/>
        </w:rPr>
      </w:pPr>
    </w:p>
    <w:p w14:paraId="409DBA8D" w14:textId="77777777" w:rsidR="00A21E0C" w:rsidRPr="00B36678" w:rsidRDefault="00A21E0C" w:rsidP="00A21E0C">
      <w:pPr>
        <w:tabs>
          <w:tab w:val="left" w:pos="709"/>
        </w:tabs>
        <w:spacing w:after="0" w:line="240" w:lineRule="auto"/>
        <w:ind w:left="709" w:right="709"/>
        <w:jc w:val="both"/>
        <w:rPr>
          <w:rFonts w:ascii="Verdana" w:eastAsia="Calibri" w:hAnsi="Verdana" w:cs="Arial"/>
          <w:sz w:val="21"/>
          <w:szCs w:val="21"/>
        </w:rPr>
      </w:pPr>
      <w:r w:rsidRPr="00B36678">
        <w:rPr>
          <w:rFonts w:ascii="Verdana" w:eastAsia="Calibri" w:hAnsi="Verdana" w:cs="Arial"/>
          <w:sz w:val="21"/>
          <w:szCs w:val="21"/>
        </w:rPr>
        <w:t xml:space="preserve">“Quiere con esto destacar la Sala que las causales de rechazo de las propuestas pueden ser legales y por lo mismo generan el efecto del descarte o exclusión de la oferta </w:t>
      </w:r>
      <w:proofErr w:type="spellStart"/>
      <w:r w:rsidRPr="00B36678">
        <w:rPr>
          <w:rFonts w:ascii="Verdana" w:eastAsia="Calibri" w:hAnsi="Verdana" w:cs="Arial"/>
          <w:sz w:val="21"/>
          <w:szCs w:val="21"/>
        </w:rPr>
        <w:t>ope</w:t>
      </w:r>
      <w:proofErr w:type="spellEnd"/>
      <w:r w:rsidRPr="00B36678">
        <w:rPr>
          <w:rFonts w:ascii="Verdana" w:eastAsia="Calibri" w:hAnsi="Verdana" w:cs="Arial"/>
          <w:sz w:val="21"/>
          <w:szCs w:val="21"/>
        </w:rPr>
        <w:t xml:space="preserve"> </w:t>
      </w:r>
      <w:proofErr w:type="spellStart"/>
      <w:r w:rsidRPr="00B36678">
        <w:rPr>
          <w:rFonts w:ascii="Verdana" w:eastAsia="Calibri" w:hAnsi="Verdana" w:cs="Arial"/>
          <w:sz w:val="21"/>
          <w:szCs w:val="21"/>
        </w:rPr>
        <w:t>legis</w:t>
      </w:r>
      <w:proofErr w:type="spellEnd"/>
      <w:r w:rsidRPr="00B36678">
        <w:rPr>
          <w:rFonts w:ascii="Verdana" w:eastAsia="Calibri" w:hAnsi="Verdana" w:cs="Arial"/>
          <w:sz w:val="21"/>
          <w:szCs w:val="21"/>
        </w:rPr>
        <w:t xml:space="preserve">,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w:t>
      </w:r>
      <w:r w:rsidRPr="00B36678">
        <w:rPr>
          <w:rFonts w:ascii="Verdana" w:eastAsia="Calibri" w:hAnsi="Verdana" w:cs="Arial"/>
          <w:sz w:val="21"/>
          <w:szCs w:val="21"/>
        </w:rPr>
        <w:lastRenderedPageBreak/>
        <w:t>comprometería el cumplimiento de los principios de transparencia, economía y responsabilidad, así como el deber de selección objetiva en la contratación”</w:t>
      </w:r>
      <w:r w:rsidRPr="00B36678">
        <w:rPr>
          <w:rFonts w:ascii="Verdana" w:eastAsia="Calibri" w:hAnsi="Verdana" w:cs="Arial"/>
          <w:sz w:val="21"/>
          <w:szCs w:val="21"/>
          <w:vertAlign w:val="superscript"/>
        </w:rPr>
        <w:footnoteReference w:id="3"/>
      </w:r>
      <w:r w:rsidRPr="00B36678">
        <w:rPr>
          <w:rFonts w:ascii="Verdana" w:eastAsia="Calibri" w:hAnsi="Verdana" w:cs="Arial"/>
          <w:sz w:val="21"/>
          <w:szCs w:val="21"/>
        </w:rPr>
        <w:t>.</w:t>
      </w:r>
    </w:p>
    <w:p w14:paraId="7E0A86FD" w14:textId="77777777" w:rsidR="00A21E0C" w:rsidRPr="00B36678" w:rsidRDefault="00A21E0C" w:rsidP="00A21E0C">
      <w:pPr>
        <w:tabs>
          <w:tab w:val="left" w:pos="709"/>
        </w:tabs>
        <w:spacing w:after="0" w:line="276" w:lineRule="auto"/>
        <w:ind w:firstLine="709"/>
        <w:jc w:val="both"/>
        <w:rPr>
          <w:rFonts w:ascii="Verdana" w:eastAsia="Calibri" w:hAnsi="Verdana" w:cs="Arial"/>
        </w:rPr>
      </w:pPr>
    </w:p>
    <w:p w14:paraId="74E99AF5" w14:textId="77777777" w:rsidR="00A21E0C" w:rsidRPr="00B36678" w:rsidRDefault="00A21E0C" w:rsidP="00A21E0C">
      <w:pPr>
        <w:spacing w:after="0" w:line="276" w:lineRule="auto"/>
        <w:ind w:firstLine="708"/>
        <w:jc w:val="both"/>
        <w:rPr>
          <w:rFonts w:ascii="Verdana" w:eastAsia="Calibri" w:hAnsi="Verdana" w:cs="Arial"/>
          <w:bCs/>
        </w:rPr>
      </w:pPr>
      <w:r w:rsidRPr="00B36678">
        <w:rPr>
          <w:rFonts w:ascii="Verdana" w:eastAsia="Calibri" w:hAnsi="Verdana" w:cs="Arial"/>
          <w:bCs/>
        </w:rPr>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 sostuvo: </w:t>
      </w:r>
    </w:p>
    <w:p w14:paraId="40EA9D5E" w14:textId="77777777" w:rsidR="00A21E0C" w:rsidRPr="00B36678" w:rsidRDefault="00A21E0C" w:rsidP="00A21E0C">
      <w:pPr>
        <w:spacing w:after="0" w:line="276" w:lineRule="auto"/>
        <w:ind w:left="720"/>
        <w:jc w:val="both"/>
        <w:rPr>
          <w:rFonts w:ascii="Verdana" w:eastAsia="Calibri" w:hAnsi="Verdana" w:cs="Arial"/>
          <w:bCs/>
        </w:rPr>
      </w:pPr>
    </w:p>
    <w:p w14:paraId="03A3FC70" w14:textId="77777777" w:rsidR="00A21E0C" w:rsidRPr="00B36678" w:rsidRDefault="00A21E0C" w:rsidP="00A21E0C">
      <w:pPr>
        <w:spacing w:after="0" w:line="240" w:lineRule="auto"/>
        <w:ind w:left="709" w:right="709"/>
        <w:jc w:val="both"/>
        <w:rPr>
          <w:rFonts w:ascii="Verdana" w:eastAsia="Calibri" w:hAnsi="Verdana" w:cs="Arial"/>
          <w:bCs/>
          <w:sz w:val="21"/>
          <w:szCs w:val="21"/>
        </w:rPr>
      </w:pPr>
      <w:r w:rsidRPr="00B36678">
        <w:rPr>
          <w:rFonts w:ascii="Verdana" w:eastAsia="Calibri" w:hAnsi="Verdana" w:cs="Arial"/>
          <w:bCs/>
          <w:sz w:val="21"/>
          <w:szCs w:val="21"/>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45180DA2" w14:textId="77777777" w:rsidR="00A21E0C" w:rsidRPr="00B36678" w:rsidRDefault="00A21E0C" w:rsidP="00A21E0C">
      <w:pPr>
        <w:spacing w:after="0" w:line="276" w:lineRule="auto"/>
        <w:ind w:left="720"/>
        <w:jc w:val="both"/>
        <w:rPr>
          <w:rFonts w:ascii="Verdana" w:eastAsia="Calibri" w:hAnsi="Verdana" w:cs="Arial"/>
          <w:bCs/>
        </w:rPr>
      </w:pPr>
    </w:p>
    <w:p w14:paraId="46CFDB7D" w14:textId="77777777" w:rsidR="00A21E0C" w:rsidRPr="00B36678" w:rsidRDefault="00A21E0C" w:rsidP="00A21E0C">
      <w:pPr>
        <w:spacing w:after="120" w:line="276" w:lineRule="auto"/>
        <w:ind w:firstLine="708"/>
        <w:jc w:val="both"/>
        <w:rPr>
          <w:rFonts w:ascii="Verdana" w:eastAsia="Calibri" w:hAnsi="Verdana" w:cs="Arial"/>
          <w:bCs/>
        </w:rPr>
      </w:pPr>
      <w:r w:rsidRPr="00B36678">
        <w:rPr>
          <w:rFonts w:ascii="Verdana" w:eastAsia="Calibri" w:hAnsi="Verdana" w:cs="Arial"/>
          <w:bC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2F2429DF" w14:textId="77777777" w:rsidR="00A21E0C" w:rsidRPr="00B36678" w:rsidRDefault="00A21E0C" w:rsidP="00A21E0C">
      <w:pPr>
        <w:spacing w:after="120" w:line="276" w:lineRule="auto"/>
        <w:ind w:firstLine="708"/>
        <w:jc w:val="both"/>
        <w:rPr>
          <w:rFonts w:ascii="Verdana" w:eastAsia="Calibri" w:hAnsi="Verdana" w:cs="Arial"/>
          <w:bCs/>
        </w:rPr>
      </w:pPr>
      <w:r w:rsidRPr="00B36678">
        <w:rPr>
          <w:rFonts w:ascii="Verdana" w:eastAsia="Calibri" w:hAnsi="Verdana" w:cs="Arial"/>
          <w:bCs/>
        </w:rPr>
        <w:lastRenderedPageBreak/>
        <w:t>Adicionalmente, la Agencia Nacional de Contratación Pública – Colombia Compra Eficiente, mediante los conceptos con radicados Nos. 2201913000007117 del 25 de septiembre de 2019, 2201913000009538 del 23 de diciembre de 2019, C-716 del 30 de octubre de 2020 y C-128 del 2 de agosto de 2024,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1967133A" w14:textId="77777777" w:rsidR="00A21E0C" w:rsidRPr="00B36678" w:rsidRDefault="00A21E0C" w:rsidP="00A21E0C">
      <w:pPr>
        <w:widowControl w:val="0"/>
        <w:autoSpaceDE w:val="0"/>
        <w:autoSpaceDN w:val="0"/>
        <w:spacing w:after="120" w:line="276" w:lineRule="auto"/>
        <w:ind w:firstLine="709"/>
        <w:jc w:val="both"/>
        <w:rPr>
          <w:rFonts w:ascii="Verdana" w:eastAsia="Calibri" w:hAnsi="Verdana" w:cs="Arial"/>
          <w:lang w:val="es-ES" w:eastAsia="es-ES" w:bidi="es-ES"/>
        </w:rPr>
      </w:pPr>
      <w:r w:rsidRPr="00B36678">
        <w:rPr>
          <w:rFonts w:ascii="Verdana" w:eastAsia="Calibri" w:hAnsi="Verdana" w:cs="Arial"/>
        </w:rPr>
        <w:t>De acuerdo con lo anterior, al consultar el numeral 1.15</w:t>
      </w:r>
      <w:r w:rsidRPr="00B36678">
        <w:rPr>
          <w:rFonts w:ascii="Verdana" w:eastAsia="Arial" w:hAnsi="Verdana" w:cs="Arial"/>
          <w:bCs/>
          <w:lang w:val="es-ES" w:eastAsia="es-ES" w:bidi="es-ES"/>
        </w:rPr>
        <w:t xml:space="preserve"> del Documento Base, existen varias relacionadas con aspectos relativos a la oferta económica</w:t>
      </w:r>
      <w:r w:rsidRPr="00B36678">
        <w:rPr>
          <w:rFonts w:ascii="Verdana" w:eastAsia="Arial" w:hAnsi="Verdana" w:cs="Arial"/>
          <w:bCs/>
          <w:vertAlign w:val="superscript"/>
          <w:lang w:val="es-ES" w:eastAsia="es-ES" w:bidi="es-ES"/>
        </w:rPr>
        <w:footnoteReference w:id="4"/>
      </w:r>
      <w:r w:rsidRPr="00B36678">
        <w:rPr>
          <w:rFonts w:ascii="Verdana" w:eastAsia="Arial" w:hAnsi="Verdana" w:cs="Arial"/>
          <w:bCs/>
          <w:lang w:val="es-ES" w:eastAsia="es-ES" w:bidi="es-ES"/>
        </w:rPr>
        <w:t xml:space="preserve">. </w:t>
      </w:r>
      <w:r w:rsidRPr="00B36678">
        <w:rPr>
          <w:rFonts w:ascii="Verdana" w:eastAsia="Calibri" w:hAnsi="Verdana" w:cs="Arial"/>
          <w:lang w:val="es-ES" w:eastAsia="es-ES" w:bidi="es-ES"/>
        </w:rPr>
        <w:lastRenderedPageBreak/>
        <w:t>Ante la imposibilidad de incluir nuevas causales, con fundamento en el principio de inalterabilidad, las entidades estatales deben evaluar en la presentación de la oferta económica la configuración de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w:t>
      </w:r>
      <w:r w:rsidRPr="00B36678">
        <w:rPr>
          <w:rFonts w:ascii="Verdana" w:eastAsia="Calibri" w:hAnsi="Verdana" w:cs="Arial"/>
          <w:vertAlign w:val="superscript"/>
          <w:lang w:val="es-ES" w:eastAsia="es-ES" w:bidi="es-ES"/>
        </w:rPr>
        <w:footnoteReference w:id="5"/>
      </w:r>
      <w:r w:rsidRPr="00B36678">
        <w:rPr>
          <w:rFonts w:ascii="Verdana" w:eastAsia="Calibri" w:hAnsi="Verdana" w:cs="Arial"/>
          <w:lang w:val="es-ES" w:eastAsia="es-ES" w:bidi="es-ES"/>
        </w:rPr>
        <w:t xml:space="preserve">. </w:t>
      </w:r>
    </w:p>
    <w:p w14:paraId="225948ED" w14:textId="77777777" w:rsidR="00A21E0C" w:rsidRPr="00B36678" w:rsidRDefault="00A21E0C" w:rsidP="00A21E0C">
      <w:pPr>
        <w:widowControl w:val="0"/>
        <w:autoSpaceDE w:val="0"/>
        <w:autoSpaceDN w:val="0"/>
        <w:spacing w:after="120" w:line="276" w:lineRule="auto"/>
        <w:ind w:firstLine="709"/>
        <w:jc w:val="both"/>
        <w:rPr>
          <w:rFonts w:ascii="Verdana" w:eastAsia="Calibri" w:hAnsi="Verdana" w:cs="Arial"/>
          <w:lang w:val="es-ES" w:eastAsia="es-ES" w:bidi="es-ES"/>
        </w:rPr>
      </w:pPr>
      <w:bookmarkStart w:id="15" w:name="_Hlk118970493"/>
      <w:bookmarkStart w:id="16" w:name="_Hlk118963639"/>
      <w:bookmarkEnd w:id="2"/>
      <w:r w:rsidRPr="00B36678">
        <w:rPr>
          <w:rFonts w:ascii="Verdana" w:eastAsia="Calibri" w:hAnsi="Verdana" w:cs="Arial"/>
          <w:lang w:val="es-ES" w:eastAsia="es-ES" w:bidi="es-ES"/>
        </w:rPr>
        <w:lastRenderedPageBreak/>
        <w:t>Dentro de los múltiples hechos que podría tener lugar en el marco de procesos de selección, puede suceder, por ejemplo, que se presente una oferta cuyo total exceda el valor del Presupuesto Oficial, configurándose la causal de rechazo del literal M; también puede ocurrir que no se ofrezca el valor de un precio unitario –causal de rechazo del literal P</w:t>
      </w:r>
      <w:r w:rsidRPr="00B36678">
        <w:rPr>
          <w:rFonts w:ascii="Verdana" w:eastAsia="Calibri" w:hAnsi="Verdana" w:cs="Arial"/>
          <w:lang w:val="es-ES" w:eastAsia="es-ES" w:bidi="es-ES"/>
        </w:rPr>
        <w:softHyphen/>
        <w:t>– o que se oferte por encima del tope establecido por la entidad –literal Q–; que “</w:t>
      </w:r>
      <w:r w:rsidRPr="00B36678">
        <w:rPr>
          <w:rFonts w:ascii="Verdana" w:eastAsia="Arial" w:hAnsi="Verdana" w:cs="Arial"/>
          <w:lang w:eastAsia="es-ES" w:bidi="es-ES"/>
        </w:rPr>
        <w:t>el proponente adicione, suprima, cambie, o modifique los ítems, la descripción, las especificaciones, el detalle, las unidades o cantidades (…)”</w:t>
      </w:r>
      <w:r>
        <w:rPr>
          <w:rFonts w:ascii="Verdana" w:eastAsia="Arial" w:hAnsi="Verdana" w:cs="Arial"/>
          <w:lang w:eastAsia="es-ES" w:bidi="es-ES"/>
        </w:rPr>
        <w:t xml:space="preserve"> –literal O –</w:t>
      </w:r>
      <w:r w:rsidRPr="00B36678">
        <w:rPr>
          <w:rFonts w:ascii="Verdana" w:eastAsia="Arial" w:hAnsi="Verdana" w:cs="Arial"/>
          <w:lang w:eastAsia="es-ES" w:bidi="es-ES"/>
        </w:rPr>
        <w:t>; o que el proponente no presente la oferta económica –literal V–,</w:t>
      </w:r>
      <w:r w:rsidRPr="00B36678">
        <w:rPr>
          <w:rFonts w:ascii="Verdana" w:eastAsia="Calibri" w:hAnsi="Verdana" w:cs="Arial"/>
          <w:lang w:val="es-ES" w:eastAsia="es-ES" w:bidi="es-ES"/>
        </w:rPr>
        <w:t xml:space="preserve"> eventos que ameritarían el rechazo de la oferta.</w:t>
      </w:r>
    </w:p>
    <w:p w14:paraId="564F700E" w14:textId="77777777" w:rsidR="00A21E0C" w:rsidRDefault="00A21E0C" w:rsidP="00A21E0C">
      <w:pPr>
        <w:widowControl w:val="0"/>
        <w:autoSpaceDE w:val="0"/>
        <w:autoSpaceDN w:val="0"/>
        <w:spacing w:after="0" w:line="276" w:lineRule="auto"/>
        <w:ind w:firstLine="709"/>
        <w:jc w:val="both"/>
        <w:rPr>
          <w:rFonts w:ascii="Verdana" w:eastAsia="Calibri" w:hAnsi="Verdana" w:cs="Arial"/>
          <w:lang w:val="es-ES" w:eastAsia="es-ES" w:bidi="es-ES"/>
        </w:rPr>
      </w:pPr>
      <w:bookmarkStart w:id="17" w:name="_Hlk118970574"/>
      <w:bookmarkEnd w:id="15"/>
      <w:r w:rsidRPr="00B36678">
        <w:rPr>
          <w:rFonts w:ascii="Verdana" w:eastAsia="Calibri" w:hAnsi="Verdana" w:cs="Arial"/>
          <w:lang w:val="es-ES" w:eastAsia="es-ES" w:bidi="es-ES"/>
        </w:rPr>
        <w:t>Otra de las situaciones que imposibilitan evaluar la oferta económica presentada, consiste en la inclusión de información de la oferta económica en el sobre que no corresponde, según lo establecido en los parágrafos 2 y 3 del artículo 30 de la Ley 80 de 1993, adicionados por la Ley 1882 de 2018, y regulados en los numerales 2.3, 2.3.1 y 2.3.2 del Documento Base. Esto dado que estas normas exigen que los documentos relacionados con la acreditación de los requisitos habilitantes se presenten en un sobre –Sobre 1–, y la oferta económica sea presentada en otro distinto –Sobre 2</w:t>
      </w:r>
      <w:r w:rsidRPr="00B36678">
        <w:rPr>
          <w:rFonts w:ascii="Verdana" w:eastAsia="Calibri" w:hAnsi="Verdana" w:cs="Arial"/>
          <w:lang w:val="es-ES" w:eastAsia="es-ES" w:bidi="es-ES"/>
        </w:rPr>
        <w:softHyphen/>
        <w:t xml:space="preserve">–.  </w:t>
      </w:r>
      <w:bookmarkEnd w:id="17"/>
    </w:p>
    <w:p w14:paraId="408ABF9F" w14:textId="77777777" w:rsidR="00A21E0C" w:rsidRDefault="00A21E0C" w:rsidP="00A21E0C">
      <w:pPr>
        <w:widowControl w:val="0"/>
        <w:autoSpaceDE w:val="0"/>
        <w:autoSpaceDN w:val="0"/>
        <w:spacing w:after="0" w:line="276" w:lineRule="auto"/>
        <w:jc w:val="both"/>
        <w:rPr>
          <w:rFonts w:ascii="Verdana" w:eastAsia="Calibri" w:hAnsi="Verdana" w:cs="Arial"/>
          <w:lang w:val="es-ES" w:eastAsia="es-ES" w:bidi="es-ES"/>
        </w:rPr>
      </w:pPr>
    </w:p>
    <w:p w14:paraId="25E61E3D" w14:textId="77777777" w:rsidR="00A21E0C" w:rsidRPr="00F52630" w:rsidRDefault="00A21E0C" w:rsidP="00A21E0C">
      <w:pPr>
        <w:spacing w:after="0" w:line="276" w:lineRule="auto"/>
        <w:jc w:val="both"/>
        <w:rPr>
          <w:rFonts w:ascii="Verdana" w:eastAsia="Calibri" w:hAnsi="Verdana" w:cs="Arial"/>
          <w:bCs/>
        </w:rPr>
      </w:pPr>
      <w:proofErr w:type="spellStart"/>
      <w:r>
        <w:rPr>
          <w:rFonts w:ascii="Verdana" w:eastAsia="Calibri" w:hAnsi="Verdana" w:cs="Arial"/>
          <w:lang w:val="es-ES" w:eastAsia="es-ES" w:bidi="es-ES"/>
        </w:rPr>
        <w:t>iv</w:t>
      </w:r>
      <w:proofErr w:type="spellEnd"/>
      <w:r>
        <w:rPr>
          <w:rFonts w:ascii="Verdana" w:eastAsia="Calibri" w:hAnsi="Verdana" w:cs="Arial"/>
          <w:lang w:val="es-ES" w:eastAsia="es-ES" w:bidi="es-ES"/>
        </w:rPr>
        <w:t xml:space="preserve">. </w:t>
      </w:r>
      <w:r w:rsidRPr="00F52630">
        <w:rPr>
          <w:rFonts w:ascii="Verdana" w:eastAsia="Calibri" w:hAnsi="Verdana" w:cs="Arial"/>
          <w:bCs/>
        </w:rPr>
        <w:t>En los documentos tipo de licitación de obra pública de infraestructura</w:t>
      </w:r>
      <w:r>
        <w:rPr>
          <w:rFonts w:ascii="Verdana" w:eastAsia="Calibri" w:hAnsi="Verdana" w:cs="Arial"/>
          <w:bCs/>
        </w:rPr>
        <w:t xml:space="preserve"> de agua potable y saneamiento básico</w:t>
      </w:r>
      <w:r w:rsidRPr="00F52630">
        <w:rPr>
          <w:rFonts w:ascii="Verdana" w:eastAsia="Calibri" w:hAnsi="Verdana" w:cs="Arial"/>
          <w:bCs/>
        </w:rPr>
        <w:t xml:space="preserve">, se incluyeron las causales de rechazo de las ofertas, entre ellas, la relacionada con la presente consulta –causal </w:t>
      </w:r>
      <w:r>
        <w:rPr>
          <w:rFonts w:ascii="Verdana" w:eastAsia="Calibri" w:hAnsi="Verdana" w:cs="Arial"/>
          <w:bCs/>
        </w:rPr>
        <w:t>O</w:t>
      </w:r>
      <w:r w:rsidRPr="00F52630">
        <w:rPr>
          <w:rFonts w:ascii="Verdana" w:eastAsia="Calibri" w:hAnsi="Verdana" w:cs="Arial"/>
          <w:bCs/>
        </w:rPr>
        <w:t xml:space="preserve">–, la cual se transcribe en los siguientes términos:    </w:t>
      </w:r>
    </w:p>
    <w:p w14:paraId="0822DE15" w14:textId="77777777" w:rsidR="00A21E0C" w:rsidRPr="00F52630" w:rsidRDefault="00A21E0C" w:rsidP="00A21E0C">
      <w:pPr>
        <w:spacing w:after="0" w:line="240" w:lineRule="auto"/>
        <w:ind w:left="709" w:right="709"/>
        <w:jc w:val="both"/>
        <w:rPr>
          <w:rFonts w:ascii="Verdana" w:eastAsia="Calibri" w:hAnsi="Verdana" w:cs="Arial"/>
          <w:bCs/>
          <w:sz w:val="21"/>
          <w:szCs w:val="21"/>
        </w:rPr>
      </w:pPr>
    </w:p>
    <w:p w14:paraId="3CAE8FE4" w14:textId="77777777" w:rsidR="00A21E0C" w:rsidRPr="00F52630" w:rsidRDefault="00A21E0C" w:rsidP="00A21E0C">
      <w:pPr>
        <w:spacing w:after="0" w:line="240" w:lineRule="auto"/>
        <w:ind w:left="709" w:right="709"/>
        <w:jc w:val="both"/>
        <w:rPr>
          <w:rFonts w:ascii="Verdana" w:eastAsia="Calibri" w:hAnsi="Verdana" w:cs="Times New Roman"/>
          <w:sz w:val="21"/>
          <w:szCs w:val="21"/>
          <w:lang w:val="es-MX"/>
        </w:rPr>
      </w:pPr>
      <w:r w:rsidRPr="00F52630">
        <w:rPr>
          <w:rFonts w:ascii="Verdana" w:eastAsia="Calibri" w:hAnsi="Verdana" w:cs="Times New Roman"/>
          <w:sz w:val="21"/>
          <w:szCs w:val="21"/>
          <w:lang w:val="es-MX"/>
        </w:rPr>
        <w:t>“</w:t>
      </w:r>
      <w:r>
        <w:rPr>
          <w:rFonts w:ascii="Verdana" w:eastAsia="Calibri" w:hAnsi="Verdana" w:cs="Times New Roman"/>
          <w:sz w:val="21"/>
          <w:szCs w:val="21"/>
          <w:lang w:val="es-MX"/>
        </w:rPr>
        <w:t>O</w:t>
      </w:r>
      <w:r w:rsidRPr="00F52630">
        <w:rPr>
          <w:rFonts w:ascii="Verdana" w:eastAsia="Calibri" w:hAnsi="Verdana" w:cs="Times New Roman"/>
          <w:sz w:val="21"/>
          <w:szCs w:val="21"/>
          <w:lang w:val="es-MX"/>
        </w:rPr>
        <w:t>. Que el proponente adicione, suprima, cambie, o modifique los ítems, la descripción, las especificaciones, el detalle, las unidades o cantidades señaladas en el Formulario 1 – Formulario de Presupuesto Oficial, de acuerdo con lo exigido por la entidad”.</w:t>
      </w:r>
    </w:p>
    <w:p w14:paraId="0FD2E384" w14:textId="77777777" w:rsidR="00A21E0C" w:rsidRPr="00F52630" w:rsidRDefault="00A21E0C" w:rsidP="00A21E0C">
      <w:pPr>
        <w:spacing w:after="0" w:line="240" w:lineRule="auto"/>
        <w:ind w:right="709"/>
        <w:jc w:val="both"/>
        <w:rPr>
          <w:rFonts w:ascii="Verdana" w:eastAsia="Calibri" w:hAnsi="Verdana" w:cs="Times New Roman"/>
          <w:sz w:val="21"/>
          <w:szCs w:val="21"/>
          <w:lang w:val="es-MX"/>
        </w:rPr>
      </w:pPr>
    </w:p>
    <w:p w14:paraId="286EEF95" w14:textId="77777777" w:rsidR="00A21E0C" w:rsidRDefault="00A21E0C" w:rsidP="00A21E0C">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 xml:space="preserve">Respecto del alcance de esta causal, </w:t>
      </w:r>
      <w:r>
        <w:rPr>
          <w:rFonts w:ascii="Verdana" w:eastAsia="Calibri" w:hAnsi="Verdana" w:cs="Arial"/>
          <w:color w:val="000000"/>
          <w:lang w:val="es-ES"/>
        </w:rPr>
        <w:t>la</w:t>
      </w:r>
      <w:r w:rsidRPr="00F52630">
        <w:rPr>
          <w:rFonts w:ascii="Verdana" w:eastAsia="Calibri" w:hAnsi="Verdana" w:cs="Arial"/>
          <w:color w:val="000000"/>
          <w:lang w:val="es-ES"/>
        </w:rPr>
        <w:t xml:space="preserve"> Agencia</w:t>
      </w:r>
      <w:r>
        <w:rPr>
          <w:rFonts w:ascii="Verdana" w:eastAsia="Calibri" w:hAnsi="Verdana" w:cs="Arial"/>
          <w:color w:val="000000"/>
          <w:lang w:val="es-ES"/>
        </w:rPr>
        <w:t xml:space="preserve"> Nacional de Contratación Pública – Colombia Compra Eficiente</w:t>
      </w:r>
      <w:r w:rsidRPr="00F52630">
        <w:rPr>
          <w:rFonts w:ascii="Verdana" w:eastAsia="Calibri" w:hAnsi="Verdana" w:cs="Arial"/>
          <w:color w:val="000000"/>
          <w:lang w:val="es-ES"/>
        </w:rPr>
        <w:t xml:space="preserve"> estableció que su análisis implica desagregar cada uno de los </w:t>
      </w:r>
      <w:proofErr w:type="gramStart"/>
      <w:r w:rsidRPr="00F52630">
        <w:rPr>
          <w:rFonts w:ascii="Verdana" w:eastAsia="Calibri" w:hAnsi="Verdana" w:cs="Arial"/>
          <w:color w:val="000000"/>
          <w:lang w:val="es-ES"/>
        </w:rPr>
        <w:t xml:space="preserve">verbos  </w:t>
      </w:r>
      <w:r w:rsidRPr="00F52630">
        <w:rPr>
          <w:rFonts w:ascii="Arial" w:eastAsia="Calibri" w:hAnsi="Arial" w:cs="Arial"/>
          <w:color w:val="000000"/>
          <w:lang w:val="es-ES"/>
        </w:rPr>
        <w:t>̶</w:t>
      </w:r>
      <w:proofErr w:type="gramEnd"/>
      <w:r w:rsidRPr="00F52630">
        <w:rPr>
          <w:rFonts w:ascii="Verdana" w:eastAsia="Calibri" w:hAnsi="Verdana" w:cs="Arial"/>
          <w:color w:val="000000"/>
          <w:lang w:val="es-ES"/>
        </w:rPr>
        <w:t xml:space="preserve"> adicionar, suprimir, cambiar y modificar </w:t>
      </w:r>
      <w:r w:rsidRPr="00F52630">
        <w:rPr>
          <w:rFonts w:ascii="Arial" w:eastAsia="Calibri" w:hAnsi="Arial" w:cs="Arial"/>
          <w:color w:val="000000"/>
          <w:lang w:val="es-ES"/>
        </w:rPr>
        <w:t>̶</w:t>
      </w:r>
      <w:r w:rsidRPr="00F52630">
        <w:rPr>
          <w:rFonts w:ascii="Verdana" w:eastAsia="Calibri" w:hAnsi="Verdana" w:cs="Arial"/>
          <w:color w:val="000000"/>
          <w:lang w:val="es-ES"/>
        </w:rPr>
        <w:t xml:space="preserve"> y de los elementos que la componen </w:t>
      </w:r>
      <w:r w:rsidRPr="00F52630">
        <w:rPr>
          <w:rFonts w:ascii="Arial" w:eastAsia="Calibri" w:hAnsi="Arial" w:cs="Arial"/>
          <w:color w:val="000000"/>
          <w:lang w:val="es-ES"/>
        </w:rPr>
        <w:t>̶</w:t>
      </w:r>
      <w:r w:rsidRPr="00F52630">
        <w:rPr>
          <w:rFonts w:ascii="Verdana" w:eastAsia="Calibri" w:hAnsi="Verdana" w:cs="Arial"/>
          <w:color w:val="000000"/>
          <w:lang w:val="es-ES"/>
        </w:rPr>
        <w:t xml:space="preserve"> </w:t>
      </w:r>
      <w:r w:rsidRPr="00F52630">
        <w:rPr>
          <w:rFonts w:ascii="Verdana" w:eastAsia="Calibri" w:hAnsi="Verdana" w:cs="Arial"/>
          <w:i/>
          <w:color w:val="000000"/>
          <w:lang w:val="es-ES"/>
        </w:rPr>
        <w:t>ítem</w:t>
      </w:r>
      <w:r w:rsidRPr="00F52630">
        <w:rPr>
          <w:rFonts w:ascii="Verdana" w:eastAsia="Calibri" w:hAnsi="Verdana" w:cs="Arial"/>
          <w:color w:val="000000"/>
          <w:lang w:val="es-ES"/>
        </w:rPr>
        <w:t xml:space="preserve">, descripción, cantidad y unidad </w:t>
      </w:r>
      <w:proofErr w:type="gramStart"/>
      <w:r w:rsidRPr="00F52630">
        <w:rPr>
          <w:rFonts w:ascii="Arial" w:eastAsia="Calibri" w:hAnsi="Arial" w:cs="Arial"/>
          <w:color w:val="000000"/>
          <w:lang w:val="es-ES"/>
        </w:rPr>
        <w:t>̶</w:t>
      </w:r>
      <w:r w:rsidRPr="00F52630">
        <w:rPr>
          <w:rFonts w:ascii="Verdana" w:eastAsia="Calibri" w:hAnsi="Verdana" w:cs="Arial"/>
          <w:color w:val="000000"/>
          <w:lang w:val="es-ES"/>
        </w:rPr>
        <w:t xml:space="preserve"> .</w:t>
      </w:r>
      <w:proofErr w:type="gramEnd"/>
      <w:r w:rsidRPr="00F52630">
        <w:rPr>
          <w:rFonts w:ascii="Verdana" w:eastAsia="Calibri" w:hAnsi="Verdana" w:cs="Arial"/>
          <w:color w:val="000000"/>
          <w:lang w:val="es-ES"/>
        </w:rPr>
        <w:t xml:space="preserve"> </w:t>
      </w:r>
      <w:bookmarkStart w:id="18" w:name="_Hlk35535206"/>
    </w:p>
    <w:p w14:paraId="42E9FC8C" w14:textId="77777777" w:rsidR="00A21E0C" w:rsidRDefault="00A21E0C" w:rsidP="00A21E0C">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lastRenderedPageBreak/>
        <w:t>De acuerdo con el Diccionario de la Lengua Española</w:t>
      </w:r>
      <w:r w:rsidRPr="00F52630">
        <w:rPr>
          <w:rFonts w:ascii="Verdana" w:eastAsia="Calibri" w:hAnsi="Verdana" w:cs="Arial"/>
          <w:color w:val="000000"/>
          <w:vertAlign w:val="superscript"/>
        </w:rPr>
        <w:footnoteReference w:id="6"/>
      </w:r>
      <w:r w:rsidRPr="00F52630">
        <w:rPr>
          <w:rFonts w:ascii="Verdana" w:eastAsia="Calibri" w:hAnsi="Verdana" w:cs="Arial"/>
          <w:color w:val="000000"/>
          <w:lang w:val="es-ES"/>
        </w:rPr>
        <w:t xml:space="preserve">, </w:t>
      </w:r>
      <w:r w:rsidRPr="00F52630">
        <w:rPr>
          <w:rFonts w:ascii="Verdana" w:eastAsia="Calibri" w:hAnsi="Verdana" w:cs="Arial"/>
          <w:i/>
          <w:iCs/>
          <w:color w:val="000000"/>
          <w:lang w:val="es-ES"/>
        </w:rPr>
        <w:t xml:space="preserve">adicionar </w:t>
      </w:r>
      <w:r w:rsidRPr="00F52630">
        <w:rPr>
          <w:rFonts w:ascii="Verdana" w:eastAsia="Calibri" w:hAnsi="Verdana" w:cs="Arial"/>
          <w:color w:val="000000"/>
          <w:lang w:val="es-ES"/>
        </w:rPr>
        <w:t xml:space="preserve">es “hacer o poner adiciones” y </w:t>
      </w:r>
      <w:r w:rsidRPr="00F52630">
        <w:rPr>
          <w:rFonts w:ascii="Verdana" w:eastAsia="Calibri" w:hAnsi="Verdana" w:cs="Arial"/>
          <w:i/>
          <w:iCs/>
          <w:color w:val="000000"/>
          <w:lang w:val="es-ES"/>
        </w:rPr>
        <w:t xml:space="preserve">adición </w:t>
      </w:r>
      <w:r w:rsidRPr="00F52630">
        <w:rPr>
          <w:rFonts w:ascii="Verdana" w:eastAsia="Calibri" w:hAnsi="Verdana" w:cs="Arial"/>
          <w:color w:val="000000"/>
          <w:lang w:val="es-ES"/>
        </w:rPr>
        <w:t>es “1. f. Acción y efecto de añadir (</w:t>
      </w:r>
      <w:r w:rsidRPr="00F52630">
        <w:rPr>
          <w:rFonts w:ascii="Arial" w:eastAsia="Calibri" w:hAnsi="Arial" w:cs="Arial"/>
          <w:color w:val="000000"/>
          <w:lang w:val="es-ES"/>
        </w:rPr>
        <w:t>‖</w:t>
      </w:r>
      <w:r w:rsidRPr="00F52630">
        <w:rPr>
          <w:rFonts w:ascii="Verdana" w:eastAsia="Calibri" w:hAnsi="Verdana" w:cs="Arial"/>
          <w:color w:val="000000"/>
          <w:lang w:val="es-ES"/>
        </w:rPr>
        <w:t xml:space="preserve"> agregar) 2. f. Añadidura que se hace, o parte que se aumenta en alguna obra o escrito”. En el contexto de la causal de rechazo, implicaría añadir o agregar </w:t>
      </w:r>
      <w:r w:rsidRPr="00F52630">
        <w:rPr>
          <w:rFonts w:ascii="Verdana" w:eastAsia="Calibri" w:hAnsi="Verdana" w:cs="Arial"/>
          <w:i/>
          <w:iCs/>
          <w:color w:val="000000"/>
          <w:lang w:val="es-ES"/>
        </w:rPr>
        <w:t>ítems</w:t>
      </w:r>
      <w:r w:rsidRPr="00F52630">
        <w:rPr>
          <w:rFonts w:ascii="Verdana" w:eastAsia="Calibri" w:hAnsi="Verdana" w:cs="Arial"/>
          <w:color w:val="000000"/>
          <w:lang w:val="es-ES"/>
        </w:rPr>
        <w:t xml:space="preserve">, descripciones, especificaciones, detalles, unidades o cantidades a las descritas en el “Formulario 1– Formulario de Presupuesto Oficial”. </w:t>
      </w:r>
      <w:r w:rsidRPr="00F52630">
        <w:rPr>
          <w:rFonts w:ascii="Verdana" w:eastAsia="Calibri" w:hAnsi="Verdana" w:cs="Arial"/>
          <w:i/>
          <w:iCs/>
          <w:color w:val="000000"/>
          <w:lang w:val="es-ES"/>
        </w:rPr>
        <w:t xml:space="preserve">Suprimir </w:t>
      </w:r>
      <w:r w:rsidRPr="00F52630">
        <w:rPr>
          <w:rFonts w:ascii="Verdana" w:eastAsia="Calibri" w:hAnsi="Verdana" w:cs="Arial"/>
          <w:color w:val="000000"/>
          <w:lang w:val="es-ES"/>
        </w:rPr>
        <w:t xml:space="preserve">está definido como “1. </w:t>
      </w:r>
      <w:proofErr w:type="spellStart"/>
      <w:r w:rsidRPr="00F52630">
        <w:rPr>
          <w:rFonts w:ascii="Verdana" w:eastAsia="Calibri" w:hAnsi="Verdana" w:cs="Arial"/>
          <w:color w:val="000000"/>
          <w:lang w:val="es-ES"/>
        </w:rPr>
        <w:t>tr</w:t>
      </w:r>
      <w:proofErr w:type="spellEnd"/>
      <w:r w:rsidRPr="00F52630">
        <w:rPr>
          <w:rFonts w:ascii="Verdana" w:eastAsia="Calibri" w:hAnsi="Verdana" w:cs="Arial"/>
          <w:color w:val="000000"/>
          <w:lang w:val="es-ES"/>
        </w:rPr>
        <w:t xml:space="preserve">. Hacer cesar, hacer desaparecer”; </w:t>
      </w:r>
      <w:r w:rsidRPr="00F52630">
        <w:rPr>
          <w:rFonts w:ascii="Verdana" w:eastAsia="Calibri" w:hAnsi="Verdana" w:cs="Arial"/>
          <w:i/>
          <w:iCs/>
          <w:color w:val="000000"/>
          <w:lang w:val="es-ES"/>
        </w:rPr>
        <w:t xml:space="preserve">cambiar </w:t>
      </w:r>
      <w:r w:rsidRPr="00F52630">
        <w:rPr>
          <w:rFonts w:ascii="Verdana" w:eastAsia="Calibri" w:hAnsi="Verdana" w:cs="Arial"/>
          <w:color w:val="000000"/>
          <w:lang w:val="es-ES"/>
        </w:rPr>
        <w:t xml:space="preserve">es “1. </w:t>
      </w:r>
      <w:proofErr w:type="spellStart"/>
      <w:r w:rsidRPr="00F52630">
        <w:rPr>
          <w:rFonts w:ascii="Verdana" w:eastAsia="Calibri" w:hAnsi="Verdana" w:cs="Arial"/>
          <w:color w:val="000000"/>
          <w:lang w:val="es-ES"/>
        </w:rPr>
        <w:t>tr</w:t>
      </w:r>
      <w:proofErr w:type="spellEnd"/>
      <w:r w:rsidRPr="00F52630">
        <w:rPr>
          <w:rFonts w:ascii="Verdana" w:eastAsia="Calibri" w:hAnsi="Verdana" w:cs="Arial"/>
          <w:color w:val="000000"/>
          <w:lang w:val="es-ES"/>
        </w:rPr>
        <w:t xml:space="preserve">. Dejar una cosa o situación para tomar otra. 2. </w:t>
      </w:r>
      <w:proofErr w:type="spellStart"/>
      <w:r w:rsidRPr="00F52630">
        <w:rPr>
          <w:rFonts w:ascii="Verdana" w:eastAsia="Calibri" w:hAnsi="Verdana" w:cs="Arial"/>
          <w:color w:val="000000"/>
          <w:lang w:val="es-ES"/>
        </w:rPr>
        <w:t>tr</w:t>
      </w:r>
      <w:proofErr w:type="spellEnd"/>
      <w:r w:rsidRPr="00F52630">
        <w:rPr>
          <w:rFonts w:ascii="Verdana" w:eastAsia="Calibri" w:hAnsi="Verdana" w:cs="Arial"/>
          <w:color w:val="000000"/>
          <w:lang w:val="es-ES"/>
        </w:rPr>
        <w:t xml:space="preserve">. Convertir o mudar algo en otra cosa, frecuentemente su contraria” y </w:t>
      </w:r>
      <w:r w:rsidRPr="00F52630">
        <w:rPr>
          <w:rFonts w:ascii="Verdana" w:eastAsia="Calibri" w:hAnsi="Verdana" w:cs="Arial"/>
          <w:i/>
          <w:iCs/>
          <w:color w:val="000000"/>
          <w:lang w:val="es-ES"/>
        </w:rPr>
        <w:t xml:space="preserve">modificar </w:t>
      </w:r>
      <w:r w:rsidRPr="00F52630">
        <w:rPr>
          <w:rFonts w:ascii="Verdana" w:eastAsia="Calibri" w:hAnsi="Verdana" w:cs="Arial"/>
          <w:color w:val="000000"/>
          <w:lang w:val="es-ES"/>
        </w:rPr>
        <w:t xml:space="preserve">es “1. </w:t>
      </w:r>
      <w:proofErr w:type="spellStart"/>
      <w:r w:rsidRPr="00F52630">
        <w:rPr>
          <w:rFonts w:ascii="Verdana" w:eastAsia="Calibri" w:hAnsi="Verdana" w:cs="Arial"/>
          <w:color w:val="000000"/>
          <w:lang w:val="es-ES"/>
        </w:rPr>
        <w:t>tr</w:t>
      </w:r>
      <w:proofErr w:type="spellEnd"/>
      <w:r w:rsidRPr="00F52630">
        <w:rPr>
          <w:rFonts w:ascii="Verdana" w:eastAsia="Calibri" w:hAnsi="Verdana" w:cs="Arial"/>
          <w:color w:val="000000"/>
          <w:lang w:val="es-ES"/>
        </w:rPr>
        <w:t xml:space="preserve">. Transformar o cambiar algo mudando alguna de sus características”. </w:t>
      </w:r>
    </w:p>
    <w:p w14:paraId="258A6366" w14:textId="77777777" w:rsidR="00A21E0C" w:rsidRDefault="00A21E0C" w:rsidP="00A21E0C">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Por su parte,</w:t>
      </w:r>
      <w:r w:rsidRPr="00F52630">
        <w:rPr>
          <w:rFonts w:ascii="Verdana" w:eastAsia="Calibri" w:hAnsi="Verdana" w:cs="Arial"/>
          <w:i/>
          <w:iCs/>
          <w:color w:val="000000"/>
          <w:lang w:val="es-ES"/>
        </w:rPr>
        <w:t xml:space="preserve"> ítem </w:t>
      </w:r>
      <w:r w:rsidRPr="00F52630">
        <w:rPr>
          <w:rFonts w:ascii="Verdana" w:eastAsia="Calibri" w:hAnsi="Verdana" w:cs="Arial"/>
          <w:color w:val="000000"/>
          <w:lang w:val="es-ES"/>
        </w:rPr>
        <w:t>está definido como “1. adv. U. para hacer distinción de artículos o capítulos en una escritura u otro instrumento, o como señal de adición”. En el contexto de los Documentos Tipo, y específicamente del “Formulario 1– Formulario de Presupuesto Oficial” es el número, código o referencia que permite identificar cada uno de los elementos que componen el presupuesto oficial de la entidad estatal, relacionados con las actividades, bienes o servicios que componen el alcance de la obra.</w:t>
      </w:r>
    </w:p>
    <w:p w14:paraId="4914000B" w14:textId="77777777" w:rsidR="00A21E0C" w:rsidRDefault="00A21E0C" w:rsidP="00A21E0C">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 xml:space="preserve">La </w:t>
      </w:r>
      <w:r w:rsidRPr="00F52630">
        <w:rPr>
          <w:rFonts w:ascii="Verdana" w:eastAsia="Calibri" w:hAnsi="Verdana" w:cs="Arial"/>
          <w:i/>
          <w:iCs/>
          <w:color w:val="000000"/>
          <w:lang w:val="es-ES"/>
        </w:rPr>
        <w:t xml:space="preserve">descripción </w:t>
      </w:r>
      <w:r w:rsidRPr="00F52630">
        <w:rPr>
          <w:rFonts w:ascii="Verdana" w:eastAsia="Calibri" w:hAnsi="Verdana" w:cs="Arial"/>
          <w:color w:val="000000"/>
          <w:lang w:val="es-ES"/>
        </w:rPr>
        <w:t xml:space="preserve">implica detallar el </w:t>
      </w:r>
      <w:r w:rsidRPr="00F52630">
        <w:rPr>
          <w:rFonts w:ascii="Verdana" w:eastAsia="Calibri" w:hAnsi="Verdana" w:cs="Arial"/>
          <w:i/>
          <w:iCs/>
          <w:color w:val="000000"/>
          <w:lang w:val="es-ES"/>
        </w:rPr>
        <w:t>ítem</w:t>
      </w:r>
      <w:r w:rsidRPr="00F52630">
        <w:rPr>
          <w:rFonts w:ascii="Verdana" w:eastAsia="Calibri" w:hAnsi="Verdana" w:cs="Arial"/>
          <w:color w:val="000000"/>
          <w:lang w:val="es-ES"/>
        </w:rPr>
        <w:t xml:space="preserve">, es decir, señalar o definir el </w:t>
      </w:r>
      <w:r w:rsidRPr="00F52630">
        <w:rPr>
          <w:rFonts w:ascii="Verdana" w:eastAsia="Calibri" w:hAnsi="Verdana" w:cs="Arial"/>
          <w:i/>
          <w:iCs/>
          <w:color w:val="000000"/>
          <w:lang w:val="es-ES"/>
        </w:rPr>
        <w:t xml:space="preserve">ítem, </w:t>
      </w:r>
      <w:r w:rsidRPr="00F52630">
        <w:rPr>
          <w:rFonts w:ascii="Verdana" w:eastAsia="Calibri" w:hAnsi="Verdana" w:cs="Arial"/>
          <w:color w:val="000000"/>
          <w:lang w:val="es-ES"/>
        </w:rPr>
        <w:t xml:space="preserve">ejemplo: </w:t>
      </w:r>
      <w:r w:rsidRPr="00F52630">
        <w:rPr>
          <w:rFonts w:ascii="Verdana" w:eastAsia="Calibri" w:hAnsi="Verdana" w:cs="Arial"/>
          <w:i/>
          <w:iCs/>
          <w:color w:val="000000"/>
          <w:lang w:val="es-ES"/>
        </w:rPr>
        <w:t xml:space="preserve">ítem: </w:t>
      </w:r>
      <w:r w:rsidRPr="00F52630">
        <w:rPr>
          <w:rFonts w:ascii="Verdana" w:eastAsia="Calibri" w:hAnsi="Verdana" w:cs="Arial"/>
          <w:color w:val="000000"/>
          <w:lang w:val="es-ES"/>
        </w:rPr>
        <w:t xml:space="preserve">200.2; descripción: “Desmonte y limpieza en zonas no boscosas”. La </w:t>
      </w:r>
      <w:r w:rsidRPr="00F52630">
        <w:rPr>
          <w:rFonts w:ascii="Verdana" w:eastAsia="Calibri" w:hAnsi="Verdana" w:cs="Arial"/>
          <w:i/>
          <w:iCs/>
          <w:color w:val="000000"/>
          <w:lang w:val="es-ES"/>
        </w:rPr>
        <w:t>cantidad</w:t>
      </w:r>
      <w:r w:rsidRPr="00F52630">
        <w:rPr>
          <w:rFonts w:ascii="Verdana" w:eastAsia="Calibri" w:hAnsi="Verdana" w:cs="Arial"/>
          <w:color w:val="000000"/>
          <w:lang w:val="es-ES"/>
        </w:rPr>
        <w:t xml:space="preserve"> se refiere al número de unidades que requiere cada uno de los </w:t>
      </w:r>
      <w:r w:rsidRPr="00F52630">
        <w:rPr>
          <w:rFonts w:ascii="Verdana" w:eastAsia="Calibri" w:hAnsi="Verdana" w:cs="Arial"/>
          <w:i/>
          <w:iCs/>
          <w:color w:val="000000"/>
          <w:lang w:val="es-ES"/>
        </w:rPr>
        <w:t>ítems.</w:t>
      </w:r>
      <w:r w:rsidRPr="00F52630">
        <w:rPr>
          <w:rFonts w:ascii="Verdana" w:eastAsia="Calibri" w:hAnsi="Verdana" w:cs="Arial"/>
          <w:color w:val="000000"/>
          <w:lang w:val="es-ES"/>
        </w:rPr>
        <w:t xml:space="preserve"> La </w:t>
      </w:r>
      <w:r w:rsidRPr="00F52630">
        <w:rPr>
          <w:rFonts w:ascii="Verdana" w:eastAsia="Calibri" w:hAnsi="Verdana" w:cs="Arial"/>
          <w:i/>
          <w:iCs/>
          <w:color w:val="000000"/>
          <w:lang w:val="es-ES"/>
        </w:rPr>
        <w:t xml:space="preserve">unidad </w:t>
      </w:r>
      <w:r w:rsidRPr="00F52630">
        <w:rPr>
          <w:rFonts w:ascii="Verdana" w:eastAsia="Calibri" w:hAnsi="Verdana" w:cs="Arial"/>
          <w:color w:val="000000"/>
          <w:lang w:val="es-ES"/>
        </w:rPr>
        <w:t xml:space="preserve">se refiere a la unidad de medida en la que se expresa el </w:t>
      </w:r>
      <w:r w:rsidRPr="00F52630">
        <w:rPr>
          <w:rFonts w:ascii="Verdana" w:eastAsia="Calibri" w:hAnsi="Verdana" w:cs="Arial"/>
          <w:i/>
          <w:iCs/>
          <w:color w:val="000000"/>
          <w:lang w:val="es-ES"/>
        </w:rPr>
        <w:t>ítem</w:t>
      </w:r>
      <w:r w:rsidRPr="00F52630">
        <w:rPr>
          <w:rFonts w:ascii="Verdana" w:eastAsia="Calibri" w:hAnsi="Verdana" w:cs="Arial"/>
          <w:color w:val="000000"/>
          <w:lang w:val="es-ES"/>
        </w:rPr>
        <w:t>. A título de ejemplo, la letra “C” se refiere a grados Celsius, las letras “cm” a centímetros y la letra “l” al litro</w:t>
      </w:r>
      <w:r w:rsidRPr="00F52630">
        <w:rPr>
          <w:rFonts w:ascii="Verdana" w:eastAsia="Calibri" w:hAnsi="Verdana" w:cs="Arial"/>
          <w:color w:val="000000"/>
          <w:vertAlign w:val="superscript"/>
          <w:lang w:val="es-ES"/>
        </w:rPr>
        <w:footnoteReference w:id="7"/>
      </w:r>
      <w:r w:rsidRPr="00F52630">
        <w:rPr>
          <w:rFonts w:ascii="Verdana" w:eastAsia="Calibri" w:hAnsi="Verdana" w:cs="Arial"/>
          <w:color w:val="000000"/>
          <w:lang w:val="es-ES"/>
        </w:rPr>
        <w:t>.</w:t>
      </w:r>
      <w:r w:rsidRPr="00F52630">
        <w:rPr>
          <w:rFonts w:ascii="Verdana" w:eastAsia="Calibri" w:hAnsi="Verdana" w:cs="Arial"/>
          <w:color w:val="000000"/>
          <w:lang w:val="es-ES" w:eastAsia="es-CO"/>
        </w:rPr>
        <w:t xml:space="preserve"> </w:t>
      </w:r>
      <w:bookmarkStart w:id="19" w:name="_Hlk35535421"/>
      <w:bookmarkEnd w:id="18"/>
    </w:p>
    <w:p w14:paraId="1F52847C" w14:textId="77777777" w:rsidR="00A21E0C" w:rsidRDefault="00A21E0C" w:rsidP="00A21E0C">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 xml:space="preserve">En relación con el problema planteado en este concepto, debe indicarse que la configuración de la causal de rechazo es objetiva, en el sentido en que la entidad estatal debe comparar que la propuesta económica del oferente no haya sido adicionada, suprimida, cambiada o modificada en los ítems, especificaciones, el detalle, descripciones, unidades o cantidades definidas en el </w:t>
      </w:r>
      <w:r w:rsidRPr="00F52630">
        <w:rPr>
          <w:rFonts w:ascii="Verdana" w:eastAsia="Calibri" w:hAnsi="Verdana" w:cs="Arial"/>
          <w:color w:val="000000"/>
          <w:lang w:val="es-ES"/>
        </w:rPr>
        <w:lastRenderedPageBreak/>
        <w:t>“Formulario 1– Formulario de Presupuesto Oficial” con las implicaciones enunciadas.</w:t>
      </w:r>
      <w:bookmarkEnd w:id="19"/>
      <w:r w:rsidRPr="00F52630">
        <w:rPr>
          <w:rFonts w:ascii="Verdana" w:eastAsia="Calibri" w:hAnsi="Verdana" w:cs="Arial"/>
          <w:color w:val="000000"/>
          <w:lang w:val="es-ES"/>
        </w:rPr>
        <w:t xml:space="preserve"> </w:t>
      </w:r>
    </w:p>
    <w:p w14:paraId="3BB13E65" w14:textId="77777777" w:rsidR="00A21E0C" w:rsidRDefault="00A21E0C" w:rsidP="00A21E0C">
      <w:pPr>
        <w:snapToGrid w:val="0"/>
        <w:spacing w:after="12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 xml:space="preserve">En este sentido debe indicarse que, tal como se señala en la pestaña de “Propuesta Económica” contenida en el “Formulario 1– Formulario de Presupuesto Oficial” “Los proponentes emplearán el Formulario establecido por la Entidad para determinar su propuesta económica conforme con el Formulario 1 (…) publicado por la Entidad”. Así, la comparación que debe realizar la entidad supone verificar que la adición, supresión, cambio o modificación de la propuesta no se trate de un mero error formal o de digitación, determinado además si ello afectó la descripción, especificaciones, detalles o cantidades de los </w:t>
      </w:r>
      <w:r w:rsidRPr="00F52630">
        <w:rPr>
          <w:rFonts w:ascii="Verdana" w:eastAsia="Calibri" w:hAnsi="Verdana" w:cs="Arial"/>
          <w:i/>
          <w:iCs/>
          <w:color w:val="000000"/>
          <w:lang w:val="es-ES"/>
        </w:rPr>
        <w:t xml:space="preserve">ítems </w:t>
      </w:r>
      <w:r w:rsidRPr="00F52630">
        <w:rPr>
          <w:rFonts w:ascii="Verdana" w:eastAsia="Calibri" w:hAnsi="Verdana" w:cs="Arial"/>
          <w:color w:val="000000"/>
          <w:lang w:val="es-ES"/>
        </w:rPr>
        <w:t xml:space="preserve">solicitados. </w:t>
      </w:r>
    </w:p>
    <w:p w14:paraId="19B38F1F" w14:textId="77777777" w:rsidR="00A21E0C" w:rsidRDefault="00A21E0C" w:rsidP="00A21E0C">
      <w:pPr>
        <w:snapToGrid w:val="0"/>
        <w:spacing w:after="0" w:line="276" w:lineRule="auto"/>
        <w:ind w:firstLine="709"/>
        <w:jc w:val="both"/>
        <w:rPr>
          <w:rFonts w:ascii="Verdana" w:eastAsia="Calibri" w:hAnsi="Verdana" w:cs="Arial"/>
          <w:color w:val="000000"/>
          <w:lang w:val="es-ES"/>
        </w:rPr>
      </w:pPr>
      <w:r w:rsidRPr="00F52630">
        <w:rPr>
          <w:rFonts w:ascii="Verdana" w:eastAsia="Calibri" w:hAnsi="Verdana" w:cs="Arial"/>
          <w:color w:val="000000"/>
          <w:lang w:val="es-ES"/>
        </w:rPr>
        <w:t>Sin perjuicio de lo anterior, debe indicarse que, tal como se dispuso con anterioridad, las causales de rechazo aplicables a los procesos de contratación que se adelanten mediante documentos tipo son únicamente las establecidas directamente en la ley y las contenidas en el numeral 1.15 “Causales de rechazo” del documento base”. En este sentido, la entidad estatal deberá verificar cuál de los supuestos previstos se configura durante la evaluación del “Formulario 1 – Presupuesto Oficial”.</w:t>
      </w:r>
    </w:p>
    <w:p w14:paraId="1886575B" w14:textId="77777777" w:rsidR="00A21E0C" w:rsidRDefault="00A21E0C" w:rsidP="00A21E0C">
      <w:pPr>
        <w:snapToGrid w:val="0"/>
        <w:spacing w:after="0" w:line="276" w:lineRule="auto"/>
        <w:jc w:val="both"/>
        <w:rPr>
          <w:rFonts w:ascii="Verdana" w:eastAsia="Calibri" w:hAnsi="Verdana" w:cs="Arial"/>
          <w:color w:val="000000"/>
          <w:lang w:val="es-ES"/>
        </w:rPr>
      </w:pPr>
    </w:p>
    <w:bookmarkEnd w:id="3"/>
    <w:bookmarkEnd w:id="16"/>
    <w:p w14:paraId="74D1EF49" w14:textId="77777777" w:rsidR="00A21E0C" w:rsidRPr="00BE64FC" w:rsidRDefault="00A21E0C" w:rsidP="00A21E0C">
      <w:pPr>
        <w:spacing w:after="120" w:line="276" w:lineRule="auto"/>
        <w:jc w:val="both"/>
        <w:rPr>
          <w:rFonts w:ascii="Verdana" w:eastAsia="Times New Roman" w:hAnsi="Verdana" w:cs="Arial"/>
          <w:lang w:val="es-ES_tradnl" w:eastAsia="es-ES_tradnl"/>
        </w:rPr>
      </w:pPr>
      <w:r>
        <w:rPr>
          <w:rFonts w:ascii="Verdana" w:eastAsia="Calibri" w:hAnsi="Verdana" w:cs="Arial"/>
          <w:color w:val="000000"/>
          <w:lang w:val="es-ES"/>
        </w:rPr>
        <w:t xml:space="preserve">v. </w:t>
      </w:r>
      <w:r w:rsidRPr="00BE64FC">
        <w:rPr>
          <w:rFonts w:ascii="Verdana" w:eastAsia="Calibri" w:hAnsi="Verdana" w:cs="Arial"/>
          <w:noProof/>
          <w:lang w:val="es-ES_tradnl"/>
        </w:rPr>
        <w:t>L</w:t>
      </w:r>
      <w:r w:rsidRPr="00BE64FC">
        <w:rPr>
          <w:rFonts w:ascii="Verdana" w:eastAsia="Times New Roman" w:hAnsi="Verdana" w:cs="Arial"/>
        </w:rPr>
        <w:t xml:space="preserve">a regla de la </w:t>
      </w:r>
      <w:proofErr w:type="spellStart"/>
      <w:r w:rsidRPr="00BE64FC">
        <w:rPr>
          <w:rFonts w:ascii="Verdana" w:eastAsia="Times New Roman" w:hAnsi="Verdana" w:cs="Arial"/>
        </w:rPr>
        <w:t>subsanabilidad</w:t>
      </w:r>
      <w:proofErr w:type="spellEnd"/>
      <w:r w:rsidRPr="00BE64FC">
        <w:rPr>
          <w:rFonts w:ascii="Verdana" w:eastAsia="Times New Roman" w:hAnsi="Verdana" w:cs="Arial"/>
        </w:rPr>
        <w:t xml:space="preserve"> de las ofertas en los procedimientos de selección</w:t>
      </w:r>
      <w:r w:rsidRPr="00BE64FC">
        <w:rPr>
          <w:rFonts w:ascii="Verdana" w:eastAsia="Times New Roman" w:hAnsi="Verdana" w:cs="Arial"/>
          <w:b/>
          <w:bCs/>
        </w:rPr>
        <w:t xml:space="preserve"> </w:t>
      </w:r>
      <w:r w:rsidRPr="00BE64FC">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34D5AA52" w14:textId="77777777" w:rsidR="00A21E0C" w:rsidRPr="00BE64FC" w:rsidRDefault="00A21E0C" w:rsidP="00A21E0C">
      <w:pPr>
        <w:spacing w:after="120" w:line="276" w:lineRule="auto"/>
        <w:ind w:firstLine="708"/>
        <w:jc w:val="both"/>
        <w:rPr>
          <w:rFonts w:ascii="Verdana" w:eastAsia="Times New Roman" w:hAnsi="Verdana" w:cs="Arial"/>
          <w:lang w:val="es-ES" w:eastAsia="es-ES"/>
        </w:rPr>
      </w:pPr>
      <w:r w:rsidRPr="00BE64FC">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w:t>
      </w:r>
      <w:r w:rsidRPr="00BE64FC">
        <w:rPr>
          <w:rFonts w:ascii="Verdana" w:eastAsia="Times New Roman" w:hAnsi="Verdana" w:cs="Arial"/>
          <w:lang w:val="es-ES_tradnl" w:eastAsia="es-ES_tradnl"/>
        </w:rPr>
        <w:lastRenderedPageBreak/>
        <w:t>285 del 20 de mayo de 2022</w:t>
      </w:r>
      <w:r w:rsidRPr="00BE64FC">
        <w:rPr>
          <w:rFonts w:ascii="Verdana" w:eastAsia="Times New Roman" w:hAnsi="Verdana" w:cs="Arial"/>
          <w:vertAlign w:val="superscript"/>
          <w:lang w:val="es-ES_tradnl" w:eastAsia="es-ES_tradnl"/>
        </w:rPr>
        <w:footnoteReference w:id="8"/>
      </w:r>
      <w:r w:rsidRPr="00BE64FC">
        <w:rPr>
          <w:rFonts w:ascii="Verdana" w:eastAsia="Times New Roman" w:hAnsi="Verdana" w:cs="Arial"/>
          <w:lang w:val="es-ES_tradnl" w:eastAsia="es-ES_tradnl"/>
        </w:rPr>
        <w:t xml:space="preserve"> o el C-447 del 19 de septiembre de 2024</w:t>
      </w:r>
      <w:r w:rsidRPr="00BE64FC">
        <w:rPr>
          <w:rFonts w:ascii="Verdana" w:eastAsia="Times New Roman" w:hAnsi="Verdana" w:cs="Arial"/>
          <w:vertAlign w:val="superscript"/>
          <w:lang w:val="es-ES_tradnl" w:eastAsia="es-ES_tradnl"/>
        </w:rPr>
        <w:footnoteReference w:id="9"/>
      </w:r>
      <w:r w:rsidRPr="00BE64FC">
        <w:rPr>
          <w:rFonts w:ascii="Verdana" w:eastAsia="Times New Roman" w:hAnsi="Verdana" w:cs="Arial"/>
          <w:lang w:val="es-ES_tradnl" w:eastAsia="es-ES_tradnl"/>
        </w:rPr>
        <w:t xml:space="preserve"> los cuales, en el evento en que tenga interés, podrá consultar en los enlaces de la nota al pie. Sin embargo</w:t>
      </w:r>
      <w:r w:rsidRPr="00BE64FC">
        <w:rPr>
          <w:rFonts w:ascii="Verdana" w:eastAsia="Times New Roman" w:hAnsi="Verdana" w:cs="Arial"/>
          <w:lang w:val="es-ES" w:eastAsia="es-ES"/>
        </w:rPr>
        <w:t xml:space="preserve">, a continuación, se hará referencia particularmente al último momento, que refleja la postura vigente de esta Entidad en torno a la </w:t>
      </w:r>
      <w:proofErr w:type="spellStart"/>
      <w:r w:rsidRPr="00BE64FC">
        <w:rPr>
          <w:rFonts w:ascii="Verdana" w:eastAsia="Times New Roman" w:hAnsi="Verdana" w:cs="Arial"/>
          <w:lang w:val="es-ES" w:eastAsia="es-ES"/>
        </w:rPr>
        <w:t>subsanabilidad</w:t>
      </w:r>
      <w:proofErr w:type="spellEnd"/>
      <w:r w:rsidRPr="00BE64FC">
        <w:rPr>
          <w:rFonts w:ascii="Verdana" w:eastAsia="Times New Roman" w:hAnsi="Verdana" w:cs="Arial"/>
          <w:lang w:val="es-ES" w:eastAsia="es-ES"/>
        </w:rPr>
        <w:t>:</w:t>
      </w:r>
    </w:p>
    <w:p w14:paraId="03F3EDB9" w14:textId="77777777" w:rsidR="00A21E0C" w:rsidRPr="00BE64FC" w:rsidRDefault="00A21E0C" w:rsidP="00A21E0C">
      <w:pPr>
        <w:tabs>
          <w:tab w:val="left" w:pos="284"/>
        </w:tabs>
        <w:spacing w:after="0" w:line="276" w:lineRule="auto"/>
        <w:ind w:firstLine="709"/>
        <w:jc w:val="both"/>
        <w:rPr>
          <w:rFonts w:ascii="Verdana" w:eastAsia="Times New Roman" w:hAnsi="Verdana" w:cs="Arial"/>
          <w:lang w:val="es-ES_tradnl" w:eastAsia="es-CO"/>
        </w:rPr>
      </w:pPr>
      <w:r w:rsidRPr="00BE64FC">
        <w:rPr>
          <w:rFonts w:ascii="Verdana" w:eastAsia="Times New Roman" w:hAnsi="Verdana" w:cs="Arial"/>
          <w:lang w:val="es-ES_tradnl" w:eastAsia="es-ES_tradnl"/>
        </w:rPr>
        <w:t xml:space="preserve">La expedición de la Ley </w:t>
      </w:r>
      <w:r w:rsidRPr="00BE64FC">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3FF39531" w14:textId="77777777" w:rsidR="00A21E0C" w:rsidRPr="00BE64FC" w:rsidRDefault="00A21E0C" w:rsidP="00A21E0C">
      <w:pPr>
        <w:spacing w:after="0" w:line="276" w:lineRule="auto"/>
        <w:ind w:left="709" w:right="709"/>
        <w:jc w:val="both"/>
        <w:rPr>
          <w:rFonts w:ascii="Verdana" w:eastAsia="Times New Roman" w:hAnsi="Verdana" w:cs="Arial"/>
          <w:lang w:val="es-ES_tradnl" w:eastAsia="es-CO"/>
        </w:rPr>
      </w:pPr>
    </w:p>
    <w:p w14:paraId="7EAF6179" w14:textId="77777777" w:rsidR="00A21E0C" w:rsidRPr="00BE64FC" w:rsidRDefault="00A21E0C" w:rsidP="00A21E0C">
      <w:pPr>
        <w:spacing w:after="0" w:line="240" w:lineRule="auto"/>
        <w:ind w:left="709" w:right="709"/>
        <w:jc w:val="both"/>
        <w:rPr>
          <w:rFonts w:ascii="Verdana" w:eastAsia="Times New Roman" w:hAnsi="Verdana" w:cs="Arial"/>
          <w:sz w:val="20"/>
          <w:szCs w:val="20"/>
          <w:lang w:val="es-ES_tradnl" w:eastAsia="es-CO"/>
        </w:rPr>
      </w:pPr>
      <w:r w:rsidRPr="00BE64FC">
        <w:rPr>
          <w:rFonts w:ascii="Verdana" w:eastAsia="Times New Roman" w:hAnsi="Verdana" w:cs="Arial"/>
          <w:sz w:val="20"/>
          <w:szCs w:val="20"/>
          <w:lang w:val="es-ES_tradnl" w:eastAsia="es-CO"/>
        </w:rPr>
        <w:t xml:space="preserve">“Artículo 5°. De la selección objetiva. </w:t>
      </w:r>
    </w:p>
    <w:p w14:paraId="293B55A5" w14:textId="77777777" w:rsidR="00A21E0C" w:rsidRPr="00BE64FC" w:rsidRDefault="00A21E0C" w:rsidP="00A21E0C">
      <w:pPr>
        <w:spacing w:after="0" w:line="240" w:lineRule="auto"/>
        <w:ind w:left="709" w:right="709"/>
        <w:jc w:val="both"/>
        <w:textAlignment w:val="baseline"/>
        <w:rPr>
          <w:rFonts w:ascii="Verdana" w:eastAsia="Times New Roman" w:hAnsi="Verdana" w:cs="Arial"/>
          <w:color w:val="000000"/>
          <w:sz w:val="20"/>
          <w:szCs w:val="20"/>
          <w:lang w:val="es-ES" w:eastAsia="es-ES_tradnl"/>
        </w:rPr>
      </w:pPr>
    </w:p>
    <w:p w14:paraId="645169FD"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Times New Roman" w:hAnsi="Verdana" w:cs="Arial"/>
          <w:color w:val="000000"/>
          <w:sz w:val="20"/>
          <w:szCs w:val="20"/>
          <w:lang w:val="es-ES" w:eastAsia="es-ES_tradnl"/>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BE64FC">
        <w:rPr>
          <w:rFonts w:ascii="Verdana" w:eastAsia="Times New Roman" w:hAnsi="Verdana" w:cs="Arial"/>
          <w:color w:val="000000"/>
          <w:sz w:val="20"/>
          <w:szCs w:val="20"/>
          <w:lang w:val="es-ES" w:eastAsia="es-ES_tradnl"/>
        </w:rPr>
        <w:t>equivalentes,</w:t>
      </w:r>
      <w:proofErr w:type="gramEnd"/>
      <w:r w:rsidRPr="00BE64FC">
        <w:rPr>
          <w:rFonts w:ascii="Verdana" w:eastAsia="Times New Roman" w:hAnsi="Verdana" w:cs="Arial"/>
          <w:color w:val="000000"/>
          <w:sz w:val="20"/>
          <w:szCs w:val="20"/>
          <w:lang w:val="es-ES" w:eastAsia="es-ES_tradnl"/>
        </w:rPr>
        <w:t xml:space="preserve"> tendrán en cuenta los siguientes criterios:</w:t>
      </w:r>
      <w:r w:rsidRPr="00BE64FC">
        <w:rPr>
          <w:rFonts w:ascii="Verdana" w:eastAsia="Arial" w:hAnsi="Verdana" w:cs="Times New Roman"/>
          <w:color w:val="000000"/>
          <w:sz w:val="20"/>
          <w:szCs w:val="20"/>
          <w:lang w:eastAsia="es-ES_tradnl"/>
        </w:rPr>
        <w:t> </w:t>
      </w:r>
    </w:p>
    <w:p w14:paraId="225C00F4"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Arial" w:hAnsi="Verdana" w:cs="Times New Roman"/>
          <w:color w:val="000000"/>
          <w:sz w:val="20"/>
          <w:szCs w:val="20"/>
          <w:lang w:eastAsia="es-ES_tradnl"/>
        </w:rPr>
        <w:t> </w:t>
      </w:r>
    </w:p>
    <w:p w14:paraId="3E9D55A6"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Times New Roman" w:hAnsi="Verdana" w:cs="Arial"/>
          <w:color w:val="000000"/>
          <w:sz w:val="20"/>
          <w:szCs w:val="20"/>
          <w:lang w:val="es-ES" w:eastAsia="es-ES_tradnl"/>
        </w:rPr>
        <w:t>(…)</w:t>
      </w:r>
    </w:p>
    <w:p w14:paraId="34EBA64F"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Arial" w:hAnsi="Verdana" w:cs="Times New Roman"/>
          <w:color w:val="000000"/>
          <w:sz w:val="20"/>
          <w:szCs w:val="20"/>
          <w:lang w:eastAsia="es-ES_tradnl"/>
        </w:rPr>
        <w:t> </w:t>
      </w:r>
    </w:p>
    <w:p w14:paraId="4F57F8D8"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Times New Roman" w:hAnsi="Verdana" w:cs="Arial"/>
          <w:color w:val="000000"/>
          <w:sz w:val="20"/>
          <w:szCs w:val="20"/>
          <w:u w:val="single"/>
          <w:lang w:val="es-ES" w:eastAsia="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BE64FC">
        <w:rPr>
          <w:rFonts w:ascii="Verdana" w:eastAsia="Times New Roman" w:hAnsi="Verdana" w:cs="Arial"/>
          <w:color w:val="000000"/>
          <w:sz w:val="20"/>
          <w:szCs w:val="20"/>
          <w:u w:val="single"/>
          <w:lang w:val="es-ES" w:eastAsia="es-ES_tradnl"/>
        </w:rPr>
        <w:t>puntaje,</w:t>
      </w:r>
      <w:proofErr w:type="gramEnd"/>
      <w:r w:rsidRPr="00BE64FC">
        <w:rPr>
          <w:rFonts w:ascii="Verdana" w:eastAsia="Times New Roman" w:hAnsi="Verdana" w:cs="Arial"/>
          <w:color w:val="000000"/>
          <w:sz w:val="20"/>
          <w:szCs w:val="20"/>
          <w:u w:val="single"/>
          <w:lang w:val="es-ES" w:eastAsia="es-ES_tradnl"/>
        </w:rPr>
        <w:t xml:space="preserve"> deberán ser solicitados por las entidades estatales y deberán ser entregados por los proponentes hasta el término de traslado del informe de evaluación que corresponda a cada modalidad de selección</w:t>
      </w:r>
      <w:r w:rsidRPr="00BE64FC">
        <w:rPr>
          <w:rFonts w:ascii="Verdana" w:eastAsia="Times New Roman" w:hAnsi="Verdana" w:cs="Arial"/>
          <w:color w:val="000000"/>
          <w:sz w:val="20"/>
          <w:szCs w:val="20"/>
          <w:lang w:val="es-ES" w:eastAsia="es-ES_tradnl"/>
        </w:rPr>
        <w:t xml:space="preserve">, salvo lo dispuesto para el proceso de Mínima cuantía y para el proceso de selección a través del sistema de subasta. </w:t>
      </w:r>
      <w:r w:rsidRPr="00BE64FC">
        <w:rPr>
          <w:rFonts w:ascii="Verdana" w:eastAsia="Times New Roman" w:hAnsi="Verdana" w:cs="Arial"/>
          <w:color w:val="000000"/>
          <w:sz w:val="20"/>
          <w:szCs w:val="20"/>
          <w:u w:val="single"/>
          <w:lang w:val="es-ES" w:eastAsia="es-ES_tradnl"/>
        </w:rPr>
        <w:t>Serán rechazadas las ofertas de aquellos proponentes que no suministren la información y la documentación solicitada por la entidad estatal hasta el plazo anteriormente señalado.</w:t>
      </w:r>
      <w:r w:rsidRPr="00BE64FC">
        <w:rPr>
          <w:rFonts w:ascii="Verdana" w:eastAsia="Arial" w:hAnsi="Verdana" w:cs="Times New Roman"/>
          <w:color w:val="000000"/>
          <w:sz w:val="20"/>
          <w:szCs w:val="20"/>
          <w:u w:val="single"/>
          <w:lang w:eastAsia="es-ES_tradnl"/>
        </w:rPr>
        <w:t> </w:t>
      </w:r>
    </w:p>
    <w:p w14:paraId="7CF24FA1"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Arial" w:hAnsi="Verdana" w:cs="Times New Roman"/>
          <w:color w:val="000000"/>
          <w:sz w:val="20"/>
          <w:szCs w:val="20"/>
          <w:lang w:eastAsia="es-ES_tradnl"/>
        </w:rPr>
        <w:t> </w:t>
      </w:r>
    </w:p>
    <w:p w14:paraId="76E5D988"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Times New Roman" w:hAnsi="Verdana" w:cs="Arial"/>
          <w:color w:val="000000"/>
          <w:sz w:val="20"/>
          <w:szCs w:val="20"/>
          <w:u w:val="single"/>
          <w:lang w:val="es-ES" w:eastAsia="es-ES_tradnl"/>
        </w:rPr>
        <w:lastRenderedPageBreak/>
        <w:t>Durante el término otorgado para subsanar las ofertas, los proponentes no podrán acreditar circunstancias ocurridas con posterioridad al cierre del proceso.</w:t>
      </w:r>
      <w:r w:rsidRPr="00BE64FC">
        <w:rPr>
          <w:rFonts w:ascii="Verdana" w:eastAsia="Arial" w:hAnsi="Verdana" w:cs="Times New Roman"/>
          <w:color w:val="000000"/>
          <w:sz w:val="20"/>
          <w:szCs w:val="20"/>
          <w:lang w:eastAsia="es-ES_tradnl"/>
        </w:rPr>
        <w:t> </w:t>
      </w:r>
    </w:p>
    <w:p w14:paraId="6AD734F5"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Arial" w:hAnsi="Verdana" w:cs="Times New Roman"/>
          <w:color w:val="000000"/>
          <w:sz w:val="20"/>
          <w:szCs w:val="20"/>
          <w:lang w:eastAsia="es-ES_tradnl"/>
        </w:rPr>
        <w:t> </w:t>
      </w:r>
    </w:p>
    <w:p w14:paraId="5D179343"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Times New Roman" w:hAnsi="Verdana" w:cs="Arial"/>
          <w:color w:val="000000"/>
          <w:sz w:val="20"/>
          <w:szCs w:val="20"/>
          <w:lang w:val="es-ES" w:eastAsia="es-ES_tradnl"/>
        </w:rPr>
        <w:t>PARÁGRAFO 2o. Las certificaciones de sistemas de gestión de calidad no serán objeto de calificación, ni podrán establecerse como documento habilitante para participar en licitaciones o concursos.</w:t>
      </w:r>
      <w:r w:rsidRPr="00BE64FC">
        <w:rPr>
          <w:rFonts w:ascii="Verdana" w:eastAsia="Arial" w:hAnsi="Verdana" w:cs="Times New Roman"/>
          <w:color w:val="000000"/>
          <w:sz w:val="20"/>
          <w:szCs w:val="20"/>
          <w:lang w:eastAsia="es-ES_tradnl"/>
        </w:rPr>
        <w:t> </w:t>
      </w:r>
    </w:p>
    <w:p w14:paraId="6C795FB5"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Arial" w:hAnsi="Verdana" w:cs="Times New Roman"/>
          <w:color w:val="000000"/>
          <w:sz w:val="20"/>
          <w:szCs w:val="20"/>
          <w:lang w:eastAsia="es-ES_tradnl"/>
        </w:rPr>
        <w:t> </w:t>
      </w:r>
    </w:p>
    <w:p w14:paraId="075991F4"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u w:val="single"/>
          <w:lang w:eastAsia="es-ES_tradnl"/>
        </w:rPr>
      </w:pPr>
      <w:r w:rsidRPr="00BE64FC">
        <w:rPr>
          <w:rFonts w:ascii="Verdana" w:eastAsia="Times New Roman" w:hAnsi="Verdana" w:cs="Arial"/>
          <w:color w:val="000000"/>
          <w:sz w:val="20"/>
          <w:szCs w:val="20"/>
          <w:u w:val="single"/>
          <w:lang w:val="es-ES" w:eastAsia="es-ES_tradnl"/>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BE64FC">
        <w:rPr>
          <w:rFonts w:ascii="Verdana" w:eastAsia="Times New Roman" w:hAnsi="Verdana" w:cs="Arial"/>
          <w:color w:val="000000"/>
          <w:sz w:val="20"/>
          <w:szCs w:val="20"/>
          <w:u w:val="single"/>
          <w:lang w:val="es-ES" w:eastAsia="es-ES_tradnl"/>
        </w:rPr>
        <w:t>la misma</w:t>
      </w:r>
      <w:proofErr w:type="gramEnd"/>
      <w:r w:rsidRPr="00BE64FC">
        <w:rPr>
          <w:rFonts w:ascii="Verdana" w:eastAsia="Times New Roman" w:hAnsi="Verdana" w:cs="Arial"/>
          <w:color w:val="000000"/>
          <w:sz w:val="20"/>
          <w:szCs w:val="20"/>
          <w:u w:val="single"/>
          <w:lang w:val="es-ES" w:eastAsia="es-ES_tradnl"/>
        </w:rPr>
        <w:t>.</w:t>
      </w:r>
      <w:r w:rsidRPr="00BE64FC">
        <w:rPr>
          <w:rFonts w:ascii="Verdana" w:eastAsia="Arial" w:hAnsi="Verdana" w:cs="Times New Roman"/>
          <w:color w:val="000000"/>
          <w:sz w:val="20"/>
          <w:szCs w:val="20"/>
          <w:u w:val="single"/>
          <w:lang w:eastAsia="es-ES_tradnl"/>
        </w:rPr>
        <w:t> </w:t>
      </w:r>
    </w:p>
    <w:p w14:paraId="1240E009"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Arial" w:hAnsi="Verdana" w:cs="Times New Roman"/>
          <w:color w:val="000000"/>
          <w:sz w:val="20"/>
          <w:szCs w:val="20"/>
          <w:lang w:eastAsia="es-ES_tradnl"/>
        </w:rPr>
        <w:t> </w:t>
      </w:r>
    </w:p>
    <w:p w14:paraId="5DDF7B0E"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Times New Roman" w:hAnsi="Verdana" w:cs="Arial"/>
          <w:color w:val="000000"/>
          <w:sz w:val="20"/>
          <w:szCs w:val="20"/>
          <w:lang w:val="es-ES" w:eastAsia="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BE64FC">
        <w:rPr>
          <w:rFonts w:ascii="Verdana" w:eastAsia="Arial" w:hAnsi="Verdana" w:cs="Times New Roman"/>
          <w:color w:val="000000"/>
          <w:sz w:val="20"/>
          <w:szCs w:val="20"/>
          <w:lang w:eastAsia="es-ES_tradnl"/>
        </w:rPr>
        <w:t> </w:t>
      </w:r>
    </w:p>
    <w:p w14:paraId="6180B45B"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Arial" w:hAnsi="Verdana" w:cs="Times New Roman"/>
          <w:color w:val="000000"/>
          <w:sz w:val="20"/>
          <w:szCs w:val="20"/>
          <w:lang w:eastAsia="es-ES_tradnl"/>
        </w:rPr>
        <w:t> </w:t>
      </w:r>
    </w:p>
    <w:p w14:paraId="2193F2F5" w14:textId="77777777" w:rsidR="00A21E0C" w:rsidRPr="00BE64FC" w:rsidRDefault="00A21E0C" w:rsidP="00A21E0C">
      <w:pPr>
        <w:spacing w:after="0" w:line="240" w:lineRule="auto"/>
        <w:ind w:left="709" w:right="709"/>
        <w:jc w:val="both"/>
        <w:textAlignment w:val="baseline"/>
        <w:rPr>
          <w:rFonts w:ascii="Verdana" w:eastAsia="Times New Roman" w:hAnsi="Verdana" w:cs="Segoe UI"/>
          <w:sz w:val="20"/>
          <w:szCs w:val="20"/>
          <w:lang w:eastAsia="es-ES_tradnl"/>
        </w:rPr>
      </w:pPr>
      <w:r w:rsidRPr="00BE64FC">
        <w:rPr>
          <w:rFonts w:ascii="Verdana" w:eastAsia="Times New Roman" w:hAnsi="Verdana" w:cs="Arial"/>
          <w:color w:val="000000"/>
          <w:sz w:val="20"/>
          <w:szCs w:val="20"/>
          <w:lang w:val="es-ES" w:eastAsia="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[Subrayado por fuera de texto original]</w:t>
      </w:r>
    </w:p>
    <w:p w14:paraId="43DC6A0F" w14:textId="77777777" w:rsidR="00A21E0C" w:rsidRPr="00BE64FC" w:rsidRDefault="00A21E0C" w:rsidP="00A21E0C">
      <w:pPr>
        <w:spacing w:after="0" w:line="276" w:lineRule="auto"/>
        <w:ind w:left="709" w:right="709"/>
        <w:jc w:val="both"/>
        <w:rPr>
          <w:rFonts w:ascii="Verdana" w:eastAsia="Times New Roman" w:hAnsi="Verdana" w:cs="Arial"/>
          <w:lang w:eastAsia="es-CO"/>
        </w:rPr>
      </w:pPr>
    </w:p>
    <w:p w14:paraId="79DD9F1B" w14:textId="77777777" w:rsidR="00A21E0C" w:rsidRPr="00BE64FC" w:rsidRDefault="00A21E0C" w:rsidP="00A21E0C">
      <w:pPr>
        <w:spacing w:after="120" w:line="276" w:lineRule="auto"/>
        <w:ind w:firstLine="709"/>
        <w:jc w:val="both"/>
        <w:rPr>
          <w:rFonts w:ascii="Verdana" w:eastAsia="Times New Roman" w:hAnsi="Verdana" w:cs="Arial"/>
          <w:lang w:val="es-ES" w:eastAsia="es-ES"/>
        </w:rPr>
      </w:pPr>
      <w:r w:rsidRPr="00BE64FC">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BE64FC">
        <w:rPr>
          <w:rFonts w:ascii="Verdana" w:eastAsia="Times New Roman" w:hAnsi="Verdana" w:cs="Arial"/>
          <w:lang w:val="es-ES" w:eastAsia="es-ES"/>
        </w:rPr>
        <w:t>ii</w:t>
      </w:r>
      <w:proofErr w:type="spellEnd"/>
      <w:r w:rsidRPr="00BE64FC">
        <w:rPr>
          <w:rFonts w:ascii="Verdana" w:eastAsia="Times New Roman" w:hAnsi="Verdana" w:cs="Arial"/>
          <w:lang w:val="es-ES" w:eastAsia="es-ES"/>
        </w:rPr>
        <w:t xml:space="preserve">) mantiene el criterio aclaratorio de la Ley 1150 de 2007, según el cual todo lo que no afecte la asignación de puntaje puede subsanarse; e, </w:t>
      </w:r>
      <w:proofErr w:type="spellStart"/>
      <w:r w:rsidRPr="00BE64FC">
        <w:rPr>
          <w:rFonts w:ascii="Verdana" w:eastAsia="Times New Roman" w:hAnsi="Verdana" w:cs="Arial"/>
          <w:lang w:val="es-ES" w:eastAsia="es-ES"/>
        </w:rPr>
        <w:t>iii</w:t>
      </w:r>
      <w:proofErr w:type="spellEnd"/>
      <w:r w:rsidRPr="00BE64FC">
        <w:rPr>
          <w:rFonts w:ascii="Verdana" w:eastAsia="Times New Roman" w:hAnsi="Verdana" w:cs="Arial"/>
          <w:lang w:val="es-ES" w:eastAsia="es-ES"/>
        </w:rPr>
        <w:t xml:space="preserve">) introduce modificaciones en relación con algunos aspectos que se analizarán a continuación. </w:t>
      </w:r>
    </w:p>
    <w:p w14:paraId="462DD0F6" w14:textId="77777777" w:rsidR="00A21E0C" w:rsidRPr="00BE64FC" w:rsidRDefault="00A21E0C" w:rsidP="00A21E0C">
      <w:pPr>
        <w:spacing w:after="120" w:line="276" w:lineRule="auto"/>
        <w:ind w:right="51" w:firstLine="709"/>
        <w:jc w:val="both"/>
        <w:rPr>
          <w:rFonts w:ascii="Verdana" w:eastAsia="Times New Roman" w:hAnsi="Verdana" w:cs="Arial"/>
          <w:lang w:val="es-ES_tradnl" w:eastAsia="es-ES_tradnl"/>
        </w:rPr>
      </w:pPr>
      <w:r w:rsidRPr="00BE64FC">
        <w:rPr>
          <w:rFonts w:ascii="Verdana" w:eastAsia="Times New Roman" w:hAnsi="Verdana" w:cs="Arial"/>
          <w:i/>
          <w:iCs/>
          <w:lang w:val="es-ES_tradnl" w:eastAsia="es-ES_tradnl"/>
        </w:rPr>
        <w:t xml:space="preserve">La primera modificación </w:t>
      </w:r>
      <w:r w:rsidRPr="00BE64FC">
        <w:rPr>
          <w:rFonts w:ascii="Verdana" w:eastAsia="Times New Roman" w:hAnsi="Verdana" w:cs="Arial"/>
          <w:lang w:val="es-ES_tradnl" w:eastAsia="es-ES_tradnl"/>
        </w:rPr>
        <w:t xml:space="preserve">introducido por el artículo antes citado 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w:t>
      </w:r>
      <w:r w:rsidRPr="00BE64FC">
        <w:rPr>
          <w:rFonts w:ascii="Verdana" w:eastAsia="Times New Roman" w:hAnsi="Verdana" w:cs="Arial"/>
          <w:lang w:val="es-ES_tradnl" w:eastAsia="es-ES_tradnl"/>
        </w:rPr>
        <w:lastRenderedPageBreak/>
        <w:t>que el límite anterior no aplica para los procesos de mínima cuantía y para el proceso de selección a través del sistema de subasta</w:t>
      </w:r>
      <w:r w:rsidRPr="00BE64FC">
        <w:rPr>
          <w:rFonts w:ascii="Verdana" w:eastAsia="Times New Roman" w:hAnsi="Verdana" w:cs="Arial"/>
          <w:vertAlign w:val="superscript"/>
          <w:lang w:val="es-ES_tradnl" w:eastAsia="es-ES_tradnl"/>
        </w:rPr>
        <w:footnoteReference w:id="10"/>
      </w:r>
      <w:r w:rsidRPr="00BE64FC">
        <w:rPr>
          <w:rFonts w:ascii="Verdana" w:eastAsia="Times New Roman" w:hAnsi="Verdana" w:cs="Arial"/>
          <w:lang w:val="es-ES_tradnl" w:eastAsia="es-ES_tradnl"/>
        </w:rPr>
        <w:t>.</w:t>
      </w:r>
    </w:p>
    <w:p w14:paraId="66B63479" w14:textId="77777777" w:rsidR="00A21E0C" w:rsidRPr="00BE64FC" w:rsidRDefault="00A21E0C" w:rsidP="00A21E0C">
      <w:pPr>
        <w:spacing w:after="120" w:line="276" w:lineRule="auto"/>
        <w:ind w:firstLine="709"/>
        <w:jc w:val="both"/>
        <w:rPr>
          <w:rFonts w:ascii="Verdana" w:eastAsia="Times New Roman" w:hAnsi="Verdana" w:cs="Arial"/>
          <w:lang w:val="es-ES" w:eastAsia="es-ES"/>
        </w:rPr>
      </w:pPr>
      <w:r w:rsidRPr="00BE64FC">
        <w:rPr>
          <w:rFonts w:ascii="Verdana" w:eastAsia="Times New Roman" w:hAnsi="Verdana" w:cs="Arial"/>
          <w:lang w:val="es-ES" w:eastAsia="es-ES"/>
        </w:rPr>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BE64FC">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BE64FC">
        <w:rPr>
          <w:rFonts w:ascii="Verdana" w:eastAsia="Times New Roman" w:hAnsi="Verdana" w:cs="Arial"/>
          <w:lang w:val="es-ES" w:eastAsia="es-ES"/>
        </w:rPr>
        <w:t xml:space="preserve"> </w:t>
      </w:r>
    </w:p>
    <w:p w14:paraId="7707EE41" w14:textId="77777777" w:rsidR="00A21E0C" w:rsidRPr="00BE64FC" w:rsidRDefault="00A21E0C" w:rsidP="00A21E0C">
      <w:pPr>
        <w:spacing w:after="120" w:line="276" w:lineRule="auto"/>
        <w:ind w:firstLine="709"/>
        <w:jc w:val="both"/>
        <w:rPr>
          <w:rFonts w:ascii="Verdana" w:eastAsia="Times New Roman" w:hAnsi="Verdana" w:cs="Arial"/>
          <w:lang w:val="es-ES" w:eastAsia="es-ES"/>
        </w:rPr>
      </w:pPr>
      <w:r w:rsidRPr="00BE64FC">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w:t>
      </w:r>
      <w:proofErr w:type="spellStart"/>
      <w:r w:rsidRPr="00BE64FC">
        <w:rPr>
          <w:rFonts w:ascii="Verdana" w:eastAsia="Times New Roman" w:hAnsi="Verdana" w:cs="Arial"/>
          <w:lang w:val="es-ES" w:eastAsia="es-ES"/>
        </w:rPr>
        <w:t>subsanabilidad</w:t>
      </w:r>
      <w:proofErr w:type="spellEnd"/>
      <w:r w:rsidRPr="00BE64FC">
        <w:rPr>
          <w:rFonts w:ascii="Verdana" w:eastAsia="Times New Roman" w:hAnsi="Verdana" w:cs="Arial"/>
          <w:lang w:val="es-ES" w:eastAsia="es-ES"/>
        </w:rPr>
        <w:t xml:space="preserve"> de las ofertas se refiere. </w:t>
      </w:r>
      <w:r w:rsidRPr="00BE64FC">
        <w:rPr>
          <w:rFonts w:ascii="Verdana" w:eastAsia="Times New Roman" w:hAnsi="Verdana" w:cs="Arial"/>
          <w:i/>
          <w:iCs/>
          <w:lang w:val="es-ES" w:eastAsia="es-ES"/>
        </w:rPr>
        <w:t>Primera</w:t>
      </w:r>
      <w:r w:rsidRPr="00BE64FC">
        <w:rPr>
          <w:rFonts w:ascii="Verdana" w:eastAsia="Times New Roman" w:hAnsi="Verdana" w:cs="Arial"/>
          <w:lang w:val="es-ES" w:eastAsia="es-ES"/>
        </w:rPr>
        <w:t xml:space="preserve">, que la posibilidad para subsanar de los oferentes es el término del traslado del informe de evaluación, ya que es en este documento donde la Administración consigna los requisitos o documentos omitidos que los oferentes deben subsanar, so pena de rechazo. </w:t>
      </w:r>
      <w:r w:rsidRPr="00BE64FC">
        <w:rPr>
          <w:rFonts w:ascii="Verdana" w:eastAsia="Times New Roman" w:hAnsi="Verdana" w:cs="Arial"/>
          <w:i/>
          <w:iCs/>
          <w:lang w:val="es-ES" w:eastAsia="es-ES"/>
        </w:rPr>
        <w:t>Segunda</w:t>
      </w:r>
      <w:r w:rsidRPr="00BE64FC">
        <w:rPr>
          <w:rFonts w:ascii="Verdana" w:eastAsia="Times New Roman" w:hAnsi="Verdana" w:cs="Arial"/>
          <w:lang w:val="es-ES" w:eastAsia="es-ES"/>
        </w:rPr>
        <w:t xml:space="preserve">, que el término del traslado del informe de evaluación es el </w:t>
      </w:r>
      <w:r w:rsidRPr="00BE64FC">
        <w:rPr>
          <w:rFonts w:ascii="Verdana" w:eastAsia="Times New Roman" w:hAnsi="Verdana" w:cs="Arial"/>
          <w:i/>
          <w:lang w:val="es-ES" w:eastAsia="es-ES"/>
        </w:rPr>
        <w:t>límite</w:t>
      </w:r>
      <w:r w:rsidRPr="00BE64FC">
        <w:rPr>
          <w:rFonts w:ascii="Verdana" w:eastAsia="Times New Roman" w:hAnsi="Verdana" w:cs="Arial"/>
          <w:lang w:val="es-ES" w:eastAsia="es-ES"/>
        </w:rPr>
        <w:t xml:space="preserve"> para la subsanación de ofertas, pero no el único momento para hacerlo. </w:t>
      </w:r>
    </w:p>
    <w:p w14:paraId="064C2DD3" w14:textId="77777777" w:rsidR="00A21E0C" w:rsidRPr="00BE64FC" w:rsidRDefault="00A21E0C" w:rsidP="00A21E0C">
      <w:pPr>
        <w:spacing w:after="120" w:line="276" w:lineRule="auto"/>
        <w:ind w:firstLine="709"/>
        <w:jc w:val="both"/>
        <w:rPr>
          <w:rFonts w:ascii="Verdana" w:eastAsia="Times New Roman" w:hAnsi="Verdana" w:cs="Arial"/>
          <w:lang w:val="es-ES_tradnl" w:eastAsia="es-ES_tradnl"/>
        </w:rPr>
      </w:pPr>
      <w:r w:rsidRPr="00BE64FC">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3386B505" w14:textId="77777777" w:rsidR="00A21E0C" w:rsidRPr="00BE64FC" w:rsidRDefault="00A21E0C" w:rsidP="00A21E0C">
      <w:pPr>
        <w:spacing w:after="120" w:line="276" w:lineRule="auto"/>
        <w:ind w:firstLine="709"/>
        <w:jc w:val="both"/>
        <w:rPr>
          <w:rFonts w:ascii="Verdana" w:eastAsia="Times New Roman" w:hAnsi="Verdana" w:cs="Arial"/>
          <w:lang w:val="es-ES_tradnl" w:eastAsia="es-ES_tradnl"/>
        </w:rPr>
      </w:pPr>
      <w:r w:rsidRPr="00BE64FC">
        <w:rPr>
          <w:rFonts w:ascii="Verdana" w:eastAsia="Times New Roman" w:hAnsi="Verdana" w:cs="Arial"/>
          <w:lang w:val="es-ES_tradnl" w:eastAsia="es-ES_tradnl"/>
        </w:rPr>
        <w:t xml:space="preserve">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w:t>
      </w:r>
      <w:r w:rsidRPr="00BE64FC">
        <w:rPr>
          <w:rFonts w:ascii="Verdana" w:eastAsia="Times New Roman" w:hAnsi="Verdana" w:cs="Arial"/>
          <w:lang w:val="es-ES_tradnl" w:eastAsia="es-ES_tradnl"/>
        </w:rPr>
        <w:lastRenderedPageBreak/>
        <w:t>encuentren subsanadas las propuestas, sin perjuicio del término límite que concedió la ley.</w:t>
      </w:r>
    </w:p>
    <w:p w14:paraId="51DB5197" w14:textId="77777777" w:rsidR="00A21E0C" w:rsidRPr="00BE64FC" w:rsidRDefault="00A21E0C" w:rsidP="00A21E0C">
      <w:pPr>
        <w:spacing w:after="120" w:line="276" w:lineRule="auto"/>
        <w:ind w:firstLine="709"/>
        <w:jc w:val="both"/>
        <w:rPr>
          <w:rFonts w:ascii="Verdana" w:eastAsia="Times New Roman" w:hAnsi="Verdana" w:cs="Arial"/>
          <w:lang w:val="es-ES" w:eastAsia="es-ES"/>
        </w:rPr>
      </w:pPr>
      <w:r w:rsidRPr="00BE64FC">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65D5E059" w14:textId="77777777" w:rsidR="00A21E0C" w:rsidRPr="00BE64FC" w:rsidRDefault="00A21E0C" w:rsidP="00A21E0C">
      <w:pPr>
        <w:spacing w:after="120" w:line="276" w:lineRule="auto"/>
        <w:ind w:firstLine="709"/>
        <w:jc w:val="both"/>
        <w:rPr>
          <w:rFonts w:ascii="Verdana" w:eastAsia="Times New Roman" w:hAnsi="Verdana" w:cs="Arial"/>
          <w:lang w:val="es-ES_tradnl" w:eastAsia="es-ES_tradnl"/>
        </w:rPr>
      </w:pPr>
      <w:r w:rsidRPr="00BE64FC">
        <w:rPr>
          <w:rFonts w:ascii="Verdana" w:eastAsia="Times New Roman" w:hAnsi="Verdana" w:cs="Arial"/>
          <w:lang w:val="es-ES_tradnl" w:eastAsia="es-ES_tradnl"/>
        </w:rPr>
        <w:t xml:space="preserve">El </w:t>
      </w:r>
      <w:r w:rsidRPr="00BE64FC">
        <w:rPr>
          <w:rFonts w:ascii="Verdana" w:eastAsia="Times New Roman" w:hAnsi="Verdana" w:cs="Arial"/>
          <w:i/>
          <w:iCs/>
          <w:lang w:val="es-ES_tradnl" w:eastAsia="es-ES_tradnl"/>
        </w:rPr>
        <w:t>segundo cambio</w:t>
      </w:r>
      <w:r w:rsidRPr="00BE64FC">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BE64FC">
        <w:rPr>
          <w:rFonts w:ascii="Verdana" w:eastAsia="Times New Roman" w:hAnsi="Verdana" w:cs="Arial"/>
          <w:i/>
          <w:iCs/>
          <w:lang w:val="es-ES_tradnl" w:eastAsia="es-ES_tradnl"/>
        </w:rPr>
        <w:t>“los proponentes no podrán acreditar circunstancias ocurridas con posterioridad al cierre del proceso”.</w:t>
      </w:r>
      <w:r w:rsidRPr="00BE64FC">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590CB602" w14:textId="77777777" w:rsidR="00A21E0C" w:rsidRPr="00BE64FC" w:rsidRDefault="00A21E0C" w:rsidP="00A21E0C">
      <w:pPr>
        <w:spacing w:after="120" w:line="276" w:lineRule="auto"/>
        <w:ind w:firstLine="709"/>
        <w:jc w:val="both"/>
        <w:rPr>
          <w:rFonts w:ascii="Verdana" w:eastAsia="Times New Roman" w:hAnsi="Verdana" w:cs="Arial"/>
          <w:lang w:val="es-ES" w:eastAsia="es-ES"/>
        </w:rPr>
      </w:pPr>
      <w:r w:rsidRPr="00BE64FC">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BE64FC">
        <w:rPr>
          <w:rFonts w:ascii="Verdana" w:eastAsia="Times New Roman" w:hAnsi="Verdana" w:cs="Arial"/>
          <w:vertAlign w:val="superscript"/>
          <w:lang w:val="es-ES" w:eastAsia="es-ES"/>
        </w:rPr>
        <w:footnoteReference w:id="11"/>
      </w:r>
      <w:r w:rsidRPr="00BE64FC">
        <w:rPr>
          <w:rFonts w:ascii="Verdana" w:eastAsia="Times New Roman" w:hAnsi="Verdana" w:cs="Arial"/>
          <w:lang w:val="es-ES" w:eastAsia="es-ES"/>
        </w:rPr>
        <w:t>.</w:t>
      </w:r>
    </w:p>
    <w:p w14:paraId="57AF5858" w14:textId="77777777" w:rsidR="00A21E0C" w:rsidRPr="00BE64FC" w:rsidRDefault="00A21E0C" w:rsidP="00A21E0C">
      <w:pPr>
        <w:spacing w:after="120" w:line="276" w:lineRule="auto"/>
        <w:ind w:firstLine="709"/>
        <w:jc w:val="both"/>
        <w:rPr>
          <w:rFonts w:ascii="Verdana" w:eastAsia="Times New Roman" w:hAnsi="Verdana" w:cs="Arial"/>
          <w:lang w:val="es-ES_tradnl" w:eastAsia="es-ES_tradnl"/>
        </w:rPr>
      </w:pPr>
      <w:r w:rsidRPr="00BE64FC">
        <w:rPr>
          <w:rFonts w:ascii="Verdana" w:eastAsia="Times New Roman" w:hAnsi="Verdana" w:cs="Arial"/>
          <w:lang w:val="es-ES_tradnl" w:eastAsia="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CDD1E34" w14:textId="77777777" w:rsidR="00A21E0C" w:rsidRPr="00BE64FC" w:rsidRDefault="00A21E0C" w:rsidP="00A21E0C">
      <w:pPr>
        <w:spacing w:after="120" w:line="276" w:lineRule="auto"/>
        <w:ind w:firstLine="709"/>
        <w:jc w:val="both"/>
        <w:rPr>
          <w:rFonts w:ascii="Verdana" w:eastAsia="Times New Roman" w:hAnsi="Verdana" w:cs="Arial"/>
          <w:lang w:val="es-ES" w:eastAsia="es-ES"/>
        </w:rPr>
      </w:pPr>
      <w:r w:rsidRPr="00BE64FC">
        <w:rPr>
          <w:rFonts w:ascii="Verdana" w:eastAsia="Times New Roman" w:hAnsi="Verdana" w:cs="Arial"/>
          <w:lang w:val="es-ES" w:eastAsia="es-ES"/>
        </w:rPr>
        <w:t xml:space="preserve">Un mejor entendimiento del significado de la expresión </w:t>
      </w:r>
      <w:r w:rsidRPr="00BE64FC">
        <w:rPr>
          <w:rFonts w:ascii="Verdana" w:eastAsia="Times New Roman" w:hAnsi="Verdana" w:cs="Arial"/>
          <w:i/>
          <w:lang w:val="es-ES" w:eastAsia="es-ES"/>
        </w:rPr>
        <w:t>“circunstancias ocurridas con posterioridad al cierre del proceso”</w:t>
      </w:r>
      <w:r w:rsidRPr="00BE64FC">
        <w:rPr>
          <w:rFonts w:ascii="Verdana" w:eastAsia="Times New Roman" w:hAnsi="Verdana" w:cs="Arial"/>
          <w:lang w:val="es-ES" w:eastAsia="es-ES"/>
        </w:rPr>
        <w:t xml:space="preserve"> implica distinguir entre la prueba de un hecho y el hecho mismo. En el caso de la </w:t>
      </w:r>
      <w:proofErr w:type="spellStart"/>
      <w:r w:rsidRPr="00BE64FC">
        <w:rPr>
          <w:rFonts w:ascii="Verdana" w:eastAsia="Times New Roman" w:hAnsi="Verdana" w:cs="Arial"/>
          <w:lang w:val="es-ES" w:eastAsia="es-ES"/>
        </w:rPr>
        <w:t>subsanabilidad</w:t>
      </w:r>
      <w:proofErr w:type="spellEnd"/>
      <w:r w:rsidRPr="00BE64FC">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BE64FC">
        <w:rPr>
          <w:rFonts w:ascii="Verdana" w:eastAsia="Times New Roman" w:hAnsi="Verdana" w:cs="Arial"/>
          <w:vertAlign w:val="superscript"/>
          <w:lang w:val="es-ES" w:eastAsia="es-ES"/>
        </w:rPr>
        <w:footnoteReference w:id="12"/>
      </w:r>
      <w:r w:rsidRPr="00BE64FC">
        <w:rPr>
          <w:rFonts w:ascii="Verdana" w:eastAsia="Times New Roman" w:hAnsi="Verdana" w:cs="Arial"/>
          <w:lang w:val="es-ES" w:eastAsia="es-ES"/>
        </w:rPr>
        <w:t xml:space="preserve">. </w:t>
      </w:r>
    </w:p>
    <w:p w14:paraId="49DCA2DB" w14:textId="77777777" w:rsidR="00A21E0C" w:rsidRPr="00BE64FC" w:rsidRDefault="00A21E0C" w:rsidP="00A21E0C">
      <w:pPr>
        <w:spacing w:after="120" w:line="276" w:lineRule="auto"/>
        <w:ind w:firstLine="709"/>
        <w:jc w:val="both"/>
        <w:rPr>
          <w:rFonts w:ascii="Verdana" w:eastAsia="Times New Roman" w:hAnsi="Verdana" w:cs="Arial"/>
          <w:lang w:val="es-ES" w:eastAsia="es-ES"/>
        </w:rPr>
      </w:pPr>
      <w:r w:rsidRPr="00BE64FC">
        <w:rPr>
          <w:rFonts w:ascii="Verdana" w:eastAsia="Times New Roman" w:hAnsi="Verdana" w:cs="Arial"/>
          <w:lang w:val="es-ES" w:eastAsia="es-ES"/>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BE64FC">
        <w:rPr>
          <w:rFonts w:ascii="Verdana" w:eastAsia="Times New Roman" w:hAnsi="Verdana" w:cs="Arial"/>
          <w:lang w:val="es-ES" w:eastAsia="es-ES"/>
        </w:rPr>
        <w:t>ii</w:t>
      </w:r>
      <w:proofErr w:type="spellEnd"/>
      <w:r w:rsidRPr="00BE64FC">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BE64FC">
        <w:rPr>
          <w:rFonts w:ascii="Verdana" w:eastAsia="Times New Roman" w:hAnsi="Verdana" w:cs="Arial"/>
          <w:vertAlign w:val="superscript"/>
          <w:lang w:val="es-ES" w:eastAsia="es-ES"/>
        </w:rPr>
        <w:footnoteReference w:id="13"/>
      </w:r>
      <w:r w:rsidRPr="00BE64FC">
        <w:rPr>
          <w:rFonts w:ascii="Verdana" w:eastAsia="Times New Roman" w:hAnsi="Verdana" w:cs="Arial"/>
          <w:lang w:val="es-ES" w:eastAsia="es-ES"/>
        </w:rPr>
        <w:t xml:space="preserve">; </w:t>
      </w:r>
      <w:proofErr w:type="spellStart"/>
      <w:r w:rsidRPr="00BE64FC">
        <w:rPr>
          <w:rFonts w:ascii="Verdana" w:eastAsia="Times New Roman" w:hAnsi="Verdana" w:cs="Arial"/>
          <w:lang w:val="es-ES" w:eastAsia="es-ES"/>
        </w:rPr>
        <w:t>iii</w:t>
      </w:r>
      <w:proofErr w:type="spellEnd"/>
      <w:r w:rsidRPr="00BE64FC">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BE64FC">
        <w:rPr>
          <w:rFonts w:ascii="Verdana" w:eastAsia="Times New Roman" w:hAnsi="Verdana" w:cs="Arial"/>
          <w:vertAlign w:val="superscript"/>
          <w:lang w:val="es-ES" w:eastAsia="es-ES"/>
        </w:rPr>
        <w:footnoteReference w:id="14"/>
      </w:r>
      <w:r w:rsidRPr="00BE64FC">
        <w:rPr>
          <w:rFonts w:ascii="Verdana" w:eastAsia="Times New Roman" w:hAnsi="Verdana" w:cs="Arial"/>
          <w:lang w:val="es-ES" w:eastAsia="es-ES"/>
        </w:rPr>
        <w:t xml:space="preserve">; </w:t>
      </w:r>
      <w:proofErr w:type="spellStart"/>
      <w:r w:rsidRPr="00BE64FC">
        <w:rPr>
          <w:rFonts w:ascii="Verdana" w:eastAsia="Times New Roman" w:hAnsi="Verdana" w:cs="Arial"/>
          <w:lang w:val="es-ES" w:eastAsia="es-ES"/>
        </w:rPr>
        <w:t>iv</w:t>
      </w:r>
      <w:proofErr w:type="spellEnd"/>
      <w:r w:rsidRPr="00BE64FC">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3060900A" w14:textId="77777777" w:rsidR="00A21E0C" w:rsidRPr="00BE64FC" w:rsidRDefault="00A21E0C" w:rsidP="00A21E0C">
      <w:pPr>
        <w:spacing w:after="120" w:line="276" w:lineRule="auto"/>
        <w:ind w:firstLine="709"/>
        <w:jc w:val="both"/>
        <w:rPr>
          <w:rFonts w:ascii="Verdana" w:eastAsia="Times New Roman" w:hAnsi="Verdana" w:cs="Arial"/>
          <w:i/>
          <w:lang w:val="es-ES" w:eastAsia="es-ES"/>
        </w:rPr>
      </w:pPr>
      <w:r w:rsidRPr="00BE64FC">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BE64FC">
        <w:rPr>
          <w:rFonts w:ascii="Verdana" w:eastAsia="Times New Roman" w:hAnsi="Verdana" w:cs="Arial"/>
          <w:lang w:val="es-ES" w:eastAsia="es-ES"/>
        </w:rPr>
        <w:t>que</w:t>
      </w:r>
      <w:proofErr w:type="gramEnd"/>
      <w:r w:rsidRPr="00BE64FC">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w:t>
      </w:r>
      <w:r w:rsidRPr="00BE64FC">
        <w:rPr>
          <w:rFonts w:ascii="Verdana" w:eastAsia="Times New Roman" w:hAnsi="Verdana" w:cs="Arial"/>
          <w:lang w:val="es-ES" w:eastAsia="es-ES"/>
        </w:rPr>
        <w:lastRenderedPageBreak/>
        <w:t>recaer exclusivamente sobre circunstancias acaecidas antes del cierre del respectivo proceso, esto es, del vencimiento del plazo para presentar ofertas”</w:t>
      </w:r>
      <w:r w:rsidRPr="00BE64FC">
        <w:rPr>
          <w:rFonts w:ascii="Verdana" w:eastAsia="Times New Roman" w:hAnsi="Verdana" w:cs="Arial"/>
          <w:vertAlign w:val="superscript"/>
          <w:lang w:val="es-ES" w:eastAsia="es-ES"/>
        </w:rPr>
        <w:footnoteReference w:id="15"/>
      </w:r>
      <w:r w:rsidRPr="00BE64FC">
        <w:rPr>
          <w:rFonts w:ascii="Verdana" w:eastAsia="Times New Roman" w:hAnsi="Verdana" w:cs="Arial"/>
          <w:lang w:val="es-ES" w:eastAsia="es-ES"/>
        </w:rPr>
        <w:t>.</w:t>
      </w:r>
    </w:p>
    <w:p w14:paraId="0382995E" w14:textId="77777777" w:rsidR="00A21E0C" w:rsidRPr="00BE64FC" w:rsidRDefault="00A21E0C" w:rsidP="00A21E0C">
      <w:pPr>
        <w:spacing w:after="120" w:line="276" w:lineRule="auto"/>
        <w:ind w:firstLine="709"/>
        <w:jc w:val="both"/>
        <w:rPr>
          <w:rFonts w:ascii="Verdana" w:eastAsia="Calibri" w:hAnsi="Verdana" w:cs="Times New Roman"/>
          <w:color w:val="000000"/>
        </w:rPr>
      </w:pPr>
      <w:r w:rsidRPr="00BE64FC">
        <w:rPr>
          <w:rFonts w:ascii="Verdana" w:eastAsia="Times New Roman" w:hAnsi="Verdana" w:cs="Arial"/>
          <w:iCs/>
          <w:lang w:val="es-ES" w:eastAsia="es-ES"/>
        </w:rPr>
        <w:t>Ahora bien,</w:t>
      </w:r>
      <w:r w:rsidRPr="00BE64FC">
        <w:rPr>
          <w:rFonts w:ascii="Verdana" w:eastAsia="Times New Roman" w:hAnsi="Verdana" w:cs="Arial"/>
          <w:i/>
          <w:lang w:val="es-ES" w:eastAsia="es-ES"/>
        </w:rPr>
        <w:t xml:space="preserve"> e</w:t>
      </w:r>
      <w:r w:rsidRPr="00BE64FC">
        <w:rPr>
          <w:rFonts w:ascii="Verdana" w:eastAsia="Calibri" w:hAnsi="Verdana" w:cs="Arial"/>
          <w:color w:val="000000"/>
          <w:lang w:val="es-ES"/>
        </w:rPr>
        <w:t xml:space="preserve">l parágrafo 3 del artículo 5 de la Ley 1882 de 2018 determinó, de manera expresa, que “la no entrega de la garantía de seriedad junto con la propuesta no será subsanable y será causal de rechazo de </w:t>
      </w:r>
      <w:proofErr w:type="gramStart"/>
      <w:r w:rsidRPr="00BE64FC">
        <w:rPr>
          <w:rFonts w:ascii="Verdana" w:eastAsia="Calibri" w:hAnsi="Verdana" w:cs="Arial"/>
          <w:color w:val="000000"/>
          <w:lang w:val="es-ES"/>
        </w:rPr>
        <w:t>la misma</w:t>
      </w:r>
      <w:proofErr w:type="gramEnd"/>
      <w:r w:rsidRPr="00BE64FC">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BE64FC">
        <w:rPr>
          <w:rFonts w:ascii="Verdana" w:eastAsia="Calibri" w:hAnsi="Verdana" w:cs="Times New Roman"/>
          <w:color w:val="000000"/>
        </w:rPr>
        <w:t> </w:t>
      </w:r>
    </w:p>
    <w:p w14:paraId="4442546F" w14:textId="77777777" w:rsidR="00A21E0C" w:rsidRPr="00BE64FC" w:rsidRDefault="00A21E0C" w:rsidP="00A21E0C">
      <w:pPr>
        <w:spacing w:after="120" w:line="276" w:lineRule="auto"/>
        <w:ind w:firstLine="709"/>
        <w:jc w:val="both"/>
        <w:rPr>
          <w:rFonts w:ascii="Verdana" w:eastAsia="Calibri" w:hAnsi="Verdana" w:cs="Times New Roman"/>
          <w:color w:val="000000"/>
        </w:rPr>
      </w:pPr>
      <w:r w:rsidRPr="00BE64FC">
        <w:rPr>
          <w:rFonts w:ascii="Verdana" w:eastAsia="Calibri" w:hAnsi="Verdana" w:cs="Times New Roman"/>
          <w:color w:val="000000"/>
        </w:rPr>
        <w:t>En línea con lo anterior, una vez verificada la ausencia de requisitos y/o documentos de la oferta, para efectos de saber si se pueden subsanar, la entidad contratante debe preguntarse,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3FAE0363" w14:textId="77777777" w:rsidR="00A21E0C" w:rsidRPr="00BE64FC" w:rsidRDefault="00A21E0C" w:rsidP="00A21E0C">
      <w:pPr>
        <w:spacing w:after="120" w:line="276" w:lineRule="auto"/>
        <w:ind w:firstLine="709"/>
        <w:jc w:val="both"/>
        <w:rPr>
          <w:rFonts w:ascii="Verdana" w:eastAsia="Calibri" w:hAnsi="Verdana" w:cs="Times New Roman"/>
          <w:color w:val="000000"/>
        </w:rPr>
      </w:pPr>
      <w:r w:rsidRPr="00BE64FC">
        <w:rPr>
          <w:rFonts w:ascii="Verdana" w:eastAsia="Calibri" w:hAnsi="Verdana" w:cs="Times New Roman"/>
          <w:color w:val="000000"/>
        </w:rPr>
        <w:t xml:space="preserve">Ahora bien, teniendo en cuenta el objeto bajo consulta, se hace necesario que esta Agencia se manifieste sobre la diferencia entre la regla sobre subsanación de ofertas en los procesos de selección antes explicada, y la aclaración de las ofertas, cuestiones que resultan ser distintas, pese a que ambas puedan contener considerandos como elementos propios del principio de selección objetiva. Así, en aras de que la Entidad Estatal al momento de evaluar las ofertas recibidas y, con el fin de comprender integralmente cada documento contenido en la oferta, podrá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para </w:t>
      </w:r>
      <w:r w:rsidRPr="00BE64FC">
        <w:rPr>
          <w:rFonts w:ascii="Verdana" w:eastAsia="Calibri" w:hAnsi="Verdana" w:cs="Times New Roman"/>
          <w:color w:val="000000"/>
        </w:rPr>
        <w:lastRenderedPageBreak/>
        <w:t>solicitar a los proponentes las aclaraciones y explicaciones que se estimen indispensables”.</w:t>
      </w:r>
    </w:p>
    <w:p w14:paraId="11C4B75F" w14:textId="77777777" w:rsidR="00A21E0C" w:rsidRPr="00BE64FC" w:rsidRDefault="00A21E0C" w:rsidP="00A21E0C">
      <w:pPr>
        <w:spacing w:after="120" w:line="276" w:lineRule="auto"/>
        <w:ind w:firstLine="708"/>
        <w:jc w:val="both"/>
        <w:rPr>
          <w:rFonts w:ascii="Verdana" w:eastAsia="Calibri" w:hAnsi="Verdana" w:cs="Times New Roman"/>
          <w:bCs/>
          <w:color w:val="000000"/>
          <w:lang w:val="es-ES"/>
        </w:rPr>
      </w:pPr>
      <w:r w:rsidRPr="00BE64FC">
        <w:rPr>
          <w:rFonts w:ascii="Verdana" w:eastAsia="Calibri" w:hAnsi="Verdana" w:cs="Times New Roman"/>
          <w:color w:val="000000"/>
          <w:lang w:val="es-ES_tradnl"/>
        </w:rPr>
        <w:t xml:space="preserve">Dicha facultad, a su vez se establece entre otras, en el artículo </w:t>
      </w:r>
      <w:r w:rsidRPr="00BE64FC">
        <w:rPr>
          <w:rFonts w:ascii="Verdana" w:eastAsia="Calibri" w:hAnsi="Verdana" w:cs="Times New Roman"/>
          <w:bCs/>
          <w:color w:val="000000"/>
          <w:lang w:val="es-ES"/>
        </w:rPr>
        <w:t>2.2.1.1.2.2.4. del Decreto 1082 de 2015, referido a las explicaciones que la Entidad Estatal deberá solicitar al oferente cuando advierta que su oferta contiene un precio artificialmente bajo. En similar sentido, el numeral 3 del artículo 2.2.1.2.1.3.12 incluye el deber de aclaración, en cabeza del organismo asesor dentro del concurso de arquitectura o la posibilidad con la que cuenta la Entidad Estatal para solicitar aclaraciones al originador del proyecto al tratarse de asociaciones público-privadas de iniciativa privada. Todas estas normas contienen ejemplos de aplicación del principio de selección objetiva, pues pretenden que la entidad u organismo que evaluará las respectiva oferta o iniciativa, según el caso, cuente con el conocimiento e información veraz y suficiente para tomar una decisión acertada.</w:t>
      </w:r>
    </w:p>
    <w:p w14:paraId="42BB7926" w14:textId="77777777" w:rsidR="00A21E0C" w:rsidRPr="00BE64FC" w:rsidRDefault="00A21E0C" w:rsidP="00A21E0C">
      <w:pPr>
        <w:spacing w:after="120" w:line="276" w:lineRule="auto"/>
        <w:ind w:firstLine="708"/>
        <w:jc w:val="both"/>
        <w:rPr>
          <w:rFonts w:ascii="Verdana" w:eastAsia="Calibri" w:hAnsi="Verdana" w:cs="Times New Roman"/>
          <w:color w:val="000000"/>
          <w:lang w:val="es-ES_tradnl"/>
        </w:rPr>
      </w:pPr>
      <w:r w:rsidRPr="00BE64FC">
        <w:rPr>
          <w:rFonts w:ascii="Verdana" w:eastAsia="Calibri" w:hAnsi="Verdana" w:cs="Times New Roman"/>
          <w:bCs/>
          <w:color w:val="000000"/>
          <w:lang w:val="es-ES"/>
        </w:rPr>
        <w:t>En ese sentido, la facultad de solicitar aclaraciones en cabeza de la entidad contratante, establecida principal y genéricamente en el artículo 30 de la Ley 80 de 1993, debe comprenderse bajo el entendido que el oferente cuya oferta requiera ser aclarada, no podrá, so pena de proceder de conformidad con el requerimiento de la Entidad Estatal, realizar modificaciones que impliquen una mejora o alteración sustancial de la oferta, tal y como ha sido expresado por el Consejo de Estado.</w:t>
      </w:r>
    </w:p>
    <w:p w14:paraId="2D238524" w14:textId="77777777" w:rsidR="00A21E0C" w:rsidRPr="00BE64FC" w:rsidRDefault="00A21E0C" w:rsidP="00A21E0C">
      <w:pPr>
        <w:spacing w:after="120" w:line="276" w:lineRule="auto"/>
        <w:ind w:firstLine="708"/>
        <w:jc w:val="both"/>
        <w:rPr>
          <w:rFonts w:ascii="Verdana" w:eastAsia="Calibri" w:hAnsi="Verdana" w:cs="Times New Roman"/>
          <w:color w:val="000000"/>
          <w:lang w:val="es-ES_tradnl"/>
        </w:rPr>
      </w:pPr>
      <w:r w:rsidRPr="00BE64FC">
        <w:rPr>
          <w:rFonts w:ascii="Verdana" w:eastAsia="Calibri" w:hAnsi="Verdana" w:cs="Times New Roman"/>
          <w:color w:val="000000"/>
          <w:lang w:val="es-ES_tradnl"/>
        </w:rPr>
        <w:t xml:space="preserve">Sin embargo, lo anterior no impide que se puedan realizar aclaraciones a las propuestas, bien sea porque la Entidad Estatal las solicite en la evaluación de las mismas, o porque las realicen los oferentes en la etapa dispuesta para las observaciones a los informes de evaluación; pero, siempre y cuando versen sobre aspectos meramente formales o adjetivos o que en todo caso, no impliquen una variación o corrección del fondo de las propuestas a favor de quien las presenta y en detrimento de la posición de los demás proponentes en la evaluación, es decir, que con las mismas no se altere de manera sustancial la información inicialmente suministrada y la situación de los oferentes en el Proceso de Contratación. </w:t>
      </w:r>
    </w:p>
    <w:p w14:paraId="46B783DB" w14:textId="77777777" w:rsidR="00A21E0C" w:rsidRPr="00BE64FC" w:rsidRDefault="00A21E0C" w:rsidP="00A21E0C">
      <w:pPr>
        <w:spacing w:after="120" w:line="276" w:lineRule="auto"/>
        <w:ind w:firstLine="708"/>
        <w:jc w:val="both"/>
        <w:rPr>
          <w:rFonts w:ascii="Verdana" w:eastAsia="Calibri" w:hAnsi="Verdana" w:cs="Times New Roman"/>
          <w:color w:val="000000"/>
          <w:lang w:val="es-ES"/>
        </w:rPr>
      </w:pPr>
      <w:r w:rsidRPr="00BE64FC">
        <w:rPr>
          <w:rFonts w:ascii="Verdana" w:eastAsia="Calibri" w:hAnsi="Verdana" w:cs="Times New Roman"/>
          <w:color w:val="000000"/>
          <w:lang w:val="es-ES"/>
        </w:rPr>
        <w:t xml:space="preserve">Así pues, como es posible que por vía aclaratoria los proponentes intenten modificar o mejorar sus ofertas, debe distinguirse entre las simples aclaraciones de las propuestas y las modificaciones a estas. Las primeras son los medios para que se pueda hacer perceptible, manifiesto, explícito o inteligible algún aspecto </w:t>
      </w:r>
      <w:r w:rsidRPr="00BE64FC">
        <w:rPr>
          <w:rFonts w:ascii="Verdana" w:eastAsia="Calibri" w:hAnsi="Verdana" w:cs="Times New Roman"/>
          <w:color w:val="000000"/>
          <w:lang w:val="es-ES"/>
        </w:rPr>
        <w:lastRenderedPageBreak/>
        <w:t>confuso de la propuesta, sin que ello implique una complementación, adición, modificación o mejora de dicho aspecto, que es, precisamente, en lo que consisten las segundas.</w:t>
      </w:r>
    </w:p>
    <w:p w14:paraId="094A30DE" w14:textId="77777777" w:rsidR="00A21E0C" w:rsidRPr="00BE64FC" w:rsidRDefault="00A21E0C" w:rsidP="00A21E0C">
      <w:pPr>
        <w:spacing w:after="0" w:line="276" w:lineRule="auto"/>
        <w:ind w:firstLine="708"/>
        <w:jc w:val="both"/>
        <w:rPr>
          <w:rFonts w:ascii="Verdana" w:eastAsia="Calibri" w:hAnsi="Verdana" w:cs="Times New Roman"/>
          <w:color w:val="000000"/>
          <w:lang w:val="es-ES"/>
        </w:rPr>
      </w:pPr>
      <w:r w:rsidRPr="00BE64FC">
        <w:rPr>
          <w:rFonts w:ascii="Verdana" w:eastAsia="Calibri" w:hAnsi="Verdana" w:cs="Times New Roman"/>
          <w:color w:val="000000"/>
          <w:lang w:val="es-ES"/>
        </w:rPr>
        <w:t xml:space="preserve">La solicitud de aclaraciones permite que las Entidad Estatales requieran a los proponentes para esclarecer aspectos de sus propuestas que, en principio, resultan confusos para efectos de evaluación, diferenciándose de la </w:t>
      </w:r>
      <w:proofErr w:type="spellStart"/>
      <w:r w:rsidRPr="00BE64FC">
        <w:rPr>
          <w:rFonts w:ascii="Verdana" w:eastAsia="Calibri" w:hAnsi="Verdana" w:cs="Times New Roman"/>
          <w:color w:val="000000"/>
          <w:lang w:val="es-ES"/>
        </w:rPr>
        <w:t>subsanabilidad</w:t>
      </w:r>
      <w:proofErr w:type="spellEnd"/>
      <w:r w:rsidRPr="00BE64FC">
        <w:rPr>
          <w:rFonts w:ascii="Verdana" w:eastAsia="Calibri" w:hAnsi="Verdana" w:cs="Times New Roman"/>
          <w:color w:val="000000"/>
          <w:lang w:val="es-ES"/>
        </w:rPr>
        <w:t>, pues no parte del supuesto de la ausencia de requisitos de la oferta sino de la existencia de dudas sobre esta, cuya explicación se requiere para su evaluación. Esta diferencia es importante, pues es posible aclarar los requisitos que asignan puntaje, tal y como lo ha señalado la jurisprudencia del Consejo de Estado en los siguientes términos:</w:t>
      </w:r>
    </w:p>
    <w:p w14:paraId="7E4172FC" w14:textId="77777777" w:rsidR="00A21E0C" w:rsidRPr="00BE64FC" w:rsidRDefault="00A21E0C" w:rsidP="00A21E0C">
      <w:pPr>
        <w:spacing w:after="0" w:line="276" w:lineRule="auto"/>
        <w:ind w:firstLine="708"/>
        <w:jc w:val="both"/>
        <w:rPr>
          <w:rFonts w:ascii="Verdana" w:eastAsia="Calibri" w:hAnsi="Verdana" w:cs="Times New Roman"/>
          <w:color w:val="000000"/>
          <w:lang w:val="es-ES"/>
        </w:rPr>
      </w:pPr>
    </w:p>
    <w:p w14:paraId="2FE5328C" w14:textId="77777777" w:rsidR="00A21E0C" w:rsidRPr="00BE64FC" w:rsidRDefault="00A21E0C" w:rsidP="00A21E0C">
      <w:pPr>
        <w:spacing w:after="0" w:line="240" w:lineRule="auto"/>
        <w:ind w:left="709" w:right="709"/>
        <w:jc w:val="both"/>
        <w:textAlignment w:val="baseline"/>
        <w:rPr>
          <w:rFonts w:ascii="Verdana" w:eastAsia="Calibri" w:hAnsi="Verdana" w:cs="Times New Roman"/>
          <w:bCs/>
          <w:color w:val="000000"/>
          <w:sz w:val="20"/>
          <w:szCs w:val="20"/>
          <w:lang w:val="es-ES"/>
        </w:rPr>
      </w:pPr>
      <w:r w:rsidRPr="00BE64FC">
        <w:rPr>
          <w:rFonts w:ascii="Verdana" w:eastAsia="Calibri" w:hAnsi="Verdana" w:cs="Times New Roman"/>
          <w:bCs/>
          <w:color w:val="000000"/>
          <w:sz w:val="20"/>
          <w:szCs w:val="20"/>
          <w:lang w:val="es-ES"/>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BE64FC">
        <w:rPr>
          <w:rFonts w:ascii="Verdana" w:eastAsia="Calibri" w:hAnsi="Verdana" w:cs="Times New Roman"/>
          <w:bCs/>
          <w:color w:val="000000"/>
          <w:sz w:val="20"/>
          <w:szCs w:val="20"/>
          <w:lang w:val="es-ES"/>
        </w:rPr>
        <w:t>subsanabilidad</w:t>
      </w:r>
      <w:proofErr w:type="spellEnd"/>
      <w:r w:rsidRPr="00BE64FC">
        <w:rPr>
          <w:rFonts w:ascii="Verdana" w:eastAsia="Calibri" w:hAnsi="Verdana" w:cs="Times New Roman"/>
          <w:bCs/>
          <w:color w:val="000000"/>
          <w:sz w:val="20"/>
          <w:szCs w:val="20"/>
          <w:lang w:val="es-ES"/>
        </w:rPr>
        <w:t xml:space="preserve">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BE64FC">
        <w:rPr>
          <w:rFonts w:ascii="Verdana" w:eastAsia="Calibri" w:hAnsi="Verdana" w:cs="Times New Roman"/>
          <w:color w:val="000000"/>
          <w:sz w:val="20"/>
          <w:szCs w:val="20"/>
          <w:vertAlign w:val="superscript"/>
          <w:lang w:val="es-ES"/>
        </w:rPr>
        <w:footnoteReference w:id="16"/>
      </w:r>
      <w:r w:rsidRPr="00BE64FC">
        <w:rPr>
          <w:rFonts w:ascii="Verdana" w:eastAsia="Calibri" w:hAnsi="Verdana" w:cs="Times New Roman"/>
          <w:bCs/>
          <w:color w:val="000000"/>
          <w:sz w:val="20"/>
          <w:szCs w:val="20"/>
          <w:lang w:val="es-ES"/>
        </w:rPr>
        <w:t>.</w:t>
      </w:r>
    </w:p>
    <w:p w14:paraId="06D0E839" w14:textId="77777777" w:rsidR="00A21E0C" w:rsidRPr="00BE64FC" w:rsidRDefault="00A21E0C" w:rsidP="00A21E0C">
      <w:pPr>
        <w:spacing w:after="0" w:line="276" w:lineRule="auto"/>
        <w:ind w:firstLine="709"/>
        <w:jc w:val="both"/>
        <w:rPr>
          <w:rFonts w:ascii="Verdana" w:eastAsia="Calibri" w:hAnsi="Verdana" w:cs="Times New Roman"/>
          <w:bCs/>
          <w:color w:val="000000"/>
          <w:lang w:val="es-ES"/>
        </w:rPr>
      </w:pPr>
    </w:p>
    <w:p w14:paraId="17699180" w14:textId="77777777" w:rsidR="00A21E0C" w:rsidRPr="00BE64FC" w:rsidRDefault="00A21E0C" w:rsidP="00A21E0C">
      <w:pPr>
        <w:spacing w:after="120" w:line="276" w:lineRule="auto"/>
        <w:ind w:firstLine="708"/>
        <w:jc w:val="both"/>
        <w:rPr>
          <w:rFonts w:ascii="Verdana" w:eastAsia="Calibri" w:hAnsi="Verdana" w:cs="Times New Roman"/>
          <w:bCs/>
          <w:color w:val="000000"/>
          <w:lang w:val="es-ES"/>
        </w:rPr>
      </w:pPr>
      <w:r w:rsidRPr="00BE64FC">
        <w:rPr>
          <w:rFonts w:ascii="Verdana" w:eastAsia="Calibri" w:hAnsi="Verdana" w:cs="Times New Roman"/>
          <w:bCs/>
          <w:color w:val="000000"/>
          <w:lang w:val="es-ES"/>
        </w:rPr>
        <w:t xml:space="preserve">De esta forma, así como lo expresó el Alto Tribunal Administrativo, aclarar una oferta no puede implicar su alteración sustancial o mejoría de sus componentes, sino limitarse a disipar lo que resulta borroso u otorgar claridad a lo que oscuro o intangible. En este punto, se concluye, es plausible la diferencia entre aclarar y subsanar una oferta, siendo este último una institución que procura porque el oferente presente, dentro del plazo y bajo las condiciones </w:t>
      </w:r>
      <w:r w:rsidRPr="00BE64FC">
        <w:rPr>
          <w:rFonts w:ascii="Verdana" w:eastAsia="Calibri" w:hAnsi="Verdana" w:cs="Times New Roman"/>
          <w:bCs/>
          <w:color w:val="000000"/>
          <w:lang w:val="es-ES"/>
        </w:rPr>
        <w:lastRenderedPageBreak/>
        <w:t>dadas por la norma aplicable, los documentos que acrediten el cumplimiento de los requisitos exigidos como habilitantes para participar en el respectivo procedimiento de selección, mientras que la aclaración por su parte, permite el mejor entendimiento de los elementos de la oferta, sean o no subsanables, para la correcta verificación y evaluación de estos por parte de la Entidad Estatal.</w:t>
      </w:r>
    </w:p>
    <w:p w14:paraId="47FF9738" w14:textId="77777777" w:rsidR="00A21E0C" w:rsidRPr="00BE64FC" w:rsidRDefault="00A21E0C" w:rsidP="00A21E0C">
      <w:pPr>
        <w:spacing w:after="120" w:line="276" w:lineRule="auto"/>
        <w:ind w:firstLine="708"/>
        <w:jc w:val="both"/>
        <w:rPr>
          <w:rFonts w:ascii="Verdana" w:eastAsia="Calibri" w:hAnsi="Verdana" w:cs="Times New Roman"/>
          <w:color w:val="000000"/>
          <w:lang w:val="es-ES_tradnl"/>
        </w:rPr>
      </w:pPr>
      <w:r w:rsidRPr="00BE64FC">
        <w:rPr>
          <w:rFonts w:ascii="Verdana" w:eastAsia="Calibri" w:hAnsi="Verdana" w:cs="Times New Roman"/>
          <w:color w:val="000000"/>
          <w:lang w:val="es-ES_tradnl"/>
        </w:rPr>
        <w:t>De acuerdo con lo dispuesto en el numeral 7 del artículo 30 de la Ley 80 de 1993, la aclaración de las propuestas se realiza durante la evaluación de estas, pues es necesario esclarecer los aspectos dudosos de las ofertas antes de la adjudicación</w:t>
      </w:r>
      <w:r w:rsidRPr="00BE64FC">
        <w:rPr>
          <w:rFonts w:ascii="Verdana" w:eastAsia="Calibri" w:hAnsi="Verdana" w:cs="Times New Roman"/>
          <w:color w:val="000000"/>
          <w:vertAlign w:val="superscript"/>
          <w:lang w:val="es-ES"/>
        </w:rPr>
        <w:footnoteReference w:id="17"/>
      </w:r>
      <w:r w:rsidRPr="00BE64FC">
        <w:rPr>
          <w:rFonts w:ascii="Verdana" w:eastAsia="Calibri" w:hAnsi="Verdana" w:cs="Times New Roman"/>
          <w:bCs/>
          <w:color w:val="000000"/>
          <w:lang w:val="es-ES"/>
        </w:rPr>
        <w:t>. De ahí que, la jurisprudencia explica a su vez que “[…] el proponente debe acogerse al tiempo que le otorga la administración para subsanar o aclarar la oferta, lapso que la entidad no puede extender más allá de la adjudicación […]”</w:t>
      </w:r>
      <w:r w:rsidRPr="00BE64FC">
        <w:rPr>
          <w:rFonts w:ascii="Verdana" w:eastAsia="Calibri" w:hAnsi="Verdana" w:cs="Times New Roman"/>
          <w:bCs/>
          <w:color w:val="000000"/>
          <w:vertAlign w:val="superscript"/>
          <w:lang w:val="es-ES"/>
        </w:rPr>
        <w:footnoteReference w:id="18"/>
      </w:r>
      <w:r w:rsidRPr="00BE64FC">
        <w:rPr>
          <w:rFonts w:ascii="Verdana" w:eastAsia="Calibri" w:hAnsi="Verdana" w:cs="Times New Roman"/>
          <w:bCs/>
          <w:color w:val="000000"/>
          <w:lang w:val="es-ES"/>
        </w:rPr>
        <w:t>. De esta manera, “lo ideal en un proceso de selección es que las aclaraciones y explicaciones se anticipen y soliciten durante la etapa de evaluación, lo más pronto posible, es decir, antes de que la entidad elabore el informe respectivo, de tal manera que las tenga en cuenta para producir este acto administrativo”</w:t>
      </w:r>
      <w:r w:rsidRPr="00BE64FC">
        <w:rPr>
          <w:rFonts w:ascii="Verdana" w:eastAsia="Calibri" w:hAnsi="Verdana" w:cs="Times New Roman"/>
          <w:bCs/>
          <w:color w:val="000000"/>
          <w:vertAlign w:val="superscript"/>
          <w:lang w:val="es-ES"/>
        </w:rPr>
        <w:t xml:space="preserve"> </w:t>
      </w:r>
      <w:r w:rsidRPr="00BE64FC">
        <w:rPr>
          <w:rFonts w:ascii="Verdana" w:eastAsia="Calibri" w:hAnsi="Verdana" w:cs="Times New Roman"/>
          <w:bCs/>
          <w:color w:val="000000"/>
          <w:vertAlign w:val="superscript"/>
          <w:lang w:val="es-ES"/>
        </w:rPr>
        <w:footnoteReference w:id="19"/>
      </w:r>
      <w:r w:rsidRPr="00BE64FC">
        <w:rPr>
          <w:rFonts w:ascii="Verdana" w:eastAsia="Calibri" w:hAnsi="Verdana" w:cs="Times New Roman"/>
          <w:bCs/>
          <w:color w:val="000000"/>
          <w:vertAlign w:val="superscript"/>
          <w:lang w:val="es-ES"/>
        </w:rPr>
        <w:t>.</w:t>
      </w:r>
    </w:p>
    <w:p w14:paraId="33591044" w14:textId="77777777" w:rsidR="00A21E0C" w:rsidRPr="00BE64FC" w:rsidRDefault="00A21E0C" w:rsidP="00A21E0C">
      <w:pPr>
        <w:spacing w:after="120" w:line="276" w:lineRule="auto"/>
        <w:ind w:firstLine="607"/>
        <w:jc w:val="both"/>
        <w:rPr>
          <w:rFonts w:ascii="Verdana" w:eastAsia="Calibri" w:hAnsi="Verdana" w:cs="Times New Roman"/>
          <w:color w:val="000000"/>
        </w:rPr>
      </w:pPr>
      <w:r w:rsidRPr="00BE64FC">
        <w:rPr>
          <w:rFonts w:ascii="Verdana" w:eastAsia="Calibri" w:hAnsi="Verdana" w:cs="Times New Roman"/>
          <w:color w:val="000000"/>
          <w:lang w:val="es-ES_tradnl"/>
        </w:rPr>
        <w:t xml:space="preserve">En ese contexto, considerando la diferencia entre aclarar y subsanar en el evento en que la Entidad Estatal, con ocasión de la elaboración del informe de evaluación de las propuestas o de las observaciones presentadas por los proponentes a este, identifique en una propuesta aspectos que no sean claros o generen dudas, podrá requerir al proponente para que haga la aclaración correspondiente. De ahí que, habida consideración del principio de prevalencia de lo sustancial sobre lo formal, podrán aclararse aspectos puramente formales de las propuestas, inclusive aquellos que otorgan puntaje, siempre y cuando ese hecho no conlleve una adición, modificación o mejora sustancial de la oferta. </w:t>
      </w:r>
    </w:p>
    <w:p w14:paraId="7AD1E122" w14:textId="77777777" w:rsidR="00A21E0C" w:rsidRPr="00BE64FC" w:rsidRDefault="00A21E0C" w:rsidP="00A21E0C">
      <w:pPr>
        <w:spacing w:before="120" w:after="0" w:line="276" w:lineRule="auto"/>
        <w:ind w:firstLine="709"/>
        <w:jc w:val="both"/>
        <w:rPr>
          <w:rFonts w:ascii="Verdana" w:eastAsia="Calibri" w:hAnsi="Verdana" w:cs="Arial"/>
          <w:color w:val="000000"/>
          <w:lang w:val="es-ES_tradnl"/>
        </w:rPr>
      </w:pPr>
      <w:r w:rsidRPr="00BE64FC">
        <w:rPr>
          <w:rFonts w:ascii="Verdana" w:eastAsia="Arial" w:hAnsi="Verdana" w:cs="Arial"/>
        </w:rPr>
        <w:lastRenderedPageBreak/>
        <w:t xml:space="preserve">Al margen de lo anterior, debe advertirse que el análisis sobre la subsanación o el rechazo de las ofertas al interior de los procedimientos de selección debe ser realizado por quienes tengan interés en ello, de acuerdo con lo explicado en 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60B6CCC9" w14:textId="77777777" w:rsidR="00A21E0C" w:rsidRPr="00BE64FC" w:rsidRDefault="00A21E0C" w:rsidP="00A21E0C">
      <w:pPr>
        <w:spacing w:before="120" w:after="0" w:line="276" w:lineRule="auto"/>
        <w:ind w:firstLine="709"/>
        <w:jc w:val="both"/>
        <w:rPr>
          <w:rFonts w:ascii="Verdana" w:eastAsia="Arial" w:hAnsi="Verdana" w:cs="Arial"/>
          <w:bCs/>
        </w:rPr>
      </w:pPr>
      <w:r w:rsidRPr="00BE64FC">
        <w:rPr>
          <w:rFonts w:ascii="Verdana" w:eastAsia="Arial" w:hAnsi="Verdana" w:cs="Arial"/>
          <w:bCs/>
        </w:rPr>
        <w:t>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atender las necesidades de la Entidad Pública.</w:t>
      </w:r>
    </w:p>
    <w:p w14:paraId="5FDB2963" w14:textId="77777777" w:rsidR="00A21E0C" w:rsidRPr="00B36678" w:rsidRDefault="00A21E0C" w:rsidP="00A21E0C">
      <w:pPr>
        <w:widowControl w:val="0"/>
        <w:autoSpaceDE w:val="0"/>
        <w:autoSpaceDN w:val="0"/>
        <w:spacing w:after="0" w:line="276" w:lineRule="auto"/>
        <w:jc w:val="both"/>
        <w:rPr>
          <w:rFonts w:ascii="Verdana" w:eastAsia="Calibri" w:hAnsi="Verdana" w:cs="Arial"/>
          <w:lang w:eastAsia="es-ES" w:bidi="es-ES"/>
        </w:rPr>
      </w:pPr>
    </w:p>
    <w:p w14:paraId="75CFAA28" w14:textId="77777777" w:rsidR="00A21E0C" w:rsidRPr="00B36678" w:rsidRDefault="00A21E0C" w:rsidP="00A21E0C">
      <w:pPr>
        <w:tabs>
          <w:tab w:val="left" w:pos="142"/>
          <w:tab w:val="left" w:pos="284"/>
        </w:tabs>
        <w:spacing w:after="0" w:line="276" w:lineRule="auto"/>
        <w:jc w:val="both"/>
        <w:rPr>
          <w:rFonts w:ascii="Verdana" w:eastAsia="Century Gothic" w:hAnsi="Verdana" w:cs="Century Gothic"/>
          <w:b/>
          <w:bCs/>
          <w:lang w:val="es-ES_tradnl"/>
        </w:rPr>
      </w:pPr>
      <w:r w:rsidRPr="00B36678">
        <w:rPr>
          <w:rFonts w:ascii="Verdana" w:eastAsia="Century Gothic" w:hAnsi="Verdana" w:cs="Century Gothic"/>
          <w:b/>
          <w:bCs/>
          <w:lang w:val="es-ES_tradnl"/>
        </w:rPr>
        <w:t>4. Referencias normativas, jurisprudenciales y otras fuentes:</w:t>
      </w:r>
    </w:p>
    <w:p w14:paraId="3ABFAFA7" w14:textId="77777777" w:rsidR="00A21E0C" w:rsidRPr="00B36678" w:rsidRDefault="00A21E0C" w:rsidP="00A21E0C">
      <w:pPr>
        <w:spacing w:after="0"/>
        <w:jc w:val="both"/>
        <w:rPr>
          <w:rFonts w:ascii="Verdana" w:eastAsia="Calibri" w:hAnsi="Verdana" w:cs="Arial"/>
          <w:b/>
          <w:bC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21E0C" w:rsidRPr="00B36678" w14:paraId="6EF8CC40" w14:textId="77777777" w:rsidTr="008F5556">
        <w:trPr>
          <w:trHeight w:val="632"/>
        </w:trPr>
        <w:tc>
          <w:tcPr>
            <w:tcW w:w="8647" w:type="dxa"/>
            <w:tcBorders>
              <w:top w:val="dotted" w:sz="4" w:space="0" w:color="auto"/>
              <w:left w:val="dotted" w:sz="4" w:space="0" w:color="auto"/>
              <w:bottom w:val="dotted" w:sz="4" w:space="0" w:color="auto"/>
              <w:right w:val="dotted" w:sz="4" w:space="0" w:color="auto"/>
            </w:tcBorders>
          </w:tcPr>
          <w:p w14:paraId="66C25B87" w14:textId="77777777" w:rsidR="00A21E0C" w:rsidRPr="00B36678" w:rsidRDefault="00A21E0C" w:rsidP="00A21E0C">
            <w:pPr>
              <w:widowControl w:val="0"/>
              <w:numPr>
                <w:ilvl w:val="0"/>
                <w:numId w:val="16"/>
              </w:numPr>
              <w:autoSpaceDE w:val="0"/>
              <w:autoSpaceDN w:val="0"/>
              <w:spacing w:line="276" w:lineRule="auto"/>
              <w:ind w:hanging="357"/>
              <w:jc w:val="both"/>
              <w:rPr>
                <w:rFonts w:ascii="Verdana" w:eastAsia="Calibri" w:hAnsi="Verdana" w:cs="Arial"/>
                <w:lang w:val="es-ES_tradnl"/>
              </w:rPr>
            </w:pPr>
            <w:r w:rsidRPr="00B36678">
              <w:rPr>
                <w:rFonts w:ascii="Verdana" w:eastAsia="Calibri" w:hAnsi="Verdana" w:cs="Arial"/>
                <w:lang w:val="es-ES_tradnl"/>
              </w:rPr>
              <w:t xml:space="preserve">Ley 2022 de 2020, artículo 1. </w:t>
            </w:r>
          </w:p>
          <w:p w14:paraId="493E3D48" w14:textId="77777777" w:rsidR="00A21E0C" w:rsidRPr="00B36678" w:rsidRDefault="00A21E0C" w:rsidP="00A21E0C">
            <w:pPr>
              <w:widowControl w:val="0"/>
              <w:numPr>
                <w:ilvl w:val="0"/>
                <w:numId w:val="16"/>
              </w:numPr>
              <w:autoSpaceDE w:val="0"/>
              <w:autoSpaceDN w:val="0"/>
              <w:spacing w:line="276" w:lineRule="auto"/>
              <w:jc w:val="both"/>
              <w:rPr>
                <w:rFonts w:ascii="Verdana" w:eastAsia="Calibri" w:hAnsi="Verdana" w:cs="Arial"/>
              </w:rPr>
            </w:pPr>
            <w:r w:rsidRPr="00B36678">
              <w:rPr>
                <w:rFonts w:ascii="Verdana" w:eastAsia="Calibri" w:hAnsi="Verdana" w:cs="Arial"/>
              </w:rPr>
              <w:t>Ley 1150 de 2007, artículo 2.</w:t>
            </w:r>
          </w:p>
          <w:p w14:paraId="73C1DAEE" w14:textId="77777777" w:rsidR="00A21E0C" w:rsidRPr="00B36678" w:rsidRDefault="00A21E0C" w:rsidP="00A21E0C">
            <w:pPr>
              <w:widowControl w:val="0"/>
              <w:numPr>
                <w:ilvl w:val="0"/>
                <w:numId w:val="16"/>
              </w:numPr>
              <w:autoSpaceDE w:val="0"/>
              <w:autoSpaceDN w:val="0"/>
              <w:spacing w:line="276" w:lineRule="auto"/>
              <w:contextualSpacing/>
              <w:jc w:val="both"/>
              <w:rPr>
                <w:rFonts w:ascii="Verdana" w:eastAsia="Calibri" w:hAnsi="Verdana" w:cs="Arial"/>
              </w:rPr>
            </w:pPr>
            <w:r w:rsidRPr="00B36678">
              <w:rPr>
                <w:rFonts w:ascii="Verdana" w:eastAsia="Calibri" w:hAnsi="Verdana" w:cs="Arial"/>
                <w:lang w:val="es-ES_tradnl"/>
              </w:rPr>
              <w:t xml:space="preserve">Documentos Tipo. Disponibles en: </w:t>
            </w:r>
            <w:hyperlink r:id="rId11" w:history="1">
              <w:r w:rsidRPr="00B36678">
                <w:rPr>
                  <w:rFonts w:ascii="Verdana" w:eastAsia="Calibri" w:hAnsi="Verdana" w:cs="Arial"/>
                  <w:color w:val="0000FF"/>
                  <w:u w:val="single"/>
                  <w:lang w:val="es-ES_tradnl"/>
                </w:rPr>
                <w:t>https://www.colombiacompra.gov.co/documentos-tipo/documentos-tipo</w:t>
              </w:r>
            </w:hyperlink>
            <w:r w:rsidRPr="00B36678">
              <w:rPr>
                <w:rFonts w:ascii="Verdana" w:eastAsia="Calibri" w:hAnsi="Verdana" w:cs="Arial"/>
                <w:lang w:val="es-ES_tradnl"/>
              </w:rPr>
              <w:t>.</w:t>
            </w:r>
          </w:p>
        </w:tc>
      </w:tr>
    </w:tbl>
    <w:p w14:paraId="59C0B3C0" w14:textId="77777777" w:rsidR="00A21E0C" w:rsidRPr="00B36678" w:rsidRDefault="00A21E0C" w:rsidP="00A21E0C">
      <w:pPr>
        <w:tabs>
          <w:tab w:val="left" w:pos="142"/>
          <w:tab w:val="left" w:pos="284"/>
        </w:tabs>
        <w:spacing w:after="0" w:line="276" w:lineRule="auto"/>
        <w:jc w:val="both"/>
        <w:rPr>
          <w:rFonts w:ascii="Verdana" w:eastAsia="Calibri" w:hAnsi="Verdana" w:cs="Arial"/>
        </w:rPr>
      </w:pPr>
    </w:p>
    <w:p w14:paraId="50BCBA5F" w14:textId="77777777" w:rsidR="00A21E0C" w:rsidRPr="00B36678" w:rsidRDefault="00A21E0C" w:rsidP="00A21E0C">
      <w:pPr>
        <w:tabs>
          <w:tab w:val="left" w:pos="142"/>
          <w:tab w:val="left" w:pos="284"/>
        </w:tabs>
        <w:spacing w:after="0" w:line="276" w:lineRule="auto"/>
        <w:jc w:val="both"/>
        <w:rPr>
          <w:rFonts w:ascii="Verdana" w:eastAsia="Century Gothic" w:hAnsi="Verdana" w:cs="Century Gothic"/>
          <w:b/>
          <w:bCs/>
          <w:lang w:val="es-ES"/>
        </w:rPr>
      </w:pPr>
      <w:r w:rsidRPr="00B36678">
        <w:rPr>
          <w:rFonts w:ascii="Verdana" w:eastAsia="Calibri" w:hAnsi="Verdana" w:cs="Arial"/>
          <w:b/>
          <w:bCs/>
        </w:rPr>
        <w:t>5</w:t>
      </w:r>
      <w:r w:rsidRPr="00B36678">
        <w:rPr>
          <w:rFonts w:ascii="Verdana" w:eastAsia="Calibri" w:hAnsi="Verdana" w:cs="Arial"/>
        </w:rPr>
        <w:t>.</w:t>
      </w:r>
      <w:r w:rsidRPr="00B36678">
        <w:rPr>
          <w:rFonts w:ascii="Verdana" w:eastAsia="Century Gothic" w:hAnsi="Verdana" w:cs="Century Gothic"/>
          <w:b/>
          <w:bCs/>
          <w:lang w:val="es-ES"/>
        </w:rPr>
        <w:t>Doctrina de la Agencia Nacional de Contratación Pública:</w:t>
      </w:r>
    </w:p>
    <w:p w14:paraId="73469E62" w14:textId="77777777" w:rsidR="00A21E0C" w:rsidRPr="00B36678" w:rsidRDefault="00A21E0C" w:rsidP="00A21E0C">
      <w:pPr>
        <w:widowControl w:val="0"/>
        <w:autoSpaceDE w:val="0"/>
        <w:autoSpaceDN w:val="0"/>
        <w:spacing w:after="0" w:line="276" w:lineRule="auto"/>
        <w:jc w:val="both"/>
        <w:rPr>
          <w:rFonts w:ascii="Verdana" w:eastAsia="Calibri" w:hAnsi="Verdana" w:cs="Arial"/>
        </w:rPr>
      </w:pPr>
    </w:p>
    <w:p w14:paraId="77370791" w14:textId="77777777" w:rsidR="00A21E0C" w:rsidRPr="00B36678" w:rsidRDefault="00A21E0C" w:rsidP="00A21E0C">
      <w:pPr>
        <w:widowControl w:val="0"/>
        <w:autoSpaceDE w:val="0"/>
        <w:autoSpaceDN w:val="0"/>
        <w:spacing w:after="0" w:line="276" w:lineRule="auto"/>
        <w:jc w:val="both"/>
        <w:rPr>
          <w:rFonts w:ascii="Verdana" w:eastAsia="Calibri" w:hAnsi="Verdana" w:cs="Arial"/>
          <w:shd w:val="clear" w:color="auto" w:fill="FFFFFF"/>
          <w:lang w:val="es-ES_tradnl"/>
        </w:rPr>
      </w:pPr>
      <w:r w:rsidRPr="00B36678">
        <w:rPr>
          <w:rFonts w:ascii="Verdana" w:eastAsia="Calibri" w:hAnsi="Verdana" w:cs="Arial"/>
          <w:shd w:val="clear" w:color="auto" w:fill="FFFFFF"/>
          <w:lang w:val="es-ES_tradnl"/>
        </w:rPr>
        <w:t>La Agencia Nacional de Contratación Pública – Colombia Compra Eficiente se</w:t>
      </w:r>
      <w:r w:rsidRPr="00B36678">
        <w:rPr>
          <w:rFonts w:ascii="Verdana" w:eastAsia="Aptos" w:hAnsi="Verdana" w:cs="Times New Roman"/>
        </w:rPr>
        <w:t xml:space="preserve"> </w:t>
      </w:r>
      <w:r w:rsidRPr="00B36678">
        <w:rPr>
          <w:rFonts w:ascii="Verdana" w:eastAsia="Calibri" w:hAnsi="Verdana" w:cs="Arial"/>
          <w:shd w:val="clear" w:color="auto" w:fill="FFFFFF"/>
          <w:lang w:val="es-ES_tradnl"/>
        </w:rPr>
        <w:t>pronunció 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C-128 del 2 de agosto de 2024, C-047 del 28 de febrero de 2025, C-</w:t>
      </w:r>
      <w:r w:rsidRPr="00B36678">
        <w:rPr>
          <w:rFonts w:ascii="Verdana" w:eastAsia="Calibri" w:hAnsi="Verdana" w:cs="Arial"/>
          <w:shd w:val="clear" w:color="auto" w:fill="FFFFFF"/>
          <w:lang w:val="es-ES_tradnl"/>
        </w:rPr>
        <w:lastRenderedPageBreak/>
        <w:t>326 del 25 de abril de 2025, C-688 del 10 de julio de 2025, C-767 del 17 de julio de 2027, C-781 del 21 de julio de 2025, C-947 del 27 de agosto de 2025, C-974 del 10 de septiembre de 2025, C-1102 del 16 de septiembre de 2025, entre otros.</w:t>
      </w:r>
    </w:p>
    <w:p w14:paraId="152A2A28" w14:textId="77777777" w:rsidR="00A21E0C" w:rsidRPr="00647FD9" w:rsidRDefault="00A21E0C" w:rsidP="00A21E0C">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DA00A57" w14:textId="77777777" w:rsidR="00A21E0C" w:rsidRPr="00647FD9" w:rsidRDefault="00A21E0C" w:rsidP="00A21E0C">
      <w:pPr>
        <w:widowControl w:val="0"/>
        <w:autoSpaceDE w:val="0"/>
        <w:autoSpaceDN w:val="0"/>
        <w:spacing w:after="0" w:line="276" w:lineRule="auto"/>
        <w:jc w:val="both"/>
        <w:rPr>
          <w:rFonts w:ascii="Verdana" w:eastAsia="Calibri" w:hAnsi="Verdana" w:cs="Arial"/>
          <w:shd w:val="clear" w:color="auto" w:fill="FFFFFF"/>
          <w:lang w:val="es-ES"/>
        </w:rPr>
      </w:pPr>
      <w:r w:rsidRPr="2FBC07BA">
        <w:rPr>
          <w:rFonts w:ascii="Verdana" w:eastAsia="Calibri" w:hAnsi="Verdana" w:cs="Arial"/>
          <w:shd w:val="clear" w:color="auto" w:fill="FFFFFF"/>
          <w:lang w:val="es-ES"/>
        </w:rPr>
        <w:t xml:space="preserve">Sobre la regla de </w:t>
      </w:r>
      <w:proofErr w:type="spellStart"/>
      <w:r w:rsidRPr="2FBC07BA">
        <w:rPr>
          <w:rFonts w:ascii="Verdana" w:eastAsia="Calibri" w:hAnsi="Verdana" w:cs="Arial"/>
          <w:shd w:val="clear" w:color="auto" w:fill="FFFFFF"/>
          <w:lang w:val="es-ES"/>
        </w:rPr>
        <w:t>subsanabilidad</w:t>
      </w:r>
      <w:proofErr w:type="spellEnd"/>
      <w:r w:rsidRPr="2FBC07BA">
        <w:rPr>
          <w:rFonts w:ascii="Verdana" w:eastAsia="Calibri" w:hAnsi="Verdana" w:cs="Arial"/>
          <w:shd w:val="clear" w:color="auto" w:fill="FFFFFF"/>
          <w:lang w:val="es-ES"/>
        </w:rPr>
        <w:t xml:space="preserve"> en los procesos de selección y la aclaración de la oferta económica, se pronunció esta Subdirección en los conceptos 4201913000007643 del 26 de diciembre de 2019, C-343 del 17 de junio de 2020, C-518 del 9 de septiembre de 2020, C-285 del 20 de mayo de 2022, C-614 del 5 de octubre de 2022, C-882 del 21 de diciembre de 2022, C-172 del 6 de junio de 2023, C-354 del 30 de agosto de 2024, C-447 del 19 de septiembre de 2024, C-1009 del 30 de enero de 2025, C-687 del 9 de julio de 2025, C-896 del 15 de agosto de 2025, C-808 del 30 de junio de 2026 y C-950 del 22 de julio de 2026.</w:t>
      </w:r>
    </w:p>
    <w:p w14:paraId="4FB95BDC" w14:textId="77777777" w:rsidR="00A21E0C" w:rsidRPr="00B36678" w:rsidRDefault="00A21E0C" w:rsidP="00A21E0C">
      <w:pPr>
        <w:widowControl w:val="0"/>
        <w:autoSpaceDE w:val="0"/>
        <w:autoSpaceDN w:val="0"/>
        <w:spacing w:after="0" w:line="276" w:lineRule="auto"/>
        <w:jc w:val="both"/>
        <w:rPr>
          <w:rFonts w:ascii="Verdana" w:eastAsia="Times New Roman" w:hAnsi="Verdana" w:cs="Arial"/>
          <w:shd w:val="clear" w:color="auto" w:fill="FFFFFF"/>
          <w:lang w:val="es-ES_tradnl"/>
        </w:rPr>
      </w:pPr>
    </w:p>
    <w:p w14:paraId="1505DFDD" w14:textId="77777777" w:rsidR="00A21E0C" w:rsidRPr="00B36678" w:rsidRDefault="00A21E0C" w:rsidP="00A21E0C">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B36678">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B36678">
          <w:rPr>
            <w:rFonts w:ascii="Verdana" w:eastAsia="Calibri" w:hAnsi="Verdana" w:cs="Arial"/>
            <w:color w:val="0000FF"/>
            <w:u w:val="single"/>
            <w:shd w:val="clear" w:color="auto" w:fill="FFFFFF"/>
            <w:lang w:eastAsia="es-MX"/>
          </w:rPr>
          <w:t>https://relatoria.colombiacompra.gov.co/</w:t>
        </w:r>
      </w:hyperlink>
      <w:r w:rsidRPr="00B36678">
        <w:rPr>
          <w:rFonts w:ascii="Verdana" w:eastAsia="Calibri" w:hAnsi="Verdana" w:cs="Arial"/>
          <w:color w:val="0000FF"/>
          <w:u w:val="single"/>
          <w:shd w:val="clear" w:color="auto" w:fill="FFFFFF"/>
          <w:lang w:eastAsia="es-MX"/>
        </w:rPr>
        <w:t> .</w:t>
      </w:r>
    </w:p>
    <w:p w14:paraId="1D69EC11" w14:textId="77777777" w:rsidR="00A21E0C" w:rsidRPr="00B36678" w:rsidRDefault="00A21E0C" w:rsidP="00A21E0C">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0392064C" w14:textId="77777777" w:rsidR="00A21E0C" w:rsidRPr="00B36678" w:rsidRDefault="00A21E0C" w:rsidP="00A21E0C">
      <w:pPr>
        <w:spacing w:after="0" w:line="276" w:lineRule="auto"/>
        <w:jc w:val="both"/>
        <w:rPr>
          <w:rFonts w:ascii="Verdana" w:eastAsia="Aptos" w:hAnsi="Verdana" w:cs="Times New Roman"/>
        </w:rPr>
      </w:pPr>
      <w:r w:rsidRPr="00B36678">
        <w:rPr>
          <w:rFonts w:ascii="Verdana" w:eastAsia="Aptos" w:hAnsi="Verdana" w:cs="Times New Roman"/>
          <w:color w:val="000000"/>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36678">
        <w:rPr>
          <w:rFonts w:ascii="Verdana" w:eastAsia="Aptos" w:hAnsi="Verdana" w:cs="Times New Roman"/>
          <w:b/>
          <w:bCs/>
          <w:color w:val="000000"/>
        </w:rPr>
        <w:t>Guía para la Exigencia y Constitución de Garantías en los Procesos de Contratación</w:t>
      </w:r>
      <w:r w:rsidRPr="00B36678">
        <w:rPr>
          <w:rFonts w:ascii="Verdana" w:eastAsia="Aptos" w:hAnsi="Verdana" w:cs="Times New Roman"/>
          <w:color w:val="000000"/>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B36678">
          <w:rPr>
            <w:rFonts w:ascii="Verdana" w:eastAsia="Aptos" w:hAnsi="Verdana" w:cs="Times New Roman"/>
            <w:color w:val="0078D7"/>
            <w:u w:val="single"/>
          </w:rPr>
          <w:t>https://www.colombiacompra.gov.co/archivos/manual/guia-de-garantias-en-procesos-de-contratacion</w:t>
        </w:r>
      </w:hyperlink>
    </w:p>
    <w:p w14:paraId="140834FB" w14:textId="77777777" w:rsidR="00A21E0C" w:rsidRPr="00B36678" w:rsidRDefault="00A21E0C" w:rsidP="00A21E0C">
      <w:pPr>
        <w:spacing w:after="0" w:line="276" w:lineRule="auto"/>
        <w:jc w:val="both"/>
        <w:rPr>
          <w:rFonts w:ascii="Verdana" w:eastAsia="Aptos" w:hAnsi="Verdana" w:cs="Times New Roman"/>
        </w:rPr>
      </w:pPr>
    </w:p>
    <w:p w14:paraId="19E52A79" w14:textId="77777777" w:rsidR="00A21E0C" w:rsidRPr="00B36678" w:rsidRDefault="00A21E0C" w:rsidP="00A21E0C">
      <w:pPr>
        <w:spacing w:after="0" w:line="276" w:lineRule="auto"/>
        <w:jc w:val="both"/>
        <w:rPr>
          <w:rFonts w:ascii="Verdana" w:eastAsia="Aptos" w:hAnsi="Verdana" w:cs="Times New Roman"/>
        </w:rPr>
      </w:pPr>
      <w:r w:rsidRPr="00B36678">
        <w:rPr>
          <w:rFonts w:ascii="Verdana" w:eastAsia="Aptos" w:hAnsi="Verdana" w:cs="Times New Roman"/>
          <w:color w:val="000000"/>
        </w:rPr>
        <w:t>De otro lado, te contamos que el Decreto 287 del 19 de marzo de 2026 sustituyó los artículos 2.2.1.2.4.2.6., 2.2.1.2.4.2.7. y 2.2.1.2.4.2.8. del Decreto 1082 de 2015 y estructuró el </w:t>
      </w:r>
      <w:r w:rsidRPr="00B36678">
        <w:rPr>
          <w:rFonts w:ascii="Verdana" w:eastAsia="Aptos" w:hAnsi="Verdana" w:cs="Times New Roman"/>
          <w:b/>
          <w:bCs/>
          <w:color w:val="000000"/>
        </w:rPr>
        <w:t xml:space="preserve">Sistema Integral de Preferencias en favor de las </w:t>
      </w:r>
      <w:r w:rsidRPr="00B36678">
        <w:rPr>
          <w:rFonts w:ascii="Verdana" w:eastAsia="Aptos" w:hAnsi="Verdana" w:cs="Times New Roman"/>
          <w:b/>
          <w:bCs/>
          <w:color w:val="000000"/>
        </w:rPr>
        <w:lastRenderedPageBreak/>
        <w:t>personas con discapacidad</w:t>
      </w:r>
      <w:r w:rsidRPr="00B36678">
        <w:rPr>
          <w:rFonts w:ascii="Verdana" w:eastAsia="Aptos" w:hAnsi="Verdana" w:cs="Times New Roman"/>
          <w:color w:val="000000"/>
        </w:rPr>
        <w:t>, en cumplimiento del artículo 13 de la Ley Estatutaria 1618 de 2013. Para orientar su aplicación, esta Agencia expidió la </w:t>
      </w:r>
      <w:r w:rsidRPr="00B36678">
        <w:rPr>
          <w:rFonts w:ascii="Verdana" w:eastAsia="Aptos" w:hAnsi="Verdana" w:cs="Times New Roman"/>
          <w:b/>
          <w:bCs/>
          <w:color w:val="000000"/>
        </w:rPr>
        <w:t>Circular Externa 003 del 12 de mayo de 2026, </w:t>
      </w:r>
      <w:r w:rsidRPr="00B36678">
        <w:rPr>
          <w:rFonts w:ascii="Verdana" w:eastAsia="Aptos" w:hAnsi="Verdana" w:cs="Times New Roman"/>
          <w:color w:val="000000"/>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B36678">
          <w:rPr>
            <w:rFonts w:ascii="Verdana" w:eastAsia="Aptos" w:hAnsi="Verdana" w:cs="Times New Roman"/>
            <w:color w:val="0078D7"/>
            <w:u w:val="single"/>
          </w:rPr>
          <w:t>https://www.colombiacompra.gov.co/archivos/circular/circular-externa-003-de-2026</w:t>
        </w:r>
      </w:hyperlink>
    </w:p>
    <w:p w14:paraId="079B1AA9" w14:textId="77777777" w:rsidR="00A21E0C" w:rsidRPr="00B36678" w:rsidRDefault="00A21E0C" w:rsidP="00A21E0C">
      <w:pPr>
        <w:spacing w:after="0" w:line="276" w:lineRule="auto"/>
        <w:jc w:val="both"/>
        <w:rPr>
          <w:rFonts w:ascii="Verdana" w:eastAsia="Aptos" w:hAnsi="Verdana" w:cs="Times New Roman"/>
          <w:color w:val="000000"/>
        </w:rPr>
      </w:pPr>
    </w:p>
    <w:p w14:paraId="645A696F" w14:textId="77777777" w:rsidR="00A21E0C" w:rsidRPr="00B36678" w:rsidRDefault="00A21E0C" w:rsidP="00A21E0C">
      <w:pPr>
        <w:spacing w:after="0" w:line="276" w:lineRule="auto"/>
        <w:jc w:val="both"/>
        <w:rPr>
          <w:rFonts w:ascii="Verdana" w:eastAsia="Aptos" w:hAnsi="Verdana" w:cs="Times New Roman"/>
        </w:rPr>
      </w:pPr>
      <w:r w:rsidRPr="00B36678">
        <w:rPr>
          <w:rFonts w:ascii="Verdana" w:eastAsia="Aptos" w:hAnsi="Verdana" w:cs="Times New Roman"/>
          <w:color w:val="000000"/>
        </w:rPr>
        <w:t>Recuerda también que la</w:t>
      </w:r>
      <w:r w:rsidRPr="00B36678">
        <w:rPr>
          <w:rFonts w:ascii="Verdana" w:eastAsia="Aptos" w:hAnsi="Verdana" w:cs="Times New Roman"/>
          <w:b/>
          <w:bCs/>
          <w:color w:val="000000"/>
        </w:rPr>
        <w:t> información sobre sanciones e inhabilidades </w:t>
      </w:r>
      <w:r w:rsidRPr="00B36678">
        <w:rPr>
          <w:rFonts w:ascii="Verdana" w:eastAsia="Aptos" w:hAnsi="Verdana" w:cs="Times New Roman"/>
          <w:color w:val="000000"/>
        </w:rPr>
        <w:t>solo cumple su función preventiva si llega oportunamente a los registros públicos. Sobre este deber, esta Agencia expidió la </w:t>
      </w:r>
      <w:r w:rsidRPr="00B36678">
        <w:rPr>
          <w:rFonts w:ascii="Verdana" w:eastAsia="Aptos" w:hAnsi="Verdana" w:cs="Times New Roman"/>
          <w:b/>
          <w:bCs/>
          <w:color w:val="000000"/>
        </w:rPr>
        <w:t>Circular Externa 002 del 5 de mayo de 2026,</w:t>
      </w:r>
      <w:r w:rsidRPr="00B36678">
        <w:rPr>
          <w:rFonts w:ascii="Verdana" w:eastAsia="Aptos" w:hAnsi="Verdana" w:cs="Times New Roman"/>
          <w:color w:val="000000"/>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B36678">
          <w:rPr>
            <w:rFonts w:ascii="Verdana" w:eastAsia="Aptos" w:hAnsi="Verdana" w:cs="Times New Roman"/>
            <w:color w:val="0078D7"/>
            <w:u w:val="single"/>
          </w:rPr>
          <w:t>https://www.colombiacompra.gov.co/archivos/circular/circular-externa-002-de-2026</w:t>
        </w:r>
      </w:hyperlink>
    </w:p>
    <w:p w14:paraId="7B8BAF52" w14:textId="77777777" w:rsidR="00A21E0C" w:rsidRPr="00B36678" w:rsidRDefault="00A21E0C" w:rsidP="00A21E0C">
      <w:pPr>
        <w:spacing w:after="0" w:line="276" w:lineRule="auto"/>
        <w:jc w:val="both"/>
        <w:rPr>
          <w:rFonts w:ascii="Verdana" w:eastAsia="Aptos" w:hAnsi="Verdana" w:cs="Times New Roman"/>
          <w:color w:val="000000"/>
        </w:rPr>
      </w:pPr>
    </w:p>
    <w:p w14:paraId="38D1E17D" w14:textId="77777777" w:rsidR="00A21E0C" w:rsidRPr="00B36678" w:rsidRDefault="00A21E0C" w:rsidP="00A21E0C">
      <w:pPr>
        <w:spacing w:after="0" w:line="276" w:lineRule="auto"/>
        <w:jc w:val="both"/>
        <w:rPr>
          <w:rFonts w:ascii="Verdana" w:eastAsia="Aptos" w:hAnsi="Verdana" w:cs="Times New Roman"/>
          <w:color w:val="000000"/>
        </w:rPr>
      </w:pPr>
      <w:r w:rsidRPr="00B36678">
        <w:rPr>
          <w:rFonts w:ascii="Verdana" w:eastAsia="Aptos" w:hAnsi="Verdana" w:cs="Times New Roman"/>
          <w:color w:val="000000"/>
        </w:rPr>
        <w:t>Finalmente, si quieres seguir de cerca la actividad de la Agencia, la tercera edición de 2026 del</w:t>
      </w:r>
      <w:r w:rsidRPr="00B36678">
        <w:rPr>
          <w:rFonts w:ascii="Verdana" w:eastAsia="Aptos" w:hAnsi="Verdana" w:cs="Times New Roman"/>
          <w:b/>
          <w:bCs/>
          <w:color w:val="000000"/>
        </w:rPr>
        <w:t> Radar de la Compra Pública</w:t>
      </w:r>
      <w:r w:rsidRPr="00B36678">
        <w:rPr>
          <w:rFonts w:ascii="Verdana" w:eastAsia="Aptos" w:hAnsi="Verdana" w:cs="Times New Roman"/>
          <w:color w:val="000000"/>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B36678">
          <w:rPr>
            <w:rFonts w:ascii="Verdana" w:eastAsia="Aptos" w:hAnsi="Verdana" w:cs="Times New Roman"/>
            <w:color w:val="0078D7"/>
            <w:u w:val="single"/>
          </w:rPr>
          <w:t>https://www.colombiacompra.gov.co/archivos/boletin/boletin-edicion-n-3-de-2026-radar-de-la-compra-publica</w:t>
        </w:r>
      </w:hyperlink>
      <w:r w:rsidRPr="00B36678">
        <w:rPr>
          <w:rFonts w:ascii="Verdana" w:eastAsia="Aptos" w:hAnsi="Verdana" w:cs="Times New Roman"/>
          <w:color w:val="000000"/>
        </w:rPr>
        <w:t>"</w:t>
      </w:r>
    </w:p>
    <w:p w14:paraId="66C44642" w14:textId="77777777" w:rsidR="00A21E0C" w:rsidRPr="00B36678" w:rsidRDefault="00A21E0C" w:rsidP="00A21E0C">
      <w:pPr>
        <w:spacing w:after="0" w:line="276" w:lineRule="auto"/>
        <w:jc w:val="both"/>
        <w:rPr>
          <w:rFonts w:ascii="Verdana" w:eastAsia="Aptos" w:hAnsi="Verdana" w:cs="Times New Roman"/>
          <w:color w:val="000000"/>
        </w:rPr>
      </w:pPr>
    </w:p>
    <w:p w14:paraId="12C8479E" w14:textId="77777777" w:rsidR="00A21E0C" w:rsidRPr="00B36678" w:rsidRDefault="00A21E0C" w:rsidP="00A21E0C">
      <w:pPr>
        <w:spacing w:after="0" w:line="240" w:lineRule="auto"/>
        <w:jc w:val="both"/>
        <w:rPr>
          <w:rFonts w:ascii="Verdana" w:eastAsia="Aptos" w:hAnsi="Verdana" w:cs="Times New Roman"/>
          <w:lang w:eastAsia="es-MX"/>
        </w:rPr>
      </w:pPr>
      <w:r w:rsidRPr="00B36678">
        <w:rPr>
          <w:rFonts w:ascii="Verdana" w:eastAsia="Aptos" w:hAnsi="Verdana" w:cs="Times New Roman"/>
          <w:lang w:eastAsia="es-MX"/>
        </w:rPr>
        <w:t xml:space="preserve">Por último, lo invitamos a seguirnos en las redes sociales en las cuales se difunde información institucional: </w:t>
      </w:r>
    </w:p>
    <w:p w14:paraId="2870329F" w14:textId="77777777" w:rsidR="00A21E0C" w:rsidRPr="00B36678" w:rsidRDefault="00A21E0C" w:rsidP="00A21E0C">
      <w:pPr>
        <w:spacing w:after="0" w:line="240" w:lineRule="auto"/>
        <w:jc w:val="both"/>
        <w:rPr>
          <w:rFonts w:ascii="Verdana" w:eastAsia="Calibri" w:hAnsi="Verdana" w:cs="Times New Roman"/>
          <w:lang w:eastAsia="es-MX"/>
        </w:rPr>
      </w:pPr>
    </w:p>
    <w:p w14:paraId="7352B668" w14:textId="77777777" w:rsidR="00A21E0C" w:rsidRPr="00B36678" w:rsidRDefault="00A21E0C" w:rsidP="00A21E0C">
      <w:pPr>
        <w:spacing w:after="0" w:line="240" w:lineRule="auto"/>
        <w:jc w:val="both"/>
        <w:rPr>
          <w:rFonts w:ascii="Verdana" w:eastAsia="Aptos" w:hAnsi="Verdana" w:cs="Times New Roman"/>
          <w:lang w:eastAsia="es-MX"/>
        </w:rPr>
      </w:pPr>
      <w:r w:rsidRPr="00B36678">
        <w:rPr>
          <w:rFonts w:ascii="Verdana" w:eastAsia="Aptos" w:hAnsi="Verdana" w:cs="Times New Roman"/>
          <w:lang w:eastAsia="es-MX"/>
        </w:rPr>
        <w:t xml:space="preserve">Twitter: </w:t>
      </w:r>
      <w:r w:rsidRPr="00B36678">
        <w:rPr>
          <w:rFonts w:ascii="Verdana" w:eastAsia="Calibri" w:hAnsi="Verdana" w:cs="Times New Roman"/>
          <w:color w:val="156082"/>
          <w:u w:val="single"/>
          <w:lang w:eastAsia="es-MX"/>
        </w:rPr>
        <w:t>@colombiacompra</w:t>
      </w:r>
      <w:r w:rsidRPr="00B36678">
        <w:rPr>
          <w:rFonts w:ascii="Verdana" w:eastAsia="Calibri" w:hAnsi="Verdana" w:cs="Times New Roman"/>
          <w:color w:val="156082"/>
          <w:lang w:eastAsia="es-MX"/>
        </w:rPr>
        <w:t xml:space="preserve"> </w:t>
      </w:r>
    </w:p>
    <w:p w14:paraId="472C99E9" w14:textId="77777777" w:rsidR="00A21E0C" w:rsidRPr="00B36678" w:rsidRDefault="00A21E0C" w:rsidP="00A21E0C">
      <w:pPr>
        <w:spacing w:after="0" w:line="240" w:lineRule="auto"/>
        <w:jc w:val="both"/>
        <w:rPr>
          <w:rFonts w:ascii="Verdana" w:eastAsia="Aptos" w:hAnsi="Verdana" w:cs="Times New Roman"/>
          <w:lang w:eastAsia="es-MX"/>
        </w:rPr>
      </w:pPr>
      <w:r w:rsidRPr="00B36678">
        <w:rPr>
          <w:rFonts w:ascii="Verdana" w:eastAsia="Aptos" w:hAnsi="Verdana" w:cs="Times New Roman"/>
          <w:lang w:eastAsia="es-MX"/>
        </w:rPr>
        <w:t xml:space="preserve">Facebook: </w:t>
      </w:r>
      <w:proofErr w:type="spellStart"/>
      <w:r w:rsidRPr="00B36678">
        <w:rPr>
          <w:rFonts w:ascii="Verdana" w:eastAsia="Calibri" w:hAnsi="Verdana" w:cs="Times New Roman"/>
          <w:color w:val="156082"/>
          <w:u w:val="single"/>
          <w:lang w:eastAsia="es-MX"/>
        </w:rPr>
        <w:t>ColombiaCompraEficiente</w:t>
      </w:r>
      <w:proofErr w:type="spellEnd"/>
    </w:p>
    <w:p w14:paraId="1519494D" w14:textId="77777777" w:rsidR="00A21E0C" w:rsidRPr="00B36678" w:rsidRDefault="00A21E0C" w:rsidP="00A21E0C">
      <w:pPr>
        <w:spacing w:after="0" w:line="240" w:lineRule="auto"/>
        <w:jc w:val="both"/>
        <w:rPr>
          <w:rFonts w:ascii="Verdana" w:eastAsia="Aptos" w:hAnsi="Verdana" w:cs="Times New Roman"/>
          <w:lang w:eastAsia="es-MX"/>
        </w:rPr>
      </w:pPr>
      <w:r w:rsidRPr="00B36678">
        <w:rPr>
          <w:rFonts w:ascii="Verdana" w:eastAsia="Aptos" w:hAnsi="Verdana" w:cs="Times New Roman"/>
          <w:lang w:eastAsia="es-MX"/>
        </w:rPr>
        <w:t xml:space="preserve">LinkedIn: </w:t>
      </w:r>
      <w:r w:rsidRPr="00B36678">
        <w:rPr>
          <w:rFonts w:ascii="Verdana" w:eastAsia="Calibri" w:hAnsi="Verdana" w:cs="Times New Roman"/>
          <w:color w:val="156082"/>
          <w:u w:val="single"/>
          <w:lang w:eastAsia="es-MX"/>
        </w:rPr>
        <w:t>Agencia Nacional de Contratación Pública - Colombia Compra Eficiente</w:t>
      </w:r>
      <w:r w:rsidRPr="00B36678">
        <w:rPr>
          <w:rFonts w:ascii="Verdana" w:eastAsia="Calibri" w:hAnsi="Verdana" w:cs="Times New Roman"/>
          <w:color w:val="156082"/>
          <w:lang w:eastAsia="es-MX"/>
        </w:rPr>
        <w:t xml:space="preserve"> </w:t>
      </w:r>
      <w:r w:rsidRPr="00B36678">
        <w:rPr>
          <w:rFonts w:ascii="Verdana" w:eastAsia="Aptos" w:hAnsi="Verdana" w:cs="Times New Roman"/>
          <w:lang w:eastAsia="es-MX"/>
        </w:rPr>
        <w:t xml:space="preserve">Instagram: </w:t>
      </w:r>
      <w:r w:rsidRPr="00B36678">
        <w:rPr>
          <w:rFonts w:ascii="Verdana" w:eastAsia="Calibri" w:hAnsi="Verdana" w:cs="Times New Roman"/>
          <w:color w:val="156082"/>
          <w:u w:val="single"/>
          <w:lang w:eastAsia="es-MX"/>
        </w:rPr>
        <w:t>@colombiacompraeficiente_cce</w:t>
      </w:r>
    </w:p>
    <w:p w14:paraId="061DD7A8" w14:textId="77777777" w:rsidR="00A21E0C" w:rsidRPr="00B36678" w:rsidRDefault="00A21E0C" w:rsidP="00A21E0C">
      <w:pPr>
        <w:spacing w:after="0" w:line="276" w:lineRule="auto"/>
        <w:jc w:val="both"/>
        <w:rPr>
          <w:rFonts w:ascii="Verdana" w:eastAsia="Aptos" w:hAnsi="Verdana" w:cs="Times New Roman"/>
          <w:lang w:eastAsia="es-MX"/>
        </w:rPr>
      </w:pPr>
    </w:p>
    <w:p w14:paraId="41E702DA" w14:textId="77777777" w:rsidR="00A21E0C" w:rsidRPr="00B36678" w:rsidRDefault="00A21E0C" w:rsidP="00A21E0C">
      <w:pPr>
        <w:spacing w:after="0" w:line="276" w:lineRule="auto"/>
        <w:jc w:val="both"/>
        <w:rPr>
          <w:rFonts w:ascii="Verdana" w:eastAsia="Calibri" w:hAnsi="Verdana" w:cs="Times New Roman"/>
          <w:bCs/>
          <w:lang w:val="es-ES_tradnl" w:eastAsia="es-MX"/>
        </w:rPr>
      </w:pPr>
      <w:r w:rsidRPr="00B36678">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6652F39" w14:textId="77777777" w:rsidR="00A21E0C" w:rsidRPr="00B36678" w:rsidRDefault="00A21E0C" w:rsidP="00A21E0C">
      <w:pPr>
        <w:spacing w:after="0" w:line="276" w:lineRule="auto"/>
        <w:jc w:val="both"/>
        <w:rPr>
          <w:rFonts w:ascii="Verdana" w:eastAsia="Calibri" w:hAnsi="Verdana" w:cs="Times New Roman"/>
        </w:rPr>
      </w:pPr>
    </w:p>
    <w:p w14:paraId="02D1893C" w14:textId="77777777" w:rsidR="00A21E0C" w:rsidRDefault="00A21E0C" w:rsidP="00A21E0C">
      <w:pPr>
        <w:spacing w:after="0" w:line="276" w:lineRule="auto"/>
        <w:jc w:val="both"/>
        <w:rPr>
          <w:rFonts w:ascii="Verdana" w:eastAsia="Calibri" w:hAnsi="Verdana" w:cs="Times New Roman"/>
        </w:rPr>
      </w:pPr>
      <w:r w:rsidRPr="00B36678">
        <w:rPr>
          <w:rFonts w:ascii="Verdana" w:eastAsia="Calibri" w:hAnsi="Verdana" w:cs="Times New Roman"/>
        </w:rPr>
        <w:t>Atentamente,</w:t>
      </w:r>
    </w:p>
    <w:p w14:paraId="3B8A6903" w14:textId="77777777" w:rsidR="00A21E0C" w:rsidRPr="00B36678" w:rsidRDefault="00A21E0C" w:rsidP="00A21E0C">
      <w:pPr>
        <w:spacing w:after="0" w:line="276" w:lineRule="auto"/>
        <w:jc w:val="both"/>
        <w:rPr>
          <w:rFonts w:ascii="Verdana" w:eastAsia="Calibri" w:hAnsi="Verdana" w:cs="Times New Roman"/>
        </w:rPr>
      </w:pPr>
    </w:p>
    <w:p w14:paraId="2C67F831" w14:textId="40C46B51" w:rsidR="00A21E0C" w:rsidRPr="00B36678" w:rsidRDefault="00D802D3" w:rsidP="00D802D3">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3A0351F0" wp14:editId="7D351054">
            <wp:extent cx="2394455" cy="1027953"/>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468950" cy="1059934"/>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21E0C" w:rsidRPr="00B36678" w14:paraId="1058E007" w14:textId="77777777" w:rsidTr="008F5556">
        <w:trPr>
          <w:trHeight w:val="315"/>
        </w:trPr>
        <w:tc>
          <w:tcPr>
            <w:tcW w:w="893" w:type="dxa"/>
            <w:vAlign w:val="center"/>
            <w:hideMark/>
          </w:tcPr>
          <w:p w14:paraId="2BA93F60" w14:textId="77777777" w:rsidR="00A21E0C" w:rsidRPr="00B36678" w:rsidRDefault="00A21E0C" w:rsidP="008F5556">
            <w:pPr>
              <w:rPr>
                <w:rFonts w:ascii="Verdana" w:eastAsia="Calibri" w:hAnsi="Verdana" w:cs="Arial"/>
                <w:sz w:val="16"/>
                <w:szCs w:val="16"/>
                <w:lang w:eastAsia="es-ES"/>
              </w:rPr>
            </w:pPr>
            <w:r w:rsidRPr="00B36678">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16F11BF8" w14:textId="77777777" w:rsidR="00A21E0C" w:rsidRPr="00B36678" w:rsidRDefault="00A21E0C" w:rsidP="008F5556">
            <w:pPr>
              <w:rPr>
                <w:rFonts w:ascii="Verdana" w:eastAsia="Arial" w:hAnsi="Verdana" w:cs="Arial"/>
                <w:sz w:val="16"/>
                <w:szCs w:val="16"/>
              </w:rPr>
            </w:pPr>
            <w:r w:rsidRPr="00B36678">
              <w:rPr>
                <w:rFonts w:ascii="Verdana" w:eastAsia="Arial" w:hAnsi="Verdana" w:cs="Arial"/>
                <w:sz w:val="16"/>
                <w:szCs w:val="16"/>
              </w:rPr>
              <w:t xml:space="preserve">Carlos Mario Castrillon Endo </w:t>
            </w:r>
          </w:p>
          <w:p w14:paraId="3ACAC79F" w14:textId="77777777" w:rsidR="00A21E0C" w:rsidRPr="00B36678" w:rsidRDefault="00A21E0C" w:rsidP="008F5556">
            <w:pPr>
              <w:rPr>
                <w:rFonts w:ascii="Verdana" w:eastAsia="Arial" w:hAnsi="Verdana" w:cs="Arial"/>
                <w:sz w:val="16"/>
                <w:szCs w:val="16"/>
              </w:rPr>
            </w:pPr>
            <w:r w:rsidRPr="00B36678">
              <w:rPr>
                <w:rFonts w:ascii="Verdana" w:eastAsia="Arial" w:hAnsi="Verdana" w:cs="Arial"/>
                <w:sz w:val="16"/>
                <w:szCs w:val="16"/>
              </w:rPr>
              <w:t>Contratista de la Subdirección de Gestión Contractual</w:t>
            </w:r>
          </w:p>
        </w:tc>
      </w:tr>
      <w:tr w:rsidR="00A21E0C" w:rsidRPr="00B36678" w14:paraId="17294966" w14:textId="77777777" w:rsidTr="008F5556">
        <w:trPr>
          <w:trHeight w:val="330"/>
        </w:trPr>
        <w:tc>
          <w:tcPr>
            <w:tcW w:w="893" w:type="dxa"/>
            <w:vAlign w:val="center"/>
            <w:hideMark/>
          </w:tcPr>
          <w:p w14:paraId="3C972809" w14:textId="77777777" w:rsidR="00A21E0C" w:rsidRPr="00B36678" w:rsidRDefault="00A21E0C" w:rsidP="008F5556">
            <w:pPr>
              <w:rPr>
                <w:rFonts w:ascii="Verdana" w:eastAsia="Calibri" w:hAnsi="Verdana" w:cs="Arial"/>
                <w:sz w:val="16"/>
                <w:szCs w:val="16"/>
                <w:lang w:eastAsia="es-ES"/>
              </w:rPr>
            </w:pPr>
            <w:r w:rsidRPr="00B36678">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0DE7C3A7" w14:textId="77777777" w:rsidR="00A21E0C" w:rsidRDefault="00A21E0C" w:rsidP="008F5556">
            <w:pPr>
              <w:rPr>
                <w:rFonts w:ascii="Verdana" w:eastAsia="Times New Roman" w:hAnsi="Verdana" w:cs="Segoe UI"/>
                <w:sz w:val="16"/>
                <w:szCs w:val="16"/>
                <w:lang w:eastAsia="es-ES_tradnl"/>
              </w:rPr>
            </w:pPr>
            <w:r>
              <w:rPr>
                <w:rFonts w:ascii="Verdana" w:eastAsia="Times New Roman" w:hAnsi="Verdana" w:cs="Segoe UI"/>
                <w:sz w:val="16"/>
                <w:szCs w:val="16"/>
                <w:lang w:eastAsia="es-ES_tradnl"/>
              </w:rPr>
              <w:t>Martha Alicia Romero Vargas</w:t>
            </w:r>
          </w:p>
          <w:p w14:paraId="0F49A41B" w14:textId="77777777" w:rsidR="00A21E0C" w:rsidRPr="00B36678" w:rsidRDefault="00A21E0C" w:rsidP="008F5556">
            <w:pPr>
              <w:rPr>
                <w:rFonts w:ascii="Verdana" w:eastAsia="Times New Roman" w:hAnsi="Verdana" w:cs="Segoe UI"/>
                <w:sz w:val="16"/>
                <w:szCs w:val="16"/>
                <w:lang w:eastAsia="es-ES_tradnl"/>
              </w:rPr>
            </w:pPr>
            <w:r>
              <w:rPr>
                <w:rFonts w:ascii="Verdana" w:eastAsia="Arial" w:hAnsi="Verdana" w:cs="Arial"/>
                <w:sz w:val="16"/>
                <w:szCs w:val="16"/>
              </w:rPr>
              <w:t xml:space="preserve">Gestor T1-15 de </w:t>
            </w:r>
            <w:r w:rsidRPr="00B36678">
              <w:rPr>
                <w:rFonts w:ascii="Verdana" w:eastAsia="Arial" w:hAnsi="Verdana" w:cs="Arial"/>
                <w:sz w:val="16"/>
                <w:szCs w:val="16"/>
              </w:rPr>
              <w:t>la Subdirección de Gestión Contractual</w:t>
            </w:r>
          </w:p>
        </w:tc>
      </w:tr>
      <w:tr w:rsidR="00A21E0C" w:rsidRPr="00B36678" w14:paraId="24449F97" w14:textId="77777777" w:rsidTr="008F5556">
        <w:trPr>
          <w:trHeight w:val="300"/>
        </w:trPr>
        <w:tc>
          <w:tcPr>
            <w:tcW w:w="893" w:type="dxa"/>
            <w:vAlign w:val="center"/>
          </w:tcPr>
          <w:p w14:paraId="25F17A44" w14:textId="77777777" w:rsidR="00A21E0C" w:rsidRPr="00B36678" w:rsidRDefault="00A21E0C" w:rsidP="008F5556">
            <w:pPr>
              <w:rPr>
                <w:rFonts w:ascii="Verdana" w:eastAsia="Calibri" w:hAnsi="Verdana" w:cs="Arial"/>
                <w:sz w:val="16"/>
                <w:szCs w:val="16"/>
                <w:lang w:eastAsia="es-ES"/>
              </w:rPr>
            </w:pPr>
            <w:r w:rsidRPr="00B36678">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3BEC3CA0" w14:textId="77777777" w:rsidR="00A21E0C" w:rsidRPr="00B36678" w:rsidRDefault="00A21E0C" w:rsidP="008F5556">
            <w:pPr>
              <w:rPr>
                <w:rFonts w:ascii="Verdana" w:eastAsia="Calibri" w:hAnsi="Verdana" w:cs="Arial"/>
                <w:sz w:val="16"/>
                <w:szCs w:val="16"/>
                <w:lang w:eastAsia="es-ES"/>
              </w:rPr>
            </w:pPr>
            <w:r w:rsidRPr="00B36678">
              <w:rPr>
                <w:rFonts w:ascii="Verdana" w:eastAsia="Calibri" w:hAnsi="Verdana" w:cs="Arial"/>
                <w:sz w:val="16"/>
                <w:szCs w:val="16"/>
                <w:lang w:eastAsia="es-ES"/>
              </w:rPr>
              <w:t>Carolina Quintero Gacharná</w:t>
            </w:r>
          </w:p>
          <w:p w14:paraId="70DE8942" w14:textId="77777777" w:rsidR="00A21E0C" w:rsidRPr="00B36678" w:rsidRDefault="00A21E0C" w:rsidP="008F5556">
            <w:pPr>
              <w:rPr>
                <w:rFonts w:ascii="Verdana" w:eastAsia="Calibri" w:hAnsi="Verdana" w:cs="Arial"/>
                <w:sz w:val="16"/>
                <w:szCs w:val="16"/>
                <w:lang w:eastAsia="es-ES"/>
              </w:rPr>
            </w:pPr>
            <w:r w:rsidRPr="00B36678">
              <w:rPr>
                <w:rFonts w:ascii="Verdana" w:eastAsia="Calibri" w:hAnsi="Verdana" w:cs="Arial"/>
                <w:sz w:val="16"/>
                <w:szCs w:val="16"/>
                <w:lang w:eastAsia="es-ES"/>
              </w:rPr>
              <w:t>Subdirectora de Gestión Contractual ANCP – CCE</w:t>
            </w:r>
          </w:p>
        </w:tc>
      </w:tr>
    </w:tbl>
    <w:p w14:paraId="77AB2C02" w14:textId="77777777" w:rsidR="00A21E0C" w:rsidRPr="00B36678" w:rsidRDefault="00A21E0C" w:rsidP="00A21E0C">
      <w:pPr>
        <w:tabs>
          <w:tab w:val="left" w:pos="1320"/>
        </w:tabs>
        <w:rPr>
          <w:rFonts w:ascii="Calibri" w:eastAsia="Calibri" w:hAnsi="Calibri" w:cs="Times New Roman"/>
        </w:rPr>
      </w:pPr>
    </w:p>
    <w:p w14:paraId="69BC4D14" w14:textId="7DE6EDF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49C76" w14:textId="77777777" w:rsidR="00422FF2" w:rsidRDefault="00422FF2" w:rsidP="004A1847">
      <w:pPr>
        <w:spacing w:after="0" w:line="240" w:lineRule="auto"/>
      </w:pPr>
      <w:r>
        <w:separator/>
      </w:r>
    </w:p>
  </w:endnote>
  <w:endnote w:type="continuationSeparator" w:id="0">
    <w:p w14:paraId="279B4650" w14:textId="77777777" w:rsidR="00422FF2" w:rsidRDefault="00422FF2" w:rsidP="004A1847">
      <w:pPr>
        <w:spacing w:after="0" w:line="240" w:lineRule="auto"/>
      </w:pPr>
      <w:r>
        <w:continuationSeparator/>
      </w:r>
    </w:p>
  </w:endnote>
  <w:endnote w:type="continuationNotice" w:id="1">
    <w:p w14:paraId="163B3E7E" w14:textId="77777777" w:rsidR="00422FF2" w:rsidRDefault="00422F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Calibri">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7851C" w14:textId="77777777" w:rsidR="00422FF2" w:rsidRDefault="00422FF2" w:rsidP="004A1847">
      <w:pPr>
        <w:spacing w:after="0" w:line="240" w:lineRule="auto"/>
      </w:pPr>
      <w:r>
        <w:separator/>
      </w:r>
    </w:p>
  </w:footnote>
  <w:footnote w:type="continuationSeparator" w:id="0">
    <w:p w14:paraId="30FD47C2" w14:textId="77777777" w:rsidR="00422FF2" w:rsidRDefault="00422FF2" w:rsidP="004A1847">
      <w:pPr>
        <w:spacing w:after="0" w:line="240" w:lineRule="auto"/>
      </w:pPr>
      <w:r>
        <w:continuationSeparator/>
      </w:r>
    </w:p>
  </w:footnote>
  <w:footnote w:type="continuationNotice" w:id="1">
    <w:p w14:paraId="1D396BE8" w14:textId="77777777" w:rsidR="00422FF2" w:rsidRDefault="00422FF2">
      <w:pPr>
        <w:spacing w:after="0" w:line="240" w:lineRule="auto"/>
      </w:pPr>
    </w:p>
  </w:footnote>
  <w:footnote w:id="2">
    <w:p w14:paraId="2AE851E0" w14:textId="77777777" w:rsidR="00A21E0C" w:rsidRPr="00F52630" w:rsidRDefault="00A21E0C" w:rsidP="00A21E0C">
      <w:pPr>
        <w:pStyle w:val="Textonotapie"/>
        <w:ind w:firstLine="708"/>
        <w:jc w:val="both"/>
        <w:rPr>
          <w:rFonts w:ascii="Arial" w:hAnsi="Arial" w:cs="Arial"/>
          <w:color w:val="000000"/>
          <w:sz w:val="19"/>
          <w:szCs w:val="19"/>
        </w:rPr>
      </w:pPr>
      <w:r w:rsidRPr="00F52630">
        <w:rPr>
          <w:rStyle w:val="Refdenotaalpie"/>
          <w:rFonts w:ascii="Arial" w:hAnsi="Arial" w:cs="Arial"/>
          <w:color w:val="000000"/>
          <w:sz w:val="19"/>
          <w:szCs w:val="19"/>
        </w:rPr>
        <w:footnoteRef/>
      </w:r>
      <w:r w:rsidRPr="00F52630">
        <w:rPr>
          <w:rFonts w:ascii="Arial" w:hAnsi="Arial" w:cs="Arial"/>
          <w:color w:val="000000"/>
          <w:sz w:val="19"/>
          <w:szCs w:val="19"/>
        </w:rPr>
        <w:t xml:space="preserve"> https://dle.rae.es   </w:t>
      </w:r>
    </w:p>
    <w:p w14:paraId="2D99CA5B" w14:textId="77777777" w:rsidR="00A21E0C" w:rsidRPr="00F52630" w:rsidRDefault="00A21E0C" w:rsidP="00A21E0C">
      <w:pPr>
        <w:pStyle w:val="Textonotapie"/>
        <w:ind w:firstLine="708"/>
        <w:jc w:val="both"/>
        <w:rPr>
          <w:rFonts w:ascii="Arial" w:hAnsi="Arial" w:cs="Arial"/>
          <w:color w:val="000000"/>
          <w:sz w:val="19"/>
          <w:szCs w:val="19"/>
        </w:rPr>
      </w:pPr>
    </w:p>
  </w:footnote>
  <w:footnote w:id="3">
    <w:p w14:paraId="7FF4BF93" w14:textId="77777777" w:rsidR="00A21E0C" w:rsidRPr="0029795D" w:rsidRDefault="00A21E0C" w:rsidP="00A21E0C">
      <w:pPr>
        <w:pStyle w:val="Textonotapie"/>
        <w:ind w:firstLine="708"/>
        <w:jc w:val="both"/>
        <w:rPr>
          <w:rFonts w:ascii="Verdana" w:hAnsi="Verdana" w:cs="Arial"/>
          <w:color w:val="000000"/>
          <w:sz w:val="19"/>
          <w:szCs w:val="19"/>
        </w:rPr>
      </w:pPr>
      <w:r w:rsidRPr="005671A9">
        <w:rPr>
          <w:rStyle w:val="Refdenotaalpie"/>
          <w:rFonts w:ascii="Verdana" w:hAnsi="Verdana" w:cs="Arial"/>
          <w:sz w:val="19"/>
          <w:szCs w:val="19"/>
        </w:rPr>
        <w:footnoteRef/>
      </w:r>
      <w:r w:rsidRPr="005671A9">
        <w:rPr>
          <w:rFonts w:ascii="Verdana" w:hAnsi="Verdana" w:cs="Arial"/>
          <w:sz w:val="19"/>
          <w:szCs w:val="19"/>
        </w:rPr>
        <w:t xml:space="preserve"> </w:t>
      </w:r>
      <w:r w:rsidRPr="0029795D">
        <w:rPr>
          <w:rFonts w:ascii="Verdana" w:hAnsi="Verdana" w:cs="Arial"/>
          <w:color w:val="000000"/>
          <w:sz w:val="19"/>
          <w:szCs w:val="19"/>
        </w:rPr>
        <w:t>Consejo de Estado. Sección Tercera. Sentencia del 27 de abril de 2011. Exp. 18.293. C.P. Ruth Stella Correa Palacio.</w:t>
      </w:r>
    </w:p>
    <w:p w14:paraId="6B666548" w14:textId="77777777" w:rsidR="00A21E0C" w:rsidRPr="005671A9" w:rsidRDefault="00A21E0C" w:rsidP="00A21E0C">
      <w:pPr>
        <w:pStyle w:val="Textonotapie"/>
        <w:ind w:firstLine="708"/>
        <w:jc w:val="both"/>
        <w:rPr>
          <w:rFonts w:ascii="Verdana" w:eastAsia="Calibri" w:hAnsi="Verdana" w:cs="Arial"/>
          <w:sz w:val="19"/>
          <w:szCs w:val="19"/>
          <w:lang w:val="es-CO"/>
        </w:rPr>
      </w:pPr>
    </w:p>
  </w:footnote>
  <w:footnote w:id="4">
    <w:p w14:paraId="52487729" w14:textId="77777777" w:rsidR="00A21E0C" w:rsidRPr="005671A9" w:rsidRDefault="00A21E0C" w:rsidP="00A21E0C">
      <w:pPr>
        <w:pStyle w:val="Textonotapie"/>
        <w:ind w:firstLine="708"/>
        <w:jc w:val="both"/>
        <w:rPr>
          <w:rFonts w:ascii="Verdana" w:hAnsi="Verdana" w:cs="Arial"/>
          <w:sz w:val="19"/>
          <w:szCs w:val="19"/>
        </w:rPr>
      </w:pPr>
      <w:r w:rsidRPr="005671A9">
        <w:rPr>
          <w:rStyle w:val="Refdenotaalpie"/>
          <w:rFonts w:ascii="Verdana" w:hAnsi="Verdana" w:cs="Arial"/>
          <w:sz w:val="19"/>
          <w:szCs w:val="19"/>
        </w:rPr>
        <w:footnoteRef/>
      </w:r>
      <w:r w:rsidRPr="005671A9">
        <w:rPr>
          <w:rFonts w:ascii="Verdana" w:hAnsi="Verdana" w:cs="Arial"/>
          <w:sz w:val="19"/>
          <w:szCs w:val="19"/>
        </w:rPr>
        <w:t xml:space="preserve"> El numeral 1.15 del documento base establece: «1.15 Causales de rechazo. </w:t>
      </w:r>
    </w:p>
    <w:p w14:paraId="41105169" w14:textId="77777777" w:rsidR="00A21E0C" w:rsidRPr="005671A9" w:rsidRDefault="00A21E0C" w:rsidP="00A21E0C">
      <w:pPr>
        <w:spacing w:line="240" w:lineRule="auto"/>
        <w:jc w:val="both"/>
        <w:rPr>
          <w:rFonts w:ascii="Verdana" w:eastAsia="Arial" w:hAnsi="Verdana" w:cs="Arial"/>
          <w:sz w:val="19"/>
          <w:szCs w:val="19"/>
        </w:rPr>
      </w:pPr>
      <w:r w:rsidRPr="005671A9">
        <w:rPr>
          <w:rFonts w:ascii="Verdana" w:hAnsi="Verdana" w:cs="Arial"/>
          <w:sz w:val="19"/>
          <w:szCs w:val="19"/>
        </w:rPr>
        <w:t>Son</w:t>
      </w:r>
      <w:r w:rsidRPr="005671A9">
        <w:rPr>
          <w:rFonts w:ascii="Verdana" w:eastAsia="Arial" w:hAnsi="Verdana" w:cs="Arial"/>
          <w:sz w:val="19"/>
          <w:szCs w:val="19"/>
        </w:rPr>
        <w:t xml:space="preserve"> </w:t>
      </w:r>
      <w:r w:rsidRPr="005671A9">
        <w:rPr>
          <w:rFonts w:ascii="Verdana" w:hAnsi="Verdana" w:cs="Arial"/>
          <w:sz w:val="19"/>
          <w:szCs w:val="19"/>
        </w:rPr>
        <w:t>causales</w:t>
      </w:r>
      <w:r w:rsidRPr="005671A9">
        <w:rPr>
          <w:rFonts w:ascii="Verdana" w:eastAsia="Arial" w:hAnsi="Verdana" w:cs="Arial"/>
          <w:sz w:val="19"/>
          <w:szCs w:val="19"/>
        </w:rPr>
        <w:t xml:space="preserve"> </w:t>
      </w:r>
      <w:r w:rsidRPr="005671A9">
        <w:rPr>
          <w:rFonts w:ascii="Verdana" w:hAnsi="Verdana" w:cs="Arial"/>
          <w:sz w:val="19"/>
          <w:szCs w:val="19"/>
        </w:rPr>
        <w:t>de</w:t>
      </w:r>
      <w:r w:rsidRPr="005671A9">
        <w:rPr>
          <w:rFonts w:ascii="Verdana" w:eastAsia="Arial" w:hAnsi="Verdana" w:cs="Arial"/>
          <w:sz w:val="19"/>
          <w:szCs w:val="19"/>
        </w:rPr>
        <w:t xml:space="preserve"> </w:t>
      </w:r>
      <w:r w:rsidRPr="005671A9">
        <w:rPr>
          <w:rFonts w:ascii="Verdana" w:hAnsi="Verdana" w:cs="Arial"/>
          <w:sz w:val="19"/>
          <w:szCs w:val="19"/>
        </w:rPr>
        <w:t>rechazo</w:t>
      </w:r>
      <w:r w:rsidRPr="005671A9">
        <w:rPr>
          <w:rFonts w:ascii="Verdana" w:eastAsia="Arial" w:hAnsi="Verdana" w:cs="Arial"/>
          <w:sz w:val="19"/>
          <w:szCs w:val="19"/>
        </w:rPr>
        <w:t xml:space="preserve"> </w:t>
      </w:r>
      <w:r w:rsidRPr="005671A9">
        <w:rPr>
          <w:rFonts w:ascii="Verdana" w:hAnsi="Verdana" w:cs="Arial"/>
          <w:sz w:val="19"/>
          <w:szCs w:val="19"/>
        </w:rPr>
        <w:t>las</w:t>
      </w:r>
      <w:r w:rsidRPr="005671A9">
        <w:rPr>
          <w:rFonts w:ascii="Verdana" w:eastAsia="Arial" w:hAnsi="Verdana" w:cs="Arial"/>
          <w:sz w:val="19"/>
          <w:szCs w:val="19"/>
        </w:rPr>
        <w:t xml:space="preserve"> </w:t>
      </w:r>
      <w:r w:rsidRPr="005671A9">
        <w:rPr>
          <w:rFonts w:ascii="Verdana" w:hAnsi="Verdana" w:cs="Arial"/>
          <w:sz w:val="19"/>
          <w:szCs w:val="19"/>
        </w:rPr>
        <w:t xml:space="preserve">siguientes </w:t>
      </w:r>
      <w:r w:rsidRPr="005671A9">
        <w:rPr>
          <w:rFonts w:ascii="Verdana" w:hAnsi="Verdana" w:cs="Arial"/>
          <w:sz w:val="19"/>
          <w:szCs w:val="19"/>
          <w:highlight w:val="lightGray"/>
        </w:rPr>
        <w:t>[Las entidades no podrán modificar o incluir causales de rechazo distintas a las señaladas en la presente sección]</w:t>
      </w:r>
      <w:r w:rsidRPr="005671A9">
        <w:rPr>
          <w:rFonts w:ascii="Verdana" w:hAnsi="Verdana" w:cs="Arial"/>
          <w:sz w:val="19"/>
          <w:szCs w:val="19"/>
        </w:rPr>
        <w:t>:</w:t>
      </w:r>
    </w:p>
    <w:p w14:paraId="2A100A1A"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Que el proponente o alguno de los integrantes del proponente plural esté incurso en causal de inhabilidad, incompatibilidad o prohibición previstas en la legislación colombiana para contratar.</w:t>
      </w:r>
    </w:p>
    <w:p w14:paraId="446062EF" w14:textId="77777777" w:rsidR="00A21E0C" w:rsidRPr="005671A9" w:rsidRDefault="00A21E0C" w:rsidP="00A21E0C">
      <w:pPr>
        <w:pStyle w:val="Prrafodelista"/>
        <w:spacing w:line="240" w:lineRule="auto"/>
        <w:jc w:val="both"/>
        <w:rPr>
          <w:rFonts w:ascii="Verdana" w:eastAsia="Arial" w:hAnsi="Verdana" w:cs="Arial"/>
          <w:sz w:val="19"/>
          <w:szCs w:val="19"/>
          <w:lang w:eastAsia="es-CO"/>
        </w:rPr>
      </w:pPr>
      <w:r w:rsidRPr="005671A9">
        <w:rPr>
          <w:rFonts w:ascii="Verdana" w:eastAsia="Arial" w:hAnsi="Verdana" w:cs="Arial"/>
          <w:sz w:val="19"/>
          <w:szCs w:val="19"/>
          <w:highlight w:val="lightGray"/>
          <w:lang w:eastAsia="es-CO"/>
        </w:rPr>
        <w:t>[Cuando en un mismo proceso de contratación se presentan oferentes en la situación descrita por los literales g) y h) del numeral 1 del artículo 8 de la</w:t>
      </w:r>
      <w:hyperlink r:id="rId1" w:history="1">
        <w:r w:rsidRPr="005671A9">
          <w:rPr>
            <w:rFonts w:ascii="Verdana" w:eastAsia="Arial" w:hAnsi="Verdana" w:cs="Arial"/>
            <w:sz w:val="19"/>
            <w:szCs w:val="19"/>
            <w:highlight w:val="lightGray"/>
            <w:lang w:eastAsia="es-CO"/>
          </w:rPr>
          <w:t> Ley 80 de 1993, </w:t>
        </w:r>
      </w:hyperlink>
      <w:r w:rsidRPr="005671A9">
        <w:rPr>
          <w:rFonts w:ascii="Verdana" w:eastAsia="Arial" w:hAnsi="Verdana" w:cs="Arial"/>
          <w:sz w:val="19"/>
          <w:szCs w:val="19"/>
          <w:highlight w:val="lightGray"/>
          <w:lang w:eastAsia="es-CO"/>
        </w:rPr>
        <w:t>la entidad solo admitirá la oferta presentada primero en el tiempo]</w:t>
      </w:r>
    </w:p>
    <w:p w14:paraId="40C03C59" w14:textId="77777777" w:rsidR="00A21E0C" w:rsidRPr="005671A9" w:rsidRDefault="00A21E0C" w:rsidP="00A21E0C">
      <w:pPr>
        <w:pStyle w:val="Prrafodelista"/>
        <w:numPr>
          <w:ilvl w:val="0"/>
          <w:numId w:val="18"/>
        </w:numPr>
        <w:spacing w:after="0" w:line="240" w:lineRule="auto"/>
        <w:jc w:val="both"/>
        <w:rPr>
          <w:rFonts w:ascii="Verdana" w:hAnsi="Verdana" w:cs="Arial"/>
          <w:sz w:val="19"/>
          <w:szCs w:val="19"/>
          <w:lang w:eastAsia="es-CO"/>
        </w:rPr>
      </w:pPr>
      <w:bookmarkStart w:id="4" w:name="_Hlk517183916"/>
      <w:r w:rsidRPr="005671A9">
        <w:rPr>
          <w:rFonts w:ascii="Verdana" w:eastAsia="Arial" w:hAnsi="Verdana" w:cs="Arial"/>
          <w:sz w:val="19"/>
          <w:szCs w:val="19"/>
          <w:lang w:eastAsia="es-CO"/>
        </w:rPr>
        <w:t>Cuando una misma persona natural o jurídica, o integrante de un proponente plural presente o haga parte en más de una propuesta para el presente proceso de contratación.</w:t>
      </w:r>
    </w:p>
    <w:p w14:paraId="29D7EDC9" w14:textId="77777777" w:rsidR="00A21E0C" w:rsidRPr="005671A9" w:rsidRDefault="00A21E0C" w:rsidP="00A21E0C">
      <w:pPr>
        <w:spacing w:after="0" w:line="240" w:lineRule="auto"/>
        <w:ind w:left="708"/>
        <w:jc w:val="both"/>
        <w:rPr>
          <w:rFonts w:ascii="Verdana" w:hAnsi="Verdana" w:cs="Arial"/>
          <w:sz w:val="19"/>
          <w:szCs w:val="19"/>
          <w:lang w:eastAsia="es-CO"/>
        </w:rPr>
      </w:pPr>
      <w:r w:rsidRPr="005671A9">
        <w:rPr>
          <w:rFonts w:ascii="Verdana" w:eastAsia="Arial" w:hAnsi="Verdana" w:cs="Arial"/>
          <w:sz w:val="19"/>
          <w:szCs w:val="19"/>
          <w:highlight w:val="lightGray"/>
          <w:lang w:eastAsia="es-CO"/>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5671A9">
        <w:rPr>
          <w:rFonts w:ascii="Verdana" w:eastAsia="Arial,Calibri" w:hAnsi="Verdana" w:cs="Arial"/>
          <w:sz w:val="19"/>
          <w:szCs w:val="19"/>
          <w:lang w:eastAsia="es-CO"/>
        </w:rPr>
        <w:t xml:space="preserve"> </w:t>
      </w:r>
    </w:p>
    <w:bookmarkEnd w:id="4"/>
    <w:p w14:paraId="5BCA0E7C" w14:textId="77777777" w:rsidR="00A21E0C" w:rsidRPr="005671A9" w:rsidRDefault="00A21E0C" w:rsidP="00A21E0C">
      <w:pPr>
        <w:pStyle w:val="Prrafodelista"/>
        <w:numPr>
          <w:ilvl w:val="0"/>
          <w:numId w:val="18"/>
        </w:numPr>
        <w:spacing w:after="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Que el proponente o alguno de los integrantes del proponente plural esté reportado en el Boletín de Responsables Fiscales emitido por la Contraloría General de la República.</w:t>
      </w:r>
    </w:p>
    <w:p w14:paraId="719A9C69" w14:textId="77777777" w:rsidR="00A21E0C" w:rsidRPr="005671A9" w:rsidRDefault="00A21E0C" w:rsidP="00A21E0C">
      <w:pPr>
        <w:pStyle w:val="Prrafodelista"/>
        <w:numPr>
          <w:ilvl w:val="0"/>
          <w:numId w:val="18"/>
        </w:numPr>
        <w:spacing w:after="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Que la persona jurídica proponente individual o integrante del proponente plural esté incursa en la situación descrita en el numeral 1 del artículo 38 de la Ley 1116 de 2006.</w:t>
      </w:r>
    </w:p>
    <w:p w14:paraId="536F6187"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bookmarkStart w:id="5" w:name="_Hlk54629912"/>
      <w:r w:rsidRPr="005671A9">
        <w:rPr>
          <w:rFonts w:ascii="Verdana" w:eastAsia="Arial" w:hAnsi="Verdana" w:cs="Arial"/>
          <w:sz w:val="19"/>
          <w:szCs w:val="19"/>
          <w:lang w:eastAsia="es-CO"/>
        </w:rPr>
        <w:t>Que el proponente no aclare, subsane o aporte documentos necesarios para cumplir un requisito habilitante o aportándolos no lo haga de forma correcta, en los términos establecidos en la sección 1.6.</w:t>
      </w:r>
      <w:bookmarkEnd w:id="5"/>
    </w:p>
    <w:p w14:paraId="72FD5BC5"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bookmarkStart w:id="6" w:name="_Hlk516133201"/>
      <w:r w:rsidRPr="005671A9">
        <w:rPr>
          <w:rFonts w:ascii="Verdana" w:eastAsia="Arial" w:hAnsi="Verdana" w:cs="Arial"/>
          <w:sz w:val="19"/>
          <w:szCs w:val="19"/>
          <w:lang w:eastAsia="es-CO"/>
        </w:rPr>
        <w:t xml:space="preserve">Que la </w:t>
      </w:r>
      <w:r w:rsidRPr="005671A9">
        <w:rPr>
          <w:rFonts w:ascii="Verdana" w:eastAsia="Arial" w:hAnsi="Verdana" w:cs="Arial"/>
          <w:iCs/>
          <w:sz w:val="19"/>
          <w:szCs w:val="19"/>
          <w:lang w:eastAsia="es-CO"/>
        </w:rPr>
        <w:t>inscripción en el Registro</w:t>
      </w:r>
      <w:r w:rsidRPr="005671A9">
        <w:rPr>
          <w:rFonts w:ascii="Verdana" w:eastAsia="Arial" w:hAnsi="Verdana" w:cs="Arial"/>
          <w:sz w:val="19"/>
          <w:szCs w:val="19"/>
          <w:lang w:eastAsia="es-CO"/>
        </w:rPr>
        <w:t xml:space="preserve"> Único de Proponentes (RUP</w:t>
      </w:r>
      <w:r w:rsidRPr="005671A9">
        <w:rPr>
          <w:rFonts w:ascii="Verdana" w:eastAsia="Arial,Calibri" w:hAnsi="Verdana" w:cs="Arial"/>
          <w:sz w:val="19"/>
          <w:szCs w:val="19"/>
          <w:lang w:eastAsia="es-CO"/>
        </w:rPr>
        <w:t>)</w:t>
      </w:r>
      <w:r w:rsidRPr="005671A9">
        <w:rPr>
          <w:rFonts w:ascii="Verdana" w:eastAsia="Arial" w:hAnsi="Verdana" w:cs="Arial"/>
          <w:sz w:val="19"/>
          <w:szCs w:val="19"/>
          <w:lang w:eastAsia="es-CO"/>
        </w:rPr>
        <w:t xml:space="preserve"> que realice el proponente por primera vez o cuando han cesado los efectos y debe volver a inscribirse, no esté en firme en la fecha prevista para el cierre del proceso de contratación.</w:t>
      </w:r>
    </w:p>
    <w:p w14:paraId="7CB68BB3"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bookmarkStart w:id="7" w:name="_Hlk54629959"/>
      <w:r w:rsidRPr="005671A9">
        <w:rPr>
          <w:rFonts w:ascii="Verdana" w:eastAsia="Arial" w:hAnsi="Verdana" w:cs="Arial"/>
          <w:sz w:val="19"/>
          <w:szCs w:val="19"/>
          <w:lang w:eastAsia="es-CO"/>
        </w:rPr>
        <w:t xml:space="preserve">Que el proponente no acredite la presentación de la información para </w:t>
      </w:r>
      <w:r w:rsidRPr="005671A9">
        <w:rPr>
          <w:rFonts w:ascii="Verdana" w:eastAsia="Arial" w:hAnsi="Verdana" w:cs="Arial"/>
          <w:i/>
          <w:iCs/>
          <w:sz w:val="19"/>
          <w:szCs w:val="19"/>
          <w:lang w:eastAsia="es-CO"/>
        </w:rPr>
        <w:t>renovar</w:t>
      </w:r>
      <w:r w:rsidRPr="005671A9">
        <w:rPr>
          <w:rFonts w:ascii="Verdana" w:eastAsia="Arial" w:hAnsi="Verdana" w:cs="Arial"/>
          <w:sz w:val="19"/>
          <w:szCs w:val="19"/>
          <w:lang w:eastAsia="es-CO"/>
        </w:rPr>
        <w:t xml:space="preserve"> el Registro Único de Proponentes (RUP), a más tardar el quinto día hábil del mes de abril de cada año, o en la fecha que establezca la ley o el reglamento, si fuera una distinta</w:t>
      </w:r>
      <w:bookmarkEnd w:id="7"/>
      <w:r w:rsidRPr="005671A9">
        <w:rPr>
          <w:rFonts w:ascii="Verdana" w:eastAsia="Arial" w:hAnsi="Verdana" w:cs="Arial"/>
          <w:sz w:val="19"/>
          <w:szCs w:val="19"/>
          <w:lang w:eastAsia="es-CO"/>
        </w:rPr>
        <w:t xml:space="preserve">. </w:t>
      </w:r>
      <w:bookmarkEnd w:id="6"/>
    </w:p>
    <w:p w14:paraId="021A4AE4"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r w:rsidRPr="005671A9">
        <w:rPr>
          <w:rFonts w:ascii="Verdana" w:eastAsia="Arial" w:hAnsi="Verdana" w:cs="Arial"/>
          <w:sz w:val="19"/>
          <w:szCs w:val="19"/>
          <w:lang w:eastAsia="es-CO"/>
        </w:rPr>
        <w:t>Que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proponente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 xml:space="preserve">aporte información inexacta </w:t>
      </w:r>
      <w:r w:rsidRPr="0029795D">
        <w:rPr>
          <w:rFonts w:ascii="Verdana" w:eastAsia="Times New Roman" w:hAnsi="Verdana" w:cs="Arial"/>
          <w:sz w:val="19"/>
          <w:szCs w:val="19"/>
          <w:lang w:eastAsia="es-CO"/>
        </w:rPr>
        <w:t>sobre la cual pueda existir una posible falsedad</w:t>
      </w:r>
      <w:r w:rsidRPr="0029795D" w:rsidDel="003061D1">
        <w:rPr>
          <w:rFonts w:ascii="Verdana" w:eastAsia="Times New Roman" w:hAnsi="Verdana" w:cs="Arial"/>
          <w:sz w:val="19"/>
          <w:szCs w:val="19"/>
          <w:lang w:eastAsia="es-CO"/>
        </w:rPr>
        <w:t xml:space="preserve"> </w:t>
      </w:r>
      <w:r w:rsidRPr="0029795D">
        <w:rPr>
          <w:rFonts w:ascii="Verdana" w:eastAsia="Times New Roman" w:hAnsi="Verdana" w:cs="Arial"/>
          <w:sz w:val="19"/>
          <w:szCs w:val="19"/>
          <w:lang w:eastAsia="es-CO"/>
        </w:rPr>
        <w:t xml:space="preserve">en los términos de la sección </w:t>
      </w:r>
      <w:r w:rsidRPr="0029795D">
        <w:rPr>
          <w:rFonts w:ascii="Verdana" w:eastAsia="Times New Roman" w:hAnsi="Verdana" w:cs="Arial"/>
          <w:sz w:val="19"/>
          <w:szCs w:val="19"/>
          <w:lang w:eastAsia="es-CO"/>
        </w:rPr>
        <w:fldChar w:fldCharType="begin"/>
      </w:r>
      <w:r w:rsidRPr="0029795D">
        <w:rPr>
          <w:rFonts w:ascii="Verdana" w:eastAsia="Times New Roman" w:hAnsi="Verdana" w:cs="Arial"/>
          <w:sz w:val="19"/>
          <w:szCs w:val="19"/>
          <w:lang w:eastAsia="es-CO"/>
        </w:rPr>
        <w:instrText xml:space="preserve"> REF _Ref4940712 \r \h  \* MERGEFORMAT </w:instrText>
      </w:r>
      <w:r w:rsidRPr="0029795D">
        <w:rPr>
          <w:rFonts w:ascii="Verdana" w:eastAsia="Times New Roman" w:hAnsi="Verdana" w:cs="Arial"/>
          <w:sz w:val="19"/>
          <w:szCs w:val="19"/>
          <w:lang w:eastAsia="es-CO"/>
        </w:rPr>
      </w:r>
      <w:r w:rsidRPr="0029795D">
        <w:rPr>
          <w:rFonts w:ascii="Verdana" w:eastAsia="Times New Roman" w:hAnsi="Verdana" w:cs="Arial"/>
          <w:sz w:val="19"/>
          <w:szCs w:val="19"/>
          <w:lang w:eastAsia="es-CO"/>
        </w:rPr>
        <w:fldChar w:fldCharType="separate"/>
      </w:r>
      <w:r w:rsidRPr="0029795D">
        <w:rPr>
          <w:rFonts w:ascii="Verdana" w:eastAsia="Times New Roman" w:hAnsi="Verdana" w:cs="Arial"/>
          <w:sz w:val="19"/>
          <w:szCs w:val="19"/>
          <w:lang w:eastAsia="es-CO"/>
        </w:rPr>
        <w:t>1.11</w:t>
      </w:r>
      <w:r w:rsidRPr="0029795D">
        <w:rPr>
          <w:rFonts w:ascii="Verdana" w:eastAsia="Times New Roman" w:hAnsi="Verdana" w:cs="Arial"/>
          <w:sz w:val="19"/>
          <w:szCs w:val="19"/>
          <w:lang w:eastAsia="es-CO"/>
        </w:rPr>
        <w:fldChar w:fldCharType="end"/>
      </w:r>
      <w:r w:rsidRPr="0029795D">
        <w:rPr>
          <w:rFonts w:ascii="Verdana" w:eastAsia="Times New Roman" w:hAnsi="Verdana" w:cs="Arial"/>
          <w:sz w:val="19"/>
          <w:szCs w:val="19"/>
          <w:lang w:eastAsia="es-CO"/>
        </w:rPr>
        <w:t>.</w:t>
      </w:r>
    </w:p>
    <w:p w14:paraId="45B7BFDB" w14:textId="77777777" w:rsidR="00A21E0C" w:rsidRPr="0029795D" w:rsidRDefault="00A21E0C" w:rsidP="00A21E0C">
      <w:pPr>
        <w:pStyle w:val="Prrafodelista"/>
        <w:numPr>
          <w:ilvl w:val="0"/>
          <w:numId w:val="18"/>
        </w:numPr>
        <w:spacing w:after="200" w:line="240" w:lineRule="auto"/>
        <w:jc w:val="both"/>
        <w:rPr>
          <w:rFonts w:ascii="Verdana" w:eastAsia="Times New Roman" w:hAnsi="Verdana" w:cs="Arial"/>
          <w:sz w:val="19"/>
          <w:szCs w:val="19"/>
          <w:lang w:eastAsia="es-CO"/>
        </w:rPr>
      </w:pPr>
      <w:bookmarkStart w:id="8" w:name="_Hlk54629989"/>
      <w:r w:rsidRPr="0029795D">
        <w:rPr>
          <w:rFonts w:ascii="Verdana" w:eastAsia="Times New Roman" w:hAnsi="Verdana" w:cs="Arial"/>
          <w:sz w:val="19"/>
          <w:szCs w:val="19"/>
          <w:lang w:eastAsia="es-CO"/>
        </w:rPr>
        <w:t xml:space="preserve">Que el proponente se encuentre inmerso en un conflicto de interés previsto en una norma de rango constitucional o legal </w:t>
      </w:r>
      <w:bookmarkStart w:id="9" w:name="_Hlk54630629"/>
      <w:r w:rsidRPr="0029795D">
        <w:rPr>
          <w:rFonts w:ascii="Verdana" w:eastAsia="Times New Roman" w:hAnsi="Verdana" w:cs="Arial"/>
          <w:sz w:val="19"/>
          <w:szCs w:val="19"/>
          <w:lang w:eastAsia="es-CO"/>
        </w:rPr>
        <w:t>o en la causal prevista en el numeral 1.14 del pliego de condiciones</w:t>
      </w:r>
      <w:bookmarkEnd w:id="9"/>
      <w:r w:rsidRPr="0029795D">
        <w:rPr>
          <w:rFonts w:ascii="Verdana" w:eastAsia="Times New Roman" w:hAnsi="Verdana" w:cs="Arial"/>
          <w:sz w:val="19"/>
          <w:szCs w:val="19"/>
          <w:lang w:eastAsia="es-CO"/>
        </w:rPr>
        <w:t>.</w:t>
      </w:r>
    </w:p>
    <w:bookmarkEnd w:id="8"/>
    <w:p w14:paraId="354802C9"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r w:rsidRPr="005671A9">
        <w:rPr>
          <w:rFonts w:ascii="Verdana" w:eastAsia="Arial" w:hAnsi="Verdana" w:cs="Arial"/>
          <w:sz w:val="19"/>
          <w:szCs w:val="19"/>
          <w:highlight w:val="lightGray"/>
          <w:lang w:eastAsia="es-CO"/>
        </w:rPr>
        <w:t>[Incluir esta causal cuando las ofertas se presente en el SECOP I]</w:t>
      </w:r>
      <w:r w:rsidRPr="0029795D">
        <w:rPr>
          <w:rFonts w:ascii="Verdana" w:eastAsia="Times New Roman" w:hAnsi="Verdana" w:cs="Arial"/>
          <w:sz w:val="19"/>
          <w:szCs w:val="19"/>
          <w:lang w:eastAsia="es-CO"/>
        </w:rPr>
        <w:t xml:space="preserve"> Que la propuesta económica no se aporte firmada.</w:t>
      </w:r>
    </w:p>
    <w:p w14:paraId="269FBBC7"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r w:rsidRPr="005671A9">
        <w:rPr>
          <w:rFonts w:ascii="Verdana" w:eastAsia="Arial" w:hAnsi="Verdana" w:cs="Arial"/>
          <w:sz w:val="19"/>
          <w:szCs w:val="19"/>
          <w:lang w:eastAsia="es-CO"/>
        </w:rPr>
        <w:t>No entregar la garantía de seriedad de la oferta junto con la propuesta.</w:t>
      </w:r>
    </w:p>
    <w:p w14:paraId="58F38434"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bookmarkStart w:id="10" w:name="_Hlk54630036"/>
      <w:r w:rsidRPr="005671A9">
        <w:rPr>
          <w:rFonts w:ascii="Verdana" w:eastAsia="Arial" w:hAnsi="Verdana" w:cs="Arial"/>
          <w:sz w:val="19"/>
          <w:szCs w:val="19"/>
          <w:lang w:eastAsia="es-CO"/>
        </w:rPr>
        <w:t>Que el objeto social del proponente o el de sus integrantes no le permita ejecutar el objeto del contrato</w:t>
      </w:r>
      <w:bookmarkEnd w:id="10"/>
      <w:r w:rsidRPr="005671A9">
        <w:rPr>
          <w:rFonts w:ascii="Verdana" w:eastAsia="Arial" w:hAnsi="Verdana" w:cs="Arial"/>
          <w:sz w:val="19"/>
          <w:szCs w:val="19"/>
          <w:lang w:eastAsia="es-CO"/>
        </w:rPr>
        <w:t>.</w:t>
      </w:r>
    </w:p>
    <w:p w14:paraId="1123A09A"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r w:rsidRPr="005671A9">
        <w:rPr>
          <w:rFonts w:ascii="Verdana" w:eastAsia="Arial" w:hAnsi="Verdana" w:cs="Arial"/>
          <w:sz w:val="19"/>
          <w:szCs w:val="19"/>
          <w:lang w:eastAsia="es-CO"/>
        </w:rPr>
        <w:t>Que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valor</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total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de la oferta o aquel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revisado en la audiencia efectiva de adjudicación</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exceda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presupuesto</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oficial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estimado para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proceso de contratación.</w:t>
      </w:r>
    </w:p>
    <w:p w14:paraId="1ED4E207"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bookmarkStart w:id="11" w:name="_Hlk516133614"/>
      <w:r w:rsidRPr="005671A9">
        <w:rPr>
          <w:rFonts w:ascii="Verdana" w:eastAsia="Arial" w:hAnsi="Verdana" w:cs="Arial"/>
          <w:sz w:val="19"/>
          <w:szCs w:val="19"/>
          <w:lang w:eastAsia="es-CO"/>
        </w:rPr>
        <w:t>Presentar</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la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oferta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con</w:t>
      </w:r>
      <w:r w:rsidRPr="005671A9">
        <w:rPr>
          <w:rFonts w:ascii="Verdana" w:eastAsia="Arial,Calibri" w:hAnsi="Verdana" w:cs="Arial"/>
          <w:sz w:val="19"/>
          <w:szCs w:val="19"/>
          <w:lang w:eastAsia="es-CO"/>
        </w:rPr>
        <w:t xml:space="preserve"> </w:t>
      </w:r>
      <w:bookmarkEnd w:id="11"/>
      <w:r w:rsidRPr="005671A9">
        <w:rPr>
          <w:rFonts w:ascii="Verdana" w:hAnsi="Verdana" w:cs="Arial"/>
          <w:sz w:val="19"/>
          <w:szCs w:val="19"/>
        </w:rPr>
        <w:t>tachaduras o enmendaduras en alguno de los documentos que acreditan los requisitos habilitantes o los factores de evaluación de la oferta y no estén convalidadas en la forma indicada en la sección 2.3 del Pliego de Condiciones, sin perjuicio de la posibilidad de subsanar los primeros en los términos del numeral 1.6.</w:t>
      </w:r>
    </w:p>
    <w:p w14:paraId="67EFF537"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bookmarkStart w:id="12" w:name="_Hlk516133682"/>
      <w:r w:rsidRPr="005671A9">
        <w:rPr>
          <w:rFonts w:ascii="Verdana" w:eastAsia="Arial" w:hAnsi="Verdana" w:cs="Arial"/>
          <w:sz w:val="19"/>
          <w:szCs w:val="19"/>
          <w:lang w:eastAsia="es-CO"/>
        </w:rPr>
        <w:t xml:space="preserve">Que el proponente adicione, suprima, cambie, o modifique los ítems, la descripción, las especificaciones, el detalle, las unidades o cantidades señaladas en el  </w:t>
      </w:r>
      <w:r w:rsidRPr="005671A9">
        <w:rPr>
          <w:rFonts w:ascii="Verdana" w:eastAsia="Arial" w:hAnsi="Verdana" w:cs="Arial"/>
          <w:sz w:val="19"/>
          <w:szCs w:val="19"/>
          <w:lang w:eastAsia="es-CO"/>
        </w:rPr>
        <w:fldChar w:fldCharType="begin"/>
      </w:r>
      <w:r w:rsidRPr="005671A9">
        <w:rPr>
          <w:rFonts w:ascii="Verdana" w:eastAsia="Arial" w:hAnsi="Verdana" w:cs="Arial"/>
          <w:sz w:val="19"/>
          <w:szCs w:val="19"/>
          <w:lang w:eastAsia="es-CO"/>
        </w:rPr>
        <w:instrText xml:space="preserve"> REF _Ref508648916 \h  \* MERGEFORMAT </w:instrText>
      </w:r>
      <w:r w:rsidRPr="005671A9">
        <w:rPr>
          <w:rFonts w:ascii="Verdana" w:eastAsia="Arial" w:hAnsi="Verdana" w:cs="Arial"/>
          <w:sz w:val="19"/>
          <w:szCs w:val="19"/>
          <w:lang w:eastAsia="es-CO"/>
        </w:rPr>
      </w:r>
      <w:r w:rsidRPr="005671A9">
        <w:rPr>
          <w:rFonts w:ascii="Verdana" w:eastAsia="Arial" w:hAnsi="Verdana" w:cs="Arial"/>
          <w:sz w:val="19"/>
          <w:szCs w:val="19"/>
          <w:lang w:eastAsia="es-CO"/>
        </w:rPr>
        <w:fldChar w:fldCharType="separate"/>
      </w:r>
      <w:r w:rsidRPr="005671A9">
        <w:rPr>
          <w:rFonts w:ascii="Verdana" w:eastAsia="Arial" w:hAnsi="Verdana" w:cs="Arial"/>
          <w:sz w:val="19"/>
          <w:szCs w:val="19"/>
          <w:lang w:eastAsia="es-CO"/>
        </w:rPr>
        <w:t>Formulario 1– Formulario de Presupuesto Oficial</w:t>
      </w:r>
      <w:r w:rsidRPr="005671A9">
        <w:rPr>
          <w:rFonts w:ascii="Verdana" w:eastAsia="Arial" w:hAnsi="Verdana" w:cs="Arial"/>
          <w:sz w:val="19"/>
          <w:szCs w:val="19"/>
          <w:lang w:eastAsia="es-CO"/>
        </w:rPr>
        <w:fldChar w:fldCharType="end"/>
      </w:r>
      <w:r w:rsidRPr="005671A9">
        <w:rPr>
          <w:rFonts w:ascii="Verdana" w:eastAsia="Arial" w:hAnsi="Verdana" w:cs="Arial"/>
          <w:sz w:val="19"/>
          <w:szCs w:val="19"/>
          <w:lang w:eastAsia="es-CO"/>
        </w:rPr>
        <w:t xml:space="preserve">, de acuerdo con lo exigido por la entidad. </w:t>
      </w:r>
    </w:p>
    <w:p w14:paraId="7B9F348A"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bookmarkStart w:id="13" w:name="_Hlk511139274"/>
      <w:r w:rsidRPr="005671A9">
        <w:rPr>
          <w:rFonts w:ascii="Verdana" w:eastAsia="Arial,Calibri" w:hAnsi="Verdana" w:cs="Arial"/>
          <w:sz w:val="19"/>
          <w:szCs w:val="19"/>
          <w:highlight w:val="lightGray"/>
          <w:lang w:eastAsia="es-CO"/>
        </w:rPr>
        <w:t>[</w:t>
      </w:r>
      <w:r w:rsidRPr="005671A9">
        <w:rPr>
          <w:rFonts w:ascii="Verdana" w:eastAsia="Arial" w:hAnsi="Verdana" w:cs="Arial"/>
          <w:sz w:val="19"/>
          <w:szCs w:val="19"/>
          <w:highlight w:val="lightGray"/>
          <w:lang w:eastAsia="es-CO"/>
        </w:rPr>
        <w:t>Incluir sólo cuando la forma de pago sea por precios unitarios</w:t>
      </w:r>
      <w:r w:rsidRPr="005671A9">
        <w:rPr>
          <w:rFonts w:ascii="Verdana" w:eastAsia="Arial,Calibri" w:hAnsi="Verdana" w:cs="Arial"/>
          <w:sz w:val="19"/>
          <w:szCs w:val="19"/>
          <w:highlight w:val="lightGray"/>
          <w:lang w:eastAsia="es-CO"/>
        </w:rPr>
        <w:t>]</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No</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ofrecer</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valor</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de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un</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precio</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unitario</w:t>
      </w:r>
      <w:r w:rsidRPr="005671A9">
        <w:rPr>
          <w:rFonts w:ascii="Verdana" w:eastAsia="Arial,Calibri" w:hAnsi="Verdana" w:cs="Arial"/>
          <w:sz w:val="19"/>
          <w:szCs w:val="19"/>
          <w:lang w:eastAsia="es-CO"/>
        </w:rPr>
        <w:t xml:space="preserve"> u ofrecerlo en cero (0) pesos. </w:t>
      </w:r>
    </w:p>
    <w:bookmarkEnd w:id="13"/>
    <w:p w14:paraId="25AF921D"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Calibri" w:hAnsi="Verdana" w:cs="Arial"/>
          <w:sz w:val="19"/>
          <w:szCs w:val="19"/>
          <w:highlight w:val="lightGray"/>
          <w:lang w:eastAsia="es-CO"/>
        </w:rPr>
        <w:t>[</w:t>
      </w:r>
      <w:r w:rsidRPr="005671A9">
        <w:rPr>
          <w:rFonts w:ascii="Verdana" w:eastAsia="Arial" w:hAnsi="Verdana" w:cs="Arial"/>
          <w:sz w:val="19"/>
          <w:szCs w:val="19"/>
          <w:highlight w:val="lightGray"/>
          <w:lang w:eastAsia="es-CO"/>
        </w:rPr>
        <w:t>Incluir sólo cuando la forma de pago sea por precios unitarios</w:t>
      </w:r>
      <w:r w:rsidRPr="005671A9">
        <w:rPr>
          <w:rFonts w:ascii="Verdana" w:eastAsia="Arial,Calibri" w:hAnsi="Verdana" w:cs="Arial"/>
          <w:sz w:val="19"/>
          <w:szCs w:val="19"/>
          <w:highlight w:val="lightGray"/>
          <w:lang w:eastAsia="es-CO"/>
        </w:rPr>
        <w:t>]</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Superar el valor unitario de alguno o algunos</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 xml:space="preserve">de los siguientes ítems ofrecidos con respecto al valor establecido para cada ítem del presupuesto oficial: </w:t>
      </w:r>
      <w:r w:rsidRPr="005671A9">
        <w:rPr>
          <w:rFonts w:ascii="Verdana" w:eastAsia="Arial" w:hAnsi="Verdana" w:cs="Arial"/>
          <w:sz w:val="19"/>
          <w:szCs w:val="19"/>
          <w:highlight w:val="lightGray"/>
          <w:lang w:eastAsia="es-CO"/>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r w:rsidRPr="005671A9">
        <w:rPr>
          <w:rFonts w:ascii="Verdana" w:eastAsia="Arial" w:hAnsi="Verdana" w:cs="Arial"/>
          <w:sz w:val="19"/>
          <w:szCs w:val="19"/>
          <w:lang w:eastAsia="es-CO"/>
        </w:rPr>
        <w:t xml:space="preserve">. </w:t>
      </w:r>
    </w:p>
    <w:p w14:paraId="5B851F4D" w14:textId="77777777" w:rsidR="00A21E0C" w:rsidRPr="005671A9" w:rsidRDefault="00A21E0C" w:rsidP="00A21E0C">
      <w:pPr>
        <w:pStyle w:val="Prrafodelista"/>
        <w:spacing w:line="240" w:lineRule="auto"/>
        <w:jc w:val="both"/>
        <w:rPr>
          <w:rFonts w:ascii="Verdana" w:eastAsia="Arial,Calibri" w:hAnsi="Verdana" w:cs="Arial"/>
          <w:sz w:val="19"/>
          <w:szCs w:val="19"/>
          <w:lang w:eastAsia="es-CO"/>
        </w:rPr>
      </w:pPr>
      <w:r w:rsidRPr="005671A9">
        <w:rPr>
          <w:rFonts w:ascii="Verdana" w:eastAsia="Arial,Calibri" w:hAnsi="Verdana" w:cs="Arial"/>
          <w:sz w:val="19"/>
          <w:szCs w:val="19"/>
          <w:highlight w:val="lightGray"/>
          <w:lang w:eastAsia="es-CO"/>
        </w:rPr>
        <w:t>Para la aplicación de esta causal la entidad debe tener en cuenta que el valor unitario establecido en el Formulario 1 – Formulario de Presupuesto Oficial incluye el valor de AIU]</w:t>
      </w:r>
      <w:r w:rsidRPr="005671A9">
        <w:rPr>
          <w:rFonts w:ascii="Verdana" w:eastAsia="Arial,Calibri" w:hAnsi="Verdana" w:cs="Arial"/>
          <w:sz w:val="19"/>
          <w:szCs w:val="19"/>
          <w:lang w:eastAsia="es-CO"/>
        </w:rPr>
        <w:t xml:space="preserve"> </w:t>
      </w:r>
    </w:p>
    <w:p w14:paraId="1D0EB2BA"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r w:rsidRPr="005671A9">
        <w:rPr>
          <w:rFonts w:ascii="Verdana" w:eastAsia="Arial,Calibri" w:hAnsi="Verdana" w:cs="Arial"/>
          <w:sz w:val="19"/>
          <w:szCs w:val="19"/>
          <w:highlight w:val="lightGray"/>
          <w:lang w:eastAsia="es-CO"/>
        </w:rPr>
        <w:t>[Esta causal aplica de acuerdo con la configuración de la oferta económica por parte de la entidad]</w:t>
      </w:r>
      <w:r w:rsidRPr="005671A9">
        <w:rPr>
          <w:rFonts w:ascii="Verdana" w:eastAsia="Arial" w:hAnsi="Verdana" w:cs="Arial"/>
          <w:sz w:val="19"/>
          <w:szCs w:val="19"/>
          <w:lang w:eastAsia="es-CO"/>
        </w:rPr>
        <w:t xml:space="preserve"> No</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discriminar</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en</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la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oferta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económica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porcentaje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de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AIU</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en</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la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forma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como</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lo</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establece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el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pliego</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de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condiciones y el Formulario 1 – Formulario de presupuesto oficial</w:t>
      </w:r>
      <w:r w:rsidRPr="005671A9">
        <w:rPr>
          <w:rFonts w:ascii="Verdana" w:eastAsia="Arial,Calibri" w:hAnsi="Verdana" w:cs="Arial"/>
          <w:sz w:val="19"/>
          <w:szCs w:val="19"/>
          <w:lang w:eastAsia="es-CO"/>
        </w:rPr>
        <w:t>.</w:t>
      </w:r>
    </w:p>
    <w:p w14:paraId="57EB56AC" w14:textId="77777777" w:rsidR="00A21E0C" w:rsidRPr="005671A9" w:rsidRDefault="00A21E0C" w:rsidP="00A21E0C">
      <w:pPr>
        <w:pStyle w:val="Prrafodelista"/>
        <w:spacing w:line="240" w:lineRule="auto"/>
        <w:jc w:val="both"/>
        <w:rPr>
          <w:rFonts w:ascii="Verdana" w:eastAsia="Arial,Calibri" w:hAnsi="Verdana" w:cs="Arial"/>
          <w:sz w:val="19"/>
          <w:szCs w:val="19"/>
          <w:lang w:eastAsia="es-CO"/>
        </w:rPr>
      </w:pPr>
      <w:r w:rsidRPr="005671A9">
        <w:rPr>
          <w:rFonts w:ascii="Verdana" w:eastAsia="Arial,Calibri" w:hAnsi="Verdana" w:cs="Arial"/>
          <w:sz w:val="19"/>
          <w:szCs w:val="19"/>
          <w:highlight w:val="lightGray"/>
          <w:lang w:eastAsia="es-CO"/>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7A68DACC"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bookmarkStart w:id="14" w:name="_Hlk511139359"/>
      <w:r w:rsidRPr="005671A9">
        <w:rPr>
          <w:rFonts w:ascii="Verdana" w:eastAsia="Arial" w:hAnsi="Verdana" w:cs="Arial"/>
          <w:sz w:val="19"/>
          <w:szCs w:val="19"/>
          <w:lang w:eastAsia="es-CO"/>
        </w:rPr>
        <w:t>Ofrecer</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como</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AIU</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un</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porcentaje cuya sumatoria sea superior al establecido por la entidad en el Formulario 1 – Formulario de presupuesto oficial.</w:t>
      </w:r>
    </w:p>
    <w:bookmarkEnd w:id="14"/>
    <w:p w14:paraId="239ECDE8"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r w:rsidRPr="005671A9">
        <w:rPr>
          <w:rFonts w:ascii="Verdana" w:eastAsia="Arial" w:hAnsi="Verdana" w:cs="Arial"/>
          <w:sz w:val="19"/>
          <w:szCs w:val="19"/>
          <w:lang w:eastAsia="es-CO"/>
        </w:rPr>
        <w:t>Cuando</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se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presente</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propuesta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condicionada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para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la</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adjudicación</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del</w:t>
      </w:r>
      <w:r w:rsidRPr="005671A9">
        <w:rPr>
          <w:rFonts w:ascii="Verdana" w:eastAsia="Arial,Calibri" w:hAnsi="Verdana" w:cs="Arial"/>
          <w:sz w:val="19"/>
          <w:szCs w:val="19"/>
          <w:lang w:eastAsia="es-CO"/>
        </w:rPr>
        <w:t xml:space="preserve"> </w:t>
      </w:r>
      <w:r w:rsidRPr="005671A9">
        <w:rPr>
          <w:rFonts w:ascii="Verdana" w:eastAsia="Arial" w:hAnsi="Verdana" w:cs="Arial"/>
          <w:sz w:val="19"/>
          <w:szCs w:val="19"/>
          <w:lang w:eastAsia="es-CO"/>
        </w:rPr>
        <w:t>contrato.</w:t>
      </w:r>
    </w:p>
    <w:p w14:paraId="1E4DF242"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Presentar la oferta extemporáneamente.</w:t>
      </w:r>
    </w:p>
    <w:p w14:paraId="2F539190"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No presentar oferta económica.</w:t>
      </w:r>
    </w:p>
    <w:p w14:paraId="34041502"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Entregar la información de la propuesta económica en el sobre que no corresponda.</w:t>
      </w:r>
    </w:p>
    <w:p w14:paraId="1BA6C372" w14:textId="77777777" w:rsidR="00A21E0C" w:rsidRPr="005671A9" w:rsidRDefault="00A21E0C" w:rsidP="00A21E0C">
      <w:pPr>
        <w:pStyle w:val="Prrafodelista"/>
        <w:numPr>
          <w:ilvl w:val="0"/>
          <w:numId w:val="18"/>
        </w:numPr>
        <w:spacing w:after="200" w:line="240" w:lineRule="auto"/>
        <w:jc w:val="both"/>
        <w:rPr>
          <w:rFonts w:ascii="Verdana" w:eastAsia="Arial,Calibri" w:hAnsi="Verdana" w:cs="Arial"/>
          <w:sz w:val="19"/>
          <w:szCs w:val="19"/>
          <w:lang w:eastAsia="es-CO"/>
        </w:rPr>
      </w:pPr>
      <w:r w:rsidRPr="005671A9">
        <w:rPr>
          <w:rFonts w:ascii="Verdana" w:eastAsia="Arial" w:hAnsi="Verdana" w:cs="Arial"/>
          <w:sz w:val="19"/>
          <w:szCs w:val="19"/>
          <w:lang w:eastAsia="es-CO"/>
        </w:rPr>
        <w:t>Presentar más de una oferta económica en el Sobre 2 con valores distintos. [</w:t>
      </w:r>
      <w:r w:rsidRPr="005671A9">
        <w:rPr>
          <w:rFonts w:ascii="Verdana" w:eastAsia="Arial,Calibri" w:hAnsi="Verdana" w:cs="Arial"/>
          <w:sz w:val="19"/>
          <w:szCs w:val="19"/>
          <w:highlight w:val="lightGray"/>
          <w:lang w:eastAsia="es-CO"/>
        </w:rPr>
        <w:t>Cuando el proceso se estructure por lotes o grupos reemplazar el texto anterior por el siguiente: Presentar más de una oferta económica con valores distintos para el mismo lote o grupo]</w:t>
      </w:r>
      <w:r w:rsidRPr="005671A9">
        <w:rPr>
          <w:rFonts w:ascii="Verdana" w:eastAsia="Arial,Calibri" w:hAnsi="Verdana" w:cs="Arial"/>
          <w:sz w:val="19"/>
          <w:szCs w:val="19"/>
          <w:lang w:eastAsia="es-CO"/>
        </w:rPr>
        <w:t>.</w:t>
      </w:r>
    </w:p>
    <w:p w14:paraId="67A4BE75"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 xml:space="preserve">Cuando se determine que el valor total de la oferta es artificialmente bajo, de acuerdo con lo establecido en la sección 4.1.3. </w:t>
      </w:r>
    </w:p>
    <w:p w14:paraId="362B8ABC"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Cuando se presenten propuestas parciales y esta posibilidad no haya sido establecida en el pliego de condiciones.</w:t>
      </w:r>
    </w:p>
    <w:p w14:paraId="3F762E48"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No informar todos los contratos que el Proponente tenga en ejecución antes del cierre, necesarios para acreditar su capacidad residual conforme a la sección 3.10.</w:t>
      </w:r>
    </w:p>
    <w:p w14:paraId="33DA4DC8"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Ofrecer un plazo superior al señalado por la Entidad en el Anexo 1 – Anexo Técnico.</w:t>
      </w:r>
    </w:p>
    <w:p w14:paraId="58E6D263" w14:textId="77777777" w:rsidR="00A21E0C" w:rsidRPr="0029795D" w:rsidRDefault="00A21E0C" w:rsidP="00A21E0C">
      <w:pPr>
        <w:pStyle w:val="Prrafodelista"/>
        <w:numPr>
          <w:ilvl w:val="0"/>
          <w:numId w:val="18"/>
        </w:numPr>
        <w:tabs>
          <w:tab w:val="left" w:pos="709"/>
          <w:tab w:val="left" w:pos="851"/>
        </w:tabs>
        <w:spacing w:after="200" w:line="240" w:lineRule="auto"/>
        <w:jc w:val="both"/>
        <w:rPr>
          <w:rFonts w:ascii="Verdana" w:eastAsia="Times New Roman" w:hAnsi="Verdana" w:cs="Arial"/>
          <w:sz w:val="19"/>
          <w:szCs w:val="19"/>
          <w:lang w:eastAsia="es-CO"/>
        </w:rPr>
      </w:pPr>
      <w:r w:rsidRPr="005671A9">
        <w:rPr>
          <w:rFonts w:ascii="Verdana" w:eastAsia="Arial" w:hAnsi="Verdana" w:cs="Arial"/>
          <w:sz w:val="19"/>
          <w:szCs w:val="19"/>
          <w:lang w:eastAsia="es-CO"/>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2A220CEA" w14:textId="77777777" w:rsidR="00A21E0C" w:rsidRPr="005671A9" w:rsidRDefault="00A21E0C" w:rsidP="00A21E0C">
      <w:pPr>
        <w:pStyle w:val="Prrafodelista"/>
        <w:numPr>
          <w:ilvl w:val="0"/>
          <w:numId w:val="18"/>
        </w:numPr>
        <w:spacing w:after="200" w:line="240" w:lineRule="auto"/>
        <w:jc w:val="both"/>
        <w:rPr>
          <w:rFonts w:ascii="Verdana" w:eastAsia="Arial" w:hAnsi="Verdana" w:cs="Arial"/>
          <w:iCs/>
          <w:sz w:val="19"/>
          <w:szCs w:val="19"/>
          <w:lang w:eastAsia="es-CO"/>
        </w:rPr>
      </w:pPr>
      <w:r w:rsidRPr="005671A9">
        <w:rPr>
          <w:rFonts w:ascii="Verdana" w:hAnsi="Verdana" w:cs="Arial"/>
          <w:iCs/>
          <w:sz w:val="19"/>
          <w:szCs w:val="19"/>
          <w:highlight w:val="lightGray"/>
        </w:rPr>
        <w:t>[Incluir cuando la convocatoria del Proceso de Contratación esté limitada a Mipyme</w:t>
      </w:r>
      <w:r w:rsidRPr="005671A9">
        <w:rPr>
          <w:rFonts w:ascii="Verdana" w:hAnsi="Verdana" w:cs="Arial"/>
          <w:iCs/>
          <w:sz w:val="19"/>
          <w:szCs w:val="19"/>
        </w:rPr>
        <w:t>] Cuando el que presenta oferta o alguno de los miembros del Proponente Plural no acredita la condición de Mipyme y, en consecuencia, no aporta el RUP vigente y en firme al momento de su presentación y no subsana su entrega en los términos del numeral 1.6.</w:t>
      </w:r>
    </w:p>
    <w:p w14:paraId="77562487" w14:textId="77777777" w:rsidR="00A21E0C" w:rsidRPr="00231E6C" w:rsidRDefault="00A21E0C" w:rsidP="00A21E0C">
      <w:pPr>
        <w:pStyle w:val="Prrafodelista"/>
        <w:numPr>
          <w:ilvl w:val="0"/>
          <w:numId w:val="18"/>
        </w:numPr>
        <w:spacing w:after="200" w:line="240" w:lineRule="auto"/>
        <w:jc w:val="both"/>
        <w:rPr>
          <w:rFonts w:ascii="Verdana" w:eastAsia="Arial" w:hAnsi="Verdana" w:cs="Arial"/>
          <w:sz w:val="19"/>
          <w:szCs w:val="19"/>
          <w:lang w:eastAsia="es-CO"/>
        </w:rPr>
      </w:pPr>
      <w:r w:rsidRPr="005671A9">
        <w:rPr>
          <w:rFonts w:ascii="Verdana" w:eastAsia="Arial" w:hAnsi="Verdana" w:cs="Arial"/>
          <w:sz w:val="19"/>
          <w:szCs w:val="19"/>
          <w:lang w:eastAsia="es-CO"/>
        </w:rPr>
        <w:t xml:space="preserve">Las demás previstas en la ley. </w:t>
      </w:r>
      <w:bookmarkEnd w:id="12"/>
    </w:p>
  </w:footnote>
  <w:footnote w:id="5">
    <w:p w14:paraId="3EC43FBC" w14:textId="77777777" w:rsidR="00A21E0C" w:rsidRPr="005671A9" w:rsidRDefault="00A21E0C" w:rsidP="00A21E0C">
      <w:pPr>
        <w:pStyle w:val="Textonotapie"/>
        <w:ind w:firstLine="708"/>
        <w:jc w:val="both"/>
        <w:rPr>
          <w:rFonts w:ascii="Verdana" w:hAnsi="Verdana" w:cs="Arial"/>
          <w:sz w:val="19"/>
          <w:szCs w:val="19"/>
          <w:lang w:val="es-CO"/>
        </w:rPr>
      </w:pPr>
      <w:r w:rsidRPr="005671A9">
        <w:rPr>
          <w:rStyle w:val="Refdenotaalpie"/>
          <w:rFonts w:ascii="Verdana" w:hAnsi="Verdana" w:cs="Arial"/>
          <w:sz w:val="19"/>
          <w:szCs w:val="19"/>
        </w:rPr>
        <w:footnoteRef/>
      </w:r>
      <w:r w:rsidRPr="005671A9">
        <w:rPr>
          <w:rFonts w:ascii="Verdana" w:hAnsi="Verdana" w:cs="Arial"/>
          <w:sz w:val="19"/>
          <w:szCs w:val="19"/>
        </w:rPr>
        <w:t xml:space="preserve"> </w:t>
      </w:r>
      <w:r w:rsidRPr="005671A9">
        <w:rPr>
          <w:rFonts w:ascii="Verdana" w:hAnsi="Verdana" w:cs="Arial"/>
          <w:sz w:val="19"/>
          <w:szCs w:val="19"/>
          <w:lang w:val="es-CO"/>
        </w:rPr>
        <w:t xml:space="preserve">Al respecto esta Agencia ha manifestado: </w:t>
      </w:r>
      <w:r>
        <w:rPr>
          <w:rFonts w:ascii="Verdana" w:hAnsi="Verdana" w:cs="Arial"/>
          <w:sz w:val="19"/>
          <w:szCs w:val="19"/>
          <w:lang w:val="es-CO"/>
        </w:rPr>
        <w:t>“</w:t>
      </w:r>
      <w:r w:rsidRPr="005671A9">
        <w:rPr>
          <w:rFonts w:ascii="Verdana" w:hAnsi="Verdana" w:cs="Arial"/>
          <w:sz w:val="19"/>
          <w:szCs w:val="19"/>
          <w:lang w:val="es-CO"/>
        </w:rPr>
        <w:t>[…]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r>
        <w:rPr>
          <w:rFonts w:ascii="Verdana" w:hAnsi="Verdana" w:cs="Arial"/>
          <w:sz w:val="19"/>
          <w:szCs w:val="19"/>
          <w:lang w:val="es-CO"/>
        </w:rPr>
        <w:t>”</w:t>
      </w:r>
      <w:r w:rsidRPr="005671A9">
        <w:rPr>
          <w:rFonts w:ascii="Verdana" w:hAnsi="Verdana" w:cs="Arial"/>
          <w:sz w:val="19"/>
          <w:szCs w:val="19"/>
          <w:lang w:val="es-CO"/>
        </w:rPr>
        <w:t>. Concepto C-642 del 30 de octubre de 2020. Radicado de entrada No. 4202013000008306. Radicado de salida No. 2202013000010785.</w:t>
      </w:r>
    </w:p>
    <w:p w14:paraId="09CDF055" w14:textId="77777777" w:rsidR="00A21E0C" w:rsidRPr="005671A9" w:rsidRDefault="00A21E0C" w:rsidP="00A21E0C">
      <w:pPr>
        <w:pStyle w:val="Textonotapie"/>
        <w:jc w:val="both"/>
        <w:rPr>
          <w:rFonts w:ascii="Verdana" w:hAnsi="Verdana" w:cs="Arial"/>
          <w:sz w:val="19"/>
          <w:szCs w:val="19"/>
          <w:lang w:val="es-CO"/>
        </w:rPr>
      </w:pPr>
    </w:p>
  </w:footnote>
  <w:footnote w:id="6">
    <w:p w14:paraId="3C89A8F9" w14:textId="77777777" w:rsidR="00A21E0C" w:rsidRPr="00F52630" w:rsidRDefault="00A21E0C" w:rsidP="00A21E0C">
      <w:pPr>
        <w:pStyle w:val="Textonotapie"/>
        <w:ind w:firstLine="708"/>
        <w:jc w:val="both"/>
        <w:rPr>
          <w:rFonts w:ascii="Arial" w:hAnsi="Arial" w:cs="Arial"/>
          <w:color w:val="000000"/>
          <w:sz w:val="19"/>
          <w:szCs w:val="19"/>
        </w:rPr>
      </w:pPr>
      <w:r w:rsidRPr="00F52630">
        <w:rPr>
          <w:rStyle w:val="Refdenotaalpie"/>
          <w:rFonts w:ascii="Arial" w:hAnsi="Arial" w:cs="Arial"/>
          <w:color w:val="000000"/>
          <w:sz w:val="19"/>
          <w:szCs w:val="19"/>
        </w:rPr>
        <w:footnoteRef/>
      </w:r>
      <w:r w:rsidRPr="00F52630">
        <w:rPr>
          <w:rFonts w:ascii="Arial" w:hAnsi="Arial" w:cs="Arial"/>
          <w:color w:val="000000"/>
          <w:sz w:val="19"/>
          <w:szCs w:val="19"/>
        </w:rPr>
        <w:t xml:space="preserve"> https://dle.rae.es   </w:t>
      </w:r>
    </w:p>
    <w:p w14:paraId="082425DD" w14:textId="77777777" w:rsidR="00A21E0C" w:rsidRPr="00F52630" w:rsidRDefault="00A21E0C" w:rsidP="00A21E0C">
      <w:pPr>
        <w:pStyle w:val="Textonotapie"/>
        <w:ind w:firstLine="708"/>
        <w:jc w:val="both"/>
        <w:rPr>
          <w:rFonts w:ascii="Arial" w:hAnsi="Arial" w:cs="Arial"/>
          <w:color w:val="000000"/>
          <w:sz w:val="19"/>
          <w:szCs w:val="19"/>
        </w:rPr>
      </w:pPr>
    </w:p>
  </w:footnote>
  <w:footnote w:id="7">
    <w:p w14:paraId="6DCD34BF" w14:textId="77777777" w:rsidR="00A21E0C" w:rsidRPr="00F52630" w:rsidRDefault="00A21E0C" w:rsidP="00A21E0C">
      <w:pPr>
        <w:pStyle w:val="Textonotapie"/>
        <w:ind w:firstLine="708"/>
        <w:jc w:val="both"/>
        <w:rPr>
          <w:rFonts w:ascii="Arial" w:hAnsi="Arial" w:cs="Arial"/>
          <w:color w:val="000000"/>
          <w:sz w:val="19"/>
          <w:szCs w:val="19"/>
          <w:lang w:val="es-ES"/>
        </w:rPr>
      </w:pPr>
      <w:r w:rsidRPr="00F52630">
        <w:rPr>
          <w:rStyle w:val="Refdenotaalpie"/>
          <w:rFonts w:ascii="Arial" w:hAnsi="Arial" w:cs="Arial"/>
          <w:color w:val="000000"/>
          <w:sz w:val="19"/>
          <w:szCs w:val="19"/>
        </w:rPr>
        <w:footnoteRef/>
      </w:r>
      <w:r w:rsidRPr="00F52630">
        <w:rPr>
          <w:rFonts w:ascii="Arial" w:hAnsi="Arial" w:cs="Arial"/>
          <w:color w:val="000000"/>
          <w:sz w:val="19"/>
          <w:szCs w:val="19"/>
        </w:rPr>
        <w:t xml:space="preserve"> Tomado de “Especificaciones generales de construcción de carreteras y normas de ensayo para materiales de carreteras” del Instituto Nacional de Vías – INVIAS, disponible en </w:t>
      </w:r>
      <w:hyperlink r:id="rId2" w:history="1">
        <w:r w:rsidRPr="00F52630">
          <w:rPr>
            <w:rStyle w:val="Hipervnculo"/>
            <w:rFonts w:ascii="Arial" w:hAnsi="Arial" w:cs="Arial"/>
            <w:color w:val="000000"/>
            <w:sz w:val="19"/>
            <w:szCs w:val="19"/>
          </w:rPr>
          <w:t>https://www.invias.gov.co/index.php/documentos-tecnicos-izq/139-documento-tecnicos/1988-especificaciones-generales-de-construccion-de-carreteras-y-normas-de-ensayo-para-materiales-decarreteras</w:t>
        </w:r>
      </w:hyperlink>
      <w:r w:rsidRPr="00F52630">
        <w:rPr>
          <w:rFonts w:ascii="Arial" w:hAnsi="Arial" w:cs="Arial"/>
          <w:color w:val="000000"/>
          <w:sz w:val="19"/>
          <w:szCs w:val="19"/>
        </w:rPr>
        <w:t>.</w:t>
      </w:r>
    </w:p>
  </w:footnote>
  <w:footnote w:id="8">
    <w:p w14:paraId="746D7CB1" w14:textId="77777777" w:rsidR="00A21E0C" w:rsidRDefault="00A21E0C" w:rsidP="00A21E0C">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C-285 del 20 de mayo de 2022. Consultar en: </w:t>
      </w:r>
      <w:hyperlink r:id="rId3" w:history="1">
        <w:r>
          <w:rPr>
            <w:rStyle w:val="Hipervnculo"/>
            <w:rFonts w:ascii="Verdana" w:hAnsi="Verdana"/>
            <w:sz w:val="16"/>
            <w:szCs w:val="16"/>
          </w:rPr>
          <w:t>https://relatoria.colombiacompra.gov.co/conceptos/c-285-de-2022/</w:t>
        </w:r>
      </w:hyperlink>
    </w:p>
    <w:p w14:paraId="27559581" w14:textId="77777777" w:rsidR="00A21E0C" w:rsidRDefault="00A21E0C" w:rsidP="00A21E0C">
      <w:pPr>
        <w:pStyle w:val="Textonotapie"/>
        <w:ind w:firstLine="708"/>
        <w:jc w:val="both"/>
        <w:rPr>
          <w:rFonts w:ascii="Verdana" w:hAnsi="Verdana"/>
          <w:sz w:val="16"/>
          <w:szCs w:val="16"/>
          <w:lang w:val="es-CO"/>
        </w:rPr>
      </w:pPr>
      <w:r>
        <w:rPr>
          <w:rFonts w:ascii="Verdana" w:hAnsi="Verdana"/>
          <w:sz w:val="16"/>
          <w:szCs w:val="16"/>
        </w:rPr>
        <w:t xml:space="preserve"> </w:t>
      </w:r>
    </w:p>
  </w:footnote>
  <w:footnote w:id="9">
    <w:p w14:paraId="19552B71" w14:textId="77777777" w:rsidR="00A21E0C" w:rsidRDefault="00A21E0C" w:rsidP="00A21E0C">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C-447 del 19 de septiembre de 2024. Consultar en: </w:t>
      </w:r>
      <w:hyperlink r:id="rId4" w:history="1">
        <w:r>
          <w:rPr>
            <w:rStyle w:val="Hipervnculo"/>
            <w:rFonts w:ascii="Verdana" w:hAnsi="Verdana"/>
            <w:sz w:val="16"/>
            <w:szCs w:val="16"/>
          </w:rPr>
          <w:t>https://relatoria.colombiacompra.gov.co/conceptos/c-447-de-2024/</w:t>
        </w:r>
      </w:hyperlink>
      <w:r>
        <w:rPr>
          <w:rFonts w:ascii="Verdana" w:hAnsi="Verdana"/>
          <w:sz w:val="16"/>
          <w:szCs w:val="16"/>
        </w:rPr>
        <w:t xml:space="preserve"> </w:t>
      </w:r>
    </w:p>
    <w:p w14:paraId="73703CA7" w14:textId="77777777" w:rsidR="00A21E0C" w:rsidRDefault="00A21E0C" w:rsidP="00A21E0C">
      <w:pPr>
        <w:pStyle w:val="Textonotapie"/>
        <w:jc w:val="both"/>
        <w:rPr>
          <w:rFonts w:ascii="Verdana" w:hAnsi="Verdana"/>
          <w:sz w:val="16"/>
          <w:szCs w:val="16"/>
        </w:rPr>
      </w:pPr>
    </w:p>
  </w:footnote>
  <w:footnote w:id="10">
    <w:p w14:paraId="33D3D21F" w14:textId="77777777" w:rsidR="00A21E0C" w:rsidRDefault="00A21E0C" w:rsidP="00A21E0C">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Style w:val="Refdenotaalpie"/>
          <w:rFonts w:ascii="Verdana" w:hAnsi="Verdana" w:cs="Arial"/>
          <w:color w:val="000000"/>
          <w:sz w:val="16"/>
          <w:szCs w:val="16"/>
        </w:rPr>
        <w:t xml:space="preserve"> </w:t>
      </w:r>
      <w:r>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6030C80D" w14:textId="77777777" w:rsidR="00A21E0C" w:rsidRDefault="00A21E0C" w:rsidP="00A21E0C">
      <w:pPr>
        <w:pStyle w:val="Textonotapie"/>
        <w:ind w:firstLine="709"/>
        <w:jc w:val="both"/>
        <w:rPr>
          <w:rFonts w:ascii="Verdana" w:hAnsi="Verdana" w:cs="Arial"/>
          <w:color w:val="000000"/>
          <w:sz w:val="16"/>
          <w:szCs w:val="16"/>
        </w:rPr>
      </w:pPr>
    </w:p>
  </w:footnote>
  <w:footnote w:id="11">
    <w:p w14:paraId="4A777DED" w14:textId="77777777" w:rsidR="00A21E0C" w:rsidRDefault="00A21E0C" w:rsidP="00A21E0C">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6526D9D1" w14:textId="77777777" w:rsidR="00A21E0C" w:rsidRDefault="00A21E0C" w:rsidP="00A21E0C">
      <w:pPr>
        <w:pStyle w:val="Textonotapie"/>
        <w:ind w:firstLine="709"/>
        <w:jc w:val="both"/>
        <w:rPr>
          <w:rFonts w:ascii="Verdana" w:hAnsi="Verdana" w:cs="Arial"/>
          <w:color w:val="000000"/>
          <w:sz w:val="16"/>
          <w:szCs w:val="16"/>
        </w:rPr>
      </w:pPr>
      <w:r>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1E7F1646" w14:textId="77777777" w:rsidR="00A21E0C" w:rsidRDefault="00A21E0C" w:rsidP="00A21E0C">
      <w:pPr>
        <w:pStyle w:val="Textonotapie"/>
        <w:ind w:firstLine="709"/>
        <w:jc w:val="both"/>
        <w:rPr>
          <w:rFonts w:ascii="Verdana" w:hAnsi="Verdana" w:cs="Arial"/>
          <w:color w:val="000000"/>
          <w:sz w:val="16"/>
          <w:szCs w:val="16"/>
        </w:rPr>
      </w:pPr>
    </w:p>
  </w:footnote>
  <w:footnote w:id="12">
    <w:p w14:paraId="0C862BC3" w14:textId="77777777" w:rsidR="00A21E0C" w:rsidRDefault="00A21E0C" w:rsidP="00A21E0C">
      <w:pPr>
        <w:pStyle w:val="Textonotapie"/>
        <w:ind w:firstLine="709"/>
        <w:jc w:val="both"/>
        <w:rPr>
          <w:rFonts w:ascii="Verdana" w:hAnsi="Verdana" w:cs="Arial"/>
          <w:color w:val="000000"/>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12499163" w14:textId="77777777" w:rsidR="00A21E0C" w:rsidRDefault="00A21E0C" w:rsidP="00A21E0C">
      <w:pPr>
        <w:pStyle w:val="Textonotapie"/>
        <w:ind w:firstLine="709"/>
        <w:jc w:val="both"/>
        <w:rPr>
          <w:rFonts w:ascii="Verdana" w:hAnsi="Verdana" w:cs="Arial"/>
          <w:color w:val="000000"/>
          <w:sz w:val="16"/>
          <w:szCs w:val="16"/>
        </w:rPr>
      </w:pPr>
      <w:r>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5" w:history="1">
        <w:r>
          <w:rPr>
            <w:rStyle w:val="Hipervnculo"/>
            <w:rFonts w:ascii="Verdana" w:hAnsi="Verdana" w:cs="Arial"/>
            <w:sz w:val="16"/>
            <w:szCs w:val="16"/>
          </w:rPr>
          <w:t>https://www.colombiacompra.gov.co/circulares?page=2</w:t>
        </w:r>
      </w:hyperlink>
      <w:r>
        <w:rPr>
          <w:rStyle w:val="Hipervnculo"/>
          <w:rFonts w:ascii="Verdana" w:hAnsi="Verdana" w:cs="Arial"/>
          <w:color w:val="000000"/>
          <w:sz w:val="16"/>
          <w:szCs w:val="16"/>
        </w:rPr>
        <w:t xml:space="preserve"> </w:t>
      </w:r>
    </w:p>
    <w:p w14:paraId="2B5B49A0" w14:textId="77777777" w:rsidR="00A21E0C" w:rsidRDefault="00A21E0C" w:rsidP="00A21E0C">
      <w:pPr>
        <w:pStyle w:val="Textonotapie"/>
        <w:ind w:firstLine="709"/>
        <w:jc w:val="both"/>
        <w:rPr>
          <w:rFonts w:ascii="Verdana" w:hAnsi="Verdana" w:cs="Arial"/>
          <w:color w:val="000000"/>
          <w:sz w:val="16"/>
          <w:szCs w:val="16"/>
        </w:rPr>
      </w:pPr>
    </w:p>
  </w:footnote>
  <w:footnote w:id="13">
    <w:p w14:paraId="68243D9D" w14:textId="77777777" w:rsidR="00A21E0C" w:rsidRDefault="00A21E0C" w:rsidP="00A21E0C">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Ver Consejo de Estado, Sección Tercera, Subsección C. Sentencia del 26 de febrero de 2011. C.P. Jaime Orlando Santofimio. Rad. 36.408. </w:t>
      </w:r>
    </w:p>
  </w:footnote>
  <w:footnote w:id="14">
    <w:p w14:paraId="515C9C9B" w14:textId="77777777" w:rsidR="00A21E0C" w:rsidRDefault="00A21E0C" w:rsidP="00A21E0C">
      <w:pPr>
        <w:pStyle w:val="Textonotapie"/>
        <w:ind w:firstLine="709"/>
        <w:jc w:val="both"/>
        <w:rPr>
          <w:rFonts w:ascii="Verdana" w:hAnsi="Verdana" w:cs="Arial"/>
          <w:color w:val="000000"/>
          <w:sz w:val="16"/>
          <w:szCs w:val="16"/>
        </w:rPr>
      </w:pPr>
    </w:p>
    <w:p w14:paraId="68F0C7B7" w14:textId="77777777" w:rsidR="00A21E0C" w:rsidRDefault="00A21E0C" w:rsidP="00A21E0C">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Ver Consejo de Estado, Sección Tercera, Subsección C. Sentencia del 26 de febrero de 2014. C.P. Enrique Gil Botero. Rad. 25.804. </w:t>
      </w:r>
    </w:p>
    <w:p w14:paraId="782A9669" w14:textId="77777777" w:rsidR="00A21E0C" w:rsidRDefault="00A21E0C" w:rsidP="00A21E0C">
      <w:pPr>
        <w:pStyle w:val="Textonotapie"/>
        <w:ind w:firstLine="709"/>
        <w:jc w:val="both"/>
        <w:rPr>
          <w:rFonts w:ascii="Verdana" w:hAnsi="Verdana" w:cs="Arial"/>
          <w:color w:val="000000"/>
          <w:sz w:val="16"/>
          <w:szCs w:val="16"/>
        </w:rPr>
      </w:pPr>
    </w:p>
  </w:footnote>
  <w:footnote w:id="15">
    <w:p w14:paraId="14D93FAB" w14:textId="77777777" w:rsidR="00A21E0C" w:rsidRDefault="00A21E0C" w:rsidP="00A21E0C">
      <w:pPr>
        <w:pStyle w:val="Textonotapie"/>
        <w:ind w:firstLine="708"/>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Consejo de Estado. Sala de Consulta y Servicio Civil. Concepto del 20 de mayo de 2010. Expediente: 1992. Consejero Ponente: Enrique José Arboleda Perdomo.</w:t>
      </w:r>
    </w:p>
    <w:p w14:paraId="6D6C50D2" w14:textId="77777777" w:rsidR="00A21E0C" w:rsidRDefault="00A21E0C" w:rsidP="00A21E0C">
      <w:pPr>
        <w:pStyle w:val="Textonotapie"/>
        <w:ind w:firstLine="708"/>
        <w:jc w:val="both"/>
        <w:rPr>
          <w:rFonts w:ascii="Verdana" w:hAnsi="Verdana" w:cs="Arial"/>
          <w:color w:val="000000"/>
          <w:sz w:val="16"/>
          <w:szCs w:val="16"/>
        </w:rPr>
      </w:pPr>
    </w:p>
  </w:footnote>
  <w:footnote w:id="16">
    <w:p w14:paraId="6F656FFD" w14:textId="77777777" w:rsidR="00A21E0C" w:rsidRDefault="00A21E0C" w:rsidP="00A21E0C">
      <w:pPr>
        <w:spacing w:after="0" w:line="240" w:lineRule="auto"/>
        <w:ind w:firstLine="709"/>
        <w:jc w:val="both"/>
        <w:rPr>
          <w:rFonts w:ascii="Verdana" w:eastAsia="Arial" w:hAnsi="Verdana" w:cs="Arial"/>
          <w:color w:val="000000"/>
          <w:sz w:val="16"/>
          <w:szCs w:val="16"/>
        </w:rPr>
      </w:pPr>
      <w:r>
        <w:rPr>
          <w:rFonts w:ascii="Verdana" w:hAnsi="Verdana" w:cs="Arial"/>
          <w:sz w:val="16"/>
          <w:szCs w:val="16"/>
          <w:vertAlign w:val="superscript"/>
        </w:rPr>
        <w:footnoteRef/>
      </w:r>
      <w:r>
        <w:rPr>
          <w:rFonts w:ascii="Verdana" w:eastAsia="Arial" w:hAnsi="Verdana" w:cs="Arial"/>
          <w:color w:val="000000"/>
          <w:sz w:val="16"/>
          <w:szCs w:val="16"/>
        </w:rPr>
        <w:t xml:space="preserve"> Consejo de Estado. Sección Tercera. Subsección C. Sentencia del 12 de noviembre de 2014. Exp. 27.986. C.P. Enrique Gil Botero.</w:t>
      </w:r>
    </w:p>
    <w:p w14:paraId="218625BD" w14:textId="77777777" w:rsidR="00A21E0C" w:rsidRDefault="00A21E0C" w:rsidP="00A21E0C">
      <w:pPr>
        <w:spacing w:after="0" w:line="240" w:lineRule="auto"/>
        <w:ind w:firstLine="709"/>
        <w:jc w:val="both"/>
        <w:rPr>
          <w:rFonts w:ascii="Verdana" w:eastAsia="Arial" w:hAnsi="Verdana" w:cs="Arial"/>
          <w:color w:val="000000"/>
          <w:sz w:val="16"/>
          <w:szCs w:val="16"/>
        </w:rPr>
      </w:pPr>
    </w:p>
  </w:footnote>
  <w:footnote w:id="17">
    <w:p w14:paraId="32627BA2" w14:textId="77777777" w:rsidR="00A21E0C" w:rsidRDefault="00A21E0C" w:rsidP="00A21E0C">
      <w:pPr>
        <w:pStyle w:val="Textonotapie"/>
        <w:ind w:firstLine="709"/>
        <w:jc w:val="both"/>
        <w:rPr>
          <w:rFonts w:ascii="Verdana" w:eastAsia="Calibri" w:hAnsi="Verdana" w:cs="Arial"/>
          <w:sz w:val="16"/>
          <w:szCs w:val="16"/>
          <w:lang w:val="es-CO"/>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bCs/>
          <w:sz w:val="16"/>
          <w:szCs w:val="16"/>
        </w:rPr>
        <w:t xml:space="preserve">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footnote>
  <w:footnote w:id="18">
    <w:p w14:paraId="072DC3A2" w14:textId="77777777" w:rsidR="00A21E0C" w:rsidRDefault="00A21E0C" w:rsidP="00A21E0C">
      <w:pPr>
        <w:spacing w:after="0" w:line="240" w:lineRule="auto"/>
        <w:ind w:firstLine="709"/>
        <w:jc w:val="both"/>
        <w:rPr>
          <w:rFonts w:ascii="Verdana" w:hAnsi="Verdana" w:cs="Arial"/>
          <w:color w:val="000000"/>
          <w:sz w:val="16"/>
          <w:szCs w:val="16"/>
        </w:rPr>
      </w:pPr>
    </w:p>
    <w:p w14:paraId="01B6BFCC" w14:textId="77777777" w:rsidR="00A21E0C" w:rsidRDefault="00A21E0C" w:rsidP="00A21E0C">
      <w:pPr>
        <w:spacing w:after="0" w:line="240" w:lineRule="auto"/>
        <w:ind w:firstLine="709"/>
        <w:jc w:val="both"/>
        <w:rPr>
          <w:rFonts w:ascii="Verdana" w:eastAsia="Arial" w:hAnsi="Verdana" w:cs="Arial"/>
          <w:i/>
          <w:color w:val="000000"/>
          <w:sz w:val="16"/>
          <w:szCs w:val="16"/>
        </w:rPr>
      </w:pPr>
      <w:r>
        <w:rPr>
          <w:rFonts w:ascii="Verdana" w:hAnsi="Verdana" w:cs="Arial"/>
          <w:sz w:val="16"/>
          <w:szCs w:val="16"/>
          <w:vertAlign w:val="superscript"/>
        </w:rPr>
        <w:footnoteRef/>
      </w:r>
      <w:r>
        <w:rPr>
          <w:rFonts w:ascii="Verdana" w:hAnsi="Verdana" w:cs="Arial"/>
          <w:color w:val="000000"/>
          <w:sz w:val="16"/>
          <w:szCs w:val="16"/>
        </w:rPr>
        <w:t xml:space="preserve"> </w:t>
      </w:r>
      <w:r>
        <w:rPr>
          <w:rFonts w:ascii="Verdana" w:eastAsia="Arial" w:hAnsi="Verdana" w:cs="Arial"/>
          <w:color w:val="000000"/>
          <w:sz w:val="16"/>
          <w:szCs w:val="16"/>
        </w:rPr>
        <w:t>Ibídem</w:t>
      </w:r>
      <w:r>
        <w:rPr>
          <w:rFonts w:ascii="Verdana" w:eastAsia="Arial" w:hAnsi="Verdana" w:cs="Arial"/>
          <w:i/>
          <w:color w:val="000000"/>
          <w:sz w:val="16"/>
          <w:szCs w:val="16"/>
        </w:rPr>
        <w:t>.</w:t>
      </w:r>
    </w:p>
    <w:p w14:paraId="5AE8B373" w14:textId="77777777" w:rsidR="00A21E0C" w:rsidRDefault="00A21E0C" w:rsidP="00A21E0C">
      <w:pPr>
        <w:spacing w:after="0" w:line="240" w:lineRule="auto"/>
        <w:ind w:firstLine="709"/>
        <w:jc w:val="both"/>
        <w:rPr>
          <w:rFonts w:ascii="Verdana" w:eastAsia="Calibri" w:hAnsi="Verdana" w:cs="Arial"/>
          <w:color w:val="000000"/>
          <w:sz w:val="16"/>
          <w:szCs w:val="16"/>
        </w:rPr>
      </w:pPr>
    </w:p>
  </w:footnote>
  <w:footnote w:id="19">
    <w:p w14:paraId="2C39216A" w14:textId="77777777" w:rsidR="00A21E0C" w:rsidRDefault="00A21E0C" w:rsidP="00A21E0C">
      <w:pPr>
        <w:spacing w:after="0" w:line="240" w:lineRule="auto"/>
        <w:ind w:firstLine="709"/>
        <w:jc w:val="both"/>
        <w:rPr>
          <w:rFonts w:ascii="Verdana" w:hAnsi="Verdana" w:cs="Arial"/>
          <w:color w:val="000000"/>
          <w:sz w:val="16"/>
          <w:szCs w:val="16"/>
        </w:rPr>
      </w:pPr>
      <w:r>
        <w:rPr>
          <w:rFonts w:ascii="Verdana" w:hAnsi="Verdana" w:cs="Arial"/>
          <w:sz w:val="16"/>
          <w:szCs w:val="16"/>
          <w:vertAlign w:val="superscript"/>
        </w:rPr>
        <w:footnoteRef/>
      </w:r>
      <w:r>
        <w:rPr>
          <w:rFonts w:ascii="Verdana" w:hAnsi="Verdana" w:cs="Arial"/>
          <w:color w:val="000000"/>
          <w:sz w:val="16"/>
          <w:szCs w:val="16"/>
        </w:rPr>
        <w:t xml:space="preserve"> Ibídem.</w:t>
      </w:r>
    </w:p>
    <w:p w14:paraId="26C3B9CC" w14:textId="77777777" w:rsidR="00A21E0C" w:rsidRDefault="00A21E0C" w:rsidP="00A21E0C">
      <w:pPr>
        <w:spacing w:after="0" w:line="240" w:lineRule="auto"/>
        <w:ind w:firstLine="709"/>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0B00C3C"/>
    <w:multiLevelType w:val="hybridMultilevel"/>
    <w:tmpl w:val="3D3C75CC"/>
    <w:lvl w:ilvl="0" w:tplc="AC444D3E">
      <w:start w:val="1"/>
      <w:numFmt w:val="upperLetter"/>
      <w:lvlText w:val="%1."/>
      <w:lvlJc w:val="left"/>
      <w:pPr>
        <w:ind w:left="720" w:hanging="360"/>
      </w:pPr>
      <w:rPr>
        <w:rFonts w:ascii="Arial" w:hAnsi="Arial" w:cs="Arial" w:hint="default"/>
        <w:color w:val="auto"/>
        <w:sz w:val="20"/>
        <w:szCs w:val="18"/>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827985604">
    <w:abstractNumId w:val="9"/>
  </w:num>
  <w:num w:numId="17" w16cid:durableId="341274352">
    <w:abstractNumId w:val="0"/>
  </w:num>
  <w:num w:numId="18" w16cid:durableId="14232638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4E36"/>
    <w:rsid w:val="000A683E"/>
    <w:rsid w:val="000B19B9"/>
    <w:rsid w:val="000B6BBF"/>
    <w:rsid w:val="000D0334"/>
    <w:rsid w:val="000D5DA7"/>
    <w:rsid w:val="000F6486"/>
    <w:rsid w:val="00116940"/>
    <w:rsid w:val="00125105"/>
    <w:rsid w:val="00127233"/>
    <w:rsid w:val="0015699B"/>
    <w:rsid w:val="001A33BF"/>
    <w:rsid w:val="001B529A"/>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2FF2"/>
    <w:rsid w:val="0042722E"/>
    <w:rsid w:val="0044528D"/>
    <w:rsid w:val="00466E39"/>
    <w:rsid w:val="004A1847"/>
    <w:rsid w:val="004A305D"/>
    <w:rsid w:val="004F21C4"/>
    <w:rsid w:val="004F685F"/>
    <w:rsid w:val="00516988"/>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7324F"/>
    <w:rsid w:val="007833AC"/>
    <w:rsid w:val="007B268C"/>
    <w:rsid w:val="007B7171"/>
    <w:rsid w:val="007C0C0F"/>
    <w:rsid w:val="007C3DC2"/>
    <w:rsid w:val="007E4CBD"/>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6AC0"/>
    <w:rsid w:val="00A17F13"/>
    <w:rsid w:val="00A20739"/>
    <w:rsid w:val="00A21E0C"/>
    <w:rsid w:val="00A23AF9"/>
    <w:rsid w:val="00A33C78"/>
    <w:rsid w:val="00AA7A54"/>
    <w:rsid w:val="00AB0ADB"/>
    <w:rsid w:val="00B00C0E"/>
    <w:rsid w:val="00B01486"/>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0F19"/>
    <w:rsid w:val="00CC1B26"/>
    <w:rsid w:val="00D361FD"/>
    <w:rsid w:val="00D423A2"/>
    <w:rsid w:val="00D44E26"/>
    <w:rsid w:val="00D520D8"/>
    <w:rsid w:val="00D63AC2"/>
    <w:rsid w:val="00D7383B"/>
    <w:rsid w:val="00D7788A"/>
    <w:rsid w:val="00D802D3"/>
    <w:rsid w:val="00DA231B"/>
    <w:rsid w:val="00DB745A"/>
    <w:rsid w:val="00DC39FC"/>
    <w:rsid w:val="00DF5254"/>
    <w:rsid w:val="00E02524"/>
    <w:rsid w:val="00E06D7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2FBC07BA"/>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qFormat/>
    <w:rsid w:val="00A21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21E0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A21E0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conceptos/c-285-de-2022/" TargetMode="External"/><Relationship Id="rId2" Type="http://schemas.openxmlformats.org/officeDocument/2006/relationships/hyperlink" Target="https://www.invias.gov.co/index.php/documentos-tecnicos-izq/139-documento-tecnicos/1988-especificaciones-generales-de-construccion-de-carreteras-y-normas-de-ensayo-para-materiales-decarreteras" TargetMode="External"/><Relationship Id="rId1" Type="http://schemas.openxmlformats.org/officeDocument/2006/relationships/hyperlink" Target="http://www.mineducacion.gov.co/1621/articles-85593_archivo_pdf4.pdf" TargetMode="External"/><Relationship Id="rId5" Type="http://schemas.openxmlformats.org/officeDocument/2006/relationships/hyperlink" Target="https://www.colombiacompra.gov.co/circulares?page=2" TargetMode="External"/><Relationship Id="rId4" Type="http://schemas.openxmlformats.org/officeDocument/2006/relationships/hyperlink" Target="https://relatoria.colombiacompra.gov.co/conceptos/c-447-de-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80B92C6-8AE8-42AA-A8F8-2B9BD2F0B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37</Pages>
  <Words>12227</Words>
  <Characters>67251</Characters>
  <Application>Microsoft Office Word</Application>
  <DocSecurity>0</DocSecurity>
  <Lines>560</Lines>
  <Paragraphs>158</Paragraphs>
  <ScaleCrop>false</ScaleCrop>
  <Company/>
  <LinksUpToDate>false</LinksUpToDate>
  <CharactersWithSpaces>79320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2026-09-17T21:44:00Z</dcterms:created>
  <dcterms:modified xsi:type="dcterms:W3CDTF">2026-09-21T16:33:00Z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