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A52E3" w14:textId="77777777" w:rsidR="004C52E0" w:rsidRDefault="004C52E0" w:rsidP="004C52E0">
      <w:pPr>
        <w:spacing w:after="0" w:line="240" w:lineRule="auto"/>
        <w:jc w:val="both"/>
        <w:rPr>
          <w:rFonts w:ascii="Verdana" w:eastAsia="Calibri" w:hAnsi="Verdana" w:cs="Arial"/>
          <w:b/>
          <w:bCs/>
          <w:lang w:eastAsia="es-ES"/>
        </w:rPr>
      </w:pPr>
      <w:r>
        <w:rPr>
          <w:rFonts w:ascii="Verdana" w:eastAsia="Calibri" w:hAnsi="Verdana" w:cs="Arial"/>
          <w:b/>
          <w:bCs/>
          <w:lang w:eastAsia="es-ES"/>
        </w:rPr>
        <w:t xml:space="preserve">ESAL - </w:t>
      </w:r>
      <w:r w:rsidRPr="00D4104E">
        <w:rPr>
          <w:rFonts w:ascii="Verdana" w:eastAsia="Calibri" w:hAnsi="Verdana" w:cs="Arial"/>
          <w:b/>
          <w:bCs/>
          <w:lang w:eastAsia="es-ES"/>
        </w:rPr>
        <w:t>Entidad</w:t>
      </w:r>
      <w:r>
        <w:rPr>
          <w:rFonts w:ascii="Verdana" w:eastAsia="Calibri" w:hAnsi="Verdana" w:cs="Arial"/>
          <w:b/>
          <w:bCs/>
          <w:lang w:eastAsia="es-ES"/>
        </w:rPr>
        <w:t xml:space="preserve">es </w:t>
      </w:r>
      <w:r w:rsidRPr="00D4104E">
        <w:rPr>
          <w:rFonts w:ascii="Verdana" w:eastAsia="Calibri" w:hAnsi="Verdana" w:cs="Arial"/>
          <w:b/>
          <w:bCs/>
          <w:lang w:eastAsia="es-ES"/>
        </w:rPr>
        <w:t>Sin Ánimo de Lucro</w:t>
      </w:r>
      <w:r>
        <w:rPr>
          <w:rFonts w:ascii="Verdana" w:eastAsia="Calibri" w:hAnsi="Verdana" w:cs="Arial"/>
          <w:b/>
          <w:bCs/>
          <w:lang w:eastAsia="es-ES"/>
        </w:rPr>
        <w:t xml:space="preserve"> </w:t>
      </w:r>
      <w:r w:rsidRPr="00FC10D3">
        <w:rPr>
          <w:rFonts w:ascii="Verdana" w:eastAsia="Calibri" w:hAnsi="Verdana" w:cs="Arial"/>
          <w:b/>
          <w:bCs/>
          <w:lang w:eastAsia="es-ES"/>
        </w:rPr>
        <w:t>– MiPymes – Naturaleza Jurídica</w:t>
      </w:r>
    </w:p>
    <w:p w14:paraId="7AEA9605" w14:textId="77777777" w:rsidR="004C52E0" w:rsidRPr="00CC0DCB" w:rsidRDefault="004C52E0" w:rsidP="004C52E0">
      <w:pPr>
        <w:spacing w:after="0"/>
        <w:rPr>
          <w:rFonts w:ascii="Verdana" w:hAnsi="Verdana" w:cs="Arial"/>
          <w:b/>
          <w:color w:val="7030A0"/>
          <w:lang w:eastAsia="es-ES"/>
        </w:rPr>
      </w:pPr>
    </w:p>
    <w:p w14:paraId="148A2991" w14:textId="77777777" w:rsidR="004C52E0" w:rsidRPr="00372C25" w:rsidRDefault="004C52E0" w:rsidP="004C52E0">
      <w:pPr>
        <w:spacing w:after="0" w:line="240" w:lineRule="auto"/>
        <w:jc w:val="both"/>
        <w:rPr>
          <w:rFonts w:ascii="Verdana" w:hAnsi="Verdana" w:cs="Arial"/>
          <w:sz w:val="20"/>
          <w:lang w:val="es-ES_tradnl" w:eastAsia="es-ES"/>
        </w:rPr>
      </w:pPr>
      <w:r w:rsidRPr="00372C25">
        <w:rPr>
          <w:rFonts w:ascii="Verdana" w:hAnsi="Verdana" w:cs="Arial"/>
          <w:sz w:val="20"/>
          <w:szCs w:val="20"/>
          <w:lang w:val="es-ES" w:eastAsia="es-ES"/>
        </w:rPr>
        <w:t xml:space="preserve">[…] </w:t>
      </w:r>
      <w:r w:rsidRPr="00372C25">
        <w:rPr>
          <w:rFonts w:ascii="Verdana" w:hAnsi="Verdana" w:cs="Arial"/>
          <w:sz w:val="20"/>
          <w:lang w:val="es-ES_tradnl" w:eastAsia="es-ES"/>
        </w:rPr>
        <w:t>en primer lugar, es importante indicar que, en Colombia, la empresa se forma a través de un contrato de sociedad por medio del cual dos o más personas se obligan a hacer un aporte en dinero, en trabajo o en otros bienes apreciables en dinero con el fin de repartirse entre sí las utilidades obtenidas en la empresa, según el artículo 98 del Código de Comercio. En ese sentido, serán sociedades comerciales aquellas que ejecuten actos o empresas mercantiles, en los términos señalados en el artículo 100.</w:t>
      </w:r>
    </w:p>
    <w:p w14:paraId="13695AF2" w14:textId="77777777" w:rsidR="004C52E0" w:rsidRPr="00372C25" w:rsidRDefault="004C52E0" w:rsidP="004C52E0">
      <w:pPr>
        <w:spacing w:after="0" w:line="240" w:lineRule="auto"/>
        <w:jc w:val="both"/>
        <w:rPr>
          <w:rFonts w:ascii="Verdana" w:hAnsi="Verdana" w:cs="Arial"/>
          <w:sz w:val="20"/>
          <w:lang w:val="es-ES_tradnl" w:eastAsia="es-ES"/>
        </w:rPr>
      </w:pPr>
    </w:p>
    <w:p w14:paraId="4BD2C364" w14:textId="77777777" w:rsidR="004C52E0" w:rsidRPr="00372C25" w:rsidRDefault="004C52E0" w:rsidP="004C52E0">
      <w:pPr>
        <w:spacing w:after="0" w:line="240" w:lineRule="auto"/>
        <w:jc w:val="both"/>
        <w:rPr>
          <w:rFonts w:ascii="Verdana" w:hAnsi="Verdana" w:cs="Arial"/>
          <w:sz w:val="20"/>
          <w:lang w:val="es-ES_tradnl" w:eastAsia="es-ES"/>
        </w:rPr>
      </w:pPr>
      <w:r w:rsidRPr="00372C25">
        <w:rPr>
          <w:rFonts w:ascii="Verdana" w:hAnsi="Verdana" w:cs="Arial"/>
          <w:sz w:val="20"/>
          <w:lang w:val="es-ES_tradnl" w:eastAsia="es-ES"/>
        </w:rPr>
        <w:t>El libro segundo del Código de Comercio no incluye a las ESAL - como las corporaciones, asociaciones o fundaciones – en la enumeración de las sociedades comerciales. A juicio de esta Agencia, la razón de la exclusión radica en que las ESAL no tienen fines comerciales, es decir, carecen de ánimo de lucro, y por eso no forman un tipo o clase de sociedad comercial.</w:t>
      </w:r>
      <w:r w:rsidRPr="00372C25">
        <w:rPr>
          <w:rFonts w:ascii="Verdana" w:hAnsi="Verdana" w:cs="Arial"/>
          <w:sz w:val="20"/>
          <w:szCs w:val="20"/>
          <w:lang w:val="es-ES_tradnl" w:eastAsia="es-ES"/>
        </w:rPr>
        <w:t xml:space="preserve"> </w:t>
      </w:r>
      <w:r w:rsidRPr="00372C25">
        <w:rPr>
          <w:rFonts w:ascii="Verdana" w:hAnsi="Verdana" w:cs="Arial"/>
          <w:sz w:val="20"/>
          <w:szCs w:val="20"/>
          <w:lang w:val="es-ES" w:eastAsia="es-ES"/>
        </w:rPr>
        <w:t>[…]</w:t>
      </w:r>
    </w:p>
    <w:p w14:paraId="6F9EA61F" w14:textId="77777777" w:rsidR="004C52E0" w:rsidRPr="001F541F" w:rsidRDefault="004C52E0" w:rsidP="004C52E0">
      <w:pPr>
        <w:spacing w:after="0"/>
        <w:rPr>
          <w:rFonts w:ascii="Verdana" w:hAnsi="Verdana" w:cs="Arial"/>
          <w:b/>
          <w:color w:val="7030A0"/>
          <w:lang w:val="es-ES_tradnl" w:eastAsia="es-ES"/>
        </w:rPr>
      </w:pPr>
    </w:p>
    <w:p w14:paraId="3457E873" w14:textId="77777777" w:rsidR="004C52E0" w:rsidRPr="001B6546" w:rsidRDefault="004C52E0" w:rsidP="004C52E0">
      <w:pPr>
        <w:spacing w:after="0" w:line="240" w:lineRule="auto"/>
        <w:jc w:val="both"/>
        <w:rPr>
          <w:rFonts w:ascii="Verdana" w:eastAsia="Calibri" w:hAnsi="Verdana" w:cs="Arial"/>
          <w:lang w:val="es-ES" w:eastAsia="es-ES"/>
        </w:rPr>
      </w:pPr>
      <w:r w:rsidRPr="001B6546">
        <w:rPr>
          <w:rFonts w:ascii="Verdana" w:eastAsia="Calibri" w:hAnsi="Verdana" w:cs="Arial"/>
          <w:b/>
          <w:bCs/>
          <w:lang w:eastAsia="es-ES"/>
        </w:rPr>
        <w:t>CONVOCATORIAS LIMITADAS A MIPYMES </w:t>
      </w:r>
      <w:r w:rsidRPr="001B6546">
        <w:rPr>
          <w:rFonts w:ascii="Verdana" w:eastAsia="Calibri" w:hAnsi="Verdana" w:cs="Arial"/>
          <w:b/>
          <w:bCs/>
          <w:lang w:val="es-ES" w:eastAsia="es-ES"/>
        </w:rPr>
        <w:t>–</w:t>
      </w:r>
      <w:r w:rsidRPr="001B6546">
        <w:rPr>
          <w:rFonts w:ascii="Verdana" w:eastAsia="Calibri" w:hAnsi="Verdana" w:cs="Arial"/>
          <w:b/>
          <w:bCs/>
          <w:lang w:eastAsia="es-ES"/>
        </w:rPr>
        <w:t> MiPymes – Entidades Sin Ánimo de Lucro </w:t>
      </w:r>
      <w:r w:rsidRPr="001B6546">
        <w:rPr>
          <w:rFonts w:ascii="Verdana" w:eastAsia="Calibri" w:hAnsi="Verdana" w:cs="Arial"/>
          <w:lang w:val="es-ES" w:eastAsia="es-ES"/>
        </w:rPr>
        <w:t> </w:t>
      </w:r>
    </w:p>
    <w:p w14:paraId="2B7D60EA" w14:textId="77777777" w:rsidR="004C52E0" w:rsidRPr="001B6546" w:rsidRDefault="004C52E0" w:rsidP="004C52E0">
      <w:pPr>
        <w:spacing w:after="0"/>
        <w:rPr>
          <w:rFonts w:ascii="Verdana" w:hAnsi="Verdana" w:cs="Arial"/>
          <w:b/>
          <w:lang w:eastAsia="es-ES"/>
        </w:rPr>
      </w:pPr>
    </w:p>
    <w:p w14:paraId="03FBC262" w14:textId="77777777" w:rsidR="004C52E0" w:rsidRPr="001B6546" w:rsidRDefault="004C52E0" w:rsidP="004C52E0">
      <w:pPr>
        <w:spacing w:after="0" w:line="240" w:lineRule="auto"/>
        <w:jc w:val="both"/>
        <w:rPr>
          <w:rFonts w:ascii="Verdana" w:hAnsi="Verdana" w:cs="Arial"/>
          <w:sz w:val="20"/>
          <w:szCs w:val="20"/>
          <w:lang w:val="es-ES" w:eastAsia="es-ES"/>
        </w:rPr>
      </w:pPr>
      <w:r w:rsidRPr="001B6546">
        <w:rPr>
          <w:rFonts w:ascii="Verdana" w:hAnsi="Verdana" w:cs="Arial"/>
          <w:sz w:val="20"/>
          <w:szCs w:val="20"/>
          <w:lang w:val="es-ES" w:eastAsia="es-ES"/>
        </w:rPr>
        <w:t xml:space="preserve">[…] En ese contexto, esta Agencia ha sostenido de forma la tesis consistente en que las ESAL no pueden, por regla general, acceder a los beneficios a favor de las Mipymes ni participar en los procesos contractuales limitados a estas considerando que: “en virtud del artículo 43 de la Ley 1450 de 2011, que modificó el artículo 2 de la Ley 590 de 2000, […] puede decirse que solo podrán ser Mipymes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MiPymes. Lo anterior teniendo en cuenta que no responden al concepto de empresa que involucra dicha categoría con ánimo de lucro, por lo que no resulta jurídicamente válido aplicar a las ESAL las normas dirigidas a las Mipymes”. </w:t>
      </w:r>
    </w:p>
    <w:p w14:paraId="6C5CE71E" w14:textId="77777777" w:rsidR="004C52E0" w:rsidRPr="001B6546" w:rsidRDefault="004C52E0" w:rsidP="004C52E0">
      <w:pPr>
        <w:spacing w:after="0" w:line="240" w:lineRule="auto"/>
        <w:jc w:val="both"/>
        <w:rPr>
          <w:rFonts w:ascii="Verdana" w:hAnsi="Verdana" w:cs="Arial"/>
          <w:sz w:val="20"/>
          <w:szCs w:val="20"/>
          <w:lang w:val="es-ES" w:eastAsia="es-ES"/>
        </w:rPr>
      </w:pPr>
    </w:p>
    <w:p w14:paraId="431B489C" w14:textId="77777777" w:rsidR="004C52E0" w:rsidRPr="001B6546" w:rsidRDefault="004C52E0" w:rsidP="004C52E0">
      <w:pPr>
        <w:spacing w:after="0" w:line="240" w:lineRule="auto"/>
        <w:jc w:val="both"/>
        <w:rPr>
          <w:rFonts w:ascii="Verdana" w:hAnsi="Verdana" w:cs="Arial"/>
          <w:sz w:val="20"/>
          <w:szCs w:val="20"/>
          <w:lang w:val="es-ES" w:eastAsia="es-ES"/>
        </w:rPr>
      </w:pPr>
      <w:r w:rsidRPr="001B6546">
        <w:rPr>
          <w:rFonts w:ascii="Verdana" w:hAnsi="Verdana" w:cs="Arial"/>
          <w:sz w:val="20"/>
          <w:szCs w:val="20"/>
          <w:lang w:val="es-ES" w:eastAsia="es-ES"/>
        </w:rPr>
        <w:t>De acuerdo a esta postura, y en virtud de lo señalado en el artículo 43 de la Ley 1450 de 2011, que modificó el artículo 2 de la Ley 590 de 2000, solo podrán ser consideradas Mipymes las empresas, pues son unidades de explotación económica que buscan el reparto de utilidades entre los miembros de la empresa, sin perjuicio de las precisiones que se realizarán más adelante en relación con el artículo 23 de la Ley 2069 de 2020 […]</w:t>
      </w:r>
    </w:p>
    <w:p w14:paraId="08BD52EE" w14:textId="77777777" w:rsidR="004C52E0" w:rsidRPr="001F541F" w:rsidRDefault="004C52E0" w:rsidP="004C52E0">
      <w:pPr>
        <w:spacing w:after="0" w:line="240" w:lineRule="auto"/>
        <w:jc w:val="both"/>
        <w:rPr>
          <w:rFonts w:ascii="Verdana" w:hAnsi="Verdana" w:cs="Arial"/>
          <w:b/>
          <w:color w:val="7030A0"/>
          <w:lang w:eastAsia="es-ES"/>
        </w:rPr>
      </w:pPr>
    </w:p>
    <w:p w14:paraId="62232829" w14:textId="77777777" w:rsidR="004C52E0" w:rsidRPr="001579C8" w:rsidRDefault="004C52E0" w:rsidP="004C52E0">
      <w:pPr>
        <w:spacing w:after="0" w:line="240" w:lineRule="auto"/>
        <w:jc w:val="both"/>
        <w:rPr>
          <w:rFonts w:ascii="Verdana" w:eastAsia="Calibri" w:hAnsi="Verdana" w:cs="Arial"/>
          <w:lang w:val="es-ES" w:eastAsia="es-ES"/>
        </w:rPr>
      </w:pPr>
      <w:r w:rsidRPr="001579C8">
        <w:rPr>
          <w:rFonts w:ascii="Verdana" w:eastAsia="Calibri" w:hAnsi="Verdana" w:cs="Arial"/>
          <w:b/>
          <w:bCs/>
          <w:lang w:eastAsia="es-ES"/>
        </w:rPr>
        <w:t>LIMITACIÓN A MIPYMES </w:t>
      </w:r>
      <w:r w:rsidRPr="001579C8">
        <w:rPr>
          <w:rFonts w:ascii="Verdana" w:eastAsia="Calibri" w:hAnsi="Verdana" w:cs="Arial"/>
          <w:b/>
          <w:bCs/>
          <w:lang w:val="es-ES" w:eastAsia="es-ES"/>
        </w:rPr>
        <w:t>–</w:t>
      </w:r>
      <w:r w:rsidRPr="001579C8">
        <w:rPr>
          <w:rFonts w:ascii="Verdana" w:eastAsia="Calibri" w:hAnsi="Verdana" w:cs="Arial"/>
          <w:b/>
          <w:bCs/>
          <w:lang w:eastAsia="es-ES"/>
        </w:rPr>
        <w:t> Requisitos – MiPymes – Entidades Sin Ánimo de Lucro </w:t>
      </w:r>
      <w:r w:rsidRPr="001579C8">
        <w:rPr>
          <w:rFonts w:ascii="Verdana" w:eastAsia="Calibri" w:hAnsi="Verdana" w:cs="Arial"/>
          <w:lang w:val="es-ES" w:eastAsia="es-ES"/>
        </w:rPr>
        <w:t> </w:t>
      </w:r>
    </w:p>
    <w:p w14:paraId="79C89378" w14:textId="77777777" w:rsidR="004C52E0" w:rsidRPr="001579C8" w:rsidRDefault="004C52E0" w:rsidP="004C52E0">
      <w:pPr>
        <w:spacing w:after="0"/>
        <w:rPr>
          <w:rFonts w:ascii="Verdana" w:hAnsi="Verdana" w:cs="Arial"/>
          <w:b/>
          <w:lang w:val="es-ES" w:eastAsia="es-ES"/>
        </w:rPr>
      </w:pPr>
    </w:p>
    <w:p w14:paraId="1ECE55FC" w14:textId="77777777" w:rsidR="004C52E0" w:rsidRPr="001579C8" w:rsidRDefault="004C52E0" w:rsidP="004C52E0">
      <w:pPr>
        <w:spacing w:after="0" w:line="240" w:lineRule="auto"/>
        <w:jc w:val="both"/>
        <w:rPr>
          <w:rFonts w:ascii="Verdana" w:hAnsi="Verdana" w:cs="Arial"/>
          <w:sz w:val="20"/>
          <w:szCs w:val="20"/>
          <w:lang w:val="es-ES" w:eastAsia="es-ES"/>
        </w:rPr>
      </w:pPr>
      <w:r w:rsidRPr="001579C8">
        <w:rPr>
          <w:rFonts w:ascii="Verdana" w:hAnsi="Verdana" w:cs="Arial"/>
          <w:sz w:val="20"/>
          <w:szCs w:val="20"/>
          <w:lang w:eastAsia="es-ES"/>
        </w:rPr>
        <w:t>[</w:t>
      </w:r>
      <w:r w:rsidRPr="001579C8">
        <w:rPr>
          <w:rFonts w:ascii="Verdana" w:hAnsi="Verdana" w:cs="Arial"/>
          <w:sz w:val="20"/>
          <w:szCs w:val="20"/>
          <w:lang w:val="es-ES" w:eastAsia="es-ES"/>
        </w:rPr>
        <w:t xml:space="preserve">…] el numeral primero limita cuantitativamente los procesos contractuales en los que se puede hacer esa convocatoria limitada a MiPymes, en la medida en que el valor del proceso de contratación tendrá que ser “menor a ciento veinticinco mil dólares de los </w:t>
      </w:r>
      <w:r w:rsidRPr="001579C8">
        <w:rPr>
          <w:rFonts w:ascii="Verdana" w:hAnsi="Verdana" w:cs="Arial"/>
          <w:sz w:val="20"/>
          <w:szCs w:val="20"/>
          <w:lang w:val="es-ES" w:eastAsia="es-ES"/>
        </w:rPr>
        <w:lastRenderedPageBreak/>
        <w:t xml:space="preserve">Estados Unidos de América”. Esta limitante, valga la pena aclarar, es establecida de acuerdo con la tasa que, para el efecto, determine cada dos años el Ministerio de Comercio, Industria y Turismo. </w:t>
      </w:r>
    </w:p>
    <w:p w14:paraId="6CC573E5" w14:textId="77777777" w:rsidR="004C52E0" w:rsidRPr="001579C8" w:rsidRDefault="004C52E0" w:rsidP="004C52E0">
      <w:pPr>
        <w:spacing w:after="0" w:line="240" w:lineRule="auto"/>
        <w:jc w:val="both"/>
        <w:rPr>
          <w:rFonts w:ascii="Verdana" w:hAnsi="Verdana" w:cs="Arial"/>
          <w:sz w:val="20"/>
          <w:szCs w:val="20"/>
          <w:lang w:val="es-ES" w:eastAsia="es-ES"/>
        </w:rPr>
      </w:pPr>
    </w:p>
    <w:p w14:paraId="6DFBFFBD" w14:textId="77777777" w:rsidR="004C52E0" w:rsidRPr="001579C8" w:rsidRDefault="004C52E0" w:rsidP="004C52E0">
      <w:pPr>
        <w:spacing w:after="0" w:line="240" w:lineRule="auto"/>
        <w:jc w:val="both"/>
        <w:rPr>
          <w:rFonts w:ascii="Verdana" w:hAnsi="Verdana" w:cs="Arial"/>
          <w:sz w:val="20"/>
          <w:szCs w:val="20"/>
          <w:lang w:val="es-ES" w:eastAsia="es-ES"/>
        </w:rPr>
      </w:pPr>
      <w:r w:rsidRPr="001579C8">
        <w:rPr>
          <w:rFonts w:ascii="Verdana" w:hAnsi="Verdana" w:cs="Arial"/>
          <w:sz w:val="20"/>
          <w:szCs w:val="20"/>
          <w:lang w:val="es-ES" w:eastAsia="es-ES"/>
        </w:rPr>
        <w:t xml:space="preserve">Por su parte, el numeral segundo establece dos exigencias: por un lado, que al menos dos (2) MiPymes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Además, la norma señala que, tratándose de personas jurídicas, las solicitudes solo las podrán realizar MiPymes, cuyo objeto social les permita ejecutar el contrato relacionado con el proceso contractual. </w:t>
      </w:r>
    </w:p>
    <w:p w14:paraId="778EF70F" w14:textId="77777777" w:rsidR="004C52E0" w:rsidRPr="001579C8" w:rsidRDefault="004C52E0" w:rsidP="004C52E0">
      <w:pPr>
        <w:spacing w:after="0" w:line="240" w:lineRule="auto"/>
        <w:jc w:val="both"/>
        <w:rPr>
          <w:rFonts w:ascii="Verdana" w:hAnsi="Verdana" w:cs="Arial"/>
          <w:sz w:val="20"/>
          <w:szCs w:val="20"/>
          <w:lang w:val="es-ES" w:eastAsia="es-ES"/>
        </w:rPr>
      </w:pPr>
    </w:p>
    <w:p w14:paraId="42A8EEF6" w14:textId="77777777" w:rsidR="004C52E0" w:rsidRPr="001579C8" w:rsidRDefault="004C52E0" w:rsidP="004C52E0">
      <w:pPr>
        <w:spacing w:after="0" w:line="240" w:lineRule="auto"/>
        <w:jc w:val="both"/>
        <w:rPr>
          <w:rFonts w:ascii="Verdana" w:hAnsi="Verdana" w:cs="Arial"/>
          <w:sz w:val="20"/>
          <w:szCs w:val="20"/>
          <w:lang w:val="es-ES_tradnl" w:eastAsia="es-ES"/>
        </w:rPr>
      </w:pPr>
      <w:r w:rsidRPr="001579C8">
        <w:rPr>
          <w:rFonts w:ascii="Verdana" w:hAnsi="Verdana" w:cs="Arial"/>
          <w:sz w:val="20"/>
          <w:szCs w:val="20"/>
          <w:lang w:val="es-ES" w:eastAsia="es-ES"/>
        </w:rPr>
        <w:t xml:space="preserve">Por lo demás, este artículo incluye a las cooperativas y demás entidades de economía solidaria dentro de los sujetos que pueden solicitar y participar en las convocatorias limitadas a Mipyme, siempre que estas cumplan con las condiciones señaladas en el artículo. Así las cosas, es claro que las entidades independientemente de su régimen de contratación, los patrimonios autónomos constituidos por entidades estatales y los particulares que ejecuten recursos públicos deben limitar la convocatoria de los procesos de contratación con pluralidad de oferentes a las MiPymes colombianas con mínimo un (1) año de existencia, cuando se cumplan los requisitos previstos en el artículo 2.2.1.2.4.2.2 del Decreto 1082 de 2015 anteriormente señalado. </w:t>
      </w:r>
      <w:r w:rsidRPr="001579C8">
        <w:rPr>
          <w:rFonts w:ascii="Verdana" w:hAnsi="Verdana" w:cs="Arial"/>
          <w:sz w:val="20"/>
          <w:szCs w:val="20"/>
          <w:lang w:eastAsia="es-ES"/>
        </w:rPr>
        <w:t>[</w:t>
      </w:r>
      <w:r w:rsidRPr="001579C8">
        <w:rPr>
          <w:rFonts w:ascii="Verdana" w:hAnsi="Verdana" w:cs="Arial"/>
          <w:sz w:val="20"/>
          <w:szCs w:val="20"/>
          <w:lang w:val="es-ES" w:eastAsia="es-ES"/>
        </w:rPr>
        <w:t>…]</w:t>
      </w:r>
    </w:p>
    <w:p w14:paraId="65E43E96" w14:textId="77777777" w:rsidR="004C52E0" w:rsidRPr="001F541F" w:rsidRDefault="004C52E0" w:rsidP="004C52E0">
      <w:pPr>
        <w:spacing w:after="0"/>
        <w:rPr>
          <w:rFonts w:ascii="Verdana" w:hAnsi="Verdana" w:cs="Arial"/>
          <w:b/>
          <w:color w:val="7030A0"/>
          <w:lang w:val="es-ES_tradnl" w:eastAsia="es-ES"/>
        </w:rPr>
      </w:pPr>
    </w:p>
    <w:p w14:paraId="0041FDED" w14:textId="77777777" w:rsidR="004C52E0" w:rsidRDefault="004C52E0" w:rsidP="004C52E0">
      <w:pPr>
        <w:spacing w:after="0"/>
        <w:rPr>
          <w:rFonts w:ascii="Verdana" w:hAnsi="Verdana" w:cs="Arial"/>
          <w:b/>
          <w:color w:val="7030A0"/>
          <w:lang w:val="es-ES" w:eastAsia="es-ES"/>
        </w:rPr>
      </w:pPr>
    </w:p>
    <w:p w14:paraId="7EB7231E" w14:textId="77777777" w:rsidR="004C52E0" w:rsidRPr="001F541F" w:rsidRDefault="004C52E0" w:rsidP="004C52E0">
      <w:pPr>
        <w:spacing w:after="0"/>
        <w:rPr>
          <w:rFonts w:ascii="Verdana" w:hAnsi="Verdana"/>
          <w:color w:val="7030A0"/>
        </w:rPr>
      </w:pPr>
    </w:p>
    <w:p w14:paraId="52CB34AE" w14:textId="77777777" w:rsidR="004C52E0" w:rsidRPr="001F541F" w:rsidRDefault="004C52E0" w:rsidP="004C52E0">
      <w:pPr>
        <w:spacing w:after="0"/>
        <w:rPr>
          <w:rFonts w:ascii="Verdana" w:hAnsi="Verdana"/>
          <w:color w:val="7030A0"/>
        </w:rPr>
      </w:pPr>
    </w:p>
    <w:p w14:paraId="58B0C5F6" w14:textId="77777777" w:rsidR="004C52E0" w:rsidRPr="001F541F" w:rsidRDefault="004C52E0" w:rsidP="004C52E0">
      <w:pPr>
        <w:spacing w:after="0"/>
        <w:rPr>
          <w:rFonts w:ascii="Verdana" w:hAnsi="Verdana"/>
          <w:color w:val="7030A0"/>
        </w:rPr>
      </w:pPr>
    </w:p>
    <w:p w14:paraId="10A7448A" w14:textId="77777777" w:rsidR="004C52E0" w:rsidRPr="001F541F" w:rsidRDefault="004C52E0" w:rsidP="004C52E0">
      <w:pPr>
        <w:spacing w:after="0"/>
        <w:rPr>
          <w:rFonts w:ascii="Verdana" w:hAnsi="Verdana"/>
          <w:color w:val="7030A0"/>
        </w:rPr>
      </w:pPr>
    </w:p>
    <w:p w14:paraId="7BFD1142" w14:textId="77777777" w:rsidR="004C52E0" w:rsidRPr="001F541F" w:rsidRDefault="004C52E0" w:rsidP="004C52E0">
      <w:pPr>
        <w:spacing w:after="0"/>
        <w:rPr>
          <w:rFonts w:ascii="Verdana" w:hAnsi="Verdana"/>
          <w:color w:val="7030A0"/>
        </w:rPr>
      </w:pPr>
    </w:p>
    <w:p w14:paraId="368C1AD8" w14:textId="77777777" w:rsidR="004C52E0" w:rsidRPr="001F541F" w:rsidRDefault="004C52E0" w:rsidP="004C52E0">
      <w:pPr>
        <w:spacing w:after="0"/>
        <w:rPr>
          <w:rFonts w:ascii="Verdana" w:hAnsi="Verdana"/>
          <w:color w:val="7030A0"/>
        </w:rPr>
      </w:pPr>
    </w:p>
    <w:p w14:paraId="37EEB2B3" w14:textId="77777777" w:rsidR="004C52E0" w:rsidRPr="001F541F" w:rsidRDefault="004C52E0" w:rsidP="004C52E0">
      <w:pPr>
        <w:spacing w:after="0"/>
        <w:rPr>
          <w:rFonts w:ascii="Verdana" w:hAnsi="Verdana"/>
          <w:color w:val="7030A0"/>
        </w:rPr>
      </w:pPr>
    </w:p>
    <w:p w14:paraId="5B4A5BE3" w14:textId="77777777" w:rsidR="004C52E0" w:rsidRPr="001F541F" w:rsidRDefault="004C52E0" w:rsidP="004C52E0">
      <w:pPr>
        <w:spacing w:after="0"/>
        <w:rPr>
          <w:rFonts w:ascii="Verdana" w:hAnsi="Verdana"/>
          <w:color w:val="7030A0"/>
        </w:rPr>
      </w:pPr>
    </w:p>
    <w:p w14:paraId="4EB3EBA8" w14:textId="77777777" w:rsidR="004C52E0" w:rsidRPr="001F541F" w:rsidRDefault="004C52E0" w:rsidP="004C52E0">
      <w:pPr>
        <w:spacing w:after="0"/>
        <w:rPr>
          <w:rFonts w:ascii="Verdana" w:hAnsi="Verdana"/>
          <w:color w:val="7030A0"/>
        </w:rPr>
      </w:pPr>
    </w:p>
    <w:p w14:paraId="67645DDA" w14:textId="77777777" w:rsidR="004C52E0" w:rsidRPr="001F541F" w:rsidRDefault="004C52E0" w:rsidP="004C52E0">
      <w:pPr>
        <w:spacing w:after="0"/>
        <w:rPr>
          <w:rFonts w:ascii="Verdana" w:hAnsi="Verdana"/>
          <w:color w:val="7030A0"/>
        </w:rPr>
      </w:pPr>
    </w:p>
    <w:p w14:paraId="10715B86" w14:textId="77777777" w:rsidR="004C52E0" w:rsidRPr="001F541F" w:rsidRDefault="004C52E0" w:rsidP="004C52E0">
      <w:pPr>
        <w:spacing w:after="0"/>
        <w:rPr>
          <w:rFonts w:ascii="Verdana" w:hAnsi="Verdana"/>
          <w:color w:val="7030A0"/>
        </w:rPr>
      </w:pPr>
    </w:p>
    <w:p w14:paraId="67D0E9A9" w14:textId="77777777" w:rsidR="004C52E0" w:rsidRPr="001F541F" w:rsidRDefault="004C52E0" w:rsidP="004C52E0">
      <w:pPr>
        <w:spacing w:after="0"/>
        <w:rPr>
          <w:rFonts w:ascii="Verdana" w:hAnsi="Verdana"/>
          <w:color w:val="7030A0"/>
        </w:rPr>
      </w:pPr>
    </w:p>
    <w:p w14:paraId="54A0EB42" w14:textId="77777777" w:rsidR="004C52E0" w:rsidRPr="001F541F" w:rsidRDefault="004C52E0" w:rsidP="004C52E0">
      <w:pPr>
        <w:spacing w:after="0"/>
        <w:rPr>
          <w:rFonts w:ascii="Verdana" w:hAnsi="Verdana"/>
          <w:color w:val="7030A0"/>
        </w:rPr>
      </w:pPr>
    </w:p>
    <w:p w14:paraId="3C6E2E46" w14:textId="77777777" w:rsidR="004C52E0" w:rsidRPr="001F541F" w:rsidRDefault="004C52E0" w:rsidP="004C52E0">
      <w:pPr>
        <w:spacing w:after="0"/>
        <w:rPr>
          <w:rFonts w:ascii="Verdana" w:hAnsi="Verdana"/>
          <w:color w:val="7030A0"/>
        </w:rPr>
      </w:pPr>
    </w:p>
    <w:p w14:paraId="69F21176" w14:textId="77777777" w:rsidR="004C52E0" w:rsidRPr="001F541F" w:rsidRDefault="004C52E0" w:rsidP="004C52E0">
      <w:pPr>
        <w:spacing w:after="0"/>
        <w:rPr>
          <w:rFonts w:ascii="Verdana" w:hAnsi="Verdana"/>
          <w:color w:val="7030A0"/>
        </w:rPr>
      </w:pPr>
    </w:p>
    <w:p w14:paraId="0694DA80" w14:textId="77777777" w:rsidR="004C52E0" w:rsidRPr="001F541F" w:rsidRDefault="004C52E0" w:rsidP="004C52E0">
      <w:pPr>
        <w:spacing w:after="0"/>
        <w:rPr>
          <w:rFonts w:ascii="Verdana" w:hAnsi="Verdana"/>
          <w:color w:val="7030A0"/>
        </w:rPr>
      </w:pPr>
    </w:p>
    <w:p w14:paraId="178F12EE" w14:textId="77777777" w:rsidR="004C52E0" w:rsidRPr="001F541F" w:rsidRDefault="004C52E0" w:rsidP="004C52E0">
      <w:pPr>
        <w:spacing w:after="0"/>
        <w:rPr>
          <w:rFonts w:ascii="Verdana" w:hAnsi="Verdana"/>
          <w:color w:val="7030A0"/>
        </w:rPr>
      </w:pPr>
    </w:p>
    <w:p w14:paraId="66D5F14D" w14:textId="77777777" w:rsidR="004C52E0" w:rsidRPr="001F541F" w:rsidRDefault="004C52E0" w:rsidP="004C52E0">
      <w:pPr>
        <w:spacing w:after="0"/>
        <w:rPr>
          <w:rFonts w:ascii="Verdana" w:hAnsi="Verdana"/>
          <w:color w:val="7030A0"/>
        </w:rPr>
      </w:pPr>
    </w:p>
    <w:p w14:paraId="389703B2" w14:textId="1CEDD244" w:rsidR="004C52E0" w:rsidRPr="00FF529D" w:rsidRDefault="009B1B20" w:rsidP="004C52E0">
      <w:pPr>
        <w:spacing w:after="0"/>
        <w:rPr>
          <w:rFonts w:ascii="Verdana" w:hAnsi="Verdana"/>
        </w:rPr>
      </w:pPr>
      <w:r w:rsidRPr="009B1B20">
        <w:rPr>
          <w:rFonts w:ascii="Verdana" w:hAnsi="Verdana"/>
          <w:lang w:val="es-ES"/>
        </w:rPr>
        <w:lastRenderedPageBreak/>
        <w:drawing>
          <wp:anchor distT="0" distB="0" distL="114300" distR="114300" simplePos="0" relativeHeight="251658240" behindDoc="1" locked="0" layoutInCell="1" allowOverlap="1" wp14:anchorId="35DCD9CE" wp14:editId="1001C6D8">
            <wp:simplePos x="0" y="0"/>
            <wp:positionH relativeFrom="margin">
              <wp:posOffset>3288665</wp:posOffset>
            </wp:positionH>
            <wp:positionV relativeFrom="paragraph">
              <wp:posOffset>109855</wp:posOffset>
            </wp:positionV>
            <wp:extent cx="2609908" cy="723756"/>
            <wp:effectExtent l="0" t="0" r="0" b="635"/>
            <wp:wrapNone/>
            <wp:docPr id="18191424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142493" name=""/>
                    <pic:cNvPicPr/>
                  </pic:nvPicPr>
                  <pic:blipFill>
                    <a:blip r:embed="rId10">
                      <a:extLst>
                        <a:ext uri="{28A0092B-C50C-407E-A947-70E740481C1C}">
                          <a14:useLocalDpi xmlns:a14="http://schemas.microsoft.com/office/drawing/2010/main" val="0"/>
                        </a:ext>
                      </a:extLst>
                    </a:blip>
                    <a:stretch>
                      <a:fillRect/>
                    </a:stretch>
                  </pic:blipFill>
                  <pic:spPr>
                    <a:xfrm>
                      <a:off x="0" y="0"/>
                      <a:ext cx="2609908" cy="723756"/>
                    </a:xfrm>
                    <a:prstGeom prst="rect">
                      <a:avLst/>
                    </a:prstGeom>
                  </pic:spPr>
                </pic:pic>
              </a:graphicData>
            </a:graphic>
            <wp14:sizeRelH relativeFrom="margin">
              <wp14:pctWidth>0</wp14:pctWidth>
            </wp14:sizeRelH>
            <wp14:sizeRelV relativeFrom="margin">
              <wp14:pctHeight>0</wp14:pctHeight>
            </wp14:sizeRelV>
          </wp:anchor>
        </w:drawing>
      </w:r>
      <w:r w:rsidR="004C52E0" w:rsidRPr="00FF529D">
        <w:rPr>
          <w:rFonts w:ascii="Verdana" w:hAnsi="Verdana"/>
        </w:rPr>
        <w:t xml:space="preserve">Bogotá D.C., </w:t>
      </w:r>
      <w:r>
        <w:rPr>
          <w:rFonts w:ascii="Verdana" w:hAnsi="Verdana"/>
        </w:rPr>
        <w:t>15 Septiembre 2026</w:t>
      </w:r>
    </w:p>
    <w:p w14:paraId="14758CA6" w14:textId="16CEF731" w:rsidR="004C52E0" w:rsidRPr="00FF529D" w:rsidRDefault="004C52E0" w:rsidP="004C52E0">
      <w:pPr>
        <w:spacing w:after="0"/>
        <w:rPr>
          <w:rFonts w:ascii="Verdana" w:hAnsi="Verdana"/>
          <w:lang w:val="es-ES"/>
        </w:rPr>
      </w:pPr>
    </w:p>
    <w:p w14:paraId="7CA16CA1" w14:textId="77777777" w:rsidR="004C52E0" w:rsidRPr="00FF529D" w:rsidRDefault="004C52E0" w:rsidP="004C52E0">
      <w:pPr>
        <w:spacing w:after="0" w:line="240" w:lineRule="auto"/>
        <w:rPr>
          <w:rFonts w:ascii="Verdana" w:hAnsi="Verdana"/>
          <w:lang w:val="es-ES"/>
        </w:rPr>
      </w:pPr>
      <w:bookmarkStart w:id="0" w:name="_Hlk143780582"/>
      <w:r w:rsidRPr="00FF529D">
        <w:rPr>
          <w:rFonts w:ascii="Verdana" w:eastAsia="Calibri" w:hAnsi="Verdana" w:cs="Arial"/>
          <w:lang w:val="es-ES" w:eastAsia="es-ES"/>
        </w:rPr>
        <w:t>Señor</w:t>
      </w:r>
    </w:p>
    <w:p w14:paraId="57D162C2" w14:textId="77777777" w:rsidR="004C52E0" w:rsidRPr="00FF529D" w:rsidRDefault="004C52E0" w:rsidP="004C52E0">
      <w:pPr>
        <w:spacing w:after="0" w:line="240" w:lineRule="auto"/>
        <w:rPr>
          <w:rFonts w:ascii="Verdana" w:eastAsia="Calibri" w:hAnsi="Verdana" w:cs="Arial"/>
          <w:b/>
          <w:bCs/>
          <w:lang w:eastAsia="es-ES"/>
        </w:rPr>
      </w:pPr>
      <w:r w:rsidRPr="00FF529D">
        <w:rPr>
          <w:rFonts w:ascii="Verdana" w:eastAsia="Calibri" w:hAnsi="Verdana" w:cs="Arial"/>
          <w:b/>
          <w:bCs/>
          <w:lang w:eastAsia="es-ES"/>
        </w:rPr>
        <w:t>Fernando José Guti</w:t>
      </w:r>
      <w:r>
        <w:rPr>
          <w:rFonts w:ascii="Verdana" w:eastAsia="Calibri" w:hAnsi="Verdana" w:cs="Arial"/>
          <w:b/>
          <w:bCs/>
          <w:lang w:eastAsia="es-ES"/>
        </w:rPr>
        <w:t>é</w:t>
      </w:r>
      <w:r w:rsidRPr="00FF529D">
        <w:rPr>
          <w:rFonts w:ascii="Verdana" w:eastAsia="Calibri" w:hAnsi="Verdana" w:cs="Arial"/>
          <w:b/>
          <w:bCs/>
          <w:lang w:eastAsia="es-ES"/>
        </w:rPr>
        <w:t>rr</w:t>
      </w:r>
      <w:r>
        <w:rPr>
          <w:rFonts w:ascii="Verdana" w:eastAsia="Calibri" w:hAnsi="Verdana" w:cs="Arial"/>
          <w:b/>
          <w:bCs/>
          <w:lang w:eastAsia="es-ES"/>
        </w:rPr>
        <w:t>e</w:t>
      </w:r>
      <w:r w:rsidRPr="00FF529D">
        <w:rPr>
          <w:rFonts w:ascii="Verdana" w:eastAsia="Calibri" w:hAnsi="Verdana" w:cs="Arial"/>
          <w:b/>
          <w:bCs/>
          <w:lang w:eastAsia="es-ES"/>
        </w:rPr>
        <w:t>z Ibañez</w:t>
      </w:r>
    </w:p>
    <w:p w14:paraId="16C69980" w14:textId="77777777" w:rsidR="004C52E0" w:rsidRPr="001F541F" w:rsidRDefault="004C52E0" w:rsidP="004C52E0">
      <w:pPr>
        <w:spacing w:after="0"/>
        <w:rPr>
          <w:rFonts w:ascii="Verdana" w:hAnsi="Verdana"/>
          <w:color w:val="7030A0"/>
        </w:rPr>
      </w:pPr>
      <w:hyperlink r:id="rId11" w:history="1"/>
      <w:hyperlink r:id="rId12" w:history="1">
        <w:r w:rsidRPr="0061774C">
          <w:rPr>
            <w:rStyle w:val="Hipervnculo"/>
            <w:rFonts w:ascii="Verdana" w:hAnsi="Verdana"/>
          </w:rPr>
          <w:t>fernandog213@hotmail.com</w:t>
        </w:r>
      </w:hyperlink>
      <w:r>
        <w:rPr>
          <w:rFonts w:ascii="Verdana" w:hAnsi="Verdana"/>
          <w:color w:val="7030A0"/>
        </w:rPr>
        <w:t xml:space="preserve"> </w:t>
      </w:r>
    </w:p>
    <w:p w14:paraId="5BFB81FD" w14:textId="77777777" w:rsidR="004C52E0" w:rsidRPr="00304057" w:rsidRDefault="004C52E0" w:rsidP="004C52E0">
      <w:pPr>
        <w:spacing w:after="0"/>
        <w:rPr>
          <w:rFonts w:ascii="Verdana" w:eastAsia="Calibri" w:hAnsi="Verdana" w:cs="Arial"/>
          <w:lang w:val="es-ES" w:eastAsia="es-ES"/>
        </w:rPr>
      </w:pPr>
      <w:r w:rsidRPr="00304057">
        <w:rPr>
          <w:rFonts w:ascii="Verdana" w:eastAsia="Calibri" w:hAnsi="Verdana" w:cs="Arial"/>
          <w:lang w:val="es-ES" w:eastAsia="es-ES"/>
        </w:rPr>
        <w:t>Valledupar, Cesar</w:t>
      </w:r>
    </w:p>
    <w:p w14:paraId="5AB6B37B" w14:textId="77777777" w:rsidR="004C52E0" w:rsidRPr="001F541F" w:rsidRDefault="004C52E0" w:rsidP="004C52E0">
      <w:pPr>
        <w:spacing w:after="0"/>
        <w:rPr>
          <w:rFonts w:ascii="Verdana" w:eastAsia="Calibri" w:hAnsi="Verdana" w:cs="Arial"/>
          <w:color w:val="7030A0"/>
          <w:lang w:val="es-ES" w:eastAsia="es-ES"/>
        </w:rPr>
      </w:pPr>
    </w:p>
    <w:p w14:paraId="2E105717" w14:textId="77777777" w:rsidR="004C52E0" w:rsidRPr="001F541F" w:rsidRDefault="004C52E0" w:rsidP="004C52E0">
      <w:pPr>
        <w:spacing w:after="0" w:line="240" w:lineRule="auto"/>
        <w:rPr>
          <w:rFonts w:ascii="Verdana" w:eastAsia="Calibri" w:hAnsi="Verdana" w:cs="Arial"/>
          <w:b/>
          <w:bCs/>
          <w:color w:val="7030A0"/>
          <w:lang w:val="es-ES" w:eastAsia="es-ES"/>
        </w:rPr>
      </w:pPr>
    </w:p>
    <w:tbl>
      <w:tblPr>
        <w:tblStyle w:val="Tablaconcuadrcula"/>
        <w:tblW w:w="878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tblGrid>
      <w:tr w:rsidR="004C52E0" w:rsidRPr="001F541F" w14:paraId="2CD91D5E" w14:textId="77777777" w:rsidTr="00136085">
        <w:trPr>
          <w:trHeight w:val="300"/>
        </w:trPr>
        <w:tc>
          <w:tcPr>
            <w:tcW w:w="2410" w:type="dxa"/>
          </w:tcPr>
          <w:p w14:paraId="43E9EC4A" w14:textId="77777777" w:rsidR="004C52E0" w:rsidRPr="00217110" w:rsidRDefault="004C52E0" w:rsidP="00136085">
            <w:pPr>
              <w:ind w:left="-142"/>
              <w:jc w:val="both"/>
              <w:rPr>
                <w:rFonts w:ascii="Verdana" w:eastAsia="Calibri" w:hAnsi="Verdana" w:cs="Arial"/>
                <w:b/>
                <w:bCs/>
                <w:lang w:val="es-ES" w:eastAsia="es-ES_tradnl"/>
              </w:rPr>
            </w:pPr>
          </w:p>
        </w:tc>
        <w:tc>
          <w:tcPr>
            <w:tcW w:w="6379" w:type="dxa"/>
          </w:tcPr>
          <w:p w14:paraId="001AB20C" w14:textId="77777777" w:rsidR="004C52E0" w:rsidRPr="00217110" w:rsidRDefault="004C52E0" w:rsidP="00136085">
            <w:pPr>
              <w:ind w:left="3"/>
              <w:jc w:val="both"/>
              <w:rPr>
                <w:rFonts w:ascii="Verdana" w:eastAsia="Calibri" w:hAnsi="Verdana" w:cs="Arial"/>
                <w:b/>
                <w:bCs/>
                <w:lang w:val="es-ES" w:eastAsia="es-ES"/>
              </w:rPr>
            </w:pPr>
            <w:r w:rsidRPr="00217110">
              <w:rPr>
                <w:rFonts w:ascii="Verdana" w:eastAsia="Calibri" w:hAnsi="Verdana" w:cs="Arial"/>
                <w:b/>
                <w:bCs/>
                <w:lang w:val="es-ES" w:eastAsia="es-ES"/>
              </w:rPr>
              <w:t>Concepto C-1250 de 2026</w:t>
            </w:r>
          </w:p>
          <w:p w14:paraId="1B2D1DB3" w14:textId="77777777" w:rsidR="004C52E0" w:rsidRPr="00217110" w:rsidRDefault="004C52E0" w:rsidP="00136085">
            <w:pPr>
              <w:ind w:left="3"/>
              <w:jc w:val="both"/>
              <w:rPr>
                <w:rFonts w:ascii="Verdana" w:eastAsia="Calibri" w:hAnsi="Verdana" w:cs="Arial"/>
                <w:b/>
                <w:bCs/>
                <w:lang w:val="es-ES" w:eastAsia="es-ES"/>
              </w:rPr>
            </w:pPr>
          </w:p>
        </w:tc>
      </w:tr>
      <w:tr w:rsidR="004C52E0" w:rsidRPr="001F541F" w14:paraId="1EDEA836" w14:textId="77777777" w:rsidTr="00136085">
        <w:trPr>
          <w:trHeight w:val="300"/>
        </w:trPr>
        <w:tc>
          <w:tcPr>
            <w:tcW w:w="2410" w:type="dxa"/>
          </w:tcPr>
          <w:p w14:paraId="20487000" w14:textId="77777777" w:rsidR="004C52E0" w:rsidRPr="001F541F" w:rsidRDefault="004C52E0" w:rsidP="00136085">
            <w:pPr>
              <w:ind w:left="424" w:firstLine="142"/>
              <w:jc w:val="both"/>
              <w:rPr>
                <w:rFonts w:ascii="Verdana" w:eastAsia="Calibri" w:hAnsi="Verdana" w:cs="Arial"/>
                <w:color w:val="7030A0"/>
                <w:lang w:val="es-ES" w:eastAsia="es-ES_tradnl"/>
              </w:rPr>
            </w:pPr>
            <w:r w:rsidRPr="00217110">
              <w:rPr>
                <w:rFonts w:ascii="Verdana" w:eastAsia="Calibri" w:hAnsi="Verdana" w:cs="Arial"/>
                <w:b/>
                <w:lang w:val="es-ES" w:eastAsia="es-ES_tradnl"/>
              </w:rPr>
              <w:t>Temas:</w:t>
            </w:r>
            <w:r w:rsidRPr="00217110">
              <w:rPr>
                <w:rFonts w:ascii="Verdana" w:eastAsia="Calibri" w:hAnsi="Verdana" w:cs="Arial"/>
                <w:lang w:val="es-ES" w:eastAsia="es-ES_tradnl"/>
              </w:rPr>
              <w:t xml:space="preserve">                  </w:t>
            </w:r>
          </w:p>
        </w:tc>
        <w:tc>
          <w:tcPr>
            <w:tcW w:w="6379" w:type="dxa"/>
          </w:tcPr>
          <w:p w14:paraId="15FD631B" w14:textId="77777777" w:rsidR="004C52E0" w:rsidRPr="007C3098" w:rsidRDefault="004C52E0" w:rsidP="00136085">
            <w:pPr>
              <w:contextualSpacing/>
              <w:jc w:val="both"/>
              <w:rPr>
                <w:rFonts w:ascii="Verdana" w:eastAsia="Times New Roman" w:hAnsi="Verdana" w:cs="Arial"/>
                <w:lang w:eastAsia="es-ES_tradnl"/>
              </w:rPr>
            </w:pPr>
            <w:r w:rsidRPr="007C3098">
              <w:rPr>
                <w:rFonts w:ascii="Verdana" w:eastAsia="Times New Roman" w:hAnsi="Verdana" w:cs="Arial"/>
                <w:lang w:eastAsia="es-ES_tradnl"/>
              </w:rPr>
              <w:t xml:space="preserve">ESAL - Entidades Sin Ánimo de Lucro – MiPymes – Naturaleza Jurídica / CONVOCATORIAS LIMITADAS A MIPYMES – MiPymes – Entidades Sin Ánimo de Lucro / LIMITACIÓN A MIPYMES – Requisitos – MiPymes – Entidades Sin Ánimo de Lucro  </w:t>
            </w:r>
          </w:p>
          <w:p w14:paraId="34CFB1A4" w14:textId="77777777" w:rsidR="004C52E0" w:rsidRPr="007C3098" w:rsidRDefault="004C52E0" w:rsidP="00136085">
            <w:pPr>
              <w:contextualSpacing/>
              <w:jc w:val="both"/>
              <w:rPr>
                <w:rFonts w:ascii="Verdana" w:eastAsia="Calibri" w:hAnsi="Verdana" w:cs="Arial"/>
              </w:rPr>
            </w:pPr>
          </w:p>
        </w:tc>
      </w:tr>
      <w:tr w:rsidR="004C52E0" w:rsidRPr="001F541F" w14:paraId="315F1E64" w14:textId="77777777" w:rsidTr="00136085">
        <w:trPr>
          <w:trHeight w:val="350"/>
        </w:trPr>
        <w:tc>
          <w:tcPr>
            <w:tcW w:w="2410" w:type="dxa"/>
          </w:tcPr>
          <w:p w14:paraId="5EE7EBF8" w14:textId="77777777" w:rsidR="004C52E0" w:rsidRPr="00217110" w:rsidRDefault="004C52E0" w:rsidP="00136085">
            <w:pPr>
              <w:ind w:left="561"/>
              <w:jc w:val="both"/>
              <w:rPr>
                <w:rFonts w:ascii="Verdana" w:eastAsia="Calibri" w:hAnsi="Verdana" w:cs="Arial"/>
                <w:b/>
                <w:lang w:val="es-ES" w:eastAsia="es-ES_tradnl"/>
              </w:rPr>
            </w:pPr>
            <w:r w:rsidRPr="00217110">
              <w:rPr>
                <w:rFonts w:ascii="Verdana" w:eastAsia="Calibri" w:hAnsi="Verdana" w:cs="Arial"/>
                <w:b/>
                <w:lang w:val="es-ES" w:eastAsia="es-ES_tradnl"/>
              </w:rPr>
              <w:t>Radicación:</w:t>
            </w:r>
            <w:r w:rsidRPr="00217110">
              <w:rPr>
                <w:rFonts w:ascii="Verdana" w:eastAsia="Calibri" w:hAnsi="Verdana" w:cs="Arial"/>
                <w:lang w:val="es-ES" w:eastAsia="es-ES_tradnl"/>
              </w:rPr>
              <w:t xml:space="preserve">              </w:t>
            </w:r>
          </w:p>
        </w:tc>
        <w:tc>
          <w:tcPr>
            <w:tcW w:w="6379" w:type="dxa"/>
          </w:tcPr>
          <w:p w14:paraId="02546675" w14:textId="77777777" w:rsidR="004C52E0" w:rsidRPr="00217110" w:rsidRDefault="004C52E0" w:rsidP="00136085">
            <w:pPr>
              <w:ind w:left="3"/>
              <w:jc w:val="both"/>
              <w:rPr>
                <w:rFonts w:ascii="Verdana" w:eastAsia="Calibri" w:hAnsi="Verdana" w:cs="Arial"/>
                <w:lang w:val="es-ES" w:eastAsia="es-ES"/>
              </w:rPr>
            </w:pPr>
            <w:r w:rsidRPr="00217110">
              <w:rPr>
                <w:rFonts w:ascii="Verdana" w:eastAsia="Calibri" w:hAnsi="Verdana" w:cs="Arial"/>
                <w:lang w:val="es-ES" w:eastAsia="es-ES"/>
              </w:rPr>
              <w:t>Respuesta a consulta con radicado No. 1_2026_08_09_010493</w:t>
            </w:r>
          </w:p>
          <w:p w14:paraId="7AEB566A" w14:textId="77777777" w:rsidR="004C52E0" w:rsidRPr="00217110" w:rsidRDefault="004C52E0" w:rsidP="00136085">
            <w:pPr>
              <w:ind w:left="3"/>
              <w:jc w:val="both"/>
              <w:rPr>
                <w:rFonts w:ascii="Verdana" w:hAnsi="Verdana"/>
                <w:lang w:val="es-ES"/>
              </w:rPr>
            </w:pPr>
          </w:p>
        </w:tc>
      </w:tr>
      <w:tr w:rsidR="004C52E0" w:rsidRPr="001F541F" w14:paraId="6312BF31" w14:textId="77777777" w:rsidTr="00136085">
        <w:trPr>
          <w:trHeight w:val="350"/>
        </w:trPr>
        <w:tc>
          <w:tcPr>
            <w:tcW w:w="2410" w:type="dxa"/>
          </w:tcPr>
          <w:p w14:paraId="291DB2E1" w14:textId="77777777" w:rsidR="004C52E0" w:rsidRPr="001F541F" w:rsidRDefault="004C52E0" w:rsidP="00136085">
            <w:pPr>
              <w:ind w:left="561"/>
              <w:jc w:val="both"/>
              <w:rPr>
                <w:rFonts w:ascii="Verdana" w:eastAsia="Calibri" w:hAnsi="Verdana" w:cs="Arial"/>
                <w:b/>
                <w:color w:val="7030A0"/>
                <w:lang w:val="es-ES" w:eastAsia="es-ES_tradnl"/>
              </w:rPr>
            </w:pPr>
          </w:p>
        </w:tc>
        <w:tc>
          <w:tcPr>
            <w:tcW w:w="6379" w:type="dxa"/>
          </w:tcPr>
          <w:p w14:paraId="73641F54" w14:textId="77777777" w:rsidR="004C52E0" w:rsidRPr="001F541F" w:rsidRDefault="004C52E0" w:rsidP="00136085">
            <w:pPr>
              <w:ind w:left="3"/>
              <w:jc w:val="both"/>
              <w:rPr>
                <w:rFonts w:ascii="Verdana" w:eastAsia="Calibri" w:hAnsi="Verdana" w:cs="Arial"/>
                <w:color w:val="7030A0"/>
                <w:lang w:val="es-ES" w:eastAsia="es-ES"/>
              </w:rPr>
            </w:pPr>
          </w:p>
        </w:tc>
      </w:tr>
    </w:tbl>
    <w:p w14:paraId="613DA75F" w14:textId="77777777" w:rsidR="004C52E0" w:rsidRPr="00AD6415" w:rsidRDefault="004C52E0" w:rsidP="004C52E0">
      <w:pPr>
        <w:spacing w:after="0" w:line="276" w:lineRule="auto"/>
        <w:jc w:val="both"/>
        <w:rPr>
          <w:rFonts w:ascii="Verdana" w:eastAsia="Calibri" w:hAnsi="Verdana" w:cs="Arial"/>
          <w:lang w:val="es-ES" w:eastAsia="es-ES"/>
        </w:rPr>
      </w:pPr>
      <w:r w:rsidRPr="00AD6415">
        <w:rPr>
          <w:rFonts w:ascii="Verdana" w:eastAsia="Calibri" w:hAnsi="Verdana" w:cs="Arial"/>
          <w:lang w:val="es-ES" w:eastAsia="es-ES"/>
        </w:rPr>
        <w:t>Estimado Señor Gutiérrez:</w:t>
      </w:r>
    </w:p>
    <w:p w14:paraId="154AC8EC" w14:textId="77777777" w:rsidR="004C52E0" w:rsidRPr="001F541F" w:rsidRDefault="004C52E0" w:rsidP="004C52E0">
      <w:pPr>
        <w:tabs>
          <w:tab w:val="left" w:pos="3768"/>
        </w:tabs>
        <w:spacing w:after="0" w:line="276" w:lineRule="auto"/>
        <w:jc w:val="both"/>
        <w:rPr>
          <w:rFonts w:ascii="Verdana" w:eastAsia="Calibri" w:hAnsi="Verdana" w:cs="Arial"/>
          <w:color w:val="7030A0"/>
          <w:lang w:val="es-ES" w:eastAsia="es-ES"/>
        </w:rPr>
      </w:pPr>
      <w:r w:rsidRPr="001F541F">
        <w:rPr>
          <w:rFonts w:ascii="Verdana" w:eastAsia="Calibri" w:hAnsi="Verdana" w:cs="Arial"/>
          <w:color w:val="7030A0"/>
          <w:lang w:val="es-ES" w:eastAsia="es-ES"/>
        </w:rPr>
        <w:tab/>
      </w:r>
    </w:p>
    <w:p w14:paraId="710ABE4D" w14:textId="77777777" w:rsidR="004C52E0" w:rsidRPr="00003BA3" w:rsidRDefault="004C52E0" w:rsidP="004C52E0">
      <w:pPr>
        <w:spacing w:after="0" w:line="276" w:lineRule="auto"/>
        <w:jc w:val="both"/>
        <w:rPr>
          <w:rFonts w:ascii="Verdana" w:eastAsia="Calibri" w:hAnsi="Verdana" w:cs="Arial"/>
          <w:lang w:val="es-ES" w:eastAsia="es-ES"/>
        </w:rPr>
      </w:pPr>
      <w:r w:rsidRPr="00003BA3">
        <w:rPr>
          <w:rFonts w:ascii="Verdana" w:eastAsia="Calibri" w:hAnsi="Verdana" w:cs="Arial"/>
          <w:lang w:val="es-ES" w:eastAsia="es-ES"/>
        </w:rPr>
        <w:t>En ejercicio de la competencia otorgada por los artículos 3, numeral 5º, y 11, numeral 8º, del Decreto Ley 4170 de 2011,</w:t>
      </w:r>
      <w:r w:rsidRPr="00003BA3">
        <w:rPr>
          <w:rFonts w:ascii="Verdana" w:eastAsia="Arial MT" w:hAnsi="Verdana" w:cs="Arial MT"/>
          <w:lang w:val="es-ES" w:eastAsia="es-ES"/>
        </w:rPr>
        <w:t xml:space="preserve"> </w:t>
      </w:r>
      <w:r w:rsidRPr="00003BA3">
        <w:rPr>
          <w:rFonts w:ascii="Verdana" w:hAnsi="Verdana" w:cs="Arial"/>
          <w:lang w:val="es-ES"/>
        </w:rPr>
        <w:t xml:space="preserve">así como lo establecido en el artículo 4 de la Resolución 469 de 2025 expedida por esta Entidad, </w:t>
      </w:r>
      <w:r w:rsidRPr="00003BA3">
        <w:rPr>
          <w:rFonts w:ascii="Verdana" w:eastAsia="Calibri" w:hAnsi="Verdana" w:cs="Arial"/>
          <w:lang w:val="es-ES" w:eastAsia="es-ES"/>
        </w:rPr>
        <w:t xml:space="preserve">la Agencia Nacional de Contratación Pública – Colombia Compra Eficiente– responde su solicitud de consulta de fecha 09 de agosto de 2026, en la cual manifiesta lo siguiente: </w:t>
      </w:r>
    </w:p>
    <w:p w14:paraId="4433957F" w14:textId="77777777" w:rsidR="004C52E0" w:rsidRPr="001F541F" w:rsidRDefault="004C52E0" w:rsidP="004C52E0">
      <w:pPr>
        <w:tabs>
          <w:tab w:val="left" w:pos="142"/>
          <w:tab w:val="left" w:pos="284"/>
        </w:tabs>
        <w:spacing w:after="0" w:line="276" w:lineRule="auto"/>
        <w:jc w:val="both"/>
        <w:rPr>
          <w:rFonts w:ascii="Verdana" w:eastAsia="Century Gothic" w:hAnsi="Verdana" w:cs="Century Gothic"/>
          <w:b/>
          <w:bCs/>
          <w:color w:val="7030A0"/>
          <w:lang w:val="es-ES"/>
        </w:rPr>
      </w:pPr>
    </w:p>
    <w:p w14:paraId="09FAF6FE" w14:textId="77777777" w:rsidR="004C52E0" w:rsidRPr="00D52225" w:rsidRDefault="004C52E0" w:rsidP="004C52E0">
      <w:pPr>
        <w:spacing w:after="0" w:line="240" w:lineRule="auto"/>
        <w:ind w:left="709" w:right="709"/>
        <w:jc w:val="both"/>
        <w:rPr>
          <w:rFonts w:ascii="Verdana" w:eastAsia="Century Gothic" w:hAnsi="Verdana" w:cs="Century Gothic"/>
          <w:i/>
          <w:iCs/>
          <w:sz w:val="20"/>
          <w:szCs w:val="20"/>
          <w:lang w:val="es-ES"/>
        </w:rPr>
      </w:pPr>
      <w:r w:rsidRPr="00D52225">
        <w:rPr>
          <w:rFonts w:ascii="Verdana" w:eastAsia="Century Gothic" w:hAnsi="Verdana" w:cs="Century Gothic"/>
          <w:i/>
          <w:iCs/>
          <w:sz w:val="20"/>
          <w:szCs w:val="20"/>
          <w:lang w:val="es-ES"/>
        </w:rPr>
        <w:t>“[…]en un proceso de selección abreviada menor pueden hacer solicitud delimitación a MiPymes fundaciones sin ánimo de lucro y estas pueden participar en iguales condiciones, también en un proceso competitivo descrito en el decreto 092 de 2017 este puede ser limitado a MiPymes por entidades sin ánimo de lucro</w:t>
      </w:r>
      <w:r w:rsidRPr="00D52225">
        <w:rPr>
          <w:rFonts w:ascii="Verdana" w:eastAsia="Century Gothic" w:hAnsi="Verdana" w:cs="Century Gothic"/>
          <w:i/>
          <w:iCs/>
          <w:sz w:val="20"/>
          <w:szCs w:val="20"/>
        </w:rPr>
        <w:t xml:space="preserve"> […]”</w:t>
      </w:r>
    </w:p>
    <w:p w14:paraId="7BE2172E" w14:textId="77777777" w:rsidR="004C52E0" w:rsidRPr="001F541F" w:rsidRDefault="004C52E0" w:rsidP="004C52E0">
      <w:pPr>
        <w:spacing w:before="120" w:after="120" w:line="240" w:lineRule="auto"/>
        <w:ind w:left="709" w:right="709"/>
        <w:contextualSpacing/>
        <w:jc w:val="both"/>
        <w:rPr>
          <w:rFonts w:ascii="Verdana" w:eastAsia="Century Gothic" w:hAnsi="Verdana" w:cs="Century Gothic"/>
          <w:i/>
          <w:iCs/>
          <w:color w:val="7030A0"/>
          <w:sz w:val="20"/>
          <w:szCs w:val="20"/>
          <w:lang w:val="es-ES"/>
        </w:rPr>
      </w:pPr>
    </w:p>
    <w:p w14:paraId="2BA046A9" w14:textId="77777777" w:rsidR="004C52E0" w:rsidRPr="00003BA3" w:rsidRDefault="004C52E0" w:rsidP="004C52E0">
      <w:pPr>
        <w:spacing w:after="120" w:line="276" w:lineRule="auto"/>
        <w:ind w:firstLine="708"/>
        <w:jc w:val="both"/>
        <w:rPr>
          <w:rFonts w:ascii="Verdana" w:eastAsia="Calibri" w:hAnsi="Verdana" w:cs="Arial"/>
          <w:lang w:val="es-ES" w:eastAsia="es-ES"/>
        </w:rPr>
      </w:pPr>
      <w:r w:rsidRPr="00003BA3">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w:t>
      </w:r>
      <w:r w:rsidRPr="00003BA3">
        <w:rPr>
          <w:rFonts w:ascii="Verdana" w:eastAsia="Calibri" w:hAnsi="Verdana" w:cs="Arial"/>
          <w:lang w:val="es-ES" w:eastAsia="es-ES"/>
        </w:rPr>
        <w:lastRenderedPageBreak/>
        <w:t xml:space="preserve">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03BA3">
        <w:rPr>
          <w:rFonts w:ascii="Verdana" w:hAnsi="Verdana"/>
          <w:lang w:val="es-ES"/>
        </w:rPr>
        <w:tab/>
      </w:r>
    </w:p>
    <w:p w14:paraId="3EC37A1E" w14:textId="77777777" w:rsidR="004C52E0" w:rsidRPr="00003BA3" w:rsidRDefault="004C52E0" w:rsidP="004C52E0">
      <w:pPr>
        <w:spacing w:after="0" w:line="276" w:lineRule="auto"/>
        <w:ind w:firstLine="709"/>
        <w:jc w:val="both"/>
        <w:rPr>
          <w:rFonts w:ascii="Verdana" w:eastAsia="Calibri" w:hAnsi="Verdana" w:cs="Arial"/>
          <w:lang w:val="es-ES" w:eastAsia="es-ES"/>
        </w:rPr>
      </w:pPr>
      <w:r w:rsidRPr="00003BA3">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 </w:t>
      </w:r>
    </w:p>
    <w:p w14:paraId="6C3097A1" w14:textId="77777777" w:rsidR="004C52E0" w:rsidRPr="00003BA3" w:rsidRDefault="004C52E0" w:rsidP="004C52E0">
      <w:pPr>
        <w:spacing w:after="0" w:line="276" w:lineRule="auto"/>
        <w:ind w:firstLine="709"/>
        <w:jc w:val="both"/>
        <w:rPr>
          <w:rFonts w:ascii="Verdana" w:eastAsia="Calibri" w:hAnsi="Verdana" w:cs="Arial"/>
          <w:lang w:val="es-ES" w:eastAsia="es-ES"/>
        </w:rPr>
      </w:pPr>
    </w:p>
    <w:p w14:paraId="1F35E750" w14:textId="77777777" w:rsidR="004C52E0" w:rsidRPr="00003BA3" w:rsidRDefault="004C52E0" w:rsidP="004C52E0">
      <w:pPr>
        <w:tabs>
          <w:tab w:val="left" w:pos="142"/>
          <w:tab w:val="left" w:pos="284"/>
        </w:tabs>
        <w:spacing w:after="0" w:line="276" w:lineRule="auto"/>
        <w:jc w:val="both"/>
        <w:rPr>
          <w:rFonts w:ascii="Verdana" w:eastAsia="Century Gothic" w:hAnsi="Verdana" w:cs="Century Gothic"/>
          <w:b/>
          <w:lang w:val="es-ES"/>
        </w:rPr>
      </w:pPr>
      <w:r w:rsidRPr="00003BA3">
        <w:rPr>
          <w:rFonts w:ascii="Verdana" w:eastAsia="Century Gothic" w:hAnsi="Verdana" w:cs="Century Gothic"/>
          <w:b/>
          <w:lang w:val="es-ES"/>
        </w:rPr>
        <w:t>1. Problema planteado:</w:t>
      </w:r>
    </w:p>
    <w:p w14:paraId="71F7AA39" w14:textId="77777777" w:rsidR="004C52E0" w:rsidRPr="001F541F" w:rsidRDefault="004C52E0" w:rsidP="004C52E0">
      <w:pPr>
        <w:tabs>
          <w:tab w:val="left" w:pos="426"/>
        </w:tabs>
        <w:spacing w:after="0" w:line="276" w:lineRule="auto"/>
        <w:jc w:val="both"/>
        <w:rPr>
          <w:rFonts w:ascii="Verdana" w:eastAsia="Century Gothic" w:hAnsi="Verdana" w:cs="Century Gothic"/>
          <w:color w:val="7030A0"/>
          <w:lang w:val="es-ES"/>
        </w:rPr>
      </w:pPr>
    </w:p>
    <w:p w14:paraId="454A3575" w14:textId="77777777" w:rsidR="004C52E0" w:rsidRPr="004D061A" w:rsidRDefault="004C52E0" w:rsidP="004C52E0">
      <w:pPr>
        <w:spacing w:after="0" w:line="276" w:lineRule="auto"/>
        <w:jc w:val="both"/>
        <w:rPr>
          <w:rFonts w:ascii="Verdana" w:eastAsia="Century Gothic" w:hAnsi="Verdana" w:cs="Century Gothic"/>
        </w:rPr>
      </w:pPr>
      <w:r w:rsidRPr="004D061A">
        <w:rPr>
          <w:rFonts w:ascii="Verdana" w:eastAsia="Century Gothic" w:hAnsi="Verdana" w:cs="Century Gothic"/>
          <w:lang w:val="es-ES"/>
        </w:rPr>
        <w:t>De acuerdo con el contenido de su solicitud, esta Agencia resolverá el siguiente problema jurídico:</w:t>
      </w:r>
      <w:r w:rsidRPr="004D061A">
        <w:rPr>
          <w:rFonts w:ascii="Verdana" w:eastAsia="Century Gothic" w:hAnsi="Verdana" w:cs="Century Gothic"/>
        </w:rPr>
        <w:t xml:space="preserve"> i. ¿Puede una Entidad Sin Ánimo de Lucro —ESAL— solicitar a una entidad estatal la limitación de un proceso de selección a MiPymes?</w:t>
      </w:r>
    </w:p>
    <w:p w14:paraId="4AF1A0F2" w14:textId="77777777" w:rsidR="004C52E0" w:rsidRPr="001F541F" w:rsidRDefault="004C52E0" w:rsidP="004C52E0">
      <w:pPr>
        <w:spacing w:after="0" w:line="276" w:lineRule="auto"/>
        <w:jc w:val="both"/>
        <w:rPr>
          <w:rFonts w:ascii="Verdana" w:eastAsia="Century Gothic" w:hAnsi="Verdana" w:cs="Century Gothic"/>
          <w:color w:val="7030A0"/>
        </w:rPr>
      </w:pPr>
      <w:r w:rsidRPr="001F541F">
        <w:rPr>
          <w:rFonts w:ascii="Verdana" w:eastAsia="Century Gothic" w:hAnsi="Verdana" w:cs="Century Gothic"/>
          <w:color w:val="7030A0"/>
        </w:rPr>
        <w:t xml:space="preserve">    </w:t>
      </w:r>
    </w:p>
    <w:p w14:paraId="32B83CC8" w14:textId="77777777" w:rsidR="004C52E0" w:rsidRPr="00FD7EC2" w:rsidRDefault="004C52E0" w:rsidP="004C52E0">
      <w:pPr>
        <w:tabs>
          <w:tab w:val="left" w:pos="142"/>
          <w:tab w:val="left" w:pos="284"/>
        </w:tabs>
        <w:spacing w:after="0" w:line="276" w:lineRule="auto"/>
        <w:jc w:val="both"/>
        <w:rPr>
          <w:rFonts w:ascii="Verdana" w:eastAsia="Century Gothic" w:hAnsi="Verdana" w:cs="Century Gothic"/>
          <w:b/>
          <w:lang w:val="es-ES"/>
        </w:rPr>
      </w:pPr>
      <w:r w:rsidRPr="00FD7EC2">
        <w:rPr>
          <w:rFonts w:ascii="Verdana" w:eastAsia="Century Gothic" w:hAnsi="Verdana" w:cs="Century Gothic"/>
          <w:b/>
          <w:lang w:val="es-ES"/>
        </w:rPr>
        <w:t>2. Respuesta:</w:t>
      </w:r>
    </w:p>
    <w:p w14:paraId="61008877" w14:textId="77777777" w:rsidR="004C52E0" w:rsidRPr="001F541F" w:rsidRDefault="004C52E0" w:rsidP="004C52E0">
      <w:pPr>
        <w:tabs>
          <w:tab w:val="left" w:pos="142"/>
          <w:tab w:val="left" w:pos="284"/>
        </w:tabs>
        <w:spacing w:after="0" w:line="276" w:lineRule="auto"/>
        <w:jc w:val="both"/>
        <w:rPr>
          <w:rFonts w:ascii="Verdana" w:eastAsia="Century Gothic" w:hAnsi="Verdana" w:cs="Century Gothic"/>
          <w:b/>
          <w:color w:val="7030A0"/>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C52E0" w:rsidRPr="001F541F" w14:paraId="69097EAB" w14:textId="77777777" w:rsidTr="00136085">
        <w:tc>
          <w:tcPr>
            <w:tcW w:w="8828" w:type="dxa"/>
          </w:tcPr>
          <w:p w14:paraId="6C8025D4" w14:textId="77777777" w:rsidR="004C52E0" w:rsidRPr="009508B6" w:rsidRDefault="004C52E0" w:rsidP="00136085">
            <w:pPr>
              <w:spacing w:after="120" w:line="276" w:lineRule="auto"/>
              <w:ind w:right="79"/>
              <w:jc w:val="both"/>
              <w:rPr>
                <w:rFonts w:ascii="Verdana" w:eastAsia="Arial" w:hAnsi="Verdana" w:cs="Arial"/>
                <w:bCs/>
              </w:rPr>
            </w:pPr>
            <w:r w:rsidRPr="008F0496">
              <w:rPr>
                <w:rFonts w:ascii="Verdana" w:eastAsia="Arial" w:hAnsi="Verdana" w:cs="Arial"/>
                <w:bCs/>
              </w:rPr>
              <w:t xml:space="preserve">Para dar respuesta al problema planteado, es importante indicar que de acuerdo con el marco normativo señalado en las consideraciones de este concepto, no todas las Entidades Sin Ánimo de Lucro —ESAL— se encuentran facultadas para solicitar la limitación de un proceso de selección a MiPymes. El artículo 2.2.1.2.4.2.2 del Decreto 1082 de 2015 establece que, para limitar una convocatoria, deben recibirse solicitudes de por lo menos dos (2) </w:t>
            </w:r>
            <w:r w:rsidRPr="009508B6">
              <w:rPr>
                <w:rFonts w:ascii="Verdana" w:eastAsia="Arial" w:hAnsi="Verdana" w:cs="Arial"/>
                <w:bCs/>
              </w:rPr>
              <w:t>MiPymes colombianas que cumplan las condiciones previstas en la norma.</w:t>
            </w:r>
          </w:p>
          <w:p w14:paraId="0B3825BD" w14:textId="77777777" w:rsidR="004C52E0" w:rsidRDefault="004C52E0" w:rsidP="00136085">
            <w:pPr>
              <w:spacing w:after="120" w:line="276" w:lineRule="auto"/>
              <w:ind w:right="79" w:firstLine="709"/>
              <w:jc w:val="both"/>
              <w:rPr>
                <w:rFonts w:ascii="Verdana" w:eastAsia="Arial" w:hAnsi="Verdana" w:cs="Arial"/>
                <w:bCs/>
              </w:rPr>
            </w:pPr>
            <w:r w:rsidRPr="009508B6">
              <w:rPr>
                <w:rFonts w:ascii="Verdana" w:eastAsia="Arial" w:hAnsi="Verdana" w:cs="Arial"/>
                <w:bCs/>
              </w:rPr>
              <w:t xml:space="preserve">Sin embargo, en principio, las ESAL no tienen la calidad de MiPymes, toda vez que su naturaleza jurídica y finalidad se distinguen de las empresas comprendidas en dicha categoría. En efecto, las asociaciones, corporaciones y fundaciones sin ánimo de lucro no persiguen el reparto de utilidades entre sus miembros, circunstancia que la diferencia de las sociedades comerciales y de la noción de empresa empleada para efectos de la clasificación como MiPymes. Por ello, su participación en actividades económicas o su capacidad </w:t>
            </w:r>
            <w:r w:rsidRPr="009508B6">
              <w:rPr>
                <w:rFonts w:ascii="Verdana" w:eastAsia="Arial" w:hAnsi="Verdana" w:cs="Arial"/>
                <w:bCs/>
              </w:rPr>
              <w:lastRenderedPageBreak/>
              <w:t>para celebrar contratos con entidades estatales no implica, por sí misma, que adquieran la calidad de MiPymes.</w:t>
            </w:r>
          </w:p>
          <w:p w14:paraId="040C708C" w14:textId="77777777" w:rsidR="004C52E0" w:rsidRDefault="004C52E0" w:rsidP="00136085">
            <w:pPr>
              <w:spacing w:after="120" w:line="276" w:lineRule="auto"/>
              <w:ind w:right="79" w:firstLine="709"/>
              <w:jc w:val="both"/>
              <w:rPr>
                <w:rFonts w:ascii="Verdana" w:eastAsia="Arial" w:hAnsi="Verdana" w:cs="Arial"/>
                <w:bCs/>
              </w:rPr>
            </w:pPr>
            <w:r w:rsidRPr="008A3D1E">
              <w:rPr>
                <w:rFonts w:ascii="Verdana" w:eastAsia="Arial" w:hAnsi="Verdana" w:cs="Arial"/>
                <w:bCs/>
              </w:rPr>
              <w:t>No obstante, est</w:t>
            </w:r>
            <w:r>
              <w:rPr>
                <w:rFonts w:ascii="Verdana" w:eastAsia="Arial" w:hAnsi="Verdana" w:cs="Arial"/>
                <w:bCs/>
              </w:rPr>
              <w:t>o</w:t>
            </w:r>
            <w:r w:rsidRPr="008A3D1E">
              <w:rPr>
                <w:rFonts w:ascii="Verdana" w:eastAsia="Arial" w:hAnsi="Verdana" w:cs="Arial"/>
                <w:bCs/>
              </w:rPr>
              <w:t xml:space="preserve"> tiene una excepción respecto de las cooperativas y demás entidades de economía solidaria. El artículo 23 de la Ley 2069 de 2020 dispuso que estas entidades son empresas y que, para efectos de dicha ley, serán clasificadas como MiPymes de acuerdo con los criterios establecidos en la Ley 590 de 2000 y el Decreto 957 de 2019. En concordancia, el parágrafo del artículo 2.2.1.2.4.2.2 del Decreto 1082 de 2015 establece expresamente que las cooperativas y demás entidades de economía solidaria, siempre que tengan la calidad de MiPymes, podrán solicitar y participar en las convocatorias limitadas en las mismas condiciones previstas para estas.</w:t>
            </w:r>
          </w:p>
          <w:p w14:paraId="6C4656C4" w14:textId="77777777" w:rsidR="004C52E0" w:rsidRDefault="004C52E0" w:rsidP="00136085">
            <w:pPr>
              <w:spacing w:after="120" w:line="276" w:lineRule="auto"/>
              <w:ind w:right="79" w:firstLine="709"/>
              <w:jc w:val="both"/>
              <w:rPr>
                <w:rFonts w:ascii="Verdana" w:eastAsia="Arial" w:hAnsi="Verdana" w:cs="Arial"/>
                <w:bCs/>
              </w:rPr>
            </w:pPr>
            <w:r>
              <w:rPr>
                <w:rFonts w:ascii="Verdana" w:eastAsia="Arial" w:hAnsi="Verdana" w:cs="Arial"/>
                <w:bCs/>
              </w:rPr>
              <w:t xml:space="preserve">En ese contexto, </w:t>
            </w:r>
            <w:r w:rsidRPr="009F1CC1">
              <w:rPr>
                <w:rFonts w:ascii="Verdana" w:eastAsia="Arial" w:hAnsi="Verdana" w:cs="Arial"/>
                <w:bCs/>
              </w:rPr>
              <w:t>una ESAL que corresponda a una cooperativa o a una entidad de economía solidaria podrá solicitar la limitación de una convocatoria a MiPymes, siempre que cumpla las condiciones exigidas para tener dicha calidad. Para determinar si una ESAL concreta se encuentra comprendida en esta excepción, deberá verificarse que reúna las características propias de las organizaciones de economía solidaria previstas en el artículo 6 de la Ley 454 de 1998, así como los requisitos correspondientes a la clasificación como Mipyme.</w:t>
            </w:r>
          </w:p>
          <w:p w14:paraId="617B87F9" w14:textId="77777777" w:rsidR="004C52E0" w:rsidRPr="004A5EA5" w:rsidRDefault="004C52E0" w:rsidP="00136085">
            <w:pPr>
              <w:spacing w:after="120" w:line="276" w:lineRule="auto"/>
              <w:ind w:right="79" w:firstLine="709"/>
              <w:jc w:val="both"/>
              <w:rPr>
                <w:rFonts w:ascii="Verdana" w:eastAsia="Arial" w:hAnsi="Verdana" w:cs="Arial"/>
                <w:bCs/>
              </w:rPr>
            </w:pPr>
            <w:r w:rsidRPr="0025752A">
              <w:rPr>
                <w:rFonts w:ascii="Verdana" w:eastAsia="Arial" w:hAnsi="Verdana" w:cs="Arial"/>
                <w:bCs/>
              </w:rPr>
              <w:t>En consecuencia, las ESAL que no tengan la naturaleza de cooperativas o de entidades de economía solidaria no se encuentran habilitadas para presentar la solicitud de limitación de un proceso de selección a MiPymes. Esta posibilidad no se extiende de manera general a las fundaciones, asociaciones u otras formas de ESAL por el solo hecho de desarrollar actividades económicas o de contar con capacidad para contratar con entidades estatales.</w:t>
            </w:r>
          </w:p>
          <w:p w14:paraId="5B1C5584" w14:textId="77777777" w:rsidR="004C52E0" w:rsidRPr="001F541F" w:rsidRDefault="004C52E0" w:rsidP="00136085">
            <w:pPr>
              <w:spacing w:after="120" w:line="276" w:lineRule="auto"/>
              <w:ind w:right="79" w:firstLine="601"/>
              <w:jc w:val="both"/>
              <w:rPr>
                <w:rFonts w:ascii="Verdana" w:eastAsia="Arial" w:hAnsi="Verdana" w:cs="Arial"/>
                <w:bCs/>
                <w:color w:val="7030A0"/>
              </w:rPr>
            </w:pPr>
            <w:r w:rsidRPr="00455ACB">
              <w:rPr>
                <w:rFonts w:ascii="Verdana" w:eastAsia="Calibri" w:hAnsi="Verdana" w:cs="Arial"/>
                <w:bCs/>
              </w:rPr>
              <w:t xml:space="preserve">Finalmente, al margen de la explicación precedente debe advertirse que </w:t>
            </w:r>
            <w:r w:rsidRPr="00455ACB">
              <w:rPr>
                <w:rStyle w:val="s15"/>
                <w:rFonts w:ascii="Verdana" w:hAnsi="Verdana"/>
              </w:rPr>
              <w:t>el análisis requerido para resolver problemas específicos en torno a la gestión contractual debe ser realizado por quienes tengan interés en ello, de acuerdo con lo explicado la aclaración preliminar del presente oficio.</w:t>
            </w:r>
            <w:r w:rsidRPr="00455ACB">
              <w:rPr>
                <w:rStyle w:val="apple-converted-space"/>
                <w:rFonts w:ascii="Verdana" w:hAnsi="Verdana"/>
              </w:rPr>
              <w:t> </w:t>
            </w:r>
            <w:r w:rsidRPr="00455ACB">
              <w:rPr>
                <w:rStyle w:val="s15"/>
                <w:rFonts w:ascii="Verdana" w:hAnsi="Verdana"/>
              </w:rPr>
              <w:t>Por lo anterior, previo</w:t>
            </w:r>
            <w:r w:rsidRPr="00455ACB">
              <w:rPr>
                <w:rStyle w:val="apple-converted-space"/>
                <w:rFonts w:ascii="Verdana" w:hAnsi="Verdana"/>
              </w:rPr>
              <w:t> </w:t>
            </w:r>
            <w:r w:rsidRPr="00455ACB">
              <w:rPr>
                <w:rStyle w:val="s15"/>
                <w:rFonts w:ascii="Verdana" w:hAnsi="Verdana"/>
              </w:rPr>
              <w:t xml:space="preserve">concepto de sus asesores, la solución de situaciones particulares corresponde a los interesados adoptar la decisión correspondiente y, en caso de conflicto, a las autoridades judiciales, fiscales y disciplinarias. Así, cada </w:t>
            </w:r>
            <w:r w:rsidRPr="00455ACB">
              <w:rPr>
                <w:rStyle w:val="s15"/>
                <w:rFonts w:ascii="Verdana" w:hAnsi="Verdana"/>
              </w:rPr>
              <w:lastRenderedPageBreak/>
              <w:t>entidad definirá la forma de adelantar su gestión contractual, sin que sea atribución de Colombia Compra Eficiente validar sus actuaciones.</w:t>
            </w:r>
          </w:p>
        </w:tc>
      </w:tr>
    </w:tbl>
    <w:p w14:paraId="2C4D5E88" w14:textId="77777777" w:rsidR="004C52E0" w:rsidRPr="001F541F" w:rsidRDefault="004C52E0" w:rsidP="004C52E0">
      <w:pPr>
        <w:tabs>
          <w:tab w:val="left" w:pos="142"/>
          <w:tab w:val="left" w:pos="284"/>
        </w:tabs>
        <w:spacing w:after="0" w:line="276" w:lineRule="auto"/>
        <w:jc w:val="both"/>
        <w:rPr>
          <w:rFonts w:ascii="Verdana" w:eastAsia="Century Gothic" w:hAnsi="Verdana" w:cs="Century Gothic"/>
          <w:b/>
          <w:bCs/>
          <w:color w:val="7030A0"/>
          <w:lang w:val="es-ES"/>
        </w:rPr>
      </w:pPr>
    </w:p>
    <w:p w14:paraId="2F305D47" w14:textId="77777777" w:rsidR="004C52E0" w:rsidRPr="0016023B" w:rsidRDefault="004C52E0" w:rsidP="004C52E0">
      <w:pPr>
        <w:tabs>
          <w:tab w:val="left" w:pos="142"/>
          <w:tab w:val="left" w:pos="284"/>
        </w:tabs>
        <w:spacing w:after="0" w:line="276" w:lineRule="auto"/>
        <w:jc w:val="both"/>
        <w:rPr>
          <w:rFonts w:ascii="Verdana" w:eastAsia="Century Gothic" w:hAnsi="Verdana" w:cs="Century Gothic"/>
          <w:b/>
          <w:lang w:val="es-ES"/>
        </w:rPr>
      </w:pPr>
      <w:r w:rsidRPr="0016023B">
        <w:rPr>
          <w:rFonts w:ascii="Verdana" w:eastAsia="Century Gothic" w:hAnsi="Verdana" w:cs="Century Gothic"/>
          <w:b/>
          <w:lang w:val="es-ES"/>
        </w:rPr>
        <w:t>3. Razones de la respuesta:</w:t>
      </w:r>
    </w:p>
    <w:p w14:paraId="6D772669" w14:textId="77777777" w:rsidR="004C52E0" w:rsidRPr="0016023B" w:rsidRDefault="004C52E0" w:rsidP="004C52E0">
      <w:pPr>
        <w:spacing w:after="0" w:line="276" w:lineRule="auto"/>
        <w:jc w:val="both"/>
        <w:rPr>
          <w:rFonts w:ascii="Verdana" w:eastAsia="Calibri" w:hAnsi="Verdana" w:cs="Arial"/>
          <w:lang w:val="es-ES"/>
        </w:rPr>
      </w:pPr>
    </w:p>
    <w:p w14:paraId="0F097E23" w14:textId="77777777" w:rsidR="004C52E0" w:rsidRPr="0016023B" w:rsidRDefault="004C52E0" w:rsidP="004C52E0">
      <w:pPr>
        <w:spacing w:after="0" w:line="276" w:lineRule="auto"/>
        <w:jc w:val="both"/>
        <w:rPr>
          <w:rFonts w:ascii="Verdana" w:eastAsia="Calibri" w:hAnsi="Verdana" w:cs="Arial"/>
          <w:lang w:val="es-ES"/>
        </w:rPr>
      </w:pPr>
      <w:r w:rsidRPr="0016023B">
        <w:rPr>
          <w:rFonts w:ascii="Verdana" w:eastAsia="Calibri" w:hAnsi="Verdana" w:cs="Arial"/>
          <w:lang w:val="es-ES"/>
        </w:rPr>
        <w:t xml:space="preserve">Las respuestas anteriores se sustentan en las siguientes consideraciones: </w:t>
      </w:r>
      <w:bookmarkStart w:id="1" w:name="_Hlk102983874"/>
      <w:bookmarkStart w:id="2" w:name="_Hlk102388095"/>
    </w:p>
    <w:p w14:paraId="7A38BF15" w14:textId="77777777" w:rsidR="004C52E0" w:rsidRPr="0016023B" w:rsidRDefault="004C52E0" w:rsidP="004C52E0">
      <w:pPr>
        <w:spacing w:after="0" w:line="276" w:lineRule="auto"/>
        <w:jc w:val="both"/>
        <w:rPr>
          <w:rFonts w:ascii="Verdana" w:eastAsia="Calibri" w:hAnsi="Verdana" w:cs="Arial"/>
          <w:lang w:val="es-ES"/>
        </w:rPr>
      </w:pPr>
    </w:p>
    <w:p w14:paraId="6E077592" w14:textId="77777777" w:rsidR="004C52E0" w:rsidRPr="0016023B" w:rsidRDefault="004C52E0" w:rsidP="004C52E0">
      <w:pPr>
        <w:tabs>
          <w:tab w:val="left" w:pos="8789"/>
        </w:tabs>
        <w:spacing w:after="120" w:line="276" w:lineRule="auto"/>
        <w:jc w:val="both"/>
        <w:rPr>
          <w:rFonts w:ascii="Verdana" w:eastAsia="Geomanist Light" w:hAnsi="Verdana" w:cs="Arial"/>
          <w:lang w:val="es-ES"/>
        </w:rPr>
      </w:pPr>
      <w:r w:rsidRPr="0016023B">
        <w:rPr>
          <w:rFonts w:ascii="Verdana" w:hAnsi="Verdana" w:cs="Arial"/>
          <w:lang w:val="es-ES"/>
        </w:rPr>
        <w:t xml:space="preserve">i. Los incentivos referidos en la Ley 2069 de 2020 y la posibilidad de solicitar la limitación de las convocatorias a MiPymes no son extensibles a todas las </w:t>
      </w:r>
      <w:r w:rsidRPr="0016023B">
        <w:rPr>
          <w:rFonts w:ascii="Verdana" w:eastAsia="Calibri" w:hAnsi="Verdana" w:cs="Arial"/>
          <w:lang w:eastAsia="es-ES_tradnl"/>
        </w:rPr>
        <w:t>Entidades Sin Ánimo de Lucro</w:t>
      </w:r>
      <w:r w:rsidRPr="0016023B">
        <w:rPr>
          <w:rFonts w:ascii="Verdana" w:hAnsi="Verdana" w:cs="Arial"/>
          <w:lang w:val="es-ES"/>
        </w:rPr>
        <w:t xml:space="preserve"> – ESAL -, sino únicamente a aquellas que corresponden al concepto de </w:t>
      </w:r>
      <w:r w:rsidRPr="0016023B">
        <w:rPr>
          <w:rFonts w:ascii="Verdana" w:eastAsia="Calibri" w:hAnsi="Verdana" w:cs="Arial"/>
          <w:lang w:val="es-ES"/>
        </w:rPr>
        <w:t xml:space="preserve">cooperativas y demás entes considerados de economía solidaria </w:t>
      </w:r>
      <w:r w:rsidRPr="0016023B">
        <w:rPr>
          <w:rFonts w:ascii="Verdana" w:eastAsia="Geomanist Light" w:hAnsi="Verdana" w:cs="Arial"/>
          <w:lang w:val="es-ES"/>
        </w:rPr>
        <w:t xml:space="preserve">en los términos del artículo 6 de la Ley 454 de 1998 –norma a la que remite el artículo 23 de la Ley de Emprendimiento–. En tal sentido, debe analizarse si la ESAL cumple con las características establecidas en dicho artículo, para considerarla una organización de economía solidaria. </w:t>
      </w:r>
      <w:r w:rsidRPr="0016023B">
        <w:rPr>
          <w:rFonts w:ascii="Verdana" w:eastAsia="Calibri" w:hAnsi="Verdana" w:cs="Arial"/>
          <w:lang w:val="es-ES"/>
        </w:rPr>
        <w:t xml:space="preserve">Solo las que cumplan estos requisitos podrán ser asimiladas a las MiPymes y acceder a los requisitos diferenciales de la Ley 2069 de 2020, así como participar en las convocatorias limitadas a estas, presentar la solicitud de limitación y les permite incluso manifestar su interés de participar en el proceso de selección en los términos señalados en el numeral 3 del artículo </w:t>
      </w:r>
      <w:r w:rsidRPr="0016023B">
        <w:rPr>
          <w:rFonts w:ascii="Verdana" w:eastAsia="Calibri" w:hAnsi="Verdana" w:cs="Arial"/>
        </w:rPr>
        <w:t>2.2.1.2.1.5.2. d</w:t>
      </w:r>
      <w:r w:rsidRPr="0016023B">
        <w:rPr>
          <w:rFonts w:ascii="Verdana" w:eastAsia="Calibri" w:hAnsi="Verdana" w:cs="Arial"/>
          <w:lang w:val="es-ES"/>
        </w:rPr>
        <w:t>el Decreto 1082 de 2015.</w:t>
      </w:r>
    </w:p>
    <w:p w14:paraId="2F366670" w14:textId="77777777" w:rsidR="004C52E0" w:rsidRPr="0016023B" w:rsidRDefault="004C52E0" w:rsidP="004C52E0">
      <w:pPr>
        <w:spacing w:after="120" w:line="276" w:lineRule="auto"/>
        <w:ind w:firstLine="709"/>
        <w:jc w:val="both"/>
        <w:rPr>
          <w:rFonts w:ascii="Verdana" w:eastAsia="Geomanist Light" w:hAnsi="Verdana" w:cs="Arial"/>
          <w:lang w:val="es-ES"/>
        </w:rPr>
      </w:pPr>
      <w:r w:rsidRPr="0016023B">
        <w:rPr>
          <w:rFonts w:ascii="Verdana" w:eastAsia="Geomanist Light" w:hAnsi="Verdana" w:cs="Arial"/>
          <w:lang w:val="es-ES"/>
        </w:rPr>
        <w:t xml:space="preserve">Esta postura se sustenta en varios argumentos que vale la pena mencionar con finalidad de reiterar la tesis que se ha sostenido, en primer lugar, es importante indicar que, </w:t>
      </w:r>
      <w:r w:rsidRPr="0016023B">
        <w:rPr>
          <w:rFonts w:ascii="Verdana" w:eastAsia="Calibri" w:hAnsi="Verdana" w:cs="Arial"/>
          <w:lang w:val="es-ES_tradnl" w:eastAsia="es-ES_tradnl"/>
        </w:rPr>
        <w:t xml:space="preserve">en Colombia, la empresa se forma a través de un contrato de sociedad por medio del cual dos o más personas se obligan a hacer un aporte en dinero, en trabajo o en otros bienes apreciables en dinero con el fin de repartirse entre sí las utilidades obtenidas en la empresa, según el artículo 98 del Código de Comercio. En ese sentido, serán sociedades comerciales aquellas que ejecuten actos o empresas mercantiles, en los términos señalados en el artículo 100 </w:t>
      </w:r>
      <w:r w:rsidRPr="0016023B">
        <w:rPr>
          <w:rFonts w:ascii="Verdana" w:eastAsia="Calibri" w:hAnsi="Verdana" w:cs="Arial"/>
          <w:i/>
          <w:iCs/>
          <w:lang w:val="es-ES_tradnl" w:eastAsia="es-ES_tradnl"/>
        </w:rPr>
        <w:t>ibidem</w:t>
      </w:r>
      <w:r w:rsidRPr="0016023B">
        <w:rPr>
          <w:vertAlign w:val="superscript"/>
        </w:rPr>
        <w:footnoteReference w:id="1"/>
      </w:r>
      <w:r w:rsidRPr="0016023B">
        <w:rPr>
          <w:rFonts w:ascii="Verdana" w:eastAsia="Calibri" w:hAnsi="Verdana" w:cs="Arial"/>
          <w:lang w:val="es-ES_tradnl" w:eastAsia="es-ES_tradnl"/>
        </w:rPr>
        <w:t>.</w:t>
      </w:r>
    </w:p>
    <w:p w14:paraId="5504AF07" w14:textId="77777777" w:rsidR="004C52E0" w:rsidRPr="0016023B" w:rsidRDefault="004C52E0" w:rsidP="004C52E0">
      <w:pPr>
        <w:spacing w:after="120" w:line="276" w:lineRule="auto"/>
        <w:ind w:firstLine="709"/>
        <w:jc w:val="both"/>
        <w:rPr>
          <w:rFonts w:ascii="Verdana" w:eastAsia="Calibri" w:hAnsi="Verdana" w:cs="Arial"/>
          <w:lang w:val="es-ES" w:eastAsia="es-ES"/>
        </w:rPr>
      </w:pPr>
      <w:r w:rsidRPr="0016023B">
        <w:rPr>
          <w:rFonts w:ascii="Verdana" w:eastAsia="Calibri" w:hAnsi="Verdana" w:cs="Arial"/>
          <w:lang w:val="es-ES" w:eastAsia="es-ES"/>
        </w:rPr>
        <w:lastRenderedPageBreak/>
        <w:t xml:space="preserve">El libro segundo del Código de Comercio no incluye a las ESAL - como las corporaciones, asociaciones o fundaciones – en la enumeración de las sociedades comerciales. A juicio de esta Agencia, la razón de la exclusión radica en que las ESAL no tienen fines comerciales, es decir, carecen de ánimo de lucro, y por eso no forman un tipo o clase de sociedad comercial. </w:t>
      </w:r>
      <w:r w:rsidRPr="0016023B">
        <w:rPr>
          <w:rFonts w:ascii="Verdana" w:eastAsia="Calibri" w:hAnsi="Verdana" w:cs="Arial"/>
          <w:lang w:val="es-ES_tradnl" w:eastAsia="es-ES_tradnl"/>
        </w:rPr>
        <w:t>A lo anterior se suma que este tipo de corporaciones o asociaciones se encuentran reguladas en el Código Civil –entre otras normas concordantes–, de lo que se sigue que no constituyen formas de sociedad comercial, sino formas de organización civil con fines esencialmente altruistas o de interés general, que se conforman entre personas que tienen como finalidad contribuir con su esfuerzo, y hasta con sus bienes, para ayudar a la comunidad</w:t>
      </w:r>
      <w:r w:rsidRPr="0016023B">
        <w:rPr>
          <w:rStyle w:val="Refdenotaalpie"/>
          <w:rFonts w:ascii="Verdana" w:eastAsia="Calibri" w:hAnsi="Verdana" w:cs="Arial"/>
          <w:lang w:val="es-ES_tradnl" w:eastAsia="es-ES_tradnl"/>
        </w:rPr>
        <w:footnoteReference w:id="2"/>
      </w:r>
      <w:r w:rsidRPr="0016023B">
        <w:rPr>
          <w:rFonts w:ascii="Verdana" w:eastAsia="Calibri" w:hAnsi="Verdana" w:cs="Arial"/>
          <w:lang w:val="es-ES_tradnl" w:eastAsia="es-ES_tradnl"/>
        </w:rPr>
        <w:t>. La ausencia de ánimo de lucro es, entonces, la característica determinante de estas corporaciones u organizaciones, lo que explica su nombre y las diferencias de manera fundamental de las sociedades comerciales.</w:t>
      </w:r>
    </w:p>
    <w:p w14:paraId="2FBB7F4D" w14:textId="77777777" w:rsidR="004C52E0" w:rsidRPr="0016023B" w:rsidRDefault="004C52E0" w:rsidP="004C52E0">
      <w:pPr>
        <w:spacing w:after="120" w:line="276" w:lineRule="auto"/>
        <w:ind w:firstLine="709"/>
        <w:jc w:val="both"/>
        <w:rPr>
          <w:rFonts w:ascii="Verdana" w:eastAsia="Calibri" w:hAnsi="Verdana" w:cs="Arial"/>
          <w:lang w:val="es-ES" w:eastAsia="es-ES"/>
        </w:rPr>
      </w:pPr>
      <w:r w:rsidRPr="0016023B">
        <w:rPr>
          <w:rFonts w:ascii="Verdana" w:eastAsia="Calibri" w:hAnsi="Verdana" w:cs="Arial"/>
          <w:lang w:val="es-ES" w:eastAsia="es-ES"/>
        </w:rPr>
        <w:t xml:space="preserve">Que una ESAL no sea una forma de sociedad comercial se infiere también de los requisitos y finalidad que exige el artículo 98 del Código de Comercio en relación con el contrato de sociedad. En efecto, la norma en comento dispone: “por el contrato de sociedad dos o más personas se obligan a hacer un aporte en dinero, en trabajo o en otros bienes apreciables en dinero, </w:t>
      </w:r>
      <w:r w:rsidRPr="0016023B">
        <w:rPr>
          <w:rFonts w:ascii="Verdana" w:eastAsia="Calibri" w:hAnsi="Verdana" w:cs="Arial"/>
          <w:i/>
          <w:iCs/>
          <w:lang w:val="es-ES" w:eastAsia="es-ES"/>
        </w:rPr>
        <w:t>con el fin de repartirse entre sí las utilidades obtenidas en la empresa o actividad socia</w:t>
      </w:r>
      <w:r w:rsidRPr="0016023B">
        <w:rPr>
          <w:rFonts w:ascii="Verdana" w:eastAsia="Calibri" w:hAnsi="Verdana" w:cs="Arial"/>
          <w:lang w:val="es-ES" w:eastAsia="es-ES"/>
        </w:rPr>
        <w:t xml:space="preserve">l” [Énfasis fuera de texto]. </w:t>
      </w:r>
      <w:r w:rsidRPr="0016023B">
        <w:rPr>
          <w:rFonts w:ascii="Verdana" w:eastAsia="Calibri" w:hAnsi="Verdana" w:cs="Arial"/>
          <w:lang w:val="es-ES_tradnl" w:eastAsia="es-ES_tradnl"/>
        </w:rPr>
        <w:t>Así pues, en las ESAL no es admisible el reparto de utilidades, ni durante la existencia de la organización ni cuando se extinga. En este aspecto, se insiste, radica la diferencia más apreciable entre estas corporaciones y las sociedades comerciales, pese a que ambas se crean con libertad y al amparo del derecho fundamental de asociación previsto en el artículo 38 de la Constitución Política y otras normas contenidas en tratados internacionales suscritos por Colombia.</w:t>
      </w:r>
    </w:p>
    <w:p w14:paraId="470F8C0E" w14:textId="77777777" w:rsidR="004C52E0" w:rsidRPr="0016023B" w:rsidRDefault="004C52E0" w:rsidP="004C52E0">
      <w:pPr>
        <w:spacing w:after="120" w:line="276" w:lineRule="auto"/>
        <w:ind w:firstLine="709"/>
        <w:jc w:val="both"/>
        <w:rPr>
          <w:rFonts w:ascii="Verdana" w:eastAsia="Calibri" w:hAnsi="Verdana" w:cs="Arial"/>
          <w:lang w:val="es-ES" w:eastAsia="es-ES"/>
        </w:rPr>
      </w:pPr>
      <w:r w:rsidRPr="0016023B">
        <w:rPr>
          <w:rFonts w:ascii="Verdana" w:eastAsia="Calibri" w:hAnsi="Verdana" w:cs="Arial"/>
          <w:lang w:val="es-ES" w:eastAsia="es-ES"/>
        </w:rPr>
        <w:t xml:space="preserve">De conformidad con lo anterior, una “asociación o corporación” constituidas en los términos del Código Civil, no puede asimilarse o identificarse </w:t>
      </w:r>
      <w:r w:rsidRPr="0016023B">
        <w:rPr>
          <w:rFonts w:ascii="Verdana" w:eastAsia="Calibri" w:hAnsi="Verdana" w:cs="Arial"/>
          <w:lang w:val="es-ES" w:eastAsia="es-ES"/>
        </w:rPr>
        <w:lastRenderedPageBreak/>
        <w:t>con una “sociedad comercial”, como uniformemente lo considera la doctrina y la jurisprudencia civil y comercial. Lo anterior, en la medida en que las sociedades comerciales se crean con la finalidad de que sus socios repartan las utilidades obtenidas en desarrollo de la empresa o actividad social. Por el contrario, las corporaciones, fundaciones o asociaciones destinan su patrimonio a la consecución de un interés general y no perciben lucro, pues los excedentes monetarios que se presenten deben ser reinvertidos en la ESAL y no es viable repartirlos entre los asociados.</w:t>
      </w:r>
    </w:p>
    <w:p w14:paraId="3A7CE22F" w14:textId="77777777" w:rsidR="004C52E0" w:rsidRPr="0016023B" w:rsidRDefault="004C52E0" w:rsidP="004C52E0">
      <w:pPr>
        <w:spacing w:after="120" w:line="276" w:lineRule="auto"/>
        <w:ind w:firstLine="709"/>
        <w:jc w:val="both"/>
        <w:rPr>
          <w:rFonts w:ascii="Verdana" w:eastAsia="Calibri" w:hAnsi="Verdana" w:cs="Arial"/>
          <w:lang w:val="es-ES_tradnl" w:eastAsia="es-ES_tradnl"/>
        </w:rPr>
      </w:pPr>
      <w:r w:rsidRPr="0016023B">
        <w:rPr>
          <w:rFonts w:ascii="Verdana" w:eastAsia="Calibri" w:hAnsi="Verdana" w:cs="Arial"/>
          <w:lang w:val="es-ES_tradnl" w:eastAsia="es-ES_tradnl"/>
        </w:rPr>
        <w:t>La Corte Constitucional, en la sentencia C-287 de 2012, reiteró que la diferencia existente entre las sociedades comerciales y las ESAL es que estas últimas no reparten sus utilidades entre los socios:</w:t>
      </w:r>
    </w:p>
    <w:p w14:paraId="63FDEA88" w14:textId="77777777" w:rsidR="004C52E0" w:rsidRPr="0016023B" w:rsidRDefault="004C52E0" w:rsidP="004C52E0">
      <w:pPr>
        <w:spacing w:after="0" w:line="240" w:lineRule="auto"/>
        <w:ind w:left="709" w:right="709"/>
        <w:jc w:val="both"/>
        <w:rPr>
          <w:rFonts w:ascii="Verdana" w:eastAsia="Calibri" w:hAnsi="Verdana" w:cs="Arial"/>
          <w:sz w:val="20"/>
          <w:szCs w:val="20"/>
          <w:lang w:val="es-ES" w:eastAsia="es-ES"/>
        </w:rPr>
      </w:pPr>
      <w:r w:rsidRPr="0016023B">
        <w:rPr>
          <w:rFonts w:ascii="Verdana" w:eastAsia="Calibri" w:hAnsi="Verdana" w:cs="Arial"/>
          <w:sz w:val="20"/>
          <w:szCs w:val="20"/>
          <w:lang w:val="es-ES" w:eastAsia="es-ES"/>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w:t>
      </w:r>
      <w:r w:rsidRPr="0016023B">
        <w:rPr>
          <w:rStyle w:val="Refdenotaalpie"/>
          <w:rFonts w:ascii="Verdana" w:eastAsia="Calibri" w:hAnsi="Verdana" w:cs="Arial"/>
          <w:lang w:val="es-ES_tradnl" w:eastAsia="es-ES_tradnl"/>
        </w:rPr>
        <w:t xml:space="preserve"> </w:t>
      </w:r>
      <w:r w:rsidRPr="0016023B">
        <w:rPr>
          <w:rStyle w:val="Refdenotaalpie"/>
          <w:rFonts w:ascii="Verdana" w:eastAsia="Calibri" w:hAnsi="Verdana" w:cs="Arial"/>
          <w:lang w:val="es-ES_tradnl" w:eastAsia="es-ES_tradnl"/>
        </w:rPr>
        <w:footnoteReference w:id="3"/>
      </w:r>
      <w:r w:rsidRPr="0016023B">
        <w:rPr>
          <w:rFonts w:ascii="Verdana" w:eastAsia="Calibri" w:hAnsi="Verdana" w:cs="Arial"/>
          <w:sz w:val="20"/>
          <w:szCs w:val="20"/>
          <w:lang w:val="es-ES" w:eastAsia="es-ES"/>
        </w:rPr>
        <w:t>.</w:t>
      </w:r>
    </w:p>
    <w:p w14:paraId="1F1B4BDC" w14:textId="77777777" w:rsidR="004C52E0" w:rsidRPr="0016023B" w:rsidRDefault="004C52E0" w:rsidP="004C52E0">
      <w:pPr>
        <w:spacing w:after="0" w:line="240" w:lineRule="auto"/>
        <w:ind w:left="709" w:right="709"/>
        <w:jc w:val="both"/>
        <w:rPr>
          <w:rFonts w:ascii="Verdana" w:eastAsia="Calibri" w:hAnsi="Verdana" w:cs="Arial"/>
          <w:sz w:val="20"/>
          <w:szCs w:val="20"/>
          <w:lang w:val="es-ES" w:eastAsia="es-ES"/>
        </w:rPr>
      </w:pPr>
    </w:p>
    <w:p w14:paraId="7539F256" w14:textId="77777777" w:rsidR="004C52E0" w:rsidRPr="0016023B" w:rsidRDefault="004C52E0" w:rsidP="004C52E0">
      <w:pPr>
        <w:widowControl w:val="0"/>
        <w:autoSpaceDE w:val="0"/>
        <w:autoSpaceDN w:val="0"/>
        <w:spacing w:after="120" w:line="276" w:lineRule="auto"/>
        <w:ind w:firstLine="709"/>
        <w:jc w:val="both"/>
        <w:rPr>
          <w:rFonts w:ascii="Verdana" w:eastAsia="Calibri" w:hAnsi="Verdana" w:cs="Arial"/>
          <w:lang w:val="es-ES_tradnl" w:eastAsia="es-ES_tradnl"/>
        </w:rPr>
      </w:pPr>
      <w:r w:rsidRPr="0016023B">
        <w:rPr>
          <w:rFonts w:ascii="Verdana" w:eastAsia="Calibri" w:hAnsi="Verdana" w:cs="Arial"/>
          <w:lang w:val="es-ES_tradnl" w:eastAsia="es-ES_tradnl"/>
        </w:rPr>
        <w:t>En ese mismo sentido, la Cámara de Comercio de Bogotá, en el “Documento ABC Entidades sin Ánimo de Lucro”, ha definido las ESAL como “las personas jurídicas que se constituyen por la voluntad de asociación o creación de otras personas (naturales o jurídicas) para realizar actividades en beneficio de los asociados o de terceras personas o de la comunidad en general y no persiguen el reparto de utilidades entre sus miembros</w:t>
      </w:r>
      <w:r w:rsidRPr="0016023B">
        <w:rPr>
          <w:rStyle w:val="Refdenotaalpie"/>
          <w:rFonts w:ascii="Verdana" w:eastAsia="Calibri" w:hAnsi="Verdana" w:cs="Arial"/>
          <w:lang w:val="es-ES_tradnl" w:eastAsia="es-ES_tradnl"/>
        </w:rPr>
        <w:footnoteReference w:id="4"/>
      </w:r>
      <w:r w:rsidRPr="0016023B">
        <w:rPr>
          <w:rFonts w:ascii="Verdana" w:eastAsia="Calibri" w:hAnsi="Verdana" w:cs="Arial"/>
          <w:lang w:val="es-ES_tradnl" w:eastAsia="es-ES_tradnl"/>
        </w:rPr>
        <w:t>”. Las ESAL, no tienen la naturaleza jurídica de empresa sino, de asociaciones que buscan la realización de un fin común y objetivos carentes de un contenido esencialmente patrimonial –fin de lucro y reparto de las utilidades–.</w:t>
      </w:r>
    </w:p>
    <w:p w14:paraId="4B12CF05" w14:textId="77777777" w:rsidR="004C52E0" w:rsidRPr="0016023B" w:rsidRDefault="004C52E0" w:rsidP="004C52E0">
      <w:pPr>
        <w:widowControl w:val="0"/>
        <w:autoSpaceDE w:val="0"/>
        <w:autoSpaceDN w:val="0"/>
        <w:spacing w:after="120" w:line="276" w:lineRule="auto"/>
        <w:ind w:firstLine="709"/>
        <w:jc w:val="both"/>
        <w:rPr>
          <w:rFonts w:ascii="Verdana" w:eastAsia="Calibri" w:hAnsi="Verdana" w:cs="Arial"/>
          <w:lang w:eastAsia="es-ES_tradnl"/>
        </w:rPr>
      </w:pPr>
      <w:r w:rsidRPr="0016023B">
        <w:rPr>
          <w:rFonts w:ascii="Verdana" w:eastAsia="Calibri" w:hAnsi="Verdana" w:cs="Arial"/>
          <w:lang w:val="es-ES_tradnl" w:eastAsia="es-ES_tradnl"/>
        </w:rPr>
        <w:t xml:space="preserve">De esta manera, no es jurídicamente admisible </w:t>
      </w:r>
      <w:r w:rsidRPr="0016023B">
        <w:rPr>
          <w:rFonts w:ascii="Verdana" w:eastAsia="Calibri" w:hAnsi="Verdana" w:cs="Arial"/>
          <w:lang w:eastAsia="es-ES_tradnl"/>
        </w:rPr>
        <w:t xml:space="preserve">asimilar a las ESAL con las </w:t>
      </w:r>
      <w:r w:rsidRPr="0016023B">
        <w:rPr>
          <w:rFonts w:ascii="Verdana" w:eastAsia="Calibri" w:hAnsi="Verdana" w:cs="Arial"/>
          <w:lang w:eastAsia="es-ES_tradnl"/>
        </w:rPr>
        <w:lastRenderedPageBreak/>
        <w:t xml:space="preserve">sociedades comerciales, pues tal como lo establece el artículo 98 del Código de Comercio, el contrato de sociedad se constituye con el fin específico de repartir utilidades entre los socios y es un elemento consustancial a la existencia misma de una sociedad comercial. Por su parte, las ESAL están fundadas en la idea de promover un fin altruista o de interés general, sin que exista ánimo de lucro ni posibilidad legal de repartir excedentes entre sus miembros. Esta distinción es fundamental porque diferencia a las ESAL de las empresas y las sociedades comerciales en términos de propósito y estructura. Además, el hecho de que estas generen empleo o “riquezas” no las convierte en sociedades comerciales ni cambia su naturaleza no lucrativa. Por tanto, tampoco se considera procedente referirse a un trato desigual entre iguales. </w:t>
      </w:r>
    </w:p>
    <w:p w14:paraId="2B9CBD5F" w14:textId="77777777" w:rsidR="004C52E0" w:rsidRPr="0016023B" w:rsidRDefault="004C52E0" w:rsidP="004C52E0">
      <w:pPr>
        <w:widowControl w:val="0"/>
        <w:autoSpaceDE w:val="0"/>
        <w:autoSpaceDN w:val="0"/>
        <w:spacing w:after="120" w:line="276" w:lineRule="auto"/>
        <w:jc w:val="both"/>
        <w:rPr>
          <w:rFonts w:ascii="Verdana" w:eastAsia="Calibri" w:hAnsi="Verdana" w:cs="Arial"/>
          <w:lang w:eastAsia="es-ES_tradnl"/>
        </w:rPr>
      </w:pPr>
      <w:r w:rsidRPr="0016023B">
        <w:rPr>
          <w:rFonts w:ascii="Verdana" w:eastAsia="Calibri" w:hAnsi="Verdana" w:cs="Arial"/>
          <w:lang w:val="es-ES_tradnl"/>
        </w:rPr>
        <w:t>ii. Ahora bien, l</w:t>
      </w:r>
      <w:r w:rsidRPr="0016023B">
        <w:rPr>
          <w:rFonts w:ascii="Verdana" w:eastAsia="Calibri" w:hAnsi="Verdana" w:cs="Arial"/>
          <w:lang w:val="es-ES" w:eastAsia="es-ES_tradnl"/>
        </w:rPr>
        <w:t>a Ley 2069 d</w:t>
      </w:r>
      <w:r w:rsidRPr="0016023B">
        <w:rPr>
          <w:rFonts w:ascii="Verdana" w:eastAsia="Calibri" w:hAnsi="Verdana" w:cs="Arial"/>
          <w:lang w:eastAsia="es-ES_tradnl"/>
        </w:rPr>
        <w:t>el 31 de diciembre de 2020,</w:t>
      </w:r>
      <w:r w:rsidRPr="0016023B">
        <w:rPr>
          <w:rFonts w:ascii="Verdana" w:eastAsia="Calibri" w:hAnsi="Verdana" w:cs="Arial"/>
          <w:lang w:val="es-ES" w:eastAsia="es-ES_tradnl"/>
        </w:rPr>
        <w:t xml:space="preserve"> “Por medio de la cual se impulsa el emprendimiento en Colombia”, establece un marco regulatorio que propicia el emprendimiento, el crecimiento, la consolidación y la sostenibilidad de las empresas, con el fin de aumentar el bienestar social y generar equidad. E</w:t>
      </w:r>
      <w:r w:rsidRPr="0016023B">
        <w:rPr>
          <w:rFonts w:ascii="Verdana" w:eastAsia="Calibri" w:hAnsi="Verdana" w:cs="Arial"/>
          <w:bCs/>
          <w:lang w:val="es-ES" w:eastAsia="es-ES_tradnl"/>
        </w:rPr>
        <w:t xml:space="preserve">l “Capítulo III – Compras públicas” </w:t>
      </w:r>
      <w:r w:rsidRPr="0016023B">
        <w:rPr>
          <w:rFonts w:ascii="Verdana" w:eastAsia="Calibri" w:hAnsi="Verdana" w:cs="Arial"/>
          <w:lang w:eastAsia="es-ES_tradnl"/>
        </w:rPr>
        <w:t xml:space="preserve">contiene normas que modifican algunos aspectos de la contratación estatal para promover el emprendimiento. </w:t>
      </w:r>
      <w:r w:rsidRPr="0016023B">
        <w:rPr>
          <w:rFonts w:ascii="Verdana" w:eastAsia="Calibri" w:hAnsi="Verdana" w:cs="Arial"/>
          <w:bCs/>
          <w:lang w:eastAsia="es-ES_tradnl"/>
        </w:rPr>
        <w:t>Dentro del referido capítulo se encuentran el artículo 34, en el cual se establecen unos</w:t>
      </w:r>
      <w:r w:rsidRPr="0016023B">
        <w:rPr>
          <w:rFonts w:ascii="Verdana" w:eastAsia="Calibri" w:hAnsi="Verdana" w:cs="Arial"/>
          <w:lang w:eastAsia="es-ES_tradnl"/>
        </w:rPr>
        <w:t xml:space="preserve"> parámetros para la limitación de convocatorias a Mipymes, con el fin de incentivar su participación en el Sistema de Compras y Contratación Pública. </w:t>
      </w:r>
    </w:p>
    <w:p w14:paraId="3719B516" w14:textId="77777777" w:rsidR="004C52E0" w:rsidRPr="0016023B" w:rsidRDefault="004C52E0" w:rsidP="004C52E0">
      <w:pPr>
        <w:widowControl w:val="0"/>
        <w:autoSpaceDE w:val="0"/>
        <w:autoSpaceDN w:val="0"/>
        <w:spacing w:after="120" w:line="276" w:lineRule="auto"/>
        <w:ind w:firstLine="709"/>
        <w:jc w:val="both"/>
        <w:rPr>
          <w:rFonts w:ascii="Verdana" w:eastAsia="Calibri" w:hAnsi="Verdana" w:cs="Arial"/>
          <w:lang w:eastAsia="es-ES_tradnl"/>
        </w:rPr>
      </w:pPr>
      <w:r w:rsidRPr="0016023B">
        <w:rPr>
          <w:rFonts w:ascii="Verdana" w:eastAsia="Calibri" w:hAnsi="Verdana" w:cs="Arial"/>
          <w:lang w:eastAsia="es-ES_tradnl"/>
        </w:rPr>
        <w:t xml:space="preserve">Dicho lo anterior, es necesario analizar si las ESAL pueden ser beneficiarias de las convocatorias limitadas a favor de Mipymes. </w:t>
      </w:r>
      <w:r w:rsidRPr="0016023B">
        <w:rPr>
          <w:rFonts w:ascii="Verdana" w:eastAsia="Calibri" w:hAnsi="Verdana" w:cs="Arial"/>
          <w:lang w:val="es-ES" w:eastAsia="es-ES_tradnl"/>
        </w:rPr>
        <w:t xml:space="preserve">En primer lugar, respecto a la asimilación de las ESAL con las Mipymes, resulta indispensable señalar que el artículo 2 de la Ley 590 de 2000, modificado por el artículo 43 de la Ley 1450 de 2011, define la </w:t>
      </w:r>
      <w:r w:rsidRPr="0016023B">
        <w:rPr>
          <w:rFonts w:ascii="Verdana" w:eastAsia="Calibri" w:hAnsi="Verdana" w:cs="Arial"/>
          <w:i/>
          <w:iCs/>
          <w:lang w:val="es-ES" w:eastAsia="es-ES_tradnl"/>
        </w:rPr>
        <w:t>empresa</w:t>
      </w:r>
      <w:r w:rsidRPr="0016023B">
        <w:rPr>
          <w:rFonts w:ascii="Verdana" w:eastAsia="Calibri" w:hAnsi="Verdana" w:cs="Arial"/>
          <w:lang w:val="es-ES" w:eastAsia="es-ES_tradnl"/>
        </w:rPr>
        <w:t xml:space="preserve"> como toda unidad de explotación económica que realiza una persona natural o jurídica en actividades agropecuarias, industriales, comerciales o de servicios</w:t>
      </w:r>
      <w:r w:rsidRPr="0016023B">
        <w:rPr>
          <w:rFonts w:ascii="Verdana" w:eastAsia="Calibri" w:hAnsi="Verdana" w:cs="Arial"/>
          <w:vertAlign w:val="superscript"/>
          <w:lang w:val="es-ES" w:eastAsia="es-ES_tradnl"/>
        </w:rPr>
        <w:footnoteReference w:id="5"/>
      </w:r>
      <w:r w:rsidRPr="0016023B">
        <w:rPr>
          <w:rFonts w:ascii="Verdana" w:eastAsia="Calibri" w:hAnsi="Verdana" w:cs="Arial"/>
          <w:lang w:val="es-ES" w:eastAsia="es-ES_tradnl"/>
        </w:rPr>
        <w:t xml:space="preserve">. Además, establece que </w:t>
      </w:r>
      <w:r w:rsidRPr="0016023B">
        <w:rPr>
          <w:rFonts w:ascii="Verdana" w:eastAsia="Calibri" w:hAnsi="Verdana" w:cs="Arial"/>
          <w:lang w:val="es-ES" w:eastAsia="es-ES_tradnl"/>
        </w:rPr>
        <w:lastRenderedPageBreak/>
        <w:t>estas se clasifican en micro, pequeña, mediana y gran empresa, de acuerdo con los criterios del número de trabajadores totales, el valor de ventas brutales anuales y el valor de activos totales. Ahora bien, el artículo 2.2.1.13.2.2 del Decreto 1074 de 2015, adicionado por el Decreto 957 de 2019, establece que:</w:t>
      </w:r>
    </w:p>
    <w:p w14:paraId="7044E315" w14:textId="77777777" w:rsidR="004C52E0" w:rsidRPr="0016023B" w:rsidRDefault="004C52E0" w:rsidP="004C52E0">
      <w:pPr>
        <w:spacing w:after="120" w:line="276" w:lineRule="auto"/>
        <w:ind w:firstLine="708"/>
        <w:jc w:val="both"/>
        <w:rPr>
          <w:rFonts w:ascii="Verdana" w:hAnsi="Verdana" w:cs="Arial"/>
          <w:lang w:val="es-ES_tradnl"/>
        </w:rPr>
      </w:pPr>
      <w:r w:rsidRPr="0016023B">
        <w:rPr>
          <w:rFonts w:ascii="Verdana" w:hAnsi="Verdana" w:cs="Arial"/>
          <w:lang w:val="es-ES_tradnl"/>
        </w:rPr>
        <w:t xml:space="preserve">1. La </w:t>
      </w:r>
      <w:r w:rsidRPr="0016023B">
        <w:rPr>
          <w:rFonts w:ascii="Verdana" w:hAnsi="Verdana" w:cs="Arial"/>
          <w:i/>
          <w:iCs/>
          <w:lang w:val="es-ES_tradnl"/>
        </w:rPr>
        <w:t>microempresa</w:t>
      </w:r>
      <w:r w:rsidRPr="0016023B">
        <w:rPr>
          <w:rFonts w:ascii="Verdana" w:hAnsi="Verdana" w:cs="Arial"/>
          <w:lang w:val="es-ES_tradnl"/>
        </w:rPr>
        <w:t xml:space="preserve"> en el sector manufacturero, es “aquella cuyos ingresos por actividades ordinarias anuales sean inferiores o iguales a veintitrés mil quinientos sesenta y tres Unidades de Valor Tributario (23.563 UVT)”, en el sector servicios, la que sus “ingresos por actividades ordinarias anuales sean inferiores o iguales a treinta y dos mil novecientos ochenta y ocho Unidades de Valor </w:t>
      </w:r>
      <w:r w:rsidRPr="0016023B">
        <w:rPr>
          <w:rFonts w:ascii="Verdana" w:hAnsi="Verdana" w:cs="Arial"/>
          <w:sz w:val="21"/>
          <w:szCs w:val="21"/>
          <w:lang w:val="es-ES_tradnl"/>
        </w:rPr>
        <w:t xml:space="preserve">Tributario (32.988 UVT)”, y en el sector comercio, la que sus “ingresos por </w:t>
      </w:r>
      <w:r w:rsidRPr="0016023B">
        <w:rPr>
          <w:rFonts w:ascii="Verdana" w:hAnsi="Verdana" w:cs="Arial"/>
          <w:lang w:val="es-ES_tradnl"/>
        </w:rPr>
        <w:t>actividades ordinarias anuales sean inferiores o iguales a cuarenta y cuatro mil setecientos sesenta y nueve Unidades de Valor Tributario (44.769 UVT).</w:t>
      </w:r>
    </w:p>
    <w:p w14:paraId="1DC89185" w14:textId="77777777" w:rsidR="004C52E0" w:rsidRPr="0016023B" w:rsidRDefault="004C52E0" w:rsidP="004C52E0">
      <w:pPr>
        <w:spacing w:after="120" w:line="276" w:lineRule="auto"/>
        <w:ind w:firstLine="708"/>
        <w:jc w:val="both"/>
        <w:rPr>
          <w:rFonts w:ascii="Verdana" w:hAnsi="Verdana" w:cs="Arial"/>
          <w:lang w:val="es-ES"/>
        </w:rPr>
      </w:pPr>
      <w:r w:rsidRPr="0016023B">
        <w:rPr>
          <w:rFonts w:ascii="Verdana" w:hAnsi="Verdana" w:cs="Arial"/>
          <w:lang w:val="es-ES"/>
        </w:rPr>
        <w:t xml:space="preserve">2. La </w:t>
      </w:r>
      <w:r w:rsidRPr="0016023B">
        <w:rPr>
          <w:rFonts w:ascii="Verdana" w:hAnsi="Verdana" w:cs="Arial"/>
          <w:i/>
          <w:iCs/>
          <w:lang w:val="es-ES"/>
        </w:rPr>
        <w:t>pequeña empresa</w:t>
      </w:r>
      <w:r w:rsidRPr="0016023B">
        <w:rPr>
          <w:rFonts w:ascii="Verdana" w:hAnsi="Verdana" w:cs="Arial"/>
          <w:lang w:val="es-ES"/>
        </w:rPr>
        <w:t xml:space="preserve"> en el sector manufacturero, es aquella “cuyos ingresos por actividades ordinarias anuales sean superiores a veintitrés mil quinientos sesenta y tres Unidades de Valor Tributario (23.563 UVT) e inferiores o iguales a doscientos cuatro mil novecientos  noventa y cinco Unidades de Valor Tributario (204.995 UVT)”; en el sector servicios, la que sus “ingresos por actividades ordinarias anuales sean superiores a treinta y dos mil novecientos ochenta y ocho Unidades de Valor Tributario (32.988 UVT) e inferiores o iguales a ciento treinta y un mil novecientos cincuenta y uno Unidades de Valor Tributario (131. 951 UVT)”; y en el sector comercio, la que sus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32835C95" w14:textId="77777777" w:rsidR="004C52E0" w:rsidRPr="0016023B" w:rsidRDefault="004C52E0" w:rsidP="004C52E0">
      <w:pPr>
        <w:spacing w:after="120" w:line="276" w:lineRule="auto"/>
        <w:ind w:firstLine="709"/>
        <w:jc w:val="both"/>
        <w:rPr>
          <w:rFonts w:ascii="Verdana" w:eastAsia="Arial" w:hAnsi="Verdana" w:cs="Arial"/>
          <w:lang w:val="es-ES"/>
        </w:rPr>
      </w:pPr>
      <w:r w:rsidRPr="0016023B">
        <w:rPr>
          <w:rFonts w:ascii="Verdana" w:eastAsia="Arial" w:hAnsi="Verdana" w:cs="Arial"/>
          <w:lang w:val="es-ES"/>
        </w:rPr>
        <w:t xml:space="preserve">3. La </w:t>
      </w:r>
      <w:r w:rsidRPr="0016023B">
        <w:rPr>
          <w:rFonts w:ascii="Verdana" w:eastAsia="Arial" w:hAnsi="Verdana" w:cs="Arial"/>
          <w:i/>
          <w:iCs/>
          <w:lang w:val="es-ES"/>
        </w:rPr>
        <w:t>mediana empresa</w:t>
      </w:r>
      <w:r w:rsidRPr="0016023B">
        <w:rPr>
          <w:rFonts w:ascii="Verdana" w:eastAsia="Arial" w:hAnsi="Verdana" w:cs="Arial"/>
          <w:lang w:val="es-ES"/>
        </w:rPr>
        <w:t xml:space="preserve">,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en el sector servicios, la que sus “ingresos por actividades ordinarias anuales sean superiores a ciento treinta y un mil novecientos cincuenta y un Unidades de Valor Tributario </w:t>
      </w:r>
      <w:r w:rsidRPr="0016023B">
        <w:rPr>
          <w:rFonts w:ascii="Verdana" w:eastAsia="Arial" w:hAnsi="Verdana" w:cs="Arial"/>
          <w:lang w:val="es-ES"/>
        </w:rPr>
        <w:lastRenderedPageBreak/>
        <w:t xml:space="preserve">(131.951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  </w:t>
      </w:r>
    </w:p>
    <w:p w14:paraId="74837B9E" w14:textId="77777777" w:rsidR="004C52E0" w:rsidRPr="0016023B" w:rsidRDefault="004C52E0" w:rsidP="004C52E0">
      <w:pPr>
        <w:spacing w:after="120" w:line="276" w:lineRule="auto"/>
        <w:ind w:firstLine="709"/>
        <w:jc w:val="both"/>
        <w:rPr>
          <w:rFonts w:ascii="Verdana" w:hAnsi="Verdana" w:cs="Arial"/>
          <w:lang w:val="es-ES"/>
        </w:rPr>
      </w:pPr>
      <w:r w:rsidRPr="0016023B">
        <w:rPr>
          <w:rFonts w:ascii="Verdana" w:hAnsi="Verdana" w:cs="Arial"/>
          <w:lang w:val="es-ES"/>
        </w:rPr>
        <w:t xml:space="preserve">En ese contexto, esta Agencia ha sostenido de forma la tesis consistente en que las ESAL no pueden, por regla general, acceder a los beneficios a favor de las Mipymes ni participar en los procesos contractuales limitados a estas considerando que: </w:t>
      </w:r>
    </w:p>
    <w:p w14:paraId="732A6524" w14:textId="77777777" w:rsidR="004C52E0" w:rsidRPr="0016023B" w:rsidRDefault="004C52E0" w:rsidP="004C52E0">
      <w:pPr>
        <w:spacing w:after="0" w:line="240" w:lineRule="auto"/>
        <w:ind w:left="709" w:right="709"/>
        <w:jc w:val="both"/>
        <w:rPr>
          <w:rFonts w:ascii="Verdana" w:hAnsi="Verdana" w:cs="Arial"/>
          <w:sz w:val="20"/>
          <w:szCs w:val="20"/>
        </w:rPr>
      </w:pPr>
      <w:r w:rsidRPr="0016023B">
        <w:rPr>
          <w:rFonts w:ascii="Verdana" w:hAnsi="Verdana" w:cs="Arial"/>
          <w:sz w:val="20"/>
          <w:szCs w:val="20"/>
          <w:lang w:val="es-ES_tradnl"/>
        </w:rPr>
        <w:t>“</w:t>
      </w:r>
      <w:r w:rsidRPr="0016023B">
        <w:rPr>
          <w:rFonts w:ascii="Verdana" w:hAnsi="Verdana" w:cs="Arial"/>
          <w:sz w:val="20"/>
          <w:szCs w:val="20"/>
        </w:rPr>
        <w:t xml:space="preserve">en virtud del artículo 43 de la Ley 1450 de 2011, que modificó el artículo 2 de la Ley 590 de 2000, […] puede decirse que solo podrán ser Mipymes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MiPymes. Lo anterior teniendo en cuenta que </w:t>
      </w:r>
      <w:r w:rsidRPr="0016023B">
        <w:rPr>
          <w:rFonts w:ascii="Verdana" w:hAnsi="Verdana" w:cs="Arial"/>
          <w:i/>
          <w:iCs/>
          <w:sz w:val="20"/>
          <w:szCs w:val="20"/>
        </w:rPr>
        <w:t>no responden al concepto de empresa que involucra dicha categoría con ánimo de lucro, por lo que no resulta jurídicamente válido aplicar a las ESAL las normas dirigidas a las Mipymes</w:t>
      </w:r>
      <w:r w:rsidRPr="0016023B">
        <w:rPr>
          <w:rFonts w:ascii="Verdana" w:hAnsi="Verdana" w:cs="Arial"/>
          <w:sz w:val="20"/>
          <w:szCs w:val="20"/>
        </w:rPr>
        <w:t>”</w:t>
      </w:r>
      <w:r w:rsidRPr="0016023B">
        <w:rPr>
          <w:rFonts w:ascii="Verdana" w:hAnsi="Verdana" w:cs="Arial"/>
          <w:sz w:val="20"/>
          <w:szCs w:val="20"/>
          <w:vertAlign w:val="superscript"/>
        </w:rPr>
        <w:footnoteReference w:id="6"/>
      </w:r>
      <w:r w:rsidRPr="0016023B">
        <w:rPr>
          <w:rFonts w:ascii="Verdana" w:hAnsi="Verdana" w:cs="Arial"/>
          <w:sz w:val="20"/>
          <w:szCs w:val="20"/>
        </w:rPr>
        <w:t xml:space="preserve">. </w:t>
      </w:r>
    </w:p>
    <w:p w14:paraId="3C7702F3" w14:textId="77777777" w:rsidR="004C52E0" w:rsidRPr="0016023B" w:rsidRDefault="004C52E0" w:rsidP="004C52E0">
      <w:pPr>
        <w:spacing w:after="0" w:line="240" w:lineRule="auto"/>
        <w:ind w:left="709" w:right="709"/>
        <w:jc w:val="both"/>
        <w:rPr>
          <w:rFonts w:ascii="Verdana" w:hAnsi="Verdana" w:cs="Arial"/>
          <w:sz w:val="20"/>
          <w:szCs w:val="20"/>
        </w:rPr>
      </w:pPr>
    </w:p>
    <w:p w14:paraId="3CB8FB45" w14:textId="77777777" w:rsidR="004C52E0" w:rsidRPr="0016023B" w:rsidRDefault="004C52E0" w:rsidP="004C52E0">
      <w:pPr>
        <w:spacing w:after="120" w:line="276" w:lineRule="auto"/>
        <w:ind w:firstLine="709"/>
        <w:jc w:val="both"/>
        <w:rPr>
          <w:rFonts w:ascii="Verdana" w:hAnsi="Verdana" w:cs="Arial"/>
          <w:lang w:val="es-ES"/>
        </w:rPr>
      </w:pPr>
      <w:r w:rsidRPr="0016023B">
        <w:rPr>
          <w:rFonts w:ascii="Verdana" w:hAnsi="Verdana" w:cs="Arial"/>
          <w:lang w:val="es-ES"/>
        </w:rPr>
        <w:t xml:space="preserve">De acuerdo a esta postura, y en virtud de lo señalado en el artículo 43 de la Ley 1450 de 2011, que modificó el artículo 2 de la Ley 590 de 2000, solo podrán ser consideradas Mipymes las empresas, pues son unidades de explotación económica que buscan el reparto de utilidades entre los miembros de la empresa, sin perjuicio de las precisiones que se realizarán más adelante en relación con el artículo 23 de la Ley 2069 de 2020. </w:t>
      </w:r>
    </w:p>
    <w:p w14:paraId="1F8C5B7D" w14:textId="77777777" w:rsidR="004C52E0" w:rsidRPr="0016023B" w:rsidRDefault="004C52E0" w:rsidP="004C52E0">
      <w:pPr>
        <w:spacing w:after="120" w:line="276" w:lineRule="auto"/>
        <w:ind w:firstLine="709"/>
        <w:jc w:val="both"/>
        <w:rPr>
          <w:rFonts w:ascii="Verdana" w:hAnsi="Verdana" w:cs="Arial"/>
          <w:lang w:val="es-ES"/>
        </w:rPr>
      </w:pPr>
      <w:r w:rsidRPr="0016023B">
        <w:rPr>
          <w:rFonts w:ascii="Verdana" w:hAnsi="Verdana" w:cs="Arial"/>
          <w:lang w:val="es-ES"/>
        </w:rPr>
        <w:t xml:space="preserve">De esta forma, es claro que solo pueden ser consideradas MiPymes las empresas, entendidas estas como las unidades de explotación económica, que buscan el reparto de utilidades entre los miembros de la empresa. En razón a que las ESAL no persiguen el reparto de utilidades entre sus miembros, en el entendido en que no tienen ánimo de lucro, y que su objeto está destinado a realizar actividades de interés general sin esperar a cambio un reparto de </w:t>
      </w:r>
      <w:r w:rsidRPr="0016023B">
        <w:rPr>
          <w:rFonts w:ascii="Verdana" w:hAnsi="Verdana" w:cs="Arial"/>
          <w:lang w:val="es-ES"/>
        </w:rPr>
        <w:lastRenderedPageBreak/>
        <w:t xml:space="preserve">ganancia en proporción a sus utilidades, lo cierto es que no pueden acceder a los incentivos </w:t>
      </w:r>
      <w:r w:rsidRPr="0016023B">
        <w:rPr>
          <w:rFonts w:ascii="Verdana" w:hAnsi="Verdana" w:cs="Arial"/>
        </w:rPr>
        <w:t>ni participar en los procesos de contratación limitados a MiPymes</w:t>
      </w:r>
      <w:r w:rsidRPr="0016023B">
        <w:rPr>
          <w:rFonts w:ascii="Verdana" w:hAnsi="Verdana" w:cs="Arial"/>
          <w:lang w:val="es-ES"/>
        </w:rPr>
        <w:t>.</w:t>
      </w:r>
    </w:p>
    <w:p w14:paraId="669E8095" w14:textId="77777777" w:rsidR="004C52E0" w:rsidRPr="0016023B" w:rsidRDefault="004C52E0" w:rsidP="004C52E0">
      <w:pPr>
        <w:spacing w:after="120" w:line="276" w:lineRule="auto"/>
        <w:ind w:firstLine="708"/>
        <w:jc w:val="both"/>
        <w:rPr>
          <w:rFonts w:ascii="Verdana" w:hAnsi="Verdana" w:cs="Arial"/>
        </w:rPr>
      </w:pPr>
      <w:r w:rsidRPr="0016023B">
        <w:rPr>
          <w:rFonts w:ascii="Verdana" w:hAnsi="Verdana" w:cs="Arial"/>
          <w:lang w:val="es-ES"/>
        </w:rPr>
        <w:t xml:space="preserve">Bajo esta perspectiva, </w:t>
      </w:r>
      <w:r w:rsidRPr="0016023B">
        <w:rPr>
          <w:rFonts w:ascii="Verdana" w:hAnsi="Verdana" w:cs="Arial"/>
        </w:rPr>
        <w:t xml:space="preserve">vale anotar que si bien las ESAL pueden interactuar con el mercado, esta actividad no las convierte, </w:t>
      </w:r>
      <w:r w:rsidRPr="0016023B">
        <w:rPr>
          <w:rFonts w:ascii="Verdana" w:hAnsi="Verdana" w:cs="Arial"/>
          <w:i/>
          <w:iCs/>
        </w:rPr>
        <w:t>per se,</w:t>
      </w:r>
      <w:r w:rsidRPr="0016023B">
        <w:rPr>
          <w:rFonts w:ascii="Verdana" w:hAnsi="Verdana" w:cs="Arial"/>
        </w:rPr>
        <w:t xml:space="preserve"> en empresas en el sentido comercial puesto que la ausencia de ánimo de lucro y lo referente a la repartición de utilidades constituye un elemento que las excluye de la noción de empresa. Por tanto, su naturaleza jurídica es la de una organización civil con finalidad social, y no la de una sociedad mercantil orientada al lucro, lo que la excluye de la lógica de promoción que busca la Ley 2069 de 2020 para fortalecer el emprendimiento empresarial con fines comerciales en el sistema de compras públicas.</w:t>
      </w:r>
    </w:p>
    <w:p w14:paraId="69B7BA7B" w14:textId="77777777" w:rsidR="004C52E0" w:rsidRPr="0016023B" w:rsidRDefault="004C52E0" w:rsidP="004C52E0">
      <w:pPr>
        <w:spacing w:after="120" w:line="276" w:lineRule="auto"/>
        <w:ind w:firstLine="709"/>
        <w:jc w:val="both"/>
      </w:pPr>
      <w:r w:rsidRPr="0016023B">
        <w:rPr>
          <w:rFonts w:ascii="Verdana" w:hAnsi="Verdana" w:cs="Arial"/>
          <w:lang w:val="es-ES"/>
        </w:rPr>
        <w:t>Sin embargo, esto no significa que las ESAL no sean personas jurídicas o no tengan capacidad de contratar con las entidades estatales. Por el contrario, el Decreto 092 de 2017 reguló su régimen especial de contratación y nada impide que puedan participar en términos de igualdad con los demás oferentes, en los procesos contractuales del Estatuto General de Contratación de la Administración Pública, salvo aquellos procesos contractuales limitados a MiPymes de conformidad con los artículos 2.2.1.2.4.2.2</w:t>
      </w:r>
      <w:r w:rsidRPr="0016023B">
        <w:rPr>
          <w:rStyle w:val="Refdenotaalpie"/>
          <w:rFonts w:ascii="Verdana" w:eastAsia="Calibri" w:hAnsi="Verdana" w:cs="Arial"/>
          <w:lang w:val="es-ES"/>
        </w:rPr>
        <w:footnoteReference w:id="7"/>
      </w:r>
      <w:r w:rsidRPr="0016023B">
        <w:rPr>
          <w:rFonts w:ascii="Verdana" w:hAnsi="Verdana" w:cs="Arial"/>
          <w:lang w:val="es-ES"/>
        </w:rPr>
        <w:t xml:space="preserve"> y 2.2.1.2.4.2.3</w:t>
      </w:r>
      <w:r w:rsidRPr="0016023B">
        <w:rPr>
          <w:rStyle w:val="Refdenotaalpie"/>
          <w:rFonts w:ascii="Verdana" w:hAnsi="Verdana" w:cs="Arial"/>
          <w:lang w:val="es-ES"/>
        </w:rPr>
        <w:footnoteReference w:id="8"/>
      </w:r>
      <w:r w:rsidRPr="0016023B">
        <w:rPr>
          <w:rFonts w:ascii="Verdana" w:hAnsi="Verdana" w:cs="Arial"/>
          <w:lang w:val="es-ES"/>
        </w:rPr>
        <w:t xml:space="preserve"> del Decreto 1082 de 2015.</w:t>
      </w:r>
      <w:r w:rsidRPr="0016023B">
        <w:t xml:space="preserve"> </w:t>
      </w:r>
    </w:p>
    <w:p w14:paraId="4879DF2B" w14:textId="77777777" w:rsidR="004C52E0" w:rsidRPr="0016023B" w:rsidRDefault="004C52E0" w:rsidP="004C52E0">
      <w:pPr>
        <w:spacing w:after="120" w:line="276" w:lineRule="auto"/>
        <w:ind w:firstLine="709"/>
        <w:jc w:val="both"/>
        <w:rPr>
          <w:rFonts w:ascii="Verdana" w:hAnsi="Verdana" w:cs="Arial"/>
        </w:rPr>
      </w:pPr>
      <w:r w:rsidRPr="0016023B">
        <w:rPr>
          <w:rFonts w:ascii="Verdana" w:hAnsi="Verdana" w:cs="Arial"/>
        </w:rPr>
        <w:lastRenderedPageBreak/>
        <w:t>De hecho, la existencia de esta regulación específica evidencia que las ESAL no se equiparan jurídicamente a las sociedades comerciales ni a las MiPymes, dado que el marco normativo las distingue claramente, destinando para ellas un régimen contractual particular. Esto confirma que, aunque las ESAL pueden concurrir a procesos de contratación pública, no forman parte de la categoría de MiPymes ni pueden ser tratadas bajo el mismo régimen legal que estas, lo que respalda su naturaleza jurídica especial y su finalidad no lucrativa.</w:t>
      </w:r>
    </w:p>
    <w:p w14:paraId="06735056" w14:textId="77777777" w:rsidR="004C52E0" w:rsidRPr="0016023B" w:rsidRDefault="004C52E0" w:rsidP="004C52E0">
      <w:pPr>
        <w:spacing w:after="120" w:line="276" w:lineRule="auto"/>
        <w:ind w:firstLine="709"/>
        <w:jc w:val="both"/>
        <w:rPr>
          <w:rFonts w:ascii="Verdana" w:hAnsi="Verdana" w:cs="Arial"/>
          <w:lang w:val="es-ES"/>
        </w:rPr>
      </w:pPr>
      <w:r w:rsidRPr="0016023B">
        <w:rPr>
          <w:rFonts w:ascii="Verdana" w:hAnsi="Verdana" w:cs="Arial"/>
          <w:lang w:val="es-ES"/>
        </w:rPr>
        <w:t xml:space="preserve">Aunque no es posible que las ESAL sean equiparadas a las MiPymes en la normativa del sistema de compras públicas, es necesario aclarar que la Ley determinó un matiz para esta regla. </w:t>
      </w:r>
      <w:r w:rsidRPr="0016023B">
        <w:rPr>
          <w:rFonts w:ascii="Verdana" w:eastAsia="Calibri" w:hAnsi="Verdana" w:cs="Arial"/>
          <w:lang w:val="es-ES"/>
        </w:rPr>
        <w:t>El artículo 23 de la Ley 2069 de 2020 asimila las cooperativas y las demás entidades de economía solidaria -que incluye a las asociaciones mutualistas</w:t>
      </w:r>
      <w:r w:rsidRPr="0016023B">
        <w:rPr>
          <w:rFonts w:ascii="Verdana" w:eastAsia="Calibri" w:hAnsi="Verdana" w:cs="Arial"/>
          <w:i/>
          <w:iCs/>
          <w:lang w:val="es-ES"/>
        </w:rPr>
        <w:t>-</w:t>
      </w:r>
      <w:r w:rsidRPr="0016023B">
        <w:rPr>
          <w:rFonts w:ascii="Verdana" w:eastAsia="Calibri" w:hAnsi="Verdana" w:cs="Arial"/>
          <w:lang w:val="es-ES"/>
        </w:rPr>
        <w:t xml:space="preserve"> a </w:t>
      </w:r>
      <w:r w:rsidRPr="0016023B">
        <w:rPr>
          <w:rFonts w:ascii="Verdana" w:eastAsia="Calibri" w:hAnsi="Verdana" w:cs="Arial"/>
          <w:i/>
          <w:iCs/>
          <w:lang w:val="es-ES"/>
        </w:rPr>
        <w:t>empresas, específicamente a MiPymes</w:t>
      </w:r>
      <w:r w:rsidRPr="0016023B">
        <w:rPr>
          <w:rFonts w:ascii="Verdana" w:eastAsia="Calibri" w:hAnsi="Verdana" w:cs="Arial"/>
          <w:lang w:val="es-ES"/>
        </w:rPr>
        <w:t>, de conformidad con el artículo 2 de la Ley 590 de 2000 y el Decreto 957 de 2019, los cuales desarrollan las categorías de micro, pequeña y mediana en función del tamaño empresarial</w:t>
      </w:r>
      <w:r w:rsidRPr="0016023B">
        <w:rPr>
          <w:rFonts w:ascii="Verdana" w:hAnsi="Verdana" w:cs="Arial"/>
          <w:vertAlign w:val="superscript"/>
          <w:lang w:val="es-ES"/>
        </w:rPr>
        <w:footnoteReference w:id="9"/>
      </w:r>
      <w:r w:rsidRPr="0016023B">
        <w:rPr>
          <w:rFonts w:ascii="Verdana" w:eastAsia="Calibri" w:hAnsi="Verdana" w:cs="Arial"/>
          <w:lang w:val="es-ES"/>
        </w:rPr>
        <w:t>. El principal efecto de esta norma es que las medidas contempladas en la Ley 2069 de 2020 para promover la participación de la MiPymes sean aplicables a las cooperativas, las asociaciones mutualistas y a las demás entidades de economía solidaria.</w:t>
      </w:r>
    </w:p>
    <w:p w14:paraId="10DDB34F" w14:textId="77777777" w:rsidR="004C52E0" w:rsidRPr="0016023B" w:rsidRDefault="004C52E0" w:rsidP="004C52E0">
      <w:pPr>
        <w:spacing w:after="120" w:line="276" w:lineRule="auto"/>
        <w:ind w:firstLine="708"/>
        <w:jc w:val="both"/>
        <w:rPr>
          <w:rFonts w:ascii="Verdana" w:eastAsia="Calibri" w:hAnsi="Verdana" w:cs="Arial"/>
          <w:lang w:val="es-ES"/>
        </w:rPr>
      </w:pPr>
      <w:r w:rsidRPr="0016023B">
        <w:rPr>
          <w:rFonts w:ascii="Verdana" w:eastAsia="Calibri" w:hAnsi="Verdana" w:cs="Arial"/>
          <w:lang w:val="es-ES"/>
        </w:rPr>
        <w:t>De manera concordante con lo anterior, el parágrafo del Artículo 2.2.1.2.4.2.2, modificado por el artículo 5º del Decreto 1860 de 2021, se refirió a dicha asimilación en el caso específico de la limitación de convocatorias a MiPymes. Esta norma determina que “</w:t>
      </w:r>
      <w:r w:rsidRPr="0016023B">
        <w:rPr>
          <w:rFonts w:ascii="Verdana" w:eastAsia="Calibri" w:hAnsi="Verdana" w:cs="Arial"/>
        </w:rPr>
        <w:t>Las cooperativas y demás entidades de economía solidaria, siempre que tengan la calidad de MiPymes, podrán solicitar y participar en las convocatorias limitadas en las mismas condiciones dispuestas en el presente artículo”. En virtud de lo anterior, las cooperativas y demás entidades de la economía solidaria se encuentran facultadas para presentar solicitudes para la limitación de los procesos, siempre que cumplan con las condiciones de tamaño empresarial dispuestas para la categorización de las MiPymes.</w:t>
      </w:r>
    </w:p>
    <w:p w14:paraId="24349CCA" w14:textId="77777777" w:rsidR="004C52E0" w:rsidRPr="0016023B" w:rsidRDefault="004C52E0" w:rsidP="004C52E0">
      <w:pPr>
        <w:spacing w:after="120" w:line="276" w:lineRule="auto"/>
        <w:ind w:firstLine="708"/>
        <w:jc w:val="both"/>
        <w:rPr>
          <w:rFonts w:ascii="Verdana" w:eastAsia="Calibri" w:hAnsi="Verdana" w:cs="Arial"/>
          <w:lang w:val="es-ES"/>
        </w:rPr>
      </w:pPr>
      <w:r w:rsidRPr="0016023B">
        <w:rPr>
          <w:rFonts w:ascii="Verdana" w:eastAsia="Calibri" w:hAnsi="Verdana" w:cs="Arial"/>
          <w:lang w:val="es-ES"/>
        </w:rPr>
        <w:t xml:space="preserve">Es necesario mencionar que la asimilación dispuesta por el artículo 23 de la Ley 2069 de 2020 y el artículo 2.2.1.2.4.2.2 del Decreto 1082 de 2015, no </w:t>
      </w:r>
      <w:r w:rsidRPr="0016023B">
        <w:rPr>
          <w:rFonts w:ascii="Verdana" w:eastAsia="Calibri" w:hAnsi="Verdana" w:cs="Arial"/>
          <w:lang w:val="es-ES"/>
        </w:rPr>
        <w:lastRenderedPageBreak/>
        <w:t xml:space="preserve">implica una alteración sustantiva de la naturaleza jurídica de las cooperativas y las empresas de economía solidaria, concebidas por la ley como entidades sin ánimo de lucro, pues su equiparación con las MiPymes se limita a la aplicación de las materias reguladas por la Ley 2069 de 2020 y no se extiende a otros supuestos. En ese sentido, el mandato de considerar este tipo de entidades como empresas y clasificarlas como MiPymes es una acción que busca vincularlas como proveedoras del mercado de compra pública dentro del ámbito de explotación económica que la ley ha concedido a estas entidades del sector solidario. </w:t>
      </w:r>
    </w:p>
    <w:p w14:paraId="116FC8FA" w14:textId="77777777" w:rsidR="004C52E0" w:rsidRPr="0016023B" w:rsidRDefault="004C52E0" w:rsidP="004C52E0">
      <w:pPr>
        <w:spacing w:after="120" w:line="276" w:lineRule="auto"/>
        <w:jc w:val="both"/>
        <w:rPr>
          <w:rFonts w:ascii="Verdana" w:hAnsi="Verdana" w:cs="Arial"/>
          <w:lang w:val="es-ES"/>
        </w:rPr>
      </w:pPr>
      <w:r w:rsidRPr="0016023B">
        <w:rPr>
          <w:rFonts w:ascii="Verdana" w:eastAsia="Calibri" w:hAnsi="Verdana" w:cs="Arial"/>
        </w:rPr>
        <w:tab/>
      </w:r>
      <w:r w:rsidRPr="0016023B">
        <w:rPr>
          <w:rFonts w:ascii="Verdana" w:eastAsia="Calibri" w:hAnsi="Verdana" w:cs="Arial"/>
          <w:lang w:val="es-ES"/>
        </w:rPr>
        <w:t>A pesar de que las cooperativas, las asociaciones mutuales y, en general, las empresas de economía solidaria tienen, por disposición de la ley, la naturaleza de ESAL, se distinguen de la generalidad de las entidades sin ánimo de lucro</w:t>
      </w:r>
      <w:r w:rsidRPr="0016023B">
        <w:rPr>
          <w:rFonts w:ascii="Verdana" w:hAnsi="Verdana" w:cs="Arial"/>
          <w:lang w:val="es-ES"/>
        </w:rPr>
        <w:t xml:space="preserve">. Esto en la medida en que, al estar enmarcadas dentro de la economía solidaria, el ordenamiento jurídico les permite cierto margen de explotación económica concebido para la satisfacción de necesidades de sus asociados y el desarrollo de obras de servicio comunitario. </w:t>
      </w:r>
    </w:p>
    <w:p w14:paraId="087DDF43" w14:textId="77777777" w:rsidR="004C52E0" w:rsidRPr="0016023B" w:rsidRDefault="004C52E0" w:rsidP="004C52E0">
      <w:pPr>
        <w:spacing w:after="120" w:line="276" w:lineRule="auto"/>
        <w:ind w:firstLine="708"/>
        <w:jc w:val="both"/>
        <w:rPr>
          <w:rFonts w:ascii="Verdana" w:hAnsi="Verdana" w:cs="Arial"/>
          <w:lang w:val="es-ES"/>
        </w:rPr>
      </w:pPr>
      <w:r w:rsidRPr="0016023B">
        <w:rPr>
          <w:rFonts w:ascii="Verdana" w:hAnsi="Verdana" w:cs="Arial"/>
          <w:lang w:val="es-ES"/>
        </w:rPr>
        <w:t xml:space="preserve">En ese sentido, tal como se deprende del inciso primero y del numeral 1 del artículo 6 de la Ley 454 de 1998, las entidades de economía solidaria se caracterizan porque sus trabajadores y/o usuarios son simultáneamente sus aportantes y gestores, siendo además creadas con el </w:t>
      </w:r>
      <w:r w:rsidRPr="0016023B">
        <w:rPr>
          <w:rFonts w:ascii="Verdana" w:hAnsi="Verdana" w:cs="Arial"/>
          <w:i/>
          <w:iCs/>
          <w:lang w:val="es-ES"/>
        </w:rPr>
        <w:t>objeto de producir, distribuir y consumir conjuntamente bienes y servicios para satisfacer las necesidades de sus miembros</w:t>
      </w:r>
      <w:r w:rsidRPr="0016023B">
        <w:rPr>
          <w:rFonts w:ascii="Verdana" w:hAnsi="Verdana" w:cs="Arial"/>
          <w:lang w:val="es-ES"/>
        </w:rPr>
        <w:t xml:space="preserve"> y desarrollar obras de servicio a la comunidad en general, para lo cual deben estar constituidas como </w:t>
      </w:r>
      <w:r w:rsidRPr="0016023B">
        <w:rPr>
          <w:rFonts w:ascii="Verdana" w:hAnsi="Verdana" w:cs="Arial"/>
          <w:i/>
          <w:iCs/>
          <w:lang w:val="es-ES"/>
        </w:rPr>
        <w:t>empresas</w:t>
      </w:r>
      <w:r w:rsidRPr="0016023B">
        <w:rPr>
          <w:rFonts w:ascii="Verdana" w:hAnsi="Verdana" w:cs="Arial"/>
          <w:lang w:val="es-ES"/>
        </w:rPr>
        <w:t xml:space="preserve">. En el marco de las actividades económicas tendientes a la producción y distribución de bienes o prestación de servicios por parte de entidades de economía solidaria, la ley admite que estas provean esos bienes o presten tales servicios a Entidades Estatales. </w:t>
      </w:r>
    </w:p>
    <w:p w14:paraId="5FEAC8E8" w14:textId="77777777" w:rsidR="004C52E0" w:rsidRPr="0016023B" w:rsidRDefault="004C52E0" w:rsidP="004C52E0">
      <w:pPr>
        <w:spacing w:after="120" w:line="276" w:lineRule="auto"/>
        <w:ind w:firstLine="708"/>
        <w:jc w:val="both"/>
        <w:rPr>
          <w:rFonts w:ascii="Verdana" w:eastAsia="Calibri" w:hAnsi="Verdana" w:cs="Arial"/>
          <w:lang w:val="es-ES"/>
        </w:rPr>
      </w:pPr>
      <w:r w:rsidRPr="0016023B">
        <w:rPr>
          <w:rFonts w:ascii="Verdana" w:hAnsi="Verdana" w:cs="Arial"/>
          <w:lang w:val="es-ES"/>
        </w:rPr>
        <w:t xml:space="preserve">De esta manera, los incentivos referidos en la Ley 2069 de 2020 y la posibilidad de solicitar la limitación de las convocatorias a MiPymes no son extensibles a todas las ESAL, sino únicamente a aquellas que corresponden al concepto de </w:t>
      </w:r>
      <w:r w:rsidRPr="0016023B">
        <w:rPr>
          <w:rFonts w:ascii="Verdana" w:eastAsia="Calibri" w:hAnsi="Verdana" w:cs="Arial"/>
          <w:lang w:val="es-ES"/>
        </w:rPr>
        <w:t xml:space="preserve">cooperativas y demás entes considerados de economía solidaria, </w:t>
      </w:r>
      <w:r w:rsidRPr="0016023B">
        <w:rPr>
          <w:rFonts w:ascii="Verdana" w:eastAsia="Geomanist Light" w:hAnsi="Verdana" w:cs="Arial"/>
          <w:lang w:val="es-ES"/>
        </w:rPr>
        <w:t>en los términos del artículo 6 de la Ley 454 de 1998 –norma a la que remite el artículo 23 de la Ley de Emprendimiento–.</w:t>
      </w:r>
      <w:r w:rsidRPr="0016023B">
        <w:rPr>
          <w:rFonts w:ascii="Verdana" w:eastAsia="Calibri" w:hAnsi="Verdana" w:cs="Arial"/>
          <w:lang w:val="es-ES"/>
        </w:rPr>
        <w:t xml:space="preserve"> </w:t>
      </w:r>
      <w:r w:rsidRPr="0016023B">
        <w:rPr>
          <w:rFonts w:ascii="Verdana" w:eastAsia="Geomanist Light" w:hAnsi="Verdana" w:cs="Arial"/>
          <w:lang w:val="es-ES"/>
        </w:rPr>
        <w:t xml:space="preserve">En tal sentido, debe analizarse si la ESAL cumple con las características establecidas en dicho artículo, para considerarla una organización de economía solidaria. </w:t>
      </w:r>
      <w:r w:rsidRPr="0016023B">
        <w:rPr>
          <w:rFonts w:ascii="Verdana" w:eastAsia="Calibri" w:hAnsi="Verdana" w:cs="Arial"/>
          <w:lang w:val="es-ES"/>
        </w:rPr>
        <w:t xml:space="preserve">Solo las que cumplan estos requisitos podrán ser asimiladas a las MiPymes y acceder a los requisitos </w:t>
      </w:r>
      <w:r w:rsidRPr="0016023B">
        <w:rPr>
          <w:rFonts w:ascii="Verdana" w:eastAsia="Calibri" w:hAnsi="Verdana" w:cs="Arial"/>
          <w:lang w:val="es-ES"/>
        </w:rPr>
        <w:lastRenderedPageBreak/>
        <w:t>diferenciales de la Ley 2069 de 2020, así como participar en las convocatorias limitadas a estas, y les permite incluso manifestar su interés de participar en el proceso de selección en los términos del artículo 2.2.1.2.4.2.2 del Decreto 1082 de 2015.</w:t>
      </w:r>
    </w:p>
    <w:p w14:paraId="4D2A55A1" w14:textId="77777777" w:rsidR="004C52E0" w:rsidRPr="0016023B" w:rsidRDefault="004C52E0" w:rsidP="004C52E0">
      <w:pPr>
        <w:spacing w:after="120" w:line="276" w:lineRule="auto"/>
        <w:ind w:firstLine="708"/>
        <w:jc w:val="both"/>
        <w:rPr>
          <w:rFonts w:ascii="Verdana" w:eastAsia="Calibri" w:hAnsi="Verdana" w:cs="Arial"/>
        </w:rPr>
      </w:pPr>
      <w:r w:rsidRPr="0016023B">
        <w:rPr>
          <w:rFonts w:ascii="Verdana" w:hAnsi="Verdana" w:cs="Arial"/>
          <w:lang w:val="es-ES"/>
        </w:rPr>
        <w:t xml:space="preserve">Así las cosas, </w:t>
      </w:r>
      <w:r w:rsidRPr="0016023B">
        <w:rPr>
          <w:rFonts w:ascii="Verdana" w:eastAsia="Calibri" w:hAnsi="Verdana" w:cs="Arial"/>
        </w:rPr>
        <w:t xml:space="preserve">es importante destacar que la ley 2069 de 2020 no extiende esta asimilación a MiPymes a otras formas de ESAL, como fundaciones o asociaciones, sino únicamente a las </w:t>
      </w:r>
      <w:r w:rsidRPr="0016023B">
        <w:rPr>
          <w:rFonts w:ascii="Verdana" w:eastAsia="Calibri" w:hAnsi="Verdana" w:cs="Arial"/>
          <w:lang w:val="es-ES"/>
        </w:rPr>
        <w:t>cooperativas y demás entes considerados de economía solidaria</w:t>
      </w:r>
      <w:r w:rsidRPr="0016023B">
        <w:rPr>
          <w:rFonts w:ascii="Verdana" w:eastAsia="Calibri" w:hAnsi="Verdana" w:cs="Arial"/>
        </w:rPr>
        <w:t>. De esta forma, se podría concluir que la ausencia de mención explícita a otras ESAL en el marco de este beneficio indica que el legislador deliberadamente excluyó a estas entidades del tratamiento especial otorgado a las cooperativas.</w:t>
      </w:r>
      <w:r w:rsidRPr="0016023B">
        <w:t xml:space="preserve"> </w:t>
      </w:r>
      <w:r w:rsidRPr="0016023B">
        <w:rPr>
          <w:rFonts w:ascii="Verdana" w:eastAsia="Calibri" w:hAnsi="Verdana" w:cs="Arial"/>
        </w:rPr>
        <w:t>En consecuencia, la norma evidencia una voluntad normativa clara de diferenciación, sustentada en las características y objetivos propios de cada tipo de entidad, y no puede ser entendido como un vacío o un ámbito abierto a la interpretación amplia que equipare a las demás ESAL automáticamente con las MiPymes.</w:t>
      </w:r>
    </w:p>
    <w:p w14:paraId="6C23EA29" w14:textId="77777777" w:rsidR="004C52E0" w:rsidRPr="0016023B" w:rsidRDefault="004C52E0" w:rsidP="004C52E0">
      <w:pPr>
        <w:spacing w:after="120" w:line="276" w:lineRule="auto"/>
        <w:jc w:val="both"/>
        <w:rPr>
          <w:rFonts w:ascii="Verdana" w:hAnsi="Verdana" w:cs="Arial"/>
        </w:rPr>
      </w:pPr>
      <w:r w:rsidRPr="0016023B">
        <w:rPr>
          <w:rFonts w:ascii="Verdana" w:hAnsi="Verdana" w:cs="Arial"/>
        </w:rPr>
        <w:t>iii. Por su parte, la posibilidad de que la solicitud de limitación a MiPymes sea realizada por una ESAL, la postura de la agencia ha señalado que:</w:t>
      </w:r>
    </w:p>
    <w:p w14:paraId="38DB1D95" w14:textId="77777777" w:rsidR="004C52E0" w:rsidRPr="0016023B" w:rsidRDefault="004C52E0" w:rsidP="004C52E0">
      <w:pPr>
        <w:spacing w:after="120" w:line="276" w:lineRule="auto"/>
        <w:jc w:val="both"/>
        <w:rPr>
          <w:rFonts w:ascii="Verdana" w:hAnsi="Verdana" w:cs="Arial"/>
        </w:rPr>
      </w:pPr>
      <w:r w:rsidRPr="0016023B">
        <w:rPr>
          <w:rFonts w:ascii="Verdana" w:hAnsi="Verdana" w:cs="Arial"/>
        </w:rPr>
        <w:tab/>
        <w:t>Respecto a las convocatorias limitadas a Mipymes, el 31 de diciembre de 2020, se promulgó la Ley 2069, “Por medio de la cual se impulsa el emprendimiento en Colombia”. En cuanto a su contenido, como dispone el artículo 1, aquella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w:t>
      </w:r>
    </w:p>
    <w:p w14:paraId="490AAC2E" w14:textId="77777777" w:rsidR="004C52E0" w:rsidRPr="0016023B" w:rsidRDefault="004C52E0" w:rsidP="004C52E0">
      <w:pPr>
        <w:spacing w:after="120" w:line="276" w:lineRule="auto"/>
        <w:jc w:val="both"/>
        <w:rPr>
          <w:rFonts w:ascii="Verdana" w:hAnsi="Verdana" w:cs="Arial"/>
        </w:rPr>
      </w:pPr>
      <w:r w:rsidRPr="0016023B">
        <w:rPr>
          <w:rFonts w:ascii="Verdana" w:hAnsi="Verdana" w:cs="Arial"/>
        </w:rPr>
        <w:tab/>
        <w:t>En desarrollo de esta finalidad, se establecen medidas de apoyo para las Mipymes, mediante la racionalización y simplificación de los trámites y tarifas, así como incentivos a favor de aquellas dentro del sistema de compras y contratación pública. De igual forma, en la citada Ley se consagró mecanismos para fortalecer y promover los distintos sectores de la economía y se prevén para ello medidas de educación para el emprendimiento y la innovación.</w:t>
      </w:r>
    </w:p>
    <w:p w14:paraId="397C2C64" w14:textId="77777777" w:rsidR="004C52E0" w:rsidRPr="0016023B" w:rsidRDefault="004C52E0" w:rsidP="004C52E0">
      <w:pPr>
        <w:spacing w:after="120" w:line="276" w:lineRule="auto"/>
        <w:jc w:val="both"/>
        <w:rPr>
          <w:rFonts w:ascii="Verdana" w:hAnsi="Verdana" w:cs="Arial"/>
        </w:rPr>
      </w:pPr>
      <w:r w:rsidRPr="0016023B">
        <w:rPr>
          <w:rFonts w:ascii="Verdana" w:hAnsi="Verdana" w:cs="Arial"/>
        </w:rPr>
        <w:tab/>
        <w:t>Como se indicó, parte de la Ley 2069 de 2020 contiene normas que modifican algunos aspectos de la contratación estatal para promover el emprendimiento. Concretamente, aquellas se encuentran en el Capítulo III –</w:t>
      </w:r>
      <w:r w:rsidRPr="0016023B">
        <w:rPr>
          <w:rFonts w:ascii="Verdana" w:hAnsi="Verdana" w:cs="Arial"/>
        </w:rPr>
        <w:lastRenderedPageBreak/>
        <w:t>artículos 30 al 36–. Teniendo en cuenta que la consulta está relacionada con las convocatorias limitadas a Mipymes, a continuación de se estudiará el contenido y alcance del artículo 34.</w:t>
      </w:r>
    </w:p>
    <w:p w14:paraId="6BBFBD56" w14:textId="77777777" w:rsidR="004C52E0" w:rsidRPr="0016023B" w:rsidRDefault="004C52E0" w:rsidP="004C52E0">
      <w:pPr>
        <w:spacing w:after="120" w:line="276" w:lineRule="auto"/>
        <w:ind w:firstLine="708"/>
        <w:jc w:val="both"/>
        <w:rPr>
          <w:rFonts w:ascii="Verdana" w:eastAsia="Calibri" w:hAnsi="Verdana" w:cs="Arial"/>
        </w:rPr>
      </w:pPr>
      <w:r w:rsidRPr="0016023B">
        <w:rPr>
          <w:rFonts w:ascii="Verdana" w:eastAsia="Calibri" w:hAnsi="Verdana" w:cs="Arial"/>
        </w:rPr>
        <w:t>El artículo 34 de la Ley 2069 de 2020 modificó el artículo 12 de la Ley 1150 de 2007, el cual regula la promoción del desarrollo en la contratación pública, cambiando los requisitos esenciales para que procedan las convocatorias limitadas a Mipymes, de la siguiente forma: i) estableció que estas deben desarrollarse independientemente del régimen de contratación de la Entidad Estatal –es decir, también deben efectuarlas las Entidades Estatales exceptuadas del EGCAP o que se rigen por derecho privado–; ii) señaló que los patrimonios autónomos constituidos por Entidades Estatales y los particulares que ejecuten recursos públicos también son destinatarios de esta exigencia; y,  iii) indicó que para que pueda haber convocatorias limitadas a MiPymes, dos (2) de ellas deben manifestar su interés.</w:t>
      </w:r>
    </w:p>
    <w:p w14:paraId="35CF713F" w14:textId="77777777" w:rsidR="004C52E0" w:rsidRPr="0016023B" w:rsidRDefault="004C52E0" w:rsidP="004C52E0">
      <w:pPr>
        <w:spacing w:after="120" w:line="276" w:lineRule="auto"/>
        <w:ind w:firstLine="708"/>
        <w:jc w:val="both"/>
        <w:rPr>
          <w:rFonts w:ascii="Verdana" w:eastAsia="Calibri" w:hAnsi="Verdana" w:cs="Arial"/>
        </w:rPr>
      </w:pPr>
      <w:r w:rsidRPr="0016023B">
        <w:rPr>
          <w:rFonts w:ascii="Verdana" w:eastAsia="Calibri" w:hAnsi="Verdana" w:cs="Arial"/>
        </w:rPr>
        <w:t>El artículo 2.2.1.2.4.2.2. del Decreto 1082 de 2015 modificado por el Decreto 1860 de 2021– establece los requisitos que se deben</w:t>
      </w:r>
      <w:r w:rsidRPr="0016023B">
        <w:t xml:space="preserve"> </w:t>
      </w:r>
      <w:r w:rsidRPr="0016023B">
        <w:rPr>
          <w:rFonts w:ascii="Verdana" w:eastAsia="Calibri" w:hAnsi="Verdana" w:cs="Arial"/>
        </w:rPr>
        <w:t xml:space="preserve">acreditar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MiPymes colombianas con mínimo un (1) año de existencia, siempre que se cumplan los requisitos señalados allí. Al respecto indica lo siguiente: </w:t>
      </w:r>
    </w:p>
    <w:p w14:paraId="72385207" w14:textId="77777777" w:rsidR="004C52E0" w:rsidRPr="0016023B" w:rsidRDefault="004C52E0" w:rsidP="004C52E0">
      <w:pPr>
        <w:spacing w:after="120" w:line="276" w:lineRule="auto"/>
        <w:ind w:left="709" w:right="709"/>
        <w:jc w:val="both"/>
        <w:rPr>
          <w:rFonts w:ascii="Verdana" w:eastAsia="Calibri" w:hAnsi="Verdana" w:cs="Arial"/>
          <w:sz w:val="20"/>
          <w:szCs w:val="20"/>
        </w:rPr>
      </w:pPr>
      <w:r w:rsidRPr="0016023B">
        <w:rPr>
          <w:rFonts w:ascii="Verdana" w:eastAsia="Calibri" w:hAnsi="Verdana" w:cs="Arial"/>
          <w:sz w:val="20"/>
          <w:szCs w:val="20"/>
        </w:rPr>
        <w:t xml:space="preserve">“Artículo 2.2.1.2.4.2.2. Convocatorias Imitadas a MiPymes.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MiPymes colombianas con mínimo un (1) año de existencia, cuando concurran los siguientes requisitos: </w:t>
      </w:r>
    </w:p>
    <w:p w14:paraId="75AFD611" w14:textId="77777777" w:rsidR="004C52E0" w:rsidRPr="0016023B" w:rsidRDefault="004C52E0" w:rsidP="004C52E0">
      <w:pPr>
        <w:spacing w:after="120" w:line="276" w:lineRule="auto"/>
        <w:ind w:left="709" w:right="709"/>
        <w:jc w:val="both"/>
        <w:rPr>
          <w:rFonts w:ascii="Verdana" w:eastAsia="Calibri" w:hAnsi="Verdana" w:cs="Arial"/>
          <w:sz w:val="20"/>
          <w:szCs w:val="20"/>
        </w:rPr>
      </w:pPr>
      <w:r w:rsidRPr="0016023B">
        <w:rPr>
          <w:rFonts w:ascii="Verdana" w:eastAsia="Calibri" w:hAnsi="Verdana" w:cs="Arial"/>
          <w:sz w:val="20"/>
          <w:szCs w:val="20"/>
        </w:rPr>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75B4505F" w14:textId="77777777" w:rsidR="004C52E0" w:rsidRPr="0016023B" w:rsidRDefault="004C52E0" w:rsidP="004C52E0">
      <w:pPr>
        <w:spacing w:after="120" w:line="276" w:lineRule="auto"/>
        <w:ind w:left="709" w:right="709"/>
        <w:jc w:val="both"/>
        <w:rPr>
          <w:rFonts w:ascii="Verdana" w:eastAsia="Calibri" w:hAnsi="Verdana" w:cs="Arial"/>
          <w:sz w:val="20"/>
          <w:szCs w:val="20"/>
        </w:rPr>
      </w:pPr>
      <w:r w:rsidRPr="0016023B">
        <w:rPr>
          <w:rFonts w:ascii="Verdana" w:eastAsia="Calibri" w:hAnsi="Verdana" w:cs="Arial"/>
          <w:sz w:val="20"/>
          <w:szCs w:val="20"/>
        </w:rPr>
        <w:t xml:space="preserve">2. Se hayan recibido solicitudes de por lo menos dos (2) Mipyme colombianas para limitar la convocatoria a Mipyme colombianas. Las </w:t>
      </w:r>
      <w:r w:rsidRPr="0016023B">
        <w:rPr>
          <w:rFonts w:ascii="Verdana" w:eastAsia="Calibri" w:hAnsi="Verdana" w:cs="Arial"/>
          <w:sz w:val="20"/>
          <w:szCs w:val="20"/>
        </w:rPr>
        <w:lastRenderedPageBreak/>
        <w:t xml:space="preserve">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 </w:t>
      </w:r>
    </w:p>
    <w:p w14:paraId="217C32A4" w14:textId="77777777" w:rsidR="004C52E0" w:rsidRPr="0016023B" w:rsidRDefault="004C52E0" w:rsidP="004C52E0">
      <w:pPr>
        <w:spacing w:after="120" w:line="276" w:lineRule="auto"/>
        <w:ind w:left="709" w:right="709"/>
        <w:jc w:val="both"/>
        <w:rPr>
          <w:rFonts w:ascii="Verdana" w:eastAsia="Calibri" w:hAnsi="Verdana" w:cs="Arial"/>
          <w:sz w:val="20"/>
          <w:szCs w:val="20"/>
        </w:rPr>
      </w:pPr>
      <w:r w:rsidRPr="0016023B">
        <w:rPr>
          <w:rFonts w:ascii="Verdana" w:eastAsia="Calibri" w:hAnsi="Verdana" w:cs="Arial"/>
          <w:sz w:val="20"/>
          <w:szCs w:val="20"/>
        </w:rPr>
        <w:t xml:space="preserve">Parágrafo. Las cooperativas y demás entidades de economía solidaria, siempre que tengan la calidad de Mipyme, podrán solicitar y participar en las convocatorias limitadas en las mismas condiciones dispuestas en el presente artículo”. </w:t>
      </w:r>
    </w:p>
    <w:p w14:paraId="34AF873C" w14:textId="77777777" w:rsidR="004C52E0" w:rsidRPr="0016023B" w:rsidRDefault="004C52E0" w:rsidP="004C52E0">
      <w:pPr>
        <w:spacing w:after="120" w:line="276" w:lineRule="auto"/>
        <w:ind w:firstLine="709"/>
        <w:jc w:val="both"/>
        <w:rPr>
          <w:rFonts w:ascii="Verdana" w:eastAsia="Calibri" w:hAnsi="Verdana" w:cs="Arial"/>
        </w:rPr>
      </w:pPr>
      <w:r w:rsidRPr="0016023B">
        <w:rPr>
          <w:rFonts w:ascii="Verdana" w:eastAsia="Calibri" w:hAnsi="Verdana" w:cs="Arial"/>
        </w:rPr>
        <w:t>Según se evidencia, 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w:t>
      </w:r>
      <w:r w:rsidRPr="0016023B">
        <w:rPr>
          <w:rStyle w:val="Refdenotaalpie"/>
          <w:rFonts w:ascii="Verdana" w:eastAsia="Calibri" w:hAnsi="Verdana" w:cs="Arial"/>
        </w:rPr>
        <w:footnoteReference w:id="10"/>
      </w:r>
      <w:r w:rsidRPr="0016023B">
        <w:rPr>
          <w:rFonts w:ascii="Verdana" w:eastAsia="Calibri" w:hAnsi="Verdana" w:cs="Arial"/>
        </w:rPr>
        <w:t xml:space="preserve">. </w:t>
      </w:r>
    </w:p>
    <w:p w14:paraId="4CE3D17A" w14:textId="77777777" w:rsidR="004C52E0" w:rsidRPr="0016023B" w:rsidRDefault="004C52E0" w:rsidP="004C52E0">
      <w:pPr>
        <w:spacing w:after="120" w:line="276" w:lineRule="auto"/>
        <w:ind w:firstLine="709"/>
        <w:jc w:val="both"/>
        <w:rPr>
          <w:rFonts w:ascii="Verdana" w:eastAsia="Calibri" w:hAnsi="Verdana" w:cs="Arial"/>
        </w:rPr>
      </w:pPr>
      <w:r w:rsidRPr="0016023B">
        <w:rPr>
          <w:rFonts w:ascii="Verdana" w:eastAsia="Calibri" w:hAnsi="Verdana" w:cs="Arial"/>
        </w:rPr>
        <w:t xml:space="preserve">Por su parte, el numeral segundo establece dos exigencias: por un lado, que al menos dos (2) MiPymes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Además, la norma señala que, tratándose de personas jurídicas, las solicitudes solo las podrán realizar MiPymes, cuyo objeto social les permita ejecutar el contrato relacionado con el proceso contractual. </w:t>
      </w:r>
    </w:p>
    <w:p w14:paraId="5AE81680" w14:textId="77777777" w:rsidR="004C52E0" w:rsidRPr="0016023B" w:rsidRDefault="004C52E0" w:rsidP="004C52E0">
      <w:pPr>
        <w:spacing w:after="120" w:line="276" w:lineRule="auto"/>
        <w:ind w:firstLine="709"/>
        <w:jc w:val="both"/>
        <w:rPr>
          <w:rFonts w:ascii="Verdana" w:eastAsia="Calibri" w:hAnsi="Verdana" w:cs="Arial"/>
        </w:rPr>
      </w:pPr>
      <w:r w:rsidRPr="0016023B">
        <w:rPr>
          <w:rFonts w:ascii="Verdana" w:eastAsia="Calibri" w:hAnsi="Verdana" w:cs="Arial"/>
        </w:rPr>
        <w:t xml:space="preserve">Por lo demás, este artículo incluye a las cooperativas y demás entidades de economía solidaria dentro de los sujetos que pueden solicitar y participar en las convocatorias limitadas a Mipyme, siempre que estas cumplan con las condiciones señaladas en el artículo. Así las cosas, es claro que las entidades independientemente de su régimen de contratación, los patrimonios autónomos </w:t>
      </w:r>
      <w:r w:rsidRPr="0016023B">
        <w:rPr>
          <w:rFonts w:ascii="Verdana" w:eastAsia="Calibri" w:hAnsi="Verdana" w:cs="Arial"/>
        </w:rPr>
        <w:lastRenderedPageBreak/>
        <w:t>constituidos por entidades estatales y los particulares que ejecuten recursos públicos deben limitar la convocatoria de los procesos de contratación con pluralidad de oferentes a las MiPymes colombianas con mínimo un (1) año de existencia, cuando se cumplan los requisitos previstos en el artículo 2.2.1.2.4.2.2 del Decreto 1082 de 2015 anteriormente señalado.</w:t>
      </w:r>
    </w:p>
    <w:p w14:paraId="14B41CE5" w14:textId="77777777" w:rsidR="004C52E0" w:rsidRPr="0016023B" w:rsidRDefault="004C52E0" w:rsidP="004C52E0">
      <w:pPr>
        <w:spacing w:after="120" w:line="276" w:lineRule="auto"/>
        <w:ind w:firstLine="709"/>
        <w:jc w:val="both"/>
        <w:rPr>
          <w:rFonts w:ascii="Verdana" w:eastAsia="Calibri" w:hAnsi="Verdana" w:cs="Arial"/>
        </w:rPr>
      </w:pPr>
      <w:r w:rsidRPr="0016023B">
        <w:rPr>
          <w:rFonts w:ascii="Verdana" w:eastAsia="Calibri" w:hAnsi="Verdana" w:cs="Arial"/>
        </w:rPr>
        <w:t xml:space="preserve">De lo anterior, se puede concluir que la facultad para solicitar la limitación de un proceso de selección a MiPymes se encuentra restringida exclusivamente a quienes ostenten dicha calidad, toda vez que la norma exige de manera expresa que la solicitud sea presentada por, al menos, dos (2) MiPymes colombianas. En ese sentido, las Entidades Sin Ánimo de Lucro (ESAL), atendiendo a su naturaleza jurídica y a la ausencia de finalidad lucrativa, no pueden ser consideradas MiPymes, por lo cual no se encuentran habilitadas para solicitar a una entidad estatal la limitación del proceso de selección a MiPymes; tal como ha sido interpretado por la </w:t>
      </w:r>
      <w:r w:rsidRPr="0016023B">
        <w:rPr>
          <w:rFonts w:ascii="Verdana" w:eastAsia="Calibri" w:hAnsi="Verdana" w:cs="Arial"/>
          <w:lang w:eastAsia="es-ES_tradnl"/>
        </w:rPr>
        <w:t>Agencia Nacional de Contratación Pública – Colombia Compra Eficiente.</w:t>
      </w:r>
      <w:r w:rsidRPr="0016023B">
        <w:rPr>
          <w:rFonts w:ascii="Verdana" w:eastAsia="Calibri" w:hAnsi="Verdana" w:cs="Arial"/>
        </w:rPr>
        <w:t xml:space="preserve"> En consecuencia, no resulta jurídicamente viable que una ESAL formule este tipo de solicitud dentro de un proceso de contratación pública.</w:t>
      </w:r>
    </w:p>
    <w:p w14:paraId="5CC54259" w14:textId="77777777" w:rsidR="004C52E0" w:rsidRPr="0016023B" w:rsidRDefault="004C52E0" w:rsidP="004C52E0">
      <w:pPr>
        <w:spacing w:after="120" w:line="276" w:lineRule="auto"/>
        <w:jc w:val="both"/>
        <w:rPr>
          <w:rFonts w:ascii="Verdana" w:hAnsi="Verdana" w:cs="Arial"/>
        </w:rPr>
      </w:pPr>
      <w:r w:rsidRPr="0016023B">
        <w:rPr>
          <w:rFonts w:ascii="Verdana" w:hAnsi="Verdana" w:cs="Arial"/>
        </w:rPr>
        <w:t xml:space="preserve">iv. </w:t>
      </w:r>
      <w:r w:rsidRPr="0016023B">
        <w:rPr>
          <w:rFonts w:ascii="Verdana" w:eastAsia="Calibri" w:hAnsi="Verdana" w:cs="Arial"/>
        </w:rPr>
        <w:t xml:space="preserve">Finalmente, es pertinente indicar que la Agencia Nacional de Contratación Púbica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Estatuto General de Contratación de la Administración Pública.  </w:t>
      </w:r>
      <w:r w:rsidRPr="0016023B">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bookmarkEnd w:id="1"/>
    <w:bookmarkEnd w:id="2"/>
    <w:p w14:paraId="168F4346" w14:textId="77777777" w:rsidR="004C52E0" w:rsidRPr="00FD7EC2" w:rsidRDefault="004C52E0" w:rsidP="004C52E0">
      <w:pPr>
        <w:spacing w:after="0" w:line="276" w:lineRule="auto"/>
        <w:jc w:val="both"/>
        <w:rPr>
          <w:rFonts w:ascii="Verdana" w:eastAsia="Century Gothic" w:hAnsi="Verdana" w:cs="Century Gothic"/>
          <w:b/>
          <w:lang w:val="es-ES"/>
        </w:rPr>
      </w:pPr>
      <w:r w:rsidRPr="00FD7EC2">
        <w:rPr>
          <w:rFonts w:ascii="Verdana" w:eastAsia="Century Gothic" w:hAnsi="Verdana" w:cs="Century Gothic"/>
          <w:b/>
          <w:lang w:val="es-ES"/>
        </w:rPr>
        <w:t>4. Referencias normativas, jurisprudenciales y otras fuentes:</w:t>
      </w:r>
    </w:p>
    <w:p w14:paraId="1114A056" w14:textId="77777777" w:rsidR="004C52E0" w:rsidRPr="001F541F" w:rsidRDefault="004C52E0" w:rsidP="004C52E0">
      <w:pPr>
        <w:spacing w:after="0" w:line="276" w:lineRule="auto"/>
        <w:jc w:val="both"/>
        <w:rPr>
          <w:rFonts w:ascii="Verdana" w:eastAsia="Century Gothic" w:hAnsi="Verdana" w:cs="Century Gothic"/>
          <w:b/>
          <w:color w:val="7030A0"/>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C52E0" w:rsidRPr="001F541F" w14:paraId="09E2E4F5" w14:textId="77777777" w:rsidTr="00136085">
        <w:trPr>
          <w:trHeight w:val="311"/>
        </w:trPr>
        <w:tc>
          <w:tcPr>
            <w:tcW w:w="8647" w:type="dxa"/>
          </w:tcPr>
          <w:p w14:paraId="5F57B6CB" w14:textId="77777777" w:rsidR="004C52E0" w:rsidRPr="00F33F06" w:rsidRDefault="004C52E0" w:rsidP="004C52E0">
            <w:pPr>
              <w:widowControl w:val="0"/>
              <w:numPr>
                <w:ilvl w:val="0"/>
                <w:numId w:val="16"/>
              </w:numPr>
              <w:autoSpaceDE w:val="0"/>
              <w:autoSpaceDN w:val="0"/>
              <w:spacing w:line="276" w:lineRule="auto"/>
              <w:contextualSpacing/>
              <w:jc w:val="both"/>
              <w:rPr>
                <w:rFonts w:ascii="Verdana" w:eastAsia="Arial MT" w:hAnsi="Verdana" w:cs="Arial"/>
                <w:lang w:val="es-ES" w:eastAsia="es-ES" w:bidi="es-ES"/>
              </w:rPr>
            </w:pPr>
            <w:r w:rsidRPr="00F33F06">
              <w:rPr>
                <w:rFonts w:ascii="Verdana" w:eastAsia="Arial MT" w:hAnsi="Verdana" w:cs="Arial"/>
                <w:lang w:val="es-ES" w:eastAsia="es-ES" w:bidi="es-ES"/>
              </w:rPr>
              <w:t>Constitución Política de Colombia. Artículo 38</w:t>
            </w:r>
          </w:p>
          <w:p w14:paraId="430C6263" w14:textId="77777777" w:rsidR="004C52E0" w:rsidRPr="00F33F06" w:rsidRDefault="004C52E0" w:rsidP="004C52E0">
            <w:pPr>
              <w:widowControl w:val="0"/>
              <w:numPr>
                <w:ilvl w:val="0"/>
                <w:numId w:val="16"/>
              </w:numPr>
              <w:autoSpaceDE w:val="0"/>
              <w:autoSpaceDN w:val="0"/>
              <w:spacing w:line="276" w:lineRule="auto"/>
              <w:contextualSpacing/>
              <w:jc w:val="both"/>
              <w:rPr>
                <w:rFonts w:ascii="Verdana" w:eastAsia="Arial MT" w:hAnsi="Verdana" w:cs="Arial"/>
                <w:lang w:val="es-ES" w:eastAsia="es-ES" w:bidi="es-ES"/>
              </w:rPr>
            </w:pPr>
            <w:r w:rsidRPr="00F33F06">
              <w:rPr>
                <w:rFonts w:ascii="Verdana" w:eastAsia="Arial MT" w:hAnsi="Verdana" w:cs="Arial"/>
                <w:lang w:val="es-ES" w:eastAsia="es-ES" w:bidi="es-ES"/>
              </w:rPr>
              <w:t>Ley 454 de 1998. Artículo 6</w:t>
            </w:r>
          </w:p>
          <w:p w14:paraId="4D27453C" w14:textId="77777777" w:rsidR="004C52E0" w:rsidRPr="00F33F06" w:rsidRDefault="004C52E0" w:rsidP="004C52E0">
            <w:pPr>
              <w:widowControl w:val="0"/>
              <w:numPr>
                <w:ilvl w:val="0"/>
                <w:numId w:val="16"/>
              </w:numPr>
              <w:autoSpaceDE w:val="0"/>
              <w:autoSpaceDN w:val="0"/>
              <w:spacing w:line="276" w:lineRule="auto"/>
              <w:contextualSpacing/>
              <w:jc w:val="both"/>
              <w:rPr>
                <w:rFonts w:ascii="Verdana" w:eastAsia="Arial MT" w:hAnsi="Verdana" w:cs="Arial"/>
                <w:lang w:val="es-ES" w:eastAsia="es-ES" w:bidi="es-ES"/>
              </w:rPr>
            </w:pPr>
            <w:r w:rsidRPr="00F33F06">
              <w:rPr>
                <w:rFonts w:ascii="Verdana" w:eastAsia="Arial MT" w:hAnsi="Verdana" w:cs="Arial"/>
                <w:lang w:val="es-ES" w:eastAsia="es-ES" w:bidi="es-ES"/>
              </w:rPr>
              <w:lastRenderedPageBreak/>
              <w:t>Ley 1150 del 2007. Artículo 12</w:t>
            </w:r>
          </w:p>
          <w:p w14:paraId="7697DD65" w14:textId="77777777" w:rsidR="004C52E0" w:rsidRPr="00F33F06" w:rsidRDefault="004C52E0" w:rsidP="004C52E0">
            <w:pPr>
              <w:widowControl w:val="0"/>
              <w:numPr>
                <w:ilvl w:val="0"/>
                <w:numId w:val="16"/>
              </w:numPr>
              <w:autoSpaceDE w:val="0"/>
              <w:autoSpaceDN w:val="0"/>
              <w:spacing w:line="276" w:lineRule="auto"/>
              <w:contextualSpacing/>
              <w:jc w:val="both"/>
              <w:rPr>
                <w:rFonts w:ascii="Verdana" w:eastAsia="Arial MT" w:hAnsi="Verdana" w:cs="Arial"/>
                <w:lang w:val="es-ES" w:eastAsia="es-ES" w:bidi="es-ES"/>
              </w:rPr>
            </w:pPr>
            <w:r w:rsidRPr="00F33F06">
              <w:rPr>
                <w:rFonts w:ascii="Verdana" w:eastAsia="Arial MT" w:hAnsi="Verdana" w:cs="Arial"/>
                <w:lang w:val="es-ES" w:eastAsia="es-ES" w:bidi="es-ES"/>
              </w:rPr>
              <w:t>Ley 1450 de 2011. Artículo 43</w:t>
            </w:r>
          </w:p>
          <w:p w14:paraId="3B155A49" w14:textId="77777777" w:rsidR="004C52E0" w:rsidRPr="00F33F06" w:rsidRDefault="004C52E0" w:rsidP="004C52E0">
            <w:pPr>
              <w:widowControl w:val="0"/>
              <w:numPr>
                <w:ilvl w:val="0"/>
                <w:numId w:val="16"/>
              </w:numPr>
              <w:autoSpaceDE w:val="0"/>
              <w:autoSpaceDN w:val="0"/>
              <w:spacing w:line="276" w:lineRule="auto"/>
              <w:contextualSpacing/>
              <w:jc w:val="both"/>
              <w:rPr>
                <w:rFonts w:ascii="Verdana" w:eastAsia="Arial MT" w:hAnsi="Verdana" w:cs="Arial"/>
                <w:lang w:val="es-ES" w:eastAsia="es-ES" w:bidi="es-ES"/>
              </w:rPr>
            </w:pPr>
            <w:r w:rsidRPr="00F33F06">
              <w:rPr>
                <w:rFonts w:ascii="Verdana" w:eastAsia="Arial MT" w:hAnsi="Verdana" w:cs="Arial"/>
                <w:lang w:val="es-ES" w:eastAsia="es-ES" w:bidi="es-ES"/>
              </w:rPr>
              <w:t>Ley 2069 de 2020. Artículos 23, 24 y 34</w:t>
            </w:r>
          </w:p>
          <w:p w14:paraId="3D358041" w14:textId="77777777" w:rsidR="004C52E0" w:rsidRPr="00F33F06" w:rsidRDefault="004C52E0" w:rsidP="004C52E0">
            <w:pPr>
              <w:widowControl w:val="0"/>
              <w:numPr>
                <w:ilvl w:val="0"/>
                <w:numId w:val="16"/>
              </w:numPr>
              <w:autoSpaceDE w:val="0"/>
              <w:autoSpaceDN w:val="0"/>
              <w:spacing w:line="276" w:lineRule="auto"/>
              <w:contextualSpacing/>
              <w:jc w:val="both"/>
              <w:rPr>
                <w:rFonts w:ascii="Verdana" w:eastAsia="Arial MT" w:hAnsi="Verdana" w:cs="Arial"/>
                <w:lang w:val="es-ES" w:eastAsia="es-ES" w:bidi="es-ES"/>
              </w:rPr>
            </w:pPr>
            <w:r w:rsidRPr="00F33F06">
              <w:rPr>
                <w:rFonts w:ascii="Verdana" w:eastAsia="Arial MT" w:hAnsi="Verdana" w:cs="Arial"/>
                <w:lang w:val="es-ES" w:eastAsia="es-ES" w:bidi="es-ES"/>
              </w:rPr>
              <w:t>Decreto 410 de 1971. Artículos 98, 100</w:t>
            </w:r>
          </w:p>
          <w:p w14:paraId="4886205E" w14:textId="77777777" w:rsidR="004C52E0" w:rsidRPr="00F33F06" w:rsidRDefault="004C52E0" w:rsidP="004C52E0">
            <w:pPr>
              <w:widowControl w:val="0"/>
              <w:numPr>
                <w:ilvl w:val="0"/>
                <w:numId w:val="16"/>
              </w:numPr>
              <w:autoSpaceDE w:val="0"/>
              <w:autoSpaceDN w:val="0"/>
              <w:spacing w:line="276" w:lineRule="auto"/>
              <w:contextualSpacing/>
              <w:jc w:val="both"/>
              <w:rPr>
                <w:rFonts w:ascii="Verdana" w:eastAsia="Arial MT" w:hAnsi="Verdana" w:cs="Arial"/>
                <w:lang w:val="es-ES" w:eastAsia="es-ES" w:bidi="es-ES"/>
              </w:rPr>
            </w:pPr>
            <w:r w:rsidRPr="00F33F06">
              <w:rPr>
                <w:rFonts w:ascii="Verdana" w:eastAsia="Arial MT" w:hAnsi="Verdana" w:cs="Arial"/>
                <w:lang w:val="es-ES" w:eastAsia="es-ES" w:bidi="es-ES"/>
              </w:rPr>
              <w:t>Decreto 1074 de 2015. Artículo 2.2.1.13.2.2</w:t>
            </w:r>
          </w:p>
          <w:p w14:paraId="5C949F6C" w14:textId="77777777" w:rsidR="004C52E0" w:rsidRPr="00F33F06" w:rsidRDefault="004C52E0" w:rsidP="004C52E0">
            <w:pPr>
              <w:widowControl w:val="0"/>
              <w:numPr>
                <w:ilvl w:val="0"/>
                <w:numId w:val="16"/>
              </w:numPr>
              <w:autoSpaceDE w:val="0"/>
              <w:autoSpaceDN w:val="0"/>
              <w:spacing w:line="276" w:lineRule="auto"/>
              <w:contextualSpacing/>
              <w:jc w:val="both"/>
              <w:rPr>
                <w:rFonts w:ascii="Verdana" w:eastAsia="Arial MT" w:hAnsi="Verdana" w:cs="Arial"/>
                <w:lang w:val="es-ES" w:eastAsia="es-ES" w:bidi="es-ES"/>
              </w:rPr>
            </w:pPr>
            <w:r w:rsidRPr="00F33F06">
              <w:rPr>
                <w:rFonts w:ascii="Verdana" w:eastAsia="Arial MT" w:hAnsi="Verdana" w:cs="Arial"/>
                <w:lang w:val="es-ES" w:eastAsia="es-ES" w:bidi="es-ES"/>
              </w:rPr>
              <w:t xml:space="preserve">Decreto 1082 de 2015. Artículos 2.2.1.2.4.2.2, 2.2.1.2.4.2.3 y 2.2.1.2.1.5.2. </w:t>
            </w:r>
          </w:p>
          <w:p w14:paraId="4CB4D3F1" w14:textId="77777777" w:rsidR="004C52E0" w:rsidRPr="00F33F06" w:rsidRDefault="004C52E0" w:rsidP="004C52E0">
            <w:pPr>
              <w:widowControl w:val="0"/>
              <w:numPr>
                <w:ilvl w:val="0"/>
                <w:numId w:val="16"/>
              </w:numPr>
              <w:autoSpaceDE w:val="0"/>
              <w:autoSpaceDN w:val="0"/>
              <w:spacing w:line="276" w:lineRule="auto"/>
              <w:contextualSpacing/>
              <w:jc w:val="both"/>
              <w:rPr>
                <w:rFonts w:ascii="Verdana" w:eastAsia="Arial MT" w:hAnsi="Verdana" w:cs="Arial"/>
                <w:lang w:val="es-ES" w:eastAsia="es-ES" w:bidi="es-ES"/>
              </w:rPr>
            </w:pPr>
            <w:r w:rsidRPr="00F33F06">
              <w:rPr>
                <w:rFonts w:ascii="Verdana" w:eastAsia="Arial MT" w:hAnsi="Verdana" w:cs="Arial"/>
                <w:lang w:val="es-ES" w:eastAsia="es-ES" w:bidi="es-ES"/>
              </w:rPr>
              <w:t>Decreto 1860 de 2021. Artículo 5</w:t>
            </w:r>
          </w:p>
          <w:p w14:paraId="503398FF" w14:textId="77777777" w:rsidR="004C52E0" w:rsidRPr="00F33F06" w:rsidRDefault="004C52E0" w:rsidP="004C52E0">
            <w:pPr>
              <w:widowControl w:val="0"/>
              <w:numPr>
                <w:ilvl w:val="0"/>
                <w:numId w:val="16"/>
              </w:numPr>
              <w:autoSpaceDE w:val="0"/>
              <w:autoSpaceDN w:val="0"/>
              <w:spacing w:line="276" w:lineRule="auto"/>
              <w:contextualSpacing/>
              <w:jc w:val="both"/>
              <w:rPr>
                <w:rFonts w:ascii="Verdana" w:eastAsia="Arial MT" w:hAnsi="Verdana" w:cs="Arial"/>
                <w:lang w:val="es-ES" w:eastAsia="es-ES" w:bidi="es-ES"/>
              </w:rPr>
            </w:pPr>
            <w:r w:rsidRPr="00F33F06">
              <w:rPr>
                <w:rFonts w:ascii="Verdana" w:eastAsia="Arial MT" w:hAnsi="Verdana" w:cs="Arial"/>
                <w:lang w:val="es-ES" w:eastAsia="es-ES" w:bidi="es-ES"/>
              </w:rPr>
              <w:t>Corte Constitucional de Colombia. Sentencia C-287 de 2012. Exp. D-8642, M.P. María Victoria Calle Correa, 18 de abril de 2012.</w:t>
            </w:r>
          </w:p>
          <w:p w14:paraId="66813D4F" w14:textId="77777777" w:rsidR="004C52E0" w:rsidRPr="00F33F06" w:rsidRDefault="004C52E0" w:rsidP="004C52E0">
            <w:pPr>
              <w:widowControl w:val="0"/>
              <w:numPr>
                <w:ilvl w:val="0"/>
                <w:numId w:val="16"/>
              </w:numPr>
              <w:autoSpaceDE w:val="0"/>
              <w:autoSpaceDN w:val="0"/>
              <w:spacing w:line="276" w:lineRule="auto"/>
              <w:contextualSpacing/>
              <w:jc w:val="both"/>
              <w:rPr>
                <w:rFonts w:ascii="Verdana" w:eastAsia="Arial MT" w:hAnsi="Verdana" w:cs="Arial"/>
                <w:color w:val="7030A0"/>
                <w:lang w:val="es-ES" w:eastAsia="es-ES" w:bidi="es-ES"/>
              </w:rPr>
            </w:pPr>
            <w:r w:rsidRPr="00F33F06">
              <w:rPr>
                <w:rFonts w:ascii="Verdana" w:eastAsia="Arial MT" w:hAnsi="Verdana" w:cs="Arial"/>
                <w:lang w:val="es-ES" w:eastAsia="es-ES" w:bidi="es-ES"/>
              </w:rPr>
              <w:t xml:space="preserve">Cámara de Comercio de Bogotá. ABC de ESALES. Disponible Aquí: </w:t>
            </w:r>
            <w:hyperlink r:id="rId13" w:history="1">
              <w:r w:rsidRPr="00123FDA">
                <w:rPr>
                  <w:rStyle w:val="Hipervnculo"/>
                  <w:rFonts w:ascii="Verdana" w:eastAsia="Arial MT" w:hAnsi="Verdana" w:cs="Arial"/>
                  <w:lang w:val="es-ES" w:eastAsia="es-ES" w:bidi="es-ES"/>
                </w:rPr>
                <w:t>https://bibliotecadigital.ccb.org.co/bitstream/handle/11520/8346/el%20abc%20de%20esales%202013%20completo.pdf?sequence=1&amp;isAllowed=y</w:t>
              </w:r>
            </w:hyperlink>
            <w:r w:rsidRPr="00F33F06">
              <w:rPr>
                <w:rFonts w:ascii="Verdana" w:eastAsia="Arial MT" w:hAnsi="Verdana" w:cs="Arial"/>
                <w:color w:val="7030A0"/>
                <w:lang w:val="es-ES" w:eastAsia="es-ES" w:bidi="es-ES"/>
              </w:rPr>
              <w:t>.</w:t>
            </w:r>
            <w:r>
              <w:rPr>
                <w:rFonts w:ascii="Verdana" w:eastAsia="Arial MT" w:hAnsi="Verdana" w:cs="Arial"/>
                <w:color w:val="7030A0"/>
                <w:lang w:val="es-ES" w:eastAsia="es-ES" w:bidi="es-ES"/>
              </w:rPr>
              <w:t xml:space="preserve"> </w:t>
            </w:r>
            <w:r w:rsidRPr="00F33F06">
              <w:rPr>
                <w:rFonts w:ascii="Verdana" w:eastAsia="Arial MT" w:hAnsi="Verdana" w:cs="Arial"/>
                <w:color w:val="7030A0"/>
                <w:lang w:val="es-ES" w:eastAsia="es-ES" w:bidi="es-ES"/>
              </w:rPr>
              <w:t xml:space="preserve"> </w:t>
            </w:r>
          </w:p>
          <w:p w14:paraId="0719F544" w14:textId="77777777" w:rsidR="004C52E0" w:rsidRPr="001F541F" w:rsidRDefault="004C52E0" w:rsidP="004C52E0">
            <w:pPr>
              <w:widowControl w:val="0"/>
              <w:numPr>
                <w:ilvl w:val="0"/>
                <w:numId w:val="16"/>
              </w:numPr>
              <w:autoSpaceDE w:val="0"/>
              <w:autoSpaceDN w:val="0"/>
              <w:spacing w:line="276" w:lineRule="auto"/>
              <w:jc w:val="both"/>
              <w:rPr>
                <w:rFonts w:ascii="Verdana" w:eastAsia="Calibri" w:hAnsi="Verdana" w:cs="Arial"/>
                <w:color w:val="7030A0"/>
                <w:lang w:val="es-ES"/>
              </w:rPr>
            </w:pPr>
            <w:r w:rsidRPr="00F33F06">
              <w:rPr>
                <w:rFonts w:ascii="Verdana" w:eastAsia="Arial MT" w:hAnsi="Verdana" w:cs="Arial"/>
                <w:lang w:val="es-ES" w:eastAsia="es-ES" w:bidi="es-ES"/>
              </w:rPr>
              <w:t xml:space="preserve">Cámara de Comercio de Bogotá. Manual básico sobre Entidades sin Ánimo de Lucro - ESAL. Disponible Aquí: </w:t>
            </w:r>
            <w:hyperlink r:id="rId14" w:history="1">
              <w:r w:rsidRPr="00123FDA">
                <w:rPr>
                  <w:rStyle w:val="Hipervnculo"/>
                  <w:rFonts w:ascii="Verdana" w:eastAsia="Arial MT" w:hAnsi="Verdana" w:cs="Arial"/>
                  <w:lang w:val="es-ES" w:eastAsia="es-ES" w:bidi="es-ES"/>
                </w:rPr>
                <w:t>https://bibliotecadigital.ccb.org.co/items/6bce01ee-e5a8-44b0-bc6e-05821ef3ce02</w:t>
              </w:r>
            </w:hyperlink>
            <w:r>
              <w:rPr>
                <w:rFonts w:ascii="Verdana" w:eastAsia="Arial MT" w:hAnsi="Verdana" w:cs="Arial"/>
                <w:color w:val="7030A0"/>
                <w:lang w:val="es-ES" w:eastAsia="es-ES" w:bidi="es-ES"/>
              </w:rPr>
              <w:t xml:space="preserve"> </w:t>
            </w:r>
          </w:p>
        </w:tc>
      </w:tr>
    </w:tbl>
    <w:p w14:paraId="607647C5" w14:textId="77777777" w:rsidR="004C52E0" w:rsidRPr="00FD7EC2" w:rsidRDefault="004C52E0" w:rsidP="004C52E0">
      <w:pPr>
        <w:widowControl w:val="0"/>
        <w:autoSpaceDE w:val="0"/>
        <w:autoSpaceDN w:val="0"/>
        <w:spacing w:after="0" w:line="276" w:lineRule="auto"/>
        <w:jc w:val="both"/>
        <w:rPr>
          <w:rFonts w:ascii="Verdana" w:hAnsi="Verdana" w:cs="Arial"/>
          <w:lang w:val="es-ES"/>
        </w:rPr>
      </w:pPr>
    </w:p>
    <w:p w14:paraId="34AC3652" w14:textId="77777777" w:rsidR="004C52E0" w:rsidRPr="00FD7EC2" w:rsidRDefault="004C52E0" w:rsidP="004C52E0">
      <w:pPr>
        <w:tabs>
          <w:tab w:val="left" w:pos="142"/>
          <w:tab w:val="left" w:pos="284"/>
        </w:tabs>
        <w:spacing w:after="0" w:line="276" w:lineRule="auto"/>
        <w:jc w:val="both"/>
        <w:rPr>
          <w:rFonts w:ascii="Verdana" w:eastAsia="Century Gothic" w:hAnsi="Verdana" w:cs="Century Gothic"/>
          <w:b/>
          <w:lang w:val="es-ES"/>
        </w:rPr>
      </w:pPr>
      <w:r w:rsidRPr="00FD7EC2">
        <w:rPr>
          <w:rFonts w:ascii="Verdana" w:eastAsia="Century Gothic" w:hAnsi="Verdana" w:cs="Century Gothic"/>
          <w:b/>
          <w:lang w:val="es-ES"/>
        </w:rPr>
        <w:t>5. Doctrina de la Agencia Nacional de Contratación Pública:</w:t>
      </w:r>
    </w:p>
    <w:p w14:paraId="4DACB4E4" w14:textId="77777777" w:rsidR="004C52E0" w:rsidRPr="001F541F" w:rsidRDefault="004C52E0" w:rsidP="004C52E0">
      <w:pPr>
        <w:tabs>
          <w:tab w:val="left" w:pos="142"/>
          <w:tab w:val="left" w:pos="284"/>
        </w:tabs>
        <w:spacing w:after="0" w:line="276" w:lineRule="auto"/>
        <w:jc w:val="both"/>
        <w:rPr>
          <w:rFonts w:ascii="Verdana" w:eastAsia="Century Gothic" w:hAnsi="Verdana" w:cs="Century Gothic"/>
          <w:b/>
          <w:color w:val="7030A0"/>
          <w:lang w:val="es-ES"/>
        </w:rPr>
      </w:pPr>
    </w:p>
    <w:p w14:paraId="75A46524" w14:textId="77777777" w:rsidR="004C52E0" w:rsidRDefault="004C52E0" w:rsidP="004C52E0">
      <w:pPr>
        <w:spacing w:after="0"/>
        <w:jc w:val="both"/>
        <w:rPr>
          <w:rFonts w:ascii="Verdana" w:eastAsia="Calibri" w:hAnsi="Verdana" w:cs="Arial"/>
          <w:shd w:val="clear" w:color="auto" w:fill="FFFFFF"/>
        </w:rPr>
      </w:pPr>
      <w:r w:rsidRPr="00FD7EC2">
        <w:rPr>
          <w:rFonts w:ascii="Verdana" w:eastAsia="Calibri" w:hAnsi="Verdana" w:cs="Arial"/>
          <w:lang w:val="es-ES"/>
        </w:rPr>
        <w:t xml:space="preserve">La Agencia Nacional de Contratación Pública – Colombia Compra Eficiente se ha referido </w:t>
      </w:r>
      <w:r w:rsidRPr="00FD7EC2">
        <w:rPr>
          <w:rFonts w:ascii="Verdana" w:hAnsi="Verdana" w:cs="Arial"/>
          <w:shd w:val="clear" w:color="auto" w:fill="FFFFFF"/>
          <w:lang w:val="es-ES"/>
        </w:rPr>
        <w:t>sobr</w:t>
      </w:r>
      <w:r>
        <w:rPr>
          <w:rFonts w:ascii="Verdana" w:hAnsi="Verdana" w:cs="Arial"/>
          <w:shd w:val="clear" w:color="auto" w:fill="FFFFFF"/>
          <w:lang w:val="es-ES"/>
        </w:rPr>
        <w:t xml:space="preserve">e la participación de las Entidades Sin Ánimo de Lucro en procesos contractuales en los conceptos con </w:t>
      </w:r>
      <w:r w:rsidRPr="00750107">
        <w:rPr>
          <w:rFonts w:ascii="Verdana" w:hAnsi="Verdana" w:cs="Arial"/>
          <w:shd w:val="clear" w:color="auto" w:fill="FFFFFF"/>
          <w:lang w:val="es-ES"/>
        </w:rPr>
        <w:t xml:space="preserve">radicado </w:t>
      </w:r>
      <w:r>
        <w:rPr>
          <w:rFonts w:ascii="Verdana" w:hAnsi="Verdana" w:cs="Arial"/>
          <w:shd w:val="clear" w:color="auto" w:fill="FFFFFF"/>
          <w:lang w:val="es-ES"/>
        </w:rPr>
        <w:t xml:space="preserve">C-354 del 25 de mayo de 2022, </w:t>
      </w:r>
      <w:r w:rsidRPr="00750107">
        <w:rPr>
          <w:rFonts w:ascii="Verdana" w:eastAsia="Calibri" w:hAnsi="Verdana" w:cs="Arial"/>
          <w:shd w:val="clear" w:color="auto" w:fill="FFFFFF"/>
        </w:rPr>
        <w:t xml:space="preserve">C-473 del 25 de julio de 2022, </w:t>
      </w:r>
      <w:r>
        <w:rPr>
          <w:rFonts w:ascii="Verdana" w:eastAsia="Calibri" w:hAnsi="Verdana" w:cs="Arial"/>
          <w:shd w:val="clear" w:color="auto" w:fill="FFFFFF"/>
        </w:rPr>
        <w:t>C-699 del 25 de octubre de 2022, C-863 del 15 de diciembre de 2022, C-159 del 13 de junio de 2023, C-279 del 31 de octubre de 2023, C-222 del 06 de agosto de 2024, C-406 del 05 de septiembre de 2024,  C-437 del 17 de septiembre de 2024, C-532 del 10 de octubre de 2024, C-1023 del 18 de diciembre de 2024, C-217 del 27 de marzo de 2025, C-401 del 07 de mayo de 2025, C-855 del 01 de agosto de 2025, C-1018 del 15 de agosto de 2025, C-1432 del 13 de noviembre de 2025, C-1805 del 26 de diciembre de 2025, C-174 del 16 de febrero de 2026, C-454 del 04 de mayo de 2026, C-811 del 24 de junio de 2026, C-867 del 07 de julio de 2026, C-1055 del 27 de julio de 2026 y C-1258 del 24 de agosto de 2026, entre otros.</w:t>
      </w:r>
    </w:p>
    <w:p w14:paraId="3EC91FDF" w14:textId="77777777" w:rsidR="004C52E0" w:rsidRPr="001F541F" w:rsidRDefault="004C52E0" w:rsidP="004C52E0">
      <w:pPr>
        <w:widowControl w:val="0"/>
        <w:autoSpaceDE w:val="0"/>
        <w:autoSpaceDN w:val="0"/>
        <w:spacing w:after="0" w:line="276" w:lineRule="auto"/>
        <w:jc w:val="both"/>
        <w:rPr>
          <w:rFonts w:ascii="Verdana" w:hAnsi="Verdana" w:cs="Arial"/>
          <w:color w:val="7030A0"/>
          <w:lang w:val="es-ES"/>
        </w:rPr>
      </w:pPr>
    </w:p>
    <w:p w14:paraId="44D88959" w14:textId="77777777" w:rsidR="004C52E0" w:rsidRDefault="004C52E0" w:rsidP="004C52E0">
      <w:pPr>
        <w:widowControl w:val="0"/>
        <w:autoSpaceDE w:val="0"/>
        <w:autoSpaceDN w:val="0"/>
        <w:spacing w:after="0" w:line="276" w:lineRule="auto"/>
        <w:jc w:val="both"/>
        <w:rPr>
          <w:rStyle w:val="Hipervnculo"/>
          <w:rFonts w:ascii="Verdana" w:hAnsi="Verdana" w:cs="Arial"/>
          <w:color w:val="EE0000"/>
          <w:shd w:val="clear" w:color="auto" w:fill="FFFFFF"/>
          <w:lang w:val="es-ES"/>
        </w:rPr>
      </w:pPr>
      <w:r w:rsidRPr="00AC6529">
        <w:rPr>
          <w:rFonts w:ascii="Verdana" w:hAnsi="Verdana" w:cs="Arial"/>
          <w:shd w:val="clear" w:color="auto" w:fill="FFFFFF"/>
          <w:lang w:val="es-ES"/>
        </w:rPr>
        <w:t>Estos</w:t>
      </w:r>
      <w:r w:rsidRPr="00AC6529">
        <w:rPr>
          <w:rFonts w:ascii="Verdana" w:hAnsi="Verdana"/>
          <w:lang w:val="es-ES"/>
        </w:rPr>
        <w:t xml:space="preserve"> y otros se encuentran disponibles para consulta en el Sistema de relatoría de la Agencia, al cual se puede acceder a través del siguiente enlace:</w:t>
      </w:r>
      <w:r w:rsidRPr="00AC6529">
        <w:rPr>
          <w:rFonts w:ascii="Verdana" w:hAnsi="Verdana" w:cs="Arial"/>
          <w:shd w:val="clear" w:color="auto" w:fill="FFFFFF"/>
          <w:lang w:val="es-ES"/>
        </w:rPr>
        <w:t xml:space="preserve"> </w:t>
      </w:r>
      <w:hyperlink r:id="rId15" w:history="1">
        <w:r w:rsidRPr="00AC6529">
          <w:rPr>
            <w:rStyle w:val="Hipervnculo"/>
            <w:rFonts w:ascii="Verdana" w:hAnsi="Verdana" w:cs="Arial"/>
            <w:shd w:val="clear" w:color="auto" w:fill="FFFFFF"/>
            <w:lang w:val="es-ES"/>
          </w:rPr>
          <w:t>https://relatoria.colombiacompra.gov.co/busqueda/conceptos</w:t>
        </w:r>
      </w:hyperlink>
    </w:p>
    <w:p w14:paraId="421A0548" w14:textId="77777777" w:rsidR="004C52E0" w:rsidRPr="00AC6529" w:rsidRDefault="004C52E0" w:rsidP="004C52E0">
      <w:pPr>
        <w:widowControl w:val="0"/>
        <w:autoSpaceDE w:val="0"/>
        <w:autoSpaceDN w:val="0"/>
        <w:spacing w:after="0" w:line="276" w:lineRule="auto"/>
        <w:jc w:val="both"/>
        <w:rPr>
          <w:rFonts w:ascii="Verdana" w:hAnsi="Verdana" w:cs="Arial"/>
          <w:color w:val="EE0000"/>
          <w:u w:val="single"/>
          <w:shd w:val="clear" w:color="auto" w:fill="FFFFFF"/>
          <w:lang w:val="es-ES"/>
        </w:rPr>
      </w:pPr>
    </w:p>
    <w:p w14:paraId="7B496ED9" w14:textId="77777777" w:rsidR="004C52E0" w:rsidRDefault="004C52E0" w:rsidP="004C52E0">
      <w:pPr>
        <w:spacing w:after="0" w:line="276" w:lineRule="auto"/>
        <w:jc w:val="both"/>
        <w:rPr>
          <w:rFonts w:ascii="Verdana" w:hAnsi="Verdana"/>
          <w:color w:val="EE0000"/>
        </w:rPr>
      </w:pPr>
      <w:r w:rsidRPr="00AC6529">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AC6529">
        <w:rPr>
          <w:rFonts w:ascii="Verdana" w:hAnsi="Verdana"/>
          <w:b/>
          <w:bCs/>
        </w:rPr>
        <w:t>Guía para la Exigencia y Constitución de Garantías en los Procesos de Contratación</w:t>
      </w:r>
      <w:r w:rsidRPr="00AC6529">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w:t>
      </w:r>
      <w:r w:rsidRPr="00AC6529">
        <w:rPr>
          <w:rFonts w:ascii="Verdana" w:hAnsi="Verdana"/>
          <w:color w:val="EE0000"/>
        </w:rPr>
        <w:t> </w:t>
      </w:r>
      <w:hyperlink r:id="rId16" w:tgtFrame="_blank" w:tooltip="Dirección URL original: https://www.colombiacompra.gov.co/archivos/manual/guia-de-garantias-en-procesos-de-contratacion. Haga clic o pulse si confía en este vínculo." w:history="1">
        <w:r w:rsidRPr="00AC6529">
          <w:rPr>
            <w:rStyle w:val="Hipervnculo"/>
            <w:rFonts w:ascii="Verdana" w:hAnsi="Verdana"/>
          </w:rPr>
          <w:t>https://www.colombiacompra.gov.co/archivos/manual/guia-de-garantias-en-procesos-de-contratacion</w:t>
        </w:r>
      </w:hyperlink>
    </w:p>
    <w:p w14:paraId="4B2E76EA" w14:textId="77777777" w:rsidR="004C52E0" w:rsidRDefault="004C52E0" w:rsidP="004C52E0">
      <w:pPr>
        <w:spacing w:after="0" w:line="276" w:lineRule="auto"/>
        <w:jc w:val="both"/>
        <w:rPr>
          <w:rFonts w:ascii="Verdana" w:hAnsi="Verdana"/>
          <w:color w:val="EE0000"/>
        </w:rPr>
      </w:pPr>
    </w:p>
    <w:p w14:paraId="5094C10E" w14:textId="77777777" w:rsidR="004C52E0" w:rsidRDefault="004C52E0" w:rsidP="004C52E0">
      <w:pPr>
        <w:spacing w:after="0" w:line="276" w:lineRule="auto"/>
        <w:jc w:val="both"/>
        <w:rPr>
          <w:rFonts w:ascii="Verdana" w:hAnsi="Verdana"/>
          <w:color w:val="EE0000"/>
        </w:rPr>
      </w:pPr>
      <w:r w:rsidRPr="00AC6529">
        <w:rPr>
          <w:rFonts w:ascii="Verdana" w:hAnsi="Verdana"/>
        </w:rPr>
        <w:t>De otro lado, te contamos que el Decreto 287 del 19 de marzo de 2026 sustituyó los artículos 2.2.1.2.4.2.6., 2.2.1.2.4.2.7. y 2.2.1.2.4.2.8. del Decreto 1082 de 2015 y estructuró el </w:t>
      </w:r>
      <w:r w:rsidRPr="00AC6529">
        <w:rPr>
          <w:rFonts w:ascii="Verdana" w:hAnsi="Verdana"/>
          <w:b/>
          <w:bCs/>
        </w:rPr>
        <w:t>Sistema Integral de Preferencias en favor de las personas con discapacidad</w:t>
      </w:r>
      <w:r w:rsidRPr="00AC6529">
        <w:rPr>
          <w:rFonts w:ascii="Verdana" w:hAnsi="Verdana"/>
        </w:rPr>
        <w:t>, en cumplimiento del artículo 13 de la Ley Estatutaria 1618 de 2013. Para orientar su aplicación, esta Agencia expidió la </w:t>
      </w:r>
      <w:r w:rsidRPr="00AC6529">
        <w:rPr>
          <w:rFonts w:ascii="Verdana" w:hAnsi="Verdana"/>
          <w:b/>
          <w:bCs/>
        </w:rPr>
        <w:t>Circular Externa 003 del 12 de mayo de 2026, </w:t>
      </w:r>
      <w:r w:rsidRPr="00AC6529">
        <w:rPr>
          <w:rFonts w:ascii="Verdana" w:hAnsi="Verdana"/>
        </w:rPr>
        <w:t>en la que precisa quiénes son los beneficiarios, las cinco medidas que integran el sistema y su obligatoriedad según la modalidad de selección, y el régimen de transición aplicable a los procesos en curso. Consúltala aquí:</w:t>
      </w:r>
      <w:r w:rsidRPr="00AC6529">
        <w:rPr>
          <w:rFonts w:ascii="Verdana" w:hAnsi="Verdana"/>
          <w:color w:val="EE0000"/>
        </w:rPr>
        <w:t> </w:t>
      </w:r>
      <w:hyperlink r:id="rId17" w:tgtFrame="_blank" w:tooltip="Dirección URL original: https://www.colombiacompra.gov.co/archivos/circular/circular-externa-003-de-2026. Haga clic o pulse si confía en este vínculo." w:history="1">
        <w:r w:rsidRPr="00AC6529">
          <w:rPr>
            <w:rStyle w:val="Hipervnculo"/>
            <w:rFonts w:ascii="Verdana" w:hAnsi="Verdana"/>
          </w:rPr>
          <w:t>https://www.colombiacompra.gov.co/archivos/circular/circular-externa-003-de-2026</w:t>
        </w:r>
      </w:hyperlink>
    </w:p>
    <w:p w14:paraId="75BF0BF3" w14:textId="77777777" w:rsidR="004C52E0" w:rsidRPr="00AC6529" w:rsidRDefault="004C52E0" w:rsidP="004C52E0">
      <w:pPr>
        <w:spacing w:after="0" w:line="276" w:lineRule="auto"/>
        <w:jc w:val="both"/>
        <w:rPr>
          <w:rFonts w:ascii="Verdana" w:hAnsi="Verdana"/>
          <w:color w:val="EE0000"/>
        </w:rPr>
      </w:pPr>
    </w:p>
    <w:p w14:paraId="3D3A6FA0" w14:textId="77777777" w:rsidR="004C52E0" w:rsidRDefault="004C52E0" w:rsidP="004C52E0">
      <w:pPr>
        <w:spacing w:after="0" w:line="276" w:lineRule="auto"/>
        <w:jc w:val="both"/>
        <w:rPr>
          <w:rFonts w:ascii="Verdana" w:hAnsi="Verdana"/>
          <w:color w:val="EE0000"/>
        </w:rPr>
      </w:pPr>
      <w:r w:rsidRPr="00AC6529">
        <w:rPr>
          <w:rFonts w:ascii="Verdana" w:hAnsi="Verdana"/>
        </w:rPr>
        <w:t>Recuerda también que la</w:t>
      </w:r>
      <w:r w:rsidRPr="00AC6529">
        <w:rPr>
          <w:rFonts w:ascii="Verdana" w:hAnsi="Verdana"/>
          <w:b/>
          <w:bCs/>
        </w:rPr>
        <w:t> información sobre sanciones e inhabilidades </w:t>
      </w:r>
      <w:r w:rsidRPr="00AC6529">
        <w:rPr>
          <w:rFonts w:ascii="Verdana" w:hAnsi="Verdana"/>
        </w:rPr>
        <w:t>solo cumple su función preventiva si llega oportunamente a los registros públicos. Sobre este deber, esta Agencia expidió la </w:t>
      </w:r>
      <w:r w:rsidRPr="00AC6529">
        <w:rPr>
          <w:rFonts w:ascii="Verdana" w:hAnsi="Verdana"/>
          <w:b/>
          <w:bCs/>
        </w:rPr>
        <w:t>Circular Externa 002 del 5 de mayo de 2026,</w:t>
      </w:r>
      <w:r w:rsidRPr="00AC6529">
        <w:rPr>
          <w:rFonts w:ascii="Verdana" w:hAnsi="Verdana"/>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w:t>
      </w:r>
      <w:r w:rsidRPr="00AC6529">
        <w:rPr>
          <w:rFonts w:ascii="Verdana" w:hAnsi="Verdana"/>
        </w:rPr>
        <w:lastRenderedPageBreak/>
        <w:t>aquí: </w:t>
      </w:r>
      <w:hyperlink r:id="rId18" w:tgtFrame="_blank" w:tooltip="Dirección URL original: https://www.colombiacompra.gov.co/archivos/circular/circular-externa-002-de-2026. Haga clic o pulse si confía en este vínculo." w:history="1">
        <w:r w:rsidRPr="00AC6529">
          <w:rPr>
            <w:rStyle w:val="Hipervnculo"/>
            <w:rFonts w:ascii="Verdana" w:hAnsi="Verdana"/>
          </w:rPr>
          <w:t>https://www.colombiacompra.gov.co/archivos/circular/circular-externa-002-de-2026</w:t>
        </w:r>
      </w:hyperlink>
    </w:p>
    <w:p w14:paraId="05D91AD4" w14:textId="77777777" w:rsidR="004C52E0" w:rsidRDefault="004C52E0" w:rsidP="004C52E0">
      <w:pPr>
        <w:spacing w:after="0" w:line="276" w:lineRule="auto"/>
        <w:jc w:val="both"/>
        <w:rPr>
          <w:rFonts w:ascii="Verdana" w:hAnsi="Verdana"/>
          <w:color w:val="EE0000"/>
        </w:rPr>
      </w:pPr>
    </w:p>
    <w:p w14:paraId="74E6F85A" w14:textId="77777777" w:rsidR="004C52E0" w:rsidRPr="00AC6529" w:rsidRDefault="004C52E0" w:rsidP="004C52E0">
      <w:pPr>
        <w:spacing w:after="0" w:line="276" w:lineRule="auto"/>
        <w:jc w:val="both"/>
        <w:rPr>
          <w:rFonts w:ascii="Verdana" w:hAnsi="Verdana"/>
          <w:color w:val="EE0000"/>
        </w:rPr>
      </w:pPr>
      <w:r w:rsidRPr="00AC6529">
        <w:rPr>
          <w:rFonts w:ascii="Verdana" w:hAnsi="Verdana"/>
        </w:rPr>
        <w:t>Finalmente, si quieres seguir de cerca la actividad de la Agencia, la tercera edición de 2026 del</w:t>
      </w:r>
      <w:r w:rsidRPr="00AC6529">
        <w:rPr>
          <w:rFonts w:ascii="Verdana" w:hAnsi="Verdana"/>
          <w:b/>
          <w:bCs/>
        </w:rPr>
        <w:t> Radar de la Compra Pública</w:t>
      </w:r>
      <w:r w:rsidRPr="00AC6529">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w:t>
      </w:r>
      <w:r w:rsidRPr="00AC6529">
        <w:rPr>
          <w:rFonts w:ascii="Verdana" w:hAnsi="Verdana"/>
          <w:color w:val="EE0000"/>
        </w:rPr>
        <w:t> </w:t>
      </w:r>
      <w:hyperlink r:id="rId19" w:tgtFrame="_blank" w:tooltip="Dirección URL original: https://www.colombiacompra.gov.co/archivos/boletin/boletin-edicion-n-3-de-2026-radar-de-la-compra-publica. Haga clic o pulse si confía en este vínculo." w:history="1">
        <w:r w:rsidRPr="00AC6529">
          <w:rPr>
            <w:rStyle w:val="Hipervnculo"/>
            <w:rFonts w:ascii="Verdana" w:hAnsi="Verdana"/>
          </w:rPr>
          <w:t>https://www.colombiacompra.gov.co/archivos/boletin/boletin-edicion-n-3-de-2026-radar-de-la-compra-publica</w:t>
        </w:r>
      </w:hyperlink>
    </w:p>
    <w:p w14:paraId="5BD27D85" w14:textId="77777777" w:rsidR="004C52E0" w:rsidRPr="006C695D" w:rsidRDefault="004C52E0" w:rsidP="004C52E0">
      <w:pPr>
        <w:spacing w:after="0" w:line="276" w:lineRule="auto"/>
        <w:jc w:val="both"/>
        <w:rPr>
          <w:rFonts w:ascii="Verdana" w:hAnsi="Verdana" w:cs="Arial"/>
          <w:shd w:val="clear" w:color="auto" w:fill="FFFFFF"/>
        </w:rPr>
      </w:pPr>
    </w:p>
    <w:p w14:paraId="352635A7" w14:textId="77777777" w:rsidR="004C52E0" w:rsidRPr="006C695D" w:rsidRDefault="004C52E0" w:rsidP="004C52E0">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Por último, lo invitamos a seguirnos en las redes sociales en las cuales se difunde información institucional: </w:t>
      </w:r>
    </w:p>
    <w:p w14:paraId="15E51572" w14:textId="77777777" w:rsidR="004C52E0" w:rsidRPr="006C695D" w:rsidRDefault="004C52E0" w:rsidP="004C52E0">
      <w:pPr>
        <w:spacing w:after="0" w:line="276" w:lineRule="auto"/>
        <w:jc w:val="both"/>
        <w:rPr>
          <w:rFonts w:ascii="Verdana" w:hAnsi="Verdana" w:cs="Arial"/>
          <w:shd w:val="clear" w:color="auto" w:fill="FFFFFF"/>
        </w:rPr>
      </w:pPr>
    </w:p>
    <w:p w14:paraId="10747EB9" w14:textId="77777777" w:rsidR="004C52E0" w:rsidRPr="006C695D" w:rsidRDefault="004C52E0" w:rsidP="004C52E0">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Twitter: </w:t>
      </w:r>
      <w:r w:rsidRPr="006C695D">
        <w:rPr>
          <w:rStyle w:val="Hipervnculo"/>
          <w:rFonts w:ascii="Verdana" w:hAnsi="Verdana"/>
        </w:rPr>
        <w:t>@colombiacompra</w:t>
      </w:r>
      <w:r w:rsidRPr="006C695D">
        <w:rPr>
          <w:rFonts w:ascii="Verdana" w:hAnsi="Verdana" w:cs="Arial"/>
          <w:shd w:val="clear" w:color="auto" w:fill="FFFFFF"/>
        </w:rPr>
        <w:t xml:space="preserve"> </w:t>
      </w:r>
    </w:p>
    <w:p w14:paraId="602E3D8C" w14:textId="77777777" w:rsidR="004C52E0" w:rsidRPr="006C695D" w:rsidRDefault="004C52E0" w:rsidP="004C52E0">
      <w:pPr>
        <w:spacing w:after="0" w:line="276" w:lineRule="auto"/>
        <w:jc w:val="both"/>
        <w:rPr>
          <w:rFonts w:ascii="Verdana" w:hAnsi="Verdana" w:cs="Arial"/>
          <w:shd w:val="clear" w:color="auto" w:fill="FFFFFF"/>
        </w:rPr>
      </w:pPr>
      <w:r w:rsidRPr="006C695D">
        <w:rPr>
          <w:rFonts w:ascii="Verdana" w:hAnsi="Verdana" w:cs="Arial"/>
          <w:shd w:val="clear" w:color="auto" w:fill="FFFFFF"/>
        </w:rPr>
        <w:t>Facebook:</w:t>
      </w:r>
      <w:r w:rsidRPr="006C695D">
        <w:rPr>
          <w:rStyle w:val="Hipervnculo"/>
          <w:rFonts w:ascii="Verdana" w:hAnsi="Verdana"/>
          <w:color w:val="auto"/>
          <w:lang w:val="es-ES"/>
        </w:rPr>
        <w:t xml:space="preserve"> </w:t>
      </w:r>
      <w:r w:rsidRPr="006C695D">
        <w:rPr>
          <w:rStyle w:val="Hipervnculo"/>
          <w:rFonts w:ascii="Verdana" w:hAnsi="Verdana"/>
        </w:rPr>
        <w:t>ColombiaCompraEficiente</w:t>
      </w:r>
    </w:p>
    <w:p w14:paraId="68FC027E" w14:textId="77777777" w:rsidR="004C52E0" w:rsidRPr="006C695D" w:rsidRDefault="004C52E0" w:rsidP="004C52E0">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LinkedIn: </w:t>
      </w:r>
      <w:r w:rsidRPr="006C695D">
        <w:rPr>
          <w:rStyle w:val="Hipervnculo"/>
          <w:rFonts w:ascii="Verdana" w:hAnsi="Verdana"/>
        </w:rPr>
        <w:t>Agencia Nacional de Contratación Pública - Colombia Compra Eficiente</w:t>
      </w:r>
      <w:r w:rsidRPr="006C695D">
        <w:rPr>
          <w:rFonts w:ascii="Verdana" w:hAnsi="Verdana" w:cs="Arial"/>
          <w:shd w:val="clear" w:color="auto" w:fill="FFFFFF"/>
        </w:rPr>
        <w:t xml:space="preserve"> </w:t>
      </w:r>
    </w:p>
    <w:p w14:paraId="26F8856D" w14:textId="77777777" w:rsidR="004C52E0" w:rsidRPr="006C695D" w:rsidRDefault="004C52E0" w:rsidP="004C52E0">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Instagram: </w:t>
      </w:r>
      <w:r w:rsidRPr="006C695D">
        <w:rPr>
          <w:rStyle w:val="Hipervnculo"/>
          <w:rFonts w:ascii="Verdana" w:hAnsi="Verdana"/>
        </w:rPr>
        <w:t>@colombiacompraeficiente_cce</w:t>
      </w:r>
    </w:p>
    <w:p w14:paraId="27235E6C" w14:textId="77777777" w:rsidR="004C52E0" w:rsidRPr="006C695D" w:rsidRDefault="004C52E0" w:rsidP="004C52E0">
      <w:pPr>
        <w:widowControl w:val="0"/>
        <w:autoSpaceDE w:val="0"/>
        <w:autoSpaceDN w:val="0"/>
        <w:spacing w:after="0" w:line="276" w:lineRule="auto"/>
        <w:jc w:val="both"/>
        <w:rPr>
          <w:rFonts w:ascii="Verdana" w:hAnsi="Verdana" w:cs="Arial"/>
          <w:lang w:val="es-ES"/>
        </w:rPr>
      </w:pPr>
    </w:p>
    <w:p w14:paraId="12EA1514" w14:textId="77777777" w:rsidR="004C52E0" w:rsidRPr="006C695D" w:rsidRDefault="004C52E0" w:rsidP="004C52E0">
      <w:pPr>
        <w:widowControl w:val="0"/>
        <w:autoSpaceDE w:val="0"/>
        <w:autoSpaceDN w:val="0"/>
        <w:spacing w:after="0" w:line="276" w:lineRule="auto"/>
        <w:jc w:val="both"/>
        <w:rPr>
          <w:rFonts w:ascii="Verdana" w:hAnsi="Verdana" w:cs="Arial"/>
          <w:lang w:val="es-ES"/>
        </w:rPr>
      </w:pPr>
      <w:r w:rsidRPr="006C695D">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9374A73" w14:textId="77777777" w:rsidR="004C52E0" w:rsidRPr="006C695D" w:rsidRDefault="004C52E0" w:rsidP="004C52E0">
      <w:pPr>
        <w:widowControl w:val="0"/>
        <w:autoSpaceDE w:val="0"/>
        <w:autoSpaceDN w:val="0"/>
        <w:spacing w:after="0" w:line="276" w:lineRule="auto"/>
        <w:jc w:val="both"/>
        <w:rPr>
          <w:rFonts w:ascii="Verdana" w:hAnsi="Verdana" w:cs="Arial"/>
          <w:lang w:val="es-ES"/>
        </w:rPr>
      </w:pPr>
    </w:p>
    <w:p w14:paraId="193001BC" w14:textId="6A194898" w:rsidR="004C52E0" w:rsidRDefault="009B1B20" w:rsidP="004C52E0">
      <w:pPr>
        <w:spacing w:after="0" w:line="276" w:lineRule="auto"/>
        <w:rPr>
          <w:rFonts w:ascii="Verdana" w:hAnsi="Verdana" w:cs="Arial"/>
          <w:lang w:val="es-ES" w:eastAsia="es-CO"/>
        </w:rPr>
      </w:pPr>
      <w:r w:rsidRPr="009B1B20">
        <w:rPr>
          <w:rFonts w:ascii="Verdana" w:hAnsi="Verdana" w:cs="Arial"/>
          <w:color w:val="ED7D31" w:themeColor="accent2"/>
          <w:lang w:val="es-ES" w:eastAsia="es-CO"/>
        </w:rPr>
        <w:drawing>
          <wp:anchor distT="0" distB="0" distL="114300" distR="114300" simplePos="0" relativeHeight="251659264" behindDoc="1" locked="0" layoutInCell="1" allowOverlap="1" wp14:anchorId="36D2FA69" wp14:editId="3A404F75">
            <wp:simplePos x="0" y="0"/>
            <wp:positionH relativeFrom="margin">
              <wp:align>center</wp:align>
            </wp:positionH>
            <wp:positionV relativeFrom="paragraph">
              <wp:posOffset>114935</wp:posOffset>
            </wp:positionV>
            <wp:extent cx="2715004" cy="1000265"/>
            <wp:effectExtent l="0" t="0" r="0" b="9525"/>
            <wp:wrapTight wrapText="bothSides">
              <wp:wrapPolygon edited="0">
                <wp:start x="0" y="0"/>
                <wp:lineTo x="0" y="21394"/>
                <wp:lineTo x="21373" y="21394"/>
                <wp:lineTo x="21373" y="0"/>
                <wp:lineTo x="0" y="0"/>
              </wp:wrapPolygon>
            </wp:wrapTight>
            <wp:docPr id="10790340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034027" name=""/>
                    <pic:cNvPicPr/>
                  </pic:nvPicPr>
                  <pic:blipFill>
                    <a:blip r:embed="rId20">
                      <a:extLst>
                        <a:ext uri="{28A0092B-C50C-407E-A947-70E740481C1C}">
                          <a14:useLocalDpi xmlns:a14="http://schemas.microsoft.com/office/drawing/2010/main" val="0"/>
                        </a:ext>
                      </a:extLst>
                    </a:blip>
                    <a:stretch>
                      <a:fillRect/>
                    </a:stretch>
                  </pic:blipFill>
                  <pic:spPr>
                    <a:xfrm>
                      <a:off x="0" y="0"/>
                      <a:ext cx="2715004" cy="1000265"/>
                    </a:xfrm>
                    <a:prstGeom prst="rect">
                      <a:avLst/>
                    </a:prstGeom>
                  </pic:spPr>
                </pic:pic>
              </a:graphicData>
            </a:graphic>
          </wp:anchor>
        </w:drawing>
      </w:r>
      <w:r w:rsidR="004C52E0" w:rsidRPr="006C695D">
        <w:rPr>
          <w:rFonts w:ascii="Verdana" w:eastAsia="Times New Roman" w:hAnsi="Verdana" w:cs="Arial"/>
          <w:lang w:val="es-ES" w:eastAsia="es-CO"/>
        </w:rPr>
        <w:t>Atentamente,</w:t>
      </w:r>
      <w:r w:rsidR="004C52E0" w:rsidRPr="006C695D">
        <w:rPr>
          <w:rFonts w:ascii="Verdana" w:hAnsi="Verdana" w:cs="Arial"/>
          <w:lang w:val="es-ES" w:eastAsia="es-CO"/>
        </w:rPr>
        <w:t xml:space="preserve"> </w:t>
      </w:r>
    </w:p>
    <w:p w14:paraId="61BF489C" w14:textId="6CF41011" w:rsidR="004C52E0" w:rsidRPr="006C695D" w:rsidRDefault="004C52E0" w:rsidP="004C52E0">
      <w:pPr>
        <w:spacing w:after="0" w:line="276" w:lineRule="auto"/>
        <w:jc w:val="center"/>
        <w:rPr>
          <w:rFonts w:ascii="Verdana" w:hAnsi="Verdana"/>
          <w:noProof/>
          <w:color w:val="ED7D31" w:themeColor="accent2"/>
        </w:rPr>
      </w:pPr>
    </w:p>
    <w:p w14:paraId="0251752C" w14:textId="5B9CBD1E" w:rsidR="004C52E0" w:rsidRPr="006C695D" w:rsidRDefault="004C52E0" w:rsidP="004C52E0">
      <w:pPr>
        <w:spacing w:after="0" w:line="276" w:lineRule="auto"/>
        <w:jc w:val="center"/>
        <w:rPr>
          <w:rFonts w:ascii="Verdana" w:hAnsi="Verdana"/>
          <w:noProof/>
          <w:color w:val="ED7D31" w:themeColor="accent2"/>
        </w:rPr>
      </w:pPr>
    </w:p>
    <w:p w14:paraId="0A08CD10" w14:textId="77777777" w:rsidR="004C52E0" w:rsidRPr="006C695D" w:rsidRDefault="004C52E0" w:rsidP="004C52E0">
      <w:pPr>
        <w:spacing w:after="0" w:line="276" w:lineRule="auto"/>
        <w:jc w:val="center"/>
        <w:rPr>
          <w:rFonts w:ascii="Verdana" w:hAnsi="Verdana"/>
          <w:noProof/>
          <w:color w:val="ED7D31" w:themeColor="accent2"/>
        </w:rPr>
      </w:pPr>
    </w:p>
    <w:p w14:paraId="75B65EC4" w14:textId="77777777" w:rsidR="009B1B20" w:rsidRPr="006C695D" w:rsidRDefault="009B1B20" w:rsidP="009B1B20">
      <w:pPr>
        <w:spacing w:after="0" w:line="276" w:lineRule="auto"/>
        <w:rPr>
          <w:rFonts w:ascii="Verdana" w:hAnsi="Verdana"/>
          <w:noProof/>
          <w:color w:val="ED7D31" w:themeColor="accent2"/>
        </w:rPr>
      </w:pPr>
    </w:p>
    <w:p w14:paraId="462FD282" w14:textId="77777777" w:rsidR="009B1B20" w:rsidRPr="006C695D" w:rsidRDefault="009B1B20" w:rsidP="009B1B20">
      <w:pPr>
        <w:spacing w:after="0" w:line="276" w:lineRule="auto"/>
        <w:rPr>
          <w:rFonts w:ascii="Verdana" w:hAnsi="Verdana" w:cs="Arial"/>
          <w:color w:val="ED7D31" w:themeColor="accent2"/>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C52E0" w:rsidRPr="006C695D" w14:paraId="3414F288" w14:textId="77777777" w:rsidTr="00136085">
        <w:trPr>
          <w:trHeight w:val="315"/>
        </w:trPr>
        <w:tc>
          <w:tcPr>
            <w:tcW w:w="893" w:type="dxa"/>
            <w:vAlign w:val="center"/>
            <w:hideMark/>
          </w:tcPr>
          <w:p w14:paraId="00F185F7" w14:textId="77777777" w:rsidR="004C52E0" w:rsidRPr="006C695D" w:rsidRDefault="004C52E0" w:rsidP="00136085">
            <w:pPr>
              <w:contextualSpacing/>
              <w:rPr>
                <w:rFonts w:ascii="Verdana" w:hAnsi="Verdana" w:cs="Arial"/>
                <w:sz w:val="16"/>
                <w:szCs w:val="16"/>
                <w:lang w:val="es-ES" w:eastAsia="es-ES"/>
              </w:rPr>
            </w:pPr>
            <w:r w:rsidRPr="006C695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CAD0EB0" w14:textId="77777777" w:rsidR="004C52E0" w:rsidRPr="006C695D" w:rsidRDefault="004C52E0" w:rsidP="00136085">
            <w:pPr>
              <w:rPr>
                <w:rFonts w:ascii="Verdana" w:eastAsia="Times New Roman" w:hAnsi="Verdana" w:cs="Arial"/>
                <w:sz w:val="16"/>
                <w:szCs w:val="16"/>
                <w:lang w:eastAsia="es-ES"/>
              </w:rPr>
            </w:pPr>
            <w:r w:rsidRPr="006C695D">
              <w:rPr>
                <w:rFonts w:ascii="Verdana" w:eastAsia="Times New Roman" w:hAnsi="Verdana" w:cs="Arial"/>
                <w:sz w:val="16"/>
                <w:szCs w:val="16"/>
                <w:lang w:eastAsia="es-ES"/>
              </w:rPr>
              <w:t>Camila Alejandra Naranjo Gómez</w:t>
            </w:r>
          </w:p>
          <w:p w14:paraId="26194FBE" w14:textId="77777777" w:rsidR="004C52E0" w:rsidRPr="006C695D" w:rsidRDefault="004C52E0" w:rsidP="00136085">
            <w:pPr>
              <w:contextualSpacing/>
              <w:rPr>
                <w:rFonts w:ascii="Verdana" w:eastAsia="Arial" w:hAnsi="Verdana" w:cs="Arial"/>
                <w:sz w:val="16"/>
                <w:szCs w:val="16"/>
                <w:lang w:val="es-ES"/>
              </w:rPr>
            </w:pPr>
            <w:r w:rsidRPr="006C695D">
              <w:rPr>
                <w:rFonts w:ascii="Verdana" w:eastAsia="Times New Roman" w:hAnsi="Verdana" w:cs="Arial"/>
                <w:sz w:val="16"/>
                <w:szCs w:val="16"/>
                <w:lang w:eastAsia="es-ES"/>
              </w:rPr>
              <w:t>Analista T2-02 de la Subdirección de Gestión Contractual</w:t>
            </w:r>
          </w:p>
        </w:tc>
      </w:tr>
      <w:tr w:rsidR="004C52E0" w:rsidRPr="006C695D" w14:paraId="4EE0F5EC" w14:textId="77777777" w:rsidTr="00136085">
        <w:trPr>
          <w:trHeight w:val="330"/>
        </w:trPr>
        <w:tc>
          <w:tcPr>
            <w:tcW w:w="893" w:type="dxa"/>
            <w:vAlign w:val="center"/>
            <w:hideMark/>
          </w:tcPr>
          <w:p w14:paraId="22A92253" w14:textId="77777777" w:rsidR="004C52E0" w:rsidRPr="006C695D" w:rsidRDefault="004C52E0" w:rsidP="00136085">
            <w:pPr>
              <w:contextualSpacing/>
              <w:rPr>
                <w:rFonts w:ascii="Verdana" w:hAnsi="Verdana" w:cs="Arial"/>
                <w:sz w:val="16"/>
                <w:szCs w:val="16"/>
                <w:lang w:val="es-ES" w:eastAsia="es-ES"/>
              </w:rPr>
            </w:pPr>
            <w:r w:rsidRPr="006C695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D96989A" w14:textId="77777777" w:rsidR="004C52E0" w:rsidRPr="006C695D" w:rsidRDefault="004C52E0" w:rsidP="00136085">
            <w:pPr>
              <w:rPr>
                <w:rFonts w:ascii="Verdana" w:eastAsia="Times New Roman" w:hAnsi="Verdana" w:cs="Arial"/>
                <w:sz w:val="16"/>
                <w:szCs w:val="16"/>
                <w:lang w:eastAsia="es-ES"/>
              </w:rPr>
            </w:pPr>
            <w:r>
              <w:rPr>
                <w:rFonts w:ascii="Verdana" w:eastAsia="Times New Roman" w:hAnsi="Verdana" w:cs="Arial"/>
                <w:sz w:val="16"/>
                <w:szCs w:val="16"/>
                <w:lang w:eastAsia="es-ES"/>
              </w:rPr>
              <w:t>Adriana Katerine López Rodríguez</w:t>
            </w:r>
          </w:p>
          <w:p w14:paraId="25692C9B" w14:textId="77777777" w:rsidR="004C52E0" w:rsidRPr="006C695D" w:rsidRDefault="004C52E0" w:rsidP="00136085">
            <w:pPr>
              <w:pStyle w:val="paragraph"/>
              <w:spacing w:before="0" w:beforeAutospacing="0" w:after="0" w:afterAutospacing="0"/>
              <w:contextualSpacing/>
              <w:textAlignment w:val="baseline"/>
              <w:rPr>
                <w:rFonts w:ascii="Verdana" w:hAnsi="Verdana" w:cs="Segoe UI"/>
                <w:sz w:val="16"/>
                <w:szCs w:val="16"/>
                <w:lang w:val="es-ES"/>
              </w:rPr>
            </w:pPr>
            <w:r w:rsidRPr="006C695D">
              <w:rPr>
                <w:rFonts w:ascii="Verdana" w:hAnsi="Verdana" w:cs="Arial"/>
                <w:sz w:val="16"/>
                <w:szCs w:val="16"/>
                <w:lang w:eastAsia="es-ES"/>
              </w:rPr>
              <w:t>Contratista de la Subdirección de Gestión Contractual</w:t>
            </w:r>
          </w:p>
        </w:tc>
      </w:tr>
      <w:tr w:rsidR="004C52E0" w:rsidRPr="006C695D" w14:paraId="2B6B54B9" w14:textId="77777777" w:rsidTr="00136085">
        <w:trPr>
          <w:trHeight w:val="300"/>
        </w:trPr>
        <w:tc>
          <w:tcPr>
            <w:tcW w:w="893" w:type="dxa"/>
            <w:vAlign w:val="center"/>
          </w:tcPr>
          <w:p w14:paraId="274740BE" w14:textId="77777777" w:rsidR="004C52E0" w:rsidRPr="006C695D" w:rsidRDefault="004C52E0" w:rsidP="00136085">
            <w:pPr>
              <w:contextualSpacing/>
              <w:rPr>
                <w:rFonts w:ascii="Verdana" w:hAnsi="Verdana" w:cs="Arial"/>
                <w:sz w:val="16"/>
                <w:szCs w:val="16"/>
                <w:lang w:val="es-ES" w:eastAsia="es-ES"/>
              </w:rPr>
            </w:pPr>
            <w:r w:rsidRPr="006C695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38B82FA" w14:textId="77777777" w:rsidR="004C52E0" w:rsidRPr="006C695D" w:rsidRDefault="004C52E0" w:rsidP="00136085">
            <w:pPr>
              <w:contextualSpacing/>
              <w:rPr>
                <w:rFonts w:ascii="Verdana" w:eastAsia="Calibri" w:hAnsi="Verdana" w:cs="Arial"/>
                <w:sz w:val="16"/>
                <w:szCs w:val="16"/>
                <w:lang w:val="es-ES" w:eastAsia="es-ES"/>
              </w:rPr>
            </w:pPr>
            <w:r w:rsidRPr="006C695D">
              <w:rPr>
                <w:rFonts w:ascii="Verdana" w:eastAsia="Calibri" w:hAnsi="Verdana" w:cs="Arial"/>
                <w:sz w:val="16"/>
                <w:szCs w:val="16"/>
                <w:lang w:val="es-ES" w:eastAsia="es-ES"/>
              </w:rPr>
              <w:t>Carolina Quintero Gacharná</w:t>
            </w:r>
          </w:p>
          <w:p w14:paraId="4A2C9560" w14:textId="77777777" w:rsidR="004C52E0" w:rsidRPr="006C695D" w:rsidRDefault="004C52E0" w:rsidP="00136085">
            <w:pPr>
              <w:contextualSpacing/>
              <w:rPr>
                <w:rFonts w:ascii="Verdana" w:eastAsia="Calibri" w:hAnsi="Verdana" w:cs="Arial"/>
                <w:sz w:val="16"/>
                <w:szCs w:val="16"/>
                <w:lang w:val="es-ES" w:eastAsia="es-ES"/>
              </w:rPr>
            </w:pPr>
            <w:r w:rsidRPr="006C695D">
              <w:rPr>
                <w:rFonts w:ascii="Verdana" w:eastAsia="Calibri" w:hAnsi="Verdana" w:cs="Arial"/>
                <w:sz w:val="16"/>
                <w:szCs w:val="16"/>
                <w:lang w:val="es-ES" w:eastAsia="es-ES"/>
              </w:rPr>
              <w:t>Subdirectora de Gestión Contractual ANCP – CCE</w:t>
            </w:r>
          </w:p>
        </w:tc>
      </w:tr>
      <w:bookmarkEnd w:id="0"/>
    </w:tbl>
    <w:p w14:paraId="0F293BF4" w14:textId="387CED13" w:rsidR="00127233" w:rsidRPr="00D31866" w:rsidRDefault="00127233" w:rsidP="009B1B20"/>
    <w:sectPr w:rsidR="00127233" w:rsidRPr="00D31866"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BFACC" w14:textId="77777777" w:rsidR="006665BD" w:rsidRDefault="006665BD" w:rsidP="004A1847">
      <w:pPr>
        <w:spacing w:after="0" w:line="240" w:lineRule="auto"/>
      </w:pPr>
      <w:r>
        <w:separator/>
      </w:r>
    </w:p>
  </w:endnote>
  <w:endnote w:type="continuationSeparator" w:id="0">
    <w:p w14:paraId="0E56AE92" w14:textId="77777777" w:rsidR="006665BD" w:rsidRDefault="006665B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CF9CC" w14:textId="77777777" w:rsidR="006665BD" w:rsidRDefault="006665BD" w:rsidP="004A1847">
      <w:pPr>
        <w:spacing w:after="0" w:line="240" w:lineRule="auto"/>
      </w:pPr>
      <w:r>
        <w:separator/>
      </w:r>
    </w:p>
  </w:footnote>
  <w:footnote w:type="continuationSeparator" w:id="0">
    <w:p w14:paraId="0093302F" w14:textId="77777777" w:rsidR="006665BD" w:rsidRDefault="006665BD" w:rsidP="004A1847">
      <w:pPr>
        <w:spacing w:after="0" w:line="240" w:lineRule="auto"/>
      </w:pPr>
      <w:r>
        <w:continuationSeparator/>
      </w:r>
    </w:p>
  </w:footnote>
  <w:footnote w:id="1">
    <w:p w14:paraId="06D147A6" w14:textId="77777777" w:rsidR="004C52E0" w:rsidRPr="00063989" w:rsidRDefault="004C52E0" w:rsidP="004C52E0">
      <w:pPr>
        <w:pStyle w:val="Textonotapie"/>
        <w:ind w:firstLine="708"/>
        <w:contextualSpacing/>
        <w:jc w:val="both"/>
        <w:rPr>
          <w:rFonts w:ascii="Verdana" w:hAnsi="Verdana" w:cs="Arial"/>
          <w:sz w:val="15"/>
          <w:szCs w:val="15"/>
        </w:rPr>
      </w:pPr>
      <w:r w:rsidRPr="00063989">
        <w:rPr>
          <w:rStyle w:val="Refdenotaalpie"/>
          <w:rFonts w:ascii="Verdana" w:hAnsi="Verdana" w:cs="Arial"/>
          <w:sz w:val="15"/>
          <w:szCs w:val="15"/>
        </w:rPr>
        <w:footnoteRef/>
      </w:r>
      <w:r w:rsidRPr="00063989">
        <w:rPr>
          <w:rFonts w:ascii="Verdana" w:hAnsi="Verdana" w:cs="Arial"/>
          <w:sz w:val="15"/>
          <w:szCs w:val="15"/>
        </w:rPr>
        <w:t xml:space="preserve"> “Artículo 100: Asimilación a sociedades comerciales - legislación mercantil.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 </w:t>
      </w:r>
    </w:p>
    <w:p w14:paraId="6144E5FB" w14:textId="35EE243E" w:rsidR="004C52E0" w:rsidRPr="00063989" w:rsidRDefault="004C52E0" w:rsidP="004C52E0">
      <w:pPr>
        <w:pStyle w:val="Textonotapie"/>
        <w:ind w:firstLine="709"/>
        <w:contextualSpacing/>
        <w:jc w:val="both"/>
        <w:rPr>
          <w:rFonts w:ascii="Verdana" w:hAnsi="Verdana" w:cs="Arial"/>
          <w:sz w:val="15"/>
          <w:szCs w:val="15"/>
        </w:rPr>
      </w:pPr>
      <w:r w:rsidRPr="00063989">
        <w:rPr>
          <w:rFonts w:ascii="Verdana" w:hAnsi="Verdana" w:cs="Arial"/>
          <w:sz w:val="15"/>
          <w:szCs w:val="15"/>
        </w:rPr>
        <w:t>Sin embargo, cualquiera que sea su objeto, las sociedades comerciales y civiles estarán sujetas, para todos los efectos, a la legislación mercantil”.</w:t>
      </w:r>
    </w:p>
  </w:footnote>
  <w:footnote w:id="2">
    <w:p w14:paraId="2B37B729" w14:textId="77777777" w:rsidR="004C52E0" w:rsidRPr="00063989" w:rsidRDefault="004C52E0" w:rsidP="004C52E0">
      <w:pPr>
        <w:pStyle w:val="Textonotapie"/>
        <w:ind w:firstLine="708"/>
        <w:contextualSpacing/>
        <w:jc w:val="both"/>
        <w:rPr>
          <w:rFonts w:ascii="Verdana" w:hAnsi="Verdana" w:cs="Arial"/>
          <w:sz w:val="15"/>
          <w:szCs w:val="15"/>
        </w:rPr>
      </w:pPr>
      <w:r w:rsidRPr="00063989">
        <w:rPr>
          <w:rStyle w:val="Refdenotaalpie"/>
          <w:rFonts w:ascii="Verdana" w:hAnsi="Verdana" w:cs="Arial"/>
          <w:sz w:val="15"/>
          <w:szCs w:val="15"/>
        </w:rPr>
        <w:footnoteRef/>
      </w:r>
      <w:r w:rsidRPr="00063989">
        <w:rPr>
          <w:rFonts w:ascii="Verdana" w:hAnsi="Verdana" w:cs="Arial"/>
          <w:sz w:val="15"/>
          <w:szCs w:val="15"/>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 </w:t>
      </w:r>
    </w:p>
    <w:p w14:paraId="137A65BB" w14:textId="77777777" w:rsidR="004C52E0" w:rsidRPr="00063989" w:rsidRDefault="004C52E0" w:rsidP="004C52E0">
      <w:pPr>
        <w:pStyle w:val="Textonotapie"/>
        <w:contextualSpacing/>
        <w:jc w:val="both"/>
        <w:rPr>
          <w:rFonts w:ascii="Verdana" w:hAnsi="Verdana" w:cs="Arial"/>
          <w:sz w:val="15"/>
          <w:szCs w:val="15"/>
          <w:lang w:val="es-CO"/>
        </w:rPr>
      </w:pPr>
      <w:r w:rsidRPr="00063989">
        <w:rPr>
          <w:rFonts w:ascii="Verdana" w:hAnsi="Verdana" w:cs="Arial"/>
          <w:sz w:val="15"/>
          <w:szCs w:val="15"/>
        </w:rPr>
        <w:t>La ausencia de lucro es una de sus características fundamentales, lo cual significa que no existe el reparto de utilidades o remanentes generados en el desarrollo de sus objetivos, ni es viable el reembolso de los bienes o dineros aportados a la entidad […]”.</w:t>
      </w:r>
    </w:p>
  </w:footnote>
  <w:footnote w:id="3">
    <w:p w14:paraId="599D757F" w14:textId="77777777" w:rsidR="004C52E0" w:rsidRPr="00063989" w:rsidRDefault="004C52E0" w:rsidP="004C52E0">
      <w:pPr>
        <w:pStyle w:val="Textonotapie"/>
        <w:ind w:firstLine="708"/>
        <w:contextualSpacing/>
        <w:jc w:val="both"/>
        <w:rPr>
          <w:rStyle w:val="eop"/>
          <w:rFonts w:ascii="Verdana" w:hAnsi="Verdana" w:cs="Arial"/>
          <w:color w:val="000000"/>
          <w:sz w:val="15"/>
          <w:szCs w:val="15"/>
          <w:shd w:val="clear" w:color="auto" w:fill="FFFFFF"/>
        </w:rPr>
      </w:pPr>
      <w:r w:rsidRPr="00063989">
        <w:rPr>
          <w:rStyle w:val="Refdenotaalpie"/>
          <w:rFonts w:ascii="Verdana" w:hAnsi="Verdana" w:cs="Arial"/>
          <w:sz w:val="15"/>
          <w:szCs w:val="15"/>
        </w:rPr>
        <w:footnoteRef/>
      </w:r>
      <w:r w:rsidRPr="00063989">
        <w:rPr>
          <w:rFonts w:ascii="Verdana" w:hAnsi="Verdana" w:cs="Arial"/>
          <w:sz w:val="15"/>
          <w:szCs w:val="15"/>
        </w:rPr>
        <w:t xml:space="preserve"> </w:t>
      </w:r>
      <w:r w:rsidRPr="00063989">
        <w:rPr>
          <w:rStyle w:val="eop"/>
          <w:rFonts w:ascii="Verdana" w:hAnsi="Verdana" w:cs="Arial"/>
          <w:color w:val="000000"/>
          <w:sz w:val="15"/>
          <w:szCs w:val="15"/>
          <w:shd w:val="clear" w:color="auto" w:fill="FFFFFF"/>
        </w:rPr>
        <w:t>Corte Constitucional de Colombia. Sentencia C-287 de 2012. Exp. D-8642. M.P. María Victoria Calle Correa, 18 de abril de 2012.</w:t>
      </w:r>
    </w:p>
    <w:p w14:paraId="08B17CAE" w14:textId="77777777" w:rsidR="004C52E0" w:rsidRPr="00063989" w:rsidRDefault="004C52E0" w:rsidP="004C52E0">
      <w:pPr>
        <w:pStyle w:val="Textonotapie"/>
        <w:ind w:firstLine="708"/>
        <w:contextualSpacing/>
        <w:jc w:val="both"/>
        <w:rPr>
          <w:rFonts w:ascii="Verdana" w:hAnsi="Verdana" w:cs="Arial"/>
          <w:color w:val="000000"/>
          <w:sz w:val="15"/>
          <w:szCs w:val="15"/>
          <w:shd w:val="clear" w:color="auto" w:fill="FFFFFF"/>
        </w:rPr>
      </w:pPr>
    </w:p>
  </w:footnote>
  <w:footnote w:id="4">
    <w:p w14:paraId="1C08D623" w14:textId="77777777" w:rsidR="004C52E0" w:rsidRPr="00063989" w:rsidRDefault="004C52E0" w:rsidP="004C52E0">
      <w:pPr>
        <w:pStyle w:val="Textonotapie"/>
        <w:ind w:firstLine="708"/>
        <w:contextualSpacing/>
        <w:jc w:val="both"/>
        <w:rPr>
          <w:rFonts w:ascii="Verdana" w:hAnsi="Verdana" w:cs="Arial"/>
          <w:sz w:val="15"/>
          <w:szCs w:val="15"/>
        </w:rPr>
      </w:pPr>
      <w:r w:rsidRPr="00063989">
        <w:rPr>
          <w:rStyle w:val="Refdenotaalpie"/>
          <w:rFonts w:ascii="Verdana" w:hAnsi="Verdana" w:cs="Arial"/>
          <w:sz w:val="15"/>
          <w:szCs w:val="15"/>
        </w:rPr>
        <w:footnoteRef/>
      </w:r>
      <w:r w:rsidRPr="00063989">
        <w:rPr>
          <w:rFonts w:ascii="Verdana" w:hAnsi="Verdana" w:cs="Arial"/>
          <w:sz w:val="15"/>
          <w:szCs w:val="15"/>
        </w:rPr>
        <w:t xml:space="preserve"> Cámara de Comercio de Bogotá, “ABC DE ESALES”. Bogotá. 2013. Disponible en este link: </w:t>
      </w:r>
      <w:hyperlink r:id="rId1" w:history="1">
        <w:r w:rsidRPr="00063989">
          <w:rPr>
            <w:rStyle w:val="Hipervnculo"/>
            <w:rFonts w:ascii="Verdana" w:hAnsi="Verdana" w:cs="Arial"/>
            <w:sz w:val="15"/>
            <w:szCs w:val="15"/>
          </w:rPr>
          <w:t>https://bibliotecadigital.ccb.org.co/bitstream/handle/11520/8346/el%20abc%20de%20esales%202013%20completo.pdf?sequence=1&amp;isAllowed=y</w:t>
        </w:r>
      </w:hyperlink>
      <w:r w:rsidRPr="00063989">
        <w:rPr>
          <w:rFonts w:ascii="Verdana" w:hAnsi="Verdana" w:cs="Arial"/>
          <w:sz w:val="15"/>
          <w:szCs w:val="15"/>
        </w:rPr>
        <w:t xml:space="preserve">. También se puede consultar el Manual Básico Sobre Entidades Sin Ánimo De Lucro – ESAL en </w:t>
      </w:r>
      <w:hyperlink r:id="rId2" w:history="1">
        <w:r w:rsidRPr="00063989">
          <w:rPr>
            <w:rStyle w:val="Hipervnculo"/>
            <w:rFonts w:ascii="Verdana" w:hAnsi="Verdana" w:cs="Arial"/>
            <w:sz w:val="15"/>
            <w:szCs w:val="15"/>
            <w:lang w:val="es-CO"/>
          </w:rPr>
          <w:t>Manual básico sobre entidades sin ánimo de lucro - ESAL</w:t>
        </w:r>
      </w:hyperlink>
      <w:r w:rsidRPr="00063989">
        <w:rPr>
          <w:rFonts w:ascii="Verdana" w:hAnsi="Verdana" w:cs="Arial"/>
          <w:sz w:val="15"/>
          <w:szCs w:val="15"/>
        </w:rPr>
        <w:t xml:space="preserve">. </w:t>
      </w:r>
    </w:p>
  </w:footnote>
  <w:footnote w:id="5">
    <w:p w14:paraId="1A0BB5AA" w14:textId="77777777" w:rsidR="004C52E0" w:rsidRPr="00063989" w:rsidRDefault="004C52E0" w:rsidP="004C52E0">
      <w:pPr>
        <w:pStyle w:val="Textonotapie"/>
        <w:ind w:firstLine="708"/>
        <w:contextualSpacing/>
        <w:jc w:val="both"/>
        <w:rPr>
          <w:rFonts w:ascii="Verdana" w:hAnsi="Verdana" w:cs="Arial"/>
          <w:sz w:val="15"/>
          <w:szCs w:val="15"/>
        </w:rPr>
      </w:pPr>
      <w:r w:rsidRPr="00063989">
        <w:rPr>
          <w:rFonts w:ascii="Verdana" w:hAnsi="Verdana" w:cs="Arial"/>
          <w:sz w:val="15"/>
          <w:szCs w:val="15"/>
          <w:vertAlign w:val="superscript"/>
        </w:rPr>
        <w:footnoteRef/>
      </w:r>
      <w:r w:rsidRPr="00063989">
        <w:rPr>
          <w:rFonts w:ascii="Verdana" w:hAnsi="Verdana" w:cs="Arial"/>
          <w:sz w:val="15"/>
          <w:szCs w:val="15"/>
        </w:rPr>
        <w:t xml:space="preserve"> Ley 1450 de 2011. “Artículo 43. Definiciones de tamaño empresarial. El artículo 2° de la Ley 590 de 2000, quedará así: </w:t>
      </w:r>
    </w:p>
    <w:p w14:paraId="4E44F008" w14:textId="77777777" w:rsidR="004C52E0" w:rsidRPr="00063989" w:rsidRDefault="004C52E0" w:rsidP="004C52E0">
      <w:pPr>
        <w:pStyle w:val="Textonotapie"/>
        <w:ind w:firstLine="708"/>
        <w:contextualSpacing/>
        <w:jc w:val="both"/>
        <w:rPr>
          <w:rFonts w:ascii="Verdana" w:hAnsi="Verdana" w:cs="Arial"/>
          <w:sz w:val="15"/>
          <w:szCs w:val="15"/>
        </w:rPr>
      </w:pPr>
      <w:r w:rsidRPr="00063989">
        <w:rPr>
          <w:rFonts w:ascii="Verdana" w:hAnsi="Verdana" w:cs="Arial"/>
          <w:sz w:val="15"/>
          <w:szCs w:val="15"/>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14:paraId="45B9425D" w14:textId="77777777" w:rsidR="004C52E0" w:rsidRPr="00063989" w:rsidRDefault="004C52E0" w:rsidP="004C52E0">
      <w:pPr>
        <w:pStyle w:val="Textonotapie"/>
        <w:ind w:firstLine="708"/>
        <w:contextualSpacing/>
        <w:jc w:val="both"/>
        <w:rPr>
          <w:rFonts w:ascii="Verdana" w:hAnsi="Verdana" w:cs="Arial"/>
          <w:sz w:val="15"/>
          <w:szCs w:val="15"/>
        </w:rPr>
      </w:pPr>
      <w:r w:rsidRPr="00063989">
        <w:rPr>
          <w:rFonts w:ascii="Verdana" w:hAnsi="Verdana" w:cs="Arial"/>
          <w:sz w:val="15"/>
          <w:szCs w:val="15"/>
        </w:rPr>
        <w:t xml:space="preserve">1. Número de trabajadores totales. </w:t>
      </w:r>
    </w:p>
    <w:p w14:paraId="6F33D35B" w14:textId="77777777" w:rsidR="004C52E0" w:rsidRPr="00063989" w:rsidRDefault="004C52E0" w:rsidP="004C52E0">
      <w:pPr>
        <w:pStyle w:val="Textonotapie"/>
        <w:contextualSpacing/>
        <w:jc w:val="both"/>
        <w:rPr>
          <w:rFonts w:ascii="Verdana" w:hAnsi="Verdana" w:cs="Arial"/>
          <w:sz w:val="15"/>
          <w:szCs w:val="15"/>
        </w:rPr>
      </w:pPr>
      <w:r w:rsidRPr="00063989">
        <w:rPr>
          <w:rFonts w:ascii="Verdana" w:hAnsi="Verdana" w:cs="Arial"/>
          <w:sz w:val="15"/>
          <w:szCs w:val="15"/>
        </w:rPr>
        <w:t xml:space="preserve"> </w:t>
      </w:r>
      <w:r w:rsidRPr="00063989">
        <w:rPr>
          <w:rFonts w:ascii="Verdana" w:hAnsi="Verdana" w:cs="Arial"/>
          <w:sz w:val="15"/>
          <w:szCs w:val="15"/>
        </w:rPr>
        <w:tab/>
        <w:t xml:space="preserve">2. Valor de ventas brutas anuales. </w:t>
      </w:r>
    </w:p>
    <w:p w14:paraId="324047A4" w14:textId="77777777" w:rsidR="004C52E0" w:rsidRPr="00063989" w:rsidRDefault="004C52E0" w:rsidP="004C52E0">
      <w:pPr>
        <w:pStyle w:val="Textonotapie"/>
        <w:ind w:firstLine="708"/>
        <w:contextualSpacing/>
        <w:jc w:val="both"/>
        <w:rPr>
          <w:rFonts w:ascii="Verdana" w:hAnsi="Verdana" w:cs="Arial"/>
          <w:sz w:val="15"/>
          <w:szCs w:val="15"/>
        </w:rPr>
      </w:pPr>
      <w:r w:rsidRPr="00063989">
        <w:rPr>
          <w:rFonts w:ascii="Verdana" w:hAnsi="Verdana" w:cs="Arial"/>
          <w:sz w:val="15"/>
          <w:szCs w:val="15"/>
        </w:rPr>
        <w:t xml:space="preserve">3. Valor activos totales. </w:t>
      </w:r>
    </w:p>
    <w:p w14:paraId="67092289" w14:textId="77777777" w:rsidR="004C52E0" w:rsidRPr="00063989" w:rsidRDefault="004C52E0" w:rsidP="004C52E0">
      <w:pPr>
        <w:pStyle w:val="Textonotapie"/>
        <w:ind w:firstLine="708"/>
        <w:contextualSpacing/>
        <w:jc w:val="both"/>
        <w:rPr>
          <w:rFonts w:ascii="Verdana" w:hAnsi="Verdana" w:cs="Arial"/>
          <w:sz w:val="15"/>
          <w:szCs w:val="15"/>
        </w:rPr>
      </w:pPr>
      <w:r w:rsidRPr="00063989">
        <w:rPr>
          <w:rFonts w:ascii="Verdana" w:hAnsi="Verdana" w:cs="Arial"/>
          <w:sz w:val="15"/>
          <w:szCs w:val="15"/>
        </w:rPr>
        <w:t xml:space="preserve">Para efectos de los beneficios otorgados por el Gobierno nacional a las micro, pequeñas y medianas empresas el criterio determinante será el valor de ventas brutas anuales. </w:t>
      </w:r>
    </w:p>
    <w:p w14:paraId="647ED84E" w14:textId="77777777" w:rsidR="004C52E0" w:rsidRPr="00063989" w:rsidRDefault="004C52E0" w:rsidP="004C52E0">
      <w:pPr>
        <w:pStyle w:val="Textonotapie"/>
        <w:ind w:firstLine="708"/>
        <w:contextualSpacing/>
        <w:jc w:val="both"/>
        <w:rPr>
          <w:rFonts w:ascii="Verdana" w:hAnsi="Verdana" w:cs="Arial"/>
          <w:sz w:val="15"/>
          <w:szCs w:val="15"/>
        </w:rPr>
      </w:pPr>
      <w:r w:rsidRPr="00063989">
        <w:rPr>
          <w:rFonts w:ascii="Verdana" w:hAnsi="Verdana" w:cs="Arial"/>
          <w:sz w:val="15"/>
          <w:szCs w:val="15"/>
        </w:rPr>
        <w:t xml:space="preserve">Parágrafo 1°. El Gobierno Nacional reglamentará los rangos que aplicarán para los tres criterios e incluirá especificidades sectoriales en los casos que considere necesario. </w:t>
      </w:r>
    </w:p>
    <w:p w14:paraId="713D0FCF" w14:textId="77777777" w:rsidR="004C52E0" w:rsidRPr="00063989" w:rsidRDefault="004C52E0" w:rsidP="004C52E0">
      <w:pPr>
        <w:pStyle w:val="Textonotapie"/>
        <w:ind w:firstLine="708"/>
        <w:contextualSpacing/>
        <w:jc w:val="both"/>
        <w:rPr>
          <w:rFonts w:ascii="Verdana" w:hAnsi="Verdana" w:cs="Arial"/>
          <w:sz w:val="15"/>
          <w:szCs w:val="15"/>
        </w:rPr>
      </w:pPr>
      <w:r w:rsidRPr="00063989">
        <w:rPr>
          <w:rFonts w:ascii="Verdana" w:hAnsi="Verdana" w:cs="Arial"/>
          <w:sz w:val="15"/>
          <w:szCs w:val="15"/>
        </w:rPr>
        <w:t>Parágrafo 2°. Las definiciones contenidas en el artículo 2° de la Ley 590 de 2000 continuarán vigentes hasta tanto entren a regir las normas reglamentarias que profiera el Gobierno Nacional en desarrollo de lo previsto en el presente artículo”.</w:t>
      </w:r>
    </w:p>
  </w:footnote>
  <w:footnote w:id="6">
    <w:p w14:paraId="4E94727B" w14:textId="77777777" w:rsidR="004C52E0" w:rsidRPr="00063989" w:rsidRDefault="004C52E0" w:rsidP="004C52E0">
      <w:pPr>
        <w:pStyle w:val="Textonotapie"/>
        <w:ind w:firstLine="708"/>
        <w:contextualSpacing/>
        <w:jc w:val="both"/>
        <w:rPr>
          <w:rFonts w:ascii="Verdana" w:hAnsi="Verdana" w:cs="Arial"/>
          <w:sz w:val="15"/>
          <w:szCs w:val="15"/>
        </w:rPr>
      </w:pPr>
      <w:r w:rsidRPr="00063989">
        <w:rPr>
          <w:rStyle w:val="Refdenotaalpie"/>
          <w:rFonts w:ascii="Verdana" w:hAnsi="Verdana" w:cs="Arial"/>
          <w:sz w:val="15"/>
          <w:szCs w:val="15"/>
        </w:rPr>
        <w:footnoteRef/>
      </w:r>
      <w:r w:rsidRPr="00063989">
        <w:rPr>
          <w:rFonts w:ascii="Verdana" w:hAnsi="Verdana" w:cs="Arial"/>
          <w:sz w:val="15"/>
          <w:szCs w:val="15"/>
        </w:rPr>
        <w:t xml:space="preserve"> Agencia Nacional de Contratación – Colombia Compra Eficiente. Concepto 997 del 30 de diciembre de 2024. </w:t>
      </w:r>
    </w:p>
  </w:footnote>
  <w:footnote w:id="7">
    <w:p w14:paraId="2FF8C34F" w14:textId="77777777" w:rsidR="004C52E0" w:rsidRPr="00063989" w:rsidRDefault="004C52E0" w:rsidP="004C52E0">
      <w:pPr>
        <w:pStyle w:val="Textonotapie"/>
        <w:jc w:val="both"/>
        <w:rPr>
          <w:rFonts w:ascii="Verdana" w:hAnsi="Verdana"/>
          <w:sz w:val="15"/>
          <w:szCs w:val="15"/>
        </w:rPr>
      </w:pPr>
    </w:p>
    <w:p w14:paraId="75697361" w14:textId="77777777" w:rsidR="004C52E0" w:rsidRPr="00063989" w:rsidRDefault="004C52E0" w:rsidP="004C52E0">
      <w:pPr>
        <w:pStyle w:val="Textonotapie"/>
        <w:ind w:firstLine="709"/>
        <w:jc w:val="both"/>
        <w:rPr>
          <w:rFonts w:ascii="Verdana" w:hAnsi="Verdana"/>
          <w:sz w:val="15"/>
          <w:szCs w:val="15"/>
        </w:rPr>
      </w:pPr>
      <w:r w:rsidRPr="00063989">
        <w:rPr>
          <w:rStyle w:val="Refdenotaalpie"/>
          <w:rFonts w:ascii="Verdana" w:hAnsi="Verdana"/>
          <w:sz w:val="15"/>
          <w:szCs w:val="15"/>
        </w:rPr>
        <w:footnoteRef/>
      </w:r>
      <w:r w:rsidRPr="00063989">
        <w:rPr>
          <w:rFonts w:ascii="Verdana" w:hAnsi="Verdana"/>
          <w:sz w:val="15"/>
          <w:szCs w:val="15"/>
        </w:rPr>
        <w:t xml:space="preserve"> Artículo 2.2.1.2.4.2.2. Convocatorias Limitadas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w:t>
      </w:r>
    </w:p>
    <w:p w14:paraId="697C4D97" w14:textId="77777777" w:rsidR="004C52E0" w:rsidRPr="00063989" w:rsidRDefault="004C52E0" w:rsidP="004C52E0">
      <w:pPr>
        <w:pStyle w:val="Textonotapie"/>
        <w:ind w:firstLine="709"/>
        <w:jc w:val="both"/>
        <w:rPr>
          <w:rFonts w:ascii="Verdana" w:hAnsi="Verdana"/>
          <w:sz w:val="15"/>
          <w:szCs w:val="15"/>
        </w:rPr>
      </w:pPr>
      <w:r w:rsidRPr="00063989">
        <w:rPr>
          <w:rFonts w:ascii="Verdana" w:hAnsi="Verdana"/>
          <w:sz w:val="15"/>
          <w:szCs w:val="15"/>
        </w:rPr>
        <w:t>1. El valor del Proceso de Contratación sea menor a ciento veinticinco mil dólares de los Estados Unidos de América (US$125.000), liquidados con la tasa de cambio que para el efecto determina cada dos años el Ministerio de Comercio, Industria y Turismo.</w:t>
      </w:r>
    </w:p>
    <w:p w14:paraId="60B995B6" w14:textId="77777777" w:rsidR="004C52E0" w:rsidRPr="00063989" w:rsidRDefault="004C52E0" w:rsidP="004C52E0">
      <w:pPr>
        <w:pStyle w:val="Textonotapie"/>
        <w:ind w:firstLine="709"/>
        <w:jc w:val="both"/>
        <w:rPr>
          <w:rFonts w:ascii="Verdana" w:hAnsi="Verdana"/>
          <w:sz w:val="15"/>
          <w:szCs w:val="15"/>
        </w:rPr>
      </w:pPr>
      <w:r w:rsidRPr="00063989">
        <w:rPr>
          <w:rFonts w:ascii="Verdana" w:hAnsi="Verdana"/>
          <w:sz w:val="15"/>
          <w:szCs w:val="15"/>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4AB14A9F" w14:textId="77777777" w:rsidR="004C52E0" w:rsidRPr="00063989" w:rsidRDefault="004C52E0" w:rsidP="004C52E0">
      <w:pPr>
        <w:pStyle w:val="Textonotapie"/>
        <w:ind w:firstLine="709"/>
        <w:jc w:val="both"/>
        <w:rPr>
          <w:rFonts w:ascii="Verdana" w:hAnsi="Verdana"/>
          <w:sz w:val="15"/>
          <w:szCs w:val="15"/>
        </w:rPr>
      </w:pPr>
      <w:r w:rsidRPr="00063989">
        <w:rPr>
          <w:rFonts w:ascii="Verdana" w:hAnsi="Verdana"/>
          <w:sz w:val="15"/>
          <w:szCs w:val="15"/>
        </w:rPr>
        <w:t>Tratándose de personas jurídicas, las solicitudes solo las podrán realizar Mipyme, cuyo objeto social les permita ejecutar el contrato relacionado con el proceso contractual.</w:t>
      </w:r>
    </w:p>
    <w:p w14:paraId="0E8897FF" w14:textId="77777777" w:rsidR="004C52E0" w:rsidRPr="00063989" w:rsidRDefault="004C52E0" w:rsidP="004C52E0">
      <w:pPr>
        <w:pStyle w:val="Textonotapie"/>
        <w:ind w:firstLine="709"/>
        <w:jc w:val="both"/>
        <w:rPr>
          <w:rFonts w:ascii="Verdana" w:hAnsi="Verdana"/>
          <w:sz w:val="15"/>
          <w:szCs w:val="15"/>
        </w:rPr>
      </w:pPr>
      <w:r w:rsidRPr="00063989">
        <w:rPr>
          <w:rFonts w:ascii="Verdana" w:hAnsi="Verdana"/>
          <w:sz w:val="15"/>
          <w:szCs w:val="15"/>
        </w:rPr>
        <w:t>Parágrafo. Las cooperativas y demás entidades de economía solidaria, siempre que tengan la calidad de Mipyme, podrán solicitar y participar en las convocatorias limitadas en las mismas condiciones dispuestas en el presente artículo”.</w:t>
      </w:r>
    </w:p>
    <w:p w14:paraId="293BCA22" w14:textId="77777777" w:rsidR="004C52E0" w:rsidRPr="00063989" w:rsidRDefault="004C52E0" w:rsidP="004C52E0">
      <w:pPr>
        <w:pStyle w:val="Textonotapie"/>
        <w:ind w:firstLine="709"/>
        <w:jc w:val="both"/>
        <w:rPr>
          <w:sz w:val="15"/>
          <w:szCs w:val="15"/>
          <w:lang w:val="es-CO"/>
        </w:rPr>
      </w:pPr>
    </w:p>
  </w:footnote>
  <w:footnote w:id="8">
    <w:p w14:paraId="54597051" w14:textId="56866D95" w:rsidR="004C52E0" w:rsidRPr="00063989" w:rsidRDefault="004C52E0" w:rsidP="004C52E0">
      <w:pPr>
        <w:pStyle w:val="Textonotapie"/>
        <w:ind w:firstLine="709"/>
        <w:jc w:val="both"/>
        <w:rPr>
          <w:rFonts w:ascii="Verdana" w:hAnsi="Verdana"/>
          <w:sz w:val="15"/>
          <w:szCs w:val="15"/>
          <w:lang w:val="es-CO"/>
        </w:rPr>
      </w:pPr>
      <w:r w:rsidRPr="00063989">
        <w:rPr>
          <w:rStyle w:val="Refdenotaalpie"/>
          <w:rFonts w:ascii="Verdana" w:hAnsi="Verdana"/>
          <w:sz w:val="15"/>
          <w:szCs w:val="15"/>
        </w:rPr>
        <w:footnoteRef/>
      </w:r>
      <w:r w:rsidRPr="00063989">
        <w:rPr>
          <w:rFonts w:ascii="Verdana" w:hAnsi="Verdana"/>
          <w:sz w:val="15"/>
          <w:szCs w:val="15"/>
        </w:rPr>
        <w:t xml:space="preserve"> </w:t>
      </w:r>
      <w:r w:rsidRPr="00063989">
        <w:rPr>
          <w:rFonts w:ascii="Verdana" w:hAnsi="Verdana"/>
          <w:sz w:val="15"/>
          <w:szCs w:val="15"/>
          <w:lang w:val="es-CO"/>
        </w:rPr>
        <w:t>Artículo</w:t>
      </w:r>
      <w:bookmarkStart w:id="3" w:name="2.2.1.2.4.2.3"/>
      <w:bookmarkEnd w:id="3"/>
      <w:r w:rsidRPr="00063989">
        <w:rPr>
          <w:rFonts w:ascii="Verdana" w:hAnsi="Verdana"/>
          <w:sz w:val="15"/>
          <w:szCs w:val="15"/>
          <w:lang w:val="es-CO"/>
        </w:rPr>
        <w:t> 2.2.1.2.4.2.3. Limitaciones territoriales. De conformidad con el parágrafo </w:t>
      </w:r>
      <w:hyperlink r:id="rId3" w:anchor="12.p1" w:history="1">
        <w:r w:rsidRPr="00063989">
          <w:rPr>
            <w:rStyle w:val="Hipervnculo"/>
            <w:rFonts w:ascii="Verdana" w:hAnsi="Verdana"/>
            <w:color w:val="auto"/>
            <w:sz w:val="15"/>
            <w:szCs w:val="15"/>
            <w:u w:val="none"/>
            <w:lang w:val="es-CO"/>
          </w:rPr>
          <w:t>1 </w:t>
        </w:r>
      </w:hyperlink>
      <w:r w:rsidRPr="00063989">
        <w:rPr>
          <w:rFonts w:ascii="Verdana" w:hAnsi="Verdana"/>
          <w:sz w:val="15"/>
          <w:szCs w:val="15"/>
          <w:lang w:val="es-CO"/>
        </w:rPr>
        <w:t>del artículo </w:t>
      </w:r>
      <w:hyperlink r:id="rId4" w:anchor="12" w:history="1">
        <w:r w:rsidRPr="00063989">
          <w:rPr>
            <w:rStyle w:val="Hipervnculo"/>
            <w:rFonts w:ascii="Verdana" w:hAnsi="Verdana"/>
            <w:color w:val="auto"/>
            <w:sz w:val="15"/>
            <w:szCs w:val="15"/>
            <w:u w:val="none"/>
            <w:lang w:val="es-CO"/>
          </w:rPr>
          <w:t>12 </w:t>
        </w:r>
      </w:hyperlink>
      <w:r w:rsidRPr="00063989">
        <w:rPr>
          <w:rFonts w:ascii="Verdana" w:hAnsi="Verdana"/>
          <w:sz w:val="15"/>
          <w:szCs w:val="15"/>
          <w:lang w:val="es-CO"/>
        </w:rPr>
        <w:t>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w:t>
      </w:r>
    </w:p>
  </w:footnote>
  <w:footnote w:id="9">
    <w:p w14:paraId="0636BAC1" w14:textId="77777777" w:rsidR="004C52E0" w:rsidRPr="00063989" w:rsidRDefault="004C52E0" w:rsidP="004C52E0">
      <w:pPr>
        <w:pStyle w:val="Textonotapie"/>
        <w:ind w:firstLine="708"/>
        <w:contextualSpacing/>
        <w:jc w:val="both"/>
        <w:rPr>
          <w:rFonts w:ascii="Verdana" w:hAnsi="Verdana" w:cs="Arial"/>
          <w:sz w:val="15"/>
          <w:szCs w:val="15"/>
          <w:lang w:val="es-CO"/>
        </w:rPr>
      </w:pPr>
      <w:r w:rsidRPr="00063989">
        <w:rPr>
          <w:rStyle w:val="Refdenotaalpie"/>
          <w:rFonts w:ascii="Verdana" w:hAnsi="Verdana" w:cs="Arial"/>
          <w:sz w:val="15"/>
          <w:szCs w:val="15"/>
        </w:rPr>
        <w:footnoteRef/>
      </w:r>
      <w:r w:rsidRPr="00063989">
        <w:rPr>
          <w:rFonts w:ascii="Verdana" w:hAnsi="Verdana" w:cs="Arial"/>
          <w:sz w:val="15"/>
          <w:szCs w:val="15"/>
        </w:rPr>
        <w:t xml:space="preserve"> 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Mipymes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 w:id="10">
    <w:p w14:paraId="37EC3F96" w14:textId="2A4C6041" w:rsidR="004C52E0" w:rsidRPr="00063989" w:rsidRDefault="004C52E0" w:rsidP="00063989">
      <w:pPr>
        <w:pStyle w:val="Default"/>
        <w:ind w:right="-2"/>
        <w:jc w:val="both"/>
        <w:rPr>
          <w:rFonts w:ascii="Verdana" w:hAnsi="Verdana" w:cs="Verdana"/>
          <w:color w:val="0000FF"/>
          <w:sz w:val="15"/>
          <w:szCs w:val="15"/>
        </w:rPr>
      </w:pPr>
      <w:r w:rsidRPr="00063989">
        <w:rPr>
          <w:sz w:val="15"/>
          <w:szCs w:val="15"/>
        </w:rPr>
        <w:tab/>
      </w:r>
      <w:r w:rsidRPr="00063989">
        <w:rPr>
          <w:rStyle w:val="Refdenotaalpie"/>
          <w:sz w:val="15"/>
          <w:szCs w:val="15"/>
        </w:rPr>
        <w:footnoteRef/>
      </w:r>
      <w:r w:rsidRPr="00063989">
        <w:rPr>
          <w:sz w:val="15"/>
          <w:szCs w:val="15"/>
        </w:rPr>
        <w:t xml:space="preserve"> </w:t>
      </w:r>
      <w:r w:rsidRPr="00063989">
        <w:rPr>
          <w:rFonts w:ascii="Verdana" w:hAnsi="Verdana" w:cs="Verdana"/>
          <w:sz w:val="15"/>
          <w:szCs w:val="15"/>
        </w:rPr>
        <w:t xml:space="preserve">Este monto fue publicado por la Agencia Nacional de Contratación Pública – Colombia Compra Eficiente, de acuerdo con la información remitida por el Ministerio de Comercio Industria y Turismo, disponible en el siguiente enlace: </w:t>
      </w:r>
      <w:hyperlink r:id="rId5" w:history="1">
        <w:r w:rsidRPr="00063989">
          <w:rPr>
            <w:rStyle w:val="Hipervnculo"/>
            <w:rFonts w:ascii="Verdana" w:hAnsi="Verdana" w:cs="Verdana"/>
            <w:sz w:val="15"/>
            <w:szCs w:val="15"/>
          </w:rPr>
          <w:t>https://www.colombiacompra.gov.co/archivos/manual/valores-a-partir-de-los-cuales-son-aplicables-los-acuerdos-comerciales-umbrales</w:t>
        </w:r>
      </w:hyperlink>
      <w:r w:rsidRPr="00063989">
        <w:rPr>
          <w:rFonts w:ascii="Verdana" w:hAnsi="Verdana" w:cs="Verdana"/>
          <w:sz w:val="15"/>
          <w:szCs w:val="15"/>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675A6FB0"/>
    <w:lvl w:ilvl="0" w:tplc="15EC6280">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691464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1537"/>
    <w:rsid w:val="00061B2A"/>
    <w:rsid w:val="00063989"/>
    <w:rsid w:val="00082362"/>
    <w:rsid w:val="000A683E"/>
    <w:rsid w:val="000B19B9"/>
    <w:rsid w:val="000D0334"/>
    <w:rsid w:val="000D5DA7"/>
    <w:rsid w:val="000F6486"/>
    <w:rsid w:val="00116940"/>
    <w:rsid w:val="00125105"/>
    <w:rsid w:val="00127233"/>
    <w:rsid w:val="0015699B"/>
    <w:rsid w:val="001879F1"/>
    <w:rsid w:val="00187EBC"/>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C52E0"/>
    <w:rsid w:val="004F21C4"/>
    <w:rsid w:val="004F685F"/>
    <w:rsid w:val="005566E8"/>
    <w:rsid w:val="00562398"/>
    <w:rsid w:val="00574867"/>
    <w:rsid w:val="00591460"/>
    <w:rsid w:val="005A65E0"/>
    <w:rsid w:val="005C3777"/>
    <w:rsid w:val="005C5CDC"/>
    <w:rsid w:val="005D476C"/>
    <w:rsid w:val="006200BF"/>
    <w:rsid w:val="006219F8"/>
    <w:rsid w:val="006302F7"/>
    <w:rsid w:val="00646B9F"/>
    <w:rsid w:val="00665D70"/>
    <w:rsid w:val="006665BD"/>
    <w:rsid w:val="00685CB6"/>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1B20"/>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186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C52E0"/>
    <w:pPr>
      <w:spacing w:line="240" w:lineRule="exact"/>
    </w:pPr>
    <w:rPr>
      <w:vertAlign w:val="superscript"/>
    </w:rPr>
  </w:style>
  <w:style w:type="character" w:customStyle="1" w:styleId="s15">
    <w:name w:val="s15"/>
    <w:basedOn w:val="Fuentedeprrafopredeter"/>
    <w:rsid w:val="004C52E0"/>
  </w:style>
  <w:style w:type="character" w:customStyle="1" w:styleId="apple-converted-space">
    <w:name w:val="apple-converted-space"/>
    <w:basedOn w:val="Fuentedeprrafopredeter"/>
    <w:rsid w:val="004C52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bibliotecadigital.ccb.org.co/bitstream/handle/11520/8346/el%20abc%20de%20esales%202013%20completo.pdf?sequence=1&amp;isAllowed=y" TargetMode="External"/><Relationship Id="rId18" Type="http://schemas.openxmlformats.org/officeDocument/2006/relationships/hyperlink" Target="https://nam02.safelinks.protection.outlook.com/?url=https%3A%2F%2Fwww.colombiacompra.gov.co%2Farchivos%2Fcircular%2Fcircular-externa-002-de-2026&amp;data=05%7C02%7Ccamila.naranjo%40colombiacompra.gov.co%7C7128555136e04fa6887d08dee99e1b50%7C7b09041e245149d08cb179d5e3d8c1be%7C0%7C0%7C639205062447518524%7CUnknown%7CTWFpbGZsb3d8eyJFbXB0eU1hcGkiOnRydWUsIlYiOiIwLjAuMDAwMCIsIlAiOiJXaW4zMiIsIkFOIjoiTWFpbCIsIldUIjoyfQ%3D%3D%7C0%7C%7C%7C&amp;sdata=C9rzHVFfqyFYl0X%2BRTLH%2FMZujmz6a9lKSqxwbAcUN%2FY%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fernandog213@hotmail.com" TargetMode="External"/><Relationship Id="rId17" Type="http://schemas.openxmlformats.org/officeDocument/2006/relationships/hyperlink" Target="https://nam02.safelinks.protection.outlook.com/?url=https%3A%2F%2Fwww.colombiacompra.gov.co%2Farchivos%2Fcircular%2Fcircular-externa-003-de-2026&amp;data=05%7C02%7Ccamila.naranjo%40colombiacompra.gov.co%7C7128555136e04fa6887d08dee99e1b50%7C7b09041e245149d08cb179d5e3d8c1be%7C0%7C0%7C639205062447486303%7CUnknown%7CTWFpbGZsb3d8eyJFbXB0eU1hcGkiOnRydWUsIlYiOiIwLjAuMDAwMCIsIlAiOiJXaW4zMiIsIkFOIjoiTWFpbCIsIldUIjoyfQ%3D%3D%7C0%7C%7C%7C&amp;sdata=MshF4iCZI5oujYh78hGTEvsz%2BP8GLnrx4Ldozcj0SM8%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manual%2Fguia-de-garantias-en-procesos-de-contratacion&amp;data=05%7C02%7Ccamila.naranjo%40colombiacompra.gov.co%7C7128555136e04fa6887d08dee99e1b50%7C7b09041e245149d08cb179d5e3d8c1be%7C0%7C0%7C639205062447422308%7CUnknown%7CTWFpbGZsb3d8eyJFbXB0eU1hcGkiOnRydWUsIlYiOiIwLjAuMDAwMCIsIlAiOiJXaW4zMiIsIkFOIjoiTWFpbCIsIldUIjoyfQ%3D%3D%7C0%7C%7C%7C&amp;sdata=CmhnFTbuAL9DMRrtAjh3P4T2J5MzIdmW2COR7ofLoAA%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archivos%2Fboletin%2Fboletin-edicion-n-3-de-2026-radar-de-la-compra-publica&amp;data=05%7C02%7Ccamila.naranjo%40colombiacompra.gov.co%7C7128555136e04fa6887d08dee99e1b50%7C7b09041e245149d08cb179d5e3d8c1be%7C0%7C0%7C639205062447538818%7CUnknown%7CTWFpbGZsb3d8eyJFbXB0eU1hcGkiOnRydWUsIlYiOiIwLjAuMDAwMCIsIlAiOiJXaW4zMiIsIkFOIjoiTWFpbCIsIldUIjoyfQ%3D%3D%7C0%7C%7C%7C&amp;sdata=htOO1E4Iq0U7bOaX%2FCUf50akUuT6OlzdNIisS0pUddU%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bibliotecadigital.ccb.org.co/items/6bce01ee-e5a8-44b0-bc6e-05821ef3ce02"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25678" TargetMode="External"/><Relationship Id="rId2" Type="http://schemas.openxmlformats.org/officeDocument/2006/relationships/hyperlink" Target="https://bibliotecadigital.ccb.org.co/server/api/core/bitstreams/56eea614-11b5-49ad-a103-656fabc70bb7/content" TargetMode="External"/><Relationship Id="rId1" Type="http://schemas.openxmlformats.org/officeDocument/2006/relationships/hyperlink" Target="https://bibliotecadigital.ccb.org.co/bitstream/handle/11520/8346/el%20abc%20de%20esales%202013%20completo.pdf?sequence=1&amp;isAllowed=y" TargetMode="External"/><Relationship Id="rId5" Type="http://schemas.openxmlformats.org/officeDocument/2006/relationships/hyperlink" Target="https://www.colombiacompra.gov.co/archivos/manual/valores-a-partir-de-los-cuales-son-aplicables-los-acuerdos-comerciales-umbrales" TargetMode="External"/><Relationship Id="rId4" Type="http://schemas.openxmlformats.org/officeDocument/2006/relationships/hyperlink" Target="https://www.funcionpublica.gov.co/eva/gestornormativo/norma.php?i=2567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12212B-2159-4273-ADE9-E96856E9E1E2}"/>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21</Pages>
  <Words>7461</Words>
  <Characters>41039</Characters>
  <Application>Microsoft Office Word</Application>
  <DocSecurity>0</DocSecurity>
  <Lines>341</Lines>
  <Paragraphs>96</Paragraphs>
  <ScaleCrop>false</ScaleCrop>
  <Company/>
  <LinksUpToDate>false</LinksUpToDate>
  <CharactersWithSpaces>48404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3</cp:revision>
  <cp:lastPrinted>2023-01-10T21:18:00Z</cp:lastPrinted>
  <dcterms:created xsi:type="dcterms:W3CDTF">2026-09-15T17:58:00Z</dcterms:created>
  <dcterms:modified xsi:type="dcterms:W3CDTF">2026-09-15T19:32:00Z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