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7B601" w14:textId="77777777" w:rsidR="003B75B9" w:rsidRPr="004C046B" w:rsidRDefault="003B75B9" w:rsidP="003B75B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508DF28F" w14:textId="77777777" w:rsidR="003B75B9" w:rsidRDefault="003B75B9" w:rsidP="003B75B9">
      <w:pPr>
        <w:spacing w:after="0" w:line="240" w:lineRule="auto"/>
        <w:contextualSpacing/>
        <w:jc w:val="both"/>
        <w:rPr>
          <w:rFonts w:ascii="Verdana" w:eastAsia="Calibri" w:hAnsi="Verdana" w:cs="Arial"/>
          <w:sz w:val="20"/>
          <w:szCs w:val="20"/>
          <w:lang w:eastAsia="es-ES"/>
        </w:rPr>
      </w:pPr>
    </w:p>
    <w:p w14:paraId="709F2965" w14:textId="77777777" w:rsidR="003B75B9" w:rsidRDefault="003B75B9" w:rsidP="003B75B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2503F28B" w14:textId="77777777" w:rsidR="003B75B9" w:rsidRPr="007B5AD4" w:rsidRDefault="003B75B9" w:rsidP="003B75B9">
      <w:pPr>
        <w:spacing w:after="0" w:line="240" w:lineRule="auto"/>
        <w:contextualSpacing/>
        <w:jc w:val="both"/>
        <w:rPr>
          <w:rFonts w:ascii="Verdana" w:eastAsia="Calibri" w:hAnsi="Verdana" w:cs="Arial"/>
          <w:sz w:val="20"/>
          <w:szCs w:val="20"/>
          <w:lang w:eastAsia="es-ES"/>
        </w:rPr>
      </w:pPr>
    </w:p>
    <w:p w14:paraId="237C72DF" w14:textId="77777777" w:rsidR="003B75B9" w:rsidRPr="004C046B" w:rsidRDefault="003B75B9" w:rsidP="003B75B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784FAD93" w14:textId="77777777" w:rsidR="003B75B9" w:rsidRPr="007B5AD4" w:rsidRDefault="003B75B9" w:rsidP="003B75B9">
      <w:pPr>
        <w:spacing w:after="0" w:line="240" w:lineRule="auto"/>
        <w:contextualSpacing/>
        <w:jc w:val="both"/>
        <w:rPr>
          <w:rFonts w:ascii="Verdana" w:eastAsia="Calibri" w:hAnsi="Verdana" w:cs="Arial"/>
          <w:b/>
          <w:bCs/>
          <w:sz w:val="20"/>
          <w:szCs w:val="20"/>
          <w:lang w:eastAsia="es-ES"/>
        </w:rPr>
      </w:pPr>
    </w:p>
    <w:p w14:paraId="23C2D511" w14:textId="77777777" w:rsidR="003B75B9" w:rsidRDefault="003B75B9" w:rsidP="003B75B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0474BFFA" w14:textId="77777777" w:rsidR="003B75B9" w:rsidRDefault="003B75B9" w:rsidP="003B75B9">
      <w:pPr>
        <w:spacing w:after="0" w:line="240" w:lineRule="auto"/>
        <w:contextualSpacing/>
        <w:jc w:val="both"/>
        <w:rPr>
          <w:rFonts w:ascii="Verdana" w:eastAsia="Calibri" w:hAnsi="Verdana" w:cs="Arial"/>
          <w:sz w:val="20"/>
          <w:szCs w:val="20"/>
          <w:lang w:eastAsia="es-ES"/>
        </w:rPr>
      </w:pPr>
    </w:p>
    <w:p w14:paraId="0DF58249" w14:textId="77777777" w:rsidR="003B75B9" w:rsidRPr="004C046B" w:rsidRDefault="003B75B9" w:rsidP="003B75B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1E93E14B" w14:textId="77777777" w:rsidR="003B75B9" w:rsidRPr="007B5AD4" w:rsidRDefault="003B75B9" w:rsidP="003B75B9">
      <w:pPr>
        <w:spacing w:after="0" w:line="240" w:lineRule="auto"/>
        <w:contextualSpacing/>
        <w:jc w:val="both"/>
        <w:rPr>
          <w:rFonts w:ascii="Verdana" w:eastAsia="Calibri" w:hAnsi="Verdana" w:cs="Arial"/>
          <w:b/>
          <w:bCs/>
          <w:sz w:val="20"/>
          <w:szCs w:val="20"/>
          <w:lang w:eastAsia="es-ES"/>
        </w:rPr>
      </w:pPr>
    </w:p>
    <w:p w14:paraId="2A36CB9F" w14:textId="77777777" w:rsidR="003B75B9" w:rsidRDefault="003B75B9" w:rsidP="003B75B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w:t>
      </w:r>
      <w:r w:rsidRPr="00FA1AEB">
        <w:rPr>
          <w:rFonts w:ascii="Verdana" w:eastAsia="Calibri" w:hAnsi="Verdana" w:cs="Arial"/>
          <w:sz w:val="20"/>
          <w:szCs w:val="20"/>
          <w:lang w:eastAsia="es-ES"/>
        </w:rPr>
        <w:t>Estos sujetos no tienen en cuenta el género, es decir si son PcD hombres o mujeres, por lo que la definición es aplicable independientemente del género de la PcD y no afecta las medidas afirmativas a aplicar.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132E5048" w14:textId="77777777" w:rsidR="003B75B9" w:rsidRDefault="003B75B9" w:rsidP="003B75B9">
      <w:pPr>
        <w:spacing w:after="0" w:line="240" w:lineRule="auto"/>
        <w:contextualSpacing/>
        <w:jc w:val="both"/>
        <w:rPr>
          <w:rFonts w:ascii="Verdana" w:eastAsia="Calibri" w:hAnsi="Verdana" w:cs="Arial"/>
          <w:sz w:val="20"/>
          <w:szCs w:val="20"/>
          <w:lang w:eastAsia="es-ES"/>
        </w:rPr>
      </w:pPr>
    </w:p>
    <w:p w14:paraId="72CA9280" w14:textId="77777777" w:rsidR="003B75B9" w:rsidRPr="004C046B" w:rsidRDefault="003B75B9" w:rsidP="003B75B9">
      <w:pPr>
        <w:spacing w:after="0" w:line="240" w:lineRule="auto"/>
        <w:contextualSpacing/>
        <w:jc w:val="both"/>
        <w:rPr>
          <w:rFonts w:ascii="Verdana" w:eastAsia="Calibri" w:hAnsi="Verdana" w:cs="Arial"/>
          <w:b/>
          <w:bCs/>
          <w:lang w:eastAsia="es-ES"/>
        </w:rPr>
      </w:pPr>
      <w:r w:rsidRPr="00FF72B1">
        <w:rPr>
          <w:rFonts w:ascii="Verdana" w:eastAsia="Calibri" w:hAnsi="Verdana" w:cs="Arial"/>
          <w:b/>
          <w:bCs/>
          <w:lang w:eastAsia="es-ES"/>
        </w:rPr>
        <w:t>DECRETO 0287 DE 2026 ‒ Puntaje adicional del 2% ‒ Proponentes plurales</w:t>
      </w:r>
    </w:p>
    <w:p w14:paraId="6063291E" w14:textId="77777777" w:rsidR="003B75B9" w:rsidRPr="007B5AD4" w:rsidRDefault="003B75B9" w:rsidP="003B75B9">
      <w:pPr>
        <w:spacing w:after="0" w:line="240" w:lineRule="auto"/>
        <w:contextualSpacing/>
        <w:jc w:val="both"/>
        <w:rPr>
          <w:rFonts w:ascii="Verdana" w:eastAsia="Calibri" w:hAnsi="Verdana" w:cs="Arial"/>
          <w:b/>
          <w:bCs/>
          <w:sz w:val="20"/>
          <w:szCs w:val="20"/>
          <w:lang w:eastAsia="es-ES"/>
        </w:rPr>
      </w:pPr>
    </w:p>
    <w:p w14:paraId="572D3E09" w14:textId="77777777" w:rsidR="003B75B9" w:rsidRDefault="003B75B9" w:rsidP="003B75B9">
      <w:pPr>
        <w:spacing w:after="0" w:line="240" w:lineRule="auto"/>
        <w:contextualSpacing/>
        <w:jc w:val="both"/>
        <w:rPr>
          <w:rFonts w:ascii="Verdana" w:eastAsia="Calibri" w:hAnsi="Verdana" w:cs="Arial"/>
          <w:sz w:val="20"/>
          <w:szCs w:val="20"/>
          <w:lang w:eastAsia="es-ES"/>
        </w:rPr>
      </w:pPr>
      <w:r w:rsidRPr="006C6035">
        <w:rPr>
          <w:rFonts w:ascii="Verdana" w:eastAsia="Calibri" w:hAnsi="Verdana" w:cs="Arial"/>
          <w:sz w:val="20"/>
          <w:szCs w:val="20"/>
          <w:lang w:eastAsia="es-ES"/>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p>
    <w:p w14:paraId="7DB1CCD0" w14:textId="77777777" w:rsidR="003B75B9" w:rsidRDefault="003B75B9" w:rsidP="003B75B9">
      <w:pPr>
        <w:spacing w:after="0" w:line="240" w:lineRule="auto"/>
        <w:contextualSpacing/>
        <w:jc w:val="both"/>
        <w:rPr>
          <w:rFonts w:ascii="Verdana" w:eastAsia="Calibri" w:hAnsi="Verdana" w:cs="Arial"/>
          <w:sz w:val="20"/>
          <w:szCs w:val="20"/>
          <w:lang w:eastAsia="es-ES"/>
        </w:rPr>
      </w:pPr>
    </w:p>
    <w:p w14:paraId="290B36D5" w14:textId="77777777" w:rsidR="003B75B9" w:rsidRPr="00206556" w:rsidRDefault="003B75B9" w:rsidP="003B75B9">
      <w:pPr>
        <w:spacing w:after="0" w:line="240" w:lineRule="auto"/>
        <w:contextualSpacing/>
        <w:jc w:val="both"/>
        <w:rPr>
          <w:rFonts w:ascii="Verdana" w:eastAsia="Calibri" w:hAnsi="Verdana" w:cs="Arial"/>
          <w:sz w:val="20"/>
          <w:szCs w:val="20"/>
          <w:lang w:eastAsia="es-ES"/>
        </w:rPr>
      </w:pPr>
      <w:r w:rsidRPr="004C0ABC">
        <w:rPr>
          <w:rFonts w:ascii="Verdana" w:eastAsia="Calibri" w:hAnsi="Verdana" w:cs="Arial"/>
          <w:sz w:val="20"/>
          <w:szCs w:val="20"/>
          <w:lang w:eastAsia="es-ES"/>
        </w:rPr>
        <w:t>De esta forma, si un proponente, de acuerdo con su planta de personal y la tabla establecida por la norma, acreditará dos (2) trabajadores con discapacidad para la obtención del puntaje, en caso de ser un proponente plural, se revisará la planta de personal del miembro que tenga mayor participación en el proponente plural, sin que sea posible que se revisen varias plantas de personal de los miembros del proponente plural, sino que solo se revisará la planta del miembro con mayor participación quien deberá contar con las personas con discapacidad que exige la norma en caso de que quiera acceder al puntaje, y no es posible que cada miembro aporte la vinculación de las personas con discapacidad que exige el Decreto 287 de 2026 para otorgar los puntos allí señalados.</w:t>
      </w:r>
    </w:p>
    <w:p w14:paraId="2E43592E" w14:textId="77777777" w:rsidR="003B75B9" w:rsidRPr="007B5AD4" w:rsidRDefault="003B75B9" w:rsidP="003B75B9">
      <w:pPr>
        <w:spacing w:after="0" w:line="240" w:lineRule="auto"/>
        <w:contextualSpacing/>
        <w:jc w:val="both"/>
        <w:rPr>
          <w:rFonts w:ascii="Verdana" w:eastAsia="Calibri" w:hAnsi="Verdana" w:cs="Arial"/>
          <w:sz w:val="20"/>
          <w:szCs w:val="20"/>
          <w:lang w:eastAsia="es-ES"/>
        </w:rPr>
      </w:pPr>
    </w:p>
    <w:p w14:paraId="68C0FE58" w14:textId="77777777" w:rsidR="003B75B9" w:rsidRPr="00FF72B1" w:rsidRDefault="003B75B9" w:rsidP="003B75B9">
      <w:pPr>
        <w:spacing w:after="0" w:line="240" w:lineRule="auto"/>
        <w:contextualSpacing/>
        <w:jc w:val="both"/>
        <w:rPr>
          <w:rFonts w:ascii="Verdana" w:eastAsia="Calibri" w:hAnsi="Verdana" w:cs="Arial"/>
          <w:sz w:val="20"/>
          <w:szCs w:val="20"/>
          <w:lang w:eastAsia="es-ES"/>
        </w:rPr>
      </w:pPr>
      <w:r w:rsidRPr="00FF72B1">
        <w:rPr>
          <w:rFonts w:ascii="Verdana" w:eastAsia="Calibri" w:hAnsi="Verdana" w:cs="Arial"/>
          <w:sz w:val="20"/>
          <w:szCs w:val="20"/>
          <w:lang w:eastAsia="es-ES"/>
        </w:rPr>
        <w:t>Finalmente, para resolver su pregunta sobre el proponente plural donde sus integrantes cuentan con el 50% de participación cada uno, caso en el cual no se observa una mayoría de participación, es posible que cualquiera de los dos integrantes acredite la planta de personal, pero el otro miembro no podrá acreditar su planta de personal, ya que de acuerdo con la norma no es posible que cada miembro aporte vinculación de personas con discapacidad, sino que solo uno de los miembros del proponente plural debe proceder con la acreditación.</w:t>
      </w:r>
    </w:p>
    <w:p w14:paraId="4EEA5E7E" w14:textId="77777777" w:rsidR="003B75B9" w:rsidRDefault="003B75B9" w:rsidP="003B75B9">
      <w:pPr>
        <w:spacing w:after="0"/>
        <w:rPr>
          <w:rFonts w:ascii="Verdana" w:hAnsi="Verdana"/>
          <w:lang w:val="es-ES_tradnl"/>
        </w:rPr>
      </w:pPr>
    </w:p>
    <w:p w14:paraId="7124EA62" w14:textId="200B3EE8" w:rsidR="003B75B9" w:rsidRDefault="003B75B9" w:rsidP="001B0D8F">
      <w:pPr>
        <w:spacing w:after="0" w:line="240" w:lineRule="auto"/>
        <w:rPr>
          <w:rFonts w:ascii="Verdana" w:hAnsi="Verdana"/>
        </w:rPr>
      </w:pPr>
      <w:r w:rsidRPr="00325D46">
        <w:rPr>
          <w:rFonts w:ascii="Verdana" w:hAnsi="Verdana"/>
          <w:lang w:val="es-ES_tradnl"/>
        </w:rPr>
        <w:lastRenderedPageBreak/>
        <w:t>B</w:t>
      </w:r>
      <w:proofErr w:type="spellStart"/>
      <w:r w:rsidRPr="000E30EA">
        <w:rPr>
          <w:rFonts w:ascii="Verdana" w:hAnsi="Verdana"/>
        </w:rPr>
        <w:t>ogotá</w:t>
      </w:r>
      <w:proofErr w:type="spellEnd"/>
      <w:r w:rsidRPr="000E30EA">
        <w:rPr>
          <w:rFonts w:ascii="Verdana" w:hAnsi="Verdana"/>
        </w:rPr>
        <w:t xml:space="preserve"> D.C., </w:t>
      </w:r>
      <w:r w:rsidR="00C62F0E">
        <w:rPr>
          <w:rFonts w:ascii="Verdana" w:hAnsi="Verdana"/>
        </w:rPr>
        <w:t>17 de septiembre de 2026</w:t>
      </w:r>
    </w:p>
    <w:p w14:paraId="3E9D6DCC" w14:textId="77777777" w:rsidR="00C62F0E" w:rsidRDefault="00C62F0E" w:rsidP="001B0D8F">
      <w:pPr>
        <w:spacing w:after="0" w:line="240" w:lineRule="auto"/>
        <w:rPr>
          <w:rFonts w:ascii="Verdana" w:hAnsi="Verdana"/>
        </w:rPr>
      </w:pPr>
    </w:p>
    <w:p w14:paraId="1F322F61" w14:textId="7F7C7F15" w:rsidR="00C62F0E" w:rsidRPr="000E30EA" w:rsidRDefault="00C62F0E" w:rsidP="00C62F0E">
      <w:pPr>
        <w:spacing w:after="0" w:line="240" w:lineRule="auto"/>
        <w:jc w:val="right"/>
        <w:rPr>
          <w:rFonts w:ascii="Verdana" w:hAnsi="Verdana"/>
        </w:rPr>
      </w:pPr>
      <w:r w:rsidRPr="00C62F0E">
        <w:rPr>
          <w:rFonts w:ascii="Verdana" w:hAnsi="Verdana"/>
        </w:rPr>
        <w:drawing>
          <wp:inline distT="0" distB="0" distL="0" distR="0" wp14:anchorId="6624533F" wp14:editId="1A9A733A">
            <wp:extent cx="2543530" cy="704948"/>
            <wp:effectExtent l="0" t="0" r="9525" b="0"/>
            <wp:docPr id="7271298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29844" name=""/>
                    <pic:cNvPicPr/>
                  </pic:nvPicPr>
                  <pic:blipFill>
                    <a:blip r:embed="rId10"/>
                    <a:stretch>
                      <a:fillRect/>
                    </a:stretch>
                  </pic:blipFill>
                  <pic:spPr>
                    <a:xfrm>
                      <a:off x="0" y="0"/>
                      <a:ext cx="2543530" cy="704948"/>
                    </a:xfrm>
                    <a:prstGeom prst="rect">
                      <a:avLst/>
                    </a:prstGeom>
                  </pic:spPr>
                </pic:pic>
              </a:graphicData>
            </a:graphic>
          </wp:inline>
        </w:drawing>
      </w:r>
    </w:p>
    <w:p w14:paraId="3040A405" w14:textId="77777777" w:rsidR="003B75B9" w:rsidRPr="000E30EA" w:rsidRDefault="003B75B9" w:rsidP="001B0D8F">
      <w:pPr>
        <w:spacing w:after="0" w:line="240" w:lineRule="auto"/>
        <w:rPr>
          <w:rFonts w:ascii="Verdana" w:hAnsi="Verdana"/>
        </w:rPr>
      </w:pPr>
    </w:p>
    <w:p w14:paraId="3AE11561" w14:textId="77777777" w:rsidR="003B75B9" w:rsidRPr="000E30EA" w:rsidRDefault="003B75B9" w:rsidP="003B75B9">
      <w:pPr>
        <w:spacing w:after="0" w:line="240" w:lineRule="auto"/>
        <w:rPr>
          <w:rFonts w:ascii="Verdana" w:hAnsi="Verdana"/>
        </w:rPr>
      </w:pPr>
      <w:bookmarkStart w:id="0" w:name="_Hlk143780582"/>
      <w:r w:rsidRPr="000E30EA">
        <w:rPr>
          <w:rFonts w:ascii="Verdana" w:eastAsia="Calibri" w:hAnsi="Verdana" w:cs="Arial"/>
          <w:lang w:eastAsia="es-ES"/>
        </w:rPr>
        <w:t>Señor</w:t>
      </w:r>
    </w:p>
    <w:p w14:paraId="67FE019A" w14:textId="77777777" w:rsidR="003B75B9" w:rsidRPr="000E30EA" w:rsidRDefault="003B75B9" w:rsidP="001B0D8F">
      <w:pPr>
        <w:spacing w:after="0" w:line="240" w:lineRule="auto"/>
        <w:rPr>
          <w:rFonts w:ascii="Verdana" w:hAnsi="Verdana"/>
          <w:b/>
          <w:bCs/>
        </w:rPr>
      </w:pPr>
      <w:hyperlink r:id="rId11" w:history="1">
        <w:r w:rsidRPr="004245D7">
          <w:rPr>
            <w:rStyle w:val="Hipervnculo"/>
            <w:rFonts w:ascii="Verdana" w:hAnsi="Verdana"/>
            <w:b/>
            <w:bCs/>
          </w:rPr>
          <w:t>jcastano@heimcore.com.co</w:t>
        </w:r>
      </w:hyperlink>
    </w:p>
    <w:p w14:paraId="16906935" w14:textId="77777777" w:rsidR="003B75B9" w:rsidRPr="000E30EA" w:rsidRDefault="003B75B9" w:rsidP="001B0D8F">
      <w:pPr>
        <w:spacing w:after="0" w:line="240" w:lineRule="auto"/>
        <w:rPr>
          <w:rFonts w:ascii="Verdana" w:eastAsia="Calibri" w:hAnsi="Verdana" w:cs="Arial"/>
          <w:lang w:eastAsia="es-ES"/>
        </w:rPr>
      </w:pPr>
      <w:r w:rsidRPr="000E30EA">
        <w:rPr>
          <w:rFonts w:ascii="Verdana" w:eastAsia="Calibri" w:hAnsi="Verdana" w:cs="Arial"/>
          <w:lang w:eastAsia="es-ES"/>
        </w:rPr>
        <w:t>Ciudad</w:t>
      </w:r>
    </w:p>
    <w:p w14:paraId="3D20DE30" w14:textId="77777777" w:rsidR="003B75B9" w:rsidRPr="000E30EA" w:rsidRDefault="003B75B9" w:rsidP="001B0D8F">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B75B9" w:rsidRPr="000E30EA" w14:paraId="56036495" w14:textId="77777777" w:rsidTr="00533C46">
        <w:trPr>
          <w:trHeight w:val="190"/>
        </w:trPr>
        <w:tc>
          <w:tcPr>
            <w:tcW w:w="2689" w:type="dxa"/>
          </w:tcPr>
          <w:p w14:paraId="30F8994D" w14:textId="77777777" w:rsidR="003B75B9" w:rsidRPr="000E30EA" w:rsidRDefault="003B75B9" w:rsidP="00533C46">
            <w:pPr>
              <w:jc w:val="both"/>
              <w:rPr>
                <w:rFonts w:ascii="Verdana" w:eastAsia="Calibri" w:hAnsi="Verdana" w:cs="Arial"/>
                <w:b/>
                <w:bCs/>
                <w:lang w:eastAsia="es-ES_tradnl"/>
              </w:rPr>
            </w:pPr>
          </w:p>
          <w:p w14:paraId="4C1DEBD9" w14:textId="77777777" w:rsidR="003B75B9" w:rsidRPr="000E30EA" w:rsidRDefault="003B75B9" w:rsidP="00533C46">
            <w:pPr>
              <w:jc w:val="both"/>
              <w:rPr>
                <w:rFonts w:ascii="Verdana" w:eastAsia="Calibri" w:hAnsi="Verdana" w:cs="Arial"/>
                <w:b/>
                <w:bCs/>
                <w:lang w:eastAsia="es-ES_tradnl"/>
              </w:rPr>
            </w:pPr>
          </w:p>
        </w:tc>
        <w:tc>
          <w:tcPr>
            <w:tcW w:w="6100" w:type="dxa"/>
          </w:tcPr>
          <w:p w14:paraId="32EDCB9C" w14:textId="77777777" w:rsidR="003B75B9" w:rsidRPr="000E30EA" w:rsidRDefault="003B75B9" w:rsidP="00533C46">
            <w:pPr>
              <w:jc w:val="both"/>
              <w:rPr>
                <w:rFonts w:ascii="Verdana" w:eastAsia="Calibri" w:hAnsi="Verdana" w:cs="Arial"/>
                <w:b/>
                <w:bCs/>
                <w:lang w:eastAsia="es-ES"/>
              </w:rPr>
            </w:pPr>
            <w:r w:rsidRPr="000E30EA">
              <w:rPr>
                <w:rFonts w:ascii="Verdana" w:eastAsia="Calibri" w:hAnsi="Verdana" w:cs="Arial"/>
                <w:b/>
                <w:bCs/>
                <w:lang w:eastAsia="es-ES"/>
              </w:rPr>
              <w:t>Concepto C- 1252 de 2026</w:t>
            </w:r>
          </w:p>
          <w:p w14:paraId="67A8E919" w14:textId="77777777" w:rsidR="003B75B9" w:rsidRPr="000E30EA" w:rsidRDefault="003B75B9" w:rsidP="00533C46">
            <w:pPr>
              <w:jc w:val="both"/>
              <w:rPr>
                <w:rFonts w:ascii="Verdana" w:eastAsia="Calibri" w:hAnsi="Verdana" w:cs="Arial"/>
                <w:b/>
                <w:bCs/>
                <w:lang w:eastAsia="es-ES"/>
              </w:rPr>
            </w:pPr>
          </w:p>
        </w:tc>
      </w:tr>
      <w:tr w:rsidR="003B75B9" w:rsidRPr="00777292" w14:paraId="4BF379D6" w14:textId="77777777" w:rsidTr="00533C46">
        <w:trPr>
          <w:trHeight w:val="884"/>
        </w:trPr>
        <w:tc>
          <w:tcPr>
            <w:tcW w:w="2689" w:type="dxa"/>
          </w:tcPr>
          <w:p w14:paraId="5B3695AC" w14:textId="77777777" w:rsidR="003B75B9" w:rsidRPr="00777292" w:rsidRDefault="003B75B9" w:rsidP="00533C46">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757403C8" w14:textId="77777777" w:rsidR="003B75B9" w:rsidRDefault="003B75B9" w:rsidP="004245D7">
            <w:pPr>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A000AE">
              <w:rPr>
                <w:rFonts w:ascii="Verdana" w:eastAsia="Calibri" w:hAnsi="Verdana" w:cs="Arial"/>
                <w:lang w:eastAsia="es-ES"/>
              </w:rPr>
              <w:t>DECRETO 0287 DE 2026 ‒ Puntaje adicional del 2% ‒ Proponentes plurales</w:t>
            </w:r>
          </w:p>
          <w:p w14:paraId="5818D6C0" w14:textId="5D99EF09" w:rsidR="003B75B9" w:rsidRPr="00777292" w:rsidRDefault="003B75B9" w:rsidP="001B0D8F">
            <w:pPr>
              <w:jc w:val="both"/>
              <w:rPr>
                <w:rFonts w:ascii="Verdana" w:eastAsia="Calibri" w:hAnsi="Verdana" w:cs="Arial"/>
                <w:lang w:eastAsia="es-ES"/>
              </w:rPr>
            </w:pPr>
          </w:p>
        </w:tc>
      </w:tr>
      <w:tr w:rsidR="003B75B9" w:rsidRPr="00777292" w14:paraId="05E323FF" w14:textId="77777777" w:rsidTr="00533C46">
        <w:tc>
          <w:tcPr>
            <w:tcW w:w="2689" w:type="dxa"/>
          </w:tcPr>
          <w:p w14:paraId="5695EAC5" w14:textId="77777777" w:rsidR="003B75B9" w:rsidRPr="00777292" w:rsidRDefault="003B75B9" w:rsidP="00533C46">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505C7436" w14:textId="77777777" w:rsidR="003B75B9" w:rsidRPr="00777292" w:rsidRDefault="003B75B9" w:rsidP="00533C46">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Pr="00325D46">
              <w:rPr>
                <w:rFonts w:ascii="Verdana" w:hAnsi="Verdana" w:cs="Segoe UI"/>
                <w:color w:val="2B2B2B"/>
                <w:shd w:val="clear" w:color="auto" w:fill="FFFFFF"/>
              </w:rPr>
              <w:t>1_2026_08_10_010530</w:t>
            </w:r>
          </w:p>
        </w:tc>
      </w:tr>
    </w:tbl>
    <w:p w14:paraId="75E8A215" w14:textId="77777777" w:rsidR="003B75B9" w:rsidRPr="00206556" w:rsidRDefault="003B75B9" w:rsidP="001B0D8F">
      <w:pPr>
        <w:tabs>
          <w:tab w:val="left" w:pos="1520"/>
        </w:tabs>
        <w:spacing w:after="0" w:line="240" w:lineRule="auto"/>
        <w:jc w:val="both"/>
        <w:rPr>
          <w:rFonts w:ascii="Verdana" w:eastAsia="Calibri" w:hAnsi="Verdana" w:cs="Arial"/>
          <w:color w:val="ED7D31" w:themeColor="accent2"/>
          <w:sz w:val="20"/>
          <w:szCs w:val="20"/>
          <w:lang w:val="es-ES" w:eastAsia="es-ES"/>
        </w:rPr>
      </w:pPr>
    </w:p>
    <w:p w14:paraId="789F0586" w14:textId="77777777" w:rsidR="003B75B9" w:rsidRPr="00206556" w:rsidRDefault="003B75B9" w:rsidP="001B0D8F">
      <w:pPr>
        <w:spacing w:after="0" w:line="240" w:lineRule="auto"/>
        <w:jc w:val="both"/>
        <w:rPr>
          <w:rFonts w:ascii="Verdana" w:eastAsia="Calibri" w:hAnsi="Verdana" w:cs="Arial"/>
          <w:color w:val="ED7D31" w:themeColor="accent2"/>
          <w:lang w:val="es-ES" w:eastAsia="es-ES"/>
        </w:rPr>
      </w:pPr>
    </w:p>
    <w:p w14:paraId="07A3D64D" w14:textId="77777777" w:rsidR="003B75B9" w:rsidRPr="00206556" w:rsidRDefault="003B75B9" w:rsidP="003B75B9">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w:t>
      </w:r>
      <w:r>
        <w:rPr>
          <w:rFonts w:ascii="Verdana" w:eastAsia="Calibri" w:hAnsi="Verdana" w:cs="Arial"/>
          <w:lang w:val="es-ES" w:eastAsia="es-ES"/>
        </w:rPr>
        <w:t>o</w:t>
      </w:r>
      <w:r w:rsidRPr="006A7B59">
        <w:rPr>
          <w:rFonts w:ascii="Verdana" w:eastAsia="Calibri" w:hAnsi="Verdana" w:cs="Arial"/>
          <w:lang w:val="es-ES" w:eastAsia="es-ES"/>
        </w:rPr>
        <w:t xml:space="preserve"> Señor,</w:t>
      </w:r>
    </w:p>
    <w:p w14:paraId="3360FBC0" w14:textId="77777777" w:rsidR="003B75B9" w:rsidRPr="00206556" w:rsidRDefault="003B75B9" w:rsidP="003B75B9">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2AA6BBEF" w14:textId="77777777" w:rsidR="003B75B9" w:rsidRPr="00206556" w:rsidRDefault="003B75B9" w:rsidP="003B75B9">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Contratación Pública – Colombia Compra Eficiente– responde su solicitud de </w:t>
      </w:r>
      <w:r w:rsidRPr="00FB46F9">
        <w:rPr>
          <w:rFonts w:ascii="Verdana" w:eastAsia="Calibri" w:hAnsi="Verdana" w:cs="Arial"/>
          <w:lang w:val="es-ES" w:eastAsia="es-ES"/>
        </w:rPr>
        <w:t>consulta de fecha</w:t>
      </w:r>
      <w:r>
        <w:rPr>
          <w:rFonts w:ascii="Verdana" w:eastAsia="Calibri" w:hAnsi="Verdana" w:cs="Arial"/>
          <w:lang w:val="es-ES" w:eastAsia="es-ES"/>
        </w:rPr>
        <w:t xml:space="preserve"> 10</w:t>
      </w:r>
      <w:r w:rsidRPr="00FB46F9">
        <w:rPr>
          <w:rFonts w:ascii="Verdana" w:eastAsia="Calibri" w:hAnsi="Verdana" w:cs="Arial"/>
          <w:lang w:val="es-ES" w:eastAsia="es-ES"/>
        </w:rPr>
        <w:t xml:space="preserve"> de </w:t>
      </w:r>
      <w:r>
        <w:rPr>
          <w:rFonts w:ascii="Verdana" w:eastAsia="Calibri" w:hAnsi="Verdana" w:cs="Arial"/>
          <w:lang w:val="es-ES" w:eastAsia="es-ES"/>
        </w:rPr>
        <w:t>agosto</w:t>
      </w:r>
      <w:r w:rsidRPr="00FB46F9">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598488BA" w14:textId="77777777" w:rsidR="003B75B9" w:rsidRDefault="003B75B9" w:rsidP="001B0D8F">
      <w:pPr>
        <w:spacing w:after="0" w:line="276" w:lineRule="auto"/>
        <w:ind w:right="709"/>
        <w:jc w:val="both"/>
        <w:rPr>
          <w:rFonts w:ascii="Verdana" w:eastAsia="Century Gothic" w:hAnsi="Verdana" w:cs="Century Gothic"/>
          <w:i/>
          <w:iCs/>
          <w:sz w:val="20"/>
          <w:szCs w:val="20"/>
          <w:lang w:val="es-ES"/>
        </w:rPr>
      </w:pPr>
    </w:p>
    <w:p w14:paraId="4C7E3DA8" w14:textId="0AF091A4" w:rsidR="003B75B9" w:rsidRDefault="007D7659" w:rsidP="001B0D8F">
      <w:pPr>
        <w:spacing w:after="0" w:line="240" w:lineRule="auto"/>
        <w:ind w:left="709" w:right="709"/>
        <w:jc w:val="both"/>
        <w:rPr>
          <w:rFonts w:ascii="Verdana" w:eastAsia="Century Gothic" w:hAnsi="Verdana" w:cs="Century Gothic"/>
          <w:i/>
          <w:iCs/>
          <w:sz w:val="20"/>
          <w:szCs w:val="20"/>
          <w:lang w:val="es-ES"/>
        </w:rPr>
      </w:pPr>
      <w:r w:rsidRPr="001B0D8F">
        <w:rPr>
          <w:rFonts w:ascii="Verdana" w:eastAsia="Century Gothic" w:hAnsi="Verdana" w:cs="Century Gothic"/>
          <w:i/>
          <w:iCs/>
          <w:sz w:val="20"/>
          <w:szCs w:val="20"/>
          <w:lang w:val="es-ES"/>
        </w:rPr>
        <w:t>“</w:t>
      </w:r>
      <w:r w:rsidR="003B75B9" w:rsidRPr="001B0D8F">
        <w:rPr>
          <w:rFonts w:ascii="Verdana" w:eastAsia="Century Gothic" w:hAnsi="Verdana" w:cs="Century Gothic"/>
          <w:i/>
          <w:sz w:val="20"/>
          <w:szCs w:val="20"/>
          <w:lang w:val="es-ES"/>
        </w:rPr>
        <w:t xml:space="preserve">DE ACUERDO CON EL artículo 2.2.1.2.4.2.7.4 del Decreto 1082 de 2015, modificado por el Decreto 287 de 2026, se indica que para "Cuando se trate de un proponente plural (consorcio o unión temporal), se tomará en cuenta únicamente la planta de personal del integrante con mayor </w:t>
      </w:r>
      <w:r w:rsidR="003B75B9" w:rsidRPr="001B0D8F">
        <w:rPr>
          <w:rFonts w:ascii="Verdana" w:eastAsia="Century Gothic" w:hAnsi="Verdana" w:cs="Century Gothic"/>
          <w:i/>
          <w:sz w:val="20"/>
          <w:szCs w:val="20"/>
          <w:lang w:val="es-ES"/>
        </w:rPr>
        <w:lastRenderedPageBreak/>
        <w:t>participación porcentual." para el puntaje por personal con discapacidad. la duda que se tiene es que pasa cuando en una unión temporal ambos se presentan con el mismo porcentaje de participación, en este caso cada una de las empresas que constituye la futura UT tiene el 50%. En este caso, cuál sería la empresa con mayor participación porcentual? Cabe aclarar que uno de los consorciados aporto la documentación de personal con discapacidad, pero la norma del decreto es clara, únicamente de integrante con mayor participación. en este caso el vacío jurídico está en determinar si ambos tienen el mismo porcentaje como evaluar? Esta situación se está presentando en el proceso de licitación del ministerio de educación (SIC).</w:t>
      </w:r>
    </w:p>
    <w:p w14:paraId="22103A10" w14:textId="77777777" w:rsidR="003B75B9" w:rsidRPr="00206556" w:rsidRDefault="003B75B9" w:rsidP="001B0D8F">
      <w:pPr>
        <w:spacing w:after="0" w:line="276" w:lineRule="auto"/>
        <w:ind w:left="709" w:right="709"/>
        <w:jc w:val="both"/>
        <w:rPr>
          <w:rFonts w:ascii="Verdana" w:eastAsia="Century Gothic" w:hAnsi="Verdana" w:cs="Century Gothic"/>
          <w:i/>
          <w:iCs/>
          <w:sz w:val="20"/>
          <w:szCs w:val="20"/>
          <w:lang w:val="es-ES"/>
        </w:rPr>
      </w:pPr>
    </w:p>
    <w:p w14:paraId="63903E18" w14:textId="77777777" w:rsidR="003B75B9" w:rsidRPr="00206556" w:rsidRDefault="003B75B9" w:rsidP="001B0D8F">
      <w:pPr>
        <w:spacing w:after="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2FAB0718" w14:textId="77777777" w:rsidR="003B75B9" w:rsidRPr="00206556" w:rsidRDefault="003B75B9" w:rsidP="003B75B9">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 xml:space="preserve">el </w:t>
      </w:r>
      <w:r w:rsidRPr="00206556">
        <w:rPr>
          <w:rFonts w:ascii="Verdana" w:eastAsia="Calibri" w:hAnsi="Verdana" w:cs="Arial"/>
          <w:lang w:val="es-ES" w:eastAsia="es-ES"/>
        </w:rPr>
        <w:t xml:space="preserve">problema jurídico de su consulta. </w:t>
      </w:r>
    </w:p>
    <w:p w14:paraId="4F3BFE88" w14:textId="77777777" w:rsidR="003B75B9" w:rsidRPr="00206556" w:rsidRDefault="003B75B9" w:rsidP="003B75B9">
      <w:pPr>
        <w:spacing w:after="0" w:line="276" w:lineRule="auto"/>
        <w:ind w:firstLine="709"/>
        <w:jc w:val="both"/>
        <w:rPr>
          <w:rFonts w:ascii="Verdana" w:eastAsia="Calibri" w:hAnsi="Verdana" w:cs="Arial"/>
          <w:lang w:val="es-ES" w:eastAsia="es-ES"/>
        </w:rPr>
      </w:pPr>
    </w:p>
    <w:p w14:paraId="4BA086F0" w14:textId="77777777" w:rsidR="003B75B9" w:rsidRPr="00206556" w:rsidRDefault="003B75B9" w:rsidP="001B0D8F">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686595BA" w14:textId="77777777" w:rsidR="003B75B9" w:rsidRPr="00206556" w:rsidRDefault="003B75B9" w:rsidP="003B75B9">
      <w:pPr>
        <w:tabs>
          <w:tab w:val="left" w:pos="426"/>
        </w:tabs>
        <w:spacing w:after="0" w:line="276" w:lineRule="auto"/>
        <w:jc w:val="both"/>
        <w:rPr>
          <w:rFonts w:ascii="Verdana" w:eastAsia="Century Gothic" w:hAnsi="Verdana" w:cs="Century Gothic"/>
          <w:color w:val="ED7D31" w:themeColor="accent2"/>
          <w:lang w:val="es-ES"/>
        </w:rPr>
      </w:pPr>
    </w:p>
    <w:p w14:paraId="1C2DFA08" w14:textId="77777777" w:rsidR="003B75B9" w:rsidRDefault="003B75B9" w:rsidP="003B75B9">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Pr="00206556">
        <w:rPr>
          <w:rFonts w:ascii="Verdana" w:eastAsia="Century Gothic" w:hAnsi="Verdana" w:cs="Century Gothic"/>
        </w:rPr>
        <w:t>¿</w:t>
      </w:r>
      <w:r>
        <w:rPr>
          <w:rFonts w:ascii="Verdana" w:eastAsia="Century Gothic" w:hAnsi="Verdana" w:cs="Century Gothic"/>
        </w:rPr>
        <w:t>Cómo se aplica el puntaje para empleadores de personas con discapacidad respecto de los proponentes plurales</w:t>
      </w:r>
      <w:r w:rsidRPr="00206556">
        <w:rPr>
          <w:rFonts w:ascii="Verdana" w:eastAsia="Century Gothic" w:hAnsi="Verdana" w:cs="Century Gothic"/>
        </w:rPr>
        <w:t>?</w:t>
      </w:r>
    </w:p>
    <w:p w14:paraId="2ADDC93E" w14:textId="77777777" w:rsidR="003B75B9" w:rsidRPr="00206556" w:rsidRDefault="003B75B9" w:rsidP="003B75B9">
      <w:pPr>
        <w:spacing w:after="0" w:line="276" w:lineRule="auto"/>
        <w:jc w:val="both"/>
        <w:rPr>
          <w:rFonts w:ascii="Verdana" w:eastAsia="Century Gothic" w:hAnsi="Verdana" w:cs="Century Gothic"/>
          <w:color w:val="ED7D31" w:themeColor="accent2"/>
        </w:rPr>
      </w:pPr>
    </w:p>
    <w:p w14:paraId="197E1C2E" w14:textId="77777777" w:rsidR="003B75B9" w:rsidRPr="00206556" w:rsidRDefault="003B75B9" w:rsidP="003B75B9">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160BBD39" w14:textId="77777777" w:rsidR="003B75B9" w:rsidRPr="00206556" w:rsidRDefault="003B75B9" w:rsidP="003B75B9">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B75B9" w:rsidRPr="00206556" w14:paraId="4DC0437F" w14:textId="77777777" w:rsidTr="00533C46">
        <w:tc>
          <w:tcPr>
            <w:tcW w:w="8828" w:type="dxa"/>
          </w:tcPr>
          <w:p w14:paraId="5C2F650C" w14:textId="68CC4CF7" w:rsidR="006253CB" w:rsidRDefault="003B75B9" w:rsidP="001B0D8F">
            <w:pPr>
              <w:spacing w:after="120" w:line="276" w:lineRule="auto"/>
              <w:jc w:val="both"/>
              <w:rPr>
                <w:rFonts w:ascii="Verdana" w:eastAsia="Calibri" w:hAnsi="Verdana" w:cs="Arial"/>
              </w:rPr>
            </w:pPr>
            <w:r>
              <w:rPr>
                <w:rFonts w:ascii="Verdana" w:eastAsia="Calibri" w:hAnsi="Verdana" w:cs="Arial"/>
              </w:rPr>
              <w:lastRenderedPageBreak/>
              <w:t>En atención al problema jurídico planteado y respecto al</w:t>
            </w:r>
            <w:r w:rsidRPr="00E54F30">
              <w:rPr>
                <w:rFonts w:ascii="Verdana" w:eastAsia="Calibri" w:hAnsi="Verdana" w:cs="Arial"/>
              </w:rPr>
              <w:t xml:space="preserve"> Decreto 0287 de 2026</w:t>
            </w:r>
            <w:r>
              <w:rPr>
                <w:rFonts w:ascii="Verdana" w:eastAsia="Calibri" w:hAnsi="Verdana" w:cs="Arial"/>
              </w:rPr>
              <w:t>, es necesario indicar que este</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el artículo 13 de la Ley 1618 de 2013</w:t>
            </w:r>
            <w:r w:rsidR="00BB27F7">
              <w:rPr>
                <w:rFonts w:ascii="Verdana" w:eastAsia="Calibri" w:hAnsi="Verdana" w:cs="Arial"/>
              </w:rPr>
              <w:t>. Dicha reglamentación</w:t>
            </w:r>
            <w:r w:rsidRPr="00E54F30">
              <w:rPr>
                <w:rFonts w:ascii="Verdana" w:eastAsia="Calibri" w:hAnsi="Verdana" w:cs="Arial"/>
              </w:rPr>
              <w:t xml:space="preserve"> fue ordenada por el Consejo de Estado, Sección Quinta de la Sala de lo Contencioso Administrativo, mediante sentencia de 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Pr="00206556">
              <w:rPr>
                <w:rFonts w:ascii="Verdana" w:eastAsia="Calibri" w:hAnsi="Verdana" w:cs="Arial"/>
              </w:rPr>
              <w:t>,</w:t>
            </w:r>
            <w:r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w:t>
            </w:r>
          </w:p>
          <w:p w14:paraId="5B66E323" w14:textId="12A57224" w:rsidR="003B75B9" w:rsidRDefault="003B75B9" w:rsidP="001B0D8F">
            <w:pPr>
              <w:spacing w:after="120" w:line="276" w:lineRule="auto"/>
              <w:ind w:firstLine="709"/>
              <w:jc w:val="both"/>
              <w:rPr>
                <w:rFonts w:ascii="Verdana" w:eastAsia="Calibri" w:hAnsi="Verdana" w:cs="Arial"/>
              </w:rPr>
            </w:pPr>
            <w:r w:rsidRPr="00073658">
              <w:rPr>
                <w:rFonts w:ascii="Verdana" w:eastAsia="Calibri" w:hAnsi="Verdana" w:cs="Arial"/>
              </w:rPr>
              <w:t xml:space="preserve">Este sistema está compuesto por cinco medidas: herramientas de planeación para procesos inclusivos, criterios habilitantes diferenciales, puntaje adicional del </w:t>
            </w:r>
            <w:r w:rsidR="006253CB">
              <w:rPr>
                <w:rFonts w:ascii="Verdana" w:eastAsia="Calibri" w:hAnsi="Verdana" w:cs="Arial"/>
              </w:rPr>
              <w:t>dos por ciento (</w:t>
            </w:r>
            <w:r w:rsidRPr="00073658">
              <w:rPr>
                <w:rFonts w:ascii="Verdana" w:eastAsia="Calibri" w:hAnsi="Verdana" w:cs="Arial"/>
              </w:rPr>
              <w:t>2%</w:t>
            </w:r>
            <w:r w:rsidR="006253CB">
              <w:rPr>
                <w:rFonts w:ascii="Verdana" w:eastAsia="Calibri" w:hAnsi="Verdana" w:cs="Arial"/>
              </w:rPr>
              <w:t>)</w:t>
            </w:r>
            <w:r w:rsidRPr="00073658">
              <w:rPr>
                <w:rFonts w:ascii="Verdana" w:eastAsia="Calibri" w:hAnsi="Verdana" w:cs="Arial"/>
              </w:rPr>
              <w:t>,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15248EBC" w14:textId="23704092" w:rsidR="003B75B9" w:rsidRDefault="003B75B9" w:rsidP="001B0D8F">
            <w:pPr>
              <w:spacing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w:t>
            </w:r>
            <w:r w:rsidR="006253CB">
              <w:rPr>
                <w:rFonts w:ascii="Verdana" w:eastAsia="Calibri" w:hAnsi="Verdana" w:cs="Arial"/>
              </w:rPr>
              <w:t>cincuenta por ciento (</w:t>
            </w:r>
            <w:r w:rsidRPr="00073658">
              <w:rPr>
                <w:rFonts w:ascii="Verdana" w:eastAsia="Calibri" w:hAnsi="Verdana" w:cs="Arial"/>
              </w:rPr>
              <w:t>50%</w:t>
            </w:r>
            <w:r w:rsidR="006253CB">
              <w:rPr>
                <w:rFonts w:ascii="Verdana" w:eastAsia="Calibri" w:hAnsi="Verdana" w:cs="Arial"/>
              </w:rPr>
              <w:t>)</w:t>
            </w:r>
            <w:r w:rsidRPr="00073658">
              <w:rPr>
                <w:rFonts w:ascii="Verdana" w:eastAsia="Calibri" w:hAnsi="Verdana" w:cs="Arial"/>
              </w:rPr>
              <w:t xml:space="preserve">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w:t>
            </w:r>
            <w:r w:rsidRPr="00073658">
              <w:rPr>
                <w:rFonts w:ascii="Verdana" w:eastAsia="Calibri" w:hAnsi="Verdana" w:cs="Arial"/>
              </w:rPr>
              <w:lastRenderedPageBreak/>
              <w:t xml:space="preserve">2025 (Reforma Laboral). </w:t>
            </w:r>
            <w:r>
              <w:rPr>
                <w:rFonts w:ascii="Verdana" w:eastAsia="Calibri" w:hAnsi="Verdana" w:cs="Arial"/>
              </w:rPr>
              <w:t>Estos sujetos no tienen en cuenta el género, es decir si son PcD hombres o mujeres, por lo que la definición es aplicable independientemente del género de la PcD y no afecta las medidas afirmativas a aplicar. Por otra parte, c</w:t>
            </w:r>
            <w:r w:rsidRPr="00073658">
              <w:rPr>
                <w:rFonts w:ascii="Verdana" w:eastAsia="Calibri" w:hAnsi="Verdana" w:cs="Arial"/>
              </w:rPr>
              <w:t>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36846DAE" w14:textId="00B17D9F" w:rsidR="003B75B9" w:rsidRDefault="003B75B9" w:rsidP="001B0D8F">
            <w:pPr>
              <w:spacing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xml:space="preserve">. El artículo 2.2.1.2.4.2.7.4. del Decreto 0287 de 2026 es explícito al disponer que, aunque el proponente acredite simultáneamente ser emprendimiento o empresa de PcD y ser empleador de PcD, el puntaje máximo a otorgar por este criterio es siempre el </w:t>
            </w:r>
            <w:r w:rsidR="001152EA">
              <w:rPr>
                <w:rFonts w:ascii="Verdana" w:eastAsia="Calibri" w:hAnsi="Verdana" w:cs="Arial"/>
              </w:rPr>
              <w:t>dos por ciento (</w:t>
            </w:r>
            <w:r w:rsidRPr="00073658">
              <w:rPr>
                <w:rFonts w:ascii="Verdana" w:eastAsia="Calibri" w:hAnsi="Verdana" w:cs="Arial"/>
              </w:rPr>
              <w:t>2%</w:t>
            </w:r>
            <w:r w:rsidR="001152EA">
              <w:rPr>
                <w:rFonts w:ascii="Verdana" w:eastAsia="Calibri" w:hAnsi="Verdana" w:cs="Arial"/>
              </w:rPr>
              <w:t>)</w:t>
            </w:r>
            <w:r w:rsidRPr="00073658">
              <w:rPr>
                <w:rFonts w:ascii="Verdana" w:eastAsia="Calibri" w:hAnsi="Verdana" w:cs="Arial"/>
              </w:rPr>
              <w:t xml:space="preserve"> del total de los puntos del pliego, sin que las condiciones acreditadas sean sumables para efectos de la evaluación de la oferta</w:t>
            </w:r>
            <w:r>
              <w:rPr>
                <w:rFonts w:ascii="Verdana" w:eastAsia="Calibri" w:hAnsi="Verdana" w:cs="Arial"/>
              </w:rPr>
              <w:t xml:space="preserve">, y tampoco es posible disminuir ese porcentaje de puntos ya que siempre será el </w:t>
            </w:r>
            <w:r w:rsidR="00AB7A30">
              <w:rPr>
                <w:rFonts w:ascii="Verdana" w:eastAsia="Calibri" w:hAnsi="Verdana" w:cs="Arial"/>
              </w:rPr>
              <w:t>dos por ciento</w:t>
            </w:r>
            <w:r>
              <w:rPr>
                <w:rFonts w:ascii="Verdana" w:eastAsia="Calibri" w:hAnsi="Verdana" w:cs="Arial"/>
              </w:rPr>
              <w:t xml:space="preserve"> </w:t>
            </w:r>
            <w:r w:rsidR="00AB7A30">
              <w:rPr>
                <w:rFonts w:ascii="Verdana" w:eastAsia="Calibri" w:hAnsi="Verdana" w:cs="Arial"/>
              </w:rPr>
              <w:t>(</w:t>
            </w:r>
            <w:r>
              <w:rPr>
                <w:rFonts w:ascii="Verdana" w:eastAsia="Calibri" w:hAnsi="Verdana" w:cs="Arial"/>
              </w:rPr>
              <w:t>2%</w:t>
            </w:r>
            <w:r w:rsidR="00AB7A30">
              <w:rPr>
                <w:rFonts w:ascii="Verdana" w:eastAsia="Calibri" w:hAnsi="Verdana" w:cs="Arial"/>
              </w:rPr>
              <w:t>)</w:t>
            </w:r>
            <w:r>
              <w:rPr>
                <w:rFonts w:ascii="Verdana" w:eastAsia="Calibri" w:hAnsi="Verdana" w:cs="Arial"/>
              </w:rPr>
              <w:t xml:space="preserve"> como lo establece el </w:t>
            </w:r>
            <w:r w:rsidR="00AB7A30">
              <w:rPr>
                <w:rFonts w:ascii="Verdana" w:eastAsia="Calibri" w:hAnsi="Verdana" w:cs="Arial"/>
              </w:rPr>
              <w:t>D</w:t>
            </w:r>
            <w:r>
              <w:rPr>
                <w:rFonts w:ascii="Verdana" w:eastAsia="Calibri" w:hAnsi="Verdana" w:cs="Arial"/>
              </w:rPr>
              <w:t>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00AB7A30">
              <w:rPr>
                <w:rFonts w:ascii="Verdana" w:hAnsi="Verdana"/>
              </w:rPr>
              <w:t xml:space="preserve"> – en adelante EGCAP</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11708C92" w14:textId="0F23C367" w:rsidR="003B75B9" w:rsidRDefault="003B75B9" w:rsidP="001B0D8F">
            <w:pPr>
              <w:spacing w:after="120" w:line="276" w:lineRule="auto"/>
              <w:ind w:firstLine="709"/>
              <w:jc w:val="both"/>
              <w:rPr>
                <w:rFonts w:ascii="Verdana" w:eastAsia="Times New Roman" w:hAnsi="Verdana" w:cs="Times New Roman"/>
              </w:rPr>
            </w:pPr>
            <w:r w:rsidRPr="00502309">
              <w:rPr>
                <w:rFonts w:ascii="Verdana" w:eastAsia="Times New Roman" w:hAnsi="Verdana" w:cs="Times New Roman"/>
              </w:rPr>
              <w:t xml:space="preserve">Para efectos de determinar el número mínimo de PcD que el proponente debe tener vinculadas en su planta de personal para acceder al puntaje, el artículo 2.2.1.2.4.2.7.4. del Decreto 0287 de 2026 establece </w:t>
            </w:r>
            <w:r>
              <w:rPr>
                <w:rFonts w:ascii="Verdana" w:eastAsia="Times New Roman" w:hAnsi="Verdana" w:cs="Times New Roman"/>
              </w:rPr>
              <w:t>una</w:t>
            </w:r>
            <w:r w:rsidRPr="00502309">
              <w:rPr>
                <w:rFonts w:ascii="Verdana" w:eastAsia="Times New Roman" w:hAnsi="Verdana" w:cs="Times New Roman"/>
              </w:rPr>
              <w:t xml:space="preserve"> tabla, que ya incorpora los mínimos exigidos por la Ley 2466 de 2025 (Reforma Laboral), de modo que el puntaje solo se otorga a quien </w:t>
            </w:r>
            <w:r>
              <w:rPr>
                <w:rFonts w:ascii="Verdana" w:eastAsia="Times New Roman" w:hAnsi="Verdana" w:cs="Times New Roman"/>
              </w:rPr>
              <w:t xml:space="preserve">cumpla lo indicado en la tabla. </w:t>
            </w:r>
            <w:r w:rsidRPr="0011290B">
              <w:rPr>
                <w:rFonts w:ascii="Verdana" w:eastAsia="Times New Roman" w:hAnsi="Verdana" w:cs="Times New Roman"/>
              </w:rPr>
              <w:t xml:space="preserve">El puntaje no se otorga por cumplir la ley sino por superarla: solo el proponente que acredite un número de PcD vinculadas igual o superior al indicado en la tabla tendrá derecho al puntaje adicional del </w:t>
            </w:r>
            <w:r w:rsidR="00CC2686">
              <w:rPr>
                <w:rFonts w:ascii="Verdana" w:eastAsia="Times New Roman" w:hAnsi="Verdana" w:cs="Times New Roman"/>
              </w:rPr>
              <w:t>dos por ciento</w:t>
            </w:r>
            <w:r w:rsidRPr="0011290B">
              <w:rPr>
                <w:rFonts w:ascii="Verdana" w:eastAsia="Times New Roman" w:hAnsi="Verdana" w:cs="Times New Roman"/>
              </w:rPr>
              <w:t xml:space="preserve"> </w:t>
            </w:r>
            <w:r w:rsidR="00CC2686">
              <w:rPr>
                <w:rFonts w:ascii="Verdana" w:eastAsia="Times New Roman" w:hAnsi="Verdana" w:cs="Times New Roman"/>
              </w:rPr>
              <w:t>(</w:t>
            </w:r>
            <w:r w:rsidRPr="0011290B">
              <w:rPr>
                <w:rFonts w:ascii="Verdana" w:eastAsia="Times New Roman" w:hAnsi="Verdana" w:cs="Times New Roman"/>
              </w:rPr>
              <w:t>2%</w:t>
            </w:r>
            <w:r w:rsidR="00CC2686">
              <w:rPr>
                <w:rFonts w:ascii="Verdana" w:eastAsia="Times New Roman" w:hAnsi="Verdana" w:cs="Times New Roman"/>
              </w:rPr>
              <w:t>)</w:t>
            </w:r>
            <w:r w:rsidRPr="0011290B">
              <w:rPr>
                <w:rFonts w:ascii="Verdana" w:eastAsia="Times New Roman" w:hAnsi="Verdana" w:cs="Times New Roman"/>
              </w:rPr>
              <w:t>.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r w:rsidRPr="00502309">
              <w:rPr>
                <w:rFonts w:ascii="Verdana" w:eastAsia="Times New Roman" w:hAnsi="Verdana" w:cs="Times New Roman"/>
              </w:rPr>
              <w:t xml:space="preserve">. </w:t>
            </w:r>
            <w:r>
              <w:rPr>
                <w:rFonts w:ascii="Verdana" w:eastAsia="Times New Roman" w:hAnsi="Verdana" w:cs="Times New Roman"/>
              </w:rPr>
              <w:t xml:space="preserve"> </w:t>
            </w:r>
          </w:p>
          <w:p w14:paraId="25CD8725" w14:textId="77777777" w:rsidR="003B75B9" w:rsidRDefault="003B75B9" w:rsidP="001B0D8F">
            <w:pPr>
              <w:spacing w:after="120" w:line="276" w:lineRule="auto"/>
              <w:ind w:firstLine="709"/>
              <w:jc w:val="both"/>
              <w:rPr>
                <w:rFonts w:ascii="Verdana" w:eastAsia="Calibri" w:hAnsi="Verdana" w:cs="Arial"/>
                <w:lang w:val="es-ES" w:eastAsia="es-ES"/>
              </w:rPr>
            </w:pPr>
            <w:r>
              <w:rPr>
                <w:rFonts w:ascii="Verdana" w:eastAsia="Calibri" w:hAnsi="Verdana" w:cs="Arial"/>
              </w:rPr>
              <w:lastRenderedPageBreak/>
              <w:t>De esta forma, si un proponente, de acuerdo con su planta de personal y la tabla establecida por la norma, acreditará dos (2) trabajadores con discapacidad para la obtención del puntaje, en caso de ser un proponente plural, se revisará la planta de personal del miembro que tenga mayor participación en el proponente plural, sin que sea posible que se revisen varias plantas de personal de los miembros del proponente plural, sino que solo se revisará la planta del miembro con mayor participación quien deberá contar con las personas con discapacidad que exige la norma en caso de que quiera acceder al puntaje, y no es posible que cada miembro aporte la vinculación de las personas con discapacidad que exige el Decreto 287 de 2026 para otorgar los puntos allí señalados.</w:t>
            </w:r>
            <w:r>
              <w:rPr>
                <w:rFonts w:ascii="Verdana" w:eastAsia="Calibri" w:hAnsi="Verdana" w:cs="Arial"/>
                <w:lang w:val="es-ES" w:eastAsia="es-ES"/>
              </w:rPr>
              <w:t xml:space="preserve"> </w:t>
            </w:r>
          </w:p>
          <w:p w14:paraId="58C66291" w14:textId="623B9F46" w:rsidR="003B75B9" w:rsidRPr="00670CFB" w:rsidRDefault="003B75B9" w:rsidP="001B0D8F">
            <w:pPr>
              <w:spacing w:after="120" w:line="276" w:lineRule="auto"/>
              <w:ind w:firstLine="709"/>
              <w:jc w:val="both"/>
              <w:rPr>
                <w:rFonts w:ascii="Verdana" w:eastAsia="Calibri" w:hAnsi="Verdana" w:cs="Arial"/>
              </w:rPr>
            </w:pPr>
            <w:r>
              <w:rPr>
                <w:rFonts w:ascii="Verdana" w:eastAsia="Calibri" w:hAnsi="Verdana" w:cs="Arial"/>
              </w:rPr>
              <w:t xml:space="preserve">Finalmente, para resolver su pregunta sobre el proponente plural donde sus integrantes cuentan con el </w:t>
            </w:r>
            <w:r w:rsidR="002209C1">
              <w:rPr>
                <w:rFonts w:ascii="Verdana" w:eastAsia="Calibri" w:hAnsi="Verdana" w:cs="Arial"/>
              </w:rPr>
              <w:t>cincuenta por ciento (</w:t>
            </w:r>
            <w:r>
              <w:rPr>
                <w:rFonts w:ascii="Verdana" w:eastAsia="Calibri" w:hAnsi="Verdana" w:cs="Arial"/>
              </w:rPr>
              <w:t>50%</w:t>
            </w:r>
            <w:r w:rsidR="002209C1">
              <w:rPr>
                <w:rFonts w:ascii="Verdana" w:eastAsia="Calibri" w:hAnsi="Verdana" w:cs="Arial"/>
              </w:rPr>
              <w:t>)</w:t>
            </w:r>
            <w:r>
              <w:rPr>
                <w:rFonts w:ascii="Verdana" w:eastAsia="Calibri" w:hAnsi="Verdana" w:cs="Arial"/>
              </w:rPr>
              <w:t xml:space="preserve"> de participación cada uno, caso en el cual no se observa una mayoría de participación, es posible que cualquiera de los dos integrantes acredite la planta de personal, pero el otro miembro no podrá acreditar su planta de personal, ya que de acuerdo con la norma no es posible que cada miembro aporte vinculación de personas con discapacidad, sino que solo uno de los miembros del proponente plural debe proceder con la acreditación.</w:t>
            </w:r>
          </w:p>
        </w:tc>
      </w:tr>
    </w:tbl>
    <w:p w14:paraId="63EA2B69" w14:textId="77777777" w:rsidR="003B75B9" w:rsidRPr="00206556" w:rsidRDefault="003B75B9" w:rsidP="003B75B9">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299057E7" w14:textId="77777777" w:rsidR="003B75B9" w:rsidRPr="00206556" w:rsidRDefault="003B75B9" w:rsidP="003B75B9">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2188FCF4" w14:textId="77777777" w:rsidR="003B75B9" w:rsidRPr="00206556" w:rsidRDefault="003B75B9" w:rsidP="003B75B9">
      <w:pPr>
        <w:tabs>
          <w:tab w:val="left" w:pos="142"/>
          <w:tab w:val="left" w:pos="284"/>
        </w:tabs>
        <w:spacing w:after="0" w:line="276" w:lineRule="auto"/>
        <w:jc w:val="both"/>
        <w:rPr>
          <w:rFonts w:ascii="Verdana" w:eastAsia="Century Gothic" w:hAnsi="Verdana" w:cs="Century Gothic"/>
          <w:b/>
          <w:color w:val="ED7D31" w:themeColor="accent2"/>
          <w:lang w:val="es-ES"/>
        </w:rPr>
      </w:pPr>
    </w:p>
    <w:p w14:paraId="1F5CF3C9" w14:textId="77777777" w:rsidR="003B75B9" w:rsidRPr="00206556" w:rsidRDefault="003B75B9" w:rsidP="003B75B9">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4C012303" w14:textId="77777777" w:rsidR="003B75B9" w:rsidRPr="00206556" w:rsidRDefault="003B75B9" w:rsidP="003B75B9">
      <w:pPr>
        <w:spacing w:after="0" w:line="276" w:lineRule="auto"/>
        <w:jc w:val="both"/>
        <w:rPr>
          <w:rFonts w:ascii="Verdana" w:eastAsia="Calibri" w:hAnsi="Verdana" w:cs="Arial"/>
          <w:lang w:val="es-ES"/>
        </w:rPr>
      </w:pPr>
    </w:p>
    <w:p w14:paraId="62A8FE62" w14:textId="77777777" w:rsidR="003B75B9" w:rsidRPr="000C6B53" w:rsidRDefault="003B75B9" w:rsidP="003B75B9">
      <w:pPr>
        <w:spacing w:after="120" w:line="276" w:lineRule="auto"/>
        <w:jc w:val="both"/>
        <w:rPr>
          <w:rFonts w:ascii="Verdana" w:eastAsia="Calibri" w:hAnsi="Verdana" w:cs="Arial"/>
        </w:rPr>
      </w:pPr>
      <w:r w:rsidRPr="000C6B53">
        <w:rPr>
          <w:rFonts w:ascii="Verdana" w:eastAsia="Calibri" w:hAnsi="Verdana" w:cs="Arial"/>
          <w:lang w:val="es-ES"/>
        </w:rPr>
        <w:t xml:space="preserve">(i) </w:t>
      </w:r>
      <w:r w:rsidRPr="000C6B53">
        <w:rPr>
          <w:rFonts w:ascii="Verdana" w:eastAsia="Calibri" w:hAnsi="Verdana" w:cs="Arial"/>
        </w:rPr>
        <w:t xml:space="preserve">Para resolver el problema jurídico planteado, esta Agencia considera necesario partir del análisis de los antecedentes normativos que explican el origen, la finalidad y el alcance del Sistema Integral de Preferencias establecido por el Decreto 0287 de 2026, en la medida en que solo a partir de ese contexto es posible comprender las obligaciones concretas que dicho decreto impone a las entidades estatales y a los demás partícipes de la contratación pública. </w:t>
      </w:r>
    </w:p>
    <w:p w14:paraId="48A6BCD5" w14:textId="3E0DA1E7" w:rsidR="003B75B9" w:rsidRPr="000C6B53" w:rsidRDefault="003B75B9" w:rsidP="003B75B9">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El fundamento constitucional del Sistema de Preferencias en favor de las PcD en la contratación pública se encuentra en el principio de igualdad material o real y efectiva consagrado en el artículo 13 de la Constitución Política de 1991</w:t>
      </w:r>
      <w:r w:rsidRPr="000C6B53">
        <w:rPr>
          <w:rStyle w:val="Refdenotaalpie"/>
          <w:rFonts w:ascii="Verdana" w:eastAsia="Times New Roman" w:hAnsi="Verdana" w:cs="Times New Roman"/>
        </w:rPr>
        <w:footnoteReference w:id="1"/>
      </w:r>
      <w:r w:rsidRPr="000C6B53">
        <w:rPr>
          <w:rFonts w:ascii="Verdana" w:eastAsia="Times New Roman" w:hAnsi="Verdana" w:cs="Times New Roman"/>
        </w:rPr>
        <w:t xml:space="preserve">, </w:t>
      </w:r>
      <w:r w:rsidRPr="000C6B53">
        <w:rPr>
          <w:rFonts w:ascii="Verdana" w:eastAsia="Times New Roman" w:hAnsi="Verdana" w:cs="Times New Roman"/>
        </w:rPr>
        <w:lastRenderedPageBreak/>
        <w:t xml:space="preserve">el cual le impone al Estado el deber positivo de adoptar </w:t>
      </w:r>
      <w:r w:rsidRPr="000C6B53">
        <w:rPr>
          <w:rFonts w:ascii="Verdana" w:eastAsia="Times New Roman" w:hAnsi="Verdana" w:cs="Times New Roman"/>
          <w:i/>
          <w:iCs/>
        </w:rPr>
        <w:t>acciones afirmativas</w:t>
      </w:r>
      <w:r w:rsidRPr="000C6B53">
        <w:rPr>
          <w:rFonts w:ascii="Verdana" w:eastAsia="Times New Roman" w:hAnsi="Verdana" w:cs="Times New Roman"/>
        </w:rPr>
        <w:t xml:space="preserve"> en favor de grupos históricamente excluidos, dirigidas a corregir situaciones de discriminación estructural que los afectan. En desarrollo de este mandato, la Corte Constitucional ha sostenido que tales medidas buscan contrarrestar los efectos de la discriminación y que el Estado puede establecer tratamientos diferenciales a favor de estos grupos en aras de lograr una igualdad real y efectiva. A su vez, los artículos 47 y 54 de la Carta Política refuerzan este mandato al ordenar políticas de integración social y ubicación laboral para las PcD</w:t>
      </w:r>
      <w:r w:rsidRPr="000C6B53">
        <w:rPr>
          <w:rStyle w:val="Refdenotaalpie"/>
          <w:rFonts w:ascii="Verdana" w:eastAsia="Times New Roman" w:hAnsi="Verdana" w:cs="Times New Roman"/>
        </w:rPr>
        <w:footnoteReference w:id="2"/>
      </w:r>
      <w:r w:rsidRPr="000C6B53">
        <w:rPr>
          <w:rFonts w:ascii="Verdana" w:eastAsia="Times New Roman" w:hAnsi="Verdana" w:cs="Times New Roman"/>
        </w:rPr>
        <w:t>.</w:t>
      </w:r>
    </w:p>
    <w:p w14:paraId="3FA7103F" w14:textId="77777777" w:rsidR="003B75B9" w:rsidRPr="000C6B53" w:rsidRDefault="003B75B9" w:rsidP="003B75B9">
      <w:pPr>
        <w:spacing w:after="120" w:line="276" w:lineRule="auto"/>
        <w:ind w:firstLine="708"/>
        <w:jc w:val="both"/>
        <w:rPr>
          <w:rFonts w:ascii="Verdana" w:hAnsi="Verdana"/>
        </w:rPr>
      </w:pPr>
      <w:r w:rsidRPr="000C6B53">
        <w:rPr>
          <w:rFonts w:ascii="Verdana" w:eastAsia="Times New Roman" w:hAnsi="Verdana" w:cs="Times New Roman"/>
        </w:rPr>
        <w:t>En el plano internacional, Colombia es Estado Parte de diversos instrumentos que conforman el Bloque de Constitucionalidad en los términos del artículo 93 superior. En particular, la Convención sobre los Derechos de las Personas con Discapacidad de la ONU</w:t>
      </w:r>
      <w:r w:rsidRPr="000C6B53">
        <w:rPr>
          <w:rStyle w:val="Refdenotaalpie"/>
          <w:rFonts w:ascii="Verdana" w:eastAsia="Times New Roman" w:hAnsi="Verdana" w:cs="Times New Roman"/>
        </w:rPr>
        <w:footnoteReference w:id="3"/>
      </w:r>
      <w:r w:rsidRPr="000C6B53">
        <w:rPr>
          <w:rFonts w:ascii="Verdana" w:eastAsia="Times New Roman" w:hAnsi="Verdana" w:cs="Times New Roman"/>
        </w:rPr>
        <w:t xml:space="preserve"> reconoce el derecho de las PcD a trabajar en igualdad de condiciones y exige programas de acción afirmativa. De igual forma, la Convención Interamericana para la Eliminación de todas las Formas de Discriminación</w:t>
      </w:r>
      <w:r w:rsidRPr="000C6B53">
        <w:rPr>
          <w:rStyle w:val="Refdenotaalpie"/>
          <w:rFonts w:ascii="Verdana" w:eastAsia="Times New Roman" w:hAnsi="Verdana" w:cs="Times New Roman"/>
        </w:rPr>
        <w:footnoteReference w:id="4"/>
      </w:r>
      <w:r w:rsidRPr="000C6B53">
        <w:rPr>
          <w:rFonts w:ascii="Verdana" w:eastAsia="Times New Roman" w:hAnsi="Verdana" w:cs="Times New Roman"/>
        </w:rPr>
        <w:t xml:space="preserve"> ordena eliminar progresivamente la discriminación en la prestación de servicios, incluido el empleo. Finalmente, el Convenio 159 de la OIT</w:t>
      </w:r>
      <w:r w:rsidRPr="000C6B53">
        <w:rPr>
          <w:rStyle w:val="Refdenotaalpie"/>
          <w:rFonts w:ascii="Verdana" w:eastAsia="Times New Roman" w:hAnsi="Verdana" w:cs="Times New Roman"/>
        </w:rPr>
        <w:footnoteReference w:id="5"/>
      </w:r>
      <w:r w:rsidRPr="000C6B53">
        <w:rPr>
          <w:rFonts w:ascii="Verdana" w:eastAsia="Times New Roman" w:hAnsi="Verdana" w:cs="Times New Roman"/>
        </w:rPr>
        <w:t xml:space="preserve"> exige medidas orientadas a garantizar la igualdad de oportunidades de todas las categorías de PcD en materia de empleo.</w:t>
      </w:r>
    </w:p>
    <w:p w14:paraId="072704B3" w14:textId="2C08F6EE" w:rsidR="003B75B9" w:rsidRPr="000C6B53" w:rsidRDefault="003B75B9" w:rsidP="003B75B9">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En desarrollo de estos mandatos</w:t>
      </w:r>
      <w:r w:rsidR="00D575F4">
        <w:rPr>
          <w:rFonts w:ascii="Verdana" w:eastAsia="Times New Roman" w:hAnsi="Verdana" w:cs="Times New Roman"/>
        </w:rPr>
        <w:t xml:space="preserve"> </w:t>
      </w:r>
      <w:r w:rsidRPr="000C6B53">
        <w:rPr>
          <w:rFonts w:ascii="Verdana" w:eastAsia="Times New Roman" w:hAnsi="Verdana" w:cs="Times New Roman"/>
        </w:rPr>
        <w:t>con rango constitucional,</w:t>
      </w:r>
      <w:r w:rsidRPr="000C6B53">
        <w:rPr>
          <w:rFonts w:ascii="Verdana" w:eastAsia="Times New Roman" w:hAnsi="Verdana" w:cs="Times New Roman"/>
          <w:b/>
          <w:bCs/>
        </w:rPr>
        <w:t xml:space="preserve"> </w:t>
      </w:r>
      <w:r w:rsidRPr="000C6B53">
        <w:rPr>
          <w:rFonts w:ascii="Verdana" w:eastAsia="Times New Roman" w:hAnsi="Verdana" w:cs="Times New Roman"/>
        </w:rPr>
        <w:t xml:space="preserve">la Ley 361 de 1997 estableció los primeros mecanismos de integración social de las PcD. Su artículo 24 introdujo una preferencia en igualdad de condiciones en licitaciones y adjudicaciones de contratos estatales para aquellos empleadores que tuvieran </w:t>
      </w:r>
      <w:r w:rsidRPr="000C6B53">
        <w:rPr>
          <w:rFonts w:ascii="Verdana" w:eastAsia="Times New Roman" w:hAnsi="Verdana" w:cs="Times New Roman"/>
        </w:rPr>
        <w:lastRenderedPageBreak/>
        <w:t>al menos el diez por ciento (10%) de su nómina compuesta por PcD</w:t>
      </w:r>
      <w:r w:rsidRPr="000C6B53">
        <w:rPr>
          <w:rStyle w:val="Refdenotaalpie"/>
          <w:rFonts w:ascii="Verdana" w:eastAsia="Times New Roman" w:hAnsi="Verdana" w:cs="Times New Roman"/>
        </w:rPr>
        <w:footnoteReference w:id="6"/>
      </w:r>
      <w:r w:rsidRPr="000C6B53">
        <w:rPr>
          <w:rFonts w:ascii="Verdana" w:eastAsia="Times New Roman" w:hAnsi="Verdana" w:cs="Times New Roman"/>
        </w:rPr>
        <w:t>. Esta norma vinculó por primera vez la contratación pública con la inclusión laboral de las PcD, pero su alcance era limitado en la medida que se trataba de una preferencia residual aplicable solo en caso de empate y que beneficiaba únicamente a los empleadores de PcD sin considerar a las propias PcD como proponentes o contratistas directos.</w:t>
      </w:r>
    </w:p>
    <w:p w14:paraId="7EEC0943" w14:textId="77777777" w:rsidR="003B75B9" w:rsidRPr="000C6B53" w:rsidRDefault="003B75B9" w:rsidP="003B75B9">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 xml:space="preserve">Posteriormente, la Ley Estatutaria 1618 de 2013 representó un avance sustancial en el marco jurídico de protección de las PcD, al definirlas como </w:t>
      </w:r>
      <w:r w:rsidRPr="000C6B53">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0C6B53">
        <w:rPr>
          <w:rStyle w:val="Refdenotaalpie"/>
          <w:rFonts w:ascii="Verdana" w:eastAsia="Times New Roman" w:hAnsi="Verdana" w:cs="Times New Roman"/>
          <w:i/>
          <w:iCs/>
        </w:rPr>
        <w:footnoteReference w:id="7"/>
      </w:r>
      <w:r w:rsidRPr="000C6B53">
        <w:rPr>
          <w:rFonts w:ascii="Verdana" w:eastAsia="Times New Roman" w:hAnsi="Verdana" w:cs="Times New Roman"/>
          <w:i/>
          <w:iCs/>
        </w:rPr>
        <w:t>.</w:t>
      </w:r>
      <w:r w:rsidRPr="000C6B53">
        <w:rPr>
          <w:rFonts w:ascii="Verdana" w:eastAsia="Times New Roman" w:hAnsi="Verdana" w:cs="Times New Roman"/>
        </w:rPr>
        <w:t xml:space="preserve"> En su artículo 13, numerales 1, 7 y 8, ordenó al Gobierno Nacional reglamentar: i) una puntuación adicional en licitación pública, concurso de méritos y contratación directa para empresas que vinculen PcD y para empresas de PcD; </w:t>
      </w:r>
      <w:proofErr w:type="spellStart"/>
      <w:r w:rsidRPr="000C6B53">
        <w:rPr>
          <w:rFonts w:ascii="Verdana" w:eastAsia="Times New Roman" w:hAnsi="Verdana" w:cs="Times New Roman"/>
        </w:rPr>
        <w:t>ii</w:t>
      </w:r>
      <w:proofErr w:type="spellEnd"/>
      <w:r w:rsidRPr="000C6B53">
        <w:rPr>
          <w:rFonts w:ascii="Verdana" w:eastAsia="Times New Roman" w:hAnsi="Verdana" w:cs="Times New Roman"/>
        </w:rPr>
        <w:t xml:space="preserve">) un sistema de preferencias para empleadores de PcD en la adjudicación; y </w:t>
      </w:r>
      <w:proofErr w:type="spellStart"/>
      <w:r w:rsidRPr="000C6B53">
        <w:rPr>
          <w:rFonts w:ascii="Verdana" w:eastAsia="Times New Roman" w:hAnsi="Verdana" w:cs="Times New Roman"/>
        </w:rPr>
        <w:t>iii</w:t>
      </w:r>
      <w:proofErr w:type="spellEnd"/>
      <w:r w:rsidRPr="000C6B53">
        <w:rPr>
          <w:rFonts w:ascii="Verdana" w:eastAsia="Times New Roman" w:hAnsi="Verdana" w:cs="Times New Roman"/>
        </w:rPr>
        <w:t xml:space="preserve">) </w:t>
      </w:r>
      <w:r w:rsidRPr="000C6B53">
        <w:rPr>
          <w:rFonts w:ascii="Verdana" w:eastAsia="Times New Roman" w:hAnsi="Verdana" w:cs="Times New Roman"/>
          <w:i/>
        </w:rPr>
        <w:t>un sistema de preferencias en favor de las propias PcD como contratistas</w:t>
      </w:r>
      <w:r w:rsidRPr="000C6B53">
        <w:rPr>
          <w:rStyle w:val="Refdenotaalpie"/>
          <w:rFonts w:ascii="Verdana" w:eastAsia="Times New Roman" w:hAnsi="Verdana" w:cs="Times New Roman"/>
        </w:rPr>
        <w:footnoteReference w:id="8"/>
      </w:r>
      <w:r w:rsidRPr="000C6B53">
        <w:rPr>
          <w:rFonts w:ascii="Verdana" w:eastAsia="Times New Roman" w:hAnsi="Verdana" w:cs="Times New Roman"/>
        </w:rPr>
        <w:t xml:space="preserve">. Este último mandato fue especialmente significativo porque introdujo el concepto de </w:t>
      </w:r>
      <w:r w:rsidRPr="000C6B53">
        <w:rPr>
          <w:rFonts w:ascii="Verdana" w:eastAsia="Times New Roman" w:hAnsi="Verdana" w:cs="Times New Roman"/>
          <w:i/>
          <w:iCs/>
        </w:rPr>
        <w:t>"sistema de preferencias"</w:t>
      </w:r>
      <w:r w:rsidRPr="000C6B53">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402C3F0F" w14:textId="77777777" w:rsidR="003B75B9" w:rsidRPr="000C6B53" w:rsidRDefault="003B75B9" w:rsidP="003B75B9">
      <w:pPr>
        <w:spacing w:after="120" w:line="276" w:lineRule="auto"/>
        <w:ind w:firstLine="709"/>
        <w:jc w:val="both"/>
        <w:rPr>
          <w:rFonts w:ascii="Verdana" w:hAnsi="Verdana"/>
        </w:rPr>
      </w:pPr>
      <w:r w:rsidRPr="000C6B53">
        <w:rPr>
          <w:rFonts w:ascii="Verdana" w:hAnsi="Verdana"/>
        </w:rPr>
        <w:t xml:space="preserve">En cumplimiento parcial de los numerales 1 y 8 del artículo 13 de la Ley 1618 de 2013, se expidió el Decreto 392 de 2018. Sin embargo, tal y como se reconoce en los considerandos del Decreto 0287 de 2026, dicha regulación presentó omisiones estructurales que frustraron la finalidad de la Ley Estatutaria. En efecto, el Decreto 392 de 2018 solo contempló el uno por ciento (1%) del puntaje para empleadores de PcD, sin incluir a las empresas de PcD; redujo el "sistema de preferencias" a un único criterio de desempate; y no previó </w:t>
      </w:r>
      <w:r w:rsidRPr="000C6B53">
        <w:rPr>
          <w:rFonts w:ascii="Verdana" w:hAnsi="Verdana"/>
        </w:rPr>
        <w:lastRenderedPageBreak/>
        <w:t>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7C7BF5B1" w14:textId="77777777" w:rsidR="003B75B9" w:rsidRPr="000C6B53" w:rsidRDefault="003B75B9" w:rsidP="003B75B9">
      <w:pPr>
        <w:spacing w:after="120" w:line="276" w:lineRule="auto"/>
        <w:ind w:firstLine="709"/>
        <w:jc w:val="both"/>
        <w:rPr>
          <w:rFonts w:ascii="Verdana" w:hAnsi="Verdana"/>
        </w:rPr>
      </w:pPr>
      <w:r w:rsidRPr="000C6B53">
        <w:rPr>
          <w:rFonts w:ascii="Verdana" w:hAnsi="Verdana"/>
        </w:rPr>
        <w:t xml:space="preserve">La insuficiencia del Decreto 392 de 2018 fue constatada judicialmente. La Sección Quinta del Consejo de Estado, mediante sentencia proferida dentro de una acción de cumplimiento del 12 de diciembre de 2024, radicación </w:t>
      </w:r>
      <w:proofErr w:type="spellStart"/>
      <w:r w:rsidRPr="000C6B53">
        <w:rPr>
          <w:rFonts w:ascii="Verdana" w:hAnsi="Verdana"/>
        </w:rPr>
        <w:t>n.°</w:t>
      </w:r>
      <w:proofErr w:type="spellEnd"/>
      <w:r w:rsidRPr="000C6B53">
        <w:rPr>
          <w:rFonts w:ascii="Verdana" w:hAnsi="Verdana"/>
        </w:rPr>
        <w:t xml:space="preserve"> 05001-23-33-000-2024-00847-01, M.P. Omar Joaquín Barreto Suárez, declaró el incumplimiento por parte del Gobierno Nacional del artículo 62 de la Ley 1996 de 2019, norma que ordenaba reglamentar las medidas del artículo 13 de la Ley 1618 de 2013. En dicha providencia, la Sala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A8D7FF0" w14:textId="7924A1A0" w:rsidR="003B75B9" w:rsidRDefault="003B75B9" w:rsidP="003B75B9">
      <w:pPr>
        <w:spacing w:after="120" w:line="276" w:lineRule="auto"/>
        <w:ind w:firstLine="709"/>
        <w:jc w:val="both"/>
        <w:rPr>
          <w:rFonts w:ascii="Verdana" w:hAnsi="Verdana"/>
        </w:rPr>
      </w:pPr>
      <w:r w:rsidRPr="000C6B53">
        <w:rPr>
          <w:rFonts w:ascii="Verdana" w:hAnsi="Verdana"/>
        </w:rPr>
        <w:t xml:space="preserve">En cumplimiento de esa decisión, fue expedido el Decreto 0287 de 2026, el cual, como se indicó en la respuesta del presente concepto, establece un Sistema Integral de Preferencias compuesto por cinco </w:t>
      </w:r>
      <w:r w:rsidR="00BB5284">
        <w:rPr>
          <w:rFonts w:ascii="Verdana" w:hAnsi="Verdana"/>
        </w:rPr>
        <w:t xml:space="preserve">(5) </w:t>
      </w:r>
      <w:r w:rsidRPr="000C6B53">
        <w:rPr>
          <w:rFonts w:ascii="Verdana" w:hAnsi="Verdana"/>
        </w:rPr>
        <w:t>medidas afirmativas que actúan en todas las fases del proceso contractual: planeación, selección, adjudicación y ejecución. Dicho sistema se orienta a beneficiar a dos sujetos diferenciados: los emprendimientos y empresas de PcD y los empleadores de PcD. A continuación, se desarrolla el alcance de cada aspecto del sistema planteado en los problemas jurídicos.</w:t>
      </w:r>
      <w:r w:rsidRPr="00E727F0">
        <w:rPr>
          <w:rFonts w:ascii="Verdana" w:hAnsi="Verdana"/>
        </w:rPr>
        <w:t xml:space="preserve"> </w:t>
      </w:r>
    </w:p>
    <w:p w14:paraId="6171DEBF" w14:textId="6610503E" w:rsidR="003B75B9" w:rsidRDefault="003B75B9" w:rsidP="002B19B5">
      <w:pPr>
        <w:spacing w:after="0" w:line="276" w:lineRule="auto"/>
        <w:ind w:firstLine="708"/>
        <w:jc w:val="both"/>
        <w:rPr>
          <w:rFonts w:ascii="Verdana" w:eastAsia="Times New Roman" w:hAnsi="Verdana" w:cs="Times New Roman"/>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 xml:space="preserve">Uno de los incentivos centrales que el Decreto 0287 de 2026 establece en favor de los partícipes del sistema es el puntaje adicional del </w:t>
      </w:r>
      <w:r w:rsidR="00321718">
        <w:rPr>
          <w:rFonts w:ascii="Verdana" w:eastAsia="Times New Roman" w:hAnsi="Verdana" w:cs="Times New Roman"/>
        </w:rPr>
        <w:t>dos por ciento (</w:t>
      </w:r>
      <w:r w:rsidRPr="00E727F0">
        <w:rPr>
          <w:rFonts w:ascii="Verdana" w:eastAsia="Times New Roman" w:hAnsi="Verdana" w:cs="Times New Roman"/>
        </w:rPr>
        <w:t>2%</w:t>
      </w:r>
      <w:r w:rsidR="00321718">
        <w:rPr>
          <w:rFonts w:ascii="Verdana" w:eastAsia="Times New Roman" w:hAnsi="Verdana" w:cs="Times New Roman"/>
        </w:rPr>
        <w:t>)</w:t>
      </w:r>
      <w:r w:rsidRPr="00E727F0">
        <w:rPr>
          <w:rFonts w:ascii="Verdana" w:eastAsia="Times New Roman" w:hAnsi="Verdana" w:cs="Times New Roman"/>
        </w:rPr>
        <w:t xml:space="preserve">, previsto en el artículo 2.2.1.2.4.2.7.4. del Decreto 1082 de 2015 (modificado). Este puntaje puede obtenerse acreditando cualquiera de las dos condiciones que la norma contempla: ser emprendimiento o empresa de PcD, conforme a las categorías del artículo 2.2.1.2.4.2.6., o ser empleador de PcD que supere los mínimos de vinculación exigidos por la Ley 2466 de 2025 (Reforma Laboral). Sin embargo, el hecho de que ambas condiciones puedan </w:t>
      </w:r>
      <w:r w:rsidRPr="00E727F0">
        <w:rPr>
          <w:rFonts w:ascii="Verdana" w:eastAsia="Times New Roman" w:hAnsi="Verdana" w:cs="Times New Roman"/>
        </w:rPr>
        <w:lastRenderedPageBreak/>
        <w:t>acreditarse simultáneamente no significa que el puntaje sea acumulable. El mismo artículo es explícito al disponer que:</w:t>
      </w:r>
    </w:p>
    <w:p w14:paraId="1AE339C3" w14:textId="77777777" w:rsidR="002B19B5" w:rsidRPr="00E727F0" w:rsidRDefault="002B19B5" w:rsidP="001B0D8F">
      <w:pPr>
        <w:spacing w:after="0" w:line="276" w:lineRule="auto"/>
        <w:ind w:firstLine="708"/>
        <w:jc w:val="both"/>
        <w:rPr>
          <w:rFonts w:ascii="Verdana" w:hAnsi="Verdana"/>
        </w:rPr>
      </w:pPr>
    </w:p>
    <w:p w14:paraId="687B26F1" w14:textId="6A47F205" w:rsidR="003B75B9" w:rsidRPr="00E727F0" w:rsidRDefault="00A24D3F" w:rsidP="001B0D8F">
      <w:pPr>
        <w:spacing w:after="0"/>
        <w:ind w:left="709" w:right="709"/>
        <w:jc w:val="both"/>
        <w:rPr>
          <w:rFonts w:ascii="Verdana" w:hAnsi="Verdana"/>
          <w:sz w:val="20"/>
          <w:szCs w:val="20"/>
        </w:rPr>
      </w:pPr>
      <w:r>
        <w:rPr>
          <w:rFonts w:ascii="Verdana" w:eastAsia="Times New Roman" w:hAnsi="Verdana" w:cs="Times New Roman"/>
          <w:i/>
          <w:iCs/>
          <w:sz w:val="20"/>
          <w:szCs w:val="20"/>
        </w:rPr>
        <w:t>“</w:t>
      </w:r>
      <w:r w:rsidR="003B75B9" w:rsidRPr="00E727F0">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r>
        <w:rPr>
          <w:rFonts w:ascii="Verdana" w:eastAsia="Times New Roman" w:hAnsi="Verdana" w:cs="Times New Roman"/>
          <w:i/>
          <w:iCs/>
          <w:sz w:val="20"/>
          <w:szCs w:val="20"/>
        </w:rPr>
        <w:t>”</w:t>
      </w:r>
    </w:p>
    <w:p w14:paraId="54B5C073" w14:textId="77777777" w:rsidR="00A24D3F" w:rsidRDefault="00A24D3F" w:rsidP="001B0D8F">
      <w:pPr>
        <w:spacing w:after="0" w:line="276" w:lineRule="auto"/>
        <w:ind w:firstLine="709"/>
        <w:jc w:val="both"/>
        <w:rPr>
          <w:rFonts w:ascii="Verdana" w:eastAsia="Times New Roman" w:hAnsi="Verdana" w:cs="Times New Roman"/>
        </w:rPr>
      </w:pPr>
    </w:p>
    <w:p w14:paraId="5791D86C" w14:textId="31DEFD36" w:rsidR="003B75B9" w:rsidRPr="00206556" w:rsidRDefault="003B75B9" w:rsidP="003B75B9">
      <w:pPr>
        <w:spacing w:after="120" w:line="276" w:lineRule="auto"/>
        <w:ind w:firstLine="709"/>
        <w:jc w:val="both"/>
        <w:rPr>
          <w:rFonts w:ascii="Verdana" w:hAnsi="Verdana"/>
        </w:rPr>
      </w:pPr>
      <w:r w:rsidRPr="00E727F0">
        <w:rPr>
          <w:rFonts w:ascii="Verdana" w:eastAsia="Times New Roman" w:hAnsi="Verdana" w:cs="Times New Roman"/>
        </w:rPr>
        <w:t xml:space="preserve">Esta decisión normativa responde a una razón de diseño del sistema: el </w:t>
      </w:r>
      <w:r w:rsidR="00A24D3F">
        <w:rPr>
          <w:rFonts w:ascii="Verdana" w:eastAsia="Times New Roman" w:hAnsi="Verdana" w:cs="Times New Roman"/>
        </w:rPr>
        <w:t>dos por ciento (</w:t>
      </w:r>
      <w:r w:rsidRPr="00E727F0">
        <w:rPr>
          <w:rFonts w:ascii="Verdana" w:eastAsia="Times New Roman" w:hAnsi="Verdana" w:cs="Times New Roman"/>
        </w:rPr>
        <w:t>2%</w:t>
      </w:r>
      <w:r w:rsidR="00A24D3F">
        <w:rPr>
          <w:rFonts w:ascii="Verdana" w:eastAsia="Times New Roman" w:hAnsi="Verdana" w:cs="Times New Roman"/>
        </w:rPr>
        <w:t>)</w:t>
      </w:r>
      <w:r w:rsidRPr="00E727F0">
        <w:rPr>
          <w:rFonts w:ascii="Verdana" w:eastAsia="Times New Roman" w:hAnsi="Verdana" w:cs="Times New Roman"/>
        </w:rPr>
        <w:t xml:space="preserve"> ya incorpora el estímulo suficiente para promover la inclusión de PcD,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w:t>
      </w:r>
      <w:r w:rsidR="00A24D3F">
        <w:rPr>
          <w:rFonts w:ascii="Verdana" w:eastAsia="Times New Roman" w:hAnsi="Verdana" w:cs="Times New Roman"/>
        </w:rPr>
        <w:t>dos por ciento (</w:t>
      </w:r>
      <w:r w:rsidRPr="00E727F0">
        <w:rPr>
          <w:rFonts w:ascii="Verdana" w:eastAsia="Times New Roman" w:hAnsi="Verdana" w:cs="Times New Roman"/>
        </w:rPr>
        <w:t>2%</w:t>
      </w:r>
      <w:r w:rsidR="00A24D3F">
        <w:rPr>
          <w:rFonts w:ascii="Verdana" w:eastAsia="Times New Roman" w:hAnsi="Verdana" w:cs="Times New Roman"/>
        </w:rPr>
        <w:t>)</w:t>
      </w:r>
      <w:r w:rsidRPr="00E727F0">
        <w:rPr>
          <w:rFonts w:ascii="Verdana" w:eastAsia="Times New Roman" w:hAnsi="Verdana" w:cs="Times New Roman"/>
        </w:rPr>
        <w:t xml:space="preserve">, sin variación. En términos prácticos, en una licitación de 1.000 puntos el </w:t>
      </w:r>
      <w:r w:rsidR="00A24D3F">
        <w:rPr>
          <w:rFonts w:ascii="Verdana" w:eastAsia="Times New Roman" w:hAnsi="Verdana" w:cs="Times New Roman"/>
        </w:rPr>
        <w:t>dos por ciento (</w:t>
      </w:r>
      <w:r w:rsidRPr="00E727F0">
        <w:rPr>
          <w:rFonts w:ascii="Verdana" w:eastAsia="Times New Roman" w:hAnsi="Verdana" w:cs="Times New Roman"/>
        </w:rPr>
        <w:t>2%</w:t>
      </w:r>
      <w:r w:rsidR="00A24D3F">
        <w:rPr>
          <w:rFonts w:ascii="Verdana" w:eastAsia="Times New Roman" w:hAnsi="Verdana" w:cs="Times New Roman"/>
        </w:rPr>
        <w:t>)</w:t>
      </w:r>
      <w:r w:rsidRPr="00E727F0">
        <w:rPr>
          <w:rFonts w:ascii="Verdana" w:eastAsia="Times New Roman" w:hAnsi="Verdana" w:cs="Times New Roman"/>
        </w:rPr>
        <w:t xml:space="preserve"> equivale a 20 puntos adicionales, ventaja que puede ser determinante en escenarios de puntuaciones cercanas.</w:t>
      </w:r>
    </w:p>
    <w:p w14:paraId="11287E28" w14:textId="77777777" w:rsidR="003B75B9" w:rsidRPr="00D22B7C" w:rsidRDefault="003B75B9" w:rsidP="001B0D8F">
      <w:pPr>
        <w:spacing w:after="0" w:line="276" w:lineRule="auto"/>
        <w:ind w:firstLine="709"/>
        <w:jc w:val="both"/>
        <w:rPr>
          <w:rFonts w:ascii="Verdana" w:hAnsi="Verdana"/>
        </w:rPr>
      </w:pPr>
      <w:r w:rsidRPr="00206556">
        <w:rPr>
          <w:rFonts w:ascii="Verdana" w:eastAsia="Times New Roman" w:hAnsi="Verdana" w:cs="Times New Roman"/>
        </w:rPr>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En cuanto a la exigencia del número mínimo de PcD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PcD,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597C6C9E" w14:textId="77777777" w:rsidR="003B75B9" w:rsidRPr="00D22B7C" w:rsidRDefault="003B75B9" w:rsidP="001B0D8F">
      <w:pPr>
        <w:spacing w:after="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3B75B9" w:rsidRPr="00D22B7C" w14:paraId="5FB384D1" w14:textId="77777777" w:rsidTr="001B0D8F">
        <w:trPr>
          <w:trHeight w:val="1082"/>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55FCA0F"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6D76111"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b/>
                <w:bCs/>
              </w:rPr>
              <w:t>Número mínimo de trabajadores con discapacidad requerido</w:t>
            </w:r>
          </w:p>
        </w:tc>
      </w:tr>
      <w:tr w:rsidR="003B75B9" w:rsidRPr="00D22B7C" w14:paraId="673448F6" w14:textId="77777777" w:rsidTr="00533C46">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4FB363F"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45CCD14"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2</w:t>
            </w:r>
          </w:p>
        </w:tc>
      </w:tr>
      <w:tr w:rsidR="003B75B9" w:rsidRPr="00D22B7C" w14:paraId="183AB565" w14:textId="77777777" w:rsidTr="00533C46">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BDFF742"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A1D7C6A"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3</w:t>
            </w:r>
          </w:p>
        </w:tc>
      </w:tr>
      <w:tr w:rsidR="003B75B9" w:rsidRPr="00D22B7C" w14:paraId="46C86A0A" w14:textId="77777777" w:rsidTr="00533C46">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F4D90BA"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DB5E969"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4</w:t>
            </w:r>
          </w:p>
        </w:tc>
      </w:tr>
      <w:tr w:rsidR="003B75B9" w:rsidRPr="00D22B7C" w14:paraId="195A6BC1" w14:textId="77777777" w:rsidTr="00533C46">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198D615"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lastRenderedPageBreak/>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F598BF1"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5</w:t>
            </w:r>
          </w:p>
        </w:tc>
      </w:tr>
      <w:tr w:rsidR="003B75B9" w:rsidRPr="00D22B7C" w14:paraId="71872EC2" w14:textId="77777777" w:rsidTr="00533C46">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CE47E5D"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4D098EB"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7</w:t>
            </w:r>
          </w:p>
        </w:tc>
      </w:tr>
      <w:tr w:rsidR="003B75B9" w:rsidRPr="00D22B7C" w14:paraId="124E21F4" w14:textId="77777777" w:rsidTr="00533C46">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A19BBF0"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84BE2F1"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10</w:t>
            </w:r>
          </w:p>
        </w:tc>
      </w:tr>
      <w:tr w:rsidR="003B75B9" w:rsidRPr="00D22B7C" w14:paraId="0D96EF5E" w14:textId="77777777" w:rsidTr="00533C46">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A793E6B"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85C7239"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12</w:t>
            </w:r>
          </w:p>
        </w:tc>
      </w:tr>
      <w:tr w:rsidR="003B75B9" w:rsidRPr="00D22B7C" w14:paraId="4BB84709" w14:textId="77777777" w:rsidTr="00533C46">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269A9F5"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AAA20C7"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14</w:t>
            </w:r>
          </w:p>
        </w:tc>
      </w:tr>
      <w:tr w:rsidR="003B75B9" w:rsidRPr="00D22B7C" w14:paraId="4401FA8D" w14:textId="77777777" w:rsidTr="00533C46">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78A0ED1"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6674D02"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16</w:t>
            </w:r>
          </w:p>
        </w:tc>
      </w:tr>
      <w:tr w:rsidR="003B75B9" w:rsidRPr="00D22B7C" w14:paraId="46215D44" w14:textId="77777777" w:rsidTr="00533C46">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AF5CF3D"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31C0CBB" w14:textId="77777777" w:rsidR="003B75B9" w:rsidRPr="00D22B7C" w:rsidRDefault="003B75B9" w:rsidP="001B0D8F">
            <w:pPr>
              <w:spacing w:after="0"/>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0903D2CC" w14:textId="77777777" w:rsidR="003B75B9" w:rsidRPr="00D22B7C" w:rsidRDefault="003B75B9" w:rsidP="003B75B9">
      <w:pPr>
        <w:spacing w:after="0" w:line="276" w:lineRule="auto"/>
        <w:rPr>
          <w:rFonts w:ascii="Verdana" w:hAnsi="Verdana"/>
        </w:rPr>
      </w:pPr>
    </w:p>
    <w:p w14:paraId="72BA8E75" w14:textId="03A1F267" w:rsidR="003B75B9" w:rsidRPr="00D22B7C" w:rsidRDefault="003B75B9" w:rsidP="003B75B9">
      <w:pPr>
        <w:spacing w:after="120" w:line="276" w:lineRule="auto"/>
        <w:ind w:firstLine="709"/>
        <w:jc w:val="both"/>
        <w:rPr>
          <w:rFonts w:ascii="Verdana" w:hAnsi="Verdana"/>
        </w:rPr>
      </w:pPr>
      <w:r w:rsidRPr="00D22B7C">
        <w:rPr>
          <w:rFonts w:ascii="Verdana" w:eastAsia="Times New Roman" w:hAnsi="Verdana" w:cs="Times New Roman"/>
        </w:rPr>
        <w:t xml:space="preserve">El puntaje no se otorga por cumplir la ley sino por superarla: solo el proponente que acredite un número de PcD vinculadas igual o superior al indicado en la tabla tendrá derecho al puntaje adicional del </w:t>
      </w:r>
      <w:r w:rsidR="00F801D1">
        <w:rPr>
          <w:rFonts w:ascii="Verdana" w:eastAsia="Times New Roman" w:hAnsi="Verdana" w:cs="Times New Roman"/>
        </w:rPr>
        <w:t>dos por ciento (</w:t>
      </w:r>
      <w:r w:rsidRPr="00D22B7C">
        <w:rPr>
          <w:rFonts w:ascii="Verdana" w:eastAsia="Times New Roman" w:hAnsi="Verdana" w:cs="Times New Roman"/>
        </w:rPr>
        <w:t>2%</w:t>
      </w:r>
      <w:r w:rsidR="00F801D1">
        <w:rPr>
          <w:rFonts w:ascii="Verdana" w:eastAsia="Times New Roman" w:hAnsi="Verdana" w:cs="Times New Roman"/>
        </w:rPr>
        <w:t>)</w:t>
      </w:r>
      <w:r w:rsidRPr="00D22B7C">
        <w:rPr>
          <w:rFonts w:ascii="Verdana" w:eastAsia="Times New Roman" w:hAnsi="Verdana" w:cs="Times New Roman"/>
        </w:rPr>
        <w:t>.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79F8211A" w14:textId="44AB7BB7" w:rsidR="003B75B9" w:rsidRDefault="003B75B9" w:rsidP="00F801D1">
      <w:pPr>
        <w:spacing w:after="0" w:line="276" w:lineRule="auto"/>
        <w:ind w:firstLine="709"/>
        <w:jc w:val="both"/>
        <w:rPr>
          <w:rFonts w:ascii="Verdana" w:eastAsia="Times New Roman" w:hAnsi="Verdana" w:cs="Times New Roman"/>
        </w:rPr>
      </w:pPr>
      <w:r w:rsidRPr="00D22B7C">
        <w:rPr>
          <w:rFonts w:ascii="Verdana" w:eastAsia="Times New Roman" w:hAnsi="Verdana" w:cs="Times New Roman"/>
        </w:rPr>
        <w:t>Acreditada esa vinculación, el decreto exige adicionalmente los certificados de aportes a seguridad social de los tres (3) meses anteriores a la presentación de la oferta respecto de cada PcD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01B5E969" w14:textId="77777777" w:rsidR="000C4E3D" w:rsidRPr="00D22B7C" w:rsidRDefault="000C4E3D" w:rsidP="001B0D8F">
      <w:pPr>
        <w:spacing w:after="0" w:line="276" w:lineRule="auto"/>
        <w:ind w:firstLine="709"/>
        <w:jc w:val="both"/>
        <w:rPr>
          <w:rFonts w:ascii="Verdana" w:hAnsi="Verdana"/>
        </w:rPr>
      </w:pPr>
    </w:p>
    <w:p w14:paraId="3F1AD35D" w14:textId="3AC81106" w:rsidR="003B75B9" w:rsidRDefault="003B75B9" w:rsidP="000C4E3D">
      <w:pPr>
        <w:spacing w:after="0" w:line="240" w:lineRule="auto"/>
        <w:ind w:left="709" w:right="709"/>
        <w:jc w:val="both"/>
        <w:rPr>
          <w:rFonts w:ascii="Verdana" w:eastAsia="Times New Roman" w:hAnsi="Verdana" w:cs="Times New Roman"/>
          <w:i/>
          <w:sz w:val="21"/>
          <w:szCs w:val="21"/>
        </w:rPr>
      </w:pPr>
      <w:r w:rsidRPr="003C3B8B">
        <w:rPr>
          <w:rFonts w:ascii="Verdana" w:eastAsia="Times New Roman" w:hAnsi="Verdana" w:cs="Times New Roman"/>
          <w:i/>
          <w:iCs/>
          <w:sz w:val="21"/>
          <w:szCs w:val="21"/>
        </w:rPr>
        <w:t>"no se exige vinculación de las PcD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2841EFA5" w14:textId="77777777" w:rsidR="000C4E3D" w:rsidRPr="003C3B8B" w:rsidRDefault="000C4E3D" w:rsidP="001B0D8F">
      <w:pPr>
        <w:spacing w:after="0" w:line="240" w:lineRule="auto"/>
        <w:ind w:left="709" w:right="709"/>
        <w:jc w:val="both"/>
        <w:rPr>
          <w:rFonts w:ascii="Verdana" w:hAnsi="Verdana"/>
          <w:sz w:val="21"/>
          <w:szCs w:val="21"/>
        </w:rPr>
      </w:pPr>
    </w:p>
    <w:p w14:paraId="032B6670" w14:textId="77777777" w:rsidR="003B75B9" w:rsidRDefault="003B75B9" w:rsidP="003B75B9">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El período de tres meses es el umbral mínimo de estabilidad laboral que diferencia un compromiso genuino con la inclusión de una vinculación oportunista. La norma aplica este requisito para cada PcD incluida en la acreditación, independientemente de si es una vinculación original o una nueva incorporación. Si una empresa ha incrementado recientemente su planta de PcD y alguna de estas vinculaciones no alcanza el período requerido, el proponente puede participar en el proceso utilizando únicamente las PcD que sí cumplan el requisito temporal. La consecuencia de no alcanzar el período no es la exclusión del proceso sino la imposibilidad de obtener el puntaje adicional respecto de esas PcD específicas, lo que es coherente con los principios de participación y pluralidad de oferentes.</w:t>
      </w:r>
    </w:p>
    <w:p w14:paraId="33058D63" w14:textId="77777777" w:rsidR="003B75B9" w:rsidRDefault="003B75B9" w:rsidP="003B75B9">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Es importante precisar que la vinculación de PcD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PcD,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PcD, los documentos requeridos son los establecidos en el artículo 2.2.1.2.4.2.6., que varían según la categoría que se acredite. En ningún caso los documentos del artículo 2.2.1.2.4.2.7.4. son exigibles a los emprendimientos y empresas de PcD,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PcD, por lo que no deben confundirse.</w:t>
      </w:r>
    </w:p>
    <w:p w14:paraId="770DD95E" w14:textId="77777777" w:rsidR="003B75B9" w:rsidRPr="00D22B7C" w:rsidRDefault="003B75B9" w:rsidP="003B75B9">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w:t>
      </w:r>
      <w:r w:rsidRPr="00206556">
        <w:rPr>
          <w:rFonts w:ascii="Verdana" w:hAnsi="Verdana"/>
        </w:rPr>
        <w:lastRenderedPageBreak/>
        <w:t xml:space="preserve">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y la contratación directa tiene su propia medida afirmativa a través de los contratos de prestación de servicios con PcD.</w:t>
      </w:r>
    </w:p>
    <w:p w14:paraId="6958EA26" w14:textId="77777777" w:rsidR="003B75B9" w:rsidRPr="00670CFB" w:rsidRDefault="003B75B9" w:rsidP="003B75B9">
      <w:pPr>
        <w:spacing w:after="120" w:line="276" w:lineRule="auto"/>
        <w:ind w:firstLine="709"/>
        <w:jc w:val="both"/>
        <w:rPr>
          <w:rFonts w:ascii="Verdana" w:hAnsi="Verdana"/>
        </w:rPr>
      </w:pPr>
      <w:r w:rsidRPr="00206556">
        <w:rPr>
          <w:rFonts w:ascii="Verdana" w:hAnsi="Verdana"/>
        </w:rPr>
        <w:t>(</w:t>
      </w:r>
      <w:r>
        <w:rPr>
          <w:rFonts w:ascii="Verdana" w:hAnsi="Verdana"/>
        </w:rPr>
        <w:t>v</w:t>
      </w:r>
      <w:r w:rsidRPr="00206556">
        <w:rPr>
          <w:rFonts w:ascii="Verdana" w:hAnsi="Verdana"/>
        </w:rPr>
        <w:t xml:space="preserve">) </w:t>
      </w:r>
      <w:r w:rsidRPr="00670CFB">
        <w:rPr>
          <w:rFonts w:ascii="Verdana" w:hAnsi="Verdana"/>
        </w:rPr>
        <w:t>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PcD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131BAF84" w14:textId="63636CAC" w:rsidR="003B75B9" w:rsidRPr="00670CFB" w:rsidRDefault="003B75B9" w:rsidP="003B75B9">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000C4E3D">
        <w:rPr>
          <w:rFonts w:ascii="Verdana" w:hAnsi="Verdana"/>
        </w:rPr>
        <w:t>EGCAP</w:t>
      </w:r>
      <w:r>
        <w:rPr>
          <w:rFonts w:ascii="Verdana" w:hAnsi="Verdana"/>
        </w:rPr>
        <w:t xml:space="preserve"> </w:t>
      </w:r>
      <w:r w:rsidRPr="00670CFB">
        <w:rPr>
          <w:rFonts w:ascii="Verdana" w:hAnsi="Verdana"/>
        </w:rPr>
        <w:t xml:space="preserve">en licitación pública, concurso de méritos, mínima cuantía y selección abreviada, pero no en contratación directa, que tiene su propia medida afirmativa. Su omisión injustificada en los estudios previos puede </w:t>
      </w:r>
      <w:r w:rsidRPr="00670CFB">
        <w:rPr>
          <w:rFonts w:ascii="Verdana" w:hAnsi="Verdana"/>
        </w:rPr>
        <w:lastRenderedPageBreak/>
        <w:t>comprometer la legalidad de la planeación contractual al desconocer una obligación legal expresa.</w:t>
      </w:r>
    </w:p>
    <w:p w14:paraId="28290A29" w14:textId="04026469" w:rsidR="003B75B9" w:rsidRPr="00670CFB" w:rsidRDefault="003B75B9" w:rsidP="003B75B9">
      <w:pPr>
        <w:spacing w:after="120" w:line="276" w:lineRule="auto"/>
        <w:ind w:firstLine="709"/>
        <w:jc w:val="both"/>
        <w:rPr>
          <w:rFonts w:ascii="Verdana" w:hAnsi="Verdana"/>
        </w:rPr>
      </w:pPr>
      <w:r w:rsidRPr="00670CFB">
        <w:rPr>
          <w:rFonts w:ascii="Verdana" w:hAnsi="Verdana"/>
        </w:rPr>
        <w:t>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PcD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w:t>
      </w:r>
      <w:r w:rsidR="000C4E3D">
        <w:rPr>
          <w:rFonts w:ascii="Verdana" w:hAnsi="Verdana"/>
        </w:rPr>
        <w:t>diez por ciento (</w:t>
      </w:r>
      <w:r w:rsidRPr="00670CFB">
        <w:rPr>
          <w:rFonts w:ascii="Verdana" w:hAnsi="Verdana"/>
        </w:rPr>
        <w:t>10%</w:t>
      </w:r>
      <w:r w:rsidR="000C4E3D">
        <w:rPr>
          <w:rFonts w:ascii="Verdana" w:hAnsi="Verdana"/>
        </w:rPr>
        <w:t>)</w:t>
      </w:r>
      <w:r w:rsidRPr="00670CFB">
        <w:rPr>
          <w:rFonts w:ascii="Verdana" w:hAnsi="Verdana"/>
        </w:rPr>
        <w:t>, aportando la experiencia en proporción equivalente a su participación. Su omisión injustificada en el pliego de condiciones puede constituir una barrera de acceso contraria a los mandatos del decreto y comprometer la validez del proceso de selección.</w:t>
      </w:r>
    </w:p>
    <w:p w14:paraId="49778B01" w14:textId="231A1F19" w:rsidR="003B75B9" w:rsidRPr="00670CFB" w:rsidRDefault="003B75B9" w:rsidP="003B75B9">
      <w:pPr>
        <w:spacing w:after="120" w:line="276" w:lineRule="auto"/>
        <w:ind w:firstLine="709"/>
        <w:jc w:val="both"/>
        <w:rPr>
          <w:rFonts w:ascii="Verdana" w:hAnsi="Verdana"/>
        </w:rPr>
      </w:pPr>
      <w:r w:rsidRPr="00670CFB">
        <w:rPr>
          <w:rFonts w:ascii="Verdana" w:hAnsi="Verdana"/>
        </w:rPr>
        <w:t xml:space="preserve">La tercera medida es el puntaje adicional del </w:t>
      </w:r>
      <w:r w:rsidR="000C4E3D">
        <w:rPr>
          <w:rFonts w:ascii="Verdana" w:hAnsi="Verdana"/>
        </w:rPr>
        <w:t>dos por ciento (</w:t>
      </w:r>
      <w:r w:rsidRPr="00670CFB">
        <w:rPr>
          <w:rFonts w:ascii="Verdana" w:hAnsi="Verdana"/>
        </w:rPr>
        <w:t>2%</w:t>
      </w:r>
      <w:r w:rsidR="000C4E3D">
        <w:rPr>
          <w:rFonts w:ascii="Verdana" w:hAnsi="Verdana"/>
        </w:rPr>
        <w:t>)</w:t>
      </w:r>
      <w:r w:rsidRPr="00670CFB">
        <w:rPr>
          <w:rFonts w:ascii="Verdana" w:hAnsi="Verdana"/>
        </w:rPr>
        <w:t xml:space="preserve">,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w:t>
      </w:r>
      <w:r w:rsidR="000C4E3D">
        <w:rPr>
          <w:rFonts w:ascii="Verdana" w:hAnsi="Verdana"/>
        </w:rPr>
        <w:t>dos ciento (</w:t>
      </w:r>
      <w:r w:rsidRPr="00670CFB">
        <w:rPr>
          <w:rFonts w:ascii="Verdana" w:hAnsi="Verdana"/>
        </w:rPr>
        <w:t>2%</w:t>
      </w:r>
      <w:r w:rsidR="000C4E3D">
        <w:rPr>
          <w:rFonts w:ascii="Verdana" w:hAnsi="Verdana"/>
        </w:rPr>
        <w:t>)</w:t>
      </w:r>
      <w:r w:rsidRPr="00670CFB">
        <w:rPr>
          <w:rFonts w:ascii="Verdana" w:hAnsi="Verdana"/>
        </w:rPr>
        <w:t xml:space="preserve">, sin que las condiciones sean sumables. Aplica únicamente en entidades </w:t>
      </w:r>
      <w:r>
        <w:rPr>
          <w:rFonts w:ascii="Verdana" w:hAnsi="Verdana"/>
        </w:rPr>
        <w:t>sometidas al Estatuto General de Contratación Pública</w:t>
      </w:r>
      <w:r w:rsidRPr="00670CFB">
        <w:rPr>
          <w:rFonts w:ascii="Verdana" w:hAnsi="Verdana"/>
        </w:rPr>
        <w:t xml:space="preserve">, en licitación pública y concurso de méritos. La acreditación exige, entre otros documentos, los </w:t>
      </w:r>
      <w:r w:rsidRPr="00670CFB">
        <w:rPr>
          <w:rFonts w:ascii="Verdana" w:hAnsi="Verdana"/>
        </w:rPr>
        <w:lastRenderedPageBreak/>
        <w:t>certificados de aportes a seguridad social de los tres (3) meses anteriores a la presentación de la oferta para cada PcD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PcD vinculadas puede constituir causal de incumplimiento contractual, salvo que se demuestre fuerza mayor o caso fortuito, y en todo caso respetando el derecho a la estabilidad laboral reforzada de las PcD.</w:t>
      </w:r>
    </w:p>
    <w:p w14:paraId="0A1C837A" w14:textId="77777777" w:rsidR="003B75B9" w:rsidRPr="00670CFB" w:rsidRDefault="003B75B9" w:rsidP="003B75B9">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02EC9832" w14:textId="77777777" w:rsidR="003B75B9" w:rsidRPr="00670CFB" w:rsidRDefault="003B75B9" w:rsidP="003B75B9">
      <w:pPr>
        <w:spacing w:after="120" w:line="276" w:lineRule="auto"/>
        <w:ind w:firstLine="709"/>
        <w:jc w:val="both"/>
        <w:rPr>
          <w:rFonts w:ascii="Verdana" w:hAnsi="Verdana"/>
        </w:rPr>
      </w:pPr>
      <w:r w:rsidRPr="00670CFB">
        <w:rPr>
          <w:rFonts w:ascii="Verdana" w:hAnsi="Verdana"/>
        </w:rPr>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w:t>
      </w:r>
      <w:r w:rsidRPr="00670CFB">
        <w:rPr>
          <w:rFonts w:ascii="Verdana" w:hAnsi="Verdana"/>
        </w:rPr>
        <w:lastRenderedPageBreak/>
        <w:t>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49976478" w14:textId="77777777" w:rsidR="003B75B9" w:rsidRPr="00670CFB" w:rsidRDefault="003B75B9" w:rsidP="003B75B9">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4FF6332D" w14:textId="77777777" w:rsidR="003B75B9" w:rsidRPr="00670CFB" w:rsidRDefault="003B75B9" w:rsidP="001B0D8F">
      <w:pPr>
        <w:spacing w:after="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33161F30" w14:textId="77777777" w:rsidR="003B75B9" w:rsidRPr="00206556" w:rsidRDefault="003B75B9" w:rsidP="003B75B9">
      <w:pPr>
        <w:spacing w:after="0" w:line="276" w:lineRule="auto"/>
        <w:jc w:val="both"/>
        <w:rPr>
          <w:rFonts w:ascii="Verdana" w:eastAsia="Calibri" w:hAnsi="Verdana" w:cs="Arial"/>
          <w:lang w:val="es-ES"/>
        </w:rPr>
      </w:pPr>
    </w:p>
    <w:p w14:paraId="72B7461B" w14:textId="42D103C5" w:rsidR="003B75B9" w:rsidRPr="00206556" w:rsidRDefault="003B75B9" w:rsidP="000C4E3D">
      <w:pPr>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p w14:paraId="678A670B" w14:textId="77777777" w:rsidR="000C4E3D" w:rsidRPr="00206556" w:rsidRDefault="000C4E3D" w:rsidP="001B0D8F">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B75B9" w:rsidRPr="00206556" w14:paraId="4EDA4373" w14:textId="77777777" w:rsidTr="00533C46">
        <w:trPr>
          <w:trHeight w:val="297"/>
        </w:trPr>
        <w:tc>
          <w:tcPr>
            <w:tcW w:w="8647" w:type="dxa"/>
          </w:tcPr>
          <w:p w14:paraId="7C09798F" w14:textId="77777777" w:rsidR="003B75B9" w:rsidRPr="00670CFB"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1289579E"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39F2F4D5"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38A75E34"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07D5CE08"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304DB3EB"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2FFBFBE3"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70FB122C"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6AF51299"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56D77815"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2326AB40"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1D848620"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001A453B"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0ADEA67A"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1AA55916"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54575CC6"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368F06F0"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2809EFAB"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203C3BBB"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Consejo de Estado. Sala de Consulta y Servicio Civil. Concepto del 24 de julio de 2013. Rad. 2166. C.P. Álvaro Namén Vargas.</w:t>
            </w:r>
          </w:p>
          <w:p w14:paraId="41CC28C9"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5045752B"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13ACDDC6"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69C49EAA"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3707C044"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3F67C8BF"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0B8D0B46" w14:textId="77777777" w:rsidR="003B75B9" w:rsidRPr="00206556" w:rsidRDefault="003B75B9" w:rsidP="003B75B9">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3CF645A3" w14:textId="77777777" w:rsidR="003B75B9" w:rsidRPr="00206556" w:rsidRDefault="003B75B9" w:rsidP="00533C46">
            <w:pPr>
              <w:widowControl w:val="0"/>
              <w:autoSpaceDE w:val="0"/>
              <w:autoSpaceDN w:val="0"/>
              <w:spacing w:line="276" w:lineRule="auto"/>
              <w:jc w:val="both"/>
              <w:rPr>
                <w:rFonts w:ascii="Verdana" w:eastAsia="Arial MT" w:hAnsi="Verdana" w:cs="Arial"/>
                <w:lang w:val="es-ES" w:eastAsia="es-ES" w:bidi="es-ES"/>
              </w:rPr>
            </w:pPr>
          </w:p>
        </w:tc>
      </w:tr>
    </w:tbl>
    <w:p w14:paraId="265A6653" w14:textId="77777777" w:rsidR="003B75B9" w:rsidRPr="00206556" w:rsidRDefault="003B75B9" w:rsidP="003B75B9">
      <w:pPr>
        <w:widowControl w:val="0"/>
        <w:autoSpaceDE w:val="0"/>
        <w:autoSpaceDN w:val="0"/>
        <w:spacing w:after="0" w:line="276" w:lineRule="auto"/>
        <w:jc w:val="both"/>
        <w:rPr>
          <w:rFonts w:ascii="Verdana" w:hAnsi="Verdana" w:cs="Arial"/>
          <w:color w:val="ED7D31" w:themeColor="accent2"/>
          <w:lang w:val="es-ES"/>
        </w:rPr>
      </w:pPr>
    </w:p>
    <w:p w14:paraId="751445EE" w14:textId="77777777" w:rsidR="003B75B9" w:rsidRDefault="003B75B9" w:rsidP="003B75B9">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25CBBC1D" w14:textId="77777777" w:rsidR="003B75B9" w:rsidRPr="00670CFB" w:rsidRDefault="003B75B9" w:rsidP="003B75B9">
      <w:pPr>
        <w:tabs>
          <w:tab w:val="left" w:pos="142"/>
          <w:tab w:val="left" w:pos="284"/>
        </w:tabs>
        <w:spacing w:after="0" w:line="276" w:lineRule="auto"/>
        <w:jc w:val="both"/>
        <w:rPr>
          <w:rFonts w:ascii="Verdana" w:eastAsia="Century Gothic" w:hAnsi="Verdana" w:cs="Century Gothic"/>
          <w:b/>
          <w:lang w:val="es-ES"/>
        </w:rPr>
      </w:pPr>
    </w:p>
    <w:p w14:paraId="13FC79BB" w14:textId="77777777" w:rsidR="003B75B9" w:rsidRDefault="003B75B9" w:rsidP="003B75B9">
      <w:pPr>
        <w:spacing w:after="0" w:line="276" w:lineRule="auto"/>
        <w:jc w:val="both"/>
        <w:rPr>
          <w:rFonts w:ascii="Verdana" w:hAnsi="Verdana"/>
          <w:color w:val="ED7D31" w:themeColor="accent2"/>
          <w:lang w:val="es-ES"/>
        </w:rPr>
      </w:pPr>
      <w:r w:rsidRPr="00A66B26">
        <w:rPr>
          <w:rFonts w:ascii="Verdana" w:eastAsia="Calibri" w:hAnsi="Verdana" w:cs="Arial"/>
          <w:lang w:val="es-ES"/>
        </w:rPr>
        <w:t xml:space="preserve">La Agencia Nacional de Contratación Pública – Colombia Compra Eficiente se ha referido sobre el alcance del Decreto 0287 de 2026 en los conceptos C-473 del 7 de mayo de 2026, C-498 del 8 de mayo de </w:t>
      </w:r>
      <w:proofErr w:type="gramStart"/>
      <w:r w:rsidRPr="00A66B26">
        <w:rPr>
          <w:rFonts w:ascii="Verdana" w:eastAsia="Calibri" w:hAnsi="Verdana" w:cs="Arial"/>
          <w:lang w:val="es-ES"/>
        </w:rPr>
        <w:t>2026,</w:t>
      </w:r>
      <w:r>
        <w:rPr>
          <w:rFonts w:ascii="Verdana" w:eastAsia="Calibri" w:hAnsi="Verdana" w:cs="Arial"/>
          <w:lang w:val="es-ES"/>
        </w:rPr>
        <w:t>C</w:t>
      </w:r>
      <w:proofErr w:type="gramEnd"/>
      <w:r>
        <w:rPr>
          <w:rFonts w:ascii="Verdana" w:eastAsia="Calibri" w:hAnsi="Verdana" w:cs="Arial"/>
          <w:lang w:val="es-ES"/>
        </w:rPr>
        <w:t>-572 del 19 de mayo de 2026,</w:t>
      </w:r>
      <w:r w:rsidRPr="00A66B26">
        <w:rPr>
          <w:rFonts w:ascii="Verdana" w:eastAsia="Calibri" w:hAnsi="Verdana" w:cs="Arial"/>
          <w:lang w:val="es-ES"/>
        </w:rPr>
        <w:t xml:space="preserve"> C-576 del 19 de mayo de 2026, C-604 del 22 de mayo de 2026, C-686 del 28 de mayo de 2026, C-737 del 29 de mayo de 2026, C-654 del 1 de junio de 2026, C-745 del 2 de junio de 2026, C-672 del 3 de junio de 2026, C-907 del 15 de julio de 2026</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os</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2" w:history="1">
        <w:r w:rsidRPr="00206556">
          <w:rPr>
            <w:rStyle w:val="Hipervnculo"/>
            <w:rFonts w:ascii="Verdana" w:hAnsi="Verdana" w:cs="Arial"/>
            <w:shd w:val="clear" w:color="auto" w:fill="FFFFFF"/>
            <w:lang w:val="es-ES"/>
          </w:rPr>
          <w:t>https://relatoria.colombiacompra.gov.co/busqueda/conceptos</w:t>
        </w:r>
      </w:hyperlink>
    </w:p>
    <w:p w14:paraId="57D6C290" w14:textId="77777777" w:rsidR="003B75B9" w:rsidRDefault="003B75B9" w:rsidP="003B75B9">
      <w:pPr>
        <w:spacing w:after="0" w:line="276" w:lineRule="auto"/>
        <w:jc w:val="both"/>
        <w:rPr>
          <w:rFonts w:ascii="Verdana" w:hAnsi="Verdana"/>
          <w:color w:val="ED7D31" w:themeColor="accent2"/>
          <w:lang w:val="es-ES"/>
        </w:rPr>
      </w:pPr>
    </w:p>
    <w:p w14:paraId="64F30107" w14:textId="77777777" w:rsidR="003B75B9" w:rsidRDefault="003B75B9" w:rsidP="003B75B9">
      <w:pPr>
        <w:spacing w:after="0" w:line="276" w:lineRule="auto"/>
        <w:jc w:val="both"/>
        <w:rPr>
          <w:rFonts w:ascii="Verdana" w:hAnsi="Verdana"/>
          <w:lang w:val="es-ES"/>
        </w:rPr>
      </w:pPr>
      <w:r w:rsidRPr="00D26A47">
        <w:rPr>
          <w:rFonts w:ascii="Verdana" w:hAnsi="Verdana"/>
          <w:lang w:val="es-ES"/>
        </w:rPr>
        <w:t xml:space="preserve">Las garantías no son un requisito formal: son el instrumento con el que se protege el patrimonio público frente a los riesgos del contrato. Por ello, la Agencia Nacional de Contratación Pública –Colombia Compra Eficiente– te invita </w:t>
      </w:r>
      <w:r w:rsidRPr="00D26A47">
        <w:rPr>
          <w:rFonts w:ascii="Verdana" w:hAnsi="Verdana"/>
          <w:lang w:val="es-ES"/>
        </w:rPr>
        <w:lastRenderedPageBreak/>
        <w:t xml:space="preserve">a consultar la nueva versión de la Guía para la Exigencia y Constitución de Garantías en los Procesos de Contratación,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history="1">
        <w:r w:rsidRPr="0082737F">
          <w:rPr>
            <w:rStyle w:val="Hipervnculo"/>
            <w:rFonts w:ascii="Verdana" w:hAnsi="Verdana"/>
            <w:lang w:val="es-ES"/>
          </w:rPr>
          <w:t>https://www.colombiacompra.gov.co/archivos/manual/guia-de-garantias-en-procesos-de-contratacion</w:t>
        </w:r>
      </w:hyperlink>
    </w:p>
    <w:p w14:paraId="597B46E7" w14:textId="77777777" w:rsidR="003B75B9" w:rsidRPr="00D26A47" w:rsidRDefault="003B75B9" w:rsidP="003B75B9">
      <w:pPr>
        <w:spacing w:after="0" w:line="276" w:lineRule="auto"/>
        <w:jc w:val="both"/>
        <w:rPr>
          <w:rFonts w:ascii="Verdana" w:hAnsi="Verdana"/>
          <w:lang w:val="es-ES"/>
        </w:rPr>
      </w:pPr>
    </w:p>
    <w:p w14:paraId="695BF231" w14:textId="77777777" w:rsidR="003B75B9" w:rsidRDefault="003B75B9" w:rsidP="003B75B9">
      <w:pPr>
        <w:spacing w:after="0" w:line="276" w:lineRule="auto"/>
        <w:jc w:val="both"/>
        <w:rPr>
          <w:rFonts w:ascii="Verdana" w:hAnsi="Verdana"/>
          <w:lang w:val="es-ES"/>
        </w:rPr>
      </w:pPr>
      <w:r w:rsidRPr="00D26A47">
        <w:rPr>
          <w:rFonts w:ascii="Verdana" w:hAnsi="Verdana"/>
          <w:lang w:val="es-ES"/>
        </w:rPr>
        <w:t xml:space="preserve">De otro lado, te contamos que el Decreto 287 del 19 de marzo de 2026 sustituyó los artículos 2.2.1.2.4.2.6., 2.2.1.2.4.2.7. y 2.2.1.2.4.2.8. del Decreto 1082 de 2015 y estructuró el Sistema Integral de Preferencias en favor de las personas con discapacidad, en cumplimiento del artículo 13 de la Ley Estatutaria 1618 de 2013. Para orientar su aplicación, esta Agencia expidió la Circular Externa 003 del 12 de mayo de 2026, en la que precisa quiénes son los beneficiarios, las cinco medidas que integran el sistema y su obligatoriedad según la modalidad de selección, y el régimen de transición aplicable a los procesos en curso. Consúltala aquí: </w:t>
      </w:r>
      <w:hyperlink r:id="rId14" w:history="1">
        <w:r w:rsidRPr="0082737F">
          <w:rPr>
            <w:rStyle w:val="Hipervnculo"/>
            <w:rFonts w:ascii="Verdana" w:hAnsi="Verdana"/>
            <w:lang w:val="es-ES"/>
          </w:rPr>
          <w:t>https://www.colombiacompra.gov.co/archivos/circular/circular-externa-003-de-2026</w:t>
        </w:r>
      </w:hyperlink>
    </w:p>
    <w:p w14:paraId="07673FAF" w14:textId="77777777" w:rsidR="003B75B9" w:rsidRPr="00D26A47" w:rsidRDefault="003B75B9" w:rsidP="003B75B9">
      <w:pPr>
        <w:spacing w:after="0" w:line="276" w:lineRule="auto"/>
        <w:jc w:val="both"/>
        <w:rPr>
          <w:rFonts w:ascii="Verdana" w:hAnsi="Verdana"/>
          <w:lang w:val="es-ES"/>
        </w:rPr>
      </w:pPr>
    </w:p>
    <w:p w14:paraId="1F02D60C" w14:textId="77777777" w:rsidR="003B75B9" w:rsidRPr="00D26A47" w:rsidRDefault="003B75B9" w:rsidP="003B75B9">
      <w:pPr>
        <w:spacing w:after="0" w:line="276" w:lineRule="auto"/>
        <w:jc w:val="both"/>
        <w:rPr>
          <w:rFonts w:ascii="Verdana" w:hAnsi="Verdana"/>
          <w:lang w:val="es-ES"/>
        </w:rPr>
      </w:pPr>
      <w:r w:rsidRPr="00D26A47">
        <w:rPr>
          <w:rFonts w:ascii="Verdana" w:hAnsi="Verdana"/>
          <w:lang w:val="es-ES"/>
        </w:rPr>
        <w:t xml:space="preserve">Recuerda también que la información sobre sanciones e inhabilidades solo cumple su función preventiva si llega oportunamente a los registros públicos. Sobre este deber, esta Agencia expidió la Circular Externa 002 del 5 de mayo de 2026,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history="1">
        <w:r w:rsidRPr="0082737F">
          <w:rPr>
            <w:rStyle w:val="Hipervnculo"/>
            <w:rFonts w:ascii="Verdana" w:hAnsi="Verdana"/>
            <w:lang w:val="es-ES"/>
          </w:rPr>
          <w:t>https://www.colombiacompra.gov.co/archivos/circular/circular-externa-002-de-2026</w:t>
        </w:r>
      </w:hyperlink>
      <w:r>
        <w:rPr>
          <w:rFonts w:ascii="Verdana" w:hAnsi="Verdana"/>
          <w:lang w:val="es-ES"/>
        </w:rPr>
        <w:br/>
      </w:r>
    </w:p>
    <w:p w14:paraId="4ADA4A0C" w14:textId="77777777" w:rsidR="003B75B9" w:rsidRPr="00D26A47" w:rsidRDefault="003B75B9" w:rsidP="003B75B9">
      <w:pPr>
        <w:spacing w:after="0" w:line="276" w:lineRule="auto"/>
        <w:jc w:val="both"/>
        <w:rPr>
          <w:rFonts w:ascii="Verdana" w:hAnsi="Verdana"/>
          <w:lang w:val="es-ES"/>
        </w:rPr>
      </w:pPr>
      <w:r w:rsidRPr="00D26A47">
        <w:rPr>
          <w:rFonts w:ascii="Verdana" w:hAnsi="Verdana"/>
          <w:lang w:val="es-ES"/>
        </w:rPr>
        <w:t xml:space="preserve">Finalmente, si quieres seguir de cerca la actividad de la Agencia, la tercera edición de 2026 del Radar de la Compra Pública reúne, entre otros contenidos, la Circular Externa 003 de 2026, el Decreto 552 de 2026, un estudio sobre </w:t>
      </w:r>
      <w:r w:rsidRPr="00D26A47">
        <w:rPr>
          <w:rFonts w:ascii="Verdana" w:hAnsi="Verdana"/>
          <w:lang w:val="es-ES"/>
        </w:rPr>
        <w:lastRenderedPageBreak/>
        <w:t xml:space="preserve">inteligencia artificial en la compra pública, los avances de la Relatoría, análisis jurisprudencial, conceptos jurídicos destacados y la oferta de la Escuela Virtual ANCP-CCE. Descárgalo aquí: </w:t>
      </w:r>
      <w:hyperlink r:id="rId16" w:history="1">
        <w:r w:rsidRPr="00D26A47">
          <w:rPr>
            <w:rStyle w:val="Hipervnculo"/>
            <w:rFonts w:ascii="Verdana" w:hAnsi="Verdana"/>
            <w:color w:val="auto"/>
            <w:lang w:val="es-ES"/>
          </w:rPr>
          <w:t>https://www.colombiacompra.gov.co/archivos/boletin/boletin-edicion-n-3-de-2026-radar-de-la-compra-publica</w:t>
        </w:r>
      </w:hyperlink>
    </w:p>
    <w:p w14:paraId="33579756" w14:textId="77777777" w:rsidR="003B75B9" w:rsidRPr="00D26A47" w:rsidRDefault="003B75B9" w:rsidP="003B75B9">
      <w:pPr>
        <w:spacing w:after="0" w:line="276" w:lineRule="auto"/>
        <w:jc w:val="both"/>
        <w:rPr>
          <w:rFonts w:ascii="Verdana" w:hAnsi="Verdana"/>
          <w:color w:val="ED7D31" w:themeColor="accent2"/>
          <w:lang w:val="es-ES"/>
        </w:rPr>
      </w:pPr>
    </w:p>
    <w:p w14:paraId="42558413" w14:textId="77777777" w:rsidR="003B75B9" w:rsidRPr="00206556" w:rsidRDefault="003B75B9" w:rsidP="003B75B9">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65B8B1D4" w14:textId="77777777" w:rsidR="003B75B9" w:rsidRPr="00206556" w:rsidRDefault="003B75B9" w:rsidP="003B75B9">
      <w:pPr>
        <w:spacing w:after="0"/>
        <w:jc w:val="both"/>
        <w:rPr>
          <w:rFonts w:ascii="Verdana" w:hAnsi="Verdana" w:cs="Arial"/>
          <w:shd w:val="clear" w:color="auto" w:fill="FFFFFF"/>
        </w:rPr>
      </w:pPr>
    </w:p>
    <w:p w14:paraId="798B058D" w14:textId="77777777" w:rsidR="003B75B9" w:rsidRPr="00206556" w:rsidRDefault="003B75B9" w:rsidP="003B75B9">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6560F5DF" w14:textId="77777777" w:rsidR="003B75B9" w:rsidRPr="00206556" w:rsidRDefault="003B75B9" w:rsidP="003B75B9">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53C54B65" w14:textId="77777777" w:rsidR="003B75B9" w:rsidRPr="00206556" w:rsidRDefault="003B75B9" w:rsidP="003B75B9">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52EA444C" w14:textId="77777777" w:rsidR="003B75B9" w:rsidRPr="00206556" w:rsidRDefault="003B75B9" w:rsidP="003B75B9">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004AF2F4" w14:textId="77777777" w:rsidR="003B75B9" w:rsidRPr="00206556" w:rsidRDefault="003B75B9" w:rsidP="003B75B9">
      <w:pPr>
        <w:widowControl w:val="0"/>
        <w:autoSpaceDE w:val="0"/>
        <w:autoSpaceDN w:val="0"/>
        <w:spacing w:after="0" w:line="276" w:lineRule="auto"/>
        <w:jc w:val="both"/>
        <w:rPr>
          <w:rFonts w:ascii="Verdana" w:hAnsi="Verdana" w:cs="Arial"/>
          <w:color w:val="ED7D31" w:themeColor="accent2"/>
          <w:lang w:val="es-ES"/>
        </w:rPr>
      </w:pPr>
    </w:p>
    <w:p w14:paraId="565717DD" w14:textId="77777777" w:rsidR="003B75B9" w:rsidRPr="00206556" w:rsidRDefault="003B75B9" w:rsidP="003B75B9">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63B4CFB" w14:textId="77777777" w:rsidR="003B75B9" w:rsidRPr="00206556" w:rsidRDefault="003B75B9" w:rsidP="003B75B9">
      <w:pPr>
        <w:widowControl w:val="0"/>
        <w:autoSpaceDE w:val="0"/>
        <w:autoSpaceDN w:val="0"/>
        <w:spacing w:after="0" w:line="276" w:lineRule="auto"/>
        <w:jc w:val="both"/>
        <w:rPr>
          <w:rFonts w:ascii="Verdana" w:hAnsi="Verdana" w:cs="Arial"/>
          <w:lang w:val="es-ES"/>
        </w:rPr>
      </w:pPr>
    </w:p>
    <w:p w14:paraId="0C051D4B" w14:textId="77777777" w:rsidR="003B75B9" w:rsidRPr="00206556" w:rsidRDefault="003B75B9" w:rsidP="003B75B9">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3B416D22" w14:textId="77777777" w:rsidR="003B75B9" w:rsidRPr="00206556" w:rsidRDefault="003B75B9" w:rsidP="003B75B9">
      <w:pPr>
        <w:autoSpaceDE w:val="0"/>
        <w:autoSpaceDN w:val="0"/>
        <w:adjustRightInd w:val="0"/>
        <w:spacing w:after="0" w:line="276" w:lineRule="auto"/>
        <w:rPr>
          <w:rFonts w:ascii="Verdana" w:eastAsia="Calibri" w:hAnsi="Verdana" w:cs="Arial"/>
          <w:noProof/>
          <w:sz w:val="20"/>
          <w:szCs w:val="20"/>
        </w:rPr>
      </w:pPr>
    </w:p>
    <w:p w14:paraId="5804959B" w14:textId="6BA360DA" w:rsidR="003B75B9" w:rsidRPr="00206556" w:rsidRDefault="00C62F0E" w:rsidP="003B75B9">
      <w:pPr>
        <w:spacing w:after="0" w:line="256" w:lineRule="auto"/>
        <w:jc w:val="center"/>
        <w:rPr>
          <w:rFonts w:ascii="Verdana" w:eastAsia="Times New Roman" w:hAnsi="Verdana" w:cs="Arial"/>
          <w:lang w:eastAsia="es-ES"/>
        </w:rPr>
      </w:pPr>
      <w:r>
        <w:rPr>
          <w:noProof/>
        </w:rPr>
        <w:drawing>
          <wp:inline distT="0" distB="0" distL="0" distR="0" wp14:anchorId="75C78793" wp14:editId="02A90BDD">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p w14:paraId="42EC367F" w14:textId="77777777" w:rsidR="003B75B9" w:rsidRPr="00206556" w:rsidRDefault="003B75B9" w:rsidP="003B75B9">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3B75B9" w:rsidRPr="00206556" w14:paraId="0BA00150" w14:textId="77777777" w:rsidTr="00533C46">
        <w:trPr>
          <w:trHeight w:val="322"/>
        </w:trPr>
        <w:tc>
          <w:tcPr>
            <w:tcW w:w="733" w:type="dxa"/>
            <w:tcBorders>
              <w:top w:val="nil"/>
              <w:left w:val="nil"/>
              <w:bottom w:val="nil"/>
              <w:right w:val="nil"/>
            </w:tcBorders>
            <w:vAlign w:val="center"/>
            <w:hideMark/>
          </w:tcPr>
          <w:p w14:paraId="7AF38225" w14:textId="77777777" w:rsidR="003B75B9" w:rsidRPr="00206556" w:rsidRDefault="003B75B9" w:rsidP="00533C46">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AD4C7BD" w14:textId="77777777" w:rsidR="003B75B9" w:rsidRPr="00206556" w:rsidRDefault="003B75B9" w:rsidP="00533C46">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val="es-ES_tradnl" w:eastAsia="es-ES"/>
              </w:rPr>
              <w:t>Ximena Ríos López</w:t>
            </w:r>
          </w:p>
          <w:p w14:paraId="7FFF9910" w14:textId="77777777" w:rsidR="003B75B9" w:rsidRPr="00A5703A" w:rsidRDefault="003B75B9" w:rsidP="00533C46">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T1-11 de la Subdirección de Gestión Contractual</w:t>
            </w:r>
          </w:p>
        </w:tc>
      </w:tr>
      <w:tr w:rsidR="003B75B9" w:rsidRPr="00206556" w14:paraId="6E81D429" w14:textId="77777777" w:rsidTr="00533C46">
        <w:trPr>
          <w:trHeight w:val="322"/>
        </w:trPr>
        <w:tc>
          <w:tcPr>
            <w:tcW w:w="733" w:type="dxa"/>
            <w:tcBorders>
              <w:top w:val="nil"/>
              <w:left w:val="nil"/>
              <w:bottom w:val="nil"/>
              <w:right w:val="nil"/>
            </w:tcBorders>
            <w:vAlign w:val="center"/>
            <w:hideMark/>
          </w:tcPr>
          <w:p w14:paraId="145F0F57" w14:textId="77777777" w:rsidR="003B75B9" w:rsidRPr="00206556" w:rsidRDefault="003B75B9" w:rsidP="00533C46">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DDC35B4" w14:textId="77777777" w:rsidR="003B75B9" w:rsidRPr="00206556" w:rsidRDefault="003B75B9" w:rsidP="00533C46">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Saavedra</w:t>
            </w:r>
          </w:p>
          <w:p w14:paraId="2404FD9A" w14:textId="77777777" w:rsidR="003B75B9" w:rsidRPr="00A5703A" w:rsidRDefault="003B75B9" w:rsidP="00533C46">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3B75B9" w:rsidRPr="00206556" w14:paraId="31A87FC6" w14:textId="77777777" w:rsidTr="00533C46">
        <w:trPr>
          <w:trHeight w:val="307"/>
        </w:trPr>
        <w:tc>
          <w:tcPr>
            <w:tcW w:w="733" w:type="dxa"/>
            <w:tcBorders>
              <w:top w:val="nil"/>
              <w:left w:val="nil"/>
              <w:bottom w:val="nil"/>
              <w:right w:val="nil"/>
            </w:tcBorders>
            <w:vAlign w:val="center"/>
            <w:hideMark/>
          </w:tcPr>
          <w:p w14:paraId="05B51339" w14:textId="77777777" w:rsidR="003B75B9" w:rsidRPr="00206556" w:rsidRDefault="003B75B9" w:rsidP="00533C46">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EAF1B98" w14:textId="77777777" w:rsidR="003B75B9" w:rsidRPr="00206556" w:rsidRDefault="003B75B9" w:rsidP="00533C46">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6EC25E4C" w14:textId="77777777" w:rsidR="003B75B9" w:rsidRPr="00206556" w:rsidRDefault="003B75B9" w:rsidP="00533C46">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283A93A4" w14:textId="77777777" w:rsidR="003B75B9" w:rsidRDefault="003B75B9" w:rsidP="003B75B9">
      <w:pPr>
        <w:autoSpaceDE w:val="0"/>
        <w:autoSpaceDN w:val="0"/>
        <w:adjustRightInd w:val="0"/>
        <w:spacing w:after="0" w:line="276" w:lineRule="auto"/>
        <w:jc w:val="center"/>
        <w:rPr>
          <w:rFonts w:ascii="Verdana" w:eastAsia="Calibri" w:hAnsi="Verdana" w:cs="Arial"/>
        </w:rPr>
      </w:pPr>
    </w:p>
    <w:p w14:paraId="0F293BF4" w14:textId="32433BA8" w:rsidR="00127233" w:rsidRPr="003B75B9" w:rsidRDefault="00127233" w:rsidP="003B75B9"/>
    <w:sectPr w:rsidR="00127233" w:rsidRPr="003B75B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6A220" w14:textId="77777777" w:rsidR="00275A1C" w:rsidRDefault="00275A1C" w:rsidP="004A1847">
      <w:pPr>
        <w:spacing w:after="0" w:line="240" w:lineRule="auto"/>
      </w:pPr>
      <w:r>
        <w:separator/>
      </w:r>
    </w:p>
  </w:endnote>
  <w:endnote w:type="continuationSeparator" w:id="0">
    <w:p w14:paraId="0404A2CC" w14:textId="77777777" w:rsidR="00275A1C" w:rsidRDefault="00275A1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518B1" w14:textId="77777777" w:rsidR="00275A1C" w:rsidRDefault="00275A1C" w:rsidP="004A1847">
      <w:pPr>
        <w:spacing w:after="0" w:line="240" w:lineRule="auto"/>
      </w:pPr>
      <w:r>
        <w:separator/>
      </w:r>
    </w:p>
  </w:footnote>
  <w:footnote w:type="continuationSeparator" w:id="0">
    <w:p w14:paraId="6B253A63" w14:textId="77777777" w:rsidR="00275A1C" w:rsidRDefault="00275A1C" w:rsidP="004A1847">
      <w:pPr>
        <w:spacing w:after="0" w:line="240" w:lineRule="auto"/>
      </w:pPr>
      <w:r>
        <w:continuationSeparator/>
      </w:r>
    </w:p>
  </w:footnote>
  <w:footnote w:id="1">
    <w:p w14:paraId="277B1645" w14:textId="77777777" w:rsidR="003B75B9" w:rsidRPr="00206556" w:rsidRDefault="003B75B9" w:rsidP="003B75B9">
      <w:pPr>
        <w:spacing w:after="0" w:line="240" w:lineRule="auto"/>
        <w:ind w:firstLine="709"/>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38121C79" w14:textId="77777777" w:rsidR="003B75B9" w:rsidRPr="00206556" w:rsidRDefault="003B75B9" w:rsidP="003B75B9">
      <w:pPr>
        <w:spacing w:after="0" w:line="240" w:lineRule="auto"/>
        <w:ind w:firstLine="709"/>
        <w:jc w:val="both"/>
        <w:rPr>
          <w:rFonts w:ascii="Verdana" w:hAnsi="Verdana"/>
          <w:sz w:val="16"/>
          <w:szCs w:val="16"/>
        </w:rPr>
      </w:pPr>
    </w:p>
  </w:footnote>
  <w:footnote w:id="2">
    <w:p w14:paraId="29DB2BC5" w14:textId="77777777" w:rsidR="003B75B9" w:rsidRPr="00206556" w:rsidRDefault="003B75B9" w:rsidP="003B75B9">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582AE7ED" w14:textId="77777777" w:rsidR="003B75B9" w:rsidRPr="00206556" w:rsidRDefault="003B75B9" w:rsidP="003B75B9">
      <w:pPr>
        <w:pStyle w:val="Textonotapie"/>
        <w:ind w:firstLine="709"/>
        <w:jc w:val="both"/>
        <w:rPr>
          <w:rFonts w:ascii="Verdana" w:hAnsi="Verdana"/>
          <w:sz w:val="16"/>
          <w:szCs w:val="16"/>
          <w:lang w:val="es-ES"/>
        </w:rPr>
      </w:pPr>
    </w:p>
  </w:footnote>
  <w:footnote w:id="3">
    <w:p w14:paraId="01105441" w14:textId="77777777" w:rsidR="003B75B9" w:rsidRPr="00206556" w:rsidRDefault="003B75B9" w:rsidP="003B75B9">
      <w:pPr>
        <w:spacing w:after="0" w:line="240" w:lineRule="auto"/>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6A7CFD54" w14:textId="77777777" w:rsidR="003B75B9" w:rsidRPr="00206556" w:rsidRDefault="003B75B9" w:rsidP="003B75B9">
      <w:pPr>
        <w:spacing w:after="0" w:line="240" w:lineRule="auto"/>
        <w:ind w:firstLine="709"/>
        <w:jc w:val="both"/>
        <w:rPr>
          <w:rFonts w:ascii="Verdana" w:hAnsi="Verdana"/>
          <w:sz w:val="16"/>
          <w:szCs w:val="16"/>
        </w:rPr>
      </w:pPr>
    </w:p>
  </w:footnote>
  <w:footnote w:id="4">
    <w:p w14:paraId="580F76CD" w14:textId="77777777" w:rsidR="003B75B9" w:rsidRPr="00206556" w:rsidRDefault="003B75B9" w:rsidP="003B75B9">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644D825E" w14:textId="77777777" w:rsidR="003B75B9" w:rsidRPr="00206556" w:rsidRDefault="003B75B9" w:rsidP="003B75B9">
      <w:pPr>
        <w:pStyle w:val="Textonotapie"/>
        <w:ind w:firstLine="709"/>
        <w:jc w:val="both"/>
        <w:rPr>
          <w:rFonts w:ascii="Verdana" w:hAnsi="Verdana"/>
          <w:sz w:val="16"/>
          <w:szCs w:val="16"/>
          <w:lang w:val="es-ES"/>
        </w:rPr>
      </w:pPr>
    </w:p>
  </w:footnote>
  <w:footnote w:id="5">
    <w:p w14:paraId="0C8F3F92" w14:textId="77777777" w:rsidR="003B75B9" w:rsidRPr="00206556" w:rsidRDefault="003B75B9" w:rsidP="003B75B9">
      <w:pPr>
        <w:pStyle w:val="Textonotapie"/>
        <w:ind w:firstLine="709"/>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6E867B55" w14:textId="77777777" w:rsidR="003B75B9" w:rsidRPr="00206556" w:rsidRDefault="003B75B9" w:rsidP="003B75B9">
      <w:pPr>
        <w:pStyle w:val="Textonotapie"/>
        <w:ind w:firstLine="709"/>
        <w:jc w:val="both"/>
        <w:rPr>
          <w:rFonts w:ascii="Verdana" w:hAnsi="Verdana"/>
          <w:sz w:val="16"/>
          <w:szCs w:val="16"/>
          <w:lang w:val="es-ES"/>
        </w:rPr>
      </w:pPr>
    </w:p>
  </w:footnote>
  <w:footnote w:id="6">
    <w:p w14:paraId="38366E08" w14:textId="77777777" w:rsidR="003B75B9" w:rsidRPr="00206556" w:rsidRDefault="003B75B9" w:rsidP="003B75B9">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1B27F004" w14:textId="77777777" w:rsidR="003B75B9" w:rsidRPr="00206556" w:rsidRDefault="003B75B9" w:rsidP="003B75B9">
      <w:pPr>
        <w:pStyle w:val="Textonotapie"/>
        <w:ind w:firstLine="709"/>
        <w:rPr>
          <w:rFonts w:ascii="Verdana" w:hAnsi="Verdana"/>
          <w:sz w:val="16"/>
          <w:szCs w:val="16"/>
          <w:lang w:val="es-ES"/>
        </w:rPr>
      </w:pPr>
    </w:p>
  </w:footnote>
  <w:footnote w:id="7">
    <w:p w14:paraId="662F8B63" w14:textId="77777777" w:rsidR="003B75B9" w:rsidRPr="00206556" w:rsidRDefault="003B75B9" w:rsidP="003B75B9">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49034F2C" w14:textId="77777777" w:rsidR="003B75B9" w:rsidRPr="00206556" w:rsidRDefault="003B75B9" w:rsidP="003B75B9">
      <w:pPr>
        <w:pStyle w:val="Textonotapie"/>
        <w:ind w:firstLine="709"/>
        <w:rPr>
          <w:rFonts w:ascii="Verdana" w:hAnsi="Verdana"/>
          <w:sz w:val="16"/>
          <w:szCs w:val="16"/>
          <w:lang w:val="es-ES"/>
        </w:rPr>
      </w:pPr>
    </w:p>
  </w:footnote>
  <w:footnote w:id="8">
    <w:p w14:paraId="1F012EA4" w14:textId="77777777" w:rsidR="003B75B9" w:rsidRPr="00206556" w:rsidRDefault="003B75B9" w:rsidP="003B75B9">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4E3D"/>
    <w:rsid w:val="000D0334"/>
    <w:rsid w:val="000D5DA7"/>
    <w:rsid w:val="000F6486"/>
    <w:rsid w:val="001152EA"/>
    <w:rsid w:val="00116940"/>
    <w:rsid w:val="00125105"/>
    <w:rsid w:val="00127233"/>
    <w:rsid w:val="001455D2"/>
    <w:rsid w:val="0015699B"/>
    <w:rsid w:val="00166F11"/>
    <w:rsid w:val="001A33BF"/>
    <w:rsid w:val="001B0D8F"/>
    <w:rsid w:val="001E4177"/>
    <w:rsid w:val="001F0B24"/>
    <w:rsid w:val="001F74C6"/>
    <w:rsid w:val="001F7DC6"/>
    <w:rsid w:val="002209C1"/>
    <w:rsid w:val="0022400B"/>
    <w:rsid w:val="002421BB"/>
    <w:rsid w:val="0025796E"/>
    <w:rsid w:val="002707A2"/>
    <w:rsid w:val="00275A1C"/>
    <w:rsid w:val="002951A0"/>
    <w:rsid w:val="002962BC"/>
    <w:rsid w:val="002A093D"/>
    <w:rsid w:val="002A0DD0"/>
    <w:rsid w:val="002A49AC"/>
    <w:rsid w:val="002A64FD"/>
    <w:rsid w:val="002B19B5"/>
    <w:rsid w:val="002C7A84"/>
    <w:rsid w:val="002E2BF8"/>
    <w:rsid w:val="002E4FD9"/>
    <w:rsid w:val="0030657A"/>
    <w:rsid w:val="00321718"/>
    <w:rsid w:val="00322A85"/>
    <w:rsid w:val="00324168"/>
    <w:rsid w:val="00330834"/>
    <w:rsid w:val="003448F4"/>
    <w:rsid w:val="00374F5E"/>
    <w:rsid w:val="00377E3E"/>
    <w:rsid w:val="003A779E"/>
    <w:rsid w:val="003B75B9"/>
    <w:rsid w:val="003D0F4D"/>
    <w:rsid w:val="003D5B0D"/>
    <w:rsid w:val="003E0499"/>
    <w:rsid w:val="003E4F80"/>
    <w:rsid w:val="003E6439"/>
    <w:rsid w:val="003F3941"/>
    <w:rsid w:val="00406575"/>
    <w:rsid w:val="00414C74"/>
    <w:rsid w:val="004245D7"/>
    <w:rsid w:val="0042572C"/>
    <w:rsid w:val="0042722E"/>
    <w:rsid w:val="0044528D"/>
    <w:rsid w:val="00466E39"/>
    <w:rsid w:val="004A1847"/>
    <w:rsid w:val="004A305D"/>
    <w:rsid w:val="004F21C4"/>
    <w:rsid w:val="004F685F"/>
    <w:rsid w:val="005566E8"/>
    <w:rsid w:val="00574867"/>
    <w:rsid w:val="00584D05"/>
    <w:rsid w:val="00591460"/>
    <w:rsid w:val="005A65E0"/>
    <w:rsid w:val="005C3777"/>
    <w:rsid w:val="005C5CDC"/>
    <w:rsid w:val="005D476C"/>
    <w:rsid w:val="006200BF"/>
    <w:rsid w:val="006219F8"/>
    <w:rsid w:val="006253CB"/>
    <w:rsid w:val="006302F7"/>
    <w:rsid w:val="00646B9F"/>
    <w:rsid w:val="00665D70"/>
    <w:rsid w:val="006900D9"/>
    <w:rsid w:val="006D6CD4"/>
    <w:rsid w:val="006F32E5"/>
    <w:rsid w:val="00706C16"/>
    <w:rsid w:val="007340C3"/>
    <w:rsid w:val="0075235A"/>
    <w:rsid w:val="00756841"/>
    <w:rsid w:val="007649AB"/>
    <w:rsid w:val="00771D0C"/>
    <w:rsid w:val="007833AC"/>
    <w:rsid w:val="007B268C"/>
    <w:rsid w:val="007B7171"/>
    <w:rsid w:val="007C0C0F"/>
    <w:rsid w:val="007C3DC2"/>
    <w:rsid w:val="007D14AA"/>
    <w:rsid w:val="007D7659"/>
    <w:rsid w:val="007E5497"/>
    <w:rsid w:val="00806F5F"/>
    <w:rsid w:val="00820278"/>
    <w:rsid w:val="008258C9"/>
    <w:rsid w:val="00844AE9"/>
    <w:rsid w:val="00867F95"/>
    <w:rsid w:val="008843B6"/>
    <w:rsid w:val="00891928"/>
    <w:rsid w:val="00897341"/>
    <w:rsid w:val="008A446D"/>
    <w:rsid w:val="008B25F1"/>
    <w:rsid w:val="008D180B"/>
    <w:rsid w:val="008F0EA7"/>
    <w:rsid w:val="00923EEF"/>
    <w:rsid w:val="009419F9"/>
    <w:rsid w:val="0095685E"/>
    <w:rsid w:val="00961B09"/>
    <w:rsid w:val="00965334"/>
    <w:rsid w:val="0097093E"/>
    <w:rsid w:val="009A0DFA"/>
    <w:rsid w:val="009A1C6F"/>
    <w:rsid w:val="009A41BE"/>
    <w:rsid w:val="009B2D26"/>
    <w:rsid w:val="009C71FA"/>
    <w:rsid w:val="009C72E7"/>
    <w:rsid w:val="009C7F7E"/>
    <w:rsid w:val="009D3058"/>
    <w:rsid w:val="009F3A13"/>
    <w:rsid w:val="00A122D3"/>
    <w:rsid w:val="00A14468"/>
    <w:rsid w:val="00A17F13"/>
    <w:rsid w:val="00A20739"/>
    <w:rsid w:val="00A239C7"/>
    <w:rsid w:val="00A23AF9"/>
    <w:rsid w:val="00A24D3F"/>
    <w:rsid w:val="00A33C78"/>
    <w:rsid w:val="00AB0ADB"/>
    <w:rsid w:val="00AB7A30"/>
    <w:rsid w:val="00B00C0E"/>
    <w:rsid w:val="00B01B1A"/>
    <w:rsid w:val="00B0381D"/>
    <w:rsid w:val="00B44A47"/>
    <w:rsid w:val="00B72CD3"/>
    <w:rsid w:val="00B72FFF"/>
    <w:rsid w:val="00BA5FF6"/>
    <w:rsid w:val="00BB27F7"/>
    <w:rsid w:val="00BB5284"/>
    <w:rsid w:val="00BC3D36"/>
    <w:rsid w:val="00BD4F2C"/>
    <w:rsid w:val="00BD54A6"/>
    <w:rsid w:val="00BD7F72"/>
    <w:rsid w:val="00BF7425"/>
    <w:rsid w:val="00C04FB3"/>
    <w:rsid w:val="00C11D8B"/>
    <w:rsid w:val="00C15139"/>
    <w:rsid w:val="00C330EB"/>
    <w:rsid w:val="00C50D69"/>
    <w:rsid w:val="00C5365C"/>
    <w:rsid w:val="00C62F0E"/>
    <w:rsid w:val="00C754BE"/>
    <w:rsid w:val="00C76B1C"/>
    <w:rsid w:val="00C925AC"/>
    <w:rsid w:val="00CB6357"/>
    <w:rsid w:val="00CC1B26"/>
    <w:rsid w:val="00CC2686"/>
    <w:rsid w:val="00D0111E"/>
    <w:rsid w:val="00D361FD"/>
    <w:rsid w:val="00D423A2"/>
    <w:rsid w:val="00D44E26"/>
    <w:rsid w:val="00D520D8"/>
    <w:rsid w:val="00D575F4"/>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217A"/>
    <w:rsid w:val="00EC38A7"/>
    <w:rsid w:val="00EE1AA8"/>
    <w:rsid w:val="00F23FEA"/>
    <w:rsid w:val="00F31EDC"/>
    <w:rsid w:val="00F462B3"/>
    <w:rsid w:val="00F5664F"/>
    <w:rsid w:val="00F666C4"/>
    <w:rsid w:val="00F76AFC"/>
    <w:rsid w:val="00F801D1"/>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B75B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manual/guia-de-garantias-en-procesos-de-contratacio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castano@heimcore.com.co" TargetMode="External"/><Relationship Id="rId5" Type="http://schemas.openxmlformats.org/officeDocument/2006/relationships/styles" Target="styles.xml"/><Relationship Id="rId15" Type="http://schemas.openxmlformats.org/officeDocument/2006/relationships/hyperlink" Target="https://www.colombiacompra.gov.co/archivos/circular/circular-externa-002-de-2026"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circular/circular-externa-003-de-20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F2E6E5C-DE60-46C4-A40F-7DC68853D7C5}"/>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21</Pages>
  <Words>7354</Words>
  <Characters>40449</Characters>
  <Application>Microsoft Office Word</Application>
  <DocSecurity>0</DocSecurity>
  <Lines>337</Lines>
  <Paragraphs>95</Paragraphs>
  <ScaleCrop>false</ScaleCrop>
  <Company/>
  <LinksUpToDate>false</LinksUpToDate>
  <CharactersWithSpaces>47708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3</cp:revision>
  <cp:lastPrinted>2023-01-10T21:18:00Z</cp:lastPrinted>
  <dcterms:created xsi:type="dcterms:W3CDTF">2026-09-17T20:18:00Z</dcterms:created>
  <dcterms:modified xsi:type="dcterms:W3CDTF">2026-09-17T23:03:00Z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