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62CCC" w14:textId="77777777" w:rsidR="00EF3100" w:rsidRPr="00DF11DE" w:rsidRDefault="00EF3100" w:rsidP="00EF3100">
      <w:pPr>
        <w:jc w:val="both"/>
        <w:rPr>
          <w:rFonts w:ascii="Verdana" w:eastAsia="Verdana" w:hAnsi="Verdana" w:cs="Verdana"/>
        </w:rPr>
      </w:pPr>
      <w:bookmarkStart w:id="0" w:name="_Hlk143780582"/>
      <w:r w:rsidRPr="00DF11DE">
        <w:rPr>
          <w:rFonts w:ascii="Verdana" w:eastAsia="Calibri" w:hAnsi="Verdana" w:cs="Arial"/>
          <w:b/>
          <w:bCs/>
          <w:lang w:val="es-ES" w:eastAsia="es-ES"/>
        </w:rPr>
        <w:t>CAPACIDAD RESIDUAL – Definición – Factores – Contratos de obra</w:t>
      </w:r>
    </w:p>
    <w:p w14:paraId="35E150CC" w14:textId="77777777" w:rsidR="00EF3100" w:rsidRPr="00DF11DE" w:rsidRDefault="00EF3100" w:rsidP="00EF3100">
      <w:pPr>
        <w:shd w:val="clear" w:color="auto" w:fill="FFFFFF"/>
        <w:spacing w:line="276" w:lineRule="auto"/>
        <w:jc w:val="both"/>
        <w:rPr>
          <w:rFonts w:ascii="Verdana" w:eastAsia="Calibri" w:hAnsi="Verdana" w:cs="Arial"/>
          <w:b/>
          <w:bCs/>
          <w:lang w:val="es-ES" w:eastAsia="es-ES"/>
        </w:rPr>
      </w:pPr>
    </w:p>
    <w:p w14:paraId="1FE56EEA" w14:textId="77777777" w:rsidR="00EF3100" w:rsidRDefault="00EF3100" w:rsidP="00EF3100">
      <w:pPr>
        <w:jc w:val="both"/>
        <w:rPr>
          <w:rFonts w:ascii="Verdana" w:eastAsia="Calibri" w:hAnsi="Verdana" w:cs="Arial"/>
          <w:color w:val="000000"/>
          <w:sz w:val="20"/>
          <w:szCs w:val="20"/>
          <w:lang w:val="es-MX" w:eastAsia="en-GB"/>
        </w:rPr>
      </w:pPr>
      <w:r w:rsidRPr="00931E9A">
        <w:rPr>
          <w:rFonts w:ascii="Verdana" w:eastAsia="Calibri" w:hAnsi="Verdana" w:cs="Arial"/>
          <w:color w:val="000000"/>
          <w:sz w:val="20"/>
          <w:szCs w:val="20"/>
          <w:lang w:val="es-MX" w:eastAsia="en-GB"/>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p>
    <w:p w14:paraId="3FDCC174" w14:textId="77777777" w:rsidR="00EF3100" w:rsidRDefault="00EF3100" w:rsidP="00EF3100">
      <w:pPr>
        <w:jc w:val="both"/>
        <w:rPr>
          <w:rFonts w:ascii="Verdana" w:eastAsia="Calibri" w:hAnsi="Verdana" w:cs="Arial"/>
          <w:color w:val="000000"/>
          <w:sz w:val="20"/>
          <w:szCs w:val="20"/>
          <w:lang w:val="es-MX" w:eastAsia="en-GB"/>
        </w:rPr>
      </w:pPr>
    </w:p>
    <w:p w14:paraId="12F64CB2" w14:textId="77777777" w:rsidR="00EF3100" w:rsidRPr="00931E9A" w:rsidRDefault="00EF3100" w:rsidP="00EF3100">
      <w:pPr>
        <w:jc w:val="both"/>
        <w:rPr>
          <w:rFonts w:ascii="Verdana" w:eastAsia="Calibri" w:hAnsi="Verdana" w:cs="Arial"/>
          <w:color w:val="000000"/>
          <w:sz w:val="20"/>
          <w:szCs w:val="20"/>
          <w:lang w:val="es-MX" w:eastAsia="en-GB"/>
        </w:rPr>
      </w:pPr>
      <w:r w:rsidRPr="00931E9A">
        <w:rPr>
          <w:rFonts w:ascii="Verdana" w:eastAsia="Calibri" w:hAnsi="Verdana" w:cs="Arial"/>
          <w:color w:val="000000"/>
          <w:sz w:val="20"/>
          <w:szCs w:val="20"/>
          <w:lang w:val="es-MX" w:eastAsia="en-GB"/>
        </w:rPr>
        <w:t>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0DE8FC11" w14:textId="77777777" w:rsidR="00EF3100" w:rsidRPr="00DF11DE" w:rsidRDefault="00EF3100" w:rsidP="00EF3100">
      <w:pPr>
        <w:shd w:val="clear" w:color="auto" w:fill="FFFFFF"/>
        <w:spacing w:line="276" w:lineRule="auto"/>
        <w:jc w:val="both"/>
        <w:rPr>
          <w:rFonts w:ascii="Verdana" w:eastAsia="Calibri" w:hAnsi="Verdana" w:cs="Arial"/>
          <w:b/>
          <w:bCs/>
          <w:lang w:val="es-ES" w:eastAsia="es-ES"/>
        </w:rPr>
      </w:pPr>
    </w:p>
    <w:p w14:paraId="3E1AE2E1" w14:textId="77777777" w:rsidR="00EF3100" w:rsidRPr="00DF11DE" w:rsidRDefault="00EF3100" w:rsidP="00EF3100">
      <w:pPr>
        <w:autoSpaceDE w:val="0"/>
        <w:autoSpaceDN w:val="0"/>
        <w:adjustRightInd w:val="0"/>
        <w:spacing w:line="276" w:lineRule="auto"/>
        <w:jc w:val="both"/>
        <w:rPr>
          <w:rFonts w:ascii="Verdana" w:eastAsia="Calibri" w:hAnsi="Verdana" w:cs="Arial"/>
          <w:b/>
          <w:bCs/>
          <w:kern w:val="2"/>
          <w:lang w:eastAsia="es-MX"/>
          <w14:ligatures w14:val="standardContextual"/>
        </w:rPr>
      </w:pPr>
      <w:r w:rsidRPr="00DF11DE">
        <w:rPr>
          <w:rFonts w:ascii="Verdana" w:eastAsia="Calibri" w:hAnsi="Verdana" w:cs="Arial"/>
          <w:b/>
          <w:bCs/>
          <w:kern w:val="2"/>
          <w:lang w:eastAsia="es-MX"/>
          <w14:ligatures w14:val="standardContextual"/>
        </w:rPr>
        <w:t>CAPACIDAD RESIDUAL – Saldos de Contratos en Ejecución – SCE – Documentos Tipo – Cálculo</w:t>
      </w:r>
    </w:p>
    <w:p w14:paraId="287EAF40" w14:textId="77777777" w:rsidR="00EF3100" w:rsidRPr="00DF11DE" w:rsidRDefault="00EF3100" w:rsidP="00EF3100">
      <w:pPr>
        <w:spacing w:line="276" w:lineRule="auto"/>
        <w:jc w:val="both"/>
        <w:rPr>
          <w:rFonts w:ascii="Verdana" w:eastAsia="Calibri" w:hAnsi="Verdana" w:cs="Arial"/>
          <w:color w:val="000000"/>
          <w:lang w:val="es-ES"/>
        </w:rPr>
      </w:pPr>
    </w:p>
    <w:p w14:paraId="1F15F81A" w14:textId="77777777" w:rsidR="00EF3100" w:rsidRDefault="00EF3100" w:rsidP="00EF3100">
      <w:pPr>
        <w:jc w:val="both"/>
        <w:rPr>
          <w:rFonts w:ascii="Verdana" w:eastAsia="Calibri" w:hAnsi="Verdana" w:cs="Arial"/>
          <w:sz w:val="20"/>
          <w:szCs w:val="20"/>
          <w:lang w:eastAsia="en-GB"/>
        </w:rPr>
      </w:pPr>
      <w:r w:rsidRPr="004A0D6C">
        <w:rPr>
          <w:rFonts w:ascii="Verdana" w:eastAsia="Calibri" w:hAnsi="Verdana" w:cs="Arial"/>
          <w:sz w:val="20"/>
          <w:szCs w:val="20"/>
          <w:lang w:eastAsia="en-GB"/>
        </w:rPr>
        <w:t xml:space="preserve">De este modo, para acreditar el factor </w:t>
      </w:r>
      <w:r w:rsidRPr="004A0D6C">
        <w:rPr>
          <w:rFonts w:ascii="Verdana" w:eastAsia="Calibri" w:hAnsi="Verdana" w:cs="Arial"/>
          <w:bCs/>
          <w:color w:val="000000"/>
          <w:sz w:val="20"/>
          <w:szCs w:val="20"/>
          <w:lang w:val="es-MX" w:eastAsia="en-GB"/>
        </w:rPr>
        <w:t xml:space="preserve">saldos de los contratos en ejecución </w:t>
      </w:r>
      <w:r w:rsidRPr="004A0D6C">
        <w:rPr>
          <w:rFonts w:ascii="Verdana" w:eastAsia="Calibri" w:hAnsi="Verdana" w:cs="Arial"/>
          <w:bCs/>
          <w:color w:val="000000"/>
          <w:sz w:val="20"/>
          <w:szCs w:val="20"/>
          <w:lang w:eastAsia="en-GB"/>
        </w:rPr>
        <w:t>“SCE”,</w:t>
      </w:r>
      <w:r w:rsidRPr="004A0D6C">
        <w:rPr>
          <w:rFonts w:ascii="Verdana" w:eastAsia="Calibri" w:hAnsi="Verdana" w:cs="Arial"/>
          <w:sz w:val="20"/>
          <w:szCs w:val="20"/>
          <w:lang w:eastAsia="en-GB"/>
        </w:rPr>
        <w:t xml:space="preserve"> como lo establece la Guía, el proponente debe presentar la lista de contratos de obras civiles en ejecución, tanto a nivel nacional como internacional, señalando: i) el valor del contrato; ii) el plazo de ejecución del contrato en meses; iii) la fecha de inicio de las obras objeto del contrato (día, mes, año); iv) si la obra la ejecuta un consorcio o unión temporal, junto con el porcentaje de participación del oferente que presenta el certificado; v) si el contrato se encuentra suspendido, y si es así, la fecha de suspensión, además del saldo pendiente por ejecutar. Si el proponente no tiene contratos en ejecución, en el certificado debe constar expresamente esa circunstancia. </w:t>
      </w:r>
    </w:p>
    <w:p w14:paraId="28DBCCB9" w14:textId="77777777" w:rsidR="00EF3100" w:rsidRPr="004A0D6C" w:rsidRDefault="00EF3100" w:rsidP="00EF3100">
      <w:pPr>
        <w:jc w:val="both"/>
        <w:rPr>
          <w:rFonts w:ascii="Verdana" w:eastAsia="Calibri" w:hAnsi="Verdana" w:cs="Arial"/>
          <w:sz w:val="20"/>
          <w:szCs w:val="20"/>
          <w:lang w:eastAsia="en-GB"/>
        </w:rPr>
      </w:pPr>
    </w:p>
    <w:p w14:paraId="13498F6E" w14:textId="77777777" w:rsidR="00EF3100" w:rsidRPr="004A0D6C" w:rsidRDefault="00EF3100" w:rsidP="00EF3100">
      <w:pPr>
        <w:jc w:val="both"/>
        <w:rPr>
          <w:rFonts w:ascii="Verdana" w:eastAsia="Calibri" w:hAnsi="Verdana" w:cs="Arial"/>
          <w:sz w:val="20"/>
          <w:szCs w:val="20"/>
          <w:lang w:eastAsia="en-GB"/>
        </w:rPr>
      </w:pPr>
      <w:r w:rsidRPr="004A0D6C">
        <w:rPr>
          <w:rFonts w:ascii="Verdana" w:eastAsia="Calibri" w:hAnsi="Verdana" w:cs="Arial"/>
          <w:sz w:val="20"/>
          <w:szCs w:val="20"/>
          <w:lang w:eastAsia="en-GB"/>
        </w:rPr>
        <w:t xml:space="preserve">En concordancia con lo anterior, sobre la acreditación del factor </w:t>
      </w:r>
      <w:r w:rsidRPr="004A0D6C">
        <w:rPr>
          <w:rFonts w:ascii="Verdana" w:eastAsia="Calibri" w:hAnsi="Verdana" w:cs="Arial"/>
          <w:bCs/>
          <w:color w:val="000000"/>
          <w:sz w:val="20"/>
          <w:szCs w:val="20"/>
          <w:lang w:eastAsia="en-GB"/>
        </w:rPr>
        <w:t xml:space="preserve">“SCE” </w:t>
      </w:r>
      <w:r w:rsidRPr="004A0D6C">
        <w:rPr>
          <w:rFonts w:ascii="Verdana" w:eastAsia="Calibri" w:hAnsi="Verdana" w:cs="Arial"/>
          <w:sz w:val="20"/>
          <w:szCs w:val="20"/>
          <w:lang w:eastAsia="en-GB"/>
        </w:rPr>
        <w:t xml:space="preserve">en los Documentos Tipo </w:t>
      </w:r>
      <w:r>
        <w:rPr>
          <w:rFonts w:ascii="Verdana" w:eastAsia="Calibri" w:hAnsi="Verdana" w:cs="Arial"/>
          <w:sz w:val="20"/>
          <w:szCs w:val="20"/>
          <w:lang w:eastAsia="en-GB"/>
        </w:rPr>
        <w:t xml:space="preserve">transversales </w:t>
      </w:r>
      <w:r w:rsidRPr="004A0D6C">
        <w:rPr>
          <w:rFonts w:ascii="Verdana" w:eastAsia="Calibri" w:hAnsi="Verdana" w:cs="Arial"/>
          <w:sz w:val="20"/>
          <w:szCs w:val="20"/>
          <w:lang w:eastAsia="en-GB"/>
        </w:rPr>
        <w:t xml:space="preserve">de </w:t>
      </w:r>
      <w:r>
        <w:rPr>
          <w:rFonts w:ascii="Verdana" w:eastAsia="Calibri" w:hAnsi="Verdana" w:cs="Arial"/>
          <w:sz w:val="20"/>
          <w:szCs w:val="20"/>
          <w:lang w:eastAsia="en-GB"/>
        </w:rPr>
        <w:t>l</w:t>
      </w:r>
      <w:r w:rsidRPr="004A0D6C">
        <w:rPr>
          <w:rFonts w:ascii="Verdana" w:eastAsia="Calibri" w:hAnsi="Verdana" w:cs="Arial"/>
          <w:sz w:val="20"/>
          <w:szCs w:val="20"/>
          <w:lang w:eastAsia="en-GB"/>
        </w:rPr>
        <w:t xml:space="preserve">icitación de </w:t>
      </w:r>
      <w:r>
        <w:rPr>
          <w:rFonts w:ascii="Verdana" w:eastAsia="Calibri" w:hAnsi="Verdana" w:cs="Arial"/>
          <w:sz w:val="20"/>
          <w:szCs w:val="20"/>
          <w:lang w:eastAsia="en-GB"/>
        </w:rPr>
        <w:t>i</w:t>
      </w:r>
      <w:r w:rsidRPr="004A0D6C">
        <w:rPr>
          <w:rFonts w:ascii="Verdana" w:eastAsia="Calibri" w:hAnsi="Verdana" w:cs="Arial"/>
          <w:sz w:val="20"/>
          <w:szCs w:val="20"/>
          <w:lang w:eastAsia="en-GB"/>
        </w:rPr>
        <w:t xml:space="preserve">nfraestructura de </w:t>
      </w:r>
      <w:r>
        <w:rPr>
          <w:rFonts w:ascii="Verdana" w:eastAsia="Calibri" w:hAnsi="Verdana" w:cs="Arial"/>
          <w:sz w:val="20"/>
          <w:szCs w:val="20"/>
          <w:lang w:eastAsia="en-GB"/>
        </w:rPr>
        <w:t>social – Versión 2</w:t>
      </w:r>
      <w:r w:rsidRPr="004A0D6C">
        <w:rPr>
          <w:rFonts w:ascii="Verdana" w:eastAsia="Calibri" w:hAnsi="Verdana" w:cs="Arial"/>
          <w:sz w:val="20"/>
          <w:szCs w:val="20"/>
          <w:lang w:eastAsia="en-GB"/>
        </w:rPr>
        <w:t>, el literal E del numeral 3.11.2 “CÁLCULO DE LA CAPACIDAD RESIDUAL DEL PROPONENTE (CRP)” del Documento Base señala lo siguiente: […]</w:t>
      </w:r>
    </w:p>
    <w:p w14:paraId="0810279C" w14:textId="77777777" w:rsidR="00EF3100" w:rsidRPr="00DF11DE" w:rsidRDefault="00EF3100" w:rsidP="00EF3100">
      <w:pPr>
        <w:spacing w:line="276" w:lineRule="auto"/>
        <w:jc w:val="both"/>
        <w:rPr>
          <w:rFonts w:ascii="Verdana" w:eastAsia="Calibri" w:hAnsi="Verdana" w:cs="Arial"/>
          <w:b/>
          <w:bCs/>
          <w:lang w:val="es-ES_tradnl" w:eastAsia="es-ES"/>
        </w:rPr>
      </w:pPr>
    </w:p>
    <w:p w14:paraId="6ECC4B6F" w14:textId="77777777" w:rsidR="00EF3100" w:rsidRPr="00DF11DE" w:rsidRDefault="00EF3100" w:rsidP="00EF3100">
      <w:pPr>
        <w:spacing w:line="276" w:lineRule="auto"/>
        <w:jc w:val="both"/>
        <w:rPr>
          <w:rFonts w:ascii="Verdana" w:eastAsia="Calibri" w:hAnsi="Verdana"/>
        </w:rPr>
      </w:pPr>
      <w:r w:rsidRPr="00DF11DE">
        <w:rPr>
          <w:rFonts w:ascii="Verdana" w:eastAsia="Calibri" w:hAnsi="Verdana" w:cs="Arial"/>
          <w:b/>
          <w:bCs/>
          <w:lang w:val="es-ES_tradnl" w:eastAsia="es-ES"/>
        </w:rPr>
        <w:t>CAPACIDAD RESIDUAL – SCE – Contratos suscritos en el exterior – Guía para Determinar y Verificar la Capacidad Residual del Proponente en los Procesos de Contratación de Obra Pública</w:t>
      </w:r>
    </w:p>
    <w:p w14:paraId="2E76D145" w14:textId="77777777" w:rsidR="00EF3100" w:rsidRPr="00DF11DE" w:rsidRDefault="00EF3100" w:rsidP="00EF3100">
      <w:pPr>
        <w:spacing w:line="276" w:lineRule="auto"/>
        <w:jc w:val="both"/>
        <w:rPr>
          <w:rFonts w:ascii="Verdana" w:eastAsia="Calibri" w:hAnsi="Verdana" w:cs="Arial"/>
          <w:b/>
          <w:bCs/>
          <w:lang w:val="es-ES_tradnl" w:eastAsia="es-ES"/>
        </w:rPr>
      </w:pPr>
    </w:p>
    <w:p w14:paraId="1F4705EE" w14:textId="77777777" w:rsidR="00EF3100" w:rsidRPr="004A0D6C" w:rsidRDefault="00EF3100" w:rsidP="00EF3100">
      <w:pPr>
        <w:jc w:val="both"/>
        <w:rPr>
          <w:rFonts w:ascii="Verdana" w:eastAsia="Calibri" w:hAnsi="Verdana" w:cs="Arial"/>
          <w:sz w:val="20"/>
          <w:szCs w:val="20"/>
          <w:lang w:eastAsia="en-GB"/>
        </w:rPr>
      </w:pPr>
      <w:r w:rsidRPr="004A0D6C">
        <w:rPr>
          <w:rFonts w:ascii="Verdana" w:eastAsia="Calibri" w:hAnsi="Verdana"/>
          <w:kern w:val="2"/>
          <w:sz w:val="20"/>
          <w:szCs w:val="20"/>
          <w:lang w:val="es-ES_tradnl"/>
          <w14:ligatures w14:val="standardContextual"/>
        </w:rPr>
        <w:lastRenderedPageBreak/>
        <w:t xml:space="preserve">[…] </w:t>
      </w:r>
      <w:r w:rsidRPr="004A0D6C">
        <w:rPr>
          <w:rFonts w:ascii="Verdana" w:eastAsia="Calibri" w:hAnsi="Verdana" w:cs="Arial"/>
          <w:sz w:val="20"/>
          <w:szCs w:val="20"/>
          <w:lang w:val="es-MX" w:eastAsia="en-GB"/>
        </w:rPr>
        <w:t xml:space="preserve">para acreditar el factor de saldos de contratos en ejecución (SCE), es necesario que se presenten </w:t>
      </w:r>
      <w:r w:rsidRPr="004A0D6C">
        <w:rPr>
          <w:rFonts w:ascii="Verdana" w:eastAsia="Calibri" w:hAnsi="Verdana" w:cs="Arial"/>
          <w:sz w:val="20"/>
          <w:szCs w:val="20"/>
          <w:lang w:eastAsia="en-GB"/>
        </w:rPr>
        <w:t xml:space="preserve">los contratos de obras civiles en ejecución, tanto a nivel nacional como internacional, </w:t>
      </w:r>
      <w:r w:rsidRPr="004A0D6C">
        <w:rPr>
          <w:rFonts w:ascii="Verdana" w:eastAsia="Calibri" w:hAnsi="Verdana" w:cs="Arial"/>
          <w:i/>
          <w:iCs/>
          <w:sz w:val="20"/>
          <w:szCs w:val="20"/>
          <w:lang w:eastAsia="en-GB"/>
        </w:rPr>
        <w:t>independientemente de su denominación o tipología contractual</w:t>
      </w:r>
      <w:r w:rsidRPr="004A0D6C">
        <w:rPr>
          <w:rFonts w:ascii="Verdana" w:eastAsia="Calibri" w:hAnsi="Verdana" w:cs="Arial"/>
          <w:sz w:val="20"/>
          <w:szCs w:val="20"/>
          <w:lang w:eastAsia="en-GB"/>
        </w:rPr>
        <w:t xml:space="preserve">. Esto implica que deben tenerse en cuenta todos aquellos contratos que tengan por objeto </w:t>
      </w:r>
      <w:r w:rsidRPr="004A0D6C">
        <w:rPr>
          <w:rFonts w:ascii="Verdana" w:eastAsia="Calibri" w:hAnsi="Verdana" w:cs="Arial"/>
          <w:i/>
          <w:iCs/>
          <w:sz w:val="20"/>
          <w:szCs w:val="20"/>
          <w:lang w:eastAsia="en-GB"/>
        </w:rPr>
        <w:t>obras civiles</w:t>
      </w:r>
      <w:r w:rsidRPr="004A0D6C">
        <w:rPr>
          <w:rFonts w:ascii="Verdana" w:eastAsia="Calibri" w:hAnsi="Verdana" w:cs="Arial"/>
          <w:sz w:val="20"/>
          <w:szCs w:val="20"/>
          <w:lang w:eastAsia="en-GB"/>
        </w:rPr>
        <w:t xml:space="preserve"> y que se encuentren en ejecución, en los términos expuestos en este concepto y de conformidad con las normas y la Guía a las que se hizo referencia.</w:t>
      </w:r>
    </w:p>
    <w:p w14:paraId="02BB4857" w14:textId="77777777" w:rsidR="00EF3100" w:rsidRPr="004A0D6C" w:rsidRDefault="00EF3100" w:rsidP="00EF3100">
      <w:pPr>
        <w:jc w:val="both"/>
        <w:rPr>
          <w:rFonts w:ascii="Verdana" w:eastAsia="Calibri" w:hAnsi="Verdana" w:cs="Arial"/>
          <w:sz w:val="20"/>
          <w:szCs w:val="20"/>
          <w:lang w:eastAsia="en-GB"/>
        </w:rPr>
      </w:pPr>
      <w:r w:rsidRPr="004A0D6C">
        <w:rPr>
          <w:rFonts w:ascii="Verdana" w:eastAsia="Calibri" w:hAnsi="Verdana" w:cs="Arial"/>
          <w:sz w:val="20"/>
          <w:szCs w:val="20"/>
          <w:lang w:eastAsia="en-GB"/>
        </w:rPr>
        <w:t>[…]</w:t>
      </w:r>
    </w:p>
    <w:p w14:paraId="65D2F304" w14:textId="77777777" w:rsidR="00EF3100" w:rsidRPr="004A0D6C" w:rsidRDefault="00EF3100" w:rsidP="00EF3100">
      <w:pPr>
        <w:jc w:val="both"/>
        <w:rPr>
          <w:rFonts w:ascii="Verdana" w:eastAsia="Aptos" w:hAnsi="Verdana"/>
          <w:kern w:val="2"/>
          <w:sz w:val="20"/>
          <w:szCs w:val="20"/>
          <w:lang w:val="es-ES_tradnl"/>
          <w14:ligatures w14:val="standardContextual"/>
        </w:rPr>
      </w:pPr>
      <w:r w:rsidRPr="004A0D6C">
        <w:rPr>
          <w:rFonts w:ascii="Verdana" w:eastAsia="Calibri" w:hAnsi="Verdana" w:cs="Arial"/>
          <w:sz w:val="20"/>
          <w:szCs w:val="20"/>
          <w:lang w:eastAsia="en-GB"/>
        </w:rPr>
        <w:t xml:space="preserve">[…] </w:t>
      </w:r>
      <w:r w:rsidRPr="004A0D6C">
        <w:rPr>
          <w:rFonts w:ascii="Verdana" w:eastAsia="Aptos" w:hAnsi="Verdana"/>
          <w:kern w:val="2"/>
          <w:sz w:val="20"/>
          <w:szCs w:val="20"/>
          <w:lang w:val="es-ES_tradnl"/>
          <w14:ligatures w14:val="standardContextual"/>
        </w:rPr>
        <w:t>la Guía es clara al indicar que los contratos que el oferente se encuentre ejecutando en el exterior deben ser reportados en el formato respectivo dentro del componente “saldos de contratos en ejecución”, toda vez que los mismos obligan al proponente al momento de la presentación de su oferta y, por lo tanto, impactan su capacidad residual en el marco del proceso de selección y el futuro desarrollo de un contrato de obra pública, incluso con pliegos tipo.</w:t>
      </w:r>
    </w:p>
    <w:p w14:paraId="68C1D03F" w14:textId="77777777" w:rsidR="00EF3100" w:rsidRDefault="00EF3100" w:rsidP="00EF3100">
      <w:pPr>
        <w:rPr>
          <w:rFonts w:ascii="Verdana" w:eastAsia="Aptos" w:hAnsi="Verdana"/>
          <w:sz w:val="20"/>
          <w:szCs w:val="20"/>
        </w:rPr>
      </w:pPr>
    </w:p>
    <w:p w14:paraId="6E5EF207" w14:textId="77777777" w:rsidR="00EF3100" w:rsidRDefault="00EF3100" w:rsidP="00EF3100">
      <w:pPr>
        <w:rPr>
          <w:rFonts w:ascii="Verdana" w:eastAsia="Aptos" w:hAnsi="Verdana"/>
          <w:sz w:val="20"/>
          <w:szCs w:val="20"/>
        </w:rPr>
      </w:pPr>
    </w:p>
    <w:p w14:paraId="4B77DB05" w14:textId="77777777" w:rsidR="00EF3100" w:rsidRDefault="00EF3100" w:rsidP="00EF3100">
      <w:pPr>
        <w:rPr>
          <w:rFonts w:ascii="Verdana" w:eastAsia="Aptos" w:hAnsi="Verdana"/>
          <w:sz w:val="20"/>
          <w:szCs w:val="20"/>
        </w:rPr>
      </w:pPr>
    </w:p>
    <w:p w14:paraId="501A3EFC" w14:textId="77777777" w:rsidR="00EF3100" w:rsidRDefault="00EF3100" w:rsidP="00EF3100">
      <w:pPr>
        <w:rPr>
          <w:rFonts w:ascii="Verdana" w:eastAsia="Aptos" w:hAnsi="Verdana"/>
          <w:sz w:val="20"/>
          <w:szCs w:val="20"/>
        </w:rPr>
      </w:pPr>
    </w:p>
    <w:p w14:paraId="19EF202B" w14:textId="77777777" w:rsidR="00EF3100" w:rsidRDefault="00EF3100" w:rsidP="00EF3100">
      <w:pPr>
        <w:rPr>
          <w:rFonts w:ascii="Verdana" w:eastAsia="Aptos" w:hAnsi="Verdana"/>
          <w:sz w:val="20"/>
          <w:szCs w:val="20"/>
        </w:rPr>
      </w:pPr>
    </w:p>
    <w:p w14:paraId="05B1C434" w14:textId="77777777" w:rsidR="00EF3100" w:rsidRDefault="00EF3100" w:rsidP="00EF3100">
      <w:pPr>
        <w:rPr>
          <w:rFonts w:ascii="Verdana" w:eastAsia="Aptos" w:hAnsi="Verdana"/>
          <w:sz w:val="20"/>
          <w:szCs w:val="20"/>
        </w:rPr>
      </w:pPr>
    </w:p>
    <w:p w14:paraId="0FC0A34F" w14:textId="77777777" w:rsidR="00EF3100" w:rsidRDefault="00EF3100" w:rsidP="00EF3100">
      <w:pPr>
        <w:rPr>
          <w:rFonts w:ascii="Verdana" w:eastAsia="Aptos" w:hAnsi="Verdana"/>
          <w:sz w:val="20"/>
          <w:szCs w:val="20"/>
        </w:rPr>
      </w:pPr>
    </w:p>
    <w:p w14:paraId="6C45CBD0" w14:textId="77777777" w:rsidR="00EF3100" w:rsidRDefault="00EF3100" w:rsidP="00EF3100">
      <w:pPr>
        <w:rPr>
          <w:rFonts w:ascii="Verdana" w:eastAsia="Aptos" w:hAnsi="Verdana"/>
          <w:sz w:val="20"/>
          <w:szCs w:val="20"/>
        </w:rPr>
      </w:pPr>
    </w:p>
    <w:p w14:paraId="4CA8DAA8" w14:textId="77777777" w:rsidR="00EF3100" w:rsidRDefault="00EF3100" w:rsidP="00EF3100">
      <w:pPr>
        <w:rPr>
          <w:rFonts w:ascii="Verdana" w:eastAsia="Aptos" w:hAnsi="Verdana"/>
          <w:sz w:val="20"/>
          <w:szCs w:val="20"/>
        </w:rPr>
      </w:pPr>
    </w:p>
    <w:p w14:paraId="04D92EAF" w14:textId="77777777" w:rsidR="00EF3100" w:rsidRDefault="00EF3100" w:rsidP="00EF3100">
      <w:pPr>
        <w:rPr>
          <w:rFonts w:ascii="Verdana" w:eastAsia="Aptos" w:hAnsi="Verdana"/>
          <w:sz w:val="20"/>
          <w:szCs w:val="20"/>
        </w:rPr>
      </w:pPr>
    </w:p>
    <w:p w14:paraId="1AE0A646" w14:textId="77777777" w:rsidR="00EF3100" w:rsidRDefault="00EF3100" w:rsidP="00EF3100">
      <w:pPr>
        <w:rPr>
          <w:rFonts w:ascii="Verdana" w:eastAsia="Aptos" w:hAnsi="Verdana"/>
          <w:sz w:val="20"/>
          <w:szCs w:val="20"/>
        </w:rPr>
      </w:pPr>
    </w:p>
    <w:p w14:paraId="375795D6" w14:textId="77777777" w:rsidR="00EF3100" w:rsidRDefault="00EF3100" w:rsidP="00EF3100">
      <w:pPr>
        <w:rPr>
          <w:rFonts w:ascii="Verdana" w:eastAsia="Aptos" w:hAnsi="Verdana"/>
          <w:sz w:val="20"/>
          <w:szCs w:val="20"/>
        </w:rPr>
      </w:pPr>
    </w:p>
    <w:p w14:paraId="361BF461" w14:textId="77777777" w:rsidR="00EF3100" w:rsidRDefault="00EF3100" w:rsidP="00EF3100">
      <w:pPr>
        <w:rPr>
          <w:rFonts w:ascii="Verdana" w:eastAsia="Aptos" w:hAnsi="Verdana"/>
          <w:sz w:val="20"/>
          <w:szCs w:val="20"/>
        </w:rPr>
      </w:pPr>
    </w:p>
    <w:p w14:paraId="697B0B92" w14:textId="77777777" w:rsidR="00EF3100" w:rsidRDefault="00EF3100" w:rsidP="00EF3100">
      <w:pPr>
        <w:rPr>
          <w:rFonts w:ascii="Verdana" w:eastAsia="Aptos" w:hAnsi="Verdana"/>
          <w:sz w:val="20"/>
          <w:szCs w:val="20"/>
        </w:rPr>
      </w:pPr>
    </w:p>
    <w:p w14:paraId="3077D42E" w14:textId="77777777" w:rsidR="00EF3100" w:rsidRDefault="00EF3100" w:rsidP="00EF3100">
      <w:pPr>
        <w:rPr>
          <w:rFonts w:ascii="Verdana" w:eastAsia="Aptos" w:hAnsi="Verdana"/>
          <w:sz w:val="20"/>
          <w:szCs w:val="20"/>
        </w:rPr>
      </w:pPr>
    </w:p>
    <w:p w14:paraId="0013B105" w14:textId="77777777" w:rsidR="00EF3100" w:rsidRDefault="00EF3100" w:rsidP="00EF3100">
      <w:pPr>
        <w:rPr>
          <w:rFonts w:ascii="Verdana" w:eastAsia="Aptos" w:hAnsi="Verdana"/>
          <w:sz w:val="20"/>
          <w:szCs w:val="20"/>
        </w:rPr>
      </w:pPr>
    </w:p>
    <w:p w14:paraId="0E7ACB29" w14:textId="77777777" w:rsidR="00EF3100" w:rsidRDefault="00EF3100" w:rsidP="00EF3100">
      <w:pPr>
        <w:rPr>
          <w:rFonts w:ascii="Verdana" w:eastAsia="Aptos" w:hAnsi="Verdana"/>
          <w:sz w:val="20"/>
          <w:szCs w:val="20"/>
        </w:rPr>
      </w:pPr>
    </w:p>
    <w:p w14:paraId="17D09C2B" w14:textId="77777777" w:rsidR="00EF3100" w:rsidRDefault="00EF3100" w:rsidP="00EF3100">
      <w:pPr>
        <w:rPr>
          <w:rFonts w:ascii="Verdana" w:eastAsia="Aptos" w:hAnsi="Verdana"/>
          <w:sz w:val="20"/>
          <w:szCs w:val="20"/>
        </w:rPr>
      </w:pPr>
    </w:p>
    <w:p w14:paraId="3903EE90" w14:textId="77777777" w:rsidR="00EF3100" w:rsidRDefault="00EF3100" w:rsidP="00EF3100">
      <w:pPr>
        <w:rPr>
          <w:rFonts w:ascii="Verdana" w:eastAsia="Aptos" w:hAnsi="Verdana"/>
          <w:sz w:val="20"/>
          <w:szCs w:val="20"/>
        </w:rPr>
      </w:pPr>
    </w:p>
    <w:p w14:paraId="66E3E2E5" w14:textId="77777777" w:rsidR="00EF3100" w:rsidRDefault="00EF3100" w:rsidP="00EF3100">
      <w:pPr>
        <w:rPr>
          <w:rFonts w:ascii="Verdana" w:eastAsia="Aptos" w:hAnsi="Verdana"/>
          <w:sz w:val="20"/>
          <w:szCs w:val="20"/>
        </w:rPr>
      </w:pPr>
    </w:p>
    <w:p w14:paraId="4F8457FD" w14:textId="77777777" w:rsidR="00EF3100" w:rsidRDefault="00EF3100" w:rsidP="00EF3100">
      <w:pPr>
        <w:rPr>
          <w:rFonts w:ascii="Verdana" w:eastAsia="Aptos" w:hAnsi="Verdana"/>
          <w:sz w:val="20"/>
          <w:szCs w:val="20"/>
        </w:rPr>
      </w:pPr>
    </w:p>
    <w:p w14:paraId="233054DC" w14:textId="77777777" w:rsidR="00EF3100" w:rsidRDefault="00EF3100" w:rsidP="00EF3100">
      <w:pPr>
        <w:rPr>
          <w:rFonts w:ascii="Verdana" w:eastAsia="Aptos" w:hAnsi="Verdana"/>
          <w:sz w:val="20"/>
          <w:szCs w:val="20"/>
        </w:rPr>
      </w:pPr>
    </w:p>
    <w:p w14:paraId="10344E7F" w14:textId="77777777" w:rsidR="00EF3100" w:rsidRDefault="00EF3100" w:rsidP="00EF3100">
      <w:pPr>
        <w:rPr>
          <w:rFonts w:ascii="Verdana" w:eastAsia="Aptos" w:hAnsi="Verdana"/>
          <w:sz w:val="20"/>
          <w:szCs w:val="20"/>
        </w:rPr>
      </w:pPr>
    </w:p>
    <w:p w14:paraId="41B4180E" w14:textId="77777777" w:rsidR="00EF3100" w:rsidRDefault="00EF3100" w:rsidP="00EF3100">
      <w:pPr>
        <w:rPr>
          <w:rFonts w:ascii="Verdana" w:eastAsia="Aptos" w:hAnsi="Verdana"/>
          <w:sz w:val="20"/>
          <w:szCs w:val="20"/>
        </w:rPr>
      </w:pPr>
    </w:p>
    <w:p w14:paraId="350BBA96" w14:textId="77777777" w:rsidR="00EF3100" w:rsidRDefault="00EF3100" w:rsidP="00EF3100">
      <w:pPr>
        <w:rPr>
          <w:rFonts w:ascii="Verdana" w:eastAsia="Aptos" w:hAnsi="Verdana"/>
          <w:sz w:val="20"/>
          <w:szCs w:val="20"/>
        </w:rPr>
      </w:pPr>
    </w:p>
    <w:p w14:paraId="1E01DCBE" w14:textId="77777777" w:rsidR="00EF3100" w:rsidRDefault="00EF3100" w:rsidP="00EF3100">
      <w:pPr>
        <w:rPr>
          <w:rFonts w:ascii="Verdana" w:eastAsia="Aptos" w:hAnsi="Verdana"/>
          <w:sz w:val="20"/>
          <w:szCs w:val="20"/>
        </w:rPr>
      </w:pPr>
    </w:p>
    <w:p w14:paraId="487E2D1B" w14:textId="77777777" w:rsidR="00EF3100" w:rsidRDefault="00EF3100" w:rsidP="00EF3100">
      <w:pPr>
        <w:rPr>
          <w:rFonts w:ascii="Verdana" w:eastAsia="Aptos" w:hAnsi="Verdana"/>
          <w:sz w:val="20"/>
          <w:szCs w:val="20"/>
        </w:rPr>
      </w:pPr>
    </w:p>
    <w:p w14:paraId="2B95349C" w14:textId="77777777" w:rsidR="00EF3100" w:rsidRDefault="00EF3100" w:rsidP="00EF3100">
      <w:pPr>
        <w:rPr>
          <w:rFonts w:ascii="Verdana" w:eastAsia="Aptos" w:hAnsi="Verdana"/>
          <w:sz w:val="20"/>
          <w:szCs w:val="20"/>
        </w:rPr>
      </w:pPr>
    </w:p>
    <w:p w14:paraId="1610094F" w14:textId="77777777" w:rsidR="00EF3100" w:rsidRDefault="00EF3100" w:rsidP="00EF3100">
      <w:pPr>
        <w:rPr>
          <w:rFonts w:ascii="Verdana" w:eastAsia="Aptos" w:hAnsi="Verdana"/>
          <w:sz w:val="20"/>
          <w:szCs w:val="20"/>
        </w:rPr>
      </w:pPr>
    </w:p>
    <w:p w14:paraId="0041DDDD" w14:textId="77777777" w:rsidR="00EF3100" w:rsidRDefault="00EF3100" w:rsidP="00EF3100">
      <w:pPr>
        <w:rPr>
          <w:rFonts w:ascii="Verdana" w:eastAsia="Aptos" w:hAnsi="Verdana"/>
          <w:sz w:val="20"/>
          <w:szCs w:val="20"/>
        </w:rPr>
      </w:pPr>
    </w:p>
    <w:p w14:paraId="79E929AB" w14:textId="77777777" w:rsidR="00EF3100" w:rsidRDefault="00EF3100" w:rsidP="00EF3100">
      <w:pPr>
        <w:rPr>
          <w:rFonts w:ascii="Verdana" w:eastAsia="Aptos" w:hAnsi="Verdana"/>
          <w:sz w:val="20"/>
          <w:szCs w:val="20"/>
        </w:rPr>
      </w:pPr>
    </w:p>
    <w:p w14:paraId="00F082C8" w14:textId="77777777" w:rsidR="00EF3100" w:rsidRDefault="00EF3100" w:rsidP="00EF3100">
      <w:pPr>
        <w:rPr>
          <w:rFonts w:ascii="Verdana" w:eastAsia="Aptos" w:hAnsi="Verdana"/>
          <w:sz w:val="20"/>
          <w:szCs w:val="20"/>
        </w:rPr>
      </w:pPr>
    </w:p>
    <w:p w14:paraId="25D5E5AF" w14:textId="77777777" w:rsidR="00EF3100" w:rsidRDefault="00EF3100" w:rsidP="00EF3100">
      <w:pPr>
        <w:rPr>
          <w:rFonts w:ascii="Verdana" w:eastAsia="Aptos" w:hAnsi="Verdana"/>
          <w:sz w:val="20"/>
          <w:szCs w:val="20"/>
        </w:rPr>
      </w:pPr>
    </w:p>
    <w:p w14:paraId="19D938CE" w14:textId="10A5214B" w:rsidR="00EF3100" w:rsidRPr="00697213" w:rsidRDefault="00EF3100" w:rsidP="00EF3100">
      <w:pPr>
        <w:rPr>
          <w:rFonts w:ascii="Verdana" w:eastAsia="Geomanist Light" w:hAnsi="Verdana" w:cs="Arial"/>
          <w:sz w:val="22"/>
          <w:szCs w:val="22"/>
          <w:lang w:val="es-MX"/>
        </w:rPr>
      </w:pPr>
      <w:r w:rsidRPr="00697213">
        <w:rPr>
          <w:rFonts w:ascii="Verdana" w:eastAsia="Geomanist Light" w:hAnsi="Verdana" w:cs="Arial"/>
          <w:sz w:val="22"/>
          <w:szCs w:val="22"/>
          <w:lang w:val="es-MX"/>
        </w:rPr>
        <w:lastRenderedPageBreak/>
        <w:t>Bogotá D.C., </w:t>
      </w:r>
      <w:r w:rsidR="00802538">
        <w:rPr>
          <w:rFonts w:ascii="Verdana" w:eastAsia="Geomanist Light" w:hAnsi="Verdana" w:cs="Arial"/>
          <w:sz w:val="22"/>
          <w:szCs w:val="22"/>
          <w:lang w:val="es-MX"/>
        </w:rPr>
        <w:t>17 de septiembre de 2026</w:t>
      </w:r>
    </w:p>
    <w:p w14:paraId="3D64E7BA" w14:textId="77777777" w:rsidR="00EF3100" w:rsidRPr="00697213" w:rsidRDefault="00EF3100" w:rsidP="00EF3100">
      <w:pPr>
        <w:jc w:val="both"/>
        <w:rPr>
          <w:rFonts w:ascii="Verdana" w:eastAsia="Calibri" w:hAnsi="Verdana" w:cs="Arial"/>
          <w:sz w:val="22"/>
          <w:szCs w:val="22"/>
          <w:lang w:val="es-ES"/>
        </w:rPr>
      </w:pPr>
    </w:p>
    <w:p w14:paraId="631AA532" w14:textId="12AEB9A8" w:rsidR="00EF3100" w:rsidRPr="00697213" w:rsidRDefault="0064444E" w:rsidP="00EF3100">
      <w:pPr>
        <w:jc w:val="right"/>
        <w:rPr>
          <w:rFonts w:ascii="Verdana" w:eastAsia="Calibri" w:hAnsi="Verdana" w:cs="Arial"/>
          <w:sz w:val="22"/>
          <w:szCs w:val="22"/>
          <w:lang w:val="es-ES"/>
        </w:rPr>
      </w:pPr>
      <w:r w:rsidRPr="0064444E">
        <w:rPr>
          <w:rFonts w:ascii="Verdana" w:eastAsia="Calibri" w:hAnsi="Verdana" w:cs="Arial"/>
          <w:sz w:val="22"/>
          <w:szCs w:val="22"/>
          <w:lang w:val="es-ES"/>
        </w:rPr>
        <w:drawing>
          <wp:inline distT="0" distB="0" distL="0" distR="0" wp14:anchorId="541529A9" wp14:editId="4AEC2B1C">
            <wp:extent cx="1857634" cy="533474"/>
            <wp:effectExtent l="0" t="0" r="9525" b="0"/>
            <wp:docPr id="17359782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78221" name=""/>
                    <pic:cNvPicPr/>
                  </pic:nvPicPr>
                  <pic:blipFill>
                    <a:blip r:embed="rId10"/>
                    <a:stretch>
                      <a:fillRect/>
                    </a:stretch>
                  </pic:blipFill>
                  <pic:spPr>
                    <a:xfrm>
                      <a:off x="0" y="0"/>
                      <a:ext cx="1857634" cy="533474"/>
                    </a:xfrm>
                    <a:prstGeom prst="rect">
                      <a:avLst/>
                    </a:prstGeom>
                  </pic:spPr>
                </pic:pic>
              </a:graphicData>
            </a:graphic>
          </wp:inline>
        </w:drawing>
      </w:r>
    </w:p>
    <w:p w14:paraId="1040506D" w14:textId="77777777" w:rsidR="00EF3100" w:rsidRPr="00697213" w:rsidRDefault="00EF3100" w:rsidP="00EF3100">
      <w:pPr>
        <w:jc w:val="both"/>
        <w:rPr>
          <w:rFonts w:ascii="Verdana" w:eastAsia="Calibri" w:hAnsi="Verdana" w:cs="Arial"/>
          <w:sz w:val="22"/>
          <w:szCs w:val="22"/>
          <w:lang w:val="es-ES" w:eastAsia="es-ES"/>
        </w:rPr>
      </w:pPr>
      <w:r w:rsidRPr="00697213">
        <w:rPr>
          <w:rFonts w:ascii="Verdana" w:eastAsia="Calibri" w:hAnsi="Verdana" w:cs="Arial"/>
          <w:sz w:val="22"/>
          <w:szCs w:val="22"/>
          <w:lang w:val="es-ES" w:eastAsia="es-ES"/>
        </w:rPr>
        <w:t>Señor</w:t>
      </w:r>
    </w:p>
    <w:p w14:paraId="0E5A103C" w14:textId="77777777" w:rsidR="00EF3100" w:rsidRPr="00697213" w:rsidRDefault="00EF3100" w:rsidP="00EF3100">
      <w:pPr>
        <w:jc w:val="both"/>
        <w:rPr>
          <w:rFonts w:ascii="Verdana" w:eastAsia="Calibri" w:hAnsi="Verdana" w:cs="Arial"/>
          <w:b/>
          <w:bCs/>
          <w:sz w:val="22"/>
          <w:szCs w:val="22"/>
          <w:lang w:val="es-ES" w:eastAsia="es-ES"/>
        </w:rPr>
      </w:pPr>
      <w:r w:rsidRPr="00697213">
        <w:rPr>
          <w:rFonts w:ascii="Verdana" w:eastAsia="Calibri" w:hAnsi="Verdana" w:cs="Arial"/>
          <w:b/>
          <w:bCs/>
          <w:sz w:val="22"/>
          <w:szCs w:val="22"/>
          <w:lang w:val="es-ES" w:eastAsia="es-ES"/>
        </w:rPr>
        <w:t>Cesar Javier Alfonso Valdés Peñalosa</w:t>
      </w:r>
    </w:p>
    <w:p w14:paraId="302D8ED6" w14:textId="6B87ABEA" w:rsidR="00EF3100" w:rsidRPr="00697213" w:rsidRDefault="00EF3100" w:rsidP="00EF3100">
      <w:pPr>
        <w:rPr>
          <w:rFonts w:ascii="Verdana" w:hAnsi="Verdana"/>
          <w:sz w:val="22"/>
          <w:szCs w:val="22"/>
        </w:rPr>
      </w:pPr>
      <w:hyperlink r:id="rId11" w:history="1">
        <w:r w:rsidRPr="00697213">
          <w:rPr>
            <w:rStyle w:val="Hipervnculo"/>
            <w:rFonts w:ascii="Verdana" w:hAnsi="Verdana"/>
            <w:sz w:val="22"/>
            <w:szCs w:val="22"/>
          </w:rPr>
          <w:t>javiervaldesp@hotmail.com</w:t>
        </w:r>
      </w:hyperlink>
    </w:p>
    <w:p w14:paraId="5ECD74B1" w14:textId="77777777" w:rsidR="00EF3100" w:rsidRPr="00697213" w:rsidRDefault="00EF3100" w:rsidP="00EF3100">
      <w:pPr>
        <w:rPr>
          <w:rFonts w:ascii="Verdana" w:eastAsia="Calibri" w:hAnsi="Verdana" w:cs="Arial"/>
          <w:sz w:val="22"/>
          <w:szCs w:val="22"/>
          <w:lang w:val="es-ES" w:eastAsia="es-ES"/>
        </w:rPr>
      </w:pPr>
      <w:r w:rsidRPr="00697213">
        <w:rPr>
          <w:rFonts w:ascii="Verdana" w:eastAsia="Calibri" w:hAnsi="Verdana" w:cs="Arial"/>
          <w:sz w:val="22"/>
          <w:szCs w:val="22"/>
          <w:lang w:val="es-ES" w:eastAsia="es-ES"/>
        </w:rPr>
        <w:t>Ciudad</w:t>
      </w:r>
    </w:p>
    <w:p w14:paraId="0B02990C" w14:textId="77777777" w:rsidR="00EF3100" w:rsidRPr="00697213" w:rsidRDefault="00EF3100" w:rsidP="00EF3100">
      <w:pPr>
        <w:rPr>
          <w:rFonts w:ascii="Verdana" w:eastAsia="Calibri" w:hAnsi="Verdana" w:cs="Arial"/>
          <w:b/>
          <w:bCs/>
          <w:sz w:val="22"/>
          <w:szCs w:val="22"/>
          <w:lang w:val="es-ES" w:eastAsia="es-ES"/>
        </w:rPr>
      </w:pPr>
    </w:p>
    <w:p w14:paraId="7DB626AA" w14:textId="77777777" w:rsidR="00EF3100" w:rsidRPr="00697213" w:rsidRDefault="00EF3100" w:rsidP="00EF3100">
      <w:pPr>
        <w:rPr>
          <w:rFonts w:ascii="Verdana" w:eastAsia="Calibri" w:hAnsi="Verdana" w:cs="Arial"/>
          <w:b/>
          <w:bCs/>
          <w:sz w:val="22"/>
          <w:szCs w:val="22"/>
          <w:lang w:val="es-E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F3100" w:rsidRPr="005C5848" w14:paraId="43A5A53B" w14:textId="77777777" w:rsidTr="00342599">
        <w:trPr>
          <w:trHeight w:val="322"/>
        </w:trPr>
        <w:tc>
          <w:tcPr>
            <w:tcW w:w="2689" w:type="dxa"/>
          </w:tcPr>
          <w:p w14:paraId="4FF648A2" w14:textId="77777777" w:rsidR="00EF3100" w:rsidRPr="00697213" w:rsidRDefault="00EF3100" w:rsidP="00342599">
            <w:pPr>
              <w:jc w:val="both"/>
              <w:rPr>
                <w:rFonts w:ascii="Verdana" w:eastAsia="Calibri" w:hAnsi="Verdana" w:cs="Arial"/>
                <w:b/>
                <w:bCs/>
                <w:lang w:val="es-ES_tradnl"/>
              </w:rPr>
            </w:pPr>
          </w:p>
        </w:tc>
        <w:tc>
          <w:tcPr>
            <w:tcW w:w="6100" w:type="dxa"/>
          </w:tcPr>
          <w:p w14:paraId="364D58E0" w14:textId="77777777" w:rsidR="00EF3100" w:rsidRPr="00697213" w:rsidRDefault="00EF3100" w:rsidP="00342599">
            <w:pPr>
              <w:jc w:val="both"/>
              <w:rPr>
                <w:rFonts w:ascii="Verdana" w:eastAsia="Calibri" w:hAnsi="Verdana" w:cs="Arial"/>
                <w:b/>
                <w:bCs/>
                <w:lang w:val="es-ES" w:eastAsia="es-ES"/>
              </w:rPr>
            </w:pPr>
            <w:r w:rsidRPr="00697213">
              <w:rPr>
                <w:rFonts w:ascii="Verdana" w:eastAsia="Calibri" w:hAnsi="Verdana" w:cs="Arial"/>
                <w:b/>
                <w:bCs/>
                <w:lang w:val="es-ES" w:eastAsia="es-ES"/>
              </w:rPr>
              <w:t>Concepto C-1253 de 2026</w:t>
            </w:r>
          </w:p>
          <w:p w14:paraId="5057640A" w14:textId="77777777" w:rsidR="00EF3100" w:rsidRPr="00697213" w:rsidRDefault="00EF3100" w:rsidP="00342599">
            <w:pPr>
              <w:jc w:val="both"/>
              <w:rPr>
                <w:rFonts w:ascii="Verdana" w:eastAsia="Calibri" w:hAnsi="Verdana" w:cs="Arial"/>
                <w:b/>
                <w:bCs/>
                <w:lang w:val="es-ES" w:eastAsia="es-ES"/>
              </w:rPr>
            </w:pPr>
          </w:p>
        </w:tc>
      </w:tr>
      <w:tr w:rsidR="00EF3100" w:rsidRPr="005C5848" w14:paraId="6DE612E4" w14:textId="77777777" w:rsidTr="00342599">
        <w:trPr>
          <w:trHeight w:val="884"/>
        </w:trPr>
        <w:tc>
          <w:tcPr>
            <w:tcW w:w="2689" w:type="dxa"/>
          </w:tcPr>
          <w:p w14:paraId="44C09ADB" w14:textId="77777777" w:rsidR="00EF3100" w:rsidRPr="00697213" w:rsidRDefault="00EF3100" w:rsidP="00342599">
            <w:pPr>
              <w:jc w:val="both"/>
              <w:rPr>
                <w:rFonts w:ascii="Verdana" w:eastAsia="Calibri" w:hAnsi="Verdana" w:cs="Arial"/>
                <w:lang w:val="es-ES_tradnl"/>
              </w:rPr>
            </w:pPr>
            <w:r w:rsidRPr="00697213">
              <w:rPr>
                <w:rFonts w:ascii="Verdana" w:eastAsia="Calibri" w:hAnsi="Verdana" w:cs="Arial"/>
                <w:b/>
                <w:lang w:val="es-ES_tradnl"/>
              </w:rPr>
              <w:t>Temas:</w:t>
            </w:r>
            <w:r w:rsidRPr="00697213">
              <w:rPr>
                <w:rFonts w:ascii="Verdana" w:eastAsia="Calibri" w:hAnsi="Verdana" w:cs="Arial"/>
                <w:lang w:val="es-ES_tradnl"/>
              </w:rPr>
              <w:t xml:space="preserve">                   </w:t>
            </w:r>
          </w:p>
        </w:tc>
        <w:tc>
          <w:tcPr>
            <w:tcW w:w="6100" w:type="dxa"/>
          </w:tcPr>
          <w:p w14:paraId="2C0195E8" w14:textId="77777777" w:rsidR="00EF3100" w:rsidRPr="00697213" w:rsidRDefault="00EF3100" w:rsidP="00342599">
            <w:pPr>
              <w:jc w:val="both"/>
              <w:rPr>
                <w:rFonts w:ascii="Verdana" w:eastAsia="Calibri" w:hAnsi="Verdana"/>
              </w:rPr>
            </w:pPr>
            <w:r w:rsidRPr="00697213">
              <w:rPr>
                <w:rFonts w:ascii="Verdana" w:eastAsia="Calibri" w:hAnsi="Verdana" w:cs="Arial"/>
                <w:lang w:val="es-ES" w:eastAsia="es-ES"/>
              </w:rPr>
              <w:t xml:space="preserve">CAPACIDAD RESIDUAL – Definición – Factores – Contratos de obra / </w:t>
            </w:r>
            <w:r w:rsidRPr="00697213">
              <w:rPr>
                <w:rFonts w:ascii="Verdana" w:eastAsia="Calibri" w:hAnsi="Verdana" w:cs="Arial"/>
                <w:lang w:eastAsia="es-MX"/>
              </w:rPr>
              <w:t xml:space="preserve">CAPACIDAD RESIDUAL – Saldos de Contratos en Ejecución – SCE – Documentos Tipo – Cálculo / </w:t>
            </w:r>
            <w:r w:rsidRPr="00697213">
              <w:rPr>
                <w:rFonts w:ascii="Verdana" w:eastAsia="Calibri" w:hAnsi="Verdana" w:cs="Arial"/>
                <w:lang w:val="es-ES_tradnl" w:eastAsia="es-ES"/>
              </w:rPr>
              <w:t>CAPACIDAD RESIDUAL – SCE – Contratos suscritos en el exterior – Guía para Determinar y Verificar la Capacidad Residual del Proponente en los Procesos de Contratación de Obra Pública</w:t>
            </w:r>
          </w:p>
          <w:p w14:paraId="53E0B0A9" w14:textId="77777777" w:rsidR="00EF3100" w:rsidRPr="00697213" w:rsidRDefault="00EF3100" w:rsidP="00342599">
            <w:pPr>
              <w:jc w:val="both"/>
              <w:rPr>
                <w:rFonts w:ascii="Verdana" w:eastAsia="Calibri" w:hAnsi="Verdana" w:cs="Arial"/>
                <w:lang w:val="es-ES" w:eastAsia="es-ES"/>
              </w:rPr>
            </w:pPr>
          </w:p>
        </w:tc>
      </w:tr>
      <w:tr w:rsidR="00EF3100" w:rsidRPr="005C5848" w14:paraId="63D371CA" w14:textId="77777777" w:rsidTr="00342599">
        <w:tc>
          <w:tcPr>
            <w:tcW w:w="2689" w:type="dxa"/>
          </w:tcPr>
          <w:p w14:paraId="2E6FAA51" w14:textId="77777777" w:rsidR="00EF3100" w:rsidRPr="00697213" w:rsidRDefault="00EF3100" w:rsidP="00342599">
            <w:pPr>
              <w:jc w:val="both"/>
              <w:rPr>
                <w:rFonts w:ascii="Verdana" w:eastAsia="Calibri" w:hAnsi="Verdana" w:cs="Arial"/>
                <w:b/>
                <w:lang w:val="es-ES_tradnl"/>
              </w:rPr>
            </w:pPr>
            <w:r w:rsidRPr="00697213">
              <w:rPr>
                <w:rFonts w:ascii="Verdana" w:eastAsia="Calibri" w:hAnsi="Verdana" w:cs="Arial"/>
                <w:b/>
                <w:lang w:val="es-ES_tradnl"/>
              </w:rPr>
              <w:t>Radicación:</w:t>
            </w:r>
            <w:r w:rsidRPr="00697213">
              <w:rPr>
                <w:rFonts w:ascii="Verdana" w:eastAsia="Calibri" w:hAnsi="Verdana" w:cs="Arial"/>
                <w:lang w:val="es-ES_tradnl"/>
              </w:rPr>
              <w:t xml:space="preserve">               </w:t>
            </w:r>
          </w:p>
        </w:tc>
        <w:tc>
          <w:tcPr>
            <w:tcW w:w="6100" w:type="dxa"/>
          </w:tcPr>
          <w:p w14:paraId="0CE5B813" w14:textId="77777777" w:rsidR="00EF3100" w:rsidRPr="00697213" w:rsidRDefault="00EF3100" w:rsidP="00342599">
            <w:pPr>
              <w:jc w:val="both"/>
              <w:rPr>
                <w:rFonts w:ascii="Verdana" w:eastAsia="Calibri" w:hAnsi="Verdana" w:cs="Arial"/>
                <w:lang w:val="es-ES" w:eastAsia="es-ES"/>
              </w:rPr>
            </w:pPr>
            <w:r w:rsidRPr="00697213">
              <w:rPr>
                <w:rFonts w:ascii="Verdana" w:eastAsia="Calibri" w:hAnsi="Verdana" w:cs="Arial"/>
                <w:lang w:val="es-ES" w:eastAsia="es-ES"/>
              </w:rPr>
              <w:t xml:space="preserve">Respuesta a consulta con radicado No. </w:t>
            </w:r>
            <w:r w:rsidRPr="00697213">
              <w:rPr>
                <w:rFonts w:ascii="Verdana" w:eastAsia="Calibri" w:hAnsi="Verdana" w:cs="Arial"/>
              </w:rPr>
              <w:t>1_2026_08_10_010537</w:t>
            </w:r>
          </w:p>
        </w:tc>
      </w:tr>
    </w:tbl>
    <w:p w14:paraId="41C137C3" w14:textId="77777777" w:rsidR="00EF3100" w:rsidRPr="00697213" w:rsidRDefault="00EF3100" w:rsidP="00EF3100">
      <w:pPr>
        <w:jc w:val="both"/>
        <w:rPr>
          <w:rFonts w:ascii="Verdana" w:eastAsia="Calibri" w:hAnsi="Verdana" w:cs="Arial"/>
          <w:sz w:val="22"/>
          <w:szCs w:val="22"/>
          <w:lang w:val="es-ES_tradnl"/>
        </w:rPr>
      </w:pPr>
    </w:p>
    <w:p w14:paraId="2C850477" w14:textId="77777777" w:rsidR="00EF3100" w:rsidRPr="00697213" w:rsidRDefault="00EF3100" w:rsidP="00EF3100">
      <w:pPr>
        <w:jc w:val="both"/>
        <w:rPr>
          <w:rFonts w:ascii="Verdana" w:eastAsia="Calibri" w:hAnsi="Verdana" w:cs="Arial"/>
          <w:sz w:val="22"/>
          <w:szCs w:val="22"/>
          <w:lang w:val="es-ES_tradnl"/>
        </w:rPr>
      </w:pPr>
    </w:p>
    <w:p w14:paraId="06090DCB" w14:textId="77777777" w:rsidR="00EF3100" w:rsidRPr="00697213" w:rsidRDefault="00EF3100" w:rsidP="00EF3100">
      <w:pPr>
        <w:spacing w:line="276" w:lineRule="auto"/>
        <w:jc w:val="both"/>
        <w:rPr>
          <w:rFonts w:ascii="Verdana" w:eastAsia="Calibri" w:hAnsi="Verdana" w:cs="Arial"/>
          <w:sz w:val="22"/>
          <w:szCs w:val="22"/>
          <w:lang w:val="es-ES" w:eastAsia="es-ES"/>
        </w:rPr>
      </w:pPr>
      <w:r w:rsidRPr="00697213">
        <w:rPr>
          <w:rFonts w:ascii="Verdana" w:eastAsia="Calibri" w:hAnsi="Verdana" w:cs="Arial"/>
          <w:sz w:val="22"/>
          <w:szCs w:val="22"/>
          <w:lang w:val="es-ES" w:eastAsia="es-ES"/>
        </w:rPr>
        <w:t>Estimado Señor Valdés</w:t>
      </w:r>
    </w:p>
    <w:p w14:paraId="2462DFF1" w14:textId="77777777" w:rsidR="00EF3100" w:rsidRPr="00697213" w:rsidRDefault="00EF3100" w:rsidP="00EF3100">
      <w:pPr>
        <w:tabs>
          <w:tab w:val="left" w:pos="3768"/>
        </w:tabs>
        <w:spacing w:line="276" w:lineRule="auto"/>
        <w:jc w:val="both"/>
        <w:rPr>
          <w:rFonts w:ascii="Verdana" w:eastAsia="Calibri" w:hAnsi="Verdana" w:cs="Arial"/>
          <w:sz w:val="22"/>
          <w:szCs w:val="22"/>
          <w:lang w:val="es-ES" w:eastAsia="es-ES"/>
        </w:rPr>
      </w:pPr>
    </w:p>
    <w:p w14:paraId="0035E710" w14:textId="77777777" w:rsidR="00EF3100" w:rsidRPr="00697213" w:rsidRDefault="00EF3100" w:rsidP="00EF3100">
      <w:pPr>
        <w:spacing w:line="276" w:lineRule="auto"/>
        <w:jc w:val="both"/>
        <w:rPr>
          <w:rFonts w:ascii="Verdana" w:eastAsia="Calibri" w:hAnsi="Verdana" w:cs="Arial"/>
          <w:sz w:val="22"/>
          <w:szCs w:val="22"/>
          <w:lang w:val="es-ES" w:eastAsia="es-ES"/>
        </w:rPr>
      </w:pPr>
      <w:r w:rsidRPr="00697213">
        <w:rPr>
          <w:rFonts w:ascii="Verdana" w:eastAsia="Calibri" w:hAnsi="Verdana" w:cs="Arial"/>
          <w:sz w:val="22"/>
          <w:szCs w:val="22"/>
          <w:lang w:val="es-ES" w:eastAsia="es-ES"/>
        </w:rPr>
        <w:t>En ejercicio de la competencia otorgada por los artículos 3, numeral 5º, y 11, numeral 8º, del Decreto Ley 4170 de 2011,</w:t>
      </w:r>
      <w:r w:rsidRPr="00697213">
        <w:rPr>
          <w:rFonts w:ascii="Verdana" w:eastAsia="Arial MT" w:hAnsi="Verdana" w:cs="Arial MT"/>
          <w:sz w:val="22"/>
          <w:szCs w:val="22"/>
          <w:lang w:val="es-ES" w:eastAsia="es-ES"/>
        </w:rPr>
        <w:t xml:space="preserve"> </w:t>
      </w:r>
      <w:r w:rsidRPr="00697213">
        <w:rPr>
          <w:rFonts w:ascii="Verdana" w:eastAsia="Aptos" w:hAnsi="Verdana" w:cs="Arial"/>
          <w:sz w:val="22"/>
          <w:szCs w:val="22"/>
        </w:rPr>
        <w:t xml:space="preserve">así como lo establecido en el artículo 4 de la Resolución 1707 de 2018 expedida por esta Entidad, </w:t>
      </w:r>
      <w:r w:rsidRPr="00697213">
        <w:rPr>
          <w:rFonts w:ascii="Verdana" w:eastAsia="Calibri" w:hAnsi="Verdana" w:cs="Arial"/>
          <w:sz w:val="22"/>
          <w:szCs w:val="22"/>
          <w:lang w:val="es-ES" w:eastAsia="es-ES"/>
        </w:rPr>
        <w:t xml:space="preserve">la Agencia Nacional de Contratación Pública – Colombia Compra Eficiente– responde su petición del 10 de agosto de 2026, en la que solicita respecto de los Documentos Tipo transversales de licitación de obra pública de infraestructura social – Versión 2, lo siguiente: </w:t>
      </w:r>
    </w:p>
    <w:p w14:paraId="2EEE015E" w14:textId="77777777" w:rsidR="00EF3100" w:rsidRPr="00697213" w:rsidRDefault="00EF3100" w:rsidP="00EF3100">
      <w:pPr>
        <w:spacing w:line="276" w:lineRule="auto"/>
        <w:jc w:val="both"/>
        <w:rPr>
          <w:rFonts w:ascii="Verdana" w:eastAsia="Calibri" w:hAnsi="Verdana" w:cs="Arial"/>
          <w:sz w:val="22"/>
          <w:szCs w:val="22"/>
          <w:lang w:val="es-ES" w:eastAsia="es-ES"/>
        </w:rPr>
      </w:pPr>
    </w:p>
    <w:p w14:paraId="7BB74199" w14:textId="77777777" w:rsidR="00EF3100" w:rsidRDefault="00EF3100" w:rsidP="00EF3100">
      <w:pPr>
        <w:ind w:left="709" w:right="709"/>
        <w:jc w:val="both"/>
        <w:rPr>
          <w:rFonts w:ascii="Verdana" w:eastAsia="Calibri" w:hAnsi="Verdana" w:cs="Arial"/>
          <w:sz w:val="20"/>
          <w:szCs w:val="20"/>
          <w:lang w:val="es-MX"/>
        </w:rPr>
      </w:pPr>
      <w:r w:rsidRPr="00116042">
        <w:rPr>
          <w:rFonts w:ascii="Verdana" w:eastAsia="Calibri" w:hAnsi="Verdana" w:cs="Arial"/>
          <w:sz w:val="20"/>
          <w:szCs w:val="20"/>
          <w:lang w:val="es-MX"/>
        </w:rPr>
        <w:t>“</w:t>
      </w:r>
      <w:r>
        <w:rPr>
          <w:rFonts w:ascii="Verdana" w:eastAsia="Calibri" w:hAnsi="Verdana" w:cs="Arial"/>
          <w:sz w:val="20"/>
          <w:szCs w:val="20"/>
          <w:lang w:val="es-MX"/>
        </w:rPr>
        <w:t>[…]</w:t>
      </w:r>
    </w:p>
    <w:p w14:paraId="405C79A0" w14:textId="77777777" w:rsidR="00EF3100" w:rsidRPr="00437A0C" w:rsidRDefault="00EF3100" w:rsidP="00EF3100">
      <w:pPr>
        <w:ind w:left="709" w:right="709"/>
        <w:jc w:val="both"/>
        <w:rPr>
          <w:rFonts w:ascii="Verdana" w:eastAsia="Calibri" w:hAnsi="Verdana" w:cs="Arial"/>
          <w:sz w:val="20"/>
          <w:szCs w:val="20"/>
          <w:lang w:val="es-MX"/>
        </w:rPr>
      </w:pPr>
      <w:r w:rsidRPr="00116042">
        <w:rPr>
          <w:rFonts w:ascii="Verdana" w:eastAsia="Calibri" w:hAnsi="Verdana" w:cs="Arial"/>
          <w:sz w:val="20"/>
          <w:szCs w:val="20"/>
          <w:lang w:val="es-MX"/>
        </w:rPr>
        <w:t>[…]</w:t>
      </w:r>
      <w:r>
        <w:rPr>
          <w:rFonts w:ascii="Verdana" w:eastAsia="Calibri" w:hAnsi="Verdana" w:cs="Arial"/>
          <w:sz w:val="20"/>
          <w:szCs w:val="20"/>
          <w:lang w:val="es-MX"/>
        </w:rPr>
        <w:t xml:space="preserve"> se solicita a la </w:t>
      </w:r>
      <w:r>
        <w:rPr>
          <w:rFonts w:ascii="Verdana" w:eastAsia="Calibri" w:hAnsi="Verdana" w:cs="Arial"/>
          <w:b/>
          <w:bCs/>
          <w:sz w:val="20"/>
          <w:szCs w:val="20"/>
          <w:lang w:val="es-MX"/>
        </w:rPr>
        <w:t xml:space="preserve">AGENCIA DE CONTRATACIÓN PÚBLICA -COLOMBIA COMPRA EFICIENTE- </w:t>
      </w:r>
      <w:r>
        <w:rPr>
          <w:rFonts w:ascii="Verdana" w:eastAsia="Calibri" w:hAnsi="Verdana" w:cs="Arial"/>
          <w:sz w:val="20"/>
          <w:szCs w:val="20"/>
          <w:lang w:val="es-MX"/>
        </w:rPr>
        <w:t xml:space="preserve">en aras de satisfacer el derecho fundamental de petición resuelva la presenta consulta dentro de los límites de la competencia consultiva, haciendo unas consideraciones sobre las normas relacionadas con el problema jurídico de la presente consulta; </w:t>
      </w:r>
      <w:r>
        <w:rPr>
          <w:rFonts w:ascii="Verdana" w:eastAsia="Calibri" w:hAnsi="Verdana" w:cs="Arial"/>
          <w:sz w:val="20"/>
          <w:szCs w:val="20"/>
          <w:lang w:val="es-MX"/>
        </w:rPr>
        <w:lastRenderedPageBreak/>
        <w:t xml:space="preserve">para que </w:t>
      </w:r>
      <w:r>
        <w:rPr>
          <w:rFonts w:ascii="Verdana" w:eastAsia="Calibri" w:hAnsi="Verdana" w:cs="Arial"/>
          <w:b/>
          <w:bCs/>
          <w:sz w:val="20"/>
          <w:szCs w:val="20"/>
          <w:lang w:val="es-MX"/>
        </w:rPr>
        <w:t>ACLARE PUNTUALMENTE,</w:t>
      </w:r>
      <w:r>
        <w:rPr>
          <w:rFonts w:ascii="Verdana" w:eastAsia="Calibri" w:hAnsi="Verdana" w:cs="Arial"/>
          <w:sz w:val="20"/>
          <w:szCs w:val="20"/>
          <w:lang w:val="es-MX"/>
        </w:rPr>
        <w:t xml:space="preserve"> si los </w:t>
      </w:r>
      <w:r>
        <w:rPr>
          <w:rFonts w:ascii="Verdana" w:eastAsia="Calibri" w:hAnsi="Verdana" w:cs="Arial"/>
          <w:b/>
          <w:bCs/>
          <w:sz w:val="20"/>
          <w:szCs w:val="20"/>
          <w:lang w:val="es-MX"/>
        </w:rPr>
        <w:t xml:space="preserve">ACCIONISTAS </w:t>
      </w:r>
      <w:r>
        <w:rPr>
          <w:rFonts w:ascii="Verdana" w:eastAsia="Calibri" w:hAnsi="Verdana" w:cs="Arial"/>
          <w:sz w:val="20"/>
          <w:szCs w:val="20"/>
          <w:lang w:val="es-MX"/>
        </w:rPr>
        <w:t xml:space="preserve">de una </w:t>
      </w:r>
      <w:r>
        <w:rPr>
          <w:rFonts w:ascii="Verdana" w:eastAsia="Calibri" w:hAnsi="Verdana" w:cs="Arial"/>
          <w:b/>
          <w:bCs/>
          <w:sz w:val="20"/>
          <w:szCs w:val="20"/>
          <w:lang w:val="es-MX"/>
        </w:rPr>
        <w:t xml:space="preserve">PERSONA JURÍDICA, </w:t>
      </w:r>
      <w:r w:rsidRPr="009C1998">
        <w:rPr>
          <w:rFonts w:ascii="Verdana" w:eastAsia="Calibri" w:hAnsi="Verdana" w:cs="Arial"/>
          <w:b/>
          <w:bCs/>
          <w:sz w:val="20"/>
          <w:szCs w:val="20"/>
          <w:u w:val="single"/>
          <w:lang w:val="es-MX"/>
        </w:rPr>
        <w:t>DEBEN</w:t>
      </w:r>
      <w:r>
        <w:rPr>
          <w:rFonts w:ascii="Verdana" w:eastAsia="Calibri" w:hAnsi="Verdana" w:cs="Arial"/>
          <w:b/>
          <w:bCs/>
          <w:sz w:val="20"/>
          <w:szCs w:val="20"/>
          <w:lang w:val="es-MX"/>
        </w:rPr>
        <w:t xml:space="preserve"> </w:t>
      </w:r>
      <w:r>
        <w:rPr>
          <w:rFonts w:ascii="Verdana" w:eastAsia="Calibri" w:hAnsi="Verdana" w:cs="Arial"/>
          <w:sz w:val="20"/>
          <w:szCs w:val="20"/>
          <w:lang w:val="es-MX"/>
        </w:rPr>
        <w:t xml:space="preserve">relacionar en el </w:t>
      </w:r>
      <w:r>
        <w:rPr>
          <w:rFonts w:ascii="Verdana" w:eastAsia="Calibri" w:hAnsi="Verdana" w:cs="Arial"/>
          <w:b/>
          <w:bCs/>
          <w:sz w:val="20"/>
          <w:szCs w:val="20"/>
          <w:lang w:val="es-MX"/>
        </w:rPr>
        <w:t xml:space="preserve">FORMATO 5C SALDOS CONTRATOS EN EJECUCIÓN, </w:t>
      </w:r>
      <w:r>
        <w:rPr>
          <w:rFonts w:ascii="Verdana" w:eastAsia="Calibri" w:hAnsi="Verdana" w:cs="Arial"/>
          <w:sz w:val="20"/>
          <w:szCs w:val="20"/>
          <w:lang w:val="es-MX"/>
        </w:rPr>
        <w:t xml:space="preserve">la participación porcentual de sus </w:t>
      </w:r>
      <w:r>
        <w:rPr>
          <w:rFonts w:ascii="Verdana" w:eastAsia="Calibri" w:hAnsi="Verdana" w:cs="Arial"/>
          <w:b/>
          <w:bCs/>
          <w:sz w:val="20"/>
          <w:szCs w:val="20"/>
          <w:lang w:val="es-MX"/>
        </w:rPr>
        <w:t xml:space="preserve">ACCIONES; </w:t>
      </w:r>
      <w:r>
        <w:rPr>
          <w:rFonts w:ascii="Verdana" w:eastAsia="Calibri" w:hAnsi="Verdana" w:cs="Arial"/>
          <w:sz w:val="20"/>
          <w:szCs w:val="20"/>
          <w:lang w:val="es-MX"/>
        </w:rPr>
        <w:t xml:space="preserve">cuando es claro que, una sociedad legalmente constituida </w:t>
      </w:r>
      <w:r>
        <w:rPr>
          <w:rFonts w:ascii="Verdana" w:eastAsia="Calibri" w:hAnsi="Verdana" w:cs="Arial"/>
          <w:b/>
          <w:bCs/>
          <w:sz w:val="20"/>
          <w:szCs w:val="20"/>
          <w:u w:val="single"/>
          <w:lang w:val="es-MX"/>
        </w:rPr>
        <w:t>forma una persona jurídica distinta e independiente de los socios individualmente considerados</w:t>
      </w:r>
      <w:r>
        <w:rPr>
          <w:rFonts w:ascii="Verdana" w:eastAsia="Calibri" w:hAnsi="Verdana" w:cs="Arial"/>
          <w:sz w:val="20"/>
          <w:szCs w:val="20"/>
          <w:lang w:val="es-MX"/>
        </w:rPr>
        <w:t xml:space="preserve"> y quien tiene el contrato </w:t>
      </w:r>
      <w:r>
        <w:rPr>
          <w:rFonts w:ascii="Verdana" w:eastAsia="Calibri" w:hAnsi="Verdana" w:cs="Arial"/>
          <w:b/>
          <w:bCs/>
          <w:sz w:val="20"/>
          <w:szCs w:val="20"/>
          <w:lang w:val="es-MX"/>
        </w:rPr>
        <w:t xml:space="preserve">SUSCRITO </w:t>
      </w:r>
      <w:r>
        <w:rPr>
          <w:rFonts w:ascii="Verdana" w:eastAsia="Calibri" w:hAnsi="Verdana" w:cs="Arial"/>
          <w:sz w:val="20"/>
          <w:szCs w:val="20"/>
          <w:lang w:val="es-MX"/>
        </w:rPr>
        <w:t xml:space="preserve">en ejecución es la </w:t>
      </w:r>
      <w:r>
        <w:rPr>
          <w:rFonts w:ascii="Verdana" w:eastAsia="Calibri" w:hAnsi="Verdana" w:cs="Arial"/>
          <w:b/>
          <w:bCs/>
          <w:sz w:val="20"/>
          <w:szCs w:val="20"/>
          <w:lang w:val="es-MX"/>
        </w:rPr>
        <w:t xml:space="preserve">SOCIEDAD </w:t>
      </w:r>
      <w:r>
        <w:rPr>
          <w:rFonts w:ascii="Verdana" w:eastAsia="Calibri" w:hAnsi="Verdana" w:cs="Arial"/>
          <w:sz w:val="20"/>
          <w:szCs w:val="20"/>
          <w:lang w:val="es-MX"/>
        </w:rPr>
        <w:t xml:space="preserve">y </w:t>
      </w:r>
      <w:r>
        <w:rPr>
          <w:rFonts w:ascii="Verdana" w:eastAsia="Calibri" w:hAnsi="Verdana" w:cs="Arial"/>
          <w:b/>
          <w:bCs/>
          <w:sz w:val="20"/>
          <w:szCs w:val="20"/>
          <w:lang w:val="es-MX"/>
        </w:rPr>
        <w:t>NO EL ACCIONISTA</w:t>
      </w:r>
      <w:r>
        <w:rPr>
          <w:rFonts w:ascii="Verdana" w:eastAsia="Calibri" w:hAnsi="Verdana" w:cs="Arial"/>
          <w:sz w:val="20"/>
          <w:szCs w:val="20"/>
          <w:lang w:val="es-MX"/>
        </w:rPr>
        <w:t>”. [sic] [Énfasis propio]</w:t>
      </w:r>
    </w:p>
    <w:p w14:paraId="36B2D075" w14:textId="77777777" w:rsidR="00EF3100" w:rsidRPr="00697213" w:rsidRDefault="00EF3100" w:rsidP="00EF3100">
      <w:pPr>
        <w:spacing w:line="276" w:lineRule="auto"/>
        <w:jc w:val="both"/>
        <w:rPr>
          <w:rFonts w:ascii="Verdana" w:eastAsia="Calibri" w:hAnsi="Verdana" w:cs="Arial"/>
          <w:sz w:val="22"/>
          <w:szCs w:val="22"/>
          <w:lang w:val="es-ES" w:eastAsia="es-ES"/>
        </w:rPr>
      </w:pPr>
    </w:p>
    <w:p w14:paraId="04F3F079" w14:textId="77777777" w:rsidR="00EF3100" w:rsidRPr="00697213" w:rsidRDefault="00EF3100" w:rsidP="00EF3100">
      <w:pPr>
        <w:spacing w:after="120" w:line="276" w:lineRule="auto"/>
        <w:jc w:val="both"/>
        <w:rPr>
          <w:rFonts w:ascii="Verdana" w:eastAsia="Calibri" w:hAnsi="Verdana" w:cs="Arial"/>
          <w:sz w:val="22"/>
          <w:szCs w:val="22"/>
          <w:lang w:val="es-ES" w:eastAsia="es-ES"/>
        </w:rPr>
      </w:pPr>
      <w:r w:rsidRPr="00697213">
        <w:rPr>
          <w:rFonts w:ascii="Verdana" w:eastAsia="Calibri" w:hAnsi="Verdana" w:cs="Arial"/>
          <w:sz w:val="22"/>
          <w:szCs w:val="22"/>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D5D0EE0" w14:textId="77777777" w:rsidR="00EF3100" w:rsidRPr="00697213" w:rsidRDefault="00EF3100" w:rsidP="00EF3100">
      <w:pPr>
        <w:spacing w:line="276" w:lineRule="auto"/>
        <w:ind w:firstLine="709"/>
        <w:jc w:val="both"/>
        <w:rPr>
          <w:rFonts w:ascii="Verdana" w:eastAsia="Calibri" w:hAnsi="Verdana" w:cs="Arial"/>
          <w:sz w:val="22"/>
          <w:szCs w:val="22"/>
          <w:lang w:val="es-ES" w:eastAsia="es-ES"/>
        </w:rPr>
      </w:pPr>
      <w:r w:rsidRPr="00697213">
        <w:rPr>
          <w:rFonts w:ascii="Verdana" w:eastAsia="Calibri" w:hAnsi="Verdana" w:cs="Arial"/>
          <w:sz w:val="22"/>
          <w:szCs w:val="22"/>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61074B4" w14:textId="77777777" w:rsidR="00EF3100" w:rsidRPr="00697213" w:rsidRDefault="00EF3100" w:rsidP="00EF3100">
      <w:pPr>
        <w:spacing w:line="276" w:lineRule="auto"/>
        <w:ind w:firstLine="709"/>
        <w:jc w:val="both"/>
        <w:rPr>
          <w:rFonts w:ascii="Verdana" w:eastAsia="Calibri" w:hAnsi="Verdana" w:cs="Arial"/>
          <w:sz w:val="22"/>
          <w:szCs w:val="22"/>
          <w:lang w:val="es-ES" w:eastAsia="es-ES"/>
        </w:rPr>
      </w:pPr>
    </w:p>
    <w:p w14:paraId="1059E241" w14:textId="77777777" w:rsidR="00EF3100" w:rsidRPr="00697213" w:rsidRDefault="00EF3100" w:rsidP="00EF3100">
      <w:pPr>
        <w:widowControl w:val="0"/>
        <w:autoSpaceDE w:val="0"/>
        <w:autoSpaceDN w:val="0"/>
        <w:spacing w:before="1" w:line="276" w:lineRule="auto"/>
        <w:ind w:left="360" w:hanging="360"/>
        <w:jc w:val="both"/>
        <w:outlineLvl w:val="0"/>
        <w:rPr>
          <w:rFonts w:ascii="Verdana" w:eastAsia="Arial" w:hAnsi="Verdana" w:cs="Arial"/>
          <w:b/>
          <w:bCs/>
          <w:sz w:val="22"/>
          <w:szCs w:val="22"/>
          <w:lang w:val="es-ES"/>
        </w:rPr>
      </w:pPr>
      <w:r w:rsidRPr="00697213">
        <w:rPr>
          <w:rFonts w:ascii="Verdana" w:eastAsia="Arial" w:hAnsi="Verdana" w:cs="Arial"/>
          <w:b/>
          <w:bCs/>
          <w:sz w:val="22"/>
          <w:szCs w:val="22"/>
          <w:lang w:val="es-ES"/>
        </w:rPr>
        <w:t>1. Problema planteado:</w:t>
      </w:r>
    </w:p>
    <w:p w14:paraId="63498851" w14:textId="77777777" w:rsidR="00EF3100" w:rsidRPr="00697213" w:rsidRDefault="00EF3100" w:rsidP="00EF3100">
      <w:pPr>
        <w:tabs>
          <w:tab w:val="left" w:pos="426"/>
        </w:tabs>
        <w:spacing w:line="276" w:lineRule="auto"/>
        <w:jc w:val="both"/>
        <w:rPr>
          <w:rFonts w:ascii="Verdana" w:eastAsia="Century Gothic" w:hAnsi="Verdana" w:cs="Century Gothic"/>
          <w:sz w:val="22"/>
          <w:szCs w:val="22"/>
          <w:lang w:val="es-ES"/>
        </w:rPr>
      </w:pPr>
    </w:p>
    <w:p w14:paraId="16FF67D1" w14:textId="77777777" w:rsidR="00EF3100" w:rsidRPr="00697213" w:rsidRDefault="00EF3100" w:rsidP="00EF3100">
      <w:pPr>
        <w:spacing w:line="276" w:lineRule="auto"/>
        <w:jc w:val="both"/>
        <w:rPr>
          <w:rFonts w:ascii="Verdana" w:hAnsi="Verdana" w:cs="Segoe UI"/>
          <w:sz w:val="22"/>
          <w:szCs w:val="22"/>
        </w:rPr>
      </w:pPr>
      <w:r w:rsidRPr="00697213">
        <w:rPr>
          <w:rFonts w:ascii="Verdana" w:eastAsia="Century Gothic" w:hAnsi="Verdana" w:cs="Century Gothic"/>
          <w:sz w:val="22"/>
          <w:szCs w:val="22"/>
        </w:rPr>
        <w:t xml:space="preserve">De acuerdo con el contenido de su solicitud, le informamos que la misma se resolverá desde </w:t>
      </w:r>
      <w:bookmarkStart w:id="1" w:name="_Hlk171070029"/>
      <w:r w:rsidRPr="00697213">
        <w:rPr>
          <w:rFonts w:ascii="Verdana" w:eastAsia="Century Gothic" w:hAnsi="Verdana" w:cs="Century Gothic"/>
          <w:sz w:val="22"/>
          <w:szCs w:val="22"/>
        </w:rPr>
        <w:t xml:space="preserve">el siguiente interrogante: De acuerdo con las reglas establecidas en los Documentos Tipo transversales de licitación de obra pública de infraestructura social – Versión 2, </w:t>
      </w:r>
      <w:r w:rsidRPr="00697213">
        <w:rPr>
          <w:rFonts w:ascii="Verdana" w:hAnsi="Verdana" w:cs="Segoe UI"/>
          <w:sz w:val="22"/>
          <w:szCs w:val="22"/>
        </w:rPr>
        <w:t>¿Los accionistas de una persona jurídica deben relacionar en el Formato 5C "Saldos de Contratos en Ejecución" el porcentaje de participación de sus acciones cuando la oferente es una sociedad que ejecuta contratos a título propio?</w:t>
      </w:r>
    </w:p>
    <w:p w14:paraId="5F3E6EFA" w14:textId="77777777" w:rsidR="00EF3100" w:rsidRPr="00697213" w:rsidRDefault="00EF3100" w:rsidP="00EF3100">
      <w:pPr>
        <w:spacing w:line="276" w:lineRule="auto"/>
        <w:jc w:val="both"/>
        <w:rPr>
          <w:rFonts w:ascii="Verdana" w:eastAsia="Aptos" w:hAnsi="Verdana" w:cs="Arial"/>
          <w:sz w:val="22"/>
          <w:szCs w:val="22"/>
        </w:rPr>
      </w:pPr>
    </w:p>
    <w:bookmarkEnd w:id="1"/>
    <w:p w14:paraId="7934538B" w14:textId="77777777" w:rsidR="00EF3100" w:rsidRPr="00697213" w:rsidRDefault="00EF3100" w:rsidP="00EF3100">
      <w:pPr>
        <w:widowControl w:val="0"/>
        <w:autoSpaceDE w:val="0"/>
        <w:autoSpaceDN w:val="0"/>
        <w:spacing w:before="1" w:line="276" w:lineRule="auto"/>
        <w:jc w:val="both"/>
        <w:outlineLvl w:val="0"/>
        <w:rPr>
          <w:rFonts w:ascii="Verdana" w:eastAsia="Arial" w:hAnsi="Verdana" w:cs="Arial"/>
          <w:b/>
          <w:bCs/>
          <w:sz w:val="22"/>
          <w:szCs w:val="22"/>
          <w:lang w:val="es-ES"/>
        </w:rPr>
      </w:pPr>
      <w:r w:rsidRPr="00697213">
        <w:rPr>
          <w:rFonts w:ascii="Verdana" w:eastAsia="Arial" w:hAnsi="Verdana" w:cs="Arial"/>
          <w:b/>
          <w:bCs/>
          <w:sz w:val="22"/>
          <w:szCs w:val="22"/>
          <w:lang w:val="es-ES"/>
        </w:rPr>
        <w:lastRenderedPageBreak/>
        <w:t>2. Respuesta:</w:t>
      </w:r>
    </w:p>
    <w:p w14:paraId="6775FCD2" w14:textId="77777777" w:rsidR="00EF3100" w:rsidRPr="00697213" w:rsidRDefault="00EF3100" w:rsidP="00EF3100">
      <w:pPr>
        <w:spacing w:line="276" w:lineRule="auto"/>
        <w:jc w:val="both"/>
        <w:rPr>
          <w:rFonts w:ascii="Verdana" w:eastAsia="Aptos" w:hAnsi="Verdana"/>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F3100" w:rsidRPr="00147BB1" w14:paraId="568416D1" w14:textId="77777777" w:rsidTr="00342599">
        <w:tc>
          <w:tcPr>
            <w:tcW w:w="8828" w:type="dxa"/>
          </w:tcPr>
          <w:p w14:paraId="3470F1E9" w14:textId="77777777" w:rsidR="00EF3100" w:rsidRPr="00697213" w:rsidRDefault="00EF3100" w:rsidP="00342599">
            <w:pPr>
              <w:spacing w:line="276" w:lineRule="auto"/>
              <w:jc w:val="both"/>
              <w:rPr>
                <w:rFonts w:ascii="Verdana" w:eastAsia="Calibri" w:hAnsi="Verdana" w:cs="Arial"/>
                <w:lang w:eastAsia="en-GB"/>
              </w:rPr>
            </w:pPr>
            <w:bookmarkStart w:id="2" w:name="_Hlk171067516"/>
            <w:r w:rsidRPr="005C5848">
              <w:rPr>
                <w:rFonts w:ascii="Verdana" w:eastAsia="Calibri" w:hAnsi="Verdana" w:cs="Arial"/>
                <w:lang w:eastAsia="en-GB"/>
              </w:rPr>
              <w:t>Sobre el particular, debe precisars</w:t>
            </w:r>
            <w:r w:rsidRPr="00697213">
              <w:rPr>
                <w:rFonts w:ascii="Verdana" w:eastAsia="Calibri" w:hAnsi="Verdana" w:cs="Arial"/>
                <w:lang w:eastAsia="en-GB"/>
              </w:rPr>
              <w:t>e que</w:t>
            </w:r>
            <w:r w:rsidRPr="005C5848">
              <w:rPr>
                <w:rFonts w:ascii="Verdana" w:eastAsia="Calibri" w:hAnsi="Verdana" w:cs="Arial"/>
                <w:lang w:eastAsia="en-GB"/>
              </w:rPr>
              <w:t xml:space="preserve"> </w:t>
            </w:r>
            <w:r w:rsidRPr="00697213">
              <w:rPr>
                <w:rFonts w:ascii="Verdana" w:eastAsia="Calibri" w:hAnsi="Verdana" w:cs="Arial"/>
                <w:lang w:eastAsia="en-GB"/>
              </w:rPr>
              <w:t>en los Documentos Tipo transversales de licitación de infraestructura social – Versión 2 se indicó en el “FORMATO 5 – CAPACIDAD RESIDUAL” que: “[l]a Entidad Estatal deberá estructurar los Formatos para verificación de la capacidad residual utilizando los Formatos y metodología señalada en la “Guía para Determinar y Verificar la Capacidad Residual del Proponente en los Procesos de Contratación de Obra Pública” de la Agencia Nacional de Contratación Pública – Colombia Compra Eficiente”. De esta forma, dicha Guía respecto al componente de SCE, precisa lo siguiente:</w:t>
            </w:r>
          </w:p>
          <w:p w14:paraId="6BFD4784" w14:textId="77777777" w:rsidR="00EF3100" w:rsidRPr="00697213" w:rsidRDefault="00EF3100" w:rsidP="00342599">
            <w:pPr>
              <w:spacing w:line="276" w:lineRule="auto"/>
              <w:jc w:val="both"/>
              <w:rPr>
                <w:rFonts w:ascii="Verdana" w:eastAsia="Aptos" w:hAnsi="Verdana"/>
                <w:lang w:val="es-ES_tradnl"/>
              </w:rPr>
            </w:pPr>
          </w:p>
          <w:p w14:paraId="6EAD84EB" w14:textId="77777777" w:rsidR="00EF3100" w:rsidRPr="00930583" w:rsidRDefault="00EF3100" w:rsidP="00342599">
            <w:pPr>
              <w:ind w:left="709" w:right="709"/>
              <w:contextualSpacing/>
              <w:jc w:val="both"/>
              <w:rPr>
                <w:rFonts w:ascii="Verdana" w:eastAsia="Aptos" w:hAnsi="Verdana"/>
                <w:sz w:val="20"/>
                <w:szCs w:val="20"/>
                <w:lang w:val="es-ES_tradnl"/>
              </w:rPr>
            </w:pPr>
            <w:r w:rsidRPr="00F749E6">
              <w:rPr>
                <w:rFonts w:ascii="Verdana" w:eastAsia="Aptos" w:hAnsi="Verdana"/>
                <w:sz w:val="20"/>
                <w:szCs w:val="20"/>
                <w:lang w:val="es-ES_tradnl"/>
              </w:rPr>
              <w:t>“i) El proponente debe demostrar que su operación o actividad comercial le permite asumir nuevas obligaciones derivadas del contrato objeto del Proceso de Contratación. Por lo cual, el proponente en un Proceso de Contratación de una obra pública debe prese</w:t>
            </w:r>
            <w:r w:rsidRPr="00F6691C">
              <w:rPr>
                <w:rFonts w:ascii="Verdana" w:eastAsia="Aptos" w:hAnsi="Verdana"/>
                <w:sz w:val="20"/>
                <w:szCs w:val="20"/>
                <w:lang w:val="es-ES_tradnl"/>
              </w:rPr>
              <w:t>ntar la siguiente información para acreditar su Capacidad Residual</w:t>
            </w:r>
            <w:r w:rsidRPr="00930583">
              <w:rPr>
                <w:rFonts w:ascii="Verdana" w:eastAsia="Aptos" w:hAnsi="Verdana"/>
                <w:sz w:val="20"/>
                <w:szCs w:val="20"/>
                <w:lang w:val="es-ES_tradnl"/>
              </w:rPr>
              <w:t>:</w:t>
            </w:r>
          </w:p>
          <w:p w14:paraId="11D10FDA" w14:textId="77777777" w:rsidR="00EF3100" w:rsidRPr="00257A8B" w:rsidRDefault="00EF3100" w:rsidP="00342599">
            <w:pPr>
              <w:ind w:left="709" w:right="709"/>
              <w:contextualSpacing/>
              <w:jc w:val="both"/>
              <w:rPr>
                <w:rFonts w:ascii="Verdana" w:eastAsia="Aptos" w:hAnsi="Verdana"/>
                <w:sz w:val="20"/>
                <w:szCs w:val="20"/>
                <w:lang w:val="es-ES_tradnl"/>
              </w:rPr>
            </w:pPr>
          </w:p>
          <w:p w14:paraId="1C59E801" w14:textId="77777777" w:rsidR="00EF3100" w:rsidRPr="00AC3786" w:rsidRDefault="00EF3100" w:rsidP="00342599">
            <w:pPr>
              <w:ind w:left="709" w:right="709"/>
              <w:contextualSpacing/>
              <w:jc w:val="both"/>
              <w:rPr>
                <w:rFonts w:ascii="Verdana" w:eastAsia="Aptos" w:hAnsi="Verdana"/>
                <w:sz w:val="20"/>
                <w:szCs w:val="20"/>
                <w:lang w:val="es-ES_tradnl"/>
              </w:rPr>
            </w:pPr>
            <w:r w:rsidRPr="005A59D4">
              <w:rPr>
                <w:rFonts w:ascii="Verdana" w:eastAsia="Aptos" w:hAnsi="Verdana"/>
                <w:sz w:val="20"/>
                <w:szCs w:val="20"/>
                <w:lang w:val="es-ES_tradnl"/>
              </w:rPr>
              <w:t xml:space="preserve">1. La lista de los Contratos en Ejecución, así como el valor y plazo de tales contratos.  </w:t>
            </w:r>
          </w:p>
          <w:p w14:paraId="40261E9E" w14:textId="77777777" w:rsidR="00EF3100" w:rsidRPr="00AC3786" w:rsidRDefault="00EF3100" w:rsidP="00342599">
            <w:pPr>
              <w:ind w:left="709" w:right="709"/>
              <w:contextualSpacing/>
              <w:jc w:val="both"/>
              <w:rPr>
                <w:rFonts w:ascii="Verdana" w:eastAsia="Aptos" w:hAnsi="Verdana"/>
                <w:sz w:val="20"/>
                <w:szCs w:val="20"/>
                <w:lang w:val="es-ES_tradnl"/>
              </w:rPr>
            </w:pPr>
          </w:p>
          <w:p w14:paraId="11716C57" w14:textId="77777777" w:rsidR="00EF3100" w:rsidRPr="00AC3786" w:rsidRDefault="00EF3100" w:rsidP="00342599">
            <w:pPr>
              <w:ind w:left="709" w:right="709"/>
              <w:contextualSpacing/>
              <w:jc w:val="both"/>
              <w:rPr>
                <w:rFonts w:ascii="Verdana" w:eastAsia="Aptos" w:hAnsi="Verdana"/>
                <w:vanish/>
                <w:sz w:val="20"/>
                <w:szCs w:val="20"/>
                <w:lang w:val="es-ES_tradnl"/>
                <w:specVanish/>
              </w:rPr>
            </w:pPr>
            <w:r w:rsidRPr="00AC3786">
              <w:rPr>
                <w:rFonts w:ascii="Verdana" w:eastAsia="Aptos" w:hAnsi="Verdana"/>
                <w:sz w:val="20"/>
                <w:szCs w:val="20"/>
                <w:lang w:val="es-ES_tradnl"/>
              </w:rPr>
              <w:t>2. La lista de los Contratos en Ejecución, suscritos por sociedades, consorcios o uniones temporales, en los cuales el proponente tenga participación, así como el valor y plazo de tales contratos.  Nota: En caso de que los Contratos en Ejecución se encuentren suspendidos, esta circunstancia también deberá ser indicada de igual forma.</w:t>
            </w:r>
          </w:p>
          <w:p w14:paraId="47561062" w14:textId="77777777" w:rsidR="00EF3100" w:rsidRPr="00AC3786" w:rsidRDefault="00EF3100" w:rsidP="00342599">
            <w:pPr>
              <w:ind w:left="709" w:right="709"/>
              <w:contextualSpacing/>
              <w:jc w:val="both"/>
              <w:rPr>
                <w:rFonts w:ascii="Verdana" w:eastAsia="Aptos" w:hAnsi="Verdana"/>
                <w:sz w:val="20"/>
                <w:szCs w:val="20"/>
                <w:lang w:val="es-ES_tradnl"/>
              </w:rPr>
            </w:pPr>
            <w:r w:rsidRPr="00AC3786">
              <w:rPr>
                <w:rFonts w:ascii="Verdana" w:eastAsia="Aptos" w:hAnsi="Verdana"/>
                <w:sz w:val="20"/>
                <w:szCs w:val="20"/>
                <w:lang w:val="es-ES_tradnl"/>
              </w:rPr>
              <w:t xml:space="preserve"> </w:t>
            </w:r>
          </w:p>
          <w:p w14:paraId="4BBF6414" w14:textId="77777777" w:rsidR="00EF3100" w:rsidRPr="00AC3786" w:rsidRDefault="00EF3100" w:rsidP="00342599">
            <w:pPr>
              <w:ind w:left="709" w:right="709"/>
              <w:contextualSpacing/>
              <w:jc w:val="both"/>
              <w:rPr>
                <w:rFonts w:ascii="Verdana" w:eastAsia="Aptos" w:hAnsi="Verdana"/>
                <w:sz w:val="20"/>
                <w:szCs w:val="20"/>
                <w:lang w:val="es-ES_tradnl"/>
              </w:rPr>
            </w:pPr>
          </w:p>
          <w:p w14:paraId="086F435D" w14:textId="77777777" w:rsidR="00EF3100" w:rsidRPr="00AC3786" w:rsidRDefault="00EF3100" w:rsidP="00342599">
            <w:pPr>
              <w:ind w:left="709" w:right="709"/>
              <w:contextualSpacing/>
              <w:jc w:val="both"/>
              <w:rPr>
                <w:rFonts w:ascii="Verdana" w:eastAsia="Aptos" w:hAnsi="Verdana"/>
                <w:sz w:val="20"/>
                <w:szCs w:val="20"/>
                <w:lang w:val="es-ES"/>
              </w:rPr>
            </w:pPr>
            <w:r w:rsidRPr="00AC3786">
              <w:rPr>
                <w:rFonts w:ascii="Verdana" w:eastAsia="Aptos" w:hAnsi="Verdana"/>
                <w:sz w:val="20"/>
                <w:szCs w:val="20"/>
                <w:lang w:val="es-ES"/>
              </w:rPr>
              <w:t>ii) ¿Cómo calcular el Saldo de Contratos en Ejecución?</w:t>
            </w:r>
          </w:p>
          <w:p w14:paraId="2F77F012" w14:textId="77777777" w:rsidR="00EF3100" w:rsidRPr="00AC3786" w:rsidRDefault="00EF3100" w:rsidP="00342599">
            <w:pPr>
              <w:ind w:left="709" w:right="709"/>
              <w:contextualSpacing/>
              <w:jc w:val="both"/>
              <w:rPr>
                <w:rFonts w:ascii="Verdana" w:eastAsia="Aptos" w:hAnsi="Verdana"/>
                <w:sz w:val="20"/>
                <w:szCs w:val="20"/>
                <w:lang w:val="es-ES_tradnl"/>
              </w:rPr>
            </w:pPr>
          </w:p>
          <w:p w14:paraId="2741BF9A" w14:textId="77777777" w:rsidR="00EF3100" w:rsidRPr="00AC3786" w:rsidRDefault="00EF3100" w:rsidP="00342599">
            <w:pPr>
              <w:ind w:left="709" w:right="709"/>
              <w:contextualSpacing/>
              <w:jc w:val="both"/>
              <w:rPr>
                <w:rFonts w:ascii="Verdana" w:eastAsia="Aptos" w:hAnsi="Verdana"/>
                <w:sz w:val="20"/>
                <w:szCs w:val="20"/>
                <w:lang w:val="es-ES_tradnl"/>
              </w:rPr>
            </w:pPr>
            <w:r w:rsidRPr="00AC3786">
              <w:rPr>
                <w:rFonts w:ascii="Verdana" w:eastAsia="Aptos" w:hAnsi="Verdana"/>
                <w:sz w:val="20"/>
                <w:szCs w:val="20"/>
                <w:lang w:val="es-ES_tradnl"/>
              </w:rPr>
              <w:t>El proponente debe presentar un certificado suscrito por su representante legal y su revisor fiscal, si el proponente está obligado a tenerlo, o por el Contador Público o auditor independiente, para lo cual se sugiere el formato establecido en el Anexo 3 de la presente Guía.  El certificado deberá contener la lista de los Contratos en Ejecución, tanto a nivel nacional como</w:t>
            </w:r>
            <w:r w:rsidRPr="00AC3786">
              <w:rPr>
                <w:rFonts w:ascii="Verdana" w:eastAsia="Aptos" w:hAnsi="Verdana"/>
                <w:b/>
                <w:bCs/>
                <w:sz w:val="20"/>
                <w:szCs w:val="20"/>
                <w:lang w:val="es-ES_tradnl"/>
              </w:rPr>
              <w:t xml:space="preserve"> </w:t>
            </w:r>
            <w:r w:rsidRPr="00AC3786">
              <w:rPr>
                <w:rFonts w:ascii="Verdana" w:eastAsia="Aptos" w:hAnsi="Verdana"/>
                <w:sz w:val="20"/>
                <w:szCs w:val="20"/>
                <w:lang w:val="es-ES_tradnl"/>
              </w:rPr>
              <w:t xml:space="preserve">internacional, indicando: </w:t>
            </w:r>
          </w:p>
          <w:p w14:paraId="2060415A" w14:textId="77777777" w:rsidR="00EF3100" w:rsidRPr="00AC3786" w:rsidRDefault="00EF3100" w:rsidP="00342599">
            <w:pPr>
              <w:ind w:left="709" w:right="709"/>
              <w:contextualSpacing/>
              <w:jc w:val="both"/>
              <w:rPr>
                <w:rFonts w:ascii="Verdana" w:eastAsia="Aptos" w:hAnsi="Verdana"/>
                <w:sz w:val="20"/>
                <w:szCs w:val="20"/>
                <w:lang w:val="es-ES_tradnl"/>
              </w:rPr>
            </w:pPr>
          </w:p>
          <w:p w14:paraId="27B7DB56" w14:textId="77777777" w:rsidR="00EF3100" w:rsidRPr="00F749E6" w:rsidRDefault="00EF3100" w:rsidP="00342599">
            <w:pPr>
              <w:ind w:left="709" w:right="709"/>
              <w:contextualSpacing/>
              <w:jc w:val="both"/>
              <w:rPr>
                <w:rFonts w:ascii="Verdana" w:eastAsia="Aptos" w:hAnsi="Verdana"/>
                <w:sz w:val="20"/>
                <w:szCs w:val="20"/>
                <w:lang w:val="es-ES_tradnl"/>
              </w:rPr>
            </w:pPr>
            <w:r w:rsidRPr="00AC3786">
              <w:rPr>
                <w:rFonts w:ascii="Verdana" w:eastAsia="Aptos" w:hAnsi="Verdana"/>
                <w:sz w:val="20"/>
                <w:szCs w:val="20"/>
                <w:lang w:val="es-ES_tradnl"/>
              </w:rPr>
              <w:t xml:space="preserve"> • El valor del contrato en pesos colombianos.  • El plazo de ejecución del contrato en meses.  • La fecha de inicio de las obras objeto del contrato: día, mes, año.  • </w:t>
            </w:r>
            <w:r w:rsidRPr="00697213">
              <w:rPr>
                <w:rFonts w:ascii="Verdana" w:eastAsia="Aptos" w:hAnsi="Verdana"/>
                <w:i/>
                <w:iCs/>
                <w:sz w:val="20"/>
                <w:szCs w:val="20"/>
                <w:lang w:val="es-ES_tradnl"/>
              </w:rPr>
              <w:t xml:space="preserve">Si la obra la ejecuta un consorcio o unión temporal, el porcentaje de participación del oferente que presenta el certificado.  </w:t>
            </w:r>
            <w:r w:rsidRPr="00AC3786">
              <w:rPr>
                <w:rFonts w:ascii="Verdana" w:eastAsia="Aptos" w:hAnsi="Verdana"/>
                <w:sz w:val="20"/>
                <w:szCs w:val="20"/>
                <w:lang w:val="es-ES_tradnl"/>
              </w:rPr>
              <w:t>• Si el contrato se encuentra suspendido, y si es así, la fecha de suspensión. En todo caso, si el contrato está suspendido el proponente debe informar el saldo pendiente por ejecutar.</w:t>
            </w:r>
          </w:p>
          <w:p w14:paraId="53662A36" w14:textId="77777777" w:rsidR="00EF3100" w:rsidRPr="00F749E6" w:rsidRDefault="00EF3100" w:rsidP="00342599">
            <w:pPr>
              <w:ind w:left="709" w:right="709"/>
              <w:contextualSpacing/>
              <w:jc w:val="both"/>
              <w:rPr>
                <w:rFonts w:ascii="Verdana" w:eastAsia="Aptos" w:hAnsi="Verdana"/>
                <w:sz w:val="20"/>
                <w:szCs w:val="20"/>
                <w:lang w:val="es-ES_tradnl"/>
              </w:rPr>
            </w:pPr>
          </w:p>
          <w:p w14:paraId="116E4DC2" w14:textId="77777777" w:rsidR="00EF3100" w:rsidRPr="005A59D4" w:rsidRDefault="00EF3100" w:rsidP="00342599">
            <w:pPr>
              <w:ind w:left="709" w:right="709"/>
              <w:contextualSpacing/>
              <w:jc w:val="both"/>
              <w:rPr>
                <w:rFonts w:ascii="Verdana" w:eastAsia="Aptos" w:hAnsi="Verdana"/>
                <w:sz w:val="20"/>
                <w:szCs w:val="20"/>
                <w:lang w:val="es-ES_tradnl"/>
              </w:rPr>
            </w:pPr>
            <w:r w:rsidRPr="00930583">
              <w:rPr>
                <w:rFonts w:ascii="Verdana" w:eastAsia="Aptos" w:hAnsi="Verdana"/>
                <w:sz w:val="20"/>
                <w:szCs w:val="20"/>
                <w:lang w:val="es-ES_tradnl"/>
              </w:rPr>
              <w:lastRenderedPageBreak/>
              <w:t>Si un contrato se encuentra suspendido, el cálculo del (SCE) de dicho contrato de</w:t>
            </w:r>
            <w:r w:rsidRPr="00257A8B">
              <w:rPr>
                <w:rFonts w:ascii="Verdana" w:eastAsia="Aptos" w:hAnsi="Verdana"/>
                <w:sz w:val="20"/>
                <w:szCs w:val="20"/>
                <w:lang w:val="es-ES_tradnl"/>
              </w:rPr>
              <w:t xml:space="preserve">be efectuarse asumiendo que lo que falta por ejecutar iniciará en la fecha de presentación de la oferta del Proceso de Contratación. Si el contrato está suspendido, el proponente debe informar el saldo pendiente por ejecutar.  </w:t>
            </w:r>
          </w:p>
          <w:p w14:paraId="4FA9D3C8" w14:textId="77777777" w:rsidR="00EF3100" w:rsidRPr="00AC3786" w:rsidRDefault="00EF3100" w:rsidP="00342599">
            <w:pPr>
              <w:ind w:left="709" w:right="709"/>
              <w:contextualSpacing/>
              <w:jc w:val="both"/>
              <w:rPr>
                <w:rFonts w:ascii="Verdana" w:eastAsia="Aptos" w:hAnsi="Verdana"/>
                <w:sz w:val="20"/>
                <w:szCs w:val="20"/>
                <w:lang w:val="es-ES_tradnl"/>
              </w:rPr>
            </w:pPr>
          </w:p>
          <w:p w14:paraId="412E845C" w14:textId="77777777" w:rsidR="00EF3100" w:rsidRPr="00AC3786" w:rsidRDefault="00EF3100" w:rsidP="00342599">
            <w:pPr>
              <w:ind w:left="709" w:right="709"/>
              <w:contextualSpacing/>
              <w:jc w:val="both"/>
              <w:rPr>
                <w:rFonts w:ascii="Verdana" w:eastAsia="Aptos" w:hAnsi="Verdana"/>
                <w:sz w:val="20"/>
                <w:szCs w:val="20"/>
                <w:lang w:val="es-ES_tradnl"/>
              </w:rPr>
            </w:pPr>
            <w:r w:rsidRPr="00AC3786">
              <w:rPr>
                <w:rFonts w:ascii="Verdana" w:eastAsia="Aptos" w:hAnsi="Verdana"/>
                <w:sz w:val="20"/>
                <w:szCs w:val="20"/>
                <w:lang w:val="es-ES_tradnl"/>
              </w:rPr>
              <w:t xml:space="preserve">En el caso en el cual el contrato haya sido suspendido más de una vez, se deberá relacionar la última fecha de suspensión que se encuentre vigente al momento de presentación de la oferta.  </w:t>
            </w:r>
          </w:p>
          <w:p w14:paraId="30989C0F" w14:textId="77777777" w:rsidR="00EF3100" w:rsidRPr="00AC3786" w:rsidRDefault="00EF3100" w:rsidP="00342599">
            <w:pPr>
              <w:ind w:left="709" w:right="709"/>
              <w:contextualSpacing/>
              <w:jc w:val="both"/>
              <w:rPr>
                <w:rFonts w:ascii="Verdana" w:eastAsia="Aptos" w:hAnsi="Verdana"/>
                <w:sz w:val="20"/>
                <w:szCs w:val="20"/>
                <w:lang w:val="es-ES_tradnl"/>
              </w:rPr>
            </w:pPr>
          </w:p>
          <w:p w14:paraId="69A7AEBC" w14:textId="77777777" w:rsidR="00EF3100" w:rsidRPr="00AC3786" w:rsidRDefault="00EF3100" w:rsidP="00342599">
            <w:pPr>
              <w:ind w:left="709" w:right="709"/>
              <w:contextualSpacing/>
              <w:jc w:val="both"/>
              <w:rPr>
                <w:rFonts w:ascii="Verdana" w:eastAsia="Aptos" w:hAnsi="Verdana"/>
                <w:sz w:val="20"/>
                <w:szCs w:val="20"/>
                <w:lang w:val="es-ES_tradnl"/>
              </w:rPr>
            </w:pPr>
            <w:r w:rsidRPr="00AC3786">
              <w:rPr>
                <w:rFonts w:ascii="Verdana" w:eastAsia="Aptos" w:hAnsi="Verdana"/>
                <w:sz w:val="20"/>
                <w:szCs w:val="20"/>
                <w:lang w:val="es-ES_tradnl"/>
              </w:rPr>
              <w:t xml:space="preserve">Si el proponente no tiene Contratos en Ejecución, en el certificado debe constar expresamente esa circunstancia. En todo caso, debe tener en cuenta que no se entenderá como Contratos en Ejecución los que se encuentren en etapa de liquidación o ya fueron liquidados. </w:t>
            </w:r>
          </w:p>
          <w:p w14:paraId="60E7407B" w14:textId="77777777" w:rsidR="00EF3100" w:rsidRPr="00AC3786" w:rsidRDefault="00EF3100" w:rsidP="00342599">
            <w:pPr>
              <w:ind w:left="709" w:right="709"/>
              <w:contextualSpacing/>
              <w:jc w:val="both"/>
              <w:rPr>
                <w:rFonts w:ascii="Verdana" w:eastAsia="Aptos" w:hAnsi="Verdana"/>
                <w:sz w:val="20"/>
                <w:szCs w:val="20"/>
                <w:lang w:val="es-ES_tradnl"/>
              </w:rPr>
            </w:pPr>
          </w:p>
          <w:p w14:paraId="22A194E3" w14:textId="77777777" w:rsidR="00EF3100" w:rsidRPr="00AC3786" w:rsidRDefault="00EF3100" w:rsidP="00342599">
            <w:pPr>
              <w:ind w:left="709" w:right="709"/>
              <w:contextualSpacing/>
              <w:jc w:val="both"/>
              <w:rPr>
                <w:rFonts w:ascii="Verdana" w:eastAsia="Aptos" w:hAnsi="Verdana"/>
                <w:sz w:val="20"/>
                <w:szCs w:val="20"/>
                <w:lang w:val="es-ES_tradnl"/>
              </w:rPr>
            </w:pPr>
            <w:r w:rsidRPr="00AC3786">
              <w:rPr>
                <w:rFonts w:ascii="Verdana" w:eastAsia="Aptos" w:hAnsi="Verdana"/>
                <w:sz w:val="20"/>
                <w:szCs w:val="20"/>
                <w:lang w:val="es-ES_tradnl"/>
              </w:rPr>
              <w:t xml:space="preserve">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  </w:t>
            </w:r>
          </w:p>
          <w:p w14:paraId="2BD99904" w14:textId="77777777" w:rsidR="00EF3100" w:rsidRPr="00AC3786" w:rsidRDefault="00EF3100" w:rsidP="00342599">
            <w:pPr>
              <w:ind w:left="709" w:right="709"/>
              <w:contextualSpacing/>
              <w:jc w:val="both"/>
              <w:rPr>
                <w:rFonts w:ascii="Verdana" w:eastAsia="Aptos" w:hAnsi="Verdana"/>
                <w:sz w:val="20"/>
                <w:szCs w:val="20"/>
                <w:lang w:val="es-ES_tradnl"/>
              </w:rPr>
            </w:pPr>
          </w:p>
          <w:p w14:paraId="55CFEC0B" w14:textId="77777777" w:rsidR="00EF3100" w:rsidRPr="00AC3786" w:rsidRDefault="00EF3100" w:rsidP="00342599">
            <w:pPr>
              <w:ind w:left="709" w:right="709"/>
              <w:contextualSpacing/>
              <w:jc w:val="both"/>
              <w:rPr>
                <w:rFonts w:ascii="Verdana" w:eastAsia="Aptos" w:hAnsi="Verdana"/>
                <w:sz w:val="20"/>
                <w:szCs w:val="20"/>
                <w:lang w:val="es-ES"/>
              </w:rPr>
            </w:pPr>
            <w:r w:rsidRPr="00AC3786">
              <w:rPr>
                <w:rFonts w:ascii="Verdana" w:eastAsia="Aptos" w:hAnsi="Verdana"/>
                <w:sz w:val="20"/>
                <w:szCs w:val="20"/>
                <w:lang w:val="es-ES"/>
              </w:rPr>
              <w:t>El Decreto 1082 de 2015 se refiere a los contratos para ejecutar obras civiles, bien sean suscritos con Entidades Estatales o con entidades privadas, incluyendo los contratos de concesión y contratos de obra suscritos con concesionarios. Lo anterior puesto que la capacidad del contratista para acometer nuevas obras es afectada tanto por los contratos públicos como los privados. Igualmente se refiere a los contratos suscritos por el proponente como aquellos suscritos por consorcios o uniones temporales en las cuales participe el oferente.</w:t>
            </w:r>
          </w:p>
          <w:p w14:paraId="249F47AD" w14:textId="77777777" w:rsidR="00EF3100" w:rsidRPr="00697213" w:rsidRDefault="00EF3100" w:rsidP="00342599">
            <w:pPr>
              <w:spacing w:after="120" w:line="276" w:lineRule="auto"/>
              <w:ind w:firstLine="709"/>
              <w:jc w:val="both"/>
              <w:rPr>
                <w:rFonts w:ascii="Verdana" w:eastAsia="Aptos" w:hAnsi="Verdana"/>
                <w:lang w:val="es-ES_tradnl"/>
              </w:rPr>
            </w:pPr>
          </w:p>
          <w:p w14:paraId="0D8D7DFC" w14:textId="77777777" w:rsidR="00EF3100" w:rsidRPr="00F749E6" w:rsidRDefault="00EF3100" w:rsidP="00342599">
            <w:pPr>
              <w:spacing w:after="120" w:line="276" w:lineRule="auto"/>
              <w:ind w:firstLine="709"/>
              <w:jc w:val="both"/>
              <w:rPr>
                <w:rFonts w:ascii="Verdana" w:eastAsia="Aptos" w:hAnsi="Verdana"/>
                <w:lang w:val="es-ES_tradnl"/>
              </w:rPr>
            </w:pPr>
            <w:r w:rsidRPr="00F749E6">
              <w:rPr>
                <w:rFonts w:ascii="Verdana" w:eastAsia="Aptos" w:hAnsi="Verdana"/>
                <w:lang w:val="es-ES_tradnl"/>
              </w:rPr>
              <w:t xml:space="preserve">En conclusión, frente al problema planteado, la Guía es clara al indicar que los contratos que el oferente se encuentre ejecutando deben ser reportados en el formato </w:t>
            </w:r>
            <w:r w:rsidRPr="00697213">
              <w:rPr>
                <w:rFonts w:ascii="Verdana" w:eastAsia="Aptos" w:hAnsi="Verdana"/>
                <w:lang w:val="es-ES_tradnl"/>
              </w:rPr>
              <w:t>respectivo dentro del componente “saldos de contratos en ejecución”, toda vez que los mismos obligan al proponente al momento de la presentación de su oferta y, por lo tanto, impactan su capacidad residual en el marco del proceso de selección y el futuro desarrollo de un contrato de obra pública, incluso con pliegos tipo. Sin embargo, como se observa, dicho documento no hace referencia alguna respecto del deber de relación del porcentaje de participación del proponente, en caso de que este sea una persona jurídica, pues esta información no se considera relevante para verificar su capacidad residual en el proceso de contratación.</w:t>
            </w:r>
          </w:p>
          <w:p w14:paraId="0826E0A0" w14:textId="77777777" w:rsidR="00EF3100" w:rsidRPr="00697213" w:rsidRDefault="00EF3100" w:rsidP="00342599">
            <w:pPr>
              <w:spacing w:after="120" w:line="276" w:lineRule="auto"/>
              <w:ind w:firstLine="709"/>
              <w:jc w:val="both"/>
              <w:rPr>
                <w:rFonts w:ascii="Verdana" w:hAnsi="Verdana" w:cs="Segoe UI"/>
              </w:rPr>
            </w:pPr>
            <w:r w:rsidRPr="00F749E6">
              <w:rPr>
                <w:rFonts w:ascii="Verdana" w:eastAsia="Aptos" w:hAnsi="Verdana"/>
                <w:lang w:val="es-ES_tradnl"/>
              </w:rPr>
              <w:lastRenderedPageBreak/>
              <w:t xml:space="preserve">Se concluye que, </w:t>
            </w:r>
            <w:r w:rsidRPr="00697213">
              <w:rPr>
                <w:rFonts w:ascii="Verdana" w:hAnsi="Verdana" w:cs="Segoe UI"/>
              </w:rPr>
              <w:t xml:space="preserve">Los accionistas de una persona jurídica no deben reportar en el Formato 5C su porcentaje de participación accionaria, toda vez que la finalidad del componente de </w:t>
            </w:r>
            <w:r w:rsidRPr="00697213">
              <w:rPr>
                <w:rStyle w:val="Fuerte"/>
                <w:rFonts w:ascii="Verdana" w:hAnsi="Verdana" w:cs="Segoe UI"/>
                <w:b w:val="0"/>
                <w:bCs w:val="0"/>
              </w:rPr>
              <w:t>Saldos de Contratos en Ejecución (SCE)</w:t>
            </w:r>
            <w:r w:rsidRPr="00697213">
              <w:rPr>
                <w:rFonts w:ascii="Verdana" w:hAnsi="Verdana" w:cs="Segoe UI"/>
              </w:rPr>
              <w:t xml:space="preserve"> es verificar la capacidad residual del </w:t>
            </w:r>
            <w:r w:rsidRPr="00697213">
              <w:rPr>
                <w:rStyle w:val="Fuerte"/>
                <w:rFonts w:ascii="Verdana" w:hAnsi="Verdana" w:cs="Segoe UI"/>
                <w:b w:val="0"/>
                <w:bCs w:val="0"/>
              </w:rPr>
              <w:t>proponente</w:t>
            </w:r>
            <w:r w:rsidRPr="00697213">
              <w:rPr>
                <w:rFonts w:ascii="Verdana" w:hAnsi="Verdana" w:cs="Segoe UI"/>
              </w:rPr>
              <w:t>, y cuando éste es una persona jurídica, el sujeto obligado es la sociedad como ente independiente de sus accionistas. La normativa y la guía expedida por Colombia Compra Eficiente no exigen la revelación de la participación accionaria de los socios para efectos del cálculo de la capacidad residual.</w:t>
            </w:r>
          </w:p>
        </w:tc>
      </w:tr>
      <w:bookmarkEnd w:id="2"/>
    </w:tbl>
    <w:p w14:paraId="246C2EB6" w14:textId="77777777" w:rsidR="00EF3100" w:rsidRPr="00697213" w:rsidRDefault="00EF3100" w:rsidP="00EF3100">
      <w:pPr>
        <w:widowControl w:val="0"/>
        <w:autoSpaceDE w:val="0"/>
        <w:autoSpaceDN w:val="0"/>
        <w:spacing w:before="1"/>
        <w:ind w:left="360" w:hanging="360"/>
        <w:outlineLvl w:val="0"/>
        <w:rPr>
          <w:rFonts w:ascii="Verdana" w:eastAsia="Arial" w:hAnsi="Verdana" w:cs="Arial"/>
          <w:b/>
          <w:sz w:val="22"/>
          <w:szCs w:val="22"/>
        </w:rPr>
      </w:pPr>
    </w:p>
    <w:p w14:paraId="6548CD56" w14:textId="77777777" w:rsidR="00EF3100" w:rsidRPr="00697213" w:rsidRDefault="00EF3100" w:rsidP="00EF3100">
      <w:pPr>
        <w:widowControl w:val="0"/>
        <w:autoSpaceDE w:val="0"/>
        <w:autoSpaceDN w:val="0"/>
        <w:spacing w:before="1"/>
        <w:ind w:left="360" w:hanging="360"/>
        <w:outlineLvl w:val="0"/>
        <w:rPr>
          <w:rFonts w:ascii="Verdana" w:eastAsia="Arial" w:hAnsi="Verdana" w:cs="Arial"/>
          <w:b/>
          <w:bCs/>
          <w:sz w:val="22"/>
          <w:szCs w:val="22"/>
          <w:lang w:val="es-ES"/>
        </w:rPr>
      </w:pPr>
      <w:r w:rsidRPr="00697213">
        <w:rPr>
          <w:rFonts w:ascii="Verdana" w:eastAsia="Arial" w:hAnsi="Verdana" w:cs="Arial"/>
          <w:b/>
          <w:bCs/>
          <w:sz w:val="22"/>
          <w:szCs w:val="22"/>
          <w:lang w:val="es-ES"/>
        </w:rPr>
        <w:t>3. Razones de la respuesta</w:t>
      </w:r>
    </w:p>
    <w:p w14:paraId="34FA588D" w14:textId="77777777" w:rsidR="00EF3100" w:rsidRPr="00697213" w:rsidRDefault="00EF3100" w:rsidP="00EF3100">
      <w:pPr>
        <w:spacing w:line="276" w:lineRule="auto"/>
        <w:jc w:val="both"/>
        <w:rPr>
          <w:rFonts w:ascii="Verdana" w:eastAsia="Calibri" w:hAnsi="Verdana" w:cs="Arial"/>
          <w:sz w:val="22"/>
          <w:szCs w:val="22"/>
          <w:lang w:val="es-ES"/>
        </w:rPr>
      </w:pPr>
    </w:p>
    <w:p w14:paraId="0323D9D1" w14:textId="77777777" w:rsidR="00EF3100" w:rsidRPr="00697213" w:rsidRDefault="00EF3100" w:rsidP="00EF3100">
      <w:pPr>
        <w:spacing w:line="276" w:lineRule="auto"/>
        <w:jc w:val="both"/>
        <w:rPr>
          <w:rFonts w:ascii="Verdana" w:eastAsia="Calibri" w:hAnsi="Verdana" w:cs="Arial"/>
          <w:sz w:val="22"/>
          <w:szCs w:val="22"/>
          <w:lang w:val="es-ES"/>
        </w:rPr>
      </w:pPr>
      <w:r w:rsidRPr="00697213">
        <w:rPr>
          <w:rFonts w:ascii="Verdana" w:eastAsia="Calibri" w:hAnsi="Verdana" w:cs="Arial"/>
          <w:sz w:val="22"/>
          <w:szCs w:val="22"/>
          <w:lang w:val="es-ES"/>
        </w:rPr>
        <w:t xml:space="preserve">Las respuestas anteriores se sustentan en las siguientes consideraciones: </w:t>
      </w:r>
    </w:p>
    <w:p w14:paraId="1167CA12" w14:textId="77777777" w:rsidR="00EF3100" w:rsidRPr="00697213" w:rsidRDefault="00EF3100" w:rsidP="00EF3100">
      <w:pPr>
        <w:spacing w:line="276" w:lineRule="auto"/>
        <w:ind w:firstLine="708"/>
        <w:jc w:val="both"/>
        <w:rPr>
          <w:rFonts w:ascii="Verdana" w:eastAsia="Calibri" w:hAnsi="Verdana" w:cs="Arial"/>
          <w:sz w:val="22"/>
          <w:szCs w:val="22"/>
          <w:lang w:val="es-ES"/>
        </w:rPr>
      </w:pPr>
    </w:p>
    <w:p w14:paraId="55BFCF49" w14:textId="77777777" w:rsidR="00EF3100" w:rsidRPr="00697213" w:rsidRDefault="00EF3100" w:rsidP="00EF3100">
      <w:pPr>
        <w:spacing w:after="120" w:line="276" w:lineRule="auto"/>
        <w:jc w:val="both"/>
        <w:rPr>
          <w:rFonts w:ascii="Verdana" w:eastAsia="Calibri" w:hAnsi="Verdana" w:cs="Arial"/>
          <w:color w:val="000000"/>
          <w:sz w:val="22"/>
          <w:szCs w:val="22"/>
          <w:lang w:val="es-MX" w:eastAsia="en-GB"/>
        </w:rPr>
      </w:pPr>
      <w:r w:rsidRPr="00697213">
        <w:rPr>
          <w:rFonts w:ascii="Verdana" w:eastAsia="Calibri" w:hAnsi="Verdana" w:cs="Arial"/>
          <w:color w:val="000000"/>
          <w:sz w:val="22"/>
          <w:szCs w:val="22"/>
          <w:lang w:val="es-MX" w:eastAsia="en-GB"/>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697213">
        <w:rPr>
          <w:rFonts w:ascii="Verdana" w:eastAsia="Calibri" w:hAnsi="Verdana" w:cs="Arial"/>
          <w:color w:val="000000"/>
          <w:sz w:val="22"/>
          <w:szCs w:val="22"/>
          <w:vertAlign w:val="superscript"/>
          <w:lang w:val="es-MX" w:eastAsia="en-GB"/>
        </w:rPr>
        <w:footnoteReference w:id="1"/>
      </w:r>
      <w:r w:rsidRPr="00697213">
        <w:rPr>
          <w:rFonts w:ascii="Verdana" w:eastAsia="Calibri" w:hAnsi="Verdana" w:cs="Arial"/>
          <w:color w:val="000000"/>
          <w:sz w:val="22"/>
          <w:szCs w:val="22"/>
          <w:lang w:val="es-MX" w:eastAsia="en-GB"/>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697213">
        <w:rPr>
          <w:rFonts w:ascii="Verdana" w:eastAsia="Calibri" w:hAnsi="Verdana" w:cs="Arial"/>
          <w:color w:val="000000"/>
          <w:sz w:val="22"/>
          <w:szCs w:val="22"/>
          <w:vertAlign w:val="superscript"/>
          <w:lang w:val="es-MX" w:eastAsia="en-GB"/>
        </w:rPr>
        <w:footnoteReference w:id="2"/>
      </w:r>
      <w:r w:rsidRPr="00697213">
        <w:rPr>
          <w:rFonts w:ascii="Verdana" w:eastAsia="Calibri" w:hAnsi="Verdana" w:cs="Arial"/>
          <w:color w:val="000000"/>
          <w:sz w:val="22"/>
          <w:szCs w:val="22"/>
          <w:lang w:val="es-MX" w:eastAsia="en-GB"/>
        </w:rPr>
        <w:t>.</w:t>
      </w:r>
    </w:p>
    <w:p w14:paraId="3A7FFD96" w14:textId="77777777" w:rsidR="00EF3100" w:rsidRPr="00697213" w:rsidRDefault="00EF3100" w:rsidP="00EF3100">
      <w:pPr>
        <w:spacing w:before="120" w:line="276" w:lineRule="auto"/>
        <w:ind w:firstLine="709"/>
        <w:jc w:val="both"/>
        <w:rPr>
          <w:rFonts w:ascii="Verdana" w:eastAsia="Calibri" w:hAnsi="Verdana" w:cs="Arial"/>
          <w:color w:val="000000"/>
          <w:sz w:val="22"/>
          <w:szCs w:val="22"/>
          <w:lang w:val="es-MX" w:eastAsia="en-GB"/>
        </w:rPr>
      </w:pPr>
      <w:r w:rsidRPr="00697213">
        <w:rPr>
          <w:rFonts w:ascii="Verdana" w:eastAsia="Calibri" w:hAnsi="Verdana" w:cs="Arial"/>
          <w:color w:val="000000"/>
          <w:sz w:val="22"/>
          <w:szCs w:val="22"/>
          <w:lang w:val="es-MX" w:eastAsia="en-GB"/>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5B3023B4" w14:textId="77777777" w:rsidR="00EF3100" w:rsidRPr="00697213" w:rsidRDefault="00EF3100" w:rsidP="00EF3100">
      <w:pPr>
        <w:spacing w:line="276" w:lineRule="auto"/>
        <w:ind w:firstLine="709"/>
        <w:jc w:val="both"/>
        <w:rPr>
          <w:rFonts w:ascii="Verdana" w:eastAsia="Calibri" w:hAnsi="Verdana" w:cs="Arial"/>
          <w:color w:val="000000"/>
          <w:sz w:val="22"/>
          <w:szCs w:val="22"/>
          <w:lang w:val="es-MX" w:eastAsia="en-GB"/>
        </w:rPr>
      </w:pPr>
    </w:p>
    <w:p w14:paraId="60D6A3C7" w14:textId="77777777" w:rsidR="00EF3100" w:rsidRPr="00697213" w:rsidRDefault="00EF3100" w:rsidP="00EF3100">
      <w:pPr>
        <w:ind w:left="709" w:right="709"/>
        <w:contextualSpacing/>
        <w:jc w:val="both"/>
        <w:rPr>
          <w:rFonts w:ascii="Verdana" w:eastAsia="Calibri" w:hAnsi="Verdana" w:cs="Arial"/>
          <w:color w:val="000000"/>
          <w:sz w:val="20"/>
          <w:szCs w:val="20"/>
          <w:lang w:val="es-MX" w:eastAsia="en-GB"/>
        </w:rPr>
      </w:pPr>
      <w:r w:rsidRPr="00697213">
        <w:rPr>
          <w:rFonts w:ascii="Verdana" w:eastAsia="Calibri" w:hAnsi="Verdana" w:cs="Arial"/>
          <w:color w:val="000000"/>
          <w:sz w:val="20"/>
          <w:szCs w:val="20"/>
          <w:lang w:val="es-MX" w:eastAsia="en-GB"/>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555FF02" w14:textId="77777777" w:rsidR="00EF3100" w:rsidRPr="00697213" w:rsidRDefault="00EF3100" w:rsidP="00EF3100">
      <w:pPr>
        <w:ind w:left="709" w:right="709"/>
        <w:contextualSpacing/>
        <w:jc w:val="both"/>
        <w:rPr>
          <w:rFonts w:ascii="Verdana" w:eastAsia="Calibri" w:hAnsi="Verdana" w:cs="Arial"/>
          <w:color w:val="000000"/>
          <w:sz w:val="20"/>
          <w:szCs w:val="20"/>
          <w:lang w:val="es-MX" w:eastAsia="en-GB"/>
        </w:rPr>
      </w:pPr>
    </w:p>
    <w:p w14:paraId="6F24B0E9" w14:textId="77777777" w:rsidR="00EF3100" w:rsidRPr="00697213" w:rsidRDefault="00EF3100" w:rsidP="00EF3100">
      <w:pPr>
        <w:ind w:left="709" w:right="709"/>
        <w:contextualSpacing/>
        <w:jc w:val="both"/>
        <w:rPr>
          <w:rFonts w:ascii="Verdana" w:eastAsia="Calibri" w:hAnsi="Verdana" w:cs="Arial"/>
          <w:color w:val="000000"/>
          <w:sz w:val="20"/>
          <w:szCs w:val="20"/>
          <w:lang w:val="es-MX" w:eastAsia="en-GB"/>
        </w:rPr>
      </w:pPr>
      <w:r w:rsidRPr="00697213">
        <w:rPr>
          <w:rFonts w:ascii="Verdana" w:eastAsia="Calibri" w:hAnsi="Verdana" w:cs="Arial"/>
          <w:color w:val="000000"/>
          <w:sz w:val="20"/>
          <w:szCs w:val="20"/>
          <w:lang w:val="es-MX" w:eastAsia="en-GB"/>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DA3DBE5" w14:textId="77777777" w:rsidR="00EF3100" w:rsidRPr="00697213" w:rsidRDefault="00EF3100" w:rsidP="00EF3100">
      <w:pPr>
        <w:spacing w:line="276" w:lineRule="auto"/>
        <w:ind w:right="709"/>
        <w:jc w:val="both"/>
        <w:rPr>
          <w:rFonts w:ascii="Verdana" w:eastAsia="Calibri" w:hAnsi="Verdana" w:cs="Arial"/>
          <w:color w:val="000000"/>
          <w:sz w:val="22"/>
          <w:szCs w:val="22"/>
          <w:lang w:val="es-MX" w:eastAsia="en-GB"/>
        </w:rPr>
      </w:pPr>
    </w:p>
    <w:p w14:paraId="4237C6C5" w14:textId="77777777" w:rsidR="00EF3100" w:rsidRPr="00697213" w:rsidRDefault="00EF3100" w:rsidP="00EF3100">
      <w:pPr>
        <w:spacing w:after="120" w:line="276" w:lineRule="auto"/>
        <w:ind w:firstLine="709"/>
        <w:jc w:val="both"/>
        <w:rPr>
          <w:rFonts w:ascii="Verdana" w:eastAsia="Calibri" w:hAnsi="Verdana" w:cs="Arial"/>
          <w:color w:val="000000"/>
          <w:sz w:val="22"/>
          <w:szCs w:val="22"/>
          <w:lang w:eastAsia="en-GB"/>
        </w:rPr>
      </w:pPr>
      <w:r w:rsidRPr="00697213">
        <w:rPr>
          <w:rFonts w:ascii="Verdana" w:eastAsia="Calibri" w:hAnsi="Verdana" w:cs="Arial"/>
          <w:color w:val="000000"/>
          <w:sz w:val="22"/>
          <w:szCs w:val="22"/>
          <w:lang w:val="es-MX" w:eastAsia="en-GB"/>
        </w:rPr>
        <w:t xml:space="preserve">De acuerdo con </w:t>
      </w:r>
      <w:r w:rsidRPr="00697213">
        <w:rPr>
          <w:rFonts w:ascii="Verdana" w:eastAsia="Calibri" w:hAnsi="Verdana" w:cs="Arial"/>
          <w:color w:val="000000"/>
          <w:sz w:val="22"/>
          <w:szCs w:val="22"/>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70D140AA" w14:textId="77777777" w:rsidR="00EF3100" w:rsidRPr="00697213" w:rsidRDefault="00EF3100" w:rsidP="00EF3100">
      <w:pPr>
        <w:spacing w:after="120" w:line="276" w:lineRule="auto"/>
        <w:ind w:firstLine="709"/>
        <w:jc w:val="both"/>
        <w:rPr>
          <w:rFonts w:ascii="Verdana" w:eastAsia="Calibri" w:hAnsi="Verdana" w:cs="Arial"/>
          <w:color w:val="000000"/>
          <w:sz w:val="22"/>
          <w:szCs w:val="22"/>
          <w:lang w:val="es-MX" w:eastAsia="en-GB"/>
        </w:rPr>
      </w:pPr>
      <w:bookmarkStart w:id="3" w:name="_Hlk103608376"/>
      <w:r w:rsidRPr="00697213">
        <w:rPr>
          <w:rFonts w:ascii="Verdana" w:eastAsia="Calibri" w:hAnsi="Verdana" w:cs="Arial"/>
          <w:color w:val="000000"/>
          <w:sz w:val="22"/>
          <w:szCs w:val="22"/>
          <w:lang w:val="es-MX" w:eastAsia="en-GB"/>
        </w:rPr>
        <w:t>Por su parte, el artículo 2.2.1.1.1.6.4 del Decreto 1082 de 2015 dispone que las Entidades Estatales deberán calcular la Capacidad Residual conforme a la metodología definida por la Agencia Nacional de Contratación Pública – Colombia Compra Eficiente. Para tales fines, resulta necesario tener en cuenta los factores de: i) Experiencia –E–, ii) Capacidad Financiera –CF–, iii) Capacidad Técnica –CT–, iv) Capacidad de Organización y v) los Saldos de los Contratos en Ejecución –SCE–.</w:t>
      </w:r>
    </w:p>
    <w:p w14:paraId="26AAB671" w14:textId="77777777" w:rsidR="00EF3100" w:rsidRPr="00697213" w:rsidRDefault="00EF3100" w:rsidP="00EF3100">
      <w:pPr>
        <w:spacing w:after="120" w:line="276" w:lineRule="auto"/>
        <w:ind w:firstLine="709"/>
        <w:jc w:val="both"/>
        <w:rPr>
          <w:rFonts w:ascii="Verdana" w:eastAsia="Calibri" w:hAnsi="Verdana" w:cs="Arial"/>
          <w:sz w:val="22"/>
          <w:szCs w:val="22"/>
          <w:lang w:val="es-MX" w:eastAsia="en-GB"/>
        </w:rPr>
      </w:pPr>
      <w:r w:rsidRPr="00697213">
        <w:rPr>
          <w:rFonts w:ascii="Verdana" w:eastAsia="Calibri" w:hAnsi="Verdana" w:cs="Arial"/>
          <w:color w:val="000000"/>
          <w:sz w:val="22"/>
          <w:szCs w:val="22"/>
          <w:lang w:val="es-MX" w:eastAsia="en-GB"/>
        </w:rPr>
        <w:t xml:space="preserve">De igual manera, </w:t>
      </w:r>
      <w:r w:rsidRPr="00697213">
        <w:rPr>
          <w:rFonts w:ascii="Verdana" w:eastAsia="Calibri" w:hAnsi="Verdana" w:cs="Arial"/>
          <w:sz w:val="22"/>
          <w:szCs w:val="22"/>
          <w:lang w:val="es-MX" w:eastAsia="en-GB"/>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3"/>
      <w:r w:rsidRPr="00697213">
        <w:rPr>
          <w:rFonts w:ascii="Verdana" w:eastAsia="Calibri" w:hAnsi="Verdana" w:cs="Arial"/>
          <w:sz w:val="22"/>
          <w:szCs w:val="22"/>
          <w:vertAlign w:val="superscript"/>
          <w:lang w:val="es-MX" w:eastAsia="en-GB"/>
        </w:rPr>
        <w:footnoteReference w:id="3"/>
      </w:r>
      <w:r w:rsidRPr="00697213">
        <w:rPr>
          <w:rFonts w:ascii="Verdana" w:eastAsia="Calibri" w:hAnsi="Verdana" w:cs="Arial"/>
          <w:sz w:val="22"/>
          <w:szCs w:val="22"/>
          <w:lang w:val="es-MX" w:eastAsia="en-GB"/>
        </w:rPr>
        <w:t xml:space="preserve">. </w:t>
      </w:r>
    </w:p>
    <w:p w14:paraId="7E25CA1D" w14:textId="77777777" w:rsidR="00EF3100" w:rsidRPr="00697213" w:rsidRDefault="00EF3100" w:rsidP="00EF3100">
      <w:pPr>
        <w:spacing w:after="120" w:line="276" w:lineRule="auto"/>
        <w:ind w:firstLine="709"/>
        <w:jc w:val="both"/>
        <w:rPr>
          <w:rFonts w:ascii="Verdana" w:eastAsia="Calibri" w:hAnsi="Verdana" w:cs="Arial"/>
          <w:bCs/>
          <w:color w:val="000000"/>
          <w:sz w:val="22"/>
          <w:szCs w:val="22"/>
          <w:lang w:eastAsia="en-GB"/>
        </w:rPr>
      </w:pPr>
      <w:r w:rsidRPr="00697213">
        <w:rPr>
          <w:rFonts w:ascii="Verdana" w:eastAsia="Calibri" w:hAnsi="Verdana" w:cs="Arial"/>
          <w:color w:val="000000"/>
          <w:sz w:val="22"/>
          <w:szCs w:val="22"/>
          <w:lang w:val="es-MX" w:eastAsia="en-GB"/>
        </w:rPr>
        <w:lastRenderedPageBreak/>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0AC7BC2A" w14:textId="77777777" w:rsidR="00EF3100" w:rsidRPr="00697213" w:rsidRDefault="00EF3100" w:rsidP="00EF3100">
      <w:pPr>
        <w:spacing w:after="120" w:line="276" w:lineRule="auto"/>
        <w:ind w:firstLine="709"/>
        <w:jc w:val="both"/>
        <w:rPr>
          <w:rFonts w:ascii="Verdana" w:eastAsia="Calibri" w:hAnsi="Verdana" w:cs="Arial"/>
          <w:bCs/>
          <w:color w:val="000000"/>
          <w:sz w:val="22"/>
          <w:szCs w:val="22"/>
          <w:lang w:eastAsia="en-GB"/>
        </w:rPr>
      </w:pPr>
      <w:r w:rsidRPr="00697213">
        <w:rPr>
          <w:rFonts w:ascii="Verdana" w:eastAsia="Calibri" w:hAnsi="Verdana" w:cs="Arial"/>
          <w:bCs/>
          <w:color w:val="000000"/>
          <w:sz w:val="22"/>
          <w:szCs w:val="22"/>
          <w:lang w:eastAsia="en-GB"/>
        </w:rPr>
        <w:t>En relación con el primer aspecto, sobre la determinación de la Capacidad Residual del Proceso de Contratación “CRPC”, debe determinarse si el plazo del contrato es superior a doce (12) meses. Si no lo es, la CRPC equivale al presupuesto oficial estimado del Proceso de Contratación menos el anticipo o pago anticipado cuando haya lugar. Si lo es, equivale a la proporción lineal de doce (12) meses del presupuesto oficial estimado menos el anticipo o pago anticipado.</w:t>
      </w:r>
    </w:p>
    <w:p w14:paraId="2B8A5407" w14:textId="77777777" w:rsidR="00EF3100" w:rsidRPr="00697213" w:rsidRDefault="00EF3100" w:rsidP="00EF3100">
      <w:pPr>
        <w:spacing w:line="276" w:lineRule="auto"/>
        <w:ind w:firstLine="709"/>
        <w:jc w:val="both"/>
        <w:rPr>
          <w:rFonts w:ascii="Verdana" w:eastAsia="Calibri" w:hAnsi="Verdana" w:cs="Arial"/>
          <w:bCs/>
          <w:color w:val="000000"/>
          <w:sz w:val="22"/>
          <w:szCs w:val="22"/>
          <w:lang w:eastAsia="en-GB"/>
        </w:rPr>
      </w:pPr>
      <w:r w:rsidRPr="00697213">
        <w:rPr>
          <w:rFonts w:ascii="Verdana" w:eastAsia="Calibri" w:hAnsi="Verdana" w:cs="Arial"/>
          <w:bCs/>
          <w:color w:val="000000"/>
          <w:sz w:val="22"/>
          <w:szCs w:val="22"/>
          <w:lang w:eastAsia="en-GB"/>
        </w:rPr>
        <w:t xml:space="preserve">En cuanto al segundo aspecto, sobre la validación de </w:t>
      </w:r>
      <w:bookmarkStart w:id="4" w:name="_Hlk68683272"/>
      <w:r w:rsidRPr="00697213">
        <w:rPr>
          <w:rFonts w:ascii="Verdana" w:eastAsia="Calibri" w:hAnsi="Verdana" w:cs="Arial"/>
          <w:bCs/>
          <w:color w:val="000000"/>
          <w:sz w:val="22"/>
          <w:szCs w:val="22"/>
          <w:lang w:eastAsia="en-GB"/>
        </w:rPr>
        <w:t>que cada proponente cumpla con la CRPC</w:t>
      </w:r>
      <w:bookmarkEnd w:id="4"/>
      <w:r w:rsidRPr="00697213">
        <w:rPr>
          <w:rFonts w:ascii="Verdana" w:eastAsia="Calibri" w:hAnsi="Verdana" w:cs="Arial"/>
          <w:bCs/>
          <w:color w:val="000000"/>
          <w:sz w:val="22"/>
          <w:szCs w:val="22"/>
          <w:lang w:eastAsia="en-GB"/>
        </w:rPr>
        <w:t>,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formula:</w:t>
      </w:r>
    </w:p>
    <w:p w14:paraId="74C64FEE" w14:textId="77777777" w:rsidR="00EF3100" w:rsidRPr="00697213" w:rsidRDefault="00EF3100" w:rsidP="00EF3100">
      <w:pPr>
        <w:spacing w:line="276" w:lineRule="auto"/>
        <w:ind w:firstLine="709"/>
        <w:jc w:val="both"/>
        <w:rPr>
          <w:rFonts w:ascii="Verdana" w:eastAsia="Calibri" w:hAnsi="Verdana" w:cs="Arial"/>
          <w:bCs/>
          <w:color w:val="000000"/>
          <w:sz w:val="22"/>
          <w:szCs w:val="22"/>
          <w:lang w:eastAsia="en-GB"/>
        </w:rPr>
      </w:pPr>
    </w:p>
    <w:p w14:paraId="76F550EC" w14:textId="77777777" w:rsidR="00EF3100" w:rsidRPr="00697213" w:rsidRDefault="00EF3100" w:rsidP="00EF3100">
      <w:pPr>
        <w:spacing w:line="276" w:lineRule="auto"/>
        <w:ind w:firstLine="709"/>
        <w:jc w:val="center"/>
        <w:rPr>
          <w:rFonts w:ascii="Verdana" w:eastAsia="Calibri" w:hAnsi="Verdana" w:cs="Arial"/>
          <w:bCs/>
          <w:color w:val="000000"/>
          <w:sz w:val="22"/>
          <w:szCs w:val="22"/>
          <w:lang w:eastAsia="en-GB"/>
        </w:rPr>
      </w:pPr>
      <w:r w:rsidRPr="00697213">
        <w:rPr>
          <w:rFonts w:ascii="Verdana" w:eastAsia="Calibri" w:hAnsi="Verdana" w:cs="Arial"/>
          <w:bCs/>
          <w:noProof/>
          <w:color w:val="000000"/>
          <w:sz w:val="22"/>
          <w:szCs w:val="22"/>
          <w:lang w:eastAsia="en-GB"/>
        </w:rPr>
        <w:drawing>
          <wp:inline distT="0" distB="0" distL="0" distR="0" wp14:anchorId="6856FE5B" wp14:editId="6C68D361">
            <wp:extent cx="4095115" cy="460989"/>
            <wp:effectExtent l="0" t="0" r="635" b="0"/>
            <wp:docPr id="6159233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23349" name=""/>
                    <pic:cNvPicPr/>
                  </pic:nvPicPr>
                  <pic:blipFill>
                    <a:blip r:embed="rId12"/>
                    <a:stretch>
                      <a:fillRect/>
                    </a:stretch>
                  </pic:blipFill>
                  <pic:spPr>
                    <a:xfrm>
                      <a:off x="0" y="0"/>
                      <a:ext cx="4208786" cy="473785"/>
                    </a:xfrm>
                    <a:prstGeom prst="rect">
                      <a:avLst/>
                    </a:prstGeom>
                  </pic:spPr>
                </pic:pic>
              </a:graphicData>
            </a:graphic>
          </wp:inline>
        </w:drawing>
      </w:r>
    </w:p>
    <w:p w14:paraId="3C2E6A7E" w14:textId="77777777" w:rsidR="00EF3100" w:rsidRPr="00697213" w:rsidRDefault="00EF3100" w:rsidP="00EF3100">
      <w:pPr>
        <w:spacing w:line="276" w:lineRule="auto"/>
        <w:contextualSpacing/>
        <w:jc w:val="both"/>
        <w:rPr>
          <w:rFonts w:ascii="Verdana" w:eastAsia="Calibri" w:hAnsi="Verdana" w:cs="Arial"/>
          <w:bCs/>
          <w:color w:val="000000"/>
          <w:sz w:val="22"/>
          <w:szCs w:val="22"/>
          <w:lang w:val="es-MX" w:eastAsia="en-GB"/>
        </w:rPr>
      </w:pPr>
    </w:p>
    <w:p w14:paraId="5BB827E2" w14:textId="77777777" w:rsidR="00EF3100" w:rsidRPr="00697213" w:rsidRDefault="00EF3100" w:rsidP="00EF3100">
      <w:pPr>
        <w:spacing w:after="120" w:line="276" w:lineRule="auto"/>
        <w:ind w:firstLine="709"/>
        <w:jc w:val="both"/>
        <w:rPr>
          <w:rFonts w:ascii="Verdana" w:hAnsi="Verdana" w:cs="Arial"/>
          <w:kern w:val="2"/>
          <w:sz w:val="22"/>
          <w:szCs w:val="22"/>
          <w:lang w:eastAsia="es-MX"/>
          <w14:ligatures w14:val="standardContextual"/>
        </w:rPr>
      </w:pPr>
      <w:bookmarkStart w:id="5" w:name="_Hlk128390666"/>
      <w:r w:rsidRPr="00697213">
        <w:rPr>
          <w:rFonts w:ascii="Verdana" w:hAnsi="Verdana" w:cs="Arial"/>
          <w:kern w:val="2"/>
          <w:sz w:val="22"/>
          <w:szCs w:val="22"/>
          <w:lang w:eastAsia="es-MX"/>
          <w14:ligatures w14:val="standardContextual"/>
        </w:rPr>
        <w:t xml:space="preserve">Por otra parte, esta Agencia ha manifestado en anteriores oportunidades que los contratos en ejecución son aquellos que, a la fecha de presentación de </w:t>
      </w:r>
      <w:r w:rsidRPr="00697213">
        <w:rPr>
          <w:rFonts w:ascii="Verdana" w:hAnsi="Verdana" w:cs="Arial"/>
          <w:kern w:val="2"/>
          <w:sz w:val="22"/>
          <w:szCs w:val="22"/>
          <w:lang w:eastAsia="es-MX"/>
          <w14:ligatures w14:val="standardContextual"/>
        </w:rPr>
        <w:lastRenderedPageBreak/>
        <w:t>la oferta, obligan al proponente con Entidades Estatales y con entidades privadas para ejecutar obras públicas, incluyendo la ejecución de obras civiles en los contratos de concesión y los contratos de obra suscritos con concesionarios, incluyendo los contratos suspendidos y aquellos que no tengan acta de inicio. Es decir, los saldos pendientes se derivan de las obligaciones que se encuentran en ejecución al momento de la presentación de la oferta. A este respecto, no se entenderán como contratos en ejecución los que se encuentren en liquidación o liquidados. 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w:t>
      </w:r>
      <w:r w:rsidRPr="00697213">
        <w:rPr>
          <w:rFonts w:ascii="Verdana" w:hAnsi="Verdana" w:cs="Arial"/>
          <w:kern w:val="2"/>
          <w:sz w:val="22"/>
          <w:szCs w:val="22"/>
          <w:vertAlign w:val="superscript"/>
          <w:lang w:eastAsia="es-MX"/>
          <w14:ligatures w14:val="standardContextual"/>
        </w:rPr>
        <w:footnoteReference w:id="4"/>
      </w:r>
      <w:r w:rsidRPr="00697213">
        <w:rPr>
          <w:rFonts w:ascii="Verdana" w:hAnsi="Verdana" w:cs="Arial"/>
          <w:kern w:val="2"/>
          <w:sz w:val="22"/>
          <w:szCs w:val="22"/>
          <w:lang w:eastAsia="es-MX"/>
          <w14:ligatures w14:val="standardContextual"/>
        </w:rPr>
        <w:t xml:space="preserve">.  </w:t>
      </w:r>
      <w:bookmarkEnd w:id="5"/>
    </w:p>
    <w:p w14:paraId="42DEE736" w14:textId="77777777" w:rsidR="00EF3100" w:rsidRPr="00697213" w:rsidRDefault="00EF3100" w:rsidP="00EF3100">
      <w:pPr>
        <w:spacing w:line="276" w:lineRule="auto"/>
        <w:ind w:firstLine="709"/>
        <w:jc w:val="both"/>
        <w:rPr>
          <w:rFonts w:ascii="Verdana" w:eastAsia="Calibri" w:hAnsi="Verdana" w:cs="Arial"/>
          <w:i/>
          <w:iCs/>
          <w:sz w:val="22"/>
          <w:szCs w:val="22"/>
          <w:lang w:eastAsia="en-GB"/>
        </w:rPr>
      </w:pPr>
      <w:r w:rsidRPr="00697213">
        <w:rPr>
          <w:rFonts w:ascii="Verdana" w:eastAsia="Calibri" w:hAnsi="Verdana" w:cs="Arial"/>
          <w:bCs/>
          <w:color w:val="000000"/>
          <w:sz w:val="22"/>
          <w:szCs w:val="22"/>
          <w:lang w:val="es-MX" w:eastAsia="en-GB"/>
        </w:rPr>
        <w:t xml:space="preserve">Particularmente, </w:t>
      </w:r>
      <w:bookmarkStart w:id="6" w:name="_Hlk100139879"/>
      <w:r w:rsidRPr="00697213">
        <w:rPr>
          <w:rFonts w:ascii="Verdana" w:eastAsia="Calibri" w:hAnsi="Verdana" w:cs="Arial"/>
          <w:bCs/>
          <w:color w:val="000000"/>
          <w:sz w:val="22"/>
          <w:szCs w:val="22"/>
          <w:lang w:val="es-MX" w:eastAsia="en-GB"/>
        </w:rPr>
        <w:t xml:space="preserve">respecto del factor de saldos de los contratos en ejecución </w:t>
      </w:r>
      <w:r w:rsidRPr="00697213">
        <w:rPr>
          <w:rFonts w:ascii="Verdana" w:eastAsia="Calibri" w:hAnsi="Verdana" w:cs="Arial"/>
          <w:bCs/>
          <w:color w:val="000000"/>
          <w:sz w:val="22"/>
          <w:szCs w:val="22"/>
          <w:lang w:eastAsia="en-GB"/>
        </w:rPr>
        <w:t>“SCE”,</w:t>
      </w:r>
      <w:r w:rsidRPr="00697213">
        <w:rPr>
          <w:rFonts w:ascii="Verdana" w:eastAsia="Calibri" w:hAnsi="Verdana" w:cs="Arial"/>
          <w:sz w:val="22"/>
          <w:szCs w:val="22"/>
          <w:lang w:eastAsia="en-GB"/>
        </w:rPr>
        <w:t xml:space="preserve"> es necesario tener en cuenta que la “Guía para Determinar y Verificar la Capacidad Residual del Proponente en los Procesos de Contratación de Obra Pública”</w:t>
      </w:r>
      <w:r w:rsidRPr="00697213">
        <w:rPr>
          <w:rFonts w:ascii="Verdana" w:eastAsia="Calibri" w:hAnsi="Verdana" w:cs="Arial"/>
          <w:i/>
          <w:iCs/>
          <w:sz w:val="22"/>
          <w:szCs w:val="22"/>
          <w:lang w:eastAsia="en-GB"/>
        </w:rPr>
        <w:t xml:space="preserve">, </w:t>
      </w:r>
      <w:r w:rsidRPr="00697213">
        <w:rPr>
          <w:rFonts w:ascii="Verdana" w:eastAsia="Calibri" w:hAnsi="Verdana" w:cs="Arial"/>
          <w:sz w:val="22"/>
          <w:szCs w:val="22"/>
          <w:lang w:eastAsia="en-GB"/>
        </w:rPr>
        <w:t xml:space="preserve">define a este factor </w:t>
      </w:r>
      <w:r w:rsidRPr="00697213">
        <w:rPr>
          <w:rFonts w:ascii="Verdana" w:eastAsia="Calibri" w:hAnsi="Verdana" w:cs="Arial"/>
          <w:bCs/>
          <w:color w:val="000000"/>
          <w:sz w:val="22"/>
          <w:szCs w:val="22"/>
          <w:lang w:eastAsia="en-GB"/>
        </w:rPr>
        <w:t>como “la suma de los montos por ejecutar de los contratos en ejecución durante los 12 meses siguientes</w:t>
      </w:r>
      <w:bookmarkEnd w:id="6"/>
      <w:r w:rsidRPr="00697213">
        <w:rPr>
          <w:rFonts w:ascii="Verdana" w:eastAsia="Calibri" w:hAnsi="Verdana" w:cs="Arial"/>
          <w:bCs/>
          <w:color w:val="000000"/>
          <w:sz w:val="22"/>
          <w:szCs w:val="22"/>
          <w:lang w:eastAsia="en-GB"/>
        </w:rPr>
        <w:t>”. Así mismo, define los</w:t>
      </w:r>
      <w:r w:rsidRPr="00697213">
        <w:rPr>
          <w:rFonts w:ascii="Verdana" w:eastAsia="Calibri" w:hAnsi="Verdana" w:cs="Arial"/>
          <w:sz w:val="22"/>
          <w:szCs w:val="22"/>
          <w:lang w:eastAsia="en-GB"/>
        </w:rPr>
        <w:t xml:space="preserve"> </w:t>
      </w:r>
      <w:bookmarkStart w:id="7" w:name="_Hlk78819022"/>
      <w:r w:rsidRPr="00697213">
        <w:rPr>
          <w:rFonts w:ascii="Verdana" w:eastAsia="Calibri" w:hAnsi="Verdana" w:cs="Arial"/>
          <w:i/>
          <w:iCs/>
          <w:sz w:val="22"/>
          <w:szCs w:val="22"/>
          <w:lang w:eastAsia="en-GB"/>
        </w:rPr>
        <w:t>Contratos en Ejecución</w:t>
      </w:r>
      <w:r w:rsidRPr="00697213">
        <w:rPr>
          <w:rFonts w:ascii="Verdana" w:eastAsia="Calibri" w:hAnsi="Verdana" w:cs="Arial"/>
          <w:sz w:val="22"/>
          <w:szCs w:val="22"/>
          <w:lang w:eastAsia="en-GB"/>
        </w:rPr>
        <w:t xml:space="preserve"> </w:t>
      </w:r>
      <w:bookmarkEnd w:id="7"/>
      <w:r w:rsidRPr="00697213">
        <w:rPr>
          <w:rFonts w:ascii="Verdana" w:eastAsia="Calibri" w:hAnsi="Verdana" w:cs="Arial"/>
          <w:sz w:val="22"/>
          <w:szCs w:val="22"/>
          <w:lang w:eastAsia="en-GB"/>
        </w:rPr>
        <w:t xml:space="preserve">de la siguiente manera: </w:t>
      </w:r>
      <w:r w:rsidRPr="00697213">
        <w:rPr>
          <w:rFonts w:ascii="Verdana" w:eastAsia="Calibri" w:hAnsi="Verdana" w:cs="Arial"/>
          <w:i/>
          <w:iCs/>
          <w:sz w:val="22"/>
          <w:szCs w:val="22"/>
          <w:lang w:eastAsia="en-GB"/>
        </w:rPr>
        <w:t xml:space="preserve"> </w:t>
      </w:r>
    </w:p>
    <w:p w14:paraId="7C58E1D9" w14:textId="77777777" w:rsidR="00EF3100" w:rsidRPr="00697213" w:rsidRDefault="00EF3100" w:rsidP="00EF3100">
      <w:pPr>
        <w:spacing w:line="276" w:lineRule="auto"/>
        <w:ind w:firstLine="709"/>
        <w:contextualSpacing/>
        <w:jc w:val="both"/>
        <w:rPr>
          <w:rFonts w:ascii="Verdana" w:eastAsia="Calibri" w:hAnsi="Verdana" w:cs="Arial"/>
          <w:sz w:val="22"/>
          <w:szCs w:val="22"/>
          <w:lang w:eastAsia="en-GB"/>
        </w:rPr>
      </w:pPr>
    </w:p>
    <w:p w14:paraId="78DD3CDC" w14:textId="77777777" w:rsidR="00EF3100" w:rsidRPr="00697213" w:rsidRDefault="00EF3100" w:rsidP="00EF3100">
      <w:pPr>
        <w:ind w:left="709" w:right="709"/>
        <w:jc w:val="both"/>
        <w:rPr>
          <w:rFonts w:ascii="Verdana" w:eastAsia="Calibri" w:hAnsi="Verdana" w:cs="Arial"/>
          <w:sz w:val="20"/>
          <w:szCs w:val="20"/>
          <w:lang w:eastAsia="en-GB"/>
        </w:rPr>
      </w:pPr>
      <w:r w:rsidRPr="00697213">
        <w:rPr>
          <w:rFonts w:ascii="Verdana" w:eastAsia="Calibri" w:hAnsi="Verdana" w:cs="Arial"/>
          <w:sz w:val="20"/>
          <w:szCs w:val="20"/>
          <w:lang w:eastAsia="en-GB"/>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que se encuentren suspendidos y aquellos que no tengan acta de inicio.   </w:t>
      </w:r>
    </w:p>
    <w:p w14:paraId="5A74CE03" w14:textId="77777777" w:rsidR="00EF3100" w:rsidRPr="00697213" w:rsidRDefault="00EF3100" w:rsidP="00EF3100">
      <w:pPr>
        <w:ind w:left="709" w:right="709"/>
        <w:jc w:val="both"/>
        <w:rPr>
          <w:rFonts w:ascii="Verdana" w:eastAsia="Calibri" w:hAnsi="Verdana" w:cs="Arial"/>
          <w:sz w:val="20"/>
          <w:szCs w:val="20"/>
          <w:lang w:eastAsia="en-GB"/>
        </w:rPr>
      </w:pPr>
    </w:p>
    <w:p w14:paraId="4E10404D" w14:textId="77777777" w:rsidR="00EF3100" w:rsidRPr="00697213" w:rsidRDefault="00EF3100" w:rsidP="00EF3100">
      <w:pPr>
        <w:ind w:left="709" w:right="709"/>
        <w:jc w:val="both"/>
        <w:rPr>
          <w:rFonts w:ascii="Verdana" w:eastAsia="Calibri" w:hAnsi="Verdana" w:cs="Arial"/>
          <w:sz w:val="20"/>
          <w:szCs w:val="20"/>
          <w:lang w:eastAsia="en-GB"/>
        </w:rPr>
      </w:pPr>
      <w:r w:rsidRPr="00697213">
        <w:rPr>
          <w:rFonts w:ascii="Verdana" w:eastAsia="Calibri" w:hAnsi="Verdana" w:cs="Arial"/>
          <w:sz w:val="20"/>
          <w:szCs w:val="20"/>
          <w:lang w:eastAsia="en-GB"/>
        </w:rPr>
        <w:t>No se entenderá como Contratos en Ejecución los que se encuentren en etapa de liquidación o ya fueron liquidados.”</w:t>
      </w:r>
    </w:p>
    <w:p w14:paraId="607FA36F" w14:textId="77777777" w:rsidR="00EF3100" w:rsidRPr="00697213" w:rsidRDefault="00EF3100" w:rsidP="00EF3100">
      <w:pPr>
        <w:spacing w:line="276" w:lineRule="auto"/>
        <w:ind w:firstLine="708"/>
        <w:jc w:val="both"/>
        <w:rPr>
          <w:rFonts w:ascii="Verdana" w:eastAsia="Calibri" w:hAnsi="Verdana" w:cs="Arial"/>
          <w:sz w:val="22"/>
          <w:szCs w:val="22"/>
          <w:lang w:val="es-ES"/>
        </w:rPr>
      </w:pPr>
    </w:p>
    <w:p w14:paraId="1BADD4E2" w14:textId="77777777" w:rsidR="00EF3100" w:rsidRPr="00697213" w:rsidRDefault="00EF3100" w:rsidP="00EF3100">
      <w:pPr>
        <w:spacing w:line="276" w:lineRule="auto"/>
        <w:ind w:firstLine="709"/>
        <w:jc w:val="both"/>
        <w:rPr>
          <w:rFonts w:ascii="Verdana" w:eastAsia="Calibri" w:hAnsi="Verdana" w:cs="Arial"/>
          <w:sz w:val="22"/>
          <w:szCs w:val="22"/>
          <w:lang w:val="es-MX" w:eastAsia="en-GB"/>
        </w:rPr>
      </w:pPr>
      <w:bookmarkStart w:id="8" w:name="_Hlk100139912"/>
      <w:bookmarkStart w:id="9" w:name="_Hlk103609030"/>
      <w:r w:rsidRPr="00697213">
        <w:rPr>
          <w:rFonts w:ascii="Verdana" w:eastAsia="Calibri" w:hAnsi="Verdana" w:cs="Arial"/>
          <w:sz w:val="22"/>
          <w:szCs w:val="22"/>
          <w:lang w:eastAsia="en-GB"/>
        </w:rPr>
        <w:t>En este sentido, los saldos pendientes se derivan de las obligaciones que se encuentran en ejecución al momento de la presentación de la oferta y se refieren a contratos cuyo objeto sea la ejecución de obras civiles</w:t>
      </w:r>
      <w:bookmarkEnd w:id="8"/>
      <w:r w:rsidRPr="00697213">
        <w:rPr>
          <w:rFonts w:ascii="Verdana" w:eastAsia="Calibri" w:hAnsi="Verdana" w:cs="Arial"/>
          <w:sz w:val="22"/>
          <w:szCs w:val="22"/>
          <w:lang w:eastAsia="en-GB"/>
        </w:rPr>
        <w:t xml:space="preserve">. </w:t>
      </w:r>
      <w:bookmarkStart w:id="10" w:name="_Hlk100139986"/>
      <w:r w:rsidRPr="00697213">
        <w:rPr>
          <w:rFonts w:ascii="Verdana" w:eastAsia="Calibri" w:hAnsi="Verdana" w:cs="Arial"/>
          <w:sz w:val="22"/>
          <w:szCs w:val="22"/>
          <w:lang w:eastAsia="en-GB"/>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w:t>
      </w:r>
      <w:r w:rsidRPr="00697213">
        <w:rPr>
          <w:rFonts w:ascii="Verdana" w:eastAsia="Calibri" w:hAnsi="Verdana" w:cs="Arial"/>
          <w:sz w:val="22"/>
          <w:szCs w:val="22"/>
          <w:lang w:eastAsia="en-GB"/>
        </w:rPr>
        <w:lastRenderedPageBreak/>
        <w:t xml:space="preserve">los contratos afectados por una suspensión constituyen, también, información relevante para calcular la Capacidad Residual del Proponente </w:t>
      </w:r>
      <w:r w:rsidRPr="00697213">
        <w:rPr>
          <w:rFonts w:ascii="Verdana" w:eastAsia="Calibri" w:hAnsi="Verdana" w:cs="Arial"/>
          <w:bCs/>
          <w:color w:val="000000"/>
          <w:sz w:val="22"/>
          <w:szCs w:val="22"/>
          <w:lang w:eastAsia="en-GB"/>
        </w:rPr>
        <w:t>“CRP”</w:t>
      </w:r>
      <w:r w:rsidRPr="00697213">
        <w:rPr>
          <w:rFonts w:ascii="Verdana" w:eastAsia="Calibri" w:hAnsi="Verdana" w:cs="Arial"/>
          <w:sz w:val="22"/>
          <w:szCs w:val="22"/>
          <w:lang w:eastAsia="en-GB"/>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9"/>
      <w:bookmarkEnd w:id="10"/>
      <w:r w:rsidRPr="00697213">
        <w:rPr>
          <w:rFonts w:ascii="Verdana" w:eastAsia="Calibri" w:hAnsi="Verdana" w:cs="Arial"/>
          <w:sz w:val="22"/>
          <w:szCs w:val="22"/>
          <w:lang w:eastAsia="en-GB"/>
        </w:rPr>
        <w:t xml:space="preserve">. </w:t>
      </w:r>
      <w:r w:rsidRPr="00697213">
        <w:rPr>
          <w:rFonts w:ascii="Verdana" w:eastAsia="Calibri" w:hAnsi="Verdana" w:cs="Arial"/>
          <w:sz w:val="22"/>
          <w:szCs w:val="22"/>
          <w:lang w:val="es-MX" w:eastAsia="en-GB"/>
        </w:rPr>
        <w:t>Por lo demás, en dicha Guía también se precisa que:</w:t>
      </w:r>
    </w:p>
    <w:p w14:paraId="76CCA9BB" w14:textId="77777777" w:rsidR="00EF3100" w:rsidRPr="00697213" w:rsidRDefault="00EF3100" w:rsidP="00EF3100">
      <w:pPr>
        <w:spacing w:line="276" w:lineRule="auto"/>
        <w:ind w:firstLine="709"/>
        <w:jc w:val="both"/>
        <w:rPr>
          <w:rFonts w:ascii="Verdana" w:eastAsia="Calibri" w:hAnsi="Verdana" w:cs="Arial"/>
          <w:sz w:val="22"/>
          <w:szCs w:val="22"/>
          <w:lang w:val="es-MX" w:eastAsia="en-GB"/>
        </w:rPr>
      </w:pPr>
    </w:p>
    <w:p w14:paraId="24985DA7" w14:textId="77777777" w:rsidR="00EF3100" w:rsidRPr="00697213" w:rsidRDefault="00EF3100" w:rsidP="00EF3100">
      <w:pPr>
        <w:ind w:left="709" w:right="709"/>
        <w:jc w:val="both"/>
        <w:rPr>
          <w:rFonts w:ascii="Verdana" w:eastAsia="Calibri" w:hAnsi="Verdana" w:cs="Arial"/>
          <w:sz w:val="20"/>
          <w:szCs w:val="20"/>
          <w:lang w:eastAsia="en-GB"/>
        </w:rPr>
      </w:pPr>
      <w:bookmarkStart w:id="11" w:name="_Hlk100140013"/>
      <w:r w:rsidRPr="00697213">
        <w:rPr>
          <w:rFonts w:ascii="Verdana" w:eastAsia="Calibri" w:hAnsi="Verdana" w:cs="Arial"/>
          <w:sz w:val="20"/>
          <w:szCs w:val="20"/>
          <w:lang w:eastAsia="en-GB"/>
        </w:rPr>
        <w:t>“</w:t>
      </w:r>
      <w:bookmarkEnd w:id="11"/>
      <w:r w:rsidRPr="00697213">
        <w:rPr>
          <w:rFonts w:ascii="Verdana" w:eastAsia="Calibri" w:hAnsi="Verdana" w:cs="Arial"/>
          <w:sz w:val="20"/>
          <w:szCs w:val="20"/>
          <w:lang w:eastAsia="en-GB"/>
        </w:rPr>
        <w:t>El cálculo del Saldo de los Contratos en Ejecución (SCE) debe hacerse linealmente calculando una ejecución diaria equivalente al valor del contrato divido por el plazo del contrato y si el contrato es ejecutado por una estructura plural por la participación del proponente en el respectivo contratista. Si el número de días por ejecutar en un contrato es superior a doce (12) meses, es decir 360 días, el Saldo del Contrato en Ejecución (SCE) solo tendrá en cuenta la proporcional lineal de doce [12] meses.</w:t>
      </w:r>
    </w:p>
    <w:p w14:paraId="044D86BF" w14:textId="77777777" w:rsidR="00EF3100" w:rsidRPr="00697213" w:rsidRDefault="00EF3100" w:rsidP="00EF3100">
      <w:pPr>
        <w:ind w:left="709" w:right="709"/>
        <w:jc w:val="both"/>
        <w:rPr>
          <w:rFonts w:ascii="Verdana" w:eastAsia="Calibri" w:hAnsi="Verdana" w:cs="Arial"/>
          <w:sz w:val="20"/>
          <w:szCs w:val="20"/>
          <w:lang w:val="es-MX" w:eastAsia="en-GB"/>
        </w:rPr>
      </w:pPr>
      <w:r w:rsidRPr="00697213">
        <w:rPr>
          <w:rFonts w:ascii="Verdana" w:eastAsia="Calibri" w:hAnsi="Verdana" w:cs="Arial"/>
          <w:sz w:val="20"/>
          <w:szCs w:val="20"/>
          <w:lang w:val="es-MX" w:eastAsia="en-GB"/>
        </w:rPr>
        <w:t>[…]</w:t>
      </w:r>
    </w:p>
    <w:p w14:paraId="2D36EDE8" w14:textId="77777777" w:rsidR="00EF3100" w:rsidRPr="00697213" w:rsidRDefault="00EF3100" w:rsidP="00EF3100">
      <w:pPr>
        <w:ind w:left="709" w:right="709"/>
        <w:jc w:val="both"/>
        <w:rPr>
          <w:rFonts w:ascii="Verdana" w:eastAsia="Calibri" w:hAnsi="Verdana" w:cs="Arial"/>
          <w:sz w:val="20"/>
          <w:szCs w:val="20"/>
          <w:lang w:eastAsia="en-GB"/>
        </w:rPr>
      </w:pPr>
      <w:r w:rsidRPr="00697213">
        <w:rPr>
          <w:rFonts w:ascii="Verdana" w:eastAsia="Calibri" w:hAnsi="Verdana" w:cs="Arial"/>
          <w:sz w:val="20"/>
          <w:szCs w:val="20"/>
          <w:lang w:eastAsia="en-GB"/>
        </w:rPr>
        <w:t xml:space="preserve">Si un contrato se encuentra suspendido, el cálculo del Saldo del Contrato en Ejecución (SCE) de dicho contrato debe calcularse asumiendo que lo que falta por ejecutar empezará en la fecha de la presentación de la oferta del Proceso de Contratación.”  </w:t>
      </w:r>
    </w:p>
    <w:p w14:paraId="2F51B0AE" w14:textId="77777777" w:rsidR="00EF3100" w:rsidRPr="00697213" w:rsidRDefault="00EF3100" w:rsidP="00EF3100">
      <w:pPr>
        <w:spacing w:line="276" w:lineRule="auto"/>
        <w:ind w:firstLine="709"/>
        <w:jc w:val="both"/>
        <w:rPr>
          <w:rFonts w:ascii="Verdana" w:eastAsia="Calibri" w:hAnsi="Verdana" w:cs="Arial"/>
          <w:sz w:val="22"/>
          <w:szCs w:val="22"/>
          <w:lang w:eastAsia="en-GB"/>
        </w:rPr>
      </w:pPr>
    </w:p>
    <w:p w14:paraId="6BF3BD0E" w14:textId="77777777" w:rsidR="00EF3100" w:rsidRPr="00697213" w:rsidRDefault="00EF3100" w:rsidP="00EF3100">
      <w:pPr>
        <w:spacing w:after="120" w:line="276" w:lineRule="auto"/>
        <w:ind w:firstLine="709"/>
        <w:jc w:val="both"/>
        <w:rPr>
          <w:rFonts w:ascii="Verdana" w:eastAsia="Calibri" w:hAnsi="Verdana" w:cs="Arial"/>
          <w:sz w:val="22"/>
          <w:szCs w:val="22"/>
          <w:lang w:eastAsia="en-GB"/>
        </w:rPr>
      </w:pPr>
      <w:r w:rsidRPr="00697213">
        <w:rPr>
          <w:rFonts w:ascii="Verdana" w:eastAsia="Calibri" w:hAnsi="Verdana" w:cs="Arial"/>
          <w:sz w:val="22"/>
          <w:szCs w:val="22"/>
          <w:lang w:eastAsia="en-GB"/>
        </w:rPr>
        <w:t xml:space="preserve">De este modo, para acreditar el factor </w:t>
      </w:r>
      <w:r w:rsidRPr="00697213">
        <w:rPr>
          <w:rFonts w:ascii="Verdana" w:eastAsia="Calibri" w:hAnsi="Verdana" w:cs="Arial"/>
          <w:bCs/>
          <w:color w:val="000000"/>
          <w:sz w:val="22"/>
          <w:szCs w:val="22"/>
          <w:lang w:val="es-MX" w:eastAsia="en-GB"/>
        </w:rPr>
        <w:t xml:space="preserve">saldos de los contratos en ejecución </w:t>
      </w:r>
      <w:r w:rsidRPr="00697213">
        <w:rPr>
          <w:rFonts w:ascii="Verdana" w:eastAsia="Calibri" w:hAnsi="Verdana" w:cs="Arial"/>
          <w:bCs/>
          <w:color w:val="000000"/>
          <w:sz w:val="22"/>
          <w:szCs w:val="22"/>
          <w:lang w:eastAsia="en-GB"/>
        </w:rPr>
        <w:t>“SCE”,</w:t>
      </w:r>
      <w:r w:rsidRPr="00697213">
        <w:rPr>
          <w:rFonts w:ascii="Verdana" w:eastAsia="Calibri" w:hAnsi="Verdana" w:cs="Arial"/>
          <w:sz w:val="22"/>
          <w:szCs w:val="22"/>
          <w:lang w:eastAsia="en-GB"/>
        </w:rPr>
        <w:t xml:space="preserve"> como lo establece la Guía, el proponente debe presentar la lista de contratos de obras civiles en ejecución, tanto a nivel nacional como internacional, señalando: i) el valor del contrato; ii) el plazo de ejecución del contrato en meses; iii) la fecha de inicio de las obras objeto del contrato (día, mes, año); </w:t>
      </w:r>
      <w:r w:rsidRPr="00697213">
        <w:rPr>
          <w:rFonts w:ascii="Verdana" w:eastAsia="Calibri" w:hAnsi="Verdana" w:cs="Arial"/>
          <w:i/>
          <w:iCs/>
          <w:sz w:val="22"/>
          <w:szCs w:val="22"/>
          <w:lang w:eastAsia="en-GB"/>
        </w:rPr>
        <w:t>iv) si la obra la ejecuta un consorcio o unión temporal, junto con el porcentaje de participación del oferente que presenta el certificado;</w:t>
      </w:r>
      <w:r w:rsidRPr="00697213">
        <w:rPr>
          <w:rFonts w:ascii="Verdana" w:eastAsia="Calibri" w:hAnsi="Verdana" w:cs="Arial"/>
          <w:sz w:val="22"/>
          <w:szCs w:val="22"/>
          <w:lang w:eastAsia="en-GB"/>
        </w:rPr>
        <w:t xml:space="preserve"> v) si el contrato se encuentra suspendido, y si es así, la fecha de suspensión, además del saldo pendiente por ejecutar. Si el proponente no tiene contratos en ejecución, en el certificado debe constar expresamente esa circunstancia. </w:t>
      </w:r>
    </w:p>
    <w:p w14:paraId="00A8A49F" w14:textId="77777777" w:rsidR="00EF3100" w:rsidRPr="00697213" w:rsidRDefault="00EF3100" w:rsidP="00EF3100">
      <w:pPr>
        <w:spacing w:line="276" w:lineRule="auto"/>
        <w:ind w:firstLine="709"/>
        <w:jc w:val="both"/>
        <w:rPr>
          <w:rFonts w:ascii="Verdana" w:eastAsia="Calibri" w:hAnsi="Verdana" w:cs="Arial"/>
          <w:sz w:val="22"/>
          <w:szCs w:val="22"/>
          <w:lang w:eastAsia="en-GB"/>
        </w:rPr>
      </w:pPr>
      <w:r w:rsidRPr="00697213">
        <w:rPr>
          <w:rFonts w:ascii="Verdana" w:eastAsia="Calibri" w:hAnsi="Verdana" w:cs="Arial"/>
          <w:sz w:val="22"/>
          <w:szCs w:val="22"/>
          <w:lang w:val="es-ES"/>
        </w:rPr>
        <w:t xml:space="preserve">En concordancia con lo anterior, sobre la acreditación del factor “SCE” en los Documentos Tipo </w:t>
      </w:r>
      <w:r w:rsidRPr="00697213">
        <w:rPr>
          <w:rFonts w:ascii="Verdana" w:eastAsia="Century Gothic" w:hAnsi="Verdana" w:cs="Century Gothic"/>
          <w:sz w:val="22"/>
          <w:szCs w:val="22"/>
        </w:rPr>
        <w:t>transversales de licitación de obra pública de infraestructura social – Versión 2</w:t>
      </w:r>
      <w:r w:rsidRPr="00697213">
        <w:rPr>
          <w:rStyle w:val="Refdenotaalpie"/>
          <w:rFonts w:ascii="Verdana" w:eastAsia="Century Gothic" w:hAnsi="Verdana" w:cs="Century Gothic"/>
          <w:sz w:val="22"/>
          <w:szCs w:val="22"/>
        </w:rPr>
        <w:footnoteReference w:id="5"/>
      </w:r>
      <w:r w:rsidRPr="00697213">
        <w:rPr>
          <w:rFonts w:ascii="Verdana" w:eastAsia="Century Gothic" w:hAnsi="Verdana" w:cs="Century Gothic"/>
          <w:sz w:val="22"/>
          <w:szCs w:val="22"/>
        </w:rPr>
        <w:t>, el literal E del numeral 3.11.2</w:t>
      </w:r>
      <w:r w:rsidRPr="00697213">
        <w:rPr>
          <w:rFonts w:ascii="Verdana" w:eastAsia="Calibri" w:hAnsi="Verdana" w:cs="Arial"/>
          <w:sz w:val="22"/>
          <w:szCs w:val="22"/>
          <w:lang w:eastAsia="en-GB"/>
        </w:rPr>
        <w:t xml:space="preserve"> “CÁLCULO DE </w:t>
      </w:r>
      <w:r w:rsidRPr="00697213">
        <w:rPr>
          <w:rFonts w:ascii="Verdana" w:eastAsia="Calibri" w:hAnsi="Verdana" w:cs="Arial"/>
          <w:sz w:val="22"/>
          <w:szCs w:val="22"/>
          <w:lang w:eastAsia="en-GB"/>
        </w:rPr>
        <w:lastRenderedPageBreak/>
        <w:t>LA CAPACIDAD RESIDUAL DEL PROPONENTE (CRP)” del “Documento Base” señala lo siguiente:</w:t>
      </w:r>
    </w:p>
    <w:p w14:paraId="60C015D7" w14:textId="77777777" w:rsidR="00EF3100" w:rsidRPr="00697213" w:rsidRDefault="00EF3100" w:rsidP="00EF3100">
      <w:pPr>
        <w:spacing w:line="276" w:lineRule="auto"/>
        <w:ind w:left="709" w:right="709"/>
        <w:jc w:val="both"/>
        <w:rPr>
          <w:rFonts w:ascii="Verdana" w:eastAsia="Century Gothic" w:hAnsi="Verdana" w:cs="Century Gothic"/>
          <w:sz w:val="22"/>
          <w:szCs w:val="22"/>
        </w:rPr>
      </w:pPr>
    </w:p>
    <w:p w14:paraId="4412CE25" w14:textId="77777777" w:rsidR="00EF3100" w:rsidRDefault="00EF3100" w:rsidP="00EF3100">
      <w:pPr>
        <w:ind w:left="709" w:right="709"/>
        <w:jc w:val="both"/>
        <w:rPr>
          <w:rFonts w:ascii="Verdana" w:eastAsia="Century Gothic" w:hAnsi="Verdana" w:cs="Century Gothic"/>
          <w:sz w:val="20"/>
          <w:szCs w:val="20"/>
        </w:rPr>
      </w:pPr>
      <w:r>
        <w:rPr>
          <w:rFonts w:ascii="Verdana" w:eastAsia="Century Gothic" w:hAnsi="Verdana" w:cs="Century Gothic"/>
          <w:sz w:val="20"/>
          <w:szCs w:val="20"/>
        </w:rPr>
        <w:t>“Para acreditar el factor (SCE) el proponente tendrá en cuenta lo siguiente:</w:t>
      </w:r>
    </w:p>
    <w:p w14:paraId="207B3C1B" w14:textId="77777777" w:rsidR="00EF3100" w:rsidRDefault="00EF3100" w:rsidP="00EF3100">
      <w:pPr>
        <w:ind w:left="709" w:right="709"/>
        <w:jc w:val="both"/>
        <w:rPr>
          <w:rFonts w:ascii="Verdana" w:eastAsia="Century Gothic" w:hAnsi="Verdana" w:cs="Century Gothic"/>
          <w:sz w:val="20"/>
          <w:szCs w:val="20"/>
        </w:rPr>
      </w:pPr>
    </w:p>
    <w:p w14:paraId="32BDA968" w14:textId="77777777" w:rsidR="00EF3100" w:rsidRDefault="00EF3100" w:rsidP="00EF3100">
      <w:pPr>
        <w:ind w:left="709" w:right="709"/>
        <w:jc w:val="both"/>
        <w:rPr>
          <w:rFonts w:ascii="Verdana" w:eastAsia="Century Gothic" w:hAnsi="Verdana" w:cs="Century Gothic"/>
          <w:sz w:val="20"/>
          <w:szCs w:val="20"/>
        </w:rPr>
      </w:pPr>
      <w:r w:rsidRPr="00636F30">
        <w:rPr>
          <w:rFonts w:ascii="Verdana" w:eastAsia="Century Gothic" w:hAnsi="Verdana" w:cs="Century Gothic"/>
          <w:sz w:val="20"/>
          <w:szCs w:val="20"/>
        </w:rPr>
        <w:t>II.</w:t>
      </w:r>
      <w:r>
        <w:rPr>
          <w:rFonts w:ascii="Verdana" w:eastAsia="Century Gothic" w:hAnsi="Verdana" w:cs="Century Gothic"/>
          <w:sz w:val="20"/>
          <w:szCs w:val="20"/>
        </w:rPr>
        <w:t xml:space="preserve"> </w:t>
      </w:r>
      <w:r w:rsidRPr="00636F30">
        <w:rPr>
          <w:rFonts w:ascii="Verdana" w:eastAsia="Century Gothic" w:hAnsi="Verdana" w:cs="Century Gothic"/>
          <w:sz w:val="20"/>
          <w:szCs w:val="20"/>
        </w:rPr>
        <w:t>Los Contratos de obras civiles en ejecución son aquellos que a la fecha de presentación de la oferta obligan al Proponente con Entidades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3118CD34" w14:textId="77777777" w:rsidR="00EF3100" w:rsidRPr="00636F30" w:rsidRDefault="00EF3100" w:rsidP="00EF3100">
      <w:pPr>
        <w:ind w:left="709" w:right="709"/>
        <w:jc w:val="both"/>
        <w:rPr>
          <w:rFonts w:ascii="Verdana" w:eastAsia="Century Gothic" w:hAnsi="Verdana" w:cs="Century Gothic"/>
          <w:sz w:val="20"/>
          <w:szCs w:val="20"/>
        </w:rPr>
      </w:pPr>
    </w:p>
    <w:p w14:paraId="1F85163D" w14:textId="77777777" w:rsidR="00EF3100" w:rsidRDefault="00EF3100" w:rsidP="00EF3100">
      <w:pPr>
        <w:ind w:left="709" w:right="709"/>
        <w:jc w:val="both"/>
        <w:rPr>
          <w:rFonts w:ascii="Verdana" w:eastAsia="Century Gothic" w:hAnsi="Verdana" w:cs="Century Gothic"/>
          <w:sz w:val="20"/>
          <w:szCs w:val="20"/>
        </w:rPr>
      </w:pPr>
      <w:r w:rsidRPr="00636F30">
        <w:rPr>
          <w:rFonts w:ascii="Verdana" w:eastAsia="Century Gothic" w:hAnsi="Verdana" w:cs="Century Gothic"/>
          <w:sz w:val="20"/>
          <w:szCs w:val="20"/>
        </w:rPr>
        <w:t>III.</w:t>
      </w:r>
      <w:r>
        <w:rPr>
          <w:rFonts w:ascii="Verdana" w:eastAsia="Century Gothic" w:hAnsi="Verdana" w:cs="Century Gothic"/>
          <w:sz w:val="20"/>
          <w:szCs w:val="20"/>
        </w:rPr>
        <w:t xml:space="preserve"> </w:t>
      </w:r>
      <w:r w:rsidRPr="00636F30">
        <w:rPr>
          <w:rFonts w:ascii="Verdana" w:eastAsia="Century Gothic" w:hAnsi="Verdana" w:cs="Century Gothic"/>
          <w:sz w:val="20"/>
          <w:szCs w:val="20"/>
        </w:rPr>
        <w:t xml:space="preserve">Se tendrán en cuenta los Contratos de obras civiles en ejecución suscritos por el Proponente o por sociedades, Consorcios o Uniones Temporales en los cuales el Proponente tenga participación. </w:t>
      </w:r>
    </w:p>
    <w:p w14:paraId="4FB2ED8A" w14:textId="77777777" w:rsidR="00EF3100" w:rsidRPr="00636F30" w:rsidRDefault="00EF3100" w:rsidP="00EF3100">
      <w:pPr>
        <w:ind w:left="709" w:right="709"/>
        <w:jc w:val="both"/>
        <w:rPr>
          <w:rFonts w:ascii="Verdana" w:eastAsia="Century Gothic" w:hAnsi="Verdana" w:cs="Century Gothic"/>
          <w:sz w:val="20"/>
          <w:szCs w:val="20"/>
        </w:rPr>
      </w:pPr>
    </w:p>
    <w:p w14:paraId="1E4F96A2" w14:textId="77777777" w:rsidR="00EF3100" w:rsidRDefault="00EF3100" w:rsidP="00EF3100">
      <w:pPr>
        <w:ind w:left="709" w:right="709"/>
        <w:jc w:val="both"/>
        <w:rPr>
          <w:rFonts w:ascii="Verdana" w:eastAsia="Century Gothic" w:hAnsi="Verdana" w:cs="Century Gothic"/>
          <w:sz w:val="20"/>
          <w:szCs w:val="20"/>
        </w:rPr>
      </w:pPr>
      <w:r w:rsidRPr="00636F30">
        <w:rPr>
          <w:rFonts w:ascii="Verdana" w:eastAsia="Century Gothic" w:hAnsi="Verdana" w:cs="Century Gothic"/>
          <w:sz w:val="20"/>
          <w:szCs w:val="20"/>
        </w:rPr>
        <w:t>IV.</w:t>
      </w:r>
      <w:r>
        <w:rPr>
          <w:rFonts w:ascii="Verdana" w:eastAsia="Century Gothic" w:hAnsi="Verdana" w:cs="Century Gothic"/>
          <w:sz w:val="20"/>
          <w:szCs w:val="20"/>
        </w:rPr>
        <w:t xml:space="preserve"> </w:t>
      </w:r>
      <w:r w:rsidRPr="00636F30">
        <w:rPr>
          <w:rFonts w:ascii="Verdana" w:eastAsia="Century Gothic" w:hAnsi="Verdana" w:cs="Century Gothic"/>
          <w:sz w:val="20"/>
          <w:szCs w:val="20"/>
        </w:rPr>
        <w:t>Si un Contrato se encuentra suspendido, el cálculo del (SCE) de dicho Contrato debe efectuarse asumiendo que lo que falta por ejecutar iniciara en la fecha de presentación de la oferta del Proceso de Contratación. Si el Contrato está suspendido el proponente debe informar el saldo pendiente por ejecutar.</w:t>
      </w:r>
    </w:p>
    <w:p w14:paraId="6E5293F9" w14:textId="77777777" w:rsidR="00EF3100" w:rsidRPr="00636F30" w:rsidRDefault="00EF3100" w:rsidP="00EF3100">
      <w:pPr>
        <w:ind w:left="709" w:right="709"/>
        <w:jc w:val="both"/>
        <w:rPr>
          <w:rFonts w:ascii="Verdana" w:eastAsia="Century Gothic" w:hAnsi="Verdana" w:cs="Century Gothic"/>
          <w:sz w:val="20"/>
          <w:szCs w:val="20"/>
        </w:rPr>
      </w:pPr>
    </w:p>
    <w:p w14:paraId="7103B077" w14:textId="77777777" w:rsidR="00EF3100" w:rsidRPr="00D81C3D" w:rsidRDefault="00EF3100" w:rsidP="00EF3100">
      <w:pPr>
        <w:ind w:left="709" w:right="709"/>
        <w:jc w:val="both"/>
        <w:rPr>
          <w:rFonts w:ascii="Verdana" w:eastAsia="Century Gothic" w:hAnsi="Verdana" w:cs="Century Gothic"/>
          <w:sz w:val="20"/>
          <w:szCs w:val="20"/>
        </w:rPr>
      </w:pPr>
      <w:r w:rsidRPr="00636F30">
        <w:rPr>
          <w:rFonts w:ascii="Verdana" w:eastAsia="Century Gothic" w:hAnsi="Verdana" w:cs="Century Gothic"/>
          <w:sz w:val="20"/>
          <w:szCs w:val="20"/>
        </w:rPr>
        <w:t>V.</w:t>
      </w:r>
      <w:r>
        <w:rPr>
          <w:rFonts w:ascii="Verdana" w:eastAsia="Century Gothic" w:hAnsi="Verdana" w:cs="Century Gothic"/>
          <w:sz w:val="20"/>
          <w:szCs w:val="20"/>
        </w:rPr>
        <w:t xml:space="preserve"> </w:t>
      </w:r>
      <w:r w:rsidRPr="00636F30">
        <w:rPr>
          <w:rFonts w:ascii="Verdana" w:eastAsia="Century Gothic" w:hAnsi="Verdana" w:cs="Century Gothic"/>
          <w:sz w:val="20"/>
          <w:szCs w:val="20"/>
        </w:rPr>
        <w:t>El cálculo del factor (SCE)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la respectiva estructura</w:t>
      </w:r>
      <w:r>
        <w:rPr>
          <w:rFonts w:ascii="Verdana" w:eastAsia="Century Gothic" w:hAnsi="Verdana" w:cs="Century Gothic"/>
          <w:sz w:val="20"/>
          <w:szCs w:val="20"/>
        </w:rPr>
        <w:t>”</w:t>
      </w:r>
      <w:r w:rsidRPr="00636F30">
        <w:rPr>
          <w:rFonts w:ascii="Verdana" w:eastAsia="Century Gothic" w:hAnsi="Verdana" w:cs="Century Gothic"/>
          <w:sz w:val="20"/>
          <w:szCs w:val="20"/>
        </w:rPr>
        <w:t>.</w:t>
      </w:r>
    </w:p>
    <w:p w14:paraId="3595AC8F" w14:textId="77777777" w:rsidR="00EF3100" w:rsidRPr="00697213" w:rsidRDefault="00EF3100" w:rsidP="00EF3100">
      <w:pPr>
        <w:spacing w:line="276" w:lineRule="auto"/>
        <w:ind w:firstLine="708"/>
        <w:jc w:val="both"/>
        <w:rPr>
          <w:rFonts w:ascii="Verdana" w:eastAsia="Century Gothic" w:hAnsi="Verdana" w:cs="Century Gothic"/>
          <w:sz w:val="22"/>
          <w:szCs w:val="22"/>
        </w:rPr>
      </w:pPr>
    </w:p>
    <w:p w14:paraId="4A09B002" w14:textId="77777777" w:rsidR="00EF3100" w:rsidRPr="00697213" w:rsidRDefault="00EF3100" w:rsidP="00EF3100">
      <w:pPr>
        <w:spacing w:after="120" w:line="276" w:lineRule="auto"/>
        <w:ind w:firstLine="709"/>
        <w:jc w:val="both"/>
        <w:rPr>
          <w:rFonts w:ascii="Verdana" w:eastAsia="Calibri" w:hAnsi="Verdana" w:cs="Arial"/>
          <w:sz w:val="22"/>
          <w:szCs w:val="22"/>
          <w:lang w:val="es-MX" w:eastAsia="en-GB"/>
        </w:rPr>
      </w:pPr>
      <w:r w:rsidRPr="00697213">
        <w:rPr>
          <w:rFonts w:ascii="Verdana" w:eastAsia="Century Gothic" w:hAnsi="Verdana" w:cs="Century Gothic"/>
          <w:sz w:val="22"/>
          <w:szCs w:val="22"/>
        </w:rPr>
        <w:t xml:space="preserve">Como se observa, los apartados citados del referido Documento Tipo están en armonía con lo dispuesto en la </w:t>
      </w:r>
      <w:r w:rsidRPr="00697213">
        <w:rPr>
          <w:rFonts w:ascii="Verdana" w:eastAsia="Arial," w:hAnsi="Verdana" w:cs="Arial"/>
          <w:sz w:val="22"/>
          <w:szCs w:val="22"/>
          <w:lang w:eastAsia="en-GB"/>
        </w:rPr>
        <w:t>“</w:t>
      </w:r>
      <w:r w:rsidRPr="00697213">
        <w:rPr>
          <w:rFonts w:ascii="Verdana" w:eastAsia="Calibri" w:hAnsi="Verdana" w:cs="Arial"/>
          <w:sz w:val="22"/>
          <w:szCs w:val="22"/>
          <w:lang w:eastAsia="en-GB"/>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697213">
        <w:rPr>
          <w:rFonts w:ascii="Verdana" w:eastAsia="Calibri" w:hAnsi="Verdana" w:cs="Arial"/>
          <w:color w:val="000000"/>
          <w:sz w:val="22"/>
          <w:szCs w:val="22"/>
          <w:lang w:val="es-MX" w:eastAsia="en-GB"/>
        </w:rPr>
        <w:t xml:space="preserve">el artículo 2.2.1.1.1.6.4 del Decreto 1082 de 2015, en virtud del cual, para efectos de </w:t>
      </w:r>
      <w:r w:rsidRPr="00697213">
        <w:rPr>
          <w:rFonts w:ascii="Verdana" w:eastAsia="Calibri" w:hAnsi="Verdana" w:cs="Arial"/>
          <w:sz w:val="22"/>
          <w:szCs w:val="22"/>
          <w:lang w:val="es-MX" w:eastAsia="en-GB"/>
        </w:rPr>
        <w:t xml:space="preserve">acreditar la Capacidad Residual del proponente, se requiere el listado de contratos de obra civiles en ejecución suscritos con Entidades Estatales y con entidades privadas. </w:t>
      </w:r>
    </w:p>
    <w:p w14:paraId="70B21032" w14:textId="77777777" w:rsidR="00EF3100" w:rsidRPr="00697213" w:rsidRDefault="00EF3100" w:rsidP="00EF3100">
      <w:pPr>
        <w:spacing w:after="120" w:line="276" w:lineRule="auto"/>
        <w:ind w:firstLine="709"/>
        <w:jc w:val="both"/>
        <w:rPr>
          <w:rFonts w:ascii="Verdana" w:eastAsia="Calibri" w:hAnsi="Verdana" w:cs="Arial"/>
          <w:sz w:val="22"/>
          <w:szCs w:val="22"/>
          <w:lang w:eastAsia="en-GB"/>
        </w:rPr>
      </w:pPr>
      <w:r w:rsidRPr="00697213">
        <w:rPr>
          <w:rFonts w:ascii="Verdana" w:eastAsia="Calibri" w:hAnsi="Verdana" w:cs="Arial"/>
          <w:sz w:val="22"/>
          <w:szCs w:val="22"/>
          <w:lang w:val="es-MX" w:eastAsia="en-GB"/>
        </w:rPr>
        <w:t xml:space="preserve">En consecuencia, para acreditar el factor de saldos de contratos en ejecución (SCE), es necesario que se presenten </w:t>
      </w:r>
      <w:r w:rsidRPr="00697213">
        <w:rPr>
          <w:rFonts w:ascii="Verdana" w:eastAsia="Calibri" w:hAnsi="Verdana" w:cs="Arial"/>
          <w:sz w:val="22"/>
          <w:szCs w:val="22"/>
          <w:lang w:eastAsia="en-GB"/>
        </w:rPr>
        <w:t xml:space="preserve">los contratos de obras civiles en </w:t>
      </w:r>
      <w:r w:rsidRPr="00697213">
        <w:rPr>
          <w:rFonts w:ascii="Verdana" w:eastAsia="Calibri" w:hAnsi="Verdana" w:cs="Arial"/>
          <w:sz w:val="22"/>
          <w:szCs w:val="22"/>
          <w:lang w:eastAsia="en-GB"/>
        </w:rPr>
        <w:lastRenderedPageBreak/>
        <w:t xml:space="preserve">ejecución, tanto a nivel nacional como internacional, independientemente de su denominación o tipología contractual. Esto implica que deben tenerse en cuenta todos aquellos contratos que tengan por objeto obras civiles y que se encuentren en ejecución, en los términos expuestos en este concepto y de conformidad con las normas y la Guía a las que se hizo referencia. </w:t>
      </w:r>
    </w:p>
    <w:p w14:paraId="7A243556" w14:textId="77777777" w:rsidR="00EF3100" w:rsidRPr="00697213" w:rsidRDefault="00EF3100" w:rsidP="00EF3100">
      <w:pPr>
        <w:spacing w:line="276" w:lineRule="auto"/>
        <w:ind w:firstLine="709"/>
        <w:jc w:val="both"/>
        <w:rPr>
          <w:rFonts w:ascii="Verdana" w:eastAsia="Calibri" w:hAnsi="Verdana" w:cs="Arial"/>
          <w:sz w:val="22"/>
          <w:szCs w:val="22"/>
          <w:lang w:eastAsia="en-GB"/>
        </w:rPr>
      </w:pPr>
      <w:r w:rsidRPr="00697213">
        <w:rPr>
          <w:rFonts w:ascii="Verdana" w:eastAsia="Calibri" w:hAnsi="Verdana" w:cs="Arial"/>
          <w:sz w:val="22"/>
          <w:szCs w:val="22"/>
          <w:lang w:eastAsia="en-GB"/>
        </w:rPr>
        <w:t>Ahora bien y teniendo en cuenta el objeto bajo consulta, es importante precisar que en los Documentos Tipo transversales de licitación de infraestructura social – Versión, se indica en el “FORMATO 5 – CAPACIDAD RESIDUAL” que“[l]a Entidad Estatal deberá estructurar los Formatos para verificación de la capacidad residual utilizando los Formatos y metodología señalada en la “Guía para Determinar y Verificar la Capacidad Residual del Proponente en los Procesos de Contratación de Obra Pública” de la Agencia Nacional de Contratación Pública – Colombia Compra Eficiente”. De esta forma, la referida Guía respecto al componente de SCE, precisa lo siguiente:</w:t>
      </w:r>
    </w:p>
    <w:p w14:paraId="5A1F2917" w14:textId="77777777" w:rsidR="00EF3100" w:rsidRPr="00697213" w:rsidRDefault="00EF3100" w:rsidP="00EF3100">
      <w:pPr>
        <w:spacing w:line="276" w:lineRule="auto"/>
        <w:jc w:val="both"/>
        <w:rPr>
          <w:rFonts w:ascii="Verdana" w:eastAsia="Aptos" w:hAnsi="Verdana"/>
          <w:kern w:val="2"/>
          <w:sz w:val="22"/>
          <w:szCs w:val="22"/>
          <w:lang w:val="es-ES_tradnl"/>
          <w14:ligatures w14:val="standardContextual"/>
        </w:rPr>
      </w:pPr>
    </w:p>
    <w:p w14:paraId="78783324"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“i) El proponente debe demostrar que su operación o actividad comercial le permite asumir nuevas obligaciones derivadas del contrato objeto del Proceso de Contratación. Por lo cual, el proponente en un Proceso de Contratación de una obra pública debe presentar la siguiente información para acreditar su Capacidad Residual:</w:t>
      </w:r>
    </w:p>
    <w:p w14:paraId="364ED979"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09F9D84B"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 xml:space="preserve">1. La lista de los Contratos en Ejecución, así como el valor y plazo de tales contratos.  </w:t>
      </w:r>
    </w:p>
    <w:p w14:paraId="50EB66D9"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71D5761C"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2. La lista de los Contratos en Ejecución, suscritos por sociedades, consorcios o uniones temporales, en los cuales el proponente tenga participación, así como el valor y plazo de tales contratos.  Nota: En caso de que los Contratos en Ejecución se encuentren suspendidos, esta circunstancia también deberá ser indicada de igual forma.</w:t>
      </w:r>
    </w:p>
    <w:p w14:paraId="252103DD"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7E9DFA24"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ii) ¿Cómo calcular el Saldo de Contratos en Ejecución?</w:t>
      </w:r>
    </w:p>
    <w:p w14:paraId="0D923483"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3CF53BC3"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 xml:space="preserve">El proponente debe presentar un certificado suscrito por su representante legal y su revisor fiscal, si el proponente está obligado a tenerlo, o por el Contador Público o auditor independiente, para lo cual se sugiere el formato establecido en el Anexo 3 de la presente Guía.  El certificado deberá contener la lista de los Contratos en Ejecución, tanto a nivel nacional como internacional, indicando: </w:t>
      </w:r>
    </w:p>
    <w:p w14:paraId="27028E32"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2815CC4A"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 xml:space="preserve"> • El valor del contrato en pesos colombianos.  • El plazo de ejecución del contrato en meses.  • La fecha de inicio de las obras objeto del contrato: día, mes, año.  • Si la obra la ejecuta un consorcio o unión temporal, el </w:t>
      </w:r>
      <w:r w:rsidRPr="005749AF">
        <w:rPr>
          <w:rFonts w:ascii="Verdana" w:eastAsia="Aptos" w:hAnsi="Verdana"/>
          <w:kern w:val="2"/>
          <w:sz w:val="20"/>
          <w:szCs w:val="20"/>
          <w:lang w:val="es-ES_tradnl"/>
          <w14:ligatures w14:val="standardContextual"/>
        </w:rPr>
        <w:lastRenderedPageBreak/>
        <w:t>porcentaje de participación del oferente que presenta el certificado.  • Si el contrato se encuentra suspendido, y si es así, la fecha de suspensión. En todo caso, si el contrato está suspendido el proponente debe informar el saldo pendiente por ejecutar.</w:t>
      </w:r>
    </w:p>
    <w:p w14:paraId="674AE83B"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3FBC05DC"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 xml:space="preserve">Si un contrato se encuentra suspendido, el cálculo del (SCE) de dicho contrato debe efectuarse asumiendo que lo que falta por ejecutar iniciará en la fecha de presentación de la oferta del Proceso de Contratación. Si el contrato está suspendido, el proponente debe informar el saldo pendiente por ejecutar.  </w:t>
      </w:r>
    </w:p>
    <w:p w14:paraId="2B39AE60"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5EE37077"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 xml:space="preserve">En el caso en el cual el contrato haya sido suspendido más de una vez, se deberá relacionar la última fecha de suspensión que se encuentre vigente al momento de presentación de la oferta.  </w:t>
      </w:r>
    </w:p>
    <w:p w14:paraId="565E6C08"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7F6350D5"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 xml:space="preserve">Si el proponente no tiene Contratos en Ejecución, en el certificado debe constar expresamente esa circunstancia. En todo caso, debe tener en cuenta que no se entenderá como Contratos en Ejecución los que se encuentren en etapa de liquidación o ya fueron liquidados. </w:t>
      </w:r>
    </w:p>
    <w:p w14:paraId="20210B18"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2EB35A2E"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 xml:space="preserve">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  </w:t>
      </w:r>
    </w:p>
    <w:p w14:paraId="319774F9"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p>
    <w:p w14:paraId="1A6F3B44" w14:textId="77777777" w:rsidR="00EF3100" w:rsidRPr="005749AF" w:rsidRDefault="00EF3100" w:rsidP="00EF3100">
      <w:pPr>
        <w:ind w:left="709" w:right="709"/>
        <w:contextualSpacing/>
        <w:jc w:val="both"/>
        <w:rPr>
          <w:rFonts w:ascii="Verdana" w:eastAsia="Aptos" w:hAnsi="Verdana"/>
          <w:kern w:val="2"/>
          <w:sz w:val="20"/>
          <w:szCs w:val="20"/>
          <w:lang w:val="es-ES_tradnl"/>
          <w14:ligatures w14:val="standardContextual"/>
        </w:rPr>
      </w:pPr>
      <w:r w:rsidRPr="005749AF">
        <w:rPr>
          <w:rFonts w:ascii="Verdana" w:eastAsia="Aptos" w:hAnsi="Verdana"/>
          <w:kern w:val="2"/>
          <w:sz w:val="20"/>
          <w:szCs w:val="20"/>
          <w:lang w:val="es-ES_tradnl"/>
          <w14:ligatures w14:val="standardContextual"/>
        </w:rPr>
        <w:t>El Decreto 1082 de 2015 se refiere a los contratos para ejecutar obras civiles, bien sean suscritos con Entidades Estatales o con entidades privadas, incluyendo los contratos de concesión y contratos de obra suscritos con concesionarios. Lo anterior puesto que la capacidad del contratista para acometer nuevas obras es afectada tanto por los contratos públicos como los privados. Igualmente se refiere a los contratos suscritos por el proponente como aquellos suscritos por consorcios o uniones temporales en las cuales participe el oferente</w:t>
      </w:r>
      <w:r>
        <w:rPr>
          <w:rFonts w:ascii="Verdana" w:eastAsia="Aptos" w:hAnsi="Verdana"/>
          <w:kern w:val="2"/>
          <w:sz w:val="20"/>
          <w:szCs w:val="20"/>
          <w:lang w:val="es-ES_tradnl"/>
          <w14:ligatures w14:val="standardContextual"/>
        </w:rPr>
        <w:t>”</w:t>
      </w:r>
      <w:r w:rsidRPr="005749AF">
        <w:rPr>
          <w:rFonts w:ascii="Verdana" w:eastAsia="Aptos" w:hAnsi="Verdana"/>
          <w:kern w:val="2"/>
          <w:sz w:val="20"/>
          <w:szCs w:val="20"/>
          <w:lang w:val="es-ES_tradnl"/>
          <w14:ligatures w14:val="standardContextual"/>
        </w:rPr>
        <w:t>.</w:t>
      </w:r>
    </w:p>
    <w:p w14:paraId="38416C21" w14:textId="77777777" w:rsidR="00EF3100" w:rsidRPr="00DF11DE" w:rsidRDefault="00EF3100" w:rsidP="00EF3100">
      <w:pPr>
        <w:spacing w:line="276" w:lineRule="auto"/>
        <w:jc w:val="both"/>
        <w:rPr>
          <w:rFonts w:ascii="Verdana" w:eastAsia="Aptos" w:hAnsi="Verdana"/>
          <w:kern w:val="2"/>
          <w:lang w:val="es-ES_tradnl"/>
          <w14:ligatures w14:val="standardContextual"/>
        </w:rPr>
      </w:pPr>
    </w:p>
    <w:p w14:paraId="40DE1251" w14:textId="77777777" w:rsidR="00EF3100" w:rsidRPr="00697213" w:rsidRDefault="00EF3100" w:rsidP="00EF3100">
      <w:pPr>
        <w:spacing w:after="120" w:line="276" w:lineRule="auto"/>
        <w:ind w:firstLine="709"/>
        <w:jc w:val="both"/>
        <w:rPr>
          <w:rFonts w:ascii="Verdana" w:eastAsia="Aptos" w:hAnsi="Verdana"/>
          <w:sz w:val="22"/>
          <w:szCs w:val="22"/>
          <w:lang w:val="es-ES_tradnl"/>
        </w:rPr>
      </w:pPr>
      <w:r w:rsidRPr="005A59D4">
        <w:rPr>
          <w:rFonts w:ascii="Verdana" w:eastAsia="Aptos" w:hAnsi="Verdana"/>
          <w:sz w:val="22"/>
          <w:szCs w:val="22"/>
          <w:lang w:val="es-ES_tradnl"/>
        </w:rPr>
        <w:t>Conforme a lo expuesto, l</w:t>
      </w:r>
      <w:r w:rsidRPr="00697213">
        <w:rPr>
          <w:rFonts w:ascii="Verdana" w:hAnsi="Verdana" w:cs="Segoe UI"/>
          <w:sz w:val="22"/>
          <w:szCs w:val="22"/>
        </w:rPr>
        <w:t>a Guía señala expresamente que, cuando la obra es ejecutada por un consorcio o unión temporal, debe indicarse el porcentaje de participación del oferente que presenta el certificado. Esta exigencia obedece a que en estas formas asociativas la ejecución contractual y la capacidad residual deben ponderarse de acuerdo con la participación real del integrante dentro del negocio jurídico.</w:t>
      </w:r>
      <w:r w:rsidRPr="005A59D4">
        <w:rPr>
          <w:rFonts w:ascii="Verdana" w:eastAsia="Aptos" w:hAnsi="Verdana"/>
          <w:sz w:val="22"/>
          <w:szCs w:val="22"/>
          <w:lang w:val="es-ES_tradnl"/>
        </w:rPr>
        <w:t xml:space="preserve"> </w:t>
      </w:r>
      <w:r w:rsidRPr="005A59D4">
        <w:rPr>
          <w:rFonts w:ascii="Verdana" w:hAnsi="Verdana" w:cs="Segoe UI"/>
          <w:sz w:val="22"/>
          <w:szCs w:val="22"/>
        </w:rPr>
        <w:t>No obstante</w:t>
      </w:r>
      <w:r w:rsidRPr="00697213">
        <w:rPr>
          <w:rFonts w:ascii="Verdana" w:hAnsi="Verdana" w:cs="Segoe UI"/>
          <w:sz w:val="22"/>
          <w:szCs w:val="22"/>
        </w:rPr>
        <w:t>, la misma Guía no contempla una obligación similar respecto de los accionistas de una sociedad comercial. Por el contrario, parte del supuesto de que el proponente es la persona jurídica que suscribe y ejecuta el contrato, sin distinguir la composición de su capital social.</w:t>
      </w:r>
    </w:p>
    <w:p w14:paraId="22718F95" w14:textId="77777777" w:rsidR="00EF3100" w:rsidRPr="00697213" w:rsidRDefault="00EF3100" w:rsidP="00EF3100">
      <w:pPr>
        <w:spacing w:after="120" w:line="276" w:lineRule="auto"/>
        <w:ind w:firstLine="709"/>
        <w:jc w:val="both"/>
        <w:rPr>
          <w:rFonts w:ascii="Verdana" w:hAnsi="Verdana" w:cs="Segoe UI"/>
          <w:sz w:val="22"/>
          <w:szCs w:val="22"/>
        </w:rPr>
      </w:pPr>
      <w:r w:rsidRPr="00697213">
        <w:rPr>
          <w:rFonts w:ascii="Verdana" w:hAnsi="Verdana" w:cs="Segoe UI"/>
          <w:sz w:val="22"/>
          <w:szCs w:val="22"/>
        </w:rPr>
        <w:lastRenderedPageBreak/>
        <w:t>Desde la perspectiva del derecho societario, la sociedad legalmente constituida posee personalidad jurídica propia y constituye un sujeto de derechos y obligaciones distinto de los socios o accionistas individualmente considerados. En consecuencia, los contratos celebrados por la sociedad generan obligaciones para ésta y no para sus accionistas, salvo situaciones excepcionales previstas en la ley. Por ello, los contratos en ejecución que deben reportarse para la determinación de la capacidad residual son los que obligan a la sociedad oferente o aquellos en que ésta participe mediante figuras como consorcios o uniones temporales.</w:t>
      </w:r>
    </w:p>
    <w:p w14:paraId="799E1F04" w14:textId="77777777" w:rsidR="00EF3100" w:rsidRPr="00697213" w:rsidRDefault="00EF3100" w:rsidP="00EF3100">
      <w:pPr>
        <w:spacing w:after="120" w:line="276" w:lineRule="auto"/>
        <w:ind w:firstLine="709"/>
        <w:jc w:val="both"/>
        <w:rPr>
          <w:rFonts w:ascii="Verdana" w:hAnsi="Verdana" w:cs="Segoe UI"/>
          <w:sz w:val="22"/>
          <w:szCs w:val="22"/>
        </w:rPr>
      </w:pPr>
      <w:r w:rsidRPr="00697213">
        <w:rPr>
          <w:rFonts w:ascii="Verdana" w:hAnsi="Verdana" w:cs="Segoe UI"/>
          <w:sz w:val="22"/>
          <w:szCs w:val="22"/>
        </w:rPr>
        <w:t>La finalidad del Formato 5C tampoco justifica exigir la información accionaria. Lo que busca el componente de Saldos de Contratos en Ejecución es identificar las obligaciones contractuales vigentes que afectan la capacidad del proponente para asumir un nuevo contrato. El porcentaje de acciones que posean los socios dentro de la compañía no modifica el volumen de obligaciones contractuales asumidas por la sociedad ni incide directamente en la medición de su capacidad residual.</w:t>
      </w:r>
    </w:p>
    <w:p w14:paraId="4218DF21" w14:textId="77777777" w:rsidR="00EF3100" w:rsidRPr="00697213" w:rsidRDefault="00EF3100" w:rsidP="00EF3100">
      <w:pPr>
        <w:spacing w:after="120" w:line="276" w:lineRule="auto"/>
        <w:ind w:firstLine="709"/>
        <w:jc w:val="both"/>
        <w:rPr>
          <w:rFonts w:ascii="Verdana" w:hAnsi="Verdana" w:cs="Segoe UI"/>
          <w:sz w:val="22"/>
          <w:szCs w:val="22"/>
        </w:rPr>
      </w:pPr>
      <w:r w:rsidRPr="00697213">
        <w:rPr>
          <w:rFonts w:ascii="Verdana" w:hAnsi="Verdana" w:cs="Segoe UI"/>
          <w:sz w:val="22"/>
          <w:szCs w:val="22"/>
        </w:rPr>
        <w:t>Adicionalmente, la interpretación sistemática de la Guía permite concluir que cuando el regulador consideró relevante un porcentaje de participación para el cálculo de la capacidad residual, lo señaló de manera expresa y únicamente respecto de los consorcios y uniones temporales. La ausencia de una previsión equivalente para los accionistas de sociedades constituye un indicio inequívoco de que dicha información no forma parte de los elementos requeridos para la verificación de la capacidad residual.</w:t>
      </w:r>
    </w:p>
    <w:p w14:paraId="4F34C66F" w14:textId="77777777" w:rsidR="00EF3100" w:rsidRPr="00697213" w:rsidRDefault="00EF3100" w:rsidP="00EF3100">
      <w:pPr>
        <w:spacing w:after="120" w:line="276" w:lineRule="auto"/>
        <w:ind w:firstLine="709"/>
        <w:jc w:val="both"/>
        <w:rPr>
          <w:rFonts w:ascii="Verdana" w:hAnsi="Verdana" w:cs="Segoe UI"/>
          <w:sz w:val="22"/>
          <w:szCs w:val="22"/>
        </w:rPr>
      </w:pPr>
      <w:r w:rsidRPr="00697213">
        <w:rPr>
          <w:rFonts w:ascii="Verdana" w:hAnsi="Verdana" w:cs="Segoe UI"/>
          <w:sz w:val="22"/>
          <w:szCs w:val="22"/>
        </w:rPr>
        <w:t>En consecuencia, los accionistas de una persona jurídica no están obligados a relacionar en el Formato 5C "Saldos de Contratos en Ejecución" el porcentaje de participación de sus acciones. Para efectos de la verificación de la capacidad residual, debe reportarse exclusivamente la información asociada a los contratos que obligan al proponente, es decir, a la sociedad oferente y, cuando corresponda, los contratos celebrados mediante consorcios o uniones temporales indicando el porcentaje de participación de la sociedad en dichas formas asociativas.</w:t>
      </w:r>
    </w:p>
    <w:p w14:paraId="36AD7B2C" w14:textId="77777777" w:rsidR="00EF3100" w:rsidRPr="00697213" w:rsidRDefault="00EF3100" w:rsidP="00EF3100">
      <w:pPr>
        <w:spacing w:after="120" w:line="276" w:lineRule="auto"/>
        <w:ind w:firstLine="709"/>
        <w:jc w:val="both"/>
        <w:rPr>
          <w:rFonts w:ascii="Verdana" w:hAnsi="Verdana" w:cs="Segoe UI"/>
          <w:sz w:val="22"/>
          <w:szCs w:val="22"/>
        </w:rPr>
      </w:pPr>
      <w:r w:rsidRPr="00697213">
        <w:rPr>
          <w:rFonts w:ascii="Verdana" w:hAnsi="Verdana" w:cs="Segoe UI"/>
          <w:sz w:val="22"/>
          <w:szCs w:val="22"/>
        </w:rPr>
        <w:t xml:space="preserve">Por tanto, la participación accionaria de los socios no constituye un dato exigible ni relevante para la determinación de la capacidad residual del proponente, puesto que la sociedad es una persona jurídica distinta e </w:t>
      </w:r>
      <w:r w:rsidRPr="00697213">
        <w:rPr>
          <w:rFonts w:ascii="Verdana" w:hAnsi="Verdana" w:cs="Segoe UI"/>
          <w:sz w:val="22"/>
          <w:szCs w:val="22"/>
        </w:rPr>
        <w:lastRenderedPageBreak/>
        <w:t>independiente de sus accionistas y es ella quien ostenta la calidad de contratista frente a los contratos que se encuentran en ejecución.</w:t>
      </w:r>
    </w:p>
    <w:p w14:paraId="385B2193" w14:textId="77777777" w:rsidR="00EF3100" w:rsidRPr="00697213" w:rsidRDefault="00EF3100" w:rsidP="00EF3100">
      <w:pPr>
        <w:spacing w:before="120" w:line="276" w:lineRule="auto"/>
        <w:ind w:firstLine="709"/>
        <w:jc w:val="both"/>
        <w:rPr>
          <w:rFonts w:ascii="Verdana" w:eastAsia="Calibri" w:hAnsi="Verdana" w:cs="Arial"/>
          <w:sz w:val="22"/>
          <w:szCs w:val="22"/>
        </w:rPr>
      </w:pPr>
      <w:r w:rsidRPr="00697213">
        <w:rPr>
          <w:rFonts w:ascii="Verdana" w:eastAsia="Calibri" w:hAnsi="Verdana" w:cs="Arial"/>
          <w:sz w:val="22"/>
          <w:szCs w:val="22"/>
        </w:rPr>
        <w:t>Finalmente se precisa, que el análisis sobre situaciones derivadas de la gestión contractual de las Entidades Estatales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B23CF09" w14:textId="77777777" w:rsidR="00EF3100" w:rsidRPr="00697213" w:rsidRDefault="00EF3100" w:rsidP="00EF3100">
      <w:pPr>
        <w:widowControl w:val="0"/>
        <w:autoSpaceDE w:val="0"/>
        <w:autoSpaceDN w:val="0"/>
        <w:spacing w:before="120" w:line="276" w:lineRule="auto"/>
        <w:ind w:firstLine="709"/>
        <w:jc w:val="both"/>
        <w:rPr>
          <w:rFonts w:ascii="Verdana" w:eastAsia="Calibri" w:hAnsi="Verdana" w:cs="Arial"/>
          <w:sz w:val="22"/>
          <w:szCs w:val="22"/>
        </w:rPr>
      </w:pPr>
      <w:r w:rsidRPr="00697213">
        <w:rPr>
          <w:rFonts w:ascii="Verdana" w:eastAsia="Calibri" w:hAnsi="Verdana" w:cs="Arial"/>
          <w:sz w:val="22"/>
          <w:szCs w:val="22"/>
        </w:rPr>
        <w:t>Dentro de este marco, el consultante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7CA3C73" w14:textId="77777777" w:rsidR="00EF3100" w:rsidRPr="00697213" w:rsidRDefault="00EF3100" w:rsidP="00EF3100">
      <w:pPr>
        <w:spacing w:line="276" w:lineRule="auto"/>
        <w:jc w:val="both"/>
        <w:rPr>
          <w:rFonts w:ascii="Verdana" w:eastAsia="Calibri" w:hAnsi="Verdana" w:cs="Arial"/>
          <w:sz w:val="22"/>
          <w:szCs w:val="22"/>
          <w:lang w:val="es-ES" w:eastAsia="es-CO"/>
        </w:rPr>
      </w:pPr>
    </w:p>
    <w:p w14:paraId="347DD9C0" w14:textId="77777777" w:rsidR="00EF3100" w:rsidRPr="00697213" w:rsidRDefault="00EF3100" w:rsidP="00EF3100">
      <w:pPr>
        <w:widowControl w:val="0"/>
        <w:autoSpaceDE w:val="0"/>
        <w:autoSpaceDN w:val="0"/>
        <w:spacing w:line="276" w:lineRule="auto"/>
        <w:outlineLvl w:val="0"/>
        <w:rPr>
          <w:rFonts w:ascii="Verdana" w:eastAsia="Arial" w:hAnsi="Verdana" w:cs="Arial"/>
          <w:b/>
          <w:bCs/>
          <w:sz w:val="22"/>
          <w:szCs w:val="22"/>
          <w:lang w:val="es-ES"/>
        </w:rPr>
      </w:pPr>
      <w:r w:rsidRPr="00697213">
        <w:rPr>
          <w:rFonts w:ascii="Verdana" w:eastAsia="Arial" w:hAnsi="Verdana" w:cs="Arial"/>
          <w:b/>
          <w:bCs/>
          <w:sz w:val="22"/>
          <w:szCs w:val="22"/>
          <w:lang w:val="es-ES"/>
        </w:rPr>
        <w:t>4.Referencias normativas, jurisprudenciales y otras fuentes:</w:t>
      </w:r>
    </w:p>
    <w:p w14:paraId="5B1769A6" w14:textId="77777777" w:rsidR="00EF3100" w:rsidRPr="00697213" w:rsidRDefault="00EF3100" w:rsidP="00EF3100">
      <w:pPr>
        <w:widowControl w:val="0"/>
        <w:autoSpaceDE w:val="0"/>
        <w:autoSpaceDN w:val="0"/>
        <w:spacing w:line="276" w:lineRule="auto"/>
        <w:jc w:val="both"/>
        <w:rPr>
          <w:rFonts w:ascii="Verdana" w:eastAsia="Aptos" w:hAnsi="Verdana" w:cs="Arial"/>
          <w:sz w:val="22"/>
          <w:szCs w:val="22"/>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F3100" w:rsidRPr="001D09A6" w14:paraId="352E4CFF" w14:textId="77777777" w:rsidTr="00342599">
        <w:trPr>
          <w:trHeight w:val="870"/>
        </w:trPr>
        <w:tc>
          <w:tcPr>
            <w:tcW w:w="8647" w:type="dxa"/>
          </w:tcPr>
          <w:p w14:paraId="2C3CE969" w14:textId="77777777" w:rsidR="00EF3100" w:rsidRPr="00697213" w:rsidRDefault="00EF3100" w:rsidP="00EF3100">
            <w:pPr>
              <w:widowControl w:val="0"/>
              <w:numPr>
                <w:ilvl w:val="0"/>
                <w:numId w:val="1"/>
              </w:numPr>
              <w:autoSpaceDE w:val="0"/>
              <w:autoSpaceDN w:val="0"/>
              <w:spacing w:line="276" w:lineRule="auto"/>
              <w:jc w:val="both"/>
              <w:rPr>
                <w:rFonts w:ascii="Verdana" w:eastAsia="Calibri" w:hAnsi="Verdana" w:cs="Arial"/>
                <w:lang w:val="es-ES_tradnl"/>
              </w:rPr>
            </w:pPr>
            <w:r w:rsidRPr="00697213">
              <w:rPr>
                <w:rFonts w:ascii="Verdana" w:eastAsia="Calibri" w:hAnsi="Verdana" w:cs="Arial"/>
                <w:lang w:val="es-ES_tradnl"/>
              </w:rPr>
              <w:t>Ley 1150 de 2007, artículo 6.</w:t>
            </w:r>
          </w:p>
          <w:p w14:paraId="37D32E65" w14:textId="77777777" w:rsidR="00EF3100" w:rsidRPr="00697213" w:rsidRDefault="00EF3100" w:rsidP="00EF3100">
            <w:pPr>
              <w:widowControl w:val="0"/>
              <w:numPr>
                <w:ilvl w:val="0"/>
                <w:numId w:val="1"/>
              </w:numPr>
              <w:autoSpaceDE w:val="0"/>
              <w:autoSpaceDN w:val="0"/>
              <w:spacing w:line="276" w:lineRule="auto"/>
              <w:jc w:val="both"/>
              <w:rPr>
                <w:rFonts w:ascii="Verdana" w:eastAsia="Calibri" w:hAnsi="Verdana" w:cs="Arial"/>
                <w:lang w:val="es-ES_tradnl"/>
              </w:rPr>
            </w:pPr>
            <w:r w:rsidRPr="00697213">
              <w:rPr>
                <w:rFonts w:ascii="Verdana" w:eastAsia="Calibri" w:hAnsi="Verdana" w:cs="Arial"/>
                <w:lang w:val="es-ES_tradnl"/>
              </w:rPr>
              <w:t xml:space="preserve">Ley 1882 de 2015, artículo 5. </w:t>
            </w:r>
          </w:p>
          <w:p w14:paraId="3BA7BCF2" w14:textId="77777777" w:rsidR="00EF3100" w:rsidRPr="00697213" w:rsidRDefault="00EF3100" w:rsidP="00EF3100">
            <w:pPr>
              <w:widowControl w:val="0"/>
              <w:numPr>
                <w:ilvl w:val="0"/>
                <w:numId w:val="1"/>
              </w:numPr>
              <w:autoSpaceDE w:val="0"/>
              <w:autoSpaceDN w:val="0"/>
              <w:spacing w:line="276" w:lineRule="auto"/>
              <w:jc w:val="both"/>
              <w:rPr>
                <w:rFonts w:ascii="Verdana" w:eastAsia="Calibri" w:hAnsi="Verdana" w:cs="Arial"/>
                <w:lang w:val="es-ES_tradnl"/>
              </w:rPr>
            </w:pPr>
            <w:r w:rsidRPr="00697213">
              <w:rPr>
                <w:rFonts w:ascii="Verdana" w:eastAsia="Calibri" w:hAnsi="Verdana" w:cs="Arial"/>
                <w:lang w:val="es-ES_tradnl"/>
              </w:rPr>
              <w:t>Ley 1682 de 2013, artículo 72.</w:t>
            </w:r>
          </w:p>
          <w:p w14:paraId="2D086B1A" w14:textId="77777777" w:rsidR="00EF3100" w:rsidRPr="00697213" w:rsidRDefault="00EF3100" w:rsidP="00EF3100">
            <w:pPr>
              <w:widowControl w:val="0"/>
              <w:numPr>
                <w:ilvl w:val="0"/>
                <w:numId w:val="1"/>
              </w:numPr>
              <w:autoSpaceDE w:val="0"/>
              <w:autoSpaceDN w:val="0"/>
              <w:snapToGrid w:val="0"/>
              <w:spacing w:line="276" w:lineRule="auto"/>
              <w:ind w:left="714" w:hanging="357"/>
              <w:jc w:val="both"/>
              <w:rPr>
                <w:rFonts w:ascii="Verdana" w:eastAsia="Calibri" w:hAnsi="Verdana" w:cs="Arial"/>
                <w:lang w:val="es-ES_tradnl"/>
              </w:rPr>
            </w:pPr>
            <w:r w:rsidRPr="00697213">
              <w:rPr>
                <w:rFonts w:ascii="Verdana" w:eastAsia="Calibri" w:hAnsi="Verdana" w:cs="Arial"/>
                <w:lang w:val="es-ES_tradnl"/>
              </w:rPr>
              <w:t xml:space="preserve">Ley 2022 de 2020, artículo 1. </w:t>
            </w:r>
          </w:p>
          <w:p w14:paraId="3701A075" w14:textId="77777777" w:rsidR="00EF3100" w:rsidRPr="00697213" w:rsidRDefault="00EF3100" w:rsidP="00EF3100">
            <w:pPr>
              <w:widowControl w:val="0"/>
              <w:numPr>
                <w:ilvl w:val="0"/>
                <w:numId w:val="1"/>
              </w:numPr>
              <w:autoSpaceDE w:val="0"/>
              <w:autoSpaceDN w:val="0"/>
              <w:spacing w:line="276" w:lineRule="auto"/>
              <w:jc w:val="both"/>
              <w:rPr>
                <w:rFonts w:ascii="Verdana" w:eastAsia="Calibri" w:hAnsi="Verdana" w:cs="Arial"/>
                <w:lang w:val="es-ES_tradnl"/>
              </w:rPr>
            </w:pPr>
            <w:r w:rsidRPr="00697213">
              <w:rPr>
                <w:rFonts w:ascii="Verdana" w:eastAsia="Calibri" w:hAnsi="Verdana" w:cs="Arial"/>
                <w:lang w:val="es-ES_tradnl"/>
              </w:rPr>
              <w:t>Decreto 1082 de 2015, artículos 2.2.1.1.1.3.1 y 2.2.1.1.1.6.4.</w:t>
            </w:r>
          </w:p>
          <w:p w14:paraId="54758471" w14:textId="77777777" w:rsidR="00EF3100" w:rsidRPr="00697213" w:rsidRDefault="00EF3100" w:rsidP="00EF3100">
            <w:pPr>
              <w:widowControl w:val="0"/>
              <w:numPr>
                <w:ilvl w:val="0"/>
                <w:numId w:val="1"/>
              </w:numPr>
              <w:autoSpaceDE w:val="0"/>
              <w:autoSpaceDN w:val="0"/>
              <w:spacing w:line="276" w:lineRule="auto"/>
              <w:jc w:val="both"/>
              <w:rPr>
                <w:rFonts w:ascii="Verdana" w:eastAsia="Calibri" w:hAnsi="Verdana" w:cs="Arial"/>
                <w:lang w:val="es-ES_tradnl"/>
              </w:rPr>
            </w:pPr>
            <w:r w:rsidRPr="00697213">
              <w:rPr>
                <w:rFonts w:ascii="Verdana" w:eastAsia="Calibri" w:hAnsi="Verdana" w:cs="Arial"/>
                <w:lang w:val="es-ES_tradnl"/>
              </w:rPr>
              <w:t>Consejo de Estado. Sección Tercera. Sentencia del 26 de junio de 2003. Rad. 13.354. C.P. María Elena Giraldo Gómez.</w:t>
            </w:r>
          </w:p>
          <w:p w14:paraId="3B66B805" w14:textId="4EDB1DA1" w:rsidR="00EF3100" w:rsidRPr="00697213" w:rsidRDefault="00EF3100" w:rsidP="00EF3100">
            <w:pPr>
              <w:widowControl w:val="0"/>
              <w:numPr>
                <w:ilvl w:val="0"/>
                <w:numId w:val="1"/>
              </w:numPr>
              <w:autoSpaceDE w:val="0"/>
              <w:autoSpaceDN w:val="0"/>
              <w:snapToGrid w:val="0"/>
              <w:spacing w:line="276" w:lineRule="auto"/>
              <w:ind w:left="714" w:hanging="357"/>
              <w:jc w:val="both"/>
              <w:rPr>
                <w:rFonts w:ascii="Verdana" w:eastAsia="Calibri" w:hAnsi="Verdana" w:cs="Arial"/>
                <w:lang w:val="es-ES_tradnl"/>
              </w:rPr>
            </w:pPr>
            <w:r w:rsidRPr="00697213">
              <w:rPr>
                <w:rFonts w:ascii="Verdana" w:eastAsia="Calibri" w:hAnsi="Verdana" w:cs="Arial"/>
                <w:lang w:val="es-ES_tradnl"/>
              </w:rPr>
              <w:t xml:space="preserve">Documentos Tipo expedidos. Agencia Nacional de Contratación Pública – Colombia Compra Eficiente. Disponibles en: </w:t>
            </w:r>
            <w:hyperlink r:id="rId13" w:history="1">
              <w:r w:rsidRPr="00697213">
                <w:rPr>
                  <w:rFonts w:ascii="Verdana" w:eastAsia="Calibri" w:hAnsi="Verdana" w:cs="Arial"/>
                  <w:color w:val="467886"/>
                  <w:u w:val="single"/>
                  <w:lang w:val="es-ES_tradnl"/>
                </w:rPr>
                <w:t>https://www.colombiacompra.gov.co/normativa-y-relatoria/documentos-tipo</w:t>
              </w:r>
            </w:hyperlink>
            <w:r w:rsidRPr="00697213">
              <w:rPr>
                <w:rFonts w:ascii="Verdana" w:eastAsia="Calibri" w:hAnsi="Verdana" w:cs="Arial"/>
                <w:lang w:val="es-ES_tradnl"/>
              </w:rPr>
              <w:t xml:space="preserve">. </w:t>
            </w:r>
          </w:p>
          <w:p w14:paraId="6EAE70E7" w14:textId="470C7970" w:rsidR="00EF3100" w:rsidRPr="00697213" w:rsidRDefault="00EF3100" w:rsidP="00EF3100">
            <w:pPr>
              <w:numPr>
                <w:ilvl w:val="0"/>
                <w:numId w:val="1"/>
              </w:numPr>
              <w:spacing w:line="276" w:lineRule="auto"/>
              <w:jc w:val="both"/>
              <w:rPr>
                <w:rFonts w:ascii="Verdana" w:eastAsia="Aptos" w:hAnsi="Verdana" w:cs="Arial"/>
              </w:rPr>
            </w:pPr>
            <w:r w:rsidRPr="00697213">
              <w:rPr>
                <w:rFonts w:ascii="Verdana" w:eastAsia="Calibri" w:hAnsi="Verdana" w:cs="Arial"/>
                <w:color w:val="000000"/>
                <w:lang w:val="es-MX" w:eastAsia="en-GB"/>
              </w:rPr>
              <w:t xml:space="preserve">Guía para Determinar y Verificar la Capacidad Residual del Proponente en los Procesos de Contratación de Obra Pública. </w:t>
            </w:r>
            <w:r w:rsidRPr="00697213">
              <w:rPr>
                <w:rFonts w:ascii="Verdana" w:eastAsia="Calibri" w:hAnsi="Verdana" w:cs="Arial"/>
                <w:lang w:val="es-ES_tradnl"/>
              </w:rPr>
              <w:t xml:space="preserve">Agencia Nacional de Contratación Pública – Colombia Compra Eficiente. Disponible en: </w:t>
            </w:r>
            <w:hyperlink r:id="rId14" w:history="1">
              <w:r w:rsidRPr="00697213">
                <w:rPr>
                  <w:rFonts w:ascii="Verdana" w:eastAsia="Calibri" w:hAnsi="Verdana" w:cs="Arial"/>
                  <w:color w:val="0000FF"/>
                  <w:u w:val="single"/>
                  <w:lang w:val="es-ES_tradnl"/>
                </w:rPr>
                <w:t>https://www.colombiacompra.gov.co/normativa-y-relatoria/guias-y-manuales</w:t>
              </w:r>
            </w:hyperlink>
            <w:r w:rsidRPr="00697213">
              <w:rPr>
                <w:rFonts w:ascii="Verdana" w:eastAsia="Calibri" w:hAnsi="Verdana" w:cs="Arial"/>
                <w:lang w:val="es-ES_tradnl"/>
              </w:rPr>
              <w:t>.</w:t>
            </w:r>
          </w:p>
        </w:tc>
      </w:tr>
    </w:tbl>
    <w:p w14:paraId="4C4CAEDF" w14:textId="77777777" w:rsidR="00EF3100" w:rsidRPr="00697213" w:rsidRDefault="00EF3100" w:rsidP="00EF3100">
      <w:pPr>
        <w:widowControl w:val="0"/>
        <w:autoSpaceDE w:val="0"/>
        <w:autoSpaceDN w:val="0"/>
        <w:spacing w:line="276" w:lineRule="auto"/>
        <w:jc w:val="both"/>
        <w:rPr>
          <w:rFonts w:ascii="Verdana" w:eastAsia="Aptos" w:hAnsi="Verdana" w:cs="Arial"/>
          <w:sz w:val="22"/>
          <w:szCs w:val="22"/>
        </w:rPr>
      </w:pPr>
    </w:p>
    <w:p w14:paraId="34DD91DB" w14:textId="77777777" w:rsidR="00EF3100" w:rsidRPr="00697213" w:rsidRDefault="00EF3100" w:rsidP="00EF3100">
      <w:pPr>
        <w:widowControl w:val="0"/>
        <w:autoSpaceDE w:val="0"/>
        <w:autoSpaceDN w:val="0"/>
        <w:spacing w:line="276" w:lineRule="auto"/>
        <w:outlineLvl w:val="0"/>
        <w:rPr>
          <w:rFonts w:ascii="Verdana" w:eastAsia="Arial" w:hAnsi="Verdana" w:cs="Arial"/>
          <w:b/>
          <w:bCs/>
          <w:sz w:val="22"/>
          <w:szCs w:val="22"/>
          <w:lang w:val="es-ES"/>
        </w:rPr>
      </w:pPr>
      <w:r w:rsidRPr="00697213">
        <w:rPr>
          <w:rFonts w:ascii="Verdana" w:eastAsia="Arial" w:hAnsi="Verdana" w:cs="Arial"/>
          <w:b/>
          <w:bCs/>
          <w:sz w:val="22"/>
          <w:szCs w:val="22"/>
          <w:lang w:val="es-ES"/>
        </w:rPr>
        <w:t>5. Doctrina de la Agencia Nacional de Contratación Pública:</w:t>
      </w:r>
    </w:p>
    <w:p w14:paraId="3331472A" w14:textId="77777777" w:rsidR="00EF3100" w:rsidRPr="00697213" w:rsidRDefault="00EF3100" w:rsidP="00EF3100">
      <w:pPr>
        <w:widowControl w:val="0"/>
        <w:autoSpaceDE w:val="0"/>
        <w:autoSpaceDN w:val="0"/>
        <w:spacing w:line="276" w:lineRule="auto"/>
        <w:jc w:val="both"/>
        <w:rPr>
          <w:rFonts w:ascii="Verdana" w:eastAsia="Aptos" w:hAnsi="Verdana" w:cs="Arial"/>
          <w:sz w:val="22"/>
          <w:szCs w:val="22"/>
        </w:rPr>
      </w:pPr>
    </w:p>
    <w:p w14:paraId="0483F07A" w14:textId="77777777" w:rsidR="00EF3100" w:rsidRPr="00697213" w:rsidRDefault="00EF3100" w:rsidP="00EF3100">
      <w:pPr>
        <w:spacing w:line="276" w:lineRule="auto"/>
        <w:jc w:val="both"/>
        <w:textAlignment w:val="baseline"/>
        <w:rPr>
          <w:rFonts w:ascii="Verdana" w:hAnsi="Verdana" w:cs="Arial"/>
          <w:kern w:val="2"/>
          <w:sz w:val="22"/>
          <w:szCs w:val="22"/>
          <w:shd w:val="clear" w:color="auto" w:fill="FFFFFF"/>
          <w:lang w:val="es-ES"/>
          <w14:ligatures w14:val="standardContextual"/>
        </w:rPr>
      </w:pPr>
      <w:r w:rsidRPr="00697213">
        <w:rPr>
          <w:rFonts w:ascii="Verdana" w:eastAsia="Calibri" w:hAnsi="Verdana" w:cs="Arial"/>
          <w:kern w:val="2"/>
          <w:sz w:val="22"/>
          <w:szCs w:val="22"/>
          <w:shd w:val="clear" w:color="auto" w:fill="FFFFFF"/>
          <w:lang w:val="es-ES"/>
          <w14:ligatures w14:val="standardContextual"/>
        </w:rPr>
        <w:t>La Agencia Nacional de Contratación Pública – Colombia Compra Eficiente se pronunció</w:t>
      </w:r>
      <w:r w:rsidRPr="00697213">
        <w:rPr>
          <w:rFonts w:ascii="Verdana" w:eastAsia="Aptos" w:hAnsi="Verdana"/>
          <w:kern w:val="2"/>
          <w:sz w:val="22"/>
          <w:szCs w:val="22"/>
          <w:lang w:val="es-ES_tradnl"/>
          <w14:ligatures w14:val="standardContextual"/>
        </w:rPr>
        <w:t xml:space="preserve"> </w:t>
      </w:r>
      <w:r w:rsidRPr="00697213">
        <w:rPr>
          <w:rFonts w:ascii="Verdana" w:eastAsia="Calibri" w:hAnsi="Verdana" w:cs="Arial"/>
          <w:kern w:val="2"/>
          <w:sz w:val="22"/>
          <w:szCs w:val="22"/>
          <w:shd w:val="clear" w:color="auto" w:fill="FFFFFF"/>
          <w:lang w:val="es-ES"/>
          <w14:ligatures w14:val="standardContextual"/>
        </w:rPr>
        <w:t>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C-351 del 23 de mayo de 2022, C-392 del 16 de junio de 2022, C-411 del 4 de diciembre de 2023, C-486 del 29 de mayo de 2025, C-687 del 5 de junio de 2026, entre otros.</w:t>
      </w:r>
      <w:r w:rsidRPr="00697213">
        <w:rPr>
          <w:rFonts w:ascii="Verdana" w:eastAsia="Calibri" w:hAnsi="Verdana" w:cs="Arial"/>
          <w:kern w:val="2"/>
          <w:sz w:val="22"/>
          <w:szCs w:val="22"/>
          <w:shd w:val="clear" w:color="auto" w:fill="FFFFFF"/>
          <w:lang w:val="es-ES_tradnl"/>
          <w14:ligatures w14:val="standardContextual"/>
        </w:rPr>
        <w:t xml:space="preserve"> </w:t>
      </w:r>
      <w:r w:rsidRPr="00697213">
        <w:rPr>
          <w:rFonts w:ascii="Verdana" w:hAnsi="Verdana" w:cs="Arial"/>
          <w:kern w:val="2"/>
          <w:sz w:val="22"/>
          <w:szCs w:val="2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p>
    <w:p w14:paraId="54AD201B" w14:textId="449B9042" w:rsidR="00EF3100" w:rsidRPr="00697213" w:rsidRDefault="00EF3100" w:rsidP="00EF3100">
      <w:pPr>
        <w:spacing w:line="276" w:lineRule="auto"/>
        <w:jc w:val="both"/>
        <w:textAlignment w:val="baseline"/>
        <w:rPr>
          <w:rFonts w:ascii="Verdana" w:eastAsia="Calibri" w:hAnsi="Verdana" w:cs="Arial"/>
          <w:sz w:val="22"/>
          <w:szCs w:val="22"/>
          <w:shd w:val="clear" w:color="auto" w:fill="FFFFFF"/>
        </w:rPr>
      </w:pPr>
      <w:hyperlink r:id="rId15" w:history="1">
        <w:r w:rsidRPr="00697213">
          <w:rPr>
            <w:rStyle w:val="Hipervnculo"/>
            <w:rFonts w:ascii="Verdana" w:hAnsi="Verdana" w:cs="Arial"/>
            <w:kern w:val="2"/>
            <w:sz w:val="22"/>
            <w:szCs w:val="22"/>
            <w:shd w:val="clear" w:color="auto" w:fill="FFFFFF"/>
            <w:lang w:val="es-ES"/>
            <w14:ligatures w14:val="standardContextual"/>
          </w:rPr>
          <w:t>https://relatoria.colombiacompra.gov.co/</w:t>
        </w:r>
      </w:hyperlink>
      <w:r w:rsidRPr="00697213">
        <w:rPr>
          <w:rFonts w:ascii="Verdana" w:hAnsi="Verdana" w:cs="Arial"/>
          <w:kern w:val="2"/>
          <w:sz w:val="22"/>
          <w:szCs w:val="22"/>
          <w:shd w:val="clear" w:color="auto" w:fill="FFFFFF"/>
          <w:lang w:val="es-ES"/>
          <w14:ligatures w14:val="standardContextual"/>
        </w:rPr>
        <w:t xml:space="preserve"> </w:t>
      </w:r>
    </w:p>
    <w:p w14:paraId="10B596F6" w14:textId="77777777" w:rsidR="00EF3100" w:rsidRDefault="00EF3100" w:rsidP="00EF3100">
      <w:pPr>
        <w:spacing w:line="276" w:lineRule="auto"/>
        <w:jc w:val="both"/>
        <w:rPr>
          <w:rFonts w:ascii="Verdana" w:hAnsi="Verdana"/>
          <w:color w:val="000000"/>
          <w:sz w:val="22"/>
          <w:szCs w:val="22"/>
          <w:lang w:eastAsia="es-CO"/>
        </w:rPr>
      </w:pPr>
    </w:p>
    <w:p w14:paraId="216D051B" w14:textId="1EFA1443" w:rsidR="00EF3100" w:rsidRPr="00697213" w:rsidRDefault="00EF3100" w:rsidP="00EF3100">
      <w:pPr>
        <w:spacing w:line="276" w:lineRule="auto"/>
        <w:jc w:val="both"/>
        <w:rPr>
          <w:rFonts w:ascii="Verdana" w:hAnsi="Verdana"/>
          <w:color w:val="000000"/>
          <w:sz w:val="22"/>
          <w:szCs w:val="22"/>
          <w:lang w:eastAsia="es-CO"/>
        </w:rPr>
      </w:pPr>
      <w:r w:rsidRPr="00697213">
        <w:rPr>
          <w:rFonts w:ascii="Verdana" w:hAnsi="Verdana"/>
          <w:color w:val="000000"/>
          <w:sz w:val="22"/>
          <w:szCs w:val="22"/>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97213">
        <w:rPr>
          <w:rFonts w:ascii="Verdana" w:hAnsi="Verdana"/>
          <w:b/>
          <w:bCs/>
          <w:color w:val="000000"/>
          <w:sz w:val="22"/>
          <w:szCs w:val="22"/>
          <w:lang w:eastAsia="es-CO"/>
        </w:rPr>
        <w:t>Guía para la Exigencia y Constitución de Garantías en los Procesos de Contratación</w:t>
      </w:r>
      <w:r w:rsidRPr="00697213">
        <w:rPr>
          <w:rFonts w:ascii="Verdana" w:hAnsi="Verdana"/>
          <w:color w:val="000000"/>
          <w:sz w:val="22"/>
          <w:szCs w:val="22"/>
          <w:lang w:eastAsia="es-CO"/>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w:t>
      </w:r>
      <w:r w:rsidRPr="00697213">
        <w:rPr>
          <w:rFonts w:ascii="Verdana" w:hAnsi="Verdana"/>
          <w:color w:val="000000"/>
          <w:sz w:val="22"/>
          <w:szCs w:val="22"/>
          <w:lang w:eastAsia="es-CO"/>
        </w:rPr>
        <w:lastRenderedPageBreak/>
        <w:t>suficiencia y vigencia, y el procedimiento para hacerlas efectivas. Consúltala aquí: </w:t>
      </w:r>
      <w:hyperlink r:id="rId16" w:tgtFrame="_blank" w:tooltip="Dirección URL original: https://www.colombiacompra.gov.co/archivos/manual/guia-de-garantias-en-procesos-de-contratacion. Haga clic o pulse si confía en este vínculo." w:history="1">
        <w:r w:rsidRPr="00697213">
          <w:rPr>
            <w:rStyle w:val="Hipervnculo"/>
            <w:rFonts w:ascii="Verdana" w:hAnsi="Verdana"/>
            <w:sz w:val="22"/>
            <w:szCs w:val="22"/>
            <w:lang w:eastAsia="es-CO"/>
          </w:rPr>
          <w:t>https://www.colombiacompra.gov.co/archivos/manual/guia-de-garantias-en-procesos-de-contratacion</w:t>
        </w:r>
      </w:hyperlink>
    </w:p>
    <w:p w14:paraId="6E6996F3" w14:textId="77777777" w:rsidR="00EF3100" w:rsidRDefault="00EF3100" w:rsidP="00EF3100">
      <w:pPr>
        <w:spacing w:line="276" w:lineRule="auto"/>
        <w:jc w:val="both"/>
        <w:rPr>
          <w:rFonts w:ascii="Verdana" w:hAnsi="Verdana"/>
          <w:color w:val="000000"/>
          <w:sz w:val="22"/>
          <w:szCs w:val="22"/>
          <w:lang w:eastAsia="es-CO"/>
        </w:rPr>
      </w:pPr>
    </w:p>
    <w:p w14:paraId="63D0E6AE" w14:textId="7AE81179" w:rsidR="00EF3100" w:rsidRPr="00697213" w:rsidRDefault="00EF3100" w:rsidP="00EF3100">
      <w:pPr>
        <w:spacing w:line="276" w:lineRule="auto"/>
        <w:jc w:val="both"/>
        <w:rPr>
          <w:rFonts w:ascii="Verdana" w:hAnsi="Verdana"/>
          <w:color w:val="000000"/>
          <w:sz w:val="22"/>
          <w:szCs w:val="22"/>
          <w:lang w:eastAsia="es-CO"/>
        </w:rPr>
      </w:pPr>
      <w:r w:rsidRPr="00697213">
        <w:rPr>
          <w:rFonts w:ascii="Verdana" w:hAnsi="Verdana"/>
          <w:color w:val="000000"/>
          <w:sz w:val="22"/>
          <w:szCs w:val="22"/>
          <w:lang w:eastAsia="es-CO"/>
        </w:rPr>
        <w:t>De otro lado, te contamos que el Decreto 287 del 19 de marzo de 2026 sustituyó los artículos 2.2.1.2.4.2.6., 2.2.1.2.4.2.7. y 2.2.1.2.4.2.8. del Decreto 1082 de 2015 y estructuró el </w:t>
      </w:r>
      <w:r w:rsidRPr="00697213">
        <w:rPr>
          <w:rFonts w:ascii="Verdana" w:hAnsi="Verdana"/>
          <w:b/>
          <w:bCs/>
          <w:color w:val="000000"/>
          <w:sz w:val="22"/>
          <w:szCs w:val="22"/>
          <w:lang w:eastAsia="es-CO"/>
        </w:rPr>
        <w:t>Sistema Integral de Preferencias en favor de las personas con discapacidad</w:t>
      </w:r>
      <w:r w:rsidRPr="00697213">
        <w:rPr>
          <w:rFonts w:ascii="Verdana" w:hAnsi="Verdana"/>
          <w:color w:val="000000"/>
          <w:sz w:val="22"/>
          <w:szCs w:val="22"/>
          <w:lang w:eastAsia="es-CO"/>
        </w:rPr>
        <w:t>, en cumplimiento del artículo 13 de la Ley Estatutaria 1618 de 2013. Para orientar su aplicación, esta Agencia expidió la </w:t>
      </w:r>
      <w:r w:rsidRPr="00697213">
        <w:rPr>
          <w:rFonts w:ascii="Verdana" w:hAnsi="Verdana"/>
          <w:b/>
          <w:bCs/>
          <w:color w:val="000000"/>
          <w:sz w:val="22"/>
          <w:szCs w:val="22"/>
          <w:lang w:eastAsia="es-CO"/>
        </w:rPr>
        <w:t>Circular Externa 003 del 12 de mayo de 2026, </w:t>
      </w:r>
      <w:r w:rsidRPr="00697213">
        <w:rPr>
          <w:rFonts w:ascii="Verdana" w:hAnsi="Verdana"/>
          <w:color w:val="000000"/>
          <w:sz w:val="22"/>
          <w:szCs w:val="22"/>
          <w:lang w:eastAsia="es-CO"/>
        </w:rPr>
        <w:t>en la que precisa quiénes son los beneficiarios, las cinco medidas que integran el sistema y su obligatoriedad según la modalidad de selección, y el régimen de transición aplicable a los procesos en curso. Consúltala aquí: </w:t>
      </w:r>
      <w:hyperlink r:id="rId17" w:tgtFrame="_blank" w:tooltip="Dirección URL original: https://www.colombiacompra.gov.co/archivos/circular/circular-externa-003-de-2026. Haga clic o pulse si confía en este vínculo." w:history="1">
        <w:r w:rsidRPr="00697213">
          <w:rPr>
            <w:rStyle w:val="Hipervnculo"/>
            <w:rFonts w:ascii="Verdana" w:hAnsi="Verdana"/>
            <w:sz w:val="22"/>
            <w:szCs w:val="22"/>
            <w:lang w:eastAsia="es-CO"/>
          </w:rPr>
          <w:t>https://www.colombiacompra.gov.co/archivos/circular/circular-externa-003-de-2026</w:t>
        </w:r>
      </w:hyperlink>
    </w:p>
    <w:p w14:paraId="602E8B88" w14:textId="77777777" w:rsidR="00EF3100" w:rsidRDefault="00EF3100" w:rsidP="00EF3100">
      <w:pPr>
        <w:spacing w:line="276" w:lineRule="auto"/>
        <w:jc w:val="both"/>
        <w:rPr>
          <w:rFonts w:ascii="Verdana" w:hAnsi="Verdana"/>
          <w:color w:val="000000"/>
          <w:sz w:val="22"/>
          <w:szCs w:val="22"/>
          <w:lang w:eastAsia="es-CO"/>
        </w:rPr>
      </w:pPr>
    </w:p>
    <w:p w14:paraId="74ABD6F1" w14:textId="33F34592" w:rsidR="00EF3100" w:rsidRPr="00697213" w:rsidRDefault="00EF3100" w:rsidP="00EF3100">
      <w:pPr>
        <w:spacing w:line="276" w:lineRule="auto"/>
        <w:jc w:val="both"/>
        <w:rPr>
          <w:rFonts w:ascii="Verdana" w:hAnsi="Verdana"/>
          <w:color w:val="000000"/>
          <w:sz w:val="22"/>
          <w:szCs w:val="22"/>
          <w:lang w:eastAsia="es-CO"/>
        </w:rPr>
      </w:pPr>
      <w:r w:rsidRPr="00697213">
        <w:rPr>
          <w:rFonts w:ascii="Verdana" w:hAnsi="Verdana"/>
          <w:color w:val="000000"/>
          <w:sz w:val="22"/>
          <w:szCs w:val="22"/>
          <w:lang w:eastAsia="es-CO"/>
        </w:rPr>
        <w:t>Recuerda también que la</w:t>
      </w:r>
      <w:r w:rsidRPr="00697213">
        <w:rPr>
          <w:rFonts w:ascii="Verdana" w:hAnsi="Verdana"/>
          <w:b/>
          <w:bCs/>
          <w:color w:val="000000"/>
          <w:sz w:val="22"/>
          <w:szCs w:val="22"/>
          <w:lang w:eastAsia="es-CO"/>
        </w:rPr>
        <w:t> información sobre sanciones e inhabilidades </w:t>
      </w:r>
      <w:r w:rsidRPr="00697213">
        <w:rPr>
          <w:rFonts w:ascii="Verdana" w:hAnsi="Verdana"/>
          <w:color w:val="000000"/>
          <w:sz w:val="22"/>
          <w:szCs w:val="22"/>
          <w:lang w:eastAsia="es-CO"/>
        </w:rPr>
        <w:t>solo cumple su función preventiva si llega oportunamente a los registros públicos. Sobre este deber, esta Agencia expidió la </w:t>
      </w:r>
      <w:r w:rsidRPr="00697213">
        <w:rPr>
          <w:rFonts w:ascii="Verdana" w:hAnsi="Verdana"/>
          <w:b/>
          <w:bCs/>
          <w:color w:val="000000"/>
          <w:sz w:val="22"/>
          <w:szCs w:val="22"/>
          <w:lang w:eastAsia="es-CO"/>
        </w:rPr>
        <w:t>Circular Externa 002 del 5 de mayo de 2026,</w:t>
      </w:r>
      <w:r w:rsidRPr="00697213">
        <w:rPr>
          <w:rFonts w:ascii="Verdana" w:hAnsi="Verdana"/>
          <w:color w:val="000000"/>
          <w:sz w:val="22"/>
          <w:szCs w:val="22"/>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gtFrame="_blank" w:tooltip="Dirección URL original: https://www.colombiacompra.gov.co/archivos/circular/circular-externa-002-de-2026. Haga clic o pulse si confía en este vínculo." w:history="1">
        <w:r w:rsidRPr="00697213">
          <w:rPr>
            <w:rStyle w:val="Hipervnculo"/>
            <w:rFonts w:ascii="Verdana" w:hAnsi="Verdana"/>
            <w:sz w:val="22"/>
            <w:szCs w:val="22"/>
            <w:lang w:eastAsia="es-CO"/>
          </w:rPr>
          <w:t>https://www.colombiacompra.gov.co/archivos/circular/circular-externa-002-de-2026</w:t>
        </w:r>
      </w:hyperlink>
    </w:p>
    <w:p w14:paraId="7F61C306" w14:textId="77777777" w:rsidR="00EF3100" w:rsidRDefault="00EF3100" w:rsidP="00EF3100">
      <w:pPr>
        <w:spacing w:line="276" w:lineRule="auto"/>
        <w:jc w:val="both"/>
        <w:rPr>
          <w:rFonts w:ascii="Verdana" w:hAnsi="Verdana"/>
          <w:color w:val="000000"/>
          <w:sz w:val="22"/>
          <w:szCs w:val="22"/>
          <w:lang w:eastAsia="es-CO"/>
        </w:rPr>
      </w:pPr>
    </w:p>
    <w:p w14:paraId="6483B789" w14:textId="16C0BA33" w:rsidR="00EF3100" w:rsidRPr="00697213" w:rsidRDefault="00EF3100" w:rsidP="00EF3100">
      <w:pPr>
        <w:spacing w:line="276" w:lineRule="auto"/>
        <w:jc w:val="both"/>
        <w:rPr>
          <w:rFonts w:ascii="Verdana" w:hAnsi="Verdana"/>
          <w:color w:val="000000"/>
          <w:sz w:val="22"/>
          <w:szCs w:val="22"/>
          <w:lang w:eastAsia="es-CO"/>
        </w:rPr>
      </w:pPr>
      <w:r w:rsidRPr="00697213">
        <w:rPr>
          <w:rFonts w:ascii="Verdana" w:hAnsi="Verdana"/>
          <w:color w:val="000000"/>
          <w:sz w:val="22"/>
          <w:szCs w:val="22"/>
          <w:lang w:eastAsia="es-CO"/>
        </w:rPr>
        <w:t>De otra parte, si quieres seguir de cerca la actividad de la Agencia, la tercera edición de 2026 del</w:t>
      </w:r>
      <w:r w:rsidRPr="00697213">
        <w:rPr>
          <w:rFonts w:ascii="Verdana" w:hAnsi="Verdana"/>
          <w:b/>
          <w:bCs/>
          <w:color w:val="000000"/>
          <w:sz w:val="22"/>
          <w:szCs w:val="22"/>
          <w:lang w:eastAsia="es-CO"/>
        </w:rPr>
        <w:t> Radar de la Compra Pública</w:t>
      </w:r>
      <w:r w:rsidRPr="00697213">
        <w:rPr>
          <w:rFonts w:ascii="Verdana" w:hAnsi="Verdana"/>
          <w:color w:val="000000"/>
          <w:sz w:val="22"/>
          <w:szCs w:val="22"/>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history="1">
        <w:r w:rsidRPr="00697213">
          <w:rPr>
            <w:rStyle w:val="Hipervnculo"/>
            <w:rFonts w:ascii="Verdana" w:hAnsi="Verdana"/>
            <w:sz w:val="22"/>
            <w:szCs w:val="22"/>
            <w:lang w:eastAsia="es-CO"/>
          </w:rPr>
          <w:t>https://www.colombiacompra.gov.co/archivos/boletin/boletin-edicion-n-3-de-2026-radar-de-la-compra-publica</w:t>
        </w:r>
      </w:hyperlink>
      <w:r w:rsidRPr="00697213">
        <w:rPr>
          <w:rFonts w:ascii="Verdana" w:hAnsi="Verdana"/>
          <w:color w:val="000000"/>
          <w:sz w:val="22"/>
          <w:szCs w:val="22"/>
          <w:lang w:eastAsia="es-CO"/>
        </w:rPr>
        <w:t>"</w:t>
      </w:r>
    </w:p>
    <w:p w14:paraId="2C24F470" w14:textId="77777777" w:rsidR="00EF3100" w:rsidRDefault="00EF3100" w:rsidP="00EF3100">
      <w:pPr>
        <w:spacing w:line="276" w:lineRule="auto"/>
        <w:jc w:val="both"/>
        <w:rPr>
          <w:rFonts w:ascii="Verdana" w:eastAsia="Aptos" w:hAnsi="Verdana"/>
          <w:sz w:val="22"/>
          <w:szCs w:val="22"/>
        </w:rPr>
      </w:pPr>
    </w:p>
    <w:p w14:paraId="20C23538" w14:textId="77777777" w:rsidR="00EF3100" w:rsidRPr="00697213" w:rsidRDefault="00EF3100" w:rsidP="00EF3100">
      <w:pPr>
        <w:spacing w:line="276" w:lineRule="auto"/>
        <w:jc w:val="both"/>
        <w:rPr>
          <w:rFonts w:ascii="Verdana" w:eastAsia="Aptos" w:hAnsi="Verdana"/>
          <w:sz w:val="22"/>
          <w:szCs w:val="22"/>
        </w:rPr>
      </w:pPr>
      <w:r w:rsidRPr="00697213">
        <w:rPr>
          <w:rFonts w:ascii="Verdana" w:eastAsia="Aptos" w:hAnsi="Verdana"/>
          <w:sz w:val="22"/>
          <w:szCs w:val="22"/>
        </w:rPr>
        <w:lastRenderedPageBreak/>
        <w:t xml:space="preserve">Por último, lo invitamos a seguirnos en las redes sociales en las cuales se difunde información institucional: </w:t>
      </w:r>
    </w:p>
    <w:p w14:paraId="55807897" w14:textId="77777777" w:rsidR="00EF3100" w:rsidRPr="00697213" w:rsidRDefault="00EF3100" w:rsidP="00EF3100">
      <w:pPr>
        <w:spacing w:line="276" w:lineRule="auto"/>
        <w:jc w:val="both"/>
        <w:rPr>
          <w:rFonts w:ascii="Verdana" w:eastAsia="Aptos" w:hAnsi="Verdana"/>
          <w:sz w:val="22"/>
          <w:szCs w:val="22"/>
        </w:rPr>
      </w:pPr>
    </w:p>
    <w:p w14:paraId="3C9F0B21" w14:textId="77777777" w:rsidR="00EF3100" w:rsidRPr="00697213" w:rsidRDefault="00EF3100" w:rsidP="00EF3100">
      <w:pPr>
        <w:spacing w:line="276" w:lineRule="auto"/>
        <w:jc w:val="both"/>
        <w:rPr>
          <w:rFonts w:ascii="Verdana" w:eastAsia="Aptos" w:hAnsi="Verdana"/>
          <w:sz w:val="22"/>
          <w:szCs w:val="22"/>
        </w:rPr>
      </w:pPr>
      <w:r w:rsidRPr="00697213">
        <w:rPr>
          <w:rFonts w:ascii="Verdana" w:eastAsia="Aptos" w:hAnsi="Verdana"/>
          <w:sz w:val="22"/>
          <w:szCs w:val="22"/>
        </w:rPr>
        <w:t xml:space="preserve">Twitter: </w:t>
      </w:r>
      <w:r w:rsidRPr="00697213">
        <w:rPr>
          <w:rFonts w:ascii="Verdana" w:eastAsia="Aptos" w:hAnsi="Verdana" w:cs="Arial"/>
          <w:sz w:val="22"/>
          <w:szCs w:val="22"/>
          <w:u w:val="single"/>
          <w:shd w:val="clear" w:color="auto" w:fill="FFFFFF"/>
          <w:lang w:val="es-ES"/>
        </w:rPr>
        <w:t>@colombiacompra</w:t>
      </w:r>
      <w:r w:rsidRPr="00697213">
        <w:rPr>
          <w:rFonts w:ascii="Verdana" w:eastAsia="Aptos" w:hAnsi="Verdana"/>
          <w:sz w:val="22"/>
          <w:szCs w:val="22"/>
        </w:rPr>
        <w:t xml:space="preserve"> </w:t>
      </w:r>
    </w:p>
    <w:p w14:paraId="3C7AB566" w14:textId="77777777" w:rsidR="00EF3100" w:rsidRPr="00697213" w:rsidRDefault="00EF3100" w:rsidP="00EF3100">
      <w:pPr>
        <w:spacing w:line="276" w:lineRule="auto"/>
        <w:jc w:val="both"/>
        <w:rPr>
          <w:rFonts w:ascii="Verdana" w:eastAsia="Aptos" w:hAnsi="Verdana"/>
          <w:sz w:val="22"/>
          <w:szCs w:val="22"/>
        </w:rPr>
      </w:pPr>
      <w:r w:rsidRPr="00697213">
        <w:rPr>
          <w:rFonts w:ascii="Verdana" w:eastAsia="Aptos" w:hAnsi="Verdana"/>
          <w:sz w:val="22"/>
          <w:szCs w:val="22"/>
        </w:rPr>
        <w:t xml:space="preserve">Facebook: </w:t>
      </w:r>
      <w:r w:rsidRPr="00697213">
        <w:rPr>
          <w:rFonts w:ascii="Verdana" w:eastAsia="Aptos" w:hAnsi="Verdana" w:cs="Arial"/>
          <w:sz w:val="22"/>
          <w:szCs w:val="22"/>
          <w:u w:val="single"/>
          <w:shd w:val="clear" w:color="auto" w:fill="FFFFFF"/>
          <w:lang w:val="es-ES"/>
        </w:rPr>
        <w:t>ColombiaCompraEficiente</w:t>
      </w:r>
    </w:p>
    <w:p w14:paraId="4A8DDDAD" w14:textId="77777777" w:rsidR="00EF3100" w:rsidRPr="00697213" w:rsidRDefault="00EF3100" w:rsidP="00EF3100">
      <w:pPr>
        <w:spacing w:line="276" w:lineRule="auto"/>
        <w:jc w:val="both"/>
        <w:rPr>
          <w:rFonts w:ascii="Verdana" w:eastAsia="Aptos" w:hAnsi="Verdana"/>
          <w:sz w:val="22"/>
          <w:szCs w:val="22"/>
        </w:rPr>
      </w:pPr>
      <w:r w:rsidRPr="00697213">
        <w:rPr>
          <w:rFonts w:ascii="Verdana" w:eastAsia="Aptos" w:hAnsi="Verdana"/>
          <w:sz w:val="22"/>
          <w:szCs w:val="22"/>
        </w:rPr>
        <w:t xml:space="preserve">LinkedIn: </w:t>
      </w:r>
      <w:r w:rsidRPr="00697213">
        <w:rPr>
          <w:rFonts w:ascii="Verdana" w:eastAsia="Aptos" w:hAnsi="Verdana" w:cs="Arial"/>
          <w:sz w:val="22"/>
          <w:szCs w:val="22"/>
          <w:u w:val="single"/>
          <w:shd w:val="clear" w:color="auto" w:fill="FFFFFF"/>
          <w:lang w:val="es-ES"/>
        </w:rPr>
        <w:t>Agencia Nacional de Contratación Pública - Colombia Compra Eficiente</w:t>
      </w:r>
      <w:r w:rsidRPr="00697213">
        <w:rPr>
          <w:rFonts w:ascii="Verdana" w:eastAsia="Aptos" w:hAnsi="Verdana"/>
          <w:sz w:val="22"/>
          <w:szCs w:val="22"/>
        </w:rPr>
        <w:t xml:space="preserve"> Instagram: </w:t>
      </w:r>
      <w:r w:rsidRPr="00697213">
        <w:rPr>
          <w:rFonts w:ascii="Verdana" w:eastAsia="Aptos" w:hAnsi="Verdana" w:cs="Arial"/>
          <w:sz w:val="22"/>
          <w:szCs w:val="22"/>
          <w:u w:val="single"/>
          <w:shd w:val="clear" w:color="auto" w:fill="FFFFFF"/>
          <w:lang w:val="es-ES"/>
        </w:rPr>
        <w:t>@colombiacompraeficiente_cce</w:t>
      </w:r>
    </w:p>
    <w:p w14:paraId="3F7E0499" w14:textId="77777777" w:rsidR="00EF3100" w:rsidRPr="00697213" w:rsidRDefault="00EF3100" w:rsidP="00EF3100">
      <w:pPr>
        <w:widowControl w:val="0"/>
        <w:autoSpaceDE w:val="0"/>
        <w:autoSpaceDN w:val="0"/>
        <w:spacing w:line="276" w:lineRule="auto"/>
        <w:jc w:val="both"/>
        <w:rPr>
          <w:rFonts w:ascii="Verdana" w:eastAsia="Aptos" w:hAnsi="Verdana" w:cs="Arial"/>
          <w:sz w:val="22"/>
          <w:szCs w:val="22"/>
        </w:rPr>
      </w:pPr>
    </w:p>
    <w:p w14:paraId="608337BF" w14:textId="77777777" w:rsidR="00EF3100" w:rsidRPr="00697213" w:rsidRDefault="00EF3100" w:rsidP="00EF3100">
      <w:pPr>
        <w:widowControl w:val="0"/>
        <w:autoSpaceDE w:val="0"/>
        <w:autoSpaceDN w:val="0"/>
        <w:spacing w:line="276" w:lineRule="auto"/>
        <w:jc w:val="both"/>
        <w:rPr>
          <w:rFonts w:ascii="Verdana" w:eastAsia="Aptos" w:hAnsi="Verdana" w:cs="Arial"/>
          <w:sz w:val="22"/>
          <w:szCs w:val="22"/>
          <w:lang w:val="es-ES_tradnl"/>
        </w:rPr>
      </w:pPr>
      <w:r w:rsidRPr="00697213">
        <w:rPr>
          <w:rFonts w:ascii="Verdana" w:eastAsia="Aptos" w:hAnsi="Verdana" w:cs="Arial"/>
          <w:sz w:val="22"/>
          <w:szCs w:val="22"/>
        </w:rPr>
        <w:t xml:space="preserve">Este concepto tiene el alcance previsto en el artículo 28 del Código de Procedimiento Administrativo y de lo Contencioso Administrativo </w:t>
      </w:r>
      <w:r w:rsidRPr="00697213">
        <w:rPr>
          <w:rFonts w:ascii="Verdana" w:eastAsia="Aptos" w:hAnsi="Verdana" w:cs="Arial"/>
          <w:sz w:val="22"/>
          <w:szCs w:val="22"/>
          <w:lang w:val="es-ES_tradnl"/>
        </w:rPr>
        <w:t>y las expresiones aquí utilizadas con mayúscula inicial deben ser entendidas con el significado que les otorga el artículo 2.2.1.1.1.3.1. del Decreto 1082 de 2015.</w:t>
      </w:r>
    </w:p>
    <w:p w14:paraId="24FE963F" w14:textId="77777777" w:rsidR="00EF3100" w:rsidRPr="00697213" w:rsidRDefault="00EF3100" w:rsidP="00EF3100">
      <w:pPr>
        <w:widowControl w:val="0"/>
        <w:autoSpaceDE w:val="0"/>
        <w:autoSpaceDN w:val="0"/>
        <w:spacing w:line="276" w:lineRule="auto"/>
        <w:jc w:val="both"/>
        <w:rPr>
          <w:rFonts w:ascii="Verdana" w:eastAsia="Aptos" w:hAnsi="Verdana" w:cs="Arial"/>
          <w:sz w:val="22"/>
          <w:szCs w:val="22"/>
        </w:rPr>
      </w:pPr>
    </w:p>
    <w:p w14:paraId="55D6AC07" w14:textId="77777777" w:rsidR="00EF3100" w:rsidRPr="00697213" w:rsidRDefault="00EF3100" w:rsidP="00EF3100">
      <w:pPr>
        <w:spacing w:line="276" w:lineRule="auto"/>
        <w:rPr>
          <w:rFonts w:ascii="Verdana" w:eastAsia="Aptos" w:hAnsi="Verdana" w:cs="Arial"/>
          <w:sz w:val="22"/>
          <w:szCs w:val="22"/>
          <w:lang w:eastAsia="es-CO"/>
        </w:rPr>
      </w:pPr>
      <w:r w:rsidRPr="00697213">
        <w:rPr>
          <w:rFonts w:ascii="Verdana" w:hAnsi="Verdana" w:cs="Arial"/>
          <w:sz w:val="22"/>
          <w:szCs w:val="22"/>
          <w:lang w:eastAsia="es-CO"/>
        </w:rPr>
        <w:t>Atentamente,</w:t>
      </w:r>
      <w:r w:rsidRPr="00697213">
        <w:rPr>
          <w:rFonts w:ascii="Verdana" w:eastAsia="Aptos" w:hAnsi="Verdana" w:cs="Arial"/>
          <w:sz w:val="22"/>
          <w:szCs w:val="22"/>
          <w:lang w:eastAsia="es-CO"/>
        </w:rPr>
        <w:t xml:space="preserve"> </w:t>
      </w:r>
    </w:p>
    <w:p w14:paraId="27926AC7" w14:textId="77777777" w:rsidR="00EF3100" w:rsidRPr="00116042" w:rsidRDefault="00EF3100" w:rsidP="00EF3100">
      <w:pPr>
        <w:spacing w:line="276" w:lineRule="auto"/>
        <w:jc w:val="center"/>
        <w:rPr>
          <w:rFonts w:ascii="Verdana" w:eastAsia="Aptos" w:hAnsi="Verdana" w:cs="Arial"/>
          <w:lang w:val="es-ES_tradnl" w:eastAsia="es-CO"/>
        </w:rPr>
      </w:pPr>
    </w:p>
    <w:p w14:paraId="37170CCA" w14:textId="221D7E3C" w:rsidR="00EF3100" w:rsidRPr="00116042" w:rsidRDefault="007A4042" w:rsidP="00EF3100">
      <w:pPr>
        <w:spacing w:line="276" w:lineRule="auto"/>
        <w:jc w:val="center"/>
        <w:rPr>
          <w:rFonts w:ascii="Verdana" w:eastAsia="Aptos" w:hAnsi="Verdana" w:cs="Arial"/>
          <w:lang w:val="es-ES_tradnl" w:eastAsia="es-CO"/>
        </w:rPr>
      </w:pPr>
      <w:r>
        <w:rPr>
          <w:noProof/>
        </w:rPr>
        <w:drawing>
          <wp:inline distT="0" distB="0" distL="0" distR="0" wp14:anchorId="67CC59CA" wp14:editId="71C4B33F">
            <wp:extent cx="3774440" cy="1414145"/>
            <wp:effectExtent l="0" t="0" r="0" b="0"/>
            <wp:docPr id="80603602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4440" cy="141414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EF3100" w:rsidRPr="00116042" w14:paraId="6D7A4740" w14:textId="77777777" w:rsidTr="00342599">
        <w:trPr>
          <w:trHeight w:val="286"/>
        </w:trPr>
        <w:tc>
          <w:tcPr>
            <w:tcW w:w="901" w:type="dxa"/>
            <w:vAlign w:val="center"/>
            <w:hideMark/>
          </w:tcPr>
          <w:p w14:paraId="0A527994" w14:textId="77777777" w:rsidR="00EF3100" w:rsidRPr="00116042" w:rsidRDefault="00EF3100" w:rsidP="00342599">
            <w:pPr>
              <w:rPr>
                <w:rFonts w:ascii="Verdana" w:eastAsia="Aptos" w:hAnsi="Verdana" w:cs="Arial"/>
                <w:sz w:val="14"/>
                <w:szCs w:val="14"/>
                <w:lang w:eastAsia="es-ES"/>
              </w:rPr>
            </w:pPr>
            <w:r w:rsidRPr="00116042">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190ECE3A" w14:textId="77777777" w:rsidR="00EF3100" w:rsidRPr="00116042" w:rsidRDefault="00EF3100" w:rsidP="00342599">
            <w:pPr>
              <w:rPr>
                <w:rFonts w:ascii="Verdana" w:eastAsia="Aptos" w:hAnsi="Verdana" w:cs="Arial"/>
                <w:sz w:val="14"/>
                <w:szCs w:val="14"/>
                <w:lang w:eastAsia="es-ES"/>
              </w:rPr>
            </w:pPr>
            <w:r w:rsidRPr="00116042">
              <w:rPr>
                <w:rFonts w:ascii="Verdana" w:eastAsia="Aptos" w:hAnsi="Verdana" w:cs="Arial"/>
                <w:sz w:val="14"/>
                <w:szCs w:val="14"/>
                <w:lang w:eastAsia="es-ES"/>
              </w:rPr>
              <w:t>Nasly Yeana Mosquera Rivas</w:t>
            </w:r>
          </w:p>
          <w:p w14:paraId="680A4808" w14:textId="77777777" w:rsidR="00EF3100" w:rsidRPr="00116042" w:rsidRDefault="00EF3100" w:rsidP="00342599">
            <w:pPr>
              <w:rPr>
                <w:rFonts w:ascii="Verdana" w:eastAsia="Aptos" w:hAnsi="Verdana" w:cs="Arial"/>
                <w:sz w:val="14"/>
                <w:szCs w:val="14"/>
                <w:lang w:eastAsia="es-ES"/>
              </w:rPr>
            </w:pPr>
            <w:r w:rsidRPr="00116042">
              <w:rPr>
                <w:rFonts w:ascii="Verdana" w:eastAsia="Aptos" w:hAnsi="Verdana" w:cs="Arial"/>
                <w:sz w:val="14"/>
                <w:szCs w:val="14"/>
                <w:lang w:eastAsia="es-ES"/>
              </w:rPr>
              <w:t>Analista T2–06 de la Subdirección de Gestión Contractual</w:t>
            </w:r>
          </w:p>
        </w:tc>
      </w:tr>
      <w:tr w:rsidR="00EF3100" w:rsidRPr="00116042" w14:paraId="5F286DAA" w14:textId="77777777" w:rsidTr="00342599">
        <w:trPr>
          <w:trHeight w:val="299"/>
        </w:trPr>
        <w:tc>
          <w:tcPr>
            <w:tcW w:w="901" w:type="dxa"/>
            <w:vAlign w:val="center"/>
          </w:tcPr>
          <w:p w14:paraId="070C551E" w14:textId="77777777" w:rsidR="00EF3100" w:rsidRPr="00116042" w:rsidRDefault="00EF3100" w:rsidP="00342599">
            <w:pPr>
              <w:rPr>
                <w:rFonts w:ascii="Verdana" w:eastAsia="Aptos" w:hAnsi="Verdana" w:cs="Arial"/>
                <w:sz w:val="14"/>
                <w:szCs w:val="14"/>
                <w:lang w:eastAsia="es-ES"/>
              </w:rPr>
            </w:pPr>
            <w:r w:rsidRPr="00116042">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F2A24E7" w14:textId="77777777" w:rsidR="00EF3100" w:rsidRPr="00116042" w:rsidRDefault="00EF3100" w:rsidP="00342599">
            <w:pPr>
              <w:rPr>
                <w:rFonts w:ascii="Verdana" w:eastAsia="Aptos" w:hAnsi="Verdana" w:cs="Arial"/>
                <w:sz w:val="14"/>
                <w:szCs w:val="14"/>
                <w:lang w:eastAsia="es-ES"/>
              </w:rPr>
            </w:pPr>
            <w:r>
              <w:rPr>
                <w:rFonts w:ascii="Verdana" w:eastAsia="Aptos" w:hAnsi="Verdana" w:cs="Arial"/>
                <w:sz w:val="14"/>
                <w:szCs w:val="14"/>
                <w:lang w:eastAsia="es-ES"/>
              </w:rPr>
              <w:t>Diana Lucía Saavedra Castañeda</w:t>
            </w:r>
          </w:p>
          <w:p w14:paraId="0ED6BD4A" w14:textId="77777777" w:rsidR="00EF3100" w:rsidRPr="00116042" w:rsidRDefault="00EF3100" w:rsidP="00342599">
            <w:pPr>
              <w:rPr>
                <w:rFonts w:ascii="Verdana" w:eastAsia="Aptos" w:hAnsi="Verdana" w:cs="Arial"/>
                <w:sz w:val="14"/>
                <w:szCs w:val="14"/>
                <w:lang w:eastAsia="es-ES"/>
              </w:rPr>
            </w:pPr>
            <w:r w:rsidRPr="00116042">
              <w:rPr>
                <w:rFonts w:ascii="Verdana" w:eastAsia="Aptos" w:hAnsi="Verdana" w:cs="Arial"/>
                <w:sz w:val="14"/>
                <w:szCs w:val="14"/>
                <w:lang w:eastAsia="es-ES"/>
              </w:rPr>
              <w:t>Contratista de la Subdirección de Gestión Contractual</w:t>
            </w:r>
          </w:p>
        </w:tc>
      </w:tr>
      <w:tr w:rsidR="00EF3100" w:rsidRPr="00116042" w14:paraId="588490C3" w14:textId="77777777" w:rsidTr="00342599">
        <w:trPr>
          <w:trHeight w:val="272"/>
        </w:trPr>
        <w:tc>
          <w:tcPr>
            <w:tcW w:w="901" w:type="dxa"/>
            <w:vAlign w:val="center"/>
            <w:hideMark/>
          </w:tcPr>
          <w:p w14:paraId="2D03EBED" w14:textId="77777777" w:rsidR="00EF3100" w:rsidRPr="00116042" w:rsidRDefault="00EF3100" w:rsidP="00342599">
            <w:pPr>
              <w:rPr>
                <w:rFonts w:ascii="Verdana" w:eastAsia="Aptos" w:hAnsi="Verdana" w:cs="Arial"/>
                <w:sz w:val="14"/>
                <w:szCs w:val="14"/>
                <w:lang w:eastAsia="es-ES"/>
              </w:rPr>
            </w:pPr>
            <w:r w:rsidRPr="00116042">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0A7E9C6C" w14:textId="77777777" w:rsidR="00EF3100" w:rsidRPr="00116042" w:rsidRDefault="00EF3100" w:rsidP="00342599">
            <w:pPr>
              <w:rPr>
                <w:rFonts w:ascii="Verdana" w:eastAsia="Aptos" w:hAnsi="Verdana" w:cs="Arial"/>
                <w:sz w:val="14"/>
                <w:szCs w:val="14"/>
                <w:lang w:eastAsia="es-ES"/>
              </w:rPr>
            </w:pPr>
            <w:r w:rsidRPr="00116042">
              <w:rPr>
                <w:rFonts w:ascii="Verdana" w:eastAsia="Aptos" w:hAnsi="Verdana" w:cs="Arial"/>
                <w:sz w:val="14"/>
                <w:szCs w:val="14"/>
                <w:lang w:eastAsia="es-ES"/>
              </w:rPr>
              <w:t>Carolina Quintero Gacharná</w:t>
            </w:r>
          </w:p>
          <w:p w14:paraId="36438CFD" w14:textId="77777777" w:rsidR="00EF3100" w:rsidRPr="00116042" w:rsidRDefault="00EF3100" w:rsidP="00342599">
            <w:pPr>
              <w:rPr>
                <w:rFonts w:ascii="Verdana" w:eastAsia="Aptos" w:hAnsi="Verdana" w:cs="Arial"/>
                <w:sz w:val="14"/>
                <w:szCs w:val="14"/>
                <w:lang w:eastAsia="es-ES"/>
              </w:rPr>
            </w:pPr>
            <w:r w:rsidRPr="00116042">
              <w:rPr>
                <w:rFonts w:ascii="Verdana" w:eastAsia="Aptos" w:hAnsi="Verdana" w:cs="Arial"/>
                <w:sz w:val="14"/>
                <w:szCs w:val="14"/>
                <w:lang w:eastAsia="es-ES"/>
              </w:rPr>
              <w:t>Subdirectora de Gestión Contractual ANCP – CCE</w:t>
            </w:r>
          </w:p>
        </w:tc>
      </w:tr>
    </w:tbl>
    <w:p w14:paraId="70B27449" w14:textId="77777777" w:rsidR="00EF3100" w:rsidRPr="00116042" w:rsidRDefault="00EF3100" w:rsidP="00EF3100">
      <w:pPr>
        <w:rPr>
          <w:rFonts w:ascii="Verdana" w:hAnsi="Verdana" w:cs="Arial"/>
          <w:lang w:eastAsia="es-ES"/>
        </w:rPr>
      </w:pPr>
    </w:p>
    <w:p w14:paraId="0924007F" w14:textId="77777777" w:rsidR="00EF3100" w:rsidRPr="00116042" w:rsidRDefault="00EF3100" w:rsidP="00EF3100">
      <w:pPr>
        <w:rPr>
          <w:rFonts w:ascii="Verdana" w:eastAsia="Aptos" w:hAnsi="Verdana"/>
        </w:rPr>
      </w:pPr>
    </w:p>
    <w:p w14:paraId="4533B1DF" w14:textId="77777777" w:rsidR="00EF3100" w:rsidRPr="00116042" w:rsidRDefault="00EF3100" w:rsidP="00EF3100">
      <w:pPr>
        <w:rPr>
          <w:rFonts w:ascii="Verdana" w:eastAsia="Aptos" w:hAnsi="Verdana" w:cs="Arial"/>
        </w:rPr>
      </w:pPr>
    </w:p>
    <w:p w14:paraId="6B3B9884" w14:textId="29FAF00C" w:rsidR="00EF3100" w:rsidRPr="000E2B93" w:rsidRDefault="00EF3100" w:rsidP="00EF3100">
      <w:pPr>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529B8D43" w14:textId="77777777" w:rsidR="00EF3100" w:rsidRPr="00EF3100" w:rsidRDefault="00EF3100" w:rsidP="00EF3100"/>
    <w:sectPr w:rsidR="00EF3100" w:rsidRPr="00EF3100" w:rsidSect="00EF3100">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4BC43" w14:textId="77777777" w:rsidR="00E15A61" w:rsidRDefault="00E15A61" w:rsidP="00EF3100">
      <w:r>
        <w:separator/>
      </w:r>
    </w:p>
  </w:endnote>
  <w:endnote w:type="continuationSeparator" w:id="0">
    <w:p w14:paraId="2580B351" w14:textId="77777777" w:rsidR="00E15A61" w:rsidRDefault="00E15A61" w:rsidP="00EF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altName w:val="Arial"/>
    <w:charset w:val="00"/>
    <w:family w:val="auto"/>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F24D" w14:textId="77777777" w:rsidR="00EF3100" w:rsidRDefault="00EF3100">
    <w:pPr>
      <w:pStyle w:val="Piedepgina"/>
    </w:pPr>
  </w:p>
  <w:p w14:paraId="2F3E3AEE" w14:textId="77777777" w:rsidR="00EF3100" w:rsidRPr="00174B77" w:rsidRDefault="00EF3100"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cstheme="minorBidi"/>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16796D4" w14:textId="77777777" w:rsidR="00EF3100" w:rsidRDefault="00EF3100"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7E11F8BC" w14:textId="77777777" w:rsidR="00EF3100" w:rsidRPr="00E41027" w:rsidRDefault="00EF3100"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12804D92" w14:textId="77777777" w:rsidR="00EF3100" w:rsidRDefault="00EF3100"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3EEF5" w14:textId="77777777" w:rsidR="00E15A61" w:rsidRDefault="00E15A61" w:rsidP="00EF3100">
      <w:r>
        <w:separator/>
      </w:r>
    </w:p>
  </w:footnote>
  <w:footnote w:type="continuationSeparator" w:id="0">
    <w:p w14:paraId="40C70E32" w14:textId="77777777" w:rsidR="00E15A61" w:rsidRDefault="00E15A61" w:rsidP="00EF3100">
      <w:r>
        <w:continuationSeparator/>
      </w:r>
    </w:p>
  </w:footnote>
  <w:footnote w:id="1">
    <w:p w14:paraId="464D2B80" w14:textId="77777777" w:rsidR="00EF3100" w:rsidRPr="00697213" w:rsidRDefault="00EF3100" w:rsidP="00EF3100">
      <w:pPr>
        <w:pStyle w:val="Textonotapie"/>
        <w:ind w:firstLine="709"/>
        <w:jc w:val="both"/>
        <w:rPr>
          <w:rFonts w:ascii="Verdana" w:eastAsia="Calibri" w:hAnsi="Verdana" w:cs="Arial"/>
          <w:color w:val="000000"/>
          <w:sz w:val="14"/>
          <w:szCs w:val="14"/>
        </w:rPr>
      </w:pPr>
      <w:r w:rsidRPr="00697213">
        <w:rPr>
          <w:rStyle w:val="Refdenotaalpie"/>
          <w:rFonts w:ascii="Verdana" w:hAnsi="Verdana" w:cs="Arial"/>
          <w:color w:val="000000"/>
          <w:sz w:val="14"/>
          <w:szCs w:val="14"/>
        </w:rPr>
        <w:footnoteRef/>
      </w:r>
      <w:r w:rsidRPr="00697213">
        <w:rPr>
          <w:rFonts w:ascii="Verdana" w:hAnsi="Verdana" w:cs="Arial"/>
          <w:color w:val="000000"/>
          <w:sz w:val="14"/>
          <w:szCs w:val="14"/>
        </w:rPr>
        <w:t xml:space="preserve"> </w:t>
      </w:r>
      <w:r w:rsidRPr="00697213">
        <w:rPr>
          <w:rFonts w:ascii="Verdana" w:eastAsia="Calibri" w:hAnsi="Verdana" w:cs="Arial"/>
          <w:color w:val="000000"/>
          <w:sz w:val="14"/>
          <w:szCs w:val="14"/>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198A9536" w14:textId="77777777" w:rsidR="00EF3100" w:rsidRPr="00697213" w:rsidRDefault="00EF3100" w:rsidP="00EF3100">
      <w:pPr>
        <w:pStyle w:val="Textonotapie"/>
        <w:ind w:firstLine="709"/>
        <w:jc w:val="both"/>
        <w:rPr>
          <w:rFonts w:ascii="Verdana" w:eastAsia="Calibri" w:hAnsi="Verdana" w:cs="Arial"/>
          <w:color w:val="000000"/>
          <w:sz w:val="14"/>
          <w:szCs w:val="14"/>
        </w:rPr>
      </w:pPr>
      <w:r w:rsidRPr="00697213">
        <w:rPr>
          <w:rFonts w:ascii="Verdana" w:eastAsia="Calibri" w:hAnsi="Verdana" w:cs="Arial"/>
          <w:color w:val="000000"/>
          <w:sz w:val="14"/>
          <w:szCs w:val="14"/>
        </w:rPr>
        <w:t>[…]</w:t>
      </w:r>
    </w:p>
    <w:p w14:paraId="748AE592" w14:textId="77777777" w:rsidR="00EF3100" w:rsidRPr="00697213" w:rsidRDefault="00EF3100" w:rsidP="00EF3100">
      <w:pPr>
        <w:pStyle w:val="Textonotapie"/>
        <w:ind w:firstLine="709"/>
        <w:jc w:val="both"/>
        <w:rPr>
          <w:rFonts w:ascii="Verdana" w:hAnsi="Verdana" w:cs="Arial"/>
          <w:color w:val="000000"/>
          <w:sz w:val="14"/>
          <w:szCs w:val="14"/>
          <w:lang w:val="es-CO"/>
        </w:rPr>
      </w:pPr>
      <w:r w:rsidRPr="00697213">
        <w:rPr>
          <w:rFonts w:ascii="Verdana" w:eastAsia="Calibri" w:hAnsi="Verdana" w:cs="Arial"/>
          <w:color w:val="000000"/>
          <w:sz w:val="14"/>
          <w:szCs w:val="14"/>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697213">
        <w:rPr>
          <w:rFonts w:ascii="Verdana" w:hAnsi="Verdana" w:cs="Arial"/>
          <w:color w:val="000000"/>
          <w:sz w:val="14"/>
          <w:szCs w:val="14"/>
          <w:lang w:val="es-CO"/>
        </w:rPr>
        <w:t xml:space="preserve"> </w:t>
      </w:r>
    </w:p>
  </w:footnote>
  <w:footnote w:id="2">
    <w:p w14:paraId="0F9611A5" w14:textId="77777777" w:rsidR="00EF3100" w:rsidRPr="00697213" w:rsidRDefault="00EF3100" w:rsidP="00EF3100">
      <w:pPr>
        <w:pStyle w:val="Textonotapie"/>
        <w:ind w:firstLine="709"/>
        <w:jc w:val="both"/>
        <w:rPr>
          <w:rFonts w:ascii="Verdana" w:hAnsi="Verdana" w:cs="Arial"/>
          <w:color w:val="000000"/>
          <w:sz w:val="14"/>
          <w:szCs w:val="14"/>
          <w:lang w:val="es-CO"/>
        </w:rPr>
      </w:pPr>
      <w:r w:rsidRPr="00697213">
        <w:rPr>
          <w:rFonts w:ascii="Verdana" w:eastAsia="Calibri" w:hAnsi="Verdana" w:cs="Arial"/>
          <w:color w:val="000000"/>
          <w:sz w:val="14"/>
          <w:szCs w:val="14"/>
          <w:vertAlign w:val="superscript"/>
        </w:rPr>
        <w:footnoteRef/>
      </w:r>
      <w:r w:rsidRPr="00697213">
        <w:rPr>
          <w:rFonts w:ascii="Verdana" w:eastAsia="Calibri" w:hAnsi="Verdana" w:cs="Arial"/>
          <w:color w:val="000000"/>
          <w:sz w:val="14"/>
          <w:szCs w:val="14"/>
          <w:vertAlign w:val="superscript"/>
        </w:rPr>
        <w:t xml:space="preserve"> </w:t>
      </w:r>
      <w:r w:rsidRPr="00697213">
        <w:rPr>
          <w:rFonts w:ascii="Verdana" w:eastAsia="Calibri" w:hAnsi="Verdana" w:cs="Arial"/>
          <w:color w:val="000000"/>
          <w:sz w:val="14"/>
          <w:szCs w:val="14"/>
        </w:rPr>
        <w:t xml:space="preserve">Consejo de Estado. Sección Tercera. Sentencia del 26 de junio de 2003. Rad. 13.354. C.P. María Elena Giraldo Gómez. </w:t>
      </w:r>
    </w:p>
  </w:footnote>
  <w:footnote w:id="3">
    <w:p w14:paraId="0B2FA74F" w14:textId="77777777" w:rsidR="00EF3100" w:rsidRPr="00697213" w:rsidRDefault="00EF3100" w:rsidP="00EF3100">
      <w:pPr>
        <w:pStyle w:val="NormalWeb1"/>
        <w:shd w:val="clear" w:color="auto" w:fill="FFFFFF"/>
        <w:ind w:firstLine="709"/>
        <w:jc w:val="both"/>
        <w:rPr>
          <w:rFonts w:ascii="Verdana" w:hAnsi="Verdana" w:cs="Arial"/>
          <w:sz w:val="14"/>
          <w:szCs w:val="14"/>
        </w:rPr>
      </w:pPr>
      <w:r w:rsidRPr="00697213">
        <w:rPr>
          <w:rStyle w:val="Refdenotaalpie"/>
          <w:rFonts w:ascii="Verdana" w:eastAsia="Times New Roman" w:hAnsi="Verdana" w:cs="Arial"/>
          <w:sz w:val="14"/>
          <w:szCs w:val="14"/>
        </w:rPr>
        <w:footnoteRef/>
      </w:r>
      <w:r w:rsidRPr="00697213">
        <w:rPr>
          <w:rStyle w:val="Refdenotaalpie"/>
          <w:rFonts w:ascii="Verdana" w:eastAsia="Times New Roman" w:hAnsi="Verdana" w:cs="Arial"/>
          <w:sz w:val="14"/>
          <w:szCs w:val="14"/>
        </w:rPr>
        <w:t xml:space="preserve"> </w:t>
      </w:r>
      <w:r w:rsidRPr="00697213">
        <w:rPr>
          <w:rFonts w:ascii="Verdana" w:eastAsia="Times New Roman" w:hAnsi="Verdana" w:cs="Arial"/>
          <w:sz w:val="14"/>
          <w:szCs w:val="14"/>
        </w:rPr>
        <w:t xml:space="preserve">Decreto 1082 de 2015: </w:t>
      </w:r>
      <w:r w:rsidRPr="00697213">
        <w:rPr>
          <w:rFonts w:ascii="Verdana" w:hAnsi="Verdana" w:cs="Arial"/>
          <w:sz w:val="14"/>
          <w:szCs w:val="14"/>
        </w:rPr>
        <w:t>“Artículo 2.2.1.1.1.6.4. Capacidad Residual: El interesado en celebrar contratos de obra pública con Entidades Estatales debe acreditar su Capacidad Residual o K de Contratación con los siguientes documentos:</w:t>
      </w:r>
    </w:p>
    <w:p w14:paraId="3E32364D" w14:textId="77777777" w:rsidR="00EF3100" w:rsidRPr="00697213" w:rsidRDefault="00EF3100" w:rsidP="00EF3100">
      <w:pPr>
        <w:shd w:val="clear" w:color="auto" w:fill="FFFFFF"/>
        <w:ind w:firstLine="709"/>
        <w:jc w:val="both"/>
        <w:rPr>
          <w:rFonts w:ascii="Verdana" w:hAnsi="Verdana" w:cs="Arial"/>
          <w:sz w:val="14"/>
          <w:szCs w:val="14"/>
        </w:rPr>
      </w:pPr>
      <w:r w:rsidRPr="00697213">
        <w:rPr>
          <w:rFonts w:ascii="Verdana" w:hAnsi="Verdana" w:cs="Arial"/>
          <w:sz w:val="14"/>
          <w:szCs w:val="14"/>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2759EF15" w14:textId="77777777" w:rsidR="00EF3100" w:rsidRPr="00697213" w:rsidRDefault="00EF3100" w:rsidP="00EF3100">
      <w:pPr>
        <w:shd w:val="clear" w:color="auto" w:fill="FFFFFF"/>
        <w:ind w:firstLine="709"/>
        <w:jc w:val="both"/>
        <w:rPr>
          <w:rFonts w:ascii="Verdana" w:hAnsi="Verdana" w:cs="Arial"/>
          <w:sz w:val="14"/>
          <w:szCs w:val="14"/>
        </w:rPr>
      </w:pPr>
      <w:r w:rsidRPr="00697213">
        <w:rPr>
          <w:rFonts w:ascii="Verdana" w:hAnsi="Verdana" w:cs="Arial"/>
          <w:sz w:val="14"/>
          <w:szCs w:val="14"/>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035BA91" w14:textId="77777777" w:rsidR="00EF3100" w:rsidRPr="00697213" w:rsidRDefault="00EF3100" w:rsidP="00EF3100">
      <w:pPr>
        <w:shd w:val="clear" w:color="auto" w:fill="FFFFFF"/>
        <w:ind w:firstLine="709"/>
        <w:jc w:val="both"/>
        <w:rPr>
          <w:rFonts w:ascii="Verdana" w:hAnsi="Verdana" w:cs="Arial"/>
          <w:sz w:val="14"/>
          <w:szCs w:val="14"/>
        </w:rPr>
      </w:pPr>
      <w:r w:rsidRPr="00697213">
        <w:rPr>
          <w:rFonts w:ascii="Verdana" w:hAnsi="Verdana" w:cs="Arial"/>
          <w:sz w:val="14"/>
          <w:szCs w:val="14"/>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68432085" w14:textId="77777777" w:rsidR="00EF3100" w:rsidRPr="00697213" w:rsidRDefault="00EF3100" w:rsidP="00EF3100">
      <w:pPr>
        <w:pStyle w:val="NormalWeb"/>
        <w:shd w:val="clear" w:color="auto" w:fill="FFFFFF"/>
        <w:spacing w:before="0" w:beforeAutospacing="0" w:after="0" w:afterAutospacing="0"/>
        <w:ind w:firstLine="708"/>
        <w:jc w:val="both"/>
        <w:rPr>
          <w:rFonts w:ascii="Verdana" w:hAnsi="Verdana" w:cs="Arial"/>
          <w:sz w:val="14"/>
          <w:szCs w:val="14"/>
        </w:rPr>
      </w:pPr>
      <w:r w:rsidRPr="00697213">
        <w:rPr>
          <w:rStyle w:val="Refdenotaalpie"/>
          <w:rFonts w:ascii="Verdana" w:hAnsi="Verdana" w:cs="Arial"/>
          <w:sz w:val="14"/>
          <w:szCs w:val="14"/>
        </w:rPr>
        <w:footnoteRef/>
      </w:r>
      <w:r w:rsidRPr="00697213">
        <w:rPr>
          <w:rFonts w:ascii="Verdana" w:hAnsi="Verdana" w:cs="Arial"/>
          <w:sz w:val="14"/>
          <w:szCs w:val="14"/>
        </w:rPr>
        <w:t xml:space="preserve"> Agencia Nacional de Contratación Pública – Colombia Compra Eficiente. </w:t>
      </w:r>
      <w:r w:rsidRPr="00697213">
        <w:rPr>
          <w:rFonts w:ascii="Verdana" w:hAnsi="Verdana" w:cs="Arial"/>
          <w:sz w:val="14"/>
          <w:szCs w:val="14"/>
          <w:lang w:val="es-ES"/>
        </w:rPr>
        <w:t>Concepto C-017 de 2023.</w:t>
      </w:r>
    </w:p>
  </w:footnote>
  <w:footnote w:id="5">
    <w:p w14:paraId="724371F8" w14:textId="77777777" w:rsidR="00EF3100" w:rsidRPr="00697213" w:rsidRDefault="00EF3100" w:rsidP="00EF3100">
      <w:pPr>
        <w:pStyle w:val="Textonotapie"/>
        <w:ind w:firstLine="708"/>
        <w:jc w:val="both"/>
        <w:rPr>
          <w:rFonts w:ascii="Verdana" w:hAnsi="Verdana"/>
          <w:sz w:val="14"/>
          <w:szCs w:val="14"/>
        </w:rPr>
      </w:pPr>
      <w:r w:rsidRPr="00697213">
        <w:rPr>
          <w:rStyle w:val="Refdenotaalpie"/>
          <w:rFonts w:ascii="Verdana" w:hAnsi="Verdana"/>
          <w:sz w:val="14"/>
          <w:szCs w:val="14"/>
        </w:rPr>
        <w:footnoteRef/>
      </w:r>
      <w:r w:rsidRPr="00697213">
        <w:rPr>
          <w:rFonts w:ascii="Verdana" w:hAnsi="Verdana"/>
          <w:sz w:val="14"/>
          <w:szCs w:val="14"/>
        </w:rPr>
        <w:t xml:space="preserve"> Los Documentos Tipo transversales de licitación de infraestructura social – Versión, se encuentran disponibles para su consulta en el siguiente enlace: </w:t>
      </w:r>
    </w:p>
    <w:p w14:paraId="20782743" w14:textId="6EE6C38A" w:rsidR="00EF3100" w:rsidRPr="00697213" w:rsidRDefault="00EF3100" w:rsidP="00EF3100">
      <w:pPr>
        <w:pStyle w:val="Textonotapie"/>
        <w:ind w:firstLine="708"/>
        <w:jc w:val="both"/>
        <w:rPr>
          <w:rFonts w:ascii="Verdana" w:hAnsi="Verdana"/>
          <w:sz w:val="14"/>
          <w:szCs w:val="14"/>
          <w:lang w:val="es-CO"/>
        </w:rPr>
      </w:pPr>
      <w:hyperlink r:id="rId1" w:history="1">
        <w:r w:rsidRPr="00697213">
          <w:rPr>
            <w:rStyle w:val="Hipervnculo"/>
            <w:rFonts w:ascii="Verdana" w:hAnsi="Verdana"/>
            <w:sz w:val="14"/>
            <w:szCs w:val="14"/>
            <w:lang w:val="es-CO"/>
          </w:rPr>
          <w:t>https://www.colombiacompra.gov.co/archivos/documento/05-documentos-tipo-transversales-de-infraestructura-social-licitacion-publica-version-2</w:t>
        </w:r>
      </w:hyperlink>
      <w:r w:rsidRPr="00697213">
        <w:rPr>
          <w:rFonts w:ascii="Verdana" w:hAnsi="Verdana"/>
          <w:sz w:val="14"/>
          <w:szCs w:val="14"/>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3889" w14:textId="77777777" w:rsidR="00EF3100" w:rsidRDefault="00EF310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4251B5A" wp14:editId="3E9720BD">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46CFD2B8" wp14:editId="2DD3B17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0B1B33E" w14:textId="77777777" w:rsidR="00EF3100" w:rsidRDefault="00EF3100">
    <w:pPr>
      <w:pStyle w:val="Encabezado"/>
    </w:pPr>
  </w:p>
  <w:p w14:paraId="5C361256" w14:textId="77777777" w:rsidR="00EF3100" w:rsidRPr="004A305D" w:rsidRDefault="00EF3100" w:rsidP="00B01B1A">
    <w:pPr>
      <w:spacing w:line="120" w:lineRule="auto"/>
      <w:rPr>
        <w:rFonts w:ascii="Century Gothic" w:eastAsia="Geo" w:hAnsi="Century Gothic" w:cs="Geo"/>
        <w:sz w:val="16"/>
        <w:szCs w:val="16"/>
        <w:lang w:eastAsia="es-CO"/>
      </w:rPr>
    </w:pPr>
  </w:p>
  <w:p w14:paraId="216A4BA7" w14:textId="77777777" w:rsidR="00EF3100" w:rsidRDefault="00EF3100" w:rsidP="00844AE9">
    <w:pPr>
      <w:rPr>
        <w:rFonts w:ascii="Verdana" w:hAnsi="Verdana"/>
      </w:rPr>
    </w:pPr>
  </w:p>
  <w:p w14:paraId="05E51A6A" w14:textId="77777777" w:rsidR="00EF3100" w:rsidRPr="00C925AC" w:rsidRDefault="00EF3100" w:rsidP="00844AE9">
    <w:pPr>
      <w:rPr>
        <w:rFonts w:ascii="Verdana" w:hAnsi="Verdana"/>
      </w:rPr>
    </w:pPr>
  </w:p>
  <w:p w14:paraId="413318B1" w14:textId="77777777" w:rsidR="00EF3100" w:rsidRPr="00C925AC" w:rsidRDefault="00EF3100" w:rsidP="000D5DA7">
    <w:pPr>
      <w:spacing w:line="480" w:lineRule="auto"/>
      <w:rPr>
        <w:rFonts w:ascii="Verdana" w:hAnsi="Verdana"/>
        <w:b/>
        <w:bCs/>
      </w:rPr>
    </w:pPr>
    <w:r w:rsidRPr="00C925AC">
      <w:rPr>
        <w:rFonts w:ascii="Verdana" w:hAnsi="Verdana"/>
        <w:b/>
        <w:bCs/>
      </w:rPr>
      <w:t>FORMATO</w:t>
    </w:r>
    <w:r>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60631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00"/>
    <w:rsid w:val="002171BC"/>
    <w:rsid w:val="0064444E"/>
    <w:rsid w:val="007A4042"/>
    <w:rsid w:val="00802538"/>
    <w:rsid w:val="00A71FDB"/>
    <w:rsid w:val="00DB43A2"/>
    <w:rsid w:val="00E06DE6"/>
    <w:rsid w:val="00E15A61"/>
    <w:rsid w:val="00EF310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F7DF"/>
  <w15:chartTrackingRefBased/>
  <w15:docId w15:val="{D880A879-BEAF-413E-B338-690FE77CC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100"/>
    <w:pPr>
      <w:spacing w:after="0" w:line="240" w:lineRule="auto"/>
    </w:pPr>
    <w:rPr>
      <w:rFonts w:ascii="Times New Roman" w:eastAsia="Times New Roman" w:hAnsi="Times New Roman" w:cs="Times New Roman"/>
      <w:kern w:val="0"/>
      <w:lang w:eastAsia="es-ES_tradnl"/>
      <w14:ligatures w14:val="none"/>
    </w:rPr>
  </w:style>
  <w:style w:type="paragraph" w:styleId="Ttulo1">
    <w:name w:val="heading 1"/>
    <w:basedOn w:val="Normal"/>
    <w:next w:val="Normal"/>
    <w:link w:val="Ttulo1Car"/>
    <w:uiPriority w:val="9"/>
    <w:qFormat/>
    <w:rsid w:val="00EF31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31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31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31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31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310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310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310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310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31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31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31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31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31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31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31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31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3100"/>
    <w:rPr>
      <w:rFonts w:eastAsiaTheme="majorEastAsia" w:cstheme="majorBidi"/>
      <w:color w:val="272727" w:themeColor="text1" w:themeTint="D8"/>
    </w:rPr>
  </w:style>
  <w:style w:type="paragraph" w:styleId="Ttulo">
    <w:name w:val="Title"/>
    <w:basedOn w:val="Normal"/>
    <w:next w:val="Normal"/>
    <w:link w:val="TtuloCar"/>
    <w:uiPriority w:val="10"/>
    <w:qFormat/>
    <w:rsid w:val="00EF310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31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31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31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3100"/>
    <w:pPr>
      <w:spacing w:before="160"/>
      <w:jc w:val="center"/>
    </w:pPr>
    <w:rPr>
      <w:i/>
      <w:iCs/>
      <w:color w:val="404040" w:themeColor="text1" w:themeTint="BF"/>
    </w:rPr>
  </w:style>
  <w:style w:type="character" w:customStyle="1" w:styleId="CitaCar">
    <w:name w:val="Cita Car"/>
    <w:basedOn w:val="Fuentedeprrafopredeter"/>
    <w:link w:val="Cita"/>
    <w:uiPriority w:val="29"/>
    <w:rsid w:val="00EF3100"/>
    <w:rPr>
      <w:i/>
      <w:iCs/>
      <w:color w:val="404040" w:themeColor="text1" w:themeTint="BF"/>
    </w:rPr>
  </w:style>
  <w:style w:type="paragraph" w:styleId="Prrafodelista">
    <w:name w:val="List Paragraph"/>
    <w:basedOn w:val="Normal"/>
    <w:uiPriority w:val="34"/>
    <w:qFormat/>
    <w:rsid w:val="00EF3100"/>
    <w:pPr>
      <w:ind w:left="720"/>
      <w:contextualSpacing/>
    </w:pPr>
  </w:style>
  <w:style w:type="character" w:styleId="nfasisintenso">
    <w:name w:val="Intense Emphasis"/>
    <w:basedOn w:val="Fuentedeprrafopredeter"/>
    <w:uiPriority w:val="21"/>
    <w:qFormat/>
    <w:rsid w:val="00EF3100"/>
    <w:rPr>
      <w:i/>
      <w:iCs/>
      <w:color w:val="0F4761" w:themeColor="accent1" w:themeShade="BF"/>
    </w:rPr>
  </w:style>
  <w:style w:type="paragraph" w:styleId="Citadestacada">
    <w:name w:val="Intense Quote"/>
    <w:basedOn w:val="Normal"/>
    <w:next w:val="Normal"/>
    <w:link w:val="CitadestacadaCar"/>
    <w:uiPriority w:val="30"/>
    <w:qFormat/>
    <w:rsid w:val="00EF31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3100"/>
    <w:rPr>
      <w:i/>
      <w:iCs/>
      <w:color w:val="0F4761" w:themeColor="accent1" w:themeShade="BF"/>
    </w:rPr>
  </w:style>
  <w:style w:type="character" w:styleId="Referenciaintensa">
    <w:name w:val="Intense Reference"/>
    <w:basedOn w:val="Fuentedeprrafopredeter"/>
    <w:uiPriority w:val="32"/>
    <w:qFormat/>
    <w:rsid w:val="00EF3100"/>
    <w:rPr>
      <w:b/>
      <w:bCs/>
      <w:smallCaps/>
      <w:color w:val="0F4761" w:themeColor="accent1" w:themeShade="BF"/>
      <w:spacing w:val="5"/>
    </w:rPr>
  </w:style>
  <w:style w:type="paragraph" w:styleId="Encabezado">
    <w:name w:val="header"/>
    <w:basedOn w:val="Normal"/>
    <w:link w:val="EncabezadoCar"/>
    <w:uiPriority w:val="99"/>
    <w:unhideWhenUsed/>
    <w:rsid w:val="00EF310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EF3100"/>
    <w:rPr>
      <w:kern w:val="0"/>
      <w:sz w:val="22"/>
      <w:szCs w:val="22"/>
      <w14:ligatures w14:val="none"/>
    </w:rPr>
  </w:style>
  <w:style w:type="paragraph" w:styleId="Piedepgina">
    <w:name w:val="footer"/>
    <w:basedOn w:val="Normal"/>
    <w:link w:val="PiedepginaCar"/>
    <w:uiPriority w:val="99"/>
    <w:unhideWhenUsed/>
    <w:rsid w:val="00EF310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EF310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F310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EF3100"/>
    <w:rPr>
      <w:rFonts w:asciiTheme="minorHAnsi" w:eastAsiaTheme="minorHAnsi" w:hAnsiTheme="minorHAnsi" w:cstheme="minorBidi"/>
      <w:kern w:val="2"/>
      <w:sz w:val="20"/>
      <w:szCs w:val="20"/>
      <w:lang w:val="es-MX" w:eastAsia="en-US"/>
      <w14:ligatures w14:val="standardContextual"/>
    </w:rPr>
  </w:style>
  <w:style w:type="character" w:customStyle="1" w:styleId="TextonotapieCar1">
    <w:name w:val="Texto nota pie Car1"/>
    <w:basedOn w:val="Fuentedeprrafopredeter"/>
    <w:uiPriority w:val="99"/>
    <w:semiHidden/>
    <w:rsid w:val="00EF3100"/>
    <w:rPr>
      <w:rFonts w:ascii="Times New Roman" w:eastAsia="Times New Roman" w:hAnsi="Times New Roman" w:cs="Times New Roman"/>
      <w:kern w:val="0"/>
      <w:sz w:val="20"/>
      <w:szCs w:val="20"/>
      <w:lang w:eastAsia="es-ES_tradnl"/>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F3100"/>
    <w:rPr>
      <w:vertAlign w:val="superscript"/>
    </w:rPr>
  </w:style>
  <w:style w:type="table" w:styleId="Tablaconcuadrcula">
    <w:name w:val="Table Grid"/>
    <w:basedOn w:val="Tablanormal"/>
    <w:uiPriority w:val="39"/>
    <w:qFormat/>
    <w:rsid w:val="00EF310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F3100"/>
    <w:rPr>
      <w:color w:val="0000FF"/>
      <w:u w:val="single"/>
    </w:rPr>
  </w:style>
  <w:style w:type="paragraph" w:styleId="NormalWeb">
    <w:name w:val="Normal (Web)"/>
    <w:basedOn w:val="Normal"/>
    <w:uiPriority w:val="99"/>
    <w:semiHidden/>
    <w:unhideWhenUsed/>
    <w:rsid w:val="00EF3100"/>
    <w:pPr>
      <w:spacing w:before="100" w:beforeAutospacing="1" w:after="100" w:afterAutospacing="1"/>
    </w:pPr>
    <w:rPr>
      <w:lang w:eastAsia="es-CO"/>
    </w:rPr>
  </w:style>
  <w:style w:type="paragraph" w:customStyle="1" w:styleId="Appelnotedebasde">
    <w:name w:val="Appel note de bas de..."/>
    <w:basedOn w:val="Normal"/>
    <w:link w:val="Refdenotaalpie"/>
    <w:uiPriority w:val="99"/>
    <w:rsid w:val="00EF3100"/>
    <w:pPr>
      <w:spacing w:after="160" w:line="240" w:lineRule="exact"/>
    </w:pPr>
    <w:rPr>
      <w:rFonts w:asciiTheme="minorHAnsi" w:eastAsiaTheme="minorHAnsi" w:hAnsiTheme="minorHAnsi" w:cstheme="minorBidi"/>
      <w:kern w:val="2"/>
      <w:vertAlign w:val="superscript"/>
      <w:lang w:eastAsia="en-US"/>
      <w14:ligatures w14:val="standardContextual"/>
    </w:rPr>
  </w:style>
  <w:style w:type="table" w:customStyle="1" w:styleId="Tablaconcuadrcula11">
    <w:name w:val="Tabla con cuadrícula11"/>
    <w:basedOn w:val="Tablanormal"/>
    <w:next w:val="Tablaconcuadrcula"/>
    <w:uiPriority w:val="59"/>
    <w:qFormat/>
    <w:rsid w:val="00EF310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semiHidden/>
    <w:unhideWhenUsed/>
    <w:rsid w:val="00EF3100"/>
    <w:rPr>
      <w:rFonts w:eastAsiaTheme="minorHAnsi"/>
      <w:kern w:val="2"/>
      <w:lang w:val="es-ES_tradnl" w:eastAsia="en-US"/>
      <w14:ligatures w14:val="standardContextual"/>
    </w:rPr>
  </w:style>
  <w:style w:type="character" w:styleId="Fuerte">
    <w:name w:val="Strong"/>
    <w:basedOn w:val="Fuentedeprrafopredeter"/>
    <w:uiPriority w:val="22"/>
    <w:qFormat/>
    <w:rsid w:val="00EF31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viervaldesp@hot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colombiacompra.gov.co/archivos/boletin/boletin-edicion-n-3-de-2026-radar-de-la-compra-publi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guias-y-manuales"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documento/05-documentos-tipo-transversales-de-infraestructura-social-licitacion-publica-version-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35445A-245C-449E-85A3-F9489A6F6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5B9F3A-9DF6-4D85-9F0C-EA5880CAFA5F}">
  <ds:schemaRefs>
    <ds:schemaRef ds:uri="http://schemas.microsoft.com/sharepoint/v3/contenttype/forms"/>
  </ds:schemaRefs>
</ds:datastoreItem>
</file>

<file path=customXml/itemProps3.xml><?xml version="1.0" encoding="utf-8"?>
<ds:datastoreItem xmlns:ds="http://schemas.openxmlformats.org/officeDocument/2006/customXml" ds:itemID="{E4ACA619-1959-4510-A2F3-E5406AEBDC1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6587</Words>
  <Characters>36231</Characters>
  <Application>Microsoft Office Word</Application>
  <DocSecurity>0</DocSecurity>
  <Lines>301</Lines>
  <Paragraphs>85</Paragraphs>
  <ScaleCrop>false</ScaleCrop>
  <Company/>
  <LinksUpToDate>false</LinksUpToDate>
  <CharactersWithSpaces>42733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2026-09-18T13:44:00Z</dcterms:created>
  <dcterms:modified xsi:type="dcterms:W3CDTF">2026-09-18T13:51:00Z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