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5E78A"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CONTRATACIÓN DIRECTA – Servicios profesionales y de apoyo a la gestión – Procedencia</w:t>
      </w:r>
    </w:p>
    <w:p w14:paraId="530091B1" w14:textId="77777777" w:rsidR="00F2171E" w:rsidRDefault="00F2171E" w:rsidP="00F2171E">
      <w:pPr>
        <w:spacing w:after="0" w:line="240" w:lineRule="auto"/>
        <w:jc w:val="both"/>
        <w:rPr>
          <w:rFonts w:ascii="Verdana" w:hAnsi="Verdana" w:cs="Arial"/>
          <w:b/>
          <w:bCs/>
          <w:color w:val="000000"/>
          <w:lang w:val="es-ES"/>
        </w:rPr>
      </w:pPr>
    </w:p>
    <w:p w14:paraId="57E2172E"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contratación directa por la causal del literal h) del numeral 4 del artículo 2 de la Ley 1150 de 2007 es excepcional y reglada, lo que no la exime del cumplimiento de los principios que rigen la contratación pública y la función administrativa. Su procedencia depende de dos condiciones concurrentes. La primera, que el objeto corresponda efectivamente a servicios profesionales o de apoyo a la gestión, que el artículo 2.2.1.2.1.4.9 del Decreto 1082 de 2015 define como los de naturaleza intelectual diferentes a los de consultoría que se derivan del cumplimiento de las funciones de la entidad, así como los relacionados con actividades operativas, logísticas o asistenciales. La segunda, que se cumplan los supuestos del tipo contractual: conforme al numeral 3 del artículo 32 de la Ley 80 de 1993, estos contratos solo pueden celebrarse con personas naturales cuando las actividades no puedan realizarse con personal de planta o requieran conocimientos especializados, y se celebrarán por el término estrictamente indispensable.</w:t>
      </w:r>
    </w:p>
    <w:p w14:paraId="17A01E6C" w14:textId="77777777" w:rsidR="00F2171E" w:rsidRDefault="00F2171E" w:rsidP="00F2171E">
      <w:pPr>
        <w:spacing w:after="0" w:line="240" w:lineRule="auto"/>
        <w:jc w:val="both"/>
        <w:rPr>
          <w:rFonts w:ascii="Verdana" w:hAnsi="Verdana" w:cs="Arial"/>
          <w:b/>
          <w:bCs/>
          <w:color w:val="000000"/>
          <w:lang w:val="es-ES"/>
        </w:rPr>
      </w:pPr>
    </w:p>
    <w:p w14:paraId="74BBDF7C"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PLANEACIÓN – Contratación directa – Exigibilidad plena</w:t>
      </w:r>
    </w:p>
    <w:p w14:paraId="66799879" w14:textId="77777777" w:rsidR="00F2171E" w:rsidRDefault="00F2171E" w:rsidP="00F2171E">
      <w:pPr>
        <w:spacing w:after="0" w:line="240" w:lineRule="auto"/>
        <w:jc w:val="both"/>
        <w:rPr>
          <w:rFonts w:ascii="Verdana" w:hAnsi="Verdana" w:cs="Arial"/>
          <w:b/>
          <w:bCs/>
          <w:color w:val="000000"/>
          <w:lang w:val="es-ES"/>
        </w:rPr>
      </w:pPr>
    </w:p>
    <w:p w14:paraId="61DB4088"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modalidad de selección no atenúa los deberes de planeación. En la contratación directa de servicios profesionales y de apoyo a la gestión la entidad debe incluir la contratación en el Plan Anual de Adquisiciones, adelantar el análisis del sector y del mercado y elaborar los estudios y documentos previos. El artículo 2.2.1.1.2.1.1 del Decreto 1082 de 2015 es aplicable a esta modalidad, pues solo exceptúa expresamente la contratación de mínima cuantía.</w:t>
      </w:r>
    </w:p>
    <w:p w14:paraId="334794CC" w14:textId="77777777" w:rsidR="00F2171E" w:rsidRDefault="00F2171E" w:rsidP="00F2171E">
      <w:pPr>
        <w:spacing w:after="0" w:line="240" w:lineRule="auto"/>
        <w:jc w:val="both"/>
        <w:rPr>
          <w:rFonts w:ascii="Verdana" w:hAnsi="Verdana" w:cs="Arial"/>
          <w:b/>
          <w:bCs/>
          <w:color w:val="000000"/>
          <w:lang w:val="es-ES"/>
        </w:rPr>
      </w:pPr>
    </w:p>
    <w:p w14:paraId="5C242575"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ESTUDIOS Y DOCUMENTOS PREVIOS – Contenido – Acto de justificación no exigible</w:t>
      </w:r>
    </w:p>
    <w:p w14:paraId="71BDE10D" w14:textId="77777777" w:rsidR="00F2171E" w:rsidRDefault="00F2171E" w:rsidP="00F2171E">
      <w:pPr>
        <w:spacing w:after="0" w:line="240" w:lineRule="auto"/>
        <w:jc w:val="both"/>
        <w:rPr>
          <w:rFonts w:ascii="Verdana" w:hAnsi="Verdana" w:cs="Arial"/>
          <w:b/>
          <w:bCs/>
          <w:color w:val="000000"/>
          <w:lang w:val="es-ES"/>
        </w:rPr>
      </w:pPr>
    </w:p>
    <w:p w14:paraId="1C6FB0FA"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Los estudios y documentos previos deben contener la descripción de la necesidad, el objeto con sus especificaciones, la modalidad de selección y su justificación con los fundamentos jurídicos, el valor estimado y su justificación, los criterios para seleccionar la oferta más favorable, el análisis de riesgo, las garantías contempladas y la indicación sobre acuerdos comerciales. Cuando se afirma que la actividad no puede atenderse con personal de planta o que exige conocimiento especializado, esa afirmación integra la descripción de la necesidad y la justificación de la modalidad, y debe estar soportada. En cambio, por mandato del inciso final del artículo 2.2.1.2.1.4.1, no se requiere acto administrativo de justificación de la contratación directa: la dispensa recae sobre el acto, no sobre la justificación.</w:t>
      </w:r>
    </w:p>
    <w:p w14:paraId="03E5270A" w14:textId="77777777" w:rsidR="00F2171E" w:rsidRDefault="00F2171E" w:rsidP="00F2171E">
      <w:pPr>
        <w:spacing w:after="0" w:line="240" w:lineRule="auto"/>
        <w:jc w:val="both"/>
        <w:rPr>
          <w:rFonts w:ascii="Verdana" w:hAnsi="Verdana" w:cs="Arial"/>
          <w:b/>
          <w:bCs/>
          <w:color w:val="000000"/>
          <w:lang w:val="es-ES"/>
        </w:rPr>
      </w:pPr>
    </w:p>
    <w:p w14:paraId="0917514D"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INSUFICIENCIA DE PERSONAL DE PLANTA – Acreditación – Decreto 1068 de 2015</w:t>
      </w:r>
    </w:p>
    <w:p w14:paraId="5E969FF5" w14:textId="77777777" w:rsidR="00F2171E" w:rsidRDefault="00F2171E" w:rsidP="00F2171E">
      <w:pPr>
        <w:spacing w:after="0" w:line="240" w:lineRule="auto"/>
        <w:jc w:val="both"/>
        <w:rPr>
          <w:rFonts w:ascii="Verdana" w:hAnsi="Verdana" w:cs="Arial"/>
          <w:b/>
          <w:bCs/>
          <w:color w:val="000000"/>
          <w:lang w:val="es-ES"/>
        </w:rPr>
      </w:pPr>
    </w:p>
    <w:p w14:paraId="5383618E"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lastRenderedPageBreak/>
        <w:t>El artículo 2.8.4.4.5 del Decreto 1068 de 2015 —que compila el artículo 3 del Decreto 1737 de 1998, modificado por el artículo 1 del Decreto 2209 de 1998— dispone que estos contratos solo pueden celebrarse cuando no exista personal de planta con capacidad para realizar las actividades, precisa los eventos en que se entiende que no existe y añade que “la inexistencia de personal suficiente deberá acreditarse por el jefe del respectivo organismo”. Se trata de una exigencia autónoma y expresa. La norma no impone, sin embargo, una forma documental determinada ni un documento con denominación específica: lo exigible es que la manifestación provenga del jefe del organismo, que esté soportada y que sea verificable. Su ámbito de aplicación comprende a los organismos, entidades, entes públicos y personas jurídicas que financien sus gastos con recursos del Tesoro Público.</w:t>
      </w:r>
    </w:p>
    <w:p w14:paraId="72425F79" w14:textId="77777777" w:rsidR="00F2171E" w:rsidRDefault="00F2171E" w:rsidP="00F2171E">
      <w:pPr>
        <w:spacing w:after="0" w:line="240" w:lineRule="auto"/>
        <w:jc w:val="both"/>
        <w:rPr>
          <w:rFonts w:ascii="Verdana" w:hAnsi="Verdana" w:cs="Arial"/>
          <w:b/>
          <w:bCs/>
          <w:color w:val="000000"/>
          <w:lang w:val="es-ES"/>
        </w:rPr>
      </w:pPr>
    </w:p>
    <w:p w14:paraId="77558B75"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PLURALIDAD DE OFERTAS – No exigibilidad – Constancia del ordenador del gasto</w:t>
      </w:r>
    </w:p>
    <w:p w14:paraId="27D3F3ED" w14:textId="77777777" w:rsidR="00F2171E" w:rsidRDefault="00F2171E" w:rsidP="00F2171E">
      <w:pPr>
        <w:spacing w:after="0" w:line="240" w:lineRule="auto"/>
        <w:jc w:val="both"/>
        <w:rPr>
          <w:rFonts w:ascii="Verdana" w:hAnsi="Verdana" w:cs="Arial"/>
          <w:b/>
          <w:bCs/>
          <w:color w:val="000000"/>
          <w:lang w:val="es-ES"/>
        </w:rPr>
      </w:pPr>
    </w:p>
    <w:p w14:paraId="09419EA5"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Esta causal no exige convocatoria abierta, pluralidad de ofertas ni comparación competitiva de hojas de vida. El artículo 2.2.1.2.1.4.9 del Decreto 1082 de 2015 dispone que “no es necesario que la Entidad Estatal haya obtenido previamente varias ofertas, de lo cual el ordenador del gasto debe dejar constancia escrita”. La norma no dispensa sin más: sustituye la pluralidad por una carga documental a cargo del ordenador del gasto, de modo que el control se desplaza de la comparación de ofertas a la verificación del perfil y a la motivación de la escogencia.</w:t>
      </w:r>
    </w:p>
    <w:p w14:paraId="356FE7B9" w14:textId="77777777" w:rsidR="00F2171E" w:rsidRDefault="00F2171E" w:rsidP="00F2171E">
      <w:pPr>
        <w:spacing w:after="0" w:line="240" w:lineRule="auto"/>
        <w:jc w:val="both"/>
        <w:rPr>
          <w:rFonts w:ascii="Verdana" w:hAnsi="Verdana" w:cs="Arial"/>
          <w:b/>
          <w:bCs/>
          <w:color w:val="000000"/>
          <w:lang w:val="es-ES"/>
        </w:rPr>
      </w:pPr>
    </w:p>
    <w:p w14:paraId="21197E7F"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IDONEIDAD Y EXPERIENCIA – Deber de verificación – Alcance</w:t>
      </w:r>
    </w:p>
    <w:p w14:paraId="6A16A341" w14:textId="77777777" w:rsidR="00F2171E" w:rsidRDefault="00F2171E" w:rsidP="00F2171E">
      <w:pPr>
        <w:spacing w:after="0" w:line="240" w:lineRule="auto"/>
        <w:jc w:val="both"/>
        <w:rPr>
          <w:rFonts w:ascii="Verdana" w:hAnsi="Verdana" w:cs="Arial"/>
          <w:b/>
          <w:bCs/>
          <w:color w:val="000000"/>
          <w:lang w:val="es-ES"/>
        </w:rPr>
      </w:pPr>
    </w:p>
    <w:p w14:paraId="0181DBA5"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misma disposición condiciona la contratación a que la entidad “verifique la idoneidad o experiencia requerida y relacionada con el área de que se trate”. La idoneidad es un concepto jurídicamente indeterminado que debe dotarse de contenido en cada caso: alude a la condición o cualidad que permite establecer si la persona cuenta con la capacidad para ejecutar el objeto. La verificación es un deber de la entidad y no una carga del contratista: no se agota con el aporte de la hoja de vida, sino que exige contrastarla con el perfil definido en los estudios previos, y debe constar documentalmente.</w:t>
      </w:r>
    </w:p>
    <w:p w14:paraId="6DD3F30C" w14:textId="77777777" w:rsidR="00F2171E" w:rsidRDefault="00F2171E" w:rsidP="00F2171E">
      <w:pPr>
        <w:spacing w:after="0" w:line="240" w:lineRule="auto"/>
        <w:jc w:val="both"/>
        <w:rPr>
          <w:rFonts w:ascii="Verdana" w:hAnsi="Verdana" w:cs="Arial"/>
          <w:b/>
          <w:bCs/>
          <w:color w:val="000000"/>
          <w:lang w:val="es-ES"/>
        </w:rPr>
      </w:pPr>
    </w:p>
    <w:p w14:paraId="772016B5"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HONORARIOS – Determinación – Análisis del sector – Límite de remuneración</w:t>
      </w:r>
    </w:p>
    <w:p w14:paraId="25141305" w14:textId="77777777" w:rsidR="00F2171E" w:rsidRDefault="00F2171E" w:rsidP="00F2171E">
      <w:pPr>
        <w:spacing w:after="0" w:line="240" w:lineRule="auto"/>
        <w:jc w:val="both"/>
        <w:rPr>
          <w:rFonts w:ascii="Verdana" w:hAnsi="Verdana" w:cs="Arial"/>
          <w:b/>
          <w:bCs/>
          <w:color w:val="000000"/>
          <w:lang w:val="es-ES"/>
        </w:rPr>
      </w:pPr>
    </w:p>
    <w:p w14:paraId="0E2A64A3"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El ordenamiento no fija escalas generales de honorarios para estos contratos. Su determinación integra el valor estimado del contrato, que debe justificarse, y resulta del análisis del sector y del estudio de mercado exigidos por el artículo 2.2.1.1.1.6.1 del Decreto 1082 de 2015. Operan, sin embargo, dos límites: el del artículo 2.8.4.4.6 del Decreto 1068 de 2015, que prohíbe pactar por los servicios allí comprendidos una remuneración mensual superior a la remuneración total mensual del jefe de la entidad, </w:t>
      </w:r>
      <w:r>
        <w:rPr>
          <w:rFonts w:ascii="Verdana" w:hAnsi="Verdana" w:cs="Arial"/>
          <w:bCs/>
          <w:color w:val="000000"/>
          <w:sz w:val="20"/>
          <w:lang w:val="es-ES"/>
        </w:rPr>
        <w:lastRenderedPageBreak/>
        <w:t>y el que la propia entidad se haya fijado en sus manuales o escalas internas, que la vinculan mientras estén vigentes.</w:t>
      </w:r>
    </w:p>
    <w:p w14:paraId="0B636F13" w14:textId="77777777" w:rsidR="00F2171E" w:rsidRDefault="00F2171E" w:rsidP="00F2171E">
      <w:pPr>
        <w:spacing w:after="0" w:line="240" w:lineRule="auto"/>
        <w:jc w:val="both"/>
        <w:rPr>
          <w:rFonts w:ascii="Verdana" w:hAnsi="Verdana" w:cs="Arial"/>
          <w:b/>
          <w:bCs/>
          <w:color w:val="000000"/>
          <w:lang w:val="es-ES"/>
        </w:rPr>
      </w:pPr>
    </w:p>
    <w:p w14:paraId="00A8E5AD"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PUBLICIDAD EN EL SECOP – Contratación directa – Documentos del Proceso – Adiciones y prórrogas</w:t>
      </w:r>
    </w:p>
    <w:p w14:paraId="6A7FD30B" w14:textId="77777777" w:rsidR="00F2171E" w:rsidRDefault="00F2171E" w:rsidP="00F2171E">
      <w:pPr>
        <w:spacing w:after="0" w:line="240" w:lineRule="auto"/>
        <w:jc w:val="both"/>
        <w:rPr>
          <w:rFonts w:ascii="Verdana" w:hAnsi="Verdana" w:cs="Arial"/>
          <w:b/>
          <w:bCs/>
          <w:color w:val="000000"/>
          <w:lang w:val="es-ES"/>
        </w:rPr>
      </w:pPr>
    </w:p>
    <w:p w14:paraId="44D04BDA"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contratación directa está sometida íntegramente al deber de publicidad. Conforme al artículo 2.2.1.1.1.7.1 del Decreto 1082 de 2015, la entidad debe publicar en el SECOP los Documentos del Proceso y los actos administrativos del Proceso de Contratación dentro de los tres días siguientes a su expedición. La enunciación del artículo 2.2.1.1.1.3.1 no es taxativa sino enunciativa, pues comprende “cualquier otro documento expedido por la Entidad Estatal durante el Proceso de Contratación”, de modo que el deber alcanza también a las modificaciones, adiciones y prórrogas y a los informes de supervisión. El Proceso de Contratación, según la misma definición, se extiende desde la planeación hasta el vencimiento de las garantías o del plazo, lo que ocurra más tarde.</w:t>
      </w:r>
    </w:p>
    <w:p w14:paraId="05FABCFF" w14:textId="77777777" w:rsidR="00F2171E" w:rsidRDefault="00F2171E" w:rsidP="00F2171E">
      <w:pPr>
        <w:spacing w:after="0" w:line="240" w:lineRule="auto"/>
        <w:jc w:val="both"/>
        <w:rPr>
          <w:rFonts w:ascii="Verdana" w:hAnsi="Verdana" w:cs="Arial"/>
          <w:b/>
          <w:bCs/>
          <w:color w:val="000000"/>
          <w:lang w:val="es-ES"/>
        </w:rPr>
      </w:pPr>
    </w:p>
    <w:p w14:paraId="7F312B18"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RECURRENCIA CONTRACTUAL – Objeto igual – Término estrictamente indispensable – Planeación</w:t>
      </w:r>
    </w:p>
    <w:p w14:paraId="1C4F3B38" w14:textId="77777777" w:rsidR="00F2171E" w:rsidRDefault="00F2171E" w:rsidP="00F2171E">
      <w:pPr>
        <w:spacing w:after="0" w:line="240" w:lineRule="auto"/>
        <w:jc w:val="both"/>
        <w:rPr>
          <w:rFonts w:ascii="Verdana" w:hAnsi="Verdana" w:cs="Arial"/>
          <w:b/>
          <w:bCs/>
          <w:color w:val="000000"/>
          <w:lang w:val="es-ES"/>
        </w:rPr>
      </w:pPr>
    </w:p>
    <w:p w14:paraId="269FA4CB"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repetición de contratos de prestación de servicios no es por sí sola una irregularidad, pero el ordenamiento impone reglas que la planeación debe observar. El numeral 3 del artículo 32 de la Ley 80 de 1993 exige que estos contratos se celebren por el término estrictamente indispensable, lo que excluye su configuración indefinida. Y el inciso segundo del artículo 2.8.4.4.5 del Decreto 1068 de 2015 prohíbe celebrarlos “cuando existan relaciones contractuales vigentes con objeto igual al del contrato que se pretende suscribir”, salvo autorización expresa del jefe del organismo, precedida de la sustentación sobre las especiales características y necesidades técnicas de la contratación. El Plan Anual de Adquisiciones y el análisis del sector son los instrumentos en los que la recurrencia debe hacerse visible y examinarse.</w:t>
      </w:r>
    </w:p>
    <w:p w14:paraId="5581C43B" w14:textId="77777777" w:rsidR="00F2171E" w:rsidRDefault="00F2171E" w:rsidP="00F2171E">
      <w:pPr>
        <w:spacing w:after="0" w:line="240" w:lineRule="auto"/>
        <w:jc w:val="both"/>
        <w:rPr>
          <w:rFonts w:ascii="Verdana" w:hAnsi="Verdana" w:cs="Arial"/>
          <w:b/>
          <w:bCs/>
          <w:color w:val="000000"/>
          <w:lang w:val="es-ES"/>
        </w:rPr>
      </w:pPr>
    </w:p>
    <w:p w14:paraId="14E5CF7B" w14:textId="77777777" w:rsidR="002F7F4D" w:rsidRDefault="002F7F4D" w:rsidP="00F2171E">
      <w:pPr>
        <w:spacing w:after="0" w:line="240" w:lineRule="auto"/>
        <w:jc w:val="both"/>
        <w:rPr>
          <w:rFonts w:ascii="Verdana" w:eastAsia="Geomanist Light" w:hAnsi="Verdana" w:cs="Arial"/>
          <w:color w:val="000000" w:themeColor="text1"/>
          <w:lang w:val="es-MX"/>
        </w:rPr>
      </w:pPr>
    </w:p>
    <w:p w14:paraId="18CA8AE5" w14:textId="77777777" w:rsidR="002F7F4D" w:rsidRDefault="002F7F4D" w:rsidP="00F2171E">
      <w:pPr>
        <w:spacing w:after="0" w:line="240" w:lineRule="auto"/>
        <w:jc w:val="both"/>
        <w:rPr>
          <w:rFonts w:ascii="Verdana" w:eastAsia="Geomanist Light" w:hAnsi="Verdana" w:cs="Arial"/>
          <w:color w:val="000000" w:themeColor="text1"/>
          <w:lang w:val="es-MX"/>
        </w:rPr>
      </w:pPr>
    </w:p>
    <w:p w14:paraId="6D61A145" w14:textId="77777777" w:rsidR="002F7F4D" w:rsidRDefault="002F7F4D" w:rsidP="00F2171E">
      <w:pPr>
        <w:spacing w:after="0" w:line="240" w:lineRule="auto"/>
        <w:jc w:val="both"/>
        <w:rPr>
          <w:rFonts w:ascii="Verdana" w:eastAsia="Geomanist Light" w:hAnsi="Verdana" w:cs="Arial"/>
          <w:color w:val="000000" w:themeColor="text1"/>
          <w:lang w:val="es-MX"/>
        </w:rPr>
      </w:pPr>
    </w:p>
    <w:p w14:paraId="7BE984DD" w14:textId="77777777" w:rsidR="002F7F4D" w:rsidRDefault="002F7F4D" w:rsidP="00F2171E">
      <w:pPr>
        <w:spacing w:after="0" w:line="240" w:lineRule="auto"/>
        <w:jc w:val="both"/>
        <w:rPr>
          <w:rFonts w:ascii="Verdana" w:eastAsia="Geomanist Light" w:hAnsi="Verdana" w:cs="Arial"/>
          <w:color w:val="000000" w:themeColor="text1"/>
          <w:lang w:val="es-MX"/>
        </w:rPr>
      </w:pPr>
    </w:p>
    <w:p w14:paraId="00FE6D21" w14:textId="77777777" w:rsidR="002F7F4D" w:rsidRDefault="002F7F4D" w:rsidP="00F2171E">
      <w:pPr>
        <w:spacing w:after="0" w:line="240" w:lineRule="auto"/>
        <w:jc w:val="both"/>
        <w:rPr>
          <w:rFonts w:ascii="Verdana" w:eastAsia="Geomanist Light" w:hAnsi="Verdana" w:cs="Arial"/>
          <w:color w:val="000000" w:themeColor="text1"/>
          <w:lang w:val="es-MX"/>
        </w:rPr>
      </w:pPr>
    </w:p>
    <w:p w14:paraId="7EA15FA7" w14:textId="77777777" w:rsidR="002F7F4D" w:rsidRDefault="002F7F4D" w:rsidP="00F2171E">
      <w:pPr>
        <w:spacing w:after="0" w:line="240" w:lineRule="auto"/>
        <w:jc w:val="both"/>
        <w:rPr>
          <w:rFonts w:ascii="Verdana" w:eastAsia="Geomanist Light" w:hAnsi="Verdana" w:cs="Arial"/>
          <w:color w:val="000000" w:themeColor="text1"/>
          <w:lang w:val="es-MX"/>
        </w:rPr>
      </w:pPr>
    </w:p>
    <w:p w14:paraId="0CEFCAD1" w14:textId="77777777" w:rsidR="002F7F4D" w:rsidRDefault="002F7F4D" w:rsidP="00F2171E">
      <w:pPr>
        <w:spacing w:after="0" w:line="240" w:lineRule="auto"/>
        <w:jc w:val="both"/>
        <w:rPr>
          <w:rFonts w:ascii="Verdana" w:eastAsia="Geomanist Light" w:hAnsi="Verdana" w:cs="Arial"/>
          <w:color w:val="000000" w:themeColor="text1"/>
          <w:lang w:val="es-MX"/>
        </w:rPr>
      </w:pPr>
    </w:p>
    <w:p w14:paraId="6776A0A7" w14:textId="77777777" w:rsidR="002F7F4D" w:rsidRDefault="002F7F4D" w:rsidP="00F2171E">
      <w:pPr>
        <w:spacing w:after="0" w:line="240" w:lineRule="auto"/>
        <w:jc w:val="both"/>
        <w:rPr>
          <w:rFonts w:ascii="Verdana" w:eastAsia="Geomanist Light" w:hAnsi="Verdana" w:cs="Arial"/>
          <w:color w:val="000000" w:themeColor="text1"/>
          <w:lang w:val="es-MX"/>
        </w:rPr>
      </w:pPr>
    </w:p>
    <w:p w14:paraId="47CAE85F" w14:textId="77777777" w:rsidR="002F7F4D" w:rsidRDefault="002F7F4D" w:rsidP="00F2171E">
      <w:pPr>
        <w:spacing w:after="0" w:line="240" w:lineRule="auto"/>
        <w:jc w:val="both"/>
        <w:rPr>
          <w:rFonts w:ascii="Verdana" w:eastAsia="Geomanist Light" w:hAnsi="Verdana" w:cs="Arial"/>
          <w:color w:val="000000" w:themeColor="text1"/>
          <w:lang w:val="es-MX"/>
        </w:rPr>
      </w:pPr>
    </w:p>
    <w:p w14:paraId="3E1DC53D" w14:textId="77777777" w:rsidR="002F7F4D" w:rsidRDefault="002F7F4D" w:rsidP="00F2171E">
      <w:pPr>
        <w:spacing w:after="0" w:line="240" w:lineRule="auto"/>
        <w:jc w:val="both"/>
        <w:rPr>
          <w:rFonts w:ascii="Verdana" w:eastAsia="Geomanist Light" w:hAnsi="Verdana" w:cs="Arial"/>
          <w:color w:val="000000" w:themeColor="text1"/>
          <w:lang w:val="es-MX"/>
        </w:rPr>
      </w:pPr>
    </w:p>
    <w:p w14:paraId="6D390B14" w14:textId="77777777" w:rsidR="002F7F4D" w:rsidRDefault="002F7F4D" w:rsidP="00F2171E">
      <w:pPr>
        <w:spacing w:after="0" w:line="240" w:lineRule="auto"/>
        <w:jc w:val="both"/>
        <w:rPr>
          <w:rFonts w:ascii="Verdana" w:eastAsia="Geomanist Light" w:hAnsi="Verdana" w:cs="Arial"/>
          <w:color w:val="000000" w:themeColor="text1"/>
          <w:lang w:val="es-MX"/>
        </w:rPr>
      </w:pPr>
    </w:p>
    <w:p w14:paraId="6312FA60" w14:textId="77777777" w:rsidR="002F7F4D" w:rsidRDefault="002F7F4D" w:rsidP="00F2171E">
      <w:pPr>
        <w:spacing w:after="0" w:line="240" w:lineRule="auto"/>
        <w:jc w:val="both"/>
        <w:rPr>
          <w:rFonts w:ascii="Verdana" w:eastAsia="Geomanist Light" w:hAnsi="Verdana" w:cs="Arial"/>
          <w:color w:val="000000" w:themeColor="text1"/>
          <w:lang w:val="es-MX"/>
        </w:rPr>
      </w:pPr>
    </w:p>
    <w:p w14:paraId="5694B8CA" w14:textId="77777777" w:rsidR="002F7F4D" w:rsidRDefault="002F7F4D" w:rsidP="00F2171E">
      <w:pPr>
        <w:spacing w:after="0" w:line="240" w:lineRule="auto"/>
        <w:jc w:val="both"/>
        <w:rPr>
          <w:rFonts w:ascii="Verdana" w:eastAsia="Geomanist Light" w:hAnsi="Verdana" w:cs="Arial"/>
          <w:color w:val="000000" w:themeColor="text1"/>
          <w:lang w:val="es-MX"/>
        </w:rPr>
      </w:pPr>
    </w:p>
    <w:p w14:paraId="6E51E605" w14:textId="289ECA11" w:rsidR="00F2171E" w:rsidRDefault="00F2171E" w:rsidP="00F2171E">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lastRenderedPageBreak/>
        <w:t xml:space="preserve">Bogotá D.C., </w:t>
      </w:r>
      <w:r w:rsidR="0036680A">
        <w:rPr>
          <w:rFonts w:ascii="Verdana" w:eastAsia="Geomanist Light" w:hAnsi="Verdana" w:cs="Arial"/>
          <w:color w:val="000000" w:themeColor="text1"/>
          <w:lang w:val="es-MX"/>
        </w:rPr>
        <w:t xml:space="preserve">21 de Septiembre de 2026 </w:t>
      </w:r>
    </w:p>
    <w:p w14:paraId="56F23ECF" w14:textId="5B683F3B" w:rsidR="00F2171E" w:rsidRDefault="00F2171E" w:rsidP="00F2171E">
      <w:pPr>
        <w:spacing w:after="0" w:line="240" w:lineRule="auto"/>
        <w:rPr>
          <w:rFonts w:ascii="Verdana" w:eastAsia="Verdana" w:hAnsi="Verdana" w:cs="Verdana"/>
        </w:rPr>
      </w:pPr>
    </w:p>
    <w:p w14:paraId="0014BE30" w14:textId="3C68D56C" w:rsidR="0036680A" w:rsidRDefault="0036680A" w:rsidP="0036680A">
      <w:pPr>
        <w:spacing w:after="0" w:line="240" w:lineRule="auto"/>
        <w:jc w:val="right"/>
        <w:rPr>
          <w:rFonts w:ascii="Verdana" w:eastAsia="Verdana" w:hAnsi="Verdana" w:cs="Verdana"/>
        </w:rPr>
      </w:pPr>
    </w:p>
    <w:p w14:paraId="5A9287FE" w14:textId="5BF39295" w:rsidR="00F2171E" w:rsidRPr="002B4BE9" w:rsidRDefault="00F2171E" w:rsidP="00F2171E">
      <w:pPr>
        <w:spacing w:after="0" w:line="240" w:lineRule="auto"/>
        <w:rPr>
          <w:rFonts w:ascii="Verdana" w:hAnsi="Verdana"/>
        </w:rPr>
      </w:pPr>
    </w:p>
    <w:p w14:paraId="42781089" w14:textId="494EA103" w:rsidR="00F2171E" w:rsidRPr="00524422" w:rsidRDefault="000B2349" w:rsidP="00F2171E">
      <w:pPr>
        <w:spacing w:after="0" w:line="240" w:lineRule="auto"/>
        <w:rPr>
          <w:rFonts w:ascii="Verdana" w:eastAsia="Calibri" w:hAnsi="Verdana" w:cs="Times New Roman"/>
          <w:lang w:val="es-MX"/>
        </w:rPr>
      </w:pPr>
      <w:r w:rsidRPr="0036680A">
        <w:rPr>
          <w:rFonts w:ascii="Verdana" w:eastAsia="Verdana" w:hAnsi="Verdana" w:cs="Verdana"/>
          <w:noProof/>
        </w:rPr>
        <w:drawing>
          <wp:anchor distT="0" distB="0" distL="114300" distR="114300" simplePos="0" relativeHeight="251658240" behindDoc="0" locked="0" layoutInCell="1" allowOverlap="1" wp14:anchorId="354FB544" wp14:editId="169FFE70">
            <wp:simplePos x="0" y="0"/>
            <wp:positionH relativeFrom="margin">
              <wp:align>right</wp:align>
            </wp:positionH>
            <wp:positionV relativeFrom="paragraph">
              <wp:posOffset>6350</wp:posOffset>
            </wp:positionV>
            <wp:extent cx="2497455" cy="802640"/>
            <wp:effectExtent l="0" t="0" r="0" b="0"/>
            <wp:wrapSquare wrapText="bothSides"/>
            <wp:docPr id="1339098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98856" name=""/>
                    <pic:cNvPicPr/>
                  </pic:nvPicPr>
                  <pic:blipFill>
                    <a:blip r:embed="rId11">
                      <a:extLst>
                        <a:ext uri="{28A0092B-C50C-407E-A947-70E740481C1C}">
                          <a14:useLocalDpi xmlns:a14="http://schemas.microsoft.com/office/drawing/2010/main" val="0"/>
                        </a:ext>
                      </a:extLst>
                    </a:blip>
                    <a:stretch>
                      <a:fillRect/>
                    </a:stretch>
                  </pic:blipFill>
                  <pic:spPr>
                    <a:xfrm>
                      <a:off x="0" y="0"/>
                      <a:ext cx="2497455" cy="802640"/>
                    </a:xfrm>
                    <a:prstGeom prst="rect">
                      <a:avLst/>
                    </a:prstGeom>
                  </pic:spPr>
                </pic:pic>
              </a:graphicData>
            </a:graphic>
            <wp14:sizeRelH relativeFrom="margin">
              <wp14:pctWidth>0</wp14:pctWidth>
            </wp14:sizeRelH>
            <wp14:sizeRelV relativeFrom="margin">
              <wp14:pctHeight>0</wp14:pctHeight>
            </wp14:sizeRelV>
          </wp:anchor>
        </w:drawing>
      </w:r>
      <w:r w:rsidR="00F2171E" w:rsidRPr="00524422">
        <w:rPr>
          <w:rFonts w:ascii="Verdana" w:eastAsia="Calibri" w:hAnsi="Verdana" w:cs="Times New Roman"/>
          <w:lang w:val="es-MX"/>
        </w:rPr>
        <w:t>Señor</w:t>
      </w:r>
    </w:p>
    <w:p w14:paraId="131F3BE0" w14:textId="77777777" w:rsidR="00F2171E" w:rsidRPr="002F7F4D" w:rsidRDefault="00F2171E" w:rsidP="00F2171E">
      <w:pPr>
        <w:spacing w:after="0" w:line="240" w:lineRule="auto"/>
        <w:rPr>
          <w:rFonts w:ascii="Verdana" w:eastAsia="Calibri" w:hAnsi="Verdana" w:cs="Times New Roman"/>
          <w:b/>
          <w:bCs/>
          <w:lang w:val="es-MX"/>
        </w:rPr>
      </w:pPr>
      <w:r w:rsidRPr="002F7F4D">
        <w:rPr>
          <w:rFonts w:ascii="Verdana" w:eastAsia="Calibri" w:hAnsi="Verdana" w:cs="Times New Roman"/>
          <w:b/>
          <w:bCs/>
          <w:lang w:val="es-MX"/>
        </w:rPr>
        <w:t>JAVIER FERNANDO VERA DELGADO</w:t>
      </w:r>
    </w:p>
    <w:p w14:paraId="3048CDA1" w14:textId="77777777" w:rsidR="00F2171E" w:rsidRPr="00524422" w:rsidRDefault="00F2171E" w:rsidP="00F2171E">
      <w:pPr>
        <w:spacing w:after="0" w:line="240" w:lineRule="auto"/>
        <w:rPr>
          <w:rFonts w:ascii="Verdana" w:eastAsia="Calibri" w:hAnsi="Verdana" w:cs="Times New Roman"/>
          <w:lang w:val="es-MX"/>
        </w:rPr>
      </w:pPr>
      <w:r w:rsidRPr="00524422">
        <w:rPr>
          <w:rFonts w:ascii="Verdana" w:eastAsia="Calibri" w:hAnsi="Verdana" w:cs="Times New Roman"/>
          <w:lang w:val="es-MX"/>
        </w:rPr>
        <w:t>ja.vera1639@gmail.com</w:t>
      </w:r>
    </w:p>
    <w:p w14:paraId="74055760" w14:textId="77777777" w:rsidR="00F2171E" w:rsidRPr="00524422" w:rsidRDefault="00F2171E" w:rsidP="00F2171E">
      <w:pPr>
        <w:spacing w:after="0" w:line="240" w:lineRule="auto"/>
        <w:rPr>
          <w:rFonts w:ascii="Verdana" w:eastAsia="Calibri" w:hAnsi="Verdana" w:cs="Times New Roman"/>
          <w:lang w:val="es-MX"/>
        </w:rPr>
      </w:pPr>
      <w:r w:rsidRPr="00524422">
        <w:rPr>
          <w:rFonts w:ascii="Verdana" w:eastAsia="Calibri" w:hAnsi="Verdana" w:cs="Times New Roman"/>
          <w:lang w:val="es-MX"/>
        </w:rPr>
        <w:t>javera_1016@hotmail.com</w:t>
      </w:r>
    </w:p>
    <w:p w14:paraId="7754D4AE" w14:textId="77777777" w:rsidR="00F2171E" w:rsidRPr="002B4BE9" w:rsidRDefault="00F2171E" w:rsidP="00F2171E">
      <w:pPr>
        <w:spacing w:after="0" w:line="240" w:lineRule="auto"/>
        <w:rPr>
          <w:rFonts w:ascii="Verdana" w:eastAsia="Calibri" w:hAnsi="Verdana" w:cs="Times New Roman"/>
        </w:rPr>
      </w:pPr>
    </w:p>
    <w:p w14:paraId="0C70207C" w14:textId="77777777" w:rsidR="00F2171E" w:rsidRPr="002B4BE9" w:rsidRDefault="00F2171E" w:rsidP="00F2171E">
      <w:pPr>
        <w:spacing w:after="0" w:line="240" w:lineRule="auto"/>
        <w:rPr>
          <w:rFonts w:ascii="Verdana" w:eastAsia="Calibri" w:hAnsi="Verdana" w:cs="Times New Roman"/>
        </w:rPr>
      </w:pPr>
    </w:p>
    <w:p w14:paraId="449ADF88" w14:textId="3C71D31B" w:rsidR="00F2171E" w:rsidRPr="002B4BE9" w:rsidRDefault="00E167EF" w:rsidP="00E167EF">
      <w:pPr>
        <w:spacing w:after="0" w:line="240" w:lineRule="auto"/>
        <w:rPr>
          <w:rFonts w:ascii="Verdana" w:eastAsia="Calibri" w:hAnsi="Verdana" w:cs="Times New Roman"/>
          <w:b/>
          <w:bCs/>
          <w:lang w:val="es-ES"/>
        </w:rPr>
      </w:pPr>
      <w:r>
        <w:rPr>
          <w:rFonts w:ascii="Verdana" w:eastAsia="Calibri" w:hAnsi="Verdana" w:cs="Times New Roman"/>
          <w:b/>
          <w:bCs/>
          <w:lang w:val="es-ES"/>
        </w:rPr>
        <w:t xml:space="preserve">                                    </w:t>
      </w:r>
      <w:r w:rsidR="00F2171E" w:rsidRPr="002B4BE9">
        <w:rPr>
          <w:rFonts w:ascii="Verdana" w:eastAsia="Calibri" w:hAnsi="Verdana" w:cs="Times New Roman"/>
          <w:b/>
          <w:bCs/>
          <w:lang w:val="es-ES"/>
        </w:rPr>
        <w:t>Concepto C</w:t>
      </w:r>
      <w:r w:rsidR="000B2349">
        <w:rPr>
          <w:rFonts w:ascii="Verdana" w:eastAsia="Calibri" w:hAnsi="Verdana" w:cs="Times New Roman"/>
          <w:b/>
          <w:bCs/>
          <w:lang w:val="es-ES"/>
        </w:rPr>
        <w:t>-</w:t>
      </w:r>
      <w:r>
        <w:rPr>
          <w:rFonts w:ascii="Verdana" w:eastAsia="Calibri" w:hAnsi="Verdana" w:cs="Times New Roman"/>
          <w:b/>
          <w:bCs/>
          <w:lang w:val="es-ES"/>
        </w:rPr>
        <w:t xml:space="preserve">1254 </w:t>
      </w:r>
      <w:r w:rsidR="00F2171E" w:rsidRPr="002B4BE9">
        <w:rPr>
          <w:rFonts w:ascii="Verdana" w:eastAsia="Calibri" w:hAnsi="Verdana" w:cs="Times New Roman"/>
          <w:b/>
          <w:bCs/>
          <w:lang w:val="es-ES"/>
        </w:rPr>
        <w:t>de 2026</w:t>
      </w:r>
    </w:p>
    <w:p w14:paraId="047E3DE0" w14:textId="77777777" w:rsidR="00F2171E" w:rsidRPr="002B4BE9" w:rsidRDefault="00F2171E" w:rsidP="00F2171E">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2171E" w:rsidRPr="002B4BE9" w14:paraId="44AC4449" w14:textId="77777777" w:rsidTr="002002AD">
        <w:trPr>
          <w:trHeight w:val="645"/>
        </w:trPr>
        <w:tc>
          <w:tcPr>
            <w:tcW w:w="2685" w:type="dxa"/>
            <w:hideMark/>
          </w:tcPr>
          <w:p w14:paraId="7A186934" w14:textId="77777777" w:rsidR="00F2171E" w:rsidRPr="00403388" w:rsidRDefault="00F2171E" w:rsidP="002002AD">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07644E1D" w14:textId="77777777" w:rsidR="00F2171E" w:rsidRPr="002F7F4D" w:rsidRDefault="00F2171E" w:rsidP="002002AD">
            <w:pPr>
              <w:spacing w:line="276" w:lineRule="auto"/>
              <w:jc w:val="both"/>
              <w:rPr>
                <w:rFonts w:ascii="Verdana" w:hAnsi="Verdana" w:cs="Arial"/>
                <w:bCs/>
                <w:color w:val="000000"/>
                <w:lang w:val="es-ES"/>
              </w:rPr>
            </w:pPr>
            <w:r w:rsidRPr="002F7F4D">
              <w:rPr>
                <w:rFonts w:ascii="Verdana" w:hAnsi="Verdana" w:cs="Arial"/>
                <w:bCs/>
                <w:color w:val="000000"/>
                <w:lang w:val="es-ES"/>
              </w:rPr>
              <w:t>CONTRATACIÓN DIRECTA – Servicios profesionales y de apoyo a la gestión – Procedencia / PLANEACIÓN – Contratación directa – Exigibilidad plena / ESTUDIOS Y DOCUMENTOS PREVIOS – Contenido – Acto de justificación no exigible / INSUFICIENCIA DE PERSONAL DE PLANTA – Acreditación – Decreto 1068 de 2015 / PLURALIDAD DE OFERTAS – No exigibilidad – Constancia del ordenador del gasto / IDONEIDAD Y EXPERIENCIA – Deber de verificación – Alcance / HONORARIOS – Determinación – Análisis del sector – Límite de remuneración / PUBLICIDAD EN EL SECOP – Contratación directa – Documentos del Proceso – Adiciones y prórrogas / RECURRENCIA CONTRACTUAL – Objeto igual – Término estrictamente indispensable – Planeación</w:t>
            </w:r>
          </w:p>
          <w:p w14:paraId="78EF2883" w14:textId="77777777" w:rsidR="002F7F4D" w:rsidRPr="002F7F4D" w:rsidRDefault="002F7F4D" w:rsidP="002002AD">
            <w:pPr>
              <w:spacing w:line="276" w:lineRule="auto"/>
              <w:jc w:val="both"/>
              <w:rPr>
                <w:rFonts w:ascii="Verdana" w:hAnsi="Verdana" w:cs="Arial"/>
                <w:bCs/>
                <w:color w:val="000000"/>
                <w:lang w:val="es-ES" w:eastAsia="es-ES"/>
              </w:rPr>
            </w:pPr>
          </w:p>
          <w:p w14:paraId="1588DDE3" w14:textId="77777777" w:rsidR="002F7F4D" w:rsidRPr="002F7F4D" w:rsidRDefault="002F7F4D" w:rsidP="002002AD">
            <w:pPr>
              <w:spacing w:line="276" w:lineRule="auto"/>
              <w:jc w:val="both"/>
              <w:rPr>
                <w:rFonts w:ascii="Verdana" w:hAnsi="Verdana" w:cs="Arial"/>
                <w:lang w:val="es-ES" w:eastAsia="es-ES"/>
              </w:rPr>
            </w:pPr>
          </w:p>
        </w:tc>
        <w:tc>
          <w:tcPr>
            <w:tcW w:w="6237" w:type="dxa"/>
          </w:tcPr>
          <w:p w14:paraId="3EB519D1" w14:textId="77777777" w:rsidR="00F2171E" w:rsidRPr="002B4BE9" w:rsidRDefault="00F2171E" w:rsidP="002002AD">
            <w:pPr>
              <w:rPr>
                <w:rFonts w:ascii="Verdana" w:hAnsi="Verdana"/>
                <w:lang w:val="es-ES"/>
              </w:rPr>
            </w:pPr>
          </w:p>
        </w:tc>
      </w:tr>
      <w:tr w:rsidR="00F2171E" w:rsidRPr="002B4BE9" w14:paraId="04622310" w14:textId="77777777" w:rsidTr="002002AD">
        <w:tc>
          <w:tcPr>
            <w:tcW w:w="2685" w:type="dxa"/>
          </w:tcPr>
          <w:p w14:paraId="520D8BA0" w14:textId="77777777" w:rsidR="00F2171E" w:rsidRPr="00995618" w:rsidRDefault="00F2171E" w:rsidP="002002AD">
            <w:pPr>
              <w:rPr>
                <w:rFonts w:ascii="Verdana" w:hAnsi="Verdana"/>
                <w:b/>
                <w:bCs/>
                <w:lang w:val="es-ES_tradnl"/>
              </w:rPr>
            </w:pPr>
            <w:r w:rsidRPr="002B4BE9">
              <w:rPr>
                <w:rFonts w:ascii="Verdana" w:hAnsi="Verdana"/>
                <w:b/>
                <w:bCs/>
                <w:lang w:val="es-ES_tradnl"/>
              </w:rPr>
              <w:t xml:space="preserve">Radicación:               </w:t>
            </w:r>
          </w:p>
        </w:tc>
        <w:tc>
          <w:tcPr>
            <w:tcW w:w="6241" w:type="dxa"/>
          </w:tcPr>
          <w:p w14:paraId="6CB258F5" w14:textId="0F1B346F" w:rsidR="00F2171E" w:rsidRPr="002F7F4D" w:rsidRDefault="00F2171E" w:rsidP="002002AD">
            <w:pPr>
              <w:spacing w:line="276" w:lineRule="auto"/>
              <w:jc w:val="both"/>
              <w:rPr>
                <w:rFonts w:ascii="Verdana" w:hAnsi="Verdana"/>
                <w:lang w:val="es-ES_tradnl"/>
              </w:rPr>
            </w:pPr>
            <w:r w:rsidRPr="002F7F4D">
              <w:rPr>
                <w:rFonts w:ascii="Verdana" w:hAnsi="Verdana"/>
              </w:rPr>
              <w:t>Respuesta acumulada a las consultas con radicados No. 1_2026_08_11_010539</w:t>
            </w:r>
            <w:r w:rsidR="00E167EF">
              <w:rPr>
                <w:rFonts w:ascii="Verdana" w:hAnsi="Verdana"/>
              </w:rPr>
              <w:t xml:space="preserve">, </w:t>
            </w:r>
            <w:r w:rsidRPr="002F7F4D">
              <w:rPr>
                <w:rFonts w:ascii="Verdana" w:hAnsi="Verdana"/>
              </w:rPr>
              <w:t>No. 1_2026_08_11_010573</w:t>
            </w:r>
            <w:r w:rsidR="00E167EF">
              <w:rPr>
                <w:rFonts w:ascii="Verdana" w:hAnsi="Verdana"/>
              </w:rPr>
              <w:t xml:space="preserve"> y </w:t>
            </w:r>
            <w:r w:rsidR="00E167EF" w:rsidRPr="002F7F4D">
              <w:rPr>
                <w:rFonts w:ascii="Verdana" w:hAnsi="Verdana"/>
                <w:bCs/>
                <w:lang w:bidi="es-ES"/>
              </w:rPr>
              <w:t>1_2026_08_11_010574</w:t>
            </w:r>
          </w:p>
        </w:tc>
        <w:tc>
          <w:tcPr>
            <w:tcW w:w="6237" w:type="dxa"/>
          </w:tcPr>
          <w:p w14:paraId="110B950F" w14:textId="77777777" w:rsidR="00F2171E" w:rsidRPr="002B4BE9" w:rsidRDefault="00F2171E" w:rsidP="002002AD">
            <w:pPr>
              <w:rPr>
                <w:rFonts w:ascii="Verdana" w:hAnsi="Verdana"/>
              </w:rPr>
            </w:pPr>
          </w:p>
        </w:tc>
      </w:tr>
    </w:tbl>
    <w:p w14:paraId="28C7531A" w14:textId="77777777" w:rsidR="002F7F4D" w:rsidRDefault="002F7F4D" w:rsidP="00F2171E">
      <w:pPr>
        <w:spacing w:after="0" w:line="276" w:lineRule="auto"/>
        <w:rPr>
          <w:rFonts w:ascii="Verdana" w:eastAsia="Calibri" w:hAnsi="Verdana" w:cs="Times New Roman"/>
          <w:lang w:val="es-ES"/>
        </w:rPr>
      </w:pPr>
    </w:p>
    <w:p w14:paraId="43E7E2A5" w14:textId="09F22021" w:rsidR="00F2171E" w:rsidRPr="009037F6" w:rsidRDefault="00F2171E" w:rsidP="00F2171E">
      <w:pPr>
        <w:spacing w:after="0" w:line="276" w:lineRule="auto"/>
        <w:rPr>
          <w:rFonts w:ascii="Verdana" w:eastAsia="Calibri" w:hAnsi="Verdana" w:cs="Times New Roman"/>
          <w:lang w:val="es-ES"/>
        </w:rPr>
      </w:pPr>
      <w:r>
        <w:rPr>
          <w:rFonts w:ascii="Verdana" w:eastAsia="Calibri" w:hAnsi="Verdana" w:cs="Times New Roman"/>
          <w:lang w:val="es-ES"/>
        </w:rPr>
        <w:t>Estimado señor Vera:</w:t>
      </w:r>
    </w:p>
    <w:p w14:paraId="31EEB8DF" w14:textId="77777777" w:rsidR="00F2171E" w:rsidRPr="009037F6" w:rsidRDefault="00F2171E" w:rsidP="00F2171E">
      <w:pPr>
        <w:spacing w:after="0" w:line="276" w:lineRule="auto"/>
        <w:rPr>
          <w:rFonts w:ascii="Verdana" w:eastAsia="Calibri" w:hAnsi="Verdana" w:cs="Times New Roman"/>
          <w:lang w:val="es-ES"/>
        </w:rPr>
      </w:pPr>
    </w:p>
    <w:p w14:paraId="2E371030" w14:textId="163AE852" w:rsidR="00F2171E" w:rsidRDefault="00F2171E" w:rsidP="00F2171E">
      <w:pPr>
        <w:spacing w:after="0" w:line="276" w:lineRule="auto"/>
        <w:jc w:val="both"/>
        <w:rPr>
          <w:rFonts w:ascii="Verdana" w:eastAsia="Calibri" w:hAnsi="Verdana" w:cs="Times New Roman"/>
          <w:bCs/>
          <w:lang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numeral 8 del artículo 11 del Decreto Ley 4170 de 2011, así como lo establecido </w:t>
      </w:r>
      <w:r w:rsidRPr="009037F6">
        <w:rPr>
          <w:rFonts w:ascii="Verdana" w:eastAsia="Calibri" w:hAnsi="Verdana" w:cs="Times New Roman"/>
          <w:bCs/>
          <w:lang w:bidi="es-ES"/>
        </w:rPr>
        <w:lastRenderedPageBreak/>
        <w:t>en la Resolución 469 de 2025 expedida por esta Entidad, responde de manera acumulada sus dos solicitudes radicadas el 11 de agosto de 2026 bajo los números 1_2026_08_11_010539</w:t>
      </w:r>
      <w:r w:rsidR="002F7F4D">
        <w:rPr>
          <w:rFonts w:ascii="Verdana" w:eastAsia="Calibri" w:hAnsi="Verdana" w:cs="Times New Roman"/>
          <w:bCs/>
          <w:lang w:bidi="es-ES"/>
        </w:rPr>
        <w:t xml:space="preserve">, </w:t>
      </w:r>
      <w:r w:rsidRPr="009037F6">
        <w:rPr>
          <w:rFonts w:ascii="Verdana" w:eastAsia="Calibri" w:hAnsi="Verdana" w:cs="Times New Roman"/>
          <w:bCs/>
          <w:lang w:bidi="es-ES"/>
        </w:rPr>
        <w:t>1_2026_08_11_010573</w:t>
      </w:r>
      <w:r w:rsidR="002F7F4D">
        <w:rPr>
          <w:rFonts w:ascii="Verdana" w:eastAsia="Calibri" w:hAnsi="Verdana" w:cs="Times New Roman"/>
          <w:bCs/>
          <w:lang w:bidi="es-ES"/>
        </w:rPr>
        <w:t xml:space="preserve">, y </w:t>
      </w:r>
      <w:r w:rsidR="00E167EF" w:rsidRPr="002F7F4D">
        <w:rPr>
          <w:rFonts w:ascii="Verdana" w:eastAsia="Calibri" w:hAnsi="Verdana" w:cs="Times New Roman"/>
          <w:bCs/>
          <w:lang w:bidi="es-ES"/>
        </w:rPr>
        <w:t>1_2026_08_11_010574</w:t>
      </w:r>
      <w:r w:rsidRPr="009037F6">
        <w:rPr>
          <w:rFonts w:ascii="Verdana" w:eastAsia="Calibri" w:hAnsi="Verdana" w:cs="Times New Roman"/>
          <w:bCs/>
          <w:lang w:bidi="es-ES"/>
        </w:rPr>
        <w:t xml:space="preserve">. </w:t>
      </w:r>
      <w:r w:rsidR="002F7F4D">
        <w:rPr>
          <w:rFonts w:ascii="Verdana" w:eastAsia="Calibri" w:hAnsi="Verdana" w:cs="Times New Roman"/>
          <w:bCs/>
          <w:lang w:bidi="es-ES"/>
        </w:rPr>
        <w:t xml:space="preserve">Las tres </w:t>
      </w:r>
      <w:r w:rsidRPr="009037F6">
        <w:rPr>
          <w:rFonts w:ascii="Verdana" w:eastAsia="Calibri" w:hAnsi="Verdana" w:cs="Times New Roman"/>
          <w:bCs/>
          <w:lang w:bidi="es-ES"/>
        </w:rPr>
        <w:t>provienen del mismo peticionario, versan sobre la misma materia —la contratación directa de servicios profesionales y de apoyo a la gestión— y formulan interrogantes en su mayoría coincidentes, por lo que se resuelven en un solo acto, en aplicación de los principios de eficacia y economía. Por su extensión, los interrogantes se transcriben en lo esencial:</w:t>
      </w:r>
    </w:p>
    <w:p w14:paraId="056B3A69" w14:textId="77777777" w:rsidR="002F7F4D" w:rsidRDefault="002F7F4D" w:rsidP="00F2171E">
      <w:pPr>
        <w:spacing w:after="0" w:line="276" w:lineRule="auto"/>
        <w:jc w:val="both"/>
        <w:rPr>
          <w:rFonts w:ascii="Verdana" w:eastAsia="Calibri" w:hAnsi="Verdana" w:cs="Times New Roman"/>
          <w:lang w:bidi="es-ES"/>
        </w:rPr>
      </w:pPr>
    </w:p>
    <w:p w14:paraId="1174DEBA"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b/>
          <w:sz w:val="20"/>
          <w:szCs w:val="20"/>
          <w:lang w:val="es-ES" w:eastAsia="es-ES"/>
        </w:rPr>
        <w:t>Radicado No. 1_2026_08_11_010539:</w:t>
      </w:r>
    </w:p>
    <w:p w14:paraId="4B913E84"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1E182998"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“1. Informar cuáles son los requisitos de planeación aplicables a los contratos de prestación de servicios profesionales y apoyo a la gestión celebrados mediante contratación directa.</w:t>
      </w:r>
    </w:p>
    <w:p w14:paraId="20006551"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4A3B97A3"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2. Precisar el contenido mínimo que deben contener los estudios y documentos previos respecto de la necesidad contractual.</w:t>
      </w:r>
    </w:p>
    <w:p w14:paraId="6B351F6E"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7003A948"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3. Informar cómo debe justificarse que una determinada actividad requiera contratación externa y cuál debe ser el soporte documental de esa decisión.</w:t>
      </w:r>
    </w:p>
    <w:p w14:paraId="578225C4"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36EFBEB9"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4. Indicar cuáles buenas prácticas recomienda Colombia Compra Eficiente para evitar contrataciones sucesivas de necesidades estructurales sin adecuada evaluación institucional.</w:t>
      </w:r>
    </w:p>
    <w:p w14:paraId="267495FA"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61AA5855"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5. Informar cuál información contractual debe encontrarse publicada en SECOP respecto de contratos profesionales y de apoyo a la gestión.</w:t>
      </w:r>
    </w:p>
    <w:p w14:paraId="5F0B9DC7"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5BB0C085"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6. Informar qué herramientas o campos de SECOP permiten identificar contratos sucesivos celebrados por una misma entidad para objetos iguales o semejantes.</w:t>
      </w:r>
    </w:p>
    <w:p w14:paraId="26D6975E"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1179BDF4"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7. Informar si existen guías, circulares, conceptos o documentos orientadores vigentes sobre prestación de servicios profesionales y apoyo a la gestión, y remitir copia o enlace.</w:t>
      </w:r>
    </w:p>
    <w:p w14:paraId="0678F417"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6938BD8A"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8. Precisar qué criterios de trazabilidad y publicidad facilitan el control ciudadano sobre estudios previos, objetos, obligaciones, valores, supervisión, adiciones y prórrogas.</w:t>
      </w:r>
    </w:p>
    <w:p w14:paraId="40CC5743"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7A3C700A"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lastRenderedPageBreak/>
        <w:t>9. Informar cómo se articula el principio de planeación contractual con la necesidad de evitar que una contratación temporal se convierta de hecho en mecanismo indefinido para atender requerimientos permanentes”.</w:t>
      </w:r>
    </w:p>
    <w:p w14:paraId="7BA33381"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3EFBD014"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b/>
          <w:sz w:val="20"/>
          <w:szCs w:val="20"/>
          <w:lang w:val="es-ES" w:eastAsia="es-ES"/>
        </w:rPr>
        <w:t>Radicado No. 1_2026_08_11_010573:</w:t>
      </w:r>
    </w:p>
    <w:p w14:paraId="5D6A5E9D"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54BC9496"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“1. Precisar cuándo resulta jurídicamente procedente la contratación directa de servicios profesionales y de apoyo a la gestión y qué elementos debe contener la justificación de la necesidad.</w:t>
      </w:r>
    </w:p>
    <w:p w14:paraId="619D1961"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62E384BD"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2. Precisar si esta causal exige, como regla general, convocatoria abierta, pluralidad de ofertas o comparación competitiva de hojas de vida.</w:t>
      </w:r>
    </w:p>
    <w:p w14:paraId="4D683315"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317C801A"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3. Indicar qué obligaciones de planeación, verificación de idoneidad, experiencia, determinación de honorarios y trazabilidad subsisten aunque no se exija pluralidad de ofertas.</w:t>
      </w:r>
    </w:p>
    <w:p w14:paraId="104B2643"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2E079063"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4. Precisar qué documentos deben integrar los estudios y documentos previos cuando se afirma que la necesidad no puede atenderse con personal de planta o exige conocimiento especializado.</w:t>
      </w:r>
    </w:p>
    <w:p w14:paraId="733AFAB5"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38B0DC4D"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5. Precisar si debe existir una certificación autónoma de insuficiencia de planta o si la justificación puede quedar debidamente soportada en otros documentos del proceso.</w:t>
      </w:r>
    </w:p>
    <w:p w14:paraId="74005B0C"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4CB1DCD6"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6. Indicar qué documentos de la contratación directa deben publicarse en SECOP y cuál es el tratamiento de ofertas, propuestas, hojas de vida y datos personales.</w:t>
      </w:r>
    </w:p>
    <w:p w14:paraId="5E71D2C9"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4FB04914"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7. Informar si es jurídicamente admisible que una entidad adopte voluntariamente medidas adicionales de publicidad previa o manifestaciones de interés sin transformar la modalidad legal de selección.</w:t>
      </w:r>
    </w:p>
    <w:p w14:paraId="38F058DC"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778DCC88"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8. Indicar buenas prácticas para detectar y gestionar necesidades contractuales que se repiten durante varias vigencias.</w:t>
      </w:r>
    </w:p>
    <w:p w14:paraId="15EC6ABB"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29C73C03"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9. Precisar qué elementos de la recurrencia contractual deben ser evaluados desde la planeación sin afirmar automáticamente ilegalidad o contrato realidad”.</w:t>
      </w:r>
    </w:p>
    <w:p w14:paraId="60B01A01" w14:textId="77777777" w:rsidR="002F7F4D" w:rsidRDefault="002F7F4D" w:rsidP="00F2171E">
      <w:pPr>
        <w:tabs>
          <w:tab w:val="left" w:pos="709"/>
        </w:tabs>
        <w:spacing w:after="0" w:line="240" w:lineRule="auto"/>
        <w:ind w:left="709" w:right="709"/>
        <w:jc w:val="both"/>
        <w:rPr>
          <w:rFonts w:ascii="Verdana" w:hAnsi="Verdana" w:cs="Arial"/>
          <w:sz w:val="20"/>
          <w:szCs w:val="20"/>
          <w:lang w:val="es-ES" w:eastAsia="es-ES"/>
        </w:rPr>
      </w:pPr>
    </w:p>
    <w:p w14:paraId="5B55FBC8" w14:textId="77777777" w:rsidR="00F2171E" w:rsidRPr="009037F6" w:rsidRDefault="00F2171E" w:rsidP="00F2171E">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9037F6">
        <w:rPr>
          <w:rFonts w:ascii="Verdana" w:eastAsia="Calibri" w:hAnsi="Verdana" w:cs="Times New Roman"/>
          <w:lang w:val="es-ES"/>
        </w:rPr>
        <w:lastRenderedPageBreak/>
        <w:t>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CA90672" w14:textId="77777777" w:rsidR="00F2171E" w:rsidRPr="009037F6" w:rsidRDefault="00F2171E" w:rsidP="00F2171E">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27FF2877" w14:textId="77777777" w:rsidR="00F2171E" w:rsidRPr="009037F6" w:rsidRDefault="00F2171E" w:rsidP="00F2171E">
      <w:pPr>
        <w:spacing w:after="0" w:line="276" w:lineRule="auto"/>
        <w:rPr>
          <w:rFonts w:ascii="Verdana" w:eastAsia="Calibri" w:hAnsi="Verdana" w:cs="Times New Roman"/>
          <w:lang w:val="es-ES"/>
        </w:rPr>
      </w:pPr>
    </w:p>
    <w:p w14:paraId="02C026BD" w14:textId="77777777" w:rsidR="00F2171E" w:rsidRPr="009037F6" w:rsidRDefault="00F2171E" w:rsidP="00F2171E">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209ADB68" w14:textId="77777777" w:rsidR="00F2171E" w:rsidRPr="009037F6" w:rsidRDefault="00F2171E" w:rsidP="00F2171E">
      <w:pPr>
        <w:spacing w:after="0" w:line="276" w:lineRule="auto"/>
        <w:rPr>
          <w:rFonts w:ascii="Verdana" w:eastAsia="Calibri" w:hAnsi="Verdana" w:cs="Times New Roman"/>
        </w:rPr>
      </w:pPr>
    </w:p>
    <w:p w14:paraId="6FDFE7D8" w14:textId="77777777" w:rsidR="00F2171E" w:rsidRPr="00D1210B" w:rsidRDefault="00F2171E" w:rsidP="00F2171E">
      <w:pPr>
        <w:spacing w:after="0" w:line="276" w:lineRule="auto"/>
        <w:jc w:val="both"/>
        <w:rPr>
          <w:rFonts w:ascii="Verdana" w:eastAsia="Calibri" w:hAnsi="Verdana" w:cs="Times New Roman"/>
        </w:rPr>
      </w:pPr>
      <w:r w:rsidRPr="009037F6">
        <w:rPr>
          <w:rFonts w:ascii="Verdana" w:eastAsia="Calibri" w:hAnsi="Verdana" w:cs="Times New Roman"/>
        </w:rPr>
        <w:t xml:space="preserve">De acuerdo con el contenido de sus dos solicitudes, y sintetizando las dieciocho pretensiones en los problemas jurídicos que efectivamente las comprenden —pues varias de ellas abordan la misma cuestión desde perspectivas complementarias—, la Agencia procede a resolver: i) ¿Cuándo procede la contratación directa para la prestación de servicios profesionales y de apoyo a la gestión, qué requisitos de planeación deben observarse, qué debe contener la justificación de la necesidad y cómo se acredita que la actividad no puede atenderse con personal de planta? ii) ¿Exige esta causal convocatoria abierta, pluralidad de ofertas o comparación competitiva de hojas de vida; qué deberes de verificación de idoneidad, determinación de honorarios y trazabilidad subsisten pese a que no se exija; y puede la entidad adoptar voluntariamente medidas adicionales de publicidad previa? iii) ¿Qué información contractual debe publicarse en el SECOP en esta modalidad, incluidas las adiciones, las prórrogas y la supervisión, y qué criterios de trazabilidad y publicidad facilitan el control ciudadano? iv) ¿Qué reglas debe observar la planeación frente a necesidades </w:t>
      </w:r>
      <w:r w:rsidRPr="009037F6">
        <w:rPr>
          <w:rFonts w:ascii="Verdana" w:eastAsia="Calibri" w:hAnsi="Verdana" w:cs="Times New Roman"/>
        </w:rPr>
        <w:lastRenderedPageBreak/>
        <w:t>que se repiten en varias vigencias y cómo se articula el principio de planeación con la prohibición de que una vinculación temporal devenga indefinida?</w:t>
      </w:r>
    </w:p>
    <w:p w14:paraId="7BCE29C0" w14:textId="77777777" w:rsidR="00F2171E" w:rsidRPr="00E27EDD" w:rsidRDefault="00F2171E" w:rsidP="00F2171E">
      <w:pPr>
        <w:spacing w:after="0" w:line="276" w:lineRule="auto"/>
        <w:jc w:val="both"/>
        <w:rPr>
          <w:rFonts w:ascii="Verdana" w:eastAsia="Calibri" w:hAnsi="Verdana" w:cs="Times New Roman"/>
          <w:i/>
          <w:iCs/>
        </w:rPr>
      </w:pPr>
    </w:p>
    <w:p w14:paraId="2F249453" w14:textId="77777777" w:rsidR="00F2171E" w:rsidRPr="009037F6" w:rsidRDefault="00F2171E" w:rsidP="00F2171E">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295B0B72" w14:textId="77777777" w:rsidR="00F2171E" w:rsidRPr="009037F6" w:rsidRDefault="00F2171E" w:rsidP="00F2171E">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2171E" w:rsidRPr="009037F6" w14:paraId="551C314C" w14:textId="77777777" w:rsidTr="002002AD">
        <w:trPr>
          <w:trHeight w:val="345"/>
          <w:jc w:val="center"/>
        </w:trPr>
        <w:tc>
          <w:tcPr>
            <w:tcW w:w="8784" w:type="dxa"/>
            <w:tcBorders>
              <w:bottom w:val="single" w:sz="4" w:space="0" w:color="auto"/>
            </w:tcBorders>
          </w:tcPr>
          <w:p w14:paraId="24D2DF58" w14:textId="72503637" w:rsidR="00F2171E" w:rsidRDefault="00F2171E"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 </w:t>
            </w:r>
            <w:r w:rsidRPr="002F7F4D">
              <w:rPr>
                <w:rFonts w:ascii="Verdana" w:eastAsia="Times New Roman" w:hAnsi="Verdana" w:cs="Arial"/>
                <w:bCs/>
                <w:color w:val="000000" w:themeColor="text1"/>
                <w:lang w:val="es-ES" w:eastAsia="es-ES"/>
              </w:rPr>
              <w:t xml:space="preserve">La procedencia de </w:t>
            </w:r>
            <w:r w:rsidR="002F7F4D" w:rsidRPr="002F7F4D">
              <w:rPr>
                <w:rFonts w:ascii="Verdana" w:eastAsia="Times New Roman" w:hAnsi="Verdana" w:cs="Arial"/>
                <w:bCs/>
                <w:color w:val="000000" w:themeColor="text1"/>
                <w:lang w:val="es-ES" w:eastAsia="es-ES"/>
              </w:rPr>
              <w:t>la causal de contratación directa</w:t>
            </w:r>
            <w:r w:rsidR="002F7F4D">
              <w:rPr>
                <w:rFonts w:ascii="Verdana" w:eastAsia="Times New Roman" w:hAnsi="Verdana" w:cs="Arial"/>
                <w:bCs/>
                <w:color w:val="000000" w:themeColor="text1"/>
                <w:lang w:val="es-ES" w:eastAsia="es-ES"/>
              </w:rPr>
              <w:t xml:space="preserve"> en contratos de prestación de servicios profesionales y de apoyo a la gestión</w:t>
            </w:r>
            <w:r w:rsidR="002F7F4D" w:rsidRPr="002F7F4D">
              <w:rPr>
                <w:rFonts w:ascii="Verdana" w:eastAsia="Times New Roman" w:hAnsi="Verdana" w:cs="Arial"/>
                <w:bCs/>
                <w:color w:val="000000" w:themeColor="text1"/>
                <w:lang w:val="es-ES" w:eastAsia="es-ES"/>
              </w:rPr>
              <w:t xml:space="preserve"> </w:t>
            </w:r>
            <w:r w:rsidRPr="002F7F4D">
              <w:rPr>
                <w:rFonts w:ascii="Verdana" w:eastAsia="Times New Roman" w:hAnsi="Verdana" w:cs="Arial"/>
                <w:bCs/>
                <w:color w:val="000000" w:themeColor="text1"/>
                <w:lang w:val="es-ES" w:eastAsia="es-ES"/>
              </w:rPr>
              <w:t xml:space="preserve">depende de dos condiciones concurrentes. </w:t>
            </w:r>
            <w:r w:rsidRPr="004F3256">
              <w:rPr>
                <w:rFonts w:ascii="Verdana" w:eastAsia="Times New Roman" w:hAnsi="Verdana" w:cs="Arial"/>
                <w:color w:val="000000" w:themeColor="text1"/>
                <w:lang w:val="es-ES" w:eastAsia="es-ES"/>
              </w:rPr>
              <w:t xml:space="preserve">La primera es que el objeto corresponda efectivamente a servicios profesionales o de apoyo a la gestión, que el reglamento define como los de naturaleza intelectual diferentes a los de consultoría que se derivan del cumplimiento de las funciones de la entidad, así como los relacionados con actividades operativas, logísticas o asistenciales. La segunda es que se verifiquen los supuestos del tipo contractual: tratándose de personas naturales, que las actividades no puedan realizarse con personal de planta </w:t>
            </w:r>
            <w:r w:rsidRPr="002F7F4D">
              <w:rPr>
                <w:rFonts w:ascii="Verdana" w:eastAsia="Times New Roman" w:hAnsi="Verdana" w:cs="Arial"/>
                <w:bCs/>
                <w:color w:val="000000" w:themeColor="text1"/>
                <w:lang w:val="es-ES" w:eastAsia="es-ES"/>
              </w:rPr>
              <w:t xml:space="preserve">o </w:t>
            </w:r>
            <w:r w:rsidRPr="004F3256">
              <w:rPr>
                <w:rFonts w:ascii="Verdana" w:eastAsia="Times New Roman" w:hAnsi="Verdana" w:cs="Arial"/>
                <w:color w:val="000000" w:themeColor="text1"/>
                <w:lang w:val="es-ES" w:eastAsia="es-ES"/>
              </w:rPr>
              <w:t>requieran conocimientos especializados —son supuestos alternativos, no acumulativos—, y que el contrato se celebre por el término estrictamente indispensable. Que la modalidad sea excepcional no la exime del cumplimiento de los principios que rigen la contratación pública y la función administrativa</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48CEFF05" w14:textId="66AAC9AE" w:rsidR="00F2171E" w:rsidRDefault="00F2171E" w:rsidP="00384B42">
            <w:pPr>
              <w:spacing w:after="120" w:line="276" w:lineRule="auto"/>
              <w:ind w:firstLine="598"/>
              <w:jc w:val="both"/>
              <w:rPr>
                <w:rFonts w:ascii="Verdana" w:hAnsi="Verdana" w:cs="Arial"/>
                <w:lang w:val="es-ES" w:eastAsia="es-ES"/>
              </w:rPr>
            </w:pPr>
            <w:r w:rsidRPr="00E64F47">
              <w:rPr>
                <w:rFonts w:ascii="Verdana" w:eastAsia="Times New Roman" w:hAnsi="Verdana" w:cs="Arial"/>
                <w:bCs/>
                <w:color w:val="000000" w:themeColor="text1"/>
                <w:lang w:val="es-ES" w:eastAsia="es-ES"/>
              </w:rPr>
              <w:t>Los requisitos de planeación son plenamente exigibles</w:t>
            </w:r>
            <w:r w:rsidR="00E64F47">
              <w:rPr>
                <w:rFonts w:ascii="Verdana" w:eastAsia="Times New Roman" w:hAnsi="Verdana" w:cs="Arial"/>
                <w:bCs/>
                <w:color w:val="000000" w:themeColor="text1"/>
                <w:lang w:val="es-ES" w:eastAsia="es-ES"/>
              </w:rPr>
              <w:t xml:space="preserve"> para esta modalidad </w:t>
            </w:r>
            <w:r w:rsidRPr="00E64F47">
              <w:rPr>
                <w:rFonts w:ascii="Verdana" w:eastAsia="Times New Roman" w:hAnsi="Verdana" w:cs="Arial"/>
                <w:bCs/>
                <w:color w:val="000000" w:themeColor="text1"/>
                <w:lang w:val="es-ES" w:eastAsia="es-ES"/>
              </w:rPr>
              <w:t>de selección.</w:t>
            </w:r>
            <w:r w:rsidRPr="004F3256">
              <w:rPr>
                <w:rFonts w:ascii="Verdana" w:eastAsia="Times New Roman" w:hAnsi="Verdana" w:cs="Arial"/>
                <w:color w:val="000000" w:themeColor="text1"/>
                <w:lang w:val="es-ES" w:eastAsia="es-ES"/>
              </w:rPr>
              <w:t xml:space="preserve"> La entidad debe incluir la contratación en el Plan Anual de Adquisiciones, adelantar el análisis del sector y del mercado y elaborar los estudios y documentos previos. El artículo 2.2.1.1.2.1.1 del Decreto 1082 de 2015 es aplicable a la contratación directa, pues solo exceptúa expresamente la contratación de mínima cuantía, de modo que estos estudios deben contener la descripción de la necesidad, el objeto con sus especificaciones, la modalidad de selección y su justificación con los fundamentos jurídicos, el valor estimado y su justificación, los criterios para </w:t>
            </w:r>
            <w:r w:rsidRPr="004F3256">
              <w:rPr>
                <w:rFonts w:ascii="Verdana" w:eastAsia="Times New Roman" w:hAnsi="Verdana" w:cs="Arial"/>
                <w:color w:val="000000" w:themeColor="text1"/>
                <w:lang w:val="es-ES" w:eastAsia="es-ES"/>
              </w:rPr>
              <w:lastRenderedPageBreak/>
              <w:t>seleccionar la oferta más favorable, el análisis de riesgo, las garantías contempladas y la indicación sobre acuerdos comerciales</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481A4AAB" w14:textId="6CB1E24B" w:rsidR="00F2171E" w:rsidRDefault="00F2171E" w:rsidP="00384B42">
            <w:pPr>
              <w:spacing w:after="120" w:line="276" w:lineRule="auto"/>
              <w:ind w:firstLine="598"/>
              <w:jc w:val="both"/>
              <w:rPr>
                <w:rFonts w:ascii="Verdana" w:hAnsi="Verdana" w:cs="Arial"/>
                <w:lang w:val="es-ES" w:eastAsia="es-ES"/>
              </w:rPr>
            </w:pPr>
            <w:r w:rsidRPr="00E64F47">
              <w:rPr>
                <w:rFonts w:ascii="Verdana" w:eastAsia="Times New Roman" w:hAnsi="Verdana" w:cs="Arial"/>
                <w:bCs/>
                <w:color w:val="000000" w:themeColor="text1"/>
                <w:lang w:val="es-ES" w:eastAsia="es-ES"/>
              </w:rPr>
              <w:t>La justificación de que la actividad requiere contratación externa integra la descripción de la necesidad y la justificación de la modalidad.</w:t>
            </w:r>
            <w:r w:rsidRPr="004F3256">
              <w:rPr>
                <w:rFonts w:ascii="Verdana" w:eastAsia="Times New Roman" w:hAnsi="Verdana" w:cs="Arial"/>
                <w:color w:val="000000" w:themeColor="text1"/>
                <w:lang w:val="es-ES" w:eastAsia="es-ES"/>
              </w:rPr>
              <w:t xml:space="preserve"> No basta enunciarla</w:t>
            </w:r>
            <w:r w:rsidR="00E64F47">
              <w:rPr>
                <w:rFonts w:ascii="Verdana" w:eastAsia="Times New Roman" w:hAnsi="Verdana" w:cs="Arial"/>
                <w:color w:val="000000" w:themeColor="text1"/>
                <w:lang w:val="es-ES" w:eastAsia="es-ES"/>
              </w:rPr>
              <w:t>,</w:t>
            </w:r>
            <w:r w:rsidRPr="004F3256">
              <w:rPr>
                <w:rFonts w:ascii="Verdana" w:eastAsia="Times New Roman" w:hAnsi="Verdana" w:cs="Arial"/>
                <w:color w:val="000000" w:themeColor="text1"/>
                <w:lang w:val="es-ES" w:eastAsia="es-ES"/>
              </w:rPr>
              <w:t xml:space="preserve"> debe soportarse con referencia a los empleos existentes, a los manuales específicos de funciones y a las cargas concretas de las que se deduce la conclusión. Cuestión distinta es el acto administrativo de justificación de la contratación directa, que el inciso final del artículo 2.2.1.2.1.4.1 del Decreto 1082 de 2015 excluye expresamente para estos contratos: la dispensa recae sobre el acto, no sobre la justificación, que subsiste y debe constar en los estudios y documentos previos</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33AF5285" w14:textId="77777777" w:rsidR="00F2171E" w:rsidRDefault="00F2171E" w:rsidP="00384B42">
            <w:pPr>
              <w:spacing w:after="120" w:line="276" w:lineRule="auto"/>
              <w:ind w:firstLine="598"/>
              <w:jc w:val="both"/>
              <w:rPr>
                <w:rFonts w:ascii="Verdana" w:hAnsi="Verdana" w:cs="Arial"/>
                <w:lang w:val="es-ES" w:eastAsia="es-ES"/>
              </w:rPr>
            </w:pPr>
            <w:r w:rsidRPr="00E64F47">
              <w:rPr>
                <w:rFonts w:ascii="Verdana" w:eastAsia="Times New Roman" w:hAnsi="Verdana" w:cs="Arial"/>
                <w:bCs/>
                <w:color w:val="000000" w:themeColor="text1"/>
                <w:lang w:val="es-ES" w:eastAsia="es-ES"/>
              </w:rPr>
              <w:t>Sobre la insuficiencia de planta existe una exigencia autónoma y expresa de acreditación.</w:t>
            </w:r>
            <w:r w:rsidRPr="004F3256">
              <w:rPr>
                <w:rFonts w:ascii="Verdana" w:eastAsia="Times New Roman" w:hAnsi="Verdana" w:cs="Arial"/>
                <w:color w:val="000000" w:themeColor="text1"/>
                <w:lang w:val="es-ES" w:eastAsia="es-ES"/>
              </w:rPr>
              <w:t xml:space="preserve"> El artículo 2.8.4.4.5 del Decreto 1068 de 2015 dispone que estos contratos solo pueden celebrarse cuando no exista personal de planta con capacidad para realizar las actividades, precisa los eventos en que se entiende que no existe —inexistencia de personal que pueda desarrollar la actividad según los manuales específicos, grado de especialización que implique contratar el servicio, o personal existente pero insuficiente— y añade que “la inexistencia de personal suficiente deberá acreditarse por el jefe del respectivo organismo”. Esta disposición se aplica a los organismos, entidades, entes públicos y personas jurídicas que financien sus gastos con recursos del Tesoro Público, y las entidades territoriales deben adoptar medidas equivalentes</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67FD8E55" w14:textId="7F433ECB" w:rsidR="00F2171E" w:rsidRDefault="00F2171E" w:rsidP="00384B42">
            <w:pPr>
              <w:spacing w:after="120" w:line="276" w:lineRule="auto"/>
              <w:ind w:firstLine="598"/>
              <w:jc w:val="both"/>
              <w:rPr>
                <w:rFonts w:ascii="Verdana" w:hAnsi="Verdana" w:cs="Arial"/>
                <w:lang w:val="es-ES" w:eastAsia="es-ES"/>
              </w:rPr>
            </w:pPr>
            <w:r w:rsidRPr="004F3256">
              <w:rPr>
                <w:rFonts w:ascii="Verdana" w:eastAsia="Times New Roman" w:hAnsi="Verdana" w:cs="Arial"/>
                <w:color w:val="000000" w:themeColor="text1"/>
                <w:lang w:val="es-ES" w:eastAsia="es-ES"/>
              </w:rPr>
              <w:lastRenderedPageBreak/>
              <w:t>Lo que el reglamento impone es que la manifestación provenga del jefe del organismo, que esté soportada y que sea verificable; no que exista un documento separado con una denominación específica. Por ello puede satisfacerse mediante una certificación autónoma o quedar incorporada en los estudios y documentos previos, siempre que estos sean suscritos por el jefe del organismo o que este avale expresamente esa constatación. Lo que no la satisface es una fórmula genérica sin referencia a los empleos, los manuales específicos y las cargas concretas, ni la sola mención de la insuficiencia en el clausulado del contrato</w:t>
            </w:r>
            <w:r w:rsidRPr="004F3256">
              <w:rPr>
                <w:rStyle w:val="Refdenotaalpie"/>
                <w:rFonts w:ascii="Verdana" w:hAnsi="Verdana"/>
                <w:sz w:val="20"/>
              </w:rPr>
              <w:footnoteReference w:id="5"/>
            </w:r>
            <w:r w:rsidRPr="004F3256">
              <w:rPr>
                <w:rFonts w:ascii="Verdana" w:eastAsia="Times New Roman" w:hAnsi="Verdana" w:cs="Arial"/>
                <w:color w:val="000000" w:themeColor="text1"/>
                <w:lang w:val="es-ES" w:eastAsia="es-ES"/>
              </w:rPr>
              <w:t>.</w:t>
            </w:r>
          </w:p>
          <w:p w14:paraId="054A40CD" w14:textId="4BC809BE" w:rsidR="00F2171E" w:rsidRDefault="00F2171E" w:rsidP="002002AD">
            <w:pPr>
              <w:spacing w:after="120" w:line="276" w:lineRule="auto"/>
              <w:jc w:val="both"/>
              <w:rPr>
                <w:rFonts w:ascii="Verdana" w:hAnsi="Verdana" w:cs="Arial"/>
                <w:lang w:val="es-ES" w:eastAsia="es-ES"/>
              </w:rPr>
            </w:pPr>
            <w:proofErr w:type="spellStart"/>
            <w:r w:rsidRPr="004F3256">
              <w:rPr>
                <w:rFonts w:ascii="Verdana" w:eastAsia="Times New Roman" w:hAnsi="Verdana" w:cs="Arial"/>
                <w:color w:val="000000" w:themeColor="text1"/>
                <w:lang w:val="es-ES" w:eastAsia="es-ES"/>
              </w:rPr>
              <w:t>ii</w:t>
            </w:r>
            <w:proofErr w:type="spellEnd"/>
            <w:r w:rsidRPr="004F3256">
              <w:rPr>
                <w:rFonts w:ascii="Verdana" w:eastAsia="Times New Roman" w:hAnsi="Verdana" w:cs="Arial"/>
                <w:color w:val="000000" w:themeColor="text1"/>
                <w:lang w:val="es-ES" w:eastAsia="es-ES"/>
              </w:rPr>
              <w:t xml:space="preserve">) </w:t>
            </w:r>
            <w:r w:rsidR="00E64F47">
              <w:rPr>
                <w:rFonts w:ascii="Verdana" w:eastAsia="Times New Roman" w:hAnsi="Verdana" w:cs="Arial"/>
                <w:b/>
                <w:color w:val="000000" w:themeColor="text1"/>
                <w:lang w:val="es-ES" w:eastAsia="es-ES"/>
              </w:rPr>
              <w:t xml:space="preserve"> </w:t>
            </w:r>
            <w:r w:rsidR="00E64F47" w:rsidRPr="00E64F47">
              <w:rPr>
                <w:rFonts w:ascii="Verdana" w:eastAsia="Times New Roman" w:hAnsi="Verdana" w:cs="Arial"/>
                <w:bCs/>
                <w:color w:val="000000" w:themeColor="text1"/>
                <w:lang w:val="es-ES" w:eastAsia="es-ES"/>
              </w:rPr>
              <w:t xml:space="preserve">Para esta modalidad </w:t>
            </w:r>
            <w:r w:rsidRPr="00E64F47">
              <w:rPr>
                <w:rFonts w:ascii="Verdana" w:eastAsia="Times New Roman" w:hAnsi="Verdana" w:cs="Arial"/>
                <w:bCs/>
                <w:color w:val="000000" w:themeColor="text1"/>
                <w:lang w:val="es-ES" w:eastAsia="es-ES"/>
              </w:rPr>
              <w:t xml:space="preserve">no </w:t>
            </w:r>
            <w:r w:rsidR="00E64F47" w:rsidRPr="00E64F47">
              <w:rPr>
                <w:rFonts w:ascii="Verdana" w:eastAsia="Times New Roman" w:hAnsi="Verdana" w:cs="Arial"/>
                <w:bCs/>
                <w:color w:val="000000" w:themeColor="text1"/>
                <w:lang w:val="es-ES" w:eastAsia="es-ES"/>
              </w:rPr>
              <w:t xml:space="preserve">se </w:t>
            </w:r>
            <w:r w:rsidRPr="00E64F47">
              <w:rPr>
                <w:rFonts w:ascii="Verdana" w:eastAsia="Times New Roman" w:hAnsi="Verdana" w:cs="Arial"/>
                <w:bCs/>
                <w:color w:val="000000" w:themeColor="text1"/>
                <w:lang w:val="es-ES" w:eastAsia="es-ES"/>
              </w:rPr>
              <w:t>exige convocatoria abierta, pluralidad de ofertas ni comparación competitiva de hojas de vida.</w:t>
            </w:r>
            <w:r w:rsidRPr="004F3256">
              <w:rPr>
                <w:rFonts w:ascii="Verdana" w:eastAsia="Times New Roman" w:hAnsi="Verdana" w:cs="Arial"/>
                <w:color w:val="000000" w:themeColor="text1"/>
                <w:lang w:val="es-ES" w:eastAsia="es-ES"/>
              </w:rPr>
              <w:t xml:space="preserve"> El artículo 2.2.1.2.1.4.9 del Decreto 1082 de 2015 es explícito: “no es necesario que la Entidad Estatal haya obtenido previamente varias ofertas, de lo cual el ordenador del gasto debe dejar constancia escrita”. Conviene leer la norma completa: no dispensa sin más, sino </w:t>
            </w:r>
            <w:r w:rsidRPr="00E64F47">
              <w:rPr>
                <w:rFonts w:ascii="Verdana" w:eastAsia="Times New Roman" w:hAnsi="Verdana" w:cs="Arial"/>
                <w:color w:val="000000" w:themeColor="text1"/>
                <w:lang w:val="es-ES" w:eastAsia="es-ES"/>
              </w:rPr>
              <w:t>que sustituye la pluralidad</w:t>
            </w:r>
            <w:r w:rsidRPr="004F3256">
              <w:rPr>
                <w:rFonts w:ascii="Verdana" w:eastAsia="Times New Roman" w:hAnsi="Verdana" w:cs="Arial"/>
                <w:color w:val="000000" w:themeColor="text1"/>
                <w:lang w:val="es-ES" w:eastAsia="es-ES"/>
              </w:rPr>
              <w:t xml:space="preserve"> de ofertas por una carga documental radicada en cabeza del ordenador del gasto. La ausencia de comparación no es, entonces, una zona exenta de control: el control se desplaza de la comparación de ofertas a la verificación del perfil y a la motivación de la escogencia</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p w14:paraId="0CA4BDDC" w14:textId="77777777" w:rsidR="00F2171E" w:rsidRDefault="00F2171E" w:rsidP="00384B42">
            <w:pPr>
              <w:spacing w:after="120" w:line="276" w:lineRule="auto"/>
              <w:ind w:firstLine="598"/>
              <w:jc w:val="both"/>
              <w:rPr>
                <w:rFonts w:ascii="Verdana" w:hAnsi="Verdana" w:cs="Arial"/>
                <w:lang w:val="es-ES" w:eastAsia="es-ES"/>
              </w:rPr>
            </w:pPr>
            <w:r w:rsidRPr="00E64F47">
              <w:rPr>
                <w:rFonts w:ascii="Verdana" w:eastAsia="Times New Roman" w:hAnsi="Verdana" w:cs="Arial"/>
                <w:bCs/>
                <w:color w:val="000000" w:themeColor="text1"/>
                <w:lang w:val="es-ES" w:eastAsia="es-ES"/>
              </w:rPr>
              <w:t>Subsiste el deber de selección objetiva y, en particular, el de verificar la idoneidad o la experiencia.</w:t>
            </w:r>
            <w:r w:rsidRPr="004F3256">
              <w:rPr>
                <w:rFonts w:ascii="Verdana" w:eastAsia="Times New Roman" w:hAnsi="Verdana" w:cs="Arial"/>
                <w:color w:val="000000" w:themeColor="text1"/>
                <w:lang w:val="es-ES" w:eastAsia="es-ES"/>
              </w:rPr>
              <w:t xml:space="preserve"> El artículo 5 de la Ley 1150 de 2007 no está circunscrito a las modalidades competitivas, de manera que la escogencia debe fundarse en la aptitud acreditada de quien se contrata frente al perfil definido en los estudios previos. La idoneidad es un concepto jurídicamente indeterminado que debe dotarse de contenido en cada caso concreto, y su verificación es un deber de la entidad y no una carga del contratista: no se agota con el aporte de la hoja de vida, sino que exige contrastarla con ese </w:t>
            </w:r>
            <w:r w:rsidRPr="004F3256">
              <w:rPr>
                <w:rFonts w:ascii="Verdana" w:eastAsia="Times New Roman" w:hAnsi="Verdana" w:cs="Arial"/>
                <w:color w:val="000000" w:themeColor="text1"/>
                <w:lang w:val="es-ES" w:eastAsia="es-ES"/>
              </w:rPr>
              <w:lastRenderedPageBreak/>
              <w:t>perfil, y debe constar documentalmente, pues de otro modo no sería verificable</w:t>
            </w:r>
            <w:r w:rsidRPr="004F3256">
              <w:rPr>
                <w:rStyle w:val="Refdenotaalpie"/>
                <w:rFonts w:ascii="Verdana" w:hAnsi="Verdana"/>
                <w:sz w:val="20"/>
              </w:rPr>
              <w:footnoteReference w:id="7"/>
            </w:r>
            <w:r w:rsidRPr="004F3256">
              <w:rPr>
                <w:rFonts w:ascii="Verdana" w:eastAsia="Times New Roman" w:hAnsi="Verdana" w:cs="Arial"/>
                <w:color w:val="000000" w:themeColor="text1"/>
                <w:lang w:val="es-ES" w:eastAsia="es-ES"/>
              </w:rPr>
              <w:t>.</w:t>
            </w:r>
          </w:p>
          <w:p w14:paraId="223DFCE2" w14:textId="77777777" w:rsidR="00E64F47" w:rsidRDefault="00F2171E" w:rsidP="00384B42">
            <w:pPr>
              <w:spacing w:after="120" w:line="276" w:lineRule="auto"/>
              <w:ind w:firstLine="598"/>
              <w:jc w:val="both"/>
              <w:rPr>
                <w:rFonts w:ascii="Verdana" w:hAnsi="Verdana" w:cs="Arial"/>
                <w:lang w:val="es-ES" w:eastAsia="es-ES"/>
              </w:rPr>
            </w:pPr>
            <w:r w:rsidRPr="00E64F47">
              <w:rPr>
                <w:rFonts w:ascii="Verdana" w:eastAsia="Times New Roman" w:hAnsi="Verdana" w:cs="Arial"/>
                <w:bCs/>
                <w:color w:val="000000" w:themeColor="text1"/>
                <w:lang w:val="es-ES" w:eastAsia="es-ES"/>
              </w:rPr>
              <w:t xml:space="preserve">En cuanto a los honorarios, el ordenamiento no fija escalas generales, pero su determinación no es libre. </w:t>
            </w:r>
            <w:r w:rsidRPr="004F3256">
              <w:rPr>
                <w:rFonts w:ascii="Verdana" w:eastAsia="Times New Roman" w:hAnsi="Verdana" w:cs="Arial"/>
                <w:color w:val="000000" w:themeColor="text1"/>
                <w:lang w:val="es-ES" w:eastAsia="es-ES"/>
              </w:rPr>
              <w:t>El valor hace parte de la planeación y debe resultar del análisis del sector y del estudio de mercado, de lo cual debe quedar constancia en los documentos del proceso. Operan además dos límites: el del artículo 2.8.4.4.6 del Decreto 1068 de 2015, que prohíbe pactar, por los servicios allí comprendidos, una remuneración mensual superior a la remuneración total mensual establecida para el jefe de la entidad; y el que la propia entidad se haya fijado en sus manuales de contratación o escalas internas de honorarios, que la vinculan mientras estén vigentes</w:t>
            </w:r>
            <w:r w:rsidRPr="004F3256">
              <w:rPr>
                <w:rStyle w:val="Refdenotaalpie"/>
                <w:rFonts w:ascii="Verdana" w:hAnsi="Verdana"/>
                <w:sz w:val="20"/>
              </w:rPr>
              <w:footnoteReference w:id="8"/>
            </w:r>
            <w:r w:rsidRPr="004F3256">
              <w:rPr>
                <w:rFonts w:ascii="Verdana" w:eastAsia="Times New Roman" w:hAnsi="Verdana" w:cs="Arial"/>
                <w:color w:val="000000" w:themeColor="text1"/>
                <w:lang w:val="es-ES" w:eastAsia="es-ES"/>
              </w:rPr>
              <w:t>.</w:t>
            </w:r>
          </w:p>
          <w:p w14:paraId="531BD189" w14:textId="1053BE31" w:rsidR="00F2171E" w:rsidRDefault="00E64F47" w:rsidP="00384B42">
            <w:pPr>
              <w:spacing w:after="120" w:line="276" w:lineRule="auto"/>
              <w:ind w:firstLine="598"/>
              <w:jc w:val="both"/>
              <w:rPr>
                <w:rFonts w:ascii="Verdana" w:hAnsi="Verdana" w:cs="Arial"/>
                <w:lang w:val="es-ES" w:eastAsia="es-ES"/>
              </w:rPr>
            </w:pPr>
            <w:r>
              <w:rPr>
                <w:rFonts w:ascii="Verdana" w:hAnsi="Verdana" w:cs="Arial"/>
                <w:lang w:val="es-ES" w:eastAsia="es-ES"/>
              </w:rPr>
              <w:t xml:space="preserve">Por </w:t>
            </w:r>
            <w:r w:rsidR="001222CA">
              <w:rPr>
                <w:rFonts w:ascii="Verdana" w:hAnsi="Verdana" w:cs="Arial"/>
                <w:lang w:val="es-ES" w:eastAsia="es-ES"/>
              </w:rPr>
              <w:t>otro</w:t>
            </w:r>
            <w:r w:rsidR="001222CA" w:rsidRPr="001222CA">
              <w:rPr>
                <w:rFonts w:ascii="Verdana" w:hAnsi="Verdana" w:cs="Arial"/>
                <w:lang w:val="es-ES" w:eastAsia="es-ES"/>
              </w:rPr>
              <w:t xml:space="preserve"> lado, </w:t>
            </w:r>
            <w:r w:rsidR="00F2171E" w:rsidRPr="001222CA">
              <w:rPr>
                <w:rFonts w:ascii="Verdana" w:eastAsia="Times New Roman" w:hAnsi="Verdana" w:cs="Arial"/>
                <w:color w:val="000000" w:themeColor="text1"/>
                <w:lang w:val="es-ES" w:eastAsia="es-ES"/>
              </w:rPr>
              <w:t xml:space="preserve">es jurídicamente admisible que la entidad adopte voluntariamente medidas adicionales de publicidad previa o invitaciones a manifestar interés, sin que ello transforme la modalidad legal de selección. </w:t>
            </w:r>
            <w:r w:rsidR="00F2171E" w:rsidRPr="004F3256">
              <w:rPr>
                <w:rFonts w:ascii="Verdana" w:eastAsia="Times New Roman" w:hAnsi="Verdana" w:cs="Arial"/>
                <w:color w:val="000000" w:themeColor="text1"/>
                <w:lang w:val="es-ES" w:eastAsia="es-ES"/>
              </w:rPr>
              <w:t>La modalidad la determina la ley en función de la causal, no la conducta de la entidad, y nada le impide reforzar la transparencia de su decisión. Esa facultad tiene, con todo, dos límites: la medida no puede convertirse de hecho en un procedimiento de selección paralelo que genere una expectativa de adjudicación regida por reglas de comparación que la ley no previó; y, una vez anunciadas las condiciones, la entidad queda vinculada por ellas en virtud de los principios de buena fe y confianza legítima, de manera que apartarse de lo anunciado sin justificación compromete su responsabilidad</w:t>
            </w:r>
            <w:r w:rsidR="00F2171E" w:rsidRPr="004F3256">
              <w:rPr>
                <w:rStyle w:val="Refdenotaalpie"/>
                <w:rFonts w:ascii="Verdana" w:hAnsi="Verdana"/>
                <w:sz w:val="20"/>
              </w:rPr>
              <w:footnoteReference w:id="9"/>
            </w:r>
            <w:r w:rsidR="00F2171E" w:rsidRPr="004F3256">
              <w:rPr>
                <w:rFonts w:ascii="Verdana" w:eastAsia="Times New Roman" w:hAnsi="Verdana" w:cs="Arial"/>
                <w:color w:val="000000" w:themeColor="text1"/>
                <w:lang w:val="es-ES" w:eastAsia="es-ES"/>
              </w:rPr>
              <w:t>.</w:t>
            </w:r>
          </w:p>
          <w:p w14:paraId="6D424FCE" w14:textId="77777777" w:rsidR="00F2171E" w:rsidRDefault="00F2171E"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iii) </w:t>
            </w:r>
            <w:r w:rsidRPr="001222CA">
              <w:rPr>
                <w:rFonts w:ascii="Verdana" w:eastAsia="Times New Roman" w:hAnsi="Verdana" w:cs="Arial"/>
                <w:bCs/>
                <w:color w:val="000000" w:themeColor="text1"/>
                <w:lang w:val="es-ES" w:eastAsia="es-ES"/>
              </w:rPr>
              <w:t>La contratación directa está sometida íntegramente al deber de publicidad, y este cubre toda la vida del contrato.</w:t>
            </w:r>
            <w:r w:rsidRPr="004F3256">
              <w:rPr>
                <w:rFonts w:ascii="Verdana" w:eastAsia="Times New Roman" w:hAnsi="Verdana" w:cs="Arial"/>
                <w:color w:val="000000" w:themeColor="text1"/>
                <w:lang w:val="es-ES" w:eastAsia="es-ES"/>
              </w:rPr>
              <w:t xml:space="preserve"> Conforme al artículo 2.2.1.1.1.7.1 del Decreto 1082 de 2015, la entidad debe publicar en el SECOP los Documentos </w:t>
            </w:r>
            <w:r w:rsidRPr="004F3256">
              <w:rPr>
                <w:rFonts w:ascii="Verdana" w:eastAsia="Times New Roman" w:hAnsi="Verdana" w:cs="Arial"/>
                <w:color w:val="000000" w:themeColor="text1"/>
                <w:lang w:val="es-ES" w:eastAsia="es-ES"/>
              </w:rPr>
              <w:lastRenderedPageBreak/>
              <w:t>del Proceso y los actos administrativos del Proceso de Contratación dentro de los tres días siguientes a su expedición. La enunciación del artículo 2.2.1.1.1.3.1 no es taxativa sino enunciativa, pues comprende “cualquier otro documento expedido por la Entidad Estatal durante el Proceso de Contratación”, y este se extiende “desde la planeación hasta el vencimiento de las garantías de calidad, estabilidad y mantenimiento […] o el vencimiento del plazo, lo que ocurra más tarde”</w:t>
            </w:r>
            <w:r w:rsidRPr="004F3256">
              <w:rPr>
                <w:rStyle w:val="Refdenotaalpie"/>
                <w:rFonts w:ascii="Verdana" w:hAnsi="Verdana"/>
                <w:sz w:val="20"/>
              </w:rPr>
              <w:footnoteReference w:id="10"/>
            </w:r>
            <w:r w:rsidRPr="004F3256">
              <w:rPr>
                <w:rFonts w:ascii="Verdana" w:eastAsia="Times New Roman" w:hAnsi="Verdana" w:cs="Arial"/>
                <w:color w:val="000000" w:themeColor="text1"/>
                <w:lang w:val="es-ES" w:eastAsia="es-ES"/>
              </w:rPr>
              <w:t>.</w:t>
            </w:r>
          </w:p>
          <w:p w14:paraId="23FC8647" w14:textId="2AE13F51" w:rsidR="00F2171E" w:rsidRPr="001222CA" w:rsidRDefault="00F2171E" w:rsidP="00384B42">
            <w:pPr>
              <w:spacing w:after="120" w:line="276" w:lineRule="auto"/>
              <w:ind w:firstLine="598"/>
              <w:jc w:val="both"/>
              <w:rPr>
                <w:rFonts w:ascii="Verdana" w:hAnsi="Verdana" w:cs="Arial"/>
                <w:bCs/>
                <w:lang w:val="es-ES" w:eastAsia="es-ES"/>
              </w:rPr>
            </w:pPr>
            <w:r w:rsidRPr="001222CA">
              <w:rPr>
                <w:rFonts w:ascii="Verdana" w:eastAsia="Times New Roman" w:hAnsi="Verdana" w:cs="Arial"/>
                <w:bCs/>
                <w:color w:val="000000" w:themeColor="text1"/>
                <w:lang w:val="es-ES" w:eastAsia="es-ES"/>
              </w:rPr>
              <w:t>En consecuencia, deben publicarse, entre otros: los estudios y documentos previos; los soportes de la verificación de idoneidad o experiencia; la acreditación de la insuficiencia de planta; el contrato; sus modificaciones, adiciones y prórrogas</w:t>
            </w:r>
            <w:r w:rsidRPr="004F3256">
              <w:rPr>
                <w:rFonts w:ascii="Verdana" w:eastAsia="Times New Roman" w:hAnsi="Verdana" w:cs="Arial"/>
                <w:color w:val="000000" w:themeColor="text1"/>
                <w:lang w:val="es-ES" w:eastAsia="es-ES"/>
              </w:rPr>
              <w:t>, con la justificación que las sustente; los informes de supervisión; y los documentos de la etapa poscontractual. La excepción de no publicidad del artículo 2.2.1.2.1.4.3 está referida a los empréstitos, a ciertos contratos interadministrativos y a los contratos de que trata el artículo 2.2.1.2.1.4.6, y no cobija esta causal. Conviene recordar que las adiciones están sometidas al límite del parágrafo del artículo 40 de la Ley 80 de 1993, que impide adicionarlas en más del cincuenta por ciento de su valor inicial expresado en salarios mínimos legales mensuales</w:t>
            </w:r>
            <w:r w:rsidRPr="004F3256">
              <w:rPr>
                <w:rStyle w:val="Refdenotaalpie"/>
                <w:rFonts w:ascii="Verdana" w:hAnsi="Verdana"/>
                <w:sz w:val="20"/>
              </w:rPr>
              <w:footnoteReference w:id="11"/>
            </w:r>
            <w:r w:rsidRPr="004F3256">
              <w:rPr>
                <w:rFonts w:ascii="Verdana" w:eastAsia="Times New Roman" w:hAnsi="Verdana" w:cs="Arial"/>
                <w:color w:val="000000" w:themeColor="text1"/>
                <w:lang w:val="es-ES" w:eastAsia="es-ES"/>
              </w:rPr>
              <w:t>.</w:t>
            </w:r>
          </w:p>
          <w:p w14:paraId="29B80F9C" w14:textId="77777777" w:rsidR="00F2171E" w:rsidRDefault="00F2171E" w:rsidP="00384B42">
            <w:pPr>
              <w:spacing w:after="120" w:line="276" w:lineRule="auto"/>
              <w:ind w:firstLine="598"/>
              <w:jc w:val="both"/>
              <w:rPr>
                <w:rFonts w:ascii="Verdana" w:hAnsi="Verdana" w:cs="Arial"/>
                <w:lang w:val="es-ES" w:eastAsia="es-ES"/>
              </w:rPr>
            </w:pPr>
            <w:r w:rsidRPr="001222CA">
              <w:rPr>
                <w:rFonts w:ascii="Verdana" w:eastAsia="Times New Roman" w:hAnsi="Verdana" w:cs="Arial"/>
                <w:bCs/>
                <w:color w:val="000000" w:themeColor="text1"/>
                <w:lang w:val="es-ES" w:eastAsia="es-ES"/>
              </w:rPr>
              <w:t>Los documentos aportados por el interesado siguen una regla distinta.</w:t>
            </w:r>
            <w:r w:rsidRPr="004F3256">
              <w:rPr>
                <w:rFonts w:ascii="Verdana" w:eastAsia="Times New Roman" w:hAnsi="Verdana" w:cs="Arial"/>
                <w:color w:val="000000" w:themeColor="text1"/>
                <w:lang w:val="es-ES" w:eastAsia="es-ES"/>
              </w:rPr>
              <w:t xml:space="preserve"> La hoja de vida y sus soportes no son documentos “expedidos por la Entidad Estatal” y, por tanto, no encajan en la definición reglamentaria de Documentos del Proceso, que solo incluye expresamente la oferta. Ello no los sustrae de la publicidad —integran el expediente contractual y quedan cobijados por el régimen de transparencia y acceso a la información—, pero traslada la cuestión a un plano que no regula el estatuto contractual: el de la clasificación </w:t>
            </w:r>
            <w:r w:rsidRPr="004F3256">
              <w:rPr>
                <w:rFonts w:ascii="Verdana" w:eastAsia="Times New Roman" w:hAnsi="Verdana" w:cs="Arial"/>
                <w:color w:val="000000" w:themeColor="text1"/>
                <w:lang w:val="es-ES" w:eastAsia="es-ES"/>
              </w:rPr>
              <w:lastRenderedPageBreak/>
              <w:t>de la información y la protección de datos personales, cuya determinación corresponde al sujeto obligado que administra la información</w:t>
            </w:r>
            <w:r w:rsidRPr="004F3256">
              <w:rPr>
                <w:rStyle w:val="Refdenotaalpie"/>
                <w:rFonts w:ascii="Verdana" w:hAnsi="Verdana"/>
                <w:sz w:val="20"/>
              </w:rPr>
              <w:footnoteReference w:id="12"/>
            </w:r>
            <w:r w:rsidRPr="004F3256">
              <w:rPr>
                <w:rFonts w:ascii="Verdana" w:eastAsia="Times New Roman" w:hAnsi="Verdana" w:cs="Arial"/>
                <w:color w:val="000000" w:themeColor="text1"/>
                <w:lang w:val="es-ES" w:eastAsia="es-ES"/>
              </w:rPr>
              <w:t>.</w:t>
            </w:r>
          </w:p>
          <w:p w14:paraId="153BA7E5" w14:textId="1E46D40E" w:rsidR="00F2171E" w:rsidRDefault="00F2171E" w:rsidP="00384B42">
            <w:pPr>
              <w:spacing w:after="120" w:line="276" w:lineRule="auto"/>
              <w:ind w:firstLine="598"/>
              <w:jc w:val="both"/>
              <w:rPr>
                <w:rFonts w:ascii="Verdana" w:hAnsi="Verdana" w:cs="Arial"/>
                <w:lang w:val="es-ES" w:eastAsia="es-ES"/>
              </w:rPr>
            </w:pPr>
            <w:r w:rsidRPr="001222CA">
              <w:rPr>
                <w:rFonts w:ascii="Verdana" w:eastAsia="Times New Roman" w:hAnsi="Verdana" w:cs="Arial"/>
                <w:bCs/>
                <w:color w:val="000000" w:themeColor="text1"/>
                <w:lang w:val="es-ES" w:eastAsia="es-ES"/>
              </w:rPr>
              <w:t>Los criterios de trazabilidad que facilitan el control ciudadano son, en lo esencial, cuatro.</w:t>
            </w:r>
            <w:r w:rsidRPr="004F3256">
              <w:rPr>
                <w:rFonts w:ascii="Verdana" w:eastAsia="Times New Roman" w:hAnsi="Verdana" w:cs="Arial"/>
                <w:color w:val="000000" w:themeColor="text1"/>
                <w:lang w:val="es-ES" w:eastAsia="es-ES"/>
              </w:rPr>
              <w:t xml:space="preserve"> Primero, que el proceso se gestione en el SECOP II de manera transaccional, que es la regla general, de modo que el expediente electrónico sea único y las actuaciones queden registradas en tiempo real. Segundo, que el objeto, las obligaciones específicas, el valor, el plazo y la designación del supervisor consten con precisión en el contrato y en los estudios previos, pues de esa precisión depende que un tercero pueda comparar lo contratado con lo ejecutado. Tercero, que las modificaciones, adiciones y prórrogas se publiquen con su justificación y dentro del término, y no solo en su resultado. Y cuarto, que los informes de supervisión se incorporen al expediente. A ello se suma que el SECOP II dispone de un módulo de búsqueda pública que permite a la ciudadanía y a los órganos de control revisar el avance de los contratos sin necesidad de contar con usuario, así como de conjuntos de datos abiertos</w:t>
            </w:r>
            <w:r w:rsidRPr="004F3256">
              <w:rPr>
                <w:rStyle w:val="Refdenotaalpie"/>
                <w:rFonts w:ascii="Verdana" w:hAnsi="Verdana"/>
                <w:sz w:val="20"/>
              </w:rPr>
              <w:footnoteReference w:id="13"/>
            </w:r>
            <w:r w:rsidRPr="004F3256">
              <w:rPr>
                <w:rFonts w:ascii="Verdana" w:eastAsia="Times New Roman" w:hAnsi="Verdana" w:cs="Arial"/>
                <w:color w:val="000000" w:themeColor="text1"/>
                <w:lang w:val="es-ES" w:eastAsia="es-ES"/>
              </w:rPr>
              <w:t>.</w:t>
            </w:r>
          </w:p>
          <w:p w14:paraId="2CA4B5F6" w14:textId="1E41D775" w:rsidR="00F2171E" w:rsidRDefault="00F2171E"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iv) </w:t>
            </w:r>
            <w:r w:rsidRPr="001222CA">
              <w:rPr>
                <w:rFonts w:ascii="Verdana" w:eastAsia="Times New Roman" w:hAnsi="Verdana" w:cs="Arial"/>
                <w:bCs/>
                <w:color w:val="000000" w:themeColor="text1"/>
                <w:lang w:val="es-ES" w:eastAsia="es-ES"/>
              </w:rPr>
              <w:t>La repetición de contratos no constituye por sí sola una irregularidad, pero el ordenamiento impone reglas que la planeación debe observar.</w:t>
            </w:r>
            <w:r w:rsidRPr="004F3256">
              <w:rPr>
                <w:rFonts w:ascii="Verdana" w:eastAsia="Times New Roman" w:hAnsi="Verdana" w:cs="Arial"/>
                <w:color w:val="000000" w:themeColor="text1"/>
                <w:lang w:val="es-ES" w:eastAsia="es-ES"/>
              </w:rPr>
              <w:t xml:space="preserve"> La primera es de derecho positivo: el inciso segundo del artículo 2.8.4.4.5 del Decreto 1068 de 2015 prohíbe celebrar estos contratos “cuando existan relaciones contractuales vigentes con objeto igual al del contrato que se pretende suscribir”, salvo autorización expresa del jefe del organismo, autorización que debe estar “precedida de la sustentación sobre las especiales características y necesidades técnicas de las contrataciones a realizar”. No es una </w:t>
            </w:r>
            <w:r w:rsidRPr="004F3256">
              <w:rPr>
                <w:rFonts w:ascii="Verdana" w:eastAsia="Times New Roman" w:hAnsi="Verdana" w:cs="Arial"/>
                <w:color w:val="000000" w:themeColor="text1"/>
                <w:lang w:val="es-ES" w:eastAsia="es-ES"/>
              </w:rPr>
              <w:lastRenderedPageBreak/>
              <w:t>recomendación de buena práctica, sino una prohibición con una excepción reglada</w:t>
            </w:r>
            <w:r w:rsidRPr="004F3256">
              <w:rPr>
                <w:rStyle w:val="Refdenotaalpie"/>
                <w:rFonts w:ascii="Verdana" w:hAnsi="Verdana"/>
                <w:sz w:val="20"/>
              </w:rPr>
              <w:footnoteReference w:id="14"/>
            </w:r>
            <w:r w:rsidRPr="004F3256">
              <w:rPr>
                <w:rFonts w:ascii="Verdana" w:eastAsia="Times New Roman" w:hAnsi="Verdana" w:cs="Arial"/>
                <w:color w:val="000000" w:themeColor="text1"/>
                <w:lang w:val="es-ES" w:eastAsia="es-ES"/>
              </w:rPr>
              <w:t>.</w:t>
            </w:r>
          </w:p>
          <w:p w14:paraId="45E579EE" w14:textId="77777777" w:rsidR="00F2171E" w:rsidRDefault="00F2171E" w:rsidP="00384B42">
            <w:pPr>
              <w:spacing w:after="120" w:line="276" w:lineRule="auto"/>
              <w:ind w:firstLine="598"/>
              <w:jc w:val="both"/>
              <w:rPr>
                <w:rFonts w:ascii="Verdana" w:hAnsi="Verdana" w:cs="Arial"/>
                <w:lang w:val="es-ES" w:eastAsia="es-ES"/>
              </w:rPr>
            </w:pPr>
            <w:r w:rsidRPr="001222CA">
              <w:rPr>
                <w:rFonts w:ascii="Verdana" w:eastAsia="Times New Roman" w:hAnsi="Verdana" w:cs="Arial"/>
                <w:bCs/>
                <w:color w:val="000000" w:themeColor="text1"/>
                <w:lang w:val="es-ES" w:eastAsia="es-ES"/>
              </w:rPr>
              <w:t>La segunda regla es el límite temporal del numeral 3 del artículo 32 de la Ley 80 de 1993, conforme</w:t>
            </w:r>
            <w:r w:rsidRPr="004F3256">
              <w:rPr>
                <w:rFonts w:ascii="Verdana" w:eastAsia="Times New Roman" w:hAnsi="Verdana" w:cs="Arial"/>
                <w:color w:val="000000" w:themeColor="text1"/>
                <w:lang w:val="es-ES" w:eastAsia="es-ES"/>
              </w:rPr>
              <w:t xml:space="preserve"> al cual estos contratos “se celebrarán por el término estrictamente indispensable”. La temporalidad no es una recomendación sino un elemento de la naturaleza del tipo contractual, de donde se sigue que un vínculo estructurado para prolongarse indefinidamente mediante renovaciones sucesivas desnaturaliza la figura. Es en ese punto donde el principio de planeación se articula con la prohibición de que una vinculación temporal devenga permanente: la planeación es, precisamente, el momento en que la entidad debe preguntarse si lo que enfrenta es una necesidad que se renueva o una función que ya no es transitoria</w:t>
            </w:r>
            <w:r w:rsidRPr="004F3256">
              <w:rPr>
                <w:rStyle w:val="Refdenotaalpie"/>
                <w:rFonts w:ascii="Verdana" w:hAnsi="Verdana"/>
                <w:sz w:val="20"/>
              </w:rPr>
              <w:footnoteReference w:id="15"/>
            </w:r>
            <w:r w:rsidRPr="004F3256">
              <w:rPr>
                <w:rFonts w:ascii="Verdana" w:eastAsia="Times New Roman" w:hAnsi="Verdana" w:cs="Arial"/>
                <w:color w:val="000000" w:themeColor="text1"/>
                <w:lang w:val="es-ES" w:eastAsia="es-ES"/>
              </w:rPr>
              <w:t>.</w:t>
            </w:r>
          </w:p>
          <w:p w14:paraId="0F8377F4" w14:textId="77777777" w:rsidR="00F2171E" w:rsidRDefault="00F2171E" w:rsidP="00384B42">
            <w:pPr>
              <w:spacing w:after="120" w:line="276" w:lineRule="auto"/>
              <w:ind w:firstLine="598"/>
              <w:jc w:val="both"/>
              <w:rPr>
                <w:rFonts w:ascii="Verdana" w:hAnsi="Verdana" w:cs="Arial"/>
                <w:lang w:val="es-ES" w:eastAsia="es-ES"/>
              </w:rPr>
            </w:pPr>
            <w:r w:rsidRPr="001222CA">
              <w:rPr>
                <w:rFonts w:ascii="Verdana" w:eastAsia="Times New Roman" w:hAnsi="Verdana" w:cs="Arial"/>
                <w:bCs/>
                <w:color w:val="000000" w:themeColor="text1"/>
                <w:lang w:val="es-ES" w:eastAsia="es-ES"/>
              </w:rPr>
              <w:t>Desde la planeación, los elementos que deben evaluarse son cuatro.</w:t>
            </w:r>
            <w:r w:rsidRPr="004F3256">
              <w:rPr>
                <w:rFonts w:ascii="Verdana" w:eastAsia="Times New Roman" w:hAnsi="Verdana" w:cs="Arial"/>
                <w:color w:val="000000" w:themeColor="text1"/>
                <w:lang w:val="es-ES" w:eastAsia="es-ES"/>
              </w:rPr>
              <w:t xml:space="preserve"> Primero, si la necesidad es transitoria o si, por su reiteración en varias vigencias, corresponde a una función permanente de la entidad. Segundo, si la actividad figura en los manuales específicos de funciones, pues de ello depende el juicio sobre la insuficiencia de planta. Tercero, si existen relaciones contractuales vigentes con objeto igual, supuesto que activa la prohibición y la exigencia de autorización motivada. Y cuarto, si el Plan Anual de Adquisiciones y el análisis del sector reflejan esa recurrencia, que es donde debe hacerse visible y examinarse. Ese examen es el que permite distinguir la reiteración legítima de una necesidad que se renueva, de la utilización de la figura para atender de manera permanente lo que corresponde a la estructura administrativa</w:t>
            </w:r>
            <w:r w:rsidRPr="004F3256">
              <w:rPr>
                <w:rStyle w:val="Refdenotaalpie"/>
                <w:rFonts w:ascii="Verdana" w:hAnsi="Verdana"/>
                <w:sz w:val="20"/>
              </w:rPr>
              <w:footnoteReference w:id="16"/>
            </w:r>
            <w:r w:rsidRPr="004F3256">
              <w:rPr>
                <w:rFonts w:ascii="Verdana" w:eastAsia="Times New Roman" w:hAnsi="Verdana" w:cs="Arial"/>
                <w:color w:val="000000" w:themeColor="text1"/>
                <w:lang w:val="es-ES" w:eastAsia="es-ES"/>
              </w:rPr>
              <w:t>.</w:t>
            </w:r>
          </w:p>
          <w:p w14:paraId="419D92F9" w14:textId="77777777" w:rsidR="00F2171E" w:rsidRDefault="00F2171E" w:rsidP="00384B42">
            <w:pPr>
              <w:spacing w:after="120" w:line="276" w:lineRule="auto"/>
              <w:ind w:firstLine="598"/>
              <w:jc w:val="both"/>
              <w:rPr>
                <w:rFonts w:ascii="Verdana" w:hAnsi="Verdana" w:cs="Arial"/>
                <w:lang w:val="es-ES" w:eastAsia="es-ES"/>
              </w:rPr>
            </w:pPr>
            <w:r w:rsidRPr="001222CA">
              <w:rPr>
                <w:rFonts w:ascii="Verdana" w:eastAsia="Times New Roman" w:hAnsi="Verdana" w:cs="Arial"/>
                <w:bCs/>
                <w:color w:val="000000" w:themeColor="text1"/>
                <w:lang w:val="es-ES" w:eastAsia="es-ES"/>
              </w:rPr>
              <w:lastRenderedPageBreak/>
              <w:t>Cuando ese examen indique que la necesidad es permanente y propia de las funciones de la entidad, la decisión que corresponde no es contractual sino de organización administrativa, y compete a los órganos de dirección de la entidad dentro del ámbito de sus atribuciones</w:t>
            </w:r>
            <w:r w:rsidRPr="004F3256">
              <w:rPr>
                <w:rFonts w:ascii="Verdana" w:eastAsia="Times New Roman" w:hAnsi="Verdana" w:cs="Arial"/>
                <w:color w:val="000000" w:themeColor="text1"/>
                <w:lang w:val="es-ES" w:eastAsia="es-ES"/>
              </w:rPr>
              <w:t>. Esta Agencia no determina la estructura ni la planta de personal de ninguna entidad, ni establece si en un caso concreto se configura una relación laboral, cuestión reservada a la jurisdicción ordinaria laboral</w:t>
            </w:r>
            <w:r w:rsidRPr="004F3256">
              <w:rPr>
                <w:rStyle w:val="Refdenotaalpie"/>
                <w:rFonts w:ascii="Verdana" w:hAnsi="Verdana"/>
                <w:sz w:val="20"/>
              </w:rPr>
              <w:footnoteReference w:id="17"/>
            </w:r>
            <w:r w:rsidRPr="004F3256">
              <w:rPr>
                <w:rFonts w:ascii="Verdana" w:eastAsia="Times New Roman" w:hAnsi="Verdana" w:cs="Arial"/>
                <w:color w:val="000000" w:themeColor="text1"/>
                <w:lang w:val="es-ES" w:eastAsia="es-ES"/>
              </w:rPr>
              <w:t>.</w:t>
            </w:r>
          </w:p>
        </w:tc>
      </w:tr>
    </w:tbl>
    <w:p w14:paraId="359C1E75" w14:textId="77777777" w:rsidR="00F2171E" w:rsidRPr="00B57A1B" w:rsidRDefault="00F2171E" w:rsidP="00F2171E">
      <w:pPr>
        <w:spacing w:after="0" w:line="276" w:lineRule="auto"/>
        <w:jc w:val="both"/>
        <w:rPr>
          <w:rFonts w:ascii="Verdana" w:eastAsia="Calibri" w:hAnsi="Verdana" w:cs="Arial"/>
          <w:bCs/>
          <w:color w:val="000000" w:themeColor="text1"/>
        </w:rPr>
      </w:pPr>
      <w:bookmarkStart w:id="0" w:name="_Hlk37703813"/>
    </w:p>
    <w:p w14:paraId="41492CEB" w14:textId="77777777" w:rsidR="00F2171E" w:rsidRPr="00B57A1B" w:rsidRDefault="00F2171E" w:rsidP="00F2171E">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2F4D18FA" w14:textId="77777777" w:rsidR="00F2171E" w:rsidRPr="003C0ED7" w:rsidRDefault="00F2171E" w:rsidP="00F2171E">
      <w:pPr>
        <w:spacing w:after="0" w:line="276" w:lineRule="auto"/>
        <w:jc w:val="both"/>
        <w:rPr>
          <w:rFonts w:ascii="Verdana" w:eastAsia="Calibri" w:hAnsi="Verdana" w:cs="Arial"/>
          <w:lang w:val="es-ES"/>
        </w:rPr>
      </w:pPr>
    </w:p>
    <w:p w14:paraId="3BC3EDFC" w14:textId="77777777" w:rsidR="00F2171E" w:rsidRDefault="00F2171E" w:rsidP="00F2171E">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668DBB1B" w14:textId="77777777" w:rsidR="00F2171E" w:rsidRPr="00C22134" w:rsidRDefault="00F2171E" w:rsidP="00F2171E">
      <w:pPr>
        <w:spacing w:after="0" w:line="276" w:lineRule="auto"/>
        <w:jc w:val="both"/>
        <w:rPr>
          <w:rFonts w:ascii="Verdana" w:eastAsia="Calibri" w:hAnsi="Verdana" w:cs="Arial"/>
          <w:lang w:val="es-ES"/>
        </w:rPr>
      </w:pPr>
    </w:p>
    <w:p w14:paraId="664FDD7D"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 El contrato de prestación de servicios es un tipo contractual definido por la ley. El numeral 3 del artículo 32 de la Ley 80 de 1993 dispone que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Style w:val="Refdenotaalpie"/>
          <w:rFonts w:ascii="Verdana" w:hAnsi="Verdana"/>
          <w:sz w:val="20"/>
        </w:rPr>
        <w:footnoteReference w:id="18"/>
      </w:r>
      <w:r>
        <w:rPr>
          <w:rFonts w:ascii="Verdana" w:hAnsi="Verdana" w:cs="Arial"/>
          <w:bCs/>
          <w:szCs w:val="24"/>
          <w:lang w:val="es-ES_tradnl" w:eastAsia="es-ES_tradnl"/>
        </w:rPr>
        <w:t>.</w:t>
      </w:r>
    </w:p>
    <w:p w14:paraId="20F0E6B8" w14:textId="77777777" w:rsidR="00F2171E" w:rsidRPr="00C22134" w:rsidRDefault="00F2171E" w:rsidP="00F2171E">
      <w:pPr>
        <w:spacing w:after="0" w:line="276" w:lineRule="auto"/>
        <w:jc w:val="both"/>
        <w:rPr>
          <w:rFonts w:ascii="Verdana" w:eastAsia="Calibri" w:hAnsi="Verdana" w:cs="Arial"/>
          <w:lang w:val="es-ES"/>
        </w:rPr>
      </w:pPr>
    </w:p>
    <w:p w14:paraId="54CFE04F"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De ese enunciado se desprenden los rasgos que la doctrina de esta Subdirección ha sistematizado: el contrato solo puede celebrarse para actividades relacionadas con la administración o el funcionamiento de la entidad, esto es, propias de su giro ordinario; puede suscribirse con personas naturales o jurídicas; debe ser temporal, de suerte que no cabe un contrato indefinido; se celebra mediante contratación directa; no requiere acto administrativo de </w:t>
      </w:r>
      <w:r>
        <w:rPr>
          <w:rFonts w:ascii="Verdana" w:hAnsi="Verdana" w:cs="Arial"/>
          <w:bCs/>
          <w:szCs w:val="24"/>
          <w:lang w:val="es-ES_tradnl" w:eastAsia="es-ES_tradnl"/>
        </w:rPr>
        <w:lastRenderedPageBreak/>
        <w:t>justificación, ni inscripción en el Registro Único de Proponentes, ni garantías; y su liquidación no es obligatoria</w:t>
      </w:r>
      <w:r>
        <w:rPr>
          <w:rStyle w:val="Refdenotaalpie"/>
          <w:rFonts w:ascii="Verdana" w:hAnsi="Verdana"/>
          <w:sz w:val="20"/>
        </w:rPr>
        <w:footnoteReference w:id="19"/>
      </w:r>
      <w:r>
        <w:rPr>
          <w:rFonts w:ascii="Verdana" w:hAnsi="Verdana" w:cs="Arial"/>
          <w:bCs/>
          <w:szCs w:val="24"/>
          <w:lang w:val="es-ES_tradnl" w:eastAsia="es-ES_tradnl"/>
        </w:rPr>
        <w:t>.</w:t>
      </w:r>
    </w:p>
    <w:p w14:paraId="45DD0AC5" w14:textId="77777777" w:rsidR="00F2171E" w:rsidRPr="00C22134" w:rsidRDefault="00F2171E" w:rsidP="00F2171E">
      <w:pPr>
        <w:spacing w:after="0" w:line="276" w:lineRule="auto"/>
        <w:jc w:val="both"/>
        <w:rPr>
          <w:rFonts w:ascii="Verdana" w:eastAsia="Calibri" w:hAnsi="Verdana" w:cs="Arial"/>
          <w:lang w:val="es-ES"/>
        </w:rPr>
      </w:pPr>
    </w:p>
    <w:p w14:paraId="4BF2F9C3"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 modalidad aplicable es la contratación directa por la causal del literal h) del numeral 4 del artículo 2 de la Ley 1150 de 2007, reglamentada por el artículo 2.2.1.2.1.4.9 del Decreto 1082 de 2015. Este precepto cumple una doble función: habilita la contratación directa y, en su inciso segundo, delimita el objeto, al precisar que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Pr>
          <w:rStyle w:val="Refdenotaalpie"/>
          <w:rFonts w:ascii="Verdana" w:hAnsi="Verdana"/>
          <w:sz w:val="20"/>
        </w:rPr>
        <w:footnoteReference w:id="20"/>
      </w:r>
      <w:r>
        <w:rPr>
          <w:rFonts w:ascii="Verdana" w:hAnsi="Verdana" w:cs="Arial"/>
          <w:bCs/>
          <w:szCs w:val="24"/>
          <w:lang w:val="es-ES_tradnl" w:eastAsia="es-ES_tradnl"/>
        </w:rPr>
        <w:t>.</w:t>
      </w:r>
    </w:p>
    <w:p w14:paraId="436491A5" w14:textId="77777777" w:rsidR="00F2171E" w:rsidRPr="00C22134" w:rsidRDefault="00F2171E" w:rsidP="00F2171E">
      <w:pPr>
        <w:spacing w:after="0" w:line="276" w:lineRule="auto"/>
        <w:jc w:val="both"/>
        <w:rPr>
          <w:rFonts w:ascii="Verdana" w:eastAsia="Calibri" w:hAnsi="Verdana" w:cs="Arial"/>
          <w:lang w:val="es-ES"/>
        </w:rPr>
      </w:pPr>
    </w:p>
    <w:p w14:paraId="04343EB0"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Esa delimitación importa porque la contratación directa es de aplicación restrictiva: las causales son taxativas y no pueden extenderse por analogía. Como lo advierte la guía institucional sobre la materia, la excepcionalidad de la modalidad “no por ello implica que la misma no se encuentre obligada al cumplimiento de los principios que rigen la contratación pública y la función administrativa”. De ahí que el primer juicio que debe hacer la entidad no sea el de la conveniencia de contratar, sino el de la correspondencia entre el objeto proyectado y la definición reglamentaria: un objeto que en realidad corresponda a una consultoría no se convierte en prestación de servicios de apoyo a la gestión por la denominación que se le dé</w:t>
      </w:r>
      <w:r>
        <w:rPr>
          <w:rStyle w:val="Refdenotaalpie"/>
          <w:rFonts w:ascii="Verdana" w:hAnsi="Verdana"/>
          <w:sz w:val="20"/>
        </w:rPr>
        <w:footnoteReference w:id="21"/>
      </w:r>
      <w:r>
        <w:rPr>
          <w:rFonts w:ascii="Verdana" w:hAnsi="Verdana" w:cs="Arial"/>
          <w:bCs/>
          <w:szCs w:val="24"/>
          <w:lang w:val="es-ES_tradnl" w:eastAsia="es-ES_tradnl"/>
        </w:rPr>
        <w:t>.</w:t>
      </w:r>
    </w:p>
    <w:p w14:paraId="63558DF3" w14:textId="77777777" w:rsidR="00F2171E" w:rsidRPr="00C22134" w:rsidRDefault="00F2171E" w:rsidP="00F2171E">
      <w:pPr>
        <w:spacing w:after="0" w:line="276" w:lineRule="auto"/>
        <w:jc w:val="both"/>
        <w:rPr>
          <w:rFonts w:ascii="Verdana" w:eastAsia="Calibri" w:hAnsi="Verdana" w:cs="Arial"/>
          <w:lang w:val="es-ES"/>
        </w:rPr>
      </w:pPr>
    </w:p>
    <w:p w14:paraId="64337CF7"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Sobre los requisitos de planeación, conviene despejar un equívoco frecuente: la contratación directa no tiene un régimen aligerado. El artículo 2.2.1.1.2.1.1 del Decreto 1082 de 2015 enumera ocho elementos que deben contener los estudios y documentos previos y cierra señalando que “El presente </w:t>
      </w:r>
      <w:r>
        <w:rPr>
          <w:rFonts w:ascii="Verdana" w:hAnsi="Verdana" w:cs="Arial"/>
          <w:bCs/>
          <w:szCs w:val="24"/>
          <w:lang w:val="es-ES_tradnl" w:eastAsia="es-ES_tradnl"/>
        </w:rPr>
        <w:lastRenderedPageBreak/>
        <w:t>artículo no es aplicable a la contratación por mínima cuantía”. La exclusión expresa de una sola modalidad confirma, por contraste, que la norma rige para las demás. A ello se suman la inclusión en el Plan Anual de Adquisiciones y el análisis del sector, que tampoco dependen de la modalidad sino del carácter de función administrativa de la actividad contractual</w:t>
      </w:r>
      <w:r>
        <w:rPr>
          <w:rStyle w:val="Refdenotaalpie"/>
          <w:rFonts w:ascii="Verdana" w:hAnsi="Verdana"/>
          <w:sz w:val="20"/>
        </w:rPr>
        <w:footnoteReference w:id="22"/>
      </w:r>
      <w:r>
        <w:rPr>
          <w:rFonts w:ascii="Verdana" w:hAnsi="Verdana" w:cs="Arial"/>
          <w:bCs/>
          <w:szCs w:val="24"/>
          <w:lang w:val="es-ES_tradnl" w:eastAsia="es-ES_tradnl"/>
        </w:rPr>
        <w:t>.</w:t>
      </w:r>
    </w:p>
    <w:p w14:paraId="264DF9D5" w14:textId="77777777" w:rsidR="00F2171E" w:rsidRPr="00C22134" w:rsidRDefault="00F2171E" w:rsidP="00F2171E">
      <w:pPr>
        <w:spacing w:after="0" w:line="276" w:lineRule="auto"/>
        <w:jc w:val="both"/>
        <w:rPr>
          <w:rFonts w:ascii="Verdana" w:eastAsia="Calibri" w:hAnsi="Verdana" w:cs="Arial"/>
          <w:lang w:val="es-ES"/>
        </w:rPr>
      </w:pPr>
    </w:p>
    <w:p w14:paraId="18761BA6"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Cuestión distinta es el acto administrativo de justificación de la contratación directa. El artículo 2.2.1.2.1.4.1 lo exige como regla, pero su inciso final precisa que “Este acto administrativo no es necesario cuando el contrato a celebrar es de prestación de servicios profesionales y de apoyo a la gestión”. La dispensa recae sobre el acto, no sobre la justificación: lo que el reglamento evita es la duplicación de un documento cuyo contenido ya figura en los estudios previos, no que la decisión quede sin motivación</w:t>
      </w:r>
      <w:r>
        <w:rPr>
          <w:rStyle w:val="Refdenotaalpie"/>
          <w:rFonts w:ascii="Verdana" w:hAnsi="Verdana"/>
          <w:sz w:val="20"/>
        </w:rPr>
        <w:footnoteReference w:id="23"/>
      </w:r>
      <w:r>
        <w:rPr>
          <w:rFonts w:ascii="Verdana" w:hAnsi="Verdana" w:cs="Arial"/>
          <w:bCs/>
          <w:szCs w:val="24"/>
          <w:lang w:val="es-ES_tradnl" w:eastAsia="es-ES_tradnl"/>
        </w:rPr>
        <w:t>.</w:t>
      </w:r>
    </w:p>
    <w:p w14:paraId="060F7CC9" w14:textId="77777777" w:rsidR="00F2171E" w:rsidRPr="00C22134" w:rsidRDefault="00F2171E" w:rsidP="00F2171E">
      <w:pPr>
        <w:spacing w:after="0" w:line="276" w:lineRule="auto"/>
        <w:jc w:val="both"/>
        <w:rPr>
          <w:rFonts w:ascii="Verdana" w:eastAsia="Calibri" w:hAnsi="Verdana" w:cs="Arial"/>
          <w:lang w:val="es-ES"/>
        </w:rPr>
      </w:pPr>
    </w:p>
    <w:p w14:paraId="1B32D774"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Finalmente, en cuanto a la insuficiencia de planta, el artículo 2.8.4.4.5 del Decreto 1068 de 2015 reglamenta el presupuesto legal del numeral 3 del artículo 32 de la Ley 80. Allí se precisa cuándo se entiende que no existe personal de planta y se dispone que “la inexistencia de personal suficiente deberá acreditarse por el jefe del respectivo organismo”. El verbo empleado —acreditar— impone un resultado, no una forma: exige que la constatación conste, provenga de quien la norma indica y pueda verificarse, sin prescribir un documento con denominación determinada. De ahí que la exigencia pueda satisfacerse mediante certificación autónoma o quedar incorporada en los estudios previos suscritos o avalados por el jefe del organismo; lo que no la satisface es una afirmación genérica que no se refiera a los empleos, a los manuales específicos de funciones y a las cargas concretas de las que se deduce la conclusión</w:t>
      </w:r>
      <w:r>
        <w:rPr>
          <w:rStyle w:val="Refdenotaalpie"/>
          <w:rFonts w:ascii="Verdana" w:hAnsi="Verdana"/>
          <w:sz w:val="20"/>
        </w:rPr>
        <w:footnoteReference w:id="24"/>
      </w:r>
      <w:r>
        <w:rPr>
          <w:rFonts w:ascii="Verdana" w:hAnsi="Verdana" w:cs="Arial"/>
          <w:bCs/>
          <w:szCs w:val="24"/>
          <w:lang w:val="es-ES_tradnl" w:eastAsia="es-ES_tradnl"/>
        </w:rPr>
        <w:t>.</w:t>
      </w:r>
    </w:p>
    <w:p w14:paraId="08804BF8" w14:textId="77777777" w:rsidR="00F2171E" w:rsidRPr="00C22134" w:rsidRDefault="00F2171E" w:rsidP="00F2171E">
      <w:pPr>
        <w:spacing w:after="0" w:line="276" w:lineRule="auto"/>
        <w:jc w:val="both"/>
        <w:rPr>
          <w:rFonts w:ascii="Verdana" w:eastAsia="Calibri" w:hAnsi="Verdana" w:cs="Arial"/>
          <w:lang w:val="es-ES"/>
        </w:rPr>
      </w:pPr>
    </w:p>
    <w:p w14:paraId="3CEF1FDE"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ii) La segunda cuestión se resuelve con el inciso primero del artículo 2.2.1.2.1.4.9, que autoriza contratar “con la persona natural o jurídica que esté en capacidad de ejecutar el objeto del contrato, siempre y cuando la Entidad Estatal verifique la idoneidad o experiencia requerida y relacionada con el área de que se trate”, y añade que “En este caso, no es necesario que la Entidad Estatal haya obtenido previamente varias ofertas, de lo cual el ordenador del gasto debe dejar constancia escrita”</w:t>
      </w:r>
      <w:r>
        <w:rPr>
          <w:rStyle w:val="Refdenotaalpie"/>
          <w:rFonts w:ascii="Verdana" w:hAnsi="Verdana"/>
          <w:sz w:val="20"/>
        </w:rPr>
        <w:footnoteReference w:id="25"/>
      </w:r>
      <w:r>
        <w:rPr>
          <w:rFonts w:ascii="Verdana" w:hAnsi="Verdana" w:cs="Arial"/>
          <w:bCs/>
          <w:szCs w:val="24"/>
          <w:lang w:val="es-ES_tradnl" w:eastAsia="es-ES_tradnl"/>
        </w:rPr>
        <w:t>.</w:t>
      </w:r>
    </w:p>
    <w:p w14:paraId="3CA65905" w14:textId="77777777" w:rsidR="00F2171E" w:rsidRPr="00C22134" w:rsidRDefault="00F2171E" w:rsidP="00F2171E">
      <w:pPr>
        <w:spacing w:after="0" w:line="276" w:lineRule="auto"/>
        <w:jc w:val="both"/>
        <w:rPr>
          <w:rFonts w:ascii="Verdana" w:eastAsia="Calibri" w:hAnsi="Verdana" w:cs="Arial"/>
          <w:lang w:val="es-ES"/>
        </w:rPr>
      </w:pPr>
    </w:p>
    <w:p w14:paraId="54B1F8B2"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 estructura del precepto es la de una dispensa condicionada. Releva a la entidad de obtener varias ofertas, pero a cambio le impone dos cargas expresas: verificar la idoneidad o la experiencia, y dejar constancia escrita de que no se obtuvieron varias ofertas. Leer solo la primera parte de la frase conduce al error de suponer que la causal opera sin soporte documental; leerla completa muestra que el reglamento sustituyó la comparación por la trazabilidad. Por eso la ausencia de pluralidad no es una zona exenta de control, sino un supuesto en el que el control se desplaza de la comparación de ofertas a la verificación del perfil y a la motivación de la escogencia.</w:t>
      </w:r>
    </w:p>
    <w:p w14:paraId="4A9EA360" w14:textId="77777777" w:rsidR="00F2171E" w:rsidRPr="00C22134" w:rsidRDefault="00F2171E" w:rsidP="00F2171E">
      <w:pPr>
        <w:spacing w:after="0" w:line="276" w:lineRule="auto"/>
        <w:jc w:val="both"/>
        <w:rPr>
          <w:rFonts w:ascii="Verdana" w:eastAsia="Calibri" w:hAnsi="Verdana" w:cs="Arial"/>
          <w:lang w:val="es-ES"/>
        </w:rPr>
      </w:pPr>
    </w:p>
    <w:p w14:paraId="42EE6421"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Ese desplazamiento explica por qué subsiste el deber de selección objetiva. El artículo 5 de la Ley 1150 de 2007 no está circunscrito a las modalidades competitivas: ordena que la selección se haga con arreglo a criterios objetivos, lo que en esta causal se traduce en que la escogencia debe fundarse en la aptitud acreditada de quien se contrata frente al perfil definido en los estudios previos</w:t>
      </w:r>
      <w:r>
        <w:rPr>
          <w:rStyle w:val="Refdenotaalpie"/>
          <w:rFonts w:ascii="Verdana" w:hAnsi="Verdana"/>
          <w:sz w:val="20"/>
        </w:rPr>
        <w:footnoteReference w:id="26"/>
      </w:r>
      <w:r>
        <w:rPr>
          <w:rFonts w:ascii="Verdana" w:hAnsi="Verdana" w:cs="Arial"/>
          <w:bCs/>
          <w:szCs w:val="24"/>
          <w:lang w:val="es-ES_tradnl" w:eastAsia="es-ES_tradnl"/>
        </w:rPr>
        <w:t>.</w:t>
      </w:r>
    </w:p>
    <w:p w14:paraId="4E84200D" w14:textId="77777777" w:rsidR="00F2171E" w:rsidRPr="00C22134" w:rsidRDefault="00F2171E" w:rsidP="00F2171E">
      <w:pPr>
        <w:spacing w:after="0" w:line="276" w:lineRule="auto"/>
        <w:jc w:val="both"/>
        <w:rPr>
          <w:rFonts w:ascii="Verdana" w:eastAsia="Calibri" w:hAnsi="Verdana" w:cs="Arial"/>
          <w:lang w:val="es-ES"/>
        </w:rPr>
      </w:pPr>
    </w:p>
    <w:p w14:paraId="3DCE794D"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La verificación de la idoneidad merece una precisión adicional. Esta Subdirección ha señalado que la idoneidad “hace referencia a la condición o cualidad que debe acreditar una persona […] a fin de verificar si cuenta con la capacidad para ejecutar el objeto del contrato”, y que se trata de “un requisito plasmado en un concepto jurídicamente indeterminado que es necesario dotar de contenido en cada caso concreto”. De esa caracterización se siguen dos consecuencias prácticas: que el contenido del requisito lo fija la entidad al definir el perfil en los estudios previos —de modo que la verificación es un contraste </w:t>
      </w:r>
      <w:r>
        <w:rPr>
          <w:rFonts w:ascii="Verdana" w:hAnsi="Verdana" w:cs="Arial"/>
          <w:bCs/>
          <w:szCs w:val="24"/>
          <w:lang w:val="es-ES_tradnl" w:eastAsia="es-ES_tradnl"/>
        </w:rPr>
        <w:lastRenderedPageBreak/>
        <w:t>entre ese perfil y lo acreditado—, y que la carga de verificar recae en la entidad, sin que baste el aporte de la hoja de vida por el interesado</w:t>
      </w:r>
      <w:r>
        <w:rPr>
          <w:rStyle w:val="Refdenotaalpie"/>
          <w:rFonts w:ascii="Verdana" w:hAnsi="Verdana"/>
          <w:sz w:val="20"/>
        </w:rPr>
        <w:footnoteReference w:id="27"/>
      </w:r>
      <w:r>
        <w:rPr>
          <w:rFonts w:ascii="Verdana" w:hAnsi="Verdana" w:cs="Arial"/>
          <w:bCs/>
          <w:szCs w:val="24"/>
          <w:lang w:val="es-ES_tradnl" w:eastAsia="es-ES_tradnl"/>
        </w:rPr>
        <w:t>.</w:t>
      </w:r>
    </w:p>
    <w:p w14:paraId="35104C00" w14:textId="77777777" w:rsidR="00F2171E" w:rsidRPr="00C22134" w:rsidRDefault="00F2171E" w:rsidP="00F2171E">
      <w:pPr>
        <w:spacing w:after="0" w:line="276" w:lineRule="auto"/>
        <w:jc w:val="both"/>
        <w:rPr>
          <w:rFonts w:ascii="Verdana" w:eastAsia="Calibri" w:hAnsi="Verdana" w:cs="Arial"/>
          <w:lang w:val="es-ES"/>
        </w:rPr>
      </w:pPr>
    </w:p>
    <w:p w14:paraId="4D406B59"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cuanto a los honorarios, no existe una norma general que fije escalas para estos contratos. Su determinación forma parte del valor estimado del contrato, que el numeral 4 del artículo 2.2.1.1.2.1.1 exige justificar, y se soporta en el análisis del sector y del mercado del artículo 2.2.1.1.1.6.1. A ello se suman dos límites. El primero es el del artículo 2.8.4.4.6 del Decreto 1068 de 2015, que prohíbe el pacto de remuneración para pago de servicios personales calificados “por valor mensual superior a la remuneración total mensual establecida para el jefe de la entidad”, entendida sin factores prestacionales y respecto de los servicios allí comprendidos. El segundo es el que la propia entidad haya adoptado en su manual de contratación o en una escala interna de honorarios: una vez expedida, esa regulación la vincula, porque nadie puede desatender sus propios actos generales mientras estén vigentes</w:t>
      </w:r>
      <w:r>
        <w:rPr>
          <w:rStyle w:val="Refdenotaalpie"/>
          <w:rFonts w:ascii="Verdana" w:hAnsi="Verdana"/>
          <w:sz w:val="20"/>
        </w:rPr>
        <w:footnoteReference w:id="28"/>
      </w:r>
      <w:r>
        <w:rPr>
          <w:rFonts w:ascii="Verdana" w:hAnsi="Verdana" w:cs="Arial"/>
          <w:bCs/>
          <w:szCs w:val="24"/>
          <w:lang w:val="es-ES_tradnl" w:eastAsia="es-ES_tradnl"/>
        </w:rPr>
        <w:t>.</w:t>
      </w:r>
    </w:p>
    <w:p w14:paraId="3B631CE2" w14:textId="77777777" w:rsidR="00F2171E" w:rsidRPr="00C22134" w:rsidRDefault="00F2171E" w:rsidP="00F2171E">
      <w:pPr>
        <w:spacing w:after="0" w:line="276" w:lineRule="auto"/>
        <w:jc w:val="both"/>
        <w:rPr>
          <w:rFonts w:ascii="Verdana" w:eastAsia="Calibri" w:hAnsi="Verdana" w:cs="Arial"/>
          <w:lang w:val="es-ES"/>
        </w:rPr>
      </w:pPr>
    </w:p>
    <w:p w14:paraId="6457E4FD"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Por último, la admisibilidad de medidas voluntarias de publicidad previa se explica por una razón sencilla: la modalidad de selección la determina la ley en función de la causal invocada, y no la conducta que la entidad despliegue para rodear su decisión de mayor transparencia. Publicar la necesidad, invitar a manifestar interés o recibir hojas de vida no convierte la contratación directa en un procedimiento competitivo ni desplaza la causal legal. Con todo, la facultad no es inocua: si la entidad anuncia condiciones, queda vinculada por ellas en virtud de los principios de buena fe y confianza legítima, y si la medida se estructura de tal modo que genere una expectativa de adjudicación conforme a reglas de comparación que la ley no previó, la entidad se expone a reclamaciones por una actuación que ella misma creó</w:t>
      </w:r>
      <w:r>
        <w:rPr>
          <w:rStyle w:val="Refdenotaalpie"/>
          <w:rFonts w:ascii="Verdana" w:hAnsi="Verdana"/>
          <w:sz w:val="20"/>
        </w:rPr>
        <w:footnoteReference w:id="29"/>
      </w:r>
      <w:r>
        <w:rPr>
          <w:rFonts w:ascii="Verdana" w:hAnsi="Verdana" w:cs="Arial"/>
          <w:bCs/>
          <w:szCs w:val="24"/>
          <w:lang w:val="es-ES_tradnl" w:eastAsia="es-ES_tradnl"/>
        </w:rPr>
        <w:t>.</w:t>
      </w:r>
    </w:p>
    <w:p w14:paraId="1AF8A46A" w14:textId="77777777" w:rsidR="00F2171E" w:rsidRPr="00C22134" w:rsidRDefault="00F2171E" w:rsidP="00F2171E">
      <w:pPr>
        <w:spacing w:after="0" w:line="276" w:lineRule="auto"/>
        <w:jc w:val="both"/>
        <w:rPr>
          <w:rFonts w:ascii="Verdana" w:eastAsia="Calibri" w:hAnsi="Verdana" w:cs="Arial"/>
          <w:lang w:val="es-ES"/>
        </w:rPr>
      </w:pPr>
    </w:p>
    <w:p w14:paraId="4FC83C91"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iii) El deber de publicidad en la contratación directa no admite matices en cuanto a su exigibilidad. Tiene fundamento legal en el artículo 3 de la Ley 1150 de 2007 y desarrollo reglamentario en el artículo 2.2.1.1.1.7.1 del Decreto 1082 de 2015, conforme al cual la entidad “está obligada a publicar en el Secop los Documentos del Proceso y los actos administrativos del Proceso de Contratación, dentro de los tres (3) días siguientes a su expedición”. A ello se suman la Ley 1712 de 2014 y el Decreto 1081 de 2015, que refuerzan y amplían el deber</w:t>
      </w:r>
      <w:r>
        <w:rPr>
          <w:rStyle w:val="Refdenotaalpie"/>
          <w:rFonts w:ascii="Verdana" w:hAnsi="Verdana"/>
          <w:sz w:val="20"/>
        </w:rPr>
        <w:footnoteReference w:id="30"/>
      </w:r>
      <w:r>
        <w:rPr>
          <w:rFonts w:ascii="Verdana" w:hAnsi="Verdana" w:cs="Arial"/>
          <w:bCs/>
          <w:szCs w:val="24"/>
          <w:lang w:val="es-ES_tradnl" w:eastAsia="es-ES_tradnl"/>
        </w:rPr>
        <w:t>.</w:t>
      </w:r>
    </w:p>
    <w:p w14:paraId="4FC85A25" w14:textId="77777777" w:rsidR="00F2171E" w:rsidRPr="00C22134" w:rsidRDefault="00F2171E" w:rsidP="00F2171E">
      <w:pPr>
        <w:spacing w:after="0" w:line="276" w:lineRule="auto"/>
        <w:jc w:val="both"/>
        <w:rPr>
          <w:rFonts w:ascii="Verdana" w:eastAsia="Calibri" w:hAnsi="Verdana" w:cs="Arial"/>
          <w:lang w:val="es-ES"/>
        </w:rPr>
      </w:pPr>
    </w:p>
    <w:p w14:paraId="5437249E"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Para identificar qué se publica conviene atender a tres notas de la definición reglamentaria. La primera es que la enumeración del artículo 2.2.1.1.1.3.1 no es taxativa sino enunciativa, porque se cierra con “cualquier otro documento expedido por la Entidad Estatal durante el Proceso de Contratación”. La segunda es que la definición se refiere a los documentos expedidos por la entidad, e incluye expresamente la oferta. Y la tercera —decisiva para su octava petición— es que el Proceso de Contratación se define como el conjunto de actos y actividades “desde la planeación hasta el vencimiento de las garantías de calidad, estabilidad y mantenimiento […] o el vencimiento del plazo, lo que ocurra más tarde”, de suerte que el deber de publicidad no se agota con la celebración del contrato y alcanza a las modificaciones, adiciones y prórrogas y a los informes de supervisión</w:t>
      </w:r>
      <w:r>
        <w:rPr>
          <w:rStyle w:val="Refdenotaalpie"/>
          <w:rFonts w:ascii="Verdana" w:hAnsi="Verdana"/>
          <w:sz w:val="20"/>
        </w:rPr>
        <w:footnoteReference w:id="31"/>
      </w:r>
      <w:r>
        <w:rPr>
          <w:rFonts w:ascii="Verdana" w:hAnsi="Verdana" w:cs="Arial"/>
          <w:bCs/>
          <w:szCs w:val="24"/>
          <w:lang w:val="es-ES_tradnl" w:eastAsia="es-ES_tradnl"/>
        </w:rPr>
        <w:t>.</w:t>
      </w:r>
    </w:p>
    <w:p w14:paraId="62849FCE" w14:textId="77777777" w:rsidR="00F2171E" w:rsidRPr="00C22134" w:rsidRDefault="00F2171E" w:rsidP="00F2171E">
      <w:pPr>
        <w:spacing w:after="0" w:line="276" w:lineRule="auto"/>
        <w:jc w:val="both"/>
        <w:rPr>
          <w:rFonts w:ascii="Verdana" w:eastAsia="Calibri" w:hAnsi="Verdana" w:cs="Arial"/>
          <w:lang w:val="es-ES"/>
        </w:rPr>
      </w:pPr>
    </w:p>
    <w:p w14:paraId="14F39CF2"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Conviene añadir dos precisiones sobre las adiciones y las prórrogas. La primera es que se instrumentan en modificaciones contractuales que, por ser documentos expedidos por la entidad, deben publicarse dentro de los tres días siguientes a su expedición, junto con la justificación que las sustente: publicar el resultado sin su motivación no satisface el deber, porque impide el contraste que la publicidad persigue. La segunda es que las adiciones están sometidas al límite del parágrafo del artículo 40 de la Ley 80 de 1993, que impide adicionar los contratos en más del cincuenta por ciento de su valor inicial expresado en </w:t>
      </w:r>
      <w:r>
        <w:rPr>
          <w:rFonts w:ascii="Verdana" w:hAnsi="Verdana" w:cs="Arial"/>
          <w:bCs/>
          <w:szCs w:val="24"/>
          <w:lang w:val="es-ES_tradnl" w:eastAsia="es-ES_tradnl"/>
        </w:rPr>
        <w:lastRenderedPageBreak/>
        <w:t>salarios mínimos legales mensuales, límite que se aplica cualquiera que sea la denominación que las partes den al acuerdo</w:t>
      </w:r>
      <w:r>
        <w:rPr>
          <w:rStyle w:val="Refdenotaalpie"/>
          <w:rFonts w:ascii="Verdana" w:hAnsi="Verdana"/>
          <w:sz w:val="20"/>
        </w:rPr>
        <w:footnoteReference w:id="32"/>
      </w:r>
      <w:r>
        <w:rPr>
          <w:rFonts w:ascii="Verdana" w:hAnsi="Verdana" w:cs="Arial"/>
          <w:bCs/>
          <w:szCs w:val="24"/>
          <w:lang w:val="es-ES_tradnl" w:eastAsia="es-ES_tradnl"/>
        </w:rPr>
        <w:t>.</w:t>
      </w:r>
    </w:p>
    <w:p w14:paraId="60D8B419" w14:textId="77777777" w:rsidR="00F2171E" w:rsidRPr="00C22134" w:rsidRDefault="00F2171E" w:rsidP="00F2171E">
      <w:pPr>
        <w:spacing w:after="0" w:line="276" w:lineRule="auto"/>
        <w:jc w:val="both"/>
        <w:rPr>
          <w:rFonts w:ascii="Verdana" w:eastAsia="Calibri" w:hAnsi="Verdana" w:cs="Arial"/>
          <w:lang w:val="es-ES"/>
        </w:rPr>
      </w:pPr>
    </w:p>
    <w:p w14:paraId="74820828"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Respecto de los documentos que aporta el interesado, la regla es distinta porque no son expedidos por la entidad. Ello no los sustrae de la publicidad —integran el expediente contractual y quedan cobijados por el régimen de transparencia y acceso a la información—, pero sí traslada la cuestión a un plano que no regula el estatuto contractual: el de la clasificación de la información y la protección de datos personales. La determinación de qué apartes son públicos, clasificados o reservados, y la eventual anonimización o disociación, corresponde al sujeto obligado que administra la información, con los recursos y controles que esas leyes prevén</w:t>
      </w:r>
      <w:r>
        <w:rPr>
          <w:rStyle w:val="Refdenotaalpie"/>
          <w:rFonts w:ascii="Verdana" w:hAnsi="Verdana"/>
          <w:sz w:val="20"/>
        </w:rPr>
        <w:footnoteReference w:id="33"/>
      </w:r>
      <w:r>
        <w:rPr>
          <w:rFonts w:ascii="Verdana" w:hAnsi="Verdana" w:cs="Arial"/>
          <w:bCs/>
          <w:szCs w:val="24"/>
          <w:lang w:val="es-ES_tradnl" w:eastAsia="es-ES_tradnl"/>
        </w:rPr>
        <w:t>.</w:t>
      </w:r>
    </w:p>
    <w:p w14:paraId="3B7FE802" w14:textId="77777777" w:rsidR="00F2171E" w:rsidRPr="00C22134" w:rsidRDefault="00F2171E" w:rsidP="00F2171E">
      <w:pPr>
        <w:spacing w:after="0" w:line="276" w:lineRule="auto"/>
        <w:jc w:val="both"/>
        <w:rPr>
          <w:rFonts w:ascii="Verdana" w:eastAsia="Calibri" w:hAnsi="Verdana" w:cs="Arial"/>
          <w:lang w:val="es-ES"/>
        </w:rPr>
      </w:pPr>
    </w:p>
    <w:p w14:paraId="34F469C5"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 lo anterior se desprenden los criterios de trazabilidad que facilitan el control ciudadano. El primero es la gestión transaccional del proceso en el SECOP II, que es la regla general y que permite que el expediente sea único y las actuaciones queden registradas en tiempo real. El segundo es la precisión del objeto, de las obligaciones específicas, del valor, del plazo y de la designación del supervisor, pues de esa precisión depende que un tercero pueda comparar lo contratado con lo ejecutado; un objeto redactado en términos genéricos hace inviable cualquier control, aunque esté publicado. El tercero es la publicación oportuna y motivada de las modificaciones. Y el cuarto es la incorporación de los informes de supervisión al expediente. Estos criterios no son recomendaciones de conveniencia: derivan de los deberes ya expuestos</w:t>
      </w:r>
      <w:r>
        <w:rPr>
          <w:rStyle w:val="Refdenotaalpie"/>
          <w:rFonts w:ascii="Verdana" w:hAnsi="Verdana"/>
          <w:sz w:val="20"/>
        </w:rPr>
        <w:footnoteReference w:id="34"/>
      </w:r>
      <w:r>
        <w:rPr>
          <w:rFonts w:ascii="Verdana" w:hAnsi="Verdana" w:cs="Arial"/>
          <w:bCs/>
          <w:szCs w:val="24"/>
          <w:lang w:val="es-ES_tradnl" w:eastAsia="es-ES_tradnl"/>
        </w:rPr>
        <w:t>.</w:t>
      </w:r>
    </w:p>
    <w:p w14:paraId="1F8A8AA0" w14:textId="77777777" w:rsidR="00F2171E" w:rsidRPr="00C22134" w:rsidRDefault="00F2171E" w:rsidP="00F2171E">
      <w:pPr>
        <w:spacing w:after="0" w:line="276" w:lineRule="auto"/>
        <w:jc w:val="both"/>
        <w:rPr>
          <w:rFonts w:ascii="Verdana" w:eastAsia="Calibri" w:hAnsi="Verdana" w:cs="Arial"/>
          <w:lang w:val="es-ES"/>
        </w:rPr>
      </w:pPr>
    </w:p>
    <w:p w14:paraId="20F4F0B9"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En cuanto a las herramientas de consulta, esta Subdirección ha destacado que el SECOP II cuenta con un módulo de búsqueda pública que permite a la ciudadanía y a los entes de control revisar el avance de cualquier contrato </w:t>
      </w:r>
      <w:r>
        <w:rPr>
          <w:rFonts w:ascii="Verdana" w:hAnsi="Verdana" w:cs="Arial"/>
          <w:bCs/>
          <w:szCs w:val="24"/>
          <w:lang w:val="es-ES_tradnl" w:eastAsia="es-ES_tradnl"/>
        </w:rPr>
        <w:lastRenderedPageBreak/>
        <w:t>gestionado en la plataforma, sin necesidad de contar con usuario, a lo que se suman los conjuntos de datos abiertos de la contratación pública. La identificación de campos y filtros específicos para detectar objetos iguales o semejantes corresponde, sin embargo, a la Subdirección de Información y Desarrollo Tecnológico de esta Agencia y a su mesa de servicio, por tratarse de un asunto de funcionamiento de la plataforma y no de interpretación normativa</w:t>
      </w:r>
      <w:r>
        <w:rPr>
          <w:rStyle w:val="Refdenotaalpie"/>
          <w:rFonts w:ascii="Verdana" w:hAnsi="Verdana"/>
          <w:sz w:val="20"/>
        </w:rPr>
        <w:footnoteReference w:id="35"/>
      </w:r>
      <w:r>
        <w:rPr>
          <w:rFonts w:ascii="Verdana" w:hAnsi="Verdana" w:cs="Arial"/>
          <w:bCs/>
          <w:szCs w:val="24"/>
          <w:lang w:val="es-ES_tradnl" w:eastAsia="es-ES_tradnl"/>
        </w:rPr>
        <w:t>.</w:t>
      </w:r>
    </w:p>
    <w:p w14:paraId="6FC39F74" w14:textId="77777777" w:rsidR="00F2171E" w:rsidRPr="00C22134" w:rsidRDefault="00F2171E" w:rsidP="00F2171E">
      <w:pPr>
        <w:spacing w:after="0" w:line="276" w:lineRule="auto"/>
        <w:jc w:val="both"/>
        <w:rPr>
          <w:rFonts w:ascii="Verdana" w:eastAsia="Calibri" w:hAnsi="Verdana" w:cs="Arial"/>
          <w:lang w:val="es-ES"/>
        </w:rPr>
      </w:pPr>
    </w:p>
    <w:p w14:paraId="3EC91276" w14:textId="54E54582" w:rsidR="00F2171E" w:rsidRPr="00A0389A" w:rsidRDefault="00F2171E" w:rsidP="00F2171E">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iv</w:t>
      </w:r>
      <w:proofErr w:type="spellEnd"/>
      <w:r>
        <w:rPr>
          <w:rFonts w:ascii="Verdana" w:hAnsi="Verdana" w:cs="Arial"/>
          <w:bCs/>
          <w:szCs w:val="24"/>
          <w:lang w:val="es-ES_tradnl" w:eastAsia="es-ES_tradnl"/>
        </w:rPr>
        <w:t xml:space="preserve">) </w:t>
      </w:r>
      <w:r w:rsidR="00384B42">
        <w:rPr>
          <w:rFonts w:ascii="Verdana" w:hAnsi="Verdana" w:cs="Arial"/>
          <w:bCs/>
          <w:szCs w:val="24"/>
          <w:lang w:val="es-ES_tradnl" w:eastAsia="es-ES_tradnl"/>
        </w:rPr>
        <w:t>L</w:t>
      </w:r>
      <w:r>
        <w:rPr>
          <w:rFonts w:ascii="Verdana" w:hAnsi="Verdana" w:cs="Arial"/>
          <w:bCs/>
          <w:szCs w:val="24"/>
          <w:lang w:val="es-ES_tradnl" w:eastAsia="es-ES_tradnl"/>
        </w:rPr>
        <w:t>a sola existencia de contratos sucesivos no permite concluir la ilegalidad de ninguno de ellos, y esta Agencia no puede calificar en abstracto situaciones concretas. Pero tampoco es cierto que la materia carezca de reglas, ni que todo se reduzca a buenas prácticas. La más precisa es el inciso segundo del artículo 2.8.4.4.5 del Decreto 1068 de 2015, conforme al cual “Tampoco se podrán celebrar estos contratos cuando existan relaciones contractuales vigentes con objeto igual al del contrato que se pretende suscribir, salvo autorización expresa del jefe del respectivo órgano, ente o entidad contratante”, autorización que “estará precedida de la sustentación sobre las especiales características y necesidades técnicas de las contrataciones a realizar”</w:t>
      </w:r>
      <w:r>
        <w:rPr>
          <w:rStyle w:val="Refdenotaalpie"/>
          <w:rFonts w:ascii="Verdana" w:hAnsi="Verdana"/>
          <w:sz w:val="20"/>
        </w:rPr>
        <w:footnoteReference w:id="36"/>
      </w:r>
      <w:r>
        <w:rPr>
          <w:rFonts w:ascii="Verdana" w:hAnsi="Verdana" w:cs="Arial"/>
          <w:bCs/>
          <w:szCs w:val="24"/>
          <w:lang w:val="es-ES_tradnl" w:eastAsia="es-ES_tradnl"/>
        </w:rPr>
        <w:t>.</w:t>
      </w:r>
    </w:p>
    <w:p w14:paraId="42D6134E" w14:textId="77777777" w:rsidR="00F2171E" w:rsidRPr="00C22134" w:rsidRDefault="00F2171E" w:rsidP="00F2171E">
      <w:pPr>
        <w:spacing w:after="0" w:line="276" w:lineRule="auto"/>
        <w:jc w:val="both"/>
        <w:rPr>
          <w:rFonts w:ascii="Verdana" w:eastAsia="Calibri" w:hAnsi="Verdana" w:cs="Arial"/>
          <w:lang w:val="es-ES"/>
        </w:rPr>
      </w:pPr>
    </w:p>
    <w:p w14:paraId="29AF7A65"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A esa regla se suma el límite temporal del numeral 3 del artículo 32 de la Ley 80 de 1993, según el cual estos contratos “se celebrarán por el término estrictamente indispensable”. La temporalidad no es una recomendación sino un elemento de la naturaleza del tipo contractual, de donde se sigue que un vínculo estructurado para prolongarse indefinidamente mediante renovaciones sucesivas desnaturaliza la figura</w:t>
      </w:r>
      <w:r>
        <w:rPr>
          <w:rStyle w:val="Refdenotaalpie"/>
          <w:rFonts w:ascii="Verdana" w:hAnsi="Verdana"/>
          <w:sz w:val="20"/>
        </w:rPr>
        <w:footnoteReference w:id="37"/>
      </w:r>
      <w:r>
        <w:rPr>
          <w:rFonts w:ascii="Verdana" w:hAnsi="Verdana" w:cs="Arial"/>
          <w:bCs/>
          <w:szCs w:val="24"/>
          <w:lang w:val="es-ES_tradnl" w:eastAsia="es-ES_tradnl"/>
        </w:rPr>
        <w:t>.</w:t>
      </w:r>
    </w:p>
    <w:p w14:paraId="4BF72D1D" w14:textId="77777777" w:rsidR="00F2171E" w:rsidRPr="00C22134" w:rsidRDefault="00F2171E" w:rsidP="00F2171E">
      <w:pPr>
        <w:spacing w:after="0" w:line="276" w:lineRule="auto"/>
        <w:jc w:val="both"/>
        <w:rPr>
          <w:rFonts w:ascii="Verdana" w:eastAsia="Calibri" w:hAnsi="Verdana" w:cs="Arial"/>
          <w:lang w:val="es-ES"/>
        </w:rPr>
      </w:pPr>
    </w:p>
    <w:p w14:paraId="648A82C1"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Ahí se encuentra, precisamente, la articulación que indaga su novena petición. El principio de planeación no es un requisito formal previo a la </w:t>
      </w:r>
      <w:r>
        <w:rPr>
          <w:rFonts w:ascii="Verdana" w:hAnsi="Verdana" w:cs="Arial"/>
          <w:bCs/>
          <w:szCs w:val="24"/>
          <w:lang w:val="es-ES_tradnl" w:eastAsia="es-ES_tradnl"/>
        </w:rPr>
        <w:lastRenderedPageBreak/>
        <w:t>contratación, sino el momento en que la entidad debe formular y responder una pregunta sustantiva: si lo que enfrenta es una necesidad transitoria que se renueva o una función que ha dejado de ser transitoria. Cuando la planeación se reduce a reproducir los estudios previos de la vigencia anterior, esa pregunta no se formula, y la sucesión de contratos deja de ser el resultado de una decisión y pasa a ser el producto de una inercia. De ahí que el análisis del sector y el Plan Anual de Adquisiciones sean los instrumentos en los que la recurrencia debe hacerse visible: no como un dato estadístico, sino como un elemento de juicio para decidir</w:t>
      </w:r>
      <w:r>
        <w:rPr>
          <w:rStyle w:val="Refdenotaalpie"/>
          <w:rFonts w:ascii="Verdana" w:hAnsi="Verdana"/>
          <w:sz w:val="20"/>
        </w:rPr>
        <w:footnoteReference w:id="38"/>
      </w:r>
      <w:r>
        <w:rPr>
          <w:rFonts w:ascii="Verdana" w:hAnsi="Verdana" w:cs="Arial"/>
          <w:bCs/>
          <w:szCs w:val="24"/>
          <w:lang w:val="es-ES_tradnl" w:eastAsia="es-ES_tradnl"/>
        </w:rPr>
        <w:t>.</w:t>
      </w:r>
    </w:p>
    <w:p w14:paraId="30C7226C" w14:textId="77777777" w:rsidR="00F2171E" w:rsidRPr="00C22134" w:rsidRDefault="00F2171E" w:rsidP="00F2171E">
      <w:pPr>
        <w:spacing w:after="0" w:line="276" w:lineRule="auto"/>
        <w:jc w:val="both"/>
        <w:rPr>
          <w:rFonts w:ascii="Verdana" w:eastAsia="Calibri" w:hAnsi="Verdana" w:cs="Arial"/>
          <w:lang w:val="es-ES"/>
        </w:rPr>
      </w:pPr>
    </w:p>
    <w:p w14:paraId="628049D2" w14:textId="77777777" w:rsidR="00F2171E" w:rsidRPr="00A0389A"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Los elementos concretos que ese examen debe abarcar son cuatro: si la necesidad es transitoria o corresponde a una función permanente de la entidad; si la actividad figura en los manuales específicos de funciones, dato del que depende el juicio sobre la insuficiencia de planta; si existen relaciones contractuales vigentes con objeto igual, supuesto que activa la prohibición y la exigencia de autorización motivada; y si el Plan Anual de Adquisiciones y el análisis del sector reflejan esa recurrencia. Ese examen es el que permite distinguir la reiteración legítima de una necesidad que se renueva, de la utilización de la figura para atender de manera permanente lo que corresponde a la estructura administrativa</w:t>
      </w:r>
      <w:r>
        <w:rPr>
          <w:rStyle w:val="Refdenotaalpie"/>
          <w:rFonts w:ascii="Verdana" w:hAnsi="Verdana"/>
          <w:sz w:val="20"/>
        </w:rPr>
        <w:footnoteReference w:id="39"/>
      </w:r>
      <w:r>
        <w:rPr>
          <w:rFonts w:ascii="Verdana" w:hAnsi="Verdana" w:cs="Arial"/>
          <w:bCs/>
          <w:szCs w:val="24"/>
          <w:lang w:val="es-ES_tradnl" w:eastAsia="es-ES_tradnl"/>
        </w:rPr>
        <w:t>.</w:t>
      </w:r>
    </w:p>
    <w:p w14:paraId="6E9CED28" w14:textId="77777777" w:rsidR="00F2171E" w:rsidRPr="00C22134" w:rsidRDefault="00F2171E" w:rsidP="00F2171E">
      <w:pPr>
        <w:spacing w:after="0" w:line="276" w:lineRule="auto"/>
        <w:jc w:val="both"/>
        <w:rPr>
          <w:rFonts w:ascii="Verdana" w:eastAsia="Calibri" w:hAnsi="Verdana" w:cs="Arial"/>
          <w:lang w:val="es-ES"/>
        </w:rPr>
      </w:pPr>
    </w:p>
    <w:p w14:paraId="1542F8A4" w14:textId="77777777" w:rsidR="00F2171E" w:rsidRDefault="00F2171E" w:rsidP="00384B42">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Cuando ese examen indique que la necesidad es permanente y propia de las funciones de la entidad, la decisión que corresponde no es contractual sino de organización administrativa, y compete a los órganos de dirección de la entidad dentro del ámbito de sus atribuciones. Esta Agencia no determina la estructura ni la planta de personal de ninguna entidad, ni establece si en un caso concreto se configura una relación laboral, cuestión reservada a la jurisdicción ordinaria laboral. La respuesta se ha dado, por tanto, en el plano en que esta </w:t>
      </w:r>
      <w:r>
        <w:rPr>
          <w:rFonts w:ascii="Verdana" w:hAnsi="Verdana" w:cs="Arial"/>
          <w:bCs/>
          <w:szCs w:val="24"/>
          <w:lang w:val="es-ES_tradnl" w:eastAsia="es-ES_tradnl"/>
        </w:rPr>
        <w:lastRenderedPageBreak/>
        <w:t>Entidad es competente: el de las reglas generales que la contratación estatal impone a la planeación y a la celebración de estos contratos.</w:t>
      </w:r>
    </w:p>
    <w:p w14:paraId="64C92AF5" w14:textId="77777777" w:rsidR="00384B42" w:rsidRPr="00A0389A" w:rsidRDefault="00384B42" w:rsidP="00F2171E">
      <w:pPr>
        <w:spacing w:after="0" w:line="276" w:lineRule="auto"/>
        <w:jc w:val="both"/>
        <w:rPr>
          <w:rFonts w:ascii="Verdana" w:hAnsi="Verdana" w:cs="Arial"/>
          <w:bCs/>
          <w:szCs w:val="24"/>
          <w:lang w:val="es-ES_tradnl" w:eastAsia="es-ES_tradnl"/>
        </w:rPr>
      </w:pPr>
    </w:p>
    <w:bookmarkEnd w:id="0"/>
    <w:p w14:paraId="45496EA4" w14:textId="77777777" w:rsidR="00F2171E" w:rsidRDefault="00F2171E" w:rsidP="00F2171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2D2652DC" w14:textId="77777777" w:rsidR="00F2171E" w:rsidRPr="00215B71" w:rsidRDefault="00F2171E" w:rsidP="00F2171E">
      <w:pPr>
        <w:tabs>
          <w:tab w:val="left" w:pos="142"/>
          <w:tab w:val="left" w:pos="284"/>
        </w:tabs>
        <w:spacing w:after="0" w:line="276" w:lineRule="auto"/>
        <w:ind w:left="720"/>
        <w:contextualSpacing/>
        <w:jc w:val="both"/>
        <w:rPr>
          <w:rFonts w:ascii="Verdana" w:eastAsia="Century Gothic" w:hAnsi="Verdana" w:cs="Century Gothic"/>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2171E" w:rsidRPr="009037F6" w14:paraId="60B19981" w14:textId="77777777" w:rsidTr="002002AD">
        <w:trPr>
          <w:trHeight w:val="487"/>
          <w:jc w:val="center"/>
        </w:trPr>
        <w:tc>
          <w:tcPr>
            <w:tcW w:w="8647" w:type="dxa"/>
          </w:tcPr>
          <w:p w14:paraId="32458E20"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83 y 209. Ley 80 de 1993, artículos 23, 24 —numeral 7—, 25 —numeral 12, modificado por el artículo 87 de la Ley 1474 de 2011—, 26 —numeral 1—, 32 —numeral 3— y 40 —parágrafo—. Ley 1150 de 2007, artículos 2 —numeral 4, literal h)—, 3 y 5. Ley 1437 de 2011, artículos 3 —numerales 4 y 8— y 28, sustituido por el artículo 1 de la Ley 1755 de 2015. Ley 1474 de 2011, artículos 83 y 84. Ley 1581 de 2012. Ley 1712 de 2014, artículos 5, 6, 18 y 19. Decreto Ley 4170 de 2011, artículos 3 —numerales 2, 5 y 8— y 11 —numeral 8—. Decreto 1068 de 2015, artículos 2.8.4.1.1, 2.8.4.1.2, 2.8.4.4.5 y 2.8.4.4.6 —que compilan los artículos 1, 2 y 3 del Decreto 1737 de 1998, este último modificado por el artículo 1 del Decreto 2209 de 1998—. Decreto 1081 de 2015. Decreto 1082 de 2015, artículos 2.2.1.1.1.3.1; 2.2.1.1.1.4.1 y siguientes; 2.2.1.1.1.6.1; 2.2.1.1.1.7.1; 2.2.1.1.2.1.1, modificado por el artículo 1 del Decreto 399 de 2021; 2.2.1.2.1.4.1; 2.2.1.2.1.4.3; 2.2.1.2.1.4.6 y 2.2.1.2.1.4.9. Resolución 469 de 2025 de la ANCP-CCE.</w:t>
            </w:r>
          </w:p>
          <w:p w14:paraId="316A310D"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Documentos de la ANCP-CCE: Guía para la contratación de prestación de servicios profesionales y de apoyo a la gestión, CCE-EICP-GI-21, versión 01 del 3 de marzo de 2023. Circular Externa Única, numerales 1.2, 1.3 y 3. Circular Externa No. 003 del 18 de septiembre de 2024 y Circular Externa No. 001 del 28 de febrero de 2025.</w:t>
            </w:r>
          </w:p>
          <w:p w14:paraId="51E887E1"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C-025 del 24 de marzo de 2023, C-781 de 2026, C-967 de 2026, C-970 del 27 de julio de 2026, C-1172 de 2026, C-1218 del 3 de septiembre de 2026 y C-1366 de 2026.</w:t>
            </w:r>
          </w:p>
        </w:tc>
      </w:tr>
    </w:tbl>
    <w:p w14:paraId="185AD0BE" w14:textId="77777777" w:rsidR="00F2171E" w:rsidRPr="009037F6" w:rsidRDefault="00F2171E" w:rsidP="00F2171E">
      <w:pPr>
        <w:widowControl w:val="0"/>
        <w:autoSpaceDE w:val="0"/>
        <w:autoSpaceDN w:val="0"/>
        <w:spacing w:after="0" w:line="276" w:lineRule="auto"/>
        <w:jc w:val="both"/>
        <w:rPr>
          <w:rFonts w:ascii="Verdana" w:hAnsi="Verdana" w:cs="Arial"/>
        </w:rPr>
      </w:pPr>
    </w:p>
    <w:p w14:paraId="6F06CB8F" w14:textId="77777777" w:rsidR="00F2171E" w:rsidRPr="009037F6" w:rsidRDefault="00F2171E" w:rsidP="00F2171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72BC122D" w14:textId="77777777" w:rsidR="00F2171E" w:rsidRPr="009037F6" w:rsidRDefault="00F2171E" w:rsidP="00F2171E">
      <w:pPr>
        <w:widowControl w:val="0"/>
        <w:autoSpaceDE w:val="0"/>
        <w:autoSpaceDN w:val="0"/>
        <w:spacing w:after="0" w:line="276" w:lineRule="auto"/>
        <w:jc w:val="both"/>
        <w:rPr>
          <w:rFonts w:ascii="Verdana" w:hAnsi="Verdana" w:cs="Arial"/>
        </w:rPr>
      </w:pPr>
    </w:p>
    <w:p w14:paraId="34123179" w14:textId="57203A32" w:rsidR="00F2171E" w:rsidRDefault="00F2171E" w:rsidP="00F2171E">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lastRenderedPageBreak/>
        <w:t xml:space="preserve">En atención a la séptima petición del radicado No. 1_2026_08_11_010539, se relacionan los documentos orientadores vigentes sobre la materia. El principal es la Guía para la contratación de prestación de servicios profesionales y de apoyo a la gestión, CCE-EICP-GI-21, versión 01 del 3 de marzo de 2023, expedida en cumplimiento de la recomendación del CONPES 4070 de 2021, que desarrolla recomendaciones, lineamientos y buenas prácticas para esta modalidad; es un instrumento de orientación y no un documento vinculante, por lo que su aplicación no releva a las entidades del cumplimiento de las normas vigentes. Se suman la Circular Externa Única y las Circulares Externas No. 003 de 2024 y No. 001 de 2025 sobre obligatoriedad del SECOP II. En cuanto a los conceptos, esta Subdirección se ha pronunciado sobre la definición, las características y el deber de verificación de la idoneidad, y sobre la insuficiencia de personal de planta, en los Conceptos C-970 del 27 de julio de 2026 y C-781 de 2026; sobre los requisitos y límites para la celebración de estos contratos, la prohibición de objeto igual y el límite de remuneración, en el Concepto C-025 del 24 de marzo de 2023; sobre el alcance del deber de publicidad y la noción de Documentos del Proceso, en el Concepto C-967 de 2026; sobre el límite de las adiciones, en el Concepto C-1172 de 2026; y sobre los componentes del SECOP y su módulo de búsqueda pública, en el Concepto C-1218 del 3 de septiembre de 2026. Las guías y manuales pueden consultarse y descargarse en </w:t>
      </w:r>
      <w:hyperlink r:id="rId12" w:history="1">
        <w:r w:rsidR="00E167EF" w:rsidRPr="00CF0585">
          <w:rPr>
            <w:rStyle w:val="Hipervnculo"/>
            <w:rFonts w:ascii="Verdana" w:hAnsi="Verdana" w:cs="Arial"/>
            <w:shd w:val="clear" w:color="auto" w:fill="FFFFFF"/>
          </w:rPr>
          <w:t>https://www.colombiacompra.gov.co/normativa-y-relatoria/guias-y-manuales</w:t>
        </w:r>
      </w:hyperlink>
      <w:r w:rsidR="00E167EF">
        <w:rPr>
          <w:rFonts w:ascii="Verdana" w:hAnsi="Verdana" w:cs="Arial"/>
          <w:shd w:val="clear" w:color="auto" w:fill="FFFFFF"/>
        </w:rPr>
        <w:t xml:space="preserve"> </w:t>
      </w:r>
      <w:r>
        <w:rPr>
          <w:rFonts w:ascii="Verdana" w:hAnsi="Verdana" w:cs="Arial"/>
          <w:shd w:val="clear" w:color="auto" w:fill="FFFFFF"/>
        </w:rPr>
        <w:t>y los conceptos emitidos por la Agencia en el siguiente enlace:</w:t>
      </w:r>
    </w:p>
    <w:p w14:paraId="3900C2CD" w14:textId="77777777" w:rsidR="00F2171E" w:rsidRDefault="00F2171E" w:rsidP="00F2171E">
      <w:pPr>
        <w:widowControl w:val="0"/>
        <w:autoSpaceDE w:val="0"/>
        <w:autoSpaceDN w:val="0"/>
        <w:spacing w:after="0" w:line="276" w:lineRule="auto"/>
        <w:jc w:val="both"/>
        <w:rPr>
          <w:rStyle w:val="normaltextrun"/>
          <w:rFonts w:ascii="Verdana" w:hAnsi="Verdana" w:cs="Arial"/>
          <w:shd w:val="clear" w:color="auto" w:fill="FFFFFF"/>
        </w:rPr>
      </w:pPr>
    </w:p>
    <w:p w14:paraId="6D3E1620" w14:textId="77777777" w:rsidR="00F2171E" w:rsidRPr="009037F6" w:rsidRDefault="00F2171E" w:rsidP="00F2171E">
      <w:pPr>
        <w:spacing w:after="0" w:line="256" w:lineRule="auto"/>
        <w:jc w:val="both"/>
        <w:rPr>
          <w:rFonts w:ascii="Verdana" w:eastAsia="Calibri" w:hAnsi="Verdana" w:cs="Times New Roman"/>
        </w:rPr>
      </w:pPr>
      <w:hyperlink r:id="rId13" w:history="1">
        <w:r w:rsidRPr="009037F6">
          <w:rPr>
            <w:rFonts w:ascii="Verdana" w:eastAsia="Calibri" w:hAnsi="Verdana" w:cs="Times New Roman"/>
            <w:color w:val="0000FF"/>
            <w:u w:val="single"/>
            <w:lang w:val="es-ES"/>
          </w:rPr>
          <w:t>https://relatoria.colombiacompra.gov.co/busqueda/conceptos</w:t>
        </w:r>
      </w:hyperlink>
    </w:p>
    <w:p w14:paraId="01E3B9CC" w14:textId="77777777" w:rsidR="00F2171E" w:rsidRPr="009037F6" w:rsidRDefault="00F2171E" w:rsidP="00F2171E">
      <w:pPr>
        <w:spacing w:after="0"/>
        <w:jc w:val="both"/>
        <w:rPr>
          <w:rFonts w:ascii="Verdana" w:hAnsi="Verdana"/>
        </w:rPr>
      </w:pPr>
    </w:p>
    <w:p w14:paraId="185B7771" w14:textId="77777777" w:rsidR="00F2171E" w:rsidRDefault="00F2171E" w:rsidP="00F2171E">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w:t>
      </w:r>
      <w:r w:rsidRPr="00215B71">
        <w:rPr>
          <w:rFonts w:ascii="Verdana" w:hAnsi="Verdana"/>
        </w:rPr>
        <w:t>Nacional de Contratación Pública –Colombia Compra Eficiente– te invita a realizar el Curso de Contratación Pública Sostenible y Socialmente Responsable, una herramienta clave para fortalecer las capacidades de todos</w:t>
      </w:r>
      <w:r w:rsidRPr="009A385A">
        <w:rPr>
          <w:rFonts w:ascii="Verdana" w:hAnsi="Verdana"/>
        </w:rPr>
        <w:t xml:space="preserve">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0801E39A" w14:textId="77777777" w:rsidR="00F2171E" w:rsidRPr="009A385A" w:rsidRDefault="00F2171E" w:rsidP="00F2171E">
      <w:pPr>
        <w:spacing w:after="0"/>
        <w:jc w:val="both"/>
        <w:rPr>
          <w:rFonts w:ascii="Verdana" w:hAnsi="Verdana"/>
        </w:rPr>
      </w:pPr>
    </w:p>
    <w:p w14:paraId="4B85423E" w14:textId="77777777" w:rsidR="00F2171E" w:rsidRDefault="00F2171E" w:rsidP="00F2171E">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w:t>
      </w:r>
      <w:r w:rsidRPr="00215B71">
        <w:rPr>
          <w:rFonts w:ascii="Verdana" w:hAnsi="Verdana"/>
        </w:rPr>
        <w:t xml:space="preserve">estandarización y modernización del sector  social con la expedición de las </w:t>
      </w:r>
      <w:r w:rsidRPr="00215B71">
        <w:rPr>
          <w:rFonts w:ascii="Verdana" w:hAnsi="Verdana"/>
        </w:rPr>
        <w:lastRenderedPageBreak/>
        <w:t>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w:t>
      </w:r>
      <w:r w:rsidRPr="00635F16">
        <w:rPr>
          <w:rFonts w:ascii="Verdana" w:hAnsi="Verdana"/>
        </w:rPr>
        <w:t xml:space="preserve">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524B204F" w14:textId="77777777" w:rsidR="00F2171E" w:rsidRDefault="00F2171E" w:rsidP="00F2171E">
      <w:pPr>
        <w:spacing w:after="0"/>
        <w:jc w:val="both"/>
        <w:rPr>
          <w:rFonts w:ascii="Verdana" w:hAnsi="Verdana"/>
        </w:rPr>
      </w:pPr>
    </w:p>
    <w:p w14:paraId="27236419" w14:textId="77777777" w:rsidR="00F2171E" w:rsidRPr="008E1CD7" w:rsidRDefault="00F2171E" w:rsidP="00F2171E">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w:t>
      </w:r>
      <w:r w:rsidRPr="00215B71">
        <w:rPr>
          <w:rFonts w:ascii="Verdana" w:hAnsi="Verdana"/>
        </w:rPr>
        <w:t>la última versión de la Guía para la comprensión e implementación de los Documentos Tipo de obra pública de infraestructura de transporte. En</w:t>
      </w:r>
      <w:r w:rsidRPr="00797327">
        <w:rPr>
          <w:rFonts w:ascii="Verdana" w:hAnsi="Verdana"/>
        </w:rPr>
        <w:t xml:space="preserve">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3C3CE0E" w14:textId="77777777" w:rsidR="00F2171E" w:rsidRDefault="00F2171E" w:rsidP="00F2171E">
      <w:pPr>
        <w:shd w:val="clear" w:color="auto" w:fill="FFFFFF"/>
        <w:spacing w:after="0" w:line="276" w:lineRule="auto"/>
        <w:jc w:val="both"/>
        <w:rPr>
          <w:rFonts w:ascii="Verdana" w:hAnsi="Verdana"/>
          <w:color w:val="000000"/>
          <w:u w:val="single"/>
        </w:rPr>
      </w:pPr>
    </w:p>
    <w:p w14:paraId="59C4A0B0" w14:textId="77777777" w:rsidR="00F2171E" w:rsidRPr="0038088D" w:rsidRDefault="00F2171E" w:rsidP="00F2171E">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67556337" w14:textId="77777777" w:rsidR="00F2171E" w:rsidRPr="0038088D" w:rsidRDefault="00F2171E" w:rsidP="00F2171E">
      <w:pPr>
        <w:spacing w:after="0"/>
        <w:jc w:val="both"/>
        <w:rPr>
          <w:rFonts w:ascii="Verdana" w:hAnsi="Verdana"/>
        </w:rPr>
      </w:pPr>
    </w:p>
    <w:p w14:paraId="51CC28AB" w14:textId="77777777" w:rsidR="00F2171E" w:rsidRPr="0038088D" w:rsidRDefault="00F2171E" w:rsidP="00F2171E">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20411359" w14:textId="77777777" w:rsidR="00F2171E" w:rsidRPr="0038088D" w:rsidRDefault="00F2171E" w:rsidP="00F2171E">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7B8FEE08" w14:textId="77777777" w:rsidR="00F2171E" w:rsidRPr="0038088D" w:rsidRDefault="00F2171E" w:rsidP="00F2171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7">
        <w:r w:rsidRPr="0038088D">
          <w:rPr>
            <w:rStyle w:val="Hipervnculo"/>
            <w:rFonts w:ascii="Verdana" w:eastAsia="Verdana" w:hAnsi="Verdana" w:cs="Verdana"/>
          </w:rPr>
          <w:t>ventanilladeradicacion@colombiacompra.gov.co</w:t>
        </w:r>
      </w:hyperlink>
    </w:p>
    <w:p w14:paraId="5BABABA8" w14:textId="77777777" w:rsidR="00F2171E" w:rsidRPr="0038088D" w:rsidRDefault="00F2171E" w:rsidP="00F2171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8">
        <w:r w:rsidRPr="0038088D">
          <w:rPr>
            <w:rStyle w:val="Hipervnculo"/>
            <w:rFonts w:ascii="Verdana" w:eastAsia="Verdana" w:hAnsi="Verdana" w:cs="Verdana"/>
          </w:rPr>
          <w:t>https://www.colombiacompra.gov.co/pqrsd/informacion-importante-antes-de-formular-una-pqrsd</w:t>
        </w:r>
      </w:hyperlink>
    </w:p>
    <w:p w14:paraId="63E52485" w14:textId="77777777" w:rsidR="00F2171E" w:rsidRPr="0038088D" w:rsidRDefault="00F2171E" w:rsidP="00F2171E">
      <w:pPr>
        <w:spacing w:after="0" w:line="240" w:lineRule="auto"/>
        <w:ind w:left="720"/>
        <w:jc w:val="both"/>
        <w:rPr>
          <w:rFonts w:ascii="Verdana" w:hAnsi="Verdana"/>
        </w:rPr>
      </w:pPr>
    </w:p>
    <w:p w14:paraId="68B6F002" w14:textId="77777777" w:rsidR="00F2171E" w:rsidRPr="0038088D" w:rsidRDefault="00F2171E" w:rsidP="00F2171E">
      <w:pPr>
        <w:spacing w:after="0" w:line="240" w:lineRule="auto"/>
        <w:rPr>
          <w:rFonts w:ascii="Verdana" w:hAnsi="Verdana"/>
        </w:rPr>
      </w:pPr>
      <w:r w:rsidRPr="0038088D">
        <w:rPr>
          <w:rFonts w:ascii="Verdana" w:hAnsi="Verdana"/>
        </w:rPr>
        <w:lastRenderedPageBreak/>
        <w:t>Evalúa el servicio que ofrece la Agencia por el canal de atención de PQRSD en el siguiente enlace :</w:t>
      </w:r>
      <w:hyperlink r:id="rId19"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4D2279EE" w14:textId="77777777" w:rsidR="00F2171E" w:rsidRPr="0038088D" w:rsidRDefault="00F2171E" w:rsidP="00F2171E">
      <w:pPr>
        <w:spacing w:after="0" w:line="240" w:lineRule="auto"/>
        <w:rPr>
          <w:rFonts w:ascii="Verdana" w:hAnsi="Verdana"/>
        </w:rPr>
      </w:pPr>
    </w:p>
    <w:p w14:paraId="3EAC8D4E" w14:textId="77777777" w:rsidR="00F2171E" w:rsidRPr="0038088D" w:rsidRDefault="00F2171E" w:rsidP="00F2171E">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7CB5CE1C" w14:textId="77777777" w:rsidR="00F2171E" w:rsidRPr="00116940" w:rsidRDefault="00F2171E" w:rsidP="00F2171E">
      <w:pPr>
        <w:spacing w:after="0" w:line="240" w:lineRule="auto"/>
        <w:jc w:val="both"/>
        <w:rPr>
          <w:rFonts w:ascii="Verdana" w:hAnsi="Verdana"/>
        </w:rPr>
      </w:pPr>
    </w:p>
    <w:p w14:paraId="65B11423" w14:textId="77777777" w:rsidR="00F2171E" w:rsidRPr="00116940" w:rsidRDefault="00F2171E" w:rsidP="00F2171E">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55E683E" w14:textId="77777777" w:rsidR="00F2171E" w:rsidRPr="00116940" w:rsidRDefault="00F2171E" w:rsidP="00F2171E">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1D1F116" w14:textId="77777777" w:rsidR="00F2171E" w:rsidRPr="00E22E6E" w:rsidRDefault="00F2171E" w:rsidP="00F2171E">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E1A9550" w14:textId="77777777" w:rsidR="00F2171E" w:rsidRPr="009C4035" w:rsidRDefault="00F2171E" w:rsidP="00F2171E">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CDEDA02" w14:textId="77777777" w:rsidR="00F2171E" w:rsidRPr="00593A5F" w:rsidRDefault="00F2171E" w:rsidP="00F2171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7C5E3E30" w14:textId="77777777" w:rsidR="00F2171E" w:rsidRDefault="00F2171E" w:rsidP="00F2171E">
      <w:pPr>
        <w:widowControl w:val="0"/>
        <w:autoSpaceDE w:val="0"/>
        <w:autoSpaceDN w:val="0"/>
        <w:spacing w:after="0" w:line="276" w:lineRule="auto"/>
        <w:jc w:val="both"/>
        <w:rPr>
          <w:rFonts w:ascii="Verdana" w:hAnsi="Verdana" w:cs="Arial"/>
        </w:rPr>
      </w:pPr>
    </w:p>
    <w:p w14:paraId="4684B1DF" w14:textId="77777777" w:rsidR="00F2171E" w:rsidRPr="00215B71" w:rsidRDefault="00F2171E" w:rsidP="00F2171E">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6BA88A35" w14:textId="6EBAB31B" w:rsidR="00F2171E" w:rsidRDefault="00F2171E" w:rsidP="00F2171E">
      <w:pPr>
        <w:spacing w:after="0" w:line="254" w:lineRule="auto"/>
        <w:jc w:val="center"/>
        <w:rPr>
          <w:rFonts w:ascii="Verdana" w:eastAsia="Times New Roman" w:hAnsi="Verdana" w:cs="Arial"/>
          <w:lang w:eastAsia="es-ES"/>
        </w:rPr>
      </w:pPr>
    </w:p>
    <w:p w14:paraId="38471FD1" w14:textId="77777777" w:rsidR="0036680A" w:rsidRDefault="0036680A" w:rsidP="00F2171E">
      <w:pPr>
        <w:spacing w:after="0" w:line="254" w:lineRule="auto"/>
        <w:jc w:val="center"/>
        <w:rPr>
          <w:rFonts w:ascii="Verdana" w:eastAsia="Times New Roman" w:hAnsi="Verdana" w:cs="Arial"/>
          <w:lang w:eastAsia="es-ES"/>
        </w:rPr>
      </w:pPr>
    </w:p>
    <w:p w14:paraId="0752BD9A" w14:textId="57CFEBA3" w:rsidR="0036680A" w:rsidRDefault="0036680A" w:rsidP="00F2171E">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5E8FBDA8" wp14:editId="27C87973">
            <wp:extent cx="2805953" cy="1041604"/>
            <wp:effectExtent l="0" t="0" r="127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2840148" cy="1054297"/>
                    </a:xfrm>
                    <a:prstGeom prst="rect">
                      <a:avLst/>
                    </a:prstGeom>
                  </pic:spPr>
                </pic:pic>
              </a:graphicData>
            </a:graphic>
          </wp:inline>
        </w:drawing>
      </w:r>
    </w:p>
    <w:p w14:paraId="20874100" w14:textId="77777777" w:rsidR="0036680A" w:rsidRPr="008D539F" w:rsidRDefault="0036680A" w:rsidP="00F2171E">
      <w:pPr>
        <w:spacing w:after="0" w:line="254" w:lineRule="auto"/>
        <w:jc w:val="center"/>
        <w:rPr>
          <w:rFonts w:ascii="Verdana" w:eastAsia="Times New Roman" w:hAnsi="Verdana" w:cs="Arial"/>
          <w:lang w:eastAsia="es-ES"/>
        </w:rPr>
      </w:pPr>
    </w:p>
    <w:p w14:paraId="3BCAF70F" w14:textId="77777777" w:rsidR="00F2171E" w:rsidRPr="008D539F" w:rsidRDefault="00F2171E" w:rsidP="00F2171E">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F2171E" w:rsidRPr="008D539F" w14:paraId="76F46B5D" w14:textId="77777777" w:rsidTr="002002AD">
        <w:trPr>
          <w:trHeight w:val="322"/>
        </w:trPr>
        <w:tc>
          <w:tcPr>
            <w:tcW w:w="733" w:type="dxa"/>
            <w:tcBorders>
              <w:top w:val="nil"/>
              <w:left w:val="nil"/>
              <w:bottom w:val="nil"/>
              <w:right w:val="nil"/>
            </w:tcBorders>
            <w:vAlign w:val="center"/>
            <w:hideMark/>
          </w:tcPr>
          <w:p w14:paraId="7474D230" w14:textId="77777777" w:rsidR="00F2171E" w:rsidRPr="008D539F" w:rsidRDefault="00F2171E"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0B0702D" w14:textId="77777777" w:rsidR="00F2171E" w:rsidRPr="008D539F" w:rsidRDefault="00F2171E" w:rsidP="002002AD">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Camilo José Martínez Martínez</w:t>
            </w:r>
          </w:p>
          <w:p w14:paraId="4BCC4809" w14:textId="4C6CBBB4" w:rsidR="00F2171E" w:rsidRPr="008D539F" w:rsidRDefault="00E167EF" w:rsidP="002002AD">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F2171E" w:rsidRPr="008D539F" w14:paraId="2C97ED85" w14:textId="77777777" w:rsidTr="002002AD">
        <w:trPr>
          <w:trHeight w:val="322"/>
        </w:trPr>
        <w:tc>
          <w:tcPr>
            <w:tcW w:w="733" w:type="dxa"/>
            <w:tcBorders>
              <w:top w:val="nil"/>
              <w:left w:val="nil"/>
              <w:bottom w:val="nil"/>
              <w:right w:val="nil"/>
            </w:tcBorders>
            <w:vAlign w:val="center"/>
            <w:hideMark/>
          </w:tcPr>
          <w:p w14:paraId="19C7D6C8" w14:textId="77777777" w:rsidR="00F2171E" w:rsidRPr="008D539F" w:rsidRDefault="00F2171E"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2878436" w14:textId="38FCD635" w:rsidR="00F2171E" w:rsidRPr="008D539F" w:rsidRDefault="00384B42" w:rsidP="002002AD">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Adriana Lópe</w:t>
            </w:r>
            <w:r w:rsidR="00E167EF">
              <w:rPr>
                <w:rFonts w:ascii="Verdana" w:eastAsia="Times New Roman" w:hAnsi="Verdana" w:cs="Times New Roman"/>
                <w:sz w:val="16"/>
                <w:szCs w:val="16"/>
                <w:lang w:eastAsia="es-CO"/>
              </w:rPr>
              <w:t>z</w:t>
            </w:r>
          </w:p>
          <w:p w14:paraId="43E7BF05" w14:textId="77777777" w:rsidR="00F2171E" w:rsidRPr="008D539F" w:rsidRDefault="00F2171E"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F2171E" w:rsidRPr="008D539F" w14:paraId="1D273B52" w14:textId="77777777" w:rsidTr="002002AD">
        <w:trPr>
          <w:trHeight w:val="307"/>
        </w:trPr>
        <w:tc>
          <w:tcPr>
            <w:tcW w:w="733" w:type="dxa"/>
            <w:tcBorders>
              <w:top w:val="nil"/>
              <w:left w:val="nil"/>
              <w:bottom w:val="nil"/>
              <w:right w:val="nil"/>
            </w:tcBorders>
            <w:vAlign w:val="center"/>
            <w:hideMark/>
          </w:tcPr>
          <w:p w14:paraId="5B7FE4D3" w14:textId="77777777" w:rsidR="00F2171E" w:rsidRPr="008D539F" w:rsidRDefault="00F2171E"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47A66DD" w14:textId="77777777" w:rsidR="00F2171E" w:rsidRPr="008D539F" w:rsidRDefault="00F2171E" w:rsidP="002002AD">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76C921EB" w14:textId="77777777" w:rsidR="00F2171E" w:rsidRPr="008D539F" w:rsidRDefault="00F2171E" w:rsidP="002002AD">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051B7184" w14:textId="77777777" w:rsidR="00F2171E" w:rsidRDefault="00F2171E" w:rsidP="006D0D7C">
      <w:pPr>
        <w:autoSpaceDE w:val="0"/>
        <w:autoSpaceDN w:val="0"/>
        <w:adjustRightInd w:val="0"/>
        <w:spacing w:after="0" w:line="276" w:lineRule="auto"/>
        <w:rPr>
          <w:rFonts w:ascii="Verdana" w:eastAsia="Calibri" w:hAnsi="Verdana" w:cs="Arial"/>
        </w:rPr>
      </w:pPr>
    </w:p>
    <w:p w14:paraId="13D16F25" w14:textId="77777777" w:rsidR="006D0D7C" w:rsidRDefault="006D0D7C" w:rsidP="006D0D7C">
      <w:pPr>
        <w:autoSpaceDE w:val="0"/>
        <w:autoSpaceDN w:val="0"/>
        <w:adjustRightInd w:val="0"/>
        <w:spacing w:after="0" w:line="276" w:lineRule="auto"/>
        <w:rPr>
          <w:rFonts w:ascii="Verdana" w:eastAsia="Calibri" w:hAnsi="Verdana" w:cs="Arial"/>
        </w:rPr>
      </w:pPr>
    </w:p>
    <w:p w14:paraId="274AA051" w14:textId="7FD56E38" w:rsidR="006D0D7C" w:rsidRPr="008D539F" w:rsidRDefault="006D0D7C" w:rsidP="006D0D7C">
      <w:pPr>
        <w:autoSpaceDE w:val="0"/>
        <w:autoSpaceDN w:val="0"/>
        <w:adjustRightInd w:val="0"/>
        <w:spacing w:after="0" w:line="276" w:lineRule="auto"/>
        <w:rPr>
          <w:rFonts w:ascii="Verdana" w:eastAsia="Calibri" w:hAnsi="Verdana" w:cs="Arial"/>
        </w:rPr>
      </w:pPr>
    </w:p>
    <w:p w14:paraId="08DE7553" w14:textId="7AA87978" w:rsidR="00F2171E" w:rsidRPr="00593A5F" w:rsidRDefault="00F2171E" w:rsidP="00F2171E">
      <w:pPr>
        <w:widowControl w:val="0"/>
        <w:autoSpaceDE w:val="0"/>
        <w:autoSpaceDN w:val="0"/>
        <w:spacing w:after="0" w:line="276" w:lineRule="auto"/>
        <w:jc w:val="both"/>
        <w:rPr>
          <w:rFonts w:ascii="Verdana" w:hAnsi="Verdana" w:cs="Arial"/>
        </w:rPr>
      </w:pPr>
    </w:p>
    <w:p w14:paraId="5947B69C" w14:textId="77777777" w:rsidR="00F2171E" w:rsidRPr="00772FFD" w:rsidRDefault="00F2171E" w:rsidP="00F2171E"/>
    <w:sectPr w:rsidR="00F2171E" w:rsidRPr="00772FF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269D7" w14:textId="77777777" w:rsidR="005B12D7" w:rsidRDefault="005B12D7" w:rsidP="004A1847">
      <w:pPr>
        <w:spacing w:after="0" w:line="240" w:lineRule="auto"/>
      </w:pPr>
      <w:r>
        <w:separator/>
      </w:r>
    </w:p>
  </w:endnote>
  <w:endnote w:type="continuationSeparator" w:id="0">
    <w:p w14:paraId="11081736" w14:textId="77777777" w:rsidR="005B12D7" w:rsidRDefault="005B12D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1136" w14:textId="77777777" w:rsidR="003332A8" w:rsidRDefault="003332A8">
    <w:pPr>
      <w:pStyle w:val="Piedepgina"/>
    </w:pPr>
  </w:p>
  <w:p w14:paraId="50630205"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1516142"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A0CDE45"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4AB7C6DF"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F2826" w14:textId="77777777" w:rsidR="005B12D7" w:rsidRDefault="005B12D7" w:rsidP="004A1847">
      <w:pPr>
        <w:spacing w:after="0" w:line="240" w:lineRule="auto"/>
      </w:pPr>
      <w:r>
        <w:separator/>
      </w:r>
    </w:p>
  </w:footnote>
  <w:footnote w:type="continuationSeparator" w:id="0">
    <w:p w14:paraId="495B5CF1" w14:textId="77777777" w:rsidR="005B12D7" w:rsidRDefault="005B12D7" w:rsidP="004A1847">
      <w:pPr>
        <w:spacing w:after="0" w:line="240" w:lineRule="auto"/>
      </w:pPr>
      <w:r>
        <w:continuationSeparator/>
      </w:r>
    </w:p>
  </w:footnote>
  <w:footnote w:id="1">
    <w:p w14:paraId="4A5090E4"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2, numeral 4, literal h); Decreto 1082 de 2015, artículo 2.2.1.2.1.4.9, inciso segundo; Ley 80 de 1993, artículo 32, numeral 3. AGENCIA NACIONAL DE CONTRATACIÓN PÚBLICA – COLOMBIA COMPRA EFICIENTE. Guía para la contratación de prestación de servicios profesionales y de apoyo a la gestión, CCE-EICP-GI-21, versión 01 del 3 de marzo de 2023. AGENCIA NACIONAL DE CONTRATACIÓN PÚBLICA – COLOMBIA COMPRA EFICIENTE. Subdirección de Gestión Contractual. Conceptos C-970 del 27 de julio de 2026 y C-781 de 2026.</w:t>
      </w:r>
    </w:p>
  </w:footnote>
  <w:footnote w:id="2">
    <w:p w14:paraId="0FD35D36"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2.2.1.1.1.4.1 y siguientes, 2.2.1.1.1.6.1 y 2.2.1.1.2.1.1, este último modificado por el artículo 1 del Decreto 399 de 2021. Ley 80 de 1993, artículos 24, numeral 7, y 25, numeral 12, este último modificado por el artículo 87 de la Ley 1474 de 2011.</w:t>
      </w:r>
    </w:p>
  </w:footnote>
  <w:footnote w:id="3">
    <w:p w14:paraId="3AABA70D"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2.2.1.1.2.1.1, numerales 1 y 3, y 2.2.1.2.1.4.1, inciso final. AGENCIA NACIONAL DE CONTRATACIÓN PÚBLICA – COLOMBIA COMPRA EFICIENTE. Subdirección de Gestión Contractual. Concepto C-781 de 2026, que enumera entre las características de estos contratos que “para su celebración no se requiere la expedición del acto administrativo de justificación de la contratación directa”.</w:t>
      </w:r>
    </w:p>
  </w:footnote>
  <w:footnote w:id="4">
    <w:p w14:paraId="66346DAB"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1068 de 2015, artículos 2.8.4.4.5 —que compila el artículo 3 del Decreto 1737 de 1998, modificado por el artículo 1 del Decreto 2209 de 1998—, 2.8.4.1.1 y 2.8.4.1.2. AGENCIA NACIONAL DE CONTRATACIÓN PÚBLICA – COLOMBIA COMPRA EFICIENTE. Subdirección de Gestión Contractual. Concepto C-970 del 27 de julio de 2026.</w:t>
      </w:r>
    </w:p>
  </w:footnote>
  <w:footnote w:id="5">
    <w:p w14:paraId="0460320F"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1068 de 2015, artículo 2.8.4.4.5. AGENCIA NACIONAL DE CONTRATACIÓN PÚBLICA – COLOMBIA COMPRA EFICIENTE. Subdirección de Gestión Contractual. Concepto C-970 del 27 de julio de 2026, conforme al cual esa disposición “establece las condiciones a partir de las cuales debe determinarse la insuficiencia del personal de planta, a efectos de cumplir con el referido presupuesto para la celebración de contratos de prestación de servicios”.</w:t>
      </w:r>
    </w:p>
  </w:footnote>
  <w:footnote w:id="6">
    <w:p w14:paraId="796D235E"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2.2.1.2.1.4.9, inciso primero.</w:t>
      </w:r>
    </w:p>
  </w:footnote>
  <w:footnote w:id="7">
    <w:p w14:paraId="6AF2B6A5"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5; Ley 80 de 1993, artículos 24, numeral 7, y 26, numeral 1; Decreto 1082 de 2015, artículo 2.2.1.2.1.4.9. AGENCIA NACIONAL DE CONTRATACIÓN PÚBLICA – COLOMBIA COMPRA EFICIENTE. Subdirección de Gestión Contractual. Concepto C-970 del 27 de julio de 2026.</w:t>
      </w:r>
    </w:p>
  </w:footnote>
  <w:footnote w:id="8">
    <w:p w14:paraId="7C55CE8D"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2.2.1.1.1.6.1 y 2.2.1.1.2.1.1, numeral 4; Decreto 1068 de 2015, artículo 2.8.4.4.6. AGENCIA NACIONAL DE CONTRATACIÓN PÚBLICA – COLOMBIA COMPRA EFICIENTE. Subdirección de Gestión Contractual. Conceptos C-025 del 24 de marzo de 2023 y C-1366 de 2026.</w:t>
      </w:r>
    </w:p>
  </w:footnote>
  <w:footnote w:id="9">
    <w:p w14:paraId="02E1E5BF"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Constitución Política, artículos 83 y 209; Ley 1437 de 2011, artículo 3, numerales 4 y 8; Ley 1150 de 2007, artículo 2, numeral 4, que reserva a la ley la definición de las causales de contratación directa.</w:t>
      </w:r>
    </w:p>
  </w:footnote>
  <w:footnote w:id="10">
    <w:p w14:paraId="2F3780DE"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2.2.1.1.1.3.1 y 2.2.1.1.1.7.1; Ley 1150 de 2007, artículo 3; Ley 1712 de 2014 y Decreto 1081 de 2015. AGENCIA NACIONAL DE CONTRATACIÓN PÚBLICA – COLOMBIA COMPRA EFICIENTE. Subdirección de Gestión Contractual. Concepto C-967 de 2026, conforme al cual la noción de Documentos del Proceso “no es un listado taxativo, sino enunciativo”.</w:t>
      </w:r>
    </w:p>
  </w:footnote>
  <w:footnote w:id="11">
    <w:p w14:paraId="7F578C21"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2.2.1.2.1.4.3 y 2.2.1.2.1.4.6; Ley 80 de 1993, artículo 40, parágrafo; Ley 1474 de 2011, artículos 83 y 84. AGENCIA NACIONAL DE CONTRATACIÓN PÚBLICA – COLOMBIA COMPRA EFICIENTE. Subdirección de Gestión Contractual. Concepto C-1172 de 2026, sobre el límite de las adiciones cualquiera que sea la denominación del acuerdo.</w:t>
      </w:r>
    </w:p>
  </w:footnote>
  <w:footnote w:id="12">
    <w:p w14:paraId="5CA7C9C5"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2.2.1.1.1.3.1. AGENCIA NACIONAL DE CONTRATACIÓN PÚBLICA – COLOMBIA COMPRA EFICIENTE. Subdirección de Gestión Contractual. Concepto C-967 de 2026. Ley 1712 de 2014, artículos 5, 6, 18 y 19; Decreto 1081 de 2015; Ley 1581 de 2012.</w:t>
      </w:r>
    </w:p>
  </w:footnote>
  <w:footnote w:id="13">
    <w:p w14:paraId="2BF4671B"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artículos 83 y 84. AGENCIA NACIONAL DE CONTRATACIÓN PÚBLICA – COLOMBIA COMPRA EFICIENTE. Subdirección de Gestión Contractual. Concepto C-1218 del 3 de septiembre de 2026, que describe el módulo de búsqueda pública del SECOP II. Sobre el uso transaccional como regla general, AGENCIA NACIONAL DE CONTRATACIÓN PÚBLICA – COLOMBIA COMPRA EFICIENTE. Circular Externa No. 003 del 18 de septiembre de 2024, numeral 1, reiterada por la Circular Externa No. 001 del 28 de febrero de 2025, y Circular Externa Única, numeral 3.</w:t>
      </w:r>
    </w:p>
  </w:footnote>
  <w:footnote w:id="14">
    <w:p w14:paraId="5A2436CC"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1068 de 2015, artículo 2.8.4.4.5, inciso segundo. AGENCIA NACIONAL DE CONTRATACIÓN PÚBLICA – COLOMBIA COMPRA EFICIENTE. Subdirección de Gestión Contractual. Concepto C-025 del 24 de marzo de 2023.</w:t>
      </w:r>
    </w:p>
  </w:footnote>
  <w:footnote w:id="15">
    <w:p w14:paraId="3A570E98"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AGENCIA NACIONAL DE CONTRATACIÓN PÚBLICA – COLOMBIA COMPRA EFICIENTE. Subdirección de Gestión Contractual. Concepto C-781 de 2026, que señala entre las características de estos contratos que “deben ser temporales, por lo que no puede referirse a un contrato de prestación de servicios indefinido que resulta contrario a su naturaleza”.</w:t>
      </w:r>
    </w:p>
  </w:footnote>
  <w:footnote w:id="16">
    <w:p w14:paraId="38D7B8EF"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2.2.1.1.1.4.1 y siguientes y 2.2.1.1.1.6.1; Decreto 1068 de 2015, artículo 2.8.4.4.5. AGENCIA NACIONAL DE CONTRATACIÓN PÚBLICA – COLOMBIA COMPRA EFICIENTE. Guía para la contratación de prestación de servicios profesionales y de apoyo a la gestión, CCE-EICP-GI-21, versión 01 del 3 de marzo de 2023, que desarrolla recomendaciones y buenas prácticas para esta modalidad.</w:t>
      </w:r>
    </w:p>
  </w:footnote>
  <w:footnote w:id="17">
    <w:p w14:paraId="46DE68E3"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cuyos apartes sobre la ausencia de relación laboral fueron declarados condicionalmente exequibles por la Corte Constitucional. Decreto Ley 4170 de 2011, artículos 3, numeral 5, y 11, numeral 8.</w:t>
      </w:r>
    </w:p>
  </w:footnote>
  <w:footnote w:id="18">
    <w:p w14:paraId="5D6AB1EB"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Apartes declarados condicionalmente exequibles por la Corte Constitucional.</w:t>
      </w:r>
    </w:p>
  </w:footnote>
  <w:footnote w:id="19">
    <w:p w14:paraId="61385BF6"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C-781 de 2026, que enumera estas características.</w:t>
      </w:r>
    </w:p>
  </w:footnote>
  <w:footnote w:id="20">
    <w:p w14:paraId="4A2CD32B"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2, numeral 4, literal h); Decreto 1082 de 2015, artículo 2.2.1.2.1.4.9.</w:t>
      </w:r>
    </w:p>
  </w:footnote>
  <w:footnote w:id="21">
    <w:p w14:paraId="34ADFA8E"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Guía para la contratación de prestación de servicios profesionales y de apoyo a la gestión, CCE-EICP-GI-21, versión 01 del 3 de marzo de 2023. Ley 1150 de 2007, artículo 2, que estructura las modalidades de selección con la licitación pública como regla general.</w:t>
      </w:r>
    </w:p>
  </w:footnote>
  <w:footnote w:id="22">
    <w:p w14:paraId="1171DC93"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2.2.1.1.2.1.1, modificado por el artículo 1 del Decreto 399 de 2021, 2.2.1.1.1.4.1 y siguientes y 2.2.1.1.1.6.1; Ley 80 de 1993, artículos 23, 24, numeral 7, y 25, numeral 12.</w:t>
      </w:r>
    </w:p>
  </w:footnote>
  <w:footnote w:id="23">
    <w:p w14:paraId="5827B5B6"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2.2.1.2.1.4.1.</w:t>
      </w:r>
    </w:p>
  </w:footnote>
  <w:footnote w:id="24">
    <w:p w14:paraId="0672FDCF"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1068 de 2015, artículo 2.8.4.4.5; artículos 2.8.4.1.1 y 2.8.4.1.2 sobre su campo de aplicación. AGENCIA NACIONAL DE CONTRATACIÓN PÚBLICA – COLOMBIA COMPRA EFICIENTE. Subdirección de Gestión Contractual. Concepto C-970 del 27 de julio de 2026.</w:t>
      </w:r>
    </w:p>
  </w:footnote>
  <w:footnote w:id="25">
    <w:p w14:paraId="047F96E4"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2.2.1.2.1.4.9, inciso primero.</w:t>
      </w:r>
    </w:p>
  </w:footnote>
  <w:footnote w:id="26">
    <w:p w14:paraId="2DCC4E25"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5; Ley 80 de 1993, artículos 24, numeral 7, y 26, numeral 1.</w:t>
      </w:r>
    </w:p>
  </w:footnote>
  <w:footnote w:id="27">
    <w:p w14:paraId="11DEA674"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C-970 del 27 de julio de 2026.</w:t>
      </w:r>
    </w:p>
  </w:footnote>
  <w:footnote w:id="28">
    <w:p w14:paraId="25A46EC8"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2.2.1.1.2.1.1, numeral 4, y 2.2.1.1.1.6.1; Decreto 1068 de 2015, artículo 2.8.4.4.6. AGENCIA NACIONAL DE CONTRATACIÓN PÚBLICA – COLOMBIA COMPRA EFICIENTE. Subdirección de Gestión Contractual. Conceptos C-025 del 24 de marzo de 2023 y C-1366 de 2026.</w:t>
      </w:r>
    </w:p>
  </w:footnote>
  <w:footnote w:id="29">
    <w:p w14:paraId="303AC2CD"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Constitución Política, artículos 83 y 209; Ley 1437 de 2011, artículo 3, numerales 4 y 8; Ley 1150 de 2007, artículo 2, numeral 4.</w:t>
      </w:r>
    </w:p>
  </w:footnote>
  <w:footnote w:id="30">
    <w:p w14:paraId="59500BA3"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3; Decreto 1082 de 2015, artículo 2.2.1.1.1.7.1; Ley 1712 de 2014; Decreto 1081 de 2015. AGENCIA NACIONAL DE CONTRATACIÓN PÚBLICA – COLOMBIA COMPRA EFICIENTE. Subdirección de Gestión Contractual. Concepto C-967 de 2026.</w:t>
      </w:r>
    </w:p>
  </w:footnote>
  <w:footnote w:id="31">
    <w:p w14:paraId="6EDB4BE5"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2.2.1.1.1.3.1. AGENCIA NACIONAL DE CONTRATACIÓN PÚBLICA – COLOMBIA COMPRA EFICIENTE. Subdirección de Gestión Contractual. Concepto C-967 de 2026.</w:t>
      </w:r>
    </w:p>
  </w:footnote>
  <w:footnote w:id="32">
    <w:p w14:paraId="6DFB8EAB"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40, parágrafo; Decreto 1082 de 2015, artículo 2.2.1.1.1.7.1. AGENCIA NACIONAL DE CONTRATACIÓN PÚBLICA – COLOMBIA COMPRA EFICIENTE. Subdirección de Gestión Contractual. Concepto C-1172 de 2026.</w:t>
      </w:r>
    </w:p>
  </w:footnote>
  <w:footnote w:id="33">
    <w:p w14:paraId="669D2756"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1712 de 2014, artículos 5, 6, 18 y 19; Decreto 1081 de 2015; Ley 1581 de 2012.</w:t>
      </w:r>
    </w:p>
  </w:footnote>
  <w:footnote w:id="34">
    <w:p w14:paraId="35FAF9C4"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artículos 83 y 84; Decreto 1082 de 2015, artículo 2.2.1.1.1.7.1. Sobre el uso transaccional del SECOP II como regla general, AGENCIA NACIONAL DE CONTRATACIÓN PÚBLICA – COLOMBIA COMPRA EFICIENTE. Circular Externa No. 003 del 18 de septiembre de 2024 y Circular Externa Única, numeral 3.</w:t>
      </w:r>
    </w:p>
  </w:footnote>
  <w:footnote w:id="35">
    <w:p w14:paraId="784CA0C7"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C-1218 del 3 de septiembre de 2026.</w:t>
      </w:r>
    </w:p>
  </w:footnote>
  <w:footnote w:id="36">
    <w:p w14:paraId="2EC0E48F"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1068 de 2015, artículo 2.8.4.4.5, inciso segundo. AGENCIA NACIONAL DE CONTRATACIÓN PÚBLICA – COLOMBIA COMPRA EFICIENTE. Subdirección de Gestión Contractual. Concepto C-025 del 24 de marzo de 2023.</w:t>
      </w:r>
    </w:p>
  </w:footnote>
  <w:footnote w:id="37">
    <w:p w14:paraId="390D1BF0"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AGENCIA NACIONAL DE CONTRATACIÓN PÚBLICA – COLOMBIA COMPRA EFICIENTE. Subdirección de Gestión Contractual. Concepto C-781 de 2026.</w:t>
      </w:r>
    </w:p>
  </w:footnote>
  <w:footnote w:id="38">
    <w:p w14:paraId="46F5A5CC"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2.2.1.1.1.4.1 y siguientes y 2.2.1.1.1.6.1; Ley 80 de 1993, artículos 25, numeral 12, y 26, numeral 1. AGENCIA NACIONAL DE CONTRATACIÓN PÚBLICA – COLOMBIA COMPRA EFICIENTE. Guía para la contratación de prestación de servicios profesionales y de apoyo a la gestión, CCE-EICP-GI-21, versión 01 del 3 de marzo de 2023.</w:t>
      </w:r>
    </w:p>
  </w:footnote>
  <w:footnote w:id="39">
    <w:p w14:paraId="58E65441" w14:textId="77777777" w:rsidR="009E1B17"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1068 de 2015, artículo 2.8.4.4.5; Decreto 1082 de 2015, artículos 2.2.1.1.1.6.1 y 2.2.1.1.2.1.1.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DBDC3"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C15D826" w14:textId="77777777" w:rsidR="003332A8" w:rsidRDefault="003332A8">
    <w:pPr>
      <w:pStyle w:val="Encabezado"/>
    </w:pPr>
  </w:p>
  <w:p w14:paraId="1D1222D1" w14:textId="77777777" w:rsidR="003332A8" w:rsidRPr="004A305D" w:rsidRDefault="003332A8" w:rsidP="00B01B1A">
    <w:pPr>
      <w:spacing w:after="0" w:line="120" w:lineRule="auto"/>
      <w:rPr>
        <w:rFonts w:ascii="Century Gothic" w:eastAsia="Geo" w:hAnsi="Century Gothic" w:cs="Geo"/>
        <w:sz w:val="16"/>
        <w:szCs w:val="16"/>
        <w:lang w:eastAsia="es-CO"/>
      </w:rPr>
    </w:pPr>
  </w:p>
  <w:p w14:paraId="5BCE6CE3" w14:textId="77777777" w:rsidR="003332A8" w:rsidRDefault="003332A8" w:rsidP="00844AE9">
    <w:pPr>
      <w:spacing w:after="0" w:line="240" w:lineRule="auto"/>
      <w:rPr>
        <w:rFonts w:ascii="Verdana" w:hAnsi="Verdana"/>
        <w:sz w:val="24"/>
        <w:szCs w:val="24"/>
      </w:rPr>
    </w:pPr>
  </w:p>
  <w:p w14:paraId="19342CD0" w14:textId="77777777" w:rsidR="003332A8" w:rsidRPr="00C925AC" w:rsidRDefault="003332A8" w:rsidP="00844AE9">
    <w:pPr>
      <w:spacing w:after="0" w:line="240" w:lineRule="auto"/>
      <w:rPr>
        <w:rFonts w:ascii="Verdana" w:hAnsi="Verdana"/>
        <w:sz w:val="24"/>
        <w:szCs w:val="24"/>
      </w:rPr>
    </w:pPr>
  </w:p>
  <w:p w14:paraId="01A7F412"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083E"/>
    <w:rsid w:val="000134D5"/>
    <w:rsid w:val="00016F78"/>
    <w:rsid w:val="00030B1D"/>
    <w:rsid w:val="000353BD"/>
    <w:rsid w:val="000401ED"/>
    <w:rsid w:val="000468A1"/>
    <w:rsid w:val="00046945"/>
    <w:rsid w:val="00061B2A"/>
    <w:rsid w:val="000711CF"/>
    <w:rsid w:val="00076D52"/>
    <w:rsid w:val="00080B1D"/>
    <w:rsid w:val="00082362"/>
    <w:rsid w:val="00085031"/>
    <w:rsid w:val="000866ED"/>
    <w:rsid w:val="00087566"/>
    <w:rsid w:val="0009079C"/>
    <w:rsid w:val="000A1514"/>
    <w:rsid w:val="000A1642"/>
    <w:rsid w:val="000A66E5"/>
    <w:rsid w:val="000A683E"/>
    <w:rsid w:val="000B0D04"/>
    <w:rsid w:val="000B0FAA"/>
    <w:rsid w:val="000B19B9"/>
    <w:rsid w:val="000B2349"/>
    <w:rsid w:val="000B27F0"/>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61CA"/>
    <w:rsid w:val="001168F2"/>
    <w:rsid w:val="00116940"/>
    <w:rsid w:val="001222CA"/>
    <w:rsid w:val="00125105"/>
    <w:rsid w:val="00127233"/>
    <w:rsid w:val="001328F3"/>
    <w:rsid w:val="00134724"/>
    <w:rsid w:val="001428DC"/>
    <w:rsid w:val="00151D59"/>
    <w:rsid w:val="001521B3"/>
    <w:rsid w:val="0015699B"/>
    <w:rsid w:val="00165609"/>
    <w:rsid w:val="00171640"/>
    <w:rsid w:val="00174D6E"/>
    <w:rsid w:val="00180954"/>
    <w:rsid w:val="00183D9D"/>
    <w:rsid w:val="0018679F"/>
    <w:rsid w:val="0019045D"/>
    <w:rsid w:val="00192805"/>
    <w:rsid w:val="0019787F"/>
    <w:rsid w:val="001A33BF"/>
    <w:rsid w:val="001A35A7"/>
    <w:rsid w:val="001A5968"/>
    <w:rsid w:val="001B24C7"/>
    <w:rsid w:val="001B49B3"/>
    <w:rsid w:val="001C1EB2"/>
    <w:rsid w:val="001C5AE4"/>
    <w:rsid w:val="001C61B3"/>
    <w:rsid w:val="001D02CC"/>
    <w:rsid w:val="001D16E0"/>
    <w:rsid w:val="001D64AE"/>
    <w:rsid w:val="001E2E05"/>
    <w:rsid w:val="001E4177"/>
    <w:rsid w:val="001F0B24"/>
    <w:rsid w:val="001F5903"/>
    <w:rsid w:val="001F5DD0"/>
    <w:rsid w:val="001F7DC6"/>
    <w:rsid w:val="002022E0"/>
    <w:rsid w:val="00207466"/>
    <w:rsid w:val="00211A12"/>
    <w:rsid w:val="00211E12"/>
    <w:rsid w:val="00212AD1"/>
    <w:rsid w:val="00215B71"/>
    <w:rsid w:val="00216E4C"/>
    <w:rsid w:val="00217FCA"/>
    <w:rsid w:val="002209DE"/>
    <w:rsid w:val="0022400B"/>
    <w:rsid w:val="0023515D"/>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49AC"/>
    <w:rsid w:val="002A64FD"/>
    <w:rsid w:val="002B730F"/>
    <w:rsid w:val="002C7A84"/>
    <w:rsid w:val="002E05EF"/>
    <w:rsid w:val="002E2BF8"/>
    <w:rsid w:val="002E4FD9"/>
    <w:rsid w:val="002F0847"/>
    <w:rsid w:val="002F2B42"/>
    <w:rsid w:val="002F7F4D"/>
    <w:rsid w:val="0030657A"/>
    <w:rsid w:val="00311FF5"/>
    <w:rsid w:val="003136DC"/>
    <w:rsid w:val="003156BF"/>
    <w:rsid w:val="00316053"/>
    <w:rsid w:val="00322A85"/>
    <w:rsid w:val="00322C00"/>
    <w:rsid w:val="00322D77"/>
    <w:rsid w:val="00324168"/>
    <w:rsid w:val="00330834"/>
    <w:rsid w:val="003332A8"/>
    <w:rsid w:val="003448F4"/>
    <w:rsid w:val="003475FC"/>
    <w:rsid w:val="00351F93"/>
    <w:rsid w:val="0036680A"/>
    <w:rsid w:val="0037228E"/>
    <w:rsid w:val="00374F5E"/>
    <w:rsid w:val="003769E1"/>
    <w:rsid w:val="00377E3E"/>
    <w:rsid w:val="00381BAB"/>
    <w:rsid w:val="00384B42"/>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40B3"/>
    <w:rsid w:val="00414C74"/>
    <w:rsid w:val="00416706"/>
    <w:rsid w:val="0042722E"/>
    <w:rsid w:val="00440961"/>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267"/>
    <w:rsid w:val="004D2B6F"/>
    <w:rsid w:val="004D5FA0"/>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91460"/>
    <w:rsid w:val="00592C94"/>
    <w:rsid w:val="005A2CAB"/>
    <w:rsid w:val="005A4AF9"/>
    <w:rsid w:val="005A5114"/>
    <w:rsid w:val="005A52A7"/>
    <w:rsid w:val="005A57A5"/>
    <w:rsid w:val="005A65E0"/>
    <w:rsid w:val="005B12D7"/>
    <w:rsid w:val="005C0881"/>
    <w:rsid w:val="005C3777"/>
    <w:rsid w:val="005C5CDC"/>
    <w:rsid w:val="005D2566"/>
    <w:rsid w:val="005D476C"/>
    <w:rsid w:val="005D7628"/>
    <w:rsid w:val="005F20A4"/>
    <w:rsid w:val="00600D92"/>
    <w:rsid w:val="00603C5B"/>
    <w:rsid w:val="00611CE6"/>
    <w:rsid w:val="006137E1"/>
    <w:rsid w:val="00615105"/>
    <w:rsid w:val="00617200"/>
    <w:rsid w:val="00617E91"/>
    <w:rsid w:val="006200BF"/>
    <w:rsid w:val="0062143E"/>
    <w:rsid w:val="006219F8"/>
    <w:rsid w:val="00622E0A"/>
    <w:rsid w:val="00624A89"/>
    <w:rsid w:val="00624EEC"/>
    <w:rsid w:val="006302F7"/>
    <w:rsid w:val="00640441"/>
    <w:rsid w:val="00646B9F"/>
    <w:rsid w:val="00646F24"/>
    <w:rsid w:val="006547C3"/>
    <w:rsid w:val="00660C46"/>
    <w:rsid w:val="00662087"/>
    <w:rsid w:val="00663A04"/>
    <w:rsid w:val="00665D70"/>
    <w:rsid w:val="00672499"/>
    <w:rsid w:val="00684F67"/>
    <w:rsid w:val="0068758B"/>
    <w:rsid w:val="006900D9"/>
    <w:rsid w:val="00696960"/>
    <w:rsid w:val="0069741A"/>
    <w:rsid w:val="006A2BE4"/>
    <w:rsid w:val="006A6BF4"/>
    <w:rsid w:val="006B4707"/>
    <w:rsid w:val="006C38A9"/>
    <w:rsid w:val="006D0D7C"/>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41631"/>
    <w:rsid w:val="007458D3"/>
    <w:rsid w:val="00751DE8"/>
    <w:rsid w:val="0075235A"/>
    <w:rsid w:val="00752CDB"/>
    <w:rsid w:val="0075557D"/>
    <w:rsid w:val="00756841"/>
    <w:rsid w:val="007649AB"/>
    <w:rsid w:val="0076653D"/>
    <w:rsid w:val="00771AEF"/>
    <w:rsid w:val="00771D0C"/>
    <w:rsid w:val="00782ED2"/>
    <w:rsid w:val="007833AC"/>
    <w:rsid w:val="007853FB"/>
    <w:rsid w:val="00792C10"/>
    <w:rsid w:val="00795086"/>
    <w:rsid w:val="007A037B"/>
    <w:rsid w:val="007A1830"/>
    <w:rsid w:val="007A2615"/>
    <w:rsid w:val="007A5CF2"/>
    <w:rsid w:val="007B268C"/>
    <w:rsid w:val="007B7171"/>
    <w:rsid w:val="007C0C0F"/>
    <w:rsid w:val="007C3DC2"/>
    <w:rsid w:val="007C4353"/>
    <w:rsid w:val="007D3058"/>
    <w:rsid w:val="007D4B12"/>
    <w:rsid w:val="007E43AC"/>
    <w:rsid w:val="007E5497"/>
    <w:rsid w:val="00803584"/>
    <w:rsid w:val="00806F5F"/>
    <w:rsid w:val="008103F6"/>
    <w:rsid w:val="00820278"/>
    <w:rsid w:val="00820488"/>
    <w:rsid w:val="0082071A"/>
    <w:rsid w:val="008258C9"/>
    <w:rsid w:val="00830893"/>
    <w:rsid w:val="00833286"/>
    <w:rsid w:val="00836232"/>
    <w:rsid w:val="00841E29"/>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A2B6F"/>
    <w:rsid w:val="008A3BF4"/>
    <w:rsid w:val="008A446D"/>
    <w:rsid w:val="008B0D0F"/>
    <w:rsid w:val="008B25F1"/>
    <w:rsid w:val="008C11FD"/>
    <w:rsid w:val="008C4DD5"/>
    <w:rsid w:val="008C517A"/>
    <w:rsid w:val="008C6AE5"/>
    <w:rsid w:val="008C7B44"/>
    <w:rsid w:val="008D1660"/>
    <w:rsid w:val="008D180B"/>
    <w:rsid w:val="008D1C25"/>
    <w:rsid w:val="008D475B"/>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685E"/>
    <w:rsid w:val="00961B09"/>
    <w:rsid w:val="00963E12"/>
    <w:rsid w:val="00964321"/>
    <w:rsid w:val="00965334"/>
    <w:rsid w:val="0097093E"/>
    <w:rsid w:val="009722DE"/>
    <w:rsid w:val="00982C25"/>
    <w:rsid w:val="00984DB3"/>
    <w:rsid w:val="00992E19"/>
    <w:rsid w:val="00997AFF"/>
    <w:rsid w:val="009A0486"/>
    <w:rsid w:val="009A0DFA"/>
    <w:rsid w:val="009A3A4C"/>
    <w:rsid w:val="009B200B"/>
    <w:rsid w:val="009B28B9"/>
    <w:rsid w:val="009B2D26"/>
    <w:rsid w:val="009B4B7C"/>
    <w:rsid w:val="009C71FA"/>
    <w:rsid w:val="009C72E7"/>
    <w:rsid w:val="009C7F7E"/>
    <w:rsid w:val="009D10AE"/>
    <w:rsid w:val="009D23F2"/>
    <w:rsid w:val="009D3058"/>
    <w:rsid w:val="009E1B17"/>
    <w:rsid w:val="009E1F28"/>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5FE"/>
    <w:rsid w:val="00A31A76"/>
    <w:rsid w:val="00A32D67"/>
    <w:rsid w:val="00A32E64"/>
    <w:rsid w:val="00A33C78"/>
    <w:rsid w:val="00A3513E"/>
    <w:rsid w:val="00A42320"/>
    <w:rsid w:val="00A53338"/>
    <w:rsid w:val="00A53EB1"/>
    <w:rsid w:val="00A54DC9"/>
    <w:rsid w:val="00A61436"/>
    <w:rsid w:val="00A73F45"/>
    <w:rsid w:val="00A7609F"/>
    <w:rsid w:val="00A8776C"/>
    <w:rsid w:val="00AA1511"/>
    <w:rsid w:val="00AA1E47"/>
    <w:rsid w:val="00AB0ADB"/>
    <w:rsid w:val="00AB436E"/>
    <w:rsid w:val="00AD173A"/>
    <w:rsid w:val="00AD6FC3"/>
    <w:rsid w:val="00AD7D5F"/>
    <w:rsid w:val="00AE0641"/>
    <w:rsid w:val="00AE1F6E"/>
    <w:rsid w:val="00AE3513"/>
    <w:rsid w:val="00AE5023"/>
    <w:rsid w:val="00AE5DD2"/>
    <w:rsid w:val="00AF5A10"/>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CD3"/>
    <w:rsid w:val="00B72FFF"/>
    <w:rsid w:val="00B74092"/>
    <w:rsid w:val="00B74CF7"/>
    <w:rsid w:val="00B759AB"/>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4FD2"/>
    <w:rsid w:val="00BF5C08"/>
    <w:rsid w:val="00BF7425"/>
    <w:rsid w:val="00C04FB3"/>
    <w:rsid w:val="00C11D8B"/>
    <w:rsid w:val="00C1215D"/>
    <w:rsid w:val="00C1350D"/>
    <w:rsid w:val="00C22134"/>
    <w:rsid w:val="00C2359C"/>
    <w:rsid w:val="00C251B0"/>
    <w:rsid w:val="00C330EB"/>
    <w:rsid w:val="00C33F4F"/>
    <w:rsid w:val="00C4112A"/>
    <w:rsid w:val="00C419DF"/>
    <w:rsid w:val="00C45A56"/>
    <w:rsid w:val="00C50D69"/>
    <w:rsid w:val="00C5365C"/>
    <w:rsid w:val="00C619D4"/>
    <w:rsid w:val="00C61D93"/>
    <w:rsid w:val="00C738EE"/>
    <w:rsid w:val="00C7520B"/>
    <w:rsid w:val="00C754BE"/>
    <w:rsid w:val="00C76B1C"/>
    <w:rsid w:val="00C82667"/>
    <w:rsid w:val="00C83BA0"/>
    <w:rsid w:val="00C90C96"/>
    <w:rsid w:val="00C925AC"/>
    <w:rsid w:val="00C94828"/>
    <w:rsid w:val="00C963BE"/>
    <w:rsid w:val="00C96B64"/>
    <w:rsid w:val="00CA2858"/>
    <w:rsid w:val="00CB02F1"/>
    <w:rsid w:val="00CB4CE6"/>
    <w:rsid w:val="00CB6357"/>
    <w:rsid w:val="00CB6FF3"/>
    <w:rsid w:val="00CC1B26"/>
    <w:rsid w:val="00CC2F6F"/>
    <w:rsid w:val="00CD47CD"/>
    <w:rsid w:val="00CD4C85"/>
    <w:rsid w:val="00CD4D52"/>
    <w:rsid w:val="00CD7FA1"/>
    <w:rsid w:val="00CE3C1C"/>
    <w:rsid w:val="00CE4026"/>
    <w:rsid w:val="00D0159F"/>
    <w:rsid w:val="00D05ED6"/>
    <w:rsid w:val="00D06146"/>
    <w:rsid w:val="00D0673A"/>
    <w:rsid w:val="00D0699E"/>
    <w:rsid w:val="00D1210B"/>
    <w:rsid w:val="00D222C0"/>
    <w:rsid w:val="00D22D2B"/>
    <w:rsid w:val="00D334DD"/>
    <w:rsid w:val="00D34EA3"/>
    <w:rsid w:val="00D361FD"/>
    <w:rsid w:val="00D423A2"/>
    <w:rsid w:val="00D44E26"/>
    <w:rsid w:val="00D51A5D"/>
    <w:rsid w:val="00D520D8"/>
    <w:rsid w:val="00D532D4"/>
    <w:rsid w:val="00D552A0"/>
    <w:rsid w:val="00D5622E"/>
    <w:rsid w:val="00D56F8A"/>
    <w:rsid w:val="00D62B9C"/>
    <w:rsid w:val="00D63AC2"/>
    <w:rsid w:val="00D64111"/>
    <w:rsid w:val="00D64AFC"/>
    <w:rsid w:val="00D72D0B"/>
    <w:rsid w:val="00D7383B"/>
    <w:rsid w:val="00D73DBD"/>
    <w:rsid w:val="00D7541C"/>
    <w:rsid w:val="00D76E7C"/>
    <w:rsid w:val="00D7788A"/>
    <w:rsid w:val="00D82A30"/>
    <w:rsid w:val="00D85F06"/>
    <w:rsid w:val="00D936A2"/>
    <w:rsid w:val="00DA1F04"/>
    <w:rsid w:val="00DA231B"/>
    <w:rsid w:val="00DB13F4"/>
    <w:rsid w:val="00DB55DA"/>
    <w:rsid w:val="00DB6DDE"/>
    <w:rsid w:val="00DC1EFB"/>
    <w:rsid w:val="00DC39FC"/>
    <w:rsid w:val="00DC7CCB"/>
    <w:rsid w:val="00DE0870"/>
    <w:rsid w:val="00DE18D0"/>
    <w:rsid w:val="00DE6EC3"/>
    <w:rsid w:val="00DE7692"/>
    <w:rsid w:val="00DF5254"/>
    <w:rsid w:val="00E02524"/>
    <w:rsid w:val="00E05E98"/>
    <w:rsid w:val="00E1159D"/>
    <w:rsid w:val="00E1449C"/>
    <w:rsid w:val="00E1451E"/>
    <w:rsid w:val="00E16408"/>
    <w:rsid w:val="00E167EF"/>
    <w:rsid w:val="00E20894"/>
    <w:rsid w:val="00E22DC2"/>
    <w:rsid w:val="00E23233"/>
    <w:rsid w:val="00E245AB"/>
    <w:rsid w:val="00E27341"/>
    <w:rsid w:val="00E2764C"/>
    <w:rsid w:val="00E27EDD"/>
    <w:rsid w:val="00E27F2E"/>
    <w:rsid w:val="00E306D6"/>
    <w:rsid w:val="00E31225"/>
    <w:rsid w:val="00E501E7"/>
    <w:rsid w:val="00E50AFE"/>
    <w:rsid w:val="00E523D5"/>
    <w:rsid w:val="00E57176"/>
    <w:rsid w:val="00E577E2"/>
    <w:rsid w:val="00E615C4"/>
    <w:rsid w:val="00E64F47"/>
    <w:rsid w:val="00E71E1B"/>
    <w:rsid w:val="00E75C92"/>
    <w:rsid w:val="00E771DC"/>
    <w:rsid w:val="00E8772A"/>
    <w:rsid w:val="00E90C80"/>
    <w:rsid w:val="00E90F6B"/>
    <w:rsid w:val="00E91AED"/>
    <w:rsid w:val="00E92C27"/>
    <w:rsid w:val="00E96B5C"/>
    <w:rsid w:val="00EA0E3D"/>
    <w:rsid w:val="00EA0EC9"/>
    <w:rsid w:val="00EA0FBD"/>
    <w:rsid w:val="00EA2DC0"/>
    <w:rsid w:val="00EA426C"/>
    <w:rsid w:val="00EA677F"/>
    <w:rsid w:val="00EB224C"/>
    <w:rsid w:val="00EB7BC0"/>
    <w:rsid w:val="00EC006D"/>
    <w:rsid w:val="00EC0844"/>
    <w:rsid w:val="00EC297F"/>
    <w:rsid w:val="00EC38A7"/>
    <w:rsid w:val="00ED44D6"/>
    <w:rsid w:val="00ED4980"/>
    <w:rsid w:val="00ED5120"/>
    <w:rsid w:val="00EE0E1C"/>
    <w:rsid w:val="00EE1AA8"/>
    <w:rsid w:val="00EE265D"/>
    <w:rsid w:val="00EE3D99"/>
    <w:rsid w:val="00EF1D4F"/>
    <w:rsid w:val="00EF4E4B"/>
    <w:rsid w:val="00EF4E7D"/>
    <w:rsid w:val="00EF5E13"/>
    <w:rsid w:val="00EF647F"/>
    <w:rsid w:val="00F03314"/>
    <w:rsid w:val="00F0580C"/>
    <w:rsid w:val="00F124E5"/>
    <w:rsid w:val="00F2171E"/>
    <w:rsid w:val="00F23FEA"/>
    <w:rsid w:val="00F27B7B"/>
    <w:rsid w:val="00F3172F"/>
    <w:rsid w:val="00F31EDC"/>
    <w:rsid w:val="00F34294"/>
    <w:rsid w:val="00F3642F"/>
    <w:rsid w:val="00F462B3"/>
    <w:rsid w:val="00F5664F"/>
    <w:rsid w:val="00F602E0"/>
    <w:rsid w:val="00F666C4"/>
    <w:rsid w:val="00F76AFC"/>
    <w:rsid w:val="00F81BF0"/>
    <w:rsid w:val="00F825DA"/>
    <w:rsid w:val="00F82E88"/>
    <w:rsid w:val="00F85CEC"/>
    <w:rsid w:val="00F86E11"/>
    <w:rsid w:val="00F86E3E"/>
    <w:rsid w:val="00F95C74"/>
    <w:rsid w:val="00FA1B40"/>
    <w:rsid w:val="00FA47C0"/>
    <w:rsid w:val="00FA5FFD"/>
    <w:rsid w:val="00FB33A2"/>
    <w:rsid w:val="00FB5DD1"/>
    <w:rsid w:val="00FC2B5D"/>
    <w:rsid w:val="00FD1DDC"/>
    <w:rsid w:val="00FD2D1F"/>
    <w:rsid w:val="00FD3AD2"/>
    <w:rsid w:val="00FD4AD8"/>
    <w:rsid w:val="00FD59D3"/>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A5F48"/>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olombiacompra.gov.co/normativa-y-relatoria/guias-y-manuale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customXml/itemProps3.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8101</Words>
  <Characters>44560</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2026-09-17T21:51:00Z</dcterms:created>
  <dcterms:modified xsi:type="dcterms:W3CDTF">2026-09-29T19:54:00Z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