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643C8B" w14:textId="6447A51A" w:rsidR="004F1F6A" w:rsidRDefault="004F1F6A" w:rsidP="004F1F6A">
      <w:pPr>
        <w:jc w:val="both"/>
        <w:rPr>
          <w:rFonts w:ascii="Verdana" w:hAnsi="Verdana" w:cs="Arial"/>
          <w:b/>
          <w:bCs/>
          <w:color w:val="000000" w:themeColor="text1"/>
        </w:rPr>
      </w:pPr>
      <w:bookmarkStart w:id="0" w:name="_Hlk143780582"/>
      <w:r w:rsidRPr="004F1F6A">
        <w:rPr>
          <w:rFonts w:ascii="Verdana" w:hAnsi="Verdana" w:cs="Arial"/>
          <w:b/>
          <w:bCs/>
          <w:color w:val="000000" w:themeColor="text1"/>
        </w:rPr>
        <w:t>REQUISITOS DE PERFECCIONAMIENTO DEL CONTRATO ESTATAL – Alcance</w:t>
      </w:r>
    </w:p>
    <w:p w14:paraId="1BBE6B52" w14:textId="77777777" w:rsidR="009748E9" w:rsidRPr="00E1478A" w:rsidRDefault="009748E9" w:rsidP="00E1478A">
      <w:pPr>
        <w:spacing w:after="120" w:line="240" w:lineRule="auto"/>
        <w:jc w:val="both"/>
        <w:rPr>
          <w:rFonts w:ascii="Verdana" w:eastAsia="Calibri" w:hAnsi="Verdana" w:cs="Arial"/>
          <w:sz w:val="20"/>
          <w:szCs w:val="20"/>
          <w:lang w:val="es-ES"/>
        </w:rPr>
      </w:pPr>
      <w:r w:rsidRPr="00E1478A">
        <w:rPr>
          <w:rFonts w:ascii="Verdana" w:eastAsia="Calibri" w:hAnsi="Verdana" w:cs="Arial"/>
          <w:sz w:val="20"/>
          <w:szCs w:val="20"/>
          <w:lang w:val="es-ES"/>
        </w:rPr>
        <w:t xml:space="preserve">Los </w:t>
      </w:r>
      <w:r w:rsidRPr="00E1478A">
        <w:rPr>
          <w:rFonts w:ascii="Verdana" w:eastAsia="Calibri" w:hAnsi="Verdana" w:cs="Arial"/>
          <w:i/>
          <w:iCs/>
          <w:sz w:val="20"/>
          <w:szCs w:val="20"/>
          <w:lang w:val="es-ES"/>
        </w:rPr>
        <w:t>requisitos de perfeccionamiento</w:t>
      </w:r>
      <w:r w:rsidRPr="00E1478A">
        <w:rPr>
          <w:rFonts w:ascii="Verdana" w:eastAsia="Calibri" w:hAnsi="Verdana" w:cs="Arial"/>
          <w:sz w:val="20"/>
          <w:szCs w:val="20"/>
          <w:lang w:val="es-ES"/>
        </w:rPr>
        <w:t xml:space="preserve"> del contrato estatal son mandatos normativos que determinan cuándo se entiende celebrado. Es decir, se trata de prescripciones que establecen en qué momento existe el contrato. Según el artículo 1.501 del Código Civil, todo contrato se caracteriza por tener tres tipos de elementos: los de la esencia, los de la naturaleza y los accidentales. </w:t>
      </w:r>
    </w:p>
    <w:p w14:paraId="7327DFB5" w14:textId="525E22B4" w:rsidR="009748E9" w:rsidRPr="00E1478A" w:rsidRDefault="009748E9" w:rsidP="00E1478A">
      <w:pPr>
        <w:spacing w:after="120" w:line="240" w:lineRule="auto"/>
        <w:jc w:val="both"/>
        <w:rPr>
          <w:rFonts w:ascii="Verdana" w:eastAsia="Calibri" w:hAnsi="Verdana" w:cs="Arial"/>
          <w:sz w:val="20"/>
          <w:szCs w:val="20"/>
          <w:lang w:val="es-ES_tradnl"/>
        </w:rPr>
      </w:pPr>
      <w:r w:rsidRPr="00E1478A">
        <w:rPr>
          <w:rFonts w:ascii="Verdana" w:eastAsia="Calibri" w:hAnsi="Verdana" w:cs="Arial"/>
          <w:sz w:val="20"/>
          <w:szCs w:val="20"/>
          <w:lang w:val="es-ES_tradnl"/>
        </w:rPr>
        <w:t xml:space="preserve">Los de la </w:t>
      </w:r>
      <w:r w:rsidRPr="00E1478A">
        <w:rPr>
          <w:rFonts w:ascii="Verdana" w:eastAsia="Calibri" w:hAnsi="Verdana" w:cs="Arial"/>
          <w:i/>
          <w:iCs/>
          <w:sz w:val="20"/>
          <w:szCs w:val="20"/>
          <w:lang w:val="es-ES_tradnl"/>
        </w:rPr>
        <w:t>esencia</w:t>
      </w:r>
      <w:r w:rsidRPr="00E1478A">
        <w:rPr>
          <w:rFonts w:ascii="Verdana" w:eastAsia="Calibri" w:hAnsi="Verdana" w:cs="Arial"/>
          <w:sz w:val="20"/>
          <w:szCs w:val="20"/>
          <w:lang w:val="es-ES_tradnl"/>
        </w:rPr>
        <w:t xml:space="preserve"> son aquellos que, al cumplirse, marcan la existencia del contrato y le otorgan su identidad o tipología, permitiendo que no se confunda con otro contrato. Los de la </w:t>
      </w:r>
      <w:r w:rsidRPr="00E1478A">
        <w:rPr>
          <w:rFonts w:ascii="Verdana" w:eastAsia="Calibri" w:hAnsi="Verdana" w:cs="Arial"/>
          <w:i/>
          <w:iCs/>
          <w:sz w:val="20"/>
          <w:szCs w:val="20"/>
          <w:lang w:val="es-ES_tradnl"/>
        </w:rPr>
        <w:t>naturaleza</w:t>
      </w:r>
      <w:r w:rsidRPr="00E1478A">
        <w:rPr>
          <w:rFonts w:ascii="Verdana" w:eastAsia="Calibri" w:hAnsi="Verdana" w:cs="Arial"/>
          <w:sz w:val="20"/>
          <w:szCs w:val="20"/>
          <w:lang w:val="es-ES_tradnl"/>
        </w:rPr>
        <w:t xml:space="preserve"> son aquellos que, no siendo esenciales al contrato, se entienden incorporados por ministerio de la ley, aun ante el silencio de las partes. Y los </w:t>
      </w:r>
      <w:r w:rsidRPr="00E1478A">
        <w:rPr>
          <w:rFonts w:ascii="Verdana" w:eastAsia="Calibri" w:hAnsi="Verdana" w:cs="Arial"/>
          <w:i/>
          <w:iCs/>
          <w:sz w:val="20"/>
          <w:szCs w:val="20"/>
          <w:lang w:val="es-ES_tradnl"/>
        </w:rPr>
        <w:t>accidentales</w:t>
      </w:r>
      <w:r w:rsidRPr="00E1478A">
        <w:rPr>
          <w:rFonts w:ascii="Verdana" w:eastAsia="Calibri" w:hAnsi="Verdana" w:cs="Arial"/>
          <w:sz w:val="20"/>
          <w:szCs w:val="20"/>
          <w:lang w:val="es-ES_tradnl"/>
        </w:rPr>
        <w:t xml:space="preserve"> son los que las partes agregan en ejercicio de su autonomía de la voluntad, ya que no son ni esenciales, ni de la naturaleza del contrat</w:t>
      </w:r>
      <w:r w:rsidRPr="00E1478A">
        <w:rPr>
          <w:rFonts w:ascii="Verdana" w:eastAsia="Calibri" w:hAnsi="Verdana" w:cs="Arial"/>
          <w:sz w:val="20"/>
          <w:szCs w:val="20"/>
          <w:lang w:val="es-ES_tradnl"/>
        </w:rPr>
        <w:t xml:space="preserve">o. </w:t>
      </w:r>
      <w:r w:rsidRPr="00E1478A">
        <w:rPr>
          <w:rFonts w:ascii="Verdana" w:eastAsia="Calibri" w:hAnsi="Verdana" w:cs="Arial"/>
          <w:sz w:val="20"/>
          <w:szCs w:val="20"/>
          <w:lang w:val="es-ES_tradnl"/>
        </w:rPr>
        <w:t>Los requisitos de perfeccionamiento del contrato estatal ingresan dentro de los elementos de la esencia.</w:t>
      </w:r>
    </w:p>
    <w:p w14:paraId="5BBE286D" w14:textId="656E719D" w:rsidR="009748E9" w:rsidRPr="00E1478A" w:rsidRDefault="009748E9" w:rsidP="00E1478A">
      <w:pPr>
        <w:spacing w:after="120" w:line="240" w:lineRule="auto"/>
        <w:jc w:val="both"/>
        <w:rPr>
          <w:rFonts w:ascii="Verdana" w:eastAsia="Calibri" w:hAnsi="Verdana" w:cs="Arial"/>
          <w:sz w:val="20"/>
          <w:szCs w:val="20"/>
          <w:lang w:val="es-ES_tradnl"/>
        </w:rPr>
      </w:pPr>
      <w:r w:rsidRPr="00E1478A">
        <w:rPr>
          <w:rFonts w:ascii="Verdana" w:eastAsia="Calibri" w:hAnsi="Verdana" w:cs="Arial"/>
          <w:sz w:val="20"/>
          <w:szCs w:val="20"/>
          <w:lang w:val="es-ES_tradnl"/>
        </w:rPr>
        <w:t xml:space="preserve">Además, los contratos –en términos generales– pueden ser: consensuales, reales o solemnes. Son </w:t>
      </w:r>
      <w:r w:rsidRPr="00E1478A">
        <w:rPr>
          <w:rFonts w:ascii="Verdana" w:eastAsia="Calibri" w:hAnsi="Verdana" w:cs="Arial"/>
          <w:i/>
          <w:iCs/>
          <w:sz w:val="20"/>
          <w:szCs w:val="20"/>
          <w:lang w:val="es-ES_tradnl"/>
        </w:rPr>
        <w:t>consensuales</w:t>
      </w:r>
      <w:r w:rsidRPr="00E1478A">
        <w:rPr>
          <w:rFonts w:ascii="Verdana" w:eastAsia="Calibri" w:hAnsi="Verdana" w:cs="Arial"/>
          <w:sz w:val="20"/>
          <w:szCs w:val="20"/>
          <w:lang w:val="es-ES_tradnl"/>
        </w:rPr>
        <w:t xml:space="preserve"> los que se perfeccionan con el consentimiento informal, pues no requieren de formalidades especiales. Son </w:t>
      </w:r>
      <w:r w:rsidRPr="00E1478A">
        <w:rPr>
          <w:rFonts w:ascii="Verdana" w:eastAsia="Calibri" w:hAnsi="Verdana" w:cs="Arial"/>
          <w:i/>
          <w:iCs/>
          <w:sz w:val="20"/>
          <w:szCs w:val="20"/>
          <w:lang w:val="es-ES_tradnl"/>
        </w:rPr>
        <w:t>reales</w:t>
      </w:r>
      <w:r w:rsidRPr="00E1478A">
        <w:rPr>
          <w:rFonts w:ascii="Verdana" w:eastAsia="Calibri" w:hAnsi="Verdana" w:cs="Arial"/>
          <w:sz w:val="20"/>
          <w:szCs w:val="20"/>
          <w:lang w:val="es-ES_tradnl"/>
        </w:rPr>
        <w:t xml:space="preserve"> aquellos que existen solo con la tradición o entrega de una cosa. Por su parte, son </w:t>
      </w:r>
      <w:r w:rsidRPr="00E1478A">
        <w:rPr>
          <w:rFonts w:ascii="Verdana" w:eastAsia="Calibri" w:hAnsi="Verdana" w:cs="Arial"/>
          <w:i/>
          <w:iCs/>
          <w:sz w:val="20"/>
          <w:szCs w:val="20"/>
          <w:lang w:val="es-ES_tradnl"/>
        </w:rPr>
        <w:t>solemnes</w:t>
      </w:r>
      <w:r w:rsidRPr="00E1478A">
        <w:rPr>
          <w:rFonts w:ascii="Verdana" w:eastAsia="Calibri" w:hAnsi="Verdana" w:cs="Arial"/>
          <w:sz w:val="20"/>
          <w:szCs w:val="20"/>
          <w:lang w:val="es-ES_tradnl"/>
        </w:rPr>
        <w:t xml:space="preserve"> aquellos contratos cuyo perfeccionamiento está revestido del cumplimiento de exigencias formales o ritualidades específica</w:t>
      </w:r>
      <w:r w:rsidR="00E1478A" w:rsidRPr="00E1478A">
        <w:rPr>
          <w:rFonts w:ascii="Verdana" w:eastAsia="Calibri" w:hAnsi="Verdana" w:cs="Arial"/>
          <w:sz w:val="20"/>
          <w:szCs w:val="20"/>
          <w:lang w:val="es-ES_tradnl"/>
        </w:rPr>
        <w:t>s.</w:t>
      </w:r>
      <w:r w:rsidRPr="00E1478A">
        <w:rPr>
          <w:rFonts w:ascii="Verdana" w:eastAsia="Calibri" w:hAnsi="Verdana" w:cs="Arial"/>
          <w:sz w:val="20"/>
          <w:szCs w:val="20"/>
          <w:lang w:val="es-ES_tradnl"/>
        </w:rPr>
        <w:t xml:space="preserve"> Pues bien, los contratos estatales regulados por el EGCAP, por regla general, son solemnes, ya que solo se entienden celebrados si se cumplen ciertas formalidades. Esta regla general solo tiene una excepció</w:t>
      </w:r>
      <w:r w:rsidRPr="00E1478A">
        <w:rPr>
          <w:rFonts w:ascii="Verdana" w:eastAsia="Calibri" w:hAnsi="Verdana" w:cs="Arial"/>
          <w:sz w:val="20"/>
          <w:szCs w:val="20"/>
          <w:lang w:val="es-ES_tradnl"/>
        </w:rPr>
        <w:t>n.</w:t>
      </w:r>
    </w:p>
    <w:p w14:paraId="2921B93D" w14:textId="77777777" w:rsidR="009748E9" w:rsidRPr="00E1478A" w:rsidRDefault="009748E9" w:rsidP="00E1478A">
      <w:pPr>
        <w:spacing w:after="120" w:line="240" w:lineRule="auto"/>
        <w:jc w:val="both"/>
        <w:rPr>
          <w:rFonts w:ascii="Verdana" w:eastAsia="Calibri" w:hAnsi="Verdana" w:cs="Arial"/>
          <w:sz w:val="20"/>
          <w:szCs w:val="20"/>
          <w:lang w:val="es-ES_tradnl"/>
        </w:rPr>
      </w:pPr>
      <w:r w:rsidRPr="00E1478A">
        <w:rPr>
          <w:rFonts w:ascii="Verdana" w:eastAsia="Calibri" w:hAnsi="Verdana" w:cs="Arial"/>
          <w:sz w:val="20"/>
          <w:szCs w:val="20"/>
          <w:lang w:val="es-ES_tradnl"/>
        </w:rPr>
        <w:t>En efecto, el primer inciso del artículo 41 de la Ley 80 de 1993 establece que “</w:t>
      </w:r>
      <w:r w:rsidRPr="00E1478A">
        <w:rPr>
          <w:rFonts w:ascii="Verdana" w:eastAsia="Calibri" w:hAnsi="Verdana" w:cs="Arial"/>
          <w:i/>
          <w:iCs/>
          <w:sz w:val="20"/>
          <w:szCs w:val="20"/>
          <w:lang w:val="es-ES_tradnl"/>
        </w:rPr>
        <w:t>Los contratos del Estado se perfeccionan cuando se logre acuerdo sobre el objeto y la contraprestación y éste se eleve a escrito</w:t>
      </w:r>
      <w:r w:rsidRPr="00E1478A">
        <w:rPr>
          <w:rFonts w:ascii="Verdana" w:eastAsia="Calibri" w:hAnsi="Verdana" w:cs="Arial"/>
          <w:sz w:val="20"/>
          <w:szCs w:val="20"/>
          <w:lang w:val="es-ES_tradnl"/>
        </w:rPr>
        <w:t xml:space="preserve">”. Como se advierte, el legislador dispuso que para que el contrato estatal exista, no solo debe haber un acuerdo sobre la obligación principal del negocio –es decir, sobre el “objeto”– y sobre la contraprestación, sino que se debe plasmar por escrito. </w:t>
      </w:r>
    </w:p>
    <w:p w14:paraId="2FA8C394" w14:textId="7BDCCAA6" w:rsidR="004F1F6A" w:rsidRDefault="004F1F6A" w:rsidP="004F1F6A">
      <w:pPr>
        <w:jc w:val="both"/>
        <w:rPr>
          <w:rFonts w:ascii="Verdana" w:hAnsi="Verdana" w:cs="Arial"/>
          <w:b/>
          <w:bCs/>
        </w:rPr>
      </w:pPr>
      <w:r w:rsidRPr="004F1F6A">
        <w:rPr>
          <w:rFonts w:ascii="Verdana" w:hAnsi="Verdana" w:cs="Arial"/>
          <w:b/>
          <w:bCs/>
        </w:rPr>
        <w:t>REQUISITOS DE EJECUCIÓN DEL CONTRATO ESTATAL – Naturaleza</w:t>
      </w:r>
    </w:p>
    <w:p w14:paraId="6D3D6394" w14:textId="0E1991EB" w:rsidR="00571233" w:rsidRDefault="009E75D1" w:rsidP="009E75D1">
      <w:pPr>
        <w:jc w:val="both"/>
        <w:rPr>
          <w:rFonts w:ascii="Verdana" w:eastAsia="Calibri" w:hAnsi="Verdana" w:cs="Arial"/>
          <w:sz w:val="20"/>
          <w:szCs w:val="20"/>
          <w:lang w:val="es-ES_tradnl"/>
        </w:rPr>
      </w:pPr>
      <w:r w:rsidRPr="009E75D1">
        <w:rPr>
          <w:rFonts w:ascii="Verdana" w:eastAsia="Calibri" w:hAnsi="Verdana" w:cs="Arial"/>
          <w:sz w:val="20"/>
          <w:szCs w:val="20"/>
          <w:lang w:val="es-ES_tradnl"/>
        </w:rPr>
        <w:t xml:space="preserve">[…] </w:t>
      </w:r>
      <w:r w:rsidRPr="009E75D1">
        <w:rPr>
          <w:rFonts w:ascii="Verdana" w:eastAsia="Calibri" w:hAnsi="Verdana" w:cs="Arial"/>
          <w:sz w:val="20"/>
          <w:szCs w:val="20"/>
          <w:lang w:val="es-ES_tradnl"/>
        </w:rPr>
        <w:t xml:space="preserve">en relación con los </w:t>
      </w:r>
      <w:r w:rsidRPr="009E75D1">
        <w:rPr>
          <w:rFonts w:ascii="Verdana" w:eastAsia="Calibri" w:hAnsi="Verdana" w:cs="Arial"/>
          <w:i/>
          <w:iCs/>
          <w:sz w:val="20"/>
          <w:szCs w:val="20"/>
          <w:lang w:val="es-ES_tradnl"/>
        </w:rPr>
        <w:t>requisitos de ejecución</w:t>
      </w:r>
      <w:r w:rsidRPr="009E75D1">
        <w:rPr>
          <w:rFonts w:ascii="Verdana" w:eastAsia="Calibri" w:hAnsi="Verdana" w:cs="Arial"/>
          <w:sz w:val="20"/>
          <w:szCs w:val="20"/>
          <w:lang w:val="es-ES_tradnl"/>
        </w:rPr>
        <w:t xml:space="preserve"> debe señalarse que, estos posibilitan el inicio de la fase de realización de las actividades pactadas en el contrato, es decir, el cumplimiento del objeto del negocio jurídico. A partir de esta distinción, es posible encontrar contratos estatales –perfeccionados– respecto de los cuales aún falte satisfacer uno o varios requisitos de ejecución.</w:t>
      </w:r>
    </w:p>
    <w:p w14:paraId="0C360F1D" w14:textId="46F17098" w:rsidR="009E75D1" w:rsidRPr="00D04D5A" w:rsidRDefault="00D04D5A" w:rsidP="009E75D1">
      <w:pPr>
        <w:jc w:val="both"/>
        <w:rPr>
          <w:rFonts w:ascii="Verdana" w:hAnsi="Verdana" w:cs="Arial"/>
          <w:sz w:val="20"/>
          <w:szCs w:val="20"/>
        </w:rPr>
      </w:pPr>
      <w:r w:rsidRPr="00D04D5A">
        <w:rPr>
          <w:rFonts w:ascii="Verdana" w:hAnsi="Verdana" w:cs="Arial"/>
          <w:sz w:val="20"/>
          <w:szCs w:val="20"/>
        </w:rPr>
        <w:t>[…]</w:t>
      </w:r>
    </w:p>
    <w:p w14:paraId="271A0EAF" w14:textId="77777777" w:rsidR="00D04D5A" w:rsidRPr="00D04D5A" w:rsidRDefault="00D04D5A" w:rsidP="00D04D5A">
      <w:pPr>
        <w:spacing w:after="120" w:line="240" w:lineRule="auto"/>
        <w:jc w:val="both"/>
        <w:rPr>
          <w:rFonts w:ascii="Verdana" w:eastAsia="Calibri" w:hAnsi="Verdana" w:cs="Arial"/>
          <w:sz w:val="20"/>
          <w:szCs w:val="20"/>
          <w:lang w:val="es-ES"/>
        </w:rPr>
      </w:pPr>
      <w:r w:rsidRPr="00D04D5A">
        <w:rPr>
          <w:rFonts w:ascii="Verdana" w:hAnsi="Verdana" w:cs="Arial"/>
          <w:sz w:val="20"/>
          <w:szCs w:val="20"/>
        </w:rPr>
        <w:t>[…]</w:t>
      </w:r>
      <w:r w:rsidRPr="00D04D5A">
        <w:rPr>
          <w:rFonts w:ascii="Verdana" w:hAnsi="Verdana" w:cs="Arial"/>
          <w:b/>
          <w:bCs/>
          <w:sz w:val="20"/>
          <w:szCs w:val="20"/>
        </w:rPr>
        <w:t xml:space="preserve"> </w:t>
      </w:r>
      <w:r w:rsidRPr="00D04D5A">
        <w:rPr>
          <w:rFonts w:ascii="Verdana" w:eastAsia="Calibri" w:hAnsi="Verdana" w:cs="Arial"/>
          <w:sz w:val="20"/>
          <w:szCs w:val="20"/>
          <w:lang w:val="es-ES"/>
        </w:rPr>
        <w:t xml:space="preserve">los requisitos de ejecución de los contratos estatales pueden ser “legales” o “convencionales”. Los primeros son aquellos que se encuentran previstos en la ley. Los segundos son estipulados por las partes. En otros términos, los requisitos </w:t>
      </w:r>
      <w:r w:rsidRPr="00D04D5A">
        <w:rPr>
          <w:rFonts w:ascii="Verdana" w:eastAsia="Calibri" w:hAnsi="Verdana" w:cs="Arial"/>
          <w:i/>
          <w:iCs/>
          <w:sz w:val="20"/>
          <w:szCs w:val="20"/>
          <w:lang w:val="es-ES"/>
        </w:rPr>
        <w:t>legales</w:t>
      </w:r>
      <w:r w:rsidRPr="00D04D5A">
        <w:rPr>
          <w:rFonts w:ascii="Verdana" w:eastAsia="Calibri" w:hAnsi="Verdana" w:cs="Arial"/>
          <w:sz w:val="20"/>
          <w:szCs w:val="20"/>
          <w:lang w:val="es-ES"/>
        </w:rPr>
        <w:t xml:space="preserve"> de ejecución son elementos de la </w:t>
      </w:r>
      <w:r w:rsidRPr="00D04D5A">
        <w:rPr>
          <w:rFonts w:ascii="Verdana" w:eastAsia="Calibri" w:hAnsi="Verdana" w:cs="Arial"/>
          <w:i/>
          <w:iCs/>
          <w:sz w:val="20"/>
          <w:szCs w:val="20"/>
          <w:lang w:val="es-ES"/>
        </w:rPr>
        <w:t>naturaleza</w:t>
      </w:r>
      <w:r w:rsidRPr="00D04D5A">
        <w:rPr>
          <w:rFonts w:ascii="Verdana" w:eastAsia="Calibri" w:hAnsi="Verdana" w:cs="Arial"/>
          <w:sz w:val="20"/>
          <w:szCs w:val="20"/>
          <w:lang w:val="es-ES"/>
        </w:rPr>
        <w:t xml:space="preserve">, mientras que los requisitos </w:t>
      </w:r>
      <w:r w:rsidRPr="00D04D5A">
        <w:rPr>
          <w:rFonts w:ascii="Verdana" w:eastAsia="Calibri" w:hAnsi="Verdana" w:cs="Arial"/>
          <w:i/>
          <w:iCs/>
          <w:sz w:val="20"/>
          <w:szCs w:val="20"/>
          <w:lang w:val="es-ES"/>
        </w:rPr>
        <w:t>convencionales</w:t>
      </w:r>
      <w:r w:rsidRPr="00D04D5A">
        <w:rPr>
          <w:rFonts w:ascii="Verdana" w:eastAsia="Calibri" w:hAnsi="Verdana" w:cs="Arial"/>
          <w:sz w:val="20"/>
          <w:szCs w:val="20"/>
          <w:lang w:val="es-ES"/>
        </w:rPr>
        <w:t xml:space="preserve"> de ejecución son elementos </w:t>
      </w:r>
      <w:r w:rsidRPr="00D04D5A">
        <w:rPr>
          <w:rFonts w:ascii="Verdana" w:eastAsia="Calibri" w:hAnsi="Verdana" w:cs="Arial"/>
          <w:i/>
          <w:iCs/>
          <w:sz w:val="20"/>
          <w:szCs w:val="20"/>
          <w:lang w:val="es-ES"/>
        </w:rPr>
        <w:t>accidentales</w:t>
      </w:r>
      <w:r w:rsidRPr="00D04D5A">
        <w:rPr>
          <w:rFonts w:ascii="Verdana" w:eastAsia="Calibri" w:hAnsi="Verdana" w:cs="Arial"/>
          <w:sz w:val="20"/>
          <w:szCs w:val="20"/>
          <w:lang w:val="es-ES"/>
        </w:rPr>
        <w:t xml:space="preserve">. </w:t>
      </w:r>
    </w:p>
    <w:p w14:paraId="6A22C4A4" w14:textId="626AA0D4" w:rsidR="004F1F6A" w:rsidRDefault="004F1F6A" w:rsidP="004F1F6A">
      <w:pPr>
        <w:jc w:val="both"/>
        <w:rPr>
          <w:rFonts w:ascii="Verdana" w:eastAsia="Calibri" w:hAnsi="Verdana" w:cs="Arial"/>
          <w:b/>
          <w:bCs/>
          <w:lang w:val="es-ES" w:eastAsia="es-ES"/>
        </w:rPr>
      </w:pPr>
      <w:r w:rsidRPr="004F1F6A">
        <w:rPr>
          <w:rFonts w:ascii="Verdana" w:eastAsia="Calibri" w:hAnsi="Verdana" w:cs="Arial"/>
          <w:b/>
          <w:bCs/>
          <w:lang w:val="es-ES" w:eastAsia="es-ES"/>
        </w:rPr>
        <w:lastRenderedPageBreak/>
        <w:t>CONSTITUCIÓN DE GARANTÍAS – Obligación</w:t>
      </w:r>
    </w:p>
    <w:p w14:paraId="7C23DA3A" w14:textId="4E74C672" w:rsidR="00125B3E" w:rsidRPr="00125B3E" w:rsidRDefault="00125B3E" w:rsidP="00125B3E">
      <w:pPr>
        <w:spacing w:line="240" w:lineRule="auto"/>
        <w:jc w:val="both"/>
        <w:rPr>
          <w:rFonts w:ascii="Verdana" w:eastAsia="Calibri" w:hAnsi="Verdana" w:cs="Arial"/>
          <w:b/>
          <w:bCs/>
          <w:sz w:val="20"/>
          <w:szCs w:val="20"/>
          <w:lang w:val="es-ES" w:eastAsia="es-ES"/>
        </w:rPr>
      </w:pPr>
      <w:r w:rsidRPr="00125B3E">
        <w:rPr>
          <w:rFonts w:ascii="Verdana" w:hAnsi="Verdana" w:cs="Arial"/>
          <w:color w:val="000000" w:themeColor="text1"/>
          <w:sz w:val="20"/>
          <w:szCs w:val="20"/>
          <w:lang w:eastAsia="es-CO"/>
        </w:rPr>
        <w:t xml:space="preserve">[…] </w:t>
      </w:r>
      <w:r w:rsidRPr="00125B3E">
        <w:rPr>
          <w:rFonts w:ascii="Verdana" w:hAnsi="Verdana" w:cs="Arial"/>
          <w:color w:val="000000" w:themeColor="text1"/>
          <w:sz w:val="20"/>
          <w:szCs w:val="20"/>
          <w:lang w:eastAsia="es-CO"/>
        </w:rPr>
        <w:t>para proceder con el inicio del contrato, el contratista debe cumplir con la obligación de constituir las garantías solicitadas. Por ello, el artículo 7 de la Ley 1150 de 2007 dispone que los contratistas tienen la obligación de constituir garantías para el cumplimiento de las obligaciones surgidas del contrato, y los proponentes por el ofrecimiento realizado, pudiendo consistir en pólizas expedidas por compañías aseguradoras, garantías bancarias u otros mecanismos permitidos por la ley y el reglamento.</w:t>
      </w:r>
    </w:p>
    <w:p w14:paraId="20E8F2C3" w14:textId="508188A2" w:rsidR="00571233" w:rsidRPr="00520E56" w:rsidRDefault="00520E56" w:rsidP="00520E56">
      <w:pPr>
        <w:spacing w:line="240" w:lineRule="auto"/>
        <w:jc w:val="both"/>
        <w:rPr>
          <w:rFonts w:ascii="Verdana" w:eastAsia="Calibri" w:hAnsi="Verdana" w:cs="Arial"/>
          <w:sz w:val="20"/>
          <w:szCs w:val="20"/>
          <w:lang w:val="es-ES" w:eastAsia="es-ES"/>
        </w:rPr>
      </w:pPr>
      <w:r w:rsidRPr="00520E56">
        <w:rPr>
          <w:rFonts w:ascii="Verdana" w:eastAsia="Calibri" w:hAnsi="Verdana" w:cs="Arial"/>
          <w:sz w:val="20"/>
          <w:szCs w:val="20"/>
          <w:lang w:val="es-ES" w:eastAsia="es-ES"/>
        </w:rPr>
        <w:t>[…]</w:t>
      </w:r>
    </w:p>
    <w:p w14:paraId="509C1F71" w14:textId="4B1AEE85" w:rsidR="00520E56" w:rsidRPr="00520E56" w:rsidRDefault="00520E56" w:rsidP="00520E56">
      <w:pPr>
        <w:spacing w:after="120" w:line="240" w:lineRule="auto"/>
        <w:jc w:val="both"/>
        <w:rPr>
          <w:rFonts w:ascii="Verdana" w:hAnsi="Verdana" w:cs="Arial"/>
          <w:color w:val="000000" w:themeColor="text1"/>
          <w:sz w:val="20"/>
          <w:szCs w:val="20"/>
          <w:lang w:eastAsia="es-CO"/>
        </w:rPr>
      </w:pPr>
      <w:r w:rsidRPr="00520E56">
        <w:rPr>
          <w:rFonts w:ascii="Verdana" w:hAnsi="Verdana" w:cs="Arial"/>
          <w:color w:val="000000" w:themeColor="text1"/>
          <w:sz w:val="20"/>
          <w:szCs w:val="20"/>
          <w:lang w:eastAsia="es-CO"/>
        </w:rPr>
        <w:t xml:space="preserve">[…] </w:t>
      </w:r>
      <w:r w:rsidRPr="00520E56">
        <w:rPr>
          <w:rFonts w:ascii="Verdana" w:hAnsi="Verdana" w:cs="Arial"/>
          <w:color w:val="000000" w:themeColor="text1"/>
          <w:sz w:val="20"/>
          <w:szCs w:val="20"/>
          <w:lang w:eastAsia="es-CO"/>
        </w:rPr>
        <w:t>Las condiciones en las que debe cumplirse esta obligación fueron reglamentadas por el Decreto 1082 de 2015, el cual entre sus artículos 2.2.1.2.3.1.1. y 2.2.1.2.3.1.19 se refiere a asuntos como las clases de garantías permitidas, la indivisibilidad de las mismas, los diferentes riesgos que deben ser objeto de garantía, la vigencia y valores mínimos que deben cubrir los amparos, entre otros aspectos que debe cumplir las garantías constituidas por los contratistas ya sea a través de pólizas de seguro, garantías bancarías o patrimonios autónomos.</w:t>
      </w:r>
    </w:p>
    <w:p w14:paraId="106F2080" w14:textId="25A42F52" w:rsidR="00520E56" w:rsidRPr="00520E56" w:rsidRDefault="00520E56" w:rsidP="00520E56">
      <w:pPr>
        <w:spacing w:after="120" w:line="240" w:lineRule="auto"/>
        <w:ind w:firstLine="708"/>
        <w:jc w:val="both"/>
        <w:rPr>
          <w:rFonts w:ascii="Verdana" w:hAnsi="Verdana" w:cs="Arial"/>
          <w:color w:val="000000" w:themeColor="text1"/>
          <w:sz w:val="20"/>
          <w:szCs w:val="20"/>
          <w:lang w:eastAsia="es-CO"/>
        </w:rPr>
      </w:pPr>
      <w:r w:rsidRPr="00520E56">
        <w:rPr>
          <w:rFonts w:ascii="Verdana" w:hAnsi="Verdana" w:cs="Arial"/>
          <w:color w:val="000000" w:themeColor="text1"/>
          <w:sz w:val="20"/>
          <w:szCs w:val="20"/>
          <w:lang w:val="es-MX"/>
        </w:rPr>
        <w:t xml:space="preserve">El artículo 2.2.1.2.3.1.3, por ejemplo, establece que la “garantía de cobertura del Riesgo es indivisible”, además de la obligación de los contratantes de establecer en los pliegos de condiciones las garantías exigidas para cada periodo contractual. Seguidamente el artículo 2.2.1.3.1.7 prescribe que la garantía de cumplimiento debe cubrir: i) el buen manejo y correcta inversión del anticipo; ii) la devolución del pago anticipado; iii) cumplimiento del contrato; iv) pago de salarios, prestaciones sociales legales e indemnizaciones laborales; v) estabilidad y calidad de la obra; vi) </w:t>
      </w:r>
      <w:r w:rsidRPr="00520E56">
        <w:rPr>
          <w:rFonts w:ascii="Verdana" w:hAnsi="Verdana" w:cs="Arial"/>
          <w:color w:val="000000" w:themeColor="text1"/>
          <w:sz w:val="20"/>
          <w:szCs w:val="20"/>
          <w:lang w:eastAsia="es-CO"/>
        </w:rPr>
        <w:t>calidad del servicio; vii) calidad y correcto funcionamiento de los bienes; y viii) los demás incumplimientos de las obligaciones que la entidad estatal considere deben ser amparados. Por su parte, el artículo 2.2.1.2.3.1.12 regula la suficiencia del amparo de cumplimiento, al determinar que esta debe tener una vigencia mínima hasta la liquidación del contrato y un valor de por lo menos el diez por ciento (10%) del total del contrato, siempre que este sea inferior a un millón (1.000.000) de S.M.M.L.V., estableciendo otros mínimos para el valor de las pólizas en contratos con montos superiore</w:t>
      </w:r>
      <w:r w:rsidRPr="00520E56">
        <w:rPr>
          <w:rFonts w:ascii="Verdana" w:hAnsi="Verdana" w:cs="Arial"/>
          <w:color w:val="000000" w:themeColor="text1"/>
          <w:sz w:val="20"/>
          <w:szCs w:val="20"/>
          <w:lang w:eastAsia="es-CO"/>
        </w:rPr>
        <w:t>s.</w:t>
      </w:r>
    </w:p>
    <w:p w14:paraId="123E77F0" w14:textId="77777777" w:rsidR="00520E56" w:rsidRPr="00520E56" w:rsidRDefault="00520E56" w:rsidP="00520E56">
      <w:pPr>
        <w:spacing w:after="120" w:line="240" w:lineRule="auto"/>
        <w:ind w:firstLine="708"/>
        <w:jc w:val="both"/>
        <w:rPr>
          <w:rFonts w:ascii="Verdana" w:hAnsi="Verdana" w:cs="Arial"/>
          <w:color w:val="000000" w:themeColor="text1"/>
          <w:sz w:val="20"/>
          <w:szCs w:val="20"/>
        </w:rPr>
      </w:pPr>
      <w:r w:rsidRPr="00520E56">
        <w:rPr>
          <w:rFonts w:ascii="Verdana" w:hAnsi="Verdana" w:cs="Arial"/>
          <w:color w:val="000000" w:themeColor="text1"/>
          <w:sz w:val="20"/>
          <w:szCs w:val="20"/>
          <w:lang w:val="es-MX"/>
        </w:rPr>
        <w:t>Los anteriores y otros aspectos desarrollados por el Decreto 1082 de 2015 deben ser verificados por las entidades estatales, para determinar si los amparos constituidos por sus contratistas en cumplimiento de la obligación derivada del artículo 7 de la Ley 1150 de 2007 se ajustan o no a lo exigido por el reglamento respecto del objeto y valor del contrato.</w:t>
      </w:r>
      <w:r w:rsidRPr="00520E56">
        <w:rPr>
          <w:rFonts w:ascii="Verdana" w:hAnsi="Verdana" w:cs="Arial"/>
          <w:color w:val="000000" w:themeColor="text1"/>
          <w:sz w:val="20"/>
          <w:szCs w:val="20"/>
        </w:rPr>
        <w:t xml:space="preserve"> Lo expuesto resulta de especial relevancia, teniendo en cuenta que el cumplimiento de la obligación de los contratistas de constituir las correspondientes garantías, y el deber de las entidades estatales de aprobarlas, una vez verificados los requisitos mínimos exigidos, son presupuestos para la ejecución del contrato, de conformidad con el artículo 41 de la Ley 80 de 1993</w:t>
      </w:r>
      <w:r w:rsidRPr="00520E56">
        <w:rPr>
          <w:rFonts w:ascii="Verdana" w:eastAsia="Calibri" w:hAnsi="Verdana" w:cs="Arial"/>
          <w:sz w:val="20"/>
          <w:szCs w:val="20"/>
        </w:rPr>
        <w:t xml:space="preserve">. </w:t>
      </w:r>
    </w:p>
    <w:p w14:paraId="4E4B69C1" w14:textId="16738E32" w:rsidR="004F1F6A" w:rsidRDefault="004F1F6A" w:rsidP="004F1F6A">
      <w:pPr>
        <w:jc w:val="both"/>
        <w:rPr>
          <w:rFonts w:ascii="Verdana" w:hAnsi="Verdana" w:cs="Arial"/>
          <w:b/>
          <w:bCs/>
        </w:rPr>
      </w:pPr>
      <w:r w:rsidRPr="004F1F6A">
        <w:rPr>
          <w:rFonts w:ascii="Verdana" w:eastAsia="Calibri" w:hAnsi="Verdana" w:cs="Arial"/>
          <w:b/>
          <w:bCs/>
          <w:lang w:val="es-ES" w:eastAsia="es-ES"/>
        </w:rPr>
        <w:t xml:space="preserve">APROBACIÓN DE GARANTÍAS – Verificación de la Entidad </w:t>
      </w:r>
      <w:r w:rsidRPr="004F1F6A">
        <w:rPr>
          <w:rFonts w:ascii="Verdana" w:hAnsi="Verdana" w:cs="Arial"/>
          <w:b/>
          <w:bCs/>
        </w:rPr>
        <w:t>/ GARANTIAS – ampliación</w:t>
      </w:r>
    </w:p>
    <w:p w14:paraId="222C1F39" w14:textId="42231A74" w:rsidR="00FB2C72" w:rsidRPr="00FB2C72" w:rsidRDefault="00FB2C72" w:rsidP="00FB2C72">
      <w:pPr>
        <w:spacing w:after="120" w:line="240" w:lineRule="auto"/>
        <w:jc w:val="both"/>
        <w:rPr>
          <w:rFonts w:ascii="Verdana" w:hAnsi="Verdana"/>
          <w:sz w:val="20"/>
          <w:szCs w:val="20"/>
        </w:rPr>
      </w:pPr>
      <w:r w:rsidRPr="00FB2C72">
        <w:rPr>
          <w:rFonts w:ascii="Verdana" w:hAnsi="Verdana"/>
          <w:sz w:val="20"/>
          <w:szCs w:val="20"/>
        </w:rPr>
        <w:lastRenderedPageBreak/>
        <w:t xml:space="preserve">[…] </w:t>
      </w:r>
      <w:r w:rsidRPr="00FB2C72">
        <w:rPr>
          <w:rFonts w:ascii="Verdana" w:hAnsi="Verdana"/>
          <w:sz w:val="20"/>
          <w:szCs w:val="20"/>
        </w:rPr>
        <w:t>es necesario que el contratista amplíe la garantía cuando el contrato se prorroga o se adiciona, ampliación que requiere aprobación por parte de la Entidad Estatal contratante, tal como fue aprobada la garantía del contrato inicial. En cumplimiento del artículo 2.2.1.2.3.1.18. del Decreto 1082 de 2015, solo se le exige al contratista que: i) amplié el valor de la garantía cuando hay una adición, y ii)</w:t>
      </w:r>
      <w:r w:rsidRPr="00FB2C72">
        <w:rPr>
          <w:rFonts w:ascii="Verdana" w:hAnsi="Verdana"/>
          <w:b/>
          <w:bCs/>
          <w:sz w:val="20"/>
          <w:szCs w:val="20"/>
        </w:rPr>
        <w:t xml:space="preserve"> </w:t>
      </w:r>
      <w:r w:rsidRPr="00FB2C72">
        <w:rPr>
          <w:rFonts w:ascii="Verdana" w:hAnsi="Verdana"/>
          <w:sz w:val="20"/>
          <w:szCs w:val="20"/>
        </w:rPr>
        <w:t>que amplié su vigencia cuando se modifica el plazo del contrato; y en ninguna de las dos hipótesis es necesario que se modifiquen otras condiciones de la garantía, en consecuencia, si el contratista presentó una póliza y el contrato solamente se amplía o adiciona, no debe modificar ni los riesgos asegurados ni las exclusiones del seguro, sino que solo debe ampliar la vigencia o el valor de la póliza.</w:t>
      </w:r>
    </w:p>
    <w:p w14:paraId="11B6859B" w14:textId="56B260FB" w:rsidR="00FB2C72" w:rsidRPr="00FB2C72" w:rsidRDefault="00FB2C72" w:rsidP="00FB2C72">
      <w:pPr>
        <w:spacing w:after="120" w:line="240" w:lineRule="auto"/>
        <w:jc w:val="both"/>
        <w:rPr>
          <w:rFonts w:ascii="Verdana" w:hAnsi="Verdana"/>
          <w:sz w:val="20"/>
          <w:szCs w:val="20"/>
        </w:rPr>
      </w:pPr>
      <w:r w:rsidRPr="00FB2C72">
        <w:rPr>
          <w:rFonts w:ascii="Verdana" w:hAnsi="Verdana"/>
          <w:sz w:val="20"/>
          <w:szCs w:val="20"/>
        </w:rPr>
        <w:t>Vale la pena recordar que según el artículo 1048 del Código de Comerci</w:t>
      </w:r>
      <w:r w:rsidR="009B5D18">
        <w:rPr>
          <w:rFonts w:ascii="Verdana" w:hAnsi="Verdana"/>
          <w:sz w:val="20"/>
          <w:szCs w:val="20"/>
        </w:rPr>
        <w:t>o</w:t>
      </w:r>
      <w:r w:rsidRPr="00FB2C72">
        <w:rPr>
          <w:rFonts w:ascii="Verdana" w:hAnsi="Verdana"/>
          <w:sz w:val="20"/>
          <w:szCs w:val="20"/>
        </w:rPr>
        <w:t xml:space="preserve"> las adiciones, modificaciones o renovaciones de las pólizas se consignan en “anexos”, en este sentido, la Entidad Estatal no requiere una nueva póliza, sino que puede solicitar del contratista un </w:t>
      </w:r>
      <w:r w:rsidRPr="00FB2C72">
        <w:rPr>
          <w:rFonts w:ascii="Verdana" w:hAnsi="Verdana"/>
          <w:i/>
          <w:iCs/>
          <w:sz w:val="20"/>
          <w:szCs w:val="20"/>
        </w:rPr>
        <w:t>“anexo”</w:t>
      </w:r>
      <w:r w:rsidRPr="00FB2C72">
        <w:rPr>
          <w:rFonts w:ascii="Verdana" w:hAnsi="Verdana"/>
          <w:sz w:val="20"/>
          <w:szCs w:val="20"/>
        </w:rPr>
        <w:t xml:space="preserve"> donde conste la ampliación de la garantía, y con ello cumplir las condiciones antes enunciadas para comenzar a ejecutar la modificación contractual. La Entidad Estatal debe actuar de buena f</w:t>
      </w:r>
      <w:r w:rsidR="009B5D18">
        <w:rPr>
          <w:rFonts w:ascii="Verdana" w:hAnsi="Verdana"/>
          <w:sz w:val="20"/>
          <w:szCs w:val="20"/>
        </w:rPr>
        <w:t>e</w:t>
      </w:r>
      <w:r w:rsidRPr="00FB2C72">
        <w:rPr>
          <w:rFonts w:ascii="Verdana" w:hAnsi="Verdana"/>
          <w:sz w:val="20"/>
          <w:szCs w:val="20"/>
        </w:rPr>
        <w:t xml:space="preserve"> y en concordancia con lo expuesto, no debe negarse a aprobar la ampliación de la póliza cuando el contratista presenta un anexo que cumpla con las condiciones del Decreto 1082 de 2015. Es necesario tener en cuenta que el contrato no puede quedar desamparado en ningún momento, pues de no aprobarse la garantía no podrá comenzar la ejecución de la prórroga, según lo dispuesto por el artículo 41 de la Ley 80 de 1993.</w:t>
      </w:r>
    </w:p>
    <w:p w14:paraId="2230521E" w14:textId="77777777" w:rsidR="00FB2C72" w:rsidRPr="00FB2C72" w:rsidRDefault="00FB2C72" w:rsidP="00FB2C72">
      <w:pPr>
        <w:spacing w:after="120" w:line="240" w:lineRule="auto"/>
        <w:jc w:val="both"/>
        <w:rPr>
          <w:rFonts w:ascii="Verdana" w:eastAsia="Arial" w:hAnsi="Verdana" w:cs="Arial"/>
          <w:sz w:val="20"/>
          <w:szCs w:val="20"/>
        </w:rPr>
      </w:pPr>
      <w:r w:rsidRPr="00FB2C72">
        <w:rPr>
          <w:rFonts w:ascii="Verdana" w:hAnsi="Verdana"/>
          <w:sz w:val="20"/>
          <w:szCs w:val="20"/>
        </w:rPr>
        <w:t xml:space="preserve">De cualquier modo, es importante precisar que la aprobación de la garantía única de cumplimiento, en los términos regulados en el artículo 41 de la Ley 80 de 1993 es un requisito para el inicio de la ejecución del contrato, más no para su perfeccionamiento. En ese sentido, así como sucede con el contrato inicial, la modificación tendiente a la prórroga del contrato se perfeccionará con la elevación a escrito del acuerdo de voluntades en virtud del cual se extiende el plazo de ejecución y la suscripción de ambas partes. Perfeccionado la modificación del contrato, el contratista deberá tramitar la ampliación de la garantía única de acuerdo con el artículo 2.2.1.2.3.1.18. del Decreto 1082 de 2015 y presentar la respectiva ampliación a la Entidad Estatal.   </w:t>
      </w:r>
    </w:p>
    <w:p w14:paraId="32CB1554" w14:textId="77777777" w:rsidR="00FB2C72" w:rsidRPr="00FB2C72" w:rsidRDefault="00FB2C72" w:rsidP="00FB2C72">
      <w:pPr>
        <w:spacing w:after="120" w:line="240" w:lineRule="auto"/>
        <w:jc w:val="both"/>
        <w:rPr>
          <w:rFonts w:ascii="Verdana" w:eastAsia="Arial" w:hAnsi="Verdana" w:cs="Arial"/>
          <w:sz w:val="20"/>
          <w:szCs w:val="20"/>
        </w:rPr>
      </w:pPr>
      <w:r w:rsidRPr="00FB2C72">
        <w:rPr>
          <w:rFonts w:ascii="Verdana" w:eastAsia="Arial" w:hAnsi="Verdana" w:cs="Arial"/>
          <w:sz w:val="20"/>
          <w:szCs w:val="20"/>
        </w:rPr>
        <w:t xml:space="preserve">Una vez presentada la ampliación de la garantía por parte del contratista, la Entidad Estatal deberá proceder a su aprobación, previa verificación de las condiciones del correspondiente anexo, en aras de establecer que la ampliación de las garantías en atención a las nuevas condiciones de tiempo y valor del contrato cumpla con las suficiencias exigidas por lo regulado entre los artículos 2.2.1.2.3.1.10 y 2.2.1.2.3.1.17 del Decreto 1082 de 2015.  En ese sentido, en aras de evitar la interrupción de la ejecución del contrato, las Entidades Estatales deberán procurar aprobar la ampliación de las garantías antes que venza el plazo inicial del contrato objeto de prórroga. Para garantizar esto, el contratista debe presentar la ampliación dentro de un plazo razonable, </w:t>
      </w:r>
      <w:r w:rsidRPr="00FB2C72">
        <w:rPr>
          <w:rFonts w:ascii="Verdana" w:hAnsi="Verdana"/>
          <w:sz w:val="20"/>
          <w:szCs w:val="20"/>
        </w:rPr>
        <w:t xml:space="preserve">de conformidad a lo pactado en la respectiva modificación y </w:t>
      </w:r>
      <w:r w:rsidRPr="00FB2C72">
        <w:rPr>
          <w:rFonts w:ascii="Verdana" w:eastAsia="Arial" w:hAnsi="Verdana" w:cs="Arial"/>
          <w:sz w:val="20"/>
          <w:szCs w:val="20"/>
        </w:rPr>
        <w:t xml:space="preserve">a efectos de evitar que opere el mecanismo de restablecimiento que se haya previsto en el pliego de condiciones con arreglo a lo dispuesto en el último inciso del artículo </w:t>
      </w:r>
      <w:r w:rsidRPr="00FB2C72">
        <w:rPr>
          <w:rFonts w:ascii="Verdana" w:hAnsi="Verdana"/>
          <w:sz w:val="20"/>
          <w:szCs w:val="20"/>
        </w:rPr>
        <w:t>2.2.1.2.3.1.18 del Decreto 1082 de 2015.</w:t>
      </w:r>
    </w:p>
    <w:p w14:paraId="50993FA9" w14:textId="77777777" w:rsidR="00FB2C72" w:rsidRPr="004F1F6A" w:rsidRDefault="00FB2C72" w:rsidP="004F1F6A">
      <w:pPr>
        <w:jc w:val="both"/>
        <w:rPr>
          <w:rFonts w:ascii="Verdana" w:hAnsi="Verdana" w:cs="Arial"/>
          <w:b/>
          <w:bCs/>
        </w:rPr>
      </w:pPr>
    </w:p>
    <w:p w14:paraId="701770B3" w14:textId="3E24EC27" w:rsidR="004F1F6A" w:rsidRDefault="004F1F6A">
      <w:pPr>
        <w:rPr>
          <w:rFonts w:ascii="Verdana" w:eastAsia="Verdana" w:hAnsi="Verdana" w:cs="Verdana"/>
        </w:rPr>
      </w:pPr>
    </w:p>
    <w:p w14:paraId="598DC1CE" w14:textId="77777777" w:rsidR="004F1F6A" w:rsidRDefault="004F1F6A">
      <w:pPr>
        <w:rPr>
          <w:rFonts w:ascii="Verdana" w:eastAsia="Verdana" w:hAnsi="Verdana" w:cs="Verdana"/>
        </w:rPr>
      </w:pPr>
      <w:r>
        <w:rPr>
          <w:rFonts w:ascii="Verdana" w:eastAsia="Verdana" w:hAnsi="Verdana" w:cs="Verdana"/>
        </w:rPr>
        <w:br w:type="page"/>
      </w:r>
    </w:p>
    <w:p w14:paraId="65249519" w14:textId="3055759C" w:rsidR="00CA0615" w:rsidRPr="00DB6C5D" w:rsidRDefault="00F34F22" w:rsidP="00F73D3D">
      <w:pPr>
        <w:spacing w:after="0" w:line="240" w:lineRule="auto"/>
        <w:rPr>
          <w:rFonts w:ascii="Verdana" w:eastAsia="Verdana" w:hAnsi="Verdana" w:cs="Verdana"/>
        </w:rPr>
      </w:pPr>
      <w:r w:rsidRPr="00F34F22">
        <w:rPr>
          <w:rFonts w:ascii="Verdana" w:eastAsia="Verdana" w:hAnsi="Verdana" w:cs="Verdana"/>
        </w:rPr>
        <w:lastRenderedPageBreak/>
        <w:drawing>
          <wp:anchor distT="0" distB="0" distL="114300" distR="114300" simplePos="0" relativeHeight="251658240" behindDoc="1" locked="0" layoutInCell="1" allowOverlap="1" wp14:anchorId="6DD9AAD5" wp14:editId="444D6A58">
            <wp:simplePos x="0" y="0"/>
            <wp:positionH relativeFrom="margin">
              <wp:posOffset>2879390</wp:posOffset>
            </wp:positionH>
            <wp:positionV relativeFrom="paragraph">
              <wp:posOffset>8854</wp:posOffset>
            </wp:positionV>
            <wp:extent cx="2723167" cy="799190"/>
            <wp:effectExtent l="0" t="0" r="1270" b="1270"/>
            <wp:wrapNone/>
            <wp:docPr id="10148276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827614" name=""/>
                    <pic:cNvPicPr/>
                  </pic:nvPicPr>
                  <pic:blipFill>
                    <a:blip r:embed="rId11">
                      <a:extLst>
                        <a:ext uri="{28A0092B-C50C-407E-A947-70E740481C1C}">
                          <a14:useLocalDpi xmlns:a14="http://schemas.microsoft.com/office/drawing/2010/main" val="0"/>
                        </a:ext>
                      </a:extLst>
                    </a:blip>
                    <a:stretch>
                      <a:fillRect/>
                    </a:stretch>
                  </pic:blipFill>
                  <pic:spPr>
                    <a:xfrm>
                      <a:off x="0" y="0"/>
                      <a:ext cx="2792839" cy="819637"/>
                    </a:xfrm>
                    <a:prstGeom prst="rect">
                      <a:avLst/>
                    </a:prstGeom>
                  </pic:spPr>
                </pic:pic>
              </a:graphicData>
            </a:graphic>
            <wp14:sizeRelH relativeFrom="margin">
              <wp14:pctWidth>0</wp14:pctWidth>
            </wp14:sizeRelH>
            <wp14:sizeRelV relativeFrom="margin">
              <wp14:pctHeight>0</wp14:pctHeight>
            </wp14:sizeRelV>
          </wp:anchor>
        </w:drawing>
      </w:r>
      <w:r w:rsidR="00C15139" w:rsidRPr="30821638">
        <w:rPr>
          <w:rFonts w:ascii="Verdana" w:eastAsia="Verdana" w:hAnsi="Verdana" w:cs="Verdana"/>
        </w:rPr>
        <w:t xml:space="preserve">Bogotá D.C., </w:t>
      </w:r>
      <w:r w:rsidR="001C1610">
        <w:rPr>
          <w:rFonts w:ascii="Verdana" w:eastAsia="Verdana" w:hAnsi="Verdana" w:cs="Verdana"/>
        </w:rPr>
        <w:t>18 Septiembre 2026</w:t>
      </w:r>
      <w:r w:rsidRPr="00F34F22">
        <w:rPr>
          <w:noProof/>
        </w:rPr>
        <w:t xml:space="preserve"> </w:t>
      </w:r>
      <w:r w:rsidR="00CA0615" w:rsidRPr="00F73D3D">
        <w:rPr>
          <w:rFonts w:ascii="Verdana" w:hAnsi="Verdana"/>
        </w:rPr>
        <w:br/>
      </w:r>
      <w:r w:rsidR="00CA0615" w:rsidRPr="00F73D3D">
        <w:rPr>
          <w:rFonts w:ascii="Verdana" w:hAnsi="Verdana"/>
        </w:rPr>
        <w:tab/>
      </w:r>
    </w:p>
    <w:p w14:paraId="4778D186" w14:textId="77777777" w:rsidR="00CA0615" w:rsidRPr="00DB6C5D" w:rsidRDefault="00CA0615" w:rsidP="00CA0615">
      <w:pPr>
        <w:pStyle w:val="Sinespaciado"/>
        <w:jc w:val="both"/>
        <w:rPr>
          <w:rFonts w:ascii="Verdana" w:hAnsi="Verdana"/>
          <w:lang w:eastAsia="es-ES"/>
        </w:rPr>
      </w:pPr>
      <w:bookmarkStart w:id="1" w:name="_Hlk186494164"/>
      <w:r w:rsidRPr="00DB6C5D">
        <w:rPr>
          <w:rFonts w:ascii="Verdana" w:hAnsi="Verdana"/>
          <w:lang w:eastAsia="es-ES"/>
        </w:rPr>
        <w:t>Señor</w:t>
      </w:r>
    </w:p>
    <w:p w14:paraId="010ADBAC" w14:textId="495E0F49" w:rsidR="00CA0615" w:rsidRDefault="00AA5439" w:rsidP="00CA0615">
      <w:pPr>
        <w:pStyle w:val="Sinespaciado"/>
        <w:jc w:val="both"/>
        <w:rPr>
          <w:rFonts w:ascii="Verdana" w:hAnsi="Verdana" w:cs="Times New Roman"/>
          <w:b/>
          <w:bCs/>
        </w:rPr>
      </w:pPr>
      <w:r>
        <w:rPr>
          <w:rFonts w:ascii="Verdana" w:hAnsi="Verdana" w:cs="Times New Roman"/>
          <w:b/>
          <w:bCs/>
        </w:rPr>
        <w:t>Jh</w:t>
      </w:r>
      <w:r w:rsidR="00D90B40">
        <w:rPr>
          <w:rFonts w:ascii="Verdana" w:hAnsi="Verdana" w:cs="Times New Roman"/>
          <w:b/>
          <w:bCs/>
        </w:rPr>
        <w:t>on Enrique Heredia Garceranth</w:t>
      </w:r>
    </w:p>
    <w:p w14:paraId="4761687A" w14:textId="1C62D2AB" w:rsidR="00D90B40" w:rsidRPr="00D90B40" w:rsidRDefault="00E351CD" w:rsidP="00CA0615">
      <w:pPr>
        <w:pStyle w:val="Sinespaciado"/>
        <w:jc w:val="both"/>
        <w:rPr>
          <w:rFonts w:ascii="Verdana" w:hAnsi="Verdana"/>
        </w:rPr>
      </w:pPr>
      <w:hyperlink r:id="rId12" w:history="1">
        <w:r w:rsidR="00D90B40" w:rsidRPr="00351D7E">
          <w:rPr>
            <w:rStyle w:val="Hipervnculo"/>
            <w:rFonts w:ascii="Verdana" w:hAnsi="Verdana"/>
          </w:rPr>
          <w:t>jhonhergar@gmail.com</w:t>
        </w:r>
      </w:hyperlink>
    </w:p>
    <w:p w14:paraId="6933ED14" w14:textId="36E1E25B" w:rsidR="00CA0615" w:rsidRPr="00DB6C5D" w:rsidRDefault="00D90B40" w:rsidP="00CA0615">
      <w:pPr>
        <w:pStyle w:val="Sinespaciado"/>
        <w:jc w:val="both"/>
        <w:rPr>
          <w:rFonts w:ascii="Verdana" w:hAnsi="Verdana" w:cs="Times New Roman"/>
          <w:b/>
          <w:bCs/>
        </w:rPr>
      </w:pPr>
      <w:r>
        <w:rPr>
          <w:rFonts w:ascii="Verdana" w:hAnsi="Verdana" w:cs="Times New Roman"/>
        </w:rPr>
        <w:t>Ciudad</w:t>
      </w:r>
    </w:p>
    <w:p w14:paraId="081B191C" w14:textId="77777777" w:rsidR="00CA0615" w:rsidRPr="00DB6C5D" w:rsidRDefault="00CA0615" w:rsidP="00CA0615">
      <w:pPr>
        <w:pStyle w:val="Sinespaciado"/>
        <w:jc w:val="both"/>
        <w:rPr>
          <w:rFonts w:ascii="Verdana" w:hAnsi="Verdana" w:cs="Times New Roman"/>
        </w:rPr>
      </w:pPr>
    </w:p>
    <w:p w14:paraId="129EF422" w14:textId="77777777" w:rsidR="00CA0615" w:rsidRPr="00DB6C5D" w:rsidRDefault="00CA0615" w:rsidP="00CA0615">
      <w:pPr>
        <w:pStyle w:val="Sinespaciado"/>
        <w:jc w:val="both"/>
        <w:rPr>
          <w:rFonts w:ascii="Verdana" w:hAnsi="Verdana" w:cs="Times New Roman"/>
          <w:b/>
          <w:bCs/>
        </w:rPr>
      </w:pPr>
    </w:p>
    <w:p w14:paraId="77086F3A" w14:textId="09E9275E" w:rsidR="00CA0615" w:rsidRPr="00DB6C5D" w:rsidRDefault="00CA0615" w:rsidP="00CA0615">
      <w:pPr>
        <w:spacing w:after="0" w:line="240" w:lineRule="auto"/>
        <w:jc w:val="both"/>
        <w:rPr>
          <w:rFonts w:ascii="Verdana" w:eastAsia="Calibri" w:hAnsi="Verdana" w:cs="Arial"/>
          <w:b/>
          <w:bCs/>
          <w:lang w:eastAsia="es-ES"/>
        </w:rPr>
      </w:pPr>
      <w:r w:rsidRPr="00DB6C5D">
        <w:rPr>
          <w:rFonts w:ascii="Verdana" w:eastAsia="Calibri" w:hAnsi="Verdana" w:cs="Arial"/>
          <w:b/>
          <w:bCs/>
          <w:lang w:eastAsia="es-ES"/>
        </w:rPr>
        <w:t xml:space="preserve">                                    Concepto </w:t>
      </w:r>
      <w:r w:rsidR="00776B18" w:rsidRPr="00776B18">
        <w:rPr>
          <w:rFonts w:ascii="Verdana" w:eastAsia="Calibri" w:hAnsi="Verdana" w:cs="Arial"/>
          <w:b/>
          <w:bCs/>
          <w:lang w:eastAsia="es-ES"/>
        </w:rPr>
        <w:t>C-1255</w:t>
      </w:r>
      <w:r>
        <w:rPr>
          <w:rFonts w:ascii="Verdana" w:eastAsia="Calibri" w:hAnsi="Verdana" w:cs="Arial"/>
          <w:b/>
          <w:bCs/>
          <w:lang w:eastAsia="es-ES"/>
        </w:rPr>
        <w:t xml:space="preserve"> </w:t>
      </w:r>
      <w:r w:rsidRPr="00DB6C5D">
        <w:rPr>
          <w:rFonts w:ascii="Verdana" w:eastAsia="Calibri" w:hAnsi="Verdana" w:cs="Arial"/>
          <w:b/>
          <w:bCs/>
          <w:lang w:eastAsia="es-ES"/>
        </w:rPr>
        <w:t>de 2026</w:t>
      </w:r>
    </w:p>
    <w:p w14:paraId="199FEABA" w14:textId="77777777" w:rsidR="00CA0615" w:rsidRPr="00DB6C5D" w:rsidRDefault="00CA0615" w:rsidP="00CA0615">
      <w:pPr>
        <w:spacing w:after="0" w:line="240" w:lineRule="auto"/>
        <w:jc w:val="both"/>
        <w:rPr>
          <w:rFonts w:ascii="Verdana" w:eastAsia="Calibri" w:hAnsi="Verdana" w:cs="Arial"/>
          <w:b/>
          <w:bCs/>
          <w:lang w:eastAsia="es-ES"/>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CA0615" w:rsidRPr="00DB6C5D" w14:paraId="5BC9B56C" w14:textId="77777777" w:rsidTr="00C45291">
        <w:trPr>
          <w:trHeight w:val="884"/>
        </w:trPr>
        <w:tc>
          <w:tcPr>
            <w:tcW w:w="2689" w:type="dxa"/>
          </w:tcPr>
          <w:p w14:paraId="26FC8F5A" w14:textId="77777777" w:rsidR="00CA0615" w:rsidRPr="00DB6C5D" w:rsidRDefault="00CA0615" w:rsidP="00C45291">
            <w:pPr>
              <w:jc w:val="both"/>
              <w:rPr>
                <w:rFonts w:ascii="Verdana" w:eastAsia="Calibri" w:hAnsi="Verdana" w:cs="Arial"/>
                <w:color w:val="000000"/>
                <w:lang w:eastAsia="es-ES_tradnl"/>
              </w:rPr>
            </w:pPr>
            <w:r w:rsidRPr="00DB6C5D">
              <w:rPr>
                <w:rFonts w:ascii="Verdana" w:eastAsia="Calibri" w:hAnsi="Verdana" w:cs="Arial"/>
                <w:b/>
                <w:color w:val="000000"/>
                <w:lang w:eastAsia="es-ES_tradnl"/>
              </w:rPr>
              <w:t>Temas:</w:t>
            </w:r>
            <w:r w:rsidRPr="00DB6C5D">
              <w:rPr>
                <w:rFonts w:ascii="Verdana" w:eastAsia="Calibri" w:hAnsi="Verdana" w:cs="Arial"/>
                <w:color w:val="000000"/>
                <w:lang w:eastAsia="es-ES_tradnl"/>
              </w:rPr>
              <w:t xml:space="preserve">                   </w:t>
            </w:r>
          </w:p>
        </w:tc>
        <w:tc>
          <w:tcPr>
            <w:tcW w:w="6100" w:type="dxa"/>
          </w:tcPr>
          <w:p w14:paraId="672D1285" w14:textId="21C008FB" w:rsidR="002C044B" w:rsidRPr="00391149" w:rsidRDefault="00B76E55" w:rsidP="00F73D3D">
            <w:pPr>
              <w:jc w:val="both"/>
              <w:rPr>
                <w:rFonts w:ascii="Verdana" w:hAnsi="Verdana" w:cs="Arial"/>
                <w:b/>
                <w:bCs/>
              </w:rPr>
            </w:pPr>
            <w:r w:rsidRPr="00B76E55">
              <w:rPr>
                <w:rFonts w:ascii="Verdana" w:hAnsi="Verdana" w:cs="Arial"/>
                <w:color w:val="000000" w:themeColor="text1"/>
              </w:rPr>
              <w:t xml:space="preserve">REQUISITOS DE PERFECCIONAMIENTO DEL CONTRATO </w:t>
            </w:r>
            <w:r w:rsidR="00165ED3">
              <w:rPr>
                <w:rFonts w:ascii="Verdana" w:hAnsi="Verdana" w:cs="Arial"/>
                <w:color w:val="000000" w:themeColor="text1"/>
              </w:rPr>
              <w:t xml:space="preserve">ESTATAL </w:t>
            </w:r>
            <w:r w:rsidRPr="00B76E55">
              <w:rPr>
                <w:rFonts w:ascii="Verdana" w:hAnsi="Verdana" w:cs="Arial"/>
                <w:color w:val="000000" w:themeColor="text1"/>
              </w:rPr>
              <w:t xml:space="preserve">– Alcance </w:t>
            </w:r>
            <w:r>
              <w:rPr>
                <w:rFonts w:ascii="Verdana" w:hAnsi="Verdana" w:cs="Arial"/>
                <w:color w:val="000000" w:themeColor="text1"/>
              </w:rPr>
              <w:t xml:space="preserve">/ </w:t>
            </w:r>
            <w:r w:rsidR="0089520C" w:rsidRPr="0089520C">
              <w:rPr>
                <w:rFonts w:ascii="Verdana" w:hAnsi="Verdana" w:cs="Arial"/>
                <w:bCs/>
              </w:rPr>
              <w:t>REQUISITOS DE EJECUCIÓN DEL CONTRATO ESTATAL – Naturaleza</w:t>
            </w:r>
            <w:r w:rsidR="00CE511B">
              <w:rPr>
                <w:rFonts w:ascii="Verdana" w:hAnsi="Verdana" w:cs="Arial"/>
                <w:bCs/>
              </w:rPr>
              <w:t xml:space="preserve"> /</w:t>
            </w:r>
            <w:r w:rsidR="00941ADD">
              <w:rPr>
                <w:rFonts w:ascii="Verdana" w:hAnsi="Verdana" w:cs="Arial"/>
                <w:bCs/>
              </w:rPr>
              <w:t xml:space="preserve"> </w:t>
            </w:r>
            <w:r w:rsidR="00941ADD" w:rsidRPr="0006268C">
              <w:rPr>
                <w:rFonts w:ascii="Verdana" w:eastAsia="Calibri" w:hAnsi="Verdana" w:cs="Arial"/>
                <w:lang w:val="es-ES" w:eastAsia="es-ES"/>
              </w:rPr>
              <w:t xml:space="preserve">CONSTITUCIÓN DE GARANTÍAS – Obligación / APROBACIÓN DE GARANTÍAS – Verificación de la </w:t>
            </w:r>
            <w:r w:rsidR="00974D5C" w:rsidRPr="0006268C">
              <w:rPr>
                <w:rFonts w:ascii="Verdana" w:eastAsia="Calibri" w:hAnsi="Verdana" w:cs="Arial"/>
                <w:lang w:val="es-ES" w:eastAsia="es-ES"/>
              </w:rPr>
              <w:t xml:space="preserve">Entidad </w:t>
            </w:r>
            <w:r w:rsidR="00974D5C">
              <w:rPr>
                <w:rFonts w:ascii="Verdana" w:hAnsi="Verdana" w:cs="Arial"/>
                <w:bCs/>
              </w:rPr>
              <w:t>/</w:t>
            </w:r>
            <w:r w:rsidR="0089520C" w:rsidRPr="0089520C">
              <w:rPr>
                <w:rFonts w:ascii="Verdana" w:hAnsi="Verdana" w:cs="Arial"/>
                <w:bCs/>
              </w:rPr>
              <w:t xml:space="preserve"> </w:t>
            </w:r>
            <w:r w:rsidR="002C044B" w:rsidRPr="002C044B">
              <w:rPr>
                <w:rFonts w:ascii="Verdana" w:hAnsi="Verdana" w:cs="Arial"/>
              </w:rPr>
              <w:t xml:space="preserve">GARANTIAS </w:t>
            </w:r>
            <w:r w:rsidR="00627FBA">
              <w:rPr>
                <w:rFonts w:ascii="Verdana" w:hAnsi="Verdana" w:cs="Arial"/>
              </w:rPr>
              <w:t>–</w:t>
            </w:r>
            <w:r w:rsidR="002C044B" w:rsidRPr="002C044B">
              <w:rPr>
                <w:rFonts w:ascii="Verdana" w:hAnsi="Verdana" w:cs="Arial"/>
              </w:rPr>
              <w:t xml:space="preserve"> </w:t>
            </w:r>
            <w:r w:rsidR="00627FBA">
              <w:rPr>
                <w:rFonts w:ascii="Verdana" w:hAnsi="Verdana" w:cs="Arial"/>
              </w:rPr>
              <w:t>ampliación</w:t>
            </w:r>
          </w:p>
          <w:p w14:paraId="1F3BFF9C" w14:textId="77777777" w:rsidR="00CA0615" w:rsidRPr="00DB6C5D" w:rsidRDefault="00CA0615" w:rsidP="00C45291">
            <w:pPr>
              <w:jc w:val="both"/>
              <w:rPr>
                <w:rFonts w:ascii="Verdana" w:eastAsia="Calibri" w:hAnsi="Verdana" w:cs="Arial"/>
                <w:lang w:eastAsia="es-ES"/>
              </w:rPr>
            </w:pPr>
          </w:p>
        </w:tc>
      </w:tr>
      <w:tr w:rsidR="00CA0615" w:rsidRPr="00DB6C5D" w14:paraId="28AA4AAE" w14:textId="77777777" w:rsidTr="00C45291">
        <w:tc>
          <w:tcPr>
            <w:tcW w:w="2689" w:type="dxa"/>
          </w:tcPr>
          <w:p w14:paraId="6441E173" w14:textId="77777777" w:rsidR="00CA0615" w:rsidRPr="00DB6C5D" w:rsidRDefault="00CA0615" w:rsidP="00C45291">
            <w:pPr>
              <w:jc w:val="both"/>
              <w:rPr>
                <w:rFonts w:ascii="Verdana" w:eastAsia="Calibri" w:hAnsi="Verdana" w:cs="Arial"/>
                <w:b/>
                <w:lang w:eastAsia="es-ES_tradnl"/>
              </w:rPr>
            </w:pPr>
            <w:r w:rsidRPr="00DB6C5D">
              <w:rPr>
                <w:rFonts w:ascii="Verdana" w:eastAsia="Calibri" w:hAnsi="Verdana" w:cs="Arial"/>
                <w:b/>
                <w:lang w:eastAsia="es-ES_tradnl"/>
              </w:rPr>
              <w:t>Radicación:</w:t>
            </w:r>
            <w:r w:rsidRPr="00DB6C5D">
              <w:rPr>
                <w:rFonts w:ascii="Verdana" w:eastAsia="Calibri" w:hAnsi="Verdana" w:cs="Arial"/>
                <w:lang w:eastAsia="es-ES_tradnl"/>
              </w:rPr>
              <w:t xml:space="preserve">               </w:t>
            </w:r>
          </w:p>
        </w:tc>
        <w:tc>
          <w:tcPr>
            <w:tcW w:w="6100" w:type="dxa"/>
          </w:tcPr>
          <w:p w14:paraId="4E72E439" w14:textId="4346E0A7" w:rsidR="00CA0615" w:rsidRPr="00DB6C5D" w:rsidRDefault="00CA0615" w:rsidP="00C45291">
            <w:pPr>
              <w:jc w:val="both"/>
              <w:rPr>
                <w:rFonts w:ascii="Verdana" w:eastAsia="Calibri" w:hAnsi="Verdana" w:cs="Arial"/>
                <w:lang w:eastAsia="es-ES_tradnl"/>
              </w:rPr>
            </w:pPr>
            <w:r w:rsidRPr="00DB6C5D">
              <w:rPr>
                <w:rFonts w:ascii="Verdana" w:eastAsia="Calibri" w:hAnsi="Verdana" w:cs="Arial"/>
                <w:lang w:eastAsia="es-ES_tradnl"/>
              </w:rPr>
              <w:t xml:space="preserve">Respuesta a consultas con radicado No. </w:t>
            </w:r>
            <w:r w:rsidR="00E4461C" w:rsidRPr="00E4461C">
              <w:rPr>
                <w:rFonts w:ascii="Verdana" w:eastAsia="Calibri" w:hAnsi="Verdana" w:cs="Arial"/>
                <w:lang w:eastAsia="es-ES_tradnl"/>
              </w:rPr>
              <w:t>1_2026_08_11_010546</w:t>
            </w:r>
          </w:p>
        </w:tc>
      </w:tr>
    </w:tbl>
    <w:p w14:paraId="27FFC53C" w14:textId="3DABCA92" w:rsidR="00CA0615" w:rsidRPr="00DB6C5D" w:rsidRDefault="00CA0615" w:rsidP="00CA0615">
      <w:pPr>
        <w:spacing w:after="0" w:line="240" w:lineRule="auto"/>
        <w:jc w:val="both"/>
        <w:rPr>
          <w:rFonts w:ascii="Verdana" w:eastAsia="Calibri" w:hAnsi="Verdana" w:cs="Arial"/>
          <w:color w:val="000000"/>
          <w:lang w:eastAsia="es-ES_tradnl"/>
        </w:rPr>
      </w:pPr>
    </w:p>
    <w:p w14:paraId="02870F18" w14:textId="77777777" w:rsidR="00351D7E" w:rsidRPr="00351D7E" w:rsidRDefault="00351D7E" w:rsidP="00351D7E">
      <w:pPr>
        <w:spacing w:after="0" w:line="240" w:lineRule="auto"/>
        <w:jc w:val="both"/>
        <w:rPr>
          <w:rFonts w:ascii="Verdana" w:eastAsia="Calibri" w:hAnsi="Verdana" w:cs="Arial"/>
          <w:color w:val="000000"/>
          <w:lang w:eastAsia="es-ES_tradnl"/>
        </w:rPr>
      </w:pPr>
    </w:p>
    <w:p w14:paraId="3FFF3BF4" w14:textId="77777777" w:rsidR="00351D7E" w:rsidRDefault="00CA0615" w:rsidP="00351D7E">
      <w:pPr>
        <w:spacing w:after="0" w:line="276" w:lineRule="auto"/>
        <w:jc w:val="both"/>
        <w:rPr>
          <w:rFonts w:ascii="Verdana" w:eastAsia="Calibri" w:hAnsi="Verdana" w:cs="Arial"/>
          <w:lang w:eastAsia="es-ES"/>
        </w:rPr>
      </w:pPr>
      <w:r w:rsidRPr="00DB6C5D">
        <w:rPr>
          <w:rFonts w:ascii="Verdana" w:eastAsia="Calibri" w:hAnsi="Verdana" w:cs="Arial"/>
          <w:lang w:eastAsia="es-ES"/>
        </w:rPr>
        <w:t xml:space="preserve">Estimado señor </w:t>
      </w:r>
      <w:r w:rsidR="000C4821">
        <w:rPr>
          <w:rFonts w:ascii="Verdana" w:eastAsia="Calibri" w:hAnsi="Verdana" w:cs="Arial"/>
          <w:lang w:eastAsia="es-ES"/>
        </w:rPr>
        <w:t>Heredia</w:t>
      </w:r>
      <w:r w:rsidRPr="00DB6C5D">
        <w:rPr>
          <w:rFonts w:ascii="Verdana" w:eastAsia="Calibri" w:hAnsi="Verdana" w:cs="Arial"/>
          <w:lang w:eastAsia="es-ES"/>
        </w:rPr>
        <w:t>, cordial saludo:</w:t>
      </w:r>
    </w:p>
    <w:p w14:paraId="1A3E6857" w14:textId="60693ABD" w:rsidR="00CA0615" w:rsidRPr="00DB6C5D" w:rsidRDefault="00CA0615" w:rsidP="00CA0615">
      <w:pPr>
        <w:spacing w:after="0" w:line="276" w:lineRule="auto"/>
        <w:jc w:val="both"/>
        <w:rPr>
          <w:rFonts w:ascii="Verdana" w:eastAsia="Calibri" w:hAnsi="Verdana" w:cs="Arial"/>
          <w:color w:val="000000"/>
          <w:lang w:eastAsia="es-ES"/>
        </w:rPr>
      </w:pPr>
      <w:r w:rsidRPr="00DB6C5D">
        <w:rPr>
          <w:rFonts w:ascii="Verdana" w:eastAsia="Calibri" w:hAnsi="Verdana" w:cs="Arial"/>
          <w:color w:val="000000"/>
          <w:lang w:eastAsia="es-ES"/>
        </w:rPr>
        <w:tab/>
      </w:r>
    </w:p>
    <w:p w14:paraId="67358767" w14:textId="6A61DD87" w:rsidR="00CA0615" w:rsidRPr="00DB6C5D" w:rsidRDefault="00CA0615" w:rsidP="00F73D3D">
      <w:pPr>
        <w:spacing w:after="0" w:line="276" w:lineRule="auto"/>
        <w:jc w:val="both"/>
        <w:rPr>
          <w:rFonts w:ascii="Verdana" w:eastAsia="Calibri" w:hAnsi="Verdana" w:cs="Arial"/>
          <w:i/>
          <w:iCs/>
          <w:lang w:eastAsia="es-ES"/>
        </w:rPr>
      </w:pPr>
      <w:r w:rsidRPr="00DB6C5D">
        <w:rPr>
          <w:rFonts w:ascii="Verdana" w:eastAsia="Calibri" w:hAnsi="Verdana" w:cs="Arial"/>
          <w:color w:val="000000"/>
          <w:lang w:eastAsia="es-ES"/>
        </w:rPr>
        <w:t>En ejercicio de la competencia otorgada por los artículos 3, numeral 5º, y 11, numeral 8º, del Decreto Ley 4170 de 2011,</w:t>
      </w:r>
      <w:r w:rsidRPr="00DB6C5D">
        <w:rPr>
          <w:rFonts w:ascii="Verdana" w:eastAsia="Arial MT" w:hAnsi="Verdana" w:cs="Arial MT"/>
          <w:lang w:eastAsia="es-ES"/>
        </w:rPr>
        <w:t xml:space="preserve"> </w:t>
      </w:r>
      <w:r w:rsidRPr="00DB6C5D">
        <w:rPr>
          <w:rFonts w:ascii="Verdana" w:eastAsia="Calibri" w:hAnsi="Verdana" w:cs="Arial"/>
        </w:rPr>
        <w:t xml:space="preserve">así como lo establecido en el artículo 4 de la Resolución 1707 de 2018 expedida por esta Entidad, </w:t>
      </w:r>
      <w:r w:rsidRPr="00DB6C5D">
        <w:rPr>
          <w:rFonts w:ascii="Verdana" w:eastAsia="Calibri" w:hAnsi="Verdana" w:cs="Arial"/>
          <w:color w:val="000000"/>
          <w:lang w:eastAsia="es-ES"/>
        </w:rPr>
        <w:t>la Agencia Nacional de Contratación Pública – Colombia Compra Eficiente responde su solicitud de concepto del</w:t>
      </w:r>
      <w:r>
        <w:rPr>
          <w:rFonts w:ascii="Verdana" w:eastAsia="Calibri" w:hAnsi="Verdana" w:cs="Arial"/>
          <w:color w:val="000000"/>
          <w:lang w:eastAsia="es-ES"/>
        </w:rPr>
        <w:t xml:space="preserve"> </w:t>
      </w:r>
      <w:r w:rsidR="001C4581">
        <w:rPr>
          <w:rFonts w:ascii="Verdana" w:eastAsia="Calibri" w:hAnsi="Verdana" w:cs="Arial"/>
          <w:color w:val="000000"/>
          <w:lang w:eastAsia="es-ES"/>
        </w:rPr>
        <w:t>11</w:t>
      </w:r>
      <w:r w:rsidRPr="00DB6C5D">
        <w:rPr>
          <w:rFonts w:ascii="Verdana" w:eastAsia="Calibri" w:hAnsi="Verdana" w:cs="Arial"/>
          <w:color w:val="000000"/>
          <w:lang w:eastAsia="es-ES"/>
        </w:rPr>
        <w:t xml:space="preserve"> de </w:t>
      </w:r>
      <w:r>
        <w:rPr>
          <w:rFonts w:ascii="Verdana" w:eastAsia="Calibri" w:hAnsi="Verdana" w:cs="Arial"/>
          <w:color w:val="000000"/>
          <w:lang w:eastAsia="es-ES"/>
        </w:rPr>
        <w:t>agosto</w:t>
      </w:r>
      <w:r w:rsidRPr="00DB6C5D">
        <w:rPr>
          <w:rFonts w:ascii="Verdana" w:eastAsia="Calibri" w:hAnsi="Verdana" w:cs="Arial"/>
          <w:color w:val="000000"/>
          <w:lang w:eastAsia="es-ES"/>
        </w:rPr>
        <w:t xml:space="preserve"> de 2026,</w:t>
      </w:r>
      <w:r w:rsidRPr="00DB6C5D">
        <w:rPr>
          <w:rFonts w:ascii="Verdana" w:eastAsia="Calibri" w:hAnsi="Verdana" w:cs="Arial"/>
          <w:lang w:eastAsia="es-ES"/>
        </w:rPr>
        <w:t xml:space="preserve"> en la que manifiesta lo siguiente:</w:t>
      </w:r>
      <w:r w:rsidRPr="00DB6C5D">
        <w:rPr>
          <w:rFonts w:ascii="Verdana" w:eastAsia="Calibri" w:hAnsi="Verdana" w:cs="Arial"/>
          <w:i/>
          <w:iCs/>
          <w:lang w:eastAsia="es-ES"/>
        </w:rPr>
        <w:t xml:space="preserve"> </w:t>
      </w:r>
      <w:bookmarkStart w:id="2" w:name="_Hlk95313578"/>
    </w:p>
    <w:p w14:paraId="0B98644C" w14:textId="77777777" w:rsidR="00CA0615" w:rsidRPr="00DB6C5D" w:rsidRDefault="00CA0615" w:rsidP="00CA0615">
      <w:pPr>
        <w:spacing w:after="0" w:line="276" w:lineRule="auto"/>
        <w:jc w:val="both"/>
        <w:rPr>
          <w:rFonts w:ascii="Verdana" w:eastAsia="Calibri" w:hAnsi="Verdana" w:cs="Arial"/>
          <w:i/>
          <w:iCs/>
          <w:lang w:eastAsia="es-ES"/>
        </w:rPr>
      </w:pPr>
    </w:p>
    <w:p w14:paraId="704C5DF8" w14:textId="77777777" w:rsidR="00CA0615" w:rsidRPr="00DB6C5D" w:rsidRDefault="00CA0615" w:rsidP="00CA0615">
      <w:pPr>
        <w:spacing w:after="0" w:line="240" w:lineRule="auto"/>
        <w:ind w:left="709" w:right="709"/>
        <w:jc w:val="both"/>
        <w:rPr>
          <w:rFonts w:ascii="Verdana" w:hAnsi="Verdana" w:cs="Arial"/>
          <w:i/>
          <w:iCs/>
          <w:sz w:val="20"/>
          <w:szCs w:val="20"/>
          <w:shd w:val="clear" w:color="auto" w:fill="FFFFFF"/>
        </w:rPr>
      </w:pPr>
      <w:r w:rsidRPr="00DB6C5D">
        <w:rPr>
          <w:rFonts w:ascii="Verdana" w:hAnsi="Verdana" w:cs="Arial"/>
          <w:i/>
          <w:iCs/>
          <w:sz w:val="20"/>
          <w:szCs w:val="20"/>
          <w:shd w:val="clear" w:color="auto" w:fill="FFFFFF"/>
        </w:rPr>
        <w:t>“(…)</w:t>
      </w:r>
      <w:bookmarkEnd w:id="2"/>
    </w:p>
    <w:p w14:paraId="6BCD05A2" w14:textId="6BFA05B0" w:rsidR="006C25C4" w:rsidRPr="006C25C4" w:rsidRDefault="006C25C4" w:rsidP="006C25C4">
      <w:pPr>
        <w:spacing w:after="0" w:line="240" w:lineRule="auto"/>
        <w:ind w:left="709" w:right="709"/>
        <w:jc w:val="both"/>
        <w:rPr>
          <w:rFonts w:ascii="Verdana" w:hAnsi="Verdana" w:cs="Arial"/>
          <w:i/>
          <w:iCs/>
          <w:sz w:val="20"/>
          <w:szCs w:val="20"/>
          <w:shd w:val="clear" w:color="auto" w:fill="FFFFFF"/>
        </w:rPr>
      </w:pPr>
      <w:r w:rsidRPr="006C25C4">
        <w:rPr>
          <w:rFonts w:ascii="Verdana" w:hAnsi="Verdana" w:cs="Arial"/>
          <w:i/>
          <w:iCs/>
          <w:sz w:val="20"/>
          <w:szCs w:val="20"/>
          <w:shd w:val="clear" w:color="auto" w:fill="FFFFFF"/>
        </w:rPr>
        <w:t>En virtud de los hechos expuestos, respetuosamente presento como solicitudes de rendición de concepto y de información las siguientes:</w:t>
      </w:r>
    </w:p>
    <w:p w14:paraId="71B915CA" w14:textId="77777777" w:rsidR="00351D7E" w:rsidRPr="006C25C4" w:rsidRDefault="00351D7E" w:rsidP="00351D7E">
      <w:pPr>
        <w:spacing w:after="0" w:line="240" w:lineRule="auto"/>
        <w:ind w:left="709" w:right="709"/>
        <w:jc w:val="both"/>
        <w:rPr>
          <w:rFonts w:ascii="Verdana" w:hAnsi="Verdana" w:cs="Arial"/>
          <w:i/>
          <w:iCs/>
          <w:sz w:val="20"/>
          <w:szCs w:val="20"/>
          <w:shd w:val="clear" w:color="auto" w:fill="FFFFFF"/>
        </w:rPr>
      </w:pPr>
    </w:p>
    <w:p w14:paraId="76929E4B" w14:textId="6485D31A" w:rsidR="006C25C4" w:rsidRPr="006C25C4" w:rsidRDefault="006C25C4" w:rsidP="00351D7E">
      <w:pPr>
        <w:spacing w:after="0" w:line="240" w:lineRule="auto"/>
        <w:ind w:left="709" w:right="709"/>
        <w:jc w:val="both"/>
        <w:rPr>
          <w:rFonts w:ascii="Verdana" w:hAnsi="Verdana" w:cs="Arial"/>
          <w:i/>
          <w:iCs/>
          <w:sz w:val="20"/>
          <w:szCs w:val="20"/>
          <w:shd w:val="clear" w:color="auto" w:fill="FFFFFF"/>
        </w:rPr>
      </w:pPr>
      <w:r w:rsidRPr="006C25C4">
        <w:rPr>
          <w:rFonts w:ascii="Verdana" w:hAnsi="Verdana" w:cs="Arial"/>
          <w:i/>
          <w:iCs/>
          <w:sz w:val="20"/>
          <w:szCs w:val="20"/>
          <w:shd w:val="clear" w:color="auto" w:fill="FFFFFF"/>
        </w:rPr>
        <w:t>1. Que se emita concepto sobre si existe fundamento legal, reglamentario o de política de compras públicas que autorice a las entidades estatales a exigir, como requisito</w:t>
      </w:r>
      <w:r w:rsidR="004A79B4">
        <w:rPr>
          <w:rFonts w:ascii="Verdana" w:hAnsi="Verdana" w:cs="Arial"/>
          <w:i/>
          <w:iCs/>
          <w:sz w:val="20"/>
          <w:szCs w:val="20"/>
          <w:shd w:val="clear" w:color="auto" w:fill="FFFFFF"/>
        </w:rPr>
        <w:t xml:space="preserve"> </w:t>
      </w:r>
      <w:r w:rsidRPr="006C25C4">
        <w:rPr>
          <w:rFonts w:ascii="Verdana" w:hAnsi="Verdana" w:cs="Arial"/>
          <w:i/>
          <w:iCs/>
          <w:sz w:val="20"/>
          <w:szCs w:val="20"/>
          <w:shd w:val="clear" w:color="auto" w:fill="FFFFFF"/>
        </w:rPr>
        <w:t>de inicio de ejecución contractual la presentación del soporte del pago de la prima</w:t>
      </w:r>
      <w:r w:rsidR="004A79B4">
        <w:rPr>
          <w:rFonts w:ascii="Verdana" w:hAnsi="Verdana" w:cs="Arial"/>
          <w:i/>
          <w:iCs/>
          <w:sz w:val="20"/>
          <w:szCs w:val="20"/>
          <w:shd w:val="clear" w:color="auto" w:fill="FFFFFF"/>
        </w:rPr>
        <w:t xml:space="preserve"> </w:t>
      </w:r>
      <w:r w:rsidRPr="006C25C4">
        <w:rPr>
          <w:rFonts w:ascii="Verdana" w:hAnsi="Verdana" w:cs="Arial"/>
          <w:i/>
          <w:iCs/>
          <w:sz w:val="20"/>
          <w:szCs w:val="20"/>
          <w:shd w:val="clear" w:color="auto" w:fill="FFFFFF"/>
        </w:rPr>
        <w:t>de las pólizas de garantía, cuando dicho requisito no está expresamente pactado en</w:t>
      </w:r>
      <w:r w:rsidR="004A79B4">
        <w:rPr>
          <w:rFonts w:ascii="Verdana" w:hAnsi="Verdana" w:cs="Arial"/>
          <w:i/>
          <w:iCs/>
          <w:sz w:val="20"/>
          <w:szCs w:val="20"/>
          <w:shd w:val="clear" w:color="auto" w:fill="FFFFFF"/>
        </w:rPr>
        <w:t xml:space="preserve"> </w:t>
      </w:r>
      <w:r w:rsidRPr="006C25C4">
        <w:rPr>
          <w:rFonts w:ascii="Verdana" w:hAnsi="Verdana" w:cs="Arial"/>
          <w:i/>
          <w:iCs/>
          <w:sz w:val="20"/>
          <w:szCs w:val="20"/>
          <w:shd w:val="clear" w:color="auto" w:fill="FFFFFF"/>
        </w:rPr>
        <w:t>el contrato ni previsto en el manual de contratación de la entidad.</w:t>
      </w:r>
    </w:p>
    <w:p w14:paraId="7D007BDC" w14:textId="77777777" w:rsidR="00351D7E" w:rsidRPr="006C25C4" w:rsidRDefault="00351D7E" w:rsidP="00F73D3D">
      <w:pPr>
        <w:spacing w:after="0" w:line="240" w:lineRule="auto"/>
        <w:ind w:left="709" w:right="709"/>
        <w:jc w:val="both"/>
        <w:rPr>
          <w:rFonts w:ascii="Verdana" w:hAnsi="Verdana" w:cs="Arial"/>
          <w:i/>
          <w:iCs/>
          <w:sz w:val="20"/>
          <w:szCs w:val="20"/>
          <w:shd w:val="clear" w:color="auto" w:fill="FFFFFF"/>
        </w:rPr>
      </w:pPr>
    </w:p>
    <w:p w14:paraId="302FA53F" w14:textId="74791606" w:rsidR="006C25C4" w:rsidRPr="006C25C4" w:rsidRDefault="006C25C4" w:rsidP="00351D7E">
      <w:pPr>
        <w:spacing w:after="0" w:line="240" w:lineRule="auto"/>
        <w:ind w:left="709" w:right="709"/>
        <w:jc w:val="both"/>
        <w:rPr>
          <w:rFonts w:ascii="Verdana" w:hAnsi="Verdana" w:cs="Arial"/>
          <w:i/>
          <w:iCs/>
          <w:sz w:val="20"/>
          <w:szCs w:val="20"/>
          <w:shd w:val="clear" w:color="auto" w:fill="FFFFFF"/>
        </w:rPr>
      </w:pPr>
      <w:r w:rsidRPr="006C25C4">
        <w:rPr>
          <w:rFonts w:ascii="Verdana" w:hAnsi="Verdana" w:cs="Arial"/>
          <w:i/>
          <w:iCs/>
          <w:sz w:val="20"/>
          <w:szCs w:val="20"/>
          <w:shd w:val="clear" w:color="auto" w:fill="FFFFFF"/>
        </w:rPr>
        <w:t>2. Que, en caso de no existir dicho fundamento, se informe cuál es el criterio de</w:t>
      </w:r>
      <w:r w:rsidR="004A79B4">
        <w:rPr>
          <w:rFonts w:ascii="Verdana" w:hAnsi="Verdana" w:cs="Arial"/>
          <w:i/>
          <w:iCs/>
          <w:sz w:val="20"/>
          <w:szCs w:val="20"/>
          <w:shd w:val="clear" w:color="auto" w:fill="FFFFFF"/>
        </w:rPr>
        <w:t xml:space="preserve"> </w:t>
      </w:r>
      <w:r w:rsidRPr="006C25C4">
        <w:rPr>
          <w:rFonts w:ascii="Verdana" w:hAnsi="Verdana" w:cs="Arial"/>
          <w:i/>
          <w:iCs/>
          <w:sz w:val="20"/>
          <w:szCs w:val="20"/>
          <w:shd w:val="clear" w:color="auto" w:fill="FFFFFF"/>
        </w:rPr>
        <w:t xml:space="preserve">Colombia Compra Eficiente sobre la exigibilidad de requisitos </w:t>
      </w:r>
      <w:r w:rsidRPr="006C25C4">
        <w:rPr>
          <w:rFonts w:ascii="Verdana" w:hAnsi="Verdana" w:cs="Arial"/>
          <w:i/>
          <w:iCs/>
          <w:sz w:val="20"/>
          <w:szCs w:val="20"/>
          <w:shd w:val="clear" w:color="auto" w:fill="FFFFFF"/>
        </w:rPr>
        <w:lastRenderedPageBreak/>
        <w:t>de ejecución no</w:t>
      </w:r>
      <w:r w:rsidR="004A79B4">
        <w:rPr>
          <w:rFonts w:ascii="Verdana" w:hAnsi="Verdana" w:cs="Arial"/>
          <w:i/>
          <w:iCs/>
          <w:sz w:val="20"/>
          <w:szCs w:val="20"/>
          <w:shd w:val="clear" w:color="auto" w:fill="FFFFFF"/>
        </w:rPr>
        <w:t xml:space="preserve"> </w:t>
      </w:r>
      <w:r w:rsidRPr="006C25C4">
        <w:rPr>
          <w:rFonts w:ascii="Verdana" w:hAnsi="Verdana" w:cs="Arial"/>
          <w:i/>
          <w:iCs/>
          <w:sz w:val="20"/>
          <w:szCs w:val="20"/>
          <w:shd w:val="clear" w:color="auto" w:fill="FFFFFF"/>
        </w:rPr>
        <w:t>pactados contractualmente, a la luz de los principios de planeación, transparencia,</w:t>
      </w:r>
      <w:r w:rsidR="004A79B4">
        <w:rPr>
          <w:rFonts w:ascii="Verdana" w:hAnsi="Verdana" w:cs="Arial"/>
          <w:i/>
          <w:iCs/>
          <w:sz w:val="20"/>
          <w:szCs w:val="20"/>
          <w:shd w:val="clear" w:color="auto" w:fill="FFFFFF"/>
        </w:rPr>
        <w:t xml:space="preserve"> </w:t>
      </w:r>
      <w:r w:rsidRPr="006C25C4">
        <w:rPr>
          <w:rFonts w:ascii="Verdana" w:hAnsi="Verdana" w:cs="Arial"/>
          <w:i/>
          <w:iCs/>
          <w:sz w:val="20"/>
          <w:szCs w:val="20"/>
          <w:shd w:val="clear" w:color="auto" w:fill="FFFFFF"/>
        </w:rPr>
        <w:t>economía y buena fe que rigen la contratación estatal.</w:t>
      </w:r>
    </w:p>
    <w:p w14:paraId="644ED70B" w14:textId="77777777" w:rsidR="00351D7E" w:rsidRPr="006C25C4" w:rsidRDefault="00351D7E" w:rsidP="00F73D3D">
      <w:pPr>
        <w:spacing w:after="0" w:line="240" w:lineRule="auto"/>
        <w:ind w:left="709" w:right="709"/>
        <w:jc w:val="both"/>
        <w:rPr>
          <w:rFonts w:ascii="Verdana" w:hAnsi="Verdana" w:cs="Arial"/>
          <w:i/>
          <w:iCs/>
          <w:sz w:val="20"/>
          <w:szCs w:val="20"/>
          <w:shd w:val="clear" w:color="auto" w:fill="FFFFFF"/>
        </w:rPr>
      </w:pPr>
    </w:p>
    <w:p w14:paraId="5AE64996" w14:textId="5DDFB165" w:rsidR="006C25C4" w:rsidRPr="006C25C4" w:rsidRDefault="006C25C4" w:rsidP="006C25C4">
      <w:pPr>
        <w:spacing w:after="0" w:line="240" w:lineRule="auto"/>
        <w:ind w:left="709" w:right="709"/>
        <w:jc w:val="both"/>
        <w:rPr>
          <w:rFonts w:ascii="Verdana" w:hAnsi="Verdana" w:cs="Arial"/>
          <w:i/>
          <w:iCs/>
          <w:sz w:val="20"/>
          <w:szCs w:val="20"/>
          <w:shd w:val="clear" w:color="auto" w:fill="FFFFFF"/>
        </w:rPr>
      </w:pPr>
      <w:r w:rsidRPr="006C25C4">
        <w:rPr>
          <w:rFonts w:ascii="Verdana" w:hAnsi="Verdana" w:cs="Arial"/>
          <w:i/>
          <w:iCs/>
          <w:sz w:val="20"/>
          <w:szCs w:val="20"/>
          <w:shd w:val="clear" w:color="auto" w:fill="FFFFFF"/>
        </w:rPr>
        <w:t>3. Que se valore la expedición de una guía, circular o documento orientador dirigido a</w:t>
      </w:r>
      <w:r w:rsidR="004A79B4">
        <w:rPr>
          <w:rFonts w:ascii="Verdana" w:hAnsi="Verdana" w:cs="Arial"/>
          <w:i/>
          <w:iCs/>
          <w:sz w:val="20"/>
          <w:szCs w:val="20"/>
          <w:shd w:val="clear" w:color="auto" w:fill="FFFFFF"/>
        </w:rPr>
        <w:t xml:space="preserve"> </w:t>
      </w:r>
      <w:r w:rsidRPr="006C25C4">
        <w:rPr>
          <w:rFonts w:ascii="Verdana" w:hAnsi="Verdana" w:cs="Arial"/>
          <w:i/>
          <w:iCs/>
          <w:sz w:val="20"/>
          <w:szCs w:val="20"/>
          <w:shd w:val="clear" w:color="auto" w:fill="FFFFFF"/>
        </w:rPr>
        <w:t>las entidades estatales, precisando que el pago de la prima de las garantías no</w:t>
      </w:r>
      <w:r w:rsidR="004A79B4">
        <w:rPr>
          <w:rFonts w:ascii="Verdana" w:hAnsi="Verdana" w:cs="Arial"/>
          <w:i/>
          <w:iCs/>
          <w:sz w:val="20"/>
          <w:szCs w:val="20"/>
          <w:shd w:val="clear" w:color="auto" w:fill="FFFFFF"/>
        </w:rPr>
        <w:t xml:space="preserve"> </w:t>
      </w:r>
      <w:r w:rsidRPr="006C25C4">
        <w:rPr>
          <w:rFonts w:ascii="Verdana" w:hAnsi="Verdana" w:cs="Arial"/>
          <w:i/>
          <w:iCs/>
          <w:sz w:val="20"/>
          <w:szCs w:val="20"/>
          <w:shd w:val="clear" w:color="auto" w:fill="FFFFFF"/>
        </w:rPr>
        <w:t>constituye, por regla general, un requisito de perfeccionamiento ni de ejecución de</w:t>
      </w:r>
      <w:r w:rsidR="004A79B4">
        <w:rPr>
          <w:rFonts w:ascii="Verdana" w:hAnsi="Verdana" w:cs="Arial"/>
          <w:i/>
          <w:iCs/>
          <w:sz w:val="20"/>
          <w:szCs w:val="20"/>
          <w:shd w:val="clear" w:color="auto" w:fill="FFFFFF"/>
        </w:rPr>
        <w:t xml:space="preserve"> </w:t>
      </w:r>
      <w:r w:rsidRPr="006C25C4">
        <w:rPr>
          <w:rFonts w:ascii="Verdana" w:hAnsi="Verdana" w:cs="Arial"/>
          <w:i/>
          <w:iCs/>
          <w:sz w:val="20"/>
          <w:szCs w:val="20"/>
          <w:shd w:val="clear" w:color="auto" w:fill="FFFFFF"/>
        </w:rPr>
        <w:t xml:space="preserve">los contratos estatales, salvo pacto expreso en el acuerdo contractual. </w:t>
      </w:r>
    </w:p>
    <w:p w14:paraId="4E2ADFFC" w14:textId="77777777" w:rsidR="007C43CC" w:rsidRDefault="007C43CC" w:rsidP="006C25C4">
      <w:pPr>
        <w:spacing w:after="0" w:line="240" w:lineRule="auto"/>
        <w:ind w:left="709" w:right="709"/>
        <w:jc w:val="both"/>
        <w:rPr>
          <w:rFonts w:ascii="Verdana" w:hAnsi="Verdana" w:cs="Arial"/>
          <w:i/>
          <w:iCs/>
          <w:sz w:val="20"/>
          <w:szCs w:val="20"/>
          <w:shd w:val="clear" w:color="auto" w:fill="FFFFFF"/>
        </w:rPr>
      </w:pPr>
    </w:p>
    <w:p w14:paraId="527B02CA" w14:textId="639B0C11" w:rsidR="006C25C4" w:rsidRPr="006C25C4" w:rsidRDefault="006C25C4" w:rsidP="006C25C4">
      <w:pPr>
        <w:spacing w:after="0" w:line="240" w:lineRule="auto"/>
        <w:ind w:left="709" w:right="709"/>
        <w:jc w:val="both"/>
        <w:rPr>
          <w:rFonts w:ascii="Verdana" w:hAnsi="Verdana" w:cs="Arial"/>
          <w:i/>
          <w:iCs/>
          <w:sz w:val="20"/>
          <w:szCs w:val="20"/>
          <w:shd w:val="clear" w:color="auto" w:fill="FFFFFF"/>
        </w:rPr>
      </w:pPr>
      <w:r w:rsidRPr="006C25C4">
        <w:rPr>
          <w:rFonts w:ascii="Verdana" w:hAnsi="Verdana" w:cs="Arial"/>
          <w:i/>
          <w:iCs/>
          <w:sz w:val="20"/>
          <w:szCs w:val="20"/>
          <w:shd w:val="clear" w:color="auto" w:fill="FFFFFF"/>
        </w:rPr>
        <w:t>4. Que se emita concepto sobre el alcance de los artículos 2.2.1.2.3.1.12 y 2.2.1.2.3.1.18</w:t>
      </w:r>
      <w:r w:rsidR="004A79B4">
        <w:rPr>
          <w:rFonts w:ascii="Verdana" w:hAnsi="Verdana" w:cs="Arial"/>
          <w:i/>
          <w:iCs/>
          <w:sz w:val="20"/>
          <w:szCs w:val="20"/>
          <w:shd w:val="clear" w:color="auto" w:fill="FFFFFF"/>
        </w:rPr>
        <w:t xml:space="preserve"> </w:t>
      </w:r>
      <w:r w:rsidRPr="006C25C4">
        <w:rPr>
          <w:rFonts w:ascii="Verdana" w:hAnsi="Verdana" w:cs="Arial"/>
          <w:i/>
          <w:iCs/>
          <w:sz w:val="20"/>
          <w:szCs w:val="20"/>
          <w:shd w:val="clear" w:color="auto" w:fill="FFFFFF"/>
        </w:rPr>
        <w:t>del Decreto 1082 de 2015, en el sentido de precisar si dichas disposiciones facultan</w:t>
      </w:r>
      <w:r w:rsidR="004A79B4">
        <w:rPr>
          <w:rFonts w:ascii="Verdana" w:hAnsi="Verdana" w:cs="Arial"/>
          <w:i/>
          <w:iCs/>
          <w:sz w:val="20"/>
          <w:szCs w:val="20"/>
          <w:shd w:val="clear" w:color="auto" w:fill="FFFFFF"/>
        </w:rPr>
        <w:t xml:space="preserve"> </w:t>
      </w:r>
      <w:r w:rsidRPr="006C25C4">
        <w:rPr>
          <w:rFonts w:ascii="Verdana" w:hAnsi="Verdana" w:cs="Arial"/>
          <w:i/>
          <w:iCs/>
          <w:sz w:val="20"/>
          <w:szCs w:val="20"/>
          <w:shd w:val="clear" w:color="auto" w:fill="FFFFFF"/>
        </w:rPr>
        <w:t>a las entidades estatales para exigir de manera general y automática, la ampliación</w:t>
      </w:r>
      <w:r w:rsidR="004A79B4">
        <w:rPr>
          <w:rFonts w:ascii="Verdana" w:hAnsi="Verdana" w:cs="Arial"/>
          <w:i/>
          <w:iCs/>
          <w:sz w:val="20"/>
          <w:szCs w:val="20"/>
          <w:shd w:val="clear" w:color="auto" w:fill="FFFFFF"/>
        </w:rPr>
        <w:t xml:space="preserve"> </w:t>
      </w:r>
      <w:r w:rsidRPr="006C25C4">
        <w:rPr>
          <w:rFonts w:ascii="Verdana" w:hAnsi="Verdana" w:cs="Arial"/>
          <w:i/>
          <w:iCs/>
          <w:sz w:val="20"/>
          <w:szCs w:val="20"/>
          <w:shd w:val="clear" w:color="auto" w:fill="FFFFFF"/>
        </w:rPr>
        <w:t>de las garantías constituidas por el contratista como requisito previo a la liquidación</w:t>
      </w:r>
      <w:r w:rsidR="004A79B4">
        <w:rPr>
          <w:rFonts w:ascii="Verdana" w:hAnsi="Verdana" w:cs="Arial"/>
          <w:i/>
          <w:iCs/>
          <w:sz w:val="20"/>
          <w:szCs w:val="20"/>
          <w:shd w:val="clear" w:color="auto" w:fill="FFFFFF"/>
        </w:rPr>
        <w:t xml:space="preserve"> </w:t>
      </w:r>
      <w:r w:rsidRPr="006C25C4">
        <w:rPr>
          <w:rFonts w:ascii="Verdana" w:hAnsi="Verdana" w:cs="Arial"/>
          <w:i/>
          <w:iCs/>
          <w:sz w:val="20"/>
          <w:szCs w:val="20"/>
          <w:shd w:val="clear" w:color="auto" w:fill="FFFFFF"/>
        </w:rPr>
        <w:t>del contrato, o si tal ampliación únicamente procede cuando el valor asegurado se</w:t>
      </w:r>
      <w:r w:rsidR="004A79B4">
        <w:rPr>
          <w:rFonts w:ascii="Verdana" w:hAnsi="Verdana" w:cs="Arial"/>
          <w:i/>
          <w:iCs/>
          <w:sz w:val="20"/>
          <w:szCs w:val="20"/>
          <w:shd w:val="clear" w:color="auto" w:fill="FFFFFF"/>
        </w:rPr>
        <w:t xml:space="preserve"> </w:t>
      </w:r>
      <w:r w:rsidRPr="006C25C4">
        <w:rPr>
          <w:rFonts w:ascii="Verdana" w:hAnsi="Verdana" w:cs="Arial"/>
          <w:i/>
          <w:iCs/>
          <w:sz w:val="20"/>
          <w:szCs w:val="20"/>
          <w:shd w:val="clear" w:color="auto" w:fill="FFFFFF"/>
        </w:rPr>
        <w:t xml:space="preserve">ha visto reducido con ocasión de reclamaciones previas efectuadas por la entidad, </w:t>
      </w:r>
    </w:p>
    <w:p w14:paraId="5426EBCE" w14:textId="77777777" w:rsidR="006C25C4" w:rsidRPr="006C25C4" w:rsidRDefault="006C25C4" w:rsidP="006C25C4">
      <w:pPr>
        <w:spacing w:after="0" w:line="240" w:lineRule="auto"/>
        <w:ind w:left="709" w:right="709"/>
        <w:jc w:val="both"/>
        <w:rPr>
          <w:rFonts w:ascii="Verdana" w:hAnsi="Verdana" w:cs="Arial"/>
          <w:i/>
          <w:iCs/>
          <w:sz w:val="20"/>
          <w:szCs w:val="20"/>
          <w:shd w:val="clear" w:color="auto" w:fill="FFFFFF"/>
        </w:rPr>
      </w:pPr>
      <w:r w:rsidRPr="006C25C4">
        <w:rPr>
          <w:rFonts w:ascii="Verdana" w:hAnsi="Verdana" w:cs="Arial"/>
          <w:i/>
          <w:iCs/>
          <w:sz w:val="20"/>
          <w:szCs w:val="20"/>
          <w:shd w:val="clear" w:color="auto" w:fill="FFFFFF"/>
        </w:rPr>
        <w:t>en los términos del artículo 2.2.1.2.3.1.18 citado.</w:t>
      </w:r>
    </w:p>
    <w:p w14:paraId="0ED02EAB" w14:textId="77777777" w:rsidR="007C43CC" w:rsidRDefault="007C43CC" w:rsidP="006C25C4">
      <w:pPr>
        <w:spacing w:after="0" w:line="240" w:lineRule="auto"/>
        <w:ind w:left="709" w:right="709"/>
        <w:jc w:val="both"/>
        <w:rPr>
          <w:rFonts w:ascii="Verdana" w:hAnsi="Verdana" w:cs="Arial"/>
          <w:i/>
          <w:iCs/>
          <w:sz w:val="20"/>
          <w:szCs w:val="20"/>
          <w:shd w:val="clear" w:color="auto" w:fill="FFFFFF"/>
        </w:rPr>
      </w:pPr>
    </w:p>
    <w:p w14:paraId="7CE5189C" w14:textId="61E0F97E" w:rsidR="006C25C4" w:rsidRPr="006C25C4" w:rsidRDefault="006C25C4" w:rsidP="006C25C4">
      <w:pPr>
        <w:spacing w:after="0" w:line="240" w:lineRule="auto"/>
        <w:ind w:left="709" w:right="709"/>
        <w:jc w:val="both"/>
        <w:rPr>
          <w:rFonts w:ascii="Verdana" w:hAnsi="Verdana" w:cs="Arial"/>
          <w:i/>
          <w:iCs/>
          <w:sz w:val="20"/>
          <w:szCs w:val="20"/>
          <w:shd w:val="clear" w:color="auto" w:fill="FFFFFF"/>
        </w:rPr>
      </w:pPr>
      <w:r w:rsidRPr="006C25C4">
        <w:rPr>
          <w:rFonts w:ascii="Verdana" w:hAnsi="Verdana" w:cs="Arial"/>
          <w:i/>
          <w:iCs/>
          <w:sz w:val="20"/>
          <w:szCs w:val="20"/>
          <w:shd w:val="clear" w:color="auto" w:fill="FFFFFF"/>
        </w:rPr>
        <w:t>5. Que, en caso de no existir fundamento general para dicha exigencia, se informe si es válido que las entidades estatales condicionen el trámite de la liquidación del</w:t>
      </w:r>
      <w:r w:rsidR="007C43CC">
        <w:rPr>
          <w:rFonts w:ascii="Verdana" w:hAnsi="Verdana" w:cs="Arial"/>
          <w:i/>
          <w:iCs/>
          <w:sz w:val="20"/>
          <w:szCs w:val="20"/>
          <w:shd w:val="clear" w:color="auto" w:fill="FFFFFF"/>
        </w:rPr>
        <w:t xml:space="preserve"> </w:t>
      </w:r>
      <w:r w:rsidRPr="006C25C4">
        <w:rPr>
          <w:rFonts w:ascii="Verdana" w:hAnsi="Verdana" w:cs="Arial"/>
          <w:i/>
          <w:iCs/>
          <w:sz w:val="20"/>
          <w:szCs w:val="20"/>
          <w:shd w:val="clear" w:color="auto" w:fill="FFFFFF"/>
        </w:rPr>
        <w:t xml:space="preserve">contrato a la ampliación de garantías no pactada expresamente en el contrato ni </w:t>
      </w:r>
      <w:r w:rsidR="007C43CC">
        <w:rPr>
          <w:rFonts w:ascii="Verdana" w:hAnsi="Verdana" w:cs="Arial"/>
          <w:i/>
          <w:iCs/>
          <w:sz w:val="20"/>
          <w:szCs w:val="20"/>
          <w:shd w:val="clear" w:color="auto" w:fill="FFFFFF"/>
        </w:rPr>
        <w:t>D</w:t>
      </w:r>
      <w:r w:rsidRPr="006C25C4">
        <w:rPr>
          <w:rFonts w:ascii="Verdana" w:hAnsi="Verdana" w:cs="Arial"/>
          <w:i/>
          <w:iCs/>
          <w:sz w:val="20"/>
          <w:szCs w:val="20"/>
          <w:shd w:val="clear" w:color="auto" w:fill="FFFFFF"/>
        </w:rPr>
        <w:t>erivada de una reclamación previa.</w:t>
      </w:r>
    </w:p>
    <w:p w14:paraId="45B5934E" w14:textId="77777777" w:rsidR="007C43CC" w:rsidRDefault="007C43CC" w:rsidP="006C25C4">
      <w:pPr>
        <w:spacing w:after="0" w:line="240" w:lineRule="auto"/>
        <w:ind w:left="709" w:right="709"/>
        <w:jc w:val="both"/>
        <w:rPr>
          <w:rFonts w:ascii="Verdana" w:hAnsi="Verdana" w:cs="Arial"/>
          <w:i/>
          <w:iCs/>
          <w:sz w:val="20"/>
          <w:szCs w:val="20"/>
          <w:shd w:val="clear" w:color="auto" w:fill="FFFFFF"/>
        </w:rPr>
      </w:pPr>
    </w:p>
    <w:p w14:paraId="3CBDF34C" w14:textId="4A374742" w:rsidR="00CA0615" w:rsidRPr="00DB6C5D" w:rsidRDefault="006C25C4" w:rsidP="006C25C4">
      <w:pPr>
        <w:spacing w:after="0" w:line="240" w:lineRule="auto"/>
        <w:ind w:left="709" w:right="709"/>
        <w:jc w:val="both"/>
        <w:rPr>
          <w:rFonts w:ascii="Verdana" w:hAnsi="Verdana" w:cs="Arial"/>
          <w:i/>
          <w:iCs/>
          <w:sz w:val="20"/>
          <w:szCs w:val="20"/>
          <w:shd w:val="clear" w:color="auto" w:fill="FFFFFF"/>
        </w:rPr>
      </w:pPr>
      <w:r w:rsidRPr="006C25C4">
        <w:rPr>
          <w:rFonts w:ascii="Verdana" w:hAnsi="Verdana" w:cs="Arial"/>
          <w:i/>
          <w:iCs/>
          <w:sz w:val="20"/>
          <w:szCs w:val="20"/>
          <w:shd w:val="clear" w:color="auto" w:fill="FFFFFF"/>
        </w:rPr>
        <w:t>6. Que se informe si existen conceptos previos, documentos tipo o pronunciamientos de Colombia Compra Eficiente que ya aborden estas materias.</w:t>
      </w:r>
    </w:p>
    <w:p w14:paraId="53E66ED8" w14:textId="77777777" w:rsidR="007C43CC" w:rsidRDefault="007C43CC" w:rsidP="00CA0615">
      <w:pPr>
        <w:pStyle w:val="Prrafodelista"/>
        <w:spacing w:after="0" w:line="240" w:lineRule="auto"/>
        <w:ind w:left="709" w:right="709"/>
        <w:jc w:val="both"/>
        <w:rPr>
          <w:rFonts w:ascii="Verdana" w:hAnsi="Verdana" w:cs="Arial"/>
          <w:i/>
          <w:iCs/>
          <w:sz w:val="20"/>
          <w:szCs w:val="20"/>
          <w:shd w:val="clear" w:color="auto" w:fill="FFFFFF"/>
          <w:lang w:val="es-CO"/>
        </w:rPr>
      </w:pPr>
    </w:p>
    <w:p w14:paraId="5E2B7C5B" w14:textId="3D287392" w:rsidR="00CA0615" w:rsidRPr="00A27714" w:rsidRDefault="006C25C4" w:rsidP="00CA0615">
      <w:pPr>
        <w:pStyle w:val="Prrafodelista"/>
        <w:spacing w:after="0" w:line="240" w:lineRule="auto"/>
        <w:ind w:left="709" w:right="709"/>
        <w:jc w:val="both"/>
        <w:rPr>
          <w:rFonts w:ascii="Verdana" w:hAnsi="Verdana" w:cs="Arial"/>
          <w:i/>
          <w:iCs/>
          <w:sz w:val="20"/>
          <w:szCs w:val="20"/>
          <w:shd w:val="clear" w:color="auto" w:fill="FFFFFF"/>
          <w:lang w:val="es-CO"/>
        </w:rPr>
      </w:pPr>
      <w:r>
        <w:rPr>
          <w:rFonts w:ascii="Verdana" w:hAnsi="Verdana" w:cs="Arial"/>
          <w:i/>
          <w:iCs/>
          <w:sz w:val="20"/>
          <w:szCs w:val="20"/>
          <w:shd w:val="clear" w:color="auto" w:fill="FFFFFF"/>
          <w:lang w:val="es-CO"/>
        </w:rPr>
        <w:t>(…)</w:t>
      </w:r>
      <w:r w:rsidR="00CA0615" w:rsidRPr="00A27714">
        <w:rPr>
          <w:rFonts w:ascii="Verdana" w:hAnsi="Verdana" w:cs="Arial"/>
          <w:i/>
          <w:iCs/>
          <w:sz w:val="20"/>
          <w:szCs w:val="20"/>
          <w:shd w:val="clear" w:color="auto" w:fill="FFFFFF"/>
          <w:lang w:val="es-CO"/>
        </w:rPr>
        <w:t>”</w:t>
      </w:r>
    </w:p>
    <w:p w14:paraId="454E8F6B" w14:textId="77777777" w:rsidR="00CA0615" w:rsidRPr="00DB6C5D" w:rsidRDefault="00CA0615" w:rsidP="00CA0615">
      <w:pPr>
        <w:spacing w:after="0" w:line="276" w:lineRule="auto"/>
        <w:jc w:val="both"/>
        <w:rPr>
          <w:rFonts w:ascii="Verdana" w:eastAsia="Calibri" w:hAnsi="Verdana" w:cs="Arial"/>
        </w:rPr>
      </w:pPr>
    </w:p>
    <w:p w14:paraId="71E0C5F9" w14:textId="77777777" w:rsidR="00CA0615" w:rsidRPr="00DB6C5D" w:rsidRDefault="00CA0615" w:rsidP="00CA0615">
      <w:pPr>
        <w:spacing w:after="120" w:line="276" w:lineRule="auto"/>
        <w:jc w:val="both"/>
        <w:rPr>
          <w:rFonts w:ascii="Verdana" w:eastAsia="Calibri" w:hAnsi="Verdana" w:cs="Arial"/>
          <w:color w:val="000000"/>
          <w:lang w:eastAsia="es-ES"/>
        </w:rPr>
      </w:pPr>
      <w:r w:rsidRPr="00DB6C5D">
        <w:rPr>
          <w:rFonts w:ascii="Verdana" w:eastAsia="Calibri" w:hAnsi="Verdana" w:cs="Arial"/>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w:t>
      </w:r>
      <w:r w:rsidRPr="00DB6C5D">
        <w:rPr>
          <w:rFonts w:ascii="Verdana" w:eastAsia="Calibri" w:hAnsi="Verdana" w:cs="Arial"/>
          <w:color w:val="000000"/>
          <w:lang w:eastAsia="es-ES"/>
        </w:rPr>
        <w:t xml:space="preserve">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DB6C5D">
        <w:rPr>
          <w:rFonts w:ascii="Verdana" w:eastAsia="Calibri" w:hAnsi="Verdana" w:cs="Arial"/>
          <w:color w:val="000000"/>
          <w:lang w:eastAsia="es-ES_tradnl"/>
        </w:rPr>
        <w:tab/>
      </w:r>
    </w:p>
    <w:p w14:paraId="5717D3F2" w14:textId="77777777" w:rsidR="00CA0615" w:rsidRPr="00DB6C5D" w:rsidRDefault="00CA0615" w:rsidP="00CA0615">
      <w:pPr>
        <w:spacing w:after="0" w:line="276" w:lineRule="auto"/>
        <w:ind w:firstLine="708"/>
        <w:jc w:val="both"/>
        <w:rPr>
          <w:rFonts w:ascii="Verdana" w:eastAsia="Calibri" w:hAnsi="Verdana" w:cs="Arial"/>
          <w:b/>
          <w:bCs/>
          <w:color w:val="000000"/>
          <w:lang w:eastAsia="es-ES"/>
        </w:rPr>
      </w:pPr>
      <w:r w:rsidRPr="00DB6C5D">
        <w:rPr>
          <w:rFonts w:ascii="Verdana" w:eastAsia="Calibri" w:hAnsi="Verdana" w:cs="Arial"/>
          <w:color w:val="000000"/>
          <w:lang w:eastAsia="es-ES"/>
        </w:rPr>
        <w:lastRenderedPageBreak/>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los</w:t>
      </w:r>
      <w:r w:rsidRPr="00DB6C5D">
        <w:rPr>
          <w:rFonts w:ascii="Verdana" w:eastAsia="Calibri" w:hAnsi="Verdana" w:cs="Arial"/>
          <w:color w:val="7030A0"/>
          <w:lang w:eastAsia="es-ES"/>
        </w:rPr>
        <w:t xml:space="preserve"> </w:t>
      </w:r>
      <w:r w:rsidRPr="00DB6C5D">
        <w:rPr>
          <w:rFonts w:ascii="Verdana" w:eastAsia="Calibri" w:hAnsi="Verdana" w:cs="Arial"/>
          <w:color w:val="000000"/>
          <w:lang w:eastAsia="es-ES"/>
        </w:rPr>
        <w:t>problemas</w:t>
      </w:r>
      <w:r w:rsidRPr="00DB6C5D">
        <w:rPr>
          <w:rFonts w:ascii="Verdana" w:eastAsia="Calibri" w:hAnsi="Verdana" w:cs="Arial"/>
          <w:color w:val="7030A0"/>
          <w:lang w:eastAsia="es-ES"/>
        </w:rPr>
        <w:t xml:space="preserve"> </w:t>
      </w:r>
      <w:r w:rsidRPr="00DB6C5D">
        <w:rPr>
          <w:rFonts w:ascii="Verdana" w:eastAsia="Calibri" w:hAnsi="Verdana" w:cs="Arial"/>
          <w:color w:val="000000"/>
          <w:lang w:eastAsia="es-ES"/>
        </w:rPr>
        <w:t>jurídicos</w:t>
      </w:r>
      <w:r w:rsidRPr="00DB6C5D">
        <w:rPr>
          <w:rFonts w:ascii="Verdana" w:eastAsia="Calibri" w:hAnsi="Verdana" w:cs="Arial"/>
          <w:color w:val="7030A0"/>
          <w:lang w:eastAsia="es-ES"/>
        </w:rPr>
        <w:t xml:space="preserve"> </w:t>
      </w:r>
      <w:r w:rsidRPr="00DB6C5D">
        <w:rPr>
          <w:rFonts w:ascii="Verdana" w:eastAsia="Calibri" w:hAnsi="Verdana" w:cs="Arial"/>
          <w:color w:val="000000"/>
          <w:lang w:eastAsia="es-ES"/>
        </w:rPr>
        <w:t>de su consulta.</w:t>
      </w:r>
      <w:r w:rsidRPr="00DB6C5D">
        <w:rPr>
          <w:rFonts w:ascii="Verdana" w:eastAsia="Calibri" w:hAnsi="Verdana" w:cs="Arial"/>
          <w:b/>
          <w:bCs/>
          <w:color w:val="000000"/>
          <w:lang w:eastAsia="es-ES"/>
        </w:rPr>
        <w:t xml:space="preserve"> </w:t>
      </w:r>
    </w:p>
    <w:p w14:paraId="482AD9BC" w14:textId="77777777" w:rsidR="00CA0615" w:rsidRPr="00DB6C5D" w:rsidRDefault="00CA0615" w:rsidP="00CA0615">
      <w:pPr>
        <w:spacing w:after="0" w:line="276" w:lineRule="auto"/>
        <w:ind w:firstLine="708"/>
        <w:jc w:val="both"/>
        <w:rPr>
          <w:rFonts w:ascii="Verdana" w:eastAsia="Calibri" w:hAnsi="Verdana" w:cs="Arial"/>
          <w:b/>
          <w:bCs/>
          <w:color w:val="000000"/>
          <w:lang w:eastAsia="es-ES"/>
        </w:rPr>
      </w:pPr>
    </w:p>
    <w:p w14:paraId="2EEFCD93" w14:textId="77777777" w:rsidR="00CA0615" w:rsidRPr="00DB6C5D" w:rsidRDefault="00CA0615" w:rsidP="00CA0615">
      <w:pPr>
        <w:numPr>
          <w:ilvl w:val="0"/>
          <w:numId w:val="16"/>
        </w:numPr>
        <w:tabs>
          <w:tab w:val="left" w:pos="142"/>
          <w:tab w:val="left" w:pos="284"/>
        </w:tabs>
        <w:spacing w:after="0" w:line="276" w:lineRule="auto"/>
        <w:ind w:left="0" w:firstLine="357"/>
        <w:jc w:val="both"/>
        <w:rPr>
          <w:rFonts w:ascii="Verdana" w:eastAsia="Century Gothic" w:hAnsi="Verdana" w:cs="Century Gothic"/>
        </w:rPr>
      </w:pPr>
      <w:r w:rsidRPr="00DB6C5D">
        <w:rPr>
          <w:rFonts w:ascii="Verdana" w:eastAsia="Century Gothic" w:hAnsi="Verdana" w:cs="Century Gothic"/>
          <w:b/>
          <w:bCs/>
        </w:rPr>
        <w:t>Problema planteado:</w:t>
      </w:r>
    </w:p>
    <w:p w14:paraId="40AE56CC" w14:textId="77777777" w:rsidR="00CA0615" w:rsidRPr="00DB6C5D" w:rsidRDefault="00CA0615" w:rsidP="00CA0615">
      <w:pPr>
        <w:spacing w:after="0" w:line="276" w:lineRule="auto"/>
        <w:jc w:val="both"/>
        <w:rPr>
          <w:rFonts w:ascii="Verdana" w:eastAsia="Century Gothic" w:hAnsi="Verdana" w:cs="Century Gothic"/>
        </w:rPr>
      </w:pPr>
    </w:p>
    <w:p w14:paraId="5CAECF96" w14:textId="52BA63F4" w:rsidR="003378A0" w:rsidRDefault="00CA0615" w:rsidP="00FB27CA">
      <w:pPr>
        <w:spacing w:after="0" w:line="276" w:lineRule="auto"/>
        <w:jc w:val="both"/>
        <w:rPr>
          <w:rFonts w:ascii="Verdana" w:eastAsia="Verdana" w:hAnsi="Verdana" w:cs="Verdana"/>
        </w:rPr>
      </w:pPr>
      <w:r w:rsidRPr="003378A0">
        <w:rPr>
          <w:rFonts w:ascii="Verdana" w:eastAsia="Century Gothic" w:hAnsi="Verdana" w:cs="Century Gothic"/>
        </w:rPr>
        <w:t>De acuerdo con el contenido de su solicitud, esta Agencia resolverá los siguientes problemas jurídicos:</w:t>
      </w:r>
      <w:r w:rsidRPr="003378A0">
        <w:rPr>
          <w:rFonts w:ascii="Verdana" w:eastAsia="Calibri" w:hAnsi="Verdana" w:cs="Times New Roman"/>
          <w:iCs/>
        </w:rPr>
        <w:t xml:space="preserve"> </w:t>
      </w:r>
      <w:r w:rsidR="00D032C5">
        <w:rPr>
          <w:rFonts w:ascii="Verdana" w:eastAsia="Calibri" w:hAnsi="Verdana" w:cs="Times New Roman"/>
          <w:iCs/>
        </w:rPr>
        <w:t xml:space="preserve">i. </w:t>
      </w:r>
      <w:r w:rsidR="003378A0" w:rsidRPr="003378A0">
        <w:rPr>
          <w:rFonts w:ascii="Verdana" w:eastAsia="Century Gothic" w:hAnsi="Verdana" w:cs="Century Gothic"/>
        </w:rPr>
        <w:t>¿</w:t>
      </w:r>
      <w:r w:rsidR="00351D7E">
        <w:rPr>
          <w:rFonts w:ascii="Verdana" w:eastAsia="Century Gothic" w:hAnsi="Verdana" w:cs="Century Gothic"/>
        </w:rPr>
        <w:t>L</w:t>
      </w:r>
      <w:r w:rsidR="003378A0" w:rsidRPr="003378A0">
        <w:rPr>
          <w:rFonts w:ascii="Verdana" w:eastAsia="Century Gothic" w:hAnsi="Verdana" w:cs="Century Gothic"/>
        </w:rPr>
        <w:t xml:space="preserve">a aprobación de las garantías por parte de la entidad estatal </w:t>
      </w:r>
      <w:r w:rsidR="00351D7E">
        <w:rPr>
          <w:rFonts w:ascii="Verdana" w:eastAsia="Century Gothic" w:hAnsi="Verdana" w:cs="Century Gothic"/>
        </w:rPr>
        <w:t>c</w:t>
      </w:r>
      <w:r w:rsidR="00351D7E" w:rsidRPr="003378A0">
        <w:rPr>
          <w:rFonts w:ascii="Verdana" w:eastAsia="Century Gothic" w:hAnsi="Verdana" w:cs="Century Gothic"/>
        </w:rPr>
        <w:t xml:space="preserve">onstituye </w:t>
      </w:r>
      <w:r w:rsidR="003378A0" w:rsidRPr="003378A0">
        <w:rPr>
          <w:rFonts w:ascii="Verdana" w:eastAsia="Century Gothic" w:hAnsi="Verdana" w:cs="Century Gothic"/>
        </w:rPr>
        <w:t>un requisito necesario para el inicio de la ejecución del contrato?</w:t>
      </w:r>
      <w:r w:rsidR="00F13347">
        <w:rPr>
          <w:rFonts w:ascii="Verdana" w:eastAsia="Century Gothic" w:hAnsi="Verdana" w:cs="Century Gothic"/>
        </w:rPr>
        <w:t>;</w:t>
      </w:r>
      <w:r w:rsidR="00D032C5">
        <w:rPr>
          <w:rFonts w:ascii="Verdana" w:eastAsia="Century Gothic" w:hAnsi="Verdana" w:cs="Century Gothic"/>
        </w:rPr>
        <w:t xml:space="preserve"> ii. </w:t>
      </w:r>
      <w:r w:rsidR="005077F5" w:rsidRPr="00E03546">
        <w:rPr>
          <w:rFonts w:ascii="Verdana" w:eastAsia="Verdana" w:hAnsi="Verdana" w:cs="Verdana"/>
          <w:lang w:val="es-ES"/>
        </w:rPr>
        <w:t>¿</w:t>
      </w:r>
      <w:r w:rsidR="005077F5" w:rsidRPr="00E03546">
        <w:rPr>
          <w:rFonts w:ascii="Verdana" w:eastAsia="Calibri" w:hAnsi="Verdana" w:cs="Arial"/>
        </w:rPr>
        <w:t>De acuerdo con el</w:t>
      </w:r>
      <w:r w:rsidR="005077F5" w:rsidRPr="00E03546">
        <w:rPr>
          <w:rFonts w:ascii="Verdana" w:eastAsia="Calibri" w:hAnsi="Verdana" w:cs="Arial"/>
          <w:spacing w:val="-5"/>
        </w:rPr>
        <w:t xml:space="preserve"> </w:t>
      </w:r>
      <w:r w:rsidR="005077F5" w:rsidRPr="00E03546">
        <w:rPr>
          <w:rFonts w:ascii="Verdana" w:eastAsia="Calibri" w:hAnsi="Verdana" w:cs="Arial"/>
        </w:rPr>
        <w:t>artículo</w:t>
      </w:r>
      <w:r w:rsidR="005077F5" w:rsidRPr="00E03546">
        <w:rPr>
          <w:rFonts w:ascii="Verdana" w:eastAsia="Calibri" w:hAnsi="Verdana" w:cs="Arial"/>
          <w:spacing w:val="-3"/>
        </w:rPr>
        <w:t xml:space="preserve"> </w:t>
      </w:r>
      <w:r w:rsidR="005077F5" w:rsidRPr="00E03546">
        <w:rPr>
          <w:rFonts w:ascii="Verdana" w:eastAsia="Calibri" w:hAnsi="Verdana" w:cs="Arial"/>
        </w:rPr>
        <w:t>2.2.1.2.3.1.12 del</w:t>
      </w:r>
      <w:r w:rsidR="005077F5" w:rsidRPr="00E03546">
        <w:rPr>
          <w:rFonts w:ascii="Verdana" w:eastAsia="Calibri" w:hAnsi="Verdana" w:cs="Arial"/>
          <w:spacing w:val="-5"/>
        </w:rPr>
        <w:t xml:space="preserve"> </w:t>
      </w:r>
      <w:r w:rsidR="005077F5" w:rsidRPr="00E03546">
        <w:rPr>
          <w:rFonts w:ascii="Verdana" w:eastAsia="Calibri" w:hAnsi="Verdana" w:cs="Arial"/>
        </w:rPr>
        <w:t>Decreto</w:t>
      </w:r>
      <w:r w:rsidR="005077F5" w:rsidRPr="00E03546">
        <w:rPr>
          <w:rFonts w:ascii="Verdana" w:eastAsia="Calibri" w:hAnsi="Verdana" w:cs="Arial"/>
          <w:spacing w:val="-3"/>
        </w:rPr>
        <w:t xml:space="preserve"> </w:t>
      </w:r>
      <w:r w:rsidR="005077F5" w:rsidRPr="00E03546">
        <w:rPr>
          <w:rFonts w:ascii="Verdana" w:eastAsia="Calibri" w:hAnsi="Verdana" w:cs="Arial"/>
        </w:rPr>
        <w:t>1082</w:t>
      </w:r>
      <w:r w:rsidR="005077F5" w:rsidRPr="00E03546">
        <w:rPr>
          <w:rFonts w:ascii="Verdana" w:eastAsia="Calibri" w:hAnsi="Verdana" w:cs="Arial"/>
          <w:spacing w:val="-4"/>
        </w:rPr>
        <w:t xml:space="preserve"> </w:t>
      </w:r>
      <w:r w:rsidR="005077F5" w:rsidRPr="00E03546">
        <w:rPr>
          <w:rFonts w:ascii="Verdana" w:eastAsia="Calibri" w:hAnsi="Verdana" w:cs="Arial"/>
        </w:rPr>
        <w:t>de</w:t>
      </w:r>
      <w:r w:rsidR="005077F5" w:rsidRPr="00E03546">
        <w:rPr>
          <w:rFonts w:ascii="Verdana" w:eastAsia="Calibri" w:hAnsi="Verdana" w:cs="Arial"/>
          <w:spacing w:val="-5"/>
        </w:rPr>
        <w:t xml:space="preserve"> </w:t>
      </w:r>
      <w:r w:rsidR="005077F5" w:rsidRPr="00E03546">
        <w:rPr>
          <w:rFonts w:ascii="Verdana" w:eastAsia="Calibri" w:hAnsi="Verdana" w:cs="Arial"/>
        </w:rPr>
        <w:t>2015</w:t>
      </w:r>
      <w:r w:rsidR="005077F5" w:rsidRPr="00E03546">
        <w:rPr>
          <w:rFonts w:ascii="Verdana" w:eastAsia="Calibri" w:hAnsi="Verdana" w:cs="Arial"/>
          <w:spacing w:val="-4"/>
        </w:rPr>
        <w:t xml:space="preserve"> </w:t>
      </w:r>
      <w:r w:rsidR="005077F5" w:rsidRPr="00E03546">
        <w:rPr>
          <w:rFonts w:ascii="Verdana" w:eastAsia="Calibri" w:hAnsi="Verdana" w:cs="Arial"/>
        </w:rPr>
        <w:t>cu</w:t>
      </w:r>
      <w:r w:rsidR="00F02437">
        <w:rPr>
          <w:rFonts w:ascii="Verdana" w:eastAsia="Calibri" w:hAnsi="Verdana" w:cs="Arial"/>
        </w:rPr>
        <w:t>á</w:t>
      </w:r>
      <w:r w:rsidR="005077F5" w:rsidRPr="00E03546">
        <w:rPr>
          <w:rFonts w:ascii="Verdana" w:eastAsia="Calibri" w:hAnsi="Verdana" w:cs="Arial"/>
        </w:rPr>
        <w:t>l debe ser la vigencia mínima de la garantía de cumplimiento?</w:t>
      </w:r>
      <w:r w:rsidR="005077F5">
        <w:rPr>
          <w:rFonts w:ascii="Verdana" w:eastAsia="Calibri" w:hAnsi="Verdana" w:cs="Arial"/>
        </w:rPr>
        <w:t xml:space="preserve"> </w:t>
      </w:r>
      <w:r w:rsidR="00F13347">
        <w:rPr>
          <w:rFonts w:ascii="Verdana" w:eastAsia="Calibri" w:hAnsi="Verdana" w:cs="Arial"/>
        </w:rPr>
        <w:t>y;</w:t>
      </w:r>
      <w:r w:rsidR="005077F5" w:rsidRPr="00E03546">
        <w:rPr>
          <w:rFonts w:ascii="Verdana" w:eastAsia="Century Gothic" w:hAnsi="Verdana" w:cs="Century Gothic"/>
        </w:rPr>
        <w:t xml:space="preserve"> </w:t>
      </w:r>
      <w:r w:rsidR="005077F5">
        <w:rPr>
          <w:rFonts w:ascii="Verdana" w:eastAsia="Century Gothic" w:hAnsi="Verdana" w:cs="Century Gothic"/>
        </w:rPr>
        <w:t xml:space="preserve"> iii. </w:t>
      </w:r>
      <w:r w:rsidR="00FB27CA" w:rsidRPr="00FB27CA">
        <w:rPr>
          <w:rFonts w:ascii="Verdana" w:eastAsia="Verdana" w:hAnsi="Verdana" w:cs="Verdana"/>
        </w:rPr>
        <w:t>¿En qué eventos procede el restablecimiento o la ampliación de las garantías de conformidad con el artículo 2.2.1.2.3.1.18 del Decreto 1082 de 2015?</w:t>
      </w:r>
    </w:p>
    <w:p w14:paraId="7AB75101" w14:textId="77777777" w:rsidR="00E00CC7" w:rsidRPr="003378A0" w:rsidRDefault="00E00CC7" w:rsidP="00FB27CA">
      <w:pPr>
        <w:spacing w:after="0" w:line="276" w:lineRule="auto"/>
        <w:jc w:val="both"/>
        <w:rPr>
          <w:rFonts w:ascii="Verdana" w:eastAsia="Century Gothic" w:hAnsi="Verdana" w:cs="Century Gothic"/>
        </w:rPr>
      </w:pPr>
    </w:p>
    <w:p w14:paraId="01790590" w14:textId="77777777" w:rsidR="00CA0615" w:rsidRPr="00DB6C5D" w:rsidRDefault="00CA0615" w:rsidP="00A60048">
      <w:pPr>
        <w:numPr>
          <w:ilvl w:val="0"/>
          <w:numId w:val="16"/>
        </w:numPr>
        <w:tabs>
          <w:tab w:val="left" w:pos="142"/>
          <w:tab w:val="left" w:pos="284"/>
        </w:tabs>
        <w:spacing w:after="0" w:line="276" w:lineRule="auto"/>
        <w:ind w:left="0" w:firstLine="357"/>
        <w:jc w:val="both"/>
        <w:rPr>
          <w:rFonts w:ascii="Verdana" w:eastAsia="Century Gothic" w:hAnsi="Verdana" w:cs="Century Gothic"/>
          <w:b/>
          <w:bCs/>
        </w:rPr>
      </w:pPr>
      <w:r w:rsidRPr="00DB6C5D">
        <w:rPr>
          <w:rFonts w:ascii="Verdana" w:eastAsia="Century Gothic" w:hAnsi="Verdana" w:cs="Century Gothic"/>
          <w:b/>
          <w:bCs/>
        </w:rPr>
        <w:t xml:space="preserve"> Respuesta: </w:t>
      </w:r>
    </w:p>
    <w:p w14:paraId="1AD71A37" w14:textId="77777777" w:rsidR="00CA0615" w:rsidRPr="00DB6C5D" w:rsidRDefault="00CA0615" w:rsidP="00CA0615">
      <w:pPr>
        <w:tabs>
          <w:tab w:val="left" w:pos="142"/>
          <w:tab w:val="left" w:pos="284"/>
        </w:tabs>
        <w:spacing w:after="0" w:line="276" w:lineRule="auto"/>
        <w:ind w:left="357"/>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A0615" w:rsidRPr="00DB6C5D" w14:paraId="36DE37A7" w14:textId="77777777" w:rsidTr="00C45291">
        <w:trPr>
          <w:jc w:val="center"/>
        </w:trPr>
        <w:tc>
          <w:tcPr>
            <w:tcW w:w="8828" w:type="dxa"/>
          </w:tcPr>
          <w:p w14:paraId="1E18C460" w14:textId="51938323" w:rsidR="000D24E1" w:rsidRPr="0062422C" w:rsidRDefault="00782726" w:rsidP="00F73D3D">
            <w:pPr>
              <w:spacing w:after="120" w:line="276" w:lineRule="auto"/>
              <w:jc w:val="both"/>
              <w:rPr>
                <w:rFonts w:ascii="Verdana" w:eastAsia="Calibri" w:hAnsi="Verdana" w:cs="Arial"/>
              </w:rPr>
            </w:pPr>
            <w:bookmarkStart w:id="3" w:name="_Hlk171694685"/>
            <w:r>
              <w:rPr>
                <w:rFonts w:ascii="Verdana" w:eastAsia="Calibri" w:hAnsi="Verdana" w:cs="Arial"/>
              </w:rPr>
              <w:t xml:space="preserve">i. </w:t>
            </w:r>
            <w:r w:rsidR="00CA0615" w:rsidRPr="00A60048">
              <w:rPr>
                <w:rFonts w:ascii="Verdana" w:eastAsia="Calibri" w:hAnsi="Verdana" w:cs="Arial"/>
              </w:rPr>
              <w:t xml:space="preserve">Para dar respuesta al </w:t>
            </w:r>
            <w:r w:rsidR="00933474" w:rsidRPr="00A60048">
              <w:rPr>
                <w:rFonts w:ascii="Verdana" w:eastAsia="Calibri" w:hAnsi="Verdana" w:cs="Arial"/>
              </w:rPr>
              <w:t xml:space="preserve">primer </w:t>
            </w:r>
            <w:r w:rsidR="00CA0615" w:rsidRPr="00A60048">
              <w:rPr>
                <w:rFonts w:ascii="Verdana" w:eastAsia="Calibri" w:hAnsi="Verdana" w:cs="Arial"/>
              </w:rPr>
              <w:t xml:space="preserve">problema jurídico derivado de su consulta, es pertinente precisar que </w:t>
            </w:r>
            <w:r w:rsidR="00BC1E86" w:rsidRPr="00782726">
              <w:rPr>
                <w:rFonts w:ascii="Verdana" w:eastAsia="Calibri" w:hAnsi="Verdana" w:cs="Arial"/>
              </w:rPr>
              <w:t>l</w:t>
            </w:r>
            <w:r w:rsidR="000D24E1" w:rsidRPr="00782726">
              <w:rPr>
                <w:rFonts w:ascii="Verdana" w:eastAsia="Calibri" w:hAnsi="Verdana" w:cs="Arial"/>
              </w:rPr>
              <w:t>as garantías en la contratación estatal funcionan como instrumentos esenciales para la cobertura de riesgos comunes en los procesos de selección y ejecución. Conforme a la normativa vig</w:t>
            </w:r>
            <w:r w:rsidR="000D24E1" w:rsidRPr="0062422C">
              <w:rPr>
                <w:rFonts w:ascii="Verdana" w:eastAsia="Calibri" w:hAnsi="Verdana" w:cs="Arial"/>
              </w:rPr>
              <w:t xml:space="preserve">ente, los proponentes o contratistas disponen de diversas opciones para respaldar sus obligaciones frente a las entidades estatales, pudiendo otorgar contratos de seguro, fiducia mercantil de garantía, o garantías bancarias y cartas de crédito stand by. Estos instrumentos permiten que la administración cuente con un respaldo sólido ante eventuales incumplimientos o daños, asegurando que el riesgo sea trasladado a un tercero con capacidad financiera. </w:t>
            </w:r>
          </w:p>
          <w:p w14:paraId="7AB7F8FF" w14:textId="4ED629E7" w:rsidR="00584B6C" w:rsidRPr="00584B6C" w:rsidRDefault="00584B6C" w:rsidP="00F73D3D">
            <w:pPr>
              <w:spacing w:after="120" w:line="276" w:lineRule="auto"/>
              <w:ind w:firstLine="709"/>
              <w:jc w:val="both"/>
              <w:rPr>
                <w:rFonts w:ascii="Verdana" w:eastAsia="Calibri" w:hAnsi="Verdana" w:cs="Arial"/>
              </w:rPr>
            </w:pPr>
            <w:r w:rsidRPr="00584B6C">
              <w:rPr>
                <w:rFonts w:ascii="Verdana" w:eastAsia="Calibri" w:hAnsi="Verdana" w:cs="Arial"/>
              </w:rPr>
              <w:t xml:space="preserve">De conformidad con el inciso segundo del artículo 41 de la Ley 80 de 1993, modificado por el artículo 23 de la Ley 1150 de 2007, para la ejecución del contrato estatal se requiere la aprobación de la garantía. En consecuencia, la aprobación de las garantías constituye un requisito legal de ejecución y, por tanto, sin perjuicio del perfeccionamiento del contrato, este no puede iniciar su ejecución mientras las garantías exigidas no hayan sido aprobadas por la Entidad Estatal. Así lo ha precisado </w:t>
            </w:r>
            <w:r w:rsidR="00401440">
              <w:rPr>
                <w:rFonts w:ascii="Verdana" w:eastAsia="Calibri" w:hAnsi="Verdana" w:cs="Arial"/>
              </w:rPr>
              <w:t>esta Agencia</w:t>
            </w:r>
            <w:r w:rsidRPr="00584B6C">
              <w:rPr>
                <w:rFonts w:ascii="Verdana" w:eastAsia="Calibri" w:hAnsi="Verdana" w:cs="Arial"/>
              </w:rPr>
              <w:t xml:space="preserve"> al señalar que la aprobación </w:t>
            </w:r>
            <w:r w:rsidRPr="00584B6C">
              <w:rPr>
                <w:rFonts w:ascii="Verdana" w:eastAsia="Calibri" w:hAnsi="Verdana" w:cs="Arial"/>
              </w:rPr>
              <w:lastRenderedPageBreak/>
              <w:t>de las garantías es un requisito para el inicio de la ejecución del contrato, mas no para su perfeccionamiento.</w:t>
            </w:r>
          </w:p>
          <w:p w14:paraId="7ED83D87" w14:textId="77777777" w:rsidR="00584B6C" w:rsidRPr="00584B6C" w:rsidRDefault="00584B6C" w:rsidP="00F73D3D">
            <w:pPr>
              <w:spacing w:after="120" w:line="276" w:lineRule="auto"/>
              <w:ind w:firstLine="709"/>
              <w:jc w:val="both"/>
              <w:rPr>
                <w:rFonts w:ascii="Verdana" w:eastAsia="Calibri" w:hAnsi="Verdana" w:cs="Arial"/>
              </w:rPr>
            </w:pPr>
            <w:r w:rsidRPr="00584B6C">
              <w:rPr>
                <w:rFonts w:ascii="Verdana" w:eastAsia="Calibri" w:hAnsi="Verdana" w:cs="Arial"/>
              </w:rPr>
              <w:t>En este sentido, para iniciar la ejecución contractual, el contratista debe constituir las garantías exigidas y presentarlas a la Entidad Estatal para su respectiva verificación y aprobación. La Entidad Estatal, a su vez, debe verificar que las garantías cumplan las condiciones exigidas en el contrato y con los requisitos de suficiencia previstos en el ordenamiento jurídico, para proceder a su aprobación. La ANCP–CCE ha precisado que esta verificación comprende, entre otros aspectos, la correspondencia de los valores asegurados con los exigidos contractualmente, su vigencia, la identificación del tomador y beneficiario y las condiciones generales de la póliza.</w:t>
            </w:r>
          </w:p>
          <w:p w14:paraId="48BD5DA7" w14:textId="77777777" w:rsidR="00584B6C" w:rsidRPr="00584B6C" w:rsidRDefault="00584B6C" w:rsidP="00F73D3D">
            <w:pPr>
              <w:spacing w:after="120" w:line="276" w:lineRule="auto"/>
              <w:ind w:firstLine="709"/>
              <w:jc w:val="both"/>
              <w:rPr>
                <w:rFonts w:ascii="Verdana" w:eastAsia="Calibri" w:hAnsi="Verdana" w:cs="Arial"/>
              </w:rPr>
            </w:pPr>
            <w:r w:rsidRPr="00584B6C">
              <w:rPr>
                <w:rFonts w:ascii="Verdana" w:eastAsia="Calibri" w:hAnsi="Verdana" w:cs="Arial"/>
              </w:rPr>
              <w:t>La exigencia de aprobación se predica de las garantías contractuales requeridas en el respectivo contrato, entre ellas la garantía única de cumplimiento, con sus correspondientes amparos, y la garantía de responsabilidad civil extracontractual cuando esta haya sido exigida. La constitución y aprobación de estas garantías tiene como finalidad que, antes de iniciar la ejecución, la Entidad Estatal verifique que los riesgos asociados al contrato se encuentren debidamente amparados y que se cuente con la protección correspondiente frente a los eventuales incumplimientos del contratista.</w:t>
            </w:r>
          </w:p>
          <w:p w14:paraId="23BEA204" w14:textId="238234BC" w:rsidR="00584B6C" w:rsidRPr="00584B6C" w:rsidRDefault="00584B6C" w:rsidP="00BB69FD">
            <w:pPr>
              <w:spacing w:line="276" w:lineRule="auto"/>
              <w:ind w:firstLine="709"/>
              <w:jc w:val="both"/>
              <w:rPr>
                <w:rFonts w:ascii="Verdana" w:eastAsia="Calibri" w:hAnsi="Verdana" w:cs="Arial"/>
              </w:rPr>
            </w:pPr>
            <w:r w:rsidRPr="00584B6C">
              <w:rPr>
                <w:rFonts w:ascii="Verdana" w:eastAsia="Calibri" w:hAnsi="Verdana" w:cs="Arial"/>
              </w:rPr>
              <w:t>En consecuencia, la aprobación de las garantías por parte de la Entidad Estatal constituye un requisito necesario para el inicio de la ejecución del contrato cuando estas hayan sido exigidas, de manera que el perfeccionamiento del contrato no habilita por sí solo su ejecución. Esta regla distingue claramente entre el perfeccionamiento del contrato y el cumplimiento de los requisitos legales necesarios para su ejecución.</w:t>
            </w:r>
          </w:p>
          <w:p w14:paraId="552DD7DA" w14:textId="77777777" w:rsidR="0062422C" w:rsidRPr="0062422C" w:rsidRDefault="0062422C" w:rsidP="00F73D3D">
            <w:pPr>
              <w:spacing w:line="276" w:lineRule="auto"/>
              <w:ind w:firstLine="709"/>
              <w:jc w:val="both"/>
              <w:rPr>
                <w:rFonts w:ascii="Verdana" w:eastAsia="Calibri" w:hAnsi="Verdana" w:cs="Arial"/>
              </w:rPr>
            </w:pPr>
          </w:p>
          <w:p w14:paraId="238F6D1B" w14:textId="34A2D6C4" w:rsidR="005D2852" w:rsidRPr="00BB69FD" w:rsidRDefault="0062422C" w:rsidP="00F73D3D">
            <w:pPr>
              <w:spacing w:after="120" w:line="276" w:lineRule="auto"/>
              <w:jc w:val="both"/>
              <w:rPr>
                <w:rFonts w:ascii="Verdana" w:eastAsia="Calibri" w:hAnsi="Verdana" w:cs="Arial"/>
              </w:rPr>
            </w:pPr>
            <w:r>
              <w:rPr>
                <w:rFonts w:ascii="Verdana" w:eastAsia="Calibri" w:hAnsi="Verdana" w:cs="Arial"/>
              </w:rPr>
              <w:t xml:space="preserve">ii. </w:t>
            </w:r>
            <w:r w:rsidR="006D3484" w:rsidRPr="0062422C">
              <w:rPr>
                <w:rFonts w:ascii="Verdana" w:eastAsia="Calibri" w:hAnsi="Verdana" w:cs="Arial"/>
              </w:rPr>
              <w:t>Frente al segundo problema jurídico</w:t>
            </w:r>
            <w:r w:rsidR="00371BC8" w:rsidRPr="0062422C">
              <w:rPr>
                <w:rFonts w:ascii="Verdana" w:eastAsia="Calibri" w:hAnsi="Verdana" w:cs="Arial"/>
              </w:rPr>
              <w:t xml:space="preserve"> </w:t>
            </w:r>
            <w:r w:rsidR="00584B6C" w:rsidRPr="0062422C">
              <w:rPr>
                <w:rFonts w:ascii="Verdana" w:eastAsia="Calibri" w:hAnsi="Verdana" w:cs="Arial"/>
              </w:rPr>
              <w:t>que nos ocupa,</w:t>
            </w:r>
            <w:r w:rsidR="00371BC8" w:rsidRPr="0062422C">
              <w:rPr>
                <w:rFonts w:ascii="Verdana" w:eastAsia="Calibri" w:hAnsi="Verdana" w:cs="Arial"/>
              </w:rPr>
              <w:t xml:space="preserve"> es menester precisar que e</w:t>
            </w:r>
            <w:r w:rsidR="005D2852" w:rsidRPr="0062422C">
              <w:rPr>
                <w:rFonts w:ascii="Verdana" w:eastAsia="Calibri" w:hAnsi="Verdana" w:cs="Arial"/>
              </w:rPr>
              <w:t>l artículo 2.2.1.2.3.1.12 del Decreto 1082 de 2015 regula la suficiencia de la garantía de cumplimiento. Esta debe tener una vigencia mínima hasta la liquidación y, por regla general un valor de por lo menos el diez por ciento (10%) del total del contrato,</w:t>
            </w:r>
            <w:r w:rsidR="005D2852" w:rsidRPr="00BB69FD">
              <w:rPr>
                <w:rFonts w:ascii="Verdana" w:eastAsia="Calibri" w:hAnsi="Verdana" w:cs="Arial"/>
              </w:rPr>
              <w:t xml:space="preserve"> siempre que este sea inferior a un millón (1.000.000) de smmlv. Conforme la norma citada, el amparo cubre tanto el plazo de ejecución como el plazo de vigencia del contrato.</w:t>
            </w:r>
          </w:p>
          <w:p w14:paraId="50596146" w14:textId="7B2C42C4" w:rsidR="005D2852" w:rsidRPr="001400F4" w:rsidRDefault="005D2852" w:rsidP="00F73D3D">
            <w:pPr>
              <w:spacing w:line="276" w:lineRule="auto"/>
              <w:ind w:firstLine="709"/>
              <w:jc w:val="both"/>
              <w:rPr>
                <w:rFonts w:ascii="Verdana" w:eastAsia="Calibri" w:hAnsi="Verdana" w:cs="Arial"/>
              </w:rPr>
            </w:pPr>
            <w:r w:rsidRPr="001400F4">
              <w:rPr>
                <w:rFonts w:ascii="Verdana" w:eastAsia="Calibri" w:hAnsi="Verdana" w:cs="Arial"/>
              </w:rPr>
              <w:lastRenderedPageBreak/>
              <w:t>Así, la cobertura mínima del amparo de cumplimiento cubre el plazo de ejecución y el plazo de vigencia, el cual finaliza con la liquidación. En palabras de la doctrina, “[…] el contratista deberá otorgarla con una vigencia igual al plazo del contrato garantizado más el plazo contractual previsto para la liquidación de aquel. En caso de no haberse convenido por las partes un término para la liquidación del contrato, la garantía deberá mantenerse vigente por el término legal previsto para este efecto […]”.</w:t>
            </w:r>
          </w:p>
          <w:p w14:paraId="6C0A5D4D" w14:textId="77777777" w:rsidR="0062422C" w:rsidRDefault="0062422C" w:rsidP="00F73D3D">
            <w:pPr>
              <w:spacing w:line="276" w:lineRule="auto"/>
              <w:ind w:firstLine="709"/>
              <w:jc w:val="both"/>
              <w:rPr>
                <w:rFonts w:ascii="Verdana" w:eastAsia="Calibri" w:hAnsi="Verdana" w:cs="Arial"/>
              </w:rPr>
            </w:pPr>
          </w:p>
          <w:p w14:paraId="0C1518B0" w14:textId="0EF36EBD" w:rsidR="001400F4" w:rsidRPr="0079733B" w:rsidRDefault="0062422C" w:rsidP="00F73D3D">
            <w:pPr>
              <w:spacing w:after="120" w:line="276" w:lineRule="auto"/>
              <w:jc w:val="both"/>
              <w:rPr>
                <w:rFonts w:ascii="Verdana" w:eastAsia="Calibri" w:hAnsi="Verdana" w:cs="Arial"/>
              </w:rPr>
            </w:pPr>
            <w:r>
              <w:rPr>
                <w:rFonts w:ascii="Verdana" w:eastAsia="Calibri" w:hAnsi="Verdana" w:cs="Arial"/>
              </w:rPr>
              <w:t xml:space="preserve">iii. </w:t>
            </w:r>
            <w:r w:rsidR="0079733B" w:rsidRPr="00A60048">
              <w:rPr>
                <w:rFonts w:ascii="Verdana" w:eastAsia="Calibri" w:hAnsi="Verdana" w:cs="Arial"/>
              </w:rPr>
              <w:t>En relación con el tercer problema jurídico, d</w:t>
            </w:r>
            <w:r w:rsidR="001400F4" w:rsidRPr="0079733B">
              <w:rPr>
                <w:rFonts w:ascii="Verdana" w:eastAsia="Calibri" w:hAnsi="Verdana" w:cs="Arial"/>
              </w:rPr>
              <w:t>e conformidad con el artículo 2.2.1.2.3.1.18 del Decreto 1082 de 2015, el restablecimiento o ampliación de las garantías procede ante los supuestos específicos previstos en dicha disposición. En primer lugar, cuando, con ocasión de las reclamaciones efectuadas por la Entidad Estatal, se reduzca el valor de la garantía, esta debe solicitar al contratista su restablecimiento hasta alcanzar el valor inicialmente garantizado. En este supuesto, la obligación de restablecer la garantía se encuentra vinculada a la existencia de una reclamación de la Entidad Estatal que haya producido una disminución del valor garantizado.</w:t>
            </w:r>
          </w:p>
          <w:p w14:paraId="2060CC17" w14:textId="77777777" w:rsidR="001400F4" w:rsidRPr="001400F4" w:rsidRDefault="001400F4" w:rsidP="00F73D3D">
            <w:pPr>
              <w:spacing w:after="120" w:line="276" w:lineRule="auto"/>
              <w:ind w:firstLine="709"/>
              <w:jc w:val="both"/>
              <w:rPr>
                <w:rFonts w:ascii="Verdana" w:eastAsia="Calibri" w:hAnsi="Verdana" w:cs="Arial"/>
              </w:rPr>
            </w:pPr>
            <w:r w:rsidRPr="001400F4">
              <w:rPr>
                <w:rFonts w:ascii="Verdana" w:eastAsia="Calibri" w:hAnsi="Verdana" w:cs="Arial"/>
              </w:rPr>
              <w:t>En segundo lugar, cuando el contrato sea modificado para incrementar su valor o prorrogar su plazo, la Entidad Estatal debe exigir al contratista, según corresponda, la ampliación del valor de la garantía o de su vigencia. En estos eventos, la modificación de la garantía debe efectuarse una vez se perfeccione la modificación contractual y ser presentada por el contratista para aprobación de la Entidad Estatal. En particular, cuando se trate de una prórroga, la aprobación de la ampliación de la garantía constituye un requisito para la ejecución del contrato durante el período prorrogado, de conformidad con el inciso segundo del artículo 41 de la Ley 80 de 1993. Por ello, la Entidad Estatal debe procurar que la garantía ampliada sea aprobada antes del vencimiento del plazo inicialmente pactado, con el fin de que la ejecución contractual pueda continuar durante el período objeto de prórroga.</w:t>
            </w:r>
          </w:p>
          <w:p w14:paraId="3C825204" w14:textId="77777777" w:rsidR="001400F4" w:rsidRPr="001400F4" w:rsidRDefault="001400F4" w:rsidP="00F73D3D">
            <w:pPr>
              <w:spacing w:after="120" w:line="276" w:lineRule="auto"/>
              <w:ind w:firstLine="709"/>
              <w:jc w:val="both"/>
              <w:rPr>
                <w:rFonts w:ascii="Verdana" w:eastAsia="Calibri" w:hAnsi="Verdana" w:cs="Arial"/>
              </w:rPr>
            </w:pPr>
            <w:r w:rsidRPr="001400F4">
              <w:rPr>
                <w:rFonts w:ascii="Verdana" w:eastAsia="Calibri" w:hAnsi="Verdana" w:cs="Arial"/>
              </w:rPr>
              <w:t xml:space="preserve">En estos supuestos, la garantía debe ajustarse a las nuevas condiciones contractuales de plazo o valor y cumplir los requisitos de suficiencia establecidos en el Decreto 1082 de 2015. Asimismo, el contratista debe presentar oportunamente la correspondiente modificación de la garantía, de acuerdo con el plazo que se haya establecido en la respectiva modificación contractual, entre otras razones, para evitar que resulte aplicable el </w:t>
            </w:r>
            <w:r w:rsidRPr="001400F4">
              <w:rPr>
                <w:rFonts w:ascii="Verdana" w:eastAsia="Calibri" w:hAnsi="Verdana" w:cs="Arial"/>
              </w:rPr>
              <w:lastRenderedPageBreak/>
              <w:t>mecanismo previsto en el último inciso del artículo 2.2.1.2.3.1.18 del Decreto 1082 de 2015 para los eventos en que el contratista incumpla su obligación de obtener, ampliar o adicionar la garantía.</w:t>
            </w:r>
          </w:p>
          <w:p w14:paraId="6B9DC838" w14:textId="66CB4EFA" w:rsidR="00E351CD" w:rsidRPr="00F73D3D" w:rsidRDefault="00E351CD" w:rsidP="00F73D3D">
            <w:pPr>
              <w:spacing w:after="120" w:line="276" w:lineRule="auto"/>
              <w:ind w:firstLine="709"/>
              <w:jc w:val="both"/>
              <w:rPr>
                <w:rFonts w:ascii="Verdana" w:eastAsia="Calibri" w:hAnsi="Verdana" w:cs="Arial"/>
              </w:rPr>
            </w:pPr>
            <w:r w:rsidRPr="00F73D3D">
              <w:rPr>
                <w:rFonts w:ascii="Verdana" w:eastAsia="Calibri" w:hAnsi="Verdana" w:cs="Arial"/>
              </w:rPr>
              <w:t xml:space="preserve">De acuerdo con el artículo 2.2.1.2.3.1.12. del Decreto 1082 de 2015, existe la obligación por parte del contratista de mantener la vigencia de la garantía de cumplimiento, en cuanto al amparo de cumplimiento del contrato, hasta la liquidación del contrato. En este sentido, la vigencia del amparo de cumplimiento del contrato es la determinada en el artículo 2.2.1.2.3.1.12. del Decreto 1082 de 2015, esto es, hasta el momento en que se realice la liquidación del contrato, para lo cual se deberá tener en cuenta lo dispuesto por el artículo 11 de la Ley 1150 de 2007, según el cual la liquidación de los contratos se hará de mutuo acuerdo dentro del término fijado en los pliegos de condiciones o sus equivalentes o dentro del que acuerden las partes para el efecto o en su ausencia, el término supletivo establecido para la liquidación bilateral de </w:t>
            </w:r>
            <w:r w:rsidRPr="00E351CD">
              <w:rPr>
                <w:rFonts w:ascii="Verdana" w:eastAsia="Calibri" w:hAnsi="Verdana" w:cs="Arial"/>
              </w:rPr>
              <w:t>cuatro (</w:t>
            </w:r>
            <w:r w:rsidRPr="00F73D3D">
              <w:rPr>
                <w:rFonts w:ascii="Verdana" w:eastAsia="Calibri" w:hAnsi="Verdana" w:cs="Arial"/>
              </w:rPr>
              <w:t>4</w:t>
            </w:r>
            <w:r w:rsidRPr="00E351CD">
              <w:rPr>
                <w:rFonts w:ascii="Verdana" w:eastAsia="Calibri" w:hAnsi="Verdana" w:cs="Arial"/>
              </w:rPr>
              <w:t>)</w:t>
            </w:r>
            <w:r w:rsidRPr="00F73D3D">
              <w:rPr>
                <w:rFonts w:ascii="Verdana" w:eastAsia="Calibri" w:hAnsi="Verdana" w:cs="Arial"/>
              </w:rPr>
              <w:t xml:space="preserve"> meses o los </w:t>
            </w:r>
            <w:r w:rsidRPr="00E351CD">
              <w:rPr>
                <w:rFonts w:ascii="Verdana" w:eastAsia="Calibri" w:hAnsi="Verdana" w:cs="Arial"/>
              </w:rPr>
              <w:t>dos (</w:t>
            </w:r>
            <w:r w:rsidRPr="00F73D3D">
              <w:rPr>
                <w:rFonts w:ascii="Verdana" w:eastAsia="Calibri" w:hAnsi="Verdana" w:cs="Arial"/>
              </w:rPr>
              <w:t>2</w:t>
            </w:r>
            <w:r w:rsidRPr="00E351CD">
              <w:rPr>
                <w:rFonts w:ascii="Verdana" w:eastAsia="Calibri" w:hAnsi="Verdana" w:cs="Arial"/>
              </w:rPr>
              <w:t>)</w:t>
            </w:r>
            <w:r w:rsidRPr="00F73D3D">
              <w:rPr>
                <w:rFonts w:ascii="Verdana" w:eastAsia="Calibri" w:hAnsi="Verdana" w:cs="Arial"/>
              </w:rPr>
              <w:t xml:space="preserve"> meses siguientes para realizar la liquidación de forma unilateral. En este sentido, ante la falta de liquidación bilateral o unilateral del contrato en dichos plazos, el contratista debe cumplir con la previsión normativa referida, en el sentido de mantener la vigencia de la garantía de cumplimiento hasta la liquidación efectiva del contrato, sin perjuicio de interponer la demanda con la pretensión de liquidarlo judicialmente.</w:t>
            </w:r>
          </w:p>
          <w:p w14:paraId="46DA6576" w14:textId="5C90CCD3" w:rsidR="00E351CD" w:rsidRPr="00F73D3D" w:rsidRDefault="00E351CD" w:rsidP="00F73D3D">
            <w:pPr>
              <w:spacing w:after="120" w:line="276" w:lineRule="auto"/>
              <w:ind w:firstLine="709"/>
              <w:jc w:val="both"/>
              <w:rPr>
                <w:rFonts w:ascii="Verdana" w:hAnsi="Verdana"/>
              </w:rPr>
            </w:pPr>
            <w:r w:rsidRPr="00F73D3D">
              <w:rPr>
                <w:rFonts w:ascii="Verdana" w:hAnsi="Verdana"/>
              </w:rPr>
              <w:t xml:space="preserve">De esta manera, si el contrato establece un plazo de liquidación de mutuo acuerdo de conformidad con lo señalado por el artículo 2.2.1.2.3.1.12. del Decreto 1082 de 2015, la entidad deberá verificar que la garantía se encuentre vigente, por lo menos, hasta dicho plazo. Si no se pacta un plazo de liquidación, se deberá tener en cuenta los términos supletivos de la liquidación bilateral y unilateral del artículo 11 de la ley 1150 de 2007. En todo caso, si por alguna razón no se logra liquidar el contrato dentro de dicho plazo, el contratista tiene el deber de mantener vigente la garantía hasta la liquidación efectiva del contrato, pues el artículo 2.2.1.2.3.1.12 del Decreto 1082 de 2015 lo dispone expresamente. </w:t>
            </w:r>
          </w:p>
          <w:p w14:paraId="14448509" w14:textId="427231AB" w:rsidR="001400F4" w:rsidRDefault="00E351CD" w:rsidP="00F73D3D">
            <w:pPr>
              <w:spacing w:after="120" w:line="276" w:lineRule="auto"/>
              <w:ind w:firstLine="709"/>
              <w:jc w:val="both"/>
              <w:rPr>
                <w:rFonts w:ascii="Verdana" w:eastAsia="Calibri" w:hAnsi="Verdana" w:cs="Arial"/>
              </w:rPr>
            </w:pPr>
            <w:hyperlink r:id="rId13" w:tgtFrame="_blank" w:tooltip="https://www.colombiacompra.gov.co/archivos/manual/guia-de-garantias-en-procesos-de-contratacion" w:history="1"/>
            <w:r w:rsidR="00D5067D" w:rsidRPr="001400F4">
              <w:rPr>
                <w:rFonts w:ascii="Verdana" w:eastAsia="Calibri" w:hAnsi="Verdana" w:cs="Arial"/>
              </w:rPr>
              <w:t>Por último, en cuanto a los conceptos, circulares y lineamientos pertinentes, esta Agencia se ha pronunciado sobre el régimen de garantías en los conceptos relacionados en el acápite de doctrina de este documento</w:t>
            </w:r>
            <w:r w:rsidR="00A84309" w:rsidRPr="001400F4">
              <w:rPr>
                <w:rFonts w:ascii="Verdana" w:eastAsia="Calibri" w:hAnsi="Verdana" w:cs="Arial"/>
              </w:rPr>
              <w:t>.</w:t>
            </w:r>
            <w:r w:rsidR="00D5067D" w:rsidRPr="001400F4">
              <w:rPr>
                <w:rFonts w:ascii="Verdana" w:eastAsia="Calibri" w:hAnsi="Verdana" w:cs="Arial"/>
              </w:rPr>
              <w:t xml:space="preserve"> Del mismo modo, se recomienda consultar la nueva versión de la Guía para la </w:t>
            </w:r>
            <w:r w:rsidR="00D5067D" w:rsidRPr="001400F4">
              <w:rPr>
                <w:rFonts w:ascii="Verdana" w:eastAsia="Calibri" w:hAnsi="Verdana" w:cs="Arial"/>
              </w:rPr>
              <w:lastRenderedPageBreak/>
              <w:t xml:space="preserve">Exigencia y Constitución de Garantías en los Procesos de Contratación, dirigida a las entidades sometidas al EGCAP y a las de regímenes exceptuados, así como a proveedores y órganos de control, que orienta sobre las clases de garantías admisibles, la correspondencia entre riesgos asignados y amparos exigidos, su suficiencia y vigencia, y el procedimiento para hacerlas efectivas. </w:t>
            </w:r>
            <w:r w:rsidR="00D5067D" w:rsidRPr="0062422C">
              <w:rPr>
                <w:rFonts w:ascii="Verdana" w:eastAsia="Calibri" w:hAnsi="Verdana" w:cs="Arial"/>
              </w:rPr>
              <w:t xml:space="preserve">Consúltela aquí: </w:t>
            </w:r>
            <w:hyperlink r:id="rId14" w:history="1">
              <w:r w:rsidR="001400F4" w:rsidRPr="00782726">
                <w:rPr>
                  <w:rStyle w:val="Hipervnculo"/>
                  <w:rFonts w:ascii="Verdana" w:eastAsia="Calibri" w:hAnsi="Verdana" w:cs="Arial"/>
                </w:rPr>
                <w:t>https://www.colombiacompra.gov.co/archivos/manual/guia-de-garantias-en-procesos-de-contratacion</w:t>
              </w:r>
            </w:hyperlink>
          </w:p>
          <w:p w14:paraId="484FC24F" w14:textId="5ACB650F" w:rsidR="00CA0615" w:rsidRPr="001400F4" w:rsidRDefault="00CA0615" w:rsidP="00F73D3D">
            <w:pPr>
              <w:spacing w:line="276" w:lineRule="auto"/>
              <w:ind w:firstLine="709"/>
              <w:jc w:val="both"/>
              <w:rPr>
                <w:rFonts w:ascii="Verdana" w:eastAsia="Calibri" w:hAnsi="Verdana" w:cs="Arial"/>
              </w:rPr>
            </w:pPr>
            <w:r w:rsidRPr="001400F4">
              <w:rPr>
                <w:rFonts w:ascii="Verdana" w:eastAsia="Calibri" w:hAnsi="Verdana" w:cs="Arial"/>
              </w:rPr>
              <w:t>Dentro de este marco, la entidad pública definirá en cada caso concreto lo relacionado con el tema objeto de consulta. Al tratarse de un análisis que debe realizarse en el procedimiento contractual específico, la Agencia no puede definir un criterio universal y absoluto por vía consultiva sobre las inhabilidades sobrevinientes, sino que brinda elementos de carácter general para que adopten la decisión que corresponda, lo cual es acorde con el principio de juridicidad. Así, cada entidad definirá la forma de adelantar su gestión contractual, sin que sea atribución de Colombia Compra Eficiente validarla.</w:t>
            </w:r>
          </w:p>
        </w:tc>
      </w:tr>
      <w:bookmarkEnd w:id="3"/>
    </w:tbl>
    <w:p w14:paraId="0609CB2D" w14:textId="77777777" w:rsidR="00CA0615" w:rsidRPr="00DB6C5D" w:rsidRDefault="00CA0615" w:rsidP="00CA0615">
      <w:pPr>
        <w:tabs>
          <w:tab w:val="left" w:pos="142"/>
          <w:tab w:val="left" w:pos="284"/>
        </w:tabs>
        <w:spacing w:after="0" w:line="276" w:lineRule="auto"/>
        <w:ind w:left="360"/>
        <w:jc w:val="both"/>
        <w:rPr>
          <w:rFonts w:ascii="Verdana" w:eastAsia="Century Gothic" w:hAnsi="Verdana" w:cs="Century Gothic"/>
          <w:b/>
          <w:bCs/>
        </w:rPr>
      </w:pPr>
    </w:p>
    <w:p w14:paraId="40C43817" w14:textId="77777777" w:rsidR="00CA0615" w:rsidRPr="00DB6C5D" w:rsidRDefault="00CA0615" w:rsidP="0091373A">
      <w:pPr>
        <w:numPr>
          <w:ilvl w:val="0"/>
          <w:numId w:val="16"/>
        </w:numPr>
        <w:tabs>
          <w:tab w:val="left" w:pos="142"/>
          <w:tab w:val="left" w:pos="284"/>
        </w:tabs>
        <w:spacing w:after="0" w:line="276" w:lineRule="auto"/>
        <w:jc w:val="both"/>
        <w:rPr>
          <w:rFonts w:ascii="Verdana" w:eastAsia="Century Gothic" w:hAnsi="Verdana" w:cs="Century Gothic"/>
          <w:b/>
          <w:bCs/>
        </w:rPr>
      </w:pPr>
      <w:r w:rsidRPr="00DB6C5D">
        <w:rPr>
          <w:rFonts w:ascii="Verdana" w:eastAsia="Century Gothic" w:hAnsi="Verdana" w:cs="Century Gothic"/>
          <w:b/>
          <w:bCs/>
        </w:rPr>
        <w:t>Razones de la respuesta:</w:t>
      </w:r>
    </w:p>
    <w:p w14:paraId="42A8B3C8" w14:textId="77777777" w:rsidR="00CA0615" w:rsidRPr="00DB6C5D" w:rsidRDefault="00CA0615" w:rsidP="00CA0615">
      <w:pPr>
        <w:spacing w:after="0" w:line="276" w:lineRule="auto"/>
        <w:jc w:val="both"/>
        <w:rPr>
          <w:rFonts w:ascii="Verdana" w:eastAsia="Calibri" w:hAnsi="Verdana" w:cs="Arial"/>
        </w:rPr>
      </w:pPr>
    </w:p>
    <w:p w14:paraId="5D05C8EF" w14:textId="680198BB" w:rsidR="00CA0615" w:rsidRDefault="00CA0615" w:rsidP="00CA0615">
      <w:pPr>
        <w:spacing w:after="0" w:line="276" w:lineRule="auto"/>
        <w:jc w:val="both"/>
        <w:rPr>
          <w:rFonts w:ascii="Verdana" w:eastAsia="Century Gothic" w:hAnsi="Verdana" w:cs="Century Gothic"/>
          <w:lang w:eastAsia="es-ES_tradnl"/>
        </w:rPr>
      </w:pPr>
      <w:r w:rsidRPr="00DB6C5D">
        <w:rPr>
          <w:rFonts w:ascii="Verdana" w:eastAsia="Calibri" w:hAnsi="Verdana" w:cs="Arial"/>
        </w:rPr>
        <w:t>Lo anterior se sustenta en las siguientes consideraciones:</w:t>
      </w:r>
      <w:r w:rsidRPr="00DB6C5D">
        <w:rPr>
          <w:rFonts w:ascii="Verdana" w:eastAsia="Century Gothic" w:hAnsi="Verdana" w:cs="Century Gothic"/>
          <w:lang w:eastAsia="es-ES_tradnl"/>
        </w:rPr>
        <w:t xml:space="preserve"> </w:t>
      </w:r>
    </w:p>
    <w:p w14:paraId="204D397E" w14:textId="77777777" w:rsidR="00BB69FD" w:rsidRPr="00DB6C5D" w:rsidRDefault="00BB69FD" w:rsidP="00E351CD">
      <w:pPr>
        <w:spacing w:after="0" w:line="276" w:lineRule="auto"/>
        <w:jc w:val="both"/>
        <w:rPr>
          <w:rFonts w:ascii="Verdana" w:eastAsia="Calibri" w:hAnsi="Verdana" w:cs="Arial"/>
        </w:rPr>
      </w:pPr>
    </w:p>
    <w:p w14:paraId="379C53F9" w14:textId="77777777" w:rsidR="008966D7" w:rsidRPr="00515AC9" w:rsidRDefault="008966D7" w:rsidP="00F73D3D">
      <w:pPr>
        <w:spacing w:after="120" w:line="276" w:lineRule="auto"/>
        <w:jc w:val="both"/>
        <w:rPr>
          <w:rFonts w:ascii="Verdana" w:eastAsia="Calibri" w:hAnsi="Verdana" w:cs="Arial"/>
          <w:lang w:val="es-ES"/>
        </w:rPr>
      </w:pPr>
      <w:r w:rsidRPr="573DC269">
        <w:rPr>
          <w:rFonts w:ascii="Verdana" w:eastAsia="Calibri" w:hAnsi="Verdana" w:cs="Arial"/>
          <w:lang w:val="es-ES"/>
        </w:rPr>
        <w:t xml:space="preserve">El Estatuto General de Contratación de la Administración Pública – en adelante EGCAP – prevé dos tipos de exigencias en relación con los contratos estatales: (i) las relacionadas con el perfeccionamiento y (ii) las que tienen que ver con la ejecución. Si bien ambas se complementan y marcan el origen de la fase contractual –o de ejecución–, es importante distinguirlas, ya que las consecuencias jurídicas que generan son diferentes. </w:t>
      </w:r>
    </w:p>
    <w:p w14:paraId="034E3BF2" w14:textId="77777777" w:rsidR="008966D7" w:rsidRDefault="008966D7" w:rsidP="008966D7">
      <w:pPr>
        <w:spacing w:after="120" w:line="276" w:lineRule="auto"/>
        <w:ind w:firstLine="709"/>
        <w:jc w:val="both"/>
        <w:rPr>
          <w:rFonts w:ascii="Verdana" w:eastAsia="Calibri" w:hAnsi="Verdana" w:cs="Arial"/>
          <w:lang w:val="es-ES"/>
        </w:rPr>
      </w:pPr>
      <w:r w:rsidRPr="1952E7C8">
        <w:rPr>
          <w:rFonts w:ascii="Verdana" w:eastAsia="Calibri" w:hAnsi="Verdana" w:cs="Arial"/>
          <w:lang w:val="es-ES"/>
        </w:rPr>
        <w:t xml:space="preserve">Los </w:t>
      </w:r>
      <w:r w:rsidRPr="1952E7C8">
        <w:rPr>
          <w:rFonts w:ascii="Verdana" w:eastAsia="Calibri" w:hAnsi="Verdana" w:cs="Arial"/>
          <w:i/>
          <w:iCs/>
          <w:lang w:val="es-ES"/>
        </w:rPr>
        <w:t>requisitos de perfeccionamiento</w:t>
      </w:r>
      <w:r w:rsidRPr="1952E7C8">
        <w:rPr>
          <w:rFonts w:ascii="Verdana" w:eastAsia="Calibri" w:hAnsi="Verdana" w:cs="Arial"/>
          <w:lang w:val="es-ES"/>
        </w:rPr>
        <w:t xml:space="preserve"> del contrato estatal son mandatos normativos que determinan cuándo se entiende celebrado. Es decir, se trata de prescripciones que establecen en qué momento existe el contrato. Según el artículo 1.501 del Código Civil, todo contrato se caracteriza por tener tres tipos de elementos: los de la esencia, los de la naturaleza y los accidentales. </w:t>
      </w:r>
    </w:p>
    <w:p w14:paraId="6B5E6723" w14:textId="77777777" w:rsidR="008966D7" w:rsidRPr="00515AC9" w:rsidRDefault="008966D7" w:rsidP="008966D7">
      <w:pPr>
        <w:spacing w:after="120" w:line="276" w:lineRule="auto"/>
        <w:ind w:firstLine="709"/>
        <w:jc w:val="both"/>
        <w:rPr>
          <w:rFonts w:ascii="Verdana" w:eastAsia="Calibri" w:hAnsi="Verdana" w:cs="Arial"/>
          <w:lang w:val="es-ES_tradnl"/>
        </w:rPr>
      </w:pPr>
      <w:r w:rsidRPr="00515AC9">
        <w:rPr>
          <w:rFonts w:ascii="Verdana" w:eastAsia="Calibri" w:hAnsi="Verdana" w:cs="Arial"/>
          <w:lang w:val="es-ES_tradnl"/>
        </w:rPr>
        <w:t xml:space="preserve">Los de la </w:t>
      </w:r>
      <w:r w:rsidRPr="00515AC9">
        <w:rPr>
          <w:rFonts w:ascii="Verdana" w:eastAsia="Calibri" w:hAnsi="Verdana" w:cs="Arial"/>
          <w:i/>
          <w:iCs/>
          <w:lang w:val="es-ES_tradnl"/>
        </w:rPr>
        <w:t>esencia</w:t>
      </w:r>
      <w:r w:rsidRPr="00515AC9">
        <w:rPr>
          <w:rFonts w:ascii="Verdana" w:eastAsia="Calibri" w:hAnsi="Verdana" w:cs="Arial"/>
          <w:lang w:val="es-ES_tradnl"/>
        </w:rPr>
        <w:t xml:space="preserve"> son aquellos que, al cumplirse, marcan la existencia del contrato y le otorgan su identidad o tipología, permitiendo que no se confunda con otro contrato. Los de la </w:t>
      </w:r>
      <w:r w:rsidRPr="00515AC9">
        <w:rPr>
          <w:rFonts w:ascii="Verdana" w:eastAsia="Calibri" w:hAnsi="Verdana" w:cs="Arial"/>
          <w:i/>
          <w:iCs/>
          <w:lang w:val="es-ES_tradnl"/>
        </w:rPr>
        <w:t>naturaleza</w:t>
      </w:r>
      <w:r w:rsidRPr="00515AC9">
        <w:rPr>
          <w:rFonts w:ascii="Verdana" w:eastAsia="Calibri" w:hAnsi="Verdana" w:cs="Arial"/>
          <w:lang w:val="es-ES_tradnl"/>
        </w:rPr>
        <w:t xml:space="preserve"> son aquellos que, no siendo esenciales al </w:t>
      </w:r>
      <w:r w:rsidRPr="00515AC9">
        <w:rPr>
          <w:rFonts w:ascii="Verdana" w:eastAsia="Calibri" w:hAnsi="Verdana" w:cs="Arial"/>
          <w:lang w:val="es-ES_tradnl"/>
        </w:rPr>
        <w:lastRenderedPageBreak/>
        <w:t xml:space="preserve">contrato, se entienden incorporados por ministerio de la ley, aun ante el silencio de las partes. Y los </w:t>
      </w:r>
      <w:r w:rsidRPr="00515AC9">
        <w:rPr>
          <w:rFonts w:ascii="Verdana" w:eastAsia="Calibri" w:hAnsi="Verdana" w:cs="Arial"/>
          <w:i/>
          <w:iCs/>
          <w:lang w:val="es-ES_tradnl"/>
        </w:rPr>
        <w:t>accidentales</w:t>
      </w:r>
      <w:r w:rsidRPr="00515AC9">
        <w:rPr>
          <w:rFonts w:ascii="Verdana" w:eastAsia="Calibri" w:hAnsi="Verdana" w:cs="Arial"/>
          <w:lang w:val="es-ES_tradnl"/>
        </w:rPr>
        <w:t xml:space="preserve"> son los que las partes agregan en ejercicio de su autonomía de la voluntad, ya que no son ni esenciales, ni de la naturaleza del contrato</w:t>
      </w:r>
      <w:r w:rsidRPr="00515AC9">
        <w:rPr>
          <w:rStyle w:val="Refdenotaalpie"/>
          <w:rFonts w:ascii="Verdana" w:hAnsi="Verdana" w:cs="Arial"/>
        </w:rPr>
        <w:footnoteReference w:id="1"/>
      </w:r>
      <w:r w:rsidRPr="00515AC9">
        <w:rPr>
          <w:rFonts w:ascii="Verdana" w:eastAsia="Calibri" w:hAnsi="Verdana" w:cs="Arial"/>
          <w:lang w:val="es-ES_tradnl"/>
        </w:rPr>
        <w:t>. Los requisitos de perfeccionamiento del contrato estatal ingresan dentro de los elementos de la esencia.</w:t>
      </w:r>
    </w:p>
    <w:p w14:paraId="1FA79AB6" w14:textId="77777777" w:rsidR="008966D7" w:rsidRPr="00515AC9" w:rsidRDefault="008966D7" w:rsidP="008966D7">
      <w:pPr>
        <w:spacing w:after="120" w:line="276" w:lineRule="auto"/>
        <w:ind w:firstLine="709"/>
        <w:jc w:val="both"/>
        <w:rPr>
          <w:rFonts w:ascii="Verdana" w:eastAsia="Calibri" w:hAnsi="Verdana" w:cs="Arial"/>
          <w:lang w:val="es-ES_tradnl"/>
        </w:rPr>
      </w:pPr>
      <w:r w:rsidRPr="00515AC9">
        <w:rPr>
          <w:rFonts w:ascii="Verdana" w:eastAsia="Calibri" w:hAnsi="Verdana" w:cs="Arial"/>
          <w:lang w:val="es-ES_tradnl"/>
        </w:rPr>
        <w:t xml:space="preserve">Además, los contratos –en términos generales– pueden ser: consensuales, reales o solemnes. Son </w:t>
      </w:r>
      <w:r w:rsidRPr="00515AC9">
        <w:rPr>
          <w:rFonts w:ascii="Verdana" w:eastAsia="Calibri" w:hAnsi="Verdana" w:cs="Arial"/>
          <w:i/>
          <w:iCs/>
          <w:lang w:val="es-ES_tradnl"/>
        </w:rPr>
        <w:t>consensuales</w:t>
      </w:r>
      <w:r w:rsidRPr="00515AC9">
        <w:rPr>
          <w:rFonts w:ascii="Verdana" w:eastAsia="Calibri" w:hAnsi="Verdana" w:cs="Arial"/>
          <w:lang w:val="es-ES_tradnl"/>
        </w:rPr>
        <w:t xml:space="preserve"> los que se perfeccionan con el consentimiento informal, pues no requieren de formalidades especiales. Son </w:t>
      </w:r>
      <w:r w:rsidRPr="00515AC9">
        <w:rPr>
          <w:rFonts w:ascii="Verdana" w:eastAsia="Calibri" w:hAnsi="Verdana" w:cs="Arial"/>
          <w:i/>
          <w:iCs/>
          <w:lang w:val="es-ES_tradnl"/>
        </w:rPr>
        <w:t>reales</w:t>
      </w:r>
      <w:r w:rsidRPr="00515AC9">
        <w:rPr>
          <w:rFonts w:ascii="Verdana" w:eastAsia="Calibri" w:hAnsi="Verdana" w:cs="Arial"/>
          <w:lang w:val="es-ES_tradnl"/>
        </w:rPr>
        <w:t xml:space="preserve"> aquellos que existen solo con la tradición o entrega de una cosa. Por su parte, son </w:t>
      </w:r>
      <w:r w:rsidRPr="00515AC9">
        <w:rPr>
          <w:rFonts w:ascii="Verdana" w:eastAsia="Calibri" w:hAnsi="Verdana" w:cs="Arial"/>
          <w:i/>
          <w:iCs/>
          <w:lang w:val="es-ES_tradnl"/>
        </w:rPr>
        <w:t>solemnes</w:t>
      </w:r>
      <w:r w:rsidRPr="00515AC9">
        <w:rPr>
          <w:rFonts w:ascii="Verdana" w:eastAsia="Calibri" w:hAnsi="Verdana" w:cs="Arial"/>
          <w:lang w:val="es-ES_tradnl"/>
        </w:rPr>
        <w:t xml:space="preserve"> aquellos contratos cuyo perfeccionamiento está revestido del cumplimiento de exigencias formales o ritualidades específicas</w:t>
      </w:r>
      <w:r w:rsidRPr="00515AC9">
        <w:rPr>
          <w:rStyle w:val="Refdenotaalpie"/>
          <w:rFonts w:ascii="Verdana" w:hAnsi="Verdana" w:cs="Arial"/>
        </w:rPr>
        <w:footnoteReference w:id="2"/>
      </w:r>
      <w:r w:rsidRPr="00515AC9">
        <w:rPr>
          <w:rFonts w:ascii="Verdana" w:eastAsia="Calibri" w:hAnsi="Verdana" w:cs="Arial"/>
          <w:lang w:val="es-ES_tradnl"/>
        </w:rPr>
        <w:t xml:space="preserve">. Pues bien, los contratos estatales regulados por el </w:t>
      </w:r>
      <w:r>
        <w:rPr>
          <w:rFonts w:ascii="Verdana" w:eastAsia="Calibri" w:hAnsi="Verdana" w:cs="Arial"/>
          <w:lang w:val="es-ES_tradnl"/>
        </w:rPr>
        <w:t>EGCAP</w:t>
      </w:r>
      <w:r w:rsidRPr="00515AC9">
        <w:rPr>
          <w:rFonts w:ascii="Verdana" w:eastAsia="Calibri" w:hAnsi="Verdana" w:cs="Arial"/>
          <w:lang w:val="es-ES_tradnl"/>
        </w:rPr>
        <w:t>, por regla general, son solemnes, ya que solo se entienden celebrados si se cumplen ciertas formalidades. Esta regla general solo tiene una excepción</w:t>
      </w:r>
      <w:r>
        <w:rPr>
          <w:rStyle w:val="Refdenotaalpie"/>
          <w:rFonts w:ascii="Verdana" w:eastAsia="Calibri" w:hAnsi="Verdana" w:cs="Arial"/>
          <w:lang w:val="es-ES_tradnl"/>
        </w:rPr>
        <w:footnoteReference w:id="3"/>
      </w:r>
      <w:r w:rsidRPr="00515AC9">
        <w:rPr>
          <w:rFonts w:ascii="Verdana" w:eastAsia="Calibri" w:hAnsi="Verdana" w:cs="Arial"/>
          <w:lang w:val="es-ES_tradnl"/>
        </w:rPr>
        <w:t>.</w:t>
      </w:r>
    </w:p>
    <w:p w14:paraId="7BE6FF5F" w14:textId="77777777" w:rsidR="008966D7" w:rsidRDefault="008966D7" w:rsidP="008966D7">
      <w:pPr>
        <w:spacing w:after="120" w:line="276" w:lineRule="auto"/>
        <w:ind w:firstLine="709"/>
        <w:jc w:val="both"/>
        <w:rPr>
          <w:rFonts w:ascii="Verdana" w:eastAsia="Calibri" w:hAnsi="Verdana" w:cs="Arial"/>
          <w:lang w:val="es-ES_tradnl"/>
        </w:rPr>
      </w:pPr>
      <w:r w:rsidRPr="00515AC9">
        <w:rPr>
          <w:rFonts w:ascii="Verdana" w:eastAsia="Calibri" w:hAnsi="Verdana" w:cs="Arial"/>
          <w:lang w:val="es-ES_tradnl"/>
        </w:rPr>
        <w:t xml:space="preserve">En efecto, el primer inciso del artículo 41 de la Ley 80 de 1993 establece que </w:t>
      </w:r>
      <w:r>
        <w:rPr>
          <w:rFonts w:ascii="Verdana" w:eastAsia="Calibri" w:hAnsi="Verdana" w:cs="Arial"/>
          <w:lang w:val="es-ES_tradnl"/>
        </w:rPr>
        <w:t>“</w:t>
      </w:r>
      <w:r w:rsidRPr="00515AC9">
        <w:rPr>
          <w:rFonts w:ascii="Verdana" w:eastAsia="Calibri" w:hAnsi="Verdana" w:cs="Arial"/>
          <w:i/>
          <w:iCs/>
          <w:lang w:val="es-ES_tradnl"/>
        </w:rPr>
        <w:t>Los contratos del Estado se perfeccionan cuando se logre acuerdo sobre el objeto y la contraprestación y éste se eleve a escrito</w:t>
      </w:r>
      <w:r>
        <w:rPr>
          <w:rFonts w:ascii="Verdana" w:eastAsia="Calibri" w:hAnsi="Verdana" w:cs="Arial"/>
          <w:lang w:val="es-ES_tradnl"/>
        </w:rPr>
        <w:t>”</w:t>
      </w:r>
      <w:r w:rsidRPr="00515AC9">
        <w:rPr>
          <w:rFonts w:ascii="Verdana" w:eastAsia="Calibri" w:hAnsi="Verdana" w:cs="Arial"/>
          <w:lang w:val="es-ES_tradnl"/>
        </w:rPr>
        <w:t xml:space="preserve">. Como se advierte, el legislador dispuso que para que el contrato estatal exista, no solo debe haber un acuerdo sobre la obligación principal del negocio –es decir, sobre el </w:t>
      </w:r>
      <w:r>
        <w:rPr>
          <w:rFonts w:ascii="Verdana" w:eastAsia="Calibri" w:hAnsi="Verdana" w:cs="Arial"/>
          <w:lang w:val="es-ES_tradnl"/>
        </w:rPr>
        <w:t>“</w:t>
      </w:r>
      <w:r w:rsidRPr="00515AC9">
        <w:rPr>
          <w:rFonts w:ascii="Verdana" w:eastAsia="Calibri" w:hAnsi="Verdana" w:cs="Arial"/>
          <w:lang w:val="es-ES_tradnl"/>
        </w:rPr>
        <w:t>objeto</w:t>
      </w:r>
      <w:r>
        <w:rPr>
          <w:rFonts w:ascii="Verdana" w:eastAsia="Calibri" w:hAnsi="Verdana" w:cs="Arial"/>
          <w:lang w:val="es-ES_tradnl"/>
        </w:rPr>
        <w:t>”</w:t>
      </w:r>
      <w:r w:rsidRPr="00515AC9">
        <w:rPr>
          <w:rFonts w:ascii="Verdana" w:eastAsia="Calibri" w:hAnsi="Verdana" w:cs="Arial"/>
          <w:lang w:val="es-ES_tradnl"/>
        </w:rPr>
        <w:t xml:space="preserve">– y sobre la contraprestación, sino que se debe plasmar por escrito. </w:t>
      </w:r>
    </w:p>
    <w:p w14:paraId="67DFD5BF" w14:textId="77777777" w:rsidR="008966D7" w:rsidRPr="00515AC9" w:rsidRDefault="008966D7" w:rsidP="008966D7">
      <w:pPr>
        <w:spacing w:after="120" w:line="276" w:lineRule="auto"/>
        <w:ind w:firstLine="709"/>
        <w:jc w:val="both"/>
        <w:rPr>
          <w:rFonts w:ascii="Verdana" w:eastAsia="Calibri" w:hAnsi="Verdana" w:cs="Arial"/>
          <w:lang w:val="es-ES_tradnl"/>
        </w:rPr>
      </w:pPr>
      <w:r w:rsidRPr="00515AC9">
        <w:rPr>
          <w:rFonts w:ascii="Verdana" w:eastAsia="Calibri" w:hAnsi="Verdana" w:cs="Arial"/>
          <w:lang w:val="es-ES_tradnl"/>
        </w:rPr>
        <w:t>Tal circunstancia le ha permitido a la doctrina concluir que el contrato estatal regulado en el EGC</w:t>
      </w:r>
      <w:r>
        <w:rPr>
          <w:rFonts w:ascii="Verdana" w:eastAsia="Calibri" w:hAnsi="Verdana" w:cs="Arial"/>
          <w:lang w:val="es-ES_tradnl"/>
        </w:rPr>
        <w:t>A</w:t>
      </w:r>
      <w:r w:rsidRPr="00515AC9">
        <w:rPr>
          <w:rFonts w:ascii="Verdana" w:eastAsia="Calibri" w:hAnsi="Verdana" w:cs="Arial"/>
          <w:lang w:val="es-ES_tradnl"/>
        </w:rPr>
        <w:t xml:space="preserve">P es </w:t>
      </w:r>
      <w:r>
        <w:rPr>
          <w:rFonts w:ascii="Verdana" w:eastAsia="Calibri" w:hAnsi="Verdana" w:cs="Arial"/>
          <w:lang w:val="es-ES_tradnl"/>
        </w:rPr>
        <w:t>“</w:t>
      </w:r>
      <w:r w:rsidRPr="00515AC9">
        <w:rPr>
          <w:rFonts w:ascii="Verdana" w:eastAsia="Calibri" w:hAnsi="Verdana" w:cs="Arial"/>
          <w:lang w:val="es-ES_tradnl"/>
        </w:rPr>
        <w:t xml:space="preserve">[…] </w:t>
      </w:r>
      <w:r w:rsidRPr="00515AC9">
        <w:rPr>
          <w:rFonts w:ascii="Verdana" w:eastAsia="Calibri" w:hAnsi="Verdana" w:cs="Arial"/>
          <w:i/>
          <w:iCs/>
          <w:lang w:val="es-ES_tradnl"/>
        </w:rPr>
        <w:t>principalmente, solemne, ya que la manifestación de voluntad, si no se expresa bajo la forma ad solemnitatem o ad substantiam actus exigida por la ley, es inexistente, es decir, se entiende que el contrato jamás ha sido creado para el mundo jurídico</w:t>
      </w:r>
      <w:r>
        <w:rPr>
          <w:rFonts w:ascii="Verdana" w:eastAsia="Calibri" w:hAnsi="Verdana" w:cs="Arial"/>
          <w:i/>
          <w:iCs/>
          <w:lang w:val="es-ES_tradnl"/>
        </w:rPr>
        <w:t>”</w:t>
      </w:r>
      <w:r w:rsidRPr="00515AC9">
        <w:rPr>
          <w:rStyle w:val="Refdenotaalpie"/>
          <w:rFonts w:ascii="Verdana" w:hAnsi="Verdana" w:cs="Arial"/>
        </w:rPr>
        <w:footnoteReference w:id="4"/>
      </w:r>
      <w:r w:rsidRPr="00515AC9">
        <w:rPr>
          <w:rFonts w:ascii="Verdana" w:eastAsia="Calibri" w:hAnsi="Verdana" w:cs="Arial"/>
          <w:lang w:val="es-ES_tradnl"/>
        </w:rPr>
        <w:t xml:space="preserve">. </w:t>
      </w:r>
    </w:p>
    <w:p w14:paraId="1117F281" w14:textId="77777777" w:rsidR="008966D7" w:rsidRPr="00515AC9" w:rsidRDefault="008966D7" w:rsidP="008966D7">
      <w:pPr>
        <w:spacing w:after="0"/>
        <w:ind w:firstLine="708"/>
        <w:jc w:val="both"/>
        <w:rPr>
          <w:rFonts w:ascii="Verdana" w:eastAsia="Calibri" w:hAnsi="Verdana" w:cs="Arial"/>
        </w:rPr>
      </w:pPr>
      <w:r>
        <w:rPr>
          <w:rFonts w:ascii="Verdana" w:eastAsia="Calibri" w:hAnsi="Verdana" w:cs="Arial"/>
          <w:lang w:val="es-ES_tradnl"/>
        </w:rPr>
        <w:lastRenderedPageBreak/>
        <w:t>Ahora bien, en relación con</w:t>
      </w:r>
      <w:r w:rsidRPr="00515AC9">
        <w:rPr>
          <w:rFonts w:ascii="Verdana" w:eastAsia="Calibri" w:hAnsi="Verdana" w:cs="Arial"/>
          <w:lang w:val="es-ES_tradnl"/>
        </w:rPr>
        <w:t xml:space="preserve"> los </w:t>
      </w:r>
      <w:r w:rsidRPr="00515AC9">
        <w:rPr>
          <w:rFonts w:ascii="Verdana" w:eastAsia="Calibri" w:hAnsi="Verdana" w:cs="Arial"/>
          <w:i/>
          <w:iCs/>
          <w:lang w:val="es-ES_tradnl"/>
        </w:rPr>
        <w:t>requisitos de ejecución</w:t>
      </w:r>
      <w:r>
        <w:rPr>
          <w:rFonts w:ascii="Verdana" w:eastAsia="Calibri" w:hAnsi="Verdana" w:cs="Arial"/>
          <w:lang w:val="es-ES_tradnl"/>
        </w:rPr>
        <w:t xml:space="preserve"> debe señalarse que, estos</w:t>
      </w:r>
      <w:r w:rsidRPr="00515AC9">
        <w:rPr>
          <w:rFonts w:ascii="Verdana" w:eastAsia="Calibri" w:hAnsi="Verdana" w:cs="Arial"/>
          <w:lang w:val="es-ES_tradnl"/>
        </w:rPr>
        <w:t xml:space="preserve"> posibilitan el inicio de la fase de realización de las actividades pactadas en el contrato, es decir, el cumplimiento del objeto del negocio jurídico. A partir de esta distinción, es posible encontrar contratos estatales –perfeccionados– respecto de los cuales aún falte satisfacer uno o varios requisitos de ejecución</w:t>
      </w:r>
      <w:r>
        <w:rPr>
          <w:rFonts w:ascii="Verdana" w:eastAsia="Calibri" w:hAnsi="Verdana" w:cs="Arial"/>
          <w:lang w:val="es-ES_tradnl"/>
        </w:rPr>
        <w:t xml:space="preserve">. </w:t>
      </w:r>
      <w:r w:rsidRPr="00515AC9">
        <w:rPr>
          <w:rFonts w:ascii="Verdana" w:eastAsia="Calibri" w:hAnsi="Verdana" w:cs="Arial"/>
          <w:lang w:val="es-ES_tradnl"/>
        </w:rPr>
        <w:t xml:space="preserve">Sobre el particular, </w:t>
      </w:r>
      <w:r w:rsidRPr="00515AC9">
        <w:rPr>
          <w:rFonts w:ascii="Verdana" w:eastAsia="Calibri" w:hAnsi="Verdana" w:cs="Arial"/>
        </w:rPr>
        <w:t>el Consejo de Estado aclaró la diferencia entre el perfeccionamiento y la ejecución del contrato, de la siguiente manera:</w:t>
      </w:r>
    </w:p>
    <w:p w14:paraId="5EBF0AD7" w14:textId="77777777" w:rsidR="008966D7" w:rsidRPr="00515AC9" w:rsidRDefault="008966D7" w:rsidP="008966D7">
      <w:pPr>
        <w:spacing w:after="0"/>
        <w:jc w:val="both"/>
        <w:rPr>
          <w:rFonts w:ascii="Verdana" w:eastAsia="Calibri" w:hAnsi="Verdana" w:cs="Arial"/>
        </w:rPr>
      </w:pPr>
    </w:p>
    <w:p w14:paraId="620FBAFC" w14:textId="77777777" w:rsidR="008966D7" w:rsidRPr="00784411" w:rsidRDefault="008966D7" w:rsidP="008966D7">
      <w:pPr>
        <w:spacing w:after="0" w:line="240" w:lineRule="auto"/>
        <w:ind w:left="709" w:right="709"/>
        <w:jc w:val="both"/>
        <w:rPr>
          <w:rFonts w:ascii="Verdana" w:eastAsia="Calibri" w:hAnsi="Verdana" w:cs="Arial"/>
          <w:sz w:val="20"/>
          <w:szCs w:val="20"/>
          <w:lang w:val="es-ES_tradnl"/>
        </w:rPr>
      </w:pPr>
      <w:r w:rsidRPr="00784411">
        <w:rPr>
          <w:rFonts w:ascii="Verdana" w:eastAsia="Calibri" w:hAnsi="Verdana" w:cs="Arial"/>
          <w:sz w:val="20"/>
          <w:szCs w:val="20"/>
          <w:lang w:val="es-ES_tradnl"/>
        </w:rPr>
        <w:t>“</w:t>
      </w:r>
      <w:r w:rsidRPr="00784411">
        <w:rPr>
          <w:rFonts w:ascii="Verdana" w:eastAsia="Calibri" w:hAnsi="Verdana" w:cs="Arial"/>
          <w:sz w:val="20"/>
          <w:szCs w:val="20"/>
        </w:rPr>
        <w:t>La Sala concluyó y ahora se reitera que i) la existencia del contrato no difiere de la perfección, esto es cumplidos los elementos esenciales que dan lugar al contrato no queda sino aceptar la relación jurídico contractual; ii) por virtud de lo dispuesto en la Ley 80 de 1993 el contrato estatal existe, esto es, “se perfecciona” cuando “se logra acuerdo sobre el objeto y la contraprestación y éste se eleve a escrito”; iii) es ejecutable cuando se cumplen las condiciones previstas en el inciso segundo del artículo 41 de la ley, interpretado en concordancia con lo dispuesto en el artículo 49 de la Ley 179 de 1994, compilado en el artículo 71 del Estatuto Orgánico de Presupuesto, Decreto Ley 111 de 1996 y iv) el requisito relativo al registro presupuestal no es una condición de existencia del contrato estatal, es un requisito de ejecución”</w:t>
      </w:r>
      <w:r w:rsidRPr="00784411">
        <w:rPr>
          <w:rStyle w:val="Refdenotaalpie"/>
          <w:rFonts w:ascii="Verdana" w:hAnsi="Verdana" w:cs="Arial"/>
          <w:sz w:val="20"/>
          <w:szCs w:val="20"/>
        </w:rPr>
        <w:footnoteReference w:id="5"/>
      </w:r>
      <w:r w:rsidRPr="00784411">
        <w:rPr>
          <w:rFonts w:ascii="Verdana" w:eastAsia="Calibri" w:hAnsi="Verdana" w:cs="Arial"/>
          <w:sz w:val="20"/>
          <w:szCs w:val="20"/>
        </w:rPr>
        <w:t>.</w:t>
      </w:r>
    </w:p>
    <w:p w14:paraId="1085506F" w14:textId="77777777" w:rsidR="008966D7" w:rsidRPr="00F00E70" w:rsidRDefault="008966D7" w:rsidP="008966D7">
      <w:pPr>
        <w:spacing w:after="0" w:line="276" w:lineRule="auto"/>
        <w:ind w:left="708"/>
        <w:jc w:val="both"/>
        <w:rPr>
          <w:rFonts w:ascii="Verdana" w:eastAsia="Calibri" w:hAnsi="Verdana" w:cs="Arial"/>
        </w:rPr>
      </w:pPr>
    </w:p>
    <w:p w14:paraId="656B619A" w14:textId="77777777" w:rsidR="008966D7" w:rsidRPr="00515AC9" w:rsidRDefault="008966D7" w:rsidP="008966D7">
      <w:pPr>
        <w:spacing w:after="120" w:line="276" w:lineRule="auto"/>
        <w:ind w:firstLine="709"/>
        <w:jc w:val="both"/>
        <w:rPr>
          <w:rFonts w:ascii="Verdana" w:eastAsia="Calibri" w:hAnsi="Verdana" w:cs="Arial"/>
          <w:lang w:val="es-ES"/>
        </w:rPr>
      </w:pPr>
      <w:r w:rsidRPr="00B41137">
        <w:rPr>
          <w:rFonts w:ascii="Verdana" w:eastAsia="Calibri" w:hAnsi="Verdana" w:cs="Arial"/>
          <w:lang w:val="es-ES"/>
        </w:rPr>
        <w:t>En</w:t>
      </w:r>
      <w:r w:rsidRPr="573DC269">
        <w:rPr>
          <w:rFonts w:ascii="Verdana" w:eastAsia="Calibri" w:hAnsi="Verdana" w:cs="Arial"/>
          <w:lang w:val="es-ES"/>
        </w:rPr>
        <w:t xml:space="preserve"> ese orden, los requisitos de ejecución de los contratos estatales pueden ser “legales” o “convencionales”. Los primeros son aquellos que se encuentran previstos en la ley. Los segundos son estipulados por las partes. En otros términos, los requisitos </w:t>
      </w:r>
      <w:r w:rsidRPr="573DC269">
        <w:rPr>
          <w:rFonts w:ascii="Verdana" w:eastAsia="Calibri" w:hAnsi="Verdana" w:cs="Arial"/>
          <w:i/>
          <w:iCs/>
          <w:lang w:val="es-ES"/>
        </w:rPr>
        <w:t>legales</w:t>
      </w:r>
      <w:r w:rsidRPr="573DC269">
        <w:rPr>
          <w:rFonts w:ascii="Verdana" w:eastAsia="Calibri" w:hAnsi="Verdana" w:cs="Arial"/>
          <w:lang w:val="es-ES"/>
        </w:rPr>
        <w:t xml:space="preserve"> de ejecución son elementos de la </w:t>
      </w:r>
      <w:r w:rsidRPr="573DC269">
        <w:rPr>
          <w:rFonts w:ascii="Verdana" w:eastAsia="Calibri" w:hAnsi="Verdana" w:cs="Arial"/>
          <w:i/>
          <w:iCs/>
          <w:lang w:val="es-ES"/>
        </w:rPr>
        <w:t>naturaleza</w:t>
      </w:r>
      <w:r w:rsidRPr="573DC269">
        <w:rPr>
          <w:rFonts w:ascii="Verdana" w:eastAsia="Calibri" w:hAnsi="Verdana" w:cs="Arial"/>
          <w:lang w:val="es-ES"/>
        </w:rPr>
        <w:t xml:space="preserve">, mientras que los requisitos </w:t>
      </w:r>
      <w:r w:rsidRPr="573DC269">
        <w:rPr>
          <w:rFonts w:ascii="Verdana" w:eastAsia="Calibri" w:hAnsi="Verdana" w:cs="Arial"/>
          <w:i/>
          <w:iCs/>
          <w:lang w:val="es-ES"/>
        </w:rPr>
        <w:t>convencionales</w:t>
      </w:r>
      <w:r w:rsidRPr="573DC269">
        <w:rPr>
          <w:rFonts w:ascii="Verdana" w:eastAsia="Calibri" w:hAnsi="Verdana" w:cs="Arial"/>
          <w:lang w:val="es-ES"/>
        </w:rPr>
        <w:t xml:space="preserve"> de ejecución son elementos </w:t>
      </w:r>
      <w:r w:rsidRPr="573DC269">
        <w:rPr>
          <w:rFonts w:ascii="Verdana" w:eastAsia="Calibri" w:hAnsi="Verdana" w:cs="Arial"/>
          <w:i/>
          <w:iCs/>
          <w:lang w:val="es-ES"/>
        </w:rPr>
        <w:t>accidentales</w:t>
      </w:r>
      <w:r w:rsidRPr="573DC269">
        <w:rPr>
          <w:rFonts w:ascii="Verdana" w:eastAsia="Calibri" w:hAnsi="Verdana" w:cs="Arial"/>
          <w:lang w:val="es-ES"/>
        </w:rPr>
        <w:t xml:space="preserve">. </w:t>
      </w:r>
    </w:p>
    <w:p w14:paraId="638C4263" w14:textId="77777777" w:rsidR="008966D7" w:rsidRPr="00515AC9" w:rsidRDefault="008966D7" w:rsidP="008966D7">
      <w:pPr>
        <w:spacing w:after="0"/>
        <w:ind w:firstLine="708"/>
        <w:jc w:val="both"/>
        <w:rPr>
          <w:rFonts w:ascii="Verdana" w:eastAsia="Calibri" w:hAnsi="Verdana" w:cs="Arial"/>
          <w:lang w:val="es-ES_tradnl"/>
        </w:rPr>
      </w:pPr>
      <w:r>
        <w:rPr>
          <w:rFonts w:ascii="Verdana" w:eastAsia="Calibri" w:hAnsi="Verdana" w:cs="Arial"/>
          <w:lang w:val="es-ES_tradnl"/>
        </w:rPr>
        <w:t>En efecto,</w:t>
      </w:r>
      <w:r w:rsidRPr="00515AC9">
        <w:rPr>
          <w:rFonts w:ascii="Verdana" w:eastAsia="Calibri" w:hAnsi="Verdana" w:cs="Arial"/>
          <w:lang w:val="es-ES_tradnl"/>
        </w:rPr>
        <w:t xml:space="preserve"> </w:t>
      </w:r>
      <w:r>
        <w:rPr>
          <w:rFonts w:ascii="Verdana" w:eastAsia="Calibri" w:hAnsi="Verdana" w:cs="Arial"/>
          <w:lang w:val="es-ES_tradnl"/>
        </w:rPr>
        <w:t>el</w:t>
      </w:r>
      <w:r w:rsidRPr="00515AC9">
        <w:rPr>
          <w:rFonts w:ascii="Verdana" w:eastAsia="Calibri" w:hAnsi="Verdana" w:cs="Arial"/>
          <w:lang w:val="es-ES_tradnl"/>
        </w:rPr>
        <w:t xml:space="preserve"> segundo inciso del artículo 41 de la Ley 80 de 1993</w:t>
      </w:r>
      <w:r w:rsidRPr="00515AC9">
        <w:rPr>
          <w:rFonts w:ascii="Verdana" w:eastAsia="Calibri" w:hAnsi="Verdana" w:cs="Arial"/>
        </w:rPr>
        <w:t>, modificado por el artículo 23 de la Ley 1150 de 2007</w:t>
      </w:r>
      <w:r>
        <w:rPr>
          <w:rFonts w:ascii="Verdana" w:eastAsia="Calibri" w:hAnsi="Verdana" w:cs="Arial"/>
          <w:lang w:val="es-ES_tradnl"/>
        </w:rPr>
        <w:t xml:space="preserve"> establece</w:t>
      </w:r>
      <w:r w:rsidRPr="00515AC9">
        <w:rPr>
          <w:rFonts w:ascii="Verdana" w:eastAsia="Calibri" w:hAnsi="Verdana" w:cs="Arial"/>
          <w:lang w:val="es-ES_tradnl"/>
        </w:rPr>
        <w:t xml:space="preserve"> los requisitos </w:t>
      </w:r>
      <w:r w:rsidRPr="00515AC9">
        <w:rPr>
          <w:rFonts w:ascii="Verdana" w:eastAsia="Calibri" w:hAnsi="Verdana" w:cs="Arial"/>
          <w:i/>
          <w:iCs/>
          <w:lang w:val="es-ES_tradnl"/>
        </w:rPr>
        <w:t xml:space="preserve">legales </w:t>
      </w:r>
      <w:r>
        <w:rPr>
          <w:rFonts w:ascii="Verdana" w:eastAsia="Calibri" w:hAnsi="Verdana" w:cs="Arial"/>
          <w:lang w:val="es-ES_tradnl"/>
        </w:rPr>
        <w:t xml:space="preserve">de ejecución de los contratos estatales </w:t>
      </w:r>
      <w:r w:rsidRPr="00515AC9">
        <w:rPr>
          <w:rFonts w:ascii="Verdana" w:eastAsia="Calibri" w:hAnsi="Verdana" w:cs="Arial"/>
          <w:lang w:val="es-ES_tradnl"/>
        </w:rPr>
        <w:t>de la siguiente manera:</w:t>
      </w:r>
    </w:p>
    <w:p w14:paraId="16DBA9F5" w14:textId="77777777" w:rsidR="008966D7" w:rsidRPr="00515AC9" w:rsidRDefault="008966D7" w:rsidP="008966D7">
      <w:pPr>
        <w:spacing w:after="0" w:line="276" w:lineRule="auto"/>
        <w:jc w:val="both"/>
        <w:rPr>
          <w:rFonts w:ascii="Verdana" w:eastAsia="Calibri" w:hAnsi="Verdana" w:cs="Arial"/>
          <w:i/>
          <w:iCs/>
        </w:rPr>
      </w:pPr>
    </w:p>
    <w:p w14:paraId="0413D541" w14:textId="77777777" w:rsidR="008966D7" w:rsidRPr="00784411" w:rsidRDefault="008966D7" w:rsidP="008966D7">
      <w:pPr>
        <w:spacing w:after="0" w:line="240" w:lineRule="auto"/>
        <w:ind w:left="709" w:right="709"/>
        <w:jc w:val="both"/>
        <w:rPr>
          <w:rFonts w:ascii="Verdana" w:eastAsia="Calibri" w:hAnsi="Verdana" w:cs="Arial"/>
          <w:sz w:val="20"/>
          <w:szCs w:val="20"/>
        </w:rPr>
      </w:pPr>
      <w:r w:rsidRPr="00784411">
        <w:rPr>
          <w:rFonts w:ascii="Verdana" w:eastAsia="Calibri" w:hAnsi="Verdana" w:cs="Arial"/>
          <w:sz w:val="20"/>
          <w:szCs w:val="20"/>
        </w:rPr>
        <w:t xml:space="preserve">“Para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w:t>
      </w:r>
      <w:r w:rsidRPr="00784411">
        <w:rPr>
          <w:rFonts w:ascii="Verdana" w:eastAsia="Calibri" w:hAnsi="Verdana" w:cs="Arial"/>
          <w:sz w:val="20"/>
          <w:szCs w:val="20"/>
        </w:rPr>
        <w:lastRenderedPageBreak/>
        <w:t xml:space="preserve">Integral, así como los propios del Sena, ICBF y Cajas de Compensación Familiar, cuando corresponda”. </w:t>
      </w:r>
    </w:p>
    <w:p w14:paraId="07E8C967" w14:textId="77777777" w:rsidR="008966D7" w:rsidRPr="00515AC9" w:rsidRDefault="008966D7" w:rsidP="008966D7">
      <w:pPr>
        <w:spacing w:after="0" w:line="276" w:lineRule="auto"/>
        <w:jc w:val="both"/>
        <w:rPr>
          <w:rFonts w:ascii="Verdana" w:eastAsia="Calibri" w:hAnsi="Verdana" w:cs="Arial"/>
          <w:lang w:val="es-ES_tradnl"/>
        </w:rPr>
      </w:pPr>
    </w:p>
    <w:p w14:paraId="08831D08" w14:textId="77777777" w:rsidR="008966D7" w:rsidRPr="00413922" w:rsidRDefault="008966D7" w:rsidP="008966D7">
      <w:pPr>
        <w:spacing w:after="120" w:line="276" w:lineRule="auto"/>
        <w:ind w:firstLine="708"/>
        <w:jc w:val="both"/>
        <w:rPr>
          <w:rFonts w:ascii="Verdana" w:eastAsia="Calibri" w:hAnsi="Verdana" w:cs="Arial"/>
          <w:lang w:val="es-ES"/>
        </w:rPr>
      </w:pPr>
      <w:r w:rsidRPr="00413922">
        <w:rPr>
          <w:rFonts w:ascii="Verdana" w:eastAsia="Calibri" w:hAnsi="Verdana" w:cs="Arial"/>
          <w:lang w:val="es-ES"/>
        </w:rPr>
        <w:t xml:space="preserve">Como puede observarse, los requisitos </w:t>
      </w:r>
      <w:r w:rsidRPr="00413922">
        <w:rPr>
          <w:rFonts w:ascii="Verdana" w:eastAsia="Calibri" w:hAnsi="Verdana" w:cs="Arial"/>
          <w:i/>
          <w:iCs/>
          <w:lang w:val="es-ES"/>
        </w:rPr>
        <w:t>legales</w:t>
      </w:r>
      <w:r w:rsidRPr="00413922">
        <w:rPr>
          <w:rFonts w:ascii="Verdana" w:eastAsia="Calibri" w:hAnsi="Verdana" w:cs="Arial"/>
          <w:lang w:val="es-ES"/>
        </w:rPr>
        <w:t xml:space="preserve"> de ejecución son: (i) la aprobación de las garantías exigidas en el contrato, (ii) la existencia de la apropiación presupuestal correspondiente y (iii) la acreditación del cumplimiento de las obligaciones con el Sistema de Seguridad Social Integral. </w:t>
      </w:r>
    </w:p>
    <w:p w14:paraId="28FD809E" w14:textId="0813D2F9" w:rsidR="008966D7" w:rsidRPr="00413922" w:rsidRDefault="008966D7" w:rsidP="008966D7">
      <w:pPr>
        <w:spacing w:after="120" w:line="276" w:lineRule="auto"/>
        <w:ind w:firstLine="709"/>
        <w:jc w:val="both"/>
        <w:rPr>
          <w:rFonts w:ascii="Verdana" w:eastAsia="Calibri" w:hAnsi="Verdana" w:cs="Arial"/>
          <w:color w:val="000000"/>
          <w:lang w:val="es-ES" w:eastAsia="en-GB"/>
        </w:rPr>
      </w:pPr>
      <w:r w:rsidRPr="00413922">
        <w:rPr>
          <w:rFonts w:ascii="Verdana" w:eastAsia="Calibri" w:hAnsi="Verdana" w:cs="Arial"/>
          <w:color w:val="000000" w:themeColor="text1"/>
          <w:lang w:val="es-ES" w:eastAsia="en-GB"/>
        </w:rPr>
        <w:t>Lo que tienen en común tales requisitos es que deben cumplirse para que inicie el contrato, sin que por ello puedan considerarse elementos de la esencia –de perfeccionamiento– del negocio jurídico, ni de validez del mismo. En otras palabras, un contrato estatal existe, así no se haya</w:t>
      </w:r>
      <w:r w:rsidR="00A31F70">
        <w:rPr>
          <w:rFonts w:ascii="Verdana" w:eastAsia="Calibri" w:hAnsi="Verdana" w:cs="Arial"/>
          <w:color w:val="000000" w:themeColor="text1"/>
          <w:lang w:val="es-ES" w:eastAsia="en-GB"/>
        </w:rPr>
        <w:t>n</w:t>
      </w:r>
      <w:r w:rsidRPr="00413922">
        <w:rPr>
          <w:rFonts w:ascii="Verdana" w:eastAsia="Calibri" w:hAnsi="Verdana" w:cs="Arial"/>
          <w:color w:val="000000" w:themeColor="text1"/>
          <w:lang w:val="es-ES" w:eastAsia="en-GB"/>
        </w:rPr>
        <w:t xml:space="preserve"> aprobado las garantías, o expedido el registro presupuestal, o a pesar de que el contratista no esté al día en el cumplimiento de sus obligaciones con el Sistema de Seguridad Social Integral, pero no puede comenzar a ejecutarse. Si aun</w:t>
      </w:r>
      <w:r w:rsidR="00A31F70">
        <w:rPr>
          <w:rFonts w:ascii="Verdana" w:eastAsia="Calibri" w:hAnsi="Verdana" w:cs="Arial"/>
          <w:color w:val="000000" w:themeColor="text1"/>
          <w:lang w:val="es-ES" w:eastAsia="en-GB"/>
        </w:rPr>
        <w:t xml:space="preserve"> cuando se den dichas condiciones</w:t>
      </w:r>
      <w:r w:rsidRPr="00413922">
        <w:rPr>
          <w:rFonts w:ascii="Verdana" w:eastAsia="Calibri" w:hAnsi="Verdana" w:cs="Arial"/>
          <w:color w:val="000000" w:themeColor="text1"/>
          <w:lang w:val="es-ES" w:eastAsia="en-GB"/>
        </w:rPr>
        <w:t xml:space="preserve"> el contrato estatal inicia, se incurre en un incumplimiento de obligaciones normativas –que son elementos de la naturaleza del contrato–, lo cual puede generar responsabilidades subjetivas en los servidores públicos, pero no por ello el contrato estatal deja de existir o queda viciado de nulidad.</w:t>
      </w:r>
    </w:p>
    <w:p w14:paraId="203BF688" w14:textId="77777777" w:rsidR="008966D7" w:rsidRPr="00413922" w:rsidRDefault="008966D7" w:rsidP="008966D7">
      <w:pPr>
        <w:spacing w:after="120" w:line="276" w:lineRule="auto"/>
        <w:ind w:firstLine="709"/>
        <w:jc w:val="both"/>
        <w:rPr>
          <w:rFonts w:ascii="Verdana" w:eastAsia="Calibri" w:hAnsi="Verdana" w:cs="Arial"/>
          <w:color w:val="000000"/>
          <w:lang w:val="es-ES" w:eastAsia="en-GB"/>
        </w:rPr>
      </w:pPr>
      <w:r w:rsidRPr="00413922">
        <w:rPr>
          <w:rFonts w:ascii="Verdana" w:eastAsia="Calibri" w:hAnsi="Verdana" w:cs="Arial"/>
          <w:color w:val="000000"/>
          <w:lang w:val="es-ES" w:eastAsia="en-GB"/>
        </w:rPr>
        <w:t>A esta conclusión llegó la Sección Tercera del Consejo de Estado en la sentencia del 12 de agosto de 2014, luego de distinguir los requisitos de perfeccionamiento respecto de los requisitos de ejecución de los contratos estatales. En tal oportunidad el órgano judicial se preguntó, dentro de las consideraciones, si la ausencia de registro presupuestal tenía como efecto que un contrato de prestación de servicios profesionales se considerara inexistente o viciado de nulidad absoluta. El alto tribunal indicó que no se genera inexistencia ni vicio de nulidad absoluta del contrato, sino una eventual responsabilidad en los servidores públicos que incumplieron tal requisito</w:t>
      </w:r>
      <w:r w:rsidRPr="00413922">
        <w:rPr>
          <w:rStyle w:val="Refdenotaalpie"/>
          <w:rFonts w:ascii="Verdana" w:eastAsia="Calibri" w:hAnsi="Verdana" w:cs="Arial"/>
          <w:color w:val="000000"/>
          <w:lang w:val="es-ES_tradnl" w:eastAsia="en-GB"/>
        </w:rPr>
        <w:footnoteReference w:id="6"/>
      </w:r>
      <w:r w:rsidRPr="00413922">
        <w:rPr>
          <w:rFonts w:ascii="Verdana" w:eastAsia="Calibri" w:hAnsi="Verdana" w:cs="Arial"/>
          <w:color w:val="000000"/>
          <w:lang w:val="es-ES" w:eastAsia="en-GB"/>
        </w:rPr>
        <w:t>.</w:t>
      </w:r>
    </w:p>
    <w:p w14:paraId="376D7DAC" w14:textId="7B913C52" w:rsidR="008966D7" w:rsidRPr="00413922" w:rsidRDefault="008966D7" w:rsidP="00D73F16">
      <w:pPr>
        <w:spacing w:after="0" w:line="276" w:lineRule="auto"/>
        <w:ind w:firstLine="709"/>
        <w:jc w:val="both"/>
        <w:rPr>
          <w:rFonts w:ascii="Verdana" w:eastAsia="Calibri" w:hAnsi="Verdana" w:cs="Arial"/>
          <w:color w:val="000000"/>
          <w:lang w:val="es-ES" w:eastAsia="en-GB"/>
        </w:rPr>
      </w:pPr>
      <w:r w:rsidRPr="00413922">
        <w:rPr>
          <w:rFonts w:ascii="Verdana" w:eastAsia="Calibri" w:hAnsi="Verdana" w:cs="Arial"/>
          <w:color w:val="000000"/>
          <w:lang w:val="es-ES" w:eastAsia="en-GB"/>
        </w:rPr>
        <w:t>Ahora bien, en relación con los requisitos de ejecución</w:t>
      </w:r>
      <w:r w:rsidR="00620F02">
        <w:rPr>
          <w:rFonts w:ascii="Verdana" w:eastAsia="Calibri" w:hAnsi="Verdana" w:cs="Arial"/>
          <w:color w:val="000000"/>
          <w:lang w:val="es-ES" w:eastAsia="en-GB"/>
        </w:rPr>
        <w:t>, que son aquellos a los que se refiere en su consulta,</w:t>
      </w:r>
      <w:r w:rsidRPr="00413922">
        <w:rPr>
          <w:rFonts w:ascii="Verdana" w:eastAsia="Calibri" w:hAnsi="Verdana" w:cs="Arial"/>
          <w:color w:val="000000"/>
          <w:lang w:val="es-ES" w:eastAsia="en-GB"/>
        </w:rPr>
        <w:t xml:space="preserve"> debe señalarse que, estos posibilitan el inicio de la fase de realización de las actividades pactadas en el contrato, es decir, el cumplimiento del objeto del negocio jurídico. A partir de esta distinción, es posible encontrar contratos estatales – perfeccionados– respecto de los cuales aún falte satisfacer uno o varios requisitos de ejecución. Sobre el particular, el </w:t>
      </w:r>
      <w:r w:rsidRPr="00413922">
        <w:rPr>
          <w:rFonts w:ascii="Verdana" w:eastAsia="Calibri" w:hAnsi="Verdana" w:cs="Arial"/>
          <w:color w:val="000000"/>
          <w:lang w:val="es-ES" w:eastAsia="en-GB"/>
        </w:rPr>
        <w:lastRenderedPageBreak/>
        <w:t xml:space="preserve">Consejo de Estado aclaró la diferencia entre el perfeccionamiento y la ejecución del contrato, de la siguiente manera: </w:t>
      </w:r>
    </w:p>
    <w:p w14:paraId="1639EF2C" w14:textId="77777777" w:rsidR="00D73F16" w:rsidRPr="00413922" w:rsidRDefault="00D73F16" w:rsidP="00F73D3D">
      <w:pPr>
        <w:spacing w:after="0" w:line="276" w:lineRule="auto"/>
        <w:ind w:firstLine="709"/>
        <w:jc w:val="both"/>
        <w:rPr>
          <w:rFonts w:ascii="Verdana" w:eastAsia="Calibri" w:hAnsi="Verdana" w:cs="Arial"/>
          <w:color w:val="000000"/>
          <w:lang w:val="es-ES" w:eastAsia="en-GB"/>
        </w:rPr>
      </w:pPr>
    </w:p>
    <w:p w14:paraId="7E7B0726" w14:textId="6467049E" w:rsidR="008966D7" w:rsidRPr="00413922" w:rsidRDefault="008966D7" w:rsidP="00F73D3D">
      <w:pPr>
        <w:spacing w:after="0" w:line="240" w:lineRule="auto"/>
        <w:ind w:left="709" w:right="709"/>
        <w:jc w:val="both"/>
        <w:rPr>
          <w:rFonts w:ascii="Verdana" w:eastAsia="Calibri" w:hAnsi="Verdana" w:cs="Arial"/>
          <w:vertAlign w:val="superscript"/>
          <w:lang w:val="es-ES" w:eastAsia="es-ES"/>
        </w:rPr>
      </w:pPr>
      <w:r w:rsidRPr="00413922">
        <w:rPr>
          <w:rFonts w:ascii="Verdana" w:eastAsia="Calibri" w:hAnsi="Verdana" w:cs="Arial"/>
          <w:color w:val="000000"/>
          <w:sz w:val="20"/>
          <w:szCs w:val="20"/>
          <w:lang w:val="es-ES" w:eastAsia="en-GB"/>
        </w:rPr>
        <w:t>“La Sala concluyó y ahora se reitera que i) la existencia del contrato no difiere de la perfección, esto es cumplidos los elementos esenciales que dan lugar al contrato no queda sino aceptar la relación jurídico contractual; ii) por virtud de lo dispuesto en la Ley 80 de 1993 el contrato estatal existe, esto es, “se perfecciona” cuando “se logra acuerdo sobre el objeto y la contraprestación y éste se eleve a escrito”; iii) es ejecutable cuando se cumplen las condiciones previstas en el inciso segundo del artículo 41 de la ley, interpretado en concordancia con lo dispuesto en el artículo 49 de la Ley 179 de 1994, compilado en el artículo 71 del Estatuto Orgánico de Presupuesto, Decreto Ley 111 de 1996 y iv) el requisito relativo al registro presupuestal no es una condición de existencia del contrato estatal, es un requisito de ejecución”</w:t>
      </w:r>
      <w:r w:rsidRPr="00413922">
        <w:rPr>
          <w:rFonts w:ascii="Verdana" w:eastAsia="Calibri" w:hAnsi="Verdana" w:cs="Arial"/>
          <w:color w:val="000000"/>
          <w:sz w:val="20"/>
          <w:szCs w:val="20"/>
          <w:vertAlign w:val="superscript"/>
          <w:lang w:val="es-ES" w:eastAsia="en-GB"/>
        </w:rPr>
        <w:footnoteReference w:id="7"/>
      </w:r>
      <w:r w:rsidRPr="00413922">
        <w:rPr>
          <w:rFonts w:ascii="Verdana" w:eastAsia="Calibri" w:hAnsi="Verdana" w:cs="Arial"/>
          <w:color w:val="000000"/>
          <w:sz w:val="20"/>
          <w:szCs w:val="20"/>
          <w:vertAlign w:val="superscript"/>
          <w:lang w:val="es-ES" w:eastAsia="en-GB"/>
        </w:rPr>
        <w:t>.</w:t>
      </w:r>
      <w:r w:rsidRPr="00413922">
        <w:rPr>
          <w:rFonts w:ascii="Verdana" w:eastAsia="Calibri" w:hAnsi="Verdana" w:cs="Arial"/>
          <w:vertAlign w:val="superscript"/>
          <w:lang w:val="es-ES" w:eastAsia="es-ES"/>
        </w:rPr>
        <w:t xml:space="preserve"> </w:t>
      </w:r>
    </w:p>
    <w:p w14:paraId="5F29122A" w14:textId="77777777" w:rsidR="007B5F28" w:rsidRPr="00413922" w:rsidRDefault="007B5F28" w:rsidP="008966D7">
      <w:pPr>
        <w:spacing w:after="0" w:line="240" w:lineRule="auto"/>
        <w:ind w:left="709" w:right="618"/>
        <w:jc w:val="both"/>
        <w:rPr>
          <w:rFonts w:ascii="Verdana" w:eastAsia="Calibri" w:hAnsi="Verdana" w:cs="Arial"/>
          <w:vertAlign w:val="superscript"/>
          <w:lang w:val="es-ES" w:eastAsia="es-ES"/>
        </w:rPr>
      </w:pPr>
    </w:p>
    <w:p w14:paraId="1044274A" w14:textId="77777777" w:rsidR="008966D7" w:rsidRPr="00413922" w:rsidRDefault="008966D7" w:rsidP="008966D7">
      <w:pPr>
        <w:spacing w:after="120" w:line="276" w:lineRule="auto"/>
        <w:ind w:firstLine="708"/>
        <w:jc w:val="both"/>
        <w:rPr>
          <w:rFonts w:ascii="Verdana" w:eastAsia="Calibri" w:hAnsi="Verdana" w:cs="Arial"/>
          <w:lang w:val="es-ES"/>
        </w:rPr>
      </w:pPr>
      <w:r w:rsidRPr="00413922">
        <w:rPr>
          <w:rFonts w:ascii="Verdana" w:eastAsia="Calibri" w:hAnsi="Verdana" w:cs="Arial"/>
          <w:lang w:val="es-ES"/>
        </w:rPr>
        <w:t xml:space="preserve">Por su parte, serán requisitos </w:t>
      </w:r>
      <w:r w:rsidRPr="00413922">
        <w:rPr>
          <w:rFonts w:ascii="Verdana" w:eastAsia="Calibri" w:hAnsi="Verdana" w:cs="Arial"/>
          <w:i/>
          <w:iCs/>
          <w:lang w:val="es-ES"/>
        </w:rPr>
        <w:t xml:space="preserve">convencionales </w:t>
      </w:r>
      <w:r w:rsidRPr="00413922">
        <w:rPr>
          <w:rFonts w:ascii="Verdana" w:eastAsia="Calibri" w:hAnsi="Verdana" w:cs="Arial"/>
          <w:lang w:val="es-ES"/>
        </w:rPr>
        <w:t>aquellos que no se encuentran consagrados en la ley, sino que se pactan en la minuta del contrato o que el contratista acepta al momento de adherirse al clausulado del pliego de condiciones o documento equivalente, como por ejemplo el acta de inicio.</w:t>
      </w:r>
    </w:p>
    <w:p w14:paraId="21A40C37" w14:textId="0F30D214" w:rsidR="008966D7" w:rsidRDefault="00FF5882" w:rsidP="00FF5882">
      <w:pPr>
        <w:spacing w:after="120" w:line="276" w:lineRule="auto"/>
        <w:ind w:firstLine="709"/>
        <w:jc w:val="both"/>
        <w:rPr>
          <w:rFonts w:ascii="Verdana" w:hAnsi="Verdana" w:cs="Arial"/>
          <w:color w:val="000000" w:themeColor="text1"/>
          <w:lang w:eastAsia="es-CO"/>
        </w:rPr>
      </w:pPr>
      <w:r>
        <w:rPr>
          <w:rFonts w:ascii="Verdana" w:eastAsia="Calibri" w:hAnsi="Verdana" w:cs="Arial"/>
          <w:lang w:val="es-ES"/>
        </w:rPr>
        <w:t>Ahora bien, e</w:t>
      </w:r>
      <w:r w:rsidR="008966D7" w:rsidRPr="00413922">
        <w:rPr>
          <w:rFonts w:ascii="Verdana" w:eastAsia="Calibri" w:hAnsi="Verdana" w:cs="Arial"/>
          <w:lang w:val="es-ES"/>
        </w:rPr>
        <w:t xml:space="preserve">n relación con los requisitos legales de ejecución, en primer lugar, se tiene como uno de ellos, la aprobación de las garantías exigidas en el contrato, </w:t>
      </w:r>
      <w:r w:rsidR="008966D7" w:rsidRPr="00413922">
        <w:rPr>
          <w:rFonts w:ascii="Verdana" w:eastAsia="Calibri" w:hAnsi="Verdana" w:cs="Arial"/>
          <w:lang w:val="es-ES_tradnl"/>
        </w:rPr>
        <w:t>el segundo inciso del artículo 41 de la Ley 80 de 1993</w:t>
      </w:r>
      <w:r w:rsidR="008966D7" w:rsidRPr="00413922">
        <w:rPr>
          <w:rFonts w:ascii="Verdana" w:eastAsia="Calibri" w:hAnsi="Verdana" w:cs="Arial"/>
        </w:rPr>
        <w:t>, modificado por el artículo 23 de la Ley 1150 de 2007</w:t>
      </w:r>
      <w:r w:rsidR="008966D7" w:rsidRPr="00413922">
        <w:rPr>
          <w:rFonts w:ascii="Verdana" w:eastAsia="Calibri" w:hAnsi="Verdana" w:cs="Arial"/>
          <w:lang w:val="es-ES_tradnl"/>
        </w:rPr>
        <w:t xml:space="preserve"> </w:t>
      </w:r>
      <w:r w:rsidR="008966D7" w:rsidRPr="00413922">
        <w:rPr>
          <w:rFonts w:ascii="Verdana" w:hAnsi="Verdana" w:cs="Arial"/>
          <w:color w:val="000000" w:themeColor="text1"/>
          <w:lang w:val="es-MX"/>
        </w:rPr>
        <w:t>establece que “P</w:t>
      </w:r>
      <w:r w:rsidR="008966D7" w:rsidRPr="00413922">
        <w:rPr>
          <w:rFonts w:ascii="Verdana" w:hAnsi="Verdana" w:cs="Arial"/>
          <w:color w:val="000000" w:themeColor="text1"/>
          <w:lang w:eastAsia="es-CO"/>
        </w:rPr>
        <w:t>ara la ejecución se requerirá de la aprobación de la garantía”, lo que se traduce en que, sin perjuicio del perfeccionamiento del contrato, no podrá ejecutarse sin que se hayan aprobado las garantías por parte de la entidad estatal contratante en caso que se hayan solicitado.</w:t>
      </w:r>
    </w:p>
    <w:p w14:paraId="2D7554A7" w14:textId="47993670" w:rsidR="008966D7" w:rsidRDefault="008966D7" w:rsidP="00D73F16">
      <w:pPr>
        <w:spacing w:after="0" w:line="276" w:lineRule="auto"/>
        <w:ind w:firstLine="709"/>
        <w:jc w:val="both"/>
        <w:rPr>
          <w:rFonts w:ascii="Verdana" w:hAnsi="Verdana" w:cs="Arial"/>
          <w:color w:val="000000" w:themeColor="text1"/>
          <w:lang w:eastAsia="es-CO"/>
        </w:rPr>
      </w:pPr>
      <w:r w:rsidRPr="00C31767">
        <w:rPr>
          <w:rFonts w:ascii="Verdana" w:hAnsi="Verdana" w:cs="Arial"/>
          <w:color w:val="000000" w:themeColor="text1"/>
          <w:lang w:eastAsia="es-CO"/>
        </w:rPr>
        <w:t xml:space="preserve">De esta manera, para proceder con </w:t>
      </w:r>
      <w:r>
        <w:rPr>
          <w:rFonts w:ascii="Verdana" w:hAnsi="Verdana" w:cs="Arial"/>
          <w:color w:val="000000" w:themeColor="text1"/>
          <w:lang w:eastAsia="es-CO"/>
        </w:rPr>
        <w:t>el inicio</w:t>
      </w:r>
      <w:r w:rsidRPr="00C31767">
        <w:rPr>
          <w:rFonts w:ascii="Verdana" w:hAnsi="Verdana" w:cs="Arial"/>
          <w:color w:val="000000" w:themeColor="text1"/>
          <w:lang w:eastAsia="es-CO"/>
        </w:rPr>
        <w:t xml:space="preserve"> del contrato, el contratista debe cumplir con la obligación de constituir las garantías</w:t>
      </w:r>
      <w:r>
        <w:rPr>
          <w:rFonts w:ascii="Verdana" w:hAnsi="Verdana" w:cs="Arial"/>
          <w:color w:val="000000" w:themeColor="text1"/>
          <w:lang w:eastAsia="es-CO"/>
        </w:rPr>
        <w:t xml:space="preserve"> solicitadas.</w:t>
      </w:r>
      <w:r w:rsidRPr="00C31767">
        <w:rPr>
          <w:rFonts w:ascii="Verdana" w:hAnsi="Verdana" w:cs="Arial"/>
          <w:color w:val="000000" w:themeColor="text1"/>
          <w:lang w:eastAsia="es-CO"/>
        </w:rPr>
        <w:t xml:space="preserve"> </w:t>
      </w:r>
      <w:r w:rsidRPr="003C3EC3">
        <w:rPr>
          <w:rFonts w:ascii="Verdana" w:hAnsi="Verdana" w:cs="Arial"/>
          <w:color w:val="000000" w:themeColor="text1"/>
          <w:lang w:eastAsia="es-CO"/>
        </w:rPr>
        <w:t>Por ello, el artículo 7 de la Ley 1150 de 2007 dispone que los contratistas tienen la obligación de constituir garantías para el cumplimiento de las obligaciones surgidas del contrato, y los proponentes por el ofrecimiento realizado, pudiendo consistir en pólizas expedidas por compañías aseguradoras, garantías bancarias u otros mecanismos permitidos por la ley y el reglamento. Esta norma señala lo siguiente:</w:t>
      </w:r>
    </w:p>
    <w:p w14:paraId="5BCA3D27" w14:textId="77777777" w:rsidR="00D73F16" w:rsidRDefault="00D73F16" w:rsidP="00F73D3D">
      <w:pPr>
        <w:spacing w:after="0" w:line="276" w:lineRule="auto"/>
        <w:ind w:firstLine="709"/>
        <w:jc w:val="both"/>
        <w:rPr>
          <w:rFonts w:ascii="Verdana" w:hAnsi="Verdana" w:cs="Arial"/>
          <w:color w:val="000000" w:themeColor="text1"/>
          <w:lang w:eastAsia="es-CO"/>
        </w:rPr>
      </w:pPr>
    </w:p>
    <w:p w14:paraId="093D46C4" w14:textId="29567D5E" w:rsidR="008966D7" w:rsidRPr="00E241A3" w:rsidRDefault="008966D7" w:rsidP="00D73F16">
      <w:pPr>
        <w:spacing w:after="0" w:line="240" w:lineRule="auto"/>
        <w:ind w:left="709" w:right="709"/>
        <w:jc w:val="both"/>
        <w:rPr>
          <w:rFonts w:ascii="Verdana" w:eastAsia="Times New Roman" w:hAnsi="Verdana" w:cs="Arial"/>
          <w:color w:val="000000" w:themeColor="text1"/>
          <w:sz w:val="20"/>
          <w:szCs w:val="20"/>
          <w:u w:val="single"/>
          <w:lang w:val="es-ES" w:eastAsia="es-ES_tradnl"/>
        </w:rPr>
      </w:pPr>
      <w:r>
        <w:rPr>
          <w:rFonts w:ascii="Verdana" w:hAnsi="Verdana" w:cs="Arial"/>
          <w:sz w:val="20"/>
          <w:szCs w:val="20"/>
        </w:rPr>
        <w:t>“</w:t>
      </w:r>
      <w:r w:rsidRPr="00E34471">
        <w:rPr>
          <w:rFonts w:ascii="Verdana" w:hAnsi="Verdana" w:cs="Arial"/>
          <w:sz w:val="20"/>
          <w:szCs w:val="20"/>
        </w:rPr>
        <w:t>ARTÍCULO </w:t>
      </w:r>
      <w:r>
        <w:rPr>
          <w:rFonts w:ascii="Verdana" w:hAnsi="Verdana" w:cs="Arial"/>
          <w:sz w:val="20"/>
          <w:szCs w:val="20"/>
        </w:rPr>
        <w:t>7</w:t>
      </w:r>
      <w:r w:rsidRPr="00E34471">
        <w:rPr>
          <w:rFonts w:ascii="Verdana" w:hAnsi="Verdana" w:cs="Arial"/>
          <w:sz w:val="20"/>
          <w:szCs w:val="20"/>
        </w:rPr>
        <w:t>.-</w:t>
      </w:r>
      <w:r w:rsidRPr="00EE020F">
        <w:rPr>
          <w:rFonts w:ascii="Verdana" w:hAnsi="Verdana" w:cs="Arial"/>
          <w:b/>
          <w:bCs/>
          <w:sz w:val="20"/>
          <w:szCs w:val="20"/>
        </w:rPr>
        <w:t xml:space="preserve"> </w:t>
      </w:r>
      <w:r w:rsidRPr="00E241A3">
        <w:rPr>
          <w:rFonts w:ascii="Verdana" w:hAnsi="Verdana" w:cs="Arial"/>
          <w:sz w:val="20"/>
          <w:szCs w:val="20"/>
          <w:u w:val="single"/>
        </w:rPr>
        <w:t>Los</w:t>
      </w:r>
      <w:r w:rsidRPr="00E241A3">
        <w:rPr>
          <w:rFonts w:ascii="Verdana" w:eastAsia="Times New Roman" w:hAnsi="Verdana" w:cs="Arial"/>
          <w:color w:val="000000" w:themeColor="text1"/>
          <w:sz w:val="20"/>
          <w:szCs w:val="20"/>
          <w:u w:val="single"/>
          <w:lang w:val="es-ES" w:eastAsia="es-ES_tradnl"/>
        </w:rPr>
        <w:t xml:space="preserve"> contratistas prestarán garantía única para el cumplimiento de las obligaciones surgidas del contrato. Los proponentes prestarán garantía de seriedad de los ofrecimientos hechos. </w:t>
      </w:r>
    </w:p>
    <w:p w14:paraId="76144714" w14:textId="77777777" w:rsidR="004061FE" w:rsidRPr="00E241A3" w:rsidRDefault="004061FE" w:rsidP="00F73D3D">
      <w:pPr>
        <w:spacing w:after="0" w:line="240" w:lineRule="auto"/>
        <w:ind w:left="709" w:right="709"/>
        <w:jc w:val="both"/>
        <w:rPr>
          <w:rFonts w:ascii="Verdana" w:eastAsia="Times New Roman" w:hAnsi="Verdana" w:cs="Arial"/>
          <w:color w:val="000000" w:themeColor="text1"/>
          <w:sz w:val="20"/>
          <w:szCs w:val="20"/>
          <w:u w:val="single"/>
          <w:lang w:val="es-ES" w:eastAsia="es-ES_tradnl"/>
        </w:rPr>
      </w:pPr>
    </w:p>
    <w:p w14:paraId="0ED0743E" w14:textId="02F7B27F" w:rsidR="008966D7" w:rsidRDefault="008966D7" w:rsidP="00D73F16">
      <w:pPr>
        <w:spacing w:after="0" w:line="240" w:lineRule="auto"/>
        <w:ind w:left="709" w:right="709"/>
        <w:jc w:val="both"/>
        <w:rPr>
          <w:rFonts w:ascii="Verdana" w:eastAsia="Times New Roman" w:hAnsi="Verdana" w:cs="Arial"/>
          <w:color w:val="000000" w:themeColor="text1"/>
          <w:sz w:val="20"/>
          <w:szCs w:val="20"/>
          <w:lang w:eastAsia="es-ES_tradnl"/>
        </w:rPr>
      </w:pPr>
      <w:r w:rsidRPr="00DC31EE">
        <w:rPr>
          <w:rFonts w:ascii="Verdana" w:eastAsia="Times New Roman" w:hAnsi="Verdana" w:cs="Arial"/>
          <w:color w:val="000000" w:themeColor="text1"/>
          <w:sz w:val="20"/>
          <w:szCs w:val="20"/>
          <w:lang w:val="es-ES" w:eastAsia="es-ES_tradnl"/>
        </w:rPr>
        <w:t>Las garantías consistirán en pólizas expedidas por compañías de seguros legalmente autorizadas para funcionar en Colombia, en garantías bancarias y en general, en los demás mecanismos de cobertura del riesgo autorizados por el reglamento para el efecto. Tratándose de pólizas, las mismas no expirarán por falta de pago de la prima o por revocatoria unilateral. El Gobierno Nacional</w:t>
      </w:r>
      <w:r>
        <w:rPr>
          <w:rFonts w:ascii="Verdana" w:eastAsia="Times New Roman" w:hAnsi="Verdana" w:cs="Arial"/>
          <w:color w:val="000000" w:themeColor="text1"/>
          <w:sz w:val="20"/>
          <w:szCs w:val="20"/>
          <w:lang w:val="es-ES" w:eastAsia="es-ES_tradnl"/>
        </w:rPr>
        <w:t xml:space="preserve"> </w:t>
      </w:r>
      <w:r w:rsidRPr="00B350AE">
        <w:rPr>
          <w:rFonts w:ascii="Verdana" w:eastAsia="Times New Roman" w:hAnsi="Verdana" w:cs="Arial"/>
          <w:color w:val="000000" w:themeColor="text1"/>
          <w:sz w:val="20"/>
          <w:szCs w:val="20"/>
          <w:lang w:eastAsia="es-ES_tradnl"/>
        </w:rPr>
        <w:t xml:space="preserve">señalará las condiciones generales que deberán ser incluidas en las pólizas de cumplimiento de los contratos estatales. </w:t>
      </w:r>
    </w:p>
    <w:p w14:paraId="738758B9" w14:textId="77777777" w:rsidR="004061FE" w:rsidRDefault="004061FE" w:rsidP="00F73D3D">
      <w:pPr>
        <w:spacing w:after="0" w:line="240" w:lineRule="auto"/>
        <w:ind w:left="709" w:right="709"/>
        <w:jc w:val="both"/>
        <w:rPr>
          <w:rFonts w:ascii="Verdana" w:eastAsia="Times New Roman" w:hAnsi="Verdana" w:cs="Arial"/>
          <w:color w:val="000000" w:themeColor="text1"/>
          <w:sz w:val="20"/>
          <w:szCs w:val="20"/>
          <w:lang w:eastAsia="es-ES_tradnl"/>
        </w:rPr>
      </w:pPr>
    </w:p>
    <w:p w14:paraId="6E083A59" w14:textId="77777777" w:rsidR="008966D7" w:rsidRDefault="008966D7" w:rsidP="00F73D3D">
      <w:pPr>
        <w:spacing w:after="0" w:line="240" w:lineRule="auto"/>
        <w:ind w:left="709" w:right="709"/>
        <w:jc w:val="both"/>
        <w:rPr>
          <w:rFonts w:ascii="Verdana" w:eastAsia="Times New Roman" w:hAnsi="Verdana" w:cs="Arial"/>
          <w:color w:val="000000" w:themeColor="text1"/>
          <w:sz w:val="20"/>
          <w:szCs w:val="20"/>
          <w:lang w:eastAsia="es-ES_tradnl"/>
        </w:rPr>
      </w:pPr>
      <w:r>
        <w:rPr>
          <w:rFonts w:ascii="Verdana" w:eastAsia="Times New Roman" w:hAnsi="Verdana" w:cs="Arial"/>
          <w:color w:val="000000" w:themeColor="text1"/>
          <w:sz w:val="20"/>
          <w:szCs w:val="20"/>
          <w:lang w:eastAsia="es-ES_tradnl"/>
        </w:rPr>
        <w:t>[…]</w:t>
      </w:r>
    </w:p>
    <w:p w14:paraId="4AFC3007" w14:textId="77777777" w:rsidR="004061FE" w:rsidRDefault="004061FE" w:rsidP="00D73F16">
      <w:pPr>
        <w:spacing w:after="0" w:line="240" w:lineRule="auto"/>
        <w:ind w:left="709" w:right="709"/>
        <w:jc w:val="both"/>
        <w:rPr>
          <w:rFonts w:ascii="Verdana" w:eastAsia="Times New Roman" w:hAnsi="Verdana" w:cs="Arial"/>
          <w:color w:val="000000" w:themeColor="text1"/>
          <w:sz w:val="20"/>
          <w:szCs w:val="20"/>
          <w:lang w:eastAsia="es-ES_tradnl"/>
        </w:rPr>
      </w:pPr>
    </w:p>
    <w:p w14:paraId="4CB361A4" w14:textId="47CB54F5" w:rsidR="008966D7" w:rsidRDefault="008966D7" w:rsidP="00D73F16">
      <w:pPr>
        <w:spacing w:after="0" w:line="240" w:lineRule="auto"/>
        <w:ind w:left="709" w:right="709"/>
        <w:jc w:val="both"/>
        <w:rPr>
          <w:rFonts w:ascii="Verdana" w:eastAsia="Times New Roman" w:hAnsi="Verdana" w:cs="Arial"/>
          <w:color w:val="000000" w:themeColor="text1"/>
          <w:sz w:val="20"/>
          <w:szCs w:val="20"/>
          <w:lang w:eastAsia="es-ES_tradnl"/>
        </w:rPr>
      </w:pPr>
      <w:r w:rsidRPr="00B350AE">
        <w:rPr>
          <w:rFonts w:ascii="Verdana" w:eastAsia="Times New Roman" w:hAnsi="Verdana" w:cs="Arial"/>
          <w:color w:val="000000" w:themeColor="text1"/>
          <w:sz w:val="20"/>
          <w:szCs w:val="20"/>
          <w:lang w:eastAsia="es-ES_tradnl"/>
        </w:rPr>
        <w:t xml:space="preserve">El acaecimiento del siniestro que amparan las garantías será comunicado por la entidad pública al respectivo asegurador mediante la notificación del acto administrativo que así lo declare. </w:t>
      </w:r>
    </w:p>
    <w:p w14:paraId="5E8721BB" w14:textId="77777777" w:rsidR="004061FE" w:rsidRDefault="004061FE" w:rsidP="00F73D3D">
      <w:pPr>
        <w:spacing w:after="0" w:line="240" w:lineRule="auto"/>
        <w:ind w:left="709" w:right="709"/>
        <w:jc w:val="both"/>
        <w:rPr>
          <w:rFonts w:ascii="Verdana" w:eastAsia="Times New Roman" w:hAnsi="Verdana" w:cs="Arial"/>
          <w:color w:val="000000" w:themeColor="text1"/>
          <w:sz w:val="20"/>
          <w:szCs w:val="20"/>
          <w:lang w:eastAsia="es-ES_tradnl"/>
        </w:rPr>
      </w:pPr>
    </w:p>
    <w:p w14:paraId="18B5AD6B" w14:textId="0DC419E4" w:rsidR="008966D7" w:rsidRPr="00E241A3" w:rsidRDefault="008966D7" w:rsidP="00D73F16">
      <w:pPr>
        <w:spacing w:after="0" w:line="240" w:lineRule="auto"/>
        <w:ind w:left="709" w:right="709"/>
        <w:jc w:val="both"/>
        <w:rPr>
          <w:rFonts w:ascii="Verdana" w:eastAsia="Times New Roman" w:hAnsi="Verdana" w:cs="Arial"/>
          <w:color w:val="000000" w:themeColor="text1"/>
          <w:sz w:val="20"/>
          <w:szCs w:val="20"/>
          <w:lang w:eastAsia="es-ES_tradnl"/>
        </w:rPr>
      </w:pPr>
      <w:r w:rsidRPr="00B350AE">
        <w:rPr>
          <w:rFonts w:ascii="Verdana" w:eastAsia="Times New Roman" w:hAnsi="Verdana" w:cs="Arial"/>
          <w:color w:val="000000" w:themeColor="text1"/>
          <w:sz w:val="20"/>
          <w:szCs w:val="20"/>
          <w:lang w:eastAsia="es-ES_tradnl"/>
        </w:rPr>
        <w:t>Las garantías no serán obligatorias en los contratos de empréstito, en los interadministrativos, en los de seguro y en los contratos cuyo valor sea inferior al 10% de la menor cuantía a que se refiere esta ley, caso en el cual corresponderá a la entidad determinar la necesidad de exigirla, atendiendo a la naturaleza del objeto del contrato y a la forma de pago, así como en los demás que señale el reglamento</w:t>
      </w:r>
      <w:r w:rsidR="00605B2E">
        <w:rPr>
          <w:rFonts w:ascii="Verdana" w:eastAsia="Times New Roman" w:hAnsi="Verdana" w:cs="Arial"/>
          <w:color w:val="000000" w:themeColor="text1"/>
          <w:sz w:val="20"/>
          <w:szCs w:val="20"/>
          <w:lang w:eastAsia="es-ES_tradnl"/>
        </w:rPr>
        <w:t>”</w:t>
      </w:r>
      <w:r>
        <w:rPr>
          <w:rFonts w:ascii="Verdana" w:eastAsia="Times New Roman" w:hAnsi="Verdana" w:cs="Arial"/>
          <w:color w:val="000000" w:themeColor="text1"/>
          <w:sz w:val="20"/>
          <w:szCs w:val="20"/>
          <w:lang w:eastAsia="es-ES_tradnl"/>
        </w:rPr>
        <w:t xml:space="preserve">. </w:t>
      </w:r>
      <w:r w:rsidRPr="00E241A3">
        <w:rPr>
          <w:rFonts w:ascii="Verdana" w:eastAsia="Times New Roman" w:hAnsi="Verdana" w:cs="Arial"/>
          <w:color w:val="000000" w:themeColor="text1"/>
          <w:sz w:val="20"/>
          <w:szCs w:val="20"/>
          <w:lang w:eastAsia="es-ES_tradnl"/>
        </w:rPr>
        <w:t>(Subrayado fuera de texto)</w:t>
      </w:r>
    </w:p>
    <w:p w14:paraId="1E9D44CB" w14:textId="77777777" w:rsidR="00D73F16" w:rsidRPr="00F73D3D" w:rsidRDefault="00D73F16" w:rsidP="00F73D3D">
      <w:pPr>
        <w:spacing w:after="0" w:line="276" w:lineRule="auto"/>
        <w:ind w:left="709" w:right="709"/>
        <w:jc w:val="both"/>
        <w:rPr>
          <w:rFonts w:ascii="Verdana" w:eastAsia="Times New Roman" w:hAnsi="Verdana" w:cs="Arial"/>
          <w:color w:val="000000" w:themeColor="text1"/>
          <w:lang w:eastAsia="es-ES_tradnl"/>
        </w:rPr>
      </w:pPr>
    </w:p>
    <w:p w14:paraId="0CCA9760" w14:textId="77777777" w:rsidR="008966D7" w:rsidRDefault="008966D7" w:rsidP="008966D7">
      <w:pPr>
        <w:spacing w:after="120" w:line="276" w:lineRule="auto"/>
        <w:ind w:firstLine="709"/>
        <w:jc w:val="both"/>
        <w:rPr>
          <w:rFonts w:ascii="Verdana" w:hAnsi="Verdana" w:cs="Arial"/>
          <w:color w:val="000000" w:themeColor="text1"/>
          <w:lang w:eastAsia="es-CO"/>
        </w:rPr>
      </w:pPr>
      <w:r w:rsidRPr="00D72D59">
        <w:rPr>
          <w:rFonts w:ascii="Verdana" w:hAnsi="Verdana" w:cs="Arial"/>
          <w:color w:val="000000" w:themeColor="text1"/>
          <w:lang w:eastAsia="es-CO"/>
        </w:rPr>
        <w:t>Las condiciones en las que debe cumplirse esta obligación fueron reglamentadas por el Decreto 1082 de 2015, el cual entre sus artículos 2.2.1.2.3.1.1. y 2.2.1.2.3.1.19 se refiere a asuntos como las clases de garantías permitidas, la indivisibilidad de las mismas, los diferentes riesgos que deben ser objeto de garantía, la vigencia y valores mínimos que deben cubrir los amparos, entre otros aspectos que debe cumplir las garantías constituidas por los contratistas ya sea a través de pólizas de seguro, garantías bancarías o patrimonios autónomos.</w:t>
      </w:r>
    </w:p>
    <w:p w14:paraId="504CC430" w14:textId="77777777" w:rsidR="001E1DA1" w:rsidRPr="00C31767" w:rsidRDefault="001E1DA1" w:rsidP="00F73D3D">
      <w:pPr>
        <w:spacing w:after="120" w:line="276" w:lineRule="auto"/>
        <w:ind w:firstLine="708"/>
        <w:jc w:val="both"/>
        <w:rPr>
          <w:rFonts w:ascii="Verdana" w:hAnsi="Verdana" w:cs="Arial"/>
          <w:color w:val="000000" w:themeColor="text1"/>
          <w:lang w:eastAsia="es-CO"/>
        </w:rPr>
      </w:pPr>
      <w:r w:rsidRPr="00C31767">
        <w:rPr>
          <w:rFonts w:ascii="Verdana" w:hAnsi="Verdana" w:cs="Arial"/>
          <w:color w:val="000000" w:themeColor="text1"/>
          <w:lang w:val="es-MX"/>
        </w:rPr>
        <w:t xml:space="preserve">El artículo 2.2.1.2.3.1.3, por ejemplo, establece que la “garantía de cobertura del Riesgo es indivisible”, además de la obligación de los contratantes de establecer en los pliegos de condiciones las garantías exigidas para cada periodo contractual. Seguidamente el artículo 2.2.1.3.1.7 prescribe que la garantía de cumplimiento debe cubrir: i) el buen manejo y correcta inversión del </w:t>
      </w:r>
      <w:r w:rsidRPr="00C31767">
        <w:rPr>
          <w:rFonts w:ascii="Verdana" w:hAnsi="Verdana" w:cs="Arial"/>
          <w:color w:val="000000" w:themeColor="text1"/>
          <w:lang w:val="es-MX"/>
        </w:rPr>
        <w:lastRenderedPageBreak/>
        <w:t xml:space="preserve">anticipo; ii) la devolución del pago anticipado; iii) cumplimiento del contrato; iv) pago de salarios, prestaciones sociales legales e indemnizaciones laborales; v) estabilidad y calidad de la obra; vi) </w:t>
      </w:r>
      <w:r w:rsidRPr="00C31767">
        <w:rPr>
          <w:rFonts w:ascii="Verdana" w:hAnsi="Verdana" w:cs="Arial"/>
          <w:color w:val="000000" w:themeColor="text1"/>
          <w:lang w:eastAsia="es-CO"/>
        </w:rPr>
        <w:t>calidad del servicio; vii) calidad y correcto funcionamiento de los bienes; y viii) los demás incumplimientos de las obligaciones que la entidad estatal considere deben ser amparados. Por su parte, el artículo 2.2.1.2.3.1.12 regula la suficiencia del amparo de cumplimiento, al determinar que esta debe tener una vigencia mínima hasta la liquidación del contrato y un valor de por lo menos el diez por ciento (10%) del total del contrato, siempre que este sea inferior a un millón (1.000.000) de S.M.M.L.V., estableciendo otros mínimos para el valor de las pólizas en contratos con montos superiores</w:t>
      </w:r>
      <w:r w:rsidRPr="00C31767">
        <w:rPr>
          <w:rFonts w:ascii="Verdana" w:hAnsi="Verdana" w:cs="Arial"/>
          <w:color w:val="000000" w:themeColor="text1"/>
          <w:vertAlign w:val="superscript"/>
          <w:lang w:eastAsia="es-CO"/>
        </w:rPr>
        <w:footnoteReference w:id="8"/>
      </w:r>
      <w:r w:rsidRPr="00C31767">
        <w:rPr>
          <w:rFonts w:ascii="Verdana" w:hAnsi="Verdana" w:cs="Arial"/>
          <w:color w:val="000000" w:themeColor="text1"/>
          <w:lang w:eastAsia="es-CO"/>
        </w:rPr>
        <w:t xml:space="preserve">.   </w:t>
      </w:r>
    </w:p>
    <w:p w14:paraId="2C0F58AE" w14:textId="77777777" w:rsidR="001E1DA1" w:rsidRPr="00C31767" w:rsidRDefault="001E1DA1" w:rsidP="00F73D3D">
      <w:pPr>
        <w:spacing w:after="120" w:line="276" w:lineRule="auto"/>
        <w:ind w:firstLine="708"/>
        <w:jc w:val="both"/>
        <w:rPr>
          <w:rFonts w:ascii="Verdana" w:hAnsi="Verdana" w:cs="Arial"/>
          <w:color w:val="000000" w:themeColor="text1"/>
        </w:rPr>
      </w:pPr>
      <w:r w:rsidRPr="00C31767">
        <w:rPr>
          <w:rFonts w:ascii="Verdana" w:hAnsi="Verdana" w:cs="Arial"/>
          <w:color w:val="000000" w:themeColor="text1"/>
          <w:lang w:val="es-MX"/>
        </w:rPr>
        <w:t>Los anteriores y otros aspectos desarrollados por el Decreto 1082 de 2015 deben ser verificados por las entidades estatales, para determinar si los amparos constituidos por sus contratistas en cumplimiento de la obligación derivada del artículo 7 de la Ley 1150 de 2007 se ajustan o no a lo exigido por el reglamento respecto del objeto y valor del contrato.</w:t>
      </w:r>
      <w:r w:rsidRPr="00C31767">
        <w:rPr>
          <w:rFonts w:ascii="Verdana" w:hAnsi="Verdana" w:cs="Arial"/>
          <w:color w:val="000000" w:themeColor="text1"/>
        </w:rPr>
        <w:t xml:space="preserve"> Lo expuesto resulta de especial relevancia, teniendo en cuenta que el cumplimiento de la obligación de los contratistas de constituir las correspondientes garantías, y el deber de las entidades estatales de aprobarlas, una vez verificados los requisitos mínimos exigidos, son presupuestos para la ejecución del contrato, de conformidad con el artículo 41 de la Ley 80 de 1993</w:t>
      </w:r>
      <w:r w:rsidRPr="00C31767">
        <w:rPr>
          <w:rFonts w:ascii="Verdana" w:eastAsia="Calibri" w:hAnsi="Verdana" w:cs="Arial"/>
        </w:rPr>
        <w:t xml:space="preserve">. </w:t>
      </w:r>
    </w:p>
    <w:p w14:paraId="63C9DA42" w14:textId="77777777" w:rsidR="001E1DA1" w:rsidRPr="00C31767" w:rsidRDefault="001E1DA1" w:rsidP="00F73D3D">
      <w:pPr>
        <w:spacing w:after="120" w:line="276" w:lineRule="auto"/>
        <w:ind w:firstLine="708"/>
        <w:jc w:val="both"/>
        <w:rPr>
          <w:rFonts w:ascii="Verdana" w:hAnsi="Verdana" w:cs="Arial"/>
          <w:color w:val="000000" w:themeColor="text1"/>
          <w:lang w:val="es-ES_tradnl"/>
        </w:rPr>
      </w:pPr>
      <w:r w:rsidRPr="00C31767">
        <w:rPr>
          <w:rFonts w:ascii="Verdana" w:eastAsia="Calibri" w:hAnsi="Verdana" w:cs="Arial"/>
        </w:rPr>
        <w:t xml:space="preserve">En efecto, </w:t>
      </w:r>
      <w:r w:rsidRPr="00C31767">
        <w:rPr>
          <w:rFonts w:ascii="Verdana" w:hAnsi="Verdana" w:cs="Arial"/>
          <w:color w:val="000000" w:themeColor="text1"/>
          <w:lang w:val="es-MX"/>
        </w:rPr>
        <w:t>el referido artículo establece en su inciso primero que los contratos estatales se perfeccionan “</w:t>
      </w:r>
      <w:r w:rsidRPr="00C31767">
        <w:rPr>
          <w:rFonts w:ascii="Verdana" w:hAnsi="Verdana" w:cs="Arial"/>
          <w:color w:val="000000" w:themeColor="text1"/>
          <w:lang w:eastAsia="es-CO"/>
        </w:rPr>
        <w:t>cuando se logre acuerdo sobre el objeto y la contraprestación y éste se eleve a escrito</w:t>
      </w:r>
      <w:r w:rsidRPr="00C31767">
        <w:rPr>
          <w:rFonts w:ascii="Verdana" w:hAnsi="Verdana" w:cs="Arial"/>
          <w:color w:val="000000" w:themeColor="text1"/>
          <w:lang w:val="es-MX"/>
        </w:rPr>
        <w:t>”. Por su parte el inciso segundo establece que “P</w:t>
      </w:r>
      <w:r w:rsidRPr="00C31767">
        <w:rPr>
          <w:rFonts w:ascii="Verdana" w:hAnsi="Verdana" w:cs="Arial"/>
          <w:color w:val="000000" w:themeColor="text1"/>
          <w:lang w:eastAsia="es-CO"/>
        </w:rPr>
        <w:t xml:space="preserve">ara la ejecución se requerirá de la aprobación de la garantía”, lo que se traduce en que, sin perjuicio del perfeccionamiento del contrato, no </w:t>
      </w:r>
      <w:r w:rsidRPr="00C31767">
        <w:rPr>
          <w:rFonts w:ascii="Verdana" w:hAnsi="Verdana" w:cs="Arial"/>
          <w:color w:val="000000" w:themeColor="text1"/>
          <w:lang w:eastAsia="es-CO"/>
        </w:rPr>
        <w:lastRenderedPageBreak/>
        <w:t>podrá ejecutarse sin que se hayan aprobado las garantías por parte de la entidad estatal contratante.</w:t>
      </w:r>
    </w:p>
    <w:p w14:paraId="51C70804" w14:textId="77777777" w:rsidR="001E1DA1" w:rsidRPr="00C31767" w:rsidRDefault="001E1DA1" w:rsidP="001E1DA1">
      <w:pPr>
        <w:spacing w:before="120" w:after="0" w:line="276" w:lineRule="auto"/>
        <w:ind w:firstLine="708"/>
        <w:jc w:val="both"/>
        <w:rPr>
          <w:rFonts w:ascii="Verdana" w:hAnsi="Verdana" w:cs="Arial"/>
          <w:color w:val="000000" w:themeColor="text1"/>
          <w:lang w:val="es-MX"/>
        </w:rPr>
      </w:pPr>
      <w:r w:rsidRPr="00C31767">
        <w:rPr>
          <w:rFonts w:ascii="Verdana" w:hAnsi="Verdana" w:cs="Arial"/>
          <w:color w:val="000000" w:themeColor="text1"/>
          <w:lang w:eastAsia="es-CO"/>
        </w:rPr>
        <w:t xml:space="preserve">Al interpretar la regulación del precitado artículo, el Consejo de Estado ha diferenciado los requisitos de perfeccionamiento del contrato de los concernientes a la ejecución, al entender que el acuerdo de voluntades elevado a escrito suscrito por las partes perfecciona el contrato estatal, mientras que la aprobación de las garantías es un requisito para su ejecución, el cual no está sometido al libre arbitrio del contratante, en la medida que tal aprobación consiste </w:t>
      </w:r>
      <w:r w:rsidRPr="00C31767">
        <w:rPr>
          <w:rFonts w:ascii="Verdana" w:hAnsi="Verdana" w:cs="Arial"/>
          <w:color w:val="000000" w:themeColor="text1"/>
          <w:lang w:val="es-MX"/>
        </w:rPr>
        <w:t>en un reconocimiento por parte de la Administración de que el contratista ha cumplido con la obligación de la garantía requerida por la ley y que esta se ajuste a lo pactado en el contrato.  Así lo expresó la Sección Tercera del Consejo de Estado en Sentencia del 28 de junio de 2012:</w:t>
      </w:r>
    </w:p>
    <w:p w14:paraId="5B8B6CD3" w14:textId="77777777" w:rsidR="001E1DA1" w:rsidRPr="00784411" w:rsidRDefault="001E1DA1" w:rsidP="001E1DA1">
      <w:pPr>
        <w:spacing w:after="0" w:line="276" w:lineRule="auto"/>
        <w:ind w:firstLine="709"/>
        <w:jc w:val="both"/>
        <w:rPr>
          <w:rFonts w:ascii="Verdana" w:hAnsi="Verdana" w:cs="Arial"/>
          <w:color w:val="000000" w:themeColor="text1"/>
          <w:sz w:val="20"/>
          <w:szCs w:val="20"/>
          <w:lang w:eastAsia="es-CO"/>
        </w:rPr>
      </w:pPr>
    </w:p>
    <w:p w14:paraId="0EDABFA9" w14:textId="0125DDE7" w:rsidR="001E1DA1" w:rsidRPr="00784411" w:rsidRDefault="001E1DA1" w:rsidP="004061FE">
      <w:pPr>
        <w:spacing w:after="0" w:line="240" w:lineRule="auto"/>
        <w:ind w:left="709" w:right="709"/>
        <w:jc w:val="both"/>
        <w:rPr>
          <w:rFonts w:ascii="Verdana" w:hAnsi="Verdana" w:cs="Arial"/>
          <w:color w:val="000000" w:themeColor="text1"/>
          <w:sz w:val="20"/>
          <w:szCs w:val="20"/>
          <w:lang w:val="es-MX"/>
        </w:rPr>
      </w:pPr>
      <w:r w:rsidRPr="00784411">
        <w:rPr>
          <w:rFonts w:ascii="Verdana" w:hAnsi="Verdana" w:cs="Arial"/>
          <w:color w:val="000000" w:themeColor="text1"/>
          <w:sz w:val="20"/>
          <w:szCs w:val="20"/>
          <w:lang w:val="es-MX"/>
        </w:rPr>
        <w:t xml:space="preserve">“[…] Por virtud de lo dispuesto en la Ley 80 de 1993, el contrato estatal existe cuando el acuerdo sobre el objeto y la contraprestación se eleva a escrito y, es ejecutable, cuando se cumplen las condiciones previstas en el inciso segundo del artículo 41 de la ley, en concordancia con lo dispuesto en el artículo 49 de la Ley 179 de 1994, compilado en el artículo 71 del Estatuto Orgánico de Presupuesto -Decreto ley 111 de 1996-, esto es, cuando además de la aprobación de la garantía, se cuenta con las disponibilidades presupuestales correspondientes, salvo que se trate de contratación con recursos de vigencias futuras, de conformidad con lo previsto en la ley orgánica del presupuesto.  </w:t>
      </w:r>
    </w:p>
    <w:p w14:paraId="24BE87AA" w14:textId="77777777" w:rsidR="004061FE" w:rsidRPr="00784411" w:rsidRDefault="004061FE" w:rsidP="00F73D3D">
      <w:pPr>
        <w:spacing w:after="0" w:line="240" w:lineRule="auto"/>
        <w:ind w:left="709" w:right="709"/>
        <w:jc w:val="both"/>
        <w:rPr>
          <w:rFonts w:ascii="Verdana" w:hAnsi="Verdana" w:cs="Arial"/>
          <w:color w:val="000000" w:themeColor="text1"/>
          <w:sz w:val="20"/>
          <w:szCs w:val="20"/>
          <w:lang w:val="es-MX"/>
        </w:rPr>
      </w:pPr>
    </w:p>
    <w:p w14:paraId="78F7642C" w14:textId="3C6746B2" w:rsidR="001E1DA1" w:rsidRPr="00784411" w:rsidRDefault="001E1DA1" w:rsidP="004061FE">
      <w:pPr>
        <w:spacing w:after="0" w:line="240" w:lineRule="auto"/>
        <w:ind w:left="709" w:right="709"/>
        <w:jc w:val="both"/>
        <w:rPr>
          <w:rFonts w:ascii="Verdana" w:hAnsi="Verdana" w:cs="Arial"/>
          <w:color w:val="000000" w:themeColor="text1"/>
          <w:sz w:val="20"/>
          <w:szCs w:val="20"/>
          <w:lang w:val="es-MX"/>
        </w:rPr>
      </w:pPr>
      <w:r w:rsidRPr="00784411">
        <w:rPr>
          <w:rFonts w:ascii="Verdana" w:hAnsi="Verdana" w:cs="Arial"/>
          <w:color w:val="000000" w:themeColor="text1"/>
          <w:sz w:val="20"/>
          <w:szCs w:val="20"/>
          <w:lang w:val="es-MX"/>
        </w:rPr>
        <w:t xml:space="preserve">Ello significa que, una vez elevado a escrito, lo cual supone su suscripción por ambas partes, el contrato estatal existe y requiere del registro presupuestal, al igual que de la aprobación de la garantía para su ejecución, condiciones que cumplidas le otorgan eficacia. La aprobación de la póliza entonces, no tiene alcance diferente al reconocimiento de parte de la administración sobre que el contratista cumplió con la obligación de la garantía en orden a la ejecución del contrato y el registro presupuestal comporta que la contratante hizo lo propio. </w:t>
      </w:r>
    </w:p>
    <w:p w14:paraId="610FFA02" w14:textId="77777777" w:rsidR="004061FE" w:rsidRPr="00784411" w:rsidRDefault="004061FE" w:rsidP="00F73D3D">
      <w:pPr>
        <w:spacing w:after="0" w:line="240" w:lineRule="auto"/>
        <w:ind w:left="709" w:right="709"/>
        <w:jc w:val="both"/>
        <w:rPr>
          <w:rFonts w:ascii="Verdana" w:hAnsi="Verdana" w:cs="Arial"/>
          <w:color w:val="000000" w:themeColor="text1"/>
          <w:sz w:val="20"/>
          <w:szCs w:val="20"/>
          <w:lang w:val="es-MX"/>
        </w:rPr>
      </w:pPr>
    </w:p>
    <w:p w14:paraId="45CAEB83" w14:textId="77777777" w:rsidR="001E1DA1" w:rsidRPr="00784411" w:rsidRDefault="001E1DA1" w:rsidP="001E1DA1">
      <w:pPr>
        <w:spacing w:after="0" w:line="240" w:lineRule="auto"/>
        <w:ind w:left="709" w:right="709"/>
        <w:jc w:val="both"/>
        <w:rPr>
          <w:rFonts w:ascii="Verdana" w:hAnsi="Verdana" w:cs="Arial"/>
          <w:color w:val="000000" w:themeColor="text1"/>
          <w:sz w:val="20"/>
          <w:szCs w:val="20"/>
          <w:lang w:val="es-MX"/>
        </w:rPr>
      </w:pPr>
      <w:r w:rsidRPr="00784411">
        <w:rPr>
          <w:rFonts w:ascii="Verdana" w:hAnsi="Verdana" w:cs="Arial"/>
          <w:color w:val="000000" w:themeColor="text1"/>
          <w:sz w:val="20"/>
          <w:szCs w:val="20"/>
          <w:lang w:val="es-MX"/>
        </w:rPr>
        <w:t xml:space="preserve">En ese orden de ideas, </w:t>
      </w:r>
      <w:r w:rsidRPr="00784411">
        <w:rPr>
          <w:rFonts w:ascii="Verdana" w:hAnsi="Verdana" w:cs="Arial"/>
          <w:i/>
          <w:iCs/>
          <w:color w:val="000000" w:themeColor="text1"/>
          <w:sz w:val="20"/>
          <w:szCs w:val="20"/>
          <w:lang w:val="es-MX"/>
        </w:rPr>
        <w:t>si bien la aprobación de la garantía, condicionan la iniciación del contrato, su ejecución, vigencia y plazo, se sujeta a que la póliza cumpla con los requisitos legales y que la administración los avale, sin que le esté dado a la entidad hacer gala de su mera liberalidad para demorar su aprobación o negarla, porque, de no ser ello así, de nada serviría la previsión legal, pues lo sujeto a la potestad unilateral nada condiciona</w:t>
      </w:r>
      <w:r w:rsidRPr="00784411">
        <w:rPr>
          <w:rFonts w:ascii="Verdana" w:hAnsi="Verdana" w:cs="Arial"/>
          <w:color w:val="000000" w:themeColor="text1"/>
          <w:sz w:val="20"/>
          <w:szCs w:val="20"/>
          <w:lang w:val="es-MX"/>
        </w:rPr>
        <w:t>”</w:t>
      </w:r>
      <w:r w:rsidRPr="00784411">
        <w:rPr>
          <w:rFonts w:ascii="Verdana" w:hAnsi="Verdana" w:cs="Arial"/>
          <w:color w:val="000000" w:themeColor="text1"/>
          <w:sz w:val="20"/>
          <w:szCs w:val="20"/>
          <w:vertAlign w:val="superscript"/>
          <w:lang w:val="es-MX"/>
        </w:rPr>
        <w:footnoteReference w:id="9"/>
      </w:r>
      <w:r w:rsidRPr="00784411">
        <w:rPr>
          <w:rFonts w:ascii="Verdana" w:hAnsi="Verdana" w:cs="Arial"/>
          <w:color w:val="000000" w:themeColor="text1"/>
          <w:sz w:val="20"/>
          <w:szCs w:val="20"/>
          <w:lang w:val="es-MX"/>
        </w:rPr>
        <w:t>. (Énfasis fuera de texto)</w:t>
      </w:r>
    </w:p>
    <w:p w14:paraId="14B9E06D" w14:textId="77777777" w:rsidR="001E1DA1" w:rsidRPr="00C31767" w:rsidRDefault="001E1DA1" w:rsidP="001E1DA1">
      <w:pPr>
        <w:spacing w:after="0" w:line="276" w:lineRule="auto"/>
        <w:ind w:firstLine="708"/>
        <w:jc w:val="both"/>
        <w:rPr>
          <w:rFonts w:ascii="Verdana" w:hAnsi="Verdana" w:cs="Arial"/>
          <w:color w:val="000000" w:themeColor="text1"/>
          <w:lang w:eastAsia="es-CO"/>
        </w:rPr>
      </w:pPr>
    </w:p>
    <w:p w14:paraId="39E3754A" w14:textId="77777777" w:rsidR="001E1DA1" w:rsidRPr="00C31767" w:rsidRDefault="001E1DA1" w:rsidP="00F73D3D">
      <w:pPr>
        <w:spacing w:after="120" w:line="276" w:lineRule="auto"/>
        <w:ind w:firstLine="709"/>
        <w:jc w:val="both"/>
        <w:rPr>
          <w:rFonts w:ascii="Verdana" w:hAnsi="Verdana" w:cs="Arial"/>
          <w:color w:val="000000" w:themeColor="text1"/>
          <w:lang w:eastAsia="es-CO"/>
        </w:rPr>
      </w:pPr>
      <w:r w:rsidRPr="00C31767">
        <w:rPr>
          <w:rFonts w:ascii="Verdana" w:hAnsi="Verdana" w:cs="Arial"/>
          <w:color w:val="000000" w:themeColor="text1"/>
          <w:lang w:eastAsia="es-CO"/>
        </w:rPr>
        <w:t xml:space="preserve">De esta manera, para proceder con la ejecución del contrato, el contratista debe cumplir con la obligación de constituir las garantías, para lo cual deberá presentar el respectivo instrumento para la verificación por parte de la entidad estatal, quien procederá a su aprobación siempre que se cumplan con las condiciones pactadas en el contrato. Cabe aclarar que las garantías que debe presentar el contratista para aprobación de la entidad en el marco del artículo 41 de la ley 80 de 1993, corresponden a las garantías contractuales </w:t>
      </w:r>
      <w:r w:rsidRPr="00C31767">
        <w:rPr>
          <w:rFonts w:ascii="Verdana" w:hAnsi="Verdana" w:cs="Arial"/>
          <w:color w:val="000000" w:themeColor="text1"/>
          <w:lang w:val="es-ES_tradnl" w:eastAsia="es-CO"/>
        </w:rPr>
        <w:t>que cubren los riesgos asociados al contrato celebrado y a las obligaciones posteriores a su ejecución, esto es, la garantía única de cumplimiento –con sus respectivos amparos– y la garantía de responsabilidad civil extracontractual</w:t>
      </w:r>
      <w:r w:rsidRPr="00C31767">
        <w:rPr>
          <w:rStyle w:val="Refdenotaalpie"/>
          <w:rFonts w:ascii="Verdana" w:hAnsi="Verdana" w:cs="Arial"/>
          <w:color w:val="000000" w:themeColor="text1"/>
          <w:lang w:val="es-ES_tradnl" w:eastAsia="es-CO"/>
        </w:rPr>
        <w:footnoteReference w:id="10"/>
      </w:r>
      <w:r w:rsidRPr="00C31767">
        <w:rPr>
          <w:rFonts w:ascii="Verdana" w:hAnsi="Verdana" w:cs="Arial"/>
          <w:color w:val="000000" w:themeColor="text1"/>
          <w:lang w:val="es-ES_tradnl" w:eastAsia="es-CO"/>
        </w:rPr>
        <w:t>.</w:t>
      </w:r>
    </w:p>
    <w:p w14:paraId="66175A7E" w14:textId="77777777" w:rsidR="001E1DA1" w:rsidRPr="00C31767" w:rsidRDefault="001E1DA1" w:rsidP="00F73D3D">
      <w:pPr>
        <w:spacing w:after="120" w:line="276" w:lineRule="auto"/>
        <w:ind w:firstLine="709"/>
        <w:jc w:val="both"/>
        <w:rPr>
          <w:rFonts w:ascii="Verdana" w:hAnsi="Verdana" w:cs="Arial"/>
          <w:color w:val="000000" w:themeColor="text1"/>
          <w:lang w:val="es-ES"/>
        </w:rPr>
      </w:pPr>
      <w:r w:rsidRPr="00C31767">
        <w:rPr>
          <w:rFonts w:ascii="Verdana" w:eastAsia="Calibri" w:hAnsi="Verdana" w:cs="Arial"/>
          <w:color w:val="000000"/>
          <w:lang w:eastAsia="en-GB"/>
        </w:rPr>
        <w:t xml:space="preserve">En este contexto, </w:t>
      </w:r>
      <w:bookmarkStart w:id="4" w:name="_Hlk173079147"/>
      <w:r w:rsidRPr="00C31767">
        <w:rPr>
          <w:rFonts w:ascii="Verdana" w:eastAsia="Calibri" w:hAnsi="Verdana" w:cs="Arial"/>
          <w:color w:val="000000"/>
          <w:lang w:eastAsia="en-GB"/>
        </w:rPr>
        <w:t xml:space="preserve">la obligación de constituir las garantías contractuales y su aprobación tiene como propósito cumplir con el requisito de ejecución del contrato, pues estas se erigen como un </w:t>
      </w:r>
      <w:r w:rsidRPr="00C31767">
        <w:rPr>
          <w:rFonts w:ascii="Verdana" w:hAnsi="Verdana" w:cs="Arial"/>
          <w:color w:val="000000" w:themeColor="text1"/>
          <w:lang w:val="es-MX"/>
        </w:rPr>
        <w:t>“</w:t>
      </w:r>
      <w:r w:rsidRPr="00C31767">
        <w:rPr>
          <w:rFonts w:ascii="Verdana" w:eastAsia="Calibri" w:hAnsi="Verdana" w:cs="Arial"/>
          <w:color w:val="000000"/>
          <w:lang w:eastAsia="en-GB"/>
        </w:rPr>
        <w:t>instrumento para salvaguardar intereses de carácter general, garantizar el adecuado cumplimiento del objeto contractual y proteger el patrimonio público de los detrimentos que se puedan causar con ocasión de eventuales incumplimientos en que incurra el contratista”</w:t>
      </w:r>
      <w:r w:rsidRPr="00C31767">
        <w:rPr>
          <w:rStyle w:val="Refdenotaalpie"/>
          <w:rFonts w:ascii="Verdana" w:eastAsia="Calibri" w:hAnsi="Verdana" w:cs="Arial"/>
          <w:color w:val="000000"/>
          <w:lang w:eastAsia="en-GB"/>
        </w:rPr>
        <w:footnoteReference w:id="11"/>
      </w:r>
      <w:r w:rsidRPr="00C31767">
        <w:rPr>
          <w:rFonts w:ascii="Verdana" w:hAnsi="Verdana" w:cs="Arial"/>
          <w:color w:val="000000" w:themeColor="text1"/>
          <w:lang w:eastAsia="es-CO"/>
        </w:rPr>
        <w:t>.</w:t>
      </w:r>
      <w:r w:rsidRPr="00C31767">
        <w:rPr>
          <w:rFonts w:ascii="Verdana" w:hAnsi="Verdana" w:cs="Arial"/>
          <w:color w:val="000000" w:themeColor="text1"/>
          <w:lang w:val="es-MX"/>
        </w:rPr>
        <w:t xml:space="preserve"> En este sentido, previo a l</w:t>
      </w:r>
      <w:r w:rsidRPr="00C31767">
        <w:rPr>
          <w:rFonts w:ascii="Verdana" w:hAnsi="Verdana" w:cs="Arial"/>
          <w:color w:val="000000" w:themeColor="text1"/>
          <w:lang w:val="es-ES_tradnl"/>
        </w:rPr>
        <w:t>a aprobación de las garantías pactadas en el contrato, la entidad debe realizar la respectiva verificación de los amparos y suficiencia de las garantías exigidas, con la finalidad de</w:t>
      </w:r>
      <w:r w:rsidRPr="00C31767">
        <w:rPr>
          <w:rFonts w:ascii="Verdana" w:hAnsi="Verdana" w:cs="Arial"/>
          <w:color w:val="000000" w:themeColor="text1"/>
        </w:rPr>
        <w:t xml:space="preserve"> asegurar que estas </w:t>
      </w:r>
      <w:r w:rsidRPr="00C31767">
        <w:rPr>
          <w:rFonts w:ascii="Verdana" w:hAnsi="Verdana" w:cs="Arial"/>
          <w:color w:val="000000" w:themeColor="text1"/>
          <w:lang w:val="es-ES"/>
        </w:rPr>
        <w:t xml:space="preserve">protejan el patrimonio del Estado de los perjuicios que eventualmente se derivarían de la materialización de los riesgos amparados. </w:t>
      </w:r>
    </w:p>
    <w:p w14:paraId="28F77FF9" w14:textId="77777777" w:rsidR="001E1DA1" w:rsidRPr="00C31767" w:rsidRDefault="001E1DA1" w:rsidP="00F73D3D">
      <w:pPr>
        <w:spacing w:after="120" w:line="276" w:lineRule="auto"/>
        <w:ind w:firstLine="709"/>
        <w:jc w:val="both"/>
        <w:rPr>
          <w:rFonts w:ascii="Verdana" w:hAnsi="Verdana" w:cs="Arial"/>
          <w:color w:val="000000" w:themeColor="text1"/>
          <w:lang w:val="es-ES_tradnl"/>
        </w:rPr>
      </w:pPr>
      <w:r w:rsidRPr="00C31767">
        <w:rPr>
          <w:rFonts w:ascii="Verdana" w:hAnsi="Verdana" w:cs="Arial"/>
          <w:color w:val="000000" w:themeColor="text1"/>
          <w:lang w:val="es-ES_tradnl"/>
        </w:rPr>
        <w:t xml:space="preserve">Esta labor de verificación por parte de la entidad implica validar el origen de las garantías y revisar </w:t>
      </w:r>
      <w:r w:rsidRPr="00C31767">
        <w:rPr>
          <w:rFonts w:ascii="Verdana" w:hAnsi="Verdana" w:cs="Arial"/>
          <w:color w:val="000000" w:themeColor="text1"/>
          <w:lang w:val="es-MX"/>
        </w:rPr>
        <w:t>“</w:t>
      </w:r>
      <w:r w:rsidRPr="00C31767">
        <w:rPr>
          <w:rFonts w:ascii="Verdana" w:eastAsia="Calibri" w:hAnsi="Verdana" w:cs="Arial"/>
        </w:rPr>
        <w:t>que los valores asegurados coincidan con los que se exigieron en el contrato, así como su vigencia; verificar que estén identificados plenamente el tomador y el beneficiario, y que vengan adjuntas las condiciones generales de la póliza. Sólo con la certeza que brinda este análisis, se puede tener la seguridad que no se causarán perjuicios al ente estatal. De tal manera, una vez revisada la póliza, sus anexos (condiciones generales) y su contenido y si está de acuerdo con lo exigido, se impartirá la aprobación correspondiente”</w:t>
      </w:r>
      <w:r w:rsidRPr="00C31767">
        <w:rPr>
          <w:rStyle w:val="Refdenotaalpie"/>
          <w:rFonts w:ascii="Verdana" w:eastAsia="Calibri" w:hAnsi="Verdana" w:cs="Arial"/>
        </w:rPr>
        <w:footnoteReference w:id="12"/>
      </w:r>
      <w:r w:rsidRPr="00C31767">
        <w:rPr>
          <w:rFonts w:ascii="Verdana" w:hAnsi="Verdana" w:cs="Arial"/>
          <w:color w:val="000000" w:themeColor="text1"/>
          <w:lang w:val="es-MX"/>
        </w:rPr>
        <w:t>.</w:t>
      </w:r>
      <w:r w:rsidRPr="00C31767">
        <w:rPr>
          <w:rFonts w:ascii="Verdana" w:hAnsi="Verdana" w:cs="Arial"/>
          <w:color w:val="000000" w:themeColor="text1"/>
          <w:lang w:val="es-ES"/>
        </w:rPr>
        <w:t xml:space="preserve"> </w:t>
      </w:r>
      <w:r w:rsidRPr="00C31767">
        <w:rPr>
          <w:rFonts w:ascii="Verdana" w:hAnsi="Verdana" w:cs="Arial"/>
          <w:color w:val="000000" w:themeColor="text1"/>
          <w:lang w:val="es-MX"/>
        </w:rPr>
        <w:t xml:space="preserve">De este modo, </w:t>
      </w:r>
      <w:r w:rsidRPr="00C31767">
        <w:rPr>
          <w:rFonts w:ascii="Verdana" w:hAnsi="Verdana" w:cs="Arial"/>
          <w:color w:val="000000" w:themeColor="text1"/>
          <w:lang w:val="es-ES_tradnl"/>
        </w:rPr>
        <w:t xml:space="preserve">con la aprobación de las garantías la entidad estatal </w:t>
      </w:r>
      <w:r w:rsidRPr="00C31767">
        <w:rPr>
          <w:rFonts w:ascii="Verdana" w:hAnsi="Verdana" w:cs="Arial"/>
          <w:color w:val="000000" w:themeColor="text1"/>
          <w:lang w:eastAsia="es-CO"/>
        </w:rPr>
        <w:t xml:space="preserve">estará </w:t>
      </w:r>
      <w:r w:rsidRPr="00C31767">
        <w:rPr>
          <w:rFonts w:ascii="Verdana" w:hAnsi="Verdana" w:cs="Arial"/>
          <w:color w:val="000000" w:themeColor="text1"/>
          <w:lang w:eastAsia="es-CO"/>
        </w:rPr>
        <w:lastRenderedPageBreak/>
        <w:t xml:space="preserve">acreditando el cumplimiento de la obligación del artículo 7 de la Ley 1150 de 2007, </w:t>
      </w:r>
      <w:r w:rsidRPr="00C31767">
        <w:rPr>
          <w:rFonts w:ascii="Verdana" w:hAnsi="Verdana" w:cs="Arial"/>
          <w:color w:val="000000" w:themeColor="text1"/>
          <w:lang w:val="es-ES_tradnl"/>
        </w:rPr>
        <w:t xml:space="preserve">y entonces el contrato podrá ejecutarse, siempre que se cumplan los demás requisitos establece el artículo 41 de la Ley 80 de 1993, para efectos de su posterior liquidación. </w:t>
      </w:r>
    </w:p>
    <w:bookmarkEnd w:id="4"/>
    <w:p w14:paraId="7D1A2865" w14:textId="4169F77B" w:rsidR="00D96084" w:rsidRPr="002A594D" w:rsidRDefault="00605B2E" w:rsidP="00D96084">
      <w:pPr>
        <w:spacing w:after="0" w:line="276" w:lineRule="auto"/>
        <w:ind w:firstLine="708"/>
        <w:jc w:val="both"/>
        <w:rPr>
          <w:rFonts w:ascii="Verdana" w:eastAsia="Calibri" w:hAnsi="Verdana" w:cs="Arial"/>
        </w:rPr>
      </w:pPr>
      <w:r>
        <w:rPr>
          <w:rFonts w:ascii="Verdana" w:eastAsia="Calibri" w:hAnsi="Verdana" w:cs="Arial"/>
        </w:rPr>
        <w:t>Finalmente, d</w:t>
      </w:r>
      <w:r w:rsidR="00D96084" w:rsidRPr="002A594D">
        <w:rPr>
          <w:rFonts w:ascii="Verdana" w:eastAsia="Calibri" w:hAnsi="Verdana" w:cs="Arial"/>
        </w:rPr>
        <w:t>entro de estas disposiciones se indican los amparos y suficiencias que deben cubrir las garantías, y además se establece de manera expresa que las modificaciones contractuales suponen la ampliación de las garantías. Así lo regula el artículo 2.2.1.2.3.1.18. del Decreto 1082 de 2015:</w:t>
      </w:r>
    </w:p>
    <w:p w14:paraId="6F8CB169" w14:textId="77777777" w:rsidR="00D96084" w:rsidRPr="00EA0611" w:rsidRDefault="00D96084" w:rsidP="00D96084">
      <w:pPr>
        <w:pStyle w:val="Prrafodelista"/>
        <w:spacing w:after="0" w:line="276" w:lineRule="auto"/>
        <w:jc w:val="both"/>
        <w:rPr>
          <w:rFonts w:ascii="Verdana" w:eastAsia="Calibri" w:hAnsi="Verdana" w:cs="Arial"/>
        </w:rPr>
      </w:pPr>
    </w:p>
    <w:p w14:paraId="037EF9C4" w14:textId="77777777" w:rsidR="00D96084" w:rsidRDefault="00D96084" w:rsidP="00F73D3D">
      <w:pPr>
        <w:pStyle w:val="Prrafodelista"/>
        <w:spacing w:after="0" w:line="240" w:lineRule="auto"/>
        <w:ind w:left="709" w:right="709"/>
        <w:jc w:val="both"/>
        <w:rPr>
          <w:rFonts w:ascii="Verdana" w:eastAsia="Calibri" w:hAnsi="Verdana" w:cs="Arial"/>
          <w:sz w:val="20"/>
          <w:szCs w:val="20"/>
          <w:lang w:val="es-CO"/>
        </w:rPr>
      </w:pPr>
      <w:r w:rsidRPr="00FC4A16">
        <w:rPr>
          <w:rFonts w:ascii="Verdana" w:eastAsia="Calibri" w:hAnsi="Verdana" w:cs="Arial"/>
          <w:sz w:val="20"/>
          <w:szCs w:val="20"/>
        </w:rPr>
        <w:t xml:space="preserve">“Artículo 2.2.1.2.3.1.18. Restablecimiento o ampliación de la garantía. </w:t>
      </w:r>
      <w:r w:rsidRPr="00DC723E">
        <w:rPr>
          <w:rFonts w:ascii="Verdana" w:eastAsia="Calibri" w:hAnsi="Verdana" w:cs="Arial"/>
          <w:sz w:val="20"/>
          <w:szCs w:val="20"/>
          <w:lang w:val="es-CO"/>
        </w:rPr>
        <w:t>Cuando con ocasión de las reclamaciones efectuadas por la Entidad Estatal, el valor de la garantía se reduce, la Entidad Estatal debe solicitar al contratista restablecer el valor inicial de la garantía. </w:t>
      </w:r>
      <w:r w:rsidRPr="00DC723E" w:rsidDel="00DC723E">
        <w:rPr>
          <w:rFonts w:ascii="Verdana" w:eastAsia="Calibri" w:hAnsi="Verdana" w:cs="Arial"/>
          <w:sz w:val="20"/>
          <w:szCs w:val="20"/>
          <w:lang w:val="es-CO"/>
        </w:rPr>
        <w:t xml:space="preserve"> </w:t>
      </w:r>
    </w:p>
    <w:p w14:paraId="394087FB" w14:textId="77777777" w:rsidR="00D96084" w:rsidRDefault="00D96084" w:rsidP="00F73D3D">
      <w:pPr>
        <w:pStyle w:val="Prrafodelista"/>
        <w:spacing w:after="0" w:line="240" w:lineRule="auto"/>
        <w:ind w:left="709" w:right="709"/>
        <w:jc w:val="both"/>
        <w:rPr>
          <w:rFonts w:ascii="Verdana" w:eastAsia="Calibri" w:hAnsi="Verdana" w:cs="Arial"/>
          <w:sz w:val="20"/>
          <w:szCs w:val="20"/>
        </w:rPr>
      </w:pPr>
    </w:p>
    <w:p w14:paraId="7BAD6F5D" w14:textId="77777777" w:rsidR="00D96084" w:rsidRPr="00100432" w:rsidRDefault="00D96084" w:rsidP="00F73D3D">
      <w:pPr>
        <w:pStyle w:val="Prrafodelista"/>
        <w:spacing w:after="0" w:line="240" w:lineRule="auto"/>
        <w:ind w:left="709" w:right="709"/>
        <w:jc w:val="both"/>
        <w:rPr>
          <w:rFonts w:ascii="Verdana" w:eastAsia="Calibri" w:hAnsi="Verdana" w:cs="Arial"/>
          <w:i/>
          <w:iCs/>
          <w:sz w:val="20"/>
          <w:szCs w:val="20"/>
          <w:lang w:val="es-CO"/>
        </w:rPr>
      </w:pPr>
      <w:r w:rsidRPr="00100432">
        <w:rPr>
          <w:rFonts w:ascii="Verdana" w:eastAsia="Calibri" w:hAnsi="Verdana" w:cs="Arial"/>
          <w:i/>
          <w:iCs/>
          <w:sz w:val="20"/>
          <w:szCs w:val="20"/>
          <w:lang w:val="es-CO"/>
        </w:rPr>
        <w:t>Cuando el contrato es modificado para incrementar su valor o prorrogar su plazo, la Entidad Estatal debe exigir al contratista ampliar el valor de la garantía otorgada o ampliar su vigencia, según el caso. </w:t>
      </w:r>
    </w:p>
    <w:p w14:paraId="4796320E" w14:textId="77777777" w:rsidR="00D96084" w:rsidRPr="00877ED4" w:rsidRDefault="00D96084" w:rsidP="00F73D3D">
      <w:pPr>
        <w:pStyle w:val="Prrafodelista"/>
        <w:spacing w:after="0" w:line="240" w:lineRule="auto"/>
        <w:ind w:left="709" w:right="709"/>
        <w:rPr>
          <w:rFonts w:ascii="Verdana" w:eastAsia="Calibri" w:hAnsi="Verdana" w:cs="Arial"/>
          <w:sz w:val="20"/>
          <w:szCs w:val="20"/>
          <w:lang w:val="es-CO"/>
        </w:rPr>
      </w:pPr>
      <w:r w:rsidRPr="00877ED4">
        <w:rPr>
          <w:rFonts w:ascii="Verdana" w:eastAsia="Calibri" w:hAnsi="Verdana" w:cs="Arial"/>
          <w:sz w:val="20"/>
          <w:szCs w:val="20"/>
          <w:lang w:val="es-CO"/>
        </w:rPr>
        <w:t>  </w:t>
      </w:r>
    </w:p>
    <w:p w14:paraId="680B12E2" w14:textId="77777777" w:rsidR="00D96084" w:rsidRPr="009826A8" w:rsidRDefault="00D96084" w:rsidP="00F73D3D">
      <w:pPr>
        <w:pStyle w:val="Prrafodelista"/>
        <w:spacing w:after="0" w:line="240" w:lineRule="auto"/>
        <w:ind w:left="709" w:right="709"/>
        <w:jc w:val="both"/>
        <w:rPr>
          <w:rFonts w:ascii="Verdana" w:eastAsia="Calibri" w:hAnsi="Verdana" w:cs="Arial"/>
          <w:sz w:val="20"/>
          <w:szCs w:val="20"/>
        </w:rPr>
      </w:pPr>
      <w:r w:rsidRPr="00100432">
        <w:rPr>
          <w:rFonts w:ascii="Verdana" w:eastAsia="Calibri" w:hAnsi="Verdana" w:cs="Arial"/>
          <w:i/>
          <w:sz w:val="20"/>
          <w:szCs w:val="20"/>
        </w:rPr>
        <w:t>La Entidad Estatal debe prever en los pliegos de condiciones para la Contratación, el mecanismo que proceda para restablecer la garantía, cuando el contratista incumpla su obligación de obtenerla, ampliarla o adicionarla</w:t>
      </w:r>
      <w:r w:rsidRPr="00100432">
        <w:rPr>
          <w:rFonts w:ascii="Verdana" w:eastAsia="Calibri" w:hAnsi="Verdana" w:cs="Arial"/>
          <w:i/>
          <w:iCs/>
          <w:sz w:val="20"/>
          <w:szCs w:val="20"/>
        </w:rPr>
        <w:t xml:space="preserve">”. </w:t>
      </w:r>
      <w:r>
        <w:rPr>
          <w:rFonts w:ascii="Verdana" w:eastAsia="Calibri" w:hAnsi="Verdana" w:cs="Arial"/>
          <w:sz w:val="20"/>
          <w:szCs w:val="20"/>
        </w:rPr>
        <w:t>(Énfasis fuera de texto)</w:t>
      </w:r>
    </w:p>
    <w:p w14:paraId="0BE0531A" w14:textId="77777777" w:rsidR="00D96084" w:rsidRPr="00F73D3D" w:rsidRDefault="00D96084" w:rsidP="00F73D3D">
      <w:pPr>
        <w:pStyle w:val="Prrafodelista"/>
        <w:spacing w:after="0" w:line="276" w:lineRule="auto"/>
        <w:ind w:right="709"/>
        <w:jc w:val="both"/>
        <w:rPr>
          <w:rFonts w:ascii="Verdana" w:eastAsia="Calibri" w:hAnsi="Verdana" w:cs="Arial"/>
        </w:rPr>
      </w:pPr>
    </w:p>
    <w:p w14:paraId="37E0CE9C" w14:textId="77777777" w:rsidR="00D96084" w:rsidRPr="00100432" w:rsidRDefault="00D96084" w:rsidP="00D96084">
      <w:pPr>
        <w:spacing w:after="0" w:line="276" w:lineRule="auto"/>
        <w:ind w:firstLine="708"/>
        <w:jc w:val="both"/>
        <w:rPr>
          <w:rFonts w:ascii="Verdana" w:eastAsia="Calibri" w:hAnsi="Verdana" w:cs="Arial"/>
        </w:rPr>
      </w:pPr>
      <w:r w:rsidRPr="00100432">
        <w:rPr>
          <w:rFonts w:ascii="Verdana" w:eastAsia="Calibri" w:hAnsi="Verdana" w:cs="Arial"/>
        </w:rPr>
        <w:t>Esta regla se explica porque el contrato estatal, como acto jurídico bilateral, es ley para los contratantes y por regla general no puede ser modificado sino por el consentimiento mutuo</w:t>
      </w:r>
      <w:r w:rsidRPr="00FC4A16">
        <w:rPr>
          <w:rStyle w:val="Refdenotaalpie"/>
          <w:rFonts w:ascii="Verdana" w:eastAsia="Calibri" w:hAnsi="Verdana" w:cs="Arial"/>
        </w:rPr>
        <w:footnoteReference w:id="13"/>
      </w:r>
      <w:r w:rsidRPr="00100432">
        <w:rPr>
          <w:rFonts w:ascii="Verdana" w:eastAsia="Calibri" w:hAnsi="Verdana" w:cs="Arial"/>
        </w:rPr>
        <w:t>, en ese sentido, cualquier modificación contractual implica un nuevo acuerdo de voluntades, o lo que es lo mismo un contrato, por ello este nuevo contrato requiere garantía para ser ejecutado. Respecto a las formalidades requeridas para las modificaciones de los contratos, y refiriéndose al alcance del artículo 39 y 41 de la Ley 80 de 1993, el Consejo de Estado, Sección Tercera, en la sentencia del 18 de febrero de 2010, radicado 85001-23-31-000-1997-00403-01(15.596), con ponencia del consejero Mauricio Fajardo Gómez, señaló:</w:t>
      </w:r>
    </w:p>
    <w:p w14:paraId="4662F90F" w14:textId="77777777" w:rsidR="00D96084" w:rsidRPr="00FC4A16" w:rsidRDefault="00D96084" w:rsidP="00D96084">
      <w:pPr>
        <w:pStyle w:val="Prrafodelista"/>
        <w:spacing w:after="0" w:line="276" w:lineRule="auto"/>
        <w:jc w:val="both"/>
        <w:rPr>
          <w:rFonts w:ascii="Verdana" w:eastAsia="Calibri" w:hAnsi="Verdana" w:cs="Arial"/>
        </w:rPr>
      </w:pPr>
    </w:p>
    <w:p w14:paraId="5DF98BBD" w14:textId="77777777" w:rsidR="00D96084" w:rsidRPr="00FC4A16" w:rsidRDefault="00D96084" w:rsidP="00F73D3D">
      <w:pPr>
        <w:pStyle w:val="Prrafodelista"/>
        <w:spacing w:after="0" w:line="240" w:lineRule="auto"/>
        <w:ind w:left="709" w:right="709"/>
        <w:jc w:val="both"/>
        <w:rPr>
          <w:rFonts w:ascii="Verdana" w:eastAsia="Calibri" w:hAnsi="Verdana" w:cs="Arial"/>
          <w:sz w:val="20"/>
          <w:szCs w:val="20"/>
        </w:rPr>
      </w:pPr>
      <w:r w:rsidRPr="00FC4A16">
        <w:rPr>
          <w:rFonts w:ascii="Verdana" w:eastAsia="Calibri" w:hAnsi="Verdana" w:cs="Arial"/>
          <w:sz w:val="20"/>
          <w:szCs w:val="20"/>
        </w:rPr>
        <w:t xml:space="preserve">“De conformidad con las normas transcritas, respecto de los contratos estatales no es posible afirmar que con el simple consentimiento de las partes puedan ser perfeccionados, de lo cual se colige, de manera directa, </w:t>
      </w:r>
      <w:r w:rsidRPr="00FC4A16">
        <w:rPr>
          <w:rFonts w:ascii="Verdana" w:eastAsia="Calibri" w:hAnsi="Verdana" w:cs="Arial"/>
          <w:sz w:val="20"/>
          <w:szCs w:val="20"/>
        </w:rPr>
        <w:lastRenderedPageBreak/>
        <w:t>que la modificación de los mismos, consistente en adición de obras, valor y período para la ejecución, también debe constar por escrito para que puedan alcanzar eficacia, existencia y validez. Esto último, en cuanto que la modificación respecto de un acuerdo que consta por escrito debe surtir el mismo proceso que se dio para su constitución, dado que el acuerdo modificatorio está tomando el lugar del acuerdo originario y la solemnidad que se predica legalmente del segundo ha de ser exigida para el reconocimiento de eficacia, existencia y validez del primero”.</w:t>
      </w:r>
    </w:p>
    <w:p w14:paraId="4972C2F4" w14:textId="77777777" w:rsidR="00D96084" w:rsidRPr="00FC4A16" w:rsidRDefault="00D96084" w:rsidP="00F73D3D">
      <w:pPr>
        <w:pStyle w:val="Prrafodelista"/>
        <w:spacing w:after="0" w:line="276" w:lineRule="auto"/>
        <w:contextualSpacing w:val="0"/>
        <w:jc w:val="both"/>
        <w:rPr>
          <w:rFonts w:ascii="Verdana" w:hAnsi="Verdana"/>
          <w:lang w:val="es-CO"/>
        </w:rPr>
      </w:pPr>
    </w:p>
    <w:p w14:paraId="52ADD6B1" w14:textId="77777777" w:rsidR="00D96084" w:rsidRPr="00100432" w:rsidRDefault="00D96084" w:rsidP="00D96084">
      <w:pPr>
        <w:spacing w:after="120" w:line="276" w:lineRule="auto"/>
        <w:ind w:firstLine="709"/>
        <w:jc w:val="both"/>
        <w:rPr>
          <w:rFonts w:ascii="Verdana" w:hAnsi="Verdana"/>
        </w:rPr>
      </w:pPr>
      <w:r w:rsidRPr="00100432">
        <w:rPr>
          <w:rFonts w:ascii="Verdana" w:hAnsi="Verdana"/>
        </w:rPr>
        <w:t xml:space="preserve">En el mismo sentido, la Sala de Consulta y Servicio del Consejo de Estado, en el concepto con radicado No. 11001-03-06-000-2015-00128-00 (2.263), del 17 de marzo de 2016 con ponencia del consejero Edgar González López, señaló respecto de las modificaciones de los contratos: </w:t>
      </w:r>
      <w:r w:rsidRPr="00100432">
        <w:rPr>
          <w:rFonts w:ascii="Verdana" w:hAnsi="Verdana"/>
          <w:i/>
          <w:iCs/>
        </w:rPr>
        <w:t xml:space="preserve">“[…] puede afirmarse que la regla general es la no modificación del contrato, y la vía excepcional su modificación, sometida a límites legales. Por lo tanto, una modificación necesaria del contrato, surgida por iniciativa del contratista, del interventor o del supervisor, debe ser aprobada por la entidad que ejerce su dirección general, y cumplir, en forma previa, las mismas formalidades de solemnidad del contrato principal”. </w:t>
      </w:r>
      <w:r w:rsidRPr="00100432">
        <w:rPr>
          <w:rFonts w:ascii="Verdana" w:hAnsi="Verdana"/>
        </w:rPr>
        <w:t>(Énfasis fuera de texto)</w:t>
      </w:r>
    </w:p>
    <w:p w14:paraId="72122C26" w14:textId="77777777" w:rsidR="00D96084" w:rsidRPr="00100432" w:rsidRDefault="00D96084" w:rsidP="00D96084">
      <w:pPr>
        <w:spacing w:after="120" w:line="276" w:lineRule="auto"/>
        <w:ind w:firstLine="709"/>
        <w:jc w:val="both"/>
        <w:rPr>
          <w:rFonts w:ascii="Verdana" w:hAnsi="Verdana"/>
        </w:rPr>
      </w:pPr>
      <w:r w:rsidRPr="00100432">
        <w:rPr>
          <w:rFonts w:ascii="Verdana" w:hAnsi="Verdana"/>
        </w:rPr>
        <w:t xml:space="preserve">En definitiva, es necesario que el contratista amplíe la garantía cuando el contrato se </w:t>
      </w:r>
      <w:r>
        <w:rPr>
          <w:rFonts w:ascii="Verdana" w:hAnsi="Verdana"/>
        </w:rPr>
        <w:t>prorroga o se adiciona</w:t>
      </w:r>
      <w:r w:rsidRPr="00100432">
        <w:rPr>
          <w:rFonts w:ascii="Verdana" w:hAnsi="Verdana"/>
        </w:rPr>
        <w:t xml:space="preserve">, </w:t>
      </w:r>
      <w:r>
        <w:rPr>
          <w:rFonts w:ascii="Verdana" w:hAnsi="Verdana"/>
        </w:rPr>
        <w:t>a</w:t>
      </w:r>
      <w:r w:rsidRPr="00100432">
        <w:rPr>
          <w:rFonts w:ascii="Verdana" w:hAnsi="Verdana"/>
        </w:rPr>
        <w:t xml:space="preserve">mpliación </w:t>
      </w:r>
      <w:r>
        <w:rPr>
          <w:rFonts w:ascii="Verdana" w:hAnsi="Verdana"/>
        </w:rPr>
        <w:t xml:space="preserve">que </w:t>
      </w:r>
      <w:r w:rsidRPr="00100432">
        <w:rPr>
          <w:rFonts w:ascii="Verdana" w:hAnsi="Verdana"/>
        </w:rPr>
        <w:t>requiere aprobación</w:t>
      </w:r>
      <w:r>
        <w:rPr>
          <w:rFonts w:ascii="Verdana" w:hAnsi="Verdana"/>
        </w:rPr>
        <w:t xml:space="preserve"> por parte de la Entidad Estatal contratante</w:t>
      </w:r>
      <w:r w:rsidRPr="00100432">
        <w:rPr>
          <w:rFonts w:ascii="Verdana" w:hAnsi="Verdana"/>
        </w:rPr>
        <w:t>, tal como fue aprobada la garantía del contrato inicial. En cumplimiento del artículo 2.2.1.2.3.1.18. del Decreto 1082 de 2015, solo se le exige al contratista que: i) amplié el valor de la garantía cuando hay una adición, y ii)</w:t>
      </w:r>
      <w:r w:rsidRPr="00100432">
        <w:rPr>
          <w:rFonts w:ascii="Verdana" w:hAnsi="Verdana"/>
          <w:b/>
          <w:bCs/>
        </w:rPr>
        <w:t xml:space="preserve"> </w:t>
      </w:r>
      <w:r w:rsidRPr="00100432">
        <w:rPr>
          <w:rFonts w:ascii="Verdana" w:hAnsi="Verdana"/>
        </w:rPr>
        <w:t>que amplié su vigencia cuando se modifica el plazo del contrato; y en ninguna de las dos hipótesis es necesario que se modifiquen otras condiciones de la garantía, en consecuencia, si el contratista presentó una póliza y el contrato solamente se amplía o adiciona, no debe modificar ni los riesgos asegurados ni las exclusiones del seguro, sino que solo debe ampliar la vigencia o el valor de la póliza.</w:t>
      </w:r>
    </w:p>
    <w:p w14:paraId="618B055C" w14:textId="77777777" w:rsidR="004B21FD" w:rsidRDefault="00D96084" w:rsidP="00F73D3D">
      <w:pPr>
        <w:spacing w:after="120" w:line="276" w:lineRule="auto"/>
        <w:ind w:firstLine="709"/>
        <w:jc w:val="both"/>
        <w:rPr>
          <w:rFonts w:ascii="Verdana" w:hAnsi="Verdana"/>
        </w:rPr>
      </w:pPr>
      <w:r w:rsidRPr="00100432">
        <w:rPr>
          <w:rFonts w:ascii="Verdana" w:hAnsi="Verdana"/>
        </w:rPr>
        <w:t>Vale la pena recordar que según el artículo 1048 del Código de Comercio</w:t>
      </w:r>
      <w:r w:rsidRPr="00FC4A16">
        <w:rPr>
          <w:rStyle w:val="Refdenotaalpie"/>
          <w:rFonts w:ascii="Verdana" w:hAnsi="Verdana"/>
        </w:rPr>
        <w:footnoteReference w:id="14"/>
      </w:r>
      <w:r w:rsidRPr="00100432">
        <w:rPr>
          <w:rFonts w:ascii="Verdana" w:hAnsi="Verdana"/>
        </w:rPr>
        <w:t xml:space="preserve"> las adiciones, modificaciones o renovaciones de las pólizas se consignan en “anexos”, en este sentido, la </w:t>
      </w:r>
      <w:r w:rsidRPr="000525BB">
        <w:rPr>
          <w:rFonts w:ascii="Verdana" w:hAnsi="Verdana"/>
        </w:rPr>
        <w:t xml:space="preserve">Entidad Estatal </w:t>
      </w:r>
      <w:r w:rsidRPr="00100432">
        <w:rPr>
          <w:rFonts w:ascii="Verdana" w:hAnsi="Verdana"/>
        </w:rPr>
        <w:t xml:space="preserve">no requiere una nueva póliza, sino </w:t>
      </w:r>
      <w:r w:rsidRPr="00100432">
        <w:rPr>
          <w:rFonts w:ascii="Verdana" w:hAnsi="Verdana"/>
        </w:rPr>
        <w:lastRenderedPageBreak/>
        <w:t xml:space="preserve">que puede solicitar del contratista un </w:t>
      </w:r>
      <w:r w:rsidRPr="00100432">
        <w:rPr>
          <w:rFonts w:ascii="Verdana" w:hAnsi="Verdana"/>
          <w:i/>
          <w:iCs/>
        </w:rPr>
        <w:t>“anexo”</w:t>
      </w:r>
      <w:r w:rsidRPr="00100432">
        <w:rPr>
          <w:rFonts w:ascii="Verdana" w:hAnsi="Verdana"/>
        </w:rPr>
        <w:t xml:space="preserve"> donde conste la ampliación de la garantía, y con ello cumplir las condiciones antes enunciadas para comenzar a ejecutar la modificación contractual. La </w:t>
      </w:r>
      <w:r w:rsidRPr="000525BB">
        <w:rPr>
          <w:rFonts w:ascii="Verdana" w:hAnsi="Verdana"/>
        </w:rPr>
        <w:t xml:space="preserve">Entidad Estatal </w:t>
      </w:r>
      <w:r w:rsidRPr="00100432">
        <w:rPr>
          <w:rFonts w:ascii="Verdana" w:hAnsi="Verdana"/>
        </w:rPr>
        <w:t>debe actuar de buena fe</w:t>
      </w:r>
      <w:r w:rsidRPr="00FC4A16">
        <w:rPr>
          <w:rStyle w:val="Refdenotaalpie"/>
          <w:rFonts w:ascii="Verdana" w:hAnsi="Verdana"/>
        </w:rPr>
        <w:footnoteReference w:id="15"/>
      </w:r>
      <w:r w:rsidRPr="00100432">
        <w:rPr>
          <w:rFonts w:ascii="Verdana" w:hAnsi="Verdana"/>
        </w:rPr>
        <w:t xml:space="preserve"> y en concordancia con lo expuesto, no debe negarse a aprobar la ampliación de la póliza cuando el contratista presenta un anexo que cumpla con las condiciones del Decreto 1082 de 2015. </w:t>
      </w:r>
      <w:r>
        <w:rPr>
          <w:rFonts w:ascii="Verdana" w:hAnsi="Verdana"/>
        </w:rPr>
        <w:t xml:space="preserve">Es necesario tener </w:t>
      </w:r>
      <w:r w:rsidRPr="00100432">
        <w:rPr>
          <w:rFonts w:ascii="Verdana" w:hAnsi="Verdana"/>
        </w:rPr>
        <w:t>en cuenta que el contrato no puede quedar desamparado en ningún momento, pues de no aprobarse la garantía no podrá comenzar la ejecución</w:t>
      </w:r>
      <w:r>
        <w:rPr>
          <w:rFonts w:ascii="Verdana" w:hAnsi="Verdana"/>
        </w:rPr>
        <w:t xml:space="preserve"> de la prórroga</w:t>
      </w:r>
      <w:r w:rsidRPr="00100432">
        <w:rPr>
          <w:rFonts w:ascii="Verdana" w:hAnsi="Verdana"/>
        </w:rPr>
        <w:t>, según lo dispuesto por el artículo 41 de la Ley 80 de 1993.</w:t>
      </w:r>
    </w:p>
    <w:p w14:paraId="3727633E" w14:textId="77777777" w:rsidR="004B21FD" w:rsidRDefault="00D96084" w:rsidP="00F73D3D">
      <w:pPr>
        <w:spacing w:after="120" w:line="276" w:lineRule="auto"/>
        <w:ind w:firstLine="709"/>
        <w:jc w:val="both"/>
        <w:rPr>
          <w:rFonts w:ascii="Verdana" w:eastAsia="Arial" w:hAnsi="Verdana" w:cs="Arial"/>
          <w:szCs w:val="24"/>
        </w:rPr>
      </w:pPr>
      <w:r>
        <w:rPr>
          <w:rFonts w:ascii="Verdana" w:hAnsi="Verdana"/>
        </w:rPr>
        <w:t xml:space="preserve">De cualquier modo, es importante precisar que la aprobación de la garantía única de cumplimiento, en los términos regulados en el artículo 41 de la Ley 80 de 1993 es un requisito para el inicio de la ejecución del contrato, más no para su perfeccionamiento. En ese sentido, así como sucede con el contrato inicial, la modificación tendiente a la prórroga del contrato se perfeccionará con la elevación a escrito del acuerdo de voluntades en virtud del cual se extiende el plazo de ejecución y la suscripción de ambas partes. Perfeccionado la modificación del contrato, el contratista deberá tramitar la ampliación de la garantía única de acuerdo con el artículo </w:t>
      </w:r>
      <w:r w:rsidRPr="007E2DF6">
        <w:rPr>
          <w:rFonts w:ascii="Verdana" w:hAnsi="Verdana"/>
        </w:rPr>
        <w:t>2.2.1.2.3.1.18. del Decreto 1082 de 2015</w:t>
      </w:r>
      <w:r>
        <w:rPr>
          <w:rFonts w:ascii="Verdana" w:hAnsi="Verdana"/>
        </w:rPr>
        <w:t xml:space="preserve"> y presentar la respectiva ampliación a la Entidad Estatal.   </w:t>
      </w:r>
    </w:p>
    <w:p w14:paraId="049A24C6" w14:textId="3231BA07" w:rsidR="00D96084" w:rsidRDefault="00D96084" w:rsidP="00F73D3D">
      <w:pPr>
        <w:spacing w:after="120" w:line="276" w:lineRule="auto"/>
        <w:ind w:firstLine="709"/>
        <w:jc w:val="both"/>
        <w:rPr>
          <w:rFonts w:ascii="Verdana" w:eastAsia="Arial" w:hAnsi="Verdana" w:cs="Arial"/>
          <w:szCs w:val="24"/>
        </w:rPr>
      </w:pPr>
      <w:r>
        <w:rPr>
          <w:rFonts w:ascii="Verdana" w:eastAsia="Arial" w:hAnsi="Verdana" w:cs="Arial"/>
          <w:szCs w:val="24"/>
        </w:rPr>
        <w:t xml:space="preserve">Una vez presentada la ampliación de la garantía por parte del contratista, la Entidad Estatal deberá proceder a su aprobación, previa verificación de las condiciones del correspondiente anexo, en aras de establecer que la ampliación de </w:t>
      </w:r>
      <w:r w:rsidR="004B21FD">
        <w:rPr>
          <w:rFonts w:ascii="Verdana" w:eastAsia="Arial" w:hAnsi="Verdana" w:cs="Arial"/>
          <w:szCs w:val="24"/>
        </w:rPr>
        <w:t>las garantías</w:t>
      </w:r>
      <w:r>
        <w:rPr>
          <w:rFonts w:ascii="Verdana" w:eastAsia="Arial" w:hAnsi="Verdana" w:cs="Arial"/>
          <w:szCs w:val="24"/>
        </w:rPr>
        <w:t xml:space="preserve"> en atención a las nuevas condiciones de tiempo y valor del contrato cumpla con la</w:t>
      </w:r>
      <w:r w:rsidR="0061334F">
        <w:rPr>
          <w:rFonts w:ascii="Verdana" w:eastAsia="Arial" w:hAnsi="Verdana" w:cs="Arial"/>
          <w:szCs w:val="24"/>
        </w:rPr>
        <w:t>s</w:t>
      </w:r>
      <w:r>
        <w:rPr>
          <w:rFonts w:ascii="Verdana" w:eastAsia="Arial" w:hAnsi="Verdana" w:cs="Arial"/>
          <w:szCs w:val="24"/>
        </w:rPr>
        <w:t xml:space="preserve"> suficiencias exigidas por lo regulado entre los artículos </w:t>
      </w:r>
      <w:r w:rsidRPr="00100432">
        <w:rPr>
          <w:rFonts w:ascii="Verdana" w:eastAsia="Arial" w:hAnsi="Verdana" w:cs="Arial"/>
          <w:szCs w:val="24"/>
        </w:rPr>
        <w:t>2.2.1.2.3.1.10</w:t>
      </w:r>
      <w:r>
        <w:rPr>
          <w:rFonts w:ascii="Verdana" w:eastAsia="Arial" w:hAnsi="Verdana" w:cs="Arial"/>
          <w:szCs w:val="24"/>
        </w:rPr>
        <w:t xml:space="preserve"> y </w:t>
      </w:r>
      <w:r w:rsidRPr="00564034">
        <w:rPr>
          <w:rFonts w:ascii="Verdana" w:eastAsia="Arial" w:hAnsi="Verdana" w:cs="Arial"/>
          <w:szCs w:val="24"/>
        </w:rPr>
        <w:t>2.2.1.2.3.1.17</w:t>
      </w:r>
      <w:r>
        <w:rPr>
          <w:rFonts w:ascii="Verdana" w:eastAsia="Arial" w:hAnsi="Verdana" w:cs="Arial"/>
          <w:szCs w:val="24"/>
        </w:rPr>
        <w:t xml:space="preserve"> del Decreto 1082 de 2015.  En ese sentido, en aras de evitar la interrupción de la ejecución del contrato, las Entidades Estatales deberán procurar aprobar la ampliación de las garantías antes que venza el plazo inicial del contrato objeto de prórroga. Para garantizar esto, el contratista debe presentar la ampliación dentro de un plazo razonable, </w:t>
      </w:r>
      <w:r>
        <w:rPr>
          <w:rFonts w:ascii="Verdana" w:hAnsi="Verdana"/>
        </w:rPr>
        <w:t xml:space="preserve">de conformidad a lo pactado en la respectiva modificación y </w:t>
      </w:r>
      <w:r>
        <w:rPr>
          <w:rFonts w:ascii="Verdana" w:eastAsia="Arial" w:hAnsi="Verdana" w:cs="Arial"/>
          <w:szCs w:val="24"/>
        </w:rPr>
        <w:t xml:space="preserve">a efectos de evitar que opere el mecanismo de restablecimiento que se haya previsto en el pliego de condiciones </w:t>
      </w:r>
      <w:r>
        <w:rPr>
          <w:rFonts w:ascii="Verdana" w:eastAsia="Arial" w:hAnsi="Verdana" w:cs="Arial"/>
          <w:szCs w:val="24"/>
        </w:rPr>
        <w:lastRenderedPageBreak/>
        <w:t xml:space="preserve">con arreglo a lo dispuesto en el último inciso del artículo </w:t>
      </w:r>
      <w:r w:rsidRPr="007E2DF6">
        <w:rPr>
          <w:rFonts w:ascii="Verdana" w:hAnsi="Verdana"/>
        </w:rPr>
        <w:t>2.2.1.2.3.1.18</w:t>
      </w:r>
      <w:r>
        <w:rPr>
          <w:rFonts w:ascii="Verdana" w:hAnsi="Verdana"/>
        </w:rPr>
        <w:t xml:space="preserve"> del Decreto 1082 de 2015.</w:t>
      </w:r>
    </w:p>
    <w:p w14:paraId="450687D4" w14:textId="4B23B66D" w:rsidR="00D04DD4" w:rsidRPr="00784411" w:rsidRDefault="00D96084" w:rsidP="00F73D3D">
      <w:pPr>
        <w:spacing w:after="120" w:line="276" w:lineRule="auto"/>
        <w:ind w:firstLine="709"/>
        <w:jc w:val="both"/>
        <w:rPr>
          <w:rFonts w:ascii="Verdana" w:eastAsia="Arial" w:hAnsi="Verdana" w:cs="Arial"/>
          <w:szCs w:val="24"/>
        </w:rPr>
      </w:pPr>
      <w:r w:rsidRPr="00100432">
        <w:rPr>
          <w:rFonts w:ascii="Verdana" w:eastAsia="Arial" w:hAnsi="Verdana" w:cs="Arial"/>
          <w:szCs w:val="24"/>
        </w:rPr>
        <w:t xml:space="preserve">En </w:t>
      </w:r>
      <w:r>
        <w:rPr>
          <w:rFonts w:ascii="Verdana" w:eastAsia="Arial" w:hAnsi="Verdana" w:cs="Arial"/>
          <w:szCs w:val="24"/>
        </w:rPr>
        <w:t xml:space="preserve">todo caso, es claro que </w:t>
      </w:r>
      <w:r w:rsidRPr="00100432">
        <w:rPr>
          <w:rFonts w:ascii="Verdana" w:eastAsia="Arial" w:hAnsi="Verdana" w:cs="Arial"/>
          <w:szCs w:val="24"/>
        </w:rPr>
        <w:t>hasta tanto la Entidad Estatal no apruebe el anexo de la póliza prorrogada no será posible iniciar la ejecución de la modificación contractual</w:t>
      </w:r>
      <w:r>
        <w:rPr>
          <w:rFonts w:ascii="Verdana" w:eastAsia="Arial" w:hAnsi="Verdana" w:cs="Arial"/>
          <w:szCs w:val="24"/>
        </w:rPr>
        <w:t>.</w:t>
      </w:r>
      <w:r w:rsidRPr="00100432">
        <w:rPr>
          <w:rFonts w:ascii="Verdana" w:eastAsia="Arial" w:hAnsi="Verdana" w:cs="Arial"/>
          <w:szCs w:val="24"/>
        </w:rPr>
        <w:t xml:space="preserve"> </w:t>
      </w:r>
      <w:r>
        <w:rPr>
          <w:rFonts w:ascii="Verdana" w:eastAsia="Arial" w:hAnsi="Verdana" w:cs="Arial"/>
          <w:szCs w:val="24"/>
        </w:rPr>
        <w:t>No obstante</w:t>
      </w:r>
      <w:r w:rsidRPr="00100432">
        <w:rPr>
          <w:rFonts w:ascii="Verdana" w:eastAsia="Arial" w:hAnsi="Verdana" w:cs="Arial"/>
          <w:szCs w:val="24"/>
        </w:rPr>
        <w:t xml:space="preserve">, la Entidad Estatal no debe negarse a aprobar la prórroga de la garantía si no tiene una justificación valida. </w:t>
      </w:r>
    </w:p>
    <w:p w14:paraId="53F6EC5C" w14:textId="77777777" w:rsidR="00CA0615" w:rsidRPr="00DB6C5D" w:rsidRDefault="00CA0615" w:rsidP="00784411">
      <w:pPr>
        <w:tabs>
          <w:tab w:val="left" w:pos="142"/>
          <w:tab w:val="left" w:pos="426"/>
        </w:tabs>
        <w:spacing w:before="240" w:after="0" w:line="276" w:lineRule="auto"/>
        <w:ind w:firstLine="142"/>
        <w:jc w:val="both"/>
        <w:rPr>
          <w:rFonts w:ascii="Verdana" w:eastAsia="Calibri" w:hAnsi="Verdana" w:cs="Arial"/>
          <w:bCs/>
          <w:color w:val="000000" w:themeColor="text1"/>
        </w:rPr>
      </w:pPr>
      <w:r w:rsidRPr="00DB6C5D">
        <w:rPr>
          <w:rFonts w:ascii="Verdana" w:hAnsi="Verdana"/>
        </w:rPr>
        <w:tab/>
      </w:r>
      <w:r w:rsidRPr="00DB6C5D">
        <w:rPr>
          <w:rFonts w:ascii="Verdana" w:hAnsi="Verdana"/>
        </w:rPr>
        <w:tab/>
        <w:t>Dentro de este marco, la entidad contratante definirá en cada caso concreto lo relacionado con el tema objeto de consulta. Al tratarse de un análisis que debe realizarse</w:t>
      </w:r>
      <w:r w:rsidRPr="00DB6C5D">
        <w:rPr>
          <w:rFonts w:ascii="Verdana" w:eastAsia="Calibri" w:hAnsi="Verdana" w:cs="Arial"/>
          <w:bCs/>
          <w:color w:val="000000" w:themeColor="text1"/>
        </w:rPr>
        <w:t xml:space="preserv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r w:rsidRPr="00DB6C5D">
        <w:rPr>
          <w:rStyle w:val="s15"/>
          <w:rFonts w:ascii="Verdana" w:hAnsi="Verdana"/>
          <w:color w:val="000000"/>
        </w:rPr>
        <w:t>Esto significa que,</w:t>
      </w:r>
      <w:r w:rsidRPr="00DB6C5D">
        <w:rPr>
          <w:rFonts w:ascii="Verdana" w:eastAsia="Calibri" w:hAnsi="Verdana" w:cs="Arial"/>
          <w:bCs/>
          <w:color w:val="000000" w:themeColor="text1"/>
        </w:rPr>
        <w:t xml:space="preserve"> fuera de la orientación del presente oficio, la ANCP – CCE carece de atribuciones normativas para desarrollar las actuaciones contractuales objeto de la solicitud</w:t>
      </w:r>
      <w:r w:rsidRPr="00DB6C5D">
        <w:rPr>
          <w:rStyle w:val="Refdenotaalpie"/>
          <w:rFonts w:ascii="Verdana" w:eastAsia="Calibri" w:hAnsi="Verdana" w:cs="Arial"/>
          <w:bCs/>
          <w:color w:val="000000" w:themeColor="text1"/>
        </w:rPr>
        <w:footnoteReference w:id="16"/>
      </w:r>
      <w:r w:rsidRPr="00DB6C5D">
        <w:rPr>
          <w:rFonts w:ascii="Verdana" w:eastAsia="Calibri" w:hAnsi="Verdana" w:cs="Arial"/>
          <w:bCs/>
          <w:color w:val="000000" w:themeColor="text1"/>
        </w:rPr>
        <w:t xml:space="preserve">. </w:t>
      </w:r>
    </w:p>
    <w:p w14:paraId="42D65C6A" w14:textId="77777777" w:rsidR="00CA0615" w:rsidRPr="00DB6C5D" w:rsidRDefault="00CA0615" w:rsidP="00CA0615">
      <w:pPr>
        <w:tabs>
          <w:tab w:val="left" w:pos="142"/>
          <w:tab w:val="left" w:pos="426"/>
        </w:tabs>
        <w:spacing w:after="0" w:line="276" w:lineRule="auto"/>
        <w:ind w:firstLine="142"/>
        <w:jc w:val="both"/>
        <w:rPr>
          <w:rFonts w:ascii="Verdana" w:eastAsia="Calibri" w:hAnsi="Verdana" w:cs="Arial"/>
          <w:bCs/>
          <w:color w:val="000000" w:themeColor="text1"/>
        </w:rPr>
      </w:pPr>
    </w:p>
    <w:p w14:paraId="34A423ED" w14:textId="77777777" w:rsidR="00CA0615" w:rsidRPr="00DB6C5D" w:rsidRDefault="00CA0615" w:rsidP="0091373A">
      <w:pPr>
        <w:numPr>
          <w:ilvl w:val="0"/>
          <w:numId w:val="16"/>
        </w:numPr>
        <w:tabs>
          <w:tab w:val="left" w:pos="142"/>
          <w:tab w:val="left" w:pos="284"/>
        </w:tabs>
        <w:spacing w:after="0" w:line="276" w:lineRule="auto"/>
        <w:jc w:val="both"/>
        <w:rPr>
          <w:rFonts w:ascii="Verdana" w:eastAsia="Century Gothic" w:hAnsi="Verdana" w:cs="Century Gothic"/>
          <w:b/>
          <w:bCs/>
        </w:rPr>
      </w:pPr>
      <w:r w:rsidRPr="00DB6C5D">
        <w:rPr>
          <w:rFonts w:ascii="Verdana" w:eastAsia="Century Gothic" w:hAnsi="Verdana" w:cs="Century Gothic"/>
          <w:b/>
          <w:bCs/>
        </w:rPr>
        <w:t>Referencias normativas y jurisprudenciales:</w:t>
      </w:r>
    </w:p>
    <w:p w14:paraId="180317A3" w14:textId="77777777" w:rsidR="00CA0615" w:rsidRPr="00DB6C5D" w:rsidRDefault="00CA0615" w:rsidP="00CA0615">
      <w:pPr>
        <w:widowControl w:val="0"/>
        <w:autoSpaceDE w:val="0"/>
        <w:autoSpaceDN w:val="0"/>
        <w:spacing w:after="0" w:line="276" w:lineRule="auto"/>
        <w:jc w:val="both"/>
        <w:rPr>
          <w:rFonts w:ascii="Verdana" w:eastAsia="Calibri"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A0615" w:rsidRPr="00DB6C5D" w14:paraId="57E52F20" w14:textId="77777777" w:rsidTr="00C45291">
        <w:trPr>
          <w:trHeight w:val="410"/>
          <w:jc w:val="center"/>
        </w:trPr>
        <w:tc>
          <w:tcPr>
            <w:tcW w:w="8647" w:type="dxa"/>
          </w:tcPr>
          <w:p w14:paraId="1CDB2462" w14:textId="2689913A" w:rsidR="004D479B" w:rsidRPr="004D479B" w:rsidRDefault="004D479B" w:rsidP="004D479B">
            <w:pPr>
              <w:pStyle w:val="Prrafodelista"/>
              <w:numPr>
                <w:ilvl w:val="0"/>
                <w:numId w:val="18"/>
              </w:numPr>
              <w:spacing w:line="276" w:lineRule="auto"/>
              <w:ind w:left="357" w:hanging="357"/>
              <w:jc w:val="both"/>
              <w:rPr>
                <w:rFonts w:ascii="Verdana" w:hAnsi="Verdana" w:cs="Arial"/>
                <w:color w:val="000000" w:themeColor="text1"/>
                <w:lang w:val="es-CO"/>
              </w:rPr>
            </w:pPr>
            <w:r w:rsidRPr="004D479B">
              <w:rPr>
                <w:rFonts w:ascii="Verdana" w:hAnsi="Verdana" w:cs="Arial"/>
                <w:color w:val="000000" w:themeColor="text1"/>
                <w:lang w:val="es-CO"/>
              </w:rPr>
              <w:t xml:space="preserve">Código de Comercio, artículo 1048. </w:t>
            </w:r>
          </w:p>
          <w:p w14:paraId="1E0F749C" w14:textId="2A9F0FE8" w:rsidR="004D479B" w:rsidRPr="004D479B" w:rsidRDefault="004D479B" w:rsidP="004D479B">
            <w:pPr>
              <w:pStyle w:val="Prrafodelista"/>
              <w:numPr>
                <w:ilvl w:val="0"/>
                <w:numId w:val="18"/>
              </w:numPr>
              <w:spacing w:line="276" w:lineRule="auto"/>
              <w:ind w:left="357" w:hanging="357"/>
              <w:jc w:val="both"/>
              <w:rPr>
                <w:rFonts w:ascii="Verdana" w:hAnsi="Verdana" w:cs="Arial"/>
                <w:color w:val="000000" w:themeColor="text1"/>
                <w:lang w:val="es-CO"/>
              </w:rPr>
            </w:pPr>
            <w:r w:rsidRPr="004D479B">
              <w:rPr>
                <w:rFonts w:ascii="Verdana" w:hAnsi="Verdana" w:cs="Arial"/>
                <w:color w:val="000000" w:themeColor="text1"/>
                <w:lang w:val="es-CO"/>
              </w:rPr>
              <w:t xml:space="preserve">Ley 80 de 1993, artículos 39 y 41. </w:t>
            </w:r>
          </w:p>
          <w:p w14:paraId="51F94735" w14:textId="5EBCABCA" w:rsidR="004D479B" w:rsidRPr="004D479B" w:rsidRDefault="004D479B" w:rsidP="004D479B">
            <w:pPr>
              <w:pStyle w:val="Prrafodelista"/>
              <w:numPr>
                <w:ilvl w:val="0"/>
                <w:numId w:val="18"/>
              </w:numPr>
              <w:spacing w:line="276" w:lineRule="auto"/>
              <w:ind w:left="357" w:hanging="357"/>
              <w:jc w:val="both"/>
              <w:rPr>
                <w:rFonts w:ascii="Verdana" w:hAnsi="Verdana" w:cs="Arial"/>
                <w:color w:val="000000" w:themeColor="text1"/>
                <w:lang w:val="es-CO"/>
              </w:rPr>
            </w:pPr>
            <w:r w:rsidRPr="004D479B">
              <w:rPr>
                <w:rFonts w:ascii="Verdana" w:hAnsi="Verdana" w:cs="Arial"/>
                <w:color w:val="000000" w:themeColor="text1"/>
                <w:lang w:val="es-CO"/>
              </w:rPr>
              <w:t xml:space="preserve">Ley 1150 de 2007, artículo 7. </w:t>
            </w:r>
          </w:p>
          <w:p w14:paraId="1EBE64B6" w14:textId="77777777" w:rsidR="00CA0615" w:rsidRPr="004D479B" w:rsidRDefault="004D479B" w:rsidP="004D479B">
            <w:pPr>
              <w:pStyle w:val="Prrafodelista"/>
              <w:numPr>
                <w:ilvl w:val="0"/>
                <w:numId w:val="18"/>
              </w:numPr>
              <w:spacing w:line="276" w:lineRule="auto"/>
              <w:ind w:left="357" w:hanging="357"/>
              <w:contextualSpacing w:val="0"/>
              <w:jc w:val="both"/>
              <w:rPr>
                <w:rFonts w:ascii="Verdana" w:hAnsi="Verdana" w:cs="Arial"/>
                <w:color w:val="000000" w:themeColor="text1"/>
              </w:rPr>
            </w:pPr>
            <w:r w:rsidRPr="004D479B">
              <w:rPr>
                <w:rFonts w:ascii="Verdana" w:hAnsi="Verdana" w:cs="Arial"/>
                <w:color w:val="000000" w:themeColor="text1"/>
                <w:lang w:val="es-CO"/>
              </w:rPr>
              <w:t>Decreto 1082 de 2015, artículos 2.2.1.2.3.1.12 y 2.2.1.2.3.1.18.</w:t>
            </w:r>
          </w:p>
          <w:p w14:paraId="6B01B790" w14:textId="450C1389" w:rsidR="00884CA9" w:rsidRPr="00884CA9" w:rsidRDefault="00884CA9" w:rsidP="00884CA9">
            <w:pPr>
              <w:pStyle w:val="Prrafodelista"/>
              <w:numPr>
                <w:ilvl w:val="0"/>
                <w:numId w:val="18"/>
              </w:numPr>
              <w:spacing w:line="276" w:lineRule="auto"/>
              <w:ind w:left="357" w:hanging="357"/>
              <w:jc w:val="both"/>
              <w:rPr>
                <w:rFonts w:ascii="Verdana" w:hAnsi="Verdana" w:cs="Arial"/>
                <w:color w:val="000000" w:themeColor="text1"/>
                <w:lang w:val="es-CO"/>
              </w:rPr>
            </w:pPr>
            <w:r w:rsidRPr="00884CA9">
              <w:rPr>
                <w:rFonts w:ascii="Verdana" w:hAnsi="Verdana" w:cs="Arial"/>
                <w:color w:val="000000" w:themeColor="text1"/>
                <w:lang w:val="es-CO"/>
              </w:rPr>
              <w:t xml:space="preserve">Consejo de Estado, Sección Tercera. Sentencia del 18 de febrero de 2010. Radicación 85001-23-31-000-1997-00403-01 (15.596). C.P. Mauricio Fajardo Gómez. </w:t>
            </w:r>
          </w:p>
          <w:p w14:paraId="3BEBF19E" w14:textId="10F72B41" w:rsidR="00884CA9" w:rsidRPr="00884CA9" w:rsidRDefault="00884CA9" w:rsidP="00884CA9">
            <w:pPr>
              <w:pStyle w:val="Prrafodelista"/>
              <w:numPr>
                <w:ilvl w:val="0"/>
                <w:numId w:val="18"/>
              </w:numPr>
              <w:spacing w:line="276" w:lineRule="auto"/>
              <w:ind w:left="357" w:hanging="357"/>
              <w:jc w:val="both"/>
              <w:rPr>
                <w:rFonts w:ascii="Verdana" w:hAnsi="Verdana" w:cs="Arial"/>
                <w:color w:val="000000" w:themeColor="text1"/>
                <w:lang w:val="es-CO"/>
              </w:rPr>
            </w:pPr>
            <w:r w:rsidRPr="00884CA9">
              <w:rPr>
                <w:rFonts w:ascii="Verdana" w:hAnsi="Verdana" w:cs="Arial"/>
                <w:color w:val="000000" w:themeColor="text1"/>
                <w:lang w:val="es-CO"/>
              </w:rPr>
              <w:lastRenderedPageBreak/>
              <w:t xml:space="preserve">Consejo de Estado, Sala de lo Contencioso Administrativo, Sección Tercera, Subsección B. Sentencia del 31 de agosto de 2011. Exp. 18.080. C.P. Ruth Stella Correa Palacio. </w:t>
            </w:r>
          </w:p>
          <w:p w14:paraId="65A12039" w14:textId="2CAABB62" w:rsidR="00884CA9" w:rsidRPr="00884CA9" w:rsidRDefault="00884CA9" w:rsidP="00884CA9">
            <w:pPr>
              <w:pStyle w:val="Prrafodelista"/>
              <w:numPr>
                <w:ilvl w:val="0"/>
                <w:numId w:val="18"/>
              </w:numPr>
              <w:spacing w:line="276" w:lineRule="auto"/>
              <w:ind w:left="357" w:hanging="357"/>
              <w:jc w:val="both"/>
              <w:rPr>
                <w:rFonts w:ascii="Verdana" w:hAnsi="Verdana" w:cs="Arial"/>
                <w:color w:val="000000" w:themeColor="text1"/>
                <w:lang w:val="es-CO"/>
              </w:rPr>
            </w:pPr>
            <w:r w:rsidRPr="00884CA9">
              <w:rPr>
                <w:rFonts w:ascii="Verdana" w:hAnsi="Verdana" w:cs="Arial"/>
                <w:color w:val="000000" w:themeColor="text1"/>
                <w:lang w:val="es-CO"/>
              </w:rPr>
              <w:t xml:space="preserve">Consejo de Estado, Sección Tercera, Subsección B. Sentencia del 28 de junio de 2012. Radicación 25000-23-26-000-1997-05346-01 (23.966). C.P. Stella Conto Díaz del Castillo. </w:t>
            </w:r>
          </w:p>
          <w:p w14:paraId="715E2523" w14:textId="34029C29" w:rsidR="00884CA9" w:rsidRPr="00884CA9" w:rsidRDefault="00884CA9" w:rsidP="00884CA9">
            <w:pPr>
              <w:pStyle w:val="Prrafodelista"/>
              <w:numPr>
                <w:ilvl w:val="0"/>
                <w:numId w:val="18"/>
              </w:numPr>
              <w:spacing w:line="276" w:lineRule="auto"/>
              <w:ind w:left="357" w:hanging="357"/>
              <w:jc w:val="both"/>
              <w:rPr>
                <w:rFonts w:ascii="Verdana" w:hAnsi="Verdana" w:cs="Arial"/>
                <w:color w:val="000000" w:themeColor="text1"/>
                <w:lang w:val="es-CO"/>
              </w:rPr>
            </w:pPr>
            <w:r w:rsidRPr="00884CA9">
              <w:rPr>
                <w:rFonts w:ascii="Verdana" w:hAnsi="Verdana" w:cs="Arial"/>
                <w:color w:val="000000" w:themeColor="text1"/>
                <w:lang w:val="es-CO"/>
              </w:rPr>
              <w:t xml:space="preserve">Consejo de Estado, Sala de lo Contencioso Administrativo, Sección Tercera, Subsección C. Sentencia del 12 de agosto de 2014. Exp. 28.565. C.P. Enrique Gil Botero. </w:t>
            </w:r>
          </w:p>
          <w:p w14:paraId="43C3A846" w14:textId="006FC152" w:rsidR="00884CA9" w:rsidRPr="00884CA9" w:rsidRDefault="00884CA9" w:rsidP="00884CA9">
            <w:pPr>
              <w:pStyle w:val="Prrafodelista"/>
              <w:numPr>
                <w:ilvl w:val="0"/>
                <w:numId w:val="18"/>
              </w:numPr>
              <w:spacing w:line="276" w:lineRule="auto"/>
              <w:ind w:left="357" w:hanging="357"/>
              <w:jc w:val="both"/>
              <w:rPr>
                <w:rFonts w:ascii="Verdana" w:hAnsi="Verdana" w:cs="Arial"/>
                <w:color w:val="000000" w:themeColor="text1"/>
                <w:lang w:val="es-CO"/>
              </w:rPr>
            </w:pPr>
            <w:r w:rsidRPr="00884CA9">
              <w:rPr>
                <w:rFonts w:ascii="Verdana" w:hAnsi="Verdana" w:cs="Arial"/>
                <w:color w:val="000000" w:themeColor="text1"/>
                <w:lang w:val="es-CO"/>
              </w:rPr>
              <w:t xml:space="preserve">Consejo de Estado, Sala de Consulta y Servicio Civil. Concepto del 17 de marzo de 2016. Radicación 11001-03-06-000-2015-00128-00 (2.263). C.P. Edgar González López. </w:t>
            </w:r>
          </w:p>
          <w:p w14:paraId="441B694F" w14:textId="3F276CE6" w:rsidR="00884CA9" w:rsidRPr="00884CA9" w:rsidRDefault="00884CA9" w:rsidP="00884CA9">
            <w:pPr>
              <w:pStyle w:val="Prrafodelista"/>
              <w:numPr>
                <w:ilvl w:val="0"/>
                <w:numId w:val="18"/>
              </w:numPr>
              <w:spacing w:line="276" w:lineRule="auto"/>
              <w:ind w:left="357" w:hanging="357"/>
              <w:jc w:val="both"/>
              <w:rPr>
                <w:rFonts w:ascii="Verdana" w:hAnsi="Verdana" w:cs="Arial"/>
                <w:color w:val="000000" w:themeColor="text1"/>
                <w:lang w:val="es-CO"/>
              </w:rPr>
            </w:pPr>
            <w:r w:rsidRPr="00884CA9">
              <w:rPr>
                <w:rFonts w:ascii="Verdana" w:hAnsi="Verdana" w:cs="Arial"/>
                <w:color w:val="000000" w:themeColor="text1"/>
                <w:lang w:val="es-CO"/>
              </w:rPr>
              <w:t xml:space="preserve">Consejo de Estado, Sección Segunda, Subsección A. Sentencia del 25 de enero de 2018. Radicación 11001-03-25-000-2011-00489-00 (1924-11). C.P. Gabriel Valbuena Hernández. </w:t>
            </w:r>
          </w:p>
          <w:p w14:paraId="6AA3DA68" w14:textId="192C5CE9" w:rsidR="00884CA9" w:rsidRPr="00884CA9" w:rsidRDefault="00884CA9" w:rsidP="00884CA9">
            <w:pPr>
              <w:pStyle w:val="Prrafodelista"/>
              <w:numPr>
                <w:ilvl w:val="0"/>
                <w:numId w:val="18"/>
              </w:numPr>
              <w:spacing w:line="276" w:lineRule="auto"/>
              <w:ind w:left="357" w:hanging="357"/>
              <w:jc w:val="both"/>
              <w:rPr>
                <w:rFonts w:ascii="Verdana" w:hAnsi="Verdana" w:cs="Arial"/>
                <w:color w:val="000000" w:themeColor="text1"/>
                <w:lang w:val="es-CO"/>
              </w:rPr>
            </w:pPr>
            <w:r w:rsidRPr="00884CA9">
              <w:rPr>
                <w:rFonts w:ascii="Verdana" w:hAnsi="Verdana" w:cs="Arial"/>
                <w:color w:val="000000" w:themeColor="text1"/>
                <w:lang w:val="es-CO"/>
              </w:rPr>
              <w:t xml:space="preserve">Consejo de Estado, Sala de lo Contencioso Administrativo, Sección Tercera, Subsección B. Sentencia del 10 de mayo de 2018. Exp. 41.186. C.P. Stella Conto Díaz del Castillo. </w:t>
            </w:r>
          </w:p>
          <w:p w14:paraId="6E2FB63F" w14:textId="77777777" w:rsidR="004D479B" w:rsidRPr="00884CA9" w:rsidRDefault="00884CA9" w:rsidP="00884CA9">
            <w:pPr>
              <w:pStyle w:val="Prrafodelista"/>
              <w:numPr>
                <w:ilvl w:val="0"/>
                <w:numId w:val="18"/>
              </w:numPr>
              <w:spacing w:line="276" w:lineRule="auto"/>
              <w:ind w:left="357" w:hanging="357"/>
              <w:contextualSpacing w:val="0"/>
              <w:jc w:val="both"/>
              <w:rPr>
                <w:rFonts w:ascii="Verdana" w:hAnsi="Verdana" w:cs="Arial"/>
                <w:color w:val="000000" w:themeColor="text1"/>
              </w:rPr>
            </w:pPr>
            <w:r w:rsidRPr="00884CA9">
              <w:rPr>
                <w:rFonts w:ascii="Verdana" w:hAnsi="Verdana" w:cs="Arial"/>
                <w:color w:val="000000" w:themeColor="text1"/>
                <w:lang w:val="es-CO"/>
              </w:rPr>
              <w:t>Consejo de Estado, Sección Tercera, Subsección A. Sentencia del 14 de junio de 2019. Radicación 11001-03-26-000-2009-00047-00 (36.860). C.P. Carlos Alberto Zambrano Barrera.</w:t>
            </w:r>
          </w:p>
          <w:p w14:paraId="42B29404" w14:textId="21FF99DA" w:rsidR="00884CA9" w:rsidRPr="00EF026F" w:rsidRDefault="003A2E5B" w:rsidP="00884CA9">
            <w:pPr>
              <w:pStyle w:val="Prrafodelista"/>
              <w:numPr>
                <w:ilvl w:val="0"/>
                <w:numId w:val="18"/>
              </w:numPr>
              <w:spacing w:line="276" w:lineRule="auto"/>
              <w:ind w:left="357" w:hanging="357"/>
              <w:contextualSpacing w:val="0"/>
              <w:jc w:val="both"/>
              <w:rPr>
                <w:rFonts w:ascii="Verdana" w:hAnsi="Verdana" w:cs="Arial"/>
                <w:color w:val="000000" w:themeColor="text1"/>
              </w:rPr>
            </w:pPr>
            <w:r w:rsidRPr="003A2E5B">
              <w:rPr>
                <w:rFonts w:ascii="Verdana" w:hAnsi="Verdana" w:cs="Arial"/>
                <w:color w:val="000000" w:themeColor="text1"/>
                <w:lang w:val="es-CO"/>
              </w:rPr>
              <w:t xml:space="preserve">EXPÓSITO VÉLEZ, Juan Carlos. </w:t>
            </w:r>
            <w:r w:rsidRPr="003A2E5B">
              <w:rPr>
                <w:rFonts w:ascii="Verdana" w:hAnsi="Verdana" w:cs="Arial"/>
                <w:i/>
                <w:iCs/>
                <w:color w:val="000000" w:themeColor="text1"/>
                <w:lang w:val="es-CO"/>
              </w:rPr>
              <w:t>Forma y contenido del contrato estatal</w:t>
            </w:r>
            <w:r w:rsidRPr="003A2E5B">
              <w:rPr>
                <w:rFonts w:ascii="Verdana" w:hAnsi="Verdana" w:cs="Arial"/>
                <w:color w:val="000000" w:themeColor="text1"/>
                <w:lang w:val="es-CO"/>
              </w:rPr>
              <w:t>. Bogotá: Universidad Externado de Colombia, 2013, pp. 28-29.</w:t>
            </w:r>
          </w:p>
        </w:tc>
      </w:tr>
    </w:tbl>
    <w:p w14:paraId="0E4DB805" w14:textId="77777777" w:rsidR="00CA0615" w:rsidRPr="00DB6C5D" w:rsidRDefault="00CA0615" w:rsidP="00CA0615">
      <w:pPr>
        <w:widowControl w:val="0"/>
        <w:tabs>
          <w:tab w:val="left" w:pos="142"/>
          <w:tab w:val="left" w:pos="284"/>
        </w:tabs>
        <w:autoSpaceDE w:val="0"/>
        <w:autoSpaceDN w:val="0"/>
        <w:spacing w:after="0" w:line="276" w:lineRule="auto"/>
        <w:ind w:left="360"/>
        <w:jc w:val="both"/>
        <w:rPr>
          <w:rFonts w:ascii="Verdana" w:eastAsia="Calibri" w:hAnsi="Verdana" w:cs="Arial"/>
          <w:color w:val="000000"/>
          <w:kern w:val="2"/>
          <w:shd w:val="clear" w:color="auto" w:fill="FFFFFF"/>
          <w14:ligatures w14:val="standardContextual"/>
        </w:rPr>
      </w:pPr>
    </w:p>
    <w:p w14:paraId="56993FAD" w14:textId="77777777" w:rsidR="00CA0615" w:rsidRPr="00DB6C5D" w:rsidRDefault="00CA0615" w:rsidP="0091373A">
      <w:pPr>
        <w:widowControl w:val="0"/>
        <w:numPr>
          <w:ilvl w:val="0"/>
          <w:numId w:val="16"/>
        </w:numPr>
        <w:tabs>
          <w:tab w:val="left" w:pos="142"/>
          <w:tab w:val="left" w:pos="284"/>
        </w:tabs>
        <w:autoSpaceDE w:val="0"/>
        <w:autoSpaceDN w:val="0"/>
        <w:spacing w:after="0" w:line="276" w:lineRule="auto"/>
        <w:jc w:val="both"/>
        <w:rPr>
          <w:rFonts w:ascii="Verdana" w:eastAsia="Calibri" w:hAnsi="Verdana" w:cs="Arial"/>
          <w:color w:val="000000"/>
          <w:kern w:val="2"/>
          <w:shd w:val="clear" w:color="auto" w:fill="FFFFFF"/>
          <w14:ligatures w14:val="standardContextual"/>
        </w:rPr>
      </w:pPr>
      <w:r w:rsidRPr="00DB6C5D">
        <w:rPr>
          <w:rFonts w:ascii="Verdana" w:eastAsia="Century Gothic" w:hAnsi="Verdana" w:cs="Century Gothic"/>
          <w:b/>
          <w:bCs/>
        </w:rPr>
        <w:t>Doctrina de la Agencia Nacional de Contratación Pública:</w:t>
      </w:r>
    </w:p>
    <w:p w14:paraId="502CC1F6" w14:textId="77777777" w:rsidR="00CA0615" w:rsidRPr="00DB6C5D" w:rsidRDefault="00CA0615" w:rsidP="00CA0615">
      <w:pPr>
        <w:widowControl w:val="0"/>
        <w:autoSpaceDE w:val="0"/>
        <w:autoSpaceDN w:val="0"/>
        <w:spacing w:after="0" w:line="276" w:lineRule="auto"/>
        <w:jc w:val="both"/>
        <w:rPr>
          <w:rFonts w:ascii="Verdana" w:eastAsia="Calibri" w:hAnsi="Verdana" w:cs="Arial"/>
          <w:shd w:val="clear" w:color="auto" w:fill="FFFFFF"/>
        </w:rPr>
      </w:pPr>
    </w:p>
    <w:p w14:paraId="6019ECB5" w14:textId="5BBB603D" w:rsidR="00CA0615" w:rsidRDefault="00CA0615" w:rsidP="00CA0615">
      <w:pPr>
        <w:widowControl w:val="0"/>
        <w:spacing w:after="0" w:line="276" w:lineRule="auto"/>
        <w:jc w:val="both"/>
        <w:rPr>
          <w:rFonts w:ascii="Verdana" w:eastAsia="Calibri" w:hAnsi="Verdana" w:cs="Arial"/>
          <w:lang w:val="es-ES" w:eastAsia="es-ES"/>
        </w:rPr>
      </w:pPr>
      <w:r w:rsidRPr="006E3E0D">
        <w:rPr>
          <w:rFonts w:ascii="Verdana" w:eastAsia="Calibri" w:hAnsi="Verdana" w:cs="Arial"/>
          <w:lang w:val="es-ES" w:eastAsia="es-ES"/>
        </w:rPr>
        <w:t xml:space="preserve">La Agencia Nacional de Contratación Pública – Colombia Compra Eficiente </w:t>
      </w:r>
      <w:r w:rsidRPr="006E3E0D">
        <w:rPr>
          <w:rFonts w:ascii="Verdana" w:hAnsi="Verdana" w:cs="Arial"/>
          <w:shd w:val="clear" w:color="auto" w:fill="FFFFFF"/>
          <w:lang w:val="es-ES"/>
        </w:rPr>
        <w:t>se ha pronunciado sobre</w:t>
      </w:r>
      <w:r w:rsidR="00A47DB4">
        <w:rPr>
          <w:rFonts w:ascii="Verdana" w:hAnsi="Verdana" w:cs="Arial"/>
          <w:shd w:val="clear" w:color="auto" w:fill="FFFFFF"/>
          <w:lang w:val="es-ES"/>
        </w:rPr>
        <w:t xml:space="preserve"> </w:t>
      </w:r>
      <w:r w:rsidR="00711457" w:rsidRPr="00DD781E">
        <w:rPr>
          <w:rStyle w:val="normaltextrun"/>
          <w:rFonts w:ascii="Verdana" w:hAnsi="Verdana" w:cs="Arial"/>
          <w:shd w:val="clear" w:color="auto" w:fill="FFFFFF"/>
          <w:lang w:val="es-ES"/>
        </w:rPr>
        <w:t xml:space="preserve">el régimen de garantías </w:t>
      </w:r>
      <w:r w:rsidR="00A47DB4">
        <w:rPr>
          <w:rFonts w:ascii="Verdana" w:hAnsi="Verdana" w:cs="Arial"/>
          <w:shd w:val="clear" w:color="auto" w:fill="FFFFFF"/>
          <w:lang w:val="es-ES"/>
        </w:rPr>
        <w:t xml:space="preserve">en </w:t>
      </w:r>
      <w:r w:rsidR="00F94D11">
        <w:rPr>
          <w:rFonts w:ascii="Verdana" w:hAnsi="Verdana" w:cs="Arial"/>
          <w:shd w:val="clear" w:color="auto" w:fill="FFFFFF"/>
          <w:lang w:val="es-ES"/>
        </w:rPr>
        <w:t xml:space="preserve">los </w:t>
      </w:r>
      <w:r w:rsidR="00A47DB4">
        <w:rPr>
          <w:rFonts w:ascii="Verdana" w:hAnsi="Verdana" w:cs="Arial"/>
          <w:shd w:val="clear" w:color="auto" w:fill="FFFFFF"/>
          <w:lang w:val="es-ES"/>
        </w:rPr>
        <w:t>conceptos:</w:t>
      </w:r>
      <w:r w:rsidR="000568D6">
        <w:rPr>
          <w:rFonts w:ascii="Verdana" w:hAnsi="Verdana" w:cs="Arial"/>
          <w:shd w:val="clear" w:color="auto" w:fill="FFFFFF"/>
          <w:lang w:val="es-ES"/>
        </w:rPr>
        <w:t xml:space="preserve"> </w:t>
      </w:r>
      <w:r w:rsidR="000568D6" w:rsidRPr="000568D6">
        <w:rPr>
          <w:rFonts w:ascii="Verdana" w:hAnsi="Verdana" w:cs="Arial"/>
          <w:shd w:val="clear" w:color="auto" w:fill="FFFFFF"/>
        </w:rPr>
        <w:t xml:space="preserve">C-055 de 2025; C-078 de 2025; C-094 de 2025; C-096 de 2025; C-099 de 2025; C-109 de 2025; C-124 de 2025; C-143 de 2025; C-178 de 2025; C-242 de 2025; C-284 de 2025; C-330 de 2025; C-364 de 2025; C-368 de 2025; C-452 de 2025; C-489 de 2025; C-608 de 2025; C-614 de 2025; C-640 de 2025; C-780 de 2025; C-811 de 2025; C-835 de 2025; C-857 de 2025; C-922 de 2025; C-937 de 2025; C-963 de 2025; C-1045 de 2025; C-1104 de 2025; C-1243 de 2025; C-1260 de 2025; C-1270 de 2025; C-1294 de 2025; C-1301 de 2025; C-1332 de 2025; C-1333 de 2025; C-1339 de 2025; C-1412 de 2025; C-1442 de 2025; C-1460 de 2025; C-1464 </w:t>
      </w:r>
      <w:r w:rsidR="000568D6" w:rsidRPr="000568D6">
        <w:rPr>
          <w:rFonts w:ascii="Verdana" w:hAnsi="Verdana" w:cs="Arial"/>
          <w:shd w:val="clear" w:color="auto" w:fill="FFFFFF"/>
        </w:rPr>
        <w:lastRenderedPageBreak/>
        <w:t>de 2025; C-1470 de 2025; C-1493 de 2025; C-1547 de 2025; C-1576 de 2025; C-1582 de 2025; C-1587 de 2025; C-1593 de 2025; C-1613A de 2025; C-1668 de 2025; C-1676 de 2025; C-1701 de 2025; C-1706 de 2025; C-1726 de 2025; C-1802 de 2025; C-1833 de 2025</w:t>
      </w:r>
      <w:r w:rsidR="00D60B75">
        <w:rPr>
          <w:rFonts w:ascii="Verdana" w:hAnsi="Verdana" w:cs="Arial"/>
          <w:shd w:val="clear" w:color="auto" w:fill="FFFFFF"/>
        </w:rPr>
        <w:t>,</w:t>
      </w:r>
      <w:r w:rsidR="00A47DB4">
        <w:rPr>
          <w:rFonts w:ascii="Verdana" w:hAnsi="Verdana" w:cs="Arial"/>
          <w:shd w:val="clear" w:color="auto" w:fill="FFFFFF"/>
          <w:lang w:val="es-ES"/>
        </w:rPr>
        <w:t xml:space="preserve"> </w:t>
      </w:r>
      <w:r w:rsidR="00A47DB4" w:rsidRPr="00A47DB4">
        <w:rPr>
          <w:rFonts w:ascii="Verdana" w:hAnsi="Verdana" w:cs="Arial"/>
          <w:shd w:val="clear" w:color="auto" w:fill="FFFFFF"/>
        </w:rPr>
        <w:t>C-150 de 2026; C-201 de 2026; C-284 de 2026; C-393 de 2026; C-418 de 2026; C-559 de 2026</w:t>
      </w:r>
      <w:r w:rsidR="00F94D11">
        <w:rPr>
          <w:rFonts w:ascii="Verdana" w:hAnsi="Verdana" w:cs="Arial"/>
          <w:shd w:val="clear" w:color="auto" w:fill="FFFFFF"/>
        </w:rPr>
        <w:t xml:space="preserve"> y</w:t>
      </w:r>
      <w:r w:rsidR="00A47DB4" w:rsidRPr="00A47DB4">
        <w:rPr>
          <w:rFonts w:ascii="Verdana" w:hAnsi="Verdana" w:cs="Arial"/>
          <w:shd w:val="clear" w:color="auto" w:fill="FFFFFF"/>
        </w:rPr>
        <w:t xml:space="preserve"> C-1238 de 2026</w:t>
      </w:r>
      <w:r w:rsidRPr="006E3E0D">
        <w:rPr>
          <w:rFonts w:ascii="Verdana" w:hAnsi="Verdana" w:cs="Arial"/>
          <w:shd w:val="clear" w:color="auto" w:fill="FFFFFF"/>
          <w:lang w:val="es-ES"/>
        </w:rPr>
        <w:t xml:space="preserve"> </w:t>
      </w:r>
      <w:r w:rsidR="00F94D11">
        <w:rPr>
          <w:rFonts w:ascii="Verdana" w:eastAsia="Calibri" w:hAnsi="Verdana" w:cs="Arial"/>
          <w:lang w:val="es-ES" w:eastAsia="es-ES"/>
        </w:rPr>
        <w:t>entre</w:t>
      </w:r>
      <w:r w:rsidRPr="006E3E0D">
        <w:rPr>
          <w:rFonts w:ascii="Verdana" w:eastAsia="Calibri" w:hAnsi="Verdana" w:cs="Arial"/>
          <w:lang w:val="es-ES" w:eastAsia="es-ES"/>
        </w:rPr>
        <w:t xml:space="preserve"> otros</w:t>
      </w:r>
      <w:r>
        <w:rPr>
          <w:rFonts w:ascii="Verdana" w:eastAsia="Calibri" w:hAnsi="Verdana" w:cs="Arial"/>
          <w:lang w:val="es-ES" w:eastAsia="es-ES"/>
        </w:rPr>
        <w:t>.</w:t>
      </w:r>
    </w:p>
    <w:p w14:paraId="5D9ABCA2" w14:textId="77777777" w:rsidR="00CA0615" w:rsidRPr="00DB6C5D" w:rsidRDefault="00CA0615" w:rsidP="00CA0615">
      <w:pPr>
        <w:widowControl w:val="0"/>
        <w:spacing w:after="0" w:line="276" w:lineRule="auto"/>
        <w:jc w:val="both"/>
        <w:rPr>
          <w:rFonts w:ascii="Verdana" w:eastAsia="Verdana" w:hAnsi="Verdana" w:cs="Verdana"/>
        </w:rPr>
      </w:pPr>
    </w:p>
    <w:p w14:paraId="14438DBD" w14:textId="77777777" w:rsidR="00CA0615" w:rsidRPr="00DB6C5D" w:rsidRDefault="00CA0615" w:rsidP="00CA0615">
      <w:pPr>
        <w:widowControl w:val="0"/>
        <w:spacing w:after="0" w:line="276" w:lineRule="auto"/>
        <w:jc w:val="both"/>
        <w:rPr>
          <w:rFonts w:ascii="Verdana" w:eastAsia="Verdana" w:hAnsi="Verdana" w:cs="Verdana"/>
          <w:highlight w:val="white"/>
        </w:rPr>
      </w:pPr>
      <w:r w:rsidRPr="00DB6C5D">
        <w:rPr>
          <w:rFonts w:ascii="Verdana" w:eastAsia="Verdana" w:hAnsi="Verdana" w:cs="Verdana"/>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5">
        <w:r w:rsidRPr="00DB6C5D">
          <w:rPr>
            <w:rFonts w:ascii="Verdana" w:eastAsia="Verdana" w:hAnsi="Verdana" w:cs="Verdana"/>
            <w:color w:val="0000FF"/>
            <w:u w:val="single"/>
          </w:rPr>
          <w:t>https://relatoria.colombiacompra.gov.co/busqueda/conceptos</w:t>
        </w:r>
      </w:hyperlink>
      <w:r w:rsidRPr="00DB6C5D">
        <w:rPr>
          <w:rFonts w:ascii="Verdana" w:eastAsia="Verdana" w:hAnsi="Verdana" w:cs="Verdana"/>
        </w:rPr>
        <w:t xml:space="preserve">. </w:t>
      </w:r>
    </w:p>
    <w:p w14:paraId="7EA13AF0" w14:textId="77777777" w:rsidR="00CA0615" w:rsidRPr="00DB6C5D" w:rsidRDefault="00CA0615" w:rsidP="00CA0615">
      <w:pPr>
        <w:spacing w:after="0" w:line="276" w:lineRule="auto"/>
        <w:jc w:val="both"/>
        <w:rPr>
          <w:rFonts w:ascii="Verdana" w:hAnsi="Verdana"/>
        </w:rPr>
      </w:pPr>
    </w:p>
    <w:p w14:paraId="0A5EFAA2" w14:textId="77777777" w:rsidR="00CA0615" w:rsidRPr="00DB6C5D" w:rsidRDefault="00CA0615" w:rsidP="00CA0615">
      <w:pPr>
        <w:spacing w:after="0" w:line="276" w:lineRule="auto"/>
        <w:jc w:val="both"/>
        <w:rPr>
          <w:rStyle w:val="Hipervnculo"/>
          <w:rFonts w:ascii="Verdana" w:hAnsi="Verdana"/>
        </w:rPr>
      </w:pPr>
      <w:r w:rsidRPr="00DB6C5D">
        <w:rPr>
          <w:rFonts w:ascii="Verdana" w:hAnsi="Verdana"/>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DB6C5D">
        <w:rPr>
          <w:rFonts w:ascii="Verdana" w:hAnsi="Verdana"/>
          <w:b/>
          <w:bCs/>
        </w:rPr>
        <w:t>Guía para la Exigencia y Constitución de Garantías en los Procesos de Contratación</w:t>
      </w:r>
      <w:r w:rsidRPr="00DB6C5D">
        <w:rPr>
          <w:rFonts w:ascii="Verdana" w:hAnsi="Verdana"/>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6" w:tooltip="Dirección URL original: https://www.colombiacompra.gov.co/archivos/manual/guia-de-garantias-en-procesos-de-contratacion. Haga clic o pulse si confía en este vínculo." w:history="1">
        <w:r w:rsidRPr="00DB6C5D">
          <w:rPr>
            <w:rStyle w:val="Hipervnculo"/>
            <w:rFonts w:ascii="Verdana" w:hAnsi="Verdana"/>
          </w:rPr>
          <w:t>https://www.colombiacompra.gov.co/archivos/manual/guia-de-garantias-en-procesos-de-contratacion</w:t>
        </w:r>
      </w:hyperlink>
    </w:p>
    <w:p w14:paraId="78C1CCA0" w14:textId="77777777" w:rsidR="00CA0615" w:rsidRPr="00DB6C5D" w:rsidRDefault="00CA0615" w:rsidP="00CA0615">
      <w:pPr>
        <w:spacing w:after="0" w:line="276" w:lineRule="auto"/>
        <w:jc w:val="both"/>
        <w:rPr>
          <w:rFonts w:ascii="Verdana" w:hAnsi="Verdana"/>
        </w:rPr>
      </w:pPr>
    </w:p>
    <w:p w14:paraId="3DD403AC" w14:textId="77777777" w:rsidR="00CA0615" w:rsidRPr="00DB6C5D" w:rsidRDefault="00CA0615" w:rsidP="00CA0615">
      <w:pPr>
        <w:spacing w:after="0" w:line="276" w:lineRule="auto"/>
        <w:jc w:val="both"/>
        <w:rPr>
          <w:rStyle w:val="Hipervnculo"/>
          <w:rFonts w:ascii="Verdana" w:hAnsi="Verdana"/>
        </w:rPr>
      </w:pPr>
      <w:r w:rsidRPr="00DB6C5D">
        <w:rPr>
          <w:rFonts w:ascii="Verdana" w:hAnsi="Verdana"/>
        </w:rPr>
        <w:t>De otro lado, te contamos que el Decreto 287 del 19 de marzo de 2026 sustituyó los artículos 2.2.1.2.4.2.6., 2.2.1.2.4.2.7. y 2.2.1.2.4.2.8. del Decreto 1082 de 2015 y estructuró el </w:t>
      </w:r>
      <w:r w:rsidRPr="00DB6C5D">
        <w:rPr>
          <w:rFonts w:ascii="Verdana" w:hAnsi="Verdana"/>
          <w:b/>
          <w:bCs/>
        </w:rPr>
        <w:t>Sistema Integral de Preferencias en favor de las personas con discapacidad</w:t>
      </w:r>
      <w:r w:rsidRPr="00DB6C5D">
        <w:rPr>
          <w:rFonts w:ascii="Verdana" w:hAnsi="Verdana"/>
        </w:rPr>
        <w:t>, en cumplimiento del artículo 13 de la Ley Estatutaria 1618 de 2013. Para orientar su aplicación, esta Agencia expidió la </w:t>
      </w:r>
      <w:r w:rsidRPr="00DB6C5D">
        <w:rPr>
          <w:rFonts w:ascii="Verdana" w:hAnsi="Verdana"/>
          <w:b/>
          <w:bCs/>
        </w:rPr>
        <w:t>Circular Externa 003 del 12 de mayo de 2026, </w:t>
      </w:r>
      <w:r w:rsidRPr="00DB6C5D">
        <w:rPr>
          <w:rFonts w:ascii="Verdana" w:hAnsi="Verdana"/>
        </w:rPr>
        <w:t xml:space="preserve">en la que precisa quiénes son los beneficiarios, las cinco medidas que integran el sistema y su obligatoriedad según la modalidad de selección, y el régimen de transición aplicable a los procesos en curso. Consúltala </w:t>
      </w:r>
      <w:r w:rsidRPr="00DB6C5D">
        <w:rPr>
          <w:rFonts w:ascii="Verdana" w:hAnsi="Verdana"/>
        </w:rPr>
        <w:lastRenderedPageBreak/>
        <w:t>aquí: </w:t>
      </w:r>
      <w:hyperlink r:id="rId17" w:tooltip="Dirección URL original: https://www.colombiacompra.gov.co/archivos/circular/circular-externa-003-de-2026. Haga clic o pulse si confía en este vínculo." w:history="1">
        <w:r w:rsidRPr="00DB6C5D">
          <w:rPr>
            <w:rStyle w:val="Hipervnculo"/>
            <w:rFonts w:ascii="Verdana" w:hAnsi="Verdana"/>
          </w:rPr>
          <w:t>https://www.colombiacompra.gov.co/archivos/circular/circular-externa-003-de-2026</w:t>
        </w:r>
      </w:hyperlink>
    </w:p>
    <w:p w14:paraId="099DA68B" w14:textId="77777777" w:rsidR="00CA0615" w:rsidRPr="00DB6C5D" w:rsidRDefault="00CA0615" w:rsidP="00CA0615">
      <w:pPr>
        <w:spacing w:after="0" w:line="276" w:lineRule="auto"/>
        <w:jc w:val="both"/>
        <w:rPr>
          <w:rFonts w:ascii="Verdana" w:hAnsi="Verdana"/>
        </w:rPr>
      </w:pPr>
    </w:p>
    <w:p w14:paraId="000AD9CC" w14:textId="77777777" w:rsidR="00CA0615" w:rsidRPr="00DB6C5D" w:rsidRDefault="00CA0615" w:rsidP="00CA0615">
      <w:pPr>
        <w:spacing w:after="0" w:line="276" w:lineRule="auto"/>
        <w:jc w:val="both"/>
        <w:rPr>
          <w:rStyle w:val="Hipervnculo"/>
          <w:rFonts w:ascii="Verdana" w:hAnsi="Verdana"/>
        </w:rPr>
      </w:pPr>
      <w:r w:rsidRPr="00DB6C5D">
        <w:rPr>
          <w:rFonts w:ascii="Verdana" w:hAnsi="Verdana"/>
        </w:rPr>
        <w:t>Recuerda también que la</w:t>
      </w:r>
      <w:r w:rsidRPr="00DB6C5D">
        <w:rPr>
          <w:rFonts w:ascii="Verdana" w:hAnsi="Verdana"/>
          <w:b/>
          <w:bCs/>
        </w:rPr>
        <w:t> información sobre sanciones e inhabilidades </w:t>
      </w:r>
      <w:r w:rsidRPr="00DB6C5D">
        <w:rPr>
          <w:rFonts w:ascii="Verdana" w:hAnsi="Verdana"/>
        </w:rPr>
        <w:t>solo cumple su función preventiva si llega oportunamente a los registros públicos. Sobre este deber, esta Agencia expidió la </w:t>
      </w:r>
      <w:r w:rsidRPr="00DB6C5D">
        <w:rPr>
          <w:rFonts w:ascii="Verdana" w:hAnsi="Verdana"/>
          <w:b/>
          <w:bCs/>
        </w:rPr>
        <w:t>Circular Externa 002 del 5 de mayo de 2026,</w:t>
      </w:r>
      <w:r w:rsidRPr="00DB6C5D">
        <w:rPr>
          <w:rFonts w:ascii="Verdana" w:hAnsi="Verdana"/>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8" w:tooltip="Dirección URL original: https://www.colombiacompra.gov.co/archivos/circular/circular-externa-002-de-2026. Haga clic o pulse si confía en este vínculo." w:history="1">
        <w:r w:rsidRPr="00DB6C5D">
          <w:rPr>
            <w:rStyle w:val="Hipervnculo"/>
            <w:rFonts w:ascii="Verdana" w:hAnsi="Verdana"/>
          </w:rPr>
          <w:t>https://www.colombiacompra.gov.co/archivos/circular/circular-externa-002-de-2026</w:t>
        </w:r>
      </w:hyperlink>
    </w:p>
    <w:p w14:paraId="3B521C89" w14:textId="77777777" w:rsidR="00CA0615" w:rsidRPr="00DB6C5D" w:rsidRDefault="00CA0615" w:rsidP="00CA0615">
      <w:pPr>
        <w:spacing w:after="0" w:line="276" w:lineRule="auto"/>
        <w:jc w:val="both"/>
        <w:rPr>
          <w:rFonts w:ascii="Verdana" w:hAnsi="Verdana"/>
        </w:rPr>
      </w:pPr>
    </w:p>
    <w:p w14:paraId="581D7ACD" w14:textId="51B66EA7" w:rsidR="00CA0615" w:rsidRPr="00DB6C5D" w:rsidRDefault="00CA0615" w:rsidP="00CA0615">
      <w:pPr>
        <w:spacing w:after="0" w:line="276" w:lineRule="auto"/>
        <w:jc w:val="both"/>
        <w:rPr>
          <w:rStyle w:val="Hipervnculo"/>
          <w:rFonts w:ascii="Verdana" w:hAnsi="Verdana"/>
        </w:rPr>
      </w:pPr>
      <w:r w:rsidRPr="00DB6C5D">
        <w:rPr>
          <w:rFonts w:ascii="Verdana" w:hAnsi="Verdana"/>
        </w:rPr>
        <w:t>Finalmente, si quieres seguir de cerca la actividad de la Agencia, la tercera edición de 2026</w:t>
      </w:r>
      <w:r w:rsidR="00D04DD4">
        <w:rPr>
          <w:rFonts w:ascii="Verdana" w:hAnsi="Verdana"/>
        </w:rPr>
        <w:t xml:space="preserve"> </w:t>
      </w:r>
      <w:r w:rsidRPr="00DB6C5D">
        <w:rPr>
          <w:rFonts w:ascii="Verdana" w:hAnsi="Verdana"/>
        </w:rPr>
        <w:t>del</w:t>
      </w:r>
      <w:r w:rsidRPr="00DB6C5D">
        <w:rPr>
          <w:rFonts w:ascii="Verdana" w:hAnsi="Verdana"/>
          <w:b/>
          <w:bCs/>
        </w:rPr>
        <w:t> Radar de la Compra Pública</w:t>
      </w:r>
      <w:r w:rsidRPr="00DB6C5D">
        <w:rPr>
          <w:rFonts w:ascii="Verdana" w:hAnsi="Verdana"/>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9" w:tooltip="Dirección URL original: https://www.colombiacompra.gov.co/archivos/boletin/boletin-edicion-n-3-de-2026-radar-de-la-compra-publica. Haga clic o pulse si confía en este vínculo." w:history="1">
        <w:r w:rsidRPr="00DB6C5D">
          <w:rPr>
            <w:rStyle w:val="Hipervnculo"/>
            <w:rFonts w:ascii="Verdana" w:hAnsi="Verdana"/>
          </w:rPr>
          <w:t>https://www.colombiacompra.gov.co/archivos/boletin/boletin-edicion-n-3-de-2026-radar-de-la-compra-publica</w:t>
        </w:r>
      </w:hyperlink>
    </w:p>
    <w:p w14:paraId="7DFCF970" w14:textId="77777777" w:rsidR="00CA0615" w:rsidRPr="00DB6C5D" w:rsidRDefault="00CA0615" w:rsidP="00CA0615">
      <w:pPr>
        <w:spacing w:after="0" w:line="276" w:lineRule="auto"/>
        <w:jc w:val="both"/>
        <w:rPr>
          <w:rFonts w:ascii="Verdana" w:hAnsi="Verdana"/>
          <w:color w:val="0000FF"/>
          <w:u w:val="single"/>
        </w:rPr>
      </w:pPr>
    </w:p>
    <w:p w14:paraId="6CFA3E43" w14:textId="77777777" w:rsidR="00CA0615" w:rsidRPr="00DB6C5D" w:rsidRDefault="00CA0615" w:rsidP="00CA0615">
      <w:pPr>
        <w:spacing w:after="0" w:line="276" w:lineRule="auto"/>
        <w:jc w:val="both"/>
        <w:rPr>
          <w:rFonts w:ascii="Verdana" w:eastAsia="Verdana" w:hAnsi="Verdana" w:cs="Verdana"/>
        </w:rPr>
      </w:pPr>
      <w:r w:rsidRPr="00DB6C5D">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w:t>
      </w:r>
      <w:r w:rsidRPr="00DB6C5D">
        <w:rPr>
          <w:rFonts w:ascii="Verdana" w:eastAsia="Verdana" w:hAnsi="Verdana" w:cs="Verdana"/>
        </w:rPr>
        <w:t xml:space="preserve">atención: </w:t>
      </w:r>
    </w:p>
    <w:p w14:paraId="573384DA" w14:textId="77777777" w:rsidR="00CA0615" w:rsidRPr="00DB6C5D" w:rsidRDefault="00CA0615" w:rsidP="00CA0615">
      <w:pPr>
        <w:spacing w:after="0" w:line="276" w:lineRule="auto"/>
        <w:jc w:val="both"/>
        <w:rPr>
          <w:rFonts w:ascii="Verdana" w:eastAsia="Verdana" w:hAnsi="Verdana" w:cs="Verdana"/>
        </w:rPr>
      </w:pPr>
    </w:p>
    <w:p w14:paraId="6E7C8A6A" w14:textId="77777777" w:rsidR="00CA0615" w:rsidRPr="00DB6C5D" w:rsidRDefault="00CA0615" w:rsidP="00CA0615">
      <w:pPr>
        <w:pStyle w:val="Prrafodelista"/>
        <w:numPr>
          <w:ilvl w:val="0"/>
          <w:numId w:val="17"/>
        </w:numPr>
        <w:spacing w:after="0" w:line="276" w:lineRule="auto"/>
        <w:contextualSpacing w:val="0"/>
        <w:jc w:val="both"/>
        <w:rPr>
          <w:rFonts w:ascii="Verdana" w:eastAsia="Verdana" w:hAnsi="Verdana" w:cs="Verdana"/>
          <w:color w:val="4472C4" w:themeColor="accent1"/>
          <w:u w:val="single"/>
          <w:lang w:val="es-CO"/>
        </w:rPr>
      </w:pPr>
      <w:r w:rsidRPr="00DB6C5D">
        <w:rPr>
          <w:rFonts w:ascii="Verdana" w:eastAsia="Verdana" w:hAnsi="Verdana" w:cs="Verdana"/>
          <w:lang w:val="es-CO"/>
        </w:rPr>
        <w:t xml:space="preserve">Línea nacional gratuita o servicio a la ciudadanía (Mesa de servicio): </w:t>
      </w:r>
      <w:r w:rsidRPr="00DB6C5D">
        <w:rPr>
          <w:rStyle w:val="Hipervnculo"/>
          <w:rFonts w:ascii="Verdana" w:hAnsi="Verdana"/>
          <w:lang w:val="es-CO"/>
        </w:rPr>
        <w:t>01800 0520808</w:t>
      </w:r>
    </w:p>
    <w:p w14:paraId="3AD701F0" w14:textId="77777777" w:rsidR="00CA0615" w:rsidRPr="00DB6C5D" w:rsidRDefault="00CA0615" w:rsidP="00CA0615">
      <w:pPr>
        <w:pStyle w:val="Prrafodelista"/>
        <w:numPr>
          <w:ilvl w:val="0"/>
          <w:numId w:val="17"/>
        </w:numPr>
        <w:spacing w:after="0" w:line="276" w:lineRule="auto"/>
        <w:contextualSpacing w:val="0"/>
        <w:jc w:val="both"/>
        <w:rPr>
          <w:rFonts w:ascii="Verdana" w:eastAsia="Verdana" w:hAnsi="Verdana" w:cs="Verdana"/>
          <w:color w:val="4472C4" w:themeColor="accent1"/>
          <w:u w:val="single"/>
          <w:lang w:val="es-CO"/>
        </w:rPr>
      </w:pPr>
      <w:r w:rsidRPr="00DB6C5D">
        <w:rPr>
          <w:rFonts w:ascii="Verdana" w:eastAsia="Verdana" w:hAnsi="Verdana" w:cs="Verdana"/>
          <w:lang w:val="es-CO"/>
        </w:rPr>
        <w:t xml:space="preserve">Línea en Bogotá (Mesa de servicio): </w:t>
      </w:r>
      <w:r w:rsidRPr="00DB6C5D">
        <w:rPr>
          <w:rStyle w:val="Hipervnculo"/>
          <w:rFonts w:ascii="Verdana" w:hAnsi="Verdana"/>
          <w:lang w:val="es-CO"/>
        </w:rPr>
        <w:t>+57 601 7456788</w:t>
      </w:r>
    </w:p>
    <w:p w14:paraId="657230B9" w14:textId="77777777" w:rsidR="00CA0615" w:rsidRPr="00DB6C5D" w:rsidRDefault="00CA0615" w:rsidP="00CA0615">
      <w:pPr>
        <w:pStyle w:val="Prrafodelista"/>
        <w:numPr>
          <w:ilvl w:val="0"/>
          <w:numId w:val="17"/>
        </w:numPr>
        <w:spacing w:after="0" w:line="276" w:lineRule="auto"/>
        <w:contextualSpacing w:val="0"/>
        <w:jc w:val="both"/>
        <w:rPr>
          <w:rFonts w:ascii="Verdana" w:eastAsia="Verdana" w:hAnsi="Verdana" w:cs="Verdana"/>
          <w:color w:val="0000FF"/>
          <w:u w:val="single"/>
          <w:lang w:val="es-CO"/>
        </w:rPr>
      </w:pPr>
      <w:r w:rsidRPr="00DB6C5D">
        <w:rPr>
          <w:rFonts w:ascii="Verdana" w:eastAsia="Verdana" w:hAnsi="Verdana" w:cs="Verdana"/>
          <w:lang w:val="es-CO"/>
        </w:rPr>
        <w:t xml:space="preserve">Correo de radicación de correspondencia: </w:t>
      </w:r>
      <w:hyperlink r:id="rId20" w:history="1">
        <w:r w:rsidRPr="00DB6C5D">
          <w:rPr>
            <w:rStyle w:val="Hipervnculo"/>
            <w:rFonts w:ascii="Verdana" w:eastAsia="Verdana" w:hAnsi="Verdana" w:cs="Verdana"/>
            <w:lang w:val="es-CO"/>
          </w:rPr>
          <w:t>ventanilladeradicacion@colombiacompra.gov.co</w:t>
        </w:r>
      </w:hyperlink>
    </w:p>
    <w:p w14:paraId="68C40F8F" w14:textId="77777777" w:rsidR="00CA0615" w:rsidRPr="00DB6C5D" w:rsidRDefault="00CA0615" w:rsidP="00CA0615">
      <w:pPr>
        <w:pStyle w:val="Prrafodelista"/>
        <w:numPr>
          <w:ilvl w:val="0"/>
          <w:numId w:val="17"/>
        </w:numPr>
        <w:spacing w:after="0" w:line="276" w:lineRule="auto"/>
        <w:contextualSpacing w:val="0"/>
        <w:jc w:val="both"/>
        <w:rPr>
          <w:rFonts w:ascii="Verdana" w:hAnsi="Verdana"/>
          <w:lang w:val="es-CO"/>
        </w:rPr>
      </w:pPr>
      <w:r w:rsidRPr="00DB6C5D">
        <w:rPr>
          <w:rFonts w:ascii="Verdana" w:eastAsia="Verdana" w:hAnsi="Verdana" w:cs="Verdana"/>
          <w:lang w:val="es-CO"/>
        </w:rPr>
        <w:lastRenderedPageBreak/>
        <w:t xml:space="preserve">Formulario web para PQRSD: </w:t>
      </w:r>
      <w:hyperlink r:id="rId21" w:history="1">
        <w:r w:rsidRPr="00DB6C5D">
          <w:rPr>
            <w:rStyle w:val="Hipervnculo"/>
            <w:rFonts w:ascii="Verdana" w:eastAsia="Verdana" w:hAnsi="Verdana" w:cs="Verdana"/>
            <w:lang w:val="es-CO"/>
          </w:rPr>
          <w:t>https://www.colombiacompra.gov.co/pqrsd/informacion-importante-antes-de-formular-una-pqrsd</w:t>
        </w:r>
      </w:hyperlink>
    </w:p>
    <w:p w14:paraId="3E0EFCB2" w14:textId="262C2CC8" w:rsidR="00CA0615" w:rsidRPr="00DB6C5D" w:rsidRDefault="00CA0615" w:rsidP="0027107D">
      <w:pPr>
        <w:spacing w:before="240" w:after="0" w:line="276" w:lineRule="auto"/>
        <w:jc w:val="both"/>
        <w:rPr>
          <w:rFonts w:ascii="Verdana" w:hAnsi="Verdana"/>
        </w:rPr>
      </w:pPr>
      <w:r w:rsidRPr="00DB6C5D">
        <w:rPr>
          <w:rFonts w:ascii="Verdana" w:hAnsi="Verdana"/>
        </w:rPr>
        <w:t xml:space="preserve">Evalúa el servicio que ofrece la Agencia por el canal de atención de PQRSD en el siguiente enlace: </w:t>
      </w:r>
      <w:hyperlink r:id="rId22" w:history="1">
        <w:r w:rsidRPr="00DB6C5D">
          <w:rPr>
            <w:rStyle w:val="Hipervnculo"/>
            <w:rFonts w:ascii="Verdana" w:hAnsi="Verdana"/>
          </w:rPr>
          <w:t>https://forms.office.com/r/pPHyWVs2SZ</w:t>
        </w:r>
      </w:hyperlink>
      <w:r w:rsidRPr="00DB6C5D">
        <w:rPr>
          <w:rFonts w:ascii="Verdana" w:hAnsi="Verdana"/>
        </w:rPr>
        <w:t>. ¡Ayúdanos a mejorar porque el compromiso es de todos!</w:t>
      </w:r>
    </w:p>
    <w:p w14:paraId="60011E1E" w14:textId="77777777" w:rsidR="00CA0615" w:rsidRPr="00DB6C5D" w:rsidRDefault="00CA0615" w:rsidP="00CA0615">
      <w:pPr>
        <w:spacing w:before="240" w:after="0" w:line="276" w:lineRule="auto"/>
        <w:jc w:val="both"/>
        <w:rPr>
          <w:rFonts w:ascii="Verdana" w:hAnsi="Verdana"/>
        </w:rPr>
      </w:pPr>
      <w:r w:rsidRPr="00DB6C5D">
        <w:rPr>
          <w:rFonts w:ascii="Verdana" w:hAnsi="Verdana"/>
        </w:rPr>
        <w:t xml:space="preserve">Por último, lo invitamos a seguirnos en las redes sociales en las cuales se difunde información institucional: </w:t>
      </w:r>
    </w:p>
    <w:p w14:paraId="25ED3C7E" w14:textId="77777777" w:rsidR="00CA0615" w:rsidRPr="00DB6C5D" w:rsidRDefault="00CA0615" w:rsidP="00CA0615">
      <w:pPr>
        <w:spacing w:before="240" w:after="0" w:line="276" w:lineRule="auto"/>
        <w:jc w:val="both"/>
        <w:rPr>
          <w:rFonts w:ascii="Verdana" w:hAnsi="Verdana"/>
        </w:rPr>
      </w:pPr>
      <w:r w:rsidRPr="00DB6C5D">
        <w:rPr>
          <w:rFonts w:ascii="Verdana" w:hAnsi="Verdana"/>
        </w:rPr>
        <w:t xml:space="preserve">Twitter: </w:t>
      </w:r>
      <w:r w:rsidRPr="00DB6C5D">
        <w:rPr>
          <w:rStyle w:val="Hipervnculo"/>
          <w:rFonts w:ascii="Verdana" w:hAnsi="Verdana"/>
        </w:rPr>
        <w:t>@colombiacompra</w:t>
      </w:r>
      <w:r w:rsidRPr="00DB6C5D">
        <w:rPr>
          <w:rFonts w:ascii="Verdana" w:hAnsi="Verdana"/>
        </w:rPr>
        <w:t xml:space="preserve"> </w:t>
      </w:r>
    </w:p>
    <w:p w14:paraId="19366E37" w14:textId="77777777" w:rsidR="00CA0615" w:rsidRPr="00DB6C5D" w:rsidRDefault="00CA0615" w:rsidP="00CA0615">
      <w:pPr>
        <w:spacing w:after="0" w:line="276" w:lineRule="auto"/>
        <w:jc w:val="both"/>
        <w:rPr>
          <w:rFonts w:ascii="Verdana" w:hAnsi="Verdana"/>
        </w:rPr>
      </w:pPr>
      <w:r w:rsidRPr="00DB6C5D">
        <w:rPr>
          <w:rFonts w:ascii="Verdana" w:hAnsi="Verdana"/>
        </w:rPr>
        <w:t xml:space="preserve">Facebook: </w:t>
      </w:r>
      <w:r w:rsidRPr="00DB6C5D">
        <w:rPr>
          <w:rStyle w:val="Hipervnculo"/>
          <w:rFonts w:ascii="Verdana" w:hAnsi="Verdana"/>
        </w:rPr>
        <w:t>ColombiaCompraEficiente</w:t>
      </w:r>
    </w:p>
    <w:p w14:paraId="582EEF8C" w14:textId="77777777" w:rsidR="00CA0615" w:rsidRPr="00DB6C5D" w:rsidRDefault="00CA0615" w:rsidP="00CA0615">
      <w:pPr>
        <w:spacing w:after="0" w:line="276" w:lineRule="auto"/>
        <w:jc w:val="both"/>
        <w:rPr>
          <w:rFonts w:ascii="Verdana" w:hAnsi="Verdana"/>
        </w:rPr>
      </w:pPr>
      <w:r w:rsidRPr="00DB6C5D">
        <w:rPr>
          <w:rFonts w:ascii="Verdana" w:hAnsi="Verdana"/>
        </w:rPr>
        <w:t xml:space="preserve">LinkedIn: </w:t>
      </w:r>
      <w:r w:rsidRPr="00DB6C5D">
        <w:rPr>
          <w:rStyle w:val="Hipervnculo"/>
          <w:rFonts w:ascii="Verdana" w:hAnsi="Verdana"/>
        </w:rPr>
        <w:t>Agencia Nacional de Contratación Pública - Colombia Compra Eficiente</w:t>
      </w:r>
      <w:r w:rsidRPr="00DB6C5D">
        <w:rPr>
          <w:rFonts w:ascii="Verdana" w:hAnsi="Verdana"/>
        </w:rPr>
        <w:t xml:space="preserve"> </w:t>
      </w:r>
    </w:p>
    <w:p w14:paraId="1BA8B736" w14:textId="77777777" w:rsidR="00CA0615" w:rsidRPr="00DB6C5D" w:rsidRDefault="00CA0615" w:rsidP="00CA0615">
      <w:pPr>
        <w:spacing w:after="0" w:line="276" w:lineRule="auto"/>
        <w:jc w:val="both"/>
        <w:rPr>
          <w:rFonts w:ascii="Verdana" w:hAnsi="Verdana"/>
          <w:color w:val="0000FF"/>
          <w:u w:val="single"/>
        </w:rPr>
      </w:pPr>
      <w:r w:rsidRPr="00DB6C5D">
        <w:rPr>
          <w:rFonts w:ascii="Verdana" w:hAnsi="Verdana"/>
        </w:rPr>
        <w:t xml:space="preserve">Instagram: </w:t>
      </w:r>
      <w:r w:rsidRPr="00DB6C5D">
        <w:rPr>
          <w:rStyle w:val="Hipervnculo"/>
          <w:rFonts w:ascii="Verdana" w:hAnsi="Verdana"/>
        </w:rPr>
        <w:t>@colombiacompraeficiente_cce</w:t>
      </w:r>
    </w:p>
    <w:p w14:paraId="328954EE" w14:textId="77777777" w:rsidR="00CA0615" w:rsidRPr="00DB6C5D" w:rsidRDefault="00CA0615" w:rsidP="00CA0615">
      <w:pPr>
        <w:spacing w:before="240" w:after="0" w:line="276" w:lineRule="auto"/>
        <w:jc w:val="both"/>
        <w:rPr>
          <w:rFonts w:ascii="Verdana" w:eastAsia="Calibri" w:hAnsi="Verdana" w:cs="Times New Roman"/>
          <w:bCs/>
        </w:rPr>
      </w:pPr>
      <w:r w:rsidRPr="00DB6C5D">
        <w:rPr>
          <w:rFonts w:ascii="Verdana" w:eastAsia="Calibri" w:hAnsi="Verdana" w:cs="Times New Roman"/>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598BFEC8" w14:textId="77777777" w:rsidR="00CA0615" w:rsidRPr="00DB6C5D" w:rsidRDefault="00CA0615" w:rsidP="00CA0615">
      <w:pPr>
        <w:spacing w:after="0" w:line="276" w:lineRule="auto"/>
        <w:jc w:val="both"/>
        <w:rPr>
          <w:rFonts w:ascii="Verdana" w:eastAsia="Times New Roman" w:hAnsi="Verdana" w:cs="Arial"/>
          <w:lang w:eastAsia="es-CO"/>
        </w:rPr>
      </w:pPr>
      <w:bookmarkStart w:id="5" w:name="_Hlk117695077"/>
    </w:p>
    <w:p w14:paraId="6ABA3411" w14:textId="77777777" w:rsidR="00CA0615" w:rsidRPr="00DB6C5D" w:rsidRDefault="00CA0615" w:rsidP="00CA0615">
      <w:pPr>
        <w:spacing w:after="0" w:line="276" w:lineRule="auto"/>
        <w:jc w:val="both"/>
        <w:rPr>
          <w:rFonts w:ascii="Verdana" w:eastAsia="Times New Roman" w:hAnsi="Verdana" w:cs="Arial"/>
          <w:lang w:eastAsia="es-CO"/>
        </w:rPr>
      </w:pPr>
      <w:r w:rsidRPr="00DB6C5D">
        <w:rPr>
          <w:rFonts w:ascii="Verdana" w:eastAsia="Times New Roman" w:hAnsi="Verdana" w:cs="Arial"/>
          <w:lang w:eastAsia="es-CO"/>
        </w:rPr>
        <w:t xml:space="preserve">Atentamente, </w:t>
      </w:r>
    </w:p>
    <w:p w14:paraId="0EB017A4" w14:textId="084924BE" w:rsidR="00E26E38" w:rsidRPr="00E26E38" w:rsidRDefault="00E26E38" w:rsidP="00E26E38">
      <w:pPr>
        <w:spacing w:line="276" w:lineRule="auto"/>
        <w:jc w:val="center"/>
        <w:rPr>
          <w:rFonts w:ascii="Verdana" w:eastAsia="Times New Roman" w:hAnsi="Verdana" w:cs="Arial"/>
          <w:lang w:eastAsia="es-CO"/>
        </w:rPr>
      </w:pPr>
      <w:r w:rsidRPr="00E26E38">
        <w:rPr>
          <w:rFonts w:ascii="Verdana" w:eastAsia="Times New Roman" w:hAnsi="Verdana" w:cs="Arial"/>
          <w:lang w:eastAsia="es-CO"/>
        </w:rPr>
        <w:drawing>
          <wp:inline distT="0" distB="0" distL="0" distR="0" wp14:anchorId="68B54F4C" wp14:editId="5A6FA63C">
            <wp:extent cx="3771900" cy="1400175"/>
            <wp:effectExtent l="0" t="0" r="0" b="9525"/>
            <wp:docPr id="205210190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inline>
        </w:drawing>
      </w:r>
    </w:p>
    <w:p w14:paraId="046C6238" w14:textId="16EEEAFE" w:rsidR="00CA0615" w:rsidRPr="00DB6C5D" w:rsidRDefault="00CA0615" w:rsidP="00CA0615">
      <w:pPr>
        <w:spacing w:line="276" w:lineRule="auto"/>
        <w:jc w:val="center"/>
        <w:rPr>
          <w:rFonts w:ascii="Verdana" w:eastAsia="Times New Roman" w:hAnsi="Verdana" w:cs="Arial"/>
          <w:lang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A0615" w:rsidRPr="00DB6C5D" w14:paraId="4DF41426" w14:textId="77777777" w:rsidTr="00C45291">
        <w:trPr>
          <w:trHeight w:val="315"/>
        </w:trPr>
        <w:tc>
          <w:tcPr>
            <w:tcW w:w="893" w:type="dxa"/>
            <w:vAlign w:val="center"/>
            <w:hideMark/>
          </w:tcPr>
          <w:bookmarkEnd w:id="5"/>
          <w:p w14:paraId="4D00C35A" w14:textId="77777777" w:rsidR="00CA0615" w:rsidRPr="00DB6C5D" w:rsidRDefault="00CA0615" w:rsidP="00C45291">
            <w:pPr>
              <w:spacing w:line="276" w:lineRule="auto"/>
              <w:jc w:val="both"/>
              <w:rPr>
                <w:rFonts w:ascii="Verdana" w:eastAsia="Times New Roman" w:hAnsi="Verdana" w:cs="Arial"/>
                <w:color w:val="000000"/>
                <w:sz w:val="16"/>
                <w:szCs w:val="16"/>
                <w:lang w:eastAsia="es-ES"/>
              </w:rPr>
            </w:pPr>
            <w:r w:rsidRPr="00DB6C5D">
              <w:rPr>
                <w:rFonts w:ascii="Verdana" w:eastAsia="Times New Roman" w:hAnsi="Verdana" w:cs="Arial"/>
                <w:color w:val="000000"/>
                <w:sz w:val="16"/>
                <w:szCs w:val="16"/>
                <w:lang w:eastAsia="es-ES"/>
              </w:rPr>
              <w:t>Elaboró:</w:t>
            </w:r>
          </w:p>
        </w:tc>
        <w:tc>
          <w:tcPr>
            <w:tcW w:w="5628" w:type="dxa"/>
            <w:tcBorders>
              <w:top w:val="nil"/>
              <w:left w:val="nil"/>
              <w:bottom w:val="dotted" w:sz="4" w:space="0" w:color="7F7F7F"/>
              <w:right w:val="nil"/>
            </w:tcBorders>
            <w:vAlign w:val="center"/>
            <w:hideMark/>
          </w:tcPr>
          <w:p w14:paraId="315338B3" w14:textId="77777777" w:rsidR="00CA0615" w:rsidRPr="00DB6C5D" w:rsidRDefault="00CA0615" w:rsidP="00C45291">
            <w:pPr>
              <w:spacing w:line="276" w:lineRule="auto"/>
              <w:jc w:val="both"/>
              <w:rPr>
                <w:rFonts w:ascii="Verdana" w:eastAsia="Arial" w:hAnsi="Verdana" w:cs="Arial"/>
                <w:color w:val="000000"/>
                <w:sz w:val="16"/>
                <w:szCs w:val="16"/>
              </w:rPr>
            </w:pPr>
            <w:r w:rsidRPr="00DB6C5D">
              <w:rPr>
                <w:rFonts w:ascii="Verdana" w:eastAsia="Arial" w:hAnsi="Verdana" w:cs="Arial"/>
                <w:color w:val="000000"/>
                <w:sz w:val="16"/>
                <w:szCs w:val="16"/>
              </w:rPr>
              <w:t>Ángela María Olmos Andrade</w:t>
            </w:r>
          </w:p>
          <w:p w14:paraId="60B2FF2C" w14:textId="77777777" w:rsidR="00CA0615" w:rsidRPr="00DB6C5D" w:rsidRDefault="00CA0615" w:rsidP="00C45291">
            <w:pPr>
              <w:spacing w:line="276" w:lineRule="auto"/>
              <w:jc w:val="both"/>
              <w:rPr>
                <w:rFonts w:ascii="Verdana" w:eastAsia="Arial" w:hAnsi="Verdana" w:cs="Arial"/>
                <w:color w:val="000000"/>
                <w:sz w:val="16"/>
                <w:szCs w:val="16"/>
              </w:rPr>
            </w:pPr>
            <w:r w:rsidRPr="00DB6C5D">
              <w:rPr>
                <w:rFonts w:ascii="Verdana" w:eastAsia="Arial" w:hAnsi="Verdana" w:cs="Arial"/>
                <w:color w:val="000000"/>
                <w:sz w:val="16"/>
                <w:szCs w:val="16"/>
              </w:rPr>
              <w:t>Analista T2 - 02 de la Subdirección de Gestión Contractual</w:t>
            </w:r>
          </w:p>
        </w:tc>
      </w:tr>
      <w:tr w:rsidR="00CA0615" w:rsidRPr="00DB6C5D" w14:paraId="0932A1A4" w14:textId="77777777" w:rsidTr="00C45291">
        <w:trPr>
          <w:trHeight w:val="330"/>
        </w:trPr>
        <w:tc>
          <w:tcPr>
            <w:tcW w:w="893" w:type="dxa"/>
            <w:vAlign w:val="center"/>
            <w:hideMark/>
          </w:tcPr>
          <w:p w14:paraId="27B5D57D" w14:textId="77777777" w:rsidR="00CA0615" w:rsidRPr="00DB6C5D" w:rsidRDefault="00CA0615" w:rsidP="00C45291">
            <w:pPr>
              <w:spacing w:line="276" w:lineRule="auto"/>
              <w:jc w:val="both"/>
              <w:rPr>
                <w:rFonts w:ascii="Verdana" w:eastAsia="Times New Roman" w:hAnsi="Verdana" w:cs="Arial"/>
                <w:color w:val="000000"/>
                <w:sz w:val="16"/>
                <w:szCs w:val="16"/>
                <w:lang w:eastAsia="es-ES"/>
              </w:rPr>
            </w:pPr>
            <w:r w:rsidRPr="00DB6C5D">
              <w:rPr>
                <w:rFonts w:ascii="Verdana" w:eastAsia="Times New Roman" w:hAnsi="Verdana" w:cs="Arial"/>
                <w:color w:val="000000"/>
                <w:sz w:val="16"/>
                <w:szCs w:val="16"/>
                <w:lang w:eastAsia="es-ES"/>
              </w:rPr>
              <w:t>Revisó:</w:t>
            </w:r>
          </w:p>
        </w:tc>
        <w:tc>
          <w:tcPr>
            <w:tcW w:w="5628" w:type="dxa"/>
            <w:tcBorders>
              <w:top w:val="dotted" w:sz="4" w:space="0" w:color="7F7F7F"/>
              <w:left w:val="nil"/>
              <w:bottom w:val="dotted" w:sz="4" w:space="0" w:color="7F7F7F"/>
              <w:right w:val="nil"/>
            </w:tcBorders>
            <w:vAlign w:val="center"/>
            <w:hideMark/>
          </w:tcPr>
          <w:p w14:paraId="05CBF488" w14:textId="77777777" w:rsidR="00CA0615" w:rsidRPr="00DB6C5D" w:rsidRDefault="00CA0615" w:rsidP="00C45291">
            <w:pPr>
              <w:spacing w:line="276" w:lineRule="auto"/>
              <w:jc w:val="both"/>
              <w:rPr>
                <w:rFonts w:ascii="Verdana" w:eastAsia="Times New Roman" w:hAnsi="Verdana" w:cs="Arial"/>
                <w:color w:val="000000"/>
                <w:sz w:val="16"/>
                <w:szCs w:val="16"/>
              </w:rPr>
            </w:pPr>
            <w:r w:rsidRPr="00DB6C5D">
              <w:rPr>
                <w:rFonts w:ascii="Verdana" w:eastAsia="Times New Roman" w:hAnsi="Verdana" w:cs="Arial"/>
                <w:color w:val="000000"/>
                <w:sz w:val="16"/>
                <w:szCs w:val="16"/>
              </w:rPr>
              <w:t>Diana Lucia Saavedra</w:t>
            </w:r>
          </w:p>
          <w:p w14:paraId="7C70A9E5" w14:textId="77777777" w:rsidR="00CA0615" w:rsidRPr="00DB6C5D" w:rsidRDefault="00CA0615" w:rsidP="00C45291">
            <w:pPr>
              <w:spacing w:line="276" w:lineRule="auto"/>
              <w:jc w:val="both"/>
              <w:textAlignment w:val="baseline"/>
              <w:rPr>
                <w:rFonts w:ascii="Verdana" w:eastAsia="Times New Roman" w:hAnsi="Verdana" w:cs="Arial"/>
                <w:color w:val="000000"/>
                <w:sz w:val="16"/>
                <w:szCs w:val="16"/>
              </w:rPr>
            </w:pPr>
            <w:r w:rsidRPr="00DB6C5D">
              <w:rPr>
                <w:rFonts w:ascii="Verdana" w:eastAsia="Times New Roman" w:hAnsi="Verdana" w:cs="Arial"/>
                <w:color w:val="000000"/>
                <w:sz w:val="16"/>
                <w:szCs w:val="16"/>
              </w:rPr>
              <w:t>Contratista de la Subdirección de Gestión Contractual</w:t>
            </w:r>
          </w:p>
        </w:tc>
      </w:tr>
      <w:tr w:rsidR="00CA0615" w:rsidRPr="00DB6C5D" w14:paraId="5BD33117" w14:textId="77777777" w:rsidTr="00C45291">
        <w:trPr>
          <w:trHeight w:val="300"/>
        </w:trPr>
        <w:tc>
          <w:tcPr>
            <w:tcW w:w="893" w:type="dxa"/>
            <w:vAlign w:val="center"/>
            <w:hideMark/>
          </w:tcPr>
          <w:p w14:paraId="766FD655" w14:textId="77777777" w:rsidR="00CA0615" w:rsidRPr="00DB6C5D" w:rsidRDefault="00CA0615" w:rsidP="00C45291">
            <w:pPr>
              <w:spacing w:line="276" w:lineRule="auto"/>
              <w:jc w:val="both"/>
              <w:rPr>
                <w:rFonts w:ascii="Verdana" w:eastAsia="Times New Roman" w:hAnsi="Verdana" w:cs="Arial"/>
                <w:color w:val="000000"/>
                <w:sz w:val="16"/>
                <w:szCs w:val="16"/>
                <w:lang w:eastAsia="es-ES"/>
              </w:rPr>
            </w:pPr>
            <w:r w:rsidRPr="00DB6C5D">
              <w:rPr>
                <w:rFonts w:ascii="Verdana" w:eastAsia="Times New Roman" w:hAnsi="Verdana" w:cs="Arial"/>
                <w:color w:val="000000"/>
                <w:sz w:val="16"/>
                <w:szCs w:val="16"/>
                <w:lang w:eastAsia="es-ES"/>
              </w:rPr>
              <w:t>Aprobó:</w:t>
            </w:r>
          </w:p>
        </w:tc>
        <w:tc>
          <w:tcPr>
            <w:tcW w:w="5628" w:type="dxa"/>
            <w:tcBorders>
              <w:top w:val="dotted" w:sz="4" w:space="0" w:color="7F7F7F"/>
              <w:left w:val="nil"/>
              <w:bottom w:val="dotted" w:sz="4" w:space="0" w:color="7F7F7F"/>
              <w:right w:val="nil"/>
            </w:tcBorders>
            <w:vAlign w:val="center"/>
            <w:hideMark/>
          </w:tcPr>
          <w:p w14:paraId="3B7E7F34" w14:textId="77777777" w:rsidR="00CA0615" w:rsidRPr="00DB6C5D" w:rsidRDefault="00CA0615" w:rsidP="00C45291">
            <w:pPr>
              <w:spacing w:line="276" w:lineRule="auto"/>
              <w:jc w:val="both"/>
              <w:rPr>
                <w:rFonts w:ascii="Verdana" w:eastAsia="Times New Roman" w:hAnsi="Verdana" w:cs="Arial"/>
                <w:color w:val="000000"/>
                <w:sz w:val="16"/>
                <w:szCs w:val="16"/>
              </w:rPr>
            </w:pPr>
            <w:r w:rsidRPr="00DB6C5D">
              <w:rPr>
                <w:rFonts w:ascii="Verdana" w:eastAsia="Times New Roman" w:hAnsi="Verdana" w:cs="Arial"/>
                <w:color w:val="000000"/>
                <w:sz w:val="16"/>
                <w:szCs w:val="16"/>
              </w:rPr>
              <w:t>Carolina Quintero Gacharná</w:t>
            </w:r>
          </w:p>
          <w:p w14:paraId="7EE2BF56" w14:textId="77777777" w:rsidR="00CA0615" w:rsidRPr="00DB6C5D" w:rsidRDefault="00CA0615" w:rsidP="00C45291">
            <w:pPr>
              <w:spacing w:line="276" w:lineRule="auto"/>
              <w:jc w:val="both"/>
              <w:rPr>
                <w:rFonts w:ascii="Verdana" w:eastAsia="Times New Roman" w:hAnsi="Verdana" w:cs="Arial"/>
                <w:color w:val="000000"/>
                <w:sz w:val="16"/>
                <w:szCs w:val="16"/>
              </w:rPr>
            </w:pPr>
            <w:r w:rsidRPr="00DB6C5D">
              <w:rPr>
                <w:rFonts w:ascii="Verdana" w:eastAsia="Times New Roman" w:hAnsi="Verdana" w:cs="Arial"/>
                <w:color w:val="000000"/>
                <w:sz w:val="16"/>
                <w:szCs w:val="16"/>
              </w:rPr>
              <w:t>Subdirectora de Gestión Contractual ANCP – CCE</w:t>
            </w:r>
          </w:p>
        </w:tc>
      </w:tr>
    </w:tbl>
    <w:bookmarkEnd w:id="1"/>
    <w:p w14:paraId="69BC4D14" w14:textId="30145433" w:rsidR="00C15139" w:rsidRPr="000E2B93" w:rsidRDefault="00CA0615" w:rsidP="30821638">
      <w:pPr>
        <w:spacing w:after="0" w:line="240" w:lineRule="auto"/>
        <w:textAlignment w:val="baseline"/>
        <w:rPr>
          <w:rFonts w:ascii="Verdana" w:eastAsia="Verdana" w:hAnsi="Verdana" w:cs="Verdana"/>
          <w:lang w:eastAsia="es-CO"/>
        </w:rPr>
      </w:pPr>
      <w:r w:rsidRPr="00DB6C5D">
        <w:rPr>
          <w:rFonts w:ascii="Verdana" w:eastAsia="Verdana" w:hAnsi="Verdana" w:cs="Verdana"/>
          <w:lang w:eastAsia="es-CO"/>
        </w:rPr>
        <w:t> </w:t>
      </w:r>
      <w:bookmarkEnd w:id="0"/>
    </w:p>
    <w:sectPr w:rsidR="00C15139" w:rsidRPr="000E2B93" w:rsidSect="007C0C0F">
      <w:headerReference w:type="default" r:id="rId24"/>
      <w:footerReference w:type="default" r:id="rId2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04C62B" w14:textId="77777777" w:rsidR="0021100A" w:rsidRDefault="0021100A" w:rsidP="004A1847">
      <w:pPr>
        <w:spacing w:after="0" w:line="240" w:lineRule="auto"/>
      </w:pPr>
      <w:r>
        <w:separator/>
      </w:r>
    </w:p>
  </w:endnote>
  <w:endnote w:type="continuationSeparator" w:id="0">
    <w:p w14:paraId="760927EB" w14:textId="77777777" w:rsidR="0021100A" w:rsidRDefault="0021100A"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ECF75B" w14:textId="77777777" w:rsidR="0021100A" w:rsidRDefault="0021100A" w:rsidP="004A1847">
      <w:pPr>
        <w:spacing w:after="0" w:line="240" w:lineRule="auto"/>
      </w:pPr>
      <w:r>
        <w:separator/>
      </w:r>
    </w:p>
  </w:footnote>
  <w:footnote w:type="continuationSeparator" w:id="0">
    <w:p w14:paraId="13C9DFD6" w14:textId="77777777" w:rsidR="0021100A" w:rsidRDefault="0021100A" w:rsidP="004A1847">
      <w:pPr>
        <w:spacing w:after="0" w:line="240" w:lineRule="auto"/>
      </w:pPr>
      <w:r>
        <w:continuationSeparator/>
      </w:r>
    </w:p>
  </w:footnote>
  <w:footnote w:id="1">
    <w:p w14:paraId="3CFAAFCD" w14:textId="6783399A" w:rsidR="008966D7" w:rsidRPr="00301BF6" w:rsidRDefault="008966D7" w:rsidP="00F73D3D">
      <w:pPr>
        <w:spacing w:after="0" w:line="240" w:lineRule="auto"/>
        <w:ind w:firstLine="709"/>
        <w:jc w:val="both"/>
        <w:rPr>
          <w:rFonts w:ascii="Verdana" w:hAnsi="Verdana" w:cs="Arial"/>
          <w:sz w:val="14"/>
          <w:szCs w:val="14"/>
          <w:lang w:val="es-ES"/>
        </w:rPr>
      </w:pPr>
      <w:r w:rsidRPr="00301BF6">
        <w:rPr>
          <w:rStyle w:val="Refdenotaalpie"/>
          <w:rFonts w:ascii="Verdana" w:hAnsi="Verdana" w:cs="Arial"/>
          <w:sz w:val="14"/>
          <w:szCs w:val="14"/>
        </w:rPr>
        <w:footnoteRef/>
      </w:r>
      <w:r w:rsidRPr="00301BF6">
        <w:rPr>
          <w:rFonts w:ascii="Verdana" w:hAnsi="Verdana" w:cs="Arial"/>
          <w:sz w:val="14"/>
          <w:szCs w:val="14"/>
        </w:rPr>
        <w:t xml:space="preserve"> </w:t>
      </w:r>
      <w:r w:rsidRPr="00301BF6">
        <w:rPr>
          <w:rFonts w:ascii="Verdana" w:hAnsi="Verdana" w:cs="Arial"/>
          <w:sz w:val="14"/>
          <w:szCs w:val="14"/>
          <w:lang w:val="es-ES"/>
        </w:rPr>
        <w:t>En efecto, este enunciado normativo establece: “Se distinguen en cada contrato las cosas que son de su esencia, las que son de su naturaleza, y las puramente accidentales. Son de la esencia de un contrato aquellas cosas sin las cuales, o no produce efecto alguno, o degeneran en otro contrato diferente; son de la naturaleza de un contrato las que no siendo esenciales en él, se entienden pertenecerle, sin necesidad de una cláusula especial; y son accidentales a un contrato aquellas que ni esencial ni naturalmente le pertenecen, y que se le agregan por medio de cláusulas especiales”.</w:t>
      </w:r>
    </w:p>
  </w:footnote>
  <w:footnote w:id="2">
    <w:p w14:paraId="7665C251" w14:textId="25EECE76" w:rsidR="008966D7" w:rsidRPr="00301BF6" w:rsidRDefault="008966D7" w:rsidP="00F73D3D">
      <w:pPr>
        <w:spacing w:after="0" w:line="240" w:lineRule="auto"/>
        <w:ind w:firstLine="709"/>
        <w:jc w:val="both"/>
        <w:rPr>
          <w:rFonts w:ascii="Verdana" w:hAnsi="Verdana" w:cs="Arial"/>
          <w:sz w:val="14"/>
          <w:szCs w:val="14"/>
          <w:lang w:val="es-ES"/>
        </w:rPr>
      </w:pPr>
      <w:r w:rsidRPr="00301BF6">
        <w:rPr>
          <w:rStyle w:val="Refdenotaalpie"/>
          <w:rFonts w:ascii="Verdana" w:hAnsi="Verdana" w:cs="Arial"/>
          <w:sz w:val="14"/>
          <w:szCs w:val="14"/>
        </w:rPr>
        <w:footnoteRef/>
      </w:r>
      <w:r w:rsidRPr="00301BF6">
        <w:rPr>
          <w:rFonts w:ascii="Verdana" w:hAnsi="Verdana" w:cs="Arial"/>
          <w:sz w:val="14"/>
          <w:szCs w:val="14"/>
        </w:rPr>
        <w:t xml:space="preserve"> </w:t>
      </w:r>
      <w:r w:rsidRPr="00301BF6">
        <w:rPr>
          <w:rFonts w:ascii="Verdana" w:hAnsi="Verdana" w:cs="Arial"/>
          <w:sz w:val="14"/>
          <w:szCs w:val="14"/>
          <w:lang w:val="es-ES"/>
        </w:rPr>
        <w:t>En efecto, el artículo 1.500 del Código Civil expresa: “El contrato es real cuando, para que sea perfecto, es necesaria la tradición de la cosa a que se refiere; es solemne cuando está sujeto a la observancia de ciertas formalidades especiales, de manera que sin ellas no produce ningún efecto civil; y es consensual cuando se perfecciona por el solo consentimiento”.</w:t>
      </w:r>
    </w:p>
  </w:footnote>
  <w:footnote w:id="3">
    <w:p w14:paraId="0366F1ED" w14:textId="61F73037" w:rsidR="008966D7" w:rsidRPr="005A016A" w:rsidRDefault="008966D7" w:rsidP="00F73D3D">
      <w:pPr>
        <w:spacing w:after="0" w:line="240" w:lineRule="auto"/>
        <w:ind w:firstLine="709"/>
        <w:jc w:val="both"/>
        <w:rPr>
          <w:rFonts w:ascii="Verdana" w:eastAsia="Calibri" w:hAnsi="Verdana" w:cs="Arial"/>
          <w:sz w:val="16"/>
          <w:szCs w:val="16"/>
          <w:lang w:val="es-ES"/>
        </w:rPr>
      </w:pPr>
      <w:r w:rsidRPr="00301BF6">
        <w:rPr>
          <w:rStyle w:val="Refdenotaalpie"/>
          <w:rFonts w:ascii="Verdana" w:hAnsi="Verdana"/>
          <w:sz w:val="14"/>
          <w:szCs w:val="14"/>
        </w:rPr>
        <w:footnoteRef/>
      </w:r>
      <w:r w:rsidRPr="00301BF6">
        <w:rPr>
          <w:rFonts w:ascii="Verdana" w:hAnsi="Verdana"/>
          <w:sz w:val="14"/>
          <w:szCs w:val="14"/>
        </w:rPr>
        <w:t xml:space="preserve"> </w:t>
      </w:r>
      <w:r w:rsidRPr="00301BF6">
        <w:rPr>
          <w:rFonts w:ascii="Verdana" w:eastAsia="Calibri" w:hAnsi="Verdana" w:cs="Arial"/>
          <w:sz w:val="14"/>
          <w:szCs w:val="14"/>
          <w:lang w:val="es-ES"/>
        </w:rPr>
        <w:t>La excepción a la anterior regla se encuentra en el cuarto inciso del mismo artículo, según el cual, “</w:t>
      </w:r>
      <w:r w:rsidRPr="00301BF6">
        <w:rPr>
          <w:rFonts w:ascii="Verdana" w:eastAsia="Calibri" w:hAnsi="Verdana" w:cs="Arial"/>
          <w:i/>
          <w:sz w:val="14"/>
          <w:szCs w:val="14"/>
          <w:lang w:val="es-ES"/>
        </w:rPr>
        <w:t>En caso de situaciones de urgencia manifiesta a que se refiere el artículo </w:t>
      </w:r>
      <w:hyperlink r:id="rId1" w:anchor="42" w:history="1">
        <w:r w:rsidRPr="00301BF6">
          <w:rPr>
            <w:rStyle w:val="Hipervnculo"/>
            <w:rFonts w:ascii="Verdana" w:eastAsia="Calibri" w:hAnsi="Verdana" w:cs="Arial"/>
            <w:i/>
            <w:iCs/>
            <w:color w:val="auto"/>
            <w:sz w:val="14"/>
            <w:szCs w:val="14"/>
            <w:u w:val="none"/>
            <w:lang w:val="es-ES"/>
          </w:rPr>
          <w:t>42</w:t>
        </w:r>
      </w:hyperlink>
      <w:r w:rsidRPr="00301BF6">
        <w:rPr>
          <w:rFonts w:ascii="Verdana" w:eastAsia="Calibri" w:hAnsi="Verdana" w:cs="Arial"/>
          <w:i/>
          <w:sz w:val="14"/>
          <w:szCs w:val="14"/>
          <w:lang w:val="es-ES"/>
        </w:rPr>
        <w:t> de esta ley que no permitan la suscripción de contrato escrito, se prescindirá de éste y aún del acuerdo acerca de la remuneración, no obstante, deberá dejarse constancia escrita de la autorización impartida por la entidad estatal contratante</w:t>
      </w:r>
      <w:r w:rsidRPr="00301BF6">
        <w:rPr>
          <w:rFonts w:ascii="Verdana" w:eastAsia="Calibri" w:hAnsi="Verdana" w:cs="Arial"/>
          <w:sz w:val="14"/>
          <w:szCs w:val="14"/>
          <w:lang w:val="es-ES"/>
        </w:rPr>
        <w:t>”. En otras palabras, por regla general, los contratos estatales deben constar por escrito, salvo que se presente una situación de urgencia manifiesta en la que no haya tiempo de cumplir con esta formalidad.</w:t>
      </w:r>
    </w:p>
  </w:footnote>
  <w:footnote w:id="4">
    <w:p w14:paraId="2112103D" w14:textId="36C21746" w:rsidR="008966D7" w:rsidRPr="00301BF6" w:rsidRDefault="008966D7" w:rsidP="00F73D3D">
      <w:pPr>
        <w:pStyle w:val="Textonotapie"/>
        <w:ind w:firstLine="709"/>
        <w:jc w:val="both"/>
        <w:rPr>
          <w:rFonts w:ascii="Verdana" w:hAnsi="Verdana" w:cs="Arial"/>
          <w:sz w:val="14"/>
          <w:szCs w:val="14"/>
          <w:lang w:val="es-ES"/>
        </w:rPr>
      </w:pPr>
      <w:r w:rsidRPr="00301BF6">
        <w:rPr>
          <w:rStyle w:val="Refdenotaalpie"/>
          <w:rFonts w:ascii="Verdana" w:hAnsi="Verdana" w:cs="Arial"/>
          <w:sz w:val="14"/>
          <w:szCs w:val="14"/>
        </w:rPr>
        <w:footnoteRef/>
      </w:r>
      <w:r w:rsidRPr="00301BF6">
        <w:rPr>
          <w:rFonts w:ascii="Verdana" w:hAnsi="Verdana" w:cs="Arial"/>
          <w:sz w:val="14"/>
          <w:szCs w:val="14"/>
        </w:rPr>
        <w:t xml:space="preserve"> </w:t>
      </w:r>
      <w:r w:rsidRPr="00301BF6">
        <w:rPr>
          <w:rFonts w:ascii="Verdana" w:hAnsi="Verdana" w:cs="Arial"/>
          <w:sz w:val="14"/>
          <w:szCs w:val="14"/>
          <w:lang w:val="es-ES"/>
        </w:rPr>
        <w:t>EXPÓSITO VÉLEZ, Juan Carlos. Forma y contenido del contrato estatal. Bogotá: Universidad Externado de Colombia, 2013. pp. 28-29.</w:t>
      </w:r>
    </w:p>
  </w:footnote>
  <w:footnote w:id="5">
    <w:p w14:paraId="4D05A8E9" w14:textId="77777777" w:rsidR="008966D7" w:rsidRPr="00301BF6" w:rsidRDefault="008966D7" w:rsidP="00F73D3D">
      <w:pPr>
        <w:pStyle w:val="Textonotapie"/>
        <w:ind w:firstLine="709"/>
        <w:jc w:val="both"/>
        <w:rPr>
          <w:rFonts w:ascii="Verdana" w:hAnsi="Verdana" w:cs="Arial"/>
          <w:color w:val="000000" w:themeColor="text1"/>
          <w:sz w:val="14"/>
          <w:szCs w:val="14"/>
        </w:rPr>
      </w:pPr>
      <w:r w:rsidRPr="00301BF6">
        <w:rPr>
          <w:rStyle w:val="Refdenotaalpie"/>
          <w:rFonts w:ascii="Verdana" w:hAnsi="Verdana" w:cs="Arial"/>
          <w:sz w:val="14"/>
          <w:szCs w:val="14"/>
        </w:rPr>
        <w:footnoteRef/>
      </w:r>
      <w:r w:rsidRPr="00301BF6">
        <w:rPr>
          <w:rFonts w:ascii="Verdana" w:hAnsi="Verdana" w:cs="Arial"/>
          <w:color w:val="000000" w:themeColor="text1"/>
          <w:sz w:val="14"/>
          <w:szCs w:val="14"/>
        </w:rPr>
        <w:t xml:space="preserve"> Consejo de Estado. Sala de lo Contencioso Administrativo. Sección Tercera. Subsección B. Sentencia del 10 de mayo de 2018. Exp. 41.186. C.P. Stella Conto Díaz del Castillo.</w:t>
      </w:r>
    </w:p>
    <w:p w14:paraId="6D2DC7B0" w14:textId="77777777" w:rsidR="008966D7" w:rsidRPr="00B41137" w:rsidRDefault="008966D7" w:rsidP="008966D7">
      <w:pPr>
        <w:pStyle w:val="Textonotapie"/>
        <w:ind w:firstLine="709"/>
        <w:jc w:val="both"/>
        <w:rPr>
          <w:rFonts w:ascii="Verdana" w:hAnsi="Verdana" w:cs="Arial"/>
          <w:color w:val="000000" w:themeColor="text1"/>
          <w:sz w:val="14"/>
          <w:szCs w:val="14"/>
          <w:lang w:val="es-ES"/>
        </w:rPr>
      </w:pPr>
    </w:p>
  </w:footnote>
  <w:footnote w:id="6">
    <w:p w14:paraId="49AB2D61" w14:textId="6A876022" w:rsidR="008966D7" w:rsidRPr="00301BF6" w:rsidRDefault="008966D7" w:rsidP="00F73D3D">
      <w:pPr>
        <w:pStyle w:val="Textonotapie"/>
        <w:ind w:firstLine="709"/>
        <w:jc w:val="both"/>
        <w:rPr>
          <w:rFonts w:ascii="Verdana" w:hAnsi="Verdana" w:cs="Arial"/>
          <w:sz w:val="14"/>
          <w:szCs w:val="14"/>
          <w:lang w:val="es-ES"/>
        </w:rPr>
      </w:pPr>
      <w:r w:rsidRPr="00301BF6">
        <w:rPr>
          <w:rStyle w:val="Refdenotaalpie"/>
          <w:rFonts w:ascii="Verdana" w:hAnsi="Verdana" w:cs="Arial"/>
          <w:sz w:val="14"/>
          <w:szCs w:val="14"/>
        </w:rPr>
        <w:footnoteRef/>
      </w:r>
      <w:r w:rsidRPr="00301BF6">
        <w:rPr>
          <w:rFonts w:ascii="Verdana" w:hAnsi="Verdana" w:cs="Arial"/>
          <w:sz w:val="14"/>
          <w:szCs w:val="14"/>
        </w:rPr>
        <w:t xml:space="preserve"> </w:t>
      </w:r>
      <w:r w:rsidRPr="00301BF6">
        <w:rPr>
          <w:rFonts w:ascii="Verdana" w:hAnsi="Verdana" w:cs="Arial"/>
          <w:sz w:val="14"/>
          <w:szCs w:val="14"/>
          <w:lang w:val="es-ES"/>
        </w:rPr>
        <w:t xml:space="preserve">Consejo de Estado. Sala de lo Contencioso Administrativo. Sección Tercera. Subsección C. Sentencia del 12 de agosto de 2014. Expediente: </w:t>
      </w:r>
      <w:r w:rsidRPr="00301BF6">
        <w:rPr>
          <w:rFonts w:ascii="Verdana" w:hAnsi="Verdana" w:cs="Arial"/>
          <w:sz w:val="14"/>
          <w:szCs w:val="14"/>
        </w:rPr>
        <w:t>28.565.</w:t>
      </w:r>
      <w:r w:rsidRPr="00301BF6">
        <w:rPr>
          <w:rFonts w:ascii="Verdana" w:hAnsi="Verdana" w:cs="Arial"/>
          <w:sz w:val="14"/>
          <w:szCs w:val="14"/>
          <w:lang w:val="es-ES"/>
        </w:rPr>
        <w:t xml:space="preserve"> C.P: Enrique Gil Botero</w:t>
      </w:r>
      <w:r w:rsidRPr="00301BF6">
        <w:rPr>
          <w:rFonts w:ascii="Verdana" w:hAnsi="Verdana" w:cs="Arial"/>
          <w:sz w:val="14"/>
          <w:szCs w:val="14"/>
        </w:rPr>
        <w:t>.</w:t>
      </w:r>
    </w:p>
  </w:footnote>
  <w:footnote w:id="7">
    <w:p w14:paraId="46F8CCC9" w14:textId="77777777" w:rsidR="008966D7" w:rsidRPr="00301BF6" w:rsidRDefault="008966D7" w:rsidP="00F73D3D">
      <w:pPr>
        <w:pStyle w:val="Textonotapie"/>
        <w:ind w:firstLine="709"/>
        <w:jc w:val="both"/>
        <w:rPr>
          <w:rFonts w:ascii="Verdana" w:hAnsi="Verdana"/>
          <w:sz w:val="14"/>
          <w:szCs w:val="14"/>
        </w:rPr>
      </w:pPr>
      <w:r w:rsidRPr="00301BF6">
        <w:rPr>
          <w:rFonts w:ascii="Verdana" w:hAnsi="Verdana"/>
          <w:sz w:val="14"/>
          <w:szCs w:val="14"/>
          <w:vertAlign w:val="superscript"/>
        </w:rPr>
        <w:footnoteRef/>
      </w:r>
      <w:r w:rsidRPr="00301BF6">
        <w:rPr>
          <w:rFonts w:ascii="Verdana" w:hAnsi="Verdana"/>
          <w:sz w:val="14"/>
          <w:szCs w:val="14"/>
        </w:rPr>
        <w:t xml:space="preserve"> Consejo de Estado. Sala de lo Contencioso Administrativo. Sección tercera. Subsección B. Sentencia del 10 de mayo de 2018. Exp. 41.186. C.P. Stella Conto Díaz del Castillo.</w:t>
      </w:r>
    </w:p>
  </w:footnote>
  <w:footnote w:id="8">
    <w:p w14:paraId="39F53206" w14:textId="77777777" w:rsidR="001E1DA1" w:rsidRPr="00301BF6" w:rsidRDefault="001E1DA1" w:rsidP="00F73D3D">
      <w:pPr>
        <w:pStyle w:val="Textonotapie"/>
        <w:ind w:firstLine="709"/>
        <w:jc w:val="both"/>
        <w:rPr>
          <w:rFonts w:ascii="Verdana" w:hAnsi="Verdana" w:cs="Arial"/>
          <w:sz w:val="14"/>
          <w:szCs w:val="14"/>
        </w:rPr>
      </w:pPr>
      <w:r w:rsidRPr="00301BF6">
        <w:rPr>
          <w:rStyle w:val="Refdenotaalpie"/>
          <w:rFonts w:ascii="Verdana" w:hAnsi="Verdana" w:cs="Arial"/>
          <w:sz w:val="14"/>
          <w:szCs w:val="14"/>
        </w:rPr>
        <w:footnoteRef/>
      </w:r>
      <w:r w:rsidRPr="00301BF6">
        <w:rPr>
          <w:rFonts w:ascii="Verdana" w:hAnsi="Verdana" w:cs="Arial"/>
          <w:sz w:val="14"/>
          <w:szCs w:val="14"/>
        </w:rPr>
        <w:t xml:space="preserve"> “Artículo 2.2.1.2.3.1.12. Suficiencia de la garantía de cumplimiento. La garantía de cumplimiento del contrato debe tener una vigencia mínima hasta la liquidación del contrato. El valor de esta garantía debe ser de por lo menos el diez por ciento (10%) del valor del contrato a menos que el valor del contrato sea superior a un millón (1.000.000) de smmlv, caso en el cual la Entidad Estatal aplicará las siguientes reglas: </w:t>
      </w:r>
    </w:p>
    <w:p w14:paraId="0E8CDD5C" w14:textId="77777777" w:rsidR="001E1DA1" w:rsidRPr="00301BF6" w:rsidRDefault="001E1DA1" w:rsidP="00F73D3D">
      <w:pPr>
        <w:pStyle w:val="Textonotapie"/>
        <w:ind w:firstLine="709"/>
        <w:jc w:val="both"/>
        <w:rPr>
          <w:rFonts w:ascii="Verdana" w:hAnsi="Verdana" w:cs="Arial"/>
          <w:sz w:val="14"/>
          <w:szCs w:val="14"/>
        </w:rPr>
      </w:pPr>
      <w:r w:rsidRPr="00301BF6">
        <w:rPr>
          <w:rFonts w:ascii="Verdana" w:hAnsi="Verdana" w:cs="Arial"/>
          <w:sz w:val="14"/>
          <w:szCs w:val="14"/>
        </w:rPr>
        <w:t xml:space="preserve">1. Si el valor del contrato es superior a un millón (1.000.000) de smmlv y hasta cinco millones (5.000.000) de smmlv, la Entidad Estatal puede aceptar garantías que cubran al menos el dos punto cinco por ciento (2,5%) del valor del contrato. </w:t>
      </w:r>
    </w:p>
    <w:p w14:paraId="4D14C958" w14:textId="77777777" w:rsidR="001E1DA1" w:rsidRPr="00301BF6" w:rsidRDefault="001E1DA1" w:rsidP="00F73D3D">
      <w:pPr>
        <w:pStyle w:val="Textonotapie"/>
        <w:ind w:firstLine="709"/>
        <w:jc w:val="both"/>
        <w:rPr>
          <w:rFonts w:ascii="Verdana" w:hAnsi="Verdana" w:cs="Arial"/>
          <w:sz w:val="14"/>
          <w:szCs w:val="14"/>
        </w:rPr>
      </w:pPr>
      <w:r w:rsidRPr="00301BF6">
        <w:rPr>
          <w:rFonts w:ascii="Verdana" w:hAnsi="Verdana" w:cs="Arial"/>
          <w:sz w:val="14"/>
          <w:szCs w:val="14"/>
        </w:rPr>
        <w:t xml:space="preserve">2. Si el valor del contrato es superior a cinco millones (5.000.000) de smmlv y hasta diez millones (10.000.000) de smmlv, la Entidad Estatal puede aceptar garantías que cubran al menos el uno por ciento (1%) del valor del contrato. </w:t>
      </w:r>
    </w:p>
    <w:p w14:paraId="317D1447" w14:textId="77777777" w:rsidR="001E1DA1" w:rsidRPr="00301BF6" w:rsidRDefault="001E1DA1" w:rsidP="00F73D3D">
      <w:pPr>
        <w:pStyle w:val="Textonotapie"/>
        <w:ind w:firstLine="709"/>
        <w:jc w:val="both"/>
        <w:rPr>
          <w:rFonts w:ascii="Verdana" w:hAnsi="Verdana" w:cs="Arial"/>
          <w:sz w:val="14"/>
          <w:szCs w:val="14"/>
        </w:rPr>
      </w:pPr>
      <w:r w:rsidRPr="00301BF6">
        <w:rPr>
          <w:rFonts w:ascii="Verdana" w:hAnsi="Verdana" w:cs="Arial"/>
          <w:sz w:val="14"/>
          <w:szCs w:val="14"/>
        </w:rPr>
        <w:t>3. Si el valor del contrato es superior a diez millones (10.000.000) de smmlv, la Entidad Estatal puede aceptar garantías que cubran al menos el cero punto cinco por ciento (0,5%) del valor del contrato.</w:t>
      </w:r>
    </w:p>
    <w:p w14:paraId="267FC36F" w14:textId="77777777" w:rsidR="001E1DA1" w:rsidRPr="00AC4B25" w:rsidRDefault="001E1DA1" w:rsidP="00F73D3D">
      <w:pPr>
        <w:pStyle w:val="Textonotapie"/>
        <w:ind w:firstLine="709"/>
        <w:jc w:val="both"/>
        <w:rPr>
          <w:rFonts w:ascii="Verdana" w:hAnsi="Verdana" w:cs="Arial"/>
          <w:sz w:val="16"/>
          <w:szCs w:val="16"/>
          <w:lang w:val="es-CO"/>
        </w:rPr>
      </w:pPr>
      <w:r w:rsidRPr="00301BF6">
        <w:rPr>
          <w:rFonts w:ascii="Verdana" w:hAnsi="Verdana" w:cs="Arial"/>
          <w:sz w:val="14"/>
          <w:szCs w:val="14"/>
        </w:rPr>
        <w:t>4. Colombia Compra Eficiente debe determinar el valor de la garantía única de cumplimiento del Acuerdo Marco de Precios de acuerdo con el objeto, el valor, la naturaleza y las obligaciones contenidas en este”.</w:t>
      </w:r>
    </w:p>
  </w:footnote>
  <w:footnote w:id="9">
    <w:p w14:paraId="0E79326C" w14:textId="77777777" w:rsidR="001E1DA1" w:rsidRPr="00301BF6" w:rsidRDefault="001E1DA1" w:rsidP="00F73D3D">
      <w:pPr>
        <w:pStyle w:val="Textonotapie"/>
        <w:ind w:firstLine="709"/>
        <w:jc w:val="both"/>
        <w:rPr>
          <w:rFonts w:ascii="Verdana" w:hAnsi="Verdana" w:cs="Arial"/>
          <w:sz w:val="14"/>
          <w:szCs w:val="14"/>
        </w:rPr>
      </w:pPr>
      <w:r w:rsidRPr="00301BF6">
        <w:rPr>
          <w:rStyle w:val="Refdenotaalpie"/>
          <w:rFonts w:ascii="Verdana" w:hAnsi="Verdana" w:cs="Arial"/>
          <w:sz w:val="14"/>
          <w:szCs w:val="14"/>
        </w:rPr>
        <w:footnoteRef/>
      </w:r>
      <w:r w:rsidRPr="00301BF6">
        <w:rPr>
          <w:rFonts w:ascii="Verdana" w:hAnsi="Verdana" w:cs="Arial"/>
          <w:sz w:val="14"/>
          <w:szCs w:val="14"/>
        </w:rPr>
        <w:t xml:space="preserve"> Consejo de Estado, Sección Tercera, Subsección B. Sentencia de 28 de junio de 2012. Radicación número: 25000-23-26-000-1997-05346-01(23966). C.P: Stella Conto Diaz Del Castillo.</w:t>
      </w:r>
    </w:p>
  </w:footnote>
  <w:footnote w:id="10">
    <w:p w14:paraId="5A901C72" w14:textId="77777777" w:rsidR="001E1DA1" w:rsidRPr="00301BF6" w:rsidRDefault="001E1DA1" w:rsidP="00F73D3D">
      <w:pPr>
        <w:pStyle w:val="Textonotapie"/>
        <w:ind w:firstLine="709"/>
        <w:jc w:val="both"/>
        <w:rPr>
          <w:rFonts w:ascii="Verdana" w:hAnsi="Verdana" w:cs="Arial"/>
          <w:sz w:val="14"/>
          <w:szCs w:val="14"/>
          <w:shd w:val="clear" w:color="auto" w:fill="FFFFFF"/>
        </w:rPr>
      </w:pPr>
      <w:r w:rsidRPr="00301BF6">
        <w:rPr>
          <w:rStyle w:val="Refdenotaalpie"/>
          <w:rFonts w:ascii="Verdana" w:hAnsi="Verdana" w:cs="Arial"/>
          <w:sz w:val="14"/>
          <w:szCs w:val="14"/>
        </w:rPr>
        <w:footnoteRef/>
      </w:r>
      <w:r w:rsidRPr="00301BF6">
        <w:rPr>
          <w:rFonts w:ascii="Verdana" w:hAnsi="Verdana" w:cs="Arial"/>
          <w:sz w:val="14"/>
          <w:szCs w:val="14"/>
        </w:rPr>
        <w:t xml:space="preserve"> De conformidad con el artículo </w:t>
      </w:r>
      <w:r w:rsidRPr="00301BF6">
        <w:rPr>
          <w:rStyle w:val="Fuerte"/>
          <w:rFonts w:ascii="Verdana" w:hAnsi="Verdana" w:cs="Arial"/>
          <w:b w:val="0"/>
          <w:bCs w:val="0"/>
          <w:sz w:val="14"/>
          <w:szCs w:val="14"/>
          <w:shd w:val="clear" w:color="auto" w:fill="FFFFFF"/>
        </w:rPr>
        <w:t>2.2.1.2.3.1.5</w:t>
      </w:r>
      <w:r w:rsidRPr="00301BF6">
        <w:rPr>
          <w:rFonts w:ascii="Verdana" w:hAnsi="Verdana" w:cs="Arial"/>
          <w:sz w:val="14"/>
          <w:szCs w:val="14"/>
          <w:shd w:val="clear" w:color="auto" w:fill="FFFFFF"/>
        </w:rPr>
        <w:t xml:space="preserve"> del Decreto 1082 de 2015, </w:t>
      </w:r>
      <w:r w:rsidRPr="00301BF6">
        <w:rPr>
          <w:rFonts w:ascii="Verdana" w:hAnsi="Verdana" w:cs="Arial"/>
          <w:sz w:val="14"/>
          <w:szCs w:val="14"/>
        </w:rPr>
        <w:t>“</w:t>
      </w:r>
      <w:r w:rsidRPr="00301BF6">
        <w:rPr>
          <w:rFonts w:ascii="Verdana" w:hAnsi="Verdana" w:cs="Arial"/>
          <w:sz w:val="14"/>
          <w:szCs w:val="14"/>
          <w:shd w:val="clear" w:color="auto" w:fill="FFFFFF"/>
        </w:rPr>
        <w:t>La responsabilidad extracontractual de la administración derivada de las actuaciones, hechos u omisiones de sus contratistas o subcontratistas solamente puede ser amparada con un contrato de seguro</w:t>
      </w:r>
      <w:r w:rsidRPr="00301BF6">
        <w:rPr>
          <w:rFonts w:ascii="Verdana" w:hAnsi="Verdana" w:cs="Arial"/>
          <w:sz w:val="14"/>
          <w:szCs w:val="14"/>
        </w:rPr>
        <w:t>”</w:t>
      </w:r>
      <w:r w:rsidRPr="00301BF6">
        <w:rPr>
          <w:rFonts w:ascii="Verdana" w:hAnsi="Verdana" w:cs="Arial"/>
          <w:sz w:val="14"/>
          <w:szCs w:val="14"/>
          <w:shd w:val="clear" w:color="auto" w:fill="FFFFFF"/>
        </w:rPr>
        <w:t>.</w:t>
      </w:r>
    </w:p>
  </w:footnote>
  <w:footnote w:id="11">
    <w:p w14:paraId="65A018A1" w14:textId="77777777" w:rsidR="001E1DA1" w:rsidRPr="00AC4B25" w:rsidRDefault="001E1DA1" w:rsidP="00F73D3D">
      <w:pPr>
        <w:pStyle w:val="Textonotapie"/>
        <w:ind w:firstLine="709"/>
        <w:jc w:val="both"/>
        <w:rPr>
          <w:rFonts w:ascii="Verdana" w:hAnsi="Verdana" w:cs="Arial"/>
          <w:sz w:val="16"/>
          <w:szCs w:val="16"/>
        </w:rPr>
      </w:pPr>
      <w:r w:rsidRPr="00301BF6">
        <w:rPr>
          <w:rStyle w:val="Refdenotaalpie"/>
          <w:rFonts w:ascii="Verdana" w:hAnsi="Verdana" w:cs="Arial"/>
          <w:sz w:val="14"/>
          <w:szCs w:val="14"/>
        </w:rPr>
        <w:footnoteRef/>
      </w:r>
      <w:r w:rsidRPr="00301BF6">
        <w:rPr>
          <w:rFonts w:ascii="Verdana" w:hAnsi="Verdana" w:cs="Arial"/>
          <w:sz w:val="14"/>
          <w:szCs w:val="14"/>
        </w:rPr>
        <w:t xml:space="preserve"> Consejo de Estado, Sección Tercera, Subsección A. Sentencia del 14 de junio del 2019. Radicación número: 11001 03 26 000 2009 00047 00 (36860)</w:t>
      </w:r>
      <w:r w:rsidRPr="00301BF6">
        <w:rPr>
          <w:rFonts w:ascii="Verdana" w:hAnsi="Verdana" w:cs="Arial"/>
          <w:bCs/>
          <w:sz w:val="14"/>
          <w:szCs w:val="14"/>
          <w:lang w:val="es-CO"/>
        </w:rPr>
        <w:t xml:space="preserve">. </w:t>
      </w:r>
      <w:r w:rsidRPr="00301BF6">
        <w:rPr>
          <w:rFonts w:ascii="Verdana" w:hAnsi="Verdana" w:cs="Arial"/>
          <w:sz w:val="14"/>
          <w:szCs w:val="14"/>
        </w:rPr>
        <w:t>C.P: Carlos Alberto Zambrano Barrera.</w:t>
      </w:r>
    </w:p>
  </w:footnote>
  <w:footnote w:id="12">
    <w:p w14:paraId="49DDC2D0" w14:textId="77777777" w:rsidR="001E1DA1" w:rsidRPr="00301BF6" w:rsidRDefault="001E1DA1" w:rsidP="00F73D3D">
      <w:pPr>
        <w:pStyle w:val="Textonotapie"/>
        <w:ind w:firstLine="709"/>
        <w:jc w:val="both"/>
        <w:rPr>
          <w:rFonts w:ascii="Verdana" w:hAnsi="Verdana" w:cs="Arial"/>
          <w:sz w:val="14"/>
          <w:szCs w:val="14"/>
          <w:lang w:val="es-CO"/>
        </w:rPr>
      </w:pPr>
      <w:r w:rsidRPr="00301BF6">
        <w:rPr>
          <w:rStyle w:val="Refdenotaalpie"/>
          <w:rFonts w:ascii="Verdana" w:hAnsi="Verdana" w:cs="Arial"/>
          <w:sz w:val="14"/>
          <w:szCs w:val="14"/>
        </w:rPr>
        <w:footnoteRef/>
      </w:r>
      <w:r w:rsidRPr="00301BF6">
        <w:rPr>
          <w:rFonts w:ascii="Verdana" w:hAnsi="Verdana" w:cs="Arial"/>
          <w:sz w:val="14"/>
          <w:szCs w:val="14"/>
        </w:rPr>
        <w:t xml:space="preserve"> Consejo de Estado, Sección Segunda, Subsección A. Sentencia del 25 de enero del 2018. Radicación número: </w:t>
      </w:r>
      <w:r w:rsidRPr="00301BF6">
        <w:rPr>
          <w:rFonts w:ascii="Verdana" w:hAnsi="Verdana" w:cs="Arial"/>
          <w:bCs/>
          <w:sz w:val="14"/>
          <w:szCs w:val="14"/>
          <w:lang w:val="es-CO"/>
        </w:rPr>
        <w:t>11001-03-25-000-2011-00489-00(1924-11).</w:t>
      </w:r>
      <w:r w:rsidRPr="00301BF6">
        <w:rPr>
          <w:rFonts w:ascii="Verdana" w:hAnsi="Verdana" w:cs="Arial"/>
          <w:b/>
          <w:sz w:val="14"/>
          <w:szCs w:val="14"/>
          <w:lang w:val="es-CO"/>
        </w:rPr>
        <w:t xml:space="preserve"> </w:t>
      </w:r>
      <w:r w:rsidRPr="00301BF6">
        <w:rPr>
          <w:rFonts w:ascii="Verdana" w:hAnsi="Verdana" w:cs="Arial"/>
          <w:sz w:val="14"/>
          <w:szCs w:val="14"/>
        </w:rPr>
        <w:t>C.P: Gabriel Valbuena Hernández.</w:t>
      </w:r>
    </w:p>
  </w:footnote>
  <w:footnote w:id="13">
    <w:p w14:paraId="0A067615" w14:textId="77777777" w:rsidR="00D96084" w:rsidRPr="00100432" w:rsidRDefault="00D96084" w:rsidP="00F73D3D">
      <w:pPr>
        <w:pStyle w:val="Textonotapie"/>
        <w:ind w:firstLine="709"/>
        <w:jc w:val="both"/>
        <w:rPr>
          <w:rFonts w:ascii="Verdana" w:hAnsi="Verdana"/>
          <w:sz w:val="16"/>
          <w:szCs w:val="16"/>
          <w:lang w:val="es-CO"/>
        </w:rPr>
      </w:pPr>
      <w:r w:rsidRPr="00301BF6">
        <w:rPr>
          <w:rStyle w:val="Refdenotaalpie"/>
          <w:rFonts w:ascii="Verdana" w:hAnsi="Verdana"/>
          <w:sz w:val="14"/>
          <w:szCs w:val="14"/>
        </w:rPr>
        <w:footnoteRef/>
      </w:r>
      <w:r w:rsidRPr="00301BF6">
        <w:rPr>
          <w:rFonts w:ascii="Verdana" w:hAnsi="Verdana"/>
          <w:sz w:val="14"/>
          <w:szCs w:val="14"/>
        </w:rPr>
        <w:t xml:space="preserve"> Código Civil: “Articulo 1602. Todo contrato legalmente celebrado es una ley para los contratantes, y no puede ser invalidado sino por su consentimiento mutuo o por causas legales”.</w:t>
      </w:r>
    </w:p>
  </w:footnote>
  <w:footnote w:id="14">
    <w:p w14:paraId="34ECBD8D" w14:textId="77777777" w:rsidR="00D96084" w:rsidRPr="00301BF6" w:rsidRDefault="00D96084" w:rsidP="00F73D3D">
      <w:pPr>
        <w:pStyle w:val="Textonotapie"/>
        <w:ind w:firstLine="709"/>
        <w:jc w:val="both"/>
        <w:rPr>
          <w:rFonts w:ascii="Verdana" w:hAnsi="Verdana"/>
          <w:sz w:val="14"/>
          <w:szCs w:val="14"/>
        </w:rPr>
      </w:pPr>
      <w:r w:rsidRPr="00301BF6">
        <w:rPr>
          <w:rStyle w:val="Refdenotaalpie"/>
          <w:rFonts w:ascii="Verdana" w:hAnsi="Verdana"/>
          <w:sz w:val="14"/>
          <w:szCs w:val="14"/>
        </w:rPr>
        <w:footnoteRef/>
      </w:r>
      <w:r w:rsidRPr="00301BF6">
        <w:rPr>
          <w:rFonts w:ascii="Verdana" w:hAnsi="Verdana"/>
          <w:sz w:val="14"/>
          <w:szCs w:val="14"/>
        </w:rPr>
        <w:t xml:space="preserve"> “Artículo 1048. Documentos adicionales que hacen parte de la póliza. Hacen parte de la póliza: “1) La solicitud de seguro firmada por el tomador, y “2) Los anexos que se emitan para adicionar, modificar, suspender, renovar o revocar la póliza.</w:t>
      </w:r>
    </w:p>
    <w:p w14:paraId="79308D5B" w14:textId="77777777" w:rsidR="00D96084" w:rsidRPr="00301BF6" w:rsidRDefault="00D96084" w:rsidP="00F73D3D">
      <w:pPr>
        <w:pStyle w:val="Textonotapie"/>
        <w:ind w:firstLine="709"/>
        <w:jc w:val="both"/>
        <w:rPr>
          <w:rFonts w:ascii="Verdana" w:hAnsi="Verdana"/>
          <w:sz w:val="14"/>
          <w:szCs w:val="14"/>
          <w:lang w:val="es-CO"/>
        </w:rPr>
      </w:pPr>
      <w:r w:rsidRPr="00301BF6">
        <w:rPr>
          <w:rFonts w:ascii="Verdana" w:hAnsi="Verdana"/>
          <w:sz w:val="14"/>
          <w:szCs w:val="14"/>
        </w:rPr>
        <w:t>“Parágrafo. El tomador podrá en cualquier tiempo exigir que, a su costa, el asegurador le dé copia debidamente autorizada de la solicitud y de sus anexos, así como de los documentos que den fe de la inspección del riesgo”.</w:t>
      </w:r>
    </w:p>
  </w:footnote>
  <w:footnote w:id="15">
    <w:p w14:paraId="18BDD8A5" w14:textId="77777777" w:rsidR="00D96084" w:rsidRPr="00100432" w:rsidRDefault="00D96084" w:rsidP="00F73D3D">
      <w:pPr>
        <w:pStyle w:val="Textonotapie"/>
        <w:ind w:firstLine="709"/>
        <w:jc w:val="both"/>
        <w:rPr>
          <w:rFonts w:ascii="Verdana" w:hAnsi="Verdana"/>
          <w:sz w:val="16"/>
          <w:szCs w:val="16"/>
          <w:lang w:val="es-CO"/>
        </w:rPr>
      </w:pPr>
      <w:r w:rsidRPr="00301BF6">
        <w:rPr>
          <w:rStyle w:val="Refdenotaalpie"/>
          <w:rFonts w:ascii="Verdana" w:hAnsi="Verdana"/>
          <w:sz w:val="14"/>
          <w:szCs w:val="14"/>
        </w:rPr>
        <w:footnoteRef/>
      </w:r>
      <w:r w:rsidRPr="00301BF6">
        <w:rPr>
          <w:rFonts w:ascii="Verdana" w:hAnsi="Verdana"/>
          <w:sz w:val="14"/>
          <w:szCs w:val="14"/>
        </w:rPr>
        <w:t xml:space="preserve"> Consejo de Estado, Sala de lo Contencioso Administrativo. Sección Tercera, Subsección B, sentencia de 31 de agosto de 2011, Exp. 18080, C.P. Ruth Stella Correa Palacio: “(…) recuérdese que la aplicación de la buena fe en materia negocial implica para las partes la observancia la observancia de una conducta enmarcada dentro del contexto de los deberes de corrección, claridad y recíproca lealtad que se deben los contratantes, para remitir la realización de los efectos finales buscados en el contrato”.</w:t>
      </w:r>
    </w:p>
  </w:footnote>
  <w:footnote w:id="16">
    <w:p w14:paraId="1BAE0527" w14:textId="77777777" w:rsidR="00CA0615" w:rsidRPr="00301BF6" w:rsidRDefault="00CA0615" w:rsidP="00F73D3D">
      <w:pPr>
        <w:pStyle w:val="Textonotapie"/>
        <w:ind w:firstLine="709"/>
        <w:jc w:val="both"/>
        <w:rPr>
          <w:rFonts w:ascii="Verdana" w:hAnsi="Verdana"/>
          <w:sz w:val="14"/>
          <w:szCs w:val="14"/>
        </w:rPr>
      </w:pPr>
      <w:r w:rsidRPr="00301BF6">
        <w:rPr>
          <w:rStyle w:val="Refdenotaalpie"/>
          <w:rFonts w:ascii="Verdana" w:hAnsi="Verdana"/>
          <w:sz w:val="14"/>
          <w:szCs w:val="14"/>
          <w:lang w:val="es-CO"/>
        </w:rPr>
        <w:footnoteRef/>
      </w:r>
      <w:r w:rsidRPr="00301BF6">
        <w:rPr>
          <w:rFonts w:ascii="Verdana" w:hAnsi="Verdana"/>
          <w:sz w:val="14"/>
          <w:szCs w:val="14"/>
          <w:lang w:val="es-CO"/>
        </w:rPr>
        <w:t xml:space="preserve"> Para la doctrina, “[…] ni el objeto (art. 2.º) ni las funciones (art. 3.º) que la ley de creación confió a la Agencia (Dcto.-Ley 4170/11) comprenden competencias normativas sobre la contratación. Aunque el numeral 2.º del artículo 3.º le confiere las funciones de ‘desarrollar, implementar […] normas […] que faciliten las compras y contratación pública del Estado y promuevan las mejores prácticas’, ello no puede concebirse como una competencia específicamente normativa. Su misión de carácter técnico es promover las mejores condiciones de contratación, lo que comprende la realización de estudios y diagnósticos (num. 4.º), la difusión de normas, reglas y procedimientos (num. 10), el brindar apoyo a entidades territoriales (num. 11) y la promoción de políticas y normas ante el Gobierno Nacional (num. 1.º). Estas labores de apoyo, tanto a las entidades contratantes como al Gobierno Nacional, no comportan una función normativa propia […]” (Cfr. BENAVIDES, José Luis. Contratos públicos. Estudios. Bogotá: Universidad Externado de Colombia, 2014. p. 166).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25pt;height:12.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079A5723"/>
    <w:multiLevelType w:val="hybridMultilevel"/>
    <w:tmpl w:val="4614EEF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B8A6897"/>
    <w:multiLevelType w:val="hybridMultilevel"/>
    <w:tmpl w:val="2AFC744C"/>
    <w:lvl w:ilvl="0" w:tplc="C7663DC2">
      <w:start w:val="1"/>
      <w:numFmt w:val="lowerRoman"/>
      <w:suff w:val="space"/>
      <w:lvlText w:val="%1."/>
      <w:lvlJc w:val="left"/>
      <w:pPr>
        <w:ind w:left="0" w:firstLine="0"/>
      </w:pPr>
      <w:rPr>
        <w:rFonts w:eastAsiaTheme="minorHAns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FEF29CA"/>
    <w:multiLevelType w:val="hybridMultilevel"/>
    <w:tmpl w:val="151400D2"/>
    <w:lvl w:ilvl="0" w:tplc="7C509E50">
      <w:start w:val="1"/>
      <w:numFmt w:val="lowerLetter"/>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3AC02D2"/>
    <w:multiLevelType w:val="hybridMultilevel"/>
    <w:tmpl w:val="00FAEA70"/>
    <w:lvl w:ilvl="0" w:tplc="909E88E0">
      <w:start w:val="1"/>
      <w:numFmt w:val="lowerRoman"/>
      <w:lvlText w:val="%1."/>
      <w:lvlJc w:val="left"/>
      <w:pPr>
        <w:ind w:left="0" w:firstLine="0"/>
      </w:pPr>
      <w:rPr>
        <w:rFonts w:eastAsiaTheme="minorHAns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4613E11"/>
    <w:multiLevelType w:val="multilevel"/>
    <w:tmpl w:val="E40E9350"/>
    <w:styleLink w:val="Listaactual1"/>
    <w:lvl w:ilvl="0">
      <w:start w:val="1"/>
      <w:numFmt w:val="lowerRoman"/>
      <w:lvlText w:val="%1."/>
      <w:lvlJc w:val="left"/>
      <w:pPr>
        <w:ind w:left="1080" w:hanging="720"/>
      </w:pPr>
      <w:rPr>
        <w:rFonts w:eastAsiaTheme="minorHAns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AD5452C"/>
    <w:multiLevelType w:val="hybridMultilevel"/>
    <w:tmpl w:val="08EA66B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42476F39"/>
    <w:multiLevelType w:val="hybridMultilevel"/>
    <w:tmpl w:val="C93816E6"/>
    <w:lvl w:ilvl="0" w:tplc="DAB019B0">
      <w:start w:val="1"/>
      <w:numFmt w:val="lowerRoman"/>
      <w:lvlText w:val="%1."/>
      <w:lvlJc w:val="left"/>
      <w:pPr>
        <w:ind w:left="1080" w:hanging="720"/>
      </w:pPr>
      <w:rPr>
        <w:rFonts w:eastAsiaTheme="minorHAns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51934292"/>
    <w:multiLevelType w:val="hybridMultilevel"/>
    <w:tmpl w:val="80909676"/>
    <w:lvl w:ilvl="0" w:tplc="D452D83C">
      <w:start w:val="1"/>
      <w:numFmt w:val="bullet"/>
      <w:lvlText w:val=""/>
      <w:lvlJc w:val="left"/>
      <w:pPr>
        <w:ind w:left="720" w:hanging="360"/>
      </w:pPr>
      <w:rPr>
        <w:rFonts w:ascii="Symbol" w:hAnsi="Symbo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5F062903"/>
    <w:multiLevelType w:val="hybridMultilevel"/>
    <w:tmpl w:val="5E404DD4"/>
    <w:lvl w:ilvl="0" w:tplc="A6F2225E">
      <w:start w:val="1"/>
      <w:numFmt w:val="lowerRoman"/>
      <w:lvlText w:val="%1."/>
      <w:lvlJc w:val="left"/>
      <w:pPr>
        <w:ind w:left="1080" w:hanging="720"/>
      </w:pPr>
      <w:rPr>
        <w:rFonts w:eastAsiaTheme="minorHAns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5F371B4A"/>
    <w:multiLevelType w:val="hybridMultilevel"/>
    <w:tmpl w:val="F79E1380"/>
    <w:lvl w:ilvl="0" w:tplc="240A000F">
      <w:start w:val="1"/>
      <w:numFmt w:val="decimal"/>
      <w:lvlText w:val="%1."/>
      <w:lvlJc w:val="left"/>
      <w:pPr>
        <w:ind w:left="360" w:hanging="360"/>
      </w:pPr>
      <w:rPr>
        <w:rFonts w:hint="default"/>
        <w:b/>
        <w:bCs/>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8"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9"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1"/>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21"/>
  </w:num>
  <w:num w:numId="7" w16cid:durableId="1946422806">
    <w:abstractNumId w:val="7"/>
  </w:num>
  <w:num w:numId="8" w16cid:durableId="152644682">
    <w:abstractNumId w:val="20"/>
  </w:num>
  <w:num w:numId="9" w16cid:durableId="1317221377">
    <w:abstractNumId w:val="11"/>
  </w:num>
  <w:num w:numId="10" w16cid:durableId="1471245386">
    <w:abstractNumId w:val="19"/>
  </w:num>
  <w:num w:numId="11" w16cid:durableId="289172385">
    <w:abstractNumId w:val="12"/>
  </w:num>
  <w:num w:numId="12" w16cid:durableId="1470781324">
    <w:abstractNumId w:val="0"/>
  </w:num>
  <w:num w:numId="13" w16cid:durableId="1512908409">
    <w:abstractNumId w:val="4"/>
  </w:num>
  <w:num w:numId="14" w16cid:durableId="895897244">
    <w:abstractNumId w:val="22"/>
  </w:num>
  <w:num w:numId="15" w16cid:durableId="390349800">
    <w:abstractNumId w:val="18"/>
  </w:num>
  <w:num w:numId="16" w16cid:durableId="2024895314">
    <w:abstractNumId w:val="17"/>
  </w:num>
  <w:num w:numId="17" w16cid:durableId="2037461892">
    <w:abstractNumId w:val="15"/>
  </w:num>
  <w:num w:numId="18" w16cid:durableId="1440835806">
    <w:abstractNumId w:val="2"/>
  </w:num>
  <w:num w:numId="19" w16cid:durableId="1484784106">
    <w:abstractNumId w:val="13"/>
  </w:num>
  <w:num w:numId="20" w16cid:durableId="1346590785">
    <w:abstractNumId w:val="14"/>
  </w:num>
  <w:num w:numId="21" w16cid:durableId="75827875">
    <w:abstractNumId w:val="16"/>
  </w:num>
  <w:num w:numId="22" w16cid:durableId="1691685472">
    <w:abstractNumId w:val="10"/>
  </w:num>
  <w:num w:numId="23" w16cid:durableId="1909030692">
    <w:abstractNumId w:val="9"/>
  </w:num>
  <w:num w:numId="24" w16cid:durableId="1891569016">
    <w:abstractNumId w:val="3"/>
  </w:num>
  <w:num w:numId="25" w16cid:durableId="15490998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6DAE"/>
    <w:rsid w:val="00046945"/>
    <w:rsid w:val="00052BC2"/>
    <w:rsid w:val="000568D6"/>
    <w:rsid w:val="00061B2A"/>
    <w:rsid w:val="00082362"/>
    <w:rsid w:val="00083320"/>
    <w:rsid w:val="00095E5F"/>
    <w:rsid w:val="000A683E"/>
    <w:rsid w:val="000A7377"/>
    <w:rsid w:val="000B19B9"/>
    <w:rsid w:val="000B488E"/>
    <w:rsid w:val="000C4821"/>
    <w:rsid w:val="000D0334"/>
    <w:rsid w:val="000D1232"/>
    <w:rsid w:val="000D24E1"/>
    <w:rsid w:val="000D5DA7"/>
    <w:rsid w:val="000E2448"/>
    <w:rsid w:val="000F6486"/>
    <w:rsid w:val="00116940"/>
    <w:rsid w:val="001221DF"/>
    <w:rsid w:val="00125105"/>
    <w:rsid w:val="00125B3E"/>
    <w:rsid w:val="00127233"/>
    <w:rsid w:val="001400F4"/>
    <w:rsid w:val="0015594A"/>
    <w:rsid w:val="0015699B"/>
    <w:rsid w:val="00160240"/>
    <w:rsid w:val="00165ED3"/>
    <w:rsid w:val="0017280A"/>
    <w:rsid w:val="00190A2F"/>
    <w:rsid w:val="001A33BF"/>
    <w:rsid w:val="001C1610"/>
    <w:rsid w:val="001C4581"/>
    <w:rsid w:val="001E1DA1"/>
    <w:rsid w:val="001E413A"/>
    <w:rsid w:val="001E4177"/>
    <w:rsid w:val="001F0B24"/>
    <w:rsid w:val="001F45C3"/>
    <w:rsid w:val="001F5B80"/>
    <w:rsid w:val="001F7DC6"/>
    <w:rsid w:val="0021100A"/>
    <w:rsid w:val="0022400B"/>
    <w:rsid w:val="002421BB"/>
    <w:rsid w:val="0025362F"/>
    <w:rsid w:val="0025796E"/>
    <w:rsid w:val="00257A8B"/>
    <w:rsid w:val="002707A2"/>
    <w:rsid w:val="0027107D"/>
    <w:rsid w:val="002951A0"/>
    <w:rsid w:val="002962BC"/>
    <w:rsid w:val="00296B5A"/>
    <w:rsid w:val="002A093D"/>
    <w:rsid w:val="002A0DD0"/>
    <w:rsid w:val="002A49AC"/>
    <w:rsid w:val="002A64FD"/>
    <w:rsid w:val="002C044B"/>
    <w:rsid w:val="002C7A84"/>
    <w:rsid w:val="002E0F67"/>
    <w:rsid w:val="002E2BF8"/>
    <w:rsid w:val="002E4FD9"/>
    <w:rsid w:val="002F3D05"/>
    <w:rsid w:val="00301BF6"/>
    <w:rsid w:val="00303525"/>
    <w:rsid w:val="0030657A"/>
    <w:rsid w:val="00322A85"/>
    <w:rsid w:val="00324168"/>
    <w:rsid w:val="00330834"/>
    <w:rsid w:val="003378A0"/>
    <w:rsid w:val="003448F4"/>
    <w:rsid w:val="00351D7E"/>
    <w:rsid w:val="00371BC8"/>
    <w:rsid w:val="00374F5E"/>
    <w:rsid w:val="003771C4"/>
    <w:rsid w:val="00377E3E"/>
    <w:rsid w:val="003A2E5B"/>
    <w:rsid w:val="003A779E"/>
    <w:rsid w:val="003B24DB"/>
    <w:rsid w:val="003C120A"/>
    <w:rsid w:val="003D0F4D"/>
    <w:rsid w:val="003D5B0D"/>
    <w:rsid w:val="003E0499"/>
    <w:rsid w:val="003E4F80"/>
    <w:rsid w:val="003E6439"/>
    <w:rsid w:val="003F3941"/>
    <w:rsid w:val="003F5197"/>
    <w:rsid w:val="00401440"/>
    <w:rsid w:val="004061FE"/>
    <w:rsid w:val="00406575"/>
    <w:rsid w:val="00413FB1"/>
    <w:rsid w:val="00414C74"/>
    <w:rsid w:val="0042722E"/>
    <w:rsid w:val="0042765C"/>
    <w:rsid w:val="0044528D"/>
    <w:rsid w:val="00466E39"/>
    <w:rsid w:val="004A1847"/>
    <w:rsid w:val="004A305D"/>
    <w:rsid w:val="004A79B4"/>
    <w:rsid w:val="004B21FD"/>
    <w:rsid w:val="004D11AB"/>
    <w:rsid w:val="004D479B"/>
    <w:rsid w:val="004F1F6A"/>
    <w:rsid w:val="004F21C4"/>
    <w:rsid w:val="004F685F"/>
    <w:rsid w:val="005077F5"/>
    <w:rsid w:val="00515B94"/>
    <w:rsid w:val="00520E56"/>
    <w:rsid w:val="00542F88"/>
    <w:rsid w:val="005523ED"/>
    <w:rsid w:val="005566E8"/>
    <w:rsid w:val="00570EF9"/>
    <w:rsid w:val="00571233"/>
    <w:rsid w:val="00574867"/>
    <w:rsid w:val="00584B6C"/>
    <w:rsid w:val="00591460"/>
    <w:rsid w:val="005A016A"/>
    <w:rsid w:val="005A1DB8"/>
    <w:rsid w:val="005A65E0"/>
    <w:rsid w:val="005C3777"/>
    <w:rsid w:val="005C5CDC"/>
    <w:rsid w:val="005D2852"/>
    <w:rsid w:val="005D476C"/>
    <w:rsid w:val="00604E31"/>
    <w:rsid w:val="00605B2E"/>
    <w:rsid w:val="0061334F"/>
    <w:rsid w:val="00613DBA"/>
    <w:rsid w:val="00616944"/>
    <w:rsid w:val="006200BF"/>
    <w:rsid w:val="00620F02"/>
    <w:rsid w:val="006219F8"/>
    <w:rsid w:val="0062422C"/>
    <w:rsid w:val="00627FBA"/>
    <w:rsid w:val="006302F7"/>
    <w:rsid w:val="00642CAC"/>
    <w:rsid w:val="00646B9F"/>
    <w:rsid w:val="00646C18"/>
    <w:rsid w:val="00665D70"/>
    <w:rsid w:val="006900D9"/>
    <w:rsid w:val="006C25C4"/>
    <w:rsid w:val="006D3484"/>
    <w:rsid w:val="006F4F28"/>
    <w:rsid w:val="00706C16"/>
    <w:rsid w:val="00711457"/>
    <w:rsid w:val="00726153"/>
    <w:rsid w:val="007340C3"/>
    <w:rsid w:val="00736F3F"/>
    <w:rsid w:val="0075235A"/>
    <w:rsid w:val="00756841"/>
    <w:rsid w:val="007649AB"/>
    <w:rsid w:val="00765899"/>
    <w:rsid w:val="00771D0C"/>
    <w:rsid w:val="00776B18"/>
    <w:rsid w:val="00782726"/>
    <w:rsid w:val="007833AC"/>
    <w:rsid w:val="00784411"/>
    <w:rsid w:val="0079733B"/>
    <w:rsid w:val="007B268C"/>
    <w:rsid w:val="007B5F28"/>
    <w:rsid w:val="007B62F5"/>
    <w:rsid w:val="007B7171"/>
    <w:rsid w:val="007C0C0F"/>
    <w:rsid w:val="007C3DC2"/>
    <w:rsid w:val="007C43CC"/>
    <w:rsid w:val="007D7C2E"/>
    <w:rsid w:val="007E5497"/>
    <w:rsid w:val="007F785A"/>
    <w:rsid w:val="00806F5F"/>
    <w:rsid w:val="008155F1"/>
    <w:rsid w:val="00820278"/>
    <w:rsid w:val="00823001"/>
    <w:rsid w:val="008258C9"/>
    <w:rsid w:val="00844AE9"/>
    <w:rsid w:val="00867F95"/>
    <w:rsid w:val="0088071A"/>
    <w:rsid w:val="008843B6"/>
    <w:rsid w:val="00884CA9"/>
    <w:rsid w:val="00891928"/>
    <w:rsid w:val="0089520C"/>
    <w:rsid w:val="008966D7"/>
    <w:rsid w:val="008A446D"/>
    <w:rsid w:val="008B25F1"/>
    <w:rsid w:val="008D180B"/>
    <w:rsid w:val="008E2B50"/>
    <w:rsid w:val="008F0EA7"/>
    <w:rsid w:val="008F5E2B"/>
    <w:rsid w:val="0091373A"/>
    <w:rsid w:val="009213E8"/>
    <w:rsid w:val="00923EEF"/>
    <w:rsid w:val="009241CA"/>
    <w:rsid w:val="00933474"/>
    <w:rsid w:val="009419F9"/>
    <w:rsid w:val="00941ADD"/>
    <w:rsid w:val="00945A83"/>
    <w:rsid w:val="0095685E"/>
    <w:rsid w:val="00961B09"/>
    <w:rsid w:val="00965334"/>
    <w:rsid w:val="0097093E"/>
    <w:rsid w:val="009748E9"/>
    <w:rsid w:val="00974D5C"/>
    <w:rsid w:val="009A0DFA"/>
    <w:rsid w:val="009A1C6F"/>
    <w:rsid w:val="009B2D26"/>
    <w:rsid w:val="009B5D18"/>
    <w:rsid w:val="009C0F41"/>
    <w:rsid w:val="009C71FA"/>
    <w:rsid w:val="009C72E7"/>
    <w:rsid w:val="009C7F7E"/>
    <w:rsid w:val="009D1782"/>
    <w:rsid w:val="009D3058"/>
    <w:rsid w:val="009E75D1"/>
    <w:rsid w:val="009F3A13"/>
    <w:rsid w:val="00A122D3"/>
    <w:rsid w:val="00A14468"/>
    <w:rsid w:val="00A17F13"/>
    <w:rsid w:val="00A20739"/>
    <w:rsid w:val="00A23AF9"/>
    <w:rsid w:val="00A31F70"/>
    <w:rsid w:val="00A33C36"/>
    <w:rsid w:val="00A33C78"/>
    <w:rsid w:val="00A47DB4"/>
    <w:rsid w:val="00A5374E"/>
    <w:rsid w:val="00A60048"/>
    <w:rsid w:val="00A84309"/>
    <w:rsid w:val="00A87AC9"/>
    <w:rsid w:val="00A924E6"/>
    <w:rsid w:val="00A96BBA"/>
    <w:rsid w:val="00AA46DC"/>
    <w:rsid w:val="00AA5439"/>
    <w:rsid w:val="00AB0ADB"/>
    <w:rsid w:val="00AB0E33"/>
    <w:rsid w:val="00AC34A1"/>
    <w:rsid w:val="00AD426C"/>
    <w:rsid w:val="00B00C0E"/>
    <w:rsid w:val="00B01B1A"/>
    <w:rsid w:val="00B0381D"/>
    <w:rsid w:val="00B042FD"/>
    <w:rsid w:val="00B44A47"/>
    <w:rsid w:val="00B72CD3"/>
    <w:rsid w:val="00B72FFF"/>
    <w:rsid w:val="00B76E55"/>
    <w:rsid w:val="00B81A95"/>
    <w:rsid w:val="00B84ECD"/>
    <w:rsid w:val="00B93888"/>
    <w:rsid w:val="00BA014E"/>
    <w:rsid w:val="00BA7FAA"/>
    <w:rsid w:val="00BB69FD"/>
    <w:rsid w:val="00BC1E86"/>
    <w:rsid w:val="00BC3D36"/>
    <w:rsid w:val="00BD1D69"/>
    <w:rsid w:val="00BD54A6"/>
    <w:rsid w:val="00BD7E28"/>
    <w:rsid w:val="00BD7F72"/>
    <w:rsid w:val="00BE59CF"/>
    <w:rsid w:val="00BF7425"/>
    <w:rsid w:val="00C04FB3"/>
    <w:rsid w:val="00C11D8B"/>
    <w:rsid w:val="00C12225"/>
    <w:rsid w:val="00C15139"/>
    <w:rsid w:val="00C26BDD"/>
    <w:rsid w:val="00C330EB"/>
    <w:rsid w:val="00C50D69"/>
    <w:rsid w:val="00C5348F"/>
    <w:rsid w:val="00C5365C"/>
    <w:rsid w:val="00C754BE"/>
    <w:rsid w:val="00C76B1C"/>
    <w:rsid w:val="00C925AC"/>
    <w:rsid w:val="00CA0615"/>
    <w:rsid w:val="00CB6357"/>
    <w:rsid w:val="00CC1B26"/>
    <w:rsid w:val="00CC4758"/>
    <w:rsid w:val="00CE511B"/>
    <w:rsid w:val="00CF207D"/>
    <w:rsid w:val="00D02951"/>
    <w:rsid w:val="00D032C5"/>
    <w:rsid w:val="00D04D5A"/>
    <w:rsid w:val="00D04DD4"/>
    <w:rsid w:val="00D361FD"/>
    <w:rsid w:val="00D423A2"/>
    <w:rsid w:val="00D44E26"/>
    <w:rsid w:val="00D502B6"/>
    <w:rsid w:val="00D5067D"/>
    <w:rsid w:val="00D520D8"/>
    <w:rsid w:val="00D60B75"/>
    <w:rsid w:val="00D63AC2"/>
    <w:rsid w:val="00D7383B"/>
    <w:rsid w:val="00D73F16"/>
    <w:rsid w:val="00D7788A"/>
    <w:rsid w:val="00D85226"/>
    <w:rsid w:val="00D90B40"/>
    <w:rsid w:val="00D96084"/>
    <w:rsid w:val="00DA231B"/>
    <w:rsid w:val="00DC39FC"/>
    <w:rsid w:val="00DC7910"/>
    <w:rsid w:val="00DE688B"/>
    <w:rsid w:val="00DF5254"/>
    <w:rsid w:val="00E00CC7"/>
    <w:rsid w:val="00E02524"/>
    <w:rsid w:val="00E045FB"/>
    <w:rsid w:val="00E1478A"/>
    <w:rsid w:val="00E16408"/>
    <w:rsid w:val="00E20894"/>
    <w:rsid w:val="00E245AB"/>
    <w:rsid w:val="00E26E38"/>
    <w:rsid w:val="00E2764C"/>
    <w:rsid w:val="00E27F2E"/>
    <w:rsid w:val="00E30CE6"/>
    <w:rsid w:val="00E351CD"/>
    <w:rsid w:val="00E4461C"/>
    <w:rsid w:val="00E50AFE"/>
    <w:rsid w:val="00E67966"/>
    <w:rsid w:val="00E75C92"/>
    <w:rsid w:val="00E771DC"/>
    <w:rsid w:val="00E8772A"/>
    <w:rsid w:val="00E90F6B"/>
    <w:rsid w:val="00E92C27"/>
    <w:rsid w:val="00EA0E3D"/>
    <w:rsid w:val="00EB5F8D"/>
    <w:rsid w:val="00EC38A7"/>
    <w:rsid w:val="00EE1AA8"/>
    <w:rsid w:val="00F02437"/>
    <w:rsid w:val="00F13347"/>
    <w:rsid w:val="00F23FEA"/>
    <w:rsid w:val="00F31EDC"/>
    <w:rsid w:val="00F34F22"/>
    <w:rsid w:val="00F462B3"/>
    <w:rsid w:val="00F5664F"/>
    <w:rsid w:val="00F666C4"/>
    <w:rsid w:val="00F73D3D"/>
    <w:rsid w:val="00F75CF1"/>
    <w:rsid w:val="00F76AFC"/>
    <w:rsid w:val="00F94D11"/>
    <w:rsid w:val="00FA47C0"/>
    <w:rsid w:val="00FB27CA"/>
    <w:rsid w:val="00FB2C72"/>
    <w:rsid w:val="00FB5DD1"/>
    <w:rsid w:val="00FC2B5D"/>
    <w:rsid w:val="00FD636C"/>
    <w:rsid w:val="00FD7F63"/>
    <w:rsid w:val="00FF1449"/>
    <w:rsid w:val="00FF5882"/>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CA0615"/>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A0615"/>
    <w:rPr>
      <w:rFonts w:ascii="Geomanist Light" w:hAnsi="Geomanist Light"/>
      <w:lang w:val="es-ES"/>
    </w:rPr>
  </w:style>
  <w:style w:type="paragraph" w:styleId="Sinespaciado">
    <w:name w:val="No Spacing"/>
    <w:uiPriority w:val="1"/>
    <w:qFormat/>
    <w:rsid w:val="00CA0615"/>
    <w:pPr>
      <w:spacing w:after="0" w:line="240" w:lineRule="auto"/>
    </w:pPr>
  </w:style>
  <w:style w:type="character" w:customStyle="1" w:styleId="s15">
    <w:name w:val="s15"/>
    <w:basedOn w:val="Fuentedeprrafopredeter"/>
    <w:rsid w:val="00CA0615"/>
  </w:style>
  <w:style w:type="character" w:customStyle="1" w:styleId="NormalWebCar">
    <w:name w:val="Normal (Web) Car"/>
    <w:link w:val="NormalWeb"/>
    <w:uiPriority w:val="99"/>
    <w:locked/>
    <w:rsid w:val="00CA0615"/>
    <w:rPr>
      <w:rFonts w:ascii="Times New Roman" w:eastAsia="Times New Roman" w:hAnsi="Times New Roman" w:cs="Times New Roman"/>
      <w:sz w:val="24"/>
      <w:szCs w:val="24"/>
      <w:lang w:eastAsia="es-CO"/>
    </w:rPr>
  </w:style>
  <w:style w:type="numbering" w:customStyle="1" w:styleId="Listaactual1">
    <w:name w:val="Lista actual1"/>
    <w:uiPriority w:val="99"/>
    <w:rsid w:val="0017280A"/>
    <w:pPr>
      <w:numPr>
        <w:numId w:val="22"/>
      </w:numPr>
    </w:pPr>
  </w:style>
  <w:style w:type="character" w:styleId="Fuerte">
    <w:name w:val="Strong"/>
    <w:basedOn w:val="Fuentedeprrafopredeter"/>
    <w:uiPriority w:val="22"/>
    <w:qFormat/>
    <w:rsid w:val="001E1DA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4188561">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08114956">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84170889">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archivos/manual/guia-de-garantias-en-procesos-de-contratacion" TargetMode="External"/><Relationship Id="rId18" Type="http://schemas.openxmlformats.org/officeDocument/2006/relationships/hyperlink" Target="https://nam02.safelinks.protection.outlook.com/?url=https%3A%2F%2Fwww.colombiacompra.gov.co%2Farchivos%2Fcircular%2Fcircular-externa-002-de-2026&amp;data=05%7C02%7Cangela.olmos%40colombiacompra.gov.co%7C7128555136e04fa6887d08dee99e1b50%7C7b09041e245149d08cb179d5e3d8c1be%7C0%7C0%7C639205062455783512%7CUnknown%7CTWFpbGZsb3d8eyJFbXB0eU1hcGkiOnRydWUsIlYiOiIwLjAuMDAwMCIsIlAiOiJXaW4zMiIsIkFOIjoiTWFpbCIsIldUIjoyfQ%3D%3D%7C0%7C%7C%7C&amp;sdata=o0aNWXLtqBTIjjTfbvEP4fWtwRbbpR5F3D8%2Bgi0xYRw%3D&amp;reserved=0"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olombiacompra.gov.co/pqrsd/informacion-importante-antes-de-formular-una-pqrsd" TargetMode="External"/><Relationship Id="rId7" Type="http://schemas.openxmlformats.org/officeDocument/2006/relationships/settings" Target="settings.xml"/><Relationship Id="rId12" Type="http://schemas.openxmlformats.org/officeDocument/2006/relationships/hyperlink" Target="mailto:jhonhergar@gmail.com" TargetMode="External"/><Relationship Id="rId17" Type="http://schemas.openxmlformats.org/officeDocument/2006/relationships/hyperlink" Target="https://nam02.safelinks.protection.outlook.com/?url=https%3A%2F%2Fwww.colombiacompra.gov.co%2Farchivos%2Fcircular%2Fcircular-externa-003-de-2026&amp;data=05%7C02%7Cangela.olmos%40colombiacompra.gov.co%7C7128555136e04fa6887d08dee99e1b50%7C7b09041e245149d08cb179d5e3d8c1be%7C0%7C0%7C639205062455749430%7CUnknown%7CTWFpbGZsb3d8eyJFbXB0eU1hcGkiOnRydWUsIlYiOiIwLjAuMDAwMCIsIlAiOiJXaW4zMiIsIkFOIjoiTWFpbCIsIldUIjoyfQ%3D%3D%7C0%7C%7C%7C&amp;sdata=%2BwyO1QjPoqQ85c4iiQUT%2B4%2BSIhHwUEw62Bt4IPe08Xs%3D&amp;reserved=0"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manual%2Fguia-de-garantias-en-procesos-de-contratacion&amp;data=05%7C02%7Cangela.olmos%40colombiacompra.gov.co%7C7128555136e04fa6887d08dee99e1b50%7C7b09041e245149d08cb179d5e3d8c1be%7C0%7C0%7C639205062455697770%7CUnknown%7CTWFpbGZsb3d8eyJFbXB0eU1hcGkiOnRydWUsIlYiOiIwLjAuMDAwMCIsIlAiOiJXaW4zMiIsIkFOIjoiTWFpbCIsIldUIjoyfQ%3D%3D%7C0%7C%7C%7C&amp;sdata=xtO12WcCdwYHeXUidcMKqDbcqTrQ9cKf4Dp4jbhhRfY%3D&amp;reserved=0" TargetMode="External"/><Relationship Id="rId20" Type="http://schemas.openxmlformats.org/officeDocument/2006/relationships/hyperlink" Target="mailto:ventanilladeradicacion@colombiacompra.gov.co"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relatoria.colombiacompra.gov.co/busqueda/conceptos" TargetMode="External"/><Relationship Id="rId23"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hyperlink" Target="https://nam02.safelinks.protection.outlook.com/?url=https%3A%2F%2Fwww.colombiacompra.gov.co%2Farchivos%2Fboletin%2Fboletin-edicion-n-3-de-2026-radar-de-la-compra-publica&amp;data=05%7C02%7Cangela.olmos%40colombiacompra.gov.co%7C7128555136e04fa6887d08dee99e1b50%7C7b09041e245149d08cb179d5e3d8c1be%7C0%7C0%7C639205062455813537%7CUnknown%7CTWFpbGZsb3d8eyJFbXB0eU1hcGkiOnRydWUsIlYiOiIwLjAuMDAwMCIsIlAiOiJXaW4zMiIsIkFOIjoiTWFpbCIsIldUIjoyfQ%3D%3D%7C0%7C%7C%7C&amp;sdata=BI9eiPyO2YOdvz%2Fmc8zSJAqeX5zdIJr9lpFGCdSRWT0%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archivos/manual/guia-de-garantias-en-procesos-de-contratacion" TargetMode="External"/><Relationship Id="rId22" Type="http://schemas.openxmlformats.org/officeDocument/2006/relationships/hyperlink" Target="https://forms.office.com/r/pPHyWVs2SZ"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secretariasenado.gov.co/senado/basedoc/ley_0080_1993.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408397-700A-4413-BEA7-5B23AFDDEEB8}"/>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B630F01-2C11-4D49-A2B2-8E28FA28BBC1}">
  <ds:schemaRefs>
    <ds:schemaRef ds:uri="http://schemas.openxmlformats.org/officeDocument/2006/bibliography"/>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34</TotalTime>
  <Pages>27</Pages>
  <Words>9712</Words>
  <Characters>53417</Characters>
  <Application>Microsoft Office Word</Application>
  <DocSecurity>0</DocSecurity>
  <Lines>445</Lines>
  <Paragraphs>126</Paragraphs>
  <ScaleCrop>false</ScaleCrop>
  <Company/>
  <LinksUpToDate>false</LinksUpToDate>
  <CharactersWithSpaces>63003</CharactersWithSpaces>
  <SharedDoc>false</SharedDoc>
  <HLinks>
    <vt:vector size="60" baseType="variant">
      <vt:variant>
        <vt:i4>4456513</vt:i4>
      </vt:variant>
      <vt:variant>
        <vt:i4>24</vt:i4>
      </vt:variant>
      <vt:variant>
        <vt:i4>0</vt:i4>
      </vt:variant>
      <vt:variant>
        <vt:i4>5</vt:i4>
      </vt:variant>
      <vt:variant>
        <vt:lpwstr>https://forms.office.com/r/pPHyWVs2SZ</vt:lpwstr>
      </vt:variant>
      <vt:variant>
        <vt:lpwstr/>
      </vt:variant>
      <vt:variant>
        <vt:i4>3407926</vt:i4>
      </vt:variant>
      <vt:variant>
        <vt:i4>21</vt:i4>
      </vt:variant>
      <vt:variant>
        <vt:i4>0</vt:i4>
      </vt:variant>
      <vt:variant>
        <vt:i4>5</vt:i4>
      </vt:variant>
      <vt:variant>
        <vt:lpwstr>https://www.colombiacompra.gov.co/pqrsd/informacion-importante-antes-de-formular-una-pqrsd</vt:lpwstr>
      </vt:variant>
      <vt:variant>
        <vt:lpwstr/>
      </vt:variant>
      <vt:variant>
        <vt:i4>4980779</vt:i4>
      </vt:variant>
      <vt:variant>
        <vt:i4>18</vt:i4>
      </vt:variant>
      <vt:variant>
        <vt:i4>0</vt:i4>
      </vt:variant>
      <vt:variant>
        <vt:i4>5</vt:i4>
      </vt:variant>
      <vt:variant>
        <vt:lpwstr>mailto:ventanilladeradicacion@colombiacompra.gov.co</vt:lpwstr>
      </vt:variant>
      <vt:variant>
        <vt:lpwstr/>
      </vt:variant>
      <vt:variant>
        <vt:i4>2752636</vt:i4>
      </vt:variant>
      <vt:variant>
        <vt:i4>15</vt:i4>
      </vt:variant>
      <vt:variant>
        <vt:i4>0</vt:i4>
      </vt:variant>
      <vt:variant>
        <vt:i4>5</vt:i4>
      </vt:variant>
      <vt:variant>
        <vt:lpwstr>https://nam02.safelinks.protection.outlook.com/?url=https%3A%2F%2Fwww.colombiacompra.gov.co%2Farchivos%2Fboletin%2Fboletin-edicion-n-3-de-2026-radar-de-la-compra-publica&amp;data=05%7C02%7Cangela.olmos%40colombiacompra.gov.co%7C7128555136e04fa6887d08dee99e1b50%7C7b09041e245149d08cb179d5e3d8c1be%7C0%7C0%7C639205062455813537%7CUnknown%7CTWFpbGZsb3d8eyJFbXB0eU1hcGkiOnRydWUsIlYiOiIwLjAuMDAwMCIsIlAiOiJXaW4zMiIsIkFOIjoiTWFpbCIsIldUIjoyfQ%3D%3D%7C0%7C%7C%7C&amp;sdata=BI9eiPyO2YOdvz%2Fmc8zSJAqeX5zdIJr9lpFGCdSRWT0%3D&amp;reserved=0</vt:lpwstr>
      </vt:variant>
      <vt:variant>
        <vt:lpwstr/>
      </vt:variant>
      <vt:variant>
        <vt:i4>7340154</vt:i4>
      </vt:variant>
      <vt:variant>
        <vt:i4>12</vt:i4>
      </vt:variant>
      <vt:variant>
        <vt:i4>0</vt:i4>
      </vt:variant>
      <vt:variant>
        <vt:i4>5</vt:i4>
      </vt:variant>
      <vt:variant>
        <vt:lpwstr>https://nam02.safelinks.protection.outlook.com/?url=https%3A%2F%2Fwww.colombiacompra.gov.co%2Farchivos%2Fcircular%2Fcircular-externa-002-de-2026&amp;data=05%7C02%7Cangela.olmos%40colombiacompra.gov.co%7C7128555136e04fa6887d08dee99e1b50%7C7b09041e245149d08cb179d5e3d8c1be%7C0%7C0%7C639205062455783512%7CUnknown%7CTWFpbGZsb3d8eyJFbXB0eU1hcGkiOnRydWUsIlYiOiIwLjAuMDAwMCIsIlAiOiJXaW4zMiIsIkFOIjoiTWFpbCIsIldUIjoyfQ%3D%3D%7C0%7C%7C%7C&amp;sdata=o0aNWXLtqBTIjjTfbvEP4fWtwRbbpR5F3D8%2Bgi0xYRw%3D&amp;reserved=0</vt:lpwstr>
      </vt:variant>
      <vt:variant>
        <vt:lpwstr/>
      </vt:variant>
      <vt:variant>
        <vt:i4>7405690</vt:i4>
      </vt:variant>
      <vt:variant>
        <vt:i4>9</vt:i4>
      </vt:variant>
      <vt:variant>
        <vt:i4>0</vt:i4>
      </vt:variant>
      <vt:variant>
        <vt:i4>5</vt:i4>
      </vt:variant>
      <vt:variant>
        <vt:lpwstr>https://nam02.safelinks.protection.outlook.com/?url=https%3A%2F%2Fwww.colombiacompra.gov.co%2Farchivos%2Fcircular%2Fcircular-externa-003-de-2026&amp;data=05%7C02%7Cangela.olmos%40colombiacompra.gov.co%7C7128555136e04fa6887d08dee99e1b50%7C7b09041e245149d08cb179d5e3d8c1be%7C0%7C0%7C639205062455749430%7CUnknown%7CTWFpbGZsb3d8eyJFbXB0eU1hcGkiOnRydWUsIlYiOiIwLjAuMDAwMCIsIlAiOiJXaW4zMiIsIkFOIjoiTWFpbCIsIldUIjoyfQ%3D%3D%7C0%7C%7C%7C&amp;sdata=%2BwyO1QjPoqQ85c4iiQUT%2B4%2BSIhHwUEw62Bt4IPe08Xs%3D&amp;reserved=0</vt:lpwstr>
      </vt:variant>
      <vt:variant>
        <vt:lpwstr/>
      </vt:variant>
      <vt:variant>
        <vt:i4>2490427</vt:i4>
      </vt:variant>
      <vt:variant>
        <vt:i4>6</vt:i4>
      </vt:variant>
      <vt:variant>
        <vt:i4>0</vt:i4>
      </vt:variant>
      <vt:variant>
        <vt:i4>5</vt:i4>
      </vt:variant>
      <vt:variant>
        <vt:lpwstr>https://nam02.safelinks.protection.outlook.com/?url=https%3A%2F%2Fwww.colombiacompra.gov.co%2Farchivos%2Fmanual%2Fguia-de-garantias-en-procesos-de-contratacion&amp;data=05%7C02%7Cangela.olmos%40colombiacompra.gov.co%7C7128555136e04fa6887d08dee99e1b50%7C7b09041e245149d08cb179d5e3d8c1be%7C0%7C0%7C639205062455697770%7CUnknown%7CTWFpbGZsb3d8eyJFbXB0eU1hcGkiOnRydWUsIlYiOiIwLjAuMDAwMCIsIlAiOiJXaW4zMiIsIkFOIjoiTWFpbCIsIldUIjoyfQ%3D%3D%7C0%7C%7C%7C&amp;sdata=xtO12WcCdwYHeXUidcMKqDbcqTrQ9cKf4Dp4jbhhRfY%3D&amp;reserved=0</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1638453</vt:i4>
      </vt:variant>
      <vt:variant>
        <vt:i4>0</vt:i4>
      </vt:variant>
      <vt:variant>
        <vt:i4>0</vt:i4>
      </vt:variant>
      <vt:variant>
        <vt:i4>5</vt:i4>
      </vt:variant>
      <vt:variant>
        <vt:lpwstr>mailto:jhonhergar@gmail.com</vt:lpwstr>
      </vt:variant>
      <vt:variant>
        <vt:lpwstr/>
      </vt:variant>
      <vt:variant>
        <vt:i4>720914</vt:i4>
      </vt:variant>
      <vt:variant>
        <vt:i4>0</vt:i4>
      </vt:variant>
      <vt:variant>
        <vt:i4>0</vt:i4>
      </vt:variant>
      <vt:variant>
        <vt:i4>5</vt:i4>
      </vt:variant>
      <vt:variant>
        <vt:lpwstr>http://www.secretariasenado.gov.co/senado/basedoc/ley_0080_1993.html</vt:lpwstr>
      </vt:variant>
      <vt:variant>
        <vt:lpwstr>42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Angela Maria Olmos Andrade</cp:lastModifiedBy>
  <cp:revision>16</cp:revision>
  <cp:lastPrinted>2023-01-10T21:18:00Z</cp:lastPrinted>
  <dcterms:created xsi:type="dcterms:W3CDTF">2026-09-18T14:02:00Z</dcterms:created>
  <dcterms:modified xsi:type="dcterms:W3CDTF">2026-09-18T14:34:00Z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