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3322" w14:textId="77777777" w:rsidR="00F931C4" w:rsidRDefault="00000000">
      <w:pPr>
        <w:spacing w:after="0" w:line="240" w:lineRule="auto"/>
        <w:contextualSpacing/>
        <w:jc w:val="both"/>
        <w:rPr>
          <w:rFonts w:ascii="Verdana" w:eastAsia="Calibri" w:hAnsi="Verdana" w:cs="Arial"/>
          <w:b/>
          <w:bCs/>
          <w:lang w:eastAsia="es-ES"/>
        </w:rPr>
      </w:pPr>
      <w:r>
        <w:rPr>
          <w:rFonts w:ascii="Verdana" w:eastAsia="Calibri" w:hAnsi="Verdana" w:cs="Arial"/>
          <w:b/>
          <w:bCs/>
          <w:lang w:eastAsia="es-ES"/>
        </w:rPr>
        <w:t>INHABILIDADES E INCOMPATIBILIDADES ‒ Fundamento ‒ Taxatividad ‒ Interpretación restrictiva</w:t>
      </w:r>
    </w:p>
    <w:p w14:paraId="411B7871" w14:textId="77777777" w:rsidR="00F931C4" w:rsidRDefault="00F931C4">
      <w:pPr>
        <w:spacing w:after="0" w:line="240" w:lineRule="auto"/>
        <w:contextualSpacing/>
        <w:jc w:val="both"/>
        <w:rPr>
          <w:rFonts w:ascii="Verdana" w:eastAsia="Calibri" w:hAnsi="Verdana" w:cs="Arial"/>
          <w:b/>
          <w:bCs/>
          <w:lang w:eastAsia="es-ES"/>
        </w:rPr>
      </w:pPr>
    </w:p>
    <w:p w14:paraId="55E85FC4" w14:textId="77777777" w:rsidR="00F931C4" w:rsidRDefault="00000000">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Las inhabilidades e incompatibilidades constituyen restricciones o límites especiales a la capacidad para contratar con las entidades estatales. En cuanto excepciones al principio general de capacidad y limitaciones al ejercicio de derechos, solo pueden tipificarse en la Constitución o en la ley, son taxativas y su interpretación debe ser restrictiva: no es admisible la interpretación extensiva ni la aplicación analógica para ampliar el alcance de las causales legalmente fijadas.</w:t>
      </w:r>
    </w:p>
    <w:p w14:paraId="4EAEBE70" w14:textId="77777777" w:rsidR="00F931C4" w:rsidRDefault="00F931C4">
      <w:pPr>
        <w:spacing w:after="0" w:line="240" w:lineRule="auto"/>
        <w:contextualSpacing/>
        <w:jc w:val="both"/>
        <w:rPr>
          <w:rFonts w:ascii="Verdana" w:eastAsia="Calibri" w:hAnsi="Verdana" w:cs="Arial"/>
          <w:b/>
          <w:bCs/>
          <w:lang w:eastAsia="es-ES"/>
        </w:rPr>
      </w:pPr>
    </w:p>
    <w:p w14:paraId="20CCBF88" w14:textId="77777777" w:rsidR="00F931C4" w:rsidRDefault="00000000">
      <w:pPr>
        <w:spacing w:after="0" w:line="240" w:lineRule="auto"/>
        <w:contextualSpacing/>
        <w:jc w:val="both"/>
        <w:rPr>
          <w:rFonts w:ascii="Verdana" w:eastAsia="Calibri" w:hAnsi="Verdana" w:cs="Arial"/>
          <w:b/>
          <w:bCs/>
          <w:lang w:eastAsia="es-ES"/>
        </w:rPr>
      </w:pPr>
      <w:r>
        <w:rPr>
          <w:rFonts w:ascii="Verdana" w:eastAsia="Calibri" w:hAnsi="Verdana" w:cs="Arial"/>
          <w:b/>
          <w:bCs/>
          <w:lang w:eastAsia="es-ES"/>
        </w:rPr>
        <w:t>INCOMPATIBILIDAD DEL LITERAL C) DEL NUMERAL 2 DEL ARTÍCULO 8 DE LA LEY 80 DE 1993 ‒ Cónyuge o compañero permanente ‒ Servidores de los niveles directivo, asesor o ejecutivo ‒ Control interno o fiscal</w:t>
      </w:r>
    </w:p>
    <w:p w14:paraId="69DC8D02" w14:textId="77777777" w:rsidR="00F931C4" w:rsidRDefault="00F931C4">
      <w:pPr>
        <w:spacing w:after="0" w:line="240" w:lineRule="auto"/>
        <w:contextualSpacing/>
        <w:jc w:val="both"/>
        <w:rPr>
          <w:rFonts w:ascii="Verdana" w:eastAsia="Calibri" w:hAnsi="Verdana" w:cs="Arial"/>
          <w:b/>
          <w:bCs/>
          <w:lang w:eastAsia="es-ES"/>
        </w:rPr>
      </w:pPr>
    </w:p>
    <w:p w14:paraId="4D1A864E" w14:textId="77777777" w:rsidR="00F931C4" w:rsidRDefault="00000000">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El literal c) del numeral 2 del artículo 8 de la Ley 80 de 1993 impide participar en licitaciones y celebrar contratos estatales con la entidad respectiva al cónyuge, compañero o compañera permanente del servidor público de los niveles directivo, asesor o ejecutivo, de un miembro de la junta o consejo directivo, o de quien ejerza funciones de control interno o de control fiscal. La causal exige que el servidor con quien existe el vínculo ejerza el cargo o la función en la entidad con la cual se pretende contratar.</w:t>
      </w:r>
    </w:p>
    <w:p w14:paraId="0D9F2C7D" w14:textId="77777777" w:rsidR="00F931C4" w:rsidRDefault="00F931C4">
      <w:pPr>
        <w:spacing w:after="0" w:line="240" w:lineRule="auto"/>
        <w:contextualSpacing/>
        <w:jc w:val="both"/>
        <w:rPr>
          <w:rFonts w:ascii="Verdana" w:eastAsia="Calibri" w:hAnsi="Verdana" w:cs="Arial"/>
          <w:b/>
          <w:bCs/>
          <w:lang w:eastAsia="es-ES"/>
        </w:rPr>
      </w:pPr>
    </w:p>
    <w:p w14:paraId="2E7A7C32" w14:textId="77777777" w:rsidR="00F931C4" w:rsidRDefault="00000000">
      <w:pPr>
        <w:spacing w:after="0" w:line="240" w:lineRule="auto"/>
        <w:contextualSpacing/>
        <w:jc w:val="both"/>
        <w:rPr>
          <w:rFonts w:ascii="Verdana" w:eastAsia="Calibri" w:hAnsi="Verdana" w:cs="Arial"/>
          <w:b/>
          <w:bCs/>
          <w:lang w:eastAsia="es-ES"/>
        </w:rPr>
      </w:pPr>
      <w:r>
        <w:rPr>
          <w:rFonts w:ascii="Verdana" w:eastAsia="Calibri" w:hAnsi="Verdana" w:cs="Arial"/>
          <w:b/>
          <w:bCs/>
          <w:lang w:eastAsia="es-ES"/>
        </w:rPr>
        <w:t>LA ENTIDAD RESPECTIVA ‒ Alcance ‒ Entidad estatal contratante ‒ Personería jurídica</w:t>
      </w:r>
    </w:p>
    <w:p w14:paraId="2BFB5A44" w14:textId="77777777" w:rsidR="00F931C4" w:rsidRDefault="00F931C4">
      <w:pPr>
        <w:spacing w:after="0" w:line="240" w:lineRule="auto"/>
        <w:contextualSpacing/>
        <w:jc w:val="both"/>
        <w:rPr>
          <w:rFonts w:ascii="Verdana" w:eastAsia="Calibri" w:hAnsi="Verdana" w:cs="Arial"/>
          <w:b/>
          <w:bCs/>
          <w:lang w:eastAsia="es-ES"/>
        </w:rPr>
      </w:pPr>
    </w:p>
    <w:p w14:paraId="64C29CD8" w14:textId="77777777" w:rsidR="00F931C4" w:rsidRDefault="00000000">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La expresión “la entidad respectiva” del encabezado del numeral 2 del artículo 8 de la Ley 80 de 1993 alude a la entidad estatal contratante, esto es, a la persona jurídica que adelanta el proceso de selección y comparece como parte en el contrato manifestando su consentimiento por conducto de su representante legal. Así lo confirma la lectura sistemática del numeral, cuyo literal b) se refiere expresamente a los servidores y a quienes ejercen el control interno o fiscal “de la entidad contratante”. La identificación o estructuración de la necesidad contractual por una dependencia de otra entidad pública no muta la condición de parte contratante ni amplía el alcance de la causal.</w:t>
      </w:r>
    </w:p>
    <w:p w14:paraId="190808E0" w14:textId="77777777" w:rsidR="00F931C4" w:rsidRDefault="00F931C4">
      <w:pPr>
        <w:spacing w:after="0" w:line="240" w:lineRule="auto"/>
        <w:contextualSpacing/>
        <w:jc w:val="both"/>
        <w:rPr>
          <w:rFonts w:ascii="Verdana" w:eastAsia="Calibri" w:hAnsi="Verdana" w:cs="Arial"/>
          <w:b/>
          <w:bCs/>
          <w:lang w:eastAsia="es-ES"/>
        </w:rPr>
      </w:pPr>
    </w:p>
    <w:p w14:paraId="64493D42" w14:textId="77777777" w:rsidR="00F931C4" w:rsidRDefault="00000000">
      <w:pPr>
        <w:spacing w:after="0" w:line="240" w:lineRule="auto"/>
        <w:contextualSpacing/>
        <w:jc w:val="both"/>
        <w:rPr>
          <w:rFonts w:ascii="Verdana" w:eastAsia="Calibri" w:hAnsi="Verdana" w:cs="Arial"/>
          <w:b/>
          <w:bCs/>
          <w:lang w:eastAsia="es-ES"/>
        </w:rPr>
      </w:pPr>
      <w:r>
        <w:rPr>
          <w:rFonts w:ascii="Verdana" w:eastAsia="Calibri" w:hAnsi="Verdana" w:cs="Arial"/>
          <w:b/>
          <w:bCs/>
          <w:lang w:eastAsia="es-ES"/>
        </w:rPr>
        <w:t>ESTABLECIMIENTOS PÚBLICOS ‒ Personería jurídica ‒ Sector administrativo ‒ No extensión analógica de las incompatibilidades</w:t>
      </w:r>
    </w:p>
    <w:p w14:paraId="68BFFC8B" w14:textId="77777777" w:rsidR="00F931C4" w:rsidRDefault="00F931C4">
      <w:pPr>
        <w:spacing w:after="0" w:line="240" w:lineRule="auto"/>
        <w:contextualSpacing/>
        <w:jc w:val="both"/>
        <w:rPr>
          <w:rFonts w:ascii="Verdana" w:eastAsia="Calibri" w:hAnsi="Verdana" w:cs="Arial"/>
          <w:b/>
          <w:bCs/>
          <w:lang w:eastAsia="es-ES"/>
        </w:rPr>
      </w:pPr>
    </w:p>
    <w:p w14:paraId="3AF42A1A" w14:textId="77777777" w:rsidR="0074366D" w:rsidRDefault="00000000" w:rsidP="0074366D">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Los establecimientos públicos son entidades descentralizadas dotadas de personería jurídica, autonomía administrativa y financiera y patrimonio independiente, conforme a la Ley 489 de 1998. La pertenencia de varias entidades a un mismo sector administrativo es un criterio de orientación y coordinación que no unifica su personalidad jurídica ni permite tratarlas como una sola entidad para efectos del régimen de inhabilidades e incompatibilidades, cuya interpretación restrictiva impide extender la causal del literal c) a entidades distintas de la contratante, sin perjuicio del análisis independiente que corresponda en materia de conflictos de interés.</w:t>
      </w:r>
    </w:p>
    <w:p w14:paraId="22AAFBD0" w14:textId="63BDA1D0" w:rsidR="00DD0FDA" w:rsidRPr="0074366D" w:rsidRDefault="003E7B40" w:rsidP="0074366D">
      <w:pPr>
        <w:spacing w:after="0" w:line="240" w:lineRule="auto"/>
        <w:contextualSpacing/>
        <w:jc w:val="both"/>
        <w:rPr>
          <w:rFonts w:ascii="Verdana" w:eastAsia="Calibri" w:hAnsi="Verdana" w:cs="Arial"/>
          <w:lang w:eastAsia="es-ES"/>
        </w:rPr>
      </w:pPr>
      <w:r w:rsidRPr="0074366D">
        <w:rPr>
          <w:rFonts w:ascii="Verdana" w:eastAsia="Calibri" w:hAnsi="Verdana" w:cs="Arial"/>
          <w:bCs/>
          <w:lang w:eastAsia="es-ES_tradnl"/>
        </w:rPr>
        <w:lastRenderedPageBreak/>
        <w:t xml:space="preserve">Bogotá D.C., 03 de </w:t>
      </w:r>
      <w:r w:rsidR="0074366D" w:rsidRPr="0074366D">
        <w:rPr>
          <w:rFonts w:ascii="Verdana" w:eastAsia="Calibri" w:hAnsi="Verdana" w:cs="Arial"/>
          <w:bCs/>
          <w:lang w:eastAsia="es-ES_tradnl"/>
        </w:rPr>
        <w:t>septiembre</w:t>
      </w:r>
      <w:r w:rsidRPr="0074366D">
        <w:rPr>
          <w:rFonts w:ascii="Verdana" w:eastAsia="Calibri" w:hAnsi="Verdana" w:cs="Arial"/>
          <w:bCs/>
          <w:lang w:eastAsia="es-ES_tradnl"/>
        </w:rPr>
        <w:t xml:space="preserve"> de 2026</w:t>
      </w:r>
    </w:p>
    <w:p w14:paraId="148B141C" w14:textId="361C3550" w:rsidR="00DD0FDA" w:rsidRDefault="00DD0FDA" w:rsidP="00DD0FDA">
      <w:pPr>
        <w:spacing w:after="0" w:line="240" w:lineRule="auto"/>
        <w:rPr>
          <w:rFonts w:ascii="Verdana" w:hAnsi="Verdana"/>
        </w:rPr>
      </w:pPr>
    </w:p>
    <w:p w14:paraId="4F0CB89F" w14:textId="1FB6BA09" w:rsidR="0074366D" w:rsidRDefault="0074366D">
      <w:pPr>
        <w:spacing w:after="0" w:line="240" w:lineRule="auto"/>
        <w:rPr>
          <w:rFonts w:ascii="Verdana" w:eastAsia="Calibri" w:hAnsi="Verdana" w:cs="Arial"/>
          <w:lang w:val="es-ES" w:eastAsia="es-ES"/>
        </w:rPr>
      </w:pPr>
    </w:p>
    <w:p w14:paraId="255B1DBB" w14:textId="7AA07780" w:rsidR="0074366D" w:rsidRDefault="0074366D">
      <w:pPr>
        <w:spacing w:after="0" w:line="240" w:lineRule="auto"/>
        <w:rPr>
          <w:rFonts w:ascii="Verdana" w:eastAsia="Calibri" w:hAnsi="Verdana" w:cs="Arial"/>
          <w:lang w:val="es-ES" w:eastAsia="es-ES"/>
        </w:rPr>
      </w:pPr>
    </w:p>
    <w:p w14:paraId="215B621F" w14:textId="4433F998" w:rsidR="00F931C4" w:rsidRPr="0074366D" w:rsidRDefault="0074366D">
      <w:pPr>
        <w:spacing w:after="0" w:line="240" w:lineRule="auto"/>
        <w:rPr>
          <w:rFonts w:ascii="Verdana" w:eastAsia="Calibri" w:hAnsi="Verdana" w:cs="Arial"/>
          <w:lang w:val="es-ES" w:eastAsia="es-ES"/>
        </w:rPr>
      </w:pPr>
      <w:r w:rsidRPr="0074366D">
        <w:rPr>
          <w:rFonts w:ascii="Verdana" w:eastAsia="Calibri" w:hAnsi="Verdana" w:cs="Arial"/>
          <w:noProof/>
          <w:sz w:val="24"/>
          <w:szCs w:val="24"/>
          <w:lang w:val="es-ES" w:eastAsia="es-ES"/>
        </w:rPr>
        <w:drawing>
          <wp:anchor distT="0" distB="0" distL="114300" distR="114300" simplePos="0" relativeHeight="251658240" behindDoc="1" locked="0" layoutInCell="1" allowOverlap="1" wp14:anchorId="46A467EF" wp14:editId="74643AE3">
            <wp:simplePos x="0" y="0"/>
            <wp:positionH relativeFrom="margin">
              <wp:align>right</wp:align>
            </wp:positionH>
            <wp:positionV relativeFrom="paragraph">
              <wp:posOffset>5798</wp:posOffset>
            </wp:positionV>
            <wp:extent cx="2978150" cy="914400"/>
            <wp:effectExtent l="0" t="0" r="0" b="0"/>
            <wp:wrapSquare wrapText="bothSides"/>
            <wp:docPr id="849232577"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2577" name="Imagen 1" descr="Interfaz de usuario gráfica, Texto&#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8150" cy="914400"/>
                    </a:xfrm>
                    <a:prstGeom prst="rect">
                      <a:avLst/>
                    </a:prstGeom>
                  </pic:spPr>
                </pic:pic>
              </a:graphicData>
            </a:graphic>
            <wp14:sizeRelH relativeFrom="page">
              <wp14:pctWidth>0</wp14:pctWidth>
            </wp14:sizeRelH>
            <wp14:sizeRelV relativeFrom="page">
              <wp14:pctHeight>0</wp14:pctHeight>
            </wp14:sizeRelV>
          </wp:anchor>
        </w:drawing>
      </w:r>
      <w:r w:rsidR="00000000">
        <w:rPr>
          <w:rFonts w:ascii="Verdana" w:eastAsia="Calibri" w:hAnsi="Verdana" w:cs="Arial"/>
          <w:lang w:val="es-ES" w:eastAsia="es-ES"/>
        </w:rPr>
        <w:t>Señor</w:t>
      </w:r>
    </w:p>
    <w:p w14:paraId="49CFF5CF" w14:textId="77777777" w:rsidR="00F931C4" w:rsidRPr="00DD0FDA" w:rsidRDefault="00000000">
      <w:pPr>
        <w:spacing w:after="0" w:line="240" w:lineRule="auto"/>
        <w:rPr>
          <w:rFonts w:ascii="Verdana" w:hAnsi="Verdana"/>
          <w:b/>
          <w:bCs/>
          <w:lang w:val="es-ES"/>
        </w:rPr>
      </w:pPr>
      <w:r>
        <w:rPr>
          <w:rFonts w:ascii="Verdana" w:eastAsia="Calibri" w:hAnsi="Verdana" w:cs="Arial"/>
          <w:b/>
          <w:bCs/>
          <w:lang w:val="es-ES" w:eastAsia="es-ES"/>
        </w:rPr>
        <w:t>Luis Mario Ramírez Leal</w:t>
      </w:r>
    </w:p>
    <w:p w14:paraId="4A15E908" w14:textId="77777777" w:rsidR="00F931C4" w:rsidRDefault="00000000">
      <w:pPr>
        <w:spacing w:after="0" w:line="240" w:lineRule="auto"/>
        <w:rPr>
          <w:rFonts w:ascii="Verdana" w:hAnsi="Verdana"/>
          <w:lang w:val="es-ES"/>
        </w:rPr>
      </w:pPr>
      <w:r>
        <w:rPr>
          <w:rFonts w:ascii="Verdana" w:eastAsia="Calibri" w:hAnsi="Verdana" w:cs="Arial"/>
          <w:lang w:val="es-ES" w:eastAsia="es-ES"/>
        </w:rPr>
        <w:t>lumramirezle@unal.edu.co</w:t>
      </w:r>
    </w:p>
    <w:p w14:paraId="4599A1C9" w14:textId="77777777" w:rsidR="00F931C4" w:rsidRDefault="00000000">
      <w:pPr>
        <w:spacing w:after="0" w:line="240" w:lineRule="auto"/>
        <w:rPr>
          <w:rFonts w:ascii="Verdana" w:hAnsi="Verdana"/>
          <w:lang w:val="es-ES"/>
        </w:rPr>
      </w:pPr>
      <w:r>
        <w:rPr>
          <w:rFonts w:ascii="Verdana" w:eastAsia="Calibri" w:hAnsi="Verdana" w:cs="Arial"/>
          <w:lang w:val="es-ES" w:eastAsia="es-ES"/>
        </w:rPr>
        <w:t>Bogotá D.C.</w:t>
      </w:r>
    </w:p>
    <w:p w14:paraId="0BA60422" w14:textId="77777777" w:rsidR="005B1993" w:rsidRPr="00966744" w:rsidRDefault="005B1993" w:rsidP="003248CC">
      <w:pPr>
        <w:spacing w:after="0" w:line="240" w:lineRule="auto"/>
        <w:rPr>
          <w:rFonts w:ascii="Verdana" w:eastAsia="Calibri" w:hAnsi="Verdana" w:cs="Arial"/>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7871E6" w:rsidRPr="00777292" w14:paraId="5C67A63C" w14:textId="77777777" w:rsidTr="000A1473">
        <w:trPr>
          <w:trHeight w:val="190"/>
        </w:trPr>
        <w:tc>
          <w:tcPr>
            <w:tcW w:w="2689" w:type="dxa"/>
          </w:tcPr>
          <w:p w14:paraId="7AF93123" w14:textId="77777777" w:rsidR="007871E6" w:rsidRDefault="007871E6" w:rsidP="005B1993">
            <w:pPr>
              <w:jc w:val="both"/>
              <w:rPr>
                <w:rFonts w:ascii="Verdana" w:eastAsia="Calibri" w:hAnsi="Verdana" w:cs="Arial"/>
                <w:b/>
                <w:bCs/>
                <w:lang w:eastAsia="es-ES_tradnl"/>
              </w:rPr>
            </w:pPr>
          </w:p>
          <w:p w14:paraId="44DF1309" w14:textId="77777777" w:rsidR="005B1993" w:rsidRPr="00777292" w:rsidRDefault="005B1993" w:rsidP="005B1993">
            <w:pPr>
              <w:jc w:val="both"/>
              <w:rPr>
                <w:rFonts w:ascii="Verdana" w:eastAsia="Calibri" w:hAnsi="Verdana" w:cs="Arial"/>
                <w:b/>
                <w:bCs/>
                <w:lang w:eastAsia="es-ES_tradnl"/>
              </w:rPr>
            </w:pPr>
          </w:p>
        </w:tc>
        <w:tc>
          <w:tcPr>
            <w:tcW w:w="6100" w:type="dxa"/>
          </w:tcPr>
          <w:p w14:paraId="3CEA1BE8" w14:textId="18FB220D" w:rsidR="007871E6" w:rsidRPr="00777292" w:rsidRDefault="007871E6">
            <w:pPr>
              <w:jc w:val="both"/>
              <w:rPr>
                <w:rFonts w:ascii="Verdana" w:eastAsia="Calibri" w:hAnsi="Verdana" w:cs="Arial"/>
                <w:b/>
                <w:bCs/>
                <w:lang w:eastAsia="es-ES"/>
              </w:rPr>
            </w:pPr>
            <w:r>
              <w:rPr>
                <w:rFonts w:ascii="Verdana" w:eastAsia="Calibri" w:hAnsi="Verdana" w:cs="Arial"/>
                <w:b/>
                <w:bCs/>
                <w:lang w:eastAsia="es-ES"/>
              </w:rPr>
              <w:t>Concepto C-1257 de 2026</w:t>
            </w:r>
          </w:p>
          <w:p w14:paraId="7C3D72BD" w14:textId="77777777" w:rsidR="007871E6" w:rsidRPr="00777292" w:rsidRDefault="007871E6">
            <w:pPr>
              <w:jc w:val="both"/>
              <w:rPr>
                <w:rFonts w:ascii="Verdana" w:eastAsia="Calibri" w:hAnsi="Verdana" w:cs="Arial"/>
                <w:b/>
                <w:bCs/>
                <w:lang w:eastAsia="es-ES"/>
              </w:rPr>
            </w:pPr>
          </w:p>
        </w:tc>
      </w:tr>
      <w:tr w:rsidR="007871E6" w:rsidRPr="00777292" w14:paraId="40276092" w14:textId="77777777" w:rsidTr="000A1473">
        <w:trPr>
          <w:trHeight w:val="884"/>
        </w:trPr>
        <w:tc>
          <w:tcPr>
            <w:tcW w:w="2689" w:type="dxa"/>
          </w:tcPr>
          <w:p w14:paraId="0F612317" w14:textId="77777777" w:rsidR="007871E6" w:rsidRPr="00777292" w:rsidRDefault="007871E6" w:rsidP="005B1993">
            <w:pPr>
              <w:jc w:val="both"/>
              <w:rPr>
                <w:rFonts w:ascii="Verdana" w:eastAsia="Calibri" w:hAnsi="Verdana" w:cs="Arial"/>
                <w:lang w:eastAsia="es-ES_tradnl"/>
              </w:rPr>
            </w:pPr>
            <w:r>
              <w:rPr>
                <w:rFonts w:ascii="Verdana" w:eastAsia="Calibri" w:hAnsi="Verdana" w:cs="Arial"/>
                <w:b/>
                <w:lang w:eastAsia="es-ES_tradnl"/>
              </w:rPr>
              <w:t>Tema:</w:t>
            </w:r>
            <w:r>
              <w:rPr>
                <w:rFonts w:ascii="Verdana" w:eastAsia="Calibri" w:hAnsi="Verdana" w:cs="Arial"/>
                <w:lang w:eastAsia="es-ES_tradnl"/>
              </w:rPr>
              <w:t xml:space="preserve">                   </w:t>
            </w:r>
          </w:p>
        </w:tc>
        <w:tc>
          <w:tcPr>
            <w:tcW w:w="6100" w:type="dxa"/>
          </w:tcPr>
          <w:p w14:paraId="39FB34C2" w14:textId="77777777" w:rsidR="007871E6" w:rsidRDefault="007871E6" w:rsidP="00C00CDF">
            <w:pPr>
              <w:contextualSpacing/>
              <w:jc w:val="both"/>
              <w:rPr>
                <w:rFonts w:ascii="Verdana" w:eastAsia="Calibri" w:hAnsi="Verdana" w:cs="Arial"/>
                <w:lang w:eastAsia="es-ES"/>
              </w:rPr>
            </w:pPr>
            <w:r>
              <w:rPr>
                <w:rFonts w:ascii="Verdana" w:eastAsia="Calibri" w:hAnsi="Verdana" w:cs="Arial"/>
                <w:lang w:eastAsia="es-ES"/>
              </w:rPr>
              <w:t>INHABILIDADES E INCOMPATIBILIDADES ‒ Fundamento ‒ Taxatividad ‒ Interpretación restrictiva / INCOMPATIBILIDAD DEL LITERAL C) DEL NUMERAL 2 DEL ARTÍCULO 8 DE LA LEY 80 DE 1993 ‒ Cónyuge o compañero permanente ‒ Servidores de los niveles directivo, asesor o ejecutivo ‒ Control interno o fiscal / LA ENTIDAD RESPECTIVA ‒ Alcance ‒ Entidad estatal contratante ‒ Personería jurídica / ESTABLECIMIENTOS PÚBLICOS ‒ Personería jurídica ‒ Sector administrativo ‒ No extensión analógica de las incompatibilidades</w:t>
            </w:r>
          </w:p>
          <w:p w14:paraId="1C8BF449" w14:textId="77777777" w:rsidR="003939CD" w:rsidRPr="00777292" w:rsidRDefault="003939CD" w:rsidP="00C00CDF">
            <w:pPr>
              <w:contextualSpacing/>
              <w:jc w:val="both"/>
              <w:rPr>
                <w:rFonts w:ascii="Verdana" w:eastAsia="Calibri" w:hAnsi="Verdana" w:cs="Arial"/>
                <w:lang w:eastAsia="es-ES"/>
              </w:rPr>
            </w:pPr>
          </w:p>
        </w:tc>
      </w:tr>
      <w:tr w:rsidR="007871E6" w:rsidRPr="00777292" w14:paraId="4C249E16" w14:textId="77777777" w:rsidTr="000A1473">
        <w:tc>
          <w:tcPr>
            <w:tcW w:w="2689" w:type="dxa"/>
          </w:tcPr>
          <w:p w14:paraId="41B0A8E4" w14:textId="77777777" w:rsidR="007871E6" w:rsidRPr="00777292" w:rsidRDefault="007871E6" w:rsidP="005B1993">
            <w:pPr>
              <w:jc w:val="both"/>
              <w:rPr>
                <w:rFonts w:ascii="Verdana" w:eastAsia="Calibri" w:hAnsi="Verdana" w:cs="Arial"/>
                <w:b/>
                <w:lang w:eastAsia="es-ES_tradnl"/>
              </w:rPr>
            </w:pPr>
            <w:r>
              <w:rPr>
                <w:rFonts w:ascii="Verdana" w:eastAsia="Calibri" w:hAnsi="Verdana" w:cs="Arial"/>
                <w:b/>
                <w:lang w:eastAsia="es-ES_tradnl"/>
              </w:rPr>
              <w:t>Radicación:</w:t>
            </w:r>
            <w:r>
              <w:rPr>
                <w:rFonts w:ascii="Verdana" w:eastAsia="Calibri" w:hAnsi="Verdana" w:cs="Arial"/>
                <w:lang w:eastAsia="es-ES_tradnl"/>
              </w:rPr>
              <w:t xml:space="preserve">               </w:t>
            </w:r>
          </w:p>
        </w:tc>
        <w:tc>
          <w:tcPr>
            <w:tcW w:w="6100" w:type="dxa"/>
          </w:tcPr>
          <w:p w14:paraId="314C033A" w14:textId="77777777" w:rsidR="007871E6" w:rsidRPr="00777292" w:rsidRDefault="007871E6" w:rsidP="005B1993">
            <w:pPr>
              <w:jc w:val="both"/>
              <w:rPr>
                <w:rFonts w:ascii="Verdana" w:eastAsia="Calibri" w:hAnsi="Verdana" w:cs="Arial"/>
                <w:lang w:eastAsia="es-ES_tradnl"/>
              </w:rPr>
            </w:pPr>
            <w:r>
              <w:rPr>
                <w:rFonts w:ascii="Verdana" w:eastAsia="Calibri" w:hAnsi="Verdana" w:cs="Arial"/>
                <w:lang w:eastAsia="es-ES_tradnl"/>
              </w:rPr>
              <w:t>Respuesta a consulta con radicado No. 1_2026_08_11_010555</w:t>
            </w:r>
          </w:p>
        </w:tc>
      </w:tr>
    </w:tbl>
    <w:p w14:paraId="33D19FEA" w14:textId="77777777" w:rsidR="007871E6" w:rsidRPr="00206556" w:rsidRDefault="007871E6" w:rsidP="005B1993">
      <w:pPr>
        <w:tabs>
          <w:tab w:val="left" w:pos="1520"/>
        </w:tabs>
        <w:spacing w:after="0" w:line="276" w:lineRule="auto"/>
        <w:jc w:val="both"/>
        <w:rPr>
          <w:rFonts w:ascii="Verdana" w:eastAsia="Calibri" w:hAnsi="Verdana" w:cs="Arial"/>
          <w:color w:val="ED7D31" w:themeColor="accent2"/>
          <w:sz w:val="20"/>
          <w:szCs w:val="20"/>
          <w:lang w:val="es-ES" w:eastAsia="es-ES"/>
        </w:rPr>
      </w:pPr>
    </w:p>
    <w:p w14:paraId="0BF09965" w14:textId="77777777" w:rsidR="007871E6" w:rsidRPr="00206556" w:rsidRDefault="007871E6" w:rsidP="005B1993">
      <w:pPr>
        <w:spacing w:after="0" w:line="276" w:lineRule="auto"/>
        <w:jc w:val="both"/>
        <w:rPr>
          <w:rFonts w:ascii="Verdana" w:eastAsia="Calibri" w:hAnsi="Verdana" w:cs="Arial"/>
          <w:color w:val="ED7D31" w:themeColor="accent2"/>
          <w:lang w:val="es-ES" w:eastAsia="es-ES"/>
        </w:rPr>
      </w:pPr>
    </w:p>
    <w:p w14:paraId="283972D0" w14:textId="77777777" w:rsidR="007871E6" w:rsidRPr="00206556" w:rsidRDefault="007871E6">
      <w:pPr>
        <w:spacing w:after="0" w:line="276" w:lineRule="auto"/>
        <w:jc w:val="both"/>
        <w:rPr>
          <w:rFonts w:ascii="Verdana" w:eastAsia="Calibri" w:hAnsi="Verdana" w:cs="Arial"/>
          <w:lang w:val="es-ES" w:eastAsia="es-ES"/>
        </w:rPr>
      </w:pPr>
      <w:r>
        <w:rPr>
          <w:rFonts w:ascii="Verdana" w:eastAsia="Calibri" w:hAnsi="Verdana" w:cs="Arial"/>
          <w:lang w:val="es-ES" w:eastAsia="es-ES"/>
        </w:rPr>
        <w:t>Estimado señor Ramírez:</w:t>
      </w:r>
    </w:p>
    <w:p w14:paraId="3EF6551A" w14:textId="77777777" w:rsidR="007871E6" w:rsidRPr="00206556" w:rsidRDefault="007871E6">
      <w:pPr>
        <w:tabs>
          <w:tab w:val="left" w:pos="3768"/>
        </w:tabs>
        <w:spacing w:after="0" w:line="276" w:lineRule="auto"/>
        <w:jc w:val="both"/>
        <w:rPr>
          <w:rFonts w:ascii="Verdana" w:eastAsia="Calibri" w:hAnsi="Verdana" w:cs="Arial"/>
          <w:lang w:val="es-ES" w:eastAsia="es-ES"/>
        </w:rPr>
      </w:pPr>
      <w:r>
        <w:rPr>
          <w:rFonts w:ascii="Verdana" w:eastAsia="Calibri" w:hAnsi="Verdana" w:cs="Arial"/>
          <w:lang w:val="es-ES" w:eastAsia="es-ES"/>
        </w:rPr>
        <w:tab/>
      </w:r>
    </w:p>
    <w:p w14:paraId="0B2BA17D" w14:textId="76717D9C" w:rsidR="007871E6" w:rsidRPr="00206556" w:rsidRDefault="007871E6">
      <w:pPr>
        <w:spacing w:after="0" w:line="276" w:lineRule="auto"/>
        <w:jc w:val="both"/>
        <w:rPr>
          <w:rFonts w:ascii="Verdana" w:eastAsia="Calibri" w:hAnsi="Verdana" w:cs="Arial"/>
          <w:lang w:val="es-ES" w:eastAsia="es-ES"/>
        </w:rPr>
      </w:pPr>
      <w:r>
        <w:rPr>
          <w:rFonts w:ascii="Verdana" w:eastAsia="Calibri" w:hAnsi="Verdana" w:cs="Arial"/>
          <w:lang w:val="es-ES" w:eastAsia="es-ES"/>
        </w:rPr>
        <w:t>En ejercicio de la competencia otorgada por los artículos 3, numeral 5º, y 11, numeral 8º, del Decreto Ley 4170 de 2011,</w:t>
      </w:r>
      <w:r>
        <w:rPr>
          <w:rFonts w:ascii="Verdana" w:eastAsia="Arial MT" w:hAnsi="Verdana" w:cs="Arial MT"/>
          <w:lang w:val="es-ES" w:eastAsia="es-ES"/>
        </w:rPr>
        <w:t xml:space="preserve"> </w:t>
      </w:r>
      <w:r>
        <w:rPr>
          <w:rFonts w:ascii="Verdana" w:hAnsi="Verdana" w:cs="Arial"/>
          <w:lang w:val="es-ES"/>
        </w:rPr>
        <w:t xml:space="preserve">así como lo establecido en la Resolución 469 de 2025 expedida por esta Entidad, </w:t>
      </w:r>
      <w:r>
        <w:rPr>
          <w:rFonts w:ascii="Verdana" w:eastAsia="Calibri" w:hAnsi="Verdana" w:cs="Arial"/>
          <w:lang w:val="es-ES" w:eastAsia="es-ES"/>
        </w:rPr>
        <w:t xml:space="preserve">la Agencia Nacional de Contratación Pública – Colombia Compra Eficiente– responde su solicitud de consulta del 3 de agosto de 2026, trasladada a esta Agencia por la Procuraduría General de la Nación mediante oficio S-2026-041694 del 6 de agosto de 2026, en la cual manifiesta lo siguiente: </w:t>
      </w:r>
    </w:p>
    <w:p w14:paraId="23DEE020" w14:textId="77777777" w:rsidR="007871E6" w:rsidRPr="006A0794" w:rsidRDefault="007871E6" w:rsidP="003248CC">
      <w:pPr>
        <w:spacing w:after="0" w:line="276" w:lineRule="auto"/>
        <w:ind w:right="709"/>
        <w:jc w:val="both"/>
        <w:rPr>
          <w:rFonts w:ascii="Verdana" w:eastAsia="Century Gothic" w:hAnsi="Verdana" w:cs="Century Gothic"/>
          <w:i/>
          <w:iCs/>
          <w:sz w:val="20"/>
          <w:szCs w:val="20"/>
          <w:lang w:val="es-ES"/>
        </w:rPr>
      </w:pPr>
    </w:p>
    <w:p w14:paraId="3848E971" w14:textId="77777777" w:rsidR="00F931C4" w:rsidRDefault="00000000">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“Primera. ¿Cuál es el alcance jurídico de la expresión ‘la entidad respectiva’ contenida en el artículo 8, numeral 2, literal c), de la Ley 80 de 1993?</w:t>
      </w:r>
    </w:p>
    <w:p w14:paraId="60306845" w14:textId="77777777" w:rsidR="00F931C4" w:rsidRDefault="00000000">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 xml:space="preserve">Segunda. Para efectos de dicha disposición, ¿la expresión ‘la entidad respectiva’ hace referencia exclusivamente a la persona jurídica estatal </w:t>
      </w:r>
      <w:r>
        <w:rPr>
          <w:rFonts w:ascii="Verdana" w:eastAsia="Century Gothic" w:hAnsi="Verdana" w:cs="Century Gothic"/>
          <w:sz w:val="20"/>
          <w:szCs w:val="20"/>
        </w:rPr>
        <w:lastRenderedPageBreak/>
        <w:t>que comparece como parte en el contrato y manifiesta el consentimiento contractual por conducto de su representante legal, o puede comprender otras entidades públicas con personería jurídica propia pertenecientes al mismo sector administrativo?</w:t>
      </w:r>
    </w:p>
    <w:p w14:paraId="3C1CFF33" w14:textId="77777777" w:rsidR="00F931C4" w:rsidRDefault="00000000">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Tercera. Cuando la entidad contratante corresponde a un establecimiento público del orden nacional con personería jurídica, autonomía administrativa y patrimonio propio, ¿dichas características resultan jurídicamente relevantes para determinar el alcance de la incompatibilidad prevista en el artículo 8 de la Ley 80?</w:t>
      </w:r>
    </w:p>
    <w:p w14:paraId="3F772317" w14:textId="77777777" w:rsidR="00F931C4" w:rsidRDefault="00000000">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Cuarta. ¿La circunstancia de que la necesidad contractual haya sido identificada, estructurada técnicamente o posteriormente atendida por una dependencia perteneciente a una entidad pública distinta de la entidad contratante modifica el alcance jurídico de la expresión ‘la entidad respectiva’ contenida en el artículo 8 de la Ley 80?</w:t>
      </w:r>
    </w:p>
    <w:p w14:paraId="1346FFE4" w14:textId="77777777" w:rsidR="00F931C4" w:rsidRDefault="00000000">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Quinta. En un supuesto abstracto en el cual el cónyuge del contratista desempeñe el cargo de Jefe Nacional del Área de Control Interno de la Policía Nacional, ¿el análisis de la incompatibilidad prevista en el artículo 8 de la Ley 80 debe realizarse exclusivamente respecto de la entidad estatal que celebra el contrato o puede extenderse a otra entidad estatal con personería jurídica propia perteneciente al mismo sector administrativo?</w:t>
      </w:r>
    </w:p>
    <w:p w14:paraId="25D38DAB" w14:textId="77777777" w:rsidR="00F931C4" w:rsidRDefault="00000000">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Sexta. ¿La interpretación de las incompatibilidades previstas en el artículo 8 de la Ley 80 admite extensión por analogía entre entidades públicas con personalidad jurídica independiente pertenecientes al mismo sector administrativo, o por el contrario debe sujetarse a un criterio de interpretación estricta atendiendo al principio de legalidad?</w:t>
      </w:r>
    </w:p>
    <w:p w14:paraId="3FEEA9AB" w14:textId="77777777" w:rsidR="00F931C4" w:rsidRDefault="00000000">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Séptima. ¿Existe doctrina institucional vigente, concepto jurídico, precedente administrativo o línea jurisprudencial que haya analizado expresamente la aplicación del artículo 8, numeral 2, literal c), de la Ley 80 cuando la entidad contratante corresponde a un establecimiento público con personería jurídica propia y el servidor público respecto del cual se predica la incompatibilidad presta sus servicios en otra entidad pública perteneciente al mismo sector administrativo? En caso afirmativo, respetuosamente solicito indicar las providencias, conceptos o documentos que soportan dicho criterio.</w:t>
      </w:r>
    </w:p>
    <w:p w14:paraId="41EFE913" w14:textId="77777777" w:rsidR="00F931C4" w:rsidRDefault="00000000">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t>Octava. En caso de no existir doctrina institucional unificada sobre las cuestiones consultadas, respetuosamente solicito se indique expresamente dicha circunstancia”.</w:t>
      </w:r>
    </w:p>
    <w:p w14:paraId="588A01D8" w14:textId="77777777" w:rsidR="007871E6" w:rsidRPr="003248CC" w:rsidRDefault="007871E6" w:rsidP="003248CC">
      <w:pPr>
        <w:spacing w:before="120" w:after="120" w:line="276" w:lineRule="auto"/>
        <w:ind w:left="709" w:right="709"/>
        <w:contextualSpacing/>
        <w:rPr>
          <w:rFonts w:ascii="Verdana" w:eastAsia="Century Gothic" w:hAnsi="Verdana" w:cs="Century Gothic"/>
          <w:lang w:val="es-ES"/>
        </w:rPr>
      </w:pPr>
    </w:p>
    <w:p w14:paraId="4175A92A" w14:textId="77777777" w:rsidR="007871E6" w:rsidRPr="00206556" w:rsidRDefault="007871E6" w:rsidP="005B1993">
      <w:pPr>
        <w:spacing w:after="120" w:line="276" w:lineRule="auto"/>
        <w:ind w:firstLine="708"/>
        <w:jc w:val="both"/>
        <w:rPr>
          <w:rFonts w:ascii="Verdana" w:eastAsia="Calibri" w:hAnsi="Verdana" w:cs="Arial"/>
          <w:lang w:val="es-ES" w:eastAsia="es-ES"/>
        </w:rPr>
      </w:pPr>
      <w:r>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w:t>
      </w:r>
      <w:r>
        <w:rPr>
          <w:rFonts w:ascii="Verdana" w:eastAsia="Calibri" w:hAnsi="Verdana" w:cs="Arial"/>
          <w:lang w:val="es-ES" w:eastAsia="es-ES"/>
        </w:rPr>
        <w:lastRenderedPageBreak/>
        <w:t xml:space="preserve">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al </w:t>
      </w:r>
      <w:r>
        <w:rPr>
          <w:rFonts w:ascii="Verdana" w:hAnsi="Verdana"/>
        </w:rPr>
        <w:t>Estatuto General de Contratación Pública</w:t>
      </w:r>
      <w:r>
        <w:rPr>
          <w:rFonts w:ascii="Verdana" w:eastAsia="Calibri" w:hAnsi="Verdana" w:cs="Arial"/>
          <w:lang w:val="es-ES" w:eastAsia="es-ES"/>
        </w:rPr>
        <w:t xml:space="preserve"> o de los demás participantes de la contratación pública. Esta competencia de interpretación de normas generales, por definición, no puede extenderse a la resolución de controversias, ni a brindar asesorías sobre casos puntuales.  </w:t>
      </w:r>
      <w:r>
        <w:rPr>
          <w:rFonts w:ascii="Verdana" w:hAnsi="Verdana"/>
          <w:lang w:val="es-ES"/>
        </w:rPr>
        <w:tab/>
      </w:r>
    </w:p>
    <w:p w14:paraId="59E78719" w14:textId="77777777" w:rsidR="007871E6" w:rsidRPr="00206556" w:rsidRDefault="007871E6" w:rsidP="005B1993">
      <w:pPr>
        <w:spacing w:after="0" w:line="276" w:lineRule="auto"/>
        <w:ind w:firstLine="709"/>
        <w:jc w:val="both"/>
        <w:rPr>
          <w:rFonts w:ascii="Verdana" w:eastAsia="Calibri" w:hAnsi="Verdana" w:cs="Arial"/>
          <w:lang w:val="es-ES" w:eastAsia="es-ES"/>
        </w:rPr>
      </w:pPr>
      <w:r>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2236B7EE" w14:textId="77777777" w:rsidR="007871E6" w:rsidRPr="00206556" w:rsidRDefault="007871E6" w:rsidP="005B1993">
      <w:pPr>
        <w:spacing w:after="0" w:line="276" w:lineRule="auto"/>
        <w:ind w:firstLine="709"/>
        <w:jc w:val="both"/>
        <w:rPr>
          <w:rFonts w:ascii="Verdana" w:eastAsia="Calibri" w:hAnsi="Verdana" w:cs="Arial"/>
          <w:lang w:val="es-ES" w:eastAsia="es-ES"/>
        </w:rPr>
      </w:pPr>
    </w:p>
    <w:p w14:paraId="283AE3E1" w14:textId="77777777" w:rsidR="007871E6" w:rsidRPr="00206556" w:rsidRDefault="007871E6" w:rsidP="003248CC">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1. Problema planteado:</w:t>
      </w:r>
    </w:p>
    <w:p w14:paraId="7644EDFA" w14:textId="77777777" w:rsidR="007871E6" w:rsidRPr="00206556" w:rsidRDefault="007871E6" w:rsidP="005B1993">
      <w:pPr>
        <w:tabs>
          <w:tab w:val="left" w:pos="426"/>
        </w:tabs>
        <w:spacing w:after="0" w:line="276" w:lineRule="auto"/>
        <w:jc w:val="both"/>
        <w:rPr>
          <w:rFonts w:ascii="Verdana" w:eastAsia="Century Gothic" w:hAnsi="Verdana" w:cs="Century Gothic"/>
          <w:color w:val="ED7D31" w:themeColor="accent2"/>
          <w:lang w:val="es-ES"/>
        </w:rPr>
      </w:pPr>
    </w:p>
    <w:p w14:paraId="4D6A7559"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De acuerdo con el contenido de su solicitud, esta Agencia resolverá los siguientes problemas jurídicos: (i) ¿cuál es el alcance de la expresión “la entidad respectiva” contenida en el numeral 2 del artículo 8 de la Ley 80 de 1993 y, en particular, de la incompatibilidad prevista en su literal c)?; (ii) ¿la referida incompatibilidad se predica únicamente de la entidad estatal contratante o se extiende a otras entidades públicas con personería jurídica propia pertenecientes al mismo sector administrativo, incluso cuando una de estas identifica o estructura la necesidad contractual?; y (iii) ¿el régimen de inhabilidades e incompatibilidades del Estatuto General de Contratación de la Administración Pública admite interpretación extensiva o aplicación analógica?</w:t>
      </w:r>
    </w:p>
    <w:p w14:paraId="0365AE62" w14:textId="77777777" w:rsidR="007871E6" w:rsidRPr="00206556" w:rsidRDefault="007871E6" w:rsidP="005B1993">
      <w:pPr>
        <w:spacing w:after="0" w:line="276" w:lineRule="auto"/>
        <w:jc w:val="both"/>
        <w:rPr>
          <w:rFonts w:ascii="Verdana" w:eastAsia="Century Gothic" w:hAnsi="Verdana" w:cs="Century Gothic"/>
          <w:color w:val="ED7D31" w:themeColor="accent2"/>
        </w:rPr>
      </w:pPr>
    </w:p>
    <w:p w14:paraId="6EDF9D6C" w14:textId="77777777" w:rsidR="007871E6" w:rsidRDefault="007871E6">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2. Respuesta:</w:t>
      </w:r>
    </w:p>
    <w:p w14:paraId="13A71E71" w14:textId="77777777" w:rsidR="005B1993" w:rsidRPr="00A4789E" w:rsidRDefault="005B1993">
      <w:pPr>
        <w:tabs>
          <w:tab w:val="left" w:pos="142"/>
          <w:tab w:val="left" w:pos="284"/>
        </w:tabs>
        <w:spacing w:after="0" w:line="276" w:lineRule="auto"/>
        <w:jc w:val="both"/>
        <w:rPr>
          <w:rFonts w:ascii="Verdana" w:eastAsia="Century Gothic" w:hAnsi="Verdana" w:cs="Century Gothic"/>
          <w:b/>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7871E6" w:rsidRPr="00206556" w14:paraId="32121596" w14:textId="77777777" w:rsidTr="000A1473">
        <w:tc>
          <w:tcPr>
            <w:tcW w:w="8828" w:type="dxa"/>
          </w:tcPr>
          <w:p w14:paraId="0D477F3D" w14:textId="77777777" w:rsidR="00F931C4" w:rsidRDefault="00000000">
            <w:pPr>
              <w:spacing w:line="276" w:lineRule="auto"/>
              <w:ind w:firstLine="709"/>
              <w:jc w:val="both"/>
              <w:rPr>
                <w:rFonts w:ascii="Verdana" w:eastAsia="Calibri" w:hAnsi="Verdana" w:cs="Arial"/>
              </w:rPr>
            </w:pPr>
            <w:r>
              <w:rPr>
                <w:rFonts w:ascii="Verdana" w:eastAsia="Calibri" w:hAnsi="Verdana" w:cs="Arial"/>
              </w:rPr>
              <w:t xml:space="preserve">En atención a los problemas jurídicos planteados, es necesario precisar que las inhabilidades e incompatibilidades constituyen restricciones a la capacidad para contratar con las entidades estatales y, en cuanto limitan el ejercicio de derechos, solo pueden tipificarse en la Constitución o en la ley, son taxativas y su interpretación debe ser restrictiva, sin que sea admisible su </w:t>
            </w:r>
            <w:r>
              <w:rPr>
                <w:rFonts w:ascii="Verdana" w:eastAsia="Calibri" w:hAnsi="Verdana" w:cs="Arial"/>
              </w:rPr>
              <w:lastRenderedPageBreak/>
              <w:t>ampliación por vía de interpretación extensiva o de analogía. Sobre el particular se precisa:</w:t>
            </w:r>
          </w:p>
          <w:p w14:paraId="3C9BC85E" w14:textId="77777777" w:rsidR="00DD0FDA" w:rsidRDefault="00DD0FDA">
            <w:pPr>
              <w:spacing w:line="276" w:lineRule="auto"/>
              <w:ind w:firstLine="709"/>
              <w:jc w:val="both"/>
              <w:rPr>
                <w:rFonts w:ascii="Verdana" w:eastAsia="Calibri" w:hAnsi="Verdana" w:cs="Arial"/>
              </w:rPr>
            </w:pPr>
          </w:p>
          <w:p w14:paraId="0AE904C1" w14:textId="1836EF07" w:rsidR="00F931C4" w:rsidRDefault="00000000">
            <w:pPr>
              <w:spacing w:line="276" w:lineRule="auto"/>
              <w:ind w:firstLine="709"/>
              <w:jc w:val="both"/>
              <w:rPr>
                <w:rFonts w:ascii="Verdana" w:eastAsia="Calibri" w:hAnsi="Verdana" w:cs="Arial"/>
              </w:rPr>
            </w:pPr>
            <w:r>
              <w:rPr>
                <w:rFonts w:ascii="Verdana" w:eastAsia="Calibri" w:hAnsi="Verdana" w:cs="Arial"/>
              </w:rPr>
              <w:t>(i) La expresión “la entidad respectiva” del encabezado del numeral 2 del artículo 8 de la Ley 80 de 1993 alude a la entidad estatal contratante, esto es, a la persona jurídica que adelanta el proceso de selección y que comparece como parte en el contrato manifestando su consentimiento por conducto de su representante legal. La lectura sistemática del numeral confirma este alcance: el literal b) se refiere expresamente a los servidores públicos y a quienes ejercen el control interno o fiscal “de la entidad contratante”, y el literal c) contempla la situación del cónyuge, compañero o compañera permanente de esos mismos servidores. En consecuencia, la incompatibilidad del literal c) se configura cuando el servidor con quien existe el vínculo ejerce el cargo de nivel directivo, asesor o ejecutivo, es miembro de la junta o consejo directivo, o desempeña funciones de control interno o de control fiscal en la entidad con la cual se pretende contratar.</w:t>
            </w:r>
          </w:p>
          <w:p w14:paraId="28681F6E" w14:textId="77777777" w:rsidR="00F931C4" w:rsidRDefault="00000000">
            <w:pPr>
              <w:spacing w:line="276" w:lineRule="auto"/>
              <w:ind w:firstLine="709"/>
              <w:jc w:val="both"/>
              <w:rPr>
                <w:rFonts w:ascii="Verdana" w:eastAsia="Calibri" w:hAnsi="Verdana" w:cs="Arial"/>
              </w:rPr>
            </w:pPr>
            <w:r>
              <w:rPr>
                <w:rFonts w:ascii="Verdana" w:eastAsia="Calibri" w:hAnsi="Verdana" w:cs="Arial"/>
              </w:rPr>
              <w:t>(ii) Cuando la entidad contratante es un establecimiento público, sus atributos de personería jurídica, autonomía administrativa y financiera y patrimonio independiente, previstos en la Ley 489 de 1998, sí resultan jurídicamente relevantes: en cuanto persona jurídica distinta, es respecto de ella —y no de otras entidades del sector al que se encuentra adscrita o vinculada— que debe examinarse la configuración de la causal. La pertenencia a un mismo sector administrativo es un criterio de orientación y coordinación que no unifica la personalidad jurídica de las entidades que lo integran ni las convierte en una sola “entidad” para efectos del régimen de inhabilidades e incompatibilidades. Del mismo modo, la circunstancia de que la necesidad contractual haya sido identificada, estructurada o posteriormente atendida por una dependencia de otra entidad pública no modifica la condición de parte contratante ni amplía el alcance de la causal.</w:t>
            </w:r>
          </w:p>
          <w:p w14:paraId="5F00D761" w14:textId="77777777" w:rsidR="00DD0FDA" w:rsidRDefault="00DD0FDA">
            <w:pPr>
              <w:spacing w:line="276" w:lineRule="auto"/>
              <w:ind w:firstLine="709"/>
              <w:jc w:val="both"/>
              <w:rPr>
                <w:rFonts w:ascii="Verdana" w:eastAsia="Calibri" w:hAnsi="Verdana" w:cs="Arial"/>
              </w:rPr>
            </w:pPr>
          </w:p>
          <w:p w14:paraId="3D8A8518" w14:textId="77777777" w:rsidR="00F931C4" w:rsidRDefault="00000000">
            <w:pPr>
              <w:spacing w:line="276" w:lineRule="auto"/>
              <w:ind w:firstLine="709"/>
              <w:jc w:val="both"/>
              <w:rPr>
                <w:rFonts w:ascii="Verdana" w:eastAsia="Calibri" w:hAnsi="Verdana" w:cs="Arial"/>
              </w:rPr>
            </w:pPr>
            <w:r>
              <w:rPr>
                <w:rFonts w:ascii="Verdana" w:eastAsia="Calibri" w:hAnsi="Verdana" w:cs="Arial"/>
              </w:rPr>
              <w:t xml:space="preserve">(iii) El régimen de inhabilidades e incompatibilidades no admite extensión por analogía ni interpretación extensiva: conforme a la línea reiterada de esta Subdirección, tales restricciones solo pueden tipificarse en la ley o la Constitución y su interpretación debe ser restrictiva, en aplicación del principio pro libertate. Lo anterior no obsta para que, en cada caso, los partícipes examinen de manera independiente la eventual configuración de </w:t>
            </w:r>
            <w:r>
              <w:rPr>
                <w:rFonts w:ascii="Verdana" w:eastAsia="Calibri" w:hAnsi="Verdana" w:cs="Arial"/>
              </w:rPr>
              <w:lastRenderedPageBreak/>
              <w:t>conflictos de interés y los deberes que de ellos se derivan, análisis que se rige por normas y criterios distintos de las causales de inhabilidad e incompatibilidad.</w:t>
            </w:r>
          </w:p>
          <w:p w14:paraId="26E7369C" w14:textId="77777777" w:rsidR="00DD0FDA" w:rsidRDefault="00DD0FDA">
            <w:pPr>
              <w:spacing w:line="276" w:lineRule="auto"/>
              <w:ind w:firstLine="709"/>
              <w:jc w:val="both"/>
              <w:rPr>
                <w:rFonts w:ascii="Verdana" w:eastAsia="Calibri" w:hAnsi="Verdana" w:cs="Arial"/>
              </w:rPr>
            </w:pPr>
          </w:p>
          <w:p w14:paraId="0620C429" w14:textId="77777777" w:rsidR="00F931C4" w:rsidRDefault="00000000">
            <w:pPr>
              <w:spacing w:line="276" w:lineRule="auto"/>
              <w:ind w:firstLine="709"/>
              <w:jc w:val="both"/>
              <w:rPr>
                <w:rFonts w:ascii="Verdana" w:eastAsia="Calibri" w:hAnsi="Verdana" w:cs="Arial"/>
              </w:rPr>
            </w:pPr>
            <w:r>
              <w:rPr>
                <w:rFonts w:ascii="Verdana" w:eastAsia="Calibri" w:hAnsi="Verdana" w:cs="Arial"/>
              </w:rPr>
              <w:t>Dentro de este marco, la entidad contratante definirá en cada caso concreto lo relacionado con el tema objeto de consulta. Al tratarse de un análisis que debe realizarse en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establecerá la forma de adelantar su gestión contractual, sin que sea atribución de la Agencia Nacional de Contratación Pública - Colombia Compra Eficiente validarla.</w:t>
            </w:r>
          </w:p>
        </w:tc>
      </w:tr>
    </w:tbl>
    <w:p w14:paraId="7AD2FA46" w14:textId="77777777" w:rsidR="007871E6" w:rsidRPr="00206556" w:rsidRDefault="007871E6" w:rsidP="007871E6">
      <w:pPr>
        <w:tabs>
          <w:tab w:val="left" w:pos="142"/>
          <w:tab w:val="left" w:pos="284"/>
        </w:tabs>
        <w:spacing w:after="0" w:line="276" w:lineRule="auto"/>
        <w:jc w:val="both"/>
        <w:rPr>
          <w:rFonts w:ascii="Verdana" w:eastAsia="Century Gothic" w:hAnsi="Verdana" w:cs="Century Gothic"/>
          <w:b/>
          <w:bCs/>
          <w:color w:val="ED7D31" w:themeColor="accent2"/>
          <w:lang w:val="es-ES"/>
        </w:rPr>
      </w:pPr>
    </w:p>
    <w:p w14:paraId="0AD84705" w14:textId="77777777" w:rsidR="007871E6" w:rsidRPr="00206556" w:rsidRDefault="007871E6" w:rsidP="007871E6">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3. Razones de la respuesta:</w:t>
      </w:r>
    </w:p>
    <w:p w14:paraId="26293A66" w14:textId="77777777" w:rsidR="007871E6" w:rsidRPr="00206556" w:rsidRDefault="007871E6" w:rsidP="007871E6">
      <w:pPr>
        <w:tabs>
          <w:tab w:val="left" w:pos="142"/>
          <w:tab w:val="left" w:pos="284"/>
        </w:tabs>
        <w:spacing w:after="0" w:line="276" w:lineRule="auto"/>
        <w:jc w:val="both"/>
        <w:rPr>
          <w:rFonts w:ascii="Verdana" w:eastAsia="Century Gothic" w:hAnsi="Verdana" w:cs="Century Gothic"/>
          <w:b/>
          <w:color w:val="ED7D31" w:themeColor="accent2"/>
          <w:lang w:val="es-ES"/>
        </w:rPr>
      </w:pPr>
    </w:p>
    <w:p w14:paraId="16B21BA5" w14:textId="77777777" w:rsidR="007871E6" w:rsidRPr="00206556" w:rsidRDefault="007871E6" w:rsidP="007871E6">
      <w:pPr>
        <w:spacing w:after="0" w:line="276" w:lineRule="auto"/>
        <w:jc w:val="both"/>
        <w:rPr>
          <w:rFonts w:ascii="Verdana" w:eastAsia="Calibri" w:hAnsi="Verdana" w:cs="Arial"/>
          <w:lang w:val="es-ES"/>
        </w:rPr>
      </w:pPr>
      <w:r>
        <w:rPr>
          <w:rFonts w:ascii="Verdana" w:eastAsia="Calibri" w:hAnsi="Verdana" w:cs="Arial"/>
          <w:lang w:val="es-ES"/>
        </w:rPr>
        <w:t>Lo anterior se sustenta en las siguientes consideraciones:</w:t>
      </w:r>
    </w:p>
    <w:p w14:paraId="49DB5272" w14:textId="77777777" w:rsidR="007871E6" w:rsidRPr="00206556" w:rsidRDefault="007871E6" w:rsidP="007871E6">
      <w:pPr>
        <w:spacing w:after="0" w:line="276" w:lineRule="auto"/>
        <w:jc w:val="both"/>
        <w:rPr>
          <w:rFonts w:ascii="Verdana" w:eastAsia="Calibri" w:hAnsi="Verdana" w:cs="Arial"/>
          <w:lang w:val="es-ES"/>
        </w:rPr>
      </w:pPr>
    </w:p>
    <w:p w14:paraId="7DF6C085"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(i) Para resolver los problemas jurídicos planteados, esta Agencia considera necesario partir del fundamento y de las características del régimen de inhabilidades e incompatibilidades en la contratación estatal, para luego examinar el alcance de la expresión “la entidad respectiva” del numeral 2 del artículo 8 de la Ley 80 de 1993 y, finalmente, analizar la incidencia de la personería jurídica de los establecimientos públicos y de la pertenencia a un mismo sector administrativo en la configuración de la incompatibilidad del literal c).</w:t>
      </w:r>
    </w:p>
    <w:p w14:paraId="7E4497BD"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El artículo 6 de la Ley 80 de 1993 consagra, como regla general, la capacidad de las personas legalmente capaces para celebrar contratos con las entidades estatales. Las inhabilidades e incompatibilidades son excepciones a esa regla: restricciones o límites especiales que impiden participar en los procesos de selección o celebrar contratos, establecidas por el constituyente o el legislador para preservar la moralidad administrativa, la transparencia, la imparcialidad y la prevalencia del interés general. Dentro de ese régimen, el numeral 2 del artículo 8 de la Ley 80 de 1993 –que integra, junto con la Ley 1150 de 2007, el Estatuto General de Contratación de la Administración Pública– dispone, en su encabezado y en los literales b) y c), lo siguiente:</w:t>
      </w:r>
    </w:p>
    <w:p w14:paraId="2BCD6395" w14:textId="77777777" w:rsidR="00F931C4" w:rsidRDefault="00000000">
      <w:pPr>
        <w:spacing w:after="0" w:line="240" w:lineRule="auto"/>
        <w:ind w:left="708" w:right="709"/>
        <w:jc w:val="both"/>
        <w:rPr>
          <w:rFonts w:ascii="Verdana" w:eastAsia="Century Gothic" w:hAnsi="Verdana" w:cs="Century Gothic"/>
          <w:sz w:val="20"/>
          <w:szCs w:val="20"/>
        </w:rPr>
      </w:pPr>
      <w:r>
        <w:rPr>
          <w:rFonts w:ascii="Verdana" w:eastAsia="Century Gothic" w:hAnsi="Verdana" w:cs="Century Gothic"/>
          <w:sz w:val="20"/>
          <w:szCs w:val="20"/>
        </w:rPr>
        <w:lastRenderedPageBreak/>
        <w:t>“Tampoco podrán participar en licitaciones o concursos ni celebrar contratos estatales con la entidad respectiva: […] 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c) El cónyuge compañero o compañera permanente del servidor público en los niveles directivo, asesor, ejecutivo, o de un miembro de la junta o consejo directivo, o de quien ejerza funciones de control interno o de control fiscal”.</w:t>
      </w:r>
    </w:p>
    <w:p w14:paraId="287E1D61"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Sobre la naturaleza de estas causales, existe línea consolidada de esta Subdirección conforme a la cual las inhabilidades e incompatibilidades, al ser restricciones o límites especiales a la capacidad contractual, solo pueden tipificarse en la ley o la Constitución, son taxativas y su interpretación debe ser restrictiva, pues admitir una interpretación amplia convertiría los enunciados legales en supuestos indeterminados, con grave afectación de la igualdad, el debido proceso, la seguridad jurídica y el principio de legalidad</w:t>
      </w:r>
      <w:r>
        <w:rPr>
          <w:rStyle w:val="Refdenotaalpie"/>
          <w:rFonts w:ascii="Verdana" w:eastAsia="Times New Roman" w:hAnsi="Verdana" w:cs="Times New Roman"/>
        </w:rPr>
        <w:footnoteReference w:id="2"/>
      </w:r>
      <w:r>
        <w:rPr>
          <w:rFonts w:ascii="Verdana" w:eastAsia="Times New Roman" w:hAnsi="Verdana" w:cs="Times New Roman"/>
        </w:rPr>
        <w:t>. En consecuencia, debe rechazarse la interpretación extensiva o analógica dirigida a ampliar el alcance de las causales legalmente fijadas, y las dudas sobre su configuración se resuelven en aplicación del principio pro libertate, esto es, en el sentido que menos restrinja la capacidad de contratar</w:t>
      </w:r>
      <w:r>
        <w:rPr>
          <w:rStyle w:val="Refdenotaalpie"/>
          <w:rFonts w:ascii="Verdana" w:eastAsia="Times New Roman" w:hAnsi="Verdana" w:cs="Times New Roman"/>
        </w:rPr>
        <w:footnoteReference w:id="3"/>
      </w:r>
      <w:r>
        <w:rPr>
          <w:rFonts w:ascii="Verdana" w:eastAsia="Times New Roman" w:hAnsi="Verdana" w:cs="Times New Roman"/>
        </w:rPr>
        <w:t>.</w:t>
      </w:r>
    </w:p>
    <w:p w14:paraId="0939E57D"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 xml:space="preserve">(ii) Precisado lo anterior, corresponde examinar el alcance de la expresión “la entidad respectiva”. El encabezado del numeral 2 del artículo 8 anuncia que las personas incursas en las causales que enumera no podrán participar en licitaciones ni celebrar contratos estatales “con la entidad respectiva”, y el literal b) precisa que los servidores públicos y quienes ejercen el control interno o fiscal relevantes para la causal son los “de la entidad contratante”. De la lectura sistemática de ambos apartes se desprende que la entidad respecto de la cual se predica la incompatibilidad es la entidad estatal contratante: la persona jurídica que adelanta el proceso de selección y que comparece como parte en el contrato, manifestando su consentimiento por conducto de su representante legal. El literal c), que contempla al cónyuge, compañero o compañera permanente del servidor público de los niveles directivo, asesor o ejecutivo, del </w:t>
      </w:r>
      <w:r>
        <w:rPr>
          <w:rFonts w:ascii="Verdana" w:eastAsia="Times New Roman" w:hAnsi="Verdana" w:cs="Times New Roman"/>
        </w:rPr>
        <w:lastRenderedPageBreak/>
        <w:t>miembro de junta o consejo directivo o de quien ejerce funciones de control interno o de control fiscal, participa de la misma estructura: la causal se configura cuando dicho servidor ejerce el cargo o la función en la entidad con la cual se pretende contratar, pues es allí donde el vínculo matrimonial o marital puede comprometer la transparencia y la imparcialidad que la prohibición protege.</w:t>
      </w:r>
      <w:r>
        <w:rPr>
          <w:rStyle w:val="Refdenotaalpie"/>
          <w:rFonts w:ascii="Verdana" w:eastAsia="Times New Roman" w:hAnsi="Verdana" w:cs="Times New Roman"/>
        </w:rPr>
        <w:footnoteReference w:id="4"/>
      </w:r>
    </w:p>
    <w:p w14:paraId="0D259852"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Este entendimiento se confirma con la estructura de la organización administrativa. Conforme a la Ley 489 de 1998, la Rama Ejecutiva se integra, entre otros, por los ministerios y departamentos administrativos y por las entidades descentralizadas que les están adscritas o vinculadas; los establecimientos públicos, como entidades descentralizadas, se caracterizan por su personería jurídica, su autonomía administrativa y financiera y su patrimonio independiente. La personería jurídica propia implica que el establecimiento público es un sujeto de derecho distinto de la entidad cabeza del sector y de las demás entidades que lo integran: contrata en su propio nombre, por conducto de su representante legal, y responde con su propio patrimonio. Por su parte, la pertenencia a un mismo sector administrativo es un criterio de dirección, orientación y coordinación de la actividad administrativa, que no unifica la personalidad jurídica de las entidades del sector ni permite tratarlas como una sola entidad para efectos de las causales de inhabilidad e incompatibilidad. Por ello, cuando la entidad contratante es un establecimiento público dotado de personería jurídica, autonomía administrativa y patrimonio propio, tales atributos sí son jurídicamente relevantes: delimitan la entidad respecto de la cual debe examinarse la causal.</w:t>
      </w:r>
      <w:r>
        <w:rPr>
          <w:rStyle w:val="Refdenotaalpie"/>
          <w:rFonts w:ascii="Verdana" w:eastAsia="Times New Roman" w:hAnsi="Verdana" w:cs="Times New Roman"/>
        </w:rPr>
        <w:footnoteReference w:id="5"/>
      </w:r>
    </w:p>
    <w:p w14:paraId="76514632"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 xml:space="preserve">En el mismo orden, la circunstancia de que la necesidad contractual haya sido identificada, estructurada técnicamente o posteriormente atendida por una dependencia perteneciente a una entidad pública distinta de la contratante no modifica el alcance de la expresión “la entidad respectiva”. La condición de parte en el contrato estatal se determina por la manifestación del consentimiento contractual, no por la participación técnica o funcional de otras entidades en la fase de planeación; extender la causal a entidades que no comparecen como parte, con fundamento en esa participación, equivaldría a crear por vía </w:t>
      </w:r>
      <w:r>
        <w:rPr>
          <w:rFonts w:ascii="Verdana" w:eastAsia="Times New Roman" w:hAnsi="Verdana" w:cs="Times New Roman"/>
        </w:rPr>
        <w:lastRenderedPageBreak/>
        <w:t>interpretativa un supuesto de incompatibilidad no previsto por el legislador, en contravía de la taxatividad y de la interpretación restrictiva ya señaladas.</w:t>
      </w:r>
    </w:p>
    <w:p w14:paraId="26FEE626"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(iii) Lo expuesto responde igualmente la pregunta por la analogía: el régimen de inhabilidades e incompatibilidades no admite extensión analógica ni interpretación extensiva entre entidades públicas con personalidad jurídica independiente, aunque pertenezcan al mismo sector administrativo. Trasladadas estas premisas al supuesto abstracto planteado en la consulta –el del cónyuge de quien ejerce funciones de control interno en una entidad del sector–, el análisis de la incompatibilidad del literal c) del numeral 2 del artículo 8 de la Ley 80 de 1993 debe efectuarse respecto de la entidad estatal que adelanta el proceso y celebra el contrato: si quien ejerce las funciones de control interno lo hace en una entidad distinta de la contratante, dotada de personería jurídica propia, la causal no se configura por ese solo hecho, sin que ello implique juicio alguno sobre situaciones particulares.</w:t>
      </w:r>
    </w:p>
    <w:p w14:paraId="1BD00E8F"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Con todo, conviene precisar que la inaplicabilidad de la causal no agota el análisis que corresponde a los partícipes de la contratación: de manera independiente, y conforme a normas y criterios distintos, deberá examinarse en cada caso la eventual configuración de conflictos de interés y los deberes de declaración y gestión que de ellos se derivan, materia que esta Subdirección ha distinguido expresamente del régimen de inhabilidades e incompatibilidades</w:t>
      </w:r>
      <w:r>
        <w:rPr>
          <w:rStyle w:val="Refdenotaalpie"/>
          <w:rFonts w:ascii="Verdana" w:eastAsia="Times New Roman" w:hAnsi="Verdana" w:cs="Times New Roman"/>
        </w:rPr>
        <w:footnoteReference w:id="6"/>
      </w:r>
      <w:r>
        <w:rPr>
          <w:rFonts w:ascii="Verdana" w:eastAsia="Times New Roman" w:hAnsi="Verdana" w:cs="Times New Roman"/>
        </w:rPr>
        <w:t>.</w:t>
      </w:r>
    </w:p>
    <w:p w14:paraId="17CB33C2" w14:textId="77777777" w:rsidR="00F931C4" w:rsidRDefault="00000000">
      <w:pPr>
        <w:widowControl w:val="0"/>
        <w:autoSpaceDE w:val="0"/>
        <w:autoSpaceDN w:val="0"/>
        <w:spacing w:after="120" w:line="276" w:lineRule="auto"/>
        <w:ind w:firstLine="708"/>
        <w:jc w:val="both"/>
        <w:rPr>
          <w:rFonts w:ascii="Verdana" w:hAnsi="Verdana"/>
        </w:rPr>
      </w:pPr>
      <w:r>
        <w:rPr>
          <w:rFonts w:ascii="Verdana" w:eastAsia="Times New Roman" w:hAnsi="Verdana" w:cs="Times New Roman"/>
        </w:rPr>
        <w:t xml:space="preserve">Finalmente, debe advertirse que el análisis requerido para resolver situaciones concretas relacionadas con la contratación de las entidades estatales corresponde a quienes tengan interés en ello, de modo que las afirmaciones aquí realizadas no pueden interpretarse como juicios de valor sobre circunstancias particulares. Al tratarse de reglas que deben definirse en el marco de un procedimiento contractual específico, esta Agencia no puede fijar un criterio universal y absoluto por vía consultiva, sino brindar elementos de carácter general para que los partícipes del sistema de compras y contratación pública adopten la decisión que corresponda, conforme al principio de juridicidad. Así, cada entidad definirá, en ejercicio de su competencia y previa valoración de los elementos fácticos y jurídicos de su proceso, la forma de adelantar su gestión contractual, sin que sea atribución de Colombia Compra Eficiente validar sus </w:t>
      </w:r>
      <w:r>
        <w:rPr>
          <w:rFonts w:ascii="Verdana" w:eastAsia="Times New Roman" w:hAnsi="Verdana" w:cs="Times New Roman"/>
        </w:rPr>
        <w:lastRenderedPageBreak/>
        <w:t>actuaciones.</w:t>
      </w:r>
    </w:p>
    <w:p w14:paraId="698D489B" w14:textId="77777777" w:rsidR="007871E6" w:rsidRDefault="007871E6" w:rsidP="00EE1130">
      <w:pPr>
        <w:spacing w:after="0" w:line="276" w:lineRule="auto"/>
        <w:jc w:val="both"/>
        <w:rPr>
          <w:rFonts w:ascii="Verdana" w:eastAsia="Calibri" w:hAnsi="Verdana" w:cs="Arial"/>
        </w:rPr>
      </w:pPr>
    </w:p>
    <w:p w14:paraId="0A333914" w14:textId="77777777" w:rsidR="003E7B40" w:rsidRPr="00EE1130" w:rsidRDefault="003E7B40" w:rsidP="00EE1130">
      <w:pPr>
        <w:spacing w:after="0" w:line="276" w:lineRule="auto"/>
        <w:jc w:val="both"/>
        <w:rPr>
          <w:rFonts w:ascii="Verdana" w:eastAsia="Calibri" w:hAnsi="Verdana" w:cs="Arial"/>
        </w:rPr>
      </w:pPr>
    </w:p>
    <w:p w14:paraId="6C2745D0" w14:textId="77777777" w:rsidR="007871E6" w:rsidRDefault="007871E6" w:rsidP="00EE1130">
      <w:pPr>
        <w:spacing w:after="0" w:line="276" w:lineRule="auto"/>
        <w:jc w:val="both"/>
        <w:rPr>
          <w:rFonts w:ascii="Verdana" w:eastAsia="Century Gothic" w:hAnsi="Verdana" w:cs="Century Gothic"/>
          <w:b/>
          <w:lang w:val="es-ES"/>
        </w:rPr>
      </w:pPr>
      <w:r>
        <w:rPr>
          <w:rFonts w:ascii="Verdana" w:eastAsia="Century Gothic" w:hAnsi="Verdana" w:cs="Century Gothic"/>
          <w:b/>
          <w:lang w:val="es-ES"/>
        </w:rPr>
        <w:t>4. Referencias normativas, jurisprudenciales y otras fuentes:</w:t>
      </w:r>
    </w:p>
    <w:p w14:paraId="39AE1ECB" w14:textId="77777777" w:rsidR="00EE1130" w:rsidRPr="00EE1130" w:rsidRDefault="00EE1130" w:rsidP="003248CC">
      <w:pPr>
        <w:spacing w:after="0" w:line="276" w:lineRule="auto"/>
        <w:jc w:val="both"/>
        <w:rPr>
          <w:rFonts w:ascii="Verdana" w:eastAsia="Century Gothic" w:hAnsi="Verdana" w:cs="Century Gothic"/>
          <w:b/>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871E6" w:rsidRPr="00EE1130" w14:paraId="0DB3D2DB" w14:textId="77777777" w:rsidTr="000A1473">
        <w:trPr>
          <w:trHeight w:val="297"/>
        </w:trPr>
        <w:tc>
          <w:tcPr>
            <w:tcW w:w="8647" w:type="dxa"/>
          </w:tcPr>
          <w:p w14:paraId="67E030AE"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Constitución Política de Colombia. Artículo 209.</w:t>
            </w:r>
          </w:p>
          <w:p w14:paraId="1EB8625F"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Ley 80 de 1993. Artículos 6 y 8.</w:t>
            </w:r>
          </w:p>
          <w:p w14:paraId="22A2A437"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Ley 1150 de 2007.</w:t>
            </w:r>
          </w:p>
          <w:p w14:paraId="54829351"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Ley 489 de 1998. Artículos 38, 39, 42 y 70.</w:t>
            </w:r>
          </w:p>
          <w:p w14:paraId="305A7340"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Decreto Ley 4170 de 2011. Artículo 3, numeral 5, y artículo 11, numeral 8.</w:t>
            </w:r>
          </w:p>
          <w:p w14:paraId="19043C83" w14:textId="77777777" w:rsidR="00F931C4" w:rsidRDefault="0000000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Agencia Nacional de Contratación Pública – Colombia Compra Eficiente. Resolución 469 de 2025.</w:t>
            </w:r>
          </w:p>
        </w:tc>
      </w:tr>
    </w:tbl>
    <w:p w14:paraId="46ACD028" w14:textId="77777777" w:rsidR="007871E6" w:rsidRPr="00EE1130" w:rsidRDefault="007871E6" w:rsidP="00EE1130">
      <w:pPr>
        <w:widowControl w:val="0"/>
        <w:autoSpaceDE w:val="0"/>
        <w:autoSpaceDN w:val="0"/>
        <w:spacing w:after="0" w:line="276" w:lineRule="auto"/>
        <w:jc w:val="both"/>
        <w:rPr>
          <w:rFonts w:ascii="Verdana" w:hAnsi="Verdana" w:cs="Arial"/>
          <w:color w:val="ED7D31" w:themeColor="accent2"/>
          <w:lang w:val="es-ES"/>
        </w:rPr>
      </w:pPr>
    </w:p>
    <w:p w14:paraId="6EBA7C00" w14:textId="77777777" w:rsidR="007871E6" w:rsidRPr="00EE1130" w:rsidRDefault="007871E6" w:rsidP="00EE1130">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5. Doctrina de la Agencia Nacional de Contratación Pública:</w:t>
      </w:r>
    </w:p>
    <w:p w14:paraId="0333F44E" w14:textId="77777777" w:rsidR="007871E6" w:rsidRPr="001B3CBA" w:rsidRDefault="007871E6" w:rsidP="001B3CBA">
      <w:pPr>
        <w:tabs>
          <w:tab w:val="left" w:pos="142"/>
          <w:tab w:val="left" w:pos="284"/>
        </w:tabs>
        <w:spacing w:after="0" w:line="276" w:lineRule="auto"/>
        <w:jc w:val="both"/>
        <w:rPr>
          <w:rFonts w:ascii="Verdana" w:eastAsia="Century Gothic" w:hAnsi="Verdana" w:cs="Century Gothic"/>
          <w:b/>
          <w:lang w:val="es-ES"/>
        </w:rPr>
      </w:pPr>
    </w:p>
    <w:p w14:paraId="7B3001D0" w14:textId="77777777" w:rsidR="00F931C4" w:rsidRDefault="00000000">
      <w:pPr>
        <w:spacing w:after="120" w:line="276" w:lineRule="auto"/>
        <w:jc w:val="both"/>
        <w:rPr>
          <w:rFonts w:ascii="Verdana" w:hAnsi="Verdana"/>
        </w:rPr>
      </w:pPr>
      <w:r>
        <w:rPr>
          <w:rFonts w:ascii="Verdana" w:hAnsi="Verdana"/>
        </w:rPr>
        <w:t>Sobre el fundamento, la taxatividad y la interpretación restrictiva de las inhabilidades e incompatibilidades, y sobre las causales del numeral 2 del artículo 8 de la Ley 80 de 1993, esta Subdirección se pronunció, entre otros, en los Conceptos C-884 del 14 de agosto de 2025, C-1107 del 17 de septiembre de 2025 y C-1111 del 11 de septiembre de 2025. Estos y otros conceptos se encuentran disponibles para consulta en el Sistema de relatoría de la Agencia, al cual se puede acceder a través del siguiente enlace: https://relatoria.colombiacompra.gov.co/busqueda/conceptos</w:t>
      </w:r>
    </w:p>
    <w:p w14:paraId="7BC29294" w14:textId="77777777" w:rsidR="007871E6" w:rsidRPr="00EE1130" w:rsidRDefault="007871E6">
      <w:pPr>
        <w:spacing w:after="0" w:line="276" w:lineRule="auto"/>
        <w:jc w:val="both"/>
        <w:rPr>
          <w:rFonts w:ascii="Verdana" w:hAnsi="Verdana" w:cs="Arial"/>
          <w:color w:val="ED7D31" w:themeColor="accent2"/>
          <w:shd w:val="clear" w:color="auto" w:fill="FFFFFF"/>
          <w:lang w:val="es-ES"/>
        </w:rPr>
      </w:pPr>
    </w:p>
    <w:p w14:paraId="727E3F02" w14:textId="77777777" w:rsidR="007871E6" w:rsidRPr="00EE1130" w:rsidRDefault="007871E6">
      <w:pPr>
        <w:spacing w:after="0" w:line="276" w:lineRule="auto"/>
        <w:jc w:val="both"/>
        <w:rPr>
          <w:rFonts w:ascii="Verdana" w:hAnsi="Verdana" w:cs="Arial"/>
          <w:shd w:val="clear" w:color="auto" w:fill="FFFFFF"/>
        </w:rPr>
      </w:pPr>
      <w:r>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1" w:history="1">
        <w:r>
          <w:rPr>
            <w:rStyle w:val="Hipervnculo"/>
            <w:rFonts w:ascii="Verdana" w:hAnsi="Verdana" w:cs="Arial"/>
            <w:shd w:val="clear" w:color="auto" w:fill="FFFFFF"/>
          </w:rPr>
          <w:t>https://formacionvirtual.colombiacompra.gov.co/mod/page/view.php?id=3718</w:t>
        </w:r>
      </w:hyperlink>
      <w:r>
        <w:rPr>
          <w:rFonts w:ascii="Verdana" w:hAnsi="Verdana" w:cs="Arial"/>
          <w:shd w:val="clear" w:color="auto" w:fill="FFFFFF"/>
        </w:rPr>
        <w:t xml:space="preserve"> </w:t>
      </w:r>
    </w:p>
    <w:p w14:paraId="70442AAE" w14:textId="77777777" w:rsidR="007871E6" w:rsidRPr="001B3CBA" w:rsidRDefault="007871E6">
      <w:pPr>
        <w:spacing w:after="0" w:line="276" w:lineRule="auto"/>
        <w:jc w:val="both"/>
        <w:rPr>
          <w:rFonts w:ascii="Verdana" w:hAnsi="Verdana" w:cs="Arial"/>
          <w:shd w:val="clear" w:color="auto" w:fill="FFFFFF"/>
        </w:rPr>
      </w:pPr>
    </w:p>
    <w:p w14:paraId="02265844" w14:textId="77777777" w:rsidR="007871E6" w:rsidRPr="00EE1130" w:rsidRDefault="007871E6">
      <w:pPr>
        <w:spacing w:after="0" w:line="276" w:lineRule="auto"/>
        <w:jc w:val="both"/>
        <w:rPr>
          <w:rFonts w:ascii="Verdana" w:hAnsi="Verdana" w:cs="Arial"/>
          <w:shd w:val="clear" w:color="auto" w:fill="FFFFFF"/>
        </w:rPr>
      </w:pPr>
      <w:r>
        <w:rPr>
          <w:rFonts w:ascii="Verdana" w:hAnsi="Verdana" w:cs="Arial"/>
          <w:shd w:val="clear" w:color="auto" w:fill="FFFFFF"/>
        </w:rPr>
        <w:lastRenderedPageBreak/>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2" w:history="1">
        <w:r>
          <w:rPr>
            <w:rStyle w:val="Hipervnculo"/>
            <w:rFonts w:ascii="Verdana" w:hAnsi="Verdana" w:cs="Arial"/>
            <w:shd w:val="clear" w:color="auto" w:fill="FFFFFF"/>
          </w:rPr>
          <w:t>https://www.colombiacompra.gov.co/normativa-y-relatoria/documentos-tipo</w:t>
        </w:r>
      </w:hyperlink>
    </w:p>
    <w:p w14:paraId="1414D058" w14:textId="77777777" w:rsidR="007871E6" w:rsidRPr="00EE1130" w:rsidRDefault="007871E6">
      <w:pPr>
        <w:spacing w:after="0" w:line="276" w:lineRule="auto"/>
        <w:jc w:val="both"/>
        <w:rPr>
          <w:rFonts w:ascii="Verdana" w:hAnsi="Verdana" w:cs="Arial"/>
          <w:shd w:val="clear" w:color="auto" w:fill="FFFFFF"/>
        </w:rPr>
      </w:pPr>
    </w:p>
    <w:p w14:paraId="7D8976D1" w14:textId="77777777" w:rsidR="007871E6" w:rsidRPr="00EE1130" w:rsidRDefault="007871E6">
      <w:pPr>
        <w:spacing w:after="0" w:line="276" w:lineRule="auto"/>
        <w:jc w:val="both"/>
        <w:rPr>
          <w:rFonts w:ascii="Verdana" w:hAnsi="Verdana" w:cs="Arial"/>
          <w:shd w:val="clear" w:color="auto" w:fill="FFFFFF"/>
        </w:rPr>
      </w:pPr>
      <w:r>
        <w:rPr>
          <w:rFonts w:ascii="Verdana" w:hAnsi="Verdana" w:cs="Arial"/>
          <w:shd w:val="clear" w:color="auto" w:fill="FFFFFF"/>
        </w:rPr>
        <w:t>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1DA01F46" w14:textId="77777777" w:rsidR="007871E6" w:rsidRPr="00EE1130" w:rsidRDefault="007871E6">
      <w:pPr>
        <w:spacing w:after="0" w:line="276" w:lineRule="auto"/>
        <w:jc w:val="both"/>
        <w:rPr>
          <w:rFonts w:ascii="Verdana" w:hAnsi="Verdana" w:cs="Arial"/>
          <w:color w:val="ED7D31" w:themeColor="accent2"/>
          <w:shd w:val="clear" w:color="auto" w:fill="FFFFFF"/>
        </w:rPr>
      </w:pPr>
    </w:p>
    <w:p w14:paraId="22DC70E9"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 xml:space="preserve">Por último, lo invitamos a seguirnos en las redes sociales en las cuales se difunde información institucional: </w:t>
      </w:r>
    </w:p>
    <w:p w14:paraId="7DE4621F" w14:textId="77777777" w:rsidR="007871E6" w:rsidRPr="00EE1130" w:rsidRDefault="007871E6" w:rsidP="003248CC">
      <w:pPr>
        <w:spacing w:after="0" w:line="276" w:lineRule="auto"/>
        <w:jc w:val="both"/>
        <w:rPr>
          <w:rFonts w:ascii="Verdana" w:hAnsi="Verdana" w:cs="Arial"/>
          <w:shd w:val="clear" w:color="auto" w:fill="FFFFFF"/>
        </w:rPr>
      </w:pPr>
    </w:p>
    <w:p w14:paraId="3D954A67"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 xml:space="preserve">Twitter: </w:t>
      </w:r>
      <w:r>
        <w:rPr>
          <w:rStyle w:val="Hipervnculo"/>
          <w:rFonts w:ascii="Verdana" w:hAnsi="Verdana"/>
          <w:lang w:val="es-ES"/>
        </w:rPr>
        <w:t>@colombiacompra</w:t>
      </w:r>
      <w:r>
        <w:rPr>
          <w:rStyle w:val="Hipervnculo"/>
          <w:rFonts w:ascii="Verdana" w:hAnsi="Verdana"/>
          <w:color w:val="auto"/>
          <w:lang w:val="es-ES"/>
        </w:rPr>
        <w:t xml:space="preserve"> </w:t>
      </w:r>
    </w:p>
    <w:p w14:paraId="23543719"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Facebook:</w:t>
      </w:r>
      <w:r>
        <w:rPr>
          <w:rStyle w:val="Hipervnculo"/>
          <w:rFonts w:ascii="Verdana" w:hAnsi="Verdana"/>
          <w:lang w:val="es-ES"/>
        </w:rPr>
        <w:t xml:space="preserve"> ColombiaCompraEficiente</w:t>
      </w:r>
    </w:p>
    <w:p w14:paraId="70D28036"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 xml:space="preserve">LinkedIn: </w:t>
      </w:r>
      <w:r>
        <w:rPr>
          <w:rStyle w:val="Hipervnculo"/>
          <w:rFonts w:ascii="Verdana" w:hAnsi="Verdana"/>
          <w:lang w:val="es-ES"/>
        </w:rPr>
        <w:t>Agencia Nacional de Contratación Pública - Colombia Compra Eficiente</w:t>
      </w:r>
      <w:r>
        <w:rPr>
          <w:rFonts w:ascii="Verdana" w:hAnsi="Verdana" w:cs="Arial"/>
          <w:color w:val="0000FF"/>
          <w:shd w:val="clear" w:color="auto" w:fill="FFFFFF"/>
        </w:rPr>
        <w:t xml:space="preserve"> </w:t>
      </w:r>
    </w:p>
    <w:p w14:paraId="568D986B"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 xml:space="preserve">Instagram: </w:t>
      </w:r>
      <w:r>
        <w:rPr>
          <w:rStyle w:val="Hipervnculo"/>
          <w:rFonts w:ascii="Verdana" w:hAnsi="Verdana"/>
          <w:lang w:val="es-ES"/>
        </w:rPr>
        <w:t>@colombiacompraeficiente_cce</w:t>
      </w:r>
    </w:p>
    <w:p w14:paraId="111D2401" w14:textId="77777777" w:rsidR="007871E6" w:rsidRDefault="007871E6" w:rsidP="00EE1130">
      <w:pPr>
        <w:widowControl w:val="0"/>
        <w:autoSpaceDE w:val="0"/>
        <w:autoSpaceDN w:val="0"/>
        <w:spacing w:after="0" w:line="276" w:lineRule="auto"/>
        <w:jc w:val="both"/>
        <w:rPr>
          <w:rFonts w:ascii="Verdana" w:hAnsi="Verdana" w:cs="Arial"/>
          <w:color w:val="ED7D31" w:themeColor="accent2"/>
          <w:lang w:val="es-ES"/>
        </w:rPr>
      </w:pPr>
    </w:p>
    <w:p w14:paraId="5D6554A8" w14:textId="77777777" w:rsidR="003E7B40" w:rsidRDefault="003E7B40" w:rsidP="00EE1130">
      <w:pPr>
        <w:widowControl w:val="0"/>
        <w:autoSpaceDE w:val="0"/>
        <w:autoSpaceDN w:val="0"/>
        <w:spacing w:after="0" w:line="276" w:lineRule="auto"/>
        <w:jc w:val="both"/>
        <w:rPr>
          <w:rFonts w:ascii="Verdana" w:hAnsi="Verdana" w:cs="Arial"/>
          <w:color w:val="ED7D31" w:themeColor="accent2"/>
          <w:lang w:val="es-ES"/>
        </w:rPr>
      </w:pPr>
    </w:p>
    <w:p w14:paraId="64AD8216" w14:textId="77777777" w:rsidR="003E7B40" w:rsidRDefault="003E7B40" w:rsidP="00EE1130">
      <w:pPr>
        <w:widowControl w:val="0"/>
        <w:autoSpaceDE w:val="0"/>
        <w:autoSpaceDN w:val="0"/>
        <w:spacing w:after="0" w:line="276" w:lineRule="auto"/>
        <w:jc w:val="both"/>
        <w:rPr>
          <w:rFonts w:ascii="Verdana" w:hAnsi="Verdana" w:cs="Arial"/>
          <w:color w:val="ED7D31" w:themeColor="accent2"/>
          <w:lang w:val="es-ES"/>
        </w:rPr>
      </w:pPr>
    </w:p>
    <w:p w14:paraId="78E29E5E" w14:textId="77777777" w:rsidR="003E7B40" w:rsidRDefault="003E7B40" w:rsidP="00EE1130">
      <w:pPr>
        <w:widowControl w:val="0"/>
        <w:autoSpaceDE w:val="0"/>
        <w:autoSpaceDN w:val="0"/>
        <w:spacing w:after="0" w:line="276" w:lineRule="auto"/>
        <w:jc w:val="both"/>
        <w:rPr>
          <w:rFonts w:ascii="Verdana" w:hAnsi="Verdana" w:cs="Arial"/>
          <w:color w:val="ED7D31" w:themeColor="accent2"/>
          <w:lang w:val="es-ES"/>
        </w:rPr>
      </w:pPr>
    </w:p>
    <w:p w14:paraId="11737558" w14:textId="77777777" w:rsidR="003E7B40" w:rsidRPr="00EE1130" w:rsidRDefault="003E7B40" w:rsidP="00EE1130">
      <w:pPr>
        <w:widowControl w:val="0"/>
        <w:autoSpaceDE w:val="0"/>
        <w:autoSpaceDN w:val="0"/>
        <w:spacing w:after="0" w:line="276" w:lineRule="auto"/>
        <w:jc w:val="both"/>
        <w:rPr>
          <w:rFonts w:ascii="Verdana" w:hAnsi="Verdana" w:cs="Arial"/>
          <w:color w:val="ED7D31" w:themeColor="accent2"/>
          <w:lang w:val="es-ES"/>
        </w:rPr>
      </w:pPr>
    </w:p>
    <w:p w14:paraId="25FAF9C1" w14:textId="77777777" w:rsidR="007871E6" w:rsidRPr="00EE1130" w:rsidRDefault="007871E6" w:rsidP="001B3CBA">
      <w:pPr>
        <w:widowControl w:val="0"/>
        <w:autoSpaceDE w:val="0"/>
        <w:autoSpaceDN w:val="0"/>
        <w:spacing w:after="0" w:line="276" w:lineRule="auto"/>
        <w:jc w:val="both"/>
        <w:rPr>
          <w:rFonts w:ascii="Verdana" w:hAnsi="Verdana" w:cs="Arial"/>
          <w:lang w:val="es-ES"/>
        </w:rPr>
      </w:pPr>
      <w:r>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84C2E37" w14:textId="77777777" w:rsidR="007871E6" w:rsidRPr="00EE1130" w:rsidRDefault="007871E6">
      <w:pPr>
        <w:widowControl w:val="0"/>
        <w:autoSpaceDE w:val="0"/>
        <w:autoSpaceDN w:val="0"/>
        <w:spacing w:after="0" w:line="276" w:lineRule="auto"/>
        <w:jc w:val="both"/>
        <w:rPr>
          <w:rFonts w:ascii="Verdana" w:hAnsi="Verdana" w:cs="Arial"/>
          <w:lang w:val="es-ES"/>
        </w:rPr>
      </w:pPr>
    </w:p>
    <w:p w14:paraId="0D95CA4D" w14:textId="77777777" w:rsidR="007871E6" w:rsidRPr="00EE1130" w:rsidRDefault="007871E6">
      <w:pPr>
        <w:spacing w:after="0" w:line="276" w:lineRule="auto"/>
        <w:rPr>
          <w:rFonts w:ascii="Verdana" w:hAnsi="Verdana" w:cs="Arial"/>
          <w:lang w:val="es-ES" w:eastAsia="es-CO"/>
        </w:rPr>
      </w:pPr>
      <w:r>
        <w:rPr>
          <w:rFonts w:ascii="Verdana" w:eastAsia="Times New Roman" w:hAnsi="Verdana" w:cs="Arial"/>
          <w:lang w:val="es-ES" w:eastAsia="es-CO"/>
        </w:rPr>
        <w:t>Atentamente,</w:t>
      </w:r>
      <w:r>
        <w:rPr>
          <w:rFonts w:ascii="Verdana" w:hAnsi="Verdana" w:cs="Arial"/>
          <w:lang w:val="es-ES" w:eastAsia="es-CO"/>
        </w:rPr>
        <w:t xml:space="preserve"> </w:t>
      </w:r>
    </w:p>
    <w:p w14:paraId="467EA90A" w14:textId="77B36E40" w:rsidR="007871E6" w:rsidRPr="00206556" w:rsidRDefault="003E7B40" w:rsidP="007871E6">
      <w:pPr>
        <w:spacing w:after="0" w:line="256" w:lineRule="auto"/>
        <w:jc w:val="center"/>
        <w:rPr>
          <w:rFonts w:ascii="Verdana" w:eastAsia="Times New Roman" w:hAnsi="Verdana" w:cs="Arial"/>
          <w:lang w:eastAsia="es-ES"/>
        </w:rPr>
      </w:pPr>
      <w:r>
        <w:rPr>
          <w:rFonts w:ascii="Verdana" w:eastAsia="Times New Roman" w:hAnsi="Verdana" w:cs="Arial"/>
          <w:noProof/>
          <w:lang w:eastAsia="es-ES"/>
        </w:rPr>
        <w:drawing>
          <wp:inline distT="0" distB="0" distL="0" distR="0" wp14:anchorId="39998BF5" wp14:editId="582225B2">
            <wp:extent cx="3639058" cy="1343212"/>
            <wp:effectExtent l="0" t="0" r="0" b="0"/>
            <wp:docPr id="48745851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58513" name="Imagen 1" descr="Text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3639058" cy="1343212"/>
                    </a:xfrm>
                    <a:prstGeom prst="rect">
                      <a:avLst/>
                    </a:prstGeom>
                  </pic:spPr>
                </pic:pic>
              </a:graphicData>
            </a:graphic>
          </wp:inline>
        </w:drawing>
      </w:r>
    </w:p>
    <w:p w14:paraId="0427BFE6" w14:textId="77777777" w:rsidR="007871E6" w:rsidRPr="00206556" w:rsidRDefault="007871E6" w:rsidP="003248CC">
      <w:pPr>
        <w:spacing w:after="0" w:line="240" w:lineRule="auto"/>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7871E6" w:rsidRPr="00206556" w14:paraId="63F97A7E" w14:textId="77777777" w:rsidTr="000A1473">
        <w:trPr>
          <w:trHeight w:val="322"/>
        </w:trPr>
        <w:tc>
          <w:tcPr>
            <w:tcW w:w="733" w:type="dxa"/>
            <w:tcBorders>
              <w:top w:val="nil"/>
              <w:left w:val="nil"/>
              <w:bottom w:val="nil"/>
              <w:right w:val="nil"/>
            </w:tcBorders>
            <w:vAlign w:val="center"/>
            <w:hideMark/>
          </w:tcPr>
          <w:p w14:paraId="03F9972D"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val="es-MX" w:eastAsia="es-CO"/>
              </w:rPr>
              <w:t>Elaboró:         </w:t>
            </w:r>
            <w:r>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19294ACE"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eastAsia="es-CO"/>
              </w:rPr>
              <w:t>Gloria Elizabeth Arango Builes</w:t>
            </w:r>
          </w:p>
          <w:p w14:paraId="60276FD0" w14:textId="77777777" w:rsidR="007871E6" w:rsidRPr="00206556" w:rsidRDefault="007871E6" w:rsidP="000A1473">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eastAsia="es-ES"/>
              </w:rPr>
              <w:t xml:space="preserve">Contratista </w:t>
            </w:r>
            <w:r>
              <w:rPr>
                <w:rFonts w:ascii="Verdana" w:eastAsia="Times New Roman" w:hAnsi="Verdana" w:cs="Times New Roman"/>
                <w:sz w:val="16"/>
                <w:szCs w:val="16"/>
                <w:lang w:eastAsia="es-CO"/>
              </w:rPr>
              <w:t>de la Subdirección de Gestión Contractual</w:t>
            </w:r>
          </w:p>
        </w:tc>
      </w:tr>
      <w:tr w:rsidR="007871E6" w:rsidRPr="00206556" w14:paraId="41B5B4AE" w14:textId="77777777" w:rsidTr="000A1473">
        <w:trPr>
          <w:trHeight w:val="322"/>
        </w:trPr>
        <w:tc>
          <w:tcPr>
            <w:tcW w:w="733" w:type="dxa"/>
            <w:tcBorders>
              <w:top w:val="nil"/>
              <w:left w:val="nil"/>
              <w:bottom w:val="nil"/>
              <w:right w:val="nil"/>
            </w:tcBorders>
            <w:vAlign w:val="center"/>
            <w:hideMark/>
          </w:tcPr>
          <w:p w14:paraId="74DD1E3E"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val="es-MX" w:eastAsia="es-CO"/>
              </w:rPr>
              <w:t>Revisó:</w:t>
            </w:r>
            <w:r>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61DE34FF" w14:textId="7F182CCC" w:rsidR="007871E6" w:rsidRPr="00206556" w:rsidRDefault="00DD0FDA" w:rsidP="000A1473">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Juan David Cárdenas Cabeza</w:t>
            </w:r>
          </w:p>
          <w:p w14:paraId="24A3F9DF" w14:textId="77777777" w:rsidR="007871E6" w:rsidRPr="00206556" w:rsidRDefault="007871E6" w:rsidP="003248CC">
            <w:pPr>
              <w:autoSpaceDE w:val="0"/>
              <w:autoSpaceDN w:val="0"/>
              <w:adjustRightInd w:val="0"/>
              <w:spacing w:after="0" w:line="276" w:lineRule="auto"/>
              <w:rPr>
                <w:rFonts w:ascii="Verdana" w:eastAsia="Times New Roman" w:hAnsi="Verdana" w:cs="Times New Roman"/>
                <w:sz w:val="16"/>
                <w:szCs w:val="16"/>
                <w:lang w:eastAsia="es-CO"/>
              </w:rPr>
            </w:pPr>
            <w:r>
              <w:rPr>
                <w:rFonts w:ascii="Verdana" w:eastAsia="Times New Roman" w:hAnsi="Verdana" w:cs="Arial"/>
                <w:sz w:val="16"/>
                <w:szCs w:val="16"/>
                <w:lang w:eastAsia="es-ES"/>
              </w:rPr>
              <w:t>Contratista de la Subdirección de Gestión Contractual</w:t>
            </w:r>
          </w:p>
        </w:tc>
      </w:tr>
      <w:tr w:rsidR="007871E6" w:rsidRPr="00206556" w14:paraId="325DB337" w14:textId="77777777" w:rsidTr="000A1473">
        <w:trPr>
          <w:trHeight w:val="307"/>
        </w:trPr>
        <w:tc>
          <w:tcPr>
            <w:tcW w:w="733" w:type="dxa"/>
            <w:tcBorders>
              <w:top w:val="nil"/>
              <w:left w:val="nil"/>
              <w:bottom w:val="nil"/>
              <w:right w:val="nil"/>
            </w:tcBorders>
            <w:vAlign w:val="center"/>
            <w:hideMark/>
          </w:tcPr>
          <w:p w14:paraId="72E15ACA"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val="es-MX" w:eastAsia="es-CO"/>
              </w:rPr>
              <w:t>Aprobó:</w:t>
            </w:r>
            <w:r>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4A64E095" w14:textId="77777777" w:rsidR="007871E6" w:rsidRPr="00206556" w:rsidRDefault="007871E6" w:rsidP="000A1473">
            <w:pPr>
              <w:spacing w:after="0" w:line="256" w:lineRule="auto"/>
              <w:rPr>
                <w:rFonts w:ascii="Verdana" w:eastAsia="Times New Roman" w:hAnsi="Verdana" w:cs="Arial"/>
                <w:sz w:val="16"/>
                <w:szCs w:val="16"/>
                <w:lang w:eastAsia="es-ES"/>
              </w:rPr>
            </w:pPr>
            <w:r>
              <w:rPr>
                <w:rFonts w:ascii="Verdana" w:eastAsia="Times New Roman" w:hAnsi="Verdana" w:cs="Arial"/>
                <w:sz w:val="16"/>
                <w:szCs w:val="16"/>
                <w:lang w:eastAsia="es-ES"/>
              </w:rPr>
              <w:t>Carolina Quintero Gacharná</w:t>
            </w:r>
          </w:p>
          <w:p w14:paraId="1B088EDF" w14:textId="77777777" w:rsidR="007871E6" w:rsidRPr="00206556" w:rsidRDefault="007871E6" w:rsidP="000A1473">
            <w:pPr>
              <w:spacing w:after="0" w:line="256" w:lineRule="auto"/>
              <w:rPr>
                <w:rFonts w:ascii="Verdana" w:eastAsia="Times New Roman" w:hAnsi="Verdana" w:cs="Arial"/>
                <w:sz w:val="16"/>
                <w:szCs w:val="16"/>
                <w:lang w:eastAsia="es-ES"/>
              </w:rPr>
            </w:pPr>
            <w:r>
              <w:rPr>
                <w:rFonts w:ascii="Verdana" w:eastAsia="Times New Roman" w:hAnsi="Verdana" w:cs="Arial"/>
                <w:sz w:val="16"/>
                <w:szCs w:val="16"/>
                <w:lang w:eastAsia="es-ES"/>
              </w:rPr>
              <w:t>Subdirectora de Gestión Contractual ANCP – CCE</w:t>
            </w:r>
          </w:p>
        </w:tc>
      </w:tr>
    </w:tbl>
    <w:p w14:paraId="4FB11348" w14:textId="77777777" w:rsidR="007871E6" w:rsidRDefault="007871E6" w:rsidP="007871E6">
      <w:pPr>
        <w:autoSpaceDE w:val="0"/>
        <w:autoSpaceDN w:val="0"/>
        <w:adjustRightInd w:val="0"/>
        <w:spacing w:after="0" w:line="276" w:lineRule="auto"/>
        <w:jc w:val="center"/>
        <w:rPr>
          <w:rFonts w:ascii="Verdana" w:eastAsia="Calibri" w:hAnsi="Verdana" w:cs="Arial"/>
        </w:rPr>
      </w:pPr>
    </w:p>
    <w:p w14:paraId="573D83E0" w14:textId="77777777" w:rsidR="007871E6" w:rsidRDefault="007871E6" w:rsidP="007871E6">
      <w:pPr>
        <w:autoSpaceDE w:val="0"/>
        <w:autoSpaceDN w:val="0"/>
        <w:adjustRightInd w:val="0"/>
        <w:spacing w:after="0" w:line="276" w:lineRule="auto"/>
        <w:jc w:val="center"/>
        <w:rPr>
          <w:rFonts w:ascii="Verdana" w:eastAsia="Calibri" w:hAnsi="Verdana" w:cs="Arial"/>
        </w:rPr>
      </w:pPr>
    </w:p>
    <w:p w14:paraId="6DF91698" w14:textId="77777777" w:rsidR="007871E6" w:rsidRPr="00206556" w:rsidRDefault="007871E6" w:rsidP="007871E6">
      <w:pPr>
        <w:autoSpaceDE w:val="0"/>
        <w:autoSpaceDN w:val="0"/>
        <w:adjustRightInd w:val="0"/>
        <w:spacing w:after="0" w:line="276" w:lineRule="auto"/>
        <w:jc w:val="center"/>
        <w:rPr>
          <w:rFonts w:ascii="Verdana" w:eastAsia="Calibri" w:hAnsi="Verdana" w:cs="Arial"/>
        </w:rPr>
      </w:pPr>
    </w:p>
    <w:p w14:paraId="07E4A67B" w14:textId="77777777" w:rsidR="002A0DD0" w:rsidRPr="007871E6" w:rsidRDefault="002A0DD0" w:rsidP="30821638">
      <w:pPr>
        <w:spacing w:after="0" w:line="240" w:lineRule="auto"/>
        <w:jc w:val="both"/>
        <w:rPr>
          <w:rFonts w:ascii="Verdana" w:eastAsia="Verdana" w:hAnsi="Verdana" w:cs="Verdana"/>
          <w:b/>
          <w:bCs/>
        </w:rPr>
      </w:pPr>
    </w:p>
    <w:p w14:paraId="69D36777"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E353591" w14:textId="77777777" w:rsidR="00C15139" w:rsidRPr="000E2B93" w:rsidRDefault="00C15139" w:rsidP="30821638">
      <w:pPr>
        <w:spacing w:after="0" w:line="240" w:lineRule="auto"/>
        <w:textAlignment w:val="baseline"/>
        <w:rPr>
          <w:rFonts w:ascii="Verdana" w:eastAsia="Verdana" w:hAnsi="Verdana" w:cs="Verdana"/>
          <w:lang w:eastAsia="es-CO"/>
        </w:rPr>
      </w:pPr>
      <w:r>
        <w:rPr>
          <w:rFonts w:ascii="Verdana" w:eastAsia="Verdana" w:hAnsi="Verdana" w:cs="Verdana"/>
          <w:lang w:eastAsia="es-CO"/>
        </w:rPr>
        <w:t> </w:t>
      </w:r>
    </w:p>
    <w:sectPr w:rsidR="00C15139" w:rsidRPr="000E2B93" w:rsidSect="007C0C0F">
      <w:headerReference w:type="default" r:id="rId14"/>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1A1ED" w14:textId="77777777" w:rsidR="00CB7B1F" w:rsidRDefault="00CB7B1F" w:rsidP="004A1847">
      <w:pPr>
        <w:spacing w:after="0" w:line="240" w:lineRule="auto"/>
      </w:pPr>
      <w:r>
        <w:separator/>
      </w:r>
    </w:p>
  </w:endnote>
  <w:endnote w:type="continuationSeparator" w:id="0">
    <w:p w14:paraId="63EE9DA1" w14:textId="77777777" w:rsidR="00CB7B1F" w:rsidRDefault="00CB7B1F" w:rsidP="004A1847">
      <w:pPr>
        <w:spacing w:after="0" w:line="240" w:lineRule="auto"/>
      </w:pPr>
      <w:r>
        <w:continuationSeparator/>
      </w:r>
    </w:p>
  </w:endnote>
  <w:endnote w:type="continuationNotice" w:id="1">
    <w:p w14:paraId="3BFCD01D" w14:textId="77777777" w:rsidR="00CB7B1F" w:rsidRDefault="00CB7B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304C" w14:textId="77777777" w:rsidR="004A1847" w:rsidRDefault="004A1847">
    <w:pPr>
      <w:pStyle w:val="Piedepgina"/>
    </w:pPr>
  </w:p>
  <w:p w14:paraId="1573C5A7"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15725CD4"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5F5FFD97"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00907C20" w14:textId="77777777"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779EE" w14:textId="77777777" w:rsidR="00CB7B1F" w:rsidRDefault="00CB7B1F" w:rsidP="004A1847">
      <w:pPr>
        <w:spacing w:after="0" w:line="240" w:lineRule="auto"/>
      </w:pPr>
      <w:r>
        <w:separator/>
      </w:r>
    </w:p>
  </w:footnote>
  <w:footnote w:type="continuationSeparator" w:id="0">
    <w:p w14:paraId="13E956DB" w14:textId="77777777" w:rsidR="00CB7B1F" w:rsidRDefault="00CB7B1F" w:rsidP="004A1847">
      <w:pPr>
        <w:spacing w:after="0" w:line="240" w:lineRule="auto"/>
      </w:pPr>
      <w:r>
        <w:continuationSeparator/>
      </w:r>
    </w:p>
  </w:footnote>
  <w:footnote w:type="continuationNotice" w:id="1">
    <w:p w14:paraId="4DE2781D" w14:textId="77777777" w:rsidR="00CB7B1F" w:rsidRDefault="00CB7B1F">
      <w:pPr>
        <w:spacing w:after="0" w:line="240" w:lineRule="auto"/>
      </w:pPr>
    </w:p>
  </w:footnote>
  <w:footnote w:id="2">
    <w:p w14:paraId="5BA33565" w14:textId="77777777" w:rsidR="00F931C4" w:rsidRDefault="00000000">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Agencia Nacional de Contratación Pública – Colombia Compra Eficiente, Subdirección de Gestión Contractual. Concepto C-1107 del 17 de septiembre de 2025: “las inhabilidades e incompatibilidades al ser restricciones o límites especiales […] solo pueden tipificarse en la ley o la Constitución […] y su interpretación debe ser restrictiva”. En el mismo sentido, Concepto C-1111 del 11 de septiembre de 2025.</w:t>
      </w:r>
    </w:p>
  </w:footnote>
  <w:footnote w:id="3">
    <w:p w14:paraId="1F444626" w14:textId="77777777" w:rsidR="00F931C4" w:rsidRDefault="00000000">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Agencia Nacional de Contratación Pública – Colombia Compra Eficiente, Subdirección de Gestión Contractual. Concepto C-884 del 14 de agosto de 2025, que aplica el principio pro libertate en la interpretación de las causales de inhabilidad e incompatibilidad.</w:t>
      </w:r>
    </w:p>
  </w:footnote>
  <w:footnote w:id="4">
    <w:p w14:paraId="5DEFD614" w14:textId="77777777" w:rsidR="00F931C4" w:rsidRDefault="00000000">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Ley 80 de 1993, artículo 6, sobre la capacidad para contratar con las entidades estatales.</w:t>
      </w:r>
    </w:p>
  </w:footnote>
  <w:footnote w:id="5">
    <w:p w14:paraId="1943ED35" w14:textId="77777777" w:rsidR="00F931C4" w:rsidRDefault="00000000">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Ley 489 de 1998, artículos 38 y 39 (integración de la Rama Ejecutiva del poder público y de la administración pública), 42 (sectores administrativos) y 70 (características de los establecimientos públicos: personería jurídica, autonomía administrativa y financiera y patrimonio independiente).</w:t>
      </w:r>
    </w:p>
  </w:footnote>
  <w:footnote w:id="6">
    <w:p w14:paraId="54F4B693" w14:textId="77777777" w:rsidR="00F931C4" w:rsidRDefault="00000000">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Agencia Nacional de Contratación Pública – Colombia Compra Eficiente, Subdirección de Gestión Contractual. Concepto C-884 del 14 de agosto de 2025, que distingue el régimen de inhabilidades e incompatibilidades del análisis de los conflictos de interés.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2222" w14:textId="77777777"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5DC66BA4" wp14:editId="201C5F8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7B897590" wp14:editId="63700601">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36C83A5C" w14:textId="77777777" w:rsidR="00756841" w:rsidRDefault="00756841">
    <w:pPr>
      <w:pStyle w:val="Encabezado"/>
    </w:pPr>
  </w:p>
  <w:p w14:paraId="3A73A441" w14:textId="77777777" w:rsidR="004A305D" w:rsidRPr="004A305D" w:rsidRDefault="004A305D" w:rsidP="00B01B1A">
    <w:pPr>
      <w:spacing w:after="0" w:line="120" w:lineRule="auto"/>
      <w:rPr>
        <w:rFonts w:ascii="Century Gothic" w:eastAsia="Geo" w:hAnsi="Century Gothic" w:cs="Geo"/>
        <w:sz w:val="16"/>
        <w:szCs w:val="16"/>
        <w:lang w:eastAsia="es-CO"/>
      </w:rPr>
    </w:pPr>
  </w:p>
  <w:p w14:paraId="01711A5F" w14:textId="77777777" w:rsidR="00C925AC" w:rsidRDefault="00C925AC" w:rsidP="00844AE9">
    <w:pPr>
      <w:spacing w:after="0" w:line="240" w:lineRule="auto"/>
      <w:rPr>
        <w:rFonts w:ascii="Verdana" w:hAnsi="Verdana"/>
        <w:sz w:val="24"/>
        <w:szCs w:val="24"/>
      </w:rPr>
    </w:pPr>
  </w:p>
  <w:p w14:paraId="6B0D704C" w14:textId="77777777" w:rsidR="00A14468" w:rsidRPr="00C925AC" w:rsidRDefault="00A14468" w:rsidP="00844AE9">
    <w:pPr>
      <w:spacing w:after="0" w:line="240" w:lineRule="auto"/>
      <w:rPr>
        <w:rFonts w:ascii="Verdana" w:hAnsi="Verdana"/>
        <w:sz w:val="24"/>
        <w:szCs w:val="24"/>
      </w:rPr>
    </w:pPr>
  </w:p>
  <w:p w14:paraId="7D99FFE1" w14:textId="77777777"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4860404">
    <w:abstractNumId w:val="6"/>
  </w:num>
  <w:num w:numId="2" w16cid:durableId="990980600">
    <w:abstractNumId w:val="2"/>
  </w:num>
  <w:num w:numId="3" w16cid:durableId="607928268">
    <w:abstractNumId w:val="4"/>
  </w:num>
  <w:num w:numId="4" w16cid:durableId="10560072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4858552">
    <w:abstractNumId w:val="2"/>
  </w:num>
  <w:num w:numId="6" w16cid:durableId="1752386460">
    <w:abstractNumId w:val="12"/>
  </w:num>
  <w:num w:numId="7" w16cid:durableId="1572693359">
    <w:abstractNumId w:val="5"/>
  </w:num>
  <w:num w:numId="8" w16cid:durableId="800264154">
    <w:abstractNumId w:val="11"/>
  </w:num>
  <w:num w:numId="9" w16cid:durableId="1590503547">
    <w:abstractNumId w:val="7"/>
  </w:num>
  <w:num w:numId="10" w16cid:durableId="1754164154">
    <w:abstractNumId w:val="10"/>
  </w:num>
  <w:num w:numId="11" w16cid:durableId="77290861">
    <w:abstractNumId w:val="8"/>
  </w:num>
  <w:num w:numId="12" w16cid:durableId="1324502715">
    <w:abstractNumId w:val="0"/>
  </w:num>
  <w:num w:numId="13" w16cid:durableId="1640918912">
    <w:abstractNumId w:val="3"/>
  </w:num>
  <w:num w:numId="14" w16cid:durableId="1936480602">
    <w:abstractNumId w:val="13"/>
  </w:num>
  <w:num w:numId="15" w16cid:durableId="1823277618">
    <w:abstractNumId w:val="9"/>
  </w:num>
  <w:num w:numId="16" w16cid:durableId="195001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06F1"/>
    <w:rsid w:val="00082362"/>
    <w:rsid w:val="000A683E"/>
    <w:rsid w:val="000B19B9"/>
    <w:rsid w:val="000D0334"/>
    <w:rsid w:val="000D3E2C"/>
    <w:rsid w:val="000D5DA7"/>
    <w:rsid w:val="000F4313"/>
    <w:rsid w:val="000F6486"/>
    <w:rsid w:val="00116940"/>
    <w:rsid w:val="00125105"/>
    <w:rsid w:val="00127233"/>
    <w:rsid w:val="0015699B"/>
    <w:rsid w:val="00157ED1"/>
    <w:rsid w:val="001868CD"/>
    <w:rsid w:val="001A33BF"/>
    <w:rsid w:val="001B3CBA"/>
    <w:rsid w:val="001E4177"/>
    <w:rsid w:val="001F0B24"/>
    <w:rsid w:val="001F7DC6"/>
    <w:rsid w:val="00212B15"/>
    <w:rsid w:val="0022400B"/>
    <w:rsid w:val="002421BB"/>
    <w:rsid w:val="0025796E"/>
    <w:rsid w:val="002707A2"/>
    <w:rsid w:val="00287F6B"/>
    <w:rsid w:val="002951A0"/>
    <w:rsid w:val="002962BC"/>
    <w:rsid w:val="002A093D"/>
    <w:rsid w:val="002A0DD0"/>
    <w:rsid w:val="002A49AC"/>
    <w:rsid w:val="002A64FD"/>
    <w:rsid w:val="002C7A84"/>
    <w:rsid w:val="002E2BF8"/>
    <w:rsid w:val="002E4FD9"/>
    <w:rsid w:val="002F15DA"/>
    <w:rsid w:val="00300EA6"/>
    <w:rsid w:val="0030657A"/>
    <w:rsid w:val="00321092"/>
    <w:rsid w:val="00322A85"/>
    <w:rsid w:val="00324168"/>
    <w:rsid w:val="003248CC"/>
    <w:rsid w:val="00330834"/>
    <w:rsid w:val="003448F4"/>
    <w:rsid w:val="00366EF7"/>
    <w:rsid w:val="00374F5E"/>
    <w:rsid w:val="00377E3E"/>
    <w:rsid w:val="003939CD"/>
    <w:rsid w:val="003A779E"/>
    <w:rsid w:val="003D0F4D"/>
    <w:rsid w:val="003D5B0D"/>
    <w:rsid w:val="003E0499"/>
    <w:rsid w:val="003E281C"/>
    <w:rsid w:val="003E4F80"/>
    <w:rsid w:val="003E6439"/>
    <w:rsid w:val="003E7B40"/>
    <w:rsid w:val="003F3941"/>
    <w:rsid w:val="00406575"/>
    <w:rsid w:val="00414C74"/>
    <w:rsid w:val="0042722E"/>
    <w:rsid w:val="00430FA2"/>
    <w:rsid w:val="00430FE2"/>
    <w:rsid w:val="0044528D"/>
    <w:rsid w:val="00465584"/>
    <w:rsid w:val="00466E39"/>
    <w:rsid w:val="00467E7D"/>
    <w:rsid w:val="00485BA6"/>
    <w:rsid w:val="004A1847"/>
    <w:rsid w:val="004A305D"/>
    <w:rsid w:val="004D0406"/>
    <w:rsid w:val="004F21C4"/>
    <w:rsid w:val="004F685F"/>
    <w:rsid w:val="0052334E"/>
    <w:rsid w:val="00540C3A"/>
    <w:rsid w:val="005544FB"/>
    <w:rsid w:val="005566E8"/>
    <w:rsid w:val="00567481"/>
    <w:rsid w:val="00574867"/>
    <w:rsid w:val="00574FCA"/>
    <w:rsid w:val="0057537B"/>
    <w:rsid w:val="00591460"/>
    <w:rsid w:val="005A65E0"/>
    <w:rsid w:val="005B1993"/>
    <w:rsid w:val="005C3777"/>
    <w:rsid w:val="005C5CDC"/>
    <w:rsid w:val="005D476C"/>
    <w:rsid w:val="00607073"/>
    <w:rsid w:val="006200BF"/>
    <w:rsid w:val="006219F8"/>
    <w:rsid w:val="006302F7"/>
    <w:rsid w:val="00646B9F"/>
    <w:rsid w:val="00665D70"/>
    <w:rsid w:val="0067287B"/>
    <w:rsid w:val="00673581"/>
    <w:rsid w:val="006900D9"/>
    <w:rsid w:val="006974CA"/>
    <w:rsid w:val="006B13E0"/>
    <w:rsid w:val="006E5E57"/>
    <w:rsid w:val="00706C16"/>
    <w:rsid w:val="007340C3"/>
    <w:rsid w:val="0074366D"/>
    <w:rsid w:val="0075235A"/>
    <w:rsid w:val="00756841"/>
    <w:rsid w:val="007649AB"/>
    <w:rsid w:val="00771D0C"/>
    <w:rsid w:val="007741C2"/>
    <w:rsid w:val="007833AC"/>
    <w:rsid w:val="007871E6"/>
    <w:rsid w:val="00792636"/>
    <w:rsid w:val="007A10D0"/>
    <w:rsid w:val="007B1106"/>
    <w:rsid w:val="007B268C"/>
    <w:rsid w:val="007B7171"/>
    <w:rsid w:val="007C0C0F"/>
    <w:rsid w:val="007C3DC2"/>
    <w:rsid w:val="007E5497"/>
    <w:rsid w:val="007F167A"/>
    <w:rsid w:val="00806F5F"/>
    <w:rsid w:val="00820278"/>
    <w:rsid w:val="008258C9"/>
    <w:rsid w:val="00840403"/>
    <w:rsid w:val="00844AE9"/>
    <w:rsid w:val="00867F95"/>
    <w:rsid w:val="008843B6"/>
    <w:rsid w:val="00891928"/>
    <w:rsid w:val="008A446D"/>
    <w:rsid w:val="008A5F4E"/>
    <w:rsid w:val="008B25F1"/>
    <w:rsid w:val="008D180B"/>
    <w:rsid w:val="008E4841"/>
    <w:rsid w:val="008F0EA7"/>
    <w:rsid w:val="00923EEF"/>
    <w:rsid w:val="009419F9"/>
    <w:rsid w:val="009513BD"/>
    <w:rsid w:val="0095685E"/>
    <w:rsid w:val="00961B09"/>
    <w:rsid w:val="00965334"/>
    <w:rsid w:val="00966744"/>
    <w:rsid w:val="0097093E"/>
    <w:rsid w:val="009A0DFA"/>
    <w:rsid w:val="009A1C6F"/>
    <w:rsid w:val="009B2D26"/>
    <w:rsid w:val="009C71FA"/>
    <w:rsid w:val="009C72E7"/>
    <w:rsid w:val="009C7F7E"/>
    <w:rsid w:val="009D1776"/>
    <w:rsid w:val="009D3058"/>
    <w:rsid w:val="009F3A13"/>
    <w:rsid w:val="00A122D3"/>
    <w:rsid w:val="00A14468"/>
    <w:rsid w:val="00A17F13"/>
    <w:rsid w:val="00A20739"/>
    <w:rsid w:val="00A23AF9"/>
    <w:rsid w:val="00A33C78"/>
    <w:rsid w:val="00AA3569"/>
    <w:rsid w:val="00AA4FEB"/>
    <w:rsid w:val="00AB0ADB"/>
    <w:rsid w:val="00AB15F5"/>
    <w:rsid w:val="00B00C0E"/>
    <w:rsid w:val="00B01B1A"/>
    <w:rsid w:val="00B0381D"/>
    <w:rsid w:val="00B154FA"/>
    <w:rsid w:val="00B41120"/>
    <w:rsid w:val="00B44A47"/>
    <w:rsid w:val="00B72CD3"/>
    <w:rsid w:val="00B72FFF"/>
    <w:rsid w:val="00BC3D36"/>
    <w:rsid w:val="00BC57BE"/>
    <w:rsid w:val="00BD54A6"/>
    <w:rsid w:val="00BD7F72"/>
    <w:rsid w:val="00BF7425"/>
    <w:rsid w:val="00C00CDF"/>
    <w:rsid w:val="00C04FB3"/>
    <w:rsid w:val="00C11D8B"/>
    <w:rsid w:val="00C15139"/>
    <w:rsid w:val="00C330EB"/>
    <w:rsid w:val="00C50D69"/>
    <w:rsid w:val="00C5365C"/>
    <w:rsid w:val="00C62946"/>
    <w:rsid w:val="00C754BE"/>
    <w:rsid w:val="00C76B1C"/>
    <w:rsid w:val="00C925AC"/>
    <w:rsid w:val="00CB6357"/>
    <w:rsid w:val="00CB7B1F"/>
    <w:rsid w:val="00CC1B26"/>
    <w:rsid w:val="00CF5913"/>
    <w:rsid w:val="00CF5DED"/>
    <w:rsid w:val="00D13655"/>
    <w:rsid w:val="00D361FD"/>
    <w:rsid w:val="00D423A2"/>
    <w:rsid w:val="00D44E26"/>
    <w:rsid w:val="00D520D8"/>
    <w:rsid w:val="00D63AC2"/>
    <w:rsid w:val="00D66164"/>
    <w:rsid w:val="00D7383B"/>
    <w:rsid w:val="00D7788A"/>
    <w:rsid w:val="00DA231B"/>
    <w:rsid w:val="00DC39FC"/>
    <w:rsid w:val="00DD0FDA"/>
    <w:rsid w:val="00DD71D8"/>
    <w:rsid w:val="00DF5254"/>
    <w:rsid w:val="00E02524"/>
    <w:rsid w:val="00E16408"/>
    <w:rsid w:val="00E20894"/>
    <w:rsid w:val="00E245AB"/>
    <w:rsid w:val="00E2764C"/>
    <w:rsid w:val="00E27F2E"/>
    <w:rsid w:val="00E36DFE"/>
    <w:rsid w:val="00E43DCE"/>
    <w:rsid w:val="00E50AFE"/>
    <w:rsid w:val="00E75C92"/>
    <w:rsid w:val="00E771DC"/>
    <w:rsid w:val="00E80081"/>
    <w:rsid w:val="00E8772A"/>
    <w:rsid w:val="00E90F6B"/>
    <w:rsid w:val="00E92C27"/>
    <w:rsid w:val="00EA0E3D"/>
    <w:rsid w:val="00EC38A7"/>
    <w:rsid w:val="00ED4BC9"/>
    <w:rsid w:val="00EE02E2"/>
    <w:rsid w:val="00EE1130"/>
    <w:rsid w:val="00EE1AA8"/>
    <w:rsid w:val="00F158E3"/>
    <w:rsid w:val="00F23FEA"/>
    <w:rsid w:val="00F31A87"/>
    <w:rsid w:val="00F31EDC"/>
    <w:rsid w:val="00F462B3"/>
    <w:rsid w:val="00F5664F"/>
    <w:rsid w:val="00F61940"/>
    <w:rsid w:val="00F666C4"/>
    <w:rsid w:val="00F76AFC"/>
    <w:rsid w:val="00F91202"/>
    <w:rsid w:val="00F931C4"/>
    <w:rsid w:val="00FA47C0"/>
    <w:rsid w:val="00FB45D3"/>
    <w:rsid w:val="00FB50A5"/>
    <w:rsid w:val="00FB5DD1"/>
    <w:rsid w:val="00FC2B5D"/>
    <w:rsid w:val="00FF1449"/>
    <w:rsid w:val="00FF7963"/>
    <w:rsid w:val="071B8F93"/>
    <w:rsid w:val="07C73DD1"/>
    <w:rsid w:val="09908A09"/>
    <w:rsid w:val="0E0AF0F4"/>
    <w:rsid w:val="0EFE6349"/>
    <w:rsid w:val="0FF4CCA8"/>
    <w:rsid w:val="13CFC91B"/>
    <w:rsid w:val="19A2EC2C"/>
    <w:rsid w:val="19C2847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5DC4A"/>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871E6"/>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12034420">
      <w:bodyDiv w:val="1"/>
      <w:marLeft w:val="0"/>
      <w:marRight w:val="0"/>
      <w:marTop w:val="0"/>
      <w:marBottom w:val="0"/>
      <w:divBdr>
        <w:top w:val="none" w:sz="0" w:space="0" w:color="auto"/>
        <w:left w:val="none" w:sz="0" w:space="0" w:color="auto"/>
        <w:bottom w:val="none" w:sz="0" w:space="0" w:color="auto"/>
        <w:right w:val="none" w:sz="0" w:space="0" w:color="auto"/>
      </w:divBdr>
      <w:divsChild>
        <w:div w:id="618488851">
          <w:marLeft w:val="0"/>
          <w:marRight w:val="0"/>
          <w:marTop w:val="0"/>
          <w:marBottom w:val="0"/>
          <w:divBdr>
            <w:top w:val="none" w:sz="0" w:space="0" w:color="auto"/>
            <w:left w:val="none" w:sz="0" w:space="0" w:color="auto"/>
            <w:bottom w:val="none" w:sz="0" w:space="0" w:color="auto"/>
            <w:right w:val="none" w:sz="0" w:space="0" w:color="auto"/>
          </w:divBdr>
          <w:divsChild>
            <w:div w:id="1312514199">
              <w:marLeft w:val="0"/>
              <w:marRight w:val="0"/>
              <w:marTop w:val="0"/>
              <w:marBottom w:val="0"/>
              <w:divBdr>
                <w:top w:val="none" w:sz="0" w:space="0" w:color="auto"/>
                <w:left w:val="none" w:sz="0" w:space="0" w:color="auto"/>
                <w:bottom w:val="none" w:sz="0" w:space="0" w:color="auto"/>
                <w:right w:val="none" w:sz="0" w:space="0" w:color="auto"/>
              </w:divBdr>
              <w:divsChild>
                <w:div w:id="651522952">
                  <w:marLeft w:val="0"/>
                  <w:marRight w:val="0"/>
                  <w:marTop w:val="0"/>
                  <w:marBottom w:val="0"/>
                  <w:divBdr>
                    <w:top w:val="none" w:sz="0" w:space="0" w:color="auto"/>
                    <w:left w:val="none" w:sz="0" w:space="0" w:color="auto"/>
                    <w:bottom w:val="none" w:sz="0" w:space="0" w:color="auto"/>
                    <w:right w:val="none" w:sz="0" w:space="0" w:color="auto"/>
                  </w:divBdr>
                  <w:divsChild>
                    <w:div w:id="1443960521">
                      <w:marLeft w:val="0"/>
                      <w:marRight w:val="0"/>
                      <w:marTop w:val="0"/>
                      <w:marBottom w:val="0"/>
                      <w:divBdr>
                        <w:top w:val="none" w:sz="0" w:space="0" w:color="auto"/>
                        <w:left w:val="none" w:sz="0" w:space="0" w:color="auto"/>
                        <w:bottom w:val="none" w:sz="0" w:space="0" w:color="auto"/>
                        <w:right w:val="none" w:sz="0" w:space="0" w:color="auto"/>
                      </w:divBdr>
                      <w:divsChild>
                        <w:div w:id="1892957634">
                          <w:marLeft w:val="0"/>
                          <w:marRight w:val="0"/>
                          <w:marTop w:val="0"/>
                          <w:marBottom w:val="0"/>
                          <w:divBdr>
                            <w:top w:val="none" w:sz="0" w:space="0" w:color="auto"/>
                            <w:left w:val="none" w:sz="0" w:space="0" w:color="auto"/>
                            <w:bottom w:val="none" w:sz="0" w:space="0" w:color="auto"/>
                            <w:right w:val="none" w:sz="0" w:space="0" w:color="auto"/>
                          </w:divBdr>
                          <w:divsChild>
                            <w:div w:id="780998957">
                              <w:marLeft w:val="0"/>
                              <w:marRight w:val="0"/>
                              <w:marTop w:val="0"/>
                              <w:marBottom w:val="0"/>
                              <w:divBdr>
                                <w:top w:val="none" w:sz="0" w:space="0" w:color="auto"/>
                                <w:left w:val="none" w:sz="0" w:space="0" w:color="auto"/>
                                <w:bottom w:val="none" w:sz="0" w:space="0" w:color="auto"/>
                                <w:right w:val="none" w:sz="0" w:space="0" w:color="auto"/>
                              </w:divBdr>
                              <w:divsChild>
                                <w:div w:id="1707415034">
                                  <w:marLeft w:val="0"/>
                                  <w:marRight w:val="0"/>
                                  <w:marTop w:val="0"/>
                                  <w:marBottom w:val="0"/>
                                  <w:divBdr>
                                    <w:top w:val="none" w:sz="0" w:space="0" w:color="auto"/>
                                    <w:left w:val="none" w:sz="0" w:space="0" w:color="auto"/>
                                    <w:bottom w:val="none" w:sz="0" w:space="0" w:color="auto"/>
                                    <w:right w:val="none" w:sz="0" w:space="0" w:color="auto"/>
                                  </w:divBdr>
                                  <w:divsChild>
                                    <w:div w:id="549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597518956">
      <w:bodyDiv w:val="1"/>
      <w:marLeft w:val="0"/>
      <w:marRight w:val="0"/>
      <w:marTop w:val="0"/>
      <w:marBottom w:val="0"/>
      <w:divBdr>
        <w:top w:val="none" w:sz="0" w:space="0" w:color="auto"/>
        <w:left w:val="none" w:sz="0" w:space="0" w:color="auto"/>
        <w:bottom w:val="none" w:sz="0" w:space="0" w:color="auto"/>
        <w:right w:val="none" w:sz="0" w:space="0" w:color="auto"/>
      </w:divBdr>
      <w:divsChild>
        <w:div w:id="1929848834">
          <w:marLeft w:val="0"/>
          <w:marRight w:val="0"/>
          <w:marTop w:val="0"/>
          <w:marBottom w:val="0"/>
          <w:divBdr>
            <w:top w:val="none" w:sz="0" w:space="0" w:color="auto"/>
            <w:left w:val="none" w:sz="0" w:space="0" w:color="auto"/>
            <w:bottom w:val="none" w:sz="0" w:space="0" w:color="auto"/>
            <w:right w:val="none" w:sz="0" w:space="0" w:color="auto"/>
          </w:divBdr>
          <w:divsChild>
            <w:div w:id="2056924019">
              <w:marLeft w:val="0"/>
              <w:marRight w:val="0"/>
              <w:marTop w:val="0"/>
              <w:marBottom w:val="0"/>
              <w:divBdr>
                <w:top w:val="none" w:sz="0" w:space="0" w:color="auto"/>
                <w:left w:val="none" w:sz="0" w:space="0" w:color="auto"/>
                <w:bottom w:val="none" w:sz="0" w:space="0" w:color="auto"/>
                <w:right w:val="none" w:sz="0" w:space="0" w:color="auto"/>
              </w:divBdr>
              <w:divsChild>
                <w:div w:id="1876308058">
                  <w:marLeft w:val="0"/>
                  <w:marRight w:val="0"/>
                  <w:marTop w:val="0"/>
                  <w:marBottom w:val="0"/>
                  <w:divBdr>
                    <w:top w:val="none" w:sz="0" w:space="0" w:color="auto"/>
                    <w:left w:val="none" w:sz="0" w:space="0" w:color="auto"/>
                    <w:bottom w:val="none" w:sz="0" w:space="0" w:color="auto"/>
                    <w:right w:val="none" w:sz="0" w:space="0" w:color="auto"/>
                  </w:divBdr>
                  <w:divsChild>
                    <w:div w:id="867257576">
                      <w:marLeft w:val="0"/>
                      <w:marRight w:val="0"/>
                      <w:marTop w:val="0"/>
                      <w:marBottom w:val="0"/>
                      <w:divBdr>
                        <w:top w:val="none" w:sz="0" w:space="0" w:color="auto"/>
                        <w:left w:val="none" w:sz="0" w:space="0" w:color="auto"/>
                        <w:bottom w:val="none" w:sz="0" w:space="0" w:color="auto"/>
                        <w:right w:val="none" w:sz="0" w:space="0" w:color="auto"/>
                      </w:divBdr>
                      <w:divsChild>
                        <w:div w:id="434636078">
                          <w:marLeft w:val="0"/>
                          <w:marRight w:val="0"/>
                          <w:marTop w:val="0"/>
                          <w:marBottom w:val="0"/>
                          <w:divBdr>
                            <w:top w:val="none" w:sz="0" w:space="0" w:color="auto"/>
                            <w:left w:val="none" w:sz="0" w:space="0" w:color="auto"/>
                            <w:bottom w:val="none" w:sz="0" w:space="0" w:color="auto"/>
                            <w:right w:val="none" w:sz="0" w:space="0" w:color="auto"/>
                          </w:divBdr>
                          <w:divsChild>
                            <w:div w:id="1226837747">
                              <w:marLeft w:val="0"/>
                              <w:marRight w:val="0"/>
                              <w:marTop w:val="0"/>
                              <w:marBottom w:val="0"/>
                              <w:divBdr>
                                <w:top w:val="none" w:sz="0" w:space="0" w:color="auto"/>
                                <w:left w:val="none" w:sz="0" w:space="0" w:color="auto"/>
                                <w:bottom w:val="none" w:sz="0" w:space="0" w:color="auto"/>
                                <w:right w:val="none" w:sz="0" w:space="0" w:color="auto"/>
                              </w:divBdr>
                              <w:divsChild>
                                <w:div w:id="986592301">
                                  <w:marLeft w:val="0"/>
                                  <w:marRight w:val="0"/>
                                  <w:marTop w:val="0"/>
                                  <w:marBottom w:val="0"/>
                                  <w:divBdr>
                                    <w:top w:val="none" w:sz="0" w:space="0" w:color="auto"/>
                                    <w:left w:val="none" w:sz="0" w:space="0" w:color="auto"/>
                                    <w:bottom w:val="none" w:sz="0" w:space="0" w:color="auto"/>
                                    <w:right w:val="none" w:sz="0" w:space="0" w:color="auto"/>
                                  </w:divBdr>
                                  <w:divsChild>
                                    <w:div w:id="6882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025263">
      <w:bodyDiv w:val="1"/>
      <w:marLeft w:val="0"/>
      <w:marRight w:val="0"/>
      <w:marTop w:val="0"/>
      <w:marBottom w:val="0"/>
      <w:divBdr>
        <w:top w:val="none" w:sz="0" w:space="0" w:color="auto"/>
        <w:left w:val="none" w:sz="0" w:space="0" w:color="auto"/>
        <w:bottom w:val="none" w:sz="0" w:space="0" w:color="auto"/>
        <w:right w:val="none" w:sz="0" w:space="0" w:color="auto"/>
      </w:divBdr>
    </w:div>
    <w:div w:id="1930771107">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lombiacompra.gov.co/normativa-y-relatoria/documentos-tip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acionvirtual.colombiacompra.gov.co/mod/page/view.php?id=3718"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93048C96-C9F5-4B08-A290-236754E69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18</TotalTime>
  <Pages>12</Pages>
  <Words>3946</Words>
  <Characters>21709</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25604</CharactersWithSpaces>
  <SharedDoc>false</SharedDoc>
  <HLinks>
    <vt:vector size="24" baseType="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5505151</vt:i4>
      </vt:variant>
      <vt:variant>
        <vt:i4>0</vt:i4>
      </vt:variant>
      <vt:variant>
        <vt:i4>0</vt:i4>
      </vt:variant>
      <vt:variant>
        <vt:i4>5</vt:i4>
      </vt:variant>
      <vt:variant>
        <vt:lpwstr>mailto:Ana.menesesb@fiscalia.gov.co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3</cp:revision>
  <cp:lastPrinted>2023-01-10T21:18:00Z</cp:lastPrinted>
  <dcterms:created xsi:type="dcterms:W3CDTF">2026-09-15T15:51:00Z</dcterms:created>
  <dcterms:modified xsi:type="dcterms:W3CDTF">2026-09-15T16:53:00Z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