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38019" w14:textId="77777777" w:rsidR="000050D8" w:rsidRPr="004C046B" w:rsidRDefault="000050D8" w:rsidP="000050D8">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61D61C11"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6DFFA1F9" w14:textId="77777777" w:rsidR="000050D8" w:rsidRDefault="000050D8" w:rsidP="000050D8">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Pr="000A5E13">
        <w:rPr>
          <w:rFonts w:ascii="Verdana" w:eastAsia="Calibri" w:hAnsi="Verdana" w:cs="Arial"/>
          <w:sz w:val="20"/>
          <w:szCs w:val="20"/>
          <w:lang w:eastAsia="es-ES"/>
        </w:rPr>
        <w:t>PcD</w:t>
      </w:r>
      <w:proofErr w:type="spellEnd"/>
      <w:r w:rsidRPr="000A5E13">
        <w:rPr>
          <w:rFonts w:ascii="Verdana" w:eastAsia="Calibri" w:hAnsi="Verdana" w:cs="Arial"/>
          <w:sz w:val="20"/>
          <w:szCs w:val="20"/>
          <w:lang w:eastAsia="es-ES"/>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02F5B995" w14:textId="77777777" w:rsidR="000050D8" w:rsidRPr="007B5AD4" w:rsidRDefault="000050D8" w:rsidP="000050D8">
      <w:pPr>
        <w:spacing w:after="0" w:line="240" w:lineRule="auto"/>
        <w:contextualSpacing/>
        <w:jc w:val="both"/>
        <w:rPr>
          <w:rFonts w:ascii="Verdana" w:eastAsia="Calibri" w:hAnsi="Verdana" w:cs="Arial"/>
          <w:sz w:val="20"/>
          <w:szCs w:val="20"/>
          <w:lang w:eastAsia="es-ES"/>
        </w:rPr>
      </w:pPr>
    </w:p>
    <w:p w14:paraId="27DD40CD" w14:textId="77777777" w:rsidR="000050D8" w:rsidRPr="004C046B" w:rsidRDefault="000050D8" w:rsidP="000050D8">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6E0BD0BD" w14:textId="77777777" w:rsidR="000050D8" w:rsidRPr="007B5AD4" w:rsidRDefault="000050D8" w:rsidP="000050D8">
      <w:pPr>
        <w:spacing w:after="0" w:line="240" w:lineRule="auto"/>
        <w:contextualSpacing/>
        <w:jc w:val="both"/>
        <w:rPr>
          <w:rFonts w:ascii="Verdana" w:eastAsia="Calibri" w:hAnsi="Verdana" w:cs="Arial"/>
          <w:b/>
          <w:bCs/>
          <w:sz w:val="20"/>
          <w:szCs w:val="20"/>
          <w:lang w:eastAsia="es-ES"/>
        </w:rPr>
      </w:pPr>
    </w:p>
    <w:p w14:paraId="5653D274" w14:textId="77777777" w:rsidR="000050D8" w:rsidRDefault="000050D8" w:rsidP="000050D8">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68BD8647"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49D53F56" w14:textId="77777777" w:rsidR="000050D8" w:rsidRPr="004C046B" w:rsidRDefault="000050D8" w:rsidP="000050D8">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14EBB583" w14:textId="77777777" w:rsidR="000050D8" w:rsidRPr="007B5AD4" w:rsidRDefault="000050D8" w:rsidP="000050D8">
      <w:pPr>
        <w:spacing w:after="0" w:line="240" w:lineRule="auto"/>
        <w:contextualSpacing/>
        <w:jc w:val="both"/>
        <w:rPr>
          <w:rFonts w:ascii="Verdana" w:eastAsia="Calibri" w:hAnsi="Verdana" w:cs="Arial"/>
          <w:b/>
          <w:bCs/>
          <w:sz w:val="20"/>
          <w:szCs w:val="20"/>
          <w:lang w:eastAsia="es-ES"/>
        </w:rPr>
      </w:pPr>
    </w:p>
    <w:p w14:paraId="319F3251" w14:textId="77777777" w:rsidR="000050D8" w:rsidRDefault="000050D8" w:rsidP="000050D8">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por al menos un año; y personas jurídicas con al menos una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vinculada laboralmente en un cargo de nivel directivo por al menos un año. El segundo sujeto son los empleadores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esto es, cualquier empresa que tenga en su planta de personal trabajadores con discapacidad contratados laboralmente con dedicación exclusiva, superando los mínimos que exige la Ley 2466 de 2025 (Reforma Laboral). </w:t>
      </w:r>
      <w:r w:rsidRPr="00FA1AEB">
        <w:rPr>
          <w:rFonts w:ascii="Verdana" w:eastAsia="Calibri" w:hAnsi="Verdana" w:cs="Arial"/>
          <w:sz w:val="20"/>
          <w:szCs w:val="20"/>
          <w:lang w:eastAsia="es-ES"/>
        </w:rPr>
        <w:t xml:space="preserve">Estos sujetos no tienen en cuenta el género, es decir si son </w:t>
      </w:r>
      <w:proofErr w:type="spellStart"/>
      <w:r w:rsidRPr="00FA1AEB">
        <w:rPr>
          <w:rFonts w:ascii="Verdana" w:eastAsia="Calibri" w:hAnsi="Verdana" w:cs="Arial"/>
          <w:sz w:val="20"/>
          <w:szCs w:val="20"/>
          <w:lang w:eastAsia="es-ES"/>
        </w:rPr>
        <w:t>PcD</w:t>
      </w:r>
      <w:proofErr w:type="spellEnd"/>
      <w:r w:rsidRPr="00FA1AEB">
        <w:rPr>
          <w:rFonts w:ascii="Verdana" w:eastAsia="Calibri" w:hAnsi="Verdana" w:cs="Arial"/>
          <w:sz w:val="20"/>
          <w:szCs w:val="20"/>
          <w:lang w:eastAsia="es-ES"/>
        </w:rPr>
        <w:t xml:space="preserve"> hombres o mujeres, por lo que la definición es aplicable independientemente del género de la </w:t>
      </w:r>
      <w:proofErr w:type="spellStart"/>
      <w:r w:rsidRPr="00FA1AEB">
        <w:rPr>
          <w:rFonts w:ascii="Verdana" w:eastAsia="Calibri" w:hAnsi="Verdana" w:cs="Arial"/>
          <w:sz w:val="20"/>
          <w:szCs w:val="20"/>
          <w:lang w:eastAsia="es-ES"/>
        </w:rPr>
        <w:t>PcD</w:t>
      </w:r>
      <w:proofErr w:type="spellEnd"/>
      <w:r w:rsidRPr="00FA1AEB">
        <w:rPr>
          <w:rFonts w:ascii="Verdana" w:eastAsia="Calibri" w:hAnsi="Verdana" w:cs="Arial"/>
          <w:sz w:val="20"/>
          <w:szCs w:val="20"/>
          <w:lang w:eastAsia="es-ES"/>
        </w:rPr>
        <w:t xml:space="preserve"> y no afecta las medidas afirmativas a aplicar.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435A0B18"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70685E00" w14:textId="77777777" w:rsidR="000050D8" w:rsidRPr="004C046B" w:rsidRDefault="000050D8" w:rsidP="000050D8">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Puntaje adicional del 2% ‒ </w:t>
      </w:r>
      <w:r>
        <w:rPr>
          <w:rFonts w:ascii="Verdana" w:eastAsia="Calibri" w:hAnsi="Verdana" w:cs="Arial"/>
          <w:b/>
          <w:bCs/>
          <w:lang w:eastAsia="es-ES"/>
        </w:rPr>
        <w:t>Proponentes plurales</w:t>
      </w:r>
    </w:p>
    <w:p w14:paraId="6EEB0E5F" w14:textId="77777777" w:rsidR="000050D8" w:rsidRPr="007B5AD4" w:rsidRDefault="000050D8" w:rsidP="000050D8">
      <w:pPr>
        <w:spacing w:after="0" w:line="240" w:lineRule="auto"/>
        <w:contextualSpacing/>
        <w:jc w:val="both"/>
        <w:rPr>
          <w:rFonts w:ascii="Verdana" w:eastAsia="Calibri" w:hAnsi="Verdana" w:cs="Arial"/>
          <w:b/>
          <w:bCs/>
          <w:sz w:val="20"/>
          <w:szCs w:val="20"/>
          <w:lang w:eastAsia="es-ES"/>
        </w:rPr>
      </w:pPr>
    </w:p>
    <w:p w14:paraId="4A9353C3" w14:textId="77777777" w:rsidR="000050D8" w:rsidRDefault="000050D8" w:rsidP="000050D8">
      <w:pPr>
        <w:spacing w:after="0" w:line="240" w:lineRule="auto"/>
        <w:contextualSpacing/>
        <w:jc w:val="both"/>
        <w:rPr>
          <w:rFonts w:ascii="Verdana" w:eastAsia="Calibri" w:hAnsi="Verdana" w:cs="Arial"/>
          <w:sz w:val="20"/>
          <w:szCs w:val="20"/>
          <w:lang w:eastAsia="es-ES"/>
        </w:rPr>
      </w:pPr>
      <w:r w:rsidRPr="006C6035">
        <w:rPr>
          <w:rFonts w:ascii="Verdana" w:eastAsia="Calibri" w:hAnsi="Verdana" w:cs="Arial"/>
          <w:sz w:val="20"/>
          <w:szCs w:val="20"/>
          <w:lang w:eastAsia="es-ES"/>
        </w:rPr>
        <w:t xml:space="preserve">El puntaje no se otorga por cumplir la ley sino por superarla: solo el proponente que acredite un número de </w:t>
      </w:r>
      <w:proofErr w:type="spellStart"/>
      <w:r w:rsidRPr="006C6035">
        <w:rPr>
          <w:rFonts w:ascii="Verdana" w:eastAsia="Calibri" w:hAnsi="Verdana" w:cs="Arial"/>
          <w:sz w:val="20"/>
          <w:szCs w:val="20"/>
          <w:lang w:eastAsia="es-ES"/>
        </w:rPr>
        <w:t>PcD</w:t>
      </w:r>
      <w:proofErr w:type="spellEnd"/>
      <w:r w:rsidRPr="006C6035">
        <w:rPr>
          <w:rFonts w:ascii="Verdana" w:eastAsia="Calibri" w:hAnsi="Verdana" w:cs="Arial"/>
          <w:sz w:val="20"/>
          <w:szCs w:val="20"/>
          <w:lang w:eastAsia="es-ES"/>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p>
    <w:p w14:paraId="1101466B"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78F743E5" w14:textId="77777777" w:rsidR="000050D8" w:rsidRPr="00206556" w:rsidRDefault="000050D8" w:rsidP="000050D8">
      <w:pPr>
        <w:spacing w:after="0" w:line="240" w:lineRule="auto"/>
        <w:contextualSpacing/>
        <w:jc w:val="both"/>
        <w:rPr>
          <w:rFonts w:ascii="Verdana" w:eastAsia="Calibri" w:hAnsi="Verdana" w:cs="Arial"/>
          <w:sz w:val="20"/>
          <w:szCs w:val="20"/>
          <w:lang w:eastAsia="es-ES"/>
        </w:rPr>
      </w:pPr>
      <w:r w:rsidRPr="004C0ABC">
        <w:rPr>
          <w:rFonts w:ascii="Verdana" w:eastAsia="Calibri" w:hAnsi="Verdana" w:cs="Arial"/>
          <w:sz w:val="20"/>
          <w:szCs w:val="20"/>
          <w:lang w:eastAsia="es-ES"/>
        </w:rPr>
        <w:t>De esta forma, si un proponente, de acuerdo con su planta de personal y la tabla establecida por la norma, acreditará dos (2) trabajadores con discapacidad para la obtención del puntaje, en caso de ser un proponente plural, se revisará la planta de personal del miembro que tenga mayor participación en el proponente plural, sin que sea posible que se revisen varias plantas de personal de los miembros del proponente plural, sino que solo se revisará la planta del miembro con mayor participación quien deberá contar con las personas con discapacidad que exige la norma en caso de que quiera acceder al puntaje, y no es posible que cada miembro aporte la vinculación de las personas con discapacidad que exige el Decreto 287 de 2026 para otorgar los puntos allí señalados.</w:t>
      </w:r>
    </w:p>
    <w:p w14:paraId="40F49DE7" w14:textId="77777777" w:rsidR="000050D8" w:rsidRPr="007B5AD4" w:rsidRDefault="000050D8" w:rsidP="000050D8">
      <w:pPr>
        <w:spacing w:after="0" w:line="240" w:lineRule="auto"/>
        <w:contextualSpacing/>
        <w:jc w:val="both"/>
        <w:rPr>
          <w:rFonts w:ascii="Verdana" w:eastAsia="Calibri" w:hAnsi="Verdana" w:cs="Arial"/>
          <w:sz w:val="20"/>
          <w:szCs w:val="20"/>
          <w:lang w:eastAsia="es-ES"/>
        </w:rPr>
      </w:pPr>
    </w:p>
    <w:p w14:paraId="035A8E8C" w14:textId="77777777" w:rsidR="000050D8" w:rsidRPr="004C046B" w:rsidRDefault="000050D8" w:rsidP="000050D8">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Vigencia ‒ Derogatoria ‒ Decreto 392 de 2018 ‒ Régimen de transición ‒ Resolución de apertura</w:t>
      </w:r>
    </w:p>
    <w:p w14:paraId="441B4C5A"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664CFB13" w14:textId="77777777" w:rsidR="000050D8" w:rsidRDefault="000050D8" w:rsidP="000050D8">
      <w:pPr>
        <w:spacing w:after="0" w:line="240" w:lineRule="auto"/>
        <w:contextualSpacing/>
        <w:jc w:val="both"/>
        <w:rPr>
          <w:rFonts w:ascii="Verdana" w:eastAsia="Calibri" w:hAnsi="Verdana" w:cs="Arial"/>
          <w:sz w:val="20"/>
          <w:szCs w:val="20"/>
          <w:lang w:eastAsia="es-ES"/>
        </w:rPr>
      </w:pPr>
      <w:r w:rsidRPr="00A54668">
        <w:rPr>
          <w:rFonts w:ascii="Verdana" w:eastAsia="Calibri" w:hAnsi="Verdana" w:cs="Arial"/>
          <w:sz w:val="20"/>
          <w:szCs w:val="20"/>
          <w:lang w:eastAsia="es-ES"/>
        </w:rPr>
        <w:t xml:space="preserve">(…) </w:t>
      </w:r>
      <w:r w:rsidRPr="004C046B">
        <w:rPr>
          <w:rFonts w:ascii="Verdana" w:eastAsia="Calibri" w:hAnsi="Verdana" w:cs="Arial"/>
          <w:sz w:val="20"/>
          <w:szCs w:val="20"/>
          <w:lang w:eastAsia="es-ES"/>
        </w:rPr>
        <w:t xml:space="preserve">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w:t>
      </w:r>
      <w:r w:rsidRPr="004C046B">
        <w:rPr>
          <w:rFonts w:ascii="Verdana" w:eastAsia="Calibri" w:hAnsi="Verdana" w:cs="Arial"/>
          <w:sz w:val="20"/>
          <w:szCs w:val="20"/>
          <w:lang w:eastAsia="es-ES"/>
        </w:rPr>
        <w:lastRenderedPageBreak/>
        <w:t>fue modificado en su integridad, por lo que no hubo derogatoria sino modificación total para conservar la numeración del mencionado decreto, pero lo señalado en este concepto debe entenderse de acuerdo con la nueva redacción de los artículos enlistados, y no recurrir a la antigua redacción.</w:t>
      </w:r>
    </w:p>
    <w:p w14:paraId="3248F4B3" w14:textId="77777777" w:rsidR="000050D8" w:rsidRPr="004C046B" w:rsidRDefault="000050D8" w:rsidP="000050D8">
      <w:pPr>
        <w:spacing w:after="0" w:line="240" w:lineRule="auto"/>
        <w:contextualSpacing/>
        <w:jc w:val="both"/>
        <w:rPr>
          <w:rFonts w:ascii="Verdana" w:eastAsia="Calibri" w:hAnsi="Verdana" w:cs="Arial"/>
          <w:sz w:val="20"/>
          <w:szCs w:val="20"/>
          <w:lang w:eastAsia="es-ES"/>
        </w:rPr>
      </w:pPr>
    </w:p>
    <w:p w14:paraId="33E046FA" w14:textId="77777777" w:rsidR="000050D8" w:rsidRDefault="000050D8" w:rsidP="000050D8">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4C046B">
        <w:rPr>
          <w:rFonts w:ascii="Verdana" w:eastAsia="Calibri" w:hAnsi="Verdana" w:cs="Arial"/>
          <w:sz w:val="20"/>
          <w:szCs w:val="20"/>
          <w:lang w:eastAsia="es-ES"/>
        </w:rPr>
        <w:t>ii</w:t>
      </w:r>
      <w:proofErr w:type="spellEnd"/>
      <w:r w:rsidRPr="004C046B">
        <w:rPr>
          <w:rFonts w:ascii="Verdana" w:eastAsia="Calibri" w:hAnsi="Verdana" w:cs="Arial"/>
          <w:sz w:val="20"/>
          <w:szCs w:val="20"/>
          <w:lang w:eastAsia="es-ES"/>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3E0FB764" w14:textId="77777777" w:rsidR="000050D8" w:rsidRPr="004C046B" w:rsidRDefault="000050D8" w:rsidP="000050D8">
      <w:pPr>
        <w:spacing w:after="0" w:line="240" w:lineRule="auto"/>
        <w:contextualSpacing/>
        <w:jc w:val="both"/>
        <w:rPr>
          <w:rFonts w:ascii="Verdana" w:eastAsia="Calibri" w:hAnsi="Verdana" w:cs="Arial"/>
          <w:sz w:val="20"/>
          <w:szCs w:val="20"/>
          <w:lang w:eastAsia="es-ES"/>
        </w:rPr>
      </w:pPr>
    </w:p>
    <w:p w14:paraId="7BFB579C" w14:textId="77777777" w:rsidR="000050D8" w:rsidRDefault="000050D8" w:rsidP="000050D8">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Para los procesos de contratación con proyecto de pliego </w:t>
      </w:r>
      <w:proofErr w:type="gramStart"/>
      <w:r w:rsidRPr="004C046B">
        <w:rPr>
          <w:rFonts w:ascii="Verdana" w:eastAsia="Calibri" w:hAnsi="Verdana" w:cs="Arial"/>
          <w:sz w:val="20"/>
          <w:szCs w:val="20"/>
          <w:lang w:eastAsia="es-ES"/>
        </w:rPr>
        <w:t>publicado</w:t>
      </w:r>
      <w:proofErr w:type="gramEnd"/>
      <w:r w:rsidRPr="004C046B">
        <w:rPr>
          <w:rFonts w:ascii="Verdana" w:eastAsia="Calibri" w:hAnsi="Verdana" w:cs="Arial"/>
          <w:sz w:val="20"/>
          <w:szCs w:val="20"/>
          <w:lang w:eastAsia="es-ES"/>
        </w:rPr>
        <w:t xml:space="preserve"> pero sin apertura al 19 de marzo de 2026, se recomienda que se incorporen las medidas del Decreto 287 de 2026 antes de publicar los pliegos definitivos. En esa etapa aún es posible realizar ajustes sin afectar derechos adquiridos de los proponentes.</w:t>
      </w:r>
    </w:p>
    <w:p w14:paraId="745CE52B"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2AD0993C"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1F935AF5"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73151968"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0B7C91A9"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44ECC301"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4A01E98F"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4669F7E1"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6A573FEA"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303BD14B"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01D9098F"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7E506838" w14:textId="77777777" w:rsidR="000050D8" w:rsidRDefault="000050D8" w:rsidP="000050D8">
      <w:pPr>
        <w:spacing w:after="0" w:line="240" w:lineRule="auto"/>
        <w:contextualSpacing/>
        <w:jc w:val="both"/>
        <w:rPr>
          <w:rFonts w:ascii="Verdana" w:eastAsia="Calibri" w:hAnsi="Verdana" w:cs="Arial"/>
          <w:sz w:val="20"/>
          <w:szCs w:val="20"/>
          <w:lang w:eastAsia="es-ES"/>
        </w:rPr>
      </w:pPr>
    </w:p>
    <w:p w14:paraId="6DBB322A" w14:textId="77777777" w:rsidR="000050D8" w:rsidRDefault="000050D8" w:rsidP="000050D8">
      <w:pPr>
        <w:spacing w:after="0"/>
        <w:rPr>
          <w:rFonts w:ascii="Verdana" w:hAnsi="Verdana"/>
          <w:lang w:val="es-ES_tradnl"/>
        </w:rPr>
      </w:pPr>
    </w:p>
    <w:p w14:paraId="418075E9" w14:textId="77777777" w:rsidR="000050D8" w:rsidRDefault="000050D8" w:rsidP="000050D8">
      <w:pPr>
        <w:spacing w:after="0"/>
        <w:rPr>
          <w:rFonts w:ascii="Verdana" w:hAnsi="Verdana"/>
          <w:lang w:val="es-ES_tradnl"/>
        </w:rPr>
      </w:pPr>
    </w:p>
    <w:p w14:paraId="783840D6" w14:textId="77777777" w:rsidR="000050D8" w:rsidRDefault="000050D8" w:rsidP="000050D8">
      <w:pPr>
        <w:spacing w:after="0"/>
        <w:rPr>
          <w:rFonts w:ascii="Verdana" w:hAnsi="Verdana"/>
          <w:lang w:val="es-ES_tradnl"/>
        </w:rPr>
      </w:pPr>
    </w:p>
    <w:p w14:paraId="211C3FBD" w14:textId="77777777" w:rsidR="000050D8" w:rsidRDefault="000050D8" w:rsidP="000050D8">
      <w:pPr>
        <w:spacing w:after="0"/>
        <w:rPr>
          <w:rFonts w:ascii="Verdana" w:hAnsi="Verdana"/>
          <w:lang w:val="es-ES_tradnl"/>
        </w:rPr>
      </w:pPr>
    </w:p>
    <w:p w14:paraId="53C60203" w14:textId="77777777" w:rsidR="000050D8" w:rsidRDefault="000050D8" w:rsidP="000050D8">
      <w:pPr>
        <w:spacing w:after="0"/>
        <w:rPr>
          <w:rFonts w:ascii="Verdana" w:hAnsi="Verdana"/>
          <w:lang w:val="es-ES_tradnl"/>
        </w:rPr>
      </w:pPr>
    </w:p>
    <w:p w14:paraId="6E480A73" w14:textId="77777777" w:rsidR="000050D8" w:rsidRDefault="000050D8" w:rsidP="000050D8">
      <w:pPr>
        <w:spacing w:after="0"/>
        <w:rPr>
          <w:rFonts w:ascii="Verdana" w:hAnsi="Verdana"/>
          <w:lang w:val="es-ES_tradnl"/>
        </w:rPr>
      </w:pPr>
    </w:p>
    <w:p w14:paraId="5CC5C40E" w14:textId="77777777" w:rsidR="000050D8" w:rsidRDefault="000050D8" w:rsidP="000050D8">
      <w:pPr>
        <w:spacing w:after="0"/>
        <w:rPr>
          <w:rFonts w:ascii="Verdana" w:hAnsi="Verdana"/>
          <w:lang w:val="es-ES_tradnl"/>
        </w:rPr>
      </w:pPr>
    </w:p>
    <w:p w14:paraId="29FF24AE" w14:textId="77777777" w:rsidR="000050D8" w:rsidRDefault="000050D8" w:rsidP="000050D8">
      <w:pPr>
        <w:spacing w:after="0"/>
        <w:rPr>
          <w:rFonts w:ascii="Verdana" w:hAnsi="Verdana"/>
          <w:lang w:val="es-ES_tradnl"/>
        </w:rPr>
      </w:pPr>
    </w:p>
    <w:p w14:paraId="3C2EE7A6" w14:textId="77777777" w:rsidR="000050D8" w:rsidRDefault="000050D8" w:rsidP="000050D8">
      <w:pPr>
        <w:spacing w:after="0"/>
        <w:rPr>
          <w:rFonts w:ascii="Verdana" w:hAnsi="Verdana"/>
          <w:lang w:val="es-ES_tradnl"/>
        </w:rPr>
      </w:pPr>
    </w:p>
    <w:p w14:paraId="6E79AD3C" w14:textId="77777777" w:rsidR="000050D8" w:rsidRDefault="000050D8" w:rsidP="000050D8">
      <w:pPr>
        <w:spacing w:after="0"/>
        <w:rPr>
          <w:rFonts w:ascii="Verdana" w:hAnsi="Verdana"/>
          <w:lang w:val="es-ES_tradnl"/>
        </w:rPr>
      </w:pPr>
    </w:p>
    <w:p w14:paraId="4CF7C025" w14:textId="77777777" w:rsidR="000050D8" w:rsidRDefault="000050D8" w:rsidP="000050D8">
      <w:pPr>
        <w:spacing w:after="0"/>
        <w:rPr>
          <w:rFonts w:ascii="Verdana" w:hAnsi="Verdana"/>
          <w:lang w:val="es-ES_tradnl"/>
        </w:rPr>
      </w:pPr>
    </w:p>
    <w:p w14:paraId="57933444" w14:textId="77777777" w:rsidR="000050D8" w:rsidRDefault="000050D8" w:rsidP="000050D8">
      <w:pPr>
        <w:spacing w:after="0"/>
        <w:rPr>
          <w:rFonts w:ascii="Verdana" w:hAnsi="Verdana"/>
          <w:lang w:val="es-ES_tradnl"/>
        </w:rPr>
      </w:pPr>
    </w:p>
    <w:p w14:paraId="4548F2F7" w14:textId="77777777" w:rsidR="000050D8" w:rsidRDefault="000050D8" w:rsidP="000050D8">
      <w:pPr>
        <w:spacing w:after="0"/>
        <w:rPr>
          <w:rFonts w:ascii="Verdana" w:hAnsi="Verdana"/>
          <w:lang w:val="es-ES_tradnl"/>
        </w:rPr>
      </w:pPr>
    </w:p>
    <w:p w14:paraId="1A9DB48A" w14:textId="62037A64" w:rsidR="000050D8" w:rsidRPr="00777292" w:rsidRDefault="000050D8" w:rsidP="000050D8">
      <w:pPr>
        <w:spacing w:after="0"/>
        <w:rPr>
          <w:rFonts w:ascii="Verdana" w:hAnsi="Verdana"/>
          <w:lang w:val="es-ES_tradnl"/>
        </w:rPr>
      </w:pPr>
      <w:r w:rsidRPr="00777292">
        <w:rPr>
          <w:rFonts w:ascii="Verdana" w:hAnsi="Verdana"/>
          <w:lang w:val="es-ES_tradnl"/>
        </w:rPr>
        <w:lastRenderedPageBreak/>
        <w:t xml:space="preserve">Bogotá D.C., </w:t>
      </w:r>
      <w:r w:rsidR="00AC748F">
        <w:rPr>
          <w:rFonts w:ascii="Verdana" w:hAnsi="Verdana"/>
        </w:rPr>
        <w:t>18 septiembre 2026</w:t>
      </w:r>
    </w:p>
    <w:p w14:paraId="2F23DE90" w14:textId="6857A067" w:rsidR="000050D8" w:rsidRDefault="00AC748F" w:rsidP="000050D8">
      <w:pPr>
        <w:spacing w:after="0"/>
        <w:jc w:val="right"/>
        <w:rPr>
          <w:rFonts w:ascii="Verdana" w:hAnsi="Verdana"/>
          <w:lang w:val="es-ES_tradnl"/>
        </w:rPr>
      </w:pPr>
      <w:r w:rsidRPr="00AC748F">
        <w:rPr>
          <w:rFonts w:ascii="Verdana" w:eastAsia="Calibri" w:hAnsi="Verdana" w:cs="Arial"/>
          <w:b/>
          <w:bCs/>
          <w:noProof/>
          <w:lang w:val="en-US" w:eastAsia="es-ES"/>
        </w:rPr>
        <w:drawing>
          <wp:anchor distT="0" distB="0" distL="114300" distR="114300" simplePos="0" relativeHeight="251658240" behindDoc="1" locked="0" layoutInCell="1" allowOverlap="1" wp14:anchorId="4F21CC94" wp14:editId="04B19000">
            <wp:simplePos x="0" y="0"/>
            <wp:positionH relativeFrom="margin">
              <wp:align>right</wp:align>
            </wp:positionH>
            <wp:positionV relativeFrom="paragraph">
              <wp:posOffset>136470</wp:posOffset>
            </wp:positionV>
            <wp:extent cx="2743200" cy="758190"/>
            <wp:effectExtent l="0" t="0" r="0" b="3810"/>
            <wp:wrapTight wrapText="bothSides">
              <wp:wrapPolygon edited="0">
                <wp:start x="0" y="0"/>
                <wp:lineTo x="0" y="21166"/>
                <wp:lineTo x="21450" y="21166"/>
                <wp:lineTo x="21450" y="0"/>
                <wp:lineTo x="0" y="0"/>
              </wp:wrapPolygon>
            </wp:wrapTight>
            <wp:docPr id="2932123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0" cy="758190"/>
                    </a:xfrm>
                    <a:prstGeom prst="rect">
                      <a:avLst/>
                    </a:prstGeom>
                    <a:noFill/>
                    <a:ln>
                      <a:noFill/>
                    </a:ln>
                  </pic:spPr>
                </pic:pic>
              </a:graphicData>
            </a:graphic>
          </wp:anchor>
        </w:drawing>
      </w:r>
    </w:p>
    <w:p w14:paraId="0E1DF848" w14:textId="77777777" w:rsidR="000050D8" w:rsidRPr="00777292" w:rsidRDefault="000050D8" w:rsidP="000050D8">
      <w:pPr>
        <w:spacing w:after="0"/>
        <w:rPr>
          <w:rFonts w:ascii="Verdana" w:hAnsi="Verdana"/>
          <w:lang w:val="es-ES_tradnl"/>
        </w:rPr>
      </w:pPr>
    </w:p>
    <w:p w14:paraId="2ECA9DF3" w14:textId="2D0E2967" w:rsidR="000050D8" w:rsidRPr="00AA186C" w:rsidRDefault="000050D8" w:rsidP="000050D8">
      <w:pPr>
        <w:spacing w:after="0" w:line="240" w:lineRule="auto"/>
        <w:rPr>
          <w:rFonts w:ascii="Verdana" w:hAnsi="Verdana"/>
          <w:lang w:val="en-US"/>
        </w:rPr>
      </w:pPr>
      <w:bookmarkStart w:id="0" w:name="_Hlk143780582"/>
      <w:proofErr w:type="spellStart"/>
      <w:r w:rsidRPr="00AA186C">
        <w:rPr>
          <w:rFonts w:ascii="Verdana" w:eastAsia="Calibri" w:hAnsi="Verdana" w:cs="Arial"/>
          <w:lang w:val="en-US" w:eastAsia="es-ES"/>
        </w:rPr>
        <w:t>Señor</w:t>
      </w:r>
      <w:proofErr w:type="spellEnd"/>
    </w:p>
    <w:p w14:paraId="2E1A4B2B" w14:textId="37198031" w:rsidR="000050D8" w:rsidRPr="005874E1" w:rsidRDefault="000050D8" w:rsidP="000050D8">
      <w:pPr>
        <w:spacing w:after="0"/>
        <w:rPr>
          <w:rFonts w:ascii="Verdana" w:eastAsia="Calibri" w:hAnsi="Verdana" w:cs="Arial"/>
          <w:b/>
          <w:bCs/>
          <w:lang w:val="en-US" w:eastAsia="es-ES"/>
        </w:rPr>
      </w:pPr>
      <w:r>
        <w:rPr>
          <w:rFonts w:ascii="Verdana" w:eastAsia="Calibri" w:hAnsi="Verdana" w:cs="Arial"/>
          <w:b/>
          <w:bCs/>
          <w:lang w:val="en-US" w:eastAsia="es-ES"/>
        </w:rPr>
        <w:t>David Reales Rios</w:t>
      </w:r>
    </w:p>
    <w:p w14:paraId="41C28CEF" w14:textId="230E2C46" w:rsidR="000050D8" w:rsidRDefault="00AC748F" w:rsidP="000050D8">
      <w:pPr>
        <w:spacing w:after="0"/>
        <w:rPr>
          <w:rFonts w:ascii="Verdana" w:hAnsi="Verdana"/>
        </w:rPr>
      </w:pPr>
      <w:hyperlink r:id="rId8" w:history="1">
        <w:r w:rsidRPr="00D3388D">
          <w:rPr>
            <w:rStyle w:val="Hipervnculo"/>
            <w:rFonts w:ascii="Verdana" w:hAnsi="Verdana"/>
          </w:rPr>
          <w:t>darealesr@gmail.com</w:t>
        </w:r>
      </w:hyperlink>
    </w:p>
    <w:p w14:paraId="5FA57E45" w14:textId="77777777" w:rsidR="000050D8" w:rsidRDefault="000050D8" w:rsidP="000050D8">
      <w:pPr>
        <w:spacing w:after="0"/>
        <w:rPr>
          <w:rFonts w:ascii="Verdana" w:eastAsia="Calibri" w:hAnsi="Verdana" w:cs="Arial"/>
          <w:lang w:eastAsia="es-ES"/>
        </w:rPr>
      </w:pPr>
      <w:r>
        <w:rPr>
          <w:rFonts w:ascii="Verdana" w:eastAsia="Calibri" w:hAnsi="Verdana" w:cs="Arial"/>
          <w:lang w:eastAsia="es-ES"/>
        </w:rPr>
        <w:t>Bogotá D.C.</w:t>
      </w:r>
    </w:p>
    <w:p w14:paraId="6AEA07E9" w14:textId="77777777" w:rsidR="000050D8" w:rsidRPr="00777292" w:rsidRDefault="000050D8" w:rsidP="000050D8">
      <w:pPr>
        <w:spacing w:after="0"/>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050D8" w:rsidRPr="00777292" w14:paraId="18F18DC1" w14:textId="77777777" w:rsidTr="006D05D8">
        <w:trPr>
          <w:trHeight w:val="190"/>
        </w:trPr>
        <w:tc>
          <w:tcPr>
            <w:tcW w:w="2689" w:type="dxa"/>
          </w:tcPr>
          <w:p w14:paraId="2F3E7699" w14:textId="77777777" w:rsidR="000050D8" w:rsidRDefault="000050D8" w:rsidP="006D05D8">
            <w:pPr>
              <w:jc w:val="both"/>
              <w:rPr>
                <w:rFonts w:ascii="Verdana" w:eastAsia="Calibri" w:hAnsi="Verdana" w:cs="Arial"/>
                <w:b/>
                <w:bCs/>
                <w:lang w:eastAsia="es-ES_tradnl"/>
              </w:rPr>
            </w:pPr>
          </w:p>
          <w:p w14:paraId="0A58964A" w14:textId="77777777" w:rsidR="000050D8" w:rsidRPr="00777292" w:rsidRDefault="000050D8" w:rsidP="006D05D8">
            <w:pPr>
              <w:jc w:val="both"/>
              <w:rPr>
                <w:rFonts w:ascii="Verdana" w:eastAsia="Calibri" w:hAnsi="Verdana" w:cs="Arial"/>
                <w:b/>
                <w:bCs/>
                <w:lang w:eastAsia="es-ES_tradnl"/>
              </w:rPr>
            </w:pPr>
          </w:p>
        </w:tc>
        <w:tc>
          <w:tcPr>
            <w:tcW w:w="6100" w:type="dxa"/>
          </w:tcPr>
          <w:p w14:paraId="038A4C09" w14:textId="77777777" w:rsidR="000050D8" w:rsidRPr="00777292" w:rsidRDefault="000050D8" w:rsidP="006D05D8">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Pr>
                <w:rFonts w:ascii="Verdana" w:eastAsia="Calibri" w:hAnsi="Verdana" w:cs="Arial"/>
                <w:b/>
                <w:bCs/>
                <w:lang w:eastAsia="es-ES"/>
              </w:rPr>
              <w:t>1259</w:t>
            </w:r>
            <w:r w:rsidRPr="00777292">
              <w:rPr>
                <w:rFonts w:ascii="Verdana" w:eastAsia="Calibri" w:hAnsi="Verdana" w:cs="Arial"/>
                <w:b/>
                <w:bCs/>
                <w:lang w:eastAsia="es-ES"/>
              </w:rPr>
              <w:t xml:space="preserve"> de 2026</w:t>
            </w:r>
          </w:p>
          <w:p w14:paraId="6B939CC1" w14:textId="77777777" w:rsidR="000050D8" w:rsidRPr="00777292" w:rsidRDefault="000050D8" w:rsidP="006D05D8">
            <w:pPr>
              <w:jc w:val="both"/>
              <w:rPr>
                <w:rFonts w:ascii="Verdana" w:eastAsia="Calibri" w:hAnsi="Verdana" w:cs="Arial"/>
                <w:b/>
                <w:bCs/>
                <w:lang w:eastAsia="es-ES"/>
              </w:rPr>
            </w:pPr>
          </w:p>
        </w:tc>
      </w:tr>
      <w:tr w:rsidR="000050D8" w:rsidRPr="00777292" w14:paraId="5C7C4134" w14:textId="77777777" w:rsidTr="006D05D8">
        <w:trPr>
          <w:trHeight w:val="884"/>
        </w:trPr>
        <w:tc>
          <w:tcPr>
            <w:tcW w:w="2689" w:type="dxa"/>
          </w:tcPr>
          <w:p w14:paraId="05D7DF7C" w14:textId="77777777" w:rsidR="000050D8" w:rsidRPr="00777292" w:rsidRDefault="000050D8" w:rsidP="006D05D8">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45A55EA1" w14:textId="77777777" w:rsidR="000050D8" w:rsidRDefault="000050D8" w:rsidP="006D05D8">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A000AE">
              <w:rPr>
                <w:rFonts w:ascii="Verdana" w:eastAsia="Calibri" w:hAnsi="Verdana" w:cs="Arial"/>
                <w:lang w:eastAsia="es-ES"/>
              </w:rPr>
              <w:t>DECRETO 0287 DE 2026 ‒ Puntaje adicional del 2% ‒ Proponentes plurales</w:t>
            </w:r>
            <w:r>
              <w:rPr>
                <w:rFonts w:ascii="Verdana" w:eastAsia="Calibri" w:hAnsi="Verdana" w:cs="Arial"/>
                <w:lang w:eastAsia="es-ES"/>
              </w:rPr>
              <w:t xml:space="preserve"> / </w:t>
            </w:r>
            <w:r w:rsidRPr="00777292">
              <w:rPr>
                <w:rFonts w:ascii="Verdana" w:eastAsia="Calibri" w:hAnsi="Verdana" w:cs="Arial"/>
                <w:lang w:eastAsia="es-ES"/>
              </w:rPr>
              <w:t>DECRETO 0287 DE 2026 ‒ Vigencia ‒ Derogatoria ‒ Decreto 392 de 2018 ‒ Régimen de transición ‒ Resolución de apertura</w:t>
            </w:r>
          </w:p>
          <w:p w14:paraId="742C245F" w14:textId="77777777" w:rsidR="000050D8" w:rsidRPr="00777292" w:rsidRDefault="000050D8" w:rsidP="006D05D8">
            <w:pPr>
              <w:contextualSpacing/>
              <w:jc w:val="both"/>
              <w:rPr>
                <w:rFonts w:ascii="Verdana" w:eastAsia="Calibri" w:hAnsi="Verdana" w:cs="Arial"/>
                <w:lang w:eastAsia="es-ES"/>
              </w:rPr>
            </w:pPr>
          </w:p>
        </w:tc>
      </w:tr>
      <w:tr w:rsidR="000050D8" w:rsidRPr="00777292" w14:paraId="33C9ED34" w14:textId="77777777" w:rsidTr="006D05D8">
        <w:tc>
          <w:tcPr>
            <w:tcW w:w="2689" w:type="dxa"/>
          </w:tcPr>
          <w:p w14:paraId="25DE48ED" w14:textId="77777777" w:rsidR="000050D8" w:rsidRPr="00777292" w:rsidRDefault="000050D8" w:rsidP="006D05D8">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5BA06830" w14:textId="77777777" w:rsidR="000050D8" w:rsidRPr="007F1B1F" w:rsidRDefault="000050D8" w:rsidP="006D05D8">
            <w:pPr>
              <w:jc w:val="both"/>
              <w:rPr>
                <w:rFonts w:ascii="Verdana" w:eastAsia="Calibri" w:hAnsi="Verdana" w:cs="Arial"/>
                <w:lang w:eastAsia="es-ES_tradnl"/>
              </w:rPr>
            </w:pPr>
            <w:r w:rsidRPr="007F1B1F">
              <w:rPr>
                <w:rFonts w:ascii="Verdana" w:eastAsia="Calibri" w:hAnsi="Verdana" w:cs="Arial"/>
                <w:lang w:eastAsia="es-ES_tradnl"/>
              </w:rPr>
              <w:t>Respuesta a consulta con radicado No.</w:t>
            </w:r>
            <w:r w:rsidRPr="007F1B1F">
              <w:rPr>
                <w:rFonts w:ascii="Verdana" w:hAnsi="Verdana" w:cs="Segoe UI"/>
                <w:shd w:val="clear" w:color="auto" w:fill="FFFFFF"/>
              </w:rPr>
              <w:t xml:space="preserve"> </w:t>
            </w:r>
            <w:r w:rsidRPr="007C491B">
              <w:rPr>
                <w:rFonts w:ascii="Verdana" w:hAnsi="Verdana" w:cs="Segoe UI"/>
                <w:shd w:val="clear" w:color="auto" w:fill="FFFFFF"/>
              </w:rPr>
              <w:t>1_2026_08_11_010588</w:t>
            </w:r>
          </w:p>
        </w:tc>
      </w:tr>
    </w:tbl>
    <w:p w14:paraId="649DAFB7" w14:textId="77777777" w:rsidR="000050D8" w:rsidRPr="00206556" w:rsidRDefault="000050D8" w:rsidP="000050D8">
      <w:pPr>
        <w:tabs>
          <w:tab w:val="left" w:pos="1520"/>
        </w:tabs>
        <w:spacing w:after="0" w:line="276" w:lineRule="auto"/>
        <w:jc w:val="both"/>
        <w:rPr>
          <w:rFonts w:ascii="Verdana" w:eastAsia="Calibri" w:hAnsi="Verdana" w:cs="Arial"/>
          <w:color w:val="E97132" w:themeColor="accent2"/>
          <w:sz w:val="20"/>
          <w:szCs w:val="20"/>
          <w:lang w:val="es-ES" w:eastAsia="es-ES"/>
        </w:rPr>
      </w:pPr>
    </w:p>
    <w:p w14:paraId="106AF8CB" w14:textId="77777777" w:rsidR="000050D8" w:rsidRPr="00206556" w:rsidRDefault="000050D8" w:rsidP="000050D8">
      <w:pPr>
        <w:spacing w:after="0" w:line="276" w:lineRule="auto"/>
        <w:jc w:val="both"/>
        <w:rPr>
          <w:rFonts w:ascii="Verdana" w:eastAsia="Calibri" w:hAnsi="Verdana" w:cs="Arial"/>
          <w:color w:val="E97132" w:themeColor="accent2"/>
          <w:lang w:val="es-ES" w:eastAsia="es-ES"/>
        </w:rPr>
      </w:pPr>
    </w:p>
    <w:p w14:paraId="72D73A24" w14:textId="77777777" w:rsidR="000050D8" w:rsidRPr="00206556" w:rsidRDefault="000050D8" w:rsidP="000050D8">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w:t>
      </w:r>
      <w:r>
        <w:rPr>
          <w:rFonts w:ascii="Verdana" w:eastAsia="Calibri" w:hAnsi="Verdana" w:cs="Arial"/>
          <w:lang w:val="es-ES" w:eastAsia="es-ES"/>
        </w:rPr>
        <w:t>o</w:t>
      </w:r>
      <w:r w:rsidRPr="006A7B59">
        <w:rPr>
          <w:rFonts w:ascii="Verdana" w:eastAsia="Calibri" w:hAnsi="Verdana" w:cs="Arial"/>
          <w:lang w:val="es-ES" w:eastAsia="es-ES"/>
        </w:rPr>
        <w:t xml:space="preserve"> Señor </w:t>
      </w:r>
      <w:r>
        <w:rPr>
          <w:rFonts w:ascii="Verdana" w:eastAsia="Calibri" w:hAnsi="Verdana" w:cs="Arial"/>
          <w:lang w:val="es-ES" w:eastAsia="es-ES"/>
        </w:rPr>
        <w:t>Reales</w:t>
      </w:r>
      <w:r w:rsidRPr="006A7B59">
        <w:rPr>
          <w:rFonts w:ascii="Verdana" w:eastAsia="Calibri" w:hAnsi="Verdana" w:cs="Arial"/>
          <w:lang w:val="es-ES" w:eastAsia="es-ES"/>
        </w:rPr>
        <w:t>,</w:t>
      </w:r>
    </w:p>
    <w:p w14:paraId="45DE7256" w14:textId="77777777" w:rsidR="000050D8" w:rsidRPr="00206556" w:rsidRDefault="000050D8" w:rsidP="000050D8">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01D51F71" w14:textId="77777777" w:rsidR="000050D8" w:rsidRPr="00206556" w:rsidRDefault="000050D8" w:rsidP="000050D8">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Contratación Pública – Colombia Compra Eficiente– responde su solicitud de </w:t>
      </w:r>
      <w:r w:rsidRPr="00FB46F9">
        <w:rPr>
          <w:rFonts w:ascii="Verdana" w:eastAsia="Calibri" w:hAnsi="Verdana" w:cs="Arial"/>
          <w:lang w:val="es-ES" w:eastAsia="es-ES"/>
        </w:rPr>
        <w:t xml:space="preserve">consulta de fecha </w:t>
      </w:r>
      <w:r>
        <w:rPr>
          <w:rFonts w:ascii="Verdana" w:eastAsia="Calibri" w:hAnsi="Verdana" w:cs="Arial"/>
          <w:lang w:val="es-ES" w:eastAsia="es-ES"/>
        </w:rPr>
        <w:t>10 de agosto</w:t>
      </w:r>
      <w:r w:rsidRPr="00FB46F9">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6823EF7D" w14:textId="77777777" w:rsidR="000050D8" w:rsidRDefault="000050D8" w:rsidP="000050D8">
      <w:pPr>
        <w:spacing w:before="120" w:after="120" w:line="240" w:lineRule="auto"/>
        <w:ind w:right="709"/>
        <w:contextualSpacing/>
        <w:jc w:val="both"/>
        <w:rPr>
          <w:rFonts w:ascii="Verdana" w:eastAsia="Century Gothic" w:hAnsi="Verdana" w:cs="Century Gothic"/>
          <w:i/>
          <w:iCs/>
          <w:sz w:val="20"/>
          <w:szCs w:val="20"/>
          <w:lang w:val="es-ES"/>
        </w:rPr>
      </w:pPr>
    </w:p>
    <w:p w14:paraId="45A78C84" w14:textId="77777777" w:rsidR="000050D8" w:rsidRDefault="000050D8" w:rsidP="000050D8">
      <w:pPr>
        <w:spacing w:before="120" w:after="120" w:line="240" w:lineRule="auto"/>
        <w:ind w:left="709" w:right="709"/>
        <w:contextualSpacing/>
        <w:jc w:val="both"/>
        <w:rPr>
          <w:rFonts w:ascii="Verdana" w:eastAsia="Century Gothic" w:hAnsi="Verdana" w:cs="Century Gothic"/>
          <w:i/>
          <w:iCs/>
          <w:sz w:val="21"/>
          <w:szCs w:val="21"/>
          <w:lang w:val="es-ES"/>
        </w:rPr>
      </w:pPr>
      <w:r>
        <w:rPr>
          <w:rFonts w:ascii="Verdana" w:eastAsia="Century Gothic" w:hAnsi="Verdana" w:cs="Century Gothic"/>
          <w:i/>
          <w:iCs/>
          <w:sz w:val="21"/>
          <w:szCs w:val="21"/>
          <w:lang w:val="es-ES"/>
        </w:rPr>
        <w:t xml:space="preserve">(…) ¿En caso de proponentes plurales en el que uno de los integrantes acredite ser persona jurídica donde más del 50% de las acciones, partes de interés o cuotas de participación hayan pertenecido a </w:t>
      </w:r>
      <w:r>
        <w:rPr>
          <w:rFonts w:ascii="Verdana" w:eastAsia="Century Gothic" w:hAnsi="Verdana" w:cs="Century Gothic"/>
          <w:i/>
          <w:iCs/>
          <w:sz w:val="21"/>
          <w:szCs w:val="21"/>
          <w:lang w:val="es-ES"/>
        </w:rPr>
        <w:lastRenderedPageBreak/>
        <w:t xml:space="preserve">discapacitados con más de un año de antigüedad solamente se otorgará puntaje en favor de emprendimiento y empresas de mujeres si esta persona jurídica tiene el mayor porcentaje de participación en el proponente plural? </w:t>
      </w:r>
    </w:p>
    <w:p w14:paraId="47C68955" w14:textId="77777777" w:rsidR="000050D8" w:rsidRDefault="000050D8" w:rsidP="000050D8">
      <w:pPr>
        <w:spacing w:before="120" w:after="120" w:line="240" w:lineRule="auto"/>
        <w:ind w:left="709" w:right="709"/>
        <w:contextualSpacing/>
        <w:jc w:val="both"/>
        <w:rPr>
          <w:rFonts w:ascii="Verdana" w:eastAsia="Century Gothic" w:hAnsi="Verdana" w:cs="Century Gothic"/>
          <w:i/>
          <w:iCs/>
          <w:sz w:val="21"/>
          <w:szCs w:val="21"/>
          <w:lang w:val="es-ES"/>
        </w:rPr>
      </w:pPr>
    </w:p>
    <w:p w14:paraId="268F5281" w14:textId="77777777" w:rsidR="000050D8" w:rsidRPr="00206556" w:rsidRDefault="000050D8" w:rsidP="000050D8">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635CE36C" w14:textId="77777777" w:rsidR="000050D8" w:rsidRPr="00206556" w:rsidRDefault="000050D8" w:rsidP="000050D8">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 xml:space="preserve">el </w:t>
      </w:r>
      <w:r w:rsidRPr="00206556">
        <w:rPr>
          <w:rFonts w:ascii="Verdana" w:eastAsia="Calibri" w:hAnsi="Verdana" w:cs="Arial"/>
          <w:lang w:val="es-ES" w:eastAsia="es-ES"/>
        </w:rPr>
        <w:t xml:space="preserve">problema jurídico de su consulta. </w:t>
      </w:r>
    </w:p>
    <w:p w14:paraId="7D8D87CA" w14:textId="77777777" w:rsidR="000050D8" w:rsidRPr="00206556" w:rsidRDefault="000050D8" w:rsidP="000050D8">
      <w:pPr>
        <w:spacing w:after="0" w:line="276" w:lineRule="auto"/>
        <w:ind w:firstLine="709"/>
        <w:jc w:val="both"/>
        <w:rPr>
          <w:rFonts w:ascii="Verdana" w:eastAsia="Calibri" w:hAnsi="Verdana" w:cs="Arial"/>
          <w:lang w:val="es-ES" w:eastAsia="es-ES"/>
        </w:rPr>
      </w:pPr>
    </w:p>
    <w:p w14:paraId="399F3D41" w14:textId="77777777" w:rsidR="000050D8" w:rsidRPr="00206556" w:rsidRDefault="000050D8" w:rsidP="000050D8">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2CFDBD9B" w14:textId="77777777" w:rsidR="000050D8" w:rsidRPr="00206556" w:rsidRDefault="000050D8" w:rsidP="000050D8">
      <w:pPr>
        <w:tabs>
          <w:tab w:val="left" w:pos="426"/>
        </w:tabs>
        <w:spacing w:after="0" w:line="276" w:lineRule="auto"/>
        <w:jc w:val="both"/>
        <w:rPr>
          <w:rFonts w:ascii="Verdana" w:eastAsia="Century Gothic" w:hAnsi="Verdana" w:cs="Century Gothic"/>
          <w:color w:val="E97132" w:themeColor="accent2"/>
          <w:lang w:val="es-ES"/>
        </w:rPr>
      </w:pPr>
    </w:p>
    <w:p w14:paraId="1D5FB8BB" w14:textId="77777777" w:rsidR="000050D8" w:rsidRDefault="000050D8" w:rsidP="000050D8">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Pr="00206556">
        <w:rPr>
          <w:rFonts w:ascii="Verdana" w:eastAsia="Century Gothic" w:hAnsi="Verdana" w:cs="Century Gothic"/>
        </w:rPr>
        <w:t>¿</w:t>
      </w:r>
      <w:r>
        <w:rPr>
          <w:rFonts w:ascii="Verdana" w:eastAsia="Century Gothic" w:hAnsi="Verdana" w:cs="Century Gothic"/>
        </w:rPr>
        <w:t>Cómo debe aplicarse el puntaje para empleadores de personas con discapacidad respecto de los proponentes plurales</w:t>
      </w:r>
      <w:r w:rsidRPr="00206556">
        <w:rPr>
          <w:rFonts w:ascii="Verdana" w:eastAsia="Century Gothic" w:hAnsi="Verdana" w:cs="Century Gothic"/>
        </w:rPr>
        <w:t>?</w:t>
      </w:r>
    </w:p>
    <w:p w14:paraId="7C3E941A" w14:textId="77777777" w:rsidR="000050D8" w:rsidRPr="00206556" w:rsidRDefault="000050D8" w:rsidP="000050D8">
      <w:pPr>
        <w:spacing w:after="0" w:line="276" w:lineRule="auto"/>
        <w:jc w:val="both"/>
        <w:rPr>
          <w:rFonts w:ascii="Verdana" w:eastAsia="Century Gothic" w:hAnsi="Verdana" w:cs="Century Gothic"/>
          <w:color w:val="E97132" w:themeColor="accent2"/>
        </w:rPr>
      </w:pPr>
    </w:p>
    <w:p w14:paraId="07C4B62A" w14:textId="77777777" w:rsidR="000050D8" w:rsidRPr="00206556" w:rsidRDefault="000050D8" w:rsidP="000050D8">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208D2188" w14:textId="77777777" w:rsidR="000050D8" w:rsidRPr="00206556" w:rsidRDefault="000050D8" w:rsidP="000050D8">
      <w:pPr>
        <w:tabs>
          <w:tab w:val="left" w:pos="142"/>
          <w:tab w:val="left" w:pos="284"/>
        </w:tabs>
        <w:spacing w:after="0" w:line="276" w:lineRule="auto"/>
        <w:jc w:val="both"/>
        <w:rPr>
          <w:rFonts w:ascii="Verdana" w:eastAsia="Century Gothic" w:hAnsi="Verdana" w:cs="Century Gothic"/>
          <w:b/>
          <w:bCs/>
          <w:color w:val="E97132"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050D8" w:rsidRPr="00206556" w14:paraId="4F4CC7FB" w14:textId="77777777" w:rsidTr="006D05D8">
        <w:tc>
          <w:tcPr>
            <w:tcW w:w="8828" w:type="dxa"/>
          </w:tcPr>
          <w:p w14:paraId="614C21B1" w14:textId="77777777" w:rsidR="000050D8" w:rsidRDefault="000050D8" w:rsidP="006D05D8">
            <w:pPr>
              <w:spacing w:before="120" w:after="120" w:line="276" w:lineRule="auto"/>
              <w:jc w:val="both"/>
              <w:rPr>
                <w:rFonts w:ascii="Verdana" w:eastAsia="Calibri" w:hAnsi="Verdana" w:cs="Arial"/>
              </w:rPr>
            </w:pPr>
            <w:r>
              <w:rPr>
                <w:rFonts w:ascii="Verdana" w:eastAsia="Calibri" w:hAnsi="Verdana" w:cs="Arial"/>
              </w:rPr>
              <w:t>En atención al problema jurídico planteado y respecto al</w:t>
            </w:r>
            <w:r w:rsidRPr="00E54F30">
              <w:rPr>
                <w:rFonts w:ascii="Verdana" w:eastAsia="Calibri" w:hAnsi="Verdana" w:cs="Arial"/>
              </w:rPr>
              <w:t xml:space="preserve"> Decreto 0287 de 2026</w:t>
            </w:r>
            <w:r>
              <w:rPr>
                <w:rFonts w:ascii="Verdana" w:eastAsia="Calibri" w:hAnsi="Verdana" w:cs="Arial"/>
              </w:rPr>
              <w:t>, es necesario indicar que este</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1618 de 2013, acción que fue ordenada por el Consejo de Estado, Sección Quinta de la Sala de lo Contencioso Administrativo, </w:t>
            </w:r>
            <w:r w:rsidRPr="00E54F30">
              <w:rPr>
                <w:rFonts w:ascii="Verdana" w:eastAsia="Calibri" w:hAnsi="Verdana" w:cs="Arial"/>
              </w:rPr>
              <w:lastRenderedPageBreak/>
              <w:t xml:space="preserve">mediante sentencia de 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Pr="00206556">
              <w:rPr>
                <w:rFonts w:ascii="Verdana" w:eastAsia="Calibri" w:hAnsi="Verdana" w:cs="Arial"/>
              </w:rPr>
              <w:t>,</w:t>
            </w:r>
            <w:r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Pr="00073658">
              <w:rPr>
                <w:rFonts w:ascii="Verdana" w:eastAsia="Calibri" w:hAnsi="Verdana" w:cs="Arial"/>
              </w:rPr>
              <w:t>PcD</w:t>
            </w:r>
            <w:proofErr w:type="spellEnd"/>
            <w:r w:rsidRPr="00073658">
              <w:rPr>
                <w:rFonts w:ascii="Verdana" w:eastAsia="Calibri" w:hAnsi="Verdana" w:cs="Arial"/>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40B5617C" w14:textId="77777777" w:rsidR="000050D8" w:rsidRDefault="000050D8" w:rsidP="006D05D8">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w:t>
            </w:r>
            <w:proofErr w:type="spellStart"/>
            <w:r w:rsidRPr="00073658">
              <w:rPr>
                <w:rFonts w:ascii="Verdana" w:eastAsia="Calibri" w:hAnsi="Verdana" w:cs="Arial"/>
              </w:rPr>
              <w:t>PcD</w:t>
            </w:r>
            <w:proofErr w:type="spellEnd"/>
            <w:r w:rsidRPr="00073658">
              <w:rPr>
                <w:rFonts w:ascii="Verdana" w:eastAsia="Calibri" w:hAnsi="Verdana" w:cs="Arial"/>
              </w:rPr>
              <w:t xml:space="preserve">,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w:t>
            </w:r>
            <w:proofErr w:type="spellStart"/>
            <w:r w:rsidRPr="00073658">
              <w:rPr>
                <w:rFonts w:ascii="Verdana" w:eastAsia="Calibri" w:hAnsi="Verdana" w:cs="Arial"/>
              </w:rPr>
              <w:t>PcD</w:t>
            </w:r>
            <w:proofErr w:type="spellEnd"/>
            <w:r w:rsidRPr="00073658">
              <w:rPr>
                <w:rFonts w:ascii="Verdana" w:eastAsia="Calibri" w:hAnsi="Verdana" w:cs="Arial"/>
              </w:rPr>
              <w:t xml:space="preserve"> por al menos un año; y personas jurídicas con al menos una </w:t>
            </w:r>
            <w:proofErr w:type="spellStart"/>
            <w:r w:rsidRPr="00073658">
              <w:rPr>
                <w:rFonts w:ascii="Verdana" w:eastAsia="Calibri" w:hAnsi="Verdana" w:cs="Arial"/>
              </w:rPr>
              <w:t>PcD</w:t>
            </w:r>
            <w:proofErr w:type="spellEnd"/>
            <w:r w:rsidRPr="00073658">
              <w:rPr>
                <w:rFonts w:ascii="Verdana" w:eastAsia="Calibri" w:hAnsi="Verdana" w:cs="Arial"/>
              </w:rPr>
              <w:t xml:space="preserve"> vinculada laboralmente en un cargo de nivel directivo por al menos un año. El segundo sujeto son los empleadores de </w:t>
            </w:r>
            <w:proofErr w:type="spellStart"/>
            <w:r w:rsidRPr="00073658">
              <w:rPr>
                <w:rFonts w:ascii="Verdana" w:eastAsia="Calibri" w:hAnsi="Verdana" w:cs="Arial"/>
              </w:rPr>
              <w:t>PcD</w:t>
            </w:r>
            <w:proofErr w:type="spellEnd"/>
            <w:r w:rsidRPr="00073658">
              <w:rPr>
                <w:rFonts w:ascii="Verdana" w:eastAsia="Calibri" w:hAnsi="Verdana" w:cs="Arial"/>
              </w:rPr>
              <w:t xml:space="preserve">, esto es, cualquier empresa que tenga en su planta de personal trabajadores con discapacidad contratados laboralmente con dedicación exclusiva, superando los mínimos que exige la Ley 2466 de 2025 (Reforma Laboral). </w:t>
            </w:r>
            <w:r>
              <w:rPr>
                <w:rFonts w:ascii="Verdana" w:eastAsia="Calibri" w:hAnsi="Verdana" w:cs="Arial"/>
              </w:rPr>
              <w:t xml:space="preserve">Estos sujetos no tienen en cuenta el género, es decir si son </w:t>
            </w:r>
            <w:proofErr w:type="spellStart"/>
            <w:r>
              <w:rPr>
                <w:rFonts w:ascii="Verdana" w:eastAsia="Calibri" w:hAnsi="Verdana" w:cs="Arial"/>
              </w:rPr>
              <w:t>PcD</w:t>
            </w:r>
            <w:proofErr w:type="spellEnd"/>
            <w:r>
              <w:rPr>
                <w:rFonts w:ascii="Verdana" w:eastAsia="Calibri" w:hAnsi="Verdana" w:cs="Arial"/>
              </w:rPr>
              <w:t xml:space="preserve"> hombres o mujeres, por lo que la definición es aplicable independientemente del género de la </w:t>
            </w:r>
            <w:proofErr w:type="spellStart"/>
            <w:r>
              <w:rPr>
                <w:rFonts w:ascii="Verdana" w:eastAsia="Calibri" w:hAnsi="Verdana" w:cs="Arial"/>
              </w:rPr>
              <w:t>PcD</w:t>
            </w:r>
            <w:proofErr w:type="spellEnd"/>
            <w:r>
              <w:rPr>
                <w:rFonts w:ascii="Verdana" w:eastAsia="Calibri" w:hAnsi="Verdana" w:cs="Arial"/>
              </w:rPr>
              <w:t xml:space="preserve"> y no afecta las medidas afirmativas a aplicar. Por otra parte, c</w:t>
            </w:r>
            <w:r w:rsidRPr="00073658">
              <w:rPr>
                <w:rFonts w:ascii="Verdana" w:eastAsia="Calibri" w:hAnsi="Verdana" w:cs="Arial"/>
              </w:rPr>
              <w:t xml:space="preserve">onfundir los dos sujetos genera aplicaciones incorrectas del sistema, razón por la cual resulta esencial que las entidades contratantes identifiquen </w:t>
            </w:r>
            <w:r w:rsidRPr="00073658">
              <w:rPr>
                <w:rFonts w:ascii="Verdana" w:eastAsia="Calibri" w:hAnsi="Verdana" w:cs="Arial"/>
              </w:rPr>
              <w:lastRenderedPageBreak/>
              <w:t>en cada caso qué sujeto está acreditando el proponente y qué documentación y medidas corresponden a ese sujeto específico.</w:t>
            </w:r>
          </w:p>
          <w:p w14:paraId="0969B841" w14:textId="77777777" w:rsidR="000050D8" w:rsidRDefault="000050D8" w:rsidP="006D05D8">
            <w:pPr>
              <w:spacing w:before="120"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xml:space="preserve">. El artículo 2.2.1.2.4.2.7.4. del Decreto 0287 de 2026 es explícito al disponer que, aunque el proponente acredite simultáneamente ser emprendimiento o empresa de </w:t>
            </w:r>
            <w:proofErr w:type="spellStart"/>
            <w:r w:rsidRPr="00073658">
              <w:rPr>
                <w:rFonts w:ascii="Verdana" w:eastAsia="Calibri" w:hAnsi="Verdana" w:cs="Arial"/>
              </w:rPr>
              <w:t>PcD</w:t>
            </w:r>
            <w:proofErr w:type="spellEnd"/>
            <w:r w:rsidRPr="00073658">
              <w:rPr>
                <w:rFonts w:ascii="Verdana" w:eastAsia="Calibri" w:hAnsi="Verdana" w:cs="Arial"/>
              </w:rPr>
              <w:t xml:space="preserve"> y ser empleador de </w:t>
            </w:r>
            <w:proofErr w:type="spellStart"/>
            <w:r w:rsidRPr="00073658">
              <w:rPr>
                <w:rFonts w:ascii="Verdana" w:eastAsia="Calibri" w:hAnsi="Verdana" w:cs="Arial"/>
              </w:rPr>
              <w:t>PcD</w:t>
            </w:r>
            <w:proofErr w:type="spellEnd"/>
            <w:r w:rsidRPr="00073658">
              <w:rPr>
                <w:rFonts w:ascii="Verdana" w:eastAsia="Calibri" w:hAnsi="Verdana" w:cs="Arial"/>
              </w:rPr>
              <w:t>, el puntaje máximo a otorgar por este criterio es siempre el 2% del total de los puntos del pliego, sin que las condiciones acreditadas sean sumables para efectos de la evaluación de la oferta</w:t>
            </w:r>
            <w:r>
              <w:rPr>
                <w:rFonts w:ascii="Verdana" w:eastAsia="Calibri" w:hAnsi="Verdana" w:cs="Arial"/>
              </w:rPr>
              <w:t>, y tampoco es posible disminuir ese porcentaje de puntos ya que 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37CE3FCC" w14:textId="77777777" w:rsidR="000050D8" w:rsidRDefault="000050D8" w:rsidP="006D05D8">
            <w:pPr>
              <w:spacing w:before="120" w:after="120" w:line="276" w:lineRule="auto"/>
              <w:ind w:firstLine="709"/>
              <w:jc w:val="both"/>
              <w:rPr>
                <w:rFonts w:ascii="Verdana" w:eastAsia="Times New Roman" w:hAnsi="Verdana" w:cs="Times New Roman"/>
              </w:rPr>
            </w:pPr>
            <w:r w:rsidRPr="00502309">
              <w:rPr>
                <w:rFonts w:ascii="Verdana" w:eastAsia="Times New Roman" w:hAnsi="Verdana" w:cs="Times New Roman"/>
              </w:rPr>
              <w:t xml:space="preserve">Para efectos de determinar el número mínimo de </w:t>
            </w:r>
            <w:proofErr w:type="spellStart"/>
            <w:r w:rsidRPr="00502309">
              <w:rPr>
                <w:rFonts w:ascii="Verdana" w:eastAsia="Times New Roman" w:hAnsi="Verdana" w:cs="Times New Roman"/>
              </w:rPr>
              <w:t>PcD</w:t>
            </w:r>
            <w:proofErr w:type="spellEnd"/>
            <w:r w:rsidRPr="00502309">
              <w:rPr>
                <w:rFonts w:ascii="Verdana" w:eastAsia="Times New Roman" w:hAnsi="Verdana" w:cs="Times New Roman"/>
              </w:rPr>
              <w:t xml:space="preserve"> que el proponente debe tener vinculadas en su planta de personal para acceder al puntaje, el artículo 2.2.1.2.4.2.7.4. del Decreto 0287 de 2026 establece </w:t>
            </w:r>
            <w:r>
              <w:rPr>
                <w:rFonts w:ascii="Verdana" w:eastAsia="Times New Roman" w:hAnsi="Verdana" w:cs="Times New Roman"/>
              </w:rPr>
              <w:t>una</w:t>
            </w:r>
            <w:r w:rsidRPr="00502309">
              <w:rPr>
                <w:rFonts w:ascii="Verdana" w:eastAsia="Times New Roman" w:hAnsi="Verdana" w:cs="Times New Roman"/>
              </w:rPr>
              <w:t xml:space="preserve"> tabla, que ya incorpora los mínimos exigidos por la Ley 2466 de 2025 (Reforma Laboral), de modo que el puntaje solo se otorga a quien </w:t>
            </w:r>
            <w:r>
              <w:rPr>
                <w:rFonts w:ascii="Verdana" w:eastAsia="Times New Roman" w:hAnsi="Verdana" w:cs="Times New Roman"/>
              </w:rPr>
              <w:t xml:space="preserve">cumpla lo indicado en la tabla. </w:t>
            </w:r>
            <w:r w:rsidRPr="0011290B">
              <w:rPr>
                <w:rFonts w:ascii="Verdana" w:eastAsia="Times New Roman" w:hAnsi="Verdana" w:cs="Times New Roman"/>
              </w:rPr>
              <w:t xml:space="preserve">El puntaje no se otorga por cumplir la ley sino por superarla: solo el proponente que acredite un número de </w:t>
            </w:r>
            <w:proofErr w:type="spellStart"/>
            <w:r w:rsidRPr="0011290B">
              <w:rPr>
                <w:rFonts w:ascii="Verdana" w:eastAsia="Times New Roman" w:hAnsi="Verdana" w:cs="Times New Roman"/>
              </w:rPr>
              <w:t>PcD</w:t>
            </w:r>
            <w:proofErr w:type="spellEnd"/>
            <w:r w:rsidRPr="0011290B">
              <w:rPr>
                <w:rFonts w:ascii="Verdana" w:eastAsia="Times New Roman" w:hAnsi="Verdana" w:cs="Times New Roman"/>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r w:rsidRPr="00502309">
              <w:rPr>
                <w:rFonts w:ascii="Verdana" w:eastAsia="Times New Roman" w:hAnsi="Verdana" w:cs="Times New Roman"/>
              </w:rPr>
              <w:t xml:space="preserve">. </w:t>
            </w:r>
            <w:r>
              <w:rPr>
                <w:rFonts w:ascii="Verdana" w:eastAsia="Times New Roman" w:hAnsi="Verdana" w:cs="Times New Roman"/>
              </w:rPr>
              <w:t xml:space="preserve"> </w:t>
            </w:r>
          </w:p>
          <w:p w14:paraId="7E72590F" w14:textId="77777777" w:rsidR="000050D8" w:rsidRDefault="000050D8" w:rsidP="006D05D8">
            <w:pPr>
              <w:spacing w:before="120" w:after="120" w:line="276" w:lineRule="auto"/>
              <w:ind w:firstLine="709"/>
              <w:jc w:val="both"/>
              <w:rPr>
                <w:rFonts w:ascii="Verdana" w:eastAsia="Calibri" w:hAnsi="Verdana" w:cs="Arial"/>
              </w:rPr>
            </w:pPr>
            <w:r>
              <w:rPr>
                <w:rFonts w:ascii="Verdana" w:eastAsia="Calibri" w:hAnsi="Verdana" w:cs="Arial"/>
              </w:rPr>
              <w:t xml:space="preserve">De esta forma, si un proponente, de acuerdo con su planta de personal y la tabla establecida por la norma, acreditará dos (2) trabajadores con discapacidad para la obtención del puntaje, en caso de ser un proponente plural, se revisará la planta de personal del miembro que tenga mayor participación en el proponente plural, sin que sea posible que se revisen varias plantas de personal de los miembros del proponente plural, sino que solo se revisará la planta del miembro con mayor participación quien deberá contar </w:t>
            </w:r>
            <w:r>
              <w:rPr>
                <w:rFonts w:ascii="Verdana" w:eastAsia="Calibri" w:hAnsi="Verdana" w:cs="Arial"/>
              </w:rPr>
              <w:lastRenderedPageBreak/>
              <w:t>con las personas con discapacidad que exige la norma en caso de que quiera acceder al puntaje, y no es posible que cada miembro aporte la vinculación de las personas con discapacidad que exige el Decreto 287 de 2026 para otorgar los puntos allí señalados.</w:t>
            </w:r>
          </w:p>
          <w:p w14:paraId="03CFA07F" w14:textId="77777777" w:rsidR="000050D8" w:rsidRPr="00670CFB" w:rsidRDefault="000050D8" w:rsidP="006D05D8">
            <w:pPr>
              <w:spacing w:before="120" w:after="120" w:line="276" w:lineRule="auto"/>
              <w:ind w:firstLine="709"/>
              <w:jc w:val="both"/>
              <w:rPr>
                <w:rFonts w:ascii="Verdana" w:eastAsia="Calibri" w:hAnsi="Verdana" w:cs="Arial"/>
              </w:rPr>
            </w:pPr>
            <w:r>
              <w:rPr>
                <w:rFonts w:ascii="Verdana" w:eastAsia="Calibri" w:hAnsi="Verdana" w:cs="Arial"/>
              </w:rPr>
              <w:t xml:space="preserve">Finalmente, </w:t>
            </w:r>
            <w:r w:rsidRPr="00206556">
              <w:rPr>
                <w:rFonts w:ascii="Verdana" w:eastAsia="Calibri" w:hAnsi="Verdana" w:cs="Arial"/>
                <w:lang w:val="es-ES" w:eastAsia="es-ES"/>
              </w:rPr>
              <w:t>la Agencia Nacional de Contratación Pública – Colombia Compra Eficiente–</w:t>
            </w:r>
            <w:r>
              <w:rPr>
                <w:rFonts w:ascii="Verdana" w:eastAsia="Calibri" w:hAnsi="Verdana" w:cs="Arial"/>
                <w:lang w:val="es-ES" w:eastAsia="es-ES"/>
              </w:rPr>
              <w:t xml:space="preserve"> como ente rector y en su función de brindar lineamientos para los partícipes del sistema de compras y contratación pública, ha expedido el ABC del Decreto 287 de 2026 disponible en: </w:t>
            </w:r>
            <w:hyperlink r:id="rId9" w:history="1">
              <w:r w:rsidRPr="00FB7E8D">
                <w:rPr>
                  <w:rStyle w:val="Hipervnculo"/>
                  <w:rFonts w:ascii="Verdana" w:eastAsia="Calibri" w:hAnsi="Verdana" w:cs="Arial"/>
                  <w:lang w:val="es-ES" w:eastAsia="es-ES"/>
                </w:rPr>
                <w:t>https://www.colombiacompra.gov.co/archivos/infografia/abc-del-decreto-0287-de-2026-contratacion-publica-inclusiva-para-personas-con-discapacidad</w:t>
              </w:r>
            </w:hyperlink>
            <w:r>
              <w:rPr>
                <w:rFonts w:ascii="Verdana" w:eastAsia="Calibri" w:hAnsi="Verdana" w:cs="Arial"/>
                <w:lang w:val="es-ES" w:eastAsia="es-ES"/>
              </w:rPr>
              <w:t xml:space="preserve"> con el fin de apoyar su implementación, y de la misma manera próximamente se expedirá un boletín, una circular externa y se trabajará en las directrices para cumplir las funciones que el decreto le asigna a la Agencia. También, el día 30 de abril de 2026 se desarrolló el 2° foro virtual de compra pública inclusiva para personas con discapacidad “hacia un mercado público sin barreras” con el fin de explicar las medidas adoptadas por la nueva regulación, disponible en: </w:t>
            </w:r>
            <w:hyperlink r:id="rId10" w:history="1">
              <w:r w:rsidRPr="00FB7E8D">
                <w:rPr>
                  <w:rStyle w:val="Hipervnculo"/>
                  <w:rFonts w:ascii="Verdana" w:eastAsia="Calibri" w:hAnsi="Verdana" w:cs="Arial"/>
                  <w:lang w:val="es-ES" w:eastAsia="es-ES"/>
                </w:rPr>
                <w:t>https://www.youtube.com/live/vpxD3PlXqPI?si=49f8ghb7Iiit6Ja9</w:t>
              </w:r>
            </w:hyperlink>
            <w:r>
              <w:rPr>
                <w:rFonts w:ascii="Verdana" w:eastAsia="Calibri" w:hAnsi="Verdana" w:cs="Arial"/>
                <w:lang w:val="es-ES" w:eastAsia="es-ES"/>
              </w:rPr>
              <w:t xml:space="preserve"> </w:t>
            </w:r>
          </w:p>
        </w:tc>
      </w:tr>
    </w:tbl>
    <w:p w14:paraId="4FA0C997" w14:textId="77777777" w:rsidR="000050D8" w:rsidRPr="00206556" w:rsidRDefault="000050D8" w:rsidP="000050D8">
      <w:pPr>
        <w:tabs>
          <w:tab w:val="left" w:pos="142"/>
          <w:tab w:val="left" w:pos="284"/>
        </w:tabs>
        <w:spacing w:after="0" w:line="276" w:lineRule="auto"/>
        <w:jc w:val="both"/>
        <w:rPr>
          <w:rFonts w:ascii="Verdana" w:eastAsia="Century Gothic" w:hAnsi="Verdana" w:cs="Century Gothic"/>
          <w:b/>
          <w:bCs/>
          <w:color w:val="E97132" w:themeColor="accent2"/>
          <w:lang w:val="es-ES"/>
        </w:rPr>
      </w:pPr>
    </w:p>
    <w:p w14:paraId="666284CA" w14:textId="77777777" w:rsidR="000050D8" w:rsidRPr="00206556" w:rsidRDefault="000050D8" w:rsidP="000050D8">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6C8D188A" w14:textId="77777777" w:rsidR="000050D8" w:rsidRPr="00206556" w:rsidRDefault="000050D8" w:rsidP="000050D8">
      <w:pPr>
        <w:tabs>
          <w:tab w:val="left" w:pos="142"/>
          <w:tab w:val="left" w:pos="284"/>
        </w:tabs>
        <w:spacing w:after="0" w:line="276" w:lineRule="auto"/>
        <w:jc w:val="both"/>
        <w:rPr>
          <w:rFonts w:ascii="Verdana" w:eastAsia="Century Gothic" w:hAnsi="Verdana" w:cs="Century Gothic"/>
          <w:b/>
          <w:color w:val="E97132" w:themeColor="accent2"/>
          <w:lang w:val="es-ES"/>
        </w:rPr>
      </w:pPr>
    </w:p>
    <w:p w14:paraId="7BF35A32" w14:textId="77777777" w:rsidR="000050D8" w:rsidRPr="00206556" w:rsidRDefault="000050D8" w:rsidP="000050D8">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41D817F1" w14:textId="77777777" w:rsidR="000050D8" w:rsidRPr="00206556" w:rsidRDefault="000050D8" w:rsidP="000050D8">
      <w:pPr>
        <w:spacing w:after="0" w:line="276" w:lineRule="auto"/>
        <w:jc w:val="both"/>
        <w:rPr>
          <w:rFonts w:ascii="Verdana" w:eastAsia="Calibri" w:hAnsi="Verdana" w:cs="Arial"/>
          <w:lang w:val="es-ES"/>
        </w:rPr>
      </w:pPr>
    </w:p>
    <w:p w14:paraId="1A1B420F" w14:textId="77777777" w:rsidR="000050D8" w:rsidRPr="000C6B53" w:rsidRDefault="000050D8" w:rsidP="000050D8">
      <w:pPr>
        <w:spacing w:after="120" w:line="276" w:lineRule="auto"/>
        <w:jc w:val="both"/>
        <w:rPr>
          <w:rFonts w:ascii="Verdana" w:eastAsia="Calibri" w:hAnsi="Verdana" w:cs="Arial"/>
        </w:rPr>
      </w:pPr>
      <w:r w:rsidRPr="000C6B53">
        <w:rPr>
          <w:rFonts w:ascii="Verdana" w:eastAsia="Calibri" w:hAnsi="Verdana" w:cs="Arial"/>
        </w:rPr>
        <w:t xml:space="preserve">Para resolver el problema jurídico planteado, esta Agencia considera necesario partir del análisis de los antecedentes normativos que explican el origen, la finalidad y el alcance del Sistema Integral de Preferencias establecido por el Decreto 0287 de 2026, en la medida en que solo a partir de ese contexto es posible comprender las obligaciones concretas que dicho decreto impone a las entidades estatales y a los demás partícipes de la contratación pública. </w:t>
      </w:r>
    </w:p>
    <w:p w14:paraId="22C1F432" w14:textId="77777777" w:rsidR="000050D8" w:rsidRPr="000C6B53" w:rsidRDefault="000050D8" w:rsidP="000050D8">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 xml:space="preserve">El fundamento constitucional del Sistema de Preferencias en favor de las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en la contratación pública se encuentra en el principio de igualdad material o real y efectiva consagrado en el artículo 13 de la Constitución Política de 1991</w:t>
      </w:r>
      <w:r w:rsidRPr="000C6B53">
        <w:rPr>
          <w:rStyle w:val="Refdenotaalpie"/>
          <w:rFonts w:ascii="Verdana" w:eastAsia="Times New Roman" w:hAnsi="Verdana" w:cs="Times New Roman"/>
        </w:rPr>
        <w:footnoteReference w:id="1"/>
      </w:r>
      <w:r w:rsidRPr="000C6B53">
        <w:rPr>
          <w:rFonts w:ascii="Verdana" w:eastAsia="Times New Roman" w:hAnsi="Verdana" w:cs="Times New Roman"/>
        </w:rPr>
        <w:t xml:space="preserve">, el cual le impone al Estado el deber positivo de adoptar </w:t>
      </w:r>
      <w:r w:rsidRPr="000C6B53">
        <w:rPr>
          <w:rFonts w:ascii="Verdana" w:eastAsia="Times New Roman" w:hAnsi="Verdana" w:cs="Times New Roman"/>
          <w:i/>
          <w:iCs/>
        </w:rPr>
        <w:t>acciones afirmativas</w:t>
      </w:r>
      <w:r w:rsidRPr="000C6B53">
        <w:rPr>
          <w:rFonts w:ascii="Verdana" w:eastAsia="Times New Roman" w:hAnsi="Verdana" w:cs="Times New Roman"/>
        </w:rPr>
        <w:t xml:space="preserve"> en </w:t>
      </w:r>
      <w:r w:rsidRPr="000C6B53">
        <w:rPr>
          <w:rFonts w:ascii="Verdana" w:eastAsia="Times New Roman" w:hAnsi="Verdana" w:cs="Times New Roman"/>
        </w:rPr>
        <w:lastRenderedPageBreak/>
        <w:t xml:space="preserve">favor de grupos históricamente excluidos, dirigidas a corregir situaciones de discriminación estructural que los afectan. En desarrollo de este mandato, la Corte Constitucional ha sostenido que tales medidas buscan contrarrestar los efectos de la discriminación y que el Estado puede establecer tratamientos diferenciales a favor de estos grupos en aras de lograr una igualdad real y efectiva. </w:t>
      </w:r>
    </w:p>
    <w:p w14:paraId="05C1E53B" w14:textId="77777777" w:rsidR="000050D8" w:rsidRPr="000C6B53" w:rsidRDefault="000050D8" w:rsidP="000050D8">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 xml:space="preserve">A su vez, los artículos 47 y 54 de la Carta Política refuerzan este mandato al ordenar políticas de integración social y ubicación laboral para las </w:t>
      </w:r>
      <w:proofErr w:type="spellStart"/>
      <w:r w:rsidRPr="000C6B53">
        <w:rPr>
          <w:rFonts w:ascii="Verdana" w:eastAsia="Times New Roman" w:hAnsi="Verdana" w:cs="Times New Roman"/>
        </w:rPr>
        <w:t>PcD</w:t>
      </w:r>
      <w:proofErr w:type="spellEnd"/>
      <w:r w:rsidRPr="000C6B53">
        <w:rPr>
          <w:rStyle w:val="Refdenotaalpie"/>
          <w:rFonts w:ascii="Verdana" w:eastAsia="Times New Roman" w:hAnsi="Verdana" w:cs="Times New Roman"/>
        </w:rPr>
        <w:footnoteReference w:id="2"/>
      </w:r>
      <w:r w:rsidRPr="000C6B53">
        <w:rPr>
          <w:rFonts w:ascii="Verdana" w:eastAsia="Times New Roman" w:hAnsi="Verdana" w:cs="Times New Roman"/>
        </w:rPr>
        <w:t>.</w:t>
      </w:r>
    </w:p>
    <w:p w14:paraId="7A83AB59" w14:textId="77777777" w:rsidR="000050D8" w:rsidRPr="000C6B53" w:rsidRDefault="000050D8" w:rsidP="000050D8">
      <w:pPr>
        <w:spacing w:after="120" w:line="276" w:lineRule="auto"/>
        <w:ind w:firstLine="708"/>
        <w:jc w:val="both"/>
        <w:rPr>
          <w:rFonts w:ascii="Verdana" w:hAnsi="Verdana"/>
        </w:rPr>
      </w:pPr>
      <w:r w:rsidRPr="000C6B53">
        <w:rPr>
          <w:rFonts w:ascii="Verdana" w:eastAsia="Times New Roman" w:hAnsi="Verdana" w:cs="Times New Roman"/>
        </w:rPr>
        <w:t>En el plano internacional, Colombia es Estado Parte de diversos instrumentos que conforman el Bloque de Constitucionalidad en los términos del artículo 93 superior. En particular, la Convención sobre los Derechos de las Personas con Discapacidad de la ONU</w:t>
      </w:r>
      <w:r w:rsidRPr="000C6B53">
        <w:rPr>
          <w:rStyle w:val="Refdenotaalpie"/>
          <w:rFonts w:ascii="Verdana" w:eastAsia="Times New Roman" w:hAnsi="Verdana" w:cs="Times New Roman"/>
        </w:rPr>
        <w:footnoteReference w:id="3"/>
      </w:r>
      <w:r w:rsidRPr="000C6B53">
        <w:rPr>
          <w:rFonts w:ascii="Verdana" w:eastAsia="Times New Roman" w:hAnsi="Verdana" w:cs="Times New Roman"/>
        </w:rPr>
        <w:t xml:space="preserve"> reconoce el derecho de las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a trabajar en igualdad de condiciones y exige programas de acción afirmativa. De igual forma, la Convención Interamericana para la Eliminación de todas las Formas de Discriminación</w:t>
      </w:r>
      <w:r w:rsidRPr="000C6B53">
        <w:rPr>
          <w:rStyle w:val="Refdenotaalpie"/>
          <w:rFonts w:ascii="Verdana" w:eastAsia="Times New Roman" w:hAnsi="Verdana" w:cs="Times New Roman"/>
        </w:rPr>
        <w:footnoteReference w:id="4"/>
      </w:r>
      <w:r w:rsidRPr="000C6B53">
        <w:rPr>
          <w:rFonts w:ascii="Verdana" w:eastAsia="Times New Roman" w:hAnsi="Verdana" w:cs="Times New Roman"/>
        </w:rPr>
        <w:t xml:space="preserve"> ordena eliminar progresivamente la discriminación en la prestación de servicios, incluido el empleo. Finalmente, el Convenio 159 de la OIT</w:t>
      </w:r>
      <w:r w:rsidRPr="000C6B53">
        <w:rPr>
          <w:rStyle w:val="Refdenotaalpie"/>
          <w:rFonts w:ascii="Verdana" w:eastAsia="Times New Roman" w:hAnsi="Verdana" w:cs="Times New Roman"/>
        </w:rPr>
        <w:footnoteReference w:id="5"/>
      </w:r>
      <w:r w:rsidRPr="000C6B53">
        <w:rPr>
          <w:rFonts w:ascii="Verdana" w:eastAsia="Times New Roman" w:hAnsi="Verdana" w:cs="Times New Roman"/>
        </w:rPr>
        <w:t xml:space="preserve"> exige medidas orientadas a garantizar la igualdad de oportunidades de todas las categorías de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en materia de empleo.</w:t>
      </w:r>
    </w:p>
    <w:p w14:paraId="285167E6" w14:textId="77777777" w:rsidR="000050D8" w:rsidRPr="000C6B53" w:rsidRDefault="000050D8" w:rsidP="000050D8">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En desarrollo de estos mandatos, con rango constitucional,</w:t>
      </w:r>
      <w:r w:rsidRPr="000C6B53">
        <w:rPr>
          <w:rFonts w:ascii="Verdana" w:eastAsia="Times New Roman" w:hAnsi="Verdana" w:cs="Times New Roman"/>
          <w:b/>
          <w:bCs/>
        </w:rPr>
        <w:t xml:space="preserve"> </w:t>
      </w:r>
      <w:r w:rsidRPr="000C6B53">
        <w:rPr>
          <w:rFonts w:ascii="Verdana" w:eastAsia="Times New Roman" w:hAnsi="Verdana" w:cs="Times New Roman"/>
        </w:rPr>
        <w:t xml:space="preserve">la Ley 361 de 1997 estableció los primeros mecanismos de integración social de las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Su artículo 24 introdujo una preferencia en igualdad de condiciones en licitaciones y adjudicaciones de contratos estatales para aquellos empleadores que tuvieran al menos el diez por ciento (10%) de su nómina compuesta por </w:t>
      </w:r>
      <w:proofErr w:type="spellStart"/>
      <w:r w:rsidRPr="000C6B53">
        <w:rPr>
          <w:rFonts w:ascii="Verdana" w:eastAsia="Times New Roman" w:hAnsi="Verdana" w:cs="Times New Roman"/>
        </w:rPr>
        <w:t>PcD</w:t>
      </w:r>
      <w:proofErr w:type="spellEnd"/>
      <w:r w:rsidRPr="000C6B53">
        <w:rPr>
          <w:rStyle w:val="Refdenotaalpie"/>
          <w:rFonts w:ascii="Verdana" w:eastAsia="Times New Roman" w:hAnsi="Verdana" w:cs="Times New Roman"/>
        </w:rPr>
        <w:footnoteReference w:id="6"/>
      </w:r>
      <w:r w:rsidRPr="000C6B53">
        <w:rPr>
          <w:rFonts w:ascii="Verdana" w:eastAsia="Times New Roman" w:hAnsi="Verdana" w:cs="Times New Roman"/>
        </w:rPr>
        <w:t xml:space="preserve">. Esta norma vinculó por primera vez la contratación pública con la inclusión laboral de las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pero su alcance era limitado en la medida que se trataba de una preferencia </w:t>
      </w:r>
      <w:r w:rsidRPr="000C6B53">
        <w:rPr>
          <w:rFonts w:ascii="Verdana" w:eastAsia="Times New Roman" w:hAnsi="Verdana" w:cs="Times New Roman"/>
        </w:rPr>
        <w:lastRenderedPageBreak/>
        <w:t xml:space="preserve">residual aplicable solo en caso de empate y que beneficiaba únicamente a los empleadores de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sin considerar a las propias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como proponentes o contratistas directos.</w:t>
      </w:r>
    </w:p>
    <w:p w14:paraId="560BB20D" w14:textId="77777777" w:rsidR="000050D8" w:rsidRPr="000C6B53" w:rsidRDefault="000050D8" w:rsidP="000050D8">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 xml:space="preserve">Posteriormente, la Ley Estatutaria 1618 de 2013 representó un avance sustancial en el marco jurídico de protección de las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al definirlas como </w:t>
      </w:r>
      <w:r w:rsidRPr="000C6B53">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0C6B53">
        <w:rPr>
          <w:rStyle w:val="Refdenotaalpie"/>
          <w:rFonts w:ascii="Verdana" w:eastAsia="Times New Roman" w:hAnsi="Verdana" w:cs="Times New Roman"/>
          <w:i/>
          <w:iCs/>
        </w:rPr>
        <w:footnoteReference w:id="7"/>
      </w:r>
      <w:r w:rsidRPr="000C6B53">
        <w:rPr>
          <w:rFonts w:ascii="Verdana" w:eastAsia="Times New Roman" w:hAnsi="Verdana" w:cs="Times New Roman"/>
          <w:i/>
          <w:iCs/>
        </w:rPr>
        <w:t>.</w:t>
      </w:r>
      <w:r w:rsidRPr="000C6B53">
        <w:rPr>
          <w:rFonts w:ascii="Verdana" w:eastAsia="Times New Roman" w:hAnsi="Verdana" w:cs="Times New Roman"/>
        </w:rPr>
        <w:t xml:space="preserve"> En su artículo 13, numerales 1, 7 y 8, ordenó al Gobierno Nacional reglamentar: i) una puntuación adicional en licitación pública, concurso de méritos y contratación directa para empresas que vinculen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y para empresas de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w:t>
      </w:r>
      <w:proofErr w:type="spellStart"/>
      <w:r w:rsidRPr="000C6B53">
        <w:rPr>
          <w:rFonts w:ascii="Verdana" w:eastAsia="Times New Roman" w:hAnsi="Verdana" w:cs="Times New Roman"/>
        </w:rPr>
        <w:t>ii</w:t>
      </w:r>
      <w:proofErr w:type="spellEnd"/>
      <w:r w:rsidRPr="000C6B53">
        <w:rPr>
          <w:rFonts w:ascii="Verdana" w:eastAsia="Times New Roman" w:hAnsi="Verdana" w:cs="Times New Roman"/>
        </w:rPr>
        <w:t xml:space="preserve">) un sistema de preferencias para empleadores de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en la adjudicación; y </w:t>
      </w:r>
      <w:proofErr w:type="spellStart"/>
      <w:r w:rsidRPr="000C6B53">
        <w:rPr>
          <w:rFonts w:ascii="Verdana" w:eastAsia="Times New Roman" w:hAnsi="Verdana" w:cs="Times New Roman"/>
        </w:rPr>
        <w:t>iii</w:t>
      </w:r>
      <w:proofErr w:type="spellEnd"/>
      <w:r w:rsidRPr="000C6B53">
        <w:rPr>
          <w:rFonts w:ascii="Verdana" w:eastAsia="Times New Roman" w:hAnsi="Verdana" w:cs="Times New Roman"/>
        </w:rPr>
        <w:t xml:space="preserve">) </w:t>
      </w:r>
      <w:r w:rsidRPr="000C6B53">
        <w:rPr>
          <w:rFonts w:ascii="Verdana" w:eastAsia="Times New Roman" w:hAnsi="Verdana" w:cs="Times New Roman"/>
          <w:i/>
        </w:rPr>
        <w:t xml:space="preserve">un sistema de preferencias en favor de las propias </w:t>
      </w:r>
      <w:proofErr w:type="spellStart"/>
      <w:r w:rsidRPr="000C6B53">
        <w:rPr>
          <w:rFonts w:ascii="Verdana" w:eastAsia="Times New Roman" w:hAnsi="Verdana" w:cs="Times New Roman"/>
          <w:i/>
        </w:rPr>
        <w:t>PcD</w:t>
      </w:r>
      <w:proofErr w:type="spellEnd"/>
      <w:r w:rsidRPr="000C6B53">
        <w:rPr>
          <w:rFonts w:ascii="Verdana" w:eastAsia="Times New Roman" w:hAnsi="Verdana" w:cs="Times New Roman"/>
          <w:i/>
        </w:rPr>
        <w:t xml:space="preserve"> como contratistas</w:t>
      </w:r>
      <w:r w:rsidRPr="000C6B53">
        <w:rPr>
          <w:rStyle w:val="Refdenotaalpie"/>
          <w:rFonts w:ascii="Verdana" w:eastAsia="Times New Roman" w:hAnsi="Verdana" w:cs="Times New Roman"/>
        </w:rPr>
        <w:footnoteReference w:id="8"/>
      </w:r>
      <w:r w:rsidRPr="000C6B53">
        <w:rPr>
          <w:rFonts w:ascii="Verdana" w:eastAsia="Times New Roman" w:hAnsi="Verdana" w:cs="Times New Roman"/>
        </w:rPr>
        <w:t xml:space="preserve">. Este último mandato fue especialmente significativo porque introdujo el concepto de </w:t>
      </w:r>
      <w:r w:rsidRPr="000C6B53">
        <w:rPr>
          <w:rFonts w:ascii="Verdana" w:eastAsia="Times New Roman" w:hAnsi="Verdana" w:cs="Times New Roman"/>
          <w:i/>
          <w:iCs/>
        </w:rPr>
        <w:t>"sistema de preferencias"</w:t>
      </w:r>
      <w:r w:rsidRPr="000C6B53">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19BA9236" w14:textId="77777777" w:rsidR="000050D8" w:rsidRPr="000C6B53" w:rsidRDefault="000050D8" w:rsidP="000050D8">
      <w:pPr>
        <w:spacing w:after="120" w:line="276" w:lineRule="auto"/>
        <w:ind w:firstLine="709"/>
        <w:jc w:val="both"/>
        <w:rPr>
          <w:rFonts w:ascii="Verdana" w:hAnsi="Verdana"/>
        </w:rPr>
      </w:pPr>
      <w:r w:rsidRPr="000C6B53">
        <w:rPr>
          <w:rFonts w:ascii="Verdana" w:hAnsi="Verdana"/>
        </w:rPr>
        <w:t xml:space="preserve">En cumplimiento parcial de los numerales 1 y 8 del artículo 13 de la Ley 1618 de 2013, se expidió el Decreto 392 de 2018. Sin embargo, tal y como se reconoce en los considerandos del Decreto 0287 de 2026, dicha regulación presentó omisiones estructurales que frustraron la finalidad de la Ley Estatutaria. En efecto, el Decreto 392 de 2018 solo contempló el uno por ciento (1%) del puntaje para empleadores de </w:t>
      </w:r>
      <w:proofErr w:type="spellStart"/>
      <w:r w:rsidRPr="000C6B53">
        <w:rPr>
          <w:rFonts w:ascii="Verdana" w:hAnsi="Verdana"/>
        </w:rPr>
        <w:t>PcD</w:t>
      </w:r>
      <w:proofErr w:type="spellEnd"/>
      <w:r w:rsidRPr="000C6B53">
        <w:rPr>
          <w:rFonts w:ascii="Verdana" w:hAnsi="Verdana"/>
        </w:rPr>
        <w:t xml:space="preserve">, sin incluir a las empresas de </w:t>
      </w:r>
      <w:proofErr w:type="spellStart"/>
      <w:r w:rsidRPr="000C6B53">
        <w:rPr>
          <w:rFonts w:ascii="Verdana" w:hAnsi="Verdana"/>
        </w:rPr>
        <w:t>PcD</w:t>
      </w:r>
      <w:proofErr w:type="spellEnd"/>
      <w:r w:rsidRPr="000C6B53">
        <w:rPr>
          <w:rFonts w:ascii="Verdana" w:hAnsi="Verdana"/>
        </w:rPr>
        <w:t xml:space="preserve">;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Pr="000C6B53">
        <w:rPr>
          <w:rFonts w:ascii="Verdana" w:hAnsi="Verdana"/>
        </w:rPr>
        <w:t>PcD</w:t>
      </w:r>
      <w:proofErr w:type="spellEnd"/>
      <w:r w:rsidRPr="000C6B53">
        <w:rPr>
          <w:rFonts w:ascii="Verdana" w:hAnsi="Verdana"/>
        </w:rPr>
        <w:t xml:space="preserve"> como contratistas.</w:t>
      </w:r>
    </w:p>
    <w:p w14:paraId="2587F444" w14:textId="77777777" w:rsidR="000050D8" w:rsidRPr="000C6B53" w:rsidRDefault="000050D8" w:rsidP="000050D8">
      <w:pPr>
        <w:spacing w:after="120" w:line="276" w:lineRule="auto"/>
        <w:ind w:firstLine="709"/>
        <w:jc w:val="both"/>
        <w:rPr>
          <w:rFonts w:ascii="Verdana" w:hAnsi="Verdana"/>
        </w:rPr>
      </w:pPr>
      <w:r w:rsidRPr="000C6B53">
        <w:rPr>
          <w:rFonts w:ascii="Verdana" w:hAnsi="Verdana"/>
        </w:rPr>
        <w:lastRenderedPageBreak/>
        <w:t xml:space="preserve">La insuficiencia del Decreto 392 de 2018 fue constatada judicialmente. La Sección Quinta del Consejo de Estado, mediante sentencia proferida dentro de una acción de cumplimiento del 12 de diciembre de 2024, radicación </w:t>
      </w:r>
      <w:proofErr w:type="spellStart"/>
      <w:r w:rsidRPr="000C6B53">
        <w:rPr>
          <w:rFonts w:ascii="Verdana" w:hAnsi="Verdana"/>
        </w:rPr>
        <w:t>n.°</w:t>
      </w:r>
      <w:proofErr w:type="spellEnd"/>
      <w:r w:rsidRPr="000C6B53">
        <w:rPr>
          <w:rFonts w:ascii="Verdana" w:hAnsi="Verdana"/>
        </w:rPr>
        <w:t xml:space="preserve"> 05001-23-33-000-2024-00847-01, M.P. Omar Joaquín Barreto Suárez, declaró el incumplimiento por parte del Gobierno Nacional del artículo 62 de la Ley 1996 de 2019, norma que ordenaba reglamentar las medidas del artículo 13 de la Ley 1618 de 2013. En dicha providencia, la Sala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6BB29597" w14:textId="77777777" w:rsidR="000050D8" w:rsidRDefault="000050D8" w:rsidP="000050D8">
      <w:pPr>
        <w:spacing w:after="120" w:line="276" w:lineRule="auto"/>
        <w:ind w:firstLine="709"/>
        <w:jc w:val="both"/>
        <w:rPr>
          <w:rFonts w:ascii="Verdana" w:hAnsi="Verdana"/>
        </w:rPr>
      </w:pPr>
      <w:r w:rsidRPr="000C6B53">
        <w:rPr>
          <w:rFonts w:ascii="Verdana" w:hAnsi="Verdana"/>
        </w:rPr>
        <w:t xml:space="preserve">En cumplimiento de esa decisión, fue expedido el Decreto 0287 de 2026, el cual, como se indicó en la respuesta del presente concepto, establece un Sistema Integral de Preferencias compuesto por cinco medidas afirmativas que actúan en todas las fases del proceso contractual: planeación, selección, adjudicación y ejecución. Dicho sistema se orienta a beneficiar a dos sujetos diferenciados: los emprendimientos y empresas de </w:t>
      </w:r>
      <w:proofErr w:type="spellStart"/>
      <w:r w:rsidRPr="000C6B53">
        <w:rPr>
          <w:rFonts w:ascii="Verdana" w:hAnsi="Verdana"/>
        </w:rPr>
        <w:t>PcD</w:t>
      </w:r>
      <w:proofErr w:type="spellEnd"/>
      <w:r w:rsidRPr="000C6B53">
        <w:rPr>
          <w:rFonts w:ascii="Verdana" w:hAnsi="Verdana"/>
        </w:rPr>
        <w:t xml:space="preserve"> y los empleadores de </w:t>
      </w:r>
      <w:proofErr w:type="spellStart"/>
      <w:r w:rsidRPr="000C6B53">
        <w:rPr>
          <w:rFonts w:ascii="Verdana" w:hAnsi="Verdana"/>
        </w:rPr>
        <w:t>PcD</w:t>
      </w:r>
      <w:proofErr w:type="spellEnd"/>
      <w:r w:rsidRPr="000C6B53">
        <w:rPr>
          <w:rFonts w:ascii="Verdana" w:hAnsi="Verdana"/>
        </w:rPr>
        <w:t>. A continuación, se desarrolla el alcance de cada aspecto del sistema planteado en los problemas jurídicos.</w:t>
      </w:r>
      <w:r w:rsidRPr="00E727F0">
        <w:rPr>
          <w:rFonts w:ascii="Verdana" w:hAnsi="Verdana"/>
        </w:rPr>
        <w:t xml:space="preserve"> </w:t>
      </w:r>
    </w:p>
    <w:p w14:paraId="3D21A73C" w14:textId="77777777" w:rsidR="000050D8" w:rsidRPr="00E727F0" w:rsidRDefault="000050D8" w:rsidP="000050D8">
      <w:pPr>
        <w:spacing w:after="120" w:line="276" w:lineRule="auto"/>
        <w:ind w:firstLine="708"/>
        <w:jc w:val="both"/>
        <w:rPr>
          <w:rFonts w:ascii="Verdana" w:hAnsi="Verdana"/>
        </w:rPr>
      </w:pPr>
      <w:r w:rsidRPr="00E727F0">
        <w:rPr>
          <w:rFonts w:ascii="Verdana" w:eastAsia="Times New Roman" w:hAnsi="Verdana" w:cs="Times New Roman"/>
        </w:rPr>
        <w:t xml:space="preserve">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conforme a las categorías del artículo 2.2.1.2.4.2.6., o ser empleador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4F19797E" w14:textId="77777777" w:rsidR="000050D8" w:rsidRPr="00E727F0" w:rsidRDefault="000050D8" w:rsidP="000050D8">
      <w:pPr>
        <w:spacing w:before="100" w:after="180"/>
        <w:ind w:left="720" w:right="720"/>
        <w:jc w:val="both"/>
        <w:rPr>
          <w:rFonts w:ascii="Verdana" w:hAnsi="Verdana"/>
          <w:sz w:val="20"/>
          <w:szCs w:val="20"/>
        </w:rPr>
      </w:pPr>
      <w:r w:rsidRPr="00E727F0">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1F56C8AB" w14:textId="77777777" w:rsidR="000050D8" w:rsidRPr="00206556" w:rsidRDefault="000050D8" w:rsidP="000050D8">
      <w:pPr>
        <w:spacing w:after="120" w:line="276" w:lineRule="auto"/>
        <w:ind w:firstLine="709"/>
        <w:jc w:val="both"/>
        <w:rPr>
          <w:rFonts w:ascii="Verdana" w:hAnsi="Verdana"/>
        </w:rPr>
      </w:pPr>
      <w:r w:rsidRPr="00E727F0">
        <w:rPr>
          <w:rFonts w:ascii="Verdana" w:eastAsia="Times New Roman" w:hAnsi="Verdana" w:cs="Times New Roman"/>
        </w:rPr>
        <w:lastRenderedPageBreak/>
        <w:t xml:space="preserve">Esta decisión normativa responde a una razón de diseño del sistema: el 2% ya incorpora el estímulo suficiente para promover la inclusión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5F5CFF31" w14:textId="77777777" w:rsidR="000050D8" w:rsidRPr="00D22B7C" w:rsidRDefault="000050D8" w:rsidP="000050D8">
      <w:pPr>
        <w:spacing w:after="120" w:line="276" w:lineRule="auto"/>
        <w:ind w:firstLine="709"/>
        <w:jc w:val="both"/>
        <w:rPr>
          <w:rFonts w:ascii="Verdana" w:hAnsi="Verdana"/>
        </w:rPr>
      </w:pPr>
      <w:r w:rsidRPr="00D22B7C">
        <w:rPr>
          <w:rFonts w:ascii="Verdana" w:eastAsia="Times New Roman" w:hAnsi="Verdana" w:cs="Times New Roman"/>
        </w:rPr>
        <w:t xml:space="preserve">En cuanto a la exigencia del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el proponente debe acreditar dentro de su planta de personal la vinculación de personas con discapacidad mediante contrato laboral con dedicación exclusiva, superando los mínimos que exige la Ley 2466 de 2025 (Reforma Laboral). 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requerido varía según el tamaño de la planta de personal del proponente, conforme a la siguiente tabla:</w:t>
      </w:r>
    </w:p>
    <w:p w14:paraId="0DB6E80D" w14:textId="77777777" w:rsidR="000050D8" w:rsidRPr="00D22B7C" w:rsidRDefault="000050D8" w:rsidP="000050D8">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0050D8" w:rsidRPr="00D22B7C" w14:paraId="3A40A752"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CF0E7C1" w14:textId="77777777" w:rsidR="000050D8" w:rsidRPr="00D22B7C" w:rsidRDefault="000050D8" w:rsidP="006D05D8">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0F7B753" w14:textId="77777777" w:rsidR="000050D8" w:rsidRPr="00D22B7C" w:rsidRDefault="000050D8" w:rsidP="006D05D8">
            <w:pPr>
              <w:jc w:val="center"/>
              <w:rPr>
                <w:rFonts w:ascii="Verdana" w:hAnsi="Verdana"/>
              </w:rPr>
            </w:pPr>
            <w:r w:rsidRPr="00D22B7C">
              <w:rPr>
                <w:rFonts w:ascii="Verdana" w:eastAsia="Times New Roman" w:hAnsi="Verdana" w:cs="Times New Roman"/>
                <w:b/>
                <w:bCs/>
              </w:rPr>
              <w:t>Número mínimo de trabajadores con discapacidad requerido</w:t>
            </w:r>
          </w:p>
        </w:tc>
      </w:tr>
      <w:tr w:rsidR="000050D8" w:rsidRPr="00D22B7C" w14:paraId="405D407B"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D5FC928" w14:textId="77777777" w:rsidR="000050D8" w:rsidRPr="00D22B7C" w:rsidRDefault="000050D8" w:rsidP="006D05D8">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EB4FD11" w14:textId="77777777" w:rsidR="000050D8" w:rsidRPr="00D22B7C" w:rsidRDefault="000050D8" w:rsidP="006D05D8">
            <w:pPr>
              <w:jc w:val="center"/>
              <w:rPr>
                <w:rFonts w:ascii="Verdana" w:hAnsi="Verdana"/>
              </w:rPr>
            </w:pPr>
            <w:r w:rsidRPr="00D22B7C">
              <w:rPr>
                <w:rFonts w:ascii="Verdana" w:eastAsia="Times New Roman" w:hAnsi="Verdana" w:cs="Times New Roman"/>
              </w:rPr>
              <w:t>2</w:t>
            </w:r>
          </w:p>
        </w:tc>
      </w:tr>
      <w:tr w:rsidR="000050D8" w:rsidRPr="00D22B7C" w14:paraId="4E321F57"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47F7737" w14:textId="77777777" w:rsidR="000050D8" w:rsidRPr="00D22B7C" w:rsidRDefault="000050D8" w:rsidP="006D05D8">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90D4C3A" w14:textId="77777777" w:rsidR="000050D8" w:rsidRPr="00D22B7C" w:rsidRDefault="000050D8" w:rsidP="006D05D8">
            <w:pPr>
              <w:jc w:val="center"/>
              <w:rPr>
                <w:rFonts w:ascii="Verdana" w:hAnsi="Verdana"/>
              </w:rPr>
            </w:pPr>
            <w:r w:rsidRPr="00D22B7C">
              <w:rPr>
                <w:rFonts w:ascii="Verdana" w:eastAsia="Times New Roman" w:hAnsi="Verdana" w:cs="Times New Roman"/>
              </w:rPr>
              <w:t>3</w:t>
            </w:r>
          </w:p>
        </w:tc>
      </w:tr>
      <w:tr w:rsidR="000050D8" w:rsidRPr="00D22B7C" w14:paraId="3C7D61AC"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3E93760" w14:textId="77777777" w:rsidR="000050D8" w:rsidRPr="00D22B7C" w:rsidRDefault="000050D8" w:rsidP="006D05D8">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4FE57DB" w14:textId="77777777" w:rsidR="000050D8" w:rsidRPr="00D22B7C" w:rsidRDefault="000050D8" w:rsidP="006D05D8">
            <w:pPr>
              <w:jc w:val="center"/>
              <w:rPr>
                <w:rFonts w:ascii="Verdana" w:hAnsi="Verdana"/>
              </w:rPr>
            </w:pPr>
            <w:r w:rsidRPr="00D22B7C">
              <w:rPr>
                <w:rFonts w:ascii="Verdana" w:eastAsia="Times New Roman" w:hAnsi="Verdana" w:cs="Times New Roman"/>
              </w:rPr>
              <w:t>4</w:t>
            </w:r>
          </w:p>
        </w:tc>
      </w:tr>
      <w:tr w:rsidR="000050D8" w:rsidRPr="00D22B7C" w14:paraId="62335566"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118D9A7" w14:textId="77777777" w:rsidR="000050D8" w:rsidRPr="00D22B7C" w:rsidRDefault="000050D8" w:rsidP="006D05D8">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162B12A" w14:textId="77777777" w:rsidR="000050D8" w:rsidRPr="00D22B7C" w:rsidRDefault="000050D8" w:rsidP="006D05D8">
            <w:pPr>
              <w:jc w:val="center"/>
              <w:rPr>
                <w:rFonts w:ascii="Verdana" w:hAnsi="Verdana"/>
              </w:rPr>
            </w:pPr>
            <w:r w:rsidRPr="00D22B7C">
              <w:rPr>
                <w:rFonts w:ascii="Verdana" w:eastAsia="Times New Roman" w:hAnsi="Verdana" w:cs="Times New Roman"/>
              </w:rPr>
              <w:t>5</w:t>
            </w:r>
          </w:p>
        </w:tc>
      </w:tr>
      <w:tr w:rsidR="000050D8" w:rsidRPr="00D22B7C" w14:paraId="39C1006E"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6600C49" w14:textId="77777777" w:rsidR="000050D8" w:rsidRPr="00D22B7C" w:rsidRDefault="000050D8" w:rsidP="006D05D8">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DC42B62" w14:textId="77777777" w:rsidR="000050D8" w:rsidRPr="00D22B7C" w:rsidRDefault="000050D8" w:rsidP="006D05D8">
            <w:pPr>
              <w:jc w:val="center"/>
              <w:rPr>
                <w:rFonts w:ascii="Verdana" w:hAnsi="Verdana"/>
              </w:rPr>
            </w:pPr>
            <w:r w:rsidRPr="00D22B7C">
              <w:rPr>
                <w:rFonts w:ascii="Verdana" w:eastAsia="Times New Roman" w:hAnsi="Verdana" w:cs="Times New Roman"/>
              </w:rPr>
              <w:t>7</w:t>
            </w:r>
          </w:p>
        </w:tc>
      </w:tr>
      <w:tr w:rsidR="000050D8" w:rsidRPr="00D22B7C" w14:paraId="1E7F0188"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C3A4DC8" w14:textId="77777777" w:rsidR="000050D8" w:rsidRPr="00D22B7C" w:rsidRDefault="000050D8" w:rsidP="006D05D8">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3C6D8FC" w14:textId="77777777" w:rsidR="000050D8" w:rsidRPr="00D22B7C" w:rsidRDefault="000050D8" w:rsidP="006D05D8">
            <w:pPr>
              <w:jc w:val="center"/>
              <w:rPr>
                <w:rFonts w:ascii="Verdana" w:hAnsi="Verdana"/>
              </w:rPr>
            </w:pPr>
            <w:r w:rsidRPr="00D22B7C">
              <w:rPr>
                <w:rFonts w:ascii="Verdana" w:eastAsia="Times New Roman" w:hAnsi="Verdana" w:cs="Times New Roman"/>
              </w:rPr>
              <w:t>10</w:t>
            </w:r>
          </w:p>
        </w:tc>
      </w:tr>
      <w:tr w:rsidR="000050D8" w:rsidRPr="00D22B7C" w14:paraId="11F7F8CE"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96A8AE9" w14:textId="77777777" w:rsidR="000050D8" w:rsidRPr="00D22B7C" w:rsidRDefault="000050D8" w:rsidP="006D05D8">
            <w:pPr>
              <w:jc w:val="center"/>
              <w:rPr>
                <w:rFonts w:ascii="Verdana" w:hAnsi="Verdana"/>
              </w:rPr>
            </w:pPr>
            <w:r w:rsidRPr="00D22B7C">
              <w:rPr>
                <w:rFonts w:ascii="Verdana" w:eastAsia="Times New Roman" w:hAnsi="Verdana" w:cs="Times New Roman"/>
              </w:rPr>
              <w:lastRenderedPageBreak/>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75FD194" w14:textId="77777777" w:rsidR="000050D8" w:rsidRPr="00D22B7C" w:rsidRDefault="000050D8" w:rsidP="006D05D8">
            <w:pPr>
              <w:jc w:val="center"/>
              <w:rPr>
                <w:rFonts w:ascii="Verdana" w:hAnsi="Verdana"/>
              </w:rPr>
            </w:pPr>
            <w:r w:rsidRPr="00D22B7C">
              <w:rPr>
                <w:rFonts w:ascii="Verdana" w:eastAsia="Times New Roman" w:hAnsi="Verdana" w:cs="Times New Roman"/>
              </w:rPr>
              <w:t>12</w:t>
            </w:r>
          </w:p>
        </w:tc>
      </w:tr>
      <w:tr w:rsidR="000050D8" w:rsidRPr="00D22B7C" w14:paraId="7F90A60E"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110A8BC" w14:textId="77777777" w:rsidR="000050D8" w:rsidRPr="00D22B7C" w:rsidRDefault="000050D8" w:rsidP="006D05D8">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7263374" w14:textId="77777777" w:rsidR="000050D8" w:rsidRPr="00D22B7C" w:rsidRDefault="000050D8" w:rsidP="006D05D8">
            <w:pPr>
              <w:jc w:val="center"/>
              <w:rPr>
                <w:rFonts w:ascii="Verdana" w:hAnsi="Verdana"/>
              </w:rPr>
            </w:pPr>
            <w:r w:rsidRPr="00D22B7C">
              <w:rPr>
                <w:rFonts w:ascii="Verdana" w:eastAsia="Times New Roman" w:hAnsi="Verdana" w:cs="Times New Roman"/>
              </w:rPr>
              <w:t>14</w:t>
            </w:r>
          </w:p>
        </w:tc>
      </w:tr>
      <w:tr w:rsidR="000050D8" w:rsidRPr="00D22B7C" w14:paraId="6C25344F"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B3F5AC6" w14:textId="77777777" w:rsidR="000050D8" w:rsidRPr="00D22B7C" w:rsidRDefault="000050D8" w:rsidP="006D05D8">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88A4926" w14:textId="77777777" w:rsidR="000050D8" w:rsidRPr="00D22B7C" w:rsidRDefault="000050D8" w:rsidP="006D05D8">
            <w:pPr>
              <w:jc w:val="center"/>
              <w:rPr>
                <w:rFonts w:ascii="Verdana" w:hAnsi="Verdana"/>
              </w:rPr>
            </w:pPr>
            <w:r w:rsidRPr="00D22B7C">
              <w:rPr>
                <w:rFonts w:ascii="Verdana" w:eastAsia="Times New Roman" w:hAnsi="Verdana" w:cs="Times New Roman"/>
              </w:rPr>
              <w:t>16</w:t>
            </w:r>
          </w:p>
        </w:tc>
      </w:tr>
      <w:tr w:rsidR="000050D8" w:rsidRPr="00D22B7C" w14:paraId="6C14E119" w14:textId="77777777" w:rsidTr="006D05D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A549E20" w14:textId="77777777" w:rsidR="000050D8" w:rsidRPr="00D22B7C" w:rsidRDefault="000050D8" w:rsidP="006D05D8">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B433353" w14:textId="77777777" w:rsidR="000050D8" w:rsidRPr="00D22B7C" w:rsidRDefault="000050D8" w:rsidP="006D05D8">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780C7623" w14:textId="77777777" w:rsidR="000050D8" w:rsidRPr="00D22B7C" w:rsidRDefault="000050D8" w:rsidP="000050D8">
      <w:pPr>
        <w:spacing w:after="0" w:line="276" w:lineRule="auto"/>
        <w:rPr>
          <w:rFonts w:ascii="Verdana" w:hAnsi="Verdana"/>
        </w:rPr>
      </w:pPr>
    </w:p>
    <w:p w14:paraId="111D18E0" w14:textId="77777777" w:rsidR="000050D8" w:rsidRPr="00D22B7C" w:rsidRDefault="000050D8" w:rsidP="000050D8">
      <w:pPr>
        <w:spacing w:after="120" w:line="276" w:lineRule="auto"/>
        <w:ind w:firstLine="709"/>
        <w:jc w:val="both"/>
        <w:rPr>
          <w:rFonts w:ascii="Verdana" w:hAnsi="Verdana"/>
        </w:rPr>
      </w:pPr>
      <w:r w:rsidRPr="00D22B7C">
        <w:rPr>
          <w:rFonts w:ascii="Verdana" w:eastAsia="Times New Roman" w:hAnsi="Verdana" w:cs="Times New Roman"/>
        </w:rPr>
        <w:t xml:space="preserve">El puntaje no se otorga por cumplir la ley sino por superarla: solo el proponente que acredite un número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244FFC1A" w14:textId="77777777" w:rsidR="000050D8" w:rsidRPr="00D22B7C" w:rsidRDefault="000050D8" w:rsidP="000050D8">
      <w:pPr>
        <w:spacing w:after="120" w:line="276" w:lineRule="auto"/>
        <w:ind w:firstLine="709"/>
        <w:jc w:val="both"/>
        <w:rPr>
          <w:rFonts w:ascii="Verdana" w:hAnsi="Verdana"/>
        </w:rPr>
      </w:pPr>
      <w:r w:rsidRPr="00D22B7C">
        <w:rPr>
          <w:rFonts w:ascii="Verdana" w:eastAsia="Times New Roman" w:hAnsi="Verdana" w:cs="Times New Roman"/>
        </w:rPr>
        <w:t xml:space="preserve">Acreditada esa vinculación, el decreto exige adicionalmente los certificados de aportes a seguridad social de los tres (3) meses anteriores a la presentación de la oferta respecto de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2B874A29" w14:textId="77777777" w:rsidR="000050D8" w:rsidRPr="003C3B8B" w:rsidRDefault="000050D8" w:rsidP="000050D8">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 xml:space="preserve">"no se exige vinculación de las </w:t>
      </w:r>
      <w:proofErr w:type="spellStart"/>
      <w:r w:rsidRPr="003C3B8B">
        <w:rPr>
          <w:rFonts w:ascii="Verdana" w:eastAsia="Times New Roman" w:hAnsi="Verdana" w:cs="Times New Roman"/>
          <w:i/>
          <w:iCs/>
          <w:sz w:val="21"/>
          <w:szCs w:val="21"/>
        </w:rPr>
        <w:t>PcD</w:t>
      </w:r>
      <w:proofErr w:type="spellEnd"/>
      <w:r w:rsidRPr="003C3B8B">
        <w:rPr>
          <w:rFonts w:ascii="Verdana" w:eastAsia="Times New Roman" w:hAnsi="Verdana" w:cs="Times New Roman"/>
          <w:i/>
          <w:iCs/>
          <w:sz w:val="21"/>
          <w:szCs w:val="21"/>
        </w:rPr>
        <w:t xml:space="preserve">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0034E323" w14:textId="77777777" w:rsidR="000050D8" w:rsidRDefault="000050D8" w:rsidP="000050D8">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 xml:space="preserve">El período de tres meses es el umbral mínimo de estabilidad laboral que diferencia un compromiso genuino con la inclusión de una vinculación </w:t>
      </w:r>
      <w:r w:rsidRPr="00D22B7C">
        <w:rPr>
          <w:rFonts w:ascii="Verdana" w:eastAsia="Times New Roman" w:hAnsi="Verdana" w:cs="Times New Roman"/>
        </w:rPr>
        <w:lastRenderedPageBreak/>
        <w:t xml:space="preserve">oportunista. La norma aplica este requisito para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la acreditación, independientemente de si es una vinculación original o una nueva incorporación. Si una empresa ha incrementado recientemente su planta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y alguna de estas vinculaciones no alcanza el período requerido, el proponente puede participar en el proceso utilizando únicamente las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que sí cumplan el requisito temporal. La consecuencia de no alcanzar el período no es la exclusión del proceso sino la imposibilidad de obtener el puntaje adicional respecto de esas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específicas, lo que es coherente con los principios de participación y pluralidad de oferentes.</w:t>
      </w:r>
    </w:p>
    <w:p w14:paraId="07FA59D6" w14:textId="77777777" w:rsidR="000050D8" w:rsidRDefault="000050D8" w:rsidP="000050D8">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 xml:space="preserve">Es importante precisar que la vinculación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los documentos requeridos son los establecidos en el artículo 2.2.1.2.4.2.6., que varían según la categoría que se acredite. En ningún caso los documentos del artículo 2.2.1.2.4.2.7.4. son exigibles a los emprendimientos y empresas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por lo que no deben confundirse.</w:t>
      </w:r>
    </w:p>
    <w:p w14:paraId="2A5508FD" w14:textId="77777777" w:rsidR="000050D8" w:rsidRPr="00D22B7C" w:rsidRDefault="000050D8" w:rsidP="000050D8">
      <w:pPr>
        <w:spacing w:after="120" w:line="276" w:lineRule="auto"/>
        <w:ind w:firstLine="709"/>
        <w:jc w:val="both"/>
        <w:rPr>
          <w:rFonts w:ascii="Verdana" w:hAnsi="Verdana"/>
        </w:rPr>
      </w:pPr>
      <w:r w:rsidRPr="00206556">
        <w:rPr>
          <w:rFonts w:ascii="Verdana" w:hAnsi="Verdana"/>
        </w:rPr>
        <w:t>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w:t>
      </w:r>
      <w:r w:rsidRPr="00206556">
        <w:rPr>
          <w:rFonts w:ascii="Verdana" w:hAnsi="Verdana"/>
        </w:rPr>
        <w:lastRenderedPageBreak/>
        <w:t xml:space="preserve">modalidades </w:t>
      </w:r>
      <w:r>
        <w:rPr>
          <w:rFonts w:ascii="Verdana" w:hAnsi="Verdana"/>
        </w:rPr>
        <w:t>de selección</w:t>
      </w:r>
      <w:r w:rsidRPr="00206556">
        <w:rPr>
          <w:rFonts w:ascii="Verdana" w:hAnsi="Verdana"/>
        </w:rPr>
        <w:t xml:space="preserve">; y la contratación directa tiene su propia medida afirmativa a través de los contratos de prestación de servicios con </w:t>
      </w:r>
      <w:proofErr w:type="spellStart"/>
      <w:r w:rsidRPr="00206556">
        <w:rPr>
          <w:rFonts w:ascii="Verdana" w:hAnsi="Verdana"/>
        </w:rPr>
        <w:t>PcD</w:t>
      </w:r>
      <w:proofErr w:type="spellEnd"/>
      <w:r w:rsidRPr="00206556">
        <w:rPr>
          <w:rFonts w:ascii="Verdana" w:hAnsi="Verdana"/>
        </w:rPr>
        <w:t>.</w:t>
      </w:r>
    </w:p>
    <w:p w14:paraId="1B469424" w14:textId="77777777" w:rsidR="000050D8" w:rsidRPr="00670CFB" w:rsidRDefault="000050D8" w:rsidP="000050D8">
      <w:pPr>
        <w:spacing w:after="120" w:line="276" w:lineRule="auto"/>
        <w:ind w:firstLine="709"/>
        <w:jc w:val="both"/>
        <w:rPr>
          <w:rFonts w:ascii="Verdana" w:hAnsi="Verdana"/>
        </w:rPr>
      </w:pPr>
      <w:r w:rsidRPr="00670CFB">
        <w:rPr>
          <w:rFonts w:ascii="Verdana" w:hAnsi="Verdana"/>
        </w:rPr>
        <w:t xml:space="preserve">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w:t>
      </w:r>
      <w:proofErr w:type="spellStart"/>
      <w:r w:rsidRPr="00670CFB">
        <w:rPr>
          <w:rFonts w:ascii="Verdana" w:hAnsi="Verdana"/>
        </w:rPr>
        <w:t>PcD</w:t>
      </w:r>
      <w:proofErr w:type="spellEnd"/>
      <w:r w:rsidRPr="00670CFB">
        <w:rPr>
          <w:rFonts w:ascii="Verdana" w:hAnsi="Verdana"/>
        </w:rPr>
        <w:t xml:space="preserve">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7DADE32E" w14:textId="77777777" w:rsidR="000050D8" w:rsidRPr="00670CFB" w:rsidRDefault="000050D8" w:rsidP="000050D8">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w:t>
      </w:r>
      <w:proofErr w:type="spellStart"/>
      <w:r w:rsidRPr="00670CFB">
        <w:rPr>
          <w:rFonts w:ascii="Verdana" w:hAnsi="Verdana"/>
        </w:rPr>
        <w:t>PcD</w:t>
      </w:r>
      <w:proofErr w:type="spellEnd"/>
      <w:r w:rsidRPr="00670CFB">
        <w:rPr>
          <w:rFonts w:ascii="Verdana" w:hAnsi="Verdana"/>
        </w:rPr>
        <w:t xml:space="preserve">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w:t>
      </w:r>
      <w:proofErr w:type="spellStart"/>
      <w:r w:rsidRPr="00670CFB">
        <w:rPr>
          <w:rFonts w:ascii="Verdana" w:hAnsi="Verdana"/>
        </w:rPr>
        <w:t>PcD</w:t>
      </w:r>
      <w:proofErr w:type="spellEnd"/>
      <w:r w:rsidRPr="00670CFB">
        <w:rPr>
          <w:rFonts w:ascii="Verdana" w:hAnsi="Verdana"/>
        </w:rPr>
        <w:t xml:space="preserve">,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12F169D1" w14:textId="77777777" w:rsidR="000050D8" w:rsidRPr="00670CFB" w:rsidRDefault="000050D8" w:rsidP="000050D8">
      <w:pPr>
        <w:spacing w:after="120" w:line="276" w:lineRule="auto"/>
        <w:ind w:firstLine="709"/>
        <w:jc w:val="both"/>
        <w:rPr>
          <w:rFonts w:ascii="Verdana" w:hAnsi="Verdana"/>
        </w:rPr>
      </w:pPr>
      <w:r w:rsidRPr="00670CFB">
        <w:rPr>
          <w:rFonts w:ascii="Verdana" w:hAnsi="Verdana"/>
        </w:rPr>
        <w:lastRenderedPageBreak/>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w:t>
      </w:r>
      <w:proofErr w:type="spellStart"/>
      <w:r w:rsidRPr="00670CFB">
        <w:rPr>
          <w:rFonts w:ascii="Verdana" w:hAnsi="Verdana"/>
        </w:rPr>
        <w:t>PcD</w:t>
      </w:r>
      <w:proofErr w:type="spellEnd"/>
      <w:r w:rsidRPr="00670CFB">
        <w:rPr>
          <w:rFonts w:ascii="Verdana" w:hAnsi="Verdana"/>
        </w:rPr>
        <w:t xml:space="preserve">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w:t>
      </w:r>
      <w:proofErr w:type="spellStart"/>
      <w:r w:rsidRPr="00670CFB">
        <w:rPr>
          <w:rFonts w:ascii="Verdana" w:hAnsi="Verdana"/>
        </w:rPr>
        <w:t>PcD</w:t>
      </w:r>
      <w:proofErr w:type="spellEnd"/>
      <w:r w:rsidRPr="00670CFB">
        <w:rPr>
          <w:rFonts w:ascii="Verdana" w:hAnsi="Verdana"/>
        </w:rPr>
        <w:t xml:space="preserve"> y no para los empleadores de </w:t>
      </w:r>
      <w:proofErr w:type="spellStart"/>
      <w:r w:rsidRPr="00670CFB">
        <w:rPr>
          <w:rFonts w:ascii="Verdana" w:hAnsi="Verdana"/>
        </w:rPr>
        <w:t>PcD</w:t>
      </w:r>
      <w:proofErr w:type="spellEnd"/>
      <w:r w:rsidRPr="00670CFB">
        <w:rPr>
          <w:rFonts w:ascii="Verdana" w:hAnsi="Verdana"/>
        </w:rPr>
        <w:t>.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527529CD" w14:textId="77777777" w:rsidR="000050D8" w:rsidRPr="00670CFB" w:rsidRDefault="000050D8" w:rsidP="000050D8">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w:t>
      </w:r>
      <w:proofErr w:type="spellStart"/>
      <w:r w:rsidRPr="00670CFB">
        <w:rPr>
          <w:rFonts w:ascii="Verdana" w:hAnsi="Verdana"/>
        </w:rPr>
        <w:t>PcD</w:t>
      </w:r>
      <w:proofErr w:type="spellEnd"/>
      <w:r w:rsidRPr="00670CFB">
        <w:rPr>
          <w:rFonts w:ascii="Verdana" w:hAnsi="Verdana"/>
        </w:rPr>
        <w:t xml:space="preserve"> o ser empleadores de </w:t>
      </w:r>
      <w:proofErr w:type="spellStart"/>
      <w:r w:rsidRPr="00670CFB">
        <w:rPr>
          <w:rFonts w:ascii="Verdana" w:hAnsi="Verdana"/>
        </w:rPr>
        <w:t>PcD</w:t>
      </w:r>
      <w:proofErr w:type="spellEnd"/>
      <w:r w:rsidRPr="00670CFB">
        <w:rPr>
          <w:rFonts w:ascii="Verdana" w:hAnsi="Verdana"/>
        </w:rPr>
        <w:t xml:space="preserve">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xml:space="preserve">, en licitación pública y concurso de méritos. La acreditación exige, entre otros documentos, los certificados de aportes a seguridad social de los tres (3) meses anteriores a la presentación de la oferta para cada </w:t>
      </w:r>
      <w:proofErr w:type="spellStart"/>
      <w:r w:rsidRPr="00670CFB">
        <w:rPr>
          <w:rFonts w:ascii="Verdana" w:hAnsi="Verdana"/>
        </w:rPr>
        <w:t>PcD</w:t>
      </w:r>
      <w:proofErr w:type="spellEnd"/>
      <w:r w:rsidRPr="00670CFB">
        <w:rPr>
          <w:rFonts w:ascii="Verdana" w:hAnsi="Verdana"/>
        </w:rPr>
        <w:t xml:space="preserve"> incluida en el cómputo, junto con el certificado del Ministerio de Trabajo. La no inclusión de este puntaje </w:t>
      </w:r>
      <w:r w:rsidRPr="00670CFB">
        <w:rPr>
          <w:rFonts w:ascii="Verdana" w:hAnsi="Verdana"/>
        </w:rPr>
        <w:lastRenderedPageBreak/>
        <w:t xml:space="preserve">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w:t>
      </w:r>
      <w:proofErr w:type="spellStart"/>
      <w:r w:rsidRPr="00670CFB">
        <w:rPr>
          <w:rFonts w:ascii="Verdana" w:hAnsi="Verdana"/>
        </w:rPr>
        <w:t>PcD</w:t>
      </w:r>
      <w:proofErr w:type="spellEnd"/>
      <w:r w:rsidRPr="00670CFB">
        <w:rPr>
          <w:rFonts w:ascii="Verdana" w:hAnsi="Verdana"/>
        </w:rPr>
        <w:t xml:space="preserve"> vinculadas puede constituir causal de incumplimiento contractual, salvo que se demuestre fuerza mayor o caso fortuito, y en todo caso respetando el derecho a la estabilidad laboral reforzada de las </w:t>
      </w:r>
      <w:proofErr w:type="spellStart"/>
      <w:r w:rsidRPr="00670CFB">
        <w:rPr>
          <w:rFonts w:ascii="Verdana" w:hAnsi="Verdana"/>
        </w:rPr>
        <w:t>PcD</w:t>
      </w:r>
      <w:proofErr w:type="spellEnd"/>
      <w:r w:rsidRPr="00670CFB">
        <w:rPr>
          <w:rFonts w:ascii="Verdana" w:hAnsi="Verdana"/>
        </w:rPr>
        <w:t>.</w:t>
      </w:r>
    </w:p>
    <w:p w14:paraId="73D1841F" w14:textId="77777777" w:rsidR="000050D8" w:rsidRPr="00670CFB" w:rsidRDefault="000050D8" w:rsidP="000050D8">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sidRPr="00670CFB">
        <w:rPr>
          <w:rFonts w:ascii="Verdana" w:hAnsi="Verdana"/>
        </w:rPr>
        <w:t>PcD</w:t>
      </w:r>
      <w:proofErr w:type="spellEnd"/>
      <w:r w:rsidRPr="00670CFB">
        <w:rPr>
          <w:rFonts w:ascii="Verdana" w:hAnsi="Verdana"/>
        </w:rPr>
        <w:t xml:space="preserve"> y a emprendimientos y empresas de </w:t>
      </w:r>
      <w:proofErr w:type="spellStart"/>
      <w:r w:rsidRPr="00670CFB">
        <w:rPr>
          <w:rFonts w:ascii="Verdana" w:hAnsi="Verdana"/>
        </w:rPr>
        <w:t>PcD</w:t>
      </w:r>
      <w:proofErr w:type="spellEnd"/>
      <w:r w:rsidRPr="00670CFB">
        <w:rPr>
          <w:rFonts w:ascii="Verdana" w:hAnsi="Verdana"/>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sidRPr="00670CFB">
        <w:rPr>
          <w:rFonts w:ascii="Verdana" w:hAnsi="Verdana"/>
        </w:rPr>
        <w:t>PcD</w:t>
      </w:r>
      <w:proofErr w:type="spellEnd"/>
      <w:r w:rsidRPr="00670CFB">
        <w:rPr>
          <w:rFonts w:ascii="Verdana" w:hAnsi="Verdana"/>
        </w:rPr>
        <w:t xml:space="preserve">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47C6939F" w14:textId="77777777" w:rsidR="000050D8" w:rsidRPr="00670CFB" w:rsidRDefault="000050D8" w:rsidP="000050D8">
      <w:pPr>
        <w:spacing w:after="120" w:line="276" w:lineRule="auto"/>
        <w:ind w:firstLine="709"/>
        <w:jc w:val="both"/>
        <w:rPr>
          <w:rFonts w:ascii="Verdana" w:hAnsi="Verdana"/>
        </w:rPr>
      </w:pPr>
      <w:r w:rsidRPr="00670CFB">
        <w:rPr>
          <w:rFonts w:ascii="Verdana" w:hAnsi="Verdana"/>
        </w:rPr>
        <w:t xml:space="preserve">La quinta medida es la inclusión de </w:t>
      </w:r>
      <w:proofErr w:type="spellStart"/>
      <w:r w:rsidRPr="00670CFB">
        <w:rPr>
          <w:rFonts w:ascii="Verdana" w:hAnsi="Verdana"/>
        </w:rPr>
        <w:t>PcD</w:t>
      </w:r>
      <w:proofErr w:type="spellEnd"/>
      <w:r w:rsidRPr="00670CFB">
        <w:rPr>
          <w:rFonts w:ascii="Verdana" w:hAnsi="Verdana"/>
        </w:rPr>
        <w:t xml:space="preserve">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w:t>
      </w:r>
      <w:proofErr w:type="spellStart"/>
      <w:r w:rsidRPr="00670CFB">
        <w:rPr>
          <w:rFonts w:ascii="Verdana" w:hAnsi="Verdana"/>
        </w:rPr>
        <w:t>PcD</w:t>
      </w:r>
      <w:proofErr w:type="spellEnd"/>
      <w:r w:rsidRPr="00670CFB">
        <w:rPr>
          <w:rFonts w:ascii="Verdana" w:hAnsi="Verdana"/>
        </w:rPr>
        <w:t xml:space="preserve"> para cumplir el objeto contractual, acordar </w:t>
      </w:r>
      <w:r w:rsidRPr="00670CFB">
        <w:rPr>
          <w:rFonts w:ascii="Verdana" w:hAnsi="Verdana"/>
        </w:rPr>
        <w:lastRenderedPageBreak/>
        <w:t>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281A0611" w14:textId="77777777" w:rsidR="000050D8" w:rsidRPr="00670CFB" w:rsidRDefault="000050D8" w:rsidP="000050D8">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xml:space="preserve">. Esta obligación consiste en incorporar en los estudios previos y en los documentos del proceso criterios que garanticen la accesibilidad de las </w:t>
      </w:r>
      <w:proofErr w:type="spellStart"/>
      <w:r w:rsidRPr="00670CFB">
        <w:rPr>
          <w:rFonts w:ascii="Verdana" w:hAnsi="Verdana"/>
        </w:rPr>
        <w:t>PcD</w:t>
      </w:r>
      <w:proofErr w:type="spellEnd"/>
      <w:r w:rsidRPr="00670CFB">
        <w:rPr>
          <w:rFonts w:ascii="Verdana" w:hAnsi="Verdana"/>
        </w:rPr>
        <w:t>,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096782B6" w14:textId="77777777" w:rsidR="000050D8" w:rsidRPr="00670CFB" w:rsidRDefault="000050D8" w:rsidP="000050D8">
      <w:pPr>
        <w:spacing w:after="12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630E2CFF" w14:textId="77777777" w:rsidR="000050D8" w:rsidRPr="00206556" w:rsidRDefault="000050D8" w:rsidP="000050D8">
      <w:pPr>
        <w:spacing w:after="0" w:line="276" w:lineRule="auto"/>
        <w:jc w:val="both"/>
        <w:rPr>
          <w:rFonts w:ascii="Verdana" w:eastAsia="Calibri" w:hAnsi="Verdana" w:cs="Arial"/>
          <w:lang w:val="es-ES"/>
        </w:rPr>
      </w:pPr>
    </w:p>
    <w:p w14:paraId="31E12B46" w14:textId="77777777" w:rsidR="000050D8" w:rsidRPr="00206556" w:rsidRDefault="000050D8" w:rsidP="000050D8">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050D8" w:rsidRPr="00206556" w14:paraId="400A563E" w14:textId="77777777" w:rsidTr="006D05D8">
        <w:trPr>
          <w:trHeight w:val="297"/>
        </w:trPr>
        <w:tc>
          <w:tcPr>
            <w:tcW w:w="8647" w:type="dxa"/>
          </w:tcPr>
          <w:p w14:paraId="2645E0D7" w14:textId="77777777" w:rsidR="000050D8" w:rsidRPr="00670CFB"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lastRenderedPageBreak/>
              <w:t>Constitución Política de Colombia. Artículos 13, 47, 54 y 93.</w:t>
            </w:r>
          </w:p>
          <w:p w14:paraId="61CF6BB9"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6D648D51"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458E58F5"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00F784A7"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32A89F62"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09F74C98"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6F4227F7"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58040E86"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2EAE208B"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6923439E"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08E5FD69"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7A376607"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3A522649"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7C938F37"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43EA22DF"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0848A273"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658CDCA8"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67FA12CA"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7FAFAF96"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Agencia Nacional de Contratación Pública – Colombia Compra </w:t>
            </w:r>
            <w:r w:rsidRPr="00206556">
              <w:rPr>
                <w:rFonts w:ascii="Verdana" w:eastAsia="Arial MT" w:hAnsi="Verdana" w:cs="Arial"/>
                <w:lang w:eastAsia="es-ES" w:bidi="es-ES"/>
              </w:rPr>
              <w:lastRenderedPageBreak/>
              <w:t>Eficiente. Circular Externa sobre orientaciones para la aplicación del Decreto 287 de 2026. Bogotá, 2026.</w:t>
            </w:r>
          </w:p>
          <w:p w14:paraId="11F01664"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4297A869"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4F2492D2"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4921517D"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1E400207"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189A8350" w14:textId="77777777" w:rsidR="000050D8" w:rsidRPr="00206556" w:rsidRDefault="000050D8" w:rsidP="000050D8">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7AAC5373" w14:textId="77777777" w:rsidR="000050D8" w:rsidRPr="00206556" w:rsidRDefault="000050D8" w:rsidP="006D05D8">
            <w:pPr>
              <w:widowControl w:val="0"/>
              <w:autoSpaceDE w:val="0"/>
              <w:autoSpaceDN w:val="0"/>
              <w:spacing w:line="276" w:lineRule="auto"/>
              <w:jc w:val="both"/>
              <w:rPr>
                <w:rFonts w:ascii="Verdana" w:eastAsia="Arial MT" w:hAnsi="Verdana" w:cs="Arial"/>
                <w:lang w:val="es-ES" w:eastAsia="es-ES" w:bidi="es-ES"/>
              </w:rPr>
            </w:pPr>
          </w:p>
        </w:tc>
      </w:tr>
    </w:tbl>
    <w:p w14:paraId="679B5EEA" w14:textId="77777777" w:rsidR="000050D8" w:rsidRPr="00206556" w:rsidRDefault="000050D8" w:rsidP="000050D8">
      <w:pPr>
        <w:widowControl w:val="0"/>
        <w:autoSpaceDE w:val="0"/>
        <w:autoSpaceDN w:val="0"/>
        <w:spacing w:after="0" w:line="276" w:lineRule="auto"/>
        <w:jc w:val="both"/>
        <w:rPr>
          <w:rFonts w:ascii="Verdana" w:hAnsi="Verdana" w:cs="Arial"/>
          <w:color w:val="E97132" w:themeColor="accent2"/>
          <w:lang w:val="es-ES"/>
        </w:rPr>
      </w:pPr>
    </w:p>
    <w:p w14:paraId="4E952168" w14:textId="77777777" w:rsidR="000050D8" w:rsidRDefault="000050D8" w:rsidP="000050D8">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4A2F69EC" w14:textId="77777777" w:rsidR="000050D8" w:rsidRPr="00670CFB" w:rsidRDefault="000050D8" w:rsidP="000050D8">
      <w:pPr>
        <w:tabs>
          <w:tab w:val="left" w:pos="142"/>
          <w:tab w:val="left" w:pos="284"/>
        </w:tabs>
        <w:spacing w:after="0" w:line="276" w:lineRule="auto"/>
        <w:jc w:val="both"/>
        <w:rPr>
          <w:rFonts w:ascii="Verdana" w:eastAsia="Century Gothic" w:hAnsi="Verdana" w:cs="Century Gothic"/>
          <w:b/>
          <w:lang w:val="es-ES"/>
        </w:rPr>
      </w:pPr>
    </w:p>
    <w:p w14:paraId="17FF6618" w14:textId="77777777" w:rsidR="000050D8" w:rsidRPr="00206556" w:rsidRDefault="000050D8" w:rsidP="000050D8">
      <w:pPr>
        <w:spacing w:after="0" w:line="276" w:lineRule="auto"/>
        <w:jc w:val="both"/>
        <w:rPr>
          <w:rFonts w:ascii="Verdana" w:hAnsi="Verdana"/>
          <w:color w:val="E97132"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 xml:space="preserve">sobre el alcance del Decreto 0287 de 2026 en </w:t>
      </w:r>
      <w:r>
        <w:rPr>
          <w:rFonts w:ascii="Verdana" w:hAnsi="Verdana" w:cs="Arial"/>
          <w:shd w:val="clear" w:color="auto" w:fill="FFFFFF"/>
          <w:lang w:val="es-ES"/>
        </w:rPr>
        <w:t>el concepto C-473 del 7 de mayo de 2026 y C-572 del 19 de mayo de 2026</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e</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1" w:history="1">
        <w:r w:rsidRPr="00206556">
          <w:rPr>
            <w:rStyle w:val="Hipervnculo"/>
            <w:rFonts w:ascii="Verdana" w:hAnsi="Verdana" w:cs="Arial"/>
            <w:shd w:val="clear" w:color="auto" w:fill="FFFFFF"/>
            <w:lang w:val="es-ES"/>
          </w:rPr>
          <w:t>https://relatoria.colombiacompra.gov.co/busqueda/conceptos</w:t>
        </w:r>
      </w:hyperlink>
    </w:p>
    <w:p w14:paraId="3BFC54A6" w14:textId="77777777" w:rsidR="000050D8" w:rsidRPr="00206556" w:rsidRDefault="000050D8" w:rsidP="000050D8">
      <w:pPr>
        <w:spacing w:after="0" w:line="276" w:lineRule="auto"/>
        <w:jc w:val="both"/>
        <w:rPr>
          <w:rFonts w:ascii="Verdana" w:hAnsi="Verdana" w:cs="Arial"/>
          <w:color w:val="E97132" w:themeColor="accent2"/>
          <w:shd w:val="clear" w:color="auto" w:fill="FFFFFF"/>
          <w:lang w:val="es-ES"/>
        </w:rPr>
      </w:pPr>
    </w:p>
    <w:p w14:paraId="5A484B68" w14:textId="77777777" w:rsidR="000050D8" w:rsidRPr="00BE121F" w:rsidRDefault="000050D8" w:rsidP="000050D8">
      <w:pPr>
        <w:widowControl w:val="0"/>
        <w:autoSpaceDE w:val="0"/>
        <w:autoSpaceDN w:val="0"/>
        <w:spacing w:after="120" w:line="276" w:lineRule="auto"/>
        <w:jc w:val="both"/>
        <w:rPr>
          <w:rFonts w:ascii="Verdana" w:hAnsi="Verdana"/>
        </w:rPr>
      </w:pPr>
      <w:r w:rsidRPr="00BE121F">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BE121F">
        <w:rPr>
          <w:rFonts w:ascii="Verdana" w:hAnsi="Verdana"/>
          <w:b/>
          <w:bCs/>
        </w:rPr>
        <w:t>Guía para la Exigencia y Constitución de Garantías en los Procesos de Contratación</w:t>
      </w:r>
      <w:r w:rsidRPr="00BE121F">
        <w:rPr>
          <w:rFonts w:ascii="Verdana" w:hAnsi="Verdana"/>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w:t>
      </w:r>
      <w:r w:rsidRPr="00BE121F">
        <w:rPr>
          <w:rFonts w:ascii="Verdana" w:hAnsi="Verdana"/>
        </w:rPr>
        <w:lastRenderedPageBreak/>
        <w:t>aquí: </w:t>
      </w:r>
      <w:hyperlink r:id="rId12" w:tooltip="Dirección URL original: https://www.colombiacompra.gov.co/archivos/manual/guia-de-garantias-en-procesos-de-contratacion. Haga clic o pulse si confía en este vínculo." w:history="1">
        <w:r w:rsidRPr="00BE121F">
          <w:rPr>
            <w:rStyle w:val="Hipervnculo"/>
            <w:rFonts w:ascii="Verdana" w:hAnsi="Verdana"/>
          </w:rPr>
          <w:t>https://www.colombiacompra.gov.co/archivos/manual/guia-de-garantias-en-procesos-de-contratacion</w:t>
        </w:r>
      </w:hyperlink>
    </w:p>
    <w:p w14:paraId="2281AC3A" w14:textId="77777777" w:rsidR="000050D8" w:rsidRPr="00BE121F" w:rsidRDefault="000050D8" w:rsidP="000050D8">
      <w:pPr>
        <w:widowControl w:val="0"/>
        <w:autoSpaceDE w:val="0"/>
        <w:autoSpaceDN w:val="0"/>
        <w:spacing w:after="120" w:line="276" w:lineRule="auto"/>
        <w:jc w:val="both"/>
        <w:rPr>
          <w:rFonts w:ascii="Verdana" w:hAnsi="Verdana"/>
        </w:rPr>
      </w:pPr>
      <w:r w:rsidRPr="00BE121F">
        <w:rPr>
          <w:rFonts w:ascii="Verdana" w:hAnsi="Verdana"/>
        </w:rPr>
        <w:t>De otro lado, te contamos que el Decreto 287 del 19 de marzo de 2026 sustituyó los artículos 2.2.1.2.4.2.6., 2.2.1.2.4.2.7. y 2.2.1.2.4.2.8. del Decreto 1082 de 2015 y estructuró el </w:t>
      </w:r>
      <w:r w:rsidRPr="00BE121F">
        <w:rPr>
          <w:rFonts w:ascii="Verdana" w:hAnsi="Verdana"/>
          <w:b/>
          <w:bCs/>
        </w:rPr>
        <w:t>Sistema Integral de Preferencias en favor de las personas con discapacidad</w:t>
      </w:r>
      <w:r w:rsidRPr="00BE121F">
        <w:rPr>
          <w:rFonts w:ascii="Verdana" w:hAnsi="Verdana"/>
        </w:rPr>
        <w:t>, en cumplimiento del artículo 13 de la Ley Estatutaria 1618 de 2013. Para orientar su aplicación, esta Agencia expidió la </w:t>
      </w:r>
      <w:r w:rsidRPr="00BE121F">
        <w:rPr>
          <w:rFonts w:ascii="Verdana" w:hAnsi="Verdana"/>
          <w:b/>
          <w:bCs/>
        </w:rPr>
        <w:t>Circular Externa 003 del 12 de mayo de 2026, </w:t>
      </w:r>
      <w:r w:rsidRPr="00BE121F">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3" w:tooltip="Dirección URL original: https://www.colombiacompra.gov.co/archivos/circular/circular-externa-003-de-2026. Haga clic o pulse si confía en este vínculo." w:history="1">
        <w:r w:rsidRPr="00BE121F">
          <w:rPr>
            <w:rStyle w:val="Hipervnculo"/>
            <w:rFonts w:ascii="Verdana" w:hAnsi="Verdana"/>
          </w:rPr>
          <w:t>https://www.colombiacompra.gov.co/archivos/circular/circular-externa-003-de-2026</w:t>
        </w:r>
      </w:hyperlink>
    </w:p>
    <w:p w14:paraId="63B8DF92" w14:textId="77777777" w:rsidR="000050D8" w:rsidRPr="00BE121F" w:rsidRDefault="000050D8" w:rsidP="000050D8">
      <w:pPr>
        <w:widowControl w:val="0"/>
        <w:autoSpaceDE w:val="0"/>
        <w:autoSpaceDN w:val="0"/>
        <w:spacing w:after="120" w:line="276" w:lineRule="auto"/>
        <w:jc w:val="both"/>
        <w:rPr>
          <w:rFonts w:ascii="Verdana" w:hAnsi="Verdana"/>
        </w:rPr>
      </w:pPr>
      <w:r w:rsidRPr="00BE121F">
        <w:rPr>
          <w:rFonts w:ascii="Verdana" w:hAnsi="Verdana"/>
        </w:rPr>
        <w:t>Recuerda también que la</w:t>
      </w:r>
      <w:r w:rsidRPr="00BE121F">
        <w:rPr>
          <w:rFonts w:ascii="Verdana" w:hAnsi="Verdana"/>
          <w:b/>
          <w:bCs/>
        </w:rPr>
        <w:t> información sobre sanciones e inhabilidades </w:t>
      </w:r>
      <w:r w:rsidRPr="00BE121F">
        <w:rPr>
          <w:rFonts w:ascii="Verdana" w:hAnsi="Verdana"/>
        </w:rPr>
        <w:t>solo cumple su función preventiva si llega oportunamente a los registros públicos. Sobre este deber, esta Agencia expidió la </w:t>
      </w:r>
      <w:r w:rsidRPr="00BE121F">
        <w:rPr>
          <w:rFonts w:ascii="Verdana" w:hAnsi="Verdana"/>
          <w:b/>
          <w:bCs/>
        </w:rPr>
        <w:t>Circular Externa 002 del 5 de mayo de 2026,</w:t>
      </w:r>
      <w:r w:rsidRPr="00BE121F">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ooltip="Dirección URL original: https://www.colombiacompra.gov.co/archivos/circular/circular-externa-002-de-2026. Haga clic o pulse si confía en este vínculo." w:history="1">
        <w:r w:rsidRPr="00BE121F">
          <w:rPr>
            <w:rStyle w:val="Hipervnculo"/>
            <w:rFonts w:ascii="Verdana" w:hAnsi="Verdana"/>
          </w:rPr>
          <w:t>https://www.colombiacompra.gov.co/archivos/circular/circular-externa-002-de-2026</w:t>
        </w:r>
      </w:hyperlink>
    </w:p>
    <w:p w14:paraId="4665CE36" w14:textId="77777777" w:rsidR="000050D8" w:rsidRPr="00BE121F" w:rsidRDefault="000050D8" w:rsidP="000050D8">
      <w:pPr>
        <w:widowControl w:val="0"/>
        <w:autoSpaceDE w:val="0"/>
        <w:autoSpaceDN w:val="0"/>
        <w:spacing w:after="120" w:line="276" w:lineRule="auto"/>
        <w:jc w:val="both"/>
        <w:rPr>
          <w:rFonts w:ascii="Verdana" w:hAnsi="Verdana"/>
        </w:rPr>
      </w:pPr>
      <w:r w:rsidRPr="00BE121F">
        <w:rPr>
          <w:rFonts w:ascii="Verdana" w:hAnsi="Verdana"/>
        </w:rPr>
        <w:t>Finalmente, si quieres seguir de cerca la actividad de la Agencia, la tercera edición de 2026 del</w:t>
      </w:r>
      <w:r w:rsidRPr="00BE121F">
        <w:rPr>
          <w:rFonts w:ascii="Verdana" w:hAnsi="Verdana"/>
          <w:b/>
          <w:bCs/>
        </w:rPr>
        <w:t> Radar de la Compra Pública</w:t>
      </w:r>
      <w:r w:rsidRPr="00BE121F">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5" w:tooltip="Dirección URL original: https://www.colombiacompra.gov.co/archivos/boletin/boletin-edicion-n-3-de-2026-radar-de-la-compra-publica. Haga clic o pulse si confía en este vínculo." w:history="1">
        <w:r w:rsidRPr="00BE121F">
          <w:rPr>
            <w:rStyle w:val="Hipervnculo"/>
            <w:rFonts w:ascii="Verdana" w:hAnsi="Verdana"/>
          </w:rPr>
          <w:t>https://www.colombiacompra.gov.co/archivos/boletin/boletin-edicion-n-3-de-2026-radar-de-la-compra-publica</w:t>
        </w:r>
      </w:hyperlink>
    </w:p>
    <w:p w14:paraId="4AA4D637" w14:textId="77777777" w:rsidR="000050D8" w:rsidRDefault="000050D8" w:rsidP="000050D8">
      <w:pPr>
        <w:spacing w:after="0" w:line="276" w:lineRule="auto"/>
        <w:jc w:val="both"/>
        <w:rPr>
          <w:rFonts w:ascii="Verdana" w:hAnsi="Verdana" w:cs="Arial"/>
          <w:color w:val="E97132" w:themeColor="accent2"/>
          <w:shd w:val="clear" w:color="auto" w:fill="FFFFFF"/>
        </w:rPr>
      </w:pPr>
    </w:p>
    <w:p w14:paraId="30BAEBB3" w14:textId="77777777" w:rsidR="000050D8" w:rsidRPr="00237766" w:rsidRDefault="000050D8" w:rsidP="000050D8">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w:t>
      </w:r>
      <w:r w:rsidRPr="008E4F36">
        <w:rPr>
          <w:rFonts w:ascii="Verdana" w:hAnsi="Verdana"/>
        </w:rPr>
        <w:lastRenderedPageBreak/>
        <w:t xml:space="preserve">atender las peticiones o solicitudes, así como para brindar el apoyo que se requiera en el marco de nuestras funciones a través de nuestros diferentes canales de atención: </w:t>
      </w:r>
    </w:p>
    <w:p w14:paraId="0DF10533" w14:textId="77777777" w:rsidR="000050D8" w:rsidRPr="008E4F36" w:rsidRDefault="000050D8" w:rsidP="000050D8">
      <w:pPr>
        <w:pStyle w:val="Prrafodelista"/>
        <w:numPr>
          <w:ilvl w:val="0"/>
          <w:numId w:val="1"/>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726140D4" w14:textId="77777777" w:rsidR="000050D8" w:rsidRPr="008E4F36" w:rsidRDefault="000050D8" w:rsidP="000050D8">
      <w:pPr>
        <w:pStyle w:val="Prrafodelista"/>
        <w:numPr>
          <w:ilvl w:val="0"/>
          <w:numId w:val="1"/>
        </w:numPr>
        <w:spacing w:after="0" w:line="276" w:lineRule="auto"/>
        <w:contextualSpacing w:val="0"/>
        <w:jc w:val="both"/>
        <w:rPr>
          <w:rFonts w:ascii="Verdana" w:hAnsi="Verdana"/>
        </w:rPr>
      </w:pPr>
      <w:r w:rsidRPr="008E4F36">
        <w:rPr>
          <w:rFonts w:ascii="Verdana" w:hAnsi="Verdana"/>
        </w:rPr>
        <w:t>Línea en Bogotá (Mesa de servicio): +57 601 7456788</w:t>
      </w:r>
    </w:p>
    <w:p w14:paraId="1800F3EA" w14:textId="77777777" w:rsidR="000050D8" w:rsidRPr="008E4F36" w:rsidRDefault="000050D8" w:rsidP="000050D8">
      <w:pPr>
        <w:pStyle w:val="Prrafodelista"/>
        <w:numPr>
          <w:ilvl w:val="0"/>
          <w:numId w:val="1"/>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779A04E3" w14:textId="77777777" w:rsidR="000050D8" w:rsidRPr="008E4F36" w:rsidRDefault="000050D8" w:rsidP="000050D8">
      <w:pPr>
        <w:pStyle w:val="Prrafodelista"/>
        <w:numPr>
          <w:ilvl w:val="0"/>
          <w:numId w:val="1"/>
        </w:numPr>
        <w:spacing w:after="0" w:line="276" w:lineRule="auto"/>
        <w:contextualSpacing w:val="0"/>
        <w:jc w:val="both"/>
        <w:rPr>
          <w:rFonts w:ascii="Verdana" w:hAnsi="Verdana"/>
        </w:rPr>
      </w:pPr>
      <w:r w:rsidRPr="008E4F36">
        <w:rPr>
          <w:rFonts w:ascii="Verdana" w:hAnsi="Verdana"/>
        </w:rPr>
        <w:t xml:space="preserve">Página web: </w:t>
      </w:r>
      <w:hyperlink r:id="rId16" w:history="1">
        <w:r w:rsidRPr="008E4F36">
          <w:rPr>
            <w:rStyle w:val="Hipervnculo"/>
            <w:rFonts w:ascii="Verdana" w:hAnsi="Verdana"/>
          </w:rPr>
          <w:t>www.colombiacompra.gov.co</w:t>
        </w:r>
      </w:hyperlink>
    </w:p>
    <w:p w14:paraId="6ABA7119" w14:textId="77777777" w:rsidR="000050D8" w:rsidRPr="00206556" w:rsidRDefault="000050D8" w:rsidP="000050D8">
      <w:pPr>
        <w:spacing w:after="0" w:line="276" w:lineRule="auto"/>
        <w:jc w:val="both"/>
        <w:rPr>
          <w:rFonts w:ascii="Verdana" w:hAnsi="Verdana" w:cs="Arial"/>
          <w:color w:val="E97132" w:themeColor="accent2"/>
          <w:shd w:val="clear" w:color="auto" w:fill="FFFFFF"/>
        </w:rPr>
      </w:pPr>
    </w:p>
    <w:p w14:paraId="0D91B702" w14:textId="77777777" w:rsidR="000050D8" w:rsidRPr="00206556" w:rsidRDefault="000050D8" w:rsidP="000050D8">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2A2682EC" w14:textId="77777777" w:rsidR="000050D8" w:rsidRPr="00206556" w:rsidRDefault="000050D8" w:rsidP="000050D8">
      <w:pPr>
        <w:spacing w:after="0"/>
        <w:jc w:val="both"/>
        <w:rPr>
          <w:rFonts w:ascii="Verdana" w:hAnsi="Verdana" w:cs="Arial"/>
          <w:shd w:val="clear" w:color="auto" w:fill="FFFFFF"/>
        </w:rPr>
      </w:pPr>
    </w:p>
    <w:p w14:paraId="22795E3E" w14:textId="77777777" w:rsidR="000050D8" w:rsidRPr="00206556" w:rsidRDefault="000050D8" w:rsidP="000050D8">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25214771" w14:textId="77777777" w:rsidR="000050D8" w:rsidRPr="00206556" w:rsidRDefault="000050D8" w:rsidP="000050D8">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08BE8881" w14:textId="77777777" w:rsidR="000050D8" w:rsidRPr="00206556" w:rsidRDefault="000050D8" w:rsidP="000050D8">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10877729" w14:textId="77777777" w:rsidR="000050D8" w:rsidRPr="00206556" w:rsidRDefault="000050D8" w:rsidP="000050D8">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37F31F82" w14:textId="77777777" w:rsidR="000050D8" w:rsidRPr="00206556" w:rsidRDefault="000050D8" w:rsidP="000050D8">
      <w:pPr>
        <w:widowControl w:val="0"/>
        <w:autoSpaceDE w:val="0"/>
        <w:autoSpaceDN w:val="0"/>
        <w:spacing w:after="0" w:line="276" w:lineRule="auto"/>
        <w:jc w:val="both"/>
        <w:rPr>
          <w:rFonts w:ascii="Verdana" w:hAnsi="Verdana" w:cs="Arial"/>
          <w:color w:val="E97132" w:themeColor="accent2"/>
          <w:lang w:val="es-ES"/>
        </w:rPr>
      </w:pPr>
    </w:p>
    <w:p w14:paraId="050CA03D" w14:textId="77777777" w:rsidR="000050D8" w:rsidRPr="00206556" w:rsidRDefault="000050D8" w:rsidP="000050D8">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06BE7C0" w14:textId="77777777" w:rsidR="000050D8" w:rsidRPr="00206556" w:rsidRDefault="000050D8" w:rsidP="000050D8">
      <w:pPr>
        <w:widowControl w:val="0"/>
        <w:autoSpaceDE w:val="0"/>
        <w:autoSpaceDN w:val="0"/>
        <w:spacing w:after="0" w:line="276" w:lineRule="auto"/>
        <w:jc w:val="both"/>
        <w:rPr>
          <w:rFonts w:ascii="Verdana" w:hAnsi="Verdana" w:cs="Arial"/>
          <w:lang w:val="es-ES"/>
        </w:rPr>
      </w:pPr>
    </w:p>
    <w:p w14:paraId="56A6954D" w14:textId="77777777" w:rsidR="000050D8" w:rsidRPr="00206556" w:rsidRDefault="000050D8" w:rsidP="000050D8">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4FBAA208" w14:textId="77777777" w:rsidR="000050D8" w:rsidRPr="00206556" w:rsidRDefault="000050D8" w:rsidP="000050D8">
      <w:pPr>
        <w:autoSpaceDE w:val="0"/>
        <w:autoSpaceDN w:val="0"/>
        <w:adjustRightInd w:val="0"/>
        <w:spacing w:after="0" w:line="276" w:lineRule="auto"/>
        <w:rPr>
          <w:rFonts w:ascii="Verdana" w:eastAsia="Calibri" w:hAnsi="Verdana" w:cs="Arial"/>
          <w:noProof/>
          <w:sz w:val="20"/>
          <w:szCs w:val="20"/>
        </w:rPr>
      </w:pPr>
    </w:p>
    <w:p w14:paraId="0D1C911F" w14:textId="534460DE" w:rsidR="008D6A83" w:rsidRPr="008D6A83" w:rsidRDefault="008D6A83" w:rsidP="008D6A83">
      <w:pPr>
        <w:spacing w:after="0" w:line="256" w:lineRule="auto"/>
        <w:jc w:val="center"/>
        <w:rPr>
          <w:rFonts w:ascii="Verdana" w:eastAsia="Times New Roman" w:hAnsi="Verdana" w:cs="Arial"/>
          <w:lang w:eastAsia="es-ES"/>
        </w:rPr>
      </w:pPr>
      <w:r w:rsidRPr="008D6A83">
        <w:rPr>
          <w:rFonts w:ascii="Verdana" w:eastAsia="Times New Roman" w:hAnsi="Verdana" w:cs="Arial"/>
          <w:lang w:eastAsia="es-ES"/>
        </w:rPr>
        <w:drawing>
          <wp:inline distT="0" distB="0" distL="0" distR="0" wp14:anchorId="05905514" wp14:editId="00F79023">
            <wp:extent cx="3056283" cy="1137102"/>
            <wp:effectExtent l="0" t="0" r="0" b="6350"/>
            <wp:docPr id="7270377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72247" cy="1143041"/>
                    </a:xfrm>
                    <a:prstGeom prst="rect">
                      <a:avLst/>
                    </a:prstGeom>
                    <a:noFill/>
                    <a:ln>
                      <a:noFill/>
                    </a:ln>
                  </pic:spPr>
                </pic:pic>
              </a:graphicData>
            </a:graphic>
          </wp:inline>
        </w:drawing>
      </w:r>
    </w:p>
    <w:p w14:paraId="45E6FECC" w14:textId="2F9E2DEC" w:rsidR="000050D8" w:rsidRPr="0086702D" w:rsidRDefault="000050D8" w:rsidP="000050D8">
      <w:pPr>
        <w:spacing w:after="0" w:line="256"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0050D8" w:rsidRPr="00206556" w14:paraId="051AB27C" w14:textId="77777777" w:rsidTr="006D05D8">
        <w:trPr>
          <w:trHeight w:val="322"/>
        </w:trPr>
        <w:tc>
          <w:tcPr>
            <w:tcW w:w="733" w:type="dxa"/>
            <w:tcBorders>
              <w:top w:val="nil"/>
              <w:left w:val="nil"/>
              <w:bottom w:val="nil"/>
              <w:right w:val="nil"/>
            </w:tcBorders>
            <w:vAlign w:val="center"/>
            <w:hideMark/>
          </w:tcPr>
          <w:p w14:paraId="5E12866B" w14:textId="77777777" w:rsidR="000050D8" w:rsidRPr="00206556" w:rsidRDefault="000050D8" w:rsidP="006D05D8">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7BB9715" w14:textId="77777777" w:rsidR="000050D8" w:rsidRPr="00206556" w:rsidRDefault="000050D8" w:rsidP="006D05D8">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Natalia Montoya Jiménez</w:t>
            </w:r>
          </w:p>
          <w:p w14:paraId="429FBCCC" w14:textId="77777777" w:rsidR="000050D8" w:rsidRPr="00A5703A" w:rsidRDefault="000050D8" w:rsidP="006D05D8">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w:t>
            </w:r>
            <w:r>
              <w:rPr>
                <w:rFonts w:ascii="Verdana" w:eastAsia="Times New Roman" w:hAnsi="Verdana" w:cs="Arial"/>
                <w:sz w:val="16"/>
                <w:szCs w:val="16"/>
                <w:lang w:eastAsia="es-ES"/>
              </w:rPr>
              <w:t>5</w:t>
            </w:r>
            <w:r w:rsidRPr="00206556">
              <w:rPr>
                <w:rFonts w:ascii="Verdana" w:eastAsia="Times New Roman" w:hAnsi="Verdana" w:cs="Arial"/>
                <w:sz w:val="16"/>
                <w:szCs w:val="16"/>
                <w:lang w:eastAsia="es-ES"/>
              </w:rPr>
              <w:t xml:space="preserve"> de la Subdirección de Gestión Contractual</w:t>
            </w:r>
          </w:p>
        </w:tc>
      </w:tr>
      <w:tr w:rsidR="000050D8" w:rsidRPr="00206556" w14:paraId="6729D725" w14:textId="77777777" w:rsidTr="006D05D8">
        <w:trPr>
          <w:trHeight w:val="322"/>
        </w:trPr>
        <w:tc>
          <w:tcPr>
            <w:tcW w:w="733" w:type="dxa"/>
            <w:tcBorders>
              <w:top w:val="nil"/>
              <w:left w:val="nil"/>
              <w:bottom w:val="nil"/>
              <w:right w:val="nil"/>
            </w:tcBorders>
            <w:vAlign w:val="center"/>
            <w:hideMark/>
          </w:tcPr>
          <w:p w14:paraId="6C3DE063" w14:textId="77777777" w:rsidR="000050D8" w:rsidRPr="00206556" w:rsidRDefault="000050D8" w:rsidP="006D05D8">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CD62FA7" w14:textId="77777777" w:rsidR="000050D8" w:rsidRPr="00206556" w:rsidRDefault="000050D8" w:rsidP="006D05D8">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Lucia Saavedra Castañeda</w:t>
            </w:r>
          </w:p>
          <w:p w14:paraId="5FEECC8B" w14:textId="77777777" w:rsidR="000050D8" w:rsidRPr="00A5703A" w:rsidRDefault="000050D8" w:rsidP="006D05D8">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0050D8" w:rsidRPr="00206556" w14:paraId="1D0AF516" w14:textId="77777777" w:rsidTr="006D05D8">
        <w:trPr>
          <w:trHeight w:val="307"/>
        </w:trPr>
        <w:tc>
          <w:tcPr>
            <w:tcW w:w="733" w:type="dxa"/>
            <w:tcBorders>
              <w:top w:val="nil"/>
              <w:left w:val="nil"/>
              <w:bottom w:val="nil"/>
              <w:right w:val="nil"/>
            </w:tcBorders>
            <w:vAlign w:val="center"/>
            <w:hideMark/>
          </w:tcPr>
          <w:p w14:paraId="4B2FA0CD" w14:textId="77777777" w:rsidR="000050D8" w:rsidRPr="00206556" w:rsidRDefault="000050D8" w:rsidP="006D05D8">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D38A3B2" w14:textId="77777777" w:rsidR="000050D8" w:rsidRPr="00206556" w:rsidRDefault="000050D8" w:rsidP="006D05D8">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00ECF1F5" w14:textId="77777777" w:rsidR="000050D8" w:rsidRPr="00206556" w:rsidRDefault="000050D8" w:rsidP="006D05D8">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4060B64E" w14:textId="77777777" w:rsidR="002D6822" w:rsidRDefault="002D6822"/>
    <w:sectPr w:rsidR="002D6822" w:rsidSect="000050D8">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7B061" w14:textId="77777777" w:rsidR="00B92EC7" w:rsidRDefault="00B92EC7" w:rsidP="000050D8">
      <w:pPr>
        <w:spacing w:after="0" w:line="240" w:lineRule="auto"/>
      </w:pPr>
      <w:r>
        <w:separator/>
      </w:r>
    </w:p>
  </w:endnote>
  <w:endnote w:type="continuationSeparator" w:id="0">
    <w:p w14:paraId="59B11832" w14:textId="77777777" w:rsidR="00B92EC7" w:rsidRDefault="00B92EC7" w:rsidP="00005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1C706" w14:textId="77777777" w:rsidR="000050D8" w:rsidRDefault="000050D8">
    <w:pPr>
      <w:pStyle w:val="Piedepgina"/>
    </w:pPr>
  </w:p>
  <w:p w14:paraId="222CF48B" w14:textId="77777777" w:rsidR="000050D8" w:rsidRPr="00174B77" w:rsidRDefault="000050D8"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1AE374A" w14:textId="77777777" w:rsidR="000050D8" w:rsidRDefault="000050D8"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38BCD9B" w14:textId="77777777" w:rsidR="000050D8" w:rsidRPr="00E41027" w:rsidRDefault="000050D8"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255B5DDF" w14:textId="77777777" w:rsidR="000050D8" w:rsidRDefault="000050D8"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20B27" w14:textId="77777777" w:rsidR="00B92EC7" w:rsidRDefault="00B92EC7" w:rsidP="000050D8">
      <w:pPr>
        <w:spacing w:after="0" w:line="240" w:lineRule="auto"/>
      </w:pPr>
      <w:r>
        <w:separator/>
      </w:r>
    </w:p>
  </w:footnote>
  <w:footnote w:type="continuationSeparator" w:id="0">
    <w:p w14:paraId="18314A2E" w14:textId="77777777" w:rsidR="00B92EC7" w:rsidRDefault="00B92EC7" w:rsidP="000050D8">
      <w:pPr>
        <w:spacing w:after="0" w:line="240" w:lineRule="auto"/>
      </w:pPr>
      <w:r>
        <w:continuationSeparator/>
      </w:r>
    </w:p>
  </w:footnote>
  <w:footnote w:id="1">
    <w:p w14:paraId="19615BC8" w14:textId="77777777" w:rsidR="000050D8" w:rsidRPr="00206556" w:rsidRDefault="000050D8" w:rsidP="000050D8">
      <w:pPr>
        <w:spacing w:after="0" w:line="240" w:lineRule="auto"/>
        <w:ind w:firstLine="709"/>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470AD069" w14:textId="77777777" w:rsidR="000050D8" w:rsidRPr="00206556" w:rsidRDefault="000050D8" w:rsidP="000050D8">
      <w:pPr>
        <w:spacing w:after="0" w:line="240" w:lineRule="auto"/>
        <w:ind w:firstLine="709"/>
        <w:jc w:val="both"/>
        <w:rPr>
          <w:rFonts w:ascii="Verdana" w:hAnsi="Verdana"/>
          <w:sz w:val="16"/>
          <w:szCs w:val="16"/>
        </w:rPr>
      </w:pPr>
    </w:p>
  </w:footnote>
  <w:footnote w:id="2">
    <w:p w14:paraId="04EA344C" w14:textId="77777777" w:rsidR="000050D8" w:rsidRPr="00206556" w:rsidRDefault="000050D8" w:rsidP="000050D8">
      <w:pPr>
        <w:pStyle w:val="Textonotapie"/>
        <w:ind w:firstLine="709"/>
        <w:jc w:val="both"/>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footnote>
  <w:footnote w:id="3">
    <w:p w14:paraId="27E50D85" w14:textId="77777777" w:rsidR="000050D8" w:rsidRPr="00206556" w:rsidRDefault="000050D8" w:rsidP="000050D8">
      <w:pPr>
        <w:spacing w:after="0" w:line="240" w:lineRule="auto"/>
        <w:ind w:firstLine="709"/>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footnote>
  <w:footnote w:id="4">
    <w:p w14:paraId="19446CDA" w14:textId="77777777" w:rsidR="000050D8" w:rsidRPr="00206556" w:rsidRDefault="000050D8" w:rsidP="000050D8">
      <w:pPr>
        <w:pStyle w:val="Textonotapie"/>
        <w:ind w:firstLine="709"/>
        <w:jc w:val="both"/>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footnote>
  <w:footnote w:id="5">
    <w:p w14:paraId="7110B03F" w14:textId="77777777" w:rsidR="000050D8" w:rsidRPr="00206556" w:rsidRDefault="000050D8" w:rsidP="000050D8">
      <w:pPr>
        <w:pStyle w:val="Textonotapie"/>
        <w:ind w:firstLine="709"/>
        <w:jc w:val="both"/>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footnote>
  <w:footnote w:id="6">
    <w:p w14:paraId="284664EA" w14:textId="77777777" w:rsidR="000050D8" w:rsidRPr="00206556" w:rsidRDefault="000050D8" w:rsidP="000050D8">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footnote>
  <w:footnote w:id="7">
    <w:p w14:paraId="2F9A1A95" w14:textId="77777777" w:rsidR="000050D8" w:rsidRPr="00206556" w:rsidRDefault="000050D8" w:rsidP="000050D8">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footnote>
  <w:footnote w:id="8">
    <w:p w14:paraId="45FA9B19" w14:textId="77777777" w:rsidR="000050D8" w:rsidRPr="00206556" w:rsidRDefault="000050D8" w:rsidP="000050D8">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D5BB4" w14:textId="77777777" w:rsidR="000050D8" w:rsidRDefault="000050D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2350C27" wp14:editId="181FF270">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CA463FE" wp14:editId="699CCEA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413BE44" w14:textId="77777777" w:rsidR="000050D8" w:rsidRDefault="000050D8">
    <w:pPr>
      <w:pStyle w:val="Encabezado"/>
    </w:pPr>
  </w:p>
  <w:p w14:paraId="24770130" w14:textId="77777777" w:rsidR="000050D8" w:rsidRPr="004A305D" w:rsidRDefault="000050D8" w:rsidP="00B01B1A">
    <w:pPr>
      <w:spacing w:after="0" w:line="120" w:lineRule="auto"/>
      <w:rPr>
        <w:rFonts w:ascii="Century Gothic" w:eastAsia="Geo" w:hAnsi="Century Gothic" w:cs="Geo"/>
        <w:sz w:val="16"/>
        <w:szCs w:val="16"/>
        <w:lang w:eastAsia="es-CO"/>
      </w:rPr>
    </w:pPr>
  </w:p>
  <w:p w14:paraId="047547B0" w14:textId="77777777" w:rsidR="000050D8" w:rsidRDefault="000050D8" w:rsidP="00844AE9">
    <w:pPr>
      <w:spacing w:after="0" w:line="240" w:lineRule="auto"/>
      <w:rPr>
        <w:rFonts w:ascii="Verdana" w:hAnsi="Verdana"/>
        <w:sz w:val="24"/>
        <w:szCs w:val="24"/>
      </w:rPr>
    </w:pPr>
  </w:p>
  <w:p w14:paraId="224BD5B9" w14:textId="77777777" w:rsidR="000050D8" w:rsidRPr="00C925AC" w:rsidRDefault="000050D8" w:rsidP="00844AE9">
    <w:pPr>
      <w:spacing w:after="0" w:line="240" w:lineRule="auto"/>
      <w:rPr>
        <w:rFonts w:ascii="Verdana" w:hAnsi="Verdana"/>
        <w:sz w:val="24"/>
        <w:szCs w:val="24"/>
      </w:rPr>
    </w:pPr>
  </w:p>
  <w:p w14:paraId="5252E92E" w14:textId="77777777" w:rsidR="000050D8" w:rsidRPr="00C925AC" w:rsidRDefault="000050D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1"/>
  </w:num>
  <w:num w:numId="2" w16cid:durableId="1245649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0D8"/>
    <w:rsid w:val="000050D8"/>
    <w:rsid w:val="002D6822"/>
    <w:rsid w:val="00421271"/>
    <w:rsid w:val="007A436C"/>
    <w:rsid w:val="008D6A83"/>
    <w:rsid w:val="008F6B31"/>
    <w:rsid w:val="009B4EF6"/>
    <w:rsid w:val="00AC748F"/>
    <w:rsid w:val="00B92EC7"/>
    <w:rsid w:val="00BF7782"/>
    <w:rsid w:val="00F72F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FBEC3"/>
  <w15:chartTrackingRefBased/>
  <w15:docId w15:val="{492A56C1-FA5E-4CBA-A59B-EB316B7EE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0D8"/>
    <w:pPr>
      <w:spacing w:line="259" w:lineRule="auto"/>
    </w:pPr>
    <w:rPr>
      <w:kern w:val="0"/>
      <w:sz w:val="22"/>
      <w:szCs w:val="22"/>
      <w14:ligatures w14:val="none"/>
    </w:rPr>
  </w:style>
  <w:style w:type="paragraph" w:styleId="Ttulo1">
    <w:name w:val="heading 1"/>
    <w:basedOn w:val="Normal"/>
    <w:next w:val="Normal"/>
    <w:link w:val="Ttulo1Car"/>
    <w:uiPriority w:val="9"/>
    <w:qFormat/>
    <w:rsid w:val="000050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050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050D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050D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050D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050D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050D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050D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050D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50D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050D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50D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50D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50D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50D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50D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50D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50D8"/>
    <w:rPr>
      <w:rFonts w:eastAsiaTheme="majorEastAsia" w:cstheme="majorBidi"/>
      <w:color w:val="272727" w:themeColor="text1" w:themeTint="D8"/>
    </w:rPr>
  </w:style>
  <w:style w:type="paragraph" w:styleId="Ttulo">
    <w:name w:val="Title"/>
    <w:basedOn w:val="Normal"/>
    <w:next w:val="Normal"/>
    <w:link w:val="TtuloCar"/>
    <w:uiPriority w:val="10"/>
    <w:qFormat/>
    <w:rsid w:val="000050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50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50D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50D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50D8"/>
    <w:pPr>
      <w:spacing w:before="160"/>
      <w:jc w:val="center"/>
    </w:pPr>
    <w:rPr>
      <w:i/>
      <w:iCs/>
      <w:color w:val="404040" w:themeColor="text1" w:themeTint="BF"/>
    </w:rPr>
  </w:style>
  <w:style w:type="character" w:customStyle="1" w:styleId="CitaCar">
    <w:name w:val="Cita Car"/>
    <w:basedOn w:val="Fuentedeprrafopredeter"/>
    <w:link w:val="Cita"/>
    <w:uiPriority w:val="29"/>
    <w:rsid w:val="000050D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0050D8"/>
    <w:pPr>
      <w:ind w:left="720"/>
      <w:contextualSpacing/>
    </w:pPr>
  </w:style>
  <w:style w:type="character" w:styleId="nfasisintenso">
    <w:name w:val="Intense Emphasis"/>
    <w:basedOn w:val="Fuentedeprrafopredeter"/>
    <w:uiPriority w:val="21"/>
    <w:qFormat/>
    <w:rsid w:val="000050D8"/>
    <w:rPr>
      <w:i/>
      <w:iCs/>
      <w:color w:val="0F4761" w:themeColor="accent1" w:themeShade="BF"/>
    </w:rPr>
  </w:style>
  <w:style w:type="paragraph" w:styleId="Citadestacada">
    <w:name w:val="Intense Quote"/>
    <w:basedOn w:val="Normal"/>
    <w:next w:val="Normal"/>
    <w:link w:val="CitadestacadaCar"/>
    <w:uiPriority w:val="30"/>
    <w:qFormat/>
    <w:rsid w:val="000050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050D8"/>
    <w:rPr>
      <w:i/>
      <w:iCs/>
      <w:color w:val="0F4761" w:themeColor="accent1" w:themeShade="BF"/>
    </w:rPr>
  </w:style>
  <w:style w:type="character" w:styleId="Referenciaintensa">
    <w:name w:val="Intense Reference"/>
    <w:basedOn w:val="Fuentedeprrafopredeter"/>
    <w:uiPriority w:val="32"/>
    <w:qFormat/>
    <w:rsid w:val="000050D8"/>
    <w:rPr>
      <w:b/>
      <w:bCs/>
      <w:smallCaps/>
      <w:color w:val="0F4761" w:themeColor="accent1" w:themeShade="BF"/>
      <w:spacing w:val="5"/>
    </w:rPr>
  </w:style>
  <w:style w:type="paragraph" w:styleId="Encabezado">
    <w:name w:val="header"/>
    <w:basedOn w:val="Normal"/>
    <w:link w:val="EncabezadoCar"/>
    <w:uiPriority w:val="99"/>
    <w:unhideWhenUsed/>
    <w:rsid w:val="000050D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050D8"/>
    <w:rPr>
      <w:kern w:val="0"/>
      <w:sz w:val="22"/>
      <w:szCs w:val="22"/>
      <w14:ligatures w14:val="none"/>
    </w:rPr>
  </w:style>
  <w:style w:type="paragraph" w:styleId="Piedepgina">
    <w:name w:val="footer"/>
    <w:basedOn w:val="Normal"/>
    <w:link w:val="PiedepginaCar"/>
    <w:uiPriority w:val="99"/>
    <w:unhideWhenUsed/>
    <w:rsid w:val="000050D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050D8"/>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050D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050D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050D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050D8"/>
    <w:rPr>
      <w:vertAlign w:val="superscript"/>
    </w:rPr>
  </w:style>
  <w:style w:type="table" w:styleId="Tablaconcuadrcula">
    <w:name w:val="Table Grid"/>
    <w:basedOn w:val="Tablanormal"/>
    <w:uiPriority w:val="39"/>
    <w:qFormat/>
    <w:rsid w:val="000050D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50D8"/>
    <w:rPr>
      <w:color w:val="0000FF"/>
      <w:u w:val="single"/>
    </w:rPr>
  </w:style>
  <w:style w:type="paragraph" w:customStyle="1" w:styleId="Appelnotedebasde">
    <w:name w:val="Appel note de bas de..."/>
    <w:basedOn w:val="Normal"/>
    <w:link w:val="Refdenotaalpie"/>
    <w:uiPriority w:val="99"/>
    <w:rsid w:val="000050D8"/>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050D8"/>
  </w:style>
  <w:style w:type="character" w:styleId="Mencinsinresolver">
    <w:name w:val="Unresolved Mention"/>
    <w:basedOn w:val="Fuentedeprrafopredeter"/>
    <w:uiPriority w:val="99"/>
    <w:semiHidden/>
    <w:unhideWhenUsed/>
    <w:rsid w:val="00AC7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ealesr@gmail.com" TargetMode="External"/><Relationship Id="rId13"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3" Type="http://schemas.openxmlformats.org/officeDocument/2006/relationships/customXml" Target="../customXml/item2.xml"/><Relationship Id="rId10" Type="http://schemas.openxmlformats.org/officeDocument/2006/relationships/hyperlink" Target="https://www.youtube.com/live/vpxD3PlXqPI?si=49f8ghb7Iiit6Ja9"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olombiacompra.gov.co/archivos/infografia/abc-del-decreto-0287-de-2026-contratacion-publica-inclusiva-para-personas-con-discapacidad" TargetMode="External"/><Relationship Id="rId14"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22"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686B5A-62F4-43BB-B7A2-B1ED4E19F451}"/>
</file>

<file path=customXml/itemProps2.xml><?xml version="1.0" encoding="utf-8"?>
<ds:datastoreItem xmlns:ds="http://schemas.openxmlformats.org/officeDocument/2006/customXml" ds:itemID="{D4929929-8F18-4DC2-9BA9-8843D43C1FB5}"/>
</file>

<file path=customXml/itemProps3.xml><?xml version="1.0" encoding="utf-8"?>
<ds:datastoreItem xmlns:ds="http://schemas.openxmlformats.org/officeDocument/2006/customXml" ds:itemID="{2983B81A-3A7C-4917-BA25-3A1AFCD907CA}"/>
</file>

<file path=docProps/app.xml><?xml version="1.0" encoding="utf-8"?>
<Properties xmlns="http://schemas.openxmlformats.org/officeDocument/2006/extended-properties" xmlns:vt="http://schemas.openxmlformats.org/officeDocument/2006/docPropsVTypes">
  <Template>Normal</Template>
  <TotalTime>3</TotalTime>
  <Pages>22</Pages>
  <Words>7965</Words>
  <Characters>43809</Characters>
  <Application>Microsoft Office Word</Application>
  <DocSecurity>0</DocSecurity>
  <Lines>365</Lines>
  <Paragraphs>103</Paragraphs>
  <ScaleCrop>false</ScaleCrop>
  <Company/>
  <LinksUpToDate>false</LinksUpToDate>
  <CharactersWithSpaces>51671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4</cp:revision>
  <dcterms:created xsi:type="dcterms:W3CDTF">2026-09-18T19:26:00Z</dcterms:created>
  <dcterms:modified xsi:type="dcterms:W3CDTF">2026-09-22T19:14:00Z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