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2B767" w14:textId="77777777" w:rsidR="00711B75" w:rsidRDefault="00711B75" w:rsidP="00711B75">
      <w:pPr>
        <w:spacing w:after="0" w:line="240" w:lineRule="auto"/>
        <w:jc w:val="both"/>
        <w:rPr>
          <w:rFonts w:ascii="Verdana" w:eastAsia="Calibri" w:hAnsi="Verdana" w:cs="Arial"/>
          <w:b/>
          <w:bCs/>
          <w:lang w:eastAsia="es-ES"/>
        </w:rPr>
      </w:pPr>
      <w:r>
        <w:rPr>
          <w:rFonts w:ascii="Verdana" w:eastAsia="Calibri" w:hAnsi="Verdana" w:cs="Arial"/>
          <w:b/>
          <w:bCs/>
          <w:lang w:eastAsia="es-ES"/>
        </w:rPr>
        <w:t xml:space="preserve">ESAL - </w:t>
      </w:r>
      <w:r w:rsidRPr="00D4104E">
        <w:rPr>
          <w:rFonts w:ascii="Verdana" w:eastAsia="Calibri" w:hAnsi="Verdana" w:cs="Arial"/>
          <w:b/>
          <w:bCs/>
          <w:lang w:eastAsia="es-ES"/>
        </w:rPr>
        <w:t>Entidad</w:t>
      </w:r>
      <w:r>
        <w:rPr>
          <w:rFonts w:ascii="Verdana" w:eastAsia="Calibri" w:hAnsi="Verdana" w:cs="Arial"/>
          <w:b/>
          <w:bCs/>
          <w:lang w:eastAsia="es-ES"/>
        </w:rPr>
        <w:t xml:space="preserve">es </w:t>
      </w:r>
      <w:r w:rsidRPr="00D4104E">
        <w:rPr>
          <w:rFonts w:ascii="Verdana" w:eastAsia="Calibri" w:hAnsi="Verdana" w:cs="Arial"/>
          <w:b/>
          <w:bCs/>
          <w:lang w:eastAsia="es-ES"/>
        </w:rPr>
        <w:t>Sin Ánimo de Lucro</w:t>
      </w:r>
      <w:r>
        <w:rPr>
          <w:rFonts w:ascii="Verdana" w:eastAsia="Calibri" w:hAnsi="Verdana" w:cs="Arial"/>
          <w:b/>
          <w:bCs/>
          <w:lang w:eastAsia="es-ES"/>
        </w:rPr>
        <w:t xml:space="preserve"> </w:t>
      </w:r>
      <w:r w:rsidRPr="00FC10D3">
        <w:rPr>
          <w:rFonts w:ascii="Verdana" w:eastAsia="Calibri" w:hAnsi="Verdana" w:cs="Arial"/>
          <w:b/>
          <w:bCs/>
          <w:lang w:eastAsia="es-ES"/>
        </w:rPr>
        <w:t>– MiPymes – Naturaleza Jurídica</w:t>
      </w:r>
    </w:p>
    <w:p w14:paraId="0E52C5D5" w14:textId="77777777" w:rsidR="00711B75" w:rsidRPr="00CC0DCB" w:rsidRDefault="00711B75" w:rsidP="00711B75">
      <w:pPr>
        <w:spacing w:after="0"/>
        <w:rPr>
          <w:rFonts w:ascii="Verdana" w:hAnsi="Verdana" w:cs="Arial"/>
          <w:b/>
          <w:color w:val="7030A0"/>
          <w:lang w:eastAsia="es-ES"/>
        </w:rPr>
      </w:pPr>
    </w:p>
    <w:p w14:paraId="187C46EF" w14:textId="77777777" w:rsidR="00711B75" w:rsidRPr="00372C25" w:rsidRDefault="00711B75" w:rsidP="00711B75">
      <w:pPr>
        <w:spacing w:after="0" w:line="240" w:lineRule="auto"/>
        <w:jc w:val="both"/>
        <w:rPr>
          <w:rFonts w:ascii="Verdana" w:hAnsi="Verdana" w:cs="Arial"/>
          <w:sz w:val="20"/>
          <w:lang w:val="es-ES_tradnl" w:eastAsia="es-ES"/>
        </w:rPr>
      </w:pPr>
      <w:r w:rsidRPr="00372C25">
        <w:rPr>
          <w:rFonts w:ascii="Verdana" w:hAnsi="Verdana" w:cs="Arial"/>
          <w:sz w:val="20"/>
          <w:szCs w:val="20"/>
          <w:lang w:val="es-ES" w:eastAsia="es-ES"/>
        </w:rPr>
        <w:t xml:space="preserve">[…] </w:t>
      </w:r>
      <w:r w:rsidRPr="00372C25">
        <w:rPr>
          <w:rFonts w:ascii="Verdana" w:hAnsi="Verdana" w:cs="Arial"/>
          <w:sz w:val="20"/>
          <w:lang w:val="es-ES_tradnl" w:eastAsia="es-ES"/>
        </w:rPr>
        <w:t>en primer lugar, es importante indicar que, en Colombia, la empresa se forma a través de un contrato de sociedad por medio del cual dos o más personas se obligan a hacer un aporte en dinero, en trabajo o en otros bienes apreciables en dinero con el fin de repartirse entre sí las utilidades obtenidas en la empresa, según el artículo 98 del Código de Comercio. En ese sentido, serán sociedades comerciales aquellas que ejecuten actos o empresas mercantiles, en los términos señalados en el artículo 100.</w:t>
      </w:r>
    </w:p>
    <w:p w14:paraId="72BA0E65" w14:textId="77777777" w:rsidR="00711B75" w:rsidRPr="00372C25" w:rsidRDefault="00711B75" w:rsidP="00711B75">
      <w:pPr>
        <w:spacing w:after="0" w:line="240" w:lineRule="auto"/>
        <w:jc w:val="both"/>
        <w:rPr>
          <w:rFonts w:ascii="Verdana" w:hAnsi="Verdana" w:cs="Arial"/>
          <w:sz w:val="20"/>
          <w:lang w:val="es-ES_tradnl" w:eastAsia="es-ES"/>
        </w:rPr>
      </w:pPr>
    </w:p>
    <w:p w14:paraId="66C73525" w14:textId="77777777" w:rsidR="00711B75" w:rsidRPr="00372C25" w:rsidRDefault="00711B75" w:rsidP="00711B75">
      <w:pPr>
        <w:spacing w:after="0" w:line="240" w:lineRule="auto"/>
        <w:jc w:val="both"/>
        <w:rPr>
          <w:rFonts w:ascii="Verdana" w:hAnsi="Verdana" w:cs="Arial"/>
          <w:sz w:val="20"/>
          <w:lang w:val="es-ES_tradnl" w:eastAsia="es-ES"/>
        </w:rPr>
      </w:pPr>
      <w:r w:rsidRPr="00372C25">
        <w:rPr>
          <w:rFonts w:ascii="Verdana" w:hAnsi="Verdana" w:cs="Arial"/>
          <w:sz w:val="20"/>
          <w:lang w:val="es-ES_tradnl" w:eastAsia="es-ES"/>
        </w:rPr>
        <w:t>El libro segundo del Código de Comercio no incluye a las ESAL - como las corporaciones, asociaciones o fundaciones – en la enumeración de las sociedades comerciales. A juicio de esta Agencia, la razón de la exclusión radica en que las ESAL no tienen fines comerciales, es decir, carecen de ánimo de lucro, y por eso no forman un tipo o clase de sociedad comercial.</w:t>
      </w:r>
      <w:r w:rsidRPr="00372C25">
        <w:rPr>
          <w:rFonts w:ascii="Verdana" w:hAnsi="Verdana" w:cs="Arial"/>
          <w:sz w:val="20"/>
          <w:szCs w:val="20"/>
          <w:lang w:val="es-ES_tradnl" w:eastAsia="es-ES"/>
        </w:rPr>
        <w:t xml:space="preserve"> </w:t>
      </w:r>
      <w:r w:rsidRPr="00372C25">
        <w:rPr>
          <w:rFonts w:ascii="Verdana" w:hAnsi="Verdana" w:cs="Arial"/>
          <w:sz w:val="20"/>
          <w:szCs w:val="20"/>
          <w:lang w:val="es-ES" w:eastAsia="es-ES"/>
        </w:rPr>
        <w:t>[…]</w:t>
      </w:r>
    </w:p>
    <w:p w14:paraId="034EC169" w14:textId="77777777" w:rsidR="00711B75" w:rsidRPr="001F541F" w:rsidRDefault="00711B75" w:rsidP="00711B75">
      <w:pPr>
        <w:spacing w:after="0"/>
        <w:rPr>
          <w:rFonts w:ascii="Verdana" w:hAnsi="Verdana" w:cs="Arial"/>
          <w:b/>
          <w:color w:val="7030A0"/>
          <w:lang w:val="es-ES_tradnl" w:eastAsia="es-ES"/>
        </w:rPr>
      </w:pPr>
    </w:p>
    <w:p w14:paraId="7F5E7B02" w14:textId="77777777" w:rsidR="00711B75" w:rsidRPr="001B6546" w:rsidRDefault="00711B75" w:rsidP="00711B75">
      <w:pPr>
        <w:spacing w:after="0" w:line="240" w:lineRule="auto"/>
        <w:jc w:val="both"/>
        <w:rPr>
          <w:rFonts w:ascii="Verdana" w:eastAsia="Calibri" w:hAnsi="Verdana" w:cs="Arial"/>
          <w:lang w:val="es-ES" w:eastAsia="es-ES"/>
        </w:rPr>
      </w:pPr>
      <w:r w:rsidRPr="001B6546">
        <w:rPr>
          <w:rFonts w:ascii="Verdana" w:eastAsia="Calibri" w:hAnsi="Verdana" w:cs="Arial"/>
          <w:b/>
          <w:bCs/>
          <w:lang w:eastAsia="es-ES"/>
        </w:rPr>
        <w:t>CONVOCATORIAS LIMITADAS A MIPYMES </w:t>
      </w:r>
      <w:r w:rsidRPr="001B6546">
        <w:rPr>
          <w:rFonts w:ascii="Verdana" w:eastAsia="Calibri" w:hAnsi="Verdana" w:cs="Arial"/>
          <w:b/>
          <w:bCs/>
          <w:lang w:val="es-ES" w:eastAsia="es-ES"/>
        </w:rPr>
        <w:t>–</w:t>
      </w:r>
      <w:r w:rsidRPr="001B6546">
        <w:rPr>
          <w:rFonts w:ascii="Verdana" w:eastAsia="Calibri" w:hAnsi="Verdana" w:cs="Arial"/>
          <w:b/>
          <w:bCs/>
          <w:lang w:eastAsia="es-ES"/>
        </w:rPr>
        <w:t> MiPymes – Entidades Sin Ánimo de Lucro </w:t>
      </w:r>
      <w:r w:rsidRPr="001B6546">
        <w:rPr>
          <w:rFonts w:ascii="Verdana" w:eastAsia="Calibri" w:hAnsi="Verdana" w:cs="Arial"/>
          <w:lang w:val="es-ES" w:eastAsia="es-ES"/>
        </w:rPr>
        <w:t> </w:t>
      </w:r>
    </w:p>
    <w:p w14:paraId="66A1FFD3" w14:textId="77777777" w:rsidR="00711B75" w:rsidRPr="001B6546" w:rsidRDefault="00711B75" w:rsidP="00711B75">
      <w:pPr>
        <w:spacing w:after="0"/>
        <w:rPr>
          <w:rFonts w:ascii="Verdana" w:hAnsi="Verdana" w:cs="Arial"/>
          <w:b/>
          <w:lang w:eastAsia="es-ES"/>
        </w:rPr>
      </w:pPr>
    </w:p>
    <w:p w14:paraId="6FE03B69" w14:textId="77777777" w:rsidR="00711B75" w:rsidRPr="001B6546" w:rsidRDefault="00711B75" w:rsidP="00711B75">
      <w:pPr>
        <w:spacing w:after="0" w:line="240" w:lineRule="auto"/>
        <w:jc w:val="both"/>
        <w:rPr>
          <w:rFonts w:ascii="Verdana" w:hAnsi="Verdana" w:cs="Arial"/>
          <w:sz w:val="20"/>
          <w:szCs w:val="20"/>
          <w:lang w:val="es-ES" w:eastAsia="es-ES"/>
        </w:rPr>
      </w:pPr>
      <w:r w:rsidRPr="001B6546">
        <w:rPr>
          <w:rFonts w:ascii="Verdana" w:hAnsi="Verdana" w:cs="Arial"/>
          <w:sz w:val="20"/>
          <w:szCs w:val="20"/>
          <w:lang w:val="es-ES" w:eastAsia="es-ES"/>
        </w:rPr>
        <w:t xml:space="preserve">[…] En ese contexto, esta Agencia ha sostenido de forma la tesis consistente en que las ESAL no pueden, por regla general, acceder a los beneficios a favor de las Mipymes ni participar en los procesos contractuales limitados a estas considerando que: “en virtud del artículo 43 de la Ley 1450 de 2011, que modificó el artículo 2 de la Ley 590 de 2000, […]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MiPymes. Lo anterior teniendo en cuenta que no responden al concepto de empresa que involucra dicha categoría con ánimo de lucro, por lo que no resulta jurídicamente válido aplicar a las ESAL las normas dirigidas a las Mipymes”. </w:t>
      </w:r>
    </w:p>
    <w:p w14:paraId="08540B5B" w14:textId="77777777" w:rsidR="00711B75" w:rsidRPr="001B6546" w:rsidRDefault="00711B75" w:rsidP="00711B75">
      <w:pPr>
        <w:spacing w:after="0" w:line="240" w:lineRule="auto"/>
        <w:jc w:val="both"/>
        <w:rPr>
          <w:rFonts w:ascii="Verdana" w:hAnsi="Verdana" w:cs="Arial"/>
          <w:sz w:val="20"/>
          <w:szCs w:val="20"/>
          <w:lang w:val="es-ES" w:eastAsia="es-ES"/>
        </w:rPr>
      </w:pPr>
    </w:p>
    <w:p w14:paraId="1B445E3B" w14:textId="77777777" w:rsidR="00711B75" w:rsidRDefault="00711B75" w:rsidP="00711B75">
      <w:pPr>
        <w:spacing w:after="0" w:line="240" w:lineRule="auto"/>
        <w:jc w:val="both"/>
        <w:rPr>
          <w:rFonts w:ascii="Verdana" w:hAnsi="Verdana" w:cs="Arial"/>
          <w:sz w:val="20"/>
          <w:szCs w:val="20"/>
          <w:lang w:val="es-ES" w:eastAsia="es-ES"/>
        </w:rPr>
      </w:pPr>
      <w:r w:rsidRPr="001B6546">
        <w:rPr>
          <w:rFonts w:ascii="Verdana" w:hAnsi="Verdana" w:cs="Arial"/>
          <w:sz w:val="20"/>
          <w:szCs w:val="20"/>
          <w:lang w:val="es-ES" w:eastAsia="es-ES"/>
        </w:rPr>
        <w:t>De acuerdo a esta postura, y en virtud de lo señalado en el artículo 43 de la Ley 1450 de 2011, que modificó el artículo 2 de la Ley 590 de 2000, solo podrán ser consideradas Mipymes las empresas, pues son unidades de explotación económica que buscan el reparto de utilidades entre los miembros de la empresa, sin perjuicio de las precisiones que se realizarán más adelante en relación con el artículo 23 de la Ley 2069 de 2020 […]</w:t>
      </w:r>
    </w:p>
    <w:p w14:paraId="28DFAB71" w14:textId="77777777" w:rsidR="00711B75" w:rsidRDefault="00711B75" w:rsidP="00711B75">
      <w:pPr>
        <w:spacing w:after="0" w:line="240" w:lineRule="auto"/>
        <w:jc w:val="both"/>
        <w:rPr>
          <w:rFonts w:ascii="Verdana" w:hAnsi="Verdana" w:cs="Arial"/>
          <w:sz w:val="20"/>
          <w:szCs w:val="20"/>
          <w:lang w:val="es-ES" w:eastAsia="es-ES"/>
        </w:rPr>
      </w:pPr>
    </w:p>
    <w:p w14:paraId="27C0D5C2" w14:textId="77777777" w:rsidR="00711B75" w:rsidRDefault="00711B75" w:rsidP="00711B75">
      <w:pPr>
        <w:jc w:val="both"/>
        <w:rPr>
          <w:rFonts w:ascii="Verdana" w:hAnsi="Verdana"/>
          <w:b/>
          <w:bCs/>
        </w:rPr>
      </w:pPr>
      <w:r>
        <w:rPr>
          <w:rFonts w:ascii="Verdana" w:hAnsi="Verdana"/>
          <w:b/>
          <w:bCs/>
        </w:rPr>
        <w:t>ENTIDADES</w:t>
      </w:r>
      <w:r>
        <w:rPr>
          <w:rFonts w:ascii="Verdana" w:hAnsi="Verdana"/>
          <w:b/>
          <w:bCs/>
          <w:spacing w:val="14"/>
        </w:rPr>
        <w:t xml:space="preserve"> </w:t>
      </w:r>
      <w:r>
        <w:rPr>
          <w:rFonts w:ascii="Verdana" w:hAnsi="Verdana"/>
          <w:b/>
          <w:bCs/>
        </w:rPr>
        <w:t>DE ECONOMÍA SOLIDARIA</w:t>
      </w:r>
      <w:r>
        <w:rPr>
          <w:rFonts w:ascii="Verdana" w:hAnsi="Verdana"/>
          <w:b/>
          <w:bCs/>
        </w:rPr>
        <w:tab/>
        <w:t>–Asimilación a Mipymes – Cooperativas</w:t>
      </w:r>
      <w:r>
        <w:rPr>
          <w:rFonts w:ascii="Verdana" w:hAnsi="Verdana"/>
          <w:b/>
          <w:bCs/>
          <w:spacing w:val="-10"/>
        </w:rPr>
        <w:t xml:space="preserve"> </w:t>
      </w:r>
      <w:r>
        <w:rPr>
          <w:rFonts w:ascii="Verdana" w:hAnsi="Verdana"/>
          <w:b/>
          <w:bCs/>
        </w:rPr>
        <w:t>–</w:t>
      </w:r>
      <w:r>
        <w:rPr>
          <w:rFonts w:ascii="Verdana" w:hAnsi="Verdana"/>
          <w:b/>
          <w:bCs/>
          <w:spacing w:val="-11"/>
        </w:rPr>
        <w:t xml:space="preserve"> </w:t>
      </w:r>
      <w:r>
        <w:rPr>
          <w:rFonts w:ascii="Verdana" w:hAnsi="Verdana"/>
          <w:b/>
          <w:bCs/>
        </w:rPr>
        <w:t>Asociaciones</w:t>
      </w:r>
      <w:r>
        <w:rPr>
          <w:rFonts w:ascii="Verdana" w:hAnsi="Verdana"/>
          <w:b/>
          <w:bCs/>
          <w:spacing w:val="-8"/>
        </w:rPr>
        <w:t xml:space="preserve"> </w:t>
      </w:r>
      <w:r>
        <w:rPr>
          <w:rFonts w:ascii="Verdana" w:hAnsi="Verdana"/>
          <w:b/>
          <w:bCs/>
        </w:rPr>
        <w:t>mutualistas</w:t>
      </w:r>
      <w:r>
        <w:rPr>
          <w:rFonts w:ascii="Verdana" w:hAnsi="Verdana"/>
          <w:b/>
          <w:bCs/>
          <w:spacing w:val="-10"/>
        </w:rPr>
        <w:t xml:space="preserve"> </w:t>
      </w:r>
      <w:r>
        <w:rPr>
          <w:rFonts w:ascii="Verdana" w:hAnsi="Verdana"/>
          <w:b/>
          <w:bCs/>
        </w:rPr>
        <w:t>–</w:t>
      </w:r>
      <w:r>
        <w:rPr>
          <w:rFonts w:ascii="Verdana" w:hAnsi="Verdana"/>
          <w:b/>
          <w:bCs/>
          <w:spacing w:val="-11"/>
        </w:rPr>
        <w:t xml:space="preserve"> </w:t>
      </w:r>
      <w:r>
        <w:rPr>
          <w:rFonts w:ascii="Verdana" w:hAnsi="Verdana"/>
          <w:b/>
          <w:bCs/>
        </w:rPr>
        <w:t>Demás</w:t>
      </w:r>
      <w:r>
        <w:rPr>
          <w:rFonts w:ascii="Verdana" w:hAnsi="Verdana"/>
          <w:b/>
          <w:bCs/>
          <w:spacing w:val="-11"/>
        </w:rPr>
        <w:t xml:space="preserve"> </w:t>
      </w:r>
      <w:r>
        <w:rPr>
          <w:rFonts w:ascii="Verdana" w:hAnsi="Verdana"/>
          <w:b/>
          <w:bCs/>
        </w:rPr>
        <w:t>entidades</w:t>
      </w:r>
      <w:r>
        <w:rPr>
          <w:rFonts w:ascii="Verdana" w:hAnsi="Verdana"/>
          <w:b/>
          <w:bCs/>
          <w:spacing w:val="-9"/>
        </w:rPr>
        <w:t xml:space="preserve"> </w:t>
      </w:r>
      <w:r>
        <w:rPr>
          <w:rFonts w:ascii="Verdana" w:hAnsi="Verdana"/>
          <w:b/>
          <w:bCs/>
        </w:rPr>
        <w:t>de</w:t>
      </w:r>
      <w:r>
        <w:rPr>
          <w:rFonts w:ascii="Verdana" w:hAnsi="Verdana"/>
          <w:b/>
          <w:bCs/>
          <w:spacing w:val="-58"/>
        </w:rPr>
        <w:t xml:space="preserve"> </w:t>
      </w:r>
      <w:r>
        <w:rPr>
          <w:rFonts w:ascii="Verdana" w:hAnsi="Verdana"/>
          <w:b/>
          <w:bCs/>
        </w:rPr>
        <w:t xml:space="preserve">economía solidaria </w:t>
      </w:r>
    </w:p>
    <w:p w14:paraId="2BD546CC" w14:textId="77777777" w:rsidR="00711B75" w:rsidRDefault="00711B75" w:rsidP="00711B75">
      <w:pPr>
        <w:spacing w:after="0" w:line="240" w:lineRule="auto"/>
        <w:jc w:val="both"/>
        <w:rPr>
          <w:rFonts w:ascii="Verdana" w:hAnsi="Verdana" w:cs="Arial"/>
          <w:sz w:val="20"/>
          <w:szCs w:val="20"/>
          <w:lang w:val="es-ES" w:eastAsia="es-ES"/>
        </w:rPr>
      </w:pPr>
      <w:r w:rsidRPr="001579C8">
        <w:rPr>
          <w:rFonts w:ascii="Verdana" w:hAnsi="Verdana" w:cs="Arial"/>
          <w:sz w:val="20"/>
          <w:szCs w:val="20"/>
          <w:lang w:eastAsia="es-ES"/>
        </w:rPr>
        <w:t>[</w:t>
      </w:r>
      <w:r w:rsidRPr="001579C8">
        <w:rPr>
          <w:rFonts w:ascii="Verdana" w:hAnsi="Verdana" w:cs="Arial"/>
          <w:sz w:val="20"/>
          <w:szCs w:val="20"/>
          <w:lang w:val="es-ES" w:eastAsia="es-ES"/>
        </w:rPr>
        <w:t>…]</w:t>
      </w:r>
      <w:r>
        <w:rPr>
          <w:rFonts w:ascii="Verdana" w:hAnsi="Verdana" w:cs="Arial"/>
          <w:sz w:val="20"/>
          <w:szCs w:val="20"/>
          <w:lang w:val="es-ES" w:eastAsia="es-ES"/>
        </w:rPr>
        <w:t xml:space="preserve"> </w:t>
      </w:r>
      <w:r w:rsidRPr="004B0F6C">
        <w:rPr>
          <w:rFonts w:ascii="Verdana" w:hAnsi="Verdana" w:cs="Arial"/>
          <w:sz w:val="20"/>
          <w:szCs w:val="20"/>
          <w:lang w:val="es-ES" w:eastAsia="es-ES"/>
        </w:rPr>
        <w:t xml:space="preserve">Aunque no es posible que las ESAL sean equiparadas a las MiPymes en la normativa del sistema de compras públicas, es necesario aclarar que la Ley determinó un matiz </w:t>
      </w:r>
      <w:r w:rsidRPr="004B0F6C">
        <w:rPr>
          <w:rFonts w:ascii="Verdana" w:hAnsi="Verdana" w:cs="Arial"/>
          <w:sz w:val="20"/>
          <w:szCs w:val="20"/>
          <w:lang w:val="es-ES" w:eastAsia="es-ES"/>
        </w:rPr>
        <w:lastRenderedPageBreak/>
        <w:t>para esta regla. El artículo 23 de la Ley 2069 de 2020 asimila las cooperativas y las demás entidades de economía solidaria -que incluye a las asociaciones mutualistas- a empresas, específicamente a MiPymes, de conformidad con el artículo 2 de la Ley 590 de 2000 y el Decreto 957 de 2019, los cuales desarrollan las categorías de micro, pequeña y mediana en función del tamaño empresarial. El principal efecto de esta norma es que las medidas contempladas en la Ley 2069 de 2020 para promover la participación de la MiPymes sean aplicables a las cooperativas, las asociaciones mutualistas y a las demás entidades de economía solidaria.</w:t>
      </w:r>
      <w:r w:rsidRPr="004B0F6C">
        <w:rPr>
          <w:rFonts w:ascii="Verdana" w:hAnsi="Verdana" w:cs="Arial"/>
          <w:sz w:val="20"/>
          <w:szCs w:val="20"/>
          <w:lang w:eastAsia="es-ES"/>
        </w:rPr>
        <w:t xml:space="preserve"> </w:t>
      </w:r>
      <w:r w:rsidRPr="001579C8">
        <w:rPr>
          <w:rFonts w:ascii="Verdana" w:hAnsi="Verdana" w:cs="Arial"/>
          <w:sz w:val="20"/>
          <w:szCs w:val="20"/>
          <w:lang w:eastAsia="es-ES"/>
        </w:rPr>
        <w:t>[</w:t>
      </w:r>
      <w:r w:rsidRPr="001579C8">
        <w:rPr>
          <w:rFonts w:ascii="Verdana" w:hAnsi="Verdana" w:cs="Arial"/>
          <w:sz w:val="20"/>
          <w:szCs w:val="20"/>
          <w:lang w:val="es-ES" w:eastAsia="es-ES"/>
        </w:rPr>
        <w:t>…]</w:t>
      </w:r>
    </w:p>
    <w:p w14:paraId="3009D95A" w14:textId="77777777" w:rsidR="00711B75" w:rsidRDefault="00711B75" w:rsidP="00711B75">
      <w:pPr>
        <w:spacing w:after="0"/>
        <w:jc w:val="both"/>
        <w:rPr>
          <w:rFonts w:ascii="Verdana" w:hAnsi="Verdana" w:cs="Arial"/>
          <w:sz w:val="20"/>
          <w:szCs w:val="20"/>
          <w:lang w:val="es-ES" w:eastAsia="es-ES"/>
        </w:rPr>
      </w:pPr>
    </w:p>
    <w:p w14:paraId="04E411FD" w14:textId="77777777" w:rsidR="00711B75" w:rsidRDefault="00711B75" w:rsidP="00711B75">
      <w:pPr>
        <w:spacing w:after="0"/>
        <w:rPr>
          <w:rFonts w:ascii="Verdana" w:hAnsi="Verdana"/>
          <w:color w:val="ED7D31" w:themeColor="accent2"/>
        </w:rPr>
      </w:pPr>
      <w:r w:rsidRPr="00492583">
        <w:rPr>
          <w:rFonts w:ascii="Verdana" w:eastAsia="Calibri" w:hAnsi="Verdana" w:cs="Arial"/>
          <w:b/>
          <w:bCs/>
          <w:lang w:eastAsia="es-ES"/>
        </w:rPr>
        <w:t xml:space="preserve">ESAL – MiPymes </w:t>
      </w:r>
      <w:r w:rsidRPr="004D541C">
        <w:rPr>
          <w:rFonts w:ascii="Verdana" w:eastAsia="Calibri" w:hAnsi="Verdana" w:cs="Arial"/>
          <w:b/>
          <w:bCs/>
          <w:lang w:val="es-ES" w:eastAsia="es-ES"/>
        </w:rPr>
        <w:t>–</w:t>
      </w:r>
      <w:r w:rsidRPr="00492583">
        <w:rPr>
          <w:rFonts w:ascii="Verdana" w:eastAsia="Calibri" w:hAnsi="Verdana" w:cs="Arial"/>
          <w:b/>
          <w:bCs/>
          <w:lang w:eastAsia="es-ES"/>
        </w:rPr>
        <w:t xml:space="preserve"> Cooperativas</w:t>
      </w:r>
    </w:p>
    <w:p w14:paraId="3C92C48B" w14:textId="77777777" w:rsidR="00711B75" w:rsidRDefault="00711B75" w:rsidP="00711B75">
      <w:pPr>
        <w:spacing w:after="0"/>
        <w:rPr>
          <w:rFonts w:ascii="Verdana" w:hAnsi="Verdana"/>
          <w:color w:val="ED7D31" w:themeColor="accent2"/>
        </w:rPr>
      </w:pPr>
    </w:p>
    <w:p w14:paraId="658AD3B9" w14:textId="77777777" w:rsidR="00711B75" w:rsidRPr="000D706A" w:rsidRDefault="00711B75" w:rsidP="00711B75">
      <w:pPr>
        <w:spacing w:after="120" w:line="240" w:lineRule="auto"/>
        <w:jc w:val="both"/>
        <w:rPr>
          <w:rFonts w:ascii="Verdana" w:hAnsi="Verdana" w:cs="Arial"/>
          <w:sz w:val="20"/>
          <w:szCs w:val="20"/>
          <w:lang w:val="es-ES" w:eastAsia="es-ES"/>
        </w:rPr>
      </w:pPr>
      <w:r w:rsidRPr="001579C8">
        <w:rPr>
          <w:rFonts w:ascii="Verdana" w:hAnsi="Verdana" w:cs="Arial"/>
          <w:sz w:val="20"/>
          <w:szCs w:val="20"/>
          <w:lang w:eastAsia="es-ES"/>
        </w:rPr>
        <w:t>[</w:t>
      </w:r>
      <w:r w:rsidRPr="001579C8">
        <w:rPr>
          <w:rFonts w:ascii="Verdana" w:hAnsi="Verdana" w:cs="Arial"/>
          <w:sz w:val="20"/>
          <w:szCs w:val="20"/>
          <w:lang w:val="es-ES" w:eastAsia="es-ES"/>
        </w:rPr>
        <w:t>…]</w:t>
      </w:r>
      <w:r>
        <w:rPr>
          <w:rFonts w:ascii="Verdana" w:hAnsi="Verdana" w:cs="Arial"/>
          <w:sz w:val="20"/>
          <w:szCs w:val="20"/>
          <w:lang w:val="es-ES" w:eastAsia="es-ES"/>
        </w:rPr>
        <w:t xml:space="preserve"> </w:t>
      </w:r>
      <w:r w:rsidRPr="000D706A">
        <w:rPr>
          <w:rFonts w:ascii="Verdana" w:hAnsi="Verdana" w:cs="Arial"/>
          <w:sz w:val="20"/>
          <w:szCs w:val="20"/>
          <w:lang w:val="es-ES" w:eastAsia="es-ES"/>
        </w:rPr>
        <w:t>De esta manera, los incentivos referidos en la Ley 2069 de 2020 y la posibilidad de solicitar la limitación de las convocatorias a MiPymes no son extensibles a todas las ESAL, sino únicamente a aquellas que corresponden al concepto de cooperativas y demás entes considerados de economía solidaria, en los términos del artículo 6 de la Ley 454 de 1998 –norma a la que remite el artículo 23 de la Ley de Emprendimiento–. En tal sentido, debe analizarse si la ESAL cumple con las características establecidas en dicho artículo, para considerarla una organización de economía solidaria. Solo las que cumplan estos requisitos podrán ser asimiladas a las MiPymes y acceder a los requisitos diferenciales de la Ley 2069 de 2020, así como participar en las convocatorias limitadas a estas, y les permite incluso manifestar su interés de participar en el proceso de selección en los términos del artículo 2.2.1.2.4.2.2 del Decreto 1082 de 2015</w:t>
      </w:r>
      <w:r>
        <w:rPr>
          <w:rFonts w:ascii="Verdana" w:hAnsi="Verdana" w:cs="Arial"/>
          <w:sz w:val="20"/>
          <w:szCs w:val="20"/>
          <w:lang w:val="es-ES" w:eastAsia="es-ES"/>
        </w:rPr>
        <w:t xml:space="preserve"> </w:t>
      </w:r>
      <w:r w:rsidRPr="001579C8">
        <w:rPr>
          <w:rFonts w:ascii="Verdana" w:hAnsi="Verdana" w:cs="Arial"/>
          <w:sz w:val="20"/>
          <w:szCs w:val="20"/>
          <w:lang w:eastAsia="es-ES"/>
        </w:rPr>
        <w:t>[</w:t>
      </w:r>
      <w:r w:rsidRPr="001579C8">
        <w:rPr>
          <w:rFonts w:ascii="Verdana" w:hAnsi="Verdana" w:cs="Arial"/>
          <w:sz w:val="20"/>
          <w:szCs w:val="20"/>
          <w:lang w:val="es-ES" w:eastAsia="es-ES"/>
        </w:rPr>
        <w:t>…]</w:t>
      </w:r>
    </w:p>
    <w:p w14:paraId="19E94823" w14:textId="77777777" w:rsidR="00711B75" w:rsidRPr="001579C8" w:rsidRDefault="00711B75" w:rsidP="00711B75">
      <w:pPr>
        <w:spacing w:after="0" w:line="240" w:lineRule="auto"/>
        <w:jc w:val="both"/>
        <w:rPr>
          <w:rFonts w:ascii="Verdana" w:eastAsia="Calibri" w:hAnsi="Verdana" w:cs="Arial"/>
          <w:lang w:val="es-ES" w:eastAsia="es-ES"/>
        </w:rPr>
      </w:pPr>
      <w:r w:rsidRPr="001579C8">
        <w:rPr>
          <w:rFonts w:ascii="Verdana" w:eastAsia="Calibri" w:hAnsi="Verdana" w:cs="Arial"/>
          <w:b/>
          <w:bCs/>
          <w:lang w:eastAsia="es-ES"/>
        </w:rPr>
        <w:t>LIMITACIÓN A MIPYMES </w:t>
      </w:r>
      <w:r w:rsidRPr="001579C8">
        <w:rPr>
          <w:rFonts w:ascii="Verdana" w:eastAsia="Calibri" w:hAnsi="Verdana" w:cs="Arial"/>
          <w:b/>
          <w:bCs/>
          <w:lang w:val="es-ES" w:eastAsia="es-ES"/>
        </w:rPr>
        <w:t>–</w:t>
      </w:r>
      <w:r w:rsidRPr="001579C8">
        <w:rPr>
          <w:rFonts w:ascii="Verdana" w:eastAsia="Calibri" w:hAnsi="Verdana" w:cs="Arial"/>
          <w:b/>
          <w:bCs/>
          <w:lang w:eastAsia="es-ES"/>
        </w:rPr>
        <w:t> Requisitos – MiPymes – Entidades Sin Ánimo de Lucro </w:t>
      </w:r>
      <w:r w:rsidRPr="001579C8">
        <w:rPr>
          <w:rFonts w:ascii="Verdana" w:eastAsia="Calibri" w:hAnsi="Verdana" w:cs="Arial"/>
          <w:lang w:val="es-ES" w:eastAsia="es-ES"/>
        </w:rPr>
        <w:t> </w:t>
      </w:r>
    </w:p>
    <w:p w14:paraId="258117B8" w14:textId="77777777" w:rsidR="00711B75" w:rsidRPr="001579C8" w:rsidRDefault="00711B75" w:rsidP="00711B75">
      <w:pPr>
        <w:spacing w:after="0"/>
        <w:rPr>
          <w:rFonts w:ascii="Verdana" w:hAnsi="Verdana" w:cs="Arial"/>
          <w:b/>
          <w:lang w:val="es-ES" w:eastAsia="es-ES"/>
        </w:rPr>
      </w:pPr>
    </w:p>
    <w:p w14:paraId="6477BFBD" w14:textId="77777777" w:rsidR="00711B75" w:rsidRPr="001579C8" w:rsidRDefault="00711B75" w:rsidP="00711B75">
      <w:pPr>
        <w:spacing w:after="0" w:line="240" w:lineRule="auto"/>
        <w:jc w:val="both"/>
        <w:rPr>
          <w:rFonts w:ascii="Verdana" w:hAnsi="Verdana" w:cs="Arial"/>
          <w:sz w:val="20"/>
          <w:szCs w:val="20"/>
          <w:lang w:val="es-ES" w:eastAsia="es-ES"/>
        </w:rPr>
      </w:pPr>
      <w:r w:rsidRPr="001579C8">
        <w:rPr>
          <w:rFonts w:ascii="Verdana" w:hAnsi="Verdana" w:cs="Arial"/>
          <w:sz w:val="20"/>
          <w:szCs w:val="20"/>
          <w:lang w:eastAsia="es-ES"/>
        </w:rPr>
        <w:t>[</w:t>
      </w:r>
      <w:r w:rsidRPr="001579C8">
        <w:rPr>
          <w:rFonts w:ascii="Verdana" w:hAnsi="Verdana" w:cs="Arial"/>
          <w:sz w:val="20"/>
          <w:szCs w:val="20"/>
          <w:lang w:val="es-ES" w:eastAsia="es-ES"/>
        </w:rPr>
        <w:t xml:space="preserve">…] 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w:t>
      </w:r>
    </w:p>
    <w:p w14:paraId="6103A3F4" w14:textId="77777777" w:rsidR="00711B75" w:rsidRPr="001579C8" w:rsidRDefault="00711B75" w:rsidP="00711B75">
      <w:pPr>
        <w:spacing w:after="0" w:line="240" w:lineRule="auto"/>
        <w:jc w:val="both"/>
        <w:rPr>
          <w:rFonts w:ascii="Verdana" w:hAnsi="Verdana" w:cs="Arial"/>
          <w:sz w:val="20"/>
          <w:szCs w:val="20"/>
          <w:lang w:val="es-ES" w:eastAsia="es-ES"/>
        </w:rPr>
      </w:pPr>
    </w:p>
    <w:p w14:paraId="63B5AFDD" w14:textId="77777777" w:rsidR="00711B75" w:rsidRPr="001579C8" w:rsidRDefault="00711B75" w:rsidP="00711B75">
      <w:pPr>
        <w:spacing w:after="0" w:line="240" w:lineRule="auto"/>
        <w:jc w:val="both"/>
        <w:rPr>
          <w:rFonts w:ascii="Verdana" w:hAnsi="Verdana" w:cs="Arial"/>
          <w:sz w:val="20"/>
          <w:szCs w:val="20"/>
          <w:lang w:val="es-ES" w:eastAsia="es-ES"/>
        </w:rPr>
      </w:pPr>
      <w:r w:rsidRPr="001579C8">
        <w:rPr>
          <w:rFonts w:ascii="Verdana" w:hAnsi="Verdana" w:cs="Arial"/>
          <w:sz w:val="20"/>
          <w:szCs w:val="20"/>
          <w:lang w:val="es-ES" w:eastAsia="es-ES"/>
        </w:rPr>
        <w:t xml:space="preserve">Por su parte, el numeral segundo establece dos exigencias: por un lado, que al menos dos (2) MiPymes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Además, la norma señala que, tratándose de personas jurídicas, las solicitudes solo las podrán realizar MiPymes, cuyo objeto social les permita ejecutar el contrato relacionado con el proceso contractual. </w:t>
      </w:r>
    </w:p>
    <w:p w14:paraId="4C28A486" w14:textId="77777777" w:rsidR="00711B75" w:rsidRDefault="00711B75" w:rsidP="00711B75">
      <w:pPr>
        <w:spacing w:after="0" w:line="240" w:lineRule="auto"/>
        <w:jc w:val="both"/>
        <w:rPr>
          <w:rFonts w:ascii="Verdana" w:hAnsi="Verdana" w:cs="Arial"/>
          <w:sz w:val="20"/>
          <w:szCs w:val="20"/>
          <w:lang w:val="es-ES" w:eastAsia="es-ES"/>
        </w:rPr>
      </w:pPr>
    </w:p>
    <w:p w14:paraId="4E3C9074" w14:textId="77777777" w:rsidR="00711B75" w:rsidRPr="001579C8" w:rsidRDefault="00711B75" w:rsidP="00711B75">
      <w:pPr>
        <w:spacing w:after="0" w:line="240" w:lineRule="auto"/>
        <w:jc w:val="both"/>
        <w:rPr>
          <w:rFonts w:ascii="Verdana" w:hAnsi="Verdana" w:cs="Arial"/>
          <w:sz w:val="20"/>
          <w:szCs w:val="20"/>
          <w:lang w:val="es-ES_tradnl" w:eastAsia="es-ES"/>
        </w:rPr>
      </w:pPr>
      <w:r w:rsidRPr="001579C8">
        <w:rPr>
          <w:rFonts w:ascii="Verdana" w:hAnsi="Verdana" w:cs="Arial"/>
          <w:sz w:val="20"/>
          <w:szCs w:val="20"/>
          <w:lang w:val="es-ES" w:eastAsia="es-ES"/>
        </w:rPr>
        <w:t xml:space="preserve">Por lo demás, este artículo incluye a las cooperativas y demás entidades de economía solidaria dentro de los sujetos que pueden solicitar y participar en las convocatorias limitadas a Mipyme, siempre que estas cumplan con las condiciones señaladas en el artículo. Así las cosas, es claro que las entidades independientemente de su régimen de </w:t>
      </w:r>
      <w:r w:rsidRPr="001579C8">
        <w:rPr>
          <w:rFonts w:ascii="Verdana" w:hAnsi="Verdana" w:cs="Arial"/>
          <w:sz w:val="20"/>
          <w:szCs w:val="20"/>
          <w:lang w:val="es-ES" w:eastAsia="es-ES"/>
        </w:rPr>
        <w:lastRenderedPageBreak/>
        <w:t xml:space="preserve">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cuando se cumplan los requisitos previstos en el artículo 2.2.1.2.4.2.2 del Decreto 1082 de 2015 anteriormente señalado. </w:t>
      </w:r>
      <w:r w:rsidRPr="001579C8">
        <w:rPr>
          <w:rFonts w:ascii="Verdana" w:hAnsi="Verdana" w:cs="Arial"/>
          <w:sz w:val="20"/>
          <w:szCs w:val="20"/>
          <w:lang w:eastAsia="es-ES"/>
        </w:rPr>
        <w:t>[</w:t>
      </w:r>
      <w:r w:rsidRPr="001579C8">
        <w:rPr>
          <w:rFonts w:ascii="Verdana" w:hAnsi="Verdana" w:cs="Arial"/>
          <w:sz w:val="20"/>
          <w:szCs w:val="20"/>
          <w:lang w:val="es-ES" w:eastAsia="es-ES"/>
        </w:rPr>
        <w:t>…]</w:t>
      </w:r>
    </w:p>
    <w:p w14:paraId="047EA1F0" w14:textId="77777777" w:rsidR="00711B75" w:rsidRPr="00965212" w:rsidRDefault="00711B75" w:rsidP="00711B75">
      <w:pPr>
        <w:spacing w:after="0" w:line="240" w:lineRule="auto"/>
        <w:contextualSpacing/>
        <w:jc w:val="both"/>
        <w:rPr>
          <w:rFonts w:ascii="Verdana" w:hAnsi="Verdana"/>
          <w:color w:val="ED7D31" w:themeColor="accent2"/>
          <w:lang w:val="es-MX"/>
        </w:rPr>
      </w:pPr>
    </w:p>
    <w:p w14:paraId="091727F7" w14:textId="77777777" w:rsidR="00711B75" w:rsidRPr="00D418CB" w:rsidRDefault="00711B75" w:rsidP="00711B75">
      <w:pPr>
        <w:spacing w:after="0"/>
        <w:rPr>
          <w:rFonts w:ascii="Verdana" w:hAnsi="Verdana"/>
          <w:color w:val="ED7D31" w:themeColor="accent2"/>
          <w:lang w:val="es-ES"/>
        </w:rPr>
      </w:pPr>
    </w:p>
    <w:p w14:paraId="5864F5E9" w14:textId="77777777" w:rsidR="00711B75" w:rsidRPr="00965212" w:rsidRDefault="00711B75" w:rsidP="00711B75">
      <w:pPr>
        <w:spacing w:after="0"/>
        <w:rPr>
          <w:rFonts w:ascii="Verdana" w:hAnsi="Verdana"/>
          <w:color w:val="ED7D31" w:themeColor="accent2"/>
        </w:rPr>
      </w:pPr>
    </w:p>
    <w:p w14:paraId="343ADAEA" w14:textId="77777777" w:rsidR="00711B75" w:rsidRDefault="00711B75" w:rsidP="00711B75">
      <w:pPr>
        <w:spacing w:after="0"/>
        <w:rPr>
          <w:rFonts w:ascii="Verdana" w:hAnsi="Verdana"/>
          <w:color w:val="ED7D31" w:themeColor="accent2"/>
        </w:rPr>
      </w:pPr>
    </w:p>
    <w:p w14:paraId="50ED12BB" w14:textId="77777777" w:rsidR="00711B75" w:rsidRDefault="00711B75" w:rsidP="00711B75">
      <w:pPr>
        <w:spacing w:after="0"/>
        <w:rPr>
          <w:rFonts w:ascii="Verdana" w:hAnsi="Verdana"/>
          <w:color w:val="ED7D31" w:themeColor="accent2"/>
        </w:rPr>
      </w:pPr>
    </w:p>
    <w:p w14:paraId="31F473F7" w14:textId="77777777" w:rsidR="00711B75" w:rsidRDefault="00711B75" w:rsidP="00711B75">
      <w:pPr>
        <w:spacing w:after="0"/>
        <w:rPr>
          <w:rFonts w:ascii="Verdana" w:hAnsi="Verdana"/>
          <w:color w:val="ED7D31" w:themeColor="accent2"/>
        </w:rPr>
      </w:pPr>
    </w:p>
    <w:p w14:paraId="0A119104" w14:textId="77777777" w:rsidR="00711B75" w:rsidRDefault="00711B75" w:rsidP="00711B75">
      <w:pPr>
        <w:spacing w:after="0"/>
        <w:rPr>
          <w:rFonts w:ascii="Verdana" w:hAnsi="Verdana"/>
          <w:color w:val="ED7D31" w:themeColor="accent2"/>
        </w:rPr>
      </w:pPr>
    </w:p>
    <w:p w14:paraId="5EF50877" w14:textId="77777777" w:rsidR="00711B75" w:rsidRDefault="00711B75" w:rsidP="00711B75">
      <w:pPr>
        <w:spacing w:after="0"/>
        <w:rPr>
          <w:rFonts w:ascii="Verdana" w:hAnsi="Verdana"/>
          <w:color w:val="ED7D31" w:themeColor="accent2"/>
        </w:rPr>
      </w:pPr>
    </w:p>
    <w:p w14:paraId="7952980A" w14:textId="77777777" w:rsidR="00711B75" w:rsidRDefault="00711B75" w:rsidP="00711B75">
      <w:pPr>
        <w:spacing w:after="0"/>
        <w:rPr>
          <w:rFonts w:ascii="Verdana" w:hAnsi="Verdana"/>
          <w:color w:val="ED7D31" w:themeColor="accent2"/>
        </w:rPr>
      </w:pPr>
    </w:p>
    <w:p w14:paraId="709FBD87" w14:textId="77777777" w:rsidR="00711B75" w:rsidRDefault="00711B75" w:rsidP="00711B75">
      <w:pPr>
        <w:spacing w:after="0"/>
        <w:rPr>
          <w:rFonts w:ascii="Verdana" w:hAnsi="Verdana"/>
          <w:color w:val="ED7D31" w:themeColor="accent2"/>
        </w:rPr>
      </w:pPr>
    </w:p>
    <w:p w14:paraId="3B36D4A9" w14:textId="77777777" w:rsidR="00711B75" w:rsidRDefault="00711B75" w:rsidP="00711B75">
      <w:pPr>
        <w:spacing w:after="0"/>
        <w:rPr>
          <w:rFonts w:ascii="Verdana" w:hAnsi="Verdana"/>
          <w:color w:val="ED7D31" w:themeColor="accent2"/>
        </w:rPr>
      </w:pPr>
    </w:p>
    <w:p w14:paraId="41893189" w14:textId="77777777" w:rsidR="00711B75" w:rsidRDefault="00711B75" w:rsidP="00711B75">
      <w:pPr>
        <w:spacing w:after="0"/>
        <w:rPr>
          <w:rFonts w:ascii="Verdana" w:hAnsi="Verdana"/>
          <w:color w:val="ED7D31" w:themeColor="accent2"/>
        </w:rPr>
      </w:pPr>
    </w:p>
    <w:p w14:paraId="473E1BF4" w14:textId="77777777" w:rsidR="00711B75" w:rsidRDefault="00711B75" w:rsidP="00711B75">
      <w:pPr>
        <w:spacing w:after="0"/>
        <w:rPr>
          <w:rFonts w:ascii="Verdana" w:hAnsi="Verdana"/>
          <w:color w:val="ED7D31" w:themeColor="accent2"/>
        </w:rPr>
      </w:pPr>
    </w:p>
    <w:p w14:paraId="34C3288C" w14:textId="77777777" w:rsidR="00711B75" w:rsidRDefault="00711B75" w:rsidP="00711B75">
      <w:pPr>
        <w:spacing w:after="0"/>
        <w:rPr>
          <w:rFonts w:ascii="Verdana" w:hAnsi="Verdana"/>
          <w:color w:val="ED7D31" w:themeColor="accent2"/>
        </w:rPr>
      </w:pPr>
    </w:p>
    <w:p w14:paraId="3DF75295" w14:textId="77777777" w:rsidR="00711B75" w:rsidRDefault="00711B75" w:rsidP="00711B75">
      <w:pPr>
        <w:spacing w:after="0"/>
        <w:rPr>
          <w:rFonts w:ascii="Verdana" w:hAnsi="Verdana"/>
          <w:color w:val="ED7D31" w:themeColor="accent2"/>
        </w:rPr>
      </w:pPr>
    </w:p>
    <w:p w14:paraId="54280228" w14:textId="77777777" w:rsidR="00711B75" w:rsidRDefault="00711B75" w:rsidP="00711B75">
      <w:pPr>
        <w:spacing w:after="0"/>
        <w:rPr>
          <w:rFonts w:ascii="Verdana" w:hAnsi="Verdana"/>
          <w:color w:val="ED7D31" w:themeColor="accent2"/>
        </w:rPr>
      </w:pPr>
    </w:p>
    <w:p w14:paraId="1DE7A52E" w14:textId="77777777" w:rsidR="00711B75" w:rsidRDefault="00711B75" w:rsidP="00711B75">
      <w:pPr>
        <w:spacing w:after="0"/>
        <w:rPr>
          <w:rFonts w:ascii="Verdana" w:hAnsi="Verdana"/>
          <w:color w:val="ED7D31" w:themeColor="accent2"/>
        </w:rPr>
      </w:pPr>
    </w:p>
    <w:p w14:paraId="5AB897B9" w14:textId="77777777" w:rsidR="00711B75" w:rsidRDefault="00711B75" w:rsidP="00711B75">
      <w:pPr>
        <w:spacing w:after="0"/>
        <w:rPr>
          <w:rFonts w:ascii="Verdana" w:hAnsi="Verdana"/>
          <w:color w:val="ED7D31" w:themeColor="accent2"/>
        </w:rPr>
      </w:pPr>
    </w:p>
    <w:p w14:paraId="76A16F04" w14:textId="77777777" w:rsidR="00711B75" w:rsidRDefault="00711B75" w:rsidP="00711B75">
      <w:pPr>
        <w:spacing w:after="0"/>
        <w:rPr>
          <w:rFonts w:ascii="Verdana" w:hAnsi="Verdana"/>
          <w:color w:val="ED7D31" w:themeColor="accent2"/>
        </w:rPr>
      </w:pPr>
    </w:p>
    <w:p w14:paraId="2A2CF25A" w14:textId="77777777" w:rsidR="00711B75" w:rsidRDefault="00711B75" w:rsidP="00711B75">
      <w:pPr>
        <w:spacing w:after="0"/>
        <w:rPr>
          <w:rFonts w:ascii="Verdana" w:hAnsi="Verdana"/>
          <w:color w:val="ED7D31" w:themeColor="accent2"/>
        </w:rPr>
      </w:pPr>
    </w:p>
    <w:p w14:paraId="195A30F4" w14:textId="77777777" w:rsidR="00711B75" w:rsidRDefault="00711B75" w:rsidP="00711B75">
      <w:pPr>
        <w:spacing w:after="0"/>
        <w:rPr>
          <w:rFonts w:ascii="Verdana" w:hAnsi="Verdana"/>
          <w:color w:val="ED7D31" w:themeColor="accent2"/>
        </w:rPr>
      </w:pPr>
    </w:p>
    <w:p w14:paraId="3414B458" w14:textId="77777777" w:rsidR="00711B75" w:rsidRDefault="00711B75" w:rsidP="00711B75">
      <w:pPr>
        <w:spacing w:after="0"/>
        <w:rPr>
          <w:rFonts w:ascii="Verdana" w:hAnsi="Verdana"/>
          <w:color w:val="ED7D31" w:themeColor="accent2"/>
        </w:rPr>
      </w:pPr>
    </w:p>
    <w:p w14:paraId="1957542F" w14:textId="77777777" w:rsidR="00711B75" w:rsidRDefault="00711B75" w:rsidP="00711B75">
      <w:pPr>
        <w:spacing w:after="0"/>
        <w:rPr>
          <w:rFonts w:ascii="Verdana" w:hAnsi="Verdana"/>
          <w:color w:val="ED7D31" w:themeColor="accent2"/>
        </w:rPr>
      </w:pPr>
    </w:p>
    <w:p w14:paraId="46455C1A" w14:textId="77777777" w:rsidR="00711B75" w:rsidRDefault="00711B75" w:rsidP="00711B75">
      <w:pPr>
        <w:spacing w:after="0"/>
        <w:rPr>
          <w:rFonts w:ascii="Verdana" w:hAnsi="Verdana"/>
          <w:color w:val="ED7D31" w:themeColor="accent2"/>
        </w:rPr>
      </w:pPr>
    </w:p>
    <w:p w14:paraId="6DEB20CB" w14:textId="77777777" w:rsidR="00711B75" w:rsidRDefault="00711B75" w:rsidP="00711B75">
      <w:pPr>
        <w:spacing w:after="0"/>
        <w:rPr>
          <w:rFonts w:ascii="Verdana" w:hAnsi="Verdana"/>
          <w:color w:val="ED7D31" w:themeColor="accent2"/>
        </w:rPr>
      </w:pPr>
    </w:p>
    <w:p w14:paraId="7055F34B" w14:textId="77777777" w:rsidR="00711B75" w:rsidRDefault="00711B75" w:rsidP="00711B75">
      <w:pPr>
        <w:spacing w:after="0"/>
        <w:rPr>
          <w:rFonts w:ascii="Verdana" w:hAnsi="Verdana"/>
          <w:color w:val="ED7D31" w:themeColor="accent2"/>
        </w:rPr>
      </w:pPr>
    </w:p>
    <w:p w14:paraId="2C6385A6" w14:textId="77777777" w:rsidR="00711B75" w:rsidRDefault="00711B75" w:rsidP="00711B75">
      <w:pPr>
        <w:spacing w:after="0"/>
        <w:rPr>
          <w:rFonts w:ascii="Verdana" w:hAnsi="Verdana"/>
          <w:color w:val="ED7D31" w:themeColor="accent2"/>
        </w:rPr>
      </w:pPr>
    </w:p>
    <w:p w14:paraId="010AFF76" w14:textId="77777777" w:rsidR="00711B75" w:rsidRDefault="00711B75" w:rsidP="00711B75">
      <w:pPr>
        <w:spacing w:after="0"/>
        <w:rPr>
          <w:rFonts w:ascii="Verdana" w:hAnsi="Verdana"/>
          <w:color w:val="ED7D31" w:themeColor="accent2"/>
        </w:rPr>
      </w:pPr>
    </w:p>
    <w:p w14:paraId="1DF6F04A" w14:textId="77777777" w:rsidR="00711B75" w:rsidRDefault="00711B75" w:rsidP="00711B75">
      <w:pPr>
        <w:spacing w:after="0"/>
        <w:rPr>
          <w:rFonts w:ascii="Verdana" w:hAnsi="Verdana"/>
          <w:color w:val="ED7D31" w:themeColor="accent2"/>
        </w:rPr>
      </w:pPr>
    </w:p>
    <w:p w14:paraId="256D16FC" w14:textId="77777777" w:rsidR="00711B75" w:rsidRDefault="00711B75" w:rsidP="00711B75">
      <w:pPr>
        <w:spacing w:after="0"/>
        <w:rPr>
          <w:rFonts w:ascii="Verdana" w:hAnsi="Verdana"/>
          <w:color w:val="ED7D31" w:themeColor="accent2"/>
        </w:rPr>
      </w:pPr>
    </w:p>
    <w:p w14:paraId="65178731" w14:textId="77777777" w:rsidR="00711B75" w:rsidRDefault="00711B75" w:rsidP="00711B75">
      <w:pPr>
        <w:spacing w:after="0"/>
        <w:rPr>
          <w:rFonts w:ascii="Verdana" w:hAnsi="Verdana"/>
          <w:color w:val="ED7D31" w:themeColor="accent2"/>
        </w:rPr>
      </w:pPr>
    </w:p>
    <w:p w14:paraId="52AA497D" w14:textId="77777777" w:rsidR="00711B75" w:rsidRDefault="00711B75" w:rsidP="00711B75">
      <w:pPr>
        <w:spacing w:after="0"/>
        <w:rPr>
          <w:rFonts w:ascii="Verdana" w:hAnsi="Verdana"/>
          <w:color w:val="ED7D31" w:themeColor="accent2"/>
        </w:rPr>
      </w:pPr>
    </w:p>
    <w:p w14:paraId="69D22B1B" w14:textId="77777777" w:rsidR="00711B75" w:rsidRDefault="00711B75" w:rsidP="00711B75">
      <w:pPr>
        <w:spacing w:after="0"/>
        <w:rPr>
          <w:rFonts w:ascii="Verdana" w:hAnsi="Verdana"/>
          <w:color w:val="ED7D31" w:themeColor="accent2"/>
        </w:rPr>
      </w:pPr>
    </w:p>
    <w:p w14:paraId="3ECC9DD3" w14:textId="77777777" w:rsidR="00711B75" w:rsidRDefault="00711B75" w:rsidP="00711B75">
      <w:pPr>
        <w:spacing w:after="0"/>
        <w:rPr>
          <w:rFonts w:ascii="Verdana" w:hAnsi="Verdana"/>
          <w:color w:val="ED7D31" w:themeColor="accent2"/>
        </w:rPr>
      </w:pPr>
    </w:p>
    <w:p w14:paraId="4ACF7A86" w14:textId="77777777" w:rsidR="00711B75" w:rsidRPr="00965212" w:rsidRDefault="00711B75" w:rsidP="00711B75">
      <w:pPr>
        <w:spacing w:after="0"/>
        <w:rPr>
          <w:rFonts w:ascii="Verdana" w:hAnsi="Verdana"/>
          <w:color w:val="ED7D31" w:themeColor="accent2"/>
        </w:rPr>
      </w:pPr>
    </w:p>
    <w:p w14:paraId="149C3C7A" w14:textId="28A6E517" w:rsidR="00711B75" w:rsidRPr="00CF5420" w:rsidRDefault="00711B75" w:rsidP="00711B75">
      <w:pPr>
        <w:spacing w:after="0"/>
        <w:rPr>
          <w:rFonts w:ascii="Verdana" w:hAnsi="Verdana"/>
        </w:rPr>
      </w:pPr>
      <w:r w:rsidRPr="00CF5420">
        <w:rPr>
          <w:rFonts w:ascii="Verdana" w:hAnsi="Verdana"/>
        </w:rPr>
        <w:lastRenderedPageBreak/>
        <w:t>Bogotá D.C.,</w:t>
      </w:r>
      <w:r w:rsidR="00344099">
        <w:rPr>
          <w:rFonts w:ascii="Verdana" w:hAnsi="Verdana"/>
        </w:rPr>
        <w:t xml:space="preserve"> 18 Septiembre 2026</w:t>
      </w:r>
      <w:r w:rsidR="00344099">
        <w:rPr>
          <w:rFonts w:ascii="Verdana" w:hAnsi="Verdana"/>
        </w:rPr>
        <w:tab/>
      </w:r>
    </w:p>
    <w:p w14:paraId="48C8C6F9" w14:textId="25AF6778" w:rsidR="00711B75" w:rsidRPr="00ED4D16" w:rsidRDefault="00D84170" w:rsidP="00711B75">
      <w:pPr>
        <w:spacing w:after="0"/>
        <w:rPr>
          <w:rFonts w:ascii="Verdana" w:hAnsi="Verdana"/>
          <w:lang w:val="es-ES"/>
        </w:rPr>
      </w:pPr>
      <w:r w:rsidRPr="00D84170">
        <w:rPr>
          <w:rFonts w:ascii="Verdana" w:hAnsi="Verdana"/>
        </w:rPr>
        <w:drawing>
          <wp:anchor distT="0" distB="0" distL="114300" distR="114300" simplePos="0" relativeHeight="251659264" behindDoc="1" locked="0" layoutInCell="1" allowOverlap="1" wp14:anchorId="3B61D94C" wp14:editId="18AACE41">
            <wp:simplePos x="0" y="0"/>
            <wp:positionH relativeFrom="margin">
              <wp:posOffset>3136719</wp:posOffset>
            </wp:positionH>
            <wp:positionV relativeFrom="paragraph">
              <wp:posOffset>12700</wp:posOffset>
            </wp:positionV>
            <wp:extent cx="2469696" cy="714375"/>
            <wp:effectExtent l="0" t="0" r="6985" b="0"/>
            <wp:wrapNone/>
            <wp:docPr id="13399871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987194" name=""/>
                    <pic:cNvPicPr/>
                  </pic:nvPicPr>
                  <pic:blipFill>
                    <a:blip r:embed="rId10">
                      <a:extLst>
                        <a:ext uri="{28A0092B-C50C-407E-A947-70E740481C1C}">
                          <a14:useLocalDpi xmlns:a14="http://schemas.microsoft.com/office/drawing/2010/main" val="0"/>
                        </a:ext>
                      </a:extLst>
                    </a:blip>
                    <a:stretch>
                      <a:fillRect/>
                    </a:stretch>
                  </pic:blipFill>
                  <pic:spPr>
                    <a:xfrm>
                      <a:off x="0" y="0"/>
                      <a:ext cx="2473553" cy="715491"/>
                    </a:xfrm>
                    <a:prstGeom prst="rect">
                      <a:avLst/>
                    </a:prstGeom>
                  </pic:spPr>
                </pic:pic>
              </a:graphicData>
            </a:graphic>
            <wp14:sizeRelH relativeFrom="margin">
              <wp14:pctWidth>0</wp14:pctWidth>
            </wp14:sizeRelH>
            <wp14:sizeRelV relativeFrom="margin">
              <wp14:pctHeight>0</wp14:pctHeight>
            </wp14:sizeRelV>
          </wp:anchor>
        </w:drawing>
      </w:r>
    </w:p>
    <w:p w14:paraId="59861034" w14:textId="77777777" w:rsidR="00711B75" w:rsidRPr="00ED4D16" w:rsidRDefault="00711B75" w:rsidP="00711B75">
      <w:pPr>
        <w:spacing w:after="0" w:line="240" w:lineRule="auto"/>
        <w:rPr>
          <w:rFonts w:ascii="Verdana" w:hAnsi="Verdana"/>
          <w:lang w:val="es-ES"/>
        </w:rPr>
      </w:pPr>
      <w:bookmarkStart w:id="0" w:name="_Hlk143780582"/>
      <w:r w:rsidRPr="00ED4D16">
        <w:rPr>
          <w:rFonts w:ascii="Verdana" w:eastAsia="Calibri" w:hAnsi="Verdana" w:cs="Arial"/>
          <w:lang w:val="es-ES" w:eastAsia="es-ES"/>
        </w:rPr>
        <w:t>Señor</w:t>
      </w:r>
    </w:p>
    <w:p w14:paraId="07287B41" w14:textId="77777777" w:rsidR="00711B75" w:rsidRPr="00ED4D16" w:rsidRDefault="00711B75" w:rsidP="00711B75">
      <w:pPr>
        <w:spacing w:after="0" w:line="240" w:lineRule="auto"/>
        <w:rPr>
          <w:rFonts w:ascii="Verdana" w:hAnsi="Verdana"/>
          <w:lang w:val="es-ES"/>
        </w:rPr>
      </w:pPr>
      <w:r w:rsidRPr="00ED4D16">
        <w:rPr>
          <w:rFonts w:ascii="Verdana" w:eastAsia="Calibri" w:hAnsi="Verdana" w:cs="Arial"/>
          <w:b/>
          <w:bCs/>
          <w:lang w:eastAsia="es-ES"/>
        </w:rPr>
        <w:t>Oscar Alejandro Navarrete Baena</w:t>
      </w:r>
    </w:p>
    <w:p w14:paraId="370D105B" w14:textId="77777777" w:rsidR="00711B75" w:rsidRPr="00204EDD" w:rsidRDefault="00711B75" w:rsidP="00711B75">
      <w:pPr>
        <w:spacing w:after="0"/>
        <w:rPr>
          <w:lang w:val="es-ES"/>
        </w:rPr>
      </w:pPr>
      <w:hyperlink r:id="rId11" w:history="1">
        <w:r>
          <w:t>mailto:</w:t>
        </w:r>
      </w:hyperlink>
      <w:hyperlink r:id="rId12" w:history="1">
        <w:r w:rsidRPr="00342F27">
          <w:rPr>
            <w:rStyle w:val="Hipervnculo"/>
            <w:rFonts w:ascii="Verdana" w:hAnsi="Verdana"/>
            <w:lang w:val="es-ES"/>
          </w:rPr>
          <w:t>onavarretebaena@gmail.com</w:t>
        </w:r>
      </w:hyperlink>
      <w:r>
        <w:t xml:space="preserve"> </w:t>
      </w:r>
    </w:p>
    <w:p w14:paraId="0B393F30" w14:textId="77777777" w:rsidR="00711B75" w:rsidRPr="00ED4D16" w:rsidRDefault="00711B75" w:rsidP="00711B75">
      <w:pPr>
        <w:spacing w:after="0"/>
        <w:rPr>
          <w:rFonts w:ascii="Verdana" w:eastAsia="Calibri" w:hAnsi="Verdana" w:cs="Arial"/>
          <w:lang w:val="es-ES" w:eastAsia="es-ES"/>
        </w:rPr>
      </w:pPr>
      <w:r w:rsidRPr="00ED4D16">
        <w:rPr>
          <w:rFonts w:ascii="Verdana" w:eastAsia="Calibri" w:hAnsi="Verdana" w:cs="Arial"/>
          <w:lang w:val="es-ES" w:eastAsia="es-ES"/>
        </w:rPr>
        <w:t>Bogotá D.C</w:t>
      </w:r>
    </w:p>
    <w:p w14:paraId="2E39DCE5" w14:textId="77777777" w:rsidR="00711B75" w:rsidRPr="00F13A9A" w:rsidRDefault="00711B75" w:rsidP="00711B75">
      <w:pPr>
        <w:spacing w:after="0"/>
        <w:rPr>
          <w:rFonts w:ascii="Verdana" w:eastAsia="Calibri" w:hAnsi="Verdana" w:cs="Arial"/>
          <w:lang w:val="es-ES" w:eastAsia="es-ES"/>
        </w:rPr>
      </w:pPr>
    </w:p>
    <w:p w14:paraId="7CDC0977" w14:textId="77777777" w:rsidR="00711B75" w:rsidRPr="00F13A9A" w:rsidRDefault="00711B75" w:rsidP="00711B75">
      <w:pPr>
        <w:spacing w:after="0" w:line="240" w:lineRule="auto"/>
        <w:rPr>
          <w:rFonts w:ascii="Verdana" w:eastAsia="Calibri" w:hAnsi="Verdana" w:cs="Arial"/>
          <w:b/>
          <w:bCs/>
          <w:lang w:val="es-ES" w:eastAsia="es-ES"/>
        </w:rPr>
      </w:pPr>
    </w:p>
    <w:tbl>
      <w:tblPr>
        <w:tblStyle w:val="Tablaconcuadrcula"/>
        <w:tblW w:w="878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711B75" w:rsidRPr="00F13A9A" w14:paraId="00D57856" w14:textId="77777777" w:rsidTr="6322A12A">
        <w:trPr>
          <w:trHeight w:val="300"/>
        </w:trPr>
        <w:tc>
          <w:tcPr>
            <w:tcW w:w="2410" w:type="dxa"/>
          </w:tcPr>
          <w:p w14:paraId="206416FD" w14:textId="77777777" w:rsidR="00711B75" w:rsidRPr="00F13A9A" w:rsidRDefault="00711B75" w:rsidP="00607185">
            <w:pPr>
              <w:ind w:left="-142"/>
              <w:jc w:val="both"/>
              <w:rPr>
                <w:rFonts w:ascii="Verdana" w:eastAsia="Calibri" w:hAnsi="Verdana" w:cs="Arial"/>
                <w:b/>
                <w:bCs/>
                <w:lang w:val="es-ES" w:eastAsia="es-ES_tradnl"/>
              </w:rPr>
            </w:pPr>
          </w:p>
        </w:tc>
        <w:tc>
          <w:tcPr>
            <w:tcW w:w="6379" w:type="dxa"/>
          </w:tcPr>
          <w:p w14:paraId="3AD2AC05" w14:textId="77777777" w:rsidR="00711B75" w:rsidRPr="00F13A9A" w:rsidRDefault="00711B75" w:rsidP="00607185">
            <w:pPr>
              <w:ind w:left="3"/>
              <w:jc w:val="both"/>
              <w:rPr>
                <w:rFonts w:ascii="Verdana" w:eastAsia="Calibri" w:hAnsi="Verdana" w:cs="Arial"/>
                <w:b/>
                <w:bCs/>
                <w:lang w:val="es-ES" w:eastAsia="es-ES"/>
              </w:rPr>
            </w:pPr>
            <w:r w:rsidRPr="00F13A9A">
              <w:rPr>
                <w:rFonts w:ascii="Verdana" w:eastAsia="Calibri" w:hAnsi="Verdana" w:cs="Arial"/>
                <w:b/>
                <w:bCs/>
                <w:lang w:val="es-ES" w:eastAsia="es-ES"/>
              </w:rPr>
              <w:t>Concepto C-1261 de 2026</w:t>
            </w:r>
          </w:p>
          <w:p w14:paraId="3F1E19ED" w14:textId="77777777" w:rsidR="00711B75" w:rsidRPr="00F13A9A" w:rsidRDefault="00711B75" w:rsidP="00607185">
            <w:pPr>
              <w:ind w:left="3"/>
              <w:jc w:val="both"/>
              <w:rPr>
                <w:rFonts w:ascii="Verdana" w:eastAsia="Calibri" w:hAnsi="Verdana" w:cs="Arial"/>
                <w:b/>
                <w:bCs/>
                <w:lang w:val="es-ES" w:eastAsia="es-ES"/>
              </w:rPr>
            </w:pPr>
          </w:p>
        </w:tc>
      </w:tr>
      <w:tr w:rsidR="00711B75" w:rsidRPr="00965212" w14:paraId="64CB8359" w14:textId="77777777" w:rsidTr="6322A12A">
        <w:trPr>
          <w:trHeight w:val="300"/>
        </w:trPr>
        <w:tc>
          <w:tcPr>
            <w:tcW w:w="2410" w:type="dxa"/>
          </w:tcPr>
          <w:p w14:paraId="1876298D" w14:textId="77777777" w:rsidR="00711B75" w:rsidRPr="00965212" w:rsidRDefault="00711B75" w:rsidP="00607185">
            <w:pPr>
              <w:ind w:left="424" w:firstLine="142"/>
              <w:jc w:val="both"/>
              <w:rPr>
                <w:rFonts w:ascii="Verdana" w:eastAsia="Calibri" w:hAnsi="Verdana" w:cs="Arial"/>
                <w:color w:val="ED7D31" w:themeColor="accent2"/>
                <w:lang w:val="es-ES" w:eastAsia="es-ES_tradnl"/>
              </w:rPr>
            </w:pPr>
            <w:r w:rsidRPr="00F13A9A">
              <w:rPr>
                <w:rFonts w:ascii="Verdana" w:eastAsia="Calibri" w:hAnsi="Verdana" w:cs="Arial"/>
                <w:b/>
                <w:lang w:val="es-ES" w:eastAsia="es-ES_tradnl"/>
              </w:rPr>
              <w:t>Temas:</w:t>
            </w:r>
            <w:r w:rsidRPr="00965212">
              <w:rPr>
                <w:rFonts w:ascii="Verdana" w:eastAsia="Calibri" w:hAnsi="Verdana" w:cs="Arial"/>
                <w:color w:val="ED7D31" w:themeColor="accent2"/>
                <w:lang w:val="es-ES" w:eastAsia="es-ES_tradnl"/>
              </w:rPr>
              <w:t xml:space="preserve">                  </w:t>
            </w:r>
          </w:p>
        </w:tc>
        <w:tc>
          <w:tcPr>
            <w:tcW w:w="6379" w:type="dxa"/>
          </w:tcPr>
          <w:p w14:paraId="0824C372" w14:textId="77777777" w:rsidR="00711B75" w:rsidRPr="004B702C" w:rsidRDefault="00711B75" w:rsidP="6322A12A">
            <w:pPr>
              <w:contextualSpacing/>
              <w:jc w:val="both"/>
              <w:rPr>
                <w:rFonts w:ascii="Verdana" w:hAnsi="Verdana" w:cs="Arial"/>
                <w:lang w:val="es-ES"/>
              </w:rPr>
            </w:pPr>
            <w:r w:rsidRPr="6322A12A">
              <w:rPr>
                <w:rFonts w:ascii="Verdana" w:hAnsi="Verdana" w:cs="Arial"/>
                <w:lang w:val="es-ES"/>
              </w:rPr>
              <w:t>ESAL - Entidades Sin Ánimo de Lucro – MiPymes – Naturaleza Jurídica / CONVOCATORIAS LIMITADAS A MIPYMES – MiPymes – Entidades Sin Ánimo de Lucro / ENTIDADES DE ECONOMÍA SOLIDARIA</w:t>
            </w:r>
            <w:r>
              <w:tab/>
            </w:r>
            <w:r w:rsidRPr="6322A12A">
              <w:rPr>
                <w:rFonts w:ascii="Verdana" w:hAnsi="Verdana" w:cs="Arial"/>
                <w:lang w:val="es-ES"/>
              </w:rPr>
              <w:t xml:space="preserve">–Asimilación a Mipymes – Cooperativas – Asociaciones mutualistas – Demás entidades de economía solidaria / ESAL – MiPymes – Cooperativas / LIMITACIÓN A MIPYMES – Requisitos – MiPymes – Entidades Sin Ánimo de Lucro </w:t>
            </w:r>
          </w:p>
          <w:p w14:paraId="056A9464" w14:textId="77777777" w:rsidR="00711B75" w:rsidRPr="004B702C" w:rsidRDefault="00711B75" w:rsidP="00607185">
            <w:pPr>
              <w:contextualSpacing/>
              <w:jc w:val="both"/>
              <w:rPr>
                <w:rFonts w:ascii="Verdana" w:eastAsia="Calibri" w:hAnsi="Verdana" w:cs="Arial"/>
              </w:rPr>
            </w:pPr>
          </w:p>
        </w:tc>
      </w:tr>
      <w:tr w:rsidR="00711B75" w:rsidRPr="00965212" w14:paraId="1F011813" w14:textId="77777777" w:rsidTr="6322A12A">
        <w:trPr>
          <w:trHeight w:val="350"/>
        </w:trPr>
        <w:tc>
          <w:tcPr>
            <w:tcW w:w="2410" w:type="dxa"/>
          </w:tcPr>
          <w:p w14:paraId="6E7AECAC" w14:textId="77777777" w:rsidR="00711B75" w:rsidRPr="00F13A9A" w:rsidRDefault="00711B75" w:rsidP="00607185">
            <w:pPr>
              <w:ind w:left="561"/>
              <w:jc w:val="both"/>
              <w:rPr>
                <w:rFonts w:ascii="Verdana" w:eastAsia="Calibri" w:hAnsi="Verdana" w:cs="Arial"/>
                <w:b/>
                <w:lang w:val="es-ES" w:eastAsia="es-ES_tradnl"/>
              </w:rPr>
            </w:pPr>
            <w:r w:rsidRPr="00F13A9A">
              <w:rPr>
                <w:rFonts w:ascii="Verdana" w:eastAsia="Calibri" w:hAnsi="Verdana" w:cs="Arial"/>
                <w:b/>
                <w:lang w:val="es-ES" w:eastAsia="es-ES_tradnl"/>
              </w:rPr>
              <w:t>Radicación:</w:t>
            </w:r>
            <w:r w:rsidRPr="00F13A9A">
              <w:rPr>
                <w:rFonts w:ascii="Verdana" w:eastAsia="Calibri" w:hAnsi="Verdana" w:cs="Arial"/>
                <w:lang w:val="es-ES" w:eastAsia="es-ES_tradnl"/>
              </w:rPr>
              <w:t xml:space="preserve">              </w:t>
            </w:r>
          </w:p>
        </w:tc>
        <w:tc>
          <w:tcPr>
            <w:tcW w:w="6379" w:type="dxa"/>
          </w:tcPr>
          <w:p w14:paraId="7CD663E3" w14:textId="77777777" w:rsidR="00711B75" w:rsidRPr="00F13A9A" w:rsidRDefault="00711B75" w:rsidP="00607185">
            <w:pPr>
              <w:ind w:left="3"/>
              <w:jc w:val="both"/>
              <w:rPr>
                <w:rFonts w:ascii="Verdana" w:eastAsia="Calibri" w:hAnsi="Verdana" w:cs="Arial"/>
                <w:lang w:val="es-ES" w:eastAsia="es-ES"/>
              </w:rPr>
            </w:pPr>
            <w:r w:rsidRPr="00F13A9A">
              <w:rPr>
                <w:rFonts w:ascii="Verdana" w:eastAsia="Calibri" w:hAnsi="Verdana" w:cs="Arial"/>
                <w:lang w:val="es-ES" w:eastAsia="es-ES"/>
              </w:rPr>
              <w:t>Respuesta a consulta con radicado No. 1_2026_08_11_010596</w:t>
            </w:r>
          </w:p>
          <w:p w14:paraId="47C300C3" w14:textId="77777777" w:rsidR="00711B75" w:rsidRPr="00F13A9A" w:rsidRDefault="00711B75" w:rsidP="00607185">
            <w:pPr>
              <w:ind w:left="3"/>
              <w:jc w:val="both"/>
              <w:rPr>
                <w:rFonts w:ascii="Verdana" w:hAnsi="Verdana"/>
                <w:lang w:val="es-ES"/>
              </w:rPr>
            </w:pPr>
          </w:p>
        </w:tc>
      </w:tr>
      <w:tr w:rsidR="00711B75" w:rsidRPr="00ED4D16" w14:paraId="42AB1799" w14:textId="77777777" w:rsidTr="6322A12A">
        <w:trPr>
          <w:trHeight w:val="350"/>
        </w:trPr>
        <w:tc>
          <w:tcPr>
            <w:tcW w:w="2410" w:type="dxa"/>
          </w:tcPr>
          <w:p w14:paraId="08056593" w14:textId="77777777" w:rsidR="00711B75" w:rsidRPr="00ED4D16" w:rsidRDefault="00711B75" w:rsidP="00607185">
            <w:pPr>
              <w:ind w:left="561"/>
              <w:jc w:val="both"/>
              <w:rPr>
                <w:rFonts w:ascii="Verdana" w:eastAsia="Calibri" w:hAnsi="Verdana" w:cs="Arial"/>
                <w:b/>
                <w:lang w:val="es-ES" w:eastAsia="es-ES_tradnl"/>
              </w:rPr>
            </w:pPr>
          </w:p>
        </w:tc>
        <w:tc>
          <w:tcPr>
            <w:tcW w:w="6379" w:type="dxa"/>
          </w:tcPr>
          <w:p w14:paraId="5216759E" w14:textId="77777777" w:rsidR="00711B75" w:rsidRPr="00ED4D16" w:rsidRDefault="00711B75" w:rsidP="00607185">
            <w:pPr>
              <w:ind w:left="3"/>
              <w:jc w:val="both"/>
              <w:rPr>
                <w:rFonts w:ascii="Verdana" w:eastAsia="Calibri" w:hAnsi="Verdana" w:cs="Arial"/>
                <w:lang w:val="es-ES" w:eastAsia="es-ES"/>
              </w:rPr>
            </w:pPr>
          </w:p>
        </w:tc>
      </w:tr>
    </w:tbl>
    <w:p w14:paraId="38B52352" w14:textId="77777777" w:rsidR="00711B75" w:rsidRPr="00ED4D16" w:rsidRDefault="00711B75" w:rsidP="00711B75">
      <w:pPr>
        <w:spacing w:after="0" w:line="276" w:lineRule="auto"/>
        <w:jc w:val="both"/>
        <w:rPr>
          <w:rFonts w:ascii="Verdana" w:eastAsia="Calibri" w:hAnsi="Verdana" w:cs="Arial"/>
          <w:lang w:val="es-ES" w:eastAsia="es-ES"/>
        </w:rPr>
      </w:pPr>
      <w:r w:rsidRPr="00ED4D16">
        <w:rPr>
          <w:rFonts w:ascii="Verdana" w:eastAsia="Calibri" w:hAnsi="Verdana" w:cs="Arial"/>
          <w:lang w:val="es-ES" w:eastAsia="es-ES"/>
        </w:rPr>
        <w:t>Estimado Señor Navarrete:</w:t>
      </w:r>
    </w:p>
    <w:p w14:paraId="1818D95B" w14:textId="77777777" w:rsidR="00711B75" w:rsidRPr="00B427E3" w:rsidRDefault="00711B75" w:rsidP="00711B75">
      <w:pPr>
        <w:tabs>
          <w:tab w:val="left" w:pos="3768"/>
        </w:tabs>
        <w:spacing w:after="0" w:line="276" w:lineRule="auto"/>
        <w:jc w:val="both"/>
        <w:rPr>
          <w:rFonts w:ascii="Verdana" w:eastAsia="Calibri" w:hAnsi="Verdana" w:cs="Arial"/>
          <w:lang w:val="es-ES" w:eastAsia="es-ES"/>
        </w:rPr>
      </w:pPr>
      <w:r w:rsidRPr="00B427E3">
        <w:rPr>
          <w:rFonts w:ascii="Verdana" w:eastAsia="Calibri" w:hAnsi="Verdana" w:cs="Arial"/>
          <w:lang w:val="es-ES" w:eastAsia="es-ES"/>
        </w:rPr>
        <w:tab/>
      </w:r>
    </w:p>
    <w:p w14:paraId="0C57465D" w14:textId="77777777" w:rsidR="00711B75" w:rsidRPr="00CA5B09" w:rsidRDefault="00711B75" w:rsidP="00711B75">
      <w:pPr>
        <w:spacing w:after="0" w:line="276" w:lineRule="auto"/>
        <w:jc w:val="both"/>
        <w:rPr>
          <w:rFonts w:ascii="Verdana" w:eastAsia="Calibri" w:hAnsi="Verdana" w:cs="Arial"/>
          <w:lang w:val="es-ES" w:eastAsia="es-ES"/>
        </w:rPr>
      </w:pPr>
      <w:r w:rsidRPr="00B427E3">
        <w:rPr>
          <w:rFonts w:ascii="Verdana" w:eastAsia="Calibri" w:hAnsi="Verdana" w:cs="Arial"/>
          <w:lang w:val="es-ES" w:eastAsia="es-ES"/>
        </w:rPr>
        <w:t>En ejercicio de la competencia otorgada por los artículos 3, numeral 5º, y 11, numeral 8º, del Decreto Ley 4170 de 2011,</w:t>
      </w:r>
      <w:r w:rsidRPr="00B427E3">
        <w:rPr>
          <w:rFonts w:ascii="Verdana" w:eastAsia="Arial MT" w:hAnsi="Verdana" w:cs="Arial MT"/>
          <w:lang w:val="es-ES" w:eastAsia="es-ES"/>
        </w:rPr>
        <w:t xml:space="preserve"> </w:t>
      </w:r>
      <w:r w:rsidRPr="00B427E3">
        <w:rPr>
          <w:rFonts w:ascii="Verdana" w:hAnsi="Verdana" w:cs="Arial"/>
          <w:lang w:val="es-ES"/>
        </w:rPr>
        <w:t xml:space="preserve">así como lo establecido en el artículo 4 de la Resolución 469 de 2025 expedida por esta Entidad, </w:t>
      </w:r>
      <w:r w:rsidRPr="00B427E3">
        <w:rPr>
          <w:rFonts w:ascii="Verdana" w:eastAsia="Calibri" w:hAnsi="Verdana" w:cs="Arial"/>
          <w:lang w:val="es-ES" w:eastAsia="es-ES"/>
        </w:rPr>
        <w:t xml:space="preserve">la Agencia Nacional de Contratación Pública – Colombia Compra Eficiente– responde su solicitud de </w:t>
      </w:r>
      <w:r w:rsidRPr="00006951">
        <w:rPr>
          <w:rFonts w:ascii="Verdana" w:eastAsia="Calibri" w:hAnsi="Verdana" w:cs="Arial"/>
          <w:lang w:val="es-ES" w:eastAsia="es-ES"/>
        </w:rPr>
        <w:t xml:space="preserve">consulta de fecha 24 de julio de 2026, remitida por el Ministerio de Comercio, Industria y Turismo el 10 de agosto de 2026 para pronunciarnos sobre los puntos número 2 y 5, en la cual manifiesta lo siguiente: </w:t>
      </w:r>
    </w:p>
    <w:p w14:paraId="0B330A25" w14:textId="77777777" w:rsidR="00711B75" w:rsidRPr="004D3CA8" w:rsidRDefault="00711B75" w:rsidP="00711B75">
      <w:pPr>
        <w:tabs>
          <w:tab w:val="left" w:pos="142"/>
          <w:tab w:val="left" w:pos="284"/>
        </w:tabs>
        <w:spacing w:after="0" w:line="276" w:lineRule="auto"/>
        <w:jc w:val="both"/>
        <w:rPr>
          <w:rFonts w:ascii="Verdana" w:eastAsia="Century Gothic" w:hAnsi="Verdana" w:cs="Century Gothic"/>
          <w:b/>
          <w:bCs/>
          <w:lang w:val="es-ES"/>
        </w:rPr>
      </w:pPr>
    </w:p>
    <w:p w14:paraId="4018F54C" w14:textId="77777777" w:rsidR="00711B75" w:rsidRPr="00BD6EEF" w:rsidRDefault="00711B75" w:rsidP="00711B75">
      <w:pPr>
        <w:spacing w:after="0" w:line="240" w:lineRule="auto"/>
        <w:ind w:left="709" w:right="709"/>
        <w:jc w:val="both"/>
        <w:rPr>
          <w:rFonts w:ascii="Verdana" w:eastAsia="Century Gothic" w:hAnsi="Verdana" w:cs="Century Gothic"/>
          <w:i/>
          <w:iCs/>
          <w:sz w:val="20"/>
          <w:szCs w:val="20"/>
        </w:rPr>
      </w:pPr>
      <w:r w:rsidRPr="00BD6EEF">
        <w:rPr>
          <w:rFonts w:ascii="Verdana" w:eastAsia="Century Gothic" w:hAnsi="Verdana" w:cs="Century Gothic"/>
          <w:i/>
          <w:iCs/>
          <w:sz w:val="20"/>
          <w:szCs w:val="20"/>
          <w:lang w:val="es-ES"/>
        </w:rPr>
        <w:t>“[…] SEGUNDA: ¿Cuál es la sustentación técnico-jurídica bajo la cual se considera que las ESAL tradicionales de derecho civil son MIPYMEs, sin anular el efecto útil del Artículo 23 de la Ley 2069 de 2020, norma de rango legal que de forma expresa, taxativa y excepcional tuvo que consagrar una asimilación especial únicamente para cooperativas y mutuales solidarias?</w:t>
      </w:r>
      <w:r w:rsidRPr="00BD6EEF">
        <w:rPr>
          <w:rFonts w:ascii="Verdana" w:eastAsia="Century Gothic" w:hAnsi="Verdana" w:cs="Century Gothic"/>
          <w:i/>
          <w:iCs/>
          <w:sz w:val="20"/>
          <w:szCs w:val="20"/>
        </w:rPr>
        <w:t xml:space="preserve"> </w:t>
      </w:r>
    </w:p>
    <w:p w14:paraId="188745DE" w14:textId="77777777" w:rsidR="00711B75" w:rsidRPr="00BD6EEF" w:rsidRDefault="00711B75" w:rsidP="00711B75">
      <w:pPr>
        <w:spacing w:after="0" w:line="240" w:lineRule="auto"/>
        <w:ind w:left="709" w:right="709"/>
        <w:jc w:val="both"/>
        <w:rPr>
          <w:rFonts w:ascii="Verdana" w:eastAsia="Century Gothic" w:hAnsi="Verdana" w:cs="Century Gothic"/>
          <w:i/>
          <w:iCs/>
          <w:sz w:val="20"/>
          <w:szCs w:val="20"/>
        </w:rPr>
      </w:pPr>
    </w:p>
    <w:p w14:paraId="189026A6" w14:textId="77777777" w:rsidR="00711B75" w:rsidRPr="004D3CA8" w:rsidRDefault="00711B75" w:rsidP="00711B75">
      <w:pPr>
        <w:spacing w:after="0" w:line="240" w:lineRule="auto"/>
        <w:ind w:left="709" w:right="709"/>
        <w:jc w:val="both"/>
        <w:rPr>
          <w:rFonts w:ascii="Verdana" w:eastAsia="Century Gothic" w:hAnsi="Verdana" w:cs="Century Gothic"/>
          <w:i/>
          <w:iCs/>
          <w:sz w:val="20"/>
          <w:szCs w:val="20"/>
        </w:rPr>
      </w:pPr>
      <w:r w:rsidRPr="00BD6EEF">
        <w:rPr>
          <w:rFonts w:ascii="Verdana" w:eastAsia="Century Gothic" w:hAnsi="Verdana" w:cs="Century Gothic"/>
          <w:i/>
          <w:iCs/>
          <w:sz w:val="20"/>
          <w:szCs w:val="20"/>
        </w:rPr>
        <w:lastRenderedPageBreak/>
        <w:t>QUINTA ¿De qué manera sostiene que el Decreto 957 de 2019 convierte automáticamente a cualquier ESAL en Mipyme para efectos de contratación estatal, ignorando que el Parágrafo 2º del Artículo 2.2.1.13.1.2 excluye expresamente la aplicación de este capítulo cuando la Ley (como la Ley 2069 de 2020) establezca reglas específicas, y que el Parágrafo del Artículo 2.2.1.13.2.4 del mismo decreto ordena de manera perentoria que la acreditación para el sistema de compras públicas se regirá de forma exclusiva por el Decreto 1082 de 2015? […]”</w:t>
      </w:r>
    </w:p>
    <w:p w14:paraId="6D276F57" w14:textId="77777777" w:rsidR="00711B75" w:rsidRPr="00965212" w:rsidRDefault="00711B75" w:rsidP="00711B75">
      <w:pPr>
        <w:spacing w:before="120" w:after="120" w:line="240" w:lineRule="auto"/>
        <w:ind w:left="709" w:right="709"/>
        <w:contextualSpacing/>
        <w:jc w:val="both"/>
        <w:rPr>
          <w:rFonts w:ascii="Verdana" w:eastAsia="Century Gothic" w:hAnsi="Verdana" w:cs="Century Gothic"/>
          <w:i/>
          <w:iCs/>
          <w:color w:val="ED7D31" w:themeColor="accent2"/>
          <w:sz w:val="20"/>
          <w:szCs w:val="20"/>
          <w:lang w:val="es-ES"/>
        </w:rPr>
      </w:pPr>
    </w:p>
    <w:p w14:paraId="1CE74FEC" w14:textId="77777777" w:rsidR="00711B75" w:rsidRPr="004D3CA8" w:rsidRDefault="00711B75" w:rsidP="00711B75">
      <w:pPr>
        <w:spacing w:after="120" w:line="276" w:lineRule="auto"/>
        <w:ind w:firstLine="708"/>
        <w:jc w:val="both"/>
        <w:rPr>
          <w:rFonts w:ascii="Verdana" w:eastAsia="Calibri" w:hAnsi="Verdana" w:cs="Arial"/>
          <w:lang w:val="es-ES" w:eastAsia="es-ES"/>
        </w:rPr>
      </w:pPr>
      <w:r w:rsidRPr="004D3CA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D3CA8">
        <w:rPr>
          <w:rFonts w:ascii="Verdana" w:hAnsi="Verdana"/>
          <w:lang w:val="es-ES"/>
        </w:rPr>
        <w:tab/>
      </w:r>
    </w:p>
    <w:p w14:paraId="70F1D930" w14:textId="77777777" w:rsidR="00711B75" w:rsidRPr="004D3CA8" w:rsidRDefault="00711B75" w:rsidP="00711B75">
      <w:pPr>
        <w:spacing w:after="0" w:line="276" w:lineRule="auto"/>
        <w:ind w:firstLine="709"/>
        <w:jc w:val="both"/>
        <w:rPr>
          <w:rFonts w:ascii="Verdana" w:eastAsia="Calibri" w:hAnsi="Verdana" w:cs="Arial"/>
          <w:lang w:val="es-ES" w:eastAsia="es-ES"/>
        </w:rPr>
      </w:pPr>
      <w:r w:rsidRPr="004D3CA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w:t>
      </w:r>
      <w:r>
        <w:rPr>
          <w:rFonts w:ascii="Verdana" w:eastAsia="Calibri" w:hAnsi="Verdana" w:cs="Arial"/>
          <w:lang w:val="es-ES" w:eastAsia="es-ES"/>
        </w:rPr>
        <w:t>los</w:t>
      </w:r>
      <w:r w:rsidRPr="004D3CA8">
        <w:rPr>
          <w:rFonts w:ascii="Verdana" w:eastAsia="Calibri" w:hAnsi="Verdana" w:cs="Arial"/>
          <w:lang w:val="es-ES" w:eastAsia="es-ES"/>
        </w:rPr>
        <w:t xml:space="preserve"> problema</w:t>
      </w:r>
      <w:r>
        <w:rPr>
          <w:rFonts w:ascii="Verdana" w:eastAsia="Calibri" w:hAnsi="Verdana" w:cs="Arial"/>
          <w:lang w:val="es-ES" w:eastAsia="es-ES"/>
        </w:rPr>
        <w:t>s</w:t>
      </w:r>
      <w:r w:rsidRPr="004D3CA8">
        <w:rPr>
          <w:rFonts w:ascii="Verdana" w:eastAsia="Calibri" w:hAnsi="Verdana" w:cs="Arial"/>
          <w:lang w:val="es-ES" w:eastAsia="es-ES"/>
        </w:rPr>
        <w:t xml:space="preserve"> jurídico</w:t>
      </w:r>
      <w:r>
        <w:rPr>
          <w:rFonts w:ascii="Verdana" w:eastAsia="Calibri" w:hAnsi="Verdana" w:cs="Arial"/>
          <w:lang w:val="es-ES" w:eastAsia="es-ES"/>
        </w:rPr>
        <w:t>s</w:t>
      </w:r>
      <w:r w:rsidRPr="004D3CA8">
        <w:rPr>
          <w:rFonts w:ascii="Verdana" w:eastAsia="Calibri" w:hAnsi="Verdana" w:cs="Arial"/>
          <w:lang w:val="es-ES" w:eastAsia="es-ES"/>
        </w:rPr>
        <w:t xml:space="preserve"> de su consulta. </w:t>
      </w:r>
    </w:p>
    <w:p w14:paraId="0925F915" w14:textId="77777777" w:rsidR="00711B75" w:rsidRPr="00965212" w:rsidRDefault="00711B75" w:rsidP="00711B75">
      <w:pPr>
        <w:spacing w:after="0" w:line="276" w:lineRule="auto"/>
        <w:ind w:firstLine="709"/>
        <w:jc w:val="both"/>
        <w:rPr>
          <w:rFonts w:ascii="Verdana" w:eastAsia="Calibri" w:hAnsi="Verdana" w:cs="Arial"/>
          <w:color w:val="ED7D31" w:themeColor="accent2"/>
          <w:lang w:val="es-ES" w:eastAsia="es-ES"/>
        </w:rPr>
      </w:pPr>
    </w:p>
    <w:p w14:paraId="10D14AD0" w14:textId="77777777" w:rsidR="00711B75" w:rsidRPr="001A0C34" w:rsidRDefault="00711B75" w:rsidP="00711B75">
      <w:pPr>
        <w:tabs>
          <w:tab w:val="left" w:pos="142"/>
          <w:tab w:val="left" w:pos="284"/>
        </w:tabs>
        <w:spacing w:after="0" w:line="276" w:lineRule="auto"/>
        <w:jc w:val="both"/>
        <w:rPr>
          <w:rFonts w:ascii="Verdana" w:eastAsia="Century Gothic" w:hAnsi="Verdana" w:cs="Century Gothic"/>
          <w:b/>
          <w:lang w:val="es-ES"/>
        </w:rPr>
      </w:pPr>
      <w:r w:rsidRPr="001A0C34">
        <w:rPr>
          <w:rFonts w:ascii="Verdana" w:eastAsia="Century Gothic" w:hAnsi="Verdana" w:cs="Century Gothic"/>
          <w:b/>
          <w:lang w:val="es-ES"/>
        </w:rPr>
        <w:t>1. Problema planteado:</w:t>
      </w:r>
    </w:p>
    <w:p w14:paraId="482FB92C" w14:textId="77777777" w:rsidR="00711B75" w:rsidRPr="00965212" w:rsidRDefault="00711B75" w:rsidP="00711B75">
      <w:pPr>
        <w:tabs>
          <w:tab w:val="left" w:pos="426"/>
        </w:tabs>
        <w:spacing w:after="0" w:line="276" w:lineRule="auto"/>
        <w:jc w:val="both"/>
        <w:rPr>
          <w:rFonts w:ascii="Verdana" w:eastAsia="Century Gothic" w:hAnsi="Verdana" w:cs="Century Gothic"/>
          <w:color w:val="ED7D31" w:themeColor="accent2"/>
          <w:lang w:val="es-ES"/>
        </w:rPr>
      </w:pPr>
    </w:p>
    <w:p w14:paraId="69DF9BE2" w14:textId="77777777" w:rsidR="00711B75" w:rsidRDefault="00711B75" w:rsidP="00711B75">
      <w:pPr>
        <w:spacing w:after="0" w:line="276" w:lineRule="auto"/>
        <w:jc w:val="both"/>
        <w:rPr>
          <w:rFonts w:ascii="Verdana" w:eastAsia="Calibri" w:hAnsi="Verdana" w:cs="Times New Roman"/>
          <w:color w:val="ED7D31" w:themeColor="accent2"/>
        </w:rPr>
      </w:pPr>
      <w:r w:rsidRPr="00643FE9">
        <w:rPr>
          <w:rFonts w:ascii="Verdana" w:eastAsia="Century Gothic" w:hAnsi="Verdana" w:cs="Century Gothic"/>
          <w:lang w:val="es-ES"/>
        </w:rPr>
        <w:t>De acuerdo con el contenido de su solicitud, esta Agencia resolverá los siguientes problemas jurídicos:</w:t>
      </w:r>
      <w:r w:rsidRPr="00643FE9">
        <w:rPr>
          <w:rFonts w:ascii="Verdana" w:eastAsia="Century Gothic" w:hAnsi="Verdana" w:cs="Century Gothic"/>
        </w:rPr>
        <w:t xml:space="preserve"> </w:t>
      </w:r>
      <w:r w:rsidRPr="00F6077D">
        <w:rPr>
          <w:rFonts w:ascii="Verdana" w:eastAsia="Century Gothic" w:hAnsi="Verdana" w:cs="Century Gothic"/>
        </w:rPr>
        <w:t xml:space="preserve">i. </w:t>
      </w:r>
      <w:r w:rsidRPr="00F6077D">
        <w:rPr>
          <w:rFonts w:ascii="Verdana" w:eastAsia="Calibri" w:hAnsi="Verdana" w:cs="Times New Roman"/>
        </w:rPr>
        <w:t>¿Cuál es el marco jurídico aplicable para determinar la calidad de Mipyme de las ESAL en el sistema de compras públicas?</w:t>
      </w:r>
    </w:p>
    <w:p w14:paraId="426C1135" w14:textId="77777777" w:rsidR="00711B75" w:rsidRPr="00965212" w:rsidRDefault="00711B75" w:rsidP="00711B75">
      <w:pPr>
        <w:spacing w:after="0" w:line="276" w:lineRule="auto"/>
        <w:jc w:val="both"/>
        <w:rPr>
          <w:rFonts w:ascii="Verdana" w:eastAsia="Century Gothic" w:hAnsi="Verdana" w:cs="Century Gothic"/>
          <w:color w:val="ED7D31" w:themeColor="accent2"/>
        </w:rPr>
      </w:pPr>
    </w:p>
    <w:p w14:paraId="46DCEB81" w14:textId="77777777" w:rsidR="00711B75" w:rsidRPr="00CF0427" w:rsidRDefault="00711B75" w:rsidP="00711B75">
      <w:pPr>
        <w:tabs>
          <w:tab w:val="left" w:pos="142"/>
          <w:tab w:val="left" w:pos="284"/>
        </w:tabs>
        <w:spacing w:after="0" w:line="276" w:lineRule="auto"/>
        <w:jc w:val="both"/>
        <w:rPr>
          <w:rFonts w:ascii="Verdana" w:eastAsia="Century Gothic" w:hAnsi="Verdana" w:cs="Century Gothic"/>
          <w:b/>
          <w:lang w:val="es-ES"/>
        </w:rPr>
      </w:pPr>
      <w:r w:rsidRPr="00CF0427">
        <w:rPr>
          <w:rFonts w:ascii="Verdana" w:eastAsia="Century Gothic" w:hAnsi="Verdana" w:cs="Century Gothic"/>
          <w:b/>
          <w:lang w:val="es-ES"/>
        </w:rPr>
        <w:t>2. Respuesta:</w:t>
      </w:r>
    </w:p>
    <w:p w14:paraId="2443981F" w14:textId="77777777" w:rsidR="00711B75" w:rsidRPr="00965212" w:rsidRDefault="00711B75" w:rsidP="00711B75">
      <w:pPr>
        <w:tabs>
          <w:tab w:val="left" w:pos="142"/>
          <w:tab w:val="left" w:pos="284"/>
        </w:tabs>
        <w:spacing w:after="0" w:line="276" w:lineRule="auto"/>
        <w:jc w:val="both"/>
        <w:rPr>
          <w:rFonts w:ascii="Verdana" w:eastAsia="Century Gothic" w:hAnsi="Verdana" w:cs="Century Gothic"/>
          <w:b/>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11B75" w:rsidRPr="00965212" w14:paraId="7461F26A" w14:textId="77777777" w:rsidTr="00607185">
        <w:tc>
          <w:tcPr>
            <w:tcW w:w="8828" w:type="dxa"/>
          </w:tcPr>
          <w:p w14:paraId="502F9216" w14:textId="77777777" w:rsidR="00711B75" w:rsidRPr="009508B6" w:rsidRDefault="00711B75" w:rsidP="00607185">
            <w:pPr>
              <w:spacing w:after="120" w:line="276" w:lineRule="auto"/>
              <w:ind w:right="79"/>
              <w:jc w:val="both"/>
              <w:rPr>
                <w:rFonts w:ascii="Verdana" w:eastAsia="Arial" w:hAnsi="Verdana" w:cs="Arial"/>
                <w:bCs/>
              </w:rPr>
            </w:pPr>
            <w:r w:rsidRPr="008F0496">
              <w:rPr>
                <w:rFonts w:ascii="Verdana" w:eastAsia="Arial" w:hAnsi="Verdana" w:cs="Arial"/>
                <w:bCs/>
              </w:rPr>
              <w:lastRenderedPageBreak/>
              <w:t xml:space="preserve">Para dar respuesta al problema planteado, es importante indicar que de acuerdo con el marco normativo señalado en las consideraciones de este concepto, no todas las Entidades Sin Ánimo de Lucro —ESAL— se encuentran facultadas para solicitar la limitación de un proceso de selección a MiPymes. El artículo 2.2.1.2.4.2.2 del Decreto 1082 de 2015 establece que, para limitar una convocatoria, deben recibirse solicitudes de por lo menos dos (2) </w:t>
            </w:r>
            <w:r w:rsidRPr="009508B6">
              <w:rPr>
                <w:rFonts w:ascii="Verdana" w:eastAsia="Arial" w:hAnsi="Verdana" w:cs="Arial"/>
                <w:bCs/>
              </w:rPr>
              <w:t>MiPymes colombianas que cumplan las condiciones previstas en la norma.</w:t>
            </w:r>
          </w:p>
          <w:p w14:paraId="4C043201" w14:textId="77777777" w:rsidR="00711B75" w:rsidRDefault="00711B75" w:rsidP="00607185">
            <w:pPr>
              <w:spacing w:after="120" w:line="276" w:lineRule="auto"/>
              <w:ind w:right="79" w:firstLine="709"/>
              <w:jc w:val="both"/>
              <w:rPr>
                <w:rFonts w:ascii="Verdana" w:eastAsia="Arial" w:hAnsi="Verdana" w:cs="Arial"/>
                <w:bCs/>
              </w:rPr>
            </w:pPr>
            <w:r w:rsidRPr="009508B6">
              <w:rPr>
                <w:rFonts w:ascii="Verdana" w:eastAsia="Arial" w:hAnsi="Verdana" w:cs="Arial"/>
                <w:bCs/>
              </w:rPr>
              <w:t>Sin embargo, en principio, las ESAL no tienen la calidad de MiPymes, toda vez que su naturaleza jurídica y finalidad se distinguen de las empresas comprendidas en dicha categoría. En efecto, las asociaciones, corporaciones y fundaciones sin ánimo de lucro no persiguen el reparto de utilidades entre sus miembros, circunstancia que la diferencia de las sociedades comerciales y de la noción de empresa empleada para efectos de la clasificación como MiPymes. Por ello, su participación en actividades económicas o su capacidad para celebrar contratos con entidades estatales no implica, por sí misma, que adquieran la calidad de MiPymes.</w:t>
            </w:r>
          </w:p>
          <w:p w14:paraId="57FF2C4D" w14:textId="77777777" w:rsidR="00711B75" w:rsidRDefault="00711B75" w:rsidP="00607185">
            <w:pPr>
              <w:spacing w:after="120" w:line="276" w:lineRule="auto"/>
              <w:ind w:right="79" w:firstLine="709"/>
              <w:jc w:val="both"/>
              <w:rPr>
                <w:rFonts w:ascii="Verdana" w:eastAsia="Arial" w:hAnsi="Verdana" w:cs="Arial"/>
                <w:bCs/>
              </w:rPr>
            </w:pPr>
            <w:r w:rsidRPr="008A3D1E">
              <w:rPr>
                <w:rFonts w:ascii="Verdana" w:eastAsia="Arial" w:hAnsi="Verdana" w:cs="Arial"/>
                <w:bCs/>
              </w:rPr>
              <w:t>No obstante, est</w:t>
            </w:r>
            <w:r>
              <w:rPr>
                <w:rFonts w:ascii="Verdana" w:eastAsia="Arial" w:hAnsi="Verdana" w:cs="Arial"/>
                <w:bCs/>
              </w:rPr>
              <w:t>o</w:t>
            </w:r>
            <w:r w:rsidRPr="008A3D1E">
              <w:rPr>
                <w:rFonts w:ascii="Verdana" w:eastAsia="Arial" w:hAnsi="Verdana" w:cs="Arial"/>
                <w:bCs/>
              </w:rPr>
              <w:t xml:space="preserve"> tiene una excepción respecto de las cooperativas y demás entidades de economía solidaria. El artículo 23 de la Ley 2069 de 2020 dispuso que estas entidades son empresas y que, para efectos de dicha ley, serán clasificadas como MiPymes de acuerdo con los criterios establecidos en la Ley 590 de 2000 y el Decreto 957 de 2019. En concordancia, el parágrafo del artículo 2.2.1.2.4.2.2 del Decreto 1082 de 2015 establece expresamente que las cooperativas y demás entidades de economía solidaria, siempre que tengan la calidad de MiPymes, podrán solicitar y participar en las convocatorias limitadas en las mismas condiciones previstas para estas.</w:t>
            </w:r>
          </w:p>
          <w:p w14:paraId="73535AF0" w14:textId="77777777" w:rsidR="00711B75" w:rsidRDefault="00711B75" w:rsidP="00607185">
            <w:pPr>
              <w:spacing w:after="120" w:line="276" w:lineRule="auto"/>
              <w:ind w:right="79" w:firstLine="709"/>
              <w:jc w:val="both"/>
              <w:rPr>
                <w:rFonts w:ascii="Verdana" w:eastAsia="Arial" w:hAnsi="Verdana" w:cs="Arial"/>
                <w:bCs/>
              </w:rPr>
            </w:pPr>
            <w:r>
              <w:rPr>
                <w:rFonts w:ascii="Verdana" w:eastAsia="Arial" w:hAnsi="Verdana" w:cs="Arial"/>
                <w:bCs/>
              </w:rPr>
              <w:t xml:space="preserve">En ese contexto, </w:t>
            </w:r>
            <w:r w:rsidRPr="009F1CC1">
              <w:rPr>
                <w:rFonts w:ascii="Verdana" w:eastAsia="Arial" w:hAnsi="Verdana" w:cs="Arial"/>
                <w:bCs/>
              </w:rPr>
              <w:t>una ESAL que corresponda a una cooperativa o a una entidad de economía solidaria podrá solicitar la limitación de una convocatoria a MiPymes, siempre que cumpla las condiciones exigidas para tener dicha calidad. Para determinar si una ESAL concreta se encuentra comprendida en esta excepción, deberá verificarse que reúna las características propias de las organizaciones de economía solidaria previstas en el artículo 6 de la Ley 454 de 1998, así como los requisitos correspondientes a la clasificación como Mipyme.</w:t>
            </w:r>
          </w:p>
          <w:p w14:paraId="5FD4A8A4" w14:textId="77777777" w:rsidR="00711B75" w:rsidRPr="004A5EA5" w:rsidRDefault="00711B75" w:rsidP="00607185">
            <w:pPr>
              <w:spacing w:after="120" w:line="276" w:lineRule="auto"/>
              <w:ind w:right="79" w:firstLine="709"/>
              <w:jc w:val="both"/>
              <w:rPr>
                <w:rFonts w:ascii="Verdana" w:eastAsia="Arial" w:hAnsi="Verdana" w:cs="Arial"/>
                <w:bCs/>
              </w:rPr>
            </w:pPr>
            <w:r w:rsidRPr="0025752A">
              <w:rPr>
                <w:rFonts w:ascii="Verdana" w:eastAsia="Arial" w:hAnsi="Verdana" w:cs="Arial"/>
                <w:bCs/>
              </w:rPr>
              <w:t xml:space="preserve">En consecuencia, las ESAL que no tengan la naturaleza de cooperativas o de entidades de economía solidaria no se encuentran habilitadas para </w:t>
            </w:r>
            <w:r w:rsidRPr="0025752A">
              <w:rPr>
                <w:rFonts w:ascii="Verdana" w:eastAsia="Arial" w:hAnsi="Verdana" w:cs="Arial"/>
                <w:bCs/>
              </w:rPr>
              <w:lastRenderedPageBreak/>
              <w:t>presentar la solicitud de limitación de un proceso de selección a MiPymes. Esta posibilidad no se extiende de manera general a las fundaciones, asociaciones u otras formas de ESAL por el solo hecho de desarrollar actividades económicas o de contar con capacidad para contratar con entidades estatales.</w:t>
            </w:r>
          </w:p>
          <w:p w14:paraId="7C56745D" w14:textId="77777777" w:rsidR="00711B75" w:rsidRDefault="00711B75" w:rsidP="00607185">
            <w:pPr>
              <w:spacing w:after="120" w:line="276" w:lineRule="auto"/>
              <w:ind w:right="79" w:firstLine="709"/>
              <w:jc w:val="both"/>
              <w:rPr>
                <w:rStyle w:val="s15"/>
                <w:rFonts w:ascii="Verdana" w:hAnsi="Verdana"/>
              </w:rPr>
            </w:pPr>
            <w:r w:rsidRPr="00455ACB">
              <w:rPr>
                <w:rFonts w:ascii="Verdana" w:eastAsia="Calibri" w:hAnsi="Verdana" w:cs="Arial"/>
                <w:bCs/>
              </w:rPr>
              <w:t xml:space="preserve">Finalmente, al margen de la explicación precedente debe advertirse que </w:t>
            </w:r>
            <w:r w:rsidRPr="00455ACB">
              <w:rPr>
                <w:rStyle w:val="s15"/>
                <w:rFonts w:ascii="Verdana" w:hAnsi="Verdana"/>
              </w:rPr>
              <w:t>el análisis requerido para resolver problemas específicos en torno a la gestión contractual debe ser realizado por quienes tengan interés en ello, de acuerdo con lo explicado la aclaración preliminar del presente oficio.</w:t>
            </w:r>
            <w:r w:rsidRPr="00455ACB">
              <w:rPr>
                <w:rStyle w:val="apple-converted-space"/>
                <w:rFonts w:ascii="Verdana" w:hAnsi="Verdana"/>
              </w:rPr>
              <w:t> </w:t>
            </w:r>
            <w:r w:rsidRPr="00455ACB">
              <w:rPr>
                <w:rStyle w:val="s15"/>
                <w:rFonts w:ascii="Verdana" w:hAnsi="Verdana"/>
              </w:rPr>
              <w:t>Por lo anterior, previo</w:t>
            </w:r>
            <w:r w:rsidRPr="00455ACB">
              <w:rPr>
                <w:rStyle w:val="apple-converted-space"/>
                <w:rFonts w:ascii="Verdana" w:hAnsi="Verdana"/>
              </w:rPr>
              <w:t> </w:t>
            </w:r>
            <w:r w:rsidRPr="00455ACB">
              <w:rPr>
                <w:rStyle w:val="s15"/>
                <w:rFonts w:ascii="Verdana" w:hAnsi="Verdana"/>
              </w:rPr>
              <w:t xml:space="preserve">concepto de sus asesores, la solución de situaciones particulares corresponde a los interesados adoptar la decisión correspondiente y, en caso de conflicto, a las autoridades judiciales, fiscales y disciplinarias. </w:t>
            </w:r>
          </w:p>
          <w:p w14:paraId="1BBB1D5B" w14:textId="77777777" w:rsidR="00711B75" w:rsidRPr="00965212" w:rsidRDefault="00711B75" w:rsidP="00607185">
            <w:pPr>
              <w:spacing w:after="120" w:line="276" w:lineRule="auto"/>
              <w:ind w:right="79" w:firstLine="709"/>
              <w:jc w:val="both"/>
              <w:rPr>
                <w:rFonts w:ascii="Verdana" w:hAnsi="Verdana" w:cs="Arial"/>
                <w:bCs/>
                <w:color w:val="ED7D31" w:themeColor="accent2"/>
              </w:rPr>
            </w:pPr>
            <w:r w:rsidRPr="004D2159">
              <w:rPr>
                <w:rFonts w:ascii="Verdana" w:hAnsi="Verdana"/>
              </w:rPr>
              <w:t>Sin perjuicio de lo anterior, se precisa que los conceptos emitidos por esta Subdirección en el marco de la función consultiva representan una posición hermenéutica respecto de las disposiciones normativas del Sistema de Compras Públicas, que no tiene efectos vinculantes frente a una situación jurídica particular y concreta y que, aunque jurídicamente fundamentada, no constituye la única interpretación válida del ordenamiento. Por tanto, cada entidad definirá la forma de adelantar su gestión contractual, sin que sea atribución de Colombia Compra Eficiente validar sus actuaciones.</w:t>
            </w:r>
          </w:p>
        </w:tc>
      </w:tr>
    </w:tbl>
    <w:p w14:paraId="6C9DBBD9" w14:textId="77777777" w:rsidR="00711B75" w:rsidRPr="00965212" w:rsidRDefault="00711B75" w:rsidP="00711B75">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7A3C7109" w14:textId="77777777" w:rsidR="00711B75" w:rsidRPr="00CF0427" w:rsidRDefault="00711B75" w:rsidP="00711B75">
      <w:pPr>
        <w:tabs>
          <w:tab w:val="left" w:pos="142"/>
          <w:tab w:val="left" w:pos="284"/>
        </w:tabs>
        <w:spacing w:after="0" w:line="276" w:lineRule="auto"/>
        <w:jc w:val="both"/>
        <w:rPr>
          <w:rFonts w:ascii="Verdana" w:eastAsia="Century Gothic" w:hAnsi="Verdana" w:cs="Century Gothic"/>
          <w:b/>
          <w:lang w:val="es-ES"/>
        </w:rPr>
      </w:pPr>
      <w:r w:rsidRPr="00CF0427">
        <w:rPr>
          <w:rFonts w:ascii="Verdana" w:eastAsia="Century Gothic" w:hAnsi="Verdana" w:cs="Century Gothic"/>
          <w:b/>
          <w:lang w:val="es-ES"/>
        </w:rPr>
        <w:t>3. Razones de la respuesta:</w:t>
      </w:r>
    </w:p>
    <w:p w14:paraId="7BC95430" w14:textId="77777777" w:rsidR="00711B75" w:rsidRPr="00CF0427" w:rsidRDefault="00711B75" w:rsidP="00711B75">
      <w:pPr>
        <w:spacing w:after="0" w:line="276" w:lineRule="auto"/>
        <w:jc w:val="both"/>
        <w:rPr>
          <w:rFonts w:ascii="Verdana" w:eastAsia="Calibri" w:hAnsi="Verdana" w:cs="Arial"/>
          <w:lang w:val="es-ES"/>
        </w:rPr>
      </w:pPr>
    </w:p>
    <w:p w14:paraId="75AFA142" w14:textId="77777777" w:rsidR="00711B75" w:rsidRPr="00CF0427" w:rsidRDefault="00711B75" w:rsidP="00711B75">
      <w:pPr>
        <w:spacing w:after="0" w:line="276" w:lineRule="auto"/>
        <w:jc w:val="both"/>
        <w:rPr>
          <w:rFonts w:ascii="Verdana" w:eastAsia="Calibri" w:hAnsi="Verdana" w:cs="Arial"/>
          <w:lang w:val="es-ES"/>
        </w:rPr>
      </w:pPr>
      <w:r w:rsidRPr="00CF0427">
        <w:rPr>
          <w:rFonts w:ascii="Verdana" w:eastAsia="Calibri" w:hAnsi="Verdana" w:cs="Arial"/>
          <w:lang w:val="es-ES"/>
        </w:rPr>
        <w:t xml:space="preserve">Las respuestas anteriores se sustentan en las siguientes consideraciones: </w:t>
      </w:r>
    </w:p>
    <w:p w14:paraId="6DCA4980" w14:textId="77777777" w:rsidR="00711B75" w:rsidRPr="00965212" w:rsidRDefault="00711B75" w:rsidP="00711B75">
      <w:pPr>
        <w:tabs>
          <w:tab w:val="left" w:pos="142"/>
          <w:tab w:val="left" w:pos="284"/>
        </w:tabs>
        <w:spacing w:after="0" w:line="276" w:lineRule="auto"/>
        <w:jc w:val="both"/>
        <w:rPr>
          <w:rFonts w:ascii="Verdana" w:eastAsia="Century Gothic" w:hAnsi="Verdana" w:cs="Century Gothic"/>
          <w:b/>
          <w:color w:val="ED7D31" w:themeColor="accent2"/>
          <w:lang w:val="es-ES"/>
        </w:rPr>
      </w:pPr>
    </w:p>
    <w:p w14:paraId="04729C54" w14:textId="77777777" w:rsidR="00711B75" w:rsidRPr="003C436A" w:rsidRDefault="00711B75" w:rsidP="00711B75">
      <w:pPr>
        <w:tabs>
          <w:tab w:val="left" w:pos="8789"/>
        </w:tabs>
        <w:spacing w:after="120" w:line="276" w:lineRule="auto"/>
        <w:jc w:val="both"/>
        <w:rPr>
          <w:rFonts w:ascii="Verdana" w:eastAsia="Geomanist Light" w:hAnsi="Verdana" w:cs="Arial"/>
          <w:lang w:val="es-ES"/>
        </w:rPr>
      </w:pPr>
      <w:r w:rsidRPr="003C436A">
        <w:rPr>
          <w:rFonts w:ascii="Verdana" w:hAnsi="Verdana" w:cs="Arial"/>
          <w:lang w:val="es-ES"/>
        </w:rPr>
        <w:t xml:space="preserve">i. Los incentivos referidos en la Ley 2069 de 2020 y la posibilidad de solicitar la limitación de las convocatorias a MiPymes no son extensibles a todas las </w:t>
      </w:r>
      <w:r w:rsidRPr="003C436A">
        <w:rPr>
          <w:rFonts w:ascii="Verdana" w:eastAsia="Calibri" w:hAnsi="Verdana" w:cs="Arial"/>
          <w:lang w:eastAsia="es-ES_tradnl"/>
        </w:rPr>
        <w:t>Entidades Sin Ánimo de Lucro</w:t>
      </w:r>
      <w:r w:rsidRPr="003C436A">
        <w:rPr>
          <w:rFonts w:ascii="Verdana" w:hAnsi="Verdana" w:cs="Arial"/>
          <w:lang w:val="es-ES"/>
        </w:rPr>
        <w:t xml:space="preserve"> – ESAL -, sino únicamente a aquellas que corresponden al concepto de </w:t>
      </w:r>
      <w:r w:rsidRPr="003C436A">
        <w:rPr>
          <w:rFonts w:ascii="Verdana" w:eastAsia="Calibri" w:hAnsi="Verdana" w:cs="Arial"/>
          <w:lang w:val="es-ES"/>
        </w:rPr>
        <w:t xml:space="preserve">cooperativas y demás entes considerados de economía solidaria </w:t>
      </w:r>
      <w:r w:rsidRPr="003C436A">
        <w:rPr>
          <w:rFonts w:ascii="Verdana" w:eastAsia="Geomanist Light" w:hAnsi="Verdana" w:cs="Arial"/>
          <w:lang w:val="es-ES"/>
        </w:rPr>
        <w:t xml:space="preserve">en los términos del artículo 6 de la Ley 454 de 1998 –norma a la que remite el artículo 23 de la Ley de Emprendimiento–. En tal sentido, debe analizarse si la ESAL cumple con las características establecidas en dicho artículo, para considerarla una organización de economía solidaria. </w:t>
      </w:r>
      <w:r w:rsidRPr="003C436A">
        <w:rPr>
          <w:rFonts w:ascii="Verdana" w:eastAsia="Calibri" w:hAnsi="Verdana" w:cs="Arial"/>
          <w:lang w:val="es-ES"/>
        </w:rPr>
        <w:t xml:space="preserve">Solo las que cumplan estos requisitos podrán ser asimiladas a las MiPymes y acceder a los requisitos diferenciales de la Ley 2069 de 2020, así como participar en las </w:t>
      </w:r>
      <w:r w:rsidRPr="003C436A">
        <w:rPr>
          <w:rFonts w:ascii="Verdana" w:eastAsia="Calibri" w:hAnsi="Verdana" w:cs="Arial"/>
          <w:lang w:val="es-ES"/>
        </w:rPr>
        <w:lastRenderedPageBreak/>
        <w:t xml:space="preserve">convocatorias limitadas a estas, presentar la solicitud de limitación y les permite incluso manifestar su interés de participar en el proceso de selección en los términos señalados en el numeral 3 del artículo </w:t>
      </w:r>
      <w:r w:rsidRPr="003C436A">
        <w:rPr>
          <w:rFonts w:ascii="Verdana" w:eastAsia="Calibri" w:hAnsi="Verdana" w:cs="Arial"/>
        </w:rPr>
        <w:t>2.2.1.2.1.5.2. d</w:t>
      </w:r>
      <w:r w:rsidRPr="003C436A">
        <w:rPr>
          <w:rFonts w:ascii="Verdana" w:eastAsia="Calibri" w:hAnsi="Verdana" w:cs="Arial"/>
          <w:lang w:val="es-ES"/>
        </w:rPr>
        <w:t>el Decreto 1082 de 2015.</w:t>
      </w:r>
    </w:p>
    <w:p w14:paraId="3BE3FA7D" w14:textId="77777777" w:rsidR="00711B75" w:rsidRPr="003C436A" w:rsidRDefault="00711B75" w:rsidP="00711B75">
      <w:pPr>
        <w:spacing w:after="120" w:line="276" w:lineRule="auto"/>
        <w:ind w:firstLine="709"/>
        <w:jc w:val="both"/>
        <w:rPr>
          <w:rFonts w:ascii="Verdana" w:eastAsia="Geomanist Light" w:hAnsi="Verdana" w:cs="Arial"/>
          <w:lang w:val="es-ES"/>
        </w:rPr>
      </w:pPr>
      <w:r w:rsidRPr="003C436A">
        <w:rPr>
          <w:rFonts w:ascii="Verdana" w:eastAsia="Geomanist Light" w:hAnsi="Verdana" w:cs="Arial"/>
          <w:lang w:val="es-ES"/>
        </w:rPr>
        <w:t xml:space="preserve">Esta postura se sustenta en varios argumentos que vale la pena mencionar con finalidad de reiterar la tesis que se ha sostenido, en primer lugar, es importante indicar que, </w:t>
      </w:r>
      <w:r w:rsidRPr="003C436A">
        <w:rPr>
          <w:rFonts w:ascii="Verdana" w:eastAsia="Calibri" w:hAnsi="Verdana" w:cs="Arial"/>
          <w:lang w:val="es-ES_tradnl" w:eastAsia="es-ES_tradnl"/>
        </w:rPr>
        <w:t xml:space="preserve">en Colombia, la empresa se forma a través de un contrato de sociedad por medio del cual dos o más personas se obligan a hacer un aporte en dinero, en trabajo o en otros bienes apreciables en dinero con el fin de repartirse entre sí las utilidades obtenidas en la empresa, según el artículo 98 del Código de Comercio. En ese sentido, serán sociedades comerciales aquellas que ejecuten actos o empresas mercantiles, en los términos señalados en el artículo 100 </w:t>
      </w:r>
      <w:r w:rsidRPr="003C436A">
        <w:rPr>
          <w:rFonts w:ascii="Verdana" w:eastAsia="Calibri" w:hAnsi="Verdana" w:cs="Arial"/>
          <w:i/>
          <w:iCs/>
          <w:lang w:val="es-ES_tradnl" w:eastAsia="es-ES_tradnl"/>
        </w:rPr>
        <w:t>ibidem</w:t>
      </w:r>
      <w:r w:rsidRPr="003C436A">
        <w:rPr>
          <w:vertAlign w:val="superscript"/>
        </w:rPr>
        <w:footnoteReference w:id="1"/>
      </w:r>
      <w:r w:rsidRPr="003C436A">
        <w:rPr>
          <w:rFonts w:ascii="Verdana" w:eastAsia="Calibri" w:hAnsi="Verdana" w:cs="Arial"/>
          <w:lang w:val="es-ES_tradnl" w:eastAsia="es-ES_tradnl"/>
        </w:rPr>
        <w:t>.</w:t>
      </w:r>
    </w:p>
    <w:p w14:paraId="340D5B30" w14:textId="77777777" w:rsidR="00711B75" w:rsidRPr="003C436A" w:rsidRDefault="00711B75" w:rsidP="00711B75">
      <w:pPr>
        <w:spacing w:after="120" w:line="276" w:lineRule="auto"/>
        <w:ind w:firstLine="709"/>
        <w:jc w:val="both"/>
        <w:rPr>
          <w:rFonts w:ascii="Verdana" w:eastAsia="Calibri" w:hAnsi="Verdana" w:cs="Arial"/>
          <w:lang w:val="es-ES" w:eastAsia="es-ES"/>
        </w:rPr>
      </w:pPr>
      <w:r w:rsidRPr="003C436A">
        <w:rPr>
          <w:rFonts w:ascii="Verdana" w:eastAsia="Calibri" w:hAnsi="Verdana" w:cs="Arial"/>
          <w:lang w:val="es-ES" w:eastAsia="es-ES"/>
        </w:rPr>
        <w:t xml:space="preserve">El libro segundo del Código de Comercio no incluye a las ESAL - como las corporaciones, asociaciones o fundaciones – en la enumeración de las sociedades comerciales. A juicio de esta Agencia, la razón de la exclusión radica en que las ESAL no tienen fines comerciales, es decir, carecen de ánimo de lucro, y por eso no forman un tipo o clase de sociedad comercial. </w:t>
      </w:r>
      <w:r w:rsidRPr="003C436A">
        <w:rPr>
          <w:rFonts w:ascii="Verdana" w:eastAsia="Calibri" w:hAnsi="Verdana" w:cs="Arial"/>
          <w:lang w:val="es-ES_tradnl" w:eastAsia="es-ES_tradnl"/>
        </w:rPr>
        <w:t>A lo anterior se suma que este tipo de corporaciones o asociaciones se encuentran reguladas en el Código Civil –entre otras normas concordantes–, de lo que se sigue que no constituyen formas de sociedad comercial, sino formas de organización civil con fines esencialmente altruistas o de interés general, que se conforman entre personas que tienen como finalidad contribuir con su esfuerzo, y hasta con sus bienes, para ayudar a la comunidad</w:t>
      </w:r>
      <w:r w:rsidRPr="003C436A">
        <w:rPr>
          <w:rStyle w:val="Refdenotaalpie"/>
          <w:rFonts w:ascii="Verdana" w:eastAsia="Calibri" w:hAnsi="Verdana" w:cs="Arial"/>
          <w:lang w:val="es-ES_tradnl" w:eastAsia="es-ES_tradnl"/>
        </w:rPr>
        <w:footnoteReference w:id="2"/>
      </w:r>
      <w:r w:rsidRPr="003C436A">
        <w:rPr>
          <w:rFonts w:ascii="Verdana" w:eastAsia="Calibri" w:hAnsi="Verdana" w:cs="Arial"/>
          <w:lang w:val="es-ES_tradnl" w:eastAsia="es-ES_tradnl"/>
        </w:rPr>
        <w:t xml:space="preserve">. La ausencia de ánimo de lucro es, entonces, la </w:t>
      </w:r>
      <w:r w:rsidRPr="003C436A">
        <w:rPr>
          <w:rFonts w:ascii="Verdana" w:eastAsia="Calibri" w:hAnsi="Verdana" w:cs="Arial"/>
          <w:lang w:val="es-ES_tradnl" w:eastAsia="es-ES_tradnl"/>
        </w:rPr>
        <w:lastRenderedPageBreak/>
        <w:t>característica determinante de estas corporaciones u organizaciones, lo que explica su nombre y las diferencias de manera fundamental de las sociedades comerciales.</w:t>
      </w:r>
    </w:p>
    <w:p w14:paraId="7F7008BD" w14:textId="77777777" w:rsidR="00711B75" w:rsidRPr="003C436A" w:rsidRDefault="00711B75" w:rsidP="00711B75">
      <w:pPr>
        <w:spacing w:after="120" w:line="276" w:lineRule="auto"/>
        <w:ind w:firstLine="709"/>
        <w:jc w:val="both"/>
        <w:rPr>
          <w:rFonts w:ascii="Verdana" w:eastAsia="Calibri" w:hAnsi="Verdana" w:cs="Arial"/>
          <w:lang w:val="es-ES" w:eastAsia="es-ES"/>
        </w:rPr>
      </w:pPr>
      <w:r w:rsidRPr="003C436A">
        <w:rPr>
          <w:rFonts w:ascii="Verdana" w:eastAsia="Calibri" w:hAnsi="Verdana" w:cs="Arial"/>
          <w:lang w:val="es-ES" w:eastAsia="es-ES"/>
        </w:rPr>
        <w:t xml:space="preserve">Que una ESAL no sea una forma de sociedad comercial se infiere también de los requisitos y finalidad que exige el artículo 98 del Código de Comercio en relación con el contrato de sociedad. En efecto, la norma en comento dispone: “por el contrato de sociedad dos o más personas se obligan a hacer un aporte en dinero, en trabajo o en otros bienes apreciables en dinero, </w:t>
      </w:r>
      <w:r w:rsidRPr="003C436A">
        <w:rPr>
          <w:rFonts w:ascii="Verdana" w:eastAsia="Calibri" w:hAnsi="Verdana" w:cs="Arial"/>
          <w:i/>
          <w:iCs/>
          <w:lang w:val="es-ES" w:eastAsia="es-ES"/>
        </w:rPr>
        <w:t>con el fin de repartirse entre sí las utilidades obtenidas en la empresa o actividad socia</w:t>
      </w:r>
      <w:r w:rsidRPr="003C436A">
        <w:rPr>
          <w:rFonts w:ascii="Verdana" w:eastAsia="Calibri" w:hAnsi="Verdana" w:cs="Arial"/>
          <w:lang w:val="es-ES" w:eastAsia="es-ES"/>
        </w:rPr>
        <w:t xml:space="preserve">l” [Énfasis fuera de texto]. </w:t>
      </w:r>
      <w:r w:rsidRPr="003C436A">
        <w:rPr>
          <w:rFonts w:ascii="Verdana" w:eastAsia="Calibri" w:hAnsi="Verdana" w:cs="Arial"/>
          <w:lang w:val="es-ES_tradnl" w:eastAsia="es-ES_tradnl"/>
        </w:rPr>
        <w:t>Así pues, en las ESAL no es admisible el reparto de utilidades, ni durante la existencia de la organización ni cuando se extinga. En este aspecto, se insiste, radica la diferencia más apreciable entre estas corporaciones y las sociedades comerciales, pese a que ambas se crean con libertad y al amparo del derecho fundamental de asociación previsto en el artículo 38 de la Constitución Política y otras normas contenidas en tratados internacionales suscritos por Colombia.</w:t>
      </w:r>
    </w:p>
    <w:p w14:paraId="080C45BB" w14:textId="77777777" w:rsidR="00711B75" w:rsidRPr="003C436A" w:rsidRDefault="00711B75" w:rsidP="00711B75">
      <w:pPr>
        <w:spacing w:after="120" w:line="276" w:lineRule="auto"/>
        <w:ind w:firstLine="709"/>
        <w:jc w:val="both"/>
        <w:rPr>
          <w:rFonts w:ascii="Verdana" w:eastAsia="Calibri" w:hAnsi="Verdana" w:cs="Arial"/>
          <w:lang w:val="es-ES" w:eastAsia="es-ES"/>
        </w:rPr>
      </w:pPr>
      <w:r w:rsidRPr="003C436A">
        <w:rPr>
          <w:rFonts w:ascii="Verdana" w:eastAsia="Calibri" w:hAnsi="Verdana" w:cs="Arial"/>
          <w:lang w:val="es-ES" w:eastAsia="es-ES"/>
        </w:rPr>
        <w:t>De conformidad con lo anterior, una “asociación o corporación” constituidas en los términos del Código Civil, no puede asimilarse o identificarse con una “sociedad comercial”, como uniformemente lo considera la doctrina y la jurisprudencia civil y comercial. Lo anterior, en la medida en que las sociedades comerciales se crean con la finalidad de que sus socios repartan las utilidades obtenidas en desarrollo de la empresa o actividad social. Por el contrario, las corporaciones, fundaciones o asociaciones destinan su patrimonio a la consecución de un interés general y no perciben lucro, pues los excedentes monetarios que se presenten deben ser reinvertidos en la ESAL y no es viable repartirlos entre los asociados.</w:t>
      </w:r>
    </w:p>
    <w:p w14:paraId="59DBCF34" w14:textId="77777777" w:rsidR="00711B75" w:rsidRPr="003C436A" w:rsidRDefault="00711B75" w:rsidP="00711B75">
      <w:pPr>
        <w:spacing w:after="120" w:line="276" w:lineRule="auto"/>
        <w:ind w:firstLine="709"/>
        <w:jc w:val="both"/>
        <w:rPr>
          <w:rFonts w:ascii="Verdana" w:eastAsia="Calibri" w:hAnsi="Verdana" w:cs="Arial"/>
          <w:lang w:val="es-ES_tradnl" w:eastAsia="es-ES_tradnl"/>
        </w:rPr>
      </w:pPr>
      <w:r w:rsidRPr="003C436A">
        <w:rPr>
          <w:rFonts w:ascii="Verdana" w:eastAsia="Calibri" w:hAnsi="Verdana" w:cs="Arial"/>
          <w:lang w:val="es-ES_tradnl" w:eastAsia="es-ES_tradnl"/>
        </w:rPr>
        <w:t>La Corte Constitucional, en la sentencia C-287 de 2012, reiteró que la diferencia existente entre las sociedades comerciales y las ESAL es que estas últimas no reparten sus utilidades entre los socios:</w:t>
      </w:r>
    </w:p>
    <w:p w14:paraId="60A8E78A" w14:textId="77777777" w:rsidR="00711B75" w:rsidRPr="003C436A" w:rsidRDefault="00711B75" w:rsidP="00711B75">
      <w:pPr>
        <w:spacing w:after="0" w:line="240" w:lineRule="auto"/>
        <w:ind w:left="709" w:right="709"/>
        <w:jc w:val="both"/>
        <w:rPr>
          <w:rFonts w:ascii="Verdana" w:eastAsia="Calibri" w:hAnsi="Verdana" w:cs="Arial"/>
          <w:sz w:val="20"/>
          <w:szCs w:val="20"/>
          <w:lang w:val="es-ES" w:eastAsia="es-ES"/>
        </w:rPr>
      </w:pPr>
      <w:r w:rsidRPr="003C436A">
        <w:rPr>
          <w:rFonts w:ascii="Verdana" w:eastAsia="Calibri" w:hAnsi="Verdana" w:cs="Arial"/>
          <w:sz w:val="20"/>
          <w:szCs w:val="20"/>
          <w:lang w:val="es-ES" w:eastAsia="es-ES"/>
        </w:rPr>
        <w:t xml:space="preserve">“Sin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 Así, el elemento característico de las corporaciones o asociaciones sin ánimo de lucro radica, precisamente, en la determinación de sus miembros de desarrollar una actividad de interés </w:t>
      </w:r>
      <w:r w:rsidRPr="003C436A">
        <w:rPr>
          <w:rFonts w:ascii="Verdana" w:eastAsia="Calibri" w:hAnsi="Verdana" w:cs="Arial"/>
          <w:sz w:val="20"/>
          <w:szCs w:val="20"/>
          <w:lang w:val="es-ES" w:eastAsia="es-ES"/>
        </w:rPr>
        <w:lastRenderedPageBreak/>
        <w:t xml:space="preserve">general sin esperar a cambio repartición de utilidades en proporción a su aporte, ni la recuperación </w:t>
      </w:r>
      <w:bookmarkStart w:id="1" w:name="_Int_snqE8mCR"/>
      <w:r w:rsidRPr="003C436A">
        <w:rPr>
          <w:rFonts w:ascii="Verdana" w:eastAsia="Calibri" w:hAnsi="Verdana" w:cs="Arial"/>
          <w:sz w:val="20"/>
          <w:szCs w:val="20"/>
          <w:lang w:val="es-ES" w:eastAsia="es-ES"/>
        </w:rPr>
        <w:t>del mismo</w:t>
      </w:r>
      <w:bookmarkEnd w:id="1"/>
      <w:r w:rsidRPr="003C436A">
        <w:rPr>
          <w:rFonts w:ascii="Verdana" w:eastAsia="Calibri" w:hAnsi="Verdana" w:cs="Arial"/>
          <w:sz w:val="20"/>
          <w:szCs w:val="20"/>
          <w:lang w:val="es-ES" w:eastAsia="es-ES"/>
        </w:rPr>
        <w:t xml:space="preserve"> en el momento de su disolución o liquidación”</w:t>
      </w:r>
      <w:r w:rsidRPr="178B8D6A">
        <w:rPr>
          <w:rStyle w:val="Refdenotaalpie"/>
          <w:rFonts w:ascii="Verdana" w:eastAsia="Calibri" w:hAnsi="Verdana" w:cs="Arial"/>
          <w:lang w:val="es-ES" w:eastAsia="es-ES"/>
        </w:rPr>
        <w:t xml:space="preserve"> </w:t>
      </w:r>
      <w:r w:rsidRPr="178B8D6A">
        <w:rPr>
          <w:rStyle w:val="Refdenotaalpie"/>
          <w:rFonts w:ascii="Verdana" w:eastAsia="Calibri" w:hAnsi="Verdana" w:cs="Arial"/>
          <w:lang w:val="es-ES" w:eastAsia="es-ES"/>
        </w:rPr>
        <w:footnoteReference w:id="3"/>
      </w:r>
      <w:r w:rsidRPr="003C436A">
        <w:rPr>
          <w:rFonts w:ascii="Verdana" w:eastAsia="Calibri" w:hAnsi="Verdana" w:cs="Arial"/>
          <w:sz w:val="20"/>
          <w:szCs w:val="20"/>
          <w:lang w:val="es-ES" w:eastAsia="es-ES"/>
        </w:rPr>
        <w:t>.</w:t>
      </w:r>
    </w:p>
    <w:p w14:paraId="4AC77751" w14:textId="77777777" w:rsidR="00711B75" w:rsidRPr="003C436A" w:rsidRDefault="00711B75" w:rsidP="00711B75">
      <w:pPr>
        <w:spacing w:after="0" w:line="240" w:lineRule="auto"/>
        <w:ind w:left="709" w:right="709"/>
        <w:jc w:val="both"/>
        <w:rPr>
          <w:rFonts w:ascii="Verdana" w:eastAsia="Calibri" w:hAnsi="Verdana" w:cs="Arial"/>
          <w:sz w:val="20"/>
          <w:szCs w:val="20"/>
          <w:lang w:val="es-ES" w:eastAsia="es-ES"/>
        </w:rPr>
      </w:pPr>
    </w:p>
    <w:p w14:paraId="613944A0" w14:textId="77777777" w:rsidR="00711B75" w:rsidRPr="003C436A" w:rsidRDefault="00711B75" w:rsidP="00711B75">
      <w:pPr>
        <w:widowControl w:val="0"/>
        <w:autoSpaceDE w:val="0"/>
        <w:autoSpaceDN w:val="0"/>
        <w:spacing w:after="120" w:line="276" w:lineRule="auto"/>
        <w:ind w:firstLine="709"/>
        <w:jc w:val="both"/>
        <w:rPr>
          <w:rFonts w:ascii="Verdana" w:eastAsia="Calibri" w:hAnsi="Verdana" w:cs="Arial"/>
          <w:lang w:val="es-ES_tradnl" w:eastAsia="es-ES_tradnl"/>
        </w:rPr>
      </w:pPr>
      <w:r w:rsidRPr="003C436A">
        <w:rPr>
          <w:rFonts w:ascii="Verdana" w:eastAsia="Calibri" w:hAnsi="Verdana" w:cs="Arial"/>
          <w:lang w:val="es-ES_tradnl" w:eastAsia="es-ES_tradnl"/>
        </w:rPr>
        <w:t>En ese mismo sentido, la Cámara de Comercio de Bogotá, en el “Documento ABC Entidades sin Ánimo de Lucro”, ha definido las ESAL como “las personas jurídicas que se constituyen por la voluntad de asociación o creación de otras personas (naturales o jurídicas) para realizar actividades en beneficio de los asociados o de terceras personas o de la comunidad en general y no persiguen el reparto de utilidades entre sus miembros</w:t>
      </w:r>
      <w:r w:rsidRPr="003C436A">
        <w:rPr>
          <w:rStyle w:val="Refdenotaalpie"/>
          <w:rFonts w:ascii="Verdana" w:eastAsia="Calibri" w:hAnsi="Verdana" w:cs="Arial"/>
          <w:lang w:val="es-ES_tradnl" w:eastAsia="es-ES_tradnl"/>
        </w:rPr>
        <w:footnoteReference w:id="4"/>
      </w:r>
      <w:r w:rsidRPr="003C436A">
        <w:rPr>
          <w:rFonts w:ascii="Verdana" w:eastAsia="Calibri" w:hAnsi="Verdana" w:cs="Arial"/>
          <w:lang w:val="es-ES_tradnl" w:eastAsia="es-ES_tradnl"/>
        </w:rPr>
        <w:t>”. Las ESAL, no tienen la naturaleza jurídica de empresa sino, de asociaciones que buscan la realización de un fin común y objetivos carentes de un contenido esencialmente patrimonial –fin de lucro y reparto de las utilidades–.</w:t>
      </w:r>
    </w:p>
    <w:p w14:paraId="6D0AA509" w14:textId="77777777" w:rsidR="00711B75" w:rsidRPr="003C436A" w:rsidRDefault="00711B75" w:rsidP="00711B75">
      <w:pPr>
        <w:widowControl w:val="0"/>
        <w:autoSpaceDE w:val="0"/>
        <w:autoSpaceDN w:val="0"/>
        <w:spacing w:after="120" w:line="276" w:lineRule="auto"/>
        <w:ind w:firstLine="709"/>
        <w:jc w:val="both"/>
        <w:rPr>
          <w:rFonts w:ascii="Verdana" w:eastAsia="Calibri" w:hAnsi="Verdana" w:cs="Arial"/>
          <w:lang w:eastAsia="es-ES_tradnl"/>
        </w:rPr>
      </w:pPr>
      <w:r w:rsidRPr="003C436A">
        <w:rPr>
          <w:rFonts w:ascii="Verdana" w:eastAsia="Calibri" w:hAnsi="Verdana" w:cs="Arial"/>
          <w:lang w:val="es-ES_tradnl" w:eastAsia="es-ES_tradnl"/>
        </w:rPr>
        <w:t xml:space="preserve">De esta manera, no es jurídicamente admisible </w:t>
      </w:r>
      <w:r w:rsidRPr="003C436A">
        <w:rPr>
          <w:rFonts w:ascii="Verdana" w:eastAsia="Calibri" w:hAnsi="Verdana" w:cs="Arial"/>
          <w:lang w:eastAsia="es-ES_tradnl"/>
        </w:rPr>
        <w:t xml:space="preserve">asimilar a las ESAL con las sociedades comerciales, pues tal como lo establece el artículo 98 del Código de Comercio, el contrato de sociedad se constituye con el fin específico de repartir utilidades entre los socios y es un elemento consustancial a la existencia misma de una sociedad comercial. Por su parte, las ESAL están fundadas en la idea de promover un fin altruista o de interés general, sin que exista ánimo de lucro ni posibilidad legal de repartir excedentes entre sus miembros. Esta distinción es fundamental porque diferencia a las ESAL de las empresas y las sociedades comerciales en términos de propósito y estructura. Además, el hecho de que estas generen empleo o “riquezas” no las convierte en sociedades comerciales ni cambia su naturaleza no lucrativa. Por tanto, tampoco se considera procedente referirse a un trato desigual entre iguales. </w:t>
      </w:r>
    </w:p>
    <w:p w14:paraId="4C6A2E39" w14:textId="77777777" w:rsidR="00711B75" w:rsidRPr="003C436A" w:rsidRDefault="00711B75" w:rsidP="00711B75">
      <w:pPr>
        <w:widowControl w:val="0"/>
        <w:autoSpaceDE w:val="0"/>
        <w:autoSpaceDN w:val="0"/>
        <w:spacing w:after="120" w:line="276" w:lineRule="auto"/>
        <w:jc w:val="both"/>
        <w:rPr>
          <w:rFonts w:ascii="Verdana" w:eastAsia="Calibri" w:hAnsi="Verdana" w:cs="Arial"/>
          <w:lang w:eastAsia="es-ES_tradnl"/>
        </w:rPr>
      </w:pPr>
      <w:r w:rsidRPr="003C436A">
        <w:rPr>
          <w:rFonts w:ascii="Verdana" w:eastAsia="Calibri" w:hAnsi="Verdana" w:cs="Arial"/>
          <w:lang w:val="es-ES_tradnl"/>
        </w:rPr>
        <w:t>ii. Ahora bien, l</w:t>
      </w:r>
      <w:r w:rsidRPr="003C436A">
        <w:rPr>
          <w:rFonts w:ascii="Verdana" w:eastAsia="Calibri" w:hAnsi="Verdana" w:cs="Arial"/>
          <w:lang w:val="es-ES" w:eastAsia="es-ES_tradnl"/>
        </w:rPr>
        <w:t>a Ley 2069 d</w:t>
      </w:r>
      <w:r w:rsidRPr="003C436A">
        <w:rPr>
          <w:rFonts w:ascii="Verdana" w:eastAsia="Calibri" w:hAnsi="Verdana" w:cs="Arial"/>
          <w:lang w:eastAsia="es-ES_tradnl"/>
        </w:rPr>
        <w:t>el 31 de diciembre de 2020,</w:t>
      </w:r>
      <w:r w:rsidRPr="003C436A">
        <w:rPr>
          <w:rFonts w:ascii="Verdana" w:eastAsia="Calibri" w:hAnsi="Verdana" w:cs="Arial"/>
          <w:lang w:val="es-ES" w:eastAsia="es-ES_tradnl"/>
        </w:rPr>
        <w:t xml:space="preserve"> “Por medio de la cual se impulsa el emprendimiento en Colombia”, establece un marco regulatorio que propicia el emprendimiento, el crecimiento, la consolidación y la sostenibilidad de las empresas, con el fin de aumentar el bienestar social y generar equidad. E</w:t>
      </w:r>
      <w:r w:rsidRPr="003C436A">
        <w:rPr>
          <w:rFonts w:ascii="Verdana" w:eastAsia="Calibri" w:hAnsi="Verdana" w:cs="Arial"/>
          <w:bCs/>
          <w:lang w:val="es-ES" w:eastAsia="es-ES_tradnl"/>
        </w:rPr>
        <w:t xml:space="preserve">l “Capítulo III – Compras públicas” </w:t>
      </w:r>
      <w:r w:rsidRPr="003C436A">
        <w:rPr>
          <w:rFonts w:ascii="Verdana" w:eastAsia="Calibri" w:hAnsi="Verdana" w:cs="Arial"/>
          <w:lang w:eastAsia="es-ES_tradnl"/>
        </w:rPr>
        <w:t xml:space="preserve">contiene normas que modifican algunos aspectos de la contratación estatal para promover el emprendimiento. </w:t>
      </w:r>
      <w:r w:rsidRPr="003C436A">
        <w:rPr>
          <w:rFonts w:ascii="Verdana" w:eastAsia="Calibri" w:hAnsi="Verdana" w:cs="Arial"/>
          <w:bCs/>
          <w:lang w:eastAsia="es-ES_tradnl"/>
        </w:rPr>
        <w:t xml:space="preserve">Dentro </w:t>
      </w:r>
      <w:r w:rsidRPr="003C436A">
        <w:rPr>
          <w:rFonts w:ascii="Verdana" w:eastAsia="Calibri" w:hAnsi="Verdana" w:cs="Arial"/>
          <w:bCs/>
          <w:lang w:eastAsia="es-ES_tradnl"/>
        </w:rPr>
        <w:lastRenderedPageBreak/>
        <w:t>del referido capítulo se encuentran el artículo 34, en el cual se establecen unos</w:t>
      </w:r>
      <w:r w:rsidRPr="003C436A">
        <w:rPr>
          <w:rFonts w:ascii="Verdana" w:eastAsia="Calibri" w:hAnsi="Verdana" w:cs="Arial"/>
          <w:lang w:eastAsia="es-ES_tradnl"/>
        </w:rPr>
        <w:t xml:space="preserve"> parámetros para la limitación de convocatorias a Mipymes, con el fin de incentivar su participación en el Sistema de Compras y Contratación Pública. </w:t>
      </w:r>
    </w:p>
    <w:p w14:paraId="207C2689" w14:textId="77777777" w:rsidR="00711B75" w:rsidRPr="003C436A" w:rsidRDefault="00711B75" w:rsidP="00711B75">
      <w:pPr>
        <w:widowControl w:val="0"/>
        <w:autoSpaceDE w:val="0"/>
        <w:autoSpaceDN w:val="0"/>
        <w:spacing w:after="120" w:line="276" w:lineRule="auto"/>
        <w:ind w:firstLine="709"/>
        <w:jc w:val="both"/>
        <w:rPr>
          <w:rFonts w:ascii="Verdana" w:eastAsia="Calibri" w:hAnsi="Verdana" w:cs="Arial"/>
          <w:lang w:eastAsia="es-ES_tradnl"/>
        </w:rPr>
      </w:pPr>
      <w:r w:rsidRPr="003C436A">
        <w:rPr>
          <w:rFonts w:ascii="Verdana" w:eastAsia="Calibri" w:hAnsi="Verdana" w:cs="Arial"/>
          <w:lang w:eastAsia="es-ES_tradnl"/>
        </w:rPr>
        <w:t xml:space="preserve">Dicho lo anterior, es necesario analizar si las ESAL pueden ser beneficiarias de las convocatorias limitadas a favor de Mipymes. </w:t>
      </w:r>
      <w:r w:rsidRPr="003C436A">
        <w:rPr>
          <w:rFonts w:ascii="Verdana" w:eastAsia="Calibri" w:hAnsi="Verdana" w:cs="Arial"/>
          <w:lang w:val="es-ES" w:eastAsia="es-ES_tradnl"/>
        </w:rPr>
        <w:t xml:space="preserve">En primer lugar, respecto a la asimilación de las ESAL con las Mipymes, resulta indispensable señalar que el artículo 2 de la Ley 590 de 2000, modificado por el artículo 43 de la Ley 1450 de 2011, define la </w:t>
      </w:r>
      <w:r w:rsidRPr="003C436A">
        <w:rPr>
          <w:rFonts w:ascii="Verdana" w:eastAsia="Calibri" w:hAnsi="Verdana" w:cs="Arial"/>
          <w:i/>
          <w:iCs/>
          <w:lang w:val="es-ES" w:eastAsia="es-ES_tradnl"/>
        </w:rPr>
        <w:t>empresa</w:t>
      </w:r>
      <w:r w:rsidRPr="003C436A">
        <w:rPr>
          <w:rFonts w:ascii="Verdana" w:eastAsia="Calibri" w:hAnsi="Verdana" w:cs="Arial"/>
          <w:lang w:val="es-ES" w:eastAsia="es-ES_tradnl"/>
        </w:rPr>
        <w:t xml:space="preserve"> como toda unidad de explotación económica que realiza una persona natural o jurídica en actividades agropecuarias, industriales, comerciales o de servicios</w:t>
      </w:r>
      <w:r w:rsidRPr="003C436A">
        <w:rPr>
          <w:rFonts w:ascii="Verdana" w:eastAsia="Calibri" w:hAnsi="Verdana" w:cs="Arial"/>
          <w:vertAlign w:val="superscript"/>
          <w:lang w:val="es-ES" w:eastAsia="es-ES_tradnl"/>
        </w:rPr>
        <w:footnoteReference w:id="5"/>
      </w:r>
      <w:r w:rsidRPr="003C436A">
        <w:rPr>
          <w:rFonts w:ascii="Verdana" w:eastAsia="Calibri" w:hAnsi="Verdana" w:cs="Arial"/>
          <w:lang w:val="es-ES" w:eastAsia="es-ES_tradnl"/>
        </w:rPr>
        <w:t>. Además, establece que estas se clasifican en micro, pequeña, mediana y gran empresa, de acuerdo con los criterios del número de trabajadores totales, el valor de ventas brutales anuales y el valor de activos totales. Ahora bien, el artículo 2.2.1.13.2.2 del Decreto 1074 de 2015, adicionado por el Decreto 957 de 2019, establece que:</w:t>
      </w:r>
    </w:p>
    <w:p w14:paraId="55DF29D7" w14:textId="77777777" w:rsidR="00711B75" w:rsidRPr="003C436A" w:rsidRDefault="00711B75" w:rsidP="00711B75">
      <w:pPr>
        <w:spacing w:after="120" w:line="276" w:lineRule="auto"/>
        <w:ind w:firstLine="708"/>
        <w:jc w:val="both"/>
        <w:rPr>
          <w:rFonts w:ascii="Verdana" w:hAnsi="Verdana" w:cs="Arial"/>
          <w:lang w:val="es-ES_tradnl"/>
        </w:rPr>
      </w:pPr>
      <w:r w:rsidRPr="003C436A">
        <w:rPr>
          <w:rFonts w:ascii="Verdana" w:hAnsi="Verdana" w:cs="Arial"/>
          <w:lang w:val="es-ES_tradnl"/>
        </w:rPr>
        <w:t xml:space="preserve">1. La </w:t>
      </w:r>
      <w:r w:rsidRPr="003C436A">
        <w:rPr>
          <w:rFonts w:ascii="Verdana" w:hAnsi="Verdana" w:cs="Arial"/>
          <w:i/>
          <w:iCs/>
          <w:lang w:val="es-ES_tradnl"/>
        </w:rPr>
        <w:t>microempresa</w:t>
      </w:r>
      <w:r w:rsidRPr="003C436A">
        <w:rPr>
          <w:rFonts w:ascii="Verdana" w:hAnsi="Verdana" w:cs="Arial"/>
          <w:lang w:val="es-ES_tradnl"/>
        </w:rPr>
        <w:t xml:space="preserve">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Valor </w:t>
      </w:r>
      <w:r w:rsidRPr="003C436A">
        <w:rPr>
          <w:rFonts w:ascii="Verdana" w:hAnsi="Verdana" w:cs="Arial"/>
          <w:sz w:val="21"/>
          <w:szCs w:val="21"/>
          <w:lang w:val="es-ES_tradnl"/>
        </w:rPr>
        <w:t xml:space="preserve">Tributario (32.988 UVT)”, y en el sector comercio, la que sus “ingresos por </w:t>
      </w:r>
      <w:r w:rsidRPr="003C436A">
        <w:rPr>
          <w:rFonts w:ascii="Verdana" w:hAnsi="Verdana" w:cs="Arial"/>
          <w:lang w:val="es-ES_tradnl"/>
        </w:rPr>
        <w:t>actividades ordinarias anuales sean inferiores o iguales a cuarenta y cuatro mil setecientos sesenta y nueve Unidades de Valor Tributario (44.769 UVT).</w:t>
      </w:r>
    </w:p>
    <w:p w14:paraId="6D54EF4D" w14:textId="77777777" w:rsidR="00711B75" w:rsidRPr="003C436A" w:rsidRDefault="00711B75" w:rsidP="00711B75">
      <w:pPr>
        <w:spacing w:after="120" w:line="276" w:lineRule="auto"/>
        <w:ind w:firstLine="708"/>
        <w:jc w:val="both"/>
        <w:rPr>
          <w:rFonts w:ascii="Verdana" w:hAnsi="Verdana" w:cs="Arial"/>
          <w:lang w:val="es-ES"/>
        </w:rPr>
      </w:pPr>
      <w:r w:rsidRPr="003C436A">
        <w:rPr>
          <w:rFonts w:ascii="Verdana" w:hAnsi="Verdana" w:cs="Arial"/>
          <w:lang w:val="es-ES"/>
        </w:rPr>
        <w:t xml:space="preserve">2. La </w:t>
      </w:r>
      <w:r w:rsidRPr="003C436A">
        <w:rPr>
          <w:rFonts w:ascii="Verdana" w:hAnsi="Verdana" w:cs="Arial"/>
          <w:i/>
          <w:iCs/>
          <w:lang w:val="es-ES"/>
        </w:rPr>
        <w:t>pequeña empresa</w:t>
      </w:r>
      <w:r w:rsidRPr="003C436A">
        <w:rPr>
          <w:rFonts w:ascii="Verdana" w:hAnsi="Verdana" w:cs="Arial"/>
          <w:lang w:val="es-ES"/>
        </w:rPr>
        <w:t xml:space="preserve"> en el sector manufacturero, es aquella “cuyos ingresos por actividades ordinarias anuales sean superiores a veintitrés mil </w:t>
      </w:r>
      <w:r w:rsidRPr="003C436A">
        <w:rPr>
          <w:rFonts w:ascii="Verdana" w:hAnsi="Verdana" w:cs="Arial"/>
          <w:lang w:val="es-ES"/>
        </w:rPr>
        <w:lastRenderedPageBreak/>
        <w:t>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6E6D40C6" w14:textId="77777777" w:rsidR="00711B75" w:rsidRPr="003C436A" w:rsidRDefault="00711B75" w:rsidP="00711B75">
      <w:pPr>
        <w:spacing w:after="120" w:line="276" w:lineRule="auto"/>
        <w:ind w:firstLine="709"/>
        <w:jc w:val="both"/>
        <w:rPr>
          <w:rFonts w:ascii="Verdana" w:eastAsia="Arial" w:hAnsi="Verdana" w:cs="Arial"/>
          <w:lang w:val="es-ES"/>
        </w:rPr>
      </w:pPr>
      <w:r w:rsidRPr="003C436A">
        <w:rPr>
          <w:rFonts w:ascii="Verdana" w:eastAsia="Arial" w:hAnsi="Verdana" w:cs="Arial"/>
          <w:lang w:val="es-ES"/>
        </w:rPr>
        <w:t xml:space="preserve">3. La </w:t>
      </w:r>
      <w:r w:rsidRPr="003C436A">
        <w:rPr>
          <w:rFonts w:ascii="Verdana" w:eastAsia="Arial" w:hAnsi="Verdana" w:cs="Arial"/>
          <w:i/>
          <w:iCs/>
          <w:lang w:val="es-ES"/>
        </w:rPr>
        <w:t>mediana empresa</w:t>
      </w:r>
      <w:r w:rsidRPr="003C436A">
        <w:rPr>
          <w:rFonts w:ascii="Verdana" w:eastAsia="Arial" w:hAnsi="Verdana" w:cs="Arial"/>
          <w:lang w:val="es-ES"/>
        </w:rPr>
        <w:t xml:space="preserve">,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  </w:t>
      </w:r>
    </w:p>
    <w:p w14:paraId="705AEA08" w14:textId="77777777" w:rsidR="00711B75" w:rsidRPr="003C436A" w:rsidRDefault="00711B75" w:rsidP="00711B75">
      <w:pPr>
        <w:spacing w:after="120" w:line="276" w:lineRule="auto"/>
        <w:ind w:firstLine="709"/>
        <w:jc w:val="both"/>
        <w:rPr>
          <w:rFonts w:ascii="Verdana" w:hAnsi="Verdana" w:cs="Arial"/>
          <w:lang w:val="es-ES"/>
        </w:rPr>
      </w:pPr>
      <w:r w:rsidRPr="003C436A">
        <w:rPr>
          <w:rFonts w:ascii="Verdana" w:hAnsi="Verdana" w:cs="Arial"/>
          <w:lang w:val="es-ES"/>
        </w:rPr>
        <w:t xml:space="preserve">En ese contexto, esta Agencia ha sostenido de forma la tesis consistente en que las ESAL no pueden, por regla general, acceder a los beneficios a favor de las Mipymes ni participar en los procesos contractuales limitados a estas considerando que: </w:t>
      </w:r>
    </w:p>
    <w:p w14:paraId="6AD129B8" w14:textId="77777777" w:rsidR="00711B75" w:rsidRPr="003C436A" w:rsidRDefault="00711B75" w:rsidP="00711B75">
      <w:pPr>
        <w:spacing w:after="0" w:line="240" w:lineRule="auto"/>
        <w:ind w:left="709" w:right="709"/>
        <w:jc w:val="both"/>
        <w:rPr>
          <w:rFonts w:ascii="Verdana" w:hAnsi="Verdana" w:cs="Arial"/>
          <w:sz w:val="20"/>
          <w:szCs w:val="20"/>
        </w:rPr>
      </w:pPr>
      <w:r w:rsidRPr="003C436A">
        <w:rPr>
          <w:rFonts w:ascii="Verdana" w:hAnsi="Verdana" w:cs="Arial"/>
          <w:sz w:val="20"/>
          <w:szCs w:val="20"/>
          <w:lang w:val="es-ES_tradnl"/>
        </w:rPr>
        <w:t>“</w:t>
      </w:r>
      <w:r w:rsidRPr="003C436A">
        <w:rPr>
          <w:rFonts w:ascii="Verdana" w:hAnsi="Verdana" w:cs="Arial"/>
          <w:sz w:val="20"/>
          <w:szCs w:val="20"/>
        </w:rPr>
        <w:t xml:space="preserve">en virtud del artículo 43 de la Ley 1450 de 2011, que modificó el artículo 2 de la Ley 590 de 2000, […]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MiPymes. Lo </w:t>
      </w:r>
      <w:r w:rsidRPr="003C436A">
        <w:rPr>
          <w:rFonts w:ascii="Verdana" w:hAnsi="Verdana" w:cs="Arial"/>
          <w:sz w:val="20"/>
          <w:szCs w:val="20"/>
        </w:rPr>
        <w:lastRenderedPageBreak/>
        <w:t xml:space="preserve">anterior teniendo en cuenta que </w:t>
      </w:r>
      <w:r w:rsidRPr="003C436A">
        <w:rPr>
          <w:rFonts w:ascii="Verdana" w:hAnsi="Verdana" w:cs="Arial"/>
          <w:i/>
          <w:iCs/>
          <w:sz w:val="20"/>
          <w:szCs w:val="20"/>
        </w:rPr>
        <w:t>no responden al concepto de empresa que involucra dicha categoría con ánimo de lucro, por lo que no resulta jurídicamente válido aplicar a las ESAL las normas dirigidas a las Mipymes</w:t>
      </w:r>
      <w:r w:rsidRPr="003C436A">
        <w:rPr>
          <w:rFonts w:ascii="Verdana" w:hAnsi="Verdana" w:cs="Arial"/>
          <w:sz w:val="20"/>
          <w:szCs w:val="20"/>
        </w:rPr>
        <w:t>”</w:t>
      </w:r>
      <w:r w:rsidRPr="003C436A">
        <w:rPr>
          <w:rFonts w:ascii="Verdana" w:hAnsi="Verdana" w:cs="Arial"/>
          <w:sz w:val="20"/>
          <w:szCs w:val="20"/>
          <w:vertAlign w:val="superscript"/>
        </w:rPr>
        <w:footnoteReference w:id="6"/>
      </w:r>
      <w:r w:rsidRPr="003C436A">
        <w:rPr>
          <w:rFonts w:ascii="Verdana" w:hAnsi="Verdana" w:cs="Arial"/>
          <w:sz w:val="20"/>
          <w:szCs w:val="20"/>
        </w:rPr>
        <w:t xml:space="preserve">. </w:t>
      </w:r>
    </w:p>
    <w:p w14:paraId="753A5893" w14:textId="77777777" w:rsidR="00711B75" w:rsidRPr="003C436A" w:rsidRDefault="00711B75" w:rsidP="00711B75">
      <w:pPr>
        <w:spacing w:after="0" w:line="240" w:lineRule="auto"/>
        <w:ind w:left="709" w:right="709"/>
        <w:jc w:val="both"/>
        <w:rPr>
          <w:rFonts w:ascii="Verdana" w:hAnsi="Verdana" w:cs="Arial"/>
          <w:sz w:val="20"/>
          <w:szCs w:val="20"/>
        </w:rPr>
      </w:pPr>
    </w:p>
    <w:p w14:paraId="5A64EC6C" w14:textId="77777777" w:rsidR="00711B75" w:rsidRPr="003C436A" w:rsidRDefault="00711B75" w:rsidP="00711B75">
      <w:pPr>
        <w:spacing w:after="120" w:line="276" w:lineRule="auto"/>
        <w:ind w:firstLine="709"/>
        <w:jc w:val="both"/>
        <w:rPr>
          <w:rFonts w:ascii="Verdana" w:hAnsi="Verdana" w:cs="Arial"/>
          <w:lang w:val="es-ES"/>
        </w:rPr>
      </w:pPr>
      <w:r w:rsidRPr="003C436A">
        <w:rPr>
          <w:rFonts w:ascii="Verdana" w:hAnsi="Verdana" w:cs="Arial"/>
          <w:lang w:val="es-ES"/>
        </w:rPr>
        <w:t xml:space="preserve">De acuerdo a esta postura, y en virtud de lo señalado en el artículo 43 de la Ley 1450 de 2011, que modificó el artículo 2 de la Ley 590 de 2000, solo podrán ser consideradas Mipymes las empresas, pues son unidades de explotación económica que buscan el reparto de utilidades entre los miembros de la empresa, sin perjuicio de las precisiones que se realizarán más adelante en relación con el artículo 23 de la Ley 2069 de 2020. </w:t>
      </w:r>
    </w:p>
    <w:p w14:paraId="6CCED029" w14:textId="77777777" w:rsidR="00711B75" w:rsidRPr="003C436A" w:rsidRDefault="00711B75" w:rsidP="00711B75">
      <w:pPr>
        <w:spacing w:after="120" w:line="276" w:lineRule="auto"/>
        <w:ind w:firstLine="709"/>
        <w:jc w:val="both"/>
        <w:rPr>
          <w:rFonts w:ascii="Verdana" w:hAnsi="Verdana" w:cs="Arial"/>
          <w:lang w:val="es-ES"/>
        </w:rPr>
      </w:pPr>
      <w:r w:rsidRPr="003C436A">
        <w:rPr>
          <w:rFonts w:ascii="Verdana" w:hAnsi="Verdana" w:cs="Arial"/>
          <w:lang w:val="es-ES"/>
        </w:rPr>
        <w:t xml:space="preserve">De esta forma, es claro que solo pueden ser consideradas MiPymes las empresas, entendidas estas como las unidades de explotación económica, que buscan el reparto de utilidades entre los miembros de la empresa. En razón a que las ESAL no persiguen el reparto de utilidades entre sus miembros, en el entendido en que no tienen ánimo de lucro, y que su objeto está destinado a realizar actividades de interés general sin esperar a cambio un reparto de ganancia en proporción a sus utilidades, lo cierto es que no pueden acceder a los incentivos </w:t>
      </w:r>
      <w:r w:rsidRPr="003C436A">
        <w:rPr>
          <w:rFonts w:ascii="Verdana" w:hAnsi="Verdana" w:cs="Arial"/>
        </w:rPr>
        <w:t>ni participar en los procesos de contratación limitados a MiPymes</w:t>
      </w:r>
      <w:r w:rsidRPr="003C436A">
        <w:rPr>
          <w:rFonts w:ascii="Verdana" w:hAnsi="Verdana" w:cs="Arial"/>
          <w:lang w:val="es-ES"/>
        </w:rPr>
        <w:t>.</w:t>
      </w:r>
    </w:p>
    <w:p w14:paraId="5514A86F" w14:textId="77777777" w:rsidR="00711B75" w:rsidRDefault="00711B75" w:rsidP="00711B75">
      <w:pPr>
        <w:spacing w:after="120" w:line="276" w:lineRule="auto"/>
        <w:ind w:firstLine="708"/>
        <w:jc w:val="both"/>
        <w:rPr>
          <w:rFonts w:ascii="Verdana" w:hAnsi="Verdana" w:cs="Arial"/>
        </w:rPr>
      </w:pPr>
      <w:r w:rsidRPr="003C436A">
        <w:rPr>
          <w:rFonts w:ascii="Verdana" w:hAnsi="Verdana" w:cs="Arial"/>
          <w:lang w:val="es-ES"/>
        </w:rPr>
        <w:t xml:space="preserve">Bajo esta perspectiva, </w:t>
      </w:r>
      <w:r w:rsidRPr="003C436A">
        <w:rPr>
          <w:rFonts w:ascii="Verdana" w:hAnsi="Verdana" w:cs="Arial"/>
        </w:rPr>
        <w:t xml:space="preserve">vale anotar que si bien las ESAL pueden interactuar con el mercado, esta actividad no las convierte, </w:t>
      </w:r>
      <w:r w:rsidRPr="003C436A">
        <w:rPr>
          <w:rFonts w:ascii="Verdana" w:hAnsi="Verdana" w:cs="Arial"/>
          <w:i/>
          <w:iCs/>
        </w:rPr>
        <w:t>per se,</w:t>
      </w:r>
      <w:r w:rsidRPr="003C436A">
        <w:rPr>
          <w:rFonts w:ascii="Verdana" w:hAnsi="Verdana" w:cs="Arial"/>
        </w:rPr>
        <w:t xml:space="preserve"> en empresas en el sentido comercial puesto que la ausencia de ánimo de lucro y lo referente a la repartición de utilidades constituye un elemento que las excluye de la noción de empresa. Por tanto, su naturaleza jurídica es la de una organización civil con finalidad social, y no la de una sociedad mercantil orientada al lucro, lo que la excluye de la lógica de promoción que busca la Ley 2069 de 2020 para fortalecer el emprendimiento empresarial con fines comerciales en el sistema de compras públicas.</w:t>
      </w:r>
    </w:p>
    <w:p w14:paraId="148E87C3" w14:textId="77777777" w:rsidR="00711B75" w:rsidRPr="005743FE" w:rsidRDefault="00711B75" w:rsidP="00711B75">
      <w:pPr>
        <w:spacing w:after="120" w:line="276" w:lineRule="auto"/>
        <w:ind w:firstLine="708"/>
        <w:jc w:val="both"/>
        <w:rPr>
          <w:rFonts w:ascii="Verdana" w:hAnsi="Verdana" w:cs="Arial"/>
        </w:rPr>
      </w:pPr>
      <w:r w:rsidRPr="003C436A">
        <w:rPr>
          <w:rFonts w:ascii="Verdana" w:hAnsi="Verdana" w:cs="Arial"/>
          <w:lang w:val="es-ES"/>
        </w:rPr>
        <w:t xml:space="preserve">Sin embargo, esto no significa que las ESAL no sean personas jurídicas o no tengan capacidad de contratar con las entidades estatales. Por el contrario, el Decreto 092 de 2017 reguló su régimen especial de contratación y nada impide que puedan participar en términos de igualdad con los demás oferentes, en los procesos contractuales del Estatuto General de Contratación de la Administración Pública, salvo aquellos procesos contractuales limitados a </w:t>
      </w:r>
      <w:r w:rsidRPr="003C436A">
        <w:rPr>
          <w:rFonts w:ascii="Verdana" w:hAnsi="Verdana" w:cs="Arial"/>
          <w:lang w:val="es-ES"/>
        </w:rPr>
        <w:lastRenderedPageBreak/>
        <w:t>MiPymes de conformidad con los artículos 2.2.1.2.4.2.2</w:t>
      </w:r>
      <w:r w:rsidRPr="003C436A">
        <w:rPr>
          <w:rStyle w:val="Refdenotaalpie"/>
          <w:rFonts w:ascii="Verdana" w:eastAsia="Calibri" w:hAnsi="Verdana" w:cs="Arial"/>
          <w:lang w:val="es-ES"/>
        </w:rPr>
        <w:footnoteReference w:id="7"/>
      </w:r>
      <w:r w:rsidRPr="003C436A">
        <w:rPr>
          <w:rFonts w:ascii="Verdana" w:hAnsi="Verdana" w:cs="Arial"/>
          <w:lang w:val="es-ES"/>
        </w:rPr>
        <w:t xml:space="preserve"> y 2.2.1.2.4.2.3</w:t>
      </w:r>
      <w:r w:rsidRPr="003C436A">
        <w:rPr>
          <w:rStyle w:val="Refdenotaalpie"/>
          <w:rFonts w:ascii="Verdana" w:hAnsi="Verdana" w:cs="Arial"/>
          <w:lang w:val="es-ES"/>
        </w:rPr>
        <w:footnoteReference w:id="8"/>
      </w:r>
      <w:r w:rsidRPr="003C436A">
        <w:rPr>
          <w:rFonts w:ascii="Verdana" w:hAnsi="Verdana" w:cs="Arial"/>
          <w:lang w:val="es-ES"/>
        </w:rPr>
        <w:t xml:space="preserve"> del Decreto 1082 de 2015.</w:t>
      </w:r>
      <w:r w:rsidRPr="003C436A">
        <w:t xml:space="preserve"> </w:t>
      </w:r>
    </w:p>
    <w:p w14:paraId="3AFB0AB9" w14:textId="77777777" w:rsidR="00711B75" w:rsidRPr="003C436A" w:rsidRDefault="00711B75" w:rsidP="00711B75">
      <w:pPr>
        <w:spacing w:after="120" w:line="276" w:lineRule="auto"/>
        <w:ind w:firstLine="709"/>
        <w:jc w:val="both"/>
        <w:rPr>
          <w:rFonts w:ascii="Verdana" w:hAnsi="Verdana" w:cs="Arial"/>
        </w:rPr>
      </w:pPr>
      <w:r w:rsidRPr="003C436A">
        <w:rPr>
          <w:rFonts w:ascii="Verdana" w:hAnsi="Verdana" w:cs="Arial"/>
        </w:rPr>
        <w:t>De hecho, la existencia de esta regulación específica evidencia que las ESAL no se equiparan jurídicamente a las sociedades comerciales ni a las MiPymes, dado que el marco normativo las distingue claramente, destinando para ellas un régimen contractual particular. Esto confirma que, aunque las ESAL pueden concurrir a procesos de contratación pública, no forman parte de la categoría de MiPymes ni pueden ser tratadas bajo el mismo régimen legal que estas, lo que respalda su naturaleza jurídica especial y su finalidad no lucrativa.</w:t>
      </w:r>
    </w:p>
    <w:p w14:paraId="4BD72E9A" w14:textId="77777777" w:rsidR="00711B75" w:rsidRPr="003C436A" w:rsidRDefault="00711B75" w:rsidP="00711B75">
      <w:pPr>
        <w:spacing w:after="120" w:line="276" w:lineRule="auto"/>
        <w:ind w:firstLine="709"/>
        <w:jc w:val="both"/>
        <w:rPr>
          <w:rFonts w:ascii="Verdana" w:hAnsi="Verdana" w:cs="Arial"/>
          <w:lang w:val="es-ES"/>
        </w:rPr>
      </w:pPr>
      <w:r w:rsidRPr="003C436A">
        <w:rPr>
          <w:rFonts w:ascii="Verdana" w:hAnsi="Verdana" w:cs="Arial"/>
          <w:lang w:val="es-ES"/>
        </w:rPr>
        <w:t xml:space="preserve">Aunque no es posible que las ESAL sean equiparadas a las MiPymes en la normativa del sistema de compras públicas, es necesario aclarar que la Ley determinó un matiz para esta regla. </w:t>
      </w:r>
      <w:r w:rsidRPr="003C436A">
        <w:rPr>
          <w:rFonts w:ascii="Verdana" w:eastAsia="Calibri" w:hAnsi="Verdana" w:cs="Arial"/>
          <w:lang w:val="es-ES"/>
        </w:rPr>
        <w:t>El artículo 23 de la Ley 2069 de 2020 asimila las cooperativas y las demás entidades de economía solidaria -que incluye a las asociaciones mutualistas</w:t>
      </w:r>
      <w:r w:rsidRPr="003C436A">
        <w:rPr>
          <w:rFonts w:ascii="Verdana" w:eastAsia="Calibri" w:hAnsi="Verdana" w:cs="Arial"/>
          <w:i/>
          <w:iCs/>
          <w:lang w:val="es-ES"/>
        </w:rPr>
        <w:t>-</w:t>
      </w:r>
      <w:r w:rsidRPr="003C436A">
        <w:rPr>
          <w:rFonts w:ascii="Verdana" w:eastAsia="Calibri" w:hAnsi="Verdana" w:cs="Arial"/>
          <w:lang w:val="es-ES"/>
        </w:rPr>
        <w:t xml:space="preserve"> a </w:t>
      </w:r>
      <w:r w:rsidRPr="003C436A">
        <w:rPr>
          <w:rFonts w:ascii="Verdana" w:eastAsia="Calibri" w:hAnsi="Verdana" w:cs="Arial"/>
          <w:i/>
          <w:iCs/>
          <w:lang w:val="es-ES"/>
        </w:rPr>
        <w:t>empresas, específicamente a MiPymes</w:t>
      </w:r>
      <w:r w:rsidRPr="003C436A">
        <w:rPr>
          <w:rFonts w:ascii="Verdana" w:eastAsia="Calibri" w:hAnsi="Verdana" w:cs="Arial"/>
          <w:lang w:val="es-ES"/>
        </w:rPr>
        <w:t xml:space="preserve">, de conformidad con el artículo 2 de la Ley 590 de 2000 y el Decreto 957 de 2019, los cuales desarrollan las categorías de micro, pequeña y mediana en función </w:t>
      </w:r>
      <w:r w:rsidRPr="003C436A">
        <w:rPr>
          <w:rFonts w:ascii="Verdana" w:eastAsia="Calibri" w:hAnsi="Verdana" w:cs="Arial"/>
          <w:lang w:val="es-ES"/>
        </w:rPr>
        <w:lastRenderedPageBreak/>
        <w:t>del tamaño empresarial</w:t>
      </w:r>
      <w:r w:rsidRPr="003C436A">
        <w:rPr>
          <w:rFonts w:ascii="Verdana" w:hAnsi="Verdana" w:cs="Arial"/>
          <w:vertAlign w:val="superscript"/>
          <w:lang w:val="es-ES"/>
        </w:rPr>
        <w:footnoteReference w:id="9"/>
      </w:r>
      <w:r w:rsidRPr="003C436A">
        <w:rPr>
          <w:rFonts w:ascii="Verdana" w:eastAsia="Calibri" w:hAnsi="Verdana" w:cs="Arial"/>
          <w:lang w:val="es-ES"/>
        </w:rPr>
        <w:t>. El principal efecto de esta norma es que las medidas contempladas en la Ley 2069 de 2020 para promover la participación de la MiPymes sean aplicables a las cooperativas, las asociaciones mutualistas y a las demás entidades de economía solidaria.</w:t>
      </w:r>
    </w:p>
    <w:p w14:paraId="1923AA28" w14:textId="77777777" w:rsidR="00711B75" w:rsidRPr="003C436A" w:rsidRDefault="00711B75" w:rsidP="00711B75">
      <w:pPr>
        <w:spacing w:after="120" w:line="276" w:lineRule="auto"/>
        <w:ind w:firstLine="708"/>
        <w:jc w:val="both"/>
        <w:rPr>
          <w:rFonts w:ascii="Verdana" w:eastAsia="Calibri" w:hAnsi="Verdana" w:cs="Arial"/>
          <w:lang w:val="es-ES"/>
        </w:rPr>
      </w:pPr>
      <w:r w:rsidRPr="003C436A">
        <w:rPr>
          <w:rFonts w:ascii="Verdana" w:eastAsia="Calibri" w:hAnsi="Verdana" w:cs="Arial"/>
          <w:lang w:val="es-ES"/>
        </w:rPr>
        <w:t>De manera concordante con lo anterior, el parágrafo del Artículo 2.2.1.2.4.2.2, modificado por el artículo 5º del Decreto 1860 de 2021, se refirió a dicha asimilación en el caso específico de la limitación de convocatorias a MiPymes. Esta norma determina que “</w:t>
      </w:r>
      <w:r w:rsidRPr="003C436A">
        <w:rPr>
          <w:rFonts w:ascii="Verdana" w:eastAsia="Calibri" w:hAnsi="Verdana" w:cs="Arial"/>
        </w:rPr>
        <w:t>Las cooperativas y demás entidades de economía solidaria, siempre que tengan la calidad de MiPymes, podrán solicitar y participar en las convocatorias limitadas en las mismas condiciones dispuestas en el presente artículo”. En virtud de lo anterior, las cooperativas y demás entidades de la economía solidaria se encuentran facultadas para presentar solicitudes para la limitación de los procesos, siempre que cumplan con las condiciones de tamaño empresarial dispuestas para la categorización de las MiPymes.</w:t>
      </w:r>
    </w:p>
    <w:p w14:paraId="08437CB4" w14:textId="77777777" w:rsidR="00711B75" w:rsidRPr="003C436A" w:rsidRDefault="00711B75" w:rsidP="00711B75">
      <w:pPr>
        <w:spacing w:after="120" w:line="276" w:lineRule="auto"/>
        <w:ind w:firstLine="708"/>
        <w:jc w:val="both"/>
        <w:rPr>
          <w:rFonts w:ascii="Verdana" w:eastAsia="Calibri" w:hAnsi="Verdana" w:cs="Arial"/>
          <w:lang w:val="es-ES"/>
        </w:rPr>
      </w:pPr>
      <w:r w:rsidRPr="003C436A">
        <w:rPr>
          <w:rFonts w:ascii="Verdana" w:eastAsia="Calibri" w:hAnsi="Verdana" w:cs="Arial"/>
          <w:lang w:val="es-ES"/>
        </w:rPr>
        <w:t xml:space="preserve">Es necesario mencionar que la asimilación dispuesta por el artículo 23 de la Ley 2069 de 2020 y el artículo 2.2.1.2.4.2.2 del Decreto 1082 de 2015, no implica una alteración sustantiva de la naturaleza jurídica de las cooperativas y las empresas de economía solidaria, concebidas por la ley como entidades sin ánimo de lucro, pues su equiparación con las MiPymes se limita a la aplicación de las materias reguladas por la Ley 2069 de 2020 y no se extiende a otros supuestos. En ese sentido, el mandato de considerar este tipo de entidades como empresas y clasificarlas como MiPymes es una acción que busca vincularlas como proveedoras del mercado de compra pública dentro del ámbito de explotación económica que la ley ha concedido a estas entidades del sector solidario. </w:t>
      </w:r>
    </w:p>
    <w:p w14:paraId="2013B366" w14:textId="77777777" w:rsidR="00711B75" w:rsidRPr="003C436A" w:rsidRDefault="00711B75" w:rsidP="00711B75">
      <w:pPr>
        <w:spacing w:after="120" w:line="276" w:lineRule="auto"/>
        <w:jc w:val="both"/>
        <w:rPr>
          <w:rFonts w:ascii="Verdana" w:hAnsi="Verdana" w:cs="Arial"/>
          <w:lang w:val="es-ES"/>
        </w:rPr>
      </w:pPr>
      <w:r w:rsidRPr="003C436A">
        <w:rPr>
          <w:rFonts w:ascii="Verdana" w:eastAsia="Calibri" w:hAnsi="Verdana" w:cs="Arial"/>
        </w:rPr>
        <w:tab/>
      </w:r>
      <w:r w:rsidRPr="003C436A">
        <w:rPr>
          <w:rFonts w:ascii="Verdana" w:eastAsia="Calibri" w:hAnsi="Verdana" w:cs="Arial"/>
          <w:lang w:val="es-ES"/>
        </w:rPr>
        <w:t>A pesar de que las cooperativas, las asociaciones mutuales y, en general, las empresas de economía solidaria tienen, por disposición de la ley, la naturaleza de ESAL, se distinguen de la generalidad de las entidades sin ánimo de lucro</w:t>
      </w:r>
      <w:r w:rsidRPr="003C436A">
        <w:rPr>
          <w:rFonts w:ascii="Verdana" w:hAnsi="Verdana" w:cs="Arial"/>
          <w:lang w:val="es-ES"/>
        </w:rPr>
        <w:t xml:space="preserve">. Esto en la medida en que, al estar enmarcadas dentro de la economía solidaria, el ordenamiento jurídico les permite cierto margen de explotación </w:t>
      </w:r>
      <w:r w:rsidRPr="003C436A">
        <w:rPr>
          <w:rFonts w:ascii="Verdana" w:hAnsi="Verdana" w:cs="Arial"/>
          <w:lang w:val="es-ES"/>
        </w:rPr>
        <w:lastRenderedPageBreak/>
        <w:t xml:space="preserve">económica concebido para la satisfacción de necesidades de sus asociados y el desarrollo de obras de servicio comunitario. </w:t>
      </w:r>
    </w:p>
    <w:p w14:paraId="2ED617C3" w14:textId="77777777" w:rsidR="00711B75" w:rsidRPr="003C436A" w:rsidRDefault="00711B75" w:rsidP="00711B75">
      <w:pPr>
        <w:spacing w:after="120" w:line="276" w:lineRule="auto"/>
        <w:ind w:firstLine="708"/>
        <w:jc w:val="both"/>
        <w:rPr>
          <w:rFonts w:ascii="Verdana" w:hAnsi="Verdana" w:cs="Arial"/>
          <w:lang w:val="es-ES"/>
        </w:rPr>
      </w:pPr>
      <w:r w:rsidRPr="003C436A">
        <w:rPr>
          <w:rFonts w:ascii="Verdana" w:hAnsi="Verdana" w:cs="Arial"/>
          <w:lang w:val="es-ES"/>
        </w:rPr>
        <w:t xml:space="preserve">En ese sentido, tal como se deprende del inciso primero y del numeral 1 del artículo 6 de la Ley 454 de 1998, las entidades de economía solidaria se caracterizan porque sus trabajadores y/o usuarios son simultáneamente sus aportantes y gestores, siendo además creadas con el </w:t>
      </w:r>
      <w:r w:rsidRPr="003C436A">
        <w:rPr>
          <w:rFonts w:ascii="Verdana" w:hAnsi="Verdana" w:cs="Arial"/>
          <w:i/>
          <w:iCs/>
          <w:lang w:val="es-ES"/>
        </w:rPr>
        <w:t>objeto de producir, distribuir y consumir conjuntamente bienes y servicios para satisfacer las necesidades de sus miembros</w:t>
      </w:r>
      <w:r w:rsidRPr="003C436A">
        <w:rPr>
          <w:rFonts w:ascii="Verdana" w:hAnsi="Verdana" w:cs="Arial"/>
          <w:lang w:val="es-ES"/>
        </w:rPr>
        <w:t xml:space="preserve"> y desarrollar obras de servicio a la comunidad en general, para lo cual deben estar constituidas como </w:t>
      </w:r>
      <w:r w:rsidRPr="003C436A">
        <w:rPr>
          <w:rFonts w:ascii="Verdana" w:hAnsi="Verdana" w:cs="Arial"/>
          <w:i/>
          <w:iCs/>
          <w:lang w:val="es-ES"/>
        </w:rPr>
        <w:t>empresas</w:t>
      </w:r>
      <w:r w:rsidRPr="003C436A">
        <w:rPr>
          <w:rFonts w:ascii="Verdana" w:hAnsi="Verdana" w:cs="Arial"/>
          <w:lang w:val="es-ES"/>
        </w:rPr>
        <w:t xml:space="preserve">. En el marco de las actividades económicas tendientes a la producción y distribución de bienes o prestación de servicios por parte de entidades de economía solidaria, la ley admite que estas provean esos bienes o presten tales servicios a Entidades Estatales. </w:t>
      </w:r>
    </w:p>
    <w:p w14:paraId="665A6728" w14:textId="77777777" w:rsidR="00711B75" w:rsidRPr="003C436A" w:rsidRDefault="00711B75" w:rsidP="00711B75">
      <w:pPr>
        <w:spacing w:after="120" w:line="276" w:lineRule="auto"/>
        <w:ind w:firstLine="708"/>
        <w:jc w:val="both"/>
        <w:rPr>
          <w:rFonts w:ascii="Verdana" w:eastAsia="Calibri" w:hAnsi="Verdana" w:cs="Arial"/>
          <w:lang w:val="es-ES"/>
        </w:rPr>
      </w:pPr>
      <w:r w:rsidRPr="003C436A">
        <w:rPr>
          <w:rFonts w:ascii="Verdana" w:hAnsi="Verdana" w:cs="Arial"/>
          <w:lang w:val="es-ES"/>
        </w:rPr>
        <w:t xml:space="preserve">De esta manera, los incentivos referidos en la Ley 2069 de 2020 y la posibilidad de solicitar la limitación de las convocatorias a MiPymes no son extensibles a todas las ESAL, sino únicamente a aquellas que corresponden al concepto de </w:t>
      </w:r>
      <w:r w:rsidRPr="003C436A">
        <w:rPr>
          <w:rFonts w:ascii="Verdana" w:eastAsia="Calibri" w:hAnsi="Verdana" w:cs="Arial"/>
          <w:lang w:val="es-ES"/>
        </w:rPr>
        <w:t xml:space="preserve">cooperativas y demás entes considerados de economía solidaria, </w:t>
      </w:r>
      <w:r w:rsidRPr="003C436A">
        <w:rPr>
          <w:rFonts w:ascii="Verdana" w:eastAsia="Geomanist Light" w:hAnsi="Verdana" w:cs="Arial"/>
          <w:lang w:val="es-ES"/>
        </w:rPr>
        <w:t>en los términos del artículo 6 de la Ley 454 de 1998 –norma a la que remite el artículo 23 de la Ley de Emprendimiento–.</w:t>
      </w:r>
      <w:r w:rsidRPr="003C436A">
        <w:rPr>
          <w:rFonts w:ascii="Verdana" w:eastAsia="Calibri" w:hAnsi="Verdana" w:cs="Arial"/>
          <w:lang w:val="es-ES"/>
        </w:rPr>
        <w:t xml:space="preserve"> </w:t>
      </w:r>
      <w:r w:rsidRPr="003C436A">
        <w:rPr>
          <w:rFonts w:ascii="Verdana" w:eastAsia="Geomanist Light" w:hAnsi="Verdana" w:cs="Arial"/>
          <w:lang w:val="es-ES"/>
        </w:rPr>
        <w:t xml:space="preserve">En tal sentido, debe analizarse si la ESAL cumple con las características establecidas en dicho artículo, para considerarla una organización de economía solidaria. </w:t>
      </w:r>
      <w:r w:rsidRPr="003C436A">
        <w:rPr>
          <w:rFonts w:ascii="Verdana" w:eastAsia="Calibri" w:hAnsi="Verdana" w:cs="Arial"/>
          <w:lang w:val="es-ES"/>
        </w:rPr>
        <w:t>Solo las que cumplan estos requisitos podrán ser asimiladas a las MiPymes y acceder a los requisitos diferenciales de la Ley 2069 de 2020, así como participar en las convocatorias limitadas a estas, y les permite incluso manifestar su interés de participar en el proceso de selección en los términos del artículo 2.2.1.2.4.2.2 del Decreto 1082 de 2015.</w:t>
      </w:r>
    </w:p>
    <w:p w14:paraId="35346923" w14:textId="77777777" w:rsidR="00711B75" w:rsidRPr="003C436A" w:rsidRDefault="00711B75" w:rsidP="00711B75">
      <w:pPr>
        <w:spacing w:after="120" w:line="276" w:lineRule="auto"/>
        <w:ind w:firstLine="708"/>
        <w:jc w:val="both"/>
        <w:rPr>
          <w:rFonts w:ascii="Verdana" w:eastAsia="Calibri" w:hAnsi="Verdana" w:cs="Arial"/>
        </w:rPr>
      </w:pPr>
      <w:r w:rsidRPr="003C436A">
        <w:rPr>
          <w:rFonts w:ascii="Verdana" w:hAnsi="Verdana" w:cs="Arial"/>
          <w:lang w:val="es-ES"/>
        </w:rPr>
        <w:t xml:space="preserve">Así las cosas, </w:t>
      </w:r>
      <w:r w:rsidRPr="003C436A">
        <w:rPr>
          <w:rFonts w:ascii="Verdana" w:eastAsia="Calibri" w:hAnsi="Verdana" w:cs="Arial"/>
        </w:rPr>
        <w:t xml:space="preserve">es importante destacar que la ley 2069 de 2020 no extiende esta asimilación a MiPymes a otras formas de ESAL, como fundaciones o asociaciones, sino únicamente a las </w:t>
      </w:r>
      <w:r w:rsidRPr="003C436A">
        <w:rPr>
          <w:rFonts w:ascii="Verdana" w:eastAsia="Calibri" w:hAnsi="Verdana" w:cs="Arial"/>
          <w:lang w:val="es-ES"/>
        </w:rPr>
        <w:t>cooperativas y demás entes considerados de economía solidaria</w:t>
      </w:r>
      <w:r w:rsidRPr="003C436A">
        <w:rPr>
          <w:rFonts w:ascii="Verdana" w:eastAsia="Calibri" w:hAnsi="Verdana" w:cs="Arial"/>
        </w:rPr>
        <w:t>. De esta forma, se podría concluir que la ausencia de mención explícita a otras ESAL en el marco de este beneficio indica que el legislador deliberadamente excluyó a estas entidades del tratamiento especial otorgado a las cooperativas.</w:t>
      </w:r>
      <w:r w:rsidRPr="003C436A">
        <w:t xml:space="preserve"> </w:t>
      </w:r>
      <w:r w:rsidRPr="003C436A">
        <w:rPr>
          <w:rFonts w:ascii="Verdana" w:eastAsia="Calibri" w:hAnsi="Verdana" w:cs="Arial"/>
        </w:rPr>
        <w:t xml:space="preserve">En consecuencia, la norma evidencia una voluntad normativa clara de diferenciación, sustentada en las características y objetivos propios de cada tipo de entidad, y no puede ser entendido como un vacío o un </w:t>
      </w:r>
      <w:r w:rsidRPr="003C436A">
        <w:rPr>
          <w:rFonts w:ascii="Verdana" w:eastAsia="Calibri" w:hAnsi="Verdana" w:cs="Arial"/>
        </w:rPr>
        <w:lastRenderedPageBreak/>
        <w:t>ámbito abierto a la interpretación amplia que equipare a las demás ESAL automáticamente con las MiPymes.</w:t>
      </w:r>
    </w:p>
    <w:p w14:paraId="36B22401" w14:textId="77777777" w:rsidR="00711B75" w:rsidRPr="003C436A" w:rsidRDefault="00711B75" w:rsidP="00711B75">
      <w:pPr>
        <w:spacing w:after="120" w:line="276" w:lineRule="auto"/>
        <w:jc w:val="both"/>
        <w:rPr>
          <w:rFonts w:ascii="Verdana" w:hAnsi="Verdana" w:cs="Arial"/>
        </w:rPr>
      </w:pPr>
      <w:r w:rsidRPr="003C436A">
        <w:rPr>
          <w:rFonts w:ascii="Verdana" w:hAnsi="Verdana" w:cs="Arial"/>
        </w:rPr>
        <w:t>iii. Por su parte, la posibilidad de que la solicitud de limitación a MiPymes sea realizada por una ESAL, la postura de la agencia ha señalado que:</w:t>
      </w:r>
    </w:p>
    <w:p w14:paraId="6B1C0E5B" w14:textId="77777777" w:rsidR="00711B75" w:rsidRPr="003C436A" w:rsidRDefault="00711B75" w:rsidP="00711B75">
      <w:pPr>
        <w:spacing w:after="120" w:line="276" w:lineRule="auto"/>
        <w:jc w:val="both"/>
        <w:rPr>
          <w:rFonts w:ascii="Verdana" w:hAnsi="Verdana" w:cs="Arial"/>
        </w:rPr>
      </w:pPr>
      <w:r w:rsidRPr="003C436A">
        <w:rPr>
          <w:rFonts w:ascii="Verdana" w:hAnsi="Verdana" w:cs="Arial"/>
        </w:rPr>
        <w:tab/>
        <w:t>Respecto a las convocatorias limitadas a Mipymes, el 31 de diciembre de 2020, se promulgó la Ley 2069, “Por medio de la cual se impulsa el emprendimiento en Colombia”. En cuanto a su contenido, como dispone el artículo 1, aquella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w:t>
      </w:r>
    </w:p>
    <w:p w14:paraId="2E5FAAA7" w14:textId="77777777" w:rsidR="00711B75" w:rsidRPr="003C436A" w:rsidRDefault="00711B75" w:rsidP="00711B75">
      <w:pPr>
        <w:spacing w:after="120" w:line="276" w:lineRule="auto"/>
        <w:jc w:val="both"/>
        <w:rPr>
          <w:rFonts w:ascii="Verdana" w:hAnsi="Verdana" w:cs="Arial"/>
        </w:rPr>
      </w:pPr>
      <w:r w:rsidRPr="003C436A">
        <w:rPr>
          <w:rFonts w:ascii="Verdana" w:hAnsi="Verdana" w:cs="Arial"/>
        </w:rPr>
        <w:tab/>
        <w:t>En desarrollo de esta finalidad, se establecen medidas de apoyo para las Mipymes, mediante la racionalización y simplificación de los trámites y tarifas, así como incentivos a favor de aquellas dentro del sistema de compras y contratación pública. De igual forma, en la citada Ley se consagró mecanismos para fortalecer y promover los distintos sectores de la economía y se prevén para ello medidas de educación para el emprendimiento y la innovación.</w:t>
      </w:r>
    </w:p>
    <w:p w14:paraId="27228A3B" w14:textId="77777777" w:rsidR="00711B75" w:rsidRPr="003C436A" w:rsidRDefault="00711B75" w:rsidP="00711B75">
      <w:pPr>
        <w:spacing w:after="120" w:line="276" w:lineRule="auto"/>
        <w:jc w:val="both"/>
        <w:rPr>
          <w:rFonts w:ascii="Verdana" w:hAnsi="Verdana" w:cs="Arial"/>
        </w:rPr>
      </w:pPr>
      <w:r w:rsidRPr="003C436A">
        <w:rPr>
          <w:rFonts w:ascii="Verdana" w:hAnsi="Verdana" w:cs="Arial"/>
        </w:rPr>
        <w:tab/>
        <w:t>Como se indicó, parte de la Ley 2069 de 2020 contiene normas que modifican algunos aspectos de la contratación estatal para promover el emprendimiento. Concretamente, aquellas se encuentran en el Capítulo III –artículos 30 al 36–. Teniendo en cuenta que la consulta está relacionada con las convocatorias limitadas a Mipymes, a continuación de se estudiará el contenido y alcance del artículo 34.</w:t>
      </w:r>
    </w:p>
    <w:p w14:paraId="731DD0CC" w14:textId="77777777" w:rsidR="00711B75" w:rsidRPr="003C436A" w:rsidRDefault="00711B75" w:rsidP="00711B75">
      <w:pPr>
        <w:spacing w:after="120" w:line="276" w:lineRule="auto"/>
        <w:ind w:firstLine="708"/>
        <w:jc w:val="both"/>
        <w:rPr>
          <w:rFonts w:ascii="Verdana" w:eastAsia="Calibri" w:hAnsi="Verdana" w:cs="Arial"/>
        </w:rPr>
      </w:pPr>
      <w:r w:rsidRPr="003C436A">
        <w:rPr>
          <w:rFonts w:ascii="Verdana" w:eastAsia="Calibri" w:hAnsi="Verdana" w:cs="Arial"/>
        </w:rPr>
        <w:t xml:space="preserve">El artículo 34 de la Ley 2069 de 2020 modificó el artículo 12 de la Ley 1150 de 2007, el cual regula la promoción del desarrollo en la contratación pública, cambiando los requisitos esenciales para que procedan las convocatorias limitadas a Mipymes, de la siguiente forma: i) estableció que estas deben desarrollarse independientemente del régimen de contratación de la Entidad Estatal –es decir, también deben efectuarlas las Entidades Estatales exceptuadas del EGCAP o que se rigen por derecho privado–; ii) señaló que los patrimonios autónomos constituidos por Entidades Estatales y los particulares que ejecuten recursos públicos también son destinatarios de esta exigencia; y,  </w:t>
      </w:r>
      <w:r w:rsidRPr="003C436A">
        <w:rPr>
          <w:rFonts w:ascii="Verdana" w:eastAsia="Calibri" w:hAnsi="Verdana" w:cs="Arial"/>
        </w:rPr>
        <w:lastRenderedPageBreak/>
        <w:t>iii) indicó que para que pueda haber convocatorias limitadas a MiPymes, dos (2) de ellas deben manifestar su interés.</w:t>
      </w:r>
    </w:p>
    <w:p w14:paraId="59E01A5E" w14:textId="77777777" w:rsidR="00711B75" w:rsidRPr="003C436A" w:rsidRDefault="00711B75" w:rsidP="00711B75">
      <w:pPr>
        <w:spacing w:after="120" w:line="276" w:lineRule="auto"/>
        <w:ind w:firstLine="708"/>
        <w:jc w:val="both"/>
        <w:rPr>
          <w:rFonts w:ascii="Verdana" w:eastAsia="Calibri" w:hAnsi="Verdana" w:cs="Arial"/>
        </w:rPr>
      </w:pPr>
      <w:r w:rsidRPr="003C436A">
        <w:rPr>
          <w:rFonts w:ascii="Verdana" w:eastAsia="Calibri" w:hAnsi="Verdana" w:cs="Arial"/>
        </w:rPr>
        <w:t>El artículo 2.2.1.2.4.2.2. del Decreto 1082 de 2015 modificado por el Decreto 1860 de 2021– establece los requisitos que se deben</w:t>
      </w:r>
      <w:r w:rsidRPr="003C436A">
        <w:t xml:space="preserve"> </w:t>
      </w:r>
      <w:r w:rsidRPr="003C436A">
        <w:rPr>
          <w:rFonts w:ascii="Verdana" w:eastAsia="Calibri" w:hAnsi="Verdana" w:cs="Arial"/>
        </w:rPr>
        <w:t xml:space="preserve">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MiPymes colombianas con mínimo un (1) año de existencia, siempre que se cumplan los requisitos señalados allí. Al respecto indica lo siguiente: </w:t>
      </w:r>
    </w:p>
    <w:p w14:paraId="05607686" w14:textId="77777777" w:rsidR="00711B75" w:rsidRPr="003C436A" w:rsidRDefault="00711B75" w:rsidP="00711B75">
      <w:pPr>
        <w:spacing w:after="120" w:line="276" w:lineRule="auto"/>
        <w:ind w:left="709" w:right="709"/>
        <w:jc w:val="both"/>
        <w:rPr>
          <w:rFonts w:ascii="Verdana" w:eastAsia="Calibri" w:hAnsi="Verdana" w:cs="Arial"/>
          <w:sz w:val="20"/>
          <w:szCs w:val="20"/>
        </w:rPr>
      </w:pPr>
      <w:r w:rsidRPr="003C436A">
        <w:rPr>
          <w:rFonts w:ascii="Verdana" w:eastAsia="Calibri" w:hAnsi="Verdana" w:cs="Arial"/>
          <w:sz w:val="20"/>
          <w:szCs w:val="20"/>
        </w:rPr>
        <w:t xml:space="preserve">“Artículo 2.2.1.2.4.2.2. Convocatorias Imitadas a MiPymes.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cuando concurran los siguientes requisitos: </w:t>
      </w:r>
    </w:p>
    <w:p w14:paraId="60AF9525" w14:textId="77777777" w:rsidR="00711B75" w:rsidRPr="003C436A" w:rsidRDefault="00711B75" w:rsidP="00711B75">
      <w:pPr>
        <w:spacing w:after="120" w:line="276" w:lineRule="auto"/>
        <w:ind w:left="709" w:right="709"/>
        <w:jc w:val="both"/>
        <w:rPr>
          <w:rFonts w:ascii="Verdana" w:eastAsia="Calibri" w:hAnsi="Verdana" w:cs="Arial"/>
          <w:sz w:val="20"/>
          <w:szCs w:val="20"/>
        </w:rPr>
      </w:pPr>
      <w:r w:rsidRPr="003C436A">
        <w:rPr>
          <w:rFonts w:ascii="Verdana" w:eastAsia="Calibri" w:hAnsi="Verdana" w:cs="Arial"/>
          <w:sz w:val="20"/>
          <w:szCs w:val="20"/>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4AF99B8F" w14:textId="77777777" w:rsidR="00711B75" w:rsidRPr="003C436A" w:rsidRDefault="00711B75" w:rsidP="00711B75">
      <w:pPr>
        <w:spacing w:after="120" w:line="276" w:lineRule="auto"/>
        <w:ind w:left="709" w:right="709"/>
        <w:jc w:val="both"/>
        <w:rPr>
          <w:rFonts w:ascii="Verdana" w:eastAsia="Calibri" w:hAnsi="Verdana" w:cs="Arial"/>
          <w:sz w:val="20"/>
          <w:szCs w:val="20"/>
        </w:rPr>
      </w:pPr>
      <w:r w:rsidRPr="003C436A">
        <w:rPr>
          <w:rFonts w:ascii="Verdana" w:eastAsia="Calibri" w:hAnsi="Verdana" w:cs="Arial"/>
          <w:sz w:val="20"/>
          <w:szCs w:val="20"/>
        </w:rPr>
        <w:t xml:space="preserve">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 </w:t>
      </w:r>
    </w:p>
    <w:p w14:paraId="64D1A519" w14:textId="77777777" w:rsidR="00711B75" w:rsidRPr="003C436A" w:rsidRDefault="00711B75" w:rsidP="00711B75">
      <w:pPr>
        <w:spacing w:after="120" w:line="276" w:lineRule="auto"/>
        <w:ind w:left="709" w:right="709"/>
        <w:jc w:val="both"/>
        <w:rPr>
          <w:rFonts w:ascii="Verdana" w:eastAsia="Calibri" w:hAnsi="Verdana" w:cs="Arial"/>
          <w:sz w:val="20"/>
          <w:szCs w:val="20"/>
        </w:rPr>
      </w:pPr>
      <w:r w:rsidRPr="003C436A">
        <w:rPr>
          <w:rFonts w:ascii="Verdana" w:eastAsia="Calibri" w:hAnsi="Verdana" w:cs="Arial"/>
          <w:sz w:val="20"/>
          <w:szCs w:val="20"/>
        </w:rPr>
        <w:t xml:space="preserve">Parágrafo. Las cooperativas y demás entidades de economía solidaria, siempre que tengan la calidad de Mipyme, podrán solicitar y participar en las convocatorias limitadas en las mismas condiciones dispuestas en el presente artículo”. </w:t>
      </w:r>
    </w:p>
    <w:p w14:paraId="59B79C5A" w14:textId="77777777" w:rsidR="00711B75" w:rsidRPr="003C436A" w:rsidRDefault="00711B75" w:rsidP="00711B75">
      <w:pPr>
        <w:spacing w:after="120" w:line="276" w:lineRule="auto"/>
        <w:ind w:firstLine="709"/>
        <w:jc w:val="both"/>
        <w:rPr>
          <w:rFonts w:ascii="Verdana" w:eastAsia="Calibri" w:hAnsi="Verdana" w:cs="Arial"/>
        </w:rPr>
      </w:pPr>
      <w:r w:rsidRPr="003C436A">
        <w:rPr>
          <w:rFonts w:ascii="Verdana" w:eastAsia="Calibri" w:hAnsi="Verdana" w:cs="Arial"/>
        </w:rPr>
        <w:lastRenderedPageBreak/>
        <w:t>Según se evidencia, 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w:t>
      </w:r>
      <w:r w:rsidRPr="003C436A">
        <w:rPr>
          <w:rStyle w:val="Refdenotaalpie"/>
          <w:rFonts w:ascii="Verdana" w:eastAsia="Calibri" w:hAnsi="Verdana" w:cs="Arial"/>
        </w:rPr>
        <w:footnoteReference w:id="10"/>
      </w:r>
      <w:r w:rsidRPr="003C436A">
        <w:rPr>
          <w:rFonts w:ascii="Verdana" w:eastAsia="Calibri" w:hAnsi="Verdana" w:cs="Arial"/>
        </w:rPr>
        <w:t xml:space="preserve">. </w:t>
      </w:r>
    </w:p>
    <w:p w14:paraId="73F61497" w14:textId="77777777" w:rsidR="00711B75" w:rsidRPr="003C436A" w:rsidRDefault="00711B75" w:rsidP="00711B75">
      <w:pPr>
        <w:spacing w:after="120" w:line="276" w:lineRule="auto"/>
        <w:ind w:firstLine="709"/>
        <w:jc w:val="both"/>
        <w:rPr>
          <w:rFonts w:ascii="Verdana" w:eastAsia="Calibri" w:hAnsi="Verdana" w:cs="Arial"/>
        </w:rPr>
      </w:pPr>
      <w:r w:rsidRPr="003C436A">
        <w:rPr>
          <w:rFonts w:ascii="Verdana" w:eastAsia="Calibri" w:hAnsi="Verdana" w:cs="Arial"/>
        </w:rPr>
        <w:t xml:space="preserve">Por su parte, el numeral segundo establece dos exigencias: por un lado, que al menos dos (2) MiPymes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Además, la norma señala que, tratándose de personas jurídicas, las solicitudes solo las podrán realizar MiPymes, cuyo objeto social les permita ejecutar el contrato relacionado con el proceso contractual. </w:t>
      </w:r>
    </w:p>
    <w:p w14:paraId="4280D446" w14:textId="77777777" w:rsidR="00711B75" w:rsidRPr="003C436A" w:rsidRDefault="00711B75" w:rsidP="00711B75">
      <w:pPr>
        <w:spacing w:after="120" w:line="276" w:lineRule="auto"/>
        <w:ind w:firstLine="709"/>
        <w:jc w:val="both"/>
        <w:rPr>
          <w:rFonts w:ascii="Verdana" w:eastAsia="Calibri" w:hAnsi="Verdana" w:cs="Arial"/>
        </w:rPr>
      </w:pPr>
      <w:r w:rsidRPr="003C436A">
        <w:rPr>
          <w:rFonts w:ascii="Verdana" w:eastAsia="Calibri" w:hAnsi="Verdana" w:cs="Arial"/>
        </w:rPr>
        <w:t>Por lo demás, este artículo incluye a las cooperativas y demás entidades de economía solidaria dentro de los sujetos que pueden solicitar y participar en las convocatorias limitadas a Mipyme, siempre que estas cumplan con las condiciones señaladas en el artículo. Así las cosas, es claro que las entidades independientemente de su régimen de 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cuando se cumplan los requisitos previstos en el artículo 2.2.1.2.4.2.2 del Decreto 1082 de 2015 anteriormente señalado.</w:t>
      </w:r>
    </w:p>
    <w:p w14:paraId="635C5F2A" w14:textId="77777777" w:rsidR="00711B75" w:rsidRPr="0016023B" w:rsidRDefault="00711B75" w:rsidP="00711B75">
      <w:pPr>
        <w:spacing w:after="120" w:line="276" w:lineRule="auto"/>
        <w:jc w:val="both"/>
        <w:rPr>
          <w:rFonts w:ascii="Verdana" w:hAnsi="Verdana" w:cs="Arial"/>
        </w:rPr>
      </w:pPr>
      <w:r w:rsidRPr="000B6408">
        <w:rPr>
          <w:rFonts w:ascii="Verdana" w:hAnsi="Verdana" w:cs="Arial"/>
        </w:rPr>
        <w:t xml:space="preserve">iv. </w:t>
      </w:r>
      <w:r w:rsidRPr="000B6408">
        <w:rPr>
          <w:rFonts w:ascii="Verdana" w:eastAsia="Calibri" w:hAnsi="Verdana" w:cs="Arial"/>
        </w:rPr>
        <w:t xml:space="preserve">Finalmente, es pertinente indicar que la Agencia Nacional de Contratación Púbica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w:t>
      </w:r>
      <w:r w:rsidRPr="000B6408">
        <w:rPr>
          <w:rFonts w:ascii="Verdana" w:eastAsia="Calibri" w:hAnsi="Verdana" w:cs="Arial"/>
        </w:rPr>
        <w:lastRenderedPageBreak/>
        <w:t xml:space="preserve">contratación, las facultadas para determinar en cada caso particular y concreto, con los principios básicos y las normas que rigen el Estatuto General de Contratación de la Administración Pública.  </w:t>
      </w:r>
      <w:r w:rsidRPr="000B6408">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p w14:paraId="69BBB103" w14:textId="77777777" w:rsidR="00711B75" w:rsidRPr="00765A89" w:rsidRDefault="00711B75" w:rsidP="00711B75">
      <w:pPr>
        <w:spacing w:after="0" w:line="276" w:lineRule="auto"/>
        <w:jc w:val="both"/>
        <w:rPr>
          <w:rFonts w:ascii="Verdana" w:eastAsia="Century Gothic" w:hAnsi="Verdana" w:cs="Century Gothic"/>
          <w:b/>
          <w:lang w:val="es-ES"/>
        </w:rPr>
      </w:pPr>
      <w:r w:rsidRPr="00765A89">
        <w:rPr>
          <w:rFonts w:ascii="Verdana" w:eastAsia="Century Gothic" w:hAnsi="Verdana" w:cs="Century Gothic"/>
          <w:b/>
          <w:lang w:val="es-ES"/>
        </w:rPr>
        <w:t>4. Referencias normativas, jurisprudenciales y otras fuentes:</w:t>
      </w:r>
    </w:p>
    <w:p w14:paraId="6082A95D" w14:textId="77777777" w:rsidR="00711B75" w:rsidRPr="00965212" w:rsidRDefault="00711B75" w:rsidP="00711B75">
      <w:pPr>
        <w:spacing w:after="0" w:line="276" w:lineRule="auto"/>
        <w:jc w:val="both"/>
        <w:rPr>
          <w:rFonts w:ascii="Verdana" w:eastAsia="Century Gothic" w:hAnsi="Verdana" w:cs="Century Gothic"/>
          <w:b/>
          <w:color w:val="ED7D31" w:themeColor="accent2"/>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11B75" w:rsidRPr="00965212" w14:paraId="31C42F29" w14:textId="77777777" w:rsidTr="00607185">
        <w:trPr>
          <w:trHeight w:val="311"/>
        </w:trPr>
        <w:tc>
          <w:tcPr>
            <w:tcW w:w="8647" w:type="dxa"/>
          </w:tcPr>
          <w:p w14:paraId="0FA8367F" w14:textId="77777777" w:rsidR="00711B75" w:rsidRPr="00747BF4" w:rsidRDefault="00711B75" w:rsidP="00607185">
            <w:pPr>
              <w:widowControl w:val="0"/>
              <w:numPr>
                <w:ilvl w:val="0"/>
                <w:numId w:val="16"/>
              </w:numPr>
              <w:autoSpaceDE w:val="0"/>
              <w:autoSpaceDN w:val="0"/>
              <w:spacing w:line="276" w:lineRule="auto"/>
              <w:jc w:val="both"/>
              <w:rPr>
                <w:rFonts w:ascii="Verdana" w:eastAsia="Calibri" w:hAnsi="Verdana" w:cs="Arial"/>
                <w:lang w:val="es-ES"/>
              </w:rPr>
            </w:pPr>
            <w:r w:rsidRPr="00747BF4">
              <w:rPr>
                <w:rFonts w:ascii="Verdana" w:eastAsia="Calibri" w:hAnsi="Verdana" w:cs="Arial"/>
                <w:lang w:val="es-ES"/>
              </w:rPr>
              <w:t>Constitución Política de Colombia. Artículo 38</w:t>
            </w:r>
          </w:p>
          <w:p w14:paraId="433F5438" w14:textId="77777777" w:rsidR="00711B75" w:rsidRPr="00747BF4" w:rsidRDefault="00711B75" w:rsidP="00607185">
            <w:pPr>
              <w:widowControl w:val="0"/>
              <w:numPr>
                <w:ilvl w:val="0"/>
                <w:numId w:val="16"/>
              </w:numPr>
              <w:autoSpaceDE w:val="0"/>
              <w:autoSpaceDN w:val="0"/>
              <w:spacing w:line="276" w:lineRule="auto"/>
              <w:jc w:val="both"/>
              <w:rPr>
                <w:rFonts w:ascii="Verdana" w:eastAsia="Calibri" w:hAnsi="Verdana" w:cs="Arial"/>
                <w:lang w:val="es-ES"/>
              </w:rPr>
            </w:pPr>
            <w:r w:rsidRPr="00747BF4">
              <w:rPr>
                <w:rFonts w:ascii="Verdana" w:eastAsia="Calibri" w:hAnsi="Verdana" w:cs="Arial"/>
                <w:lang w:val="es-ES"/>
              </w:rPr>
              <w:t>Ley 454 de 1998. Artículo 6</w:t>
            </w:r>
          </w:p>
          <w:p w14:paraId="6F8EB704" w14:textId="77777777" w:rsidR="00711B75" w:rsidRPr="00747BF4" w:rsidRDefault="00711B75" w:rsidP="00607185">
            <w:pPr>
              <w:widowControl w:val="0"/>
              <w:numPr>
                <w:ilvl w:val="0"/>
                <w:numId w:val="16"/>
              </w:numPr>
              <w:autoSpaceDE w:val="0"/>
              <w:autoSpaceDN w:val="0"/>
              <w:spacing w:line="276" w:lineRule="auto"/>
              <w:jc w:val="both"/>
              <w:rPr>
                <w:rFonts w:ascii="Verdana" w:eastAsia="Calibri" w:hAnsi="Verdana" w:cs="Arial"/>
                <w:lang w:val="es-ES"/>
              </w:rPr>
            </w:pPr>
            <w:r w:rsidRPr="00747BF4">
              <w:rPr>
                <w:rFonts w:ascii="Verdana" w:eastAsia="Calibri" w:hAnsi="Verdana" w:cs="Arial"/>
                <w:lang w:val="es-ES"/>
              </w:rPr>
              <w:t>Ley 1150 del 2007. Artículo 12</w:t>
            </w:r>
          </w:p>
          <w:p w14:paraId="51100A04" w14:textId="77777777" w:rsidR="00711B75" w:rsidRPr="00747BF4" w:rsidRDefault="00711B75" w:rsidP="00607185">
            <w:pPr>
              <w:widowControl w:val="0"/>
              <w:numPr>
                <w:ilvl w:val="0"/>
                <w:numId w:val="16"/>
              </w:numPr>
              <w:autoSpaceDE w:val="0"/>
              <w:autoSpaceDN w:val="0"/>
              <w:spacing w:line="276" w:lineRule="auto"/>
              <w:jc w:val="both"/>
              <w:rPr>
                <w:rFonts w:ascii="Verdana" w:eastAsia="Calibri" w:hAnsi="Verdana" w:cs="Arial"/>
                <w:lang w:val="es-ES"/>
              </w:rPr>
            </w:pPr>
            <w:r w:rsidRPr="00747BF4">
              <w:rPr>
                <w:rFonts w:ascii="Verdana" w:eastAsia="Calibri" w:hAnsi="Verdana" w:cs="Arial"/>
                <w:lang w:val="es-ES"/>
              </w:rPr>
              <w:t>Ley 1450 de 2011. Artículo 43</w:t>
            </w:r>
          </w:p>
          <w:p w14:paraId="6F5D1524" w14:textId="77777777" w:rsidR="00711B75" w:rsidRPr="00747BF4" w:rsidRDefault="00711B75" w:rsidP="00607185">
            <w:pPr>
              <w:widowControl w:val="0"/>
              <w:numPr>
                <w:ilvl w:val="0"/>
                <w:numId w:val="16"/>
              </w:numPr>
              <w:autoSpaceDE w:val="0"/>
              <w:autoSpaceDN w:val="0"/>
              <w:spacing w:line="276" w:lineRule="auto"/>
              <w:jc w:val="both"/>
              <w:rPr>
                <w:rFonts w:ascii="Verdana" w:eastAsia="Calibri" w:hAnsi="Verdana" w:cs="Arial"/>
                <w:lang w:val="es-ES"/>
              </w:rPr>
            </w:pPr>
            <w:r w:rsidRPr="00747BF4">
              <w:rPr>
                <w:rFonts w:ascii="Verdana" w:eastAsia="Calibri" w:hAnsi="Verdana" w:cs="Arial"/>
                <w:lang w:val="es-ES"/>
              </w:rPr>
              <w:t>Ley 2069 de 2020. Artículos 23, 24 y 34</w:t>
            </w:r>
          </w:p>
          <w:p w14:paraId="6100F02D" w14:textId="77777777" w:rsidR="00711B75" w:rsidRPr="00747BF4" w:rsidRDefault="00711B75" w:rsidP="00607185">
            <w:pPr>
              <w:widowControl w:val="0"/>
              <w:numPr>
                <w:ilvl w:val="0"/>
                <w:numId w:val="16"/>
              </w:numPr>
              <w:autoSpaceDE w:val="0"/>
              <w:autoSpaceDN w:val="0"/>
              <w:spacing w:line="276" w:lineRule="auto"/>
              <w:jc w:val="both"/>
              <w:rPr>
                <w:rFonts w:ascii="Verdana" w:eastAsia="Calibri" w:hAnsi="Verdana" w:cs="Arial"/>
                <w:lang w:val="es-ES"/>
              </w:rPr>
            </w:pPr>
            <w:r w:rsidRPr="00747BF4">
              <w:rPr>
                <w:rFonts w:ascii="Verdana" w:eastAsia="Calibri" w:hAnsi="Verdana" w:cs="Arial"/>
                <w:lang w:val="es-ES"/>
              </w:rPr>
              <w:t>Decreto 410 de 1971. Artículos 98, 100</w:t>
            </w:r>
          </w:p>
          <w:p w14:paraId="7C0ACFFA" w14:textId="77777777" w:rsidR="00711B75" w:rsidRPr="00747BF4" w:rsidRDefault="00711B75" w:rsidP="00607185">
            <w:pPr>
              <w:widowControl w:val="0"/>
              <w:numPr>
                <w:ilvl w:val="0"/>
                <w:numId w:val="16"/>
              </w:numPr>
              <w:autoSpaceDE w:val="0"/>
              <w:autoSpaceDN w:val="0"/>
              <w:spacing w:line="276" w:lineRule="auto"/>
              <w:jc w:val="both"/>
              <w:rPr>
                <w:rFonts w:ascii="Verdana" w:eastAsia="Calibri" w:hAnsi="Verdana" w:cs="Arial"/>
                <w:lang w:val="es-ES"/>
              </w:rPr>
            </w:pPr>
            <w:r w:rsidRPr="00747BF4">
              <w:rPr>
                <w:rFonts w:ascii="Verdana" w:eastAsia="Calibri" w:hAnsi="Verdana" w:cs="Arial"/>
                <w:lang w:val="es-ES"/>
              </w:rPr>
              <w:t>Decreto 1074 de 2015. Artículo 2.2.1.13.2.2</w:t>
            </w:r>
          </w:p>
          <w:p w14:paraId="45D99DA9" w14:textId="77777777" w:rsidR="00711B75" w:rsidRPr="00747BF4" w:rsidRDefault="00711B75" w:rsidP="00607185">
            <w:pPr>
              <w:widowControl w:val="0"/>
              <w:numPr>
                <w:ilvl w:val="0"/>
                <w:numId w:val="16"/>
              </w:numPr>
              <w:autoSpaceDE w:val="0"/>
              <w:autoSpaceDN w:val="0"/>
              <w:spacing w:line="276" w:lineRule="auto"/>
              <w:jc w:val="both"/>
              <w:rPr>
                <w:rFonts w:ascii="Verdana" w:eastAsia="Calibri" w:hAnsi="Verdana" w:cs="Arial"/>
                <w:lang w:val="es-ES"/>
              </w:rPr>
            </w:pPr>
            <w:r w:rsidRPr="00747BF4">
              <w:rPr>
                <w:rFonts w:ascii="Verdana" w:eastAsia="Calibri" w:hAnsi="Verdana" w:cs="Arial"/>
                <w:lang w:val="es-ES"/>
              </w:rPr>
              <w:t xml:space="preserve">Decreto 1082 de 2015. Artículos 2.2.1.2.4.2.2, 2.2.1.2.4.2.3 y 2.2.1.2.1.5.2. </w:t>
            </w:r>
          </w:p>
          <w:p w14:paraId="48822F57" w14:textId="77777777" w:rsidR="00711B75" w:rsidRPr="00747BF4" w:rsidRDefault="00711B75" w:rsidP="00607185">
            <w:pPr>
              <w:widowControl w:val="0"/>
              <w:numPr>
                <w:ilvl w:val="0"/>
                <w:numId w:val="16"/>
              </w:numPr>
              <w:autoSpaceDE w:val="0"/>
              <w:autoSpaceDN w:val="0"/>
              <w:spacing w:line="276" w:lineRule="auto"/>
              <w:jc w:val="both"/>
              <w:rPr>
                <w:rFonts w:ascii="Verdana" w:eastAsia="Calibri" w:hAnsi="Verdana" w:cs="Arial"/>
                <w:lang w:val="es-ES"/>
              </w:rPr>
            </w:pPr>
            <w:r w:rsidRPr="00747BF4">
              <w:rPr>
                <w:rFonts w:ascii="Verdana" w:eastAsia="Calibri" w:hAnsi="Verdana" w:cs="Arial"/>
                <w:lang w:val="es-ES"/>
              </w:rPr>
              <w:t>Decreto 957 de 2019. Artículo 2.2.1.13.2.2</w:t>
            </w:r>
          </w:p>
          <w:p w14:paraId="455EF95E" w14:textId="77777777" w:rsidR="00711B75" w:rsidRPr="00747BF4" w:rsidRDefault="00711B75" w:rsidP="00607185">
            <w:pPr>
              <w:widowControl w:val="0"/>
              <w:numPr>
                <w:ilvl w:val="0"/>
                <w:numId w:val="16"/>
              </w:numPr>
              <w:autoSpaceDE w:val="0"/>
              <w:autoSpaceDN w:val="0"/>
              <w:spacing w:line="276" w:lineRule="auto"/>
              <w:jc w:val="both"/>
              <w:rPr>
                <w:rFonts w:ascii="Verdana" w:eastAsia="Calibri" w:hAnsi="Verdana" w:cs="Arial"/>
                <w:lang w:val="es-ES"/>
              </w:rPr>
            </w:pPr>
            <w:r w:rsidRPr="00747BF4">
              <w:rPr>
                <w:rFonts w:ascii="Verdana" w:eastAsia="Calibri" w:hAnsi="Verdana" w:cs="Arial"/>
                <w:lang w:val="es-ES"/>
              </w:rPr>
              <w:t>Decreto 1860 de 2021. Artículo 5</w:t>
            </w:r>
          </w:p>
          <w:p w14:paraId="6791600A" w14:textId="77777777" w:rsidR="00711B75" w:rsidRPr="00747BF4" w:rsidRDefault="00711B75" w:rsidP="00607185">
            <w:pPr>
              <w:widowControl w:val="0"/>
              <w:numPr>
                <w:ilvl w:val="0"/>
                <w:numId w:val="16"/>
              </w:numPr>
              <w:autoSpaceDE w:val="0"/>
              <w:autoSpaceDN w:val="0"/>
              <w:spacing w:line="276" w:lineRule="auto"/>
              <w:jc w:val="both"/>
              <w:rPr>
                <w:rFonts w:ascii="Verdana" w:eastAsia="Calibri" w:hAnsi="Verdana" w:cs="Arial"/>
                <w:lang w:val="es-ES"/>
              </w:rPr>
            </w:pPr>
            <w:r w:rsidRPr="00747BF4">
              <w:rPr>
                <w:rFonts w:ascii="Verdana" w:eastAsia="Calibri" w:hAnsi="Verdana" w:cs="Arial"/>
                <w:lang w:val="es-ES"/>
              </w:rPr>
              <w:t>Corte Constitucional de Colombia. Sentencia C-287 de 2012. Exp. D-8642, M.P. María Victoria Calle Correa, 18 de abril de 2012.</w:t>
            </w:r>
          </w:p>
          <w:p w14:paraId="4F1E581E" w14:textId="3C162064" w:rsidR="00711B75" w:rsidRPr="00E33AFE" w:rsidRDefault="00711B75" w:rsidP="00607185">
            <w:pPr>
              <w:widowControl w:val="0"/>
              <w:numPr>
                <w:ilvl w:val="0"/>
                <w:numId w:val="16"/>
              </w:numPr>
              <w:autoSpaceDE w:val="0"/>
              <w:autoSpaceDN w:val="0"/>
              <w:spacing w:line="276" w:lineRule="auto"/>
              <w:jc w:val="both"/>
              <w:rPr>
                <w:rFonts w:ascii="Verdana" w:eastAsia="Calibri" w:hAnsi="Verdana" w:cs="Arial"/>
                <w:color w:val="ED7D31" w:themeColor="accent2"/>
                <w:lang w:val="es-ES"/>
              </w:rPr>
            </w:pPr>
            <w:r w:rsidRPr="00747BF4">
              <w:rPr>
                <w:rFonts w:ascii="Verdana" w:eastAsia="Calibri" w:hAnsi="Verdana" w:cs="Arial"/>
                <w:lang w:val="es-ES"/>
              </w:rPr>
              <w:t>Cámara de Comercio de Bogotá. ABC de E</w:t>
            </w:r>
            <w:r>
              <w:rPr>
                <w:rFonts w:ascii="Verdana" w:eastAsia="Calibri" w:hAnsi="Verdana" w:cs="Arial"/>
                <w:lang w:val="es-ES"/>
              </w:rPr>
              <w:t>SALES</w:t>
            </w:r>
            <w:r w:rsidRPr="00747BF4">
              <w:rPr>
                <w:rFonts w:ascii="Verdana" w:eastAsia="Calibri" w:hAnsi="Verdana" w:cs="Arial"/>
                <w:lang w:val="es-ES"/>
              </w:rPr>
              <w:t xml:space="preserve">. Disponible Aquí: </w:t>
            </w:r>
            <w:hyperlink r:id="rId13" w:history="1">
              <w:r w:rsidRPr="003C0E21">
                <w:rPr>
                  <w:rStyle w:val="Hipervnculo"/>
                  <w:rFonts w:ascii="Verdana" w:eastAsia="Calibri" w:hAnsi="Verdana" w:cs="Arial"/>
                  <w:lang w:val="es-ES"/>
                </w:rPr>
                <w:t>https://bibliotecadigital.ccb.org.co/bitstream/handle/11520/8346/el%20abc%20de%20esales%202013%20completo.pdf?sequence=1&amp;isAllowed=y</w:t>
              </w:r>
            </w:hyperlink>
            <w:r>
              <w:rPr>
                <w:rFonts w:ascii="Verdana" w:eastAsia="Calibri" w:hAnsi="Verdana" w:cs="Arial"/>
                <w:color w:val="ED7D31" w:themeColor="accent2"/>
                <w:lang w:val="es-ES"/>
              </w:rPr>
              <w:t xml:space="preserve">   </w:t>
            </w:r>
          </w:p>
          <w:p w14:paraId="5A2753BC" w14:textId="77777777" w:rsidR="00711B75" w:rsidRPr="00965212" w:rsidRDefault="00711B75" w:rsidP="00607185">
            <w:pPr>
              <w:widowControl w:val="0"/>
              <w:numPr>
                <w:ilvl w:val="0"/>
                <w:numId w:val="16"/>
              </w:numPr>
              <w:autoSpaceDE w:val="0"/>
              <w:autoSpaceDN w:val="0"/>
              <w:spacing w:line="276" w:lineRule="auto"/>
              <w:jc w:val="both"/>
              <w:rPr>
                <w:rFonts w:ascii="Verdana" w:eastAsia="Calibri" w:hAnsi="Verdana" w:cs="Arial"/>
                <w:color w:val="ED7D31" w:themeColor="accent2"/>
                <w:lang w:val="es-ES"/>
              </w:rPr>
            </w:pPr>
            <w:r w:rsidRPr="00747BF4">
              <w:rPr>
                <w:rFonts w:ascii="Verdana" w:eastAsia="Calibri" w:hAnsi="Verdana" w:cs="Arial"/>
                <w:lang w:val="es-ES"/>
              </w:rPr>
              <w:t xml:space="preserve">Cámara de Comercio de Bogotá. Manual básico sobre Entidades sin Ánimo de Lucro - ESAL. Disponible Aquí: </w:t>
            </w:r>
            <w:hyperlink r:id="rId14" w:history="1">
              <w:r w:rsidRPr="003C0E21">
                <w:rPr>
                  <w:rStyle w:val="Hipervnculo"/>
                  <w:rFonts w:ascii="Verdana" w:eastAsia="Calibri" w:hAnsi="Verdana" w:cs="Arial"/>
                  <w:lang w:val="es-ES"/>
                </w:rPr>
                <w:t>https://bibliotecadigital.ccb.org.co/items/6bce01ee-e5a8-44b0-bc6e-05821ef3ce02</w:t>
              </w:r>
            </w:hyperlink>
            <w:r>
              <w:rPr>
                <w:rFonts w:ascii="Verdana" w:eastAsia="Calibri" w:hAnsi="Verdana" w:cs="Arial"/>
                <w:color w:val="ED7D31" w:themeColor="accent2"/>
                <w:lang w:val="es-ES"/>
              </w:rPr>
              <w:t xml:space="preserve"> </w:t>
            </w:r>
          </w:p>
        </w:tc>
      </w:tr>
    </w:tbl>
    <w:p w14:paraId="4E5205E5" w14:textId="77777777" w:rsidR="00711B75" w:rsidRPr="00965212" w:rsidRDefault="00711B75" w:rsidP="00711B75">
      <w:pPr>
        <w:widowControl w:val="0"/>
        <w:autoSpaceDE w:val="0"/>
        <w:autoSpaceDN w:val="0"/>
        <w:spacing w:after="0" w:line="276" w:lineRule="auto"/>
        <w:jc w:val="both"/>
        <w:rPr>
          <w:rFonts w:ascii="Verdana" w:hAnsi="Verdana" w:cs="Arial"/>
          <w:color w:val="ED7D31" w:themeColor="accent2"/>
          <w:lang w:val="es-ES"/>
        </w:rPr>
      </w:pPr>
    </w:p>
    <w:p w14:paraId="3BB8FF67" w14:textId="77777777" w:rsidR="00711B75" w:rsidRPr="00765A89" w:rsidRDefault="00711B75" w:rsidP="00711B75">
      <w:pPr>
        <w:tabs>
          <w:tab w:val="left" w:pos="142"/>
          <w:tab w:val="left" w:pos="284"/>
        </w:tabs>
        <w:spacing w:after="0" w:line="276" w:lineRule="auto"/>
        <w:jc w:val="both"/>
        <w:rPr>
          <w:rFonts w:ascii="Verdana" w:eastAsia="Century Gothic" w:hAnsi="Verdana" w:cs="Century Gothic"/>
          <w:b/>
          <w:lang w:val="es-ES"/>
        </w:rPr>
      </w:pPr>
      <w:r w:rsidRPr="00765A89">
        <w:rPr>
          <w:rFonts w:ascii="Verdana" w:eastAsia="Century Gothic" w:hAnsi="Verdana" w:cs="Century Gothic"/>
          <w:b/>
          <w:lang w:val="es-ES"/>
        </w:rPr>
        <w:t>5. Doctrina de la Agencia Nacional de Contratación Pública:</w:t>
      </w:r>
    </w:p>
    <w:p w14:paraId="432AEAC2" w14:textId="77777777" w:rsidR="00711B75" w:rsidRPr="00765A89" w:rsidRDefault="00711B75" w:rsidP="00711B75">
      <w:pPr>
        <w:tabs>
          <w:tab w:val="left" w:pos="142"/>
          <w:tab w:val="left" w:pos="284"/>
        </w:tabs>
        <w:spacing w:after="0" w:line="276" w:lineRule="auto"/>
        <w:jc w:val="both"/>
        <w:rPr>
          <w:rFonts w:ascii="Verdana" w:eastAsia="Century Gothic" w:hAnsi="Verdana" w:cs="Century Gothic"/>
          <w:b/>
          <w:lang w:val="es-ES"/>
        </w:rPr>
      </w:pPr>
    </w:p>
    <w:p w14:paraId="607CF43C" w14:textId="77777777" w:rsidR="00711B75" w:rsidRDefault="00711B75" w:rsidP="00711B75">
      <w:pPr>
        <w:spacing w:after="0"/>
        <w:jc w:val="both"/>
        <w:rPr>
          <w:rFonts w:ascii="Verdana" w:eastAsia="Calibri" w:hAnsi="Verdana" w:cs="Arial"/>
          <w:shd w:val="clear" w:color="auto" w:fill="FFFFFF"/>
        </w:rPr>
      </w:pPr>
      <w:r w:rsidRPr="00FD7EC2">
        <w:rPr>
          <w:rFonts w:ascii="Verdana" w:eastAsia="Calibri" w:hAnsi="Verdana" w:cs="Arial"/>
          <w:lang w:val="es-ES"/>
        </w:rPr>
        <w:t xml:space="preserve">La Agencia Nacional de Contratación Pública – Colombia Compra Eficiente se ha referido </w:t>
      </w:r>
      <w:r w:rsidRPr="00FD7EC2">
        <w:rPr>
          <w:rFonts w:ascii="Verdana" w:hAnsi="Verdana" w:cs="Arial"/>
          <w:shd w:val="clear" w:color="auto" w:fill="FFFFFF"/>
          <w:lang w:val="es-ES"/>
        </w:rPr>
        <w:t>sobr</w:t>
      </w:r>
      <w:r>
        <w:rPr>
          <w:rFonts w:ascii="Verdana" w:hAnsi="Verdana" w:cs="Arial"/>
          <w:shd w:val="clear" w:color="auto" w:fill="FFFFFF"/>
          <w:lang w:val="es-ES"/>
        </w:rPr>
        <w:t xml:space="preserve">e las Entidades Sin Ánimo de Lucro en procesos contractuales en </w:t>
      </w:r>
      <w:r>
        <w:rPr>
          <w:rFonts w:ascii="Verdana" w:hAnsi="Verdana" w:cs="Arial"/>
          <w:shd w:val="clear" w:color="auto" w:fill="FFFFFF"/>
          <w:lang w:val="es-ES"/>
        </w:rPr>
        <w:lastRenderedPageBreak/>
        <w:t xml:space="preserve">los conceptos con </w:t>
      </w:r>
      <w:r w:rsidRPr="00750107">
        <w:rPr>
          <w:rFonts w:ascii="Verdana" w:hAnsi="Verdana" w:cs="Arial"/>
          <w:shd w:val="clear" w:color="auto" w:fill="FFFFFF"/>
          <w:lang w:val="es-ES"/>
        </w:rPr>
        <w:t xml:space="preserve">radicado </w:t>
      </w:r>
      <w:r>
        <w:rPr>
          <w:rFonts w:ascii="Verdana" w:hAnsi="Verdana" w:cs="Arial"/>
          <w:shd w:val="clear" w:color="auto" w:fill="FFFFFF"/>
          <w:lang w:val="es-ES"/>
        </w:rPr>
        <w:t xml:space="preserve">C-354 del 25 de mayo de 2022, </w:t>
      </w:r>
      <w:r w:rsidRPr="00750107">
        <w:rPr>
          <w:rFonts w:ascii="Verdana" w:eastAsia="Calibri" w:hAnsi="Verdana" w:cs="Arial"/>
          <w:shd w:val="clear" w:color="auto" w:fill="FFFFFF"/>
        </w:rPr>
        <w:t xml:space="preserve">C-473 del 25 de julio de 2022, </w:t>
      </w:r>
      <w:r>
        <w:rPr>
          <w:rFonts w:ascii="Verdana" w:eastAsia="Calibri" w:hAnsi="Verdana" w:cs="Arial"/>
          <w:shd w:val="clear" w:color="auto" w:fill="FFFFFF"/>
        </w:rPr>
        <w:t>C-699 del 25 de octubre de 2022, C-863 del 15 de diciembre de 2022, C-159 del 13 de junio de 2023, C-279 del 31 de octubre de 2023, C-222 del 06 de agosto de 2024, C-406 del 05 de septiembre de 2024,  C-437 del 17 de septiembre de 2024, C-532 del 10 de octubre de 2024, C-1023 del 18 de diciembre de 2024, C-217 del 27 de marzo de 2025, C-401 del 07 de mayo de 2025, C-855 del 01 de agosto de 2025, C-1018 del 15 de agosto de 2025, C-1432 del 13 de noviembre de 2025, C-1805 del 26 de diciembre de 2025, C-174 del 16 de febrero de 2026, C-454 del 04 de mayo de 2026, C-811 del 24 de junio de 2026, C-867 del 07 de julio de 2026, C-1055 del 27 de julio de 2026 y C-1258 del 24 de agosto de 2026, entre otros.</w:t>
      </w:r>
    </w:p>
    <w:p w14:paraId="34B280E2" w14:textId="77777777" w:rsidR="00711B75" w:rsidRPr="00C3536C" w:rsidRDefault="00711B75" w:rsidP="00711B75">
      <w:pPr>
        <w:widowControl w:val="0"/>
        <w:autoSpaceDE w:val="0"/>
        <w:autoSpaceDN w:val="0"/>
        <w:spacing w:after="0" w:line="276" w:lineRule="auto"/>
        <w:jc w:val="both"/>
        <w:rPr>
          <w:rFonts w:ascii="Verdana" w:hAnsi="Verdana" w:cs="Arial"/>
          <w:color w:val="4472C4" w:themeColor="accent1"/>
        </w:rPr>
      </w:pPr>
    </w:p>
    <w:p w14:paraId="3F0724D6" w14:textId="77777777" w:rsidR="00711B75" w:rsidRDefault="00711B75" w:rsidP="00711B75">
      <w:pPr>
        <w:widowControl w:val="0"/>
        <w:autoSpaceDE w:val="0"/>
        <w:autoSpaceDN w:val="0"/>
        <w:spacing w:after="0" w:line="276" w:lineRule="auto"/>
        <w:jc w:val="both"/>
        <w:rPr>
          <w:rStyle w:val="Hipervnculo"/>
          <w:rFonts w:ascii="Verdana" w:hAnsi="Verdana" w:cs="Arial"/>
          <w:color w:val="EE0000"/>
          <w:shd w:val="clear" w:color="auto" w:fill="FFFFFF"/>
          <w:lang w:val="es-ES"/>
        </w:rPr>
      </w:pPr>
      <w:r w:rsidRPr="00AC6529">
        <w:rPr>
          <w:rFonts w:ascii="Verdana" w:hAnsi="Verdana" w:cs="Arial"/>
          <w:shd w:val="clear" w:color="auto" w:fill="FFFFFF"/>
          <w:lang w:val="es-ES"/>
        </w:rPr>
        <w:t>Estos</w:t>
      </w:r>
      <w:r w:rsidRPr="00AC6529">
        <w:rPr>
          <w:rFonts w:ascii="Verdana" w:hAnsi="Verdana"/>
          <w:lang w:val="es-ES"/>
        </w:rPr>
        <w:t xml:space="preserve"> y otros se encuentran disponibles para consulta en el Sistema de relatoría de la Agencia, al cual se puede acceder a través del siguiente enlace:</w:t>
      </w:r>
      <w:r w:rsidRPr="00AC6529">
        <w:rPr>
          <w:rFonts w:ascii="Verdana" w:hAnsi="Verdana" w:cs="Arial"/>
          <w:shd w:val="clear" w:color="auto" w:fill="FFFFFF"/>
          <w:lang w:val="es-ES"/>
        </w:rPr>
        <w:t xml:space="preserve"> </w:t>
      </w:r>
      <w:hyperlink r:id="rId15" w:history="1">
        <w:r w:rsidRPr="00AC6529">
          <w:rPr>
            <w:rStyle w:val="Hipervnculo"/>
            <w:rFonts w:ascii="Verdana" w:hAnsi="Verdana" w:cs="Arial"/>
            <w:shd w:val="clear" w:color="auto" w:fill="FFFFFF"/>
            <w:lang w:val="es-ES"/>
          </w:rPr>
          <w:t>https://relatoria.colombiacompra.gov.co/busqueda/conceptos</w:t>
        </w:r>
      </w:hyperlink>
    </w:p>
    <w:p w14:paraId="101CEB34" w14:textId="77777777" w:rsidR="00711B75" w:rsidRPr="00AC6529" w:rsidRDefault="00711B75" w:rsidP="00711B75">
      <w:pPr>
        <w:widowControl w:val="0"/>
        <w:autoSpaceDE w:val="0"/>
        <w:autoSpaceDN w:val="0"/>
        <w:spacing w:after="0" w:line="276" w:lineRule="auto"/>
        <w:jc w:val="both"/>
        <w:rPr>
          <w:rFonts w:ascii="Verdana" w:hAnsi="Verdana" w:cs="Arial"/>
          <w:color w:val="EE0000"/>
          <w:u w:val="single"/>
          <w:shd w:val="clear" w:color="auto" w:fill="FFFFFF"/>
          <w:lang w:val="es-ES"/>
        </w:rPr>
      </w:pPr>
    </w:p>
    <w:p w14:paraId="4077EBFA" w14:textId="77777777" w:rsidR="00711B75" w:rsidRDefault="00711B75" w:rsidP="00711B75">
      <w:pPr>
        <w:spacing w:after="0" w:line="276" w:lineRule="auto"/>
        <w:jc w:val="both"/>
        <w:rPr>
          <w:rFonts w:ascii="Verdana" w:hAnsi="Verdana"/>
          <w:color w:val="EE0000"/>
        </w:rPr>
      </w:pPr>
      <w:r w:rsidRPr="00AC6529">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AC6529">
        <w:rPr>
          <w:rFonts w:ascii="Verdana" w:hAnsi="Verdana"/>
          <w:b/>
          <w:bCs/>
        </w:rPr>
        <w:t>Guía para la Exigencia y Constitución de Garantías en los Procesos de Contratación</w:t>
      </w:r>
      <w:r w:rsidRPr="00AC6529">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w:t>
      </w:r>
      <w:r w:rsidRPr="00AC6529">
        <w:rPr>
          <w:rFonts w:ascii="Verdana" w:hAnsi="Verdana"/>
          <w:color w:val="EE0000"/>
        </w:rPr>
        <w:t> </w:t>
      </w:r>
      <w:hyperlink r:id="rId16" w:tgtFrame="_blank" w:tooltip="Dirección URL original: https://www.colombiacompra.gov.co/archivos/manual/guia-de-garantias-en-procesos-de-contratacion. Haga clic o pulse si confía en este vínculo." w:history="1">
        <w:r w:rsidRPr="00AC6529">
          <w:rPr>
            <w:rStyle w:val="Hipervnculo"/>
            <w:rFonts w:ascii="Verdana" w:hAnsi="Verdana"/>
          </w:rPr>
          <w:t>https://www.colombiacompra.gov.co/archivos/manual/guia-de-garantias-en-procesos-de-contratacion</w:t>
        </w:r>
      </w:hyperlink>
    </w:p>
    <w:p w14:paraId="53A4B79A" w14:textId="77777777" w:rsidR="00711B75" w:rsidRDefault="00711B75" w:rsidP="00711B75">
      <w:pPr>
        <w:spacing w:after="0" w:line="276" w:lineRule="auto"/>
        <w:jc w:val="both"/>
        <w:rPr>
          <w:rFonts w:ascii="Verdana" w:hAnsi="Verdana"/>
          <w:color w:val="EE0000"/>
        </w:rPr>
      </w:pPr>
    </w:p>
    <w:p w14:paraId="71246A5B" w14:textId="77777777" w:rsidR="00711B75" w:rsidRDefault="00711B75" w:rsidP="00711B75">
      <w:pPr>
        <w:spacing w:after="0" w:line="276" w:lineRule="auto"/>
        <w:jc w:val="both"/>
        <w:rPr>
          <w:rFonts w:ascii="Verdana" w:hAnsi="Verdana"/>
          <w:color w:val="EE0000"/>
        </w:rPr>
      </w:pPr>
      <w:r w:rsidRPr="00AC6529">
        <w:rPr>
          <w:rFonts w:ascii="Verdana" w:hAnsi="Verdana"/>
        </w:rPr>
        <w:t>De otro lado, te contamos que el Decreto 287 del 19 de marzo de 2026 sustituyó los artículos 2.2.1.2.4.2.6., 2.2.1.2.4.2.7. y 2.2.1.2.4.2.8. del Decreto 1082 de 2015 y estructuró el </w:t>
      </w:r>
      <w:r w:rsidRPr="00AC6529">
        <w:rPr>
          <w:rFonts w:ascii="Verdana" w:hAnsi="Verdana"/>
          <w:b/>
          <w:bCs/>
        </w:rPr>
        <w:t>Sistema Integral de Preferencias en favor de las personas con discapacidad</w:t>
      </w:r>
      <w:r w:rsidRPr="00AC6529">
        <w:rPr>
          <w:rFonts w:ascii="Verdana" w:hAnsi="Verdana"/>
        </w:rPr>
        <w:t>, en cumplimiento del artículo 13 de la Ley Estatutaria 1618 de 2013. Para orientar su aplicación, esta Agencia expidió la </w:t>
      </w:r>
      <w:r w:rsidRPr="00AC6529">
        <w:rPr>
          <w:rFonts w:ascii="Verdana" w:hAnsi="Verdana"/>
          <w:b/>
          <w:bCs/>
        </w:rPr>
        <w:t>Circular Externa 003 del 12 de mayo de 2026, </w:t>
      </w:r>
      <w:r w:rsidRPr="00AC6529">
        <w:rPr>
          <w:rFonts w:ascii="Verdana" w:hAnsi="Verdana"/>
        </w:rPr>
        <w:t xml:space="preserve">en la que precisa quiénes son los beneficiarios, las cinco medidas que integran el sistema y su obligatoriedad según la modalidad de selección, y el régimen de transición aplicable a los procesos en curso. Consúltala </w:t>
      </w:r>
      <w:r w:rsidRPr="00AC6529">
        <w:rPr>
          <w:rFonts w:ascii="Verdana" w:hAnsi="Verdana"/>
        </w:rPr>
        <w:lastRenderedPageBreak/>
        <w:t>aquí:</w:t>
      </w:r>
      <w:r w:rsidRPr="00AC6529">
        <w:rPr>
          <w:rFonts w:ascii="Verdana" w:hAnsi="Verdana"/>
          <w:color w:val="EE0000"/>
        </w:rPr>
        <w:t> </w:t>
      </w:r>
      <w:hyperlink r:id="rId17" w:tgtFrame="_blank" w:tooltip="Dirección URL original: https://www.colombiacompra.gov.co/archivos/circular/circular-externa-003-de-2026. Haga clic o pulse si confía en este vínculo." w:history="1">
        <w:r w:rsidRPr="00AC6529">
          <w:rPr>
            <w:rStyle w:val="Hipervnculo"/>
            <w:rFonts w:ascii="Verdana" w:hAnsi="Verdana"/>
          </w:rPr>
          <w:t>https://www.colombiacompra.gov.co/archivos/circular/circular-externa-003-de-2026</w:t>
        </w:r>
      </w:hyperlink>
    </w:p>
    <w:p w14:paraId="1D1115FA" w14:textId="77777777" w:rsidR="00711B75" w:rsidRPr="00AC6529" w:rsidRDefault="00711B75" w:rsidP="00711B75">
      <w:pPr>
        <w:spacing w:after="0" w:line="276" w:lineRule="auto"/>
        <w:jc w:val="both"/>
        <w:rPr>
          <w:rFonts w:ascii="Verdana" w:hAnsi="Verdana"/>
          <w:color w:val="EE0000"/>
        </w:rPr>
      </w:pPr>
    </w:p>
    <w:p w14:paraId="3384E778" w14:textId="77777777" w:rsidR="00711B75" w:rsidRDefault="00711B75" w:rsidP="00711B75">
      <w:pPr>
        <w:spacing w:after="0" w:line="276" w:lineRule="auto"/>
        <w:jc w:val="both"/>
        <w:rPr>
          <w:rFonts w:ascii="Verdana" w:hAnsi="Verdana"/>
          <w:color w:val="EE0000"/>
        </w:rPr>
      </w:pPr>
      <w:r w:rsidRPr="00AC6529">
        <w:rPr>
          <w:rFonts w:ascii="Verdana" w:hAnsi="Verdana"/>
        </w:rPr>
        <w:t>Recuerda también que la</w:t>
      </w:r>
      <w:r w:rsidRPr="00AC6529">
        <w:rPr>
          <w:rFonts w:ascii="Verdana" w:hAnsi="Verdana"/>
          <w:b/>
          <w:bCs/>
        </w:rPr>
        <w:t> información sobre sanciones e inhabilidades </w:t>
      </w:r>
      <w:r w:rsidRPr="00AC6529">
        <w:rPr>
          <w:rFonts w:ascii="Verdana" w:hAnsi="Verdana"/>
        </w:rPr>
        <w:t>solo cumple su función preventiva si llega oportunamente a los registros públicos. Sobre este deber, esta Agencia expidió la </w:t>
      </w:r>
      <w:r w:rsidRPr="00AC6529">
        <w:rPr>
          <w:rFonts w:ascii="Verdana" w:hAnsi="Verdana"/>
          <w:b/>
          <w:bCs/>
        </w:rPr>
        <w:t>Circular Externa 002 del 5 de mayo de 2026,</w:t>
      </w:r>
      <w:r w:rsidRPr="00AC6529">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8" w:tgtFrame="_blank" w:tooltip="Dirección URL original: https://www.colombiacompra.gov.co/archivos/circular/circular-externa-002-de-2026. Haga clic o pulse si confía en este vínculo." w:history="1">
        <w:r w:rsidRPr="00AC6529">
          <w:rPr>
            <w:rStyle w:val="Hipervnculo"/>
            <w:rFonts w:ascii="Verdana" w:hAnsi="Verdana"/>
          </w:rPr>
          <w:t>https://www.colombiacompra.gov.co/archivos/circular/circular-externa-002-de-2026</w:t>
        </w:r>
      </w:hyperlink>
    </w:p>
    <w:p w14:paraId="0CB0C3A8" w14:textId="77777777" w:rsidR="00711B75" w:rsidRDefault="00711B75" w:rsidP="00711B75">
      <w:pPr>
        <w:spacing w:after="0" w:line="276" w:lineRule="auto"/>
        <w:jc w:val="both"/>
        <w:rPr>
          <w:rFonts w:ascii="Verdana" w:hAnsi="Verdana"/>
          <w:color w:val="EE0000"/>
        </w:rPr>
      </w:pPr>
    </w:p>
    <w:p w14:paraId="744ECE6F" w14:textId="77777777" w:rsidR="00711B75" w:rsidRPr="00AC6529" w:rsidRDefault="00711B75" w:rsidP="00711B75">
      <w:pPr>
        <w:spacing w:after="0" w:line="276" w:lineRule="auto"/>
        <w:jc w:val="both"/>
        <w:rPr>
          <w:rFonts w:ascii="Verdana" w:hAnsi="Verdana"/>
          <w:color w:val="EE0000"/>
        </w:rPr>
      </w:pPr>
      <w:r w:rsidRPr="00AC6529">
        <w:rPr>
          <w:rFonts w:ascii="Verdana" w:hAnsi="Verdana"/>
        </w:rPr>
        <w:t>Finalmente, si quieres seguir de cerca la actividad de la Agencia, la tercera edición de 2026 del</w:t>
      </w:r>
      <w:r w:rsidRPr="00AC6529">
        <w:rPr>
          <w:rFonts w:ascii="Verdana" w:hAnsi="Verdana"/>
          <w:b/>
          <w:bCs/>
        </w:rPr>
        <w:t> Radar de la Compra Pública</w:t>
      </w:r>
      <w:r w:rsidRPr="00AC6529">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w:t>
      </w:r>
      <w:r w:rsidRPr="00AC6529">
        <w:rPr>
          <w:rFonts w:ascii="Verdana" w:hAnsi="Verdana"/>
          <w:color w:val="EE0000"/>
        </w:rPr>
        <w:t> </w:t>
      </w:r>
      <w:hyperlink r:id="rId19" w:tgtFrame="_blank" w:tooltip="Dirección URL original: https://www.colombiacompra.gov.co/archivos/boletin/boletin-edicion-n-3-de-2026-radar-de-la-compra-publica. Haga clic o pulse si confía en este vínculo." w:history="1">
        <w:r w:rsidRPr="00AC6529">
          <w:rPr>
            <w:rStyle w:val="Hipervnculo"/>
            <w:rFonts w:ascii="Verdana" w:hAnsi="Verdana"/>
          </w:rPr>
          <w:t>https://www.colombiacompra.gov.co/archivos/boletin/boletin-edicion-n-3-de-2026-radar-de-la-compra-publica</w:t>
        </w:r>
      </w:hyperlink>
    </w:p>
    <w:p w14:paraId="0E526054" w14:textId="77777777" w:rsidR="00711B75" w:rsidRPr="006C695D" w:rsidRDefault="00711B75" w:rsidP="00711B75">
      <w:pPr>
        <w:spacing w:after="0" w:line="276" w:lineRule="auto"/>
        <w:jc w:val="both"/>
        <w:rPr>
          <w:rFonts w:ascii="Verdana" w:hAnsi="Verdana" w:cs="Arial"/>
          <w:shd w:val="clear" w:color="auto" w:fill="FFFFFF"/>
        </w:rPr>
      </w:pPr>
    </w:p>
    <w:p w14:paraId="09462E7E" w14:textId="77777777" w:rsidR="00711B75" w:rsidRPr="006C695D" w:rsidRDefault="00711B75" w:rsidP="00711B75">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Por último, lo invitamos a seguirnos en las redes sociales en las cuales se difunde información institucional: </w:t>
      </w:r>
    </w:p>
    <w:p w14:paraId="64723F2F" w14:textId="77777777" w:rsidR="00711B75" w:rsidRPr="006C695D" w:rsidRDefault="00711B75" w:rsidP="00711B75">
      <w:pPr>
        <w:spacing w:after="0" w:line="276" w:lineRule="auto"/>
        <w:jc w:val="both"/>
        <w:rPr>
          <w:rFonts w:ascii="Verdana" w:hAnsi="Verdana" w:cs="Arial"/>
          <w:shd w:val="clear" w:color="auto" w:fill="FFFFFF"/>
        </w:rPr>
      </w:pPr>
    </w:p>
    <w:p w14:paraId="0DEEDCBF" w14:textId="77777777" w:rsidR="00711B75" w:rsidRPr="006C695D" w:rsidRDefault="00711B75" w:rsidP="00711B75">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Twitter: </w:t>
      </w:r>
      <w:r w:rsidRPr="006C695D">
        <w:rPr>
          <w:rStyle w:val="Hipervnculo"/>
          <w:rFonts w:ascii="Verdana" w:hAnsi="Verdana"/>
        </w:rPr>
        <w:t>@colombiacompra</w:t>
      </w:r>
      <w:r w:rsidRPr="006C695D">
        <w:rPr>
          <w:rFonts w:ascii="Verdana" w:hAnsi="Verdana" w:cs="Arial"/>
          <w:shd w:val="clear" w:color="auto" w:fill="FFFFFF"/>
        </w:rPr>
        <w:t xml:space="preserve"> </w:t>
      </w:r>
    </w:p>
    <w:p w14:paraId="1F9749BB" w14:textId="77777777" w:rsidR="00711B75" w:rsidRPr="006C695D" w:rsidRDefault="00711B75" w:rsidP="00711B75">
      <w:pPr>
        <w:spacing w:after="0" w:line="276" w:lineRule="auto"/>
        <w:jc w:val="both"/>
        <w:rPr>
          <w:rFonts w:ascii="Verdana" w:hAnsi="Verdana" w:cs="Arial"/>
          <w:shd w:val="clear" w:color="auto" w:fill="FFFFFF"/>
        </w:rPr>
      </w:pPr>
      <w:r w:rsidRPr="006C695D">
        <w:rPr>
          <w:rFonts w:ascii="Verdana" w:hAnsi="Verdana" w:cs="Arial"/>
          <w:shd w:val="clear" w:color="auto" w:fill="FFFFFF"/>
        </w:rPr>
        <w:t>Facebook:</w:t>
      </w:r>
      <w:r w:rsidRPr="006C695D">
        <w:rPr>
          <w:rStyle w:val="Hipervnculo"/>
          <w:rFonts w:ascii="Verdana" w:hAnsi="Verdana"/>
          <w:color w:val="auto"/>
          <w:lang w:val="es-ES"/>
        </w:rPr>
        <w:t xml:space="preserve"> </w:t>
      </w:r>
      <w:r w:rsidRPr="006C695D">
        <w:rPr>
          <w:rStyle w:val="Hipervnculo"/>
          <w:rFonts w:ascii="Verdana" w:hAnsi="Verdana"/>
        </w:rPr>
        <w:t>ColombiaCompraEficiente</w:t>
      </w:r>
    </w:p>
    <w:p w14:paraId="09F44335" w14:textId="77777777" w:rsidR="00711B75" w:rsidRPr="006C695D" w:rsidRDefault="00711B75" w:rsidP="00711B75">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LinkedIn: </w:t>
      </w:r>
      <w:r w:rsidRPr="006C695D">
        <w:rPr>
          <w:rStyle w:val="Hipervnculo"/>
          <w:rFonts w:ascii="Verdana" w:hAnsi="Verdana"/>
        </w:rPr>
        <w:t>Agencia Nacional de Contratación Pública - Colombia Compra Eficiente</w:t>
      </w:r>
      <w:r w:rsidRPr="006C695D">
        <w:rPr>
          <w:rFonts w:ascii="Verdana" w:hAnsi="Verdana" w:cs="Arial"/>
          <w:shd w:val="clear" w:color="auto" w:fill="FFFFFF"/>
        </w:rPr>
        <w:t xml:space="preserve"> </w:t>
      </w:r>
    </w:p>
    <w:p w14:paraId="7AC30B89" w14:textId="77777777" w:rsidR="00711B75" w:rsidRPr="006C695D" w:rsidRDefault="00711B75" w:rsidP="00711B75">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Instagram: </w:t>
      </w:r>
      <w:r w:rsidRPr="006C695D">
        <w:rPr>
          <w:rStyle w:val="Hipervnculo"/>
          <w:rFonts w:ascii="Verdana" w:hAnsi="Verdana"/>
        </w:rPr>
        <w:t>@colombiacompraeficiente_cce</w:t>
      </w:r>
    </w:p>
    <w:p w14:paraId="279E8B52" w14:textId="77777777" w:rsidR="00711B75" w:rsidRPr="006C695D" w:rsidRDefault="00711B75" w:rsidP="00711B75">
      <w:pPr>
        <w:widowControl w:val="0"/>
        <w:autoSpaceDE w:val="0"/>
        <w:autoSpaceDN w:val="0"/>
        <w:spacing w:after="0" w:line="276" w:lineRule="auto"/>
        <w:jc w:val="both"/>
        <w:rPr>
          <w:rFonts w:ascii="Verdana" w:hAnsi="Verdana" w:cs="Arial"/>
          <w:lang w:val="es-ES"/>
        </w:rPr>
      </w:pPr>
    </w:p>
    <w:p w14:paraId="085388B5" w14:textId="77777777" w:rsidR="00711B75" w:rsidRPr="006C695D" w:rsidRDefault="00711B75" w:rsidP="00711B75">
      <w:pPr>
        <w:widowControl w:val="0"/>
        <w:autoSpaceDE w:val="0"/>
        <w:autoSpaceDN w:val="0"/>
        <w:spacing w:after="0" w:line="276" w:lineRule="auto"/>
        <w:jc w:val="both"/>
        <w:rPr>
          <w:rFonts w:ascii="Verdana" w:hAnsi="Verdana" w:cs="Arial"/>
          <w:lang w:val="es-ES"/>
        </w:rPr>
      </w:pPr>
      <w:r w:rsidRPr="006C695D">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7B038E9" w14:textId="77777777" w:rsidR="00711B75" w:rsidRPr="006C695D" w:rsidRDefault="00711B75" w:rsidP="00711B75">
      <w:pPr>
        <w:widowControl w:val="0"/>
        <w:autoSpaceDE w:val="0"/>
        <w:autoSpaceDN w:val="0"/>
        <w:spacing w:after="0" w:line="276" w:lineRule="auto"/>
        <w:jc w:val="both"/>
        <w:rPr>
          <w:rFonts w:ascii="Verdana" w:hAnsi="Verdana" w:cs="Arial"/>
          <w:lang w:val="es-ES"/>
        </w:rPr>
      </w:pPr>
    </w:p>
    <w:p w14:paraId="5A47C577" w14:textId="4D5C39C3" w:rsidR="00711B75" w:rsidRPr="00A1442B" w:rsidRDefault="00711B75" w:rsidP="00A1442B">
      <w:pPr>
        <w:spacing w:after="0" w:line="276" w:lineRule="auto"/>
        <w:rPr>
          <w:rFonts w:ascii="Verdana" w:hAnsi="Verdana" w:cs="Arial"/>
          <w:lang w:val="es-ES" w:eastAsia="es-CO"/>
        </w:rPr>
      </w:pPr>
      <w:r w:rsidRPr="006C695D">
        <w:rPr>
          <w:rFonts w:ascii="Verdana" w:eastAsia="Times New Roman" w:hAnsi="Verdana" w:cs="Arial"/>
          <w:lang w:val="es-ES" w:eastAsia="es-CO"/>
        </w:rPr>
        <w:t>Atentamente,</w:t>
      </w:r>
      <w:r w:rsidRPr="006C695D">
        <w:rPr>
          <w:rFonts w:ascii="Verdana" w:hAnsi="Verdana" w:cs="Arial"/>
          <w:lang w:val="es-ES" w:eastAsia="es-CO"/>
        </w:rPr>
        <w:t xml:space="preserve"> </w:t>
      </w:r>
    </w:p>
    <w:p w14:paraId="0E6F5281" w14:textId="48799037" w:rsidR="00711B75" w:rsidRPr="006C695D" w:rsidRDefault="00A1442B" w:rsidP="00711B75">
      <w:pPr>
        <w:spacing w:after="0" w:line="276" w:lineRule="auto"/>
        <w:jc w:val="center"/>
        <w:rPr>
          <w:rFonts w:ascii="Verdana" w:hAnsi="Verdana"/>
          <w:noProof/>
          <w:color w:val="ED7D31" w:themeColor="accent2"/>
        </w:rPr>
      </w:pPr>
      <w:r w:rsidRPr="00A1442B">
        <w:rPr>
          <w:rFonts w:ascii="Verdana" w:hAnsi="Verdana"/>
          <w:noProof/>
          <w:color w:val="ED7D31" w:themeColor="accent2"/>
        </w:rPr>
        <w:drawing>
          <wp:anchor distT="0" distB="0" distL="114300" distR="114300" simplePos="0" relativeHeight="251658240" behindDoc="1" locked="0" layoutInCell="1" allowOverlap="1" wp14:anchorId="3882B434" wp14:editId="3A59B01F">
            <wp:simplePos x="0" y="0"/>
            <wp:positionH relativeFrom="margin">
              <wp:posOffset>1320165</wp:posOffset>
            </wp:positionH>
            <wp:positionV relativeFrom="paragraph">
              <wp:posOffset>138430</wp:posOffset>
            </wp:positionV>
            <wp:extent cx="2962275" cy="1028700"/>
            <wp:effectExtent l="0" t="0" r="9525" b="0"/>
            <wp:wrapTight wrapText="bothSides">
              <wp:wrapPolygon edited="0">
                <wp:start x="0" y="0"/>
                <wp:lineTo x="0" y="21200"/>
                <wp:lineTo x="21531" y="21200"/>
                <wp:lineTo x="21531" y="0"/>
                <wp:lineTo x="0" y="0"/>
              </wp:wrapPolygon>
            </wp:wrapTight>
            <wp:docPr id="13616594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59423" name=""/>
                    <pic:cNvPicPr/>
                  </pic:nvPicPr>
                  <pic:blipFill rotWithShape="1">
                    <a:blip r:embed="rId20">
                      <a:extLst>
                        <a:ext uri="{28A0092B-C50C-407E-A947-70E740481C1C}">
                          <a14:useLocalDpi xmlns:a14="http://schemas.microsoft.com/office/drawing/2010/main" val="0"/>
                        </a:ext>
                      </a:extLst>
                    </a:blip>
                    <a:srcRect t="26531"/>
                    <a:stretch>
                      <a:fillRect/>
                    </a:stretch>
                  </pic:blipFill>
                  <pic:spPr bwMode="auto">
                    <a:xfrm>
                      <a:off x="0" y="0"/>
                      <a:ext cx="2962275" cy="10287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FBCE465" w14:textId="0ABB39E0" w:rsidR="00711B75" w:rsidRPr="006C695D" w:rsidRDefault="00711B75" w:rsidP="00711B75">
      <w:pPr>
        <w:spacing w:after="0" w:line="276" w:lineRule="auto"/>
        <w:jc w:val="center"/>
        <w:rPr>
          <w:rFonts w:ascii="Verdana" w:hAnsi="Verdana"/>
          <w:noProof/>
          <w:color w:val="ED7D31" w:themeColor="accent2"/>
        </w:rPr>
      </w:pPr>
    </w:p>
    <w:p w14:paraId="6C92E61B" w14:textId="77777777" w:rsidR="00711B75" w:rsidRPr="006C695D" w:rsidRDefault="00711B75" w:rsidP="00711B75">
      <w:pPr>
        <w:spacing w:after="0" w:line="276" w:lineRule="auto"/>
        <w:jc w:val="center"/>
        <w:rPr>
          <w:rFonts w:ascii="Verdana" w:hAnsi="Verdana" w:cs="Arial"/>
          <w:color w:val="ED7D31" w:themeColor="accent2"/>
          <w:lang w:val="es-ES" w:eastAsia="es-CO"/>
        </w:rPr>
      </w:pPr>
    </w:p>
    <w:p w14:paraId="5A929DD5" w14:textId="77777777" w:rsidR="00711B75" w:rsidRPr="006C695D" w:rsidRDefault="00711B75" w:rsidP="00711B75">
      <w:pPr>
        <w:spacing w:after="0" w:line="276" w:lineRule="auto"/>
        <w:jc w:val="center"/>
        <w:rPr>
          <w:rFonts w:ascii="Verdana" w:hAnsi="Verdana" w:cs="Arial"/>
          <w:color w:val="ED7D31" w:themeColor="accent2"/>
          <w:lang w:val="es-ES" w:eastAsia="es-CO"/>
        </w:rPr>
      </w:pPr>
    </w:p>
    <w:p w14:paraId="45BDD051" w14:textId="77777777" w:rsidR="00711B75" w:rsidRDefault="00711B75" w:rsidP="00711B75">
      <w:pPr>
        <w:spacing w:after="0" w:line="276" w:lineRule="auto"/>
        <w:jc w:val="center"/>
        <w:rPr>
          <w:rFonts w:ascii="Verdana" w:hAnsi="Verdana" w:cs="Arial"/>
          <w:color w:val="ED7D31" w:themeColor="accent2"/>
          <w:lang w:val="es-ES" w:eastAsia="es-CO"/>
        </w:rPr>
      </w:pPr>
    </w:p>
    <w:p w14:paraId="64E3570D" w14:textId="77777777" w:rsidR="00A1442B" w:rsidRDefault="00A1442B" w:rsidP="00711B75">
      <w:pPr>
        <w:spacing w:after="0" w:line="276" w:lineRule="auto"/>
        <w:jc w:val="center"/>
        <w:rPr>
          <w:rFonts w:ascii="Verdana" w:hAnsi="Verdana" w:cs="Arial"/>
          <w:color w:val="ED7D31" w:themeColor="accent2"/>
          <w:lang w:val="es-ES" w:eastAsia="es-CO"/>
        </w:rPr>
      </w:pPr>
    </w:p>
    <w:p w14:paraId="59DD9B24" w14:textId="77777777" w:rsidR="00A1442B" w:rsidRPr="006C695D" w:rsidRDefault="00A1442B" w:rsidP="00711B75">
      <w:pPr>
        <w:spacing w:after="0" w:line="276" w:lineRule="auto"/>
        <w:jc w:val="center"/>
        <w:rPr>
          <w:rFonts w:ascii="Verdana" w:hAnsi="Verdana" w:cs="Arial"/>
          <w:color w:val="ED7D31" w:themeColor="accent2"/>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11B75" w:rsidRPr="006C695D" w14:paraId="4AD9C0C0" w14:textId="77777777" w:rsidTr="00607185">
        <w:trPr>
          <w:trHeight w:val="315"/>
        </w:trPr>
        <w:tc>
          <w:tcPr>
            <w:tcW w:w="893" w:type="dxa"/>
            <w:vAlign w:val="center"/>
            <w:hideMark/>
          </w:tcPr>
          <w:p w14:paraId="1DED8866" w14:textId="77777777" w:rsidR="00711B75" w:rsidRPr="006C695D" w:rsidRDefault="00711B75" w:rsidP="00607185">
            <w:pPr>
              <w:contextualSpacing/>
              <w:rPr>
                <w:rFonts w:ascii="Verdana" w:hAnsi="Verdana" w:cs="Arial"/>
                <w:sz w:val="16"/>
                <w:szCs w:val="16"/>
                <w:lang w:val="es-ES" w:eastAsia="es-ES"/>
              </w:rPr>
            </w:pPr>
            <w:r w:rsidRPr="006C695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C9663C8" w14:textId="77777777" w:rsidR="00711B75" w:rsidRPr="006C695D" w:rsidRDefault="00711B75" w:rsidP="00607185">
            <w:pPr>
              <w:rPr>
                <w:rFonts w:ascii="Verdana" w:eastAsia="Times New Roman" w:hAnsi="Verdana" w:cs="Arial"/>
                <w:sz w:val="16"/>
                <w:szCs w:val="16"/>
                <w:lang w:eastAsia="es-ES"/>
              </w:rPr>
            </w:pPr>
            <w:r w:rsidRPr="006C695D">
              <w:rPr>
                <w:rFonts w:ascii="Verdana" w:eastAsia="Times New Roman" w:hAnsi="Verdana" w:cs="Arial"/>
                <w:sz w:val="16"/>
                <w:szCs w:val="16"/>
                <w:lang w:eastAsia="es-ES"/>
              </w:rPr>
              <w:t>Camila Alejandra Naranjo Gómez</w:t>
            </w:r>
          </w:p>
          <w:p w14:paraId="707EC85E" w14:textId="77777777" w:rsidR="00711B75" w:rsidRPr="006C695D" w:rsidRDefault="00711B75" w:rsidP="00607185">
            <w:pPr>
              <w:contextualSpacing/>
              <w:rPr>
                <w:rFonts w:ascii="Verdana" w:eastAsia="Arial" w:hAnsi="Verdana" w:cs="Arial"/>
                <w:sz w:val="16"/>
                <w:szCs w:val="16"/>
                <w:lang w:val="es-ES"/>
              </w:rPr>
            </w:pPr>
            <w:r w:rsidRPr="006C695D">
              <w:rPr>
                <w:rFonts w:ascii="Verdana" w:eastAsia="Times New Roman" w:hAnsi="Verdana" w:cs="Arial"/>
                <w:sz w:val="16"/>
                <w:szCs w:val="16"/>
                <w:lang w:eastAsia="es-ES"/>
              </w:rPr>
              <w:t>Analista T2-02 de la Subdirección de Gestión Contractual</w:t>
            </w:r>
          </w:p>
        </w:tc>
      </w:tr>
      <w:tr w:rsidR="00711B75" w:rsidRPr="006C695D" w14:paraId="17562843" w14:textId="77777777" w:rsidTr="00607185">
        <w:trPr>
          <w:trHeight w:val="330"/>
        </w:trPr>
        <w:tc>
          <w:tcPr>
            <w:tcW w:w="893" w:type="dxa"/>
            <w:vAlign w:val="center"/>
            <w:hideMark/>
          </w:tcPr>
          <w:p w14:paraId="1EC4504E" w14:textId="77777777" w:rsidR="00711B75" w:rsidRPr="006C695D" w:rsidRDefault="00711B75" w:rsidP="00607185">
            <w:pPr>
              <w:contextualSpacing/>
              <w:rPr>
                <w:rFonts w:ascii="Verdana" w:hAnsi="Verdana" w:cs="Arial"/>
                <w:sz w:val="16"/>
                <w:szCs w:val="16"/>
                <w:lang w:val="es-ES" w:eastAsia="es-ES"/>
              </w:rPr>
            </w:pPr>
            <w:r w:rsidRPr="006C695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C498FE8" w14:textId="77777777" w:rsidR="00711B75" w:rsidRPr="006C695D" w:rsidRDefault="00711B75" w:rsidP="00607185">
            <w:pPr>
              <w:rPr>
                <w:rFonts w:ascii="Verdana" w:eastAsia="Times New Roman" w:hAnsi="Verdana" w:cs="Arial"/>
                <w:sz w:val="16"/>
                <w:szCs w:val="16"/>
                <w:lang w:eastAsia="es-ES"/>
              </w:rPr>
            </w:pPr>
            <w:r w:rsidRPr="006C695D">
              <w:rPr>
                <w:rFonts w:ascii="Verdana" w:eastAsia="Times New Roman" w:hAnsi="Verdana" w:cs="Arial"/>
                <w:sz w:val="16"/>
                <w:szCs w:val="16"/>
                <w:lang w:eastAsia="es-ES"/>
              </w:rPr>
              <w:t>Diana Lucia Saavedra Castañeda</w:t>
            </w:r>
          </w:p>
          <w:p w14:paraId="5D22B3BC" w14:textId="77777777" w:rsidR="00711B75" w:rsidRPr="006C695D" w:rsidRDefault="00711B75" w:rsidP="00607185">
            <w:pPr>
              <w:pStyle w:val="paragraph"/>
              <w:spacing w:before="0" w:beforeAutospacing="0" w:after="0" w:afterAutospacing="0"/>
              <w:contextualSpacing/>
              <w:textAlignment w:val="baseline"/>
              <w:rPr>
                <w:rFonts w:ascii="Verdana" w:hAnsi="Verdana" w:cs="Segoe UI"/>
                <w:sz w:val="16"/>
                <w:szCs w:val="16"/>
                <w:lang w:val="es-ES"/>
              </w:rPr>
            </w:pPr>
            <w:r w:rsidRPr="006C695D">
              <w:rPr>
                <w:rFonts w:ascii="Verdana" w:hAnsi="Verdana" w:cs="Arial"/>
                <w:sz w:val="16"/>
                <w:szCs w:val="16"/>
                <w:lang w:eastAsia="es-ES"/>
              </w:rPr>
              <w:t>Contratista de la Subdirección de Gestión Contractual</w:t>
            </w:r>
          </w:p>
        </w:tc>
      </w:tr>
      <w:tr w:rsidR="00711B75" w:rsidRPr="006C695D" w14:paraId="2A2EA8DA" w14:textId="77777777" w:rsidTr="00607185">
        <w:trPr>
          <w:trHeight w:val="300"/>
        </w:trPr>
        <w:tc>
          <w:tcPr>
            <w:tcW w:w="893" w:type="dxa"/>
            <w:vAlign w:val="center"/>
          </w:tcPr>
          <w:p w14:paraId="5F535A92" w14:textId="77777777" w:rsidR="00711B75" w:rsidRPr="006C695D" w:rsidRDefault="00711B75" w:rsidP="00607185">
            <w:pPr>
              <w:contextualSpacing/>
              <w:rPr>
                <w:rFonts w:ascii="Verdana" w:hAnsi="Verdana" w:cs="Arial"/>
                <w:sz w:val="16"/>
                <w:szCs w:val="16"/>
                <w:lang w:val="es-ES" w:eastAsia="es-ES"/>
              </w:rPr>
            </w:pPr>
            <w:r w:rsidRPr="006C695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BC670C7" w14:textId="77777777" w:rsidR="00711B75" w:rsidRPr="006C695D" w:rsidRDefault="00711B75" w:rsidP="00607185">
            <w:pPr>
              <w:contextualSpacing/>
              <w:rPr>
                <w:rFonts w:ascii="Verdana" w:eastAsia="Calibri" w:hAnsi="Verdana" w:cs="Arial"/>
                <w:sz w:val="16"/>
                <w:szCs w:val="16"/>
                <w:lang w:val="es-ES" w:eastAsia="es-ES"/>
              </w:rPr>
            </w:pPr>
            <w:r w:rsidRPr="006C695D">
              <w:rPr>
                <w:rFonts w:ascii="Verdana" w:eastAsia="Calibri" w:hAnsi="Verdana" w:cs="Arial"/>
                <w:sz w:val="16"/>
                <w:szCs w:val="16"/>
                <w:lang w:val="es-ES" w:eastAsia="es-ES"/>
              </w:rPr>
              <w:t>Carolina Quintero Gacharná</w:t>
            </w:r>
          </w:p>
          <w:p w14:paraId="26E13EB0" w14:textId="77777777" w:rsidR="00711B75" w:rsidRPr="006C695D" w:rsidRDefault="00711B75" w:rsidP="00607185">
            <w:pPr>
              <w:contextualSpacing/>
              <w:rPr>
                <w:rFonts w:ascii="Verdana" w:eastAsia="Calibri" w:hAnsi="Verdana" w:cs="Arial"/>
                <w:sz w:val="16"/>
                <w:szCs w:val="16"/>
                <w:lang w:val="es-ES" w:eastAsia="es-ES"/>
              </w:rPr>
            </w:pPr>
            <w:r w:rsidRPr="006C695D">
              <w:rPr>
                <w:rFonts w:ascii="Verdana" w:eastAsia="Calibri" w:hAnsi="Verdana" w:cs="Arial"/>
                <w:sz w:val="16"/>
                <w:szCs w:val="16"/>
                <w:lang w:val="es-ES" w:eastAsia="es-ES"/>
              </w:rPr>
              <w:t>Subdirectora de Gestión Contractual ANCP – CCE</w:t>
            </w:r>
          </w:p>
        </w:tc>
      </w:tr>
      <w:bookmarkEnd w:id="0"/>
    </w:tbl>
    <w:p w14:paraId="5B106E8A" w14:textId="77777777" w:rsidR="00711B75" w:rsidRPr="006C695D" w:rsidRDefault="00711B75" w:rsidP="00711B75">
      <w:pPr>
        <w:spacing w:after="120" w:line="276" w:lineRule="auto"/>
        <w:jc w:val="both"/>
        <w:rPr>
          <w:rFonts w:ascii="Verdana" w:eastAsia="Century Gothic" w:hAnsi="Verdana" w:cs="Century Gothic"/>
          <w:b/>
          <w:color w:val="ED7D31" w:themeColor="accent2"/>
          <w:lang w:val="es-ES"/>
        </w:rPr>
      </w:pPr>
    </w:p>
    <w:p w14:paraId="206D7894" w14:textId="49FF34EA" w:rsidR="00711B75" w:rsidRPr="002E294E" w:rsidRDefault="00711B75" w:rsidP="00711B75">
      <w:pPr>
        <w:spacing w:after="120" w:line="276" w:lineRule="auto"/>
        <w:jc w:val="both"/>
        <w:rPr>
          <w:rFonts w:ascii="Verdana" w:eastAsia="Century Gothic" w:hAnsi="Verdana" w:cs="Century Gothic"/>
          <w:b/>
          <w:color w:val="ED7D31" w:themeColor="accent2"/>
          <w:lang w:val="es-ES"/>
        </w:rPr>
      </w:pPr>
    </w:p>
    <w:p w14:paraId="0F293BF4" w14:textId="20FEB42C" w:rsidR="00127233" w:rsidRPr="00711B75" w:rsidRDefault="00127233" w:rsidP="00711B75"/>
    <w:sectPr w:rsidR="00127233" w:rsidRPr="00711B75"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B774E" w14:textId="77777777" w:rsidR="00B27659" w:rsidRDefault="00B27659" w:rsidP="004A1847">
      <w:pPr>
        <w:spacing w:after="0" w:line="240" w:lineRule="auto"/>
      </w:pPr>
      <w:r>
        <w:separator/>
      </w:r>
    </w:p>
  </w:endnote>
  <w:endnote w:type="continuationSeparator" w:id="0">
    <w:p w14:paraId="16369629" w14:textId="77777777" w:rsidR="00B27659" w:rsidRDefault="00B2765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10ED4" w14:textId="77777777" w:rsidR="00B27659" w:rsidRDefault="00B27659" w:rsidP="004A1847">
      <w:pPr>
        <w:spacing w:after="0" w:line="240" w:lineRule="auto"/>
      </w:pPr>
      <w:r>
        <w:separator/>
      </w:r>
    </w:p>
  </w:footnote>
  <w:footnote w:type="continuationSeparator" w:id="0">
    <w:p w14:paraId="3C1F4760" w14:textId="77777777" w:rsidR="00B27659" w:rsidRDefault="00B27659" w:rsidP="004A1847">
      <w:pPr>
        <w:spacing w:after="0" w:line="240" w:lineRule="auto"/>
      </w:pPr>
      <w:r>
        <w:continuationSeparator/>
      </w:r>
    </w:p>
  </w:footnote>
  <w:footnote w:id="1">
    <w:p w14:paraId="46B79F43" w14:textId="77777777" w:rsidR="00711B75" w:rsidRPr="00C827F0" w:rsidRDefault="00711B75" w:rsidP="00711B75">
      <w:pPr>
        <w:pStyle w:val="Textonotapie"/>
        <w:ind w:firstLine="708"/>
        <w:contextualSpacing/>
        <w:jc w:val="both"/>
        <w:rPr>
          <w:rFonts w:ascii="Verdana" w:hAnsi="Verdana" w:cs="Arial"/>
          <w:sz w:val="16"/>
          <w:szCs w:val="16"/>
        </w:rPr>
      </w:pPr>
      <w:r w:rsidRPr="00C827F0">
        <w:rPr>
          <w:rStyle w:val="Refdenotaalpie"/>
          <w:rFonts w:ascii="Verdana" w:hAnsi="Verdana" w:cs="Arial"/>
          <w:sz w:val="16"/>
          <w:szCs w:val="16"/>
        </w:rPr>
        <w:footnoteRef/>
      </w:r>
      <w:r w:rsidRPr="00C827F0">
        <w:rPr>
          <w:rFonts w:ascii="Verdana" w:hAnsi="Verdana" w:cs="Arial"/>
          <w:sz w:val="16"/>
          <w:szCs w:val="16"/>
        </w:rPr>
        <w:t xml:space="preserve"> “Artículo 100: Asimilación a sociedades comerciales - legislación mercantil.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w:t>
      </w:r>
    </w:p>
    <w:p w14:paraId="0D659A72" w14:textId="77777777" w:rsidR="00711B75" w:rsidRPr="00C827F0" w:rsidRDefault="00711B75" w:rsidP="00711B75">
      <w:pPr>
        <w:pStyle w:val="Textonotapie"/>
        <w:ind w:firstLine="709"/>
        <w:contextualSpacing/>
        <w:jc w:val="both"/>
        <w:rPr>
          <w:rFonts w:ascii="Verdana" w:hAnsi="Verdana" w:cs="Arial"/>
          <w:sz w:val="16"/>
          <w:szCs w:val="16"/>
        </w:rPr>
      </w:pPr>
      <w:r w:rsidRPr="00C827F0">
        <w:rPr>
          <w:rFonts w:ascii="Verdana" w:hAnsi="Verdana" w:cs="Arial"/>
          <w:sz w:val="16"/>
          <w:szCs w:val="16"/>
        </w:rPr>
        <w:t>Sin embargo, cualquiera que sea su objeto, las sociedades comerciales y civiles estarán sujetas, para todos los efectos, a la legislación mercantil”.</w:t>
      </w:r>
    </w:p>
    <w:p w14:paraId="0DE2B75F" w14:textId="77777777" w:rsidR="00711B75" w:rsidRPr="008F6B22" w:rsidRDefault="00711B75" w:rsidP="00711B75">
      <w:pPr>
        <w:pStyle w:val="Textonotapie"/>
        <w:contextualSpacing/>
        <w:jc w:val="both"/>
        <w:rPr>
          <w:rFonts w:ascii="Verdana" w:hAnsi="Verdana" w:cs="Arial"/>
          <w:sz w:val="16"/>
          <w:szCs w:val="16"/>
        </w:rPr>
      </w:pPr>
    </w:p>
  </w:footnote>
  <w:footnote w:id="2">
    <w:p w14:paraId="4DA17494" w14:textId="77777777" w:rsidR="00711B75" w:rsidRPr="00621E20" w:rsidRDefault="00711B75" w:rsidP="00711B75">
      <w:pPr>
        <w:pStyle w:val="Textonotapie"/>
        <w:ind w:firstLine="708"/>
        <w:contextualSpacing/>
        <w:jc w:val="both"/>
        <w:rPr>
          <w:rFonts w:ascii="Verdana" w:hAnsi="Verdana" w:cs="Arial"/>
          <w:sz w:val="16"/>
          <w:szCs w:val="16"/>
        </w:rPr>
      </w:pPr>
      <w:r w:rsidRPr="00621E20">
        <w:rPr>
          <w:rStyle w:val="Refdenotaalpie"/>
          <w:rFonts w:ascii="Verdana" w:hAnsi="Verdana" w:cs="Arial"/>
          <w:sz w:val="16"/>
          <w:szCs w:val="16"/>
        </w:rPr>
        <w:footnoteRef/>
      </w:r>
      <w:r w:rsidRPr="00621E20">
        <w:rPr>
          <w:rFonts w:ascii="Verdana" w:hAnsi="Verdana" w:cs="Arial"/>
          <w:sz w:val="16"/>
          <w:szCs w:val="16"/>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 </w:t>
      </w:r>
    </w:p>
    <w:p w14:paraId="46022D07" w14:textId="77777777" w:rsidR="00711B75" w:rsidRPr="00997992" w:rsidRDefault="00711B75" w:rsidP="00711B75">
      <w:pPr>
        <w:pStyle w:val="Textonotapie"/>
        <w:contextualSpacing/>
        <w:jc w:val="both"/>
        <w:rPr>
          <w:rFonts w:ascii="Verdana" w:hAnsi="Verdana" w:cs="Arial"/>
          <w:sz w:val="14"/>
          <w:szCs w:val="14"/>
          <w:lang w:val="es-CO"/>
        </w:rPr>
      </w:pPr>
      <w:r w:rsidRPr="00621E20">
        <w:rPr>
          <w:rFonts w:ascii="Verdana" w:hAnsi="Verdana" w:cs="Arial"/>
          <w:sz w:val="16"/>
          <w:szCs w:val="16"/>
        </w:rPr>
        <w:t>La ausencia de lucro es una de sus características fundamentales, lo cual significa que no existe el reparto de utilidades o remanentes generados en el desarrollo de sus objetivos, ni es viable el reembolso de los bienes o dineros aportados a la entidad […]”.</w:t>
      </w:r>
    </w:p>
  </w:footnote>
  <w:footnote w:id="3">
    <w:p w14:paraId="5C864886" w14:textId="77777777" w:rsidR="00711B75" w:rsidRDefault="00711B75" w:rsidP="00711B75">
      <w:pPr>
        <w:pStyle w:val="Textonotapie"/>
        <w:ind w:firstLine="708"/>
        <w:contextualSpacing/>
        <w:jc w:val="both"/>
        <w:rPr>
          <w:rStyle w:val="eop"/>
          <w:rFonts w:ascii="Verdana" w:hAnsi="Verdana" w:cs="Arial"/>
          <w:color w:val="000000"/>
          <w:sz w:val="16"/>
          <w:szCs w:val="16"/>
          <w:shd w:val="clear" w:color="auto" w:fill="FFFFFF"/>
        </w:rPr>
      </w:pPr>
      <w:r w:rsidRPr="002C7F08">
        <w:rPr>
          <w:rStyle w:val="Refdenotaalpie"/>
          <w:rFonts w:ascii="Verdana" w:hAnsi="Verdana" w:cs="Arial"/>
          <w:sz w:val="16"/>
          <w:szCs w:val="16"/>
        </w:rPr>
        <w:footnoteRef/>
      </w:r>
      <w:r w:rsidRPr="002C7F08">
        <w:rPr>
          <w:rFonts w:ascii="Verdana" w:hAnsi="Verdana" w:cs="Arial"/>
          <w:sz w:val="16"/>
          <w:szCs w:val="16"/>
        </w:rPr>
        <w:t xml:space="preserve"> </w:t>
      </w:r>
      <w:r w:rsidRPr="00E1262C">
        <w:rPr>
          <w:rStyle w:val="eop"/>
          <w:rFonts w:ascii="Verdana" w:hAnsi="Verdana" w:cs="Arial"/>
          <w:color w:val="000000"/>
          <w:sz w:val="16"/>
          <w:szCs w:val="16"/>
          <w:shd w:val="clear" w:color="auto" w:fill="FFFFFF"/>
        </w:rPr>
        <w:t>Corte Constitucional de Colombia. Sentencia C-287 de 2012</w:t>
      </w:r>
      <w:r>
        <w:rPr>
          <w:rStyle w:val="eop"/>
          <w:rFonts w:ascii="Verdana" w:hAnsi="Verdana" w:cs="Arial"/>
          <w:color w:val="000000"/>
          <w:sz w:val="16"/>
          <w:szCs w:val="16"/>
          <w:shd w:val="clear" w:color="auto" w:fill="FFFFFF"/>
        </w:rPr>
        <w:t>.</w:t>
      </w:r>
      <w:r w:rsidRPr="00E1262C">
        <w:rPr>
          <w:rStyle w:val="eop"/>
          <w:rFonts w:ascii="Verdana" w:hAnsi="Verdana" w:cs="Arial"/>
          <w:color w:val="000000"/>
          <w:sz w:val="16"/>
          <w:szCs w:val="16"/>
          <w:shd w:val="clear" w:color="auto" w:fill="FFFFFF"/>
        </w:rPr>
        <w:t xml:space="preserve"> Exp. D-8642</w:t>
      </w:r>
      <w:r>
        <w:rPr>
          <w:rStyle w:val="eop"/>
          <w:rFonts w:ascii="Verdana" w:hAnsi="Verdana" w:cs="Arial"/>
          <w:color w:val="000000"/>
          <w:sz w:val="16"/>
          <w:szCs w:val="16"/>
          <w:shd w:val="clear" w:color="auto" w:fill="FFFFFF"/>
        </w:rPr>
        <w:t>.</w:t>
      </w:r>
      <w:r w:rsidRPr="00E1262C">
        <w:rPr>
          <w:rStyle w:val="eop"/>
          <w:rFonts w:ascii="Verdana" w:hAnsi="Verdana" w:cs="Arial"/>
          <w:color w:val="000000"/>
          <w:sz w:val="16"/>
          <w:szCs w:val="16"/>
          <w:shd w:val="clear" w:color="auto" w:fill="FFFFFF"/>
        </w:rPr>
        <w:t xml:space="preserve"> M.P. María Victoria Calle Correa, 18 de abril de 2012.</w:t>
      </w:r>
    </w:p>
    <w:p w14:paraId="2699147F" w14:textId="77777777" w:rsidR="00711B75" w:rsidRPr="00AF4427" w:rsidRDefault="00711B75" w:rsidP="00711B75">
      <w:pPr>
        <w:pStyle w:val="Textonotapie"/>
        <w:ind w:firstLine="708"/>
        <w:contextualSpacing/>
        <w:jc w:val="both"/>
        <w:rPr>
          <w:rFonts w:ascii="Verdana" w:hAnsi="Verdana" w:cs="Arial"/>
          <w:color w:val="000000"/>
          <w:sz w:val="16"/>
          <w:szCs w:val="16"/>
          <w:shd w:val="clear" w:color="auto" w:fill="FFFFFF"/>
        </w:rPr>
      </w:pPr>
    </w:p>
  </w:footnote>
  <w:footnote w:id="4">
    <w:p w14:paraId="59B4217B" w14:textId="4617DD99" w:rsidR="00711B75" w:rsidRPr="00706855" w:rsidRDefault="00711B75" w:rsidP="00711B75">
      <w:pPr>
        <w:pStyle w:val="Textonotapie"/>
        <w:ind w:firstLine="708"/>
        <w:contextualSpacing/>
        <w:jc w:val="both"/>
        <w:rPr>
          <w:rFonts w:ascii="Verdana" w:hAnsi="Verdana" w:cs="Arial"/>
          <w:sz w:val="16"/>
          <w:szCs w:val="16"/>
        </w:rPr>
      </w:pPr>
      <w:r w:rsidRPr="00706855">
        <w:rPr>
          <w:rStyle w:val="Refdenotaalpie"/>
          <w:rFonts w:ascii="Verdana" w:hAnsi="Verdana" w:cs="Arial"/>
          <w:sz w:val="16"/>
          <w:szCs w:val="16"/>
        </w:rPr>
        <w:footnoteRef/>
      </w:r>
      <w:r w:rsidRPr="00706855">
        <w:rPr>
          <w:rFonts w:ascii="Verdana" w:hAnsi="Verdana" w:cs="Arial"/>
          <w:sz w:val="16"/>
          <w:szCs w:val="16"/>
        </w:rPr>
        <w:t xml:space="preserve"> Cámara de Comercio de Bogotá, “ABC DE ESALES”. Bogotá. 2013. Disponible en este </w:t>
      </w:r>
      <w:r w:rsidR="005C6217" w:rsidRPr="00706855">
        <w:rPr>
          <w:rFonts w:ascii="Verdana" w:hAnsi="Verdana" w:cs="Arial"/>
          <w:sz w:val="16"/>
          <w:szCs w:val="16"/>
        </w:rPr>
        <w:t>enlace</w:t>
      </w:r>
      <w:r w:rsidRPr="00706855">
        <w:rPr>
          <w:rFonts w:ascii="Verdana" w:hAnsi="Verdana" w:cs="Arial"/>
          <w:sz w:val="16"/>
          <w:szCs w:val="16"/>
        </w:rPr>
        <w:t xml:space="preserve">: </w:t>
      </w:r>
      <w:hyperlink r:id="rId1" w:history="1">
        <w:r w:rsidRPr="00706855">
          <w:rPr>
            <w:rStyle w:val="Hipervnculo"/>
            <w:rFonts w:ascii="Verdana" w:hAnsi="Verdana" w:cs="Arial"/>
            <w:sz w:val="16"/>
            <w:szCs w:val="16"/>
          </w:rPr>
          <w:t>https://bibliotecadigital.ccb.org.co/bitstream/handle/11520/8346/el%20abc%20de%20esales%202013%20completo.pdf?sequence=1&amp;isAllowed=y</w:t>
        </w:r>
      </w:hyperlink>
      <w:r w:rsidRPr="00706855">
        <w:rPr>
          <w:rFonts w:ascii="Verdana" w:hAnsi="Verdana" w:cs="Arial"/>
          <w:sz w:val="16"/>
          <w:szCs w:val="16"/>
        </w:rPr>
        <w:t xml:space="preserve">. También se puede consultar el Manual Básico Sobre Entidades Sin Ánimo De Lucro – ESAL en </w:t>
      </w:r>
      <w:hyperlink r:id="rId2" w:history="1">
        <w:r w:rsidRPr="00706855">
          <w:rPr>
            <w:rStyle w:val="Hipervnculo"/>
            <w:rFonts w:ascii="Verdana" w:hAnsi="Verdana" w:cs="Arial"/>
            <w:sz w:val="16"/>
            <w:szCs w:val="16"/>
            <w:lang w:val="es-CO"/>
          </w:rPr>
          <w:t>Manual básico sobre entidades sin ánimo de lucro - ESAL</w:t>
        </w:r>
      </w:hyperlink>
      <w:r w:rsidRPr="00706855">
        <w:rPr>
          <w:rFonts w:ascii="Verdana" w:hAnsi="Verdana" w:cs="Arial"/>
          <w:sz w:val="16"/>
          <w:szCs w:val="16"/>
        </w:rPr>
        <w:t xml:space="preserve">. </w:t>
      </w:r>
    </w:p>
  </w:footnote>
  <w:footnote w:id="5">
    <w:p w14:paraId="6E754140" w14:textId="77777777" w:rsidR="00711B75" w:rsidRPr="000D43BB" w:rsidRDefault="00711B75" w:rsidP="00711B75">
      <w:pPr>
        <w:pStyle w:val="Textonotapie"/>
        <w:ind w:firstLine="708"/>
        <w:contextualSpacing/>
        <w:jc w:val="both"/>
        <w:rPr>
          <w:rFonts w:ascii="Verdana" w:hAnsi="Verdana" w:cs="Arial"/>
          <w:sz w:val="16"/>
          <w:szCs w:val="16"/>
        </w:rPr>
      </w:pPr>
      <w:r w:rsidRPr="000D43BB">
        <w:rPr>
          <w:rFonts w:ascii="Verdana" w:hAnsi="Verdana" w:cs="Arial"/>
          <w:sz w:val="16"/>
          <w:szCs w:val="16"/>
          <w:vertAlign w:val="superscript"/>
        </w:rPr>
        <w:footnoteRef/>
      </w:r>
      <w:r w:rsidRPr="000D43BB">
        <w:rPr>
          <w:rFonts w:ascii="Verdana" w:hAnsi="Verdana" w:cs="Arial"/>
          <w:sz w:val="16"/>
          <w:szCs w:val="16"/>
        </w:rPr>
        <w:t xml:space="preserve"> Ley 1450 de 2011. “Artículo 43. Definiciones de tamaño empresarial. El artículo 2° de la Ley 590 de 2000, quedará así: </w:t>
      </w:r>
    </w:p>
    <w:p w14:paraId="23551EBA" w14:textId="77777777" w:rsidR="00711B75" w:rsidRPr="000D43BB" w:rsidRDefault="00711B75" w:rsidP="00711B75">
      <w:pPr>
        <w:pStyle w:val="Textonotapie"/>
        <w:ind w:firstLine="708"/>
        <w:contextualSpacing/>
        <w:jc w:val="both"/>
        <w:rPr>
          <w:rFonts w:ascii="Verdana" w:hAnsi="Verdana" w:cs="Arial"/>
          <w:sz w:val="16"/>
          <w:szCs w:val="16"/>
        </w:rPr>
      </w:pPr>
      <w:r w:rsidRPr="000D43BB">
        <w:rPr>
          <w:rFonts w:ascii="Verdana" w:hAnsi="Verdana" w:cs="Arial"/>
          <w:sz w:val="16"/>
          <w:szCs w:val="16"/>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13887D65" w14:textId="77777777" w:rsidR="00711B75" w:rsidRPr="000D43BB" w:rsidRDefault="00711B75" w:rsidP="00711B75">
      <w:pPr>
        <w:pStyle w:val="Textonotapie"/>
        <w:ind w:firstLine="708"/>
        <w:contextualSpacing/>
        <w:jc w:val="both"/>
        <w:rPr>
          <w:rFonts w:ascii="Verdana" w:hAnsi="Verdana" w:cs="Arial"/>
          <w:sz w:val="16"/>
          <w:szCs w:val="16"/>
        </w:rPr>
      </w:pPr>
      <w:r w:rsidRPr="000D43BB">
        <w:rPr>
          <w:rFonts w:ascii="Verdana" w:hAnsi="Verdana" w:cs="Arial"/>
          <w:sz w:val="16"/>
          <w:szCs w:val="16"/>
        </w:rPr>
        <w:t xml:space="preserve">1. Número de trabajadores totales. </w:t>
      </w:r>
    </w:p>
    <w:p w14:paraId="763F4B87" w14:textId="77777777" w:rsidR="00711B75" w:rsidRPr="000D43BB" w:rsidRDefault="00711B75" w:rsidP="00711B75">
      <w:pPr>
        <w:pStyle w:val="Textonotapie"/>
        <w:contextualSpacing/>
        <w:jc w:val="both"/>
        <w:rPr>
          <w:rFonts w:ascii="Verdana" w:hAnsi="Verdana" w:cs="Arial"/>
          <w:sz w:val="16"/>
          <w:szCs w:val="16"/>
        </w:rPr>
      </w:pPr>
      <w:r w:rsidRPr="000D43BB">
        <w:rPr>
          <w:rFonts w:ascii="Verdana" w:hAnsi="Verdana" w:cs="Arial"/>
          <w:sz w:val="16"/>
          <w:szCs w:val="16"/>
        </w:rPr>
        <w:t xml:space="preserve"> </w:t>
      </w:r>
      <w:r w:rsidRPr="000D43BB">
        <w:rPr>
          <w:rFonts w:ascii="Verdana" w:hAnsi="Verdana" w:cs="Arial"/>
          <w:sz w:val="16"/>
          <w:szCs w:val="16"/>
        </w:rPr>
        <w:tab/>
        <w:t xml:space="preserve">2. Valor de ventas brutas anuales. </w:t>
      </w:r>
    </w:p>
    <w:p w14:paraId="754170F4" w14:textId="77777777" w:rsidR="00711B75" w:rsidRPr="000D43BB" w:rsidRDefault="00711B75" w:rsidP="00711B75">
      <w:pPr>
        <w:pStyle w:val="Textonotapie"/>
        <w:ind w:firstLine="708"/>
        <w:contextualSpacing/>
        <w:jc w:val="both"/>
        <w:rPr>
          <w:rFonts w:ascii="Verdana" w:hAnsi="Verdana" w:cs="Arial"/>
          <w:sz w:val="16"/>
          <w:szCs w:val="16"/>
        </w:rPr>
      </w:pPr>
      <w:r w:rsidRPr="000D43BB">
        <w:rPr>
          <w:rFonts w:ascii="Verdana" w:hAnsi="Verdana" w:cs="Arial"/>
          <w:sz w:val="16"/>
          <w:szCs w:val="16"/>
        </w:rPr>
        <w:t xml:space="preserve">3. Valor activos totales. </w:t>
      </w:r>
    </w:p>
    <w:p w14:paraId="6A9724AB" w14:textId="77777777" w:rsidR="00711B75" w:rsidRPr="000D43BB" w:rsidRDefault="00711B75" w:rsidP="00711B75">
      <w:pPr>
        <w:pStyle w:val="Textonotapie"/>
        <w:ind w:firstLine="708"/>
        <w:contextualSpacing/>
        <w:jc w:val="both"/>
        <w:rPr>
          <w:rFonts w:ascii="Verdana" w:hAnsi="Verdana" w:cs="Arial"/>
          <w:sz w:val="16"/>
          <w:szCs w:val="16"/>
        </w:rPr>
      </w:pPr>
      <w:r w:rsidRPr="000D43BB">
        <w:rPr>
          <w:rFonts w:ascii="Verdana" w:hAnsi="Verdana" w:cs="Arial"/>
          <w:sz w:val="16"/>
          <w:szCs w:val="16"/>
        </w:rPr>
        <w:t xml:space="preserve">Para efectos de los beneficios otorgados por el Gobierno nacional a las micro, pequeñas y medianas empresas el criterio determinante será el valor de ventas brutas anuales. </w:t>
      </w:r>
    </w:p>
    <w:p w14:paraId="4366A0D8" w14:textId="77777777" w:rsidR="00711B75" w:rsidRPr="000D43BB" w:rsidRDefault="00711B75" w:rsidP="00711B75">
      <w:pPr>
        <w:pStyle w:val="Textonotapie"/>
        <w:ind w:firstLine="708"/>
        <w:contextualSpacing/>
        <w:jc w:val="both"/>
        <w:rPr>
          <w:rFonts w:ascii="Verdana" w:hAnsi="Verdana" w:cs="Arial"/>
          <w:sz w:val="16"/>
          <w:szCs w:val="16"/>
        </w:rPr>
      </w:pPr>
      <w:r w:rsidRPr="000D43BB">
        <w:rPr>
          <w:rFonts w:ascii="Verdana" w:hAnsi="Verdana" w:cs="Arial"/>
          <w:sz w:val="16"/>
          <w:szCs w:val="16"/>
        </w:rPr>
        <w:t xml:space="preserve">Parágrafo 1°. El Gobierno Nacional reglamentará los rangos que aplicarán para los tres criterios e incluirá especificidades sectoriales en los casos que considere necesario. </w:t>
      </w:r>
    </w:p>
    <w:p w14:paraId="53354773" w14:textId="77777777" w:rsidR="00711B75" w:rsidRPr="005C3413" w:rsidRDefault="00711B75" w:rsidP="00711B75">
      <w:pPr>
        <w:pStyle w:val="Textonotapie"/>
        <w:ind w:firstLine="708"/>
        <w:contextualSpacing/>
        <w:jc w:val="both"/>
        <w:rPr>
          <w:rFonts w:ascii="Verdana" w:hAnsi="Verdana" w:cs="Arial"/>
          <w:sz w:val="16"/>
          <w:szCs w:val="16"/>
        </w:rPr>
      </w:pPr>
      <w:r w:rsidRPr="000D43BB">
        <w:rPr>
          <w:rFonts w:ascii="Verdana" w:hAnsi="Verdana" w:cs="Arial"/>
          <w:sz w:val="16"/>
          <w:szCs w:val="16"/>
        </w:rPr>
        <w:t>Parágrafo 2°. Las definiciones contenidas en el artículo 2° de la Ley 590 de 2000 continuarán vigentes hasta tanto entren a regir las normas reglamentarias que profiera el Gobierno Nacional en desarrollo de lo previsto en el presente artículo”.</w:t>
      </w:r>
    </w:p>
  </w:footnote>
  <w:footnote w:id="6">
    <w:p w14:paraId="3E02DD78" w14:textId="77777777" w:rsidR="00711B75" w:rsidRPr="00D57D30" w:rsidRDefault="00711B75" w:rsidP="00711B75">
      <w:pPr>
        <w:pStyle w:val="Textonotapie"/>
        <w:ind w:firstLine="708"/>
        <w:contextualSpacing/>
        <w:jc w:val="both"/>
        <w:rPr>
          <w:rFonts w:ascii="Verdana" w:hAnsi="Verdana" w:cs="Arial"/>
          <w:sz w:val="14"/>
          <w:szCs w:val="14"/>
        </w:rPr>
      </w:pPr>
      <w:r w:rsidRPr="00D57D30">
        <w:rPr>
          <w:rStyle w:val="Refdenotaalpie"/>
          <w:rFonts w:ascii="Verdana" w:hAnsi="Verdana" w:cs="Arial"/>
          <w:sz w:val="16"/>
          <w:szCs w:val="16"/>
        </w:rPr>
        <w:footnoteRef/>
      </w:r>
      <w:r w:rsidRPr="00D57D30">
        <w:rPr>
          <w:rFonts w:ascii="Verdana" w:hAnsi="Verdana" w:cs="Arial"/>
          <w:sz w:val="16"/>
          <w:szCs w:val="16"/>
        </w:rPr>
        <w:t xml:space="preserve"> Agencia Nacional de Contratación – Colombia Compra Eficiente. Concepto 997 del 30 de diciembre de 2024. </w:t>
      </w:r>
    </w:p>
  </w:footnote>
  <w:footnote w:id="7">
    <w:p w14:paraId="0EF72481" w14:textId="77777777" w:rsidR="00711B75" w:rsidRPr="00FC10D3" w:rsidRDefault="00711B75" w:rsidP="00711B75">
      <w:pPr>
        <w:pStyle w:val="Textonotapie"/>
        <w:jc w:val="both"/>
        <w:rPr>
          <w:rFonts w:ascii="Verdana" w:hAnsi="Verdana"/>
          <w:sz w:val="12"/>
          <w:szCs w:val="12"/>
        </w:rPr>
      </w:pPr>
    </w:p>
    <w:p w14:paraId="3A402F85" w14:textId="77777777" w:rsidR="00711B75" w:rsidRPr="008C6F0F" w:rsidRDefault="00711B75" w:rsidP="00711B75">
      <w:pPr>
        <w:pStyle w:val="Textonotapie"/>
        <w:ind w:firstLine="709"/>
        <w:jc w:val="both"/>
        <w:rPr>
          <w:rFonts w:ascii="Verdana" w:hAnsi="Verdana"/>
          <w:sz w:val="16"/>
          <w:szCs w:val="16"/>
        </w:rPr>
      </w:pPr>
      <w:r w:rsidRPr="008C6F0F">
        <w:rPr>
          <w:rStyle w:val="Refdenotaalpie"/>
          <w:rFonts w:ascii="Verdana" w:hAnsi="Verdana"/>
          <w:sz w:val="16"/>
          <w:szCs w:val="16"/>
        </w:rPr>
        <w:footnoteRef/>
      </w:r>
      <w:r w:rsidRPr="008C6F0F">
        <w:rPr>
          <w:rFonts w:ascii="Verdana" w:hAnsi="Verdana"/>
          <w:sz w:val="16"/>
          <w:szCs w:val="16"/>
        </w:rPr>
        <w:t xml:space="preserve"> Artículo 2.2.1.2.4.2.2. Convocatorias Limitadas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p>
    <w:p w14:paraId="4B6BE62B" w14:textId="77777777" w:rsidR="00711B75" w:rsidRPr="008C6F0F" w:rsidRDefault="00711B75" w:rsidP="00711B75">
      <w:pPr>
        <w:pStyle w:val="Textonotapie"/>
        <w:ind w:firstLine="709"/>
        <w:jc w:val="both"/>
        <w:rPr>
          <w:rFonts w:ascii="Verdana" w:hAnsi="Verdana"/>
          <w:sz w:val="16"/>
          <w:szCs w:val="16"/>
        </w:rPr>
      </w:pPr>
      <w:r w:rsidRPr="008C6F0F">
        <w:rPr>
          <w:rFonts w:ascii="Verdana" w:hAnsi="Verdana"/>
          <w:sz w:val="16"/>
          <w:szCs w:val="16"/>
        </w:rPr>
        <w:t>1. El valor del Proceso de Contratación sea menor a ciento veinticinco mil dólares de los Estados Unidos de América (US$125.000), liquidados con la tasa de cambio que para el efecto determina cada dos años el Ministerio de Comercio, Industria y Turismo.</w:t>
      </w:r>
    </w:p>
    <w:p w14:paraId="0569EC32" w14:textId="77777777" w:rsidR="00711B75" w:rsidRPr="008C6F0F" w:rsidRDefault="00711B75" w:rsidP="00711B75">
      <w:pPr>
        <w:pStyle w:val="Textonotapie"/>
        <w:ind w:firstLine="709"/>
        <w:jc w:val="both"/>
        <w:rPr>
          <w:rFonts w:ascii="Verdana" w:hAnsi="Verdana"/>
          <w:sz w:val="16"/>
          <w:szCs w:val="16"/>
        </w:rPr>
      </w:pPr>
      <w:r w:rsidRPr="008C6F0F">
        <w:rPr>
          <w:rFonts w:ascii="Verdana" w:hAnsi="Verdana"/>
          <w:sz w:val="16"/>
          <w:szCs w:val="16"/>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4B96F535" w14:textId="77777777" w:rsidR="00711B75" w:rsidRPr="008C6F0F" w:rsidRDefault="00711B75" w:rsidP="00711B75">
      <w:pPr>
        <w:pStyle w:val="Textonotapie"/>
        <w:ind w:firstLine="709"/>
        <w:jc w:val="both"/>
        <w:rPr>
          <w:rFonts w:ascii="Verdana" w:hAnsi="Verdana"/>
          <w:sz w:val="16"/>
          <w:szCs w:val="16"/>
        </w:rPr>
      </w:pPr>
      <w:r w:rsidRPr="008C6F0F">
        <w:rPr>
          <w:rFonts w:ascii="Verdana" w:hAnsi="Verdana"/>
          <w:sz w:val="16"/>
          <w:szCs w:val="16"/>
        </w:rPr>
        <w:t>Tratándose de personas jurídicas, las solicitudes solo las podrán realizar Mipyme, cuyo objeto social les permita ejecutar el contrato relacionado con el proceso contractual.</w:t>
      </w:r>
    </w:p>
    <w:p w14:paraId="7949D12F" w14:textId="77777777" w:rsidR="00711B75" w:rsidRPr="008C6F0F" w:rsidRDefault="00711B75" w:rsidP="00711B75">
      <w:pPr>
        <w:pStyle w:val="Textonotapie"/>
        <w:ind w:firstLine="709"/>
        <w:jc w:val="both"/>
        <w:rPr>
          <w:rFonts w:ascii="Verdana" w:hAnsi="Verdana"/>
          <w:sz w:val="16"/>
          <w:szCs w:val="16"/>
        </w:rPr>
      </w:pPr>
      <w:r w:rsidRPr="008C6F0F">
        <w:rPr>
          <w:rFonts w:ascii="Verdana" w:hAnsi="Verdana"/>
          <w:sz w:val="16"/>
          <w:szCs w:val="16"/>
        </w:rPr>
        <w:t>Parágrafo. Las cooperativas y demás entidades de economía solidaria, siempre que tengan la calidad de Mipyme, podrán solicitar y participar en las convocatorias limitadas en las mismas condiciones dispuestas en el presente artículo”.</w:t>
      </w:r>
    </w:p>
    <w:p w14:paraId="1FEAFD99" w14:textId="77777777" w:rsidR="00711B75" w:rsidRPr="008C6F0F" w:rsidRDefault="00711B75" w:rsidP="00711B75">
      <w:pPr>
        <w:pStyle w:val="Textonotapie"/>
        <w:ind w:firstLine="709"/>
        <w:jc w:val="both"/>
        <w:rPr>
          <w:sz w:val="16"/>
          <w:szCs w:val="16"/>
          <w:lang w:val="es-CO"/>
        </w:rPr>
      </w:pPr>
    </w:p>
  </w:footnote>
  <w:footnote w:id="8">
    <w:p w14:paraId="150FA46F" w14:textId="77777777" w:rsidR="00711B75" w:rsidRDefault="00711B75" w:rsidP="00711B75">
      <w:pPr>
        <w:pStyle w:val="Textonotapie"/>
        <w:ind w:firstLine="709"/>
        <w:jc w:val="both"/>
        <w:rPr>
          <w:rFonts w:ascii="Verdana" w:hAnsi="Verdana"/>
          <w:sz w:val="16"/>
          <w:szCs w:val="16"/>
          <w:lang w:val="es-CO"/>
        </w:rPr>
      </w:pPr>
      <w:r w:rsidRPr="008C6F0F">
        <w:rPr>
          <w:rStyle w:val="Refdenotaalpie"/>
          <w:rFonts w:ascii="Verdana" w:hAnsi="Verdana"/>
          <w:sz w:val="16"/>
          <w:szCs w:val="16"/>
        </w:rPr>
        <w:footnoteRef/>
      </w:r>
      <w:r w:rsidRPr="008C6F0F">
        <w:rPr>
          <w:rFonts w:ascii="Verdana" w:hAnsi="Verdana"/>
          <w:sz w:val="16"/>
          <w:szCs w:val="16"/>
        </w:rPr>
        <w:t xml:space="preserve"> </w:t>
      </w:r>
      <w:r w:rsidRPr="008C6F0F">
        <w:rPr>
          <w:rFonts w:ascii="Verdana" w:hAnsi="Verdana"/>
          <w:sz w:val="16"/>
          <w:szCs w:val="16"/>
          <w:lang w:val="es-CO"/>
        </w:rPr>
        <w:t>Artículo</w:t>
      </w:r>
      <w:bookmarkStart w:id="2" w:name="2.2.1.2.4.2.3"/>
      <w:bookmarkEnd w:id="2"/>
      <w:r w:rsidRPr="008C6F0F">
        <w:rPr>
          <w:rFonts w:ascii="Verdana" w:hAnsi="Verdana"/>
          <w:sz w:val="16"/>
          <w:szCs w:val="16"/>
          <w:lang w:val="es-CO"/>
        </w:rPr>
        <w:t> 2.2.1.2.4.2.3. Limitaciones territoriales. De conformidad con el parágrafo </w:t>
      </w:r>
      <w:hyperlink r:id="rId3" w:anchor="12.p1" w:history="1">
        <w:r w:rsidRPr="008C6F0F">
          <w:rPr>
            <w:rStyle w:val="Hipervnculo"/>
            <w:rFonts w:ascii="Verdana" w:hAnsi="Verdana"/>
            <w:color w:val="auto"/>
            <w:sz w:val="16"/>
            <w:szCs w:val="16"/>
            <w:u w:val="none"/>
            <w:lang w:val="es-CO"/>
          </w:rPr>
          <w:t>1 </w:t>
        </w:r>
      </w:hyperlink>
      <w:r w:rsidRPr="008C6F0F">
        <w:rPr>
          <w:rFonts w:ascii="Verdana" w:hAnsi="Verdana"/>
          <w:sz w:val="16"/>
          <w:szCs w:val="16"/>
          <w:lang w:val="es-CO"/>
        </w:rPr>
        <w:t>del artículo </w:t>
      </w:r>
      <w:hyperlink r:id="rId4" w:anchor="12" w:history="1">
        <w:r w:rsidRPr="008C6F0F">
          <w:rPr>
            <w:rStyle w:val="Hipervnculo"/>
            <w:rFonts w:ascii="Verdana" w:hAnsi="Verdana"/>
            <w:color w:val="auto"/>
            <w:sz w:val="16"/>
            <w:szCs w:val="16"/>
            <w:u w:val="none"/>
            <w:lang w:val="es-CO"/>
          </w:rPr>
          <w:t>12 </w:t>
        </w:r>
      </w:hyperlink>
      <w:r w:rsidRPr="008C6F0F">
        <w:rPr>
          <w:rFonts w:ascii="Verdana" w:hAnsi="Verdana"/>
          <w:sz w:val="16"/>
          <w:szCs w:val="16"/>
          <w:lang w:val="es-CO"/>
        </w:rPr>
        <w:t>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p>
    <w:p w14:paraId="1424059A" w14:textId="77777777" w:rsidR="00711B75" w:rsidRPr="00FB3726" w:rsidRDefault="00711B75" w:rsidP="00711B75">
      <w:pPr>
        <w:pStyle w:val="Textonotapie"/>
        <w:ind w:firstLine="709"/>
        <w:jc w:val="both"/>
        <w:rPr>
          <w:rFonts w:ascii="Verdana" w:hAnsi="Verdana"/>
          <w:sz w:val="16"/>
          <w:szCs w:val="16"/>
          <w:lang w:val="es-CO"/>
        </w:rPr>
      </w:pPr>
    </w:p>
  </w:footnote>
  <w:footnote w:id="9">
    <w:p w14:paraId="44F79F2A" w14:textId="77777777" w:rsidR="00711B75" w:rsidRPr="00FC10D3" w:rsidRDefault="00711B75" w:rsidP="00711B75">
      <w:pPr>
        <w:pStyle w:val="Textonotapie"/>
        <w:ind w:firstLine="708"/>
        <w:contextualSpacing/>
        <w:jc w:val="both"/>
        <w:rPr>
          <w:rFonts w:ascii="Verdana" w:hAnsi="Verdana" w:cs="Arial"/>
          <w:sz w:val="12"/>
          <w:szCs w:val="12"/>
          <w:lang w:val="es-CO"/>
        </w:rPr>
      </w:pPr>
      <w:r w:rsidRPr="00FB3726">
        <w:rPr>
          <w:rStyle w:val="Refdenotaalpie"/>
          <w:rFonts w:ascii="Verdana" w:hAnsi="Verdana" w:cs="Arial"/>
          <w:sz w:val="16"/>
          <w:szCs w:val="16"/>
        </w:rPr>
        <w:footnoteRef/>
      </w:r>
      <w:r w:rsidRPr="00FB3726">
        <w:rPr>
          <w:rFonts w:ascii="Verdana" w:hAnsi="Verdana" w:cs="Arial"/>
          <w:sz w:val="16"/>
          <w:szCs w:val="16"/>
        </w:rPr>
        <w:t xml:space="preserve">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 w:id="10">
    <w:p w14:paraId="6AA1ED44" w14:textId="77777777" w:rsidR="00711B75" w:rsidRPr="0076409C" w:rsidRDefault="00711B75" w:rsidP="00711B75">
      <w:pPr>
        <w:pStyle w:val="Default"/>
        <w:ind w:right="-2"/>
        <w:jc w:val="both"/>
        <w:rPr>
          <w:rFonts w:ascii="Verdana" w:hAnsi="Verdana" w:cs="Verdana"/>
          <w:color w:val="0000FF"/>
          <w:sz w:val="16"/>
          <w:szCs w:val="16"/>
        </w:rPr>
      </w:pPr>
      <w:r>
        <w:rPr>
          <w:sz w:val="16"/>
          <w:szCs w:val="16"/>
        </w:rPr>
        <w:tab/>
      </w:r>
      <w:r w:rsidRPr="0076409C">
        <w:rPr>
          <w:rStyle w:val="Refdenotaalpie"/>
          <w:sz w:val="16"/>
          <w:szCs w:val="16"/>
        </w:rPr>
        <w:footnoteRef/>
      </w:r>
      <w:r w:rsidRPr="0076409C">
        <w:rPr>
          <w:sz w:val="16"/>
          <w:szCs w:val="16"/>
        </w:rPr>
        <w:t xml:space="preserve"> </w:t>
      </w:r>
      <w:r w:rsidRPr="0076409C">
        <w:rPr>
          <w:rFonts w:ascii="Verdana" w:hAnsi="Verdana" w:cs="Verdana"/>
          <w:sz w:val="16"/>
          <w:szCs w:val="16"/>
        </w:rPr>
        <w:t xml:space="preserve">Este monto fue publicado por la Agencia Nacional de Contratación Pública – Colombia Compra Eficiente, de acuerdo con la información remitida por el Ministerio de Comercio Industria y Turismo, disponible en el siguiente enlace: </w:t>
      </w:r>
      <w:hyperlink r:id="rId5" w:history="1">
        <w:r w:rsidRPr="00123FDA">
          <w:rPr>
            <w:rStyle w:val="Hipervnculo"/>
            <w:rFonts w:ascii="Verdana" w:hAnsi="Verdana" w:cs="Verdana"/>
            <w:sz w:val="16"/>
            <w:szCs w:val="16"/>
          </w:rPr>
          <w:t>https://www.colombiacompra.gov.co/archivos/manual/valores-a-partir-de-los-cuales-son-aplicables-los-acuerdos-comerciales-umbrales</w:t>
        </w:r>
      </w:hyperlink>
      <w:r>
        <w:rPr>
          <w:rFonts w:ascii="Verdana" w:hAnsi="Verdana" w:cs="Verdana"/>
          <w:sz w:val="16"/>
          <w:szCs w:val="16"/>
        </w:rPr>
        <w:t xml:space="preserve"> </w:t>
      </w:r>
    </w:p>
    <w:p w14:paraId="61182FD4" w14:textId="77777777" w:rsidR="00711B75" w:rsidRPr="00FC10D3" w:rsidRDefault="00711B75" w:rsidP="00711B75">
      <w:pPr>
        <w:pStyle w:val="Default"/>
        <w:rPr>
          <w:rFonts w:ascii="Verdana" w:hAnsi="Verdana" w:cs="Verdana"/>
          <w:sz w:val="15"/>
          <w:szCs w:val="15"/>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intelligence2.xml><?xml version="1.0" encoding="utf-8"?>
<int2:intelligence xmlns:int2="http://schemas.microsoft.com/office/intelligence/2020/intelligence" xmlns:oel="http://schemas.microsoft.com/office/2019/extlst">
  <int2:observations>
    <int2:bookmark int2:bookmarkName="_Int_snqE8mCR" int2:invalidationBookmarkName="" int2:hashCode="QBqoIG1qq7ap+o" int2:id="axsr2w6n">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675A6FB0"/>
    <w:lvl w:ilvl="0" w:tplc="15EC6280">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691464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3D78"/>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82796"/>
    <w:rsid w:val="002951A0"/>
    <w:rsid w:val="002962BC"/>
    <w:rsid w:val="002A093D"/>
    <w:rsid w:val="002A0DD0"/>
    <w:rsid w:val="002A49AC"/>
    <w:rsid w:val="002A64FD"/>
    <w:rsid w:val="002C7A84"/>
    <w:rsid w:val="002E2BF8"/>
    <w:rsid w:val="002E4FD9"/>
    <w:rsid w:val="0030657A"/>
    <w:rsid w:val="00322A85"/>
    <w:rsid w:val="00324168"/>
    <w:rsid w:val="00330834"/>
    <w:rsid w:val="00344099"/>
    <w:rsid w:val="003448F4"/>
    <w:rsid w:val="00357D08"/>
    <w:rsid w:val="00374F5E"/>
    <w:rsid w:val="00377E3E"/>
    <w:rsid w:val="00391B7C"/>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C6217"/>
    <w:rsid w:val="005D476C"/>
    <w:rsid w:val="00607185"/>
    <w:rsid w:val="006200BF"/>
    <w:rsid w:val="006219F8"/>
    <w:rsid w:val="006302F7"/>
    <w:rsid w:val="00646B9F"/>
    <w:rsid w:val="0065049C"/>
    <w:rsid w:val="00665D70"/>
    <w:rsid w:val="006900D9"/>
    <w:rsid w:val="006F1886"/>
    <w:rsid w:val="00706C16"/>
    <w:rsid w:val="00711B75"/>
    <w:rsid w:val="00714102"/>
    <w:rsid w:val="007340C3"/>
    <w:rsid w:val="0075235A"/>
    <w:rsid w:val="00756841"/>
    <w:rsid w:val="007649AB"/>
    <w:rsid w:val="00771D0C"/>
    <w:rsid w:val="007833AC"/>
    <w:rsid w:val="007B268C"/>
    <w:rsid w:val="007B7171"/>
    <w:rsid w:val="007C0C0F"/>
    <w:rsid w:val="007C3DC2"/>
    <w:rsid w:val="007E5497"/>
    <w:rsid w:val="00806F5F"/>
    <w:rsid w:val="0081699E"/>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A509F"/>
    <w:rsid w:val="009B2D26"/>
    <w:rsid w:val="009C71FA"/>
    <w:rsid w:val="009C72E7"/>
    <w:rsid w:val="009C7F7E"/>
    <w:rsid w:val="009D3058"/>
    <w:rsid w:val="009F3A13"/>
    <w:rsid w:val="00A122D3"/>
    <w:rsid w:val="00A1442B"/>
    <w:rsid w:val="00A14468"/>
    <w:rsid w:val="00A17F13"/>
    <w:rsid w:val="00A20739"/>
    <w:rsid w:val="00A23AF9"/>
    <w:rsid w:val="00A33C78"/>
    <w:rsid w:val="00AB0ADB"/>
    <w:rsid w:val="00B00C0E"/>
    <w:rsid w:val="00B01B1A"/>
    <w:rsid w:val="00B0381D"/>
    <w:rsid w:val="00B27659"/>
    <w:rsid w:val="00B44A47"/>
    <w:rsid w:val="00B72CD3"/>
    <w:rsid w:val="00B72FFF"/>
    <w:rsid w:val="00BA460F"/>
    <w:rsid w:val="00BC3D36"/>
    <w:rsid w:val="00BD54A6"/>
    <w:rsid w:val="00BD7F72"/>
    <w:rsid w:val="00BF7425"/>
    <w:rsid w:val="00C04FB3"/>
    <w:rsid w:val="00C11D8B"/>
    <w:rsid w:val="00C15139"/>
    <w:rsid w:val="00C22620"/>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84170"/>
    <w:rsid w:val="00DA231B"/>
    <w:rsid w:val="00DC39FC"/>
    <w:rsid w:val="00DF5254"/>
    <w:rsid w:val="00E02524"/>
    <w:rsid w:val="00E16408"/>
    <w:rsid w:val="00E20894"/>
    <w:rsid w:val="00E245AB"/>
    <w:rsid w:val="00E2764C"/>
    <w:rsid w:val="00E27F2E"/>
    <w:rsid w:val="00E50AFE"/>
    <w:rsid w:val="00E66371"/>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78B8D6A"/>
    <w:rsid w:val="19A2EC2C"/>
    <w:rsid w:val="21779BE6"/>
    <w:rsid w:val="2859CA1B"/>
    <w:rsid w:val="2C4D2425"/>
    <w:rsid w:val="2EE1E026"/>
    <w:rsid w:val="2F44F38F"/>
    <w:rsid w:val="30821638"/>
    <w:rsid w:val="32A4F9CF"/>
    <w:rsid w:val="33A1FF93"/>
    <w:rsid w:val="356CEDFD"/>
    <w:rsid w:val="3C591AFD"/>
    <w:rsid w:val="42183F0A"/>
    <w:rsid w:val="545B112A"/>
    <w:rsid w:val="5BEB1497"/>
    <w:rsid w:val="6322A12A"/>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3C423E9-E132-4803-98A0-216A7602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11B75"/>
    <w:pPr>
      <w:spacing w:line="240" w:lineRule="exact"/>
    </w:pPr>
    <w:rPr>
      <w:vertAlign w:val="superscript"/>
    </w:rPr>
  </w:style>
  <w:style w:type="character" w:customStyle="1" w:styleId="s15">
    <w:name w:val="s15"/>
    <w:basedOn w:val="Fuentedeprrafopredeter"/>
    <w:rsid w:val="00711B75"/>
  </w:style>
  <w:style w:type="character" w:customStyle="1" w:styleId="apple-converted-space">
    <w:name w:val="apple-converted-space"/>
    <w:basedOn w:val="Fuentedeprrafopredeter"/>
    <w:rsid w:val="00711B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ibliotecadigital.ccb.org.co/bitstream/handle/11520/8346/el%20abc%20de%20esales%202013%20completo.pdf?sequence=1&amp;isAllowed=y" TargetMode="External"/><Relationship Id="rId18" Type="http://schemas.openxmlformats.org/officeDocument/2006/relationships/hyperlink" Target="https://nam02.safelinks.protection.outlook.com/?url=https%3A%2F%2Fwww.colombiacompra.gov.co%2Farchivos%2Fcircular%2Fcircular-externa-002-de-2026&amp;data=05%7C02%7Ccamila.naranjo%40colombiacompra.gov.co%7C7128555136e04fa6887d08dee99e1b50%7C7b09041e245149d08cb179d5e3d8c1be%7C0%7C0%7C639205062447518524%7CUnknown%7CTWFpbGZsb3d8eyJFbXB0eU1hcGkiOnRydWUsIlYiOiIwLjAuMDAwMCIsIlAiOiJXaW4zMiIsIkFOIjoiTWFpbCIsIldUIjoyfQ%3D%3D%7C0%7C%7C%7C&amp;sdata=C9rzHVFfqyFYl0X%2BRTLH%2FMZujmz6a9lKSqxwbAcUN%2FY%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onavarretebaena@gmail.com" TargetMode="External"/><Relationship Id="rId17" Type="http://schemas.openxmlformats.org/officeDocument/2006/relationships/hyperlink" Target="https://nam02.safelinks.protection.outlook.com/?url=https%3A%2F%2Fwww.colombiacompra.gov.co%2Farchivos%2Fcircular%2Fcircular-externa-003-de-2026&amp;data=05%7C02%7Ccamila.naranjo%40colombiacompra.gov.co%7C7128555136e04fa6887d08dee99e1b50%7C7b09041e245149d08cb179d5e3d8c1be%7C0%7C0%7C639205062447486303%7CUnknown%7CTWFpbGZsb3d8eyJFbXB0eU1hcGkiOnRydWUsIlYiOiIwLjAuMDAwMCIsIlAiOiJXaW4zMiIsIkFOIjoiTWFpbCIsIldUIjoyfQ%3D%3D%7C0%7C%7C%7C&amp;sdata=MshF4iCZI5oujYh78hGTEvsz%2BP8GLnrx4Ldozcj0SM8%3D&amp;reserved=0"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camila.naranjo%40colombiacompra.gov.co%7C7128555136e04fa6887d08dee99e1b50%7C7b09041e245149d08cb179d5e3d8c1be%7C0%7C0%7C639205062447422308%7CUnknown%7CTWFpbGZsb3d8eyJFbXB0eU1hcGkiOnRydWUsIlYiOiIwLjAuMDAwMCIsIlAiOiJXaW4zMiIsIkFOIjoiTWFpbCIsIldUIjoyfQ%3D%3D%7C0%7C%7C%7C&amp;sdata=CmhnFTbuAL9DMRrtAjh3P4T2J5MzIdmW2COR7ofLoAA%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archivos%2Fboletin%2Fboletin-edicion-n-3-de-2026-radar-de-la-compra-publica&amp;data=05%7C02%7Ccamila.naranjo%40colombiacompra.gov.co%7C7128555136e04fa6887d08dee99e1b50%7C7b09041e245149d08cb179d5e3d8c1be%7C0%7C0%7C639205062447538818%7CUnknown%7CTWFpbGZsb3d8eyJFbXB0eU1hcGkiOnRydWUsIlYiOiIwLjAuMDAwMCIsIlAiOiJXaW4zMiIsIkFOIjoiTWFpbCIsIldUIjoyfQ%3D%3D%7C0%7C%7C%7C&amp;sdata=htOO1E4Iq0U7bOaX%2FCUf50akUuT6OlzdNIisS0pUddU%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bibliotecadigital.ccb.org.co/items/6bce01ee-e5a8-44b0-bc6e-05821ef3ce02"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25678" TargetMode="External"/><Relationship Id="rId2" Type="http://schemas.openxmlformats.org/officeDocument/2006/relationships/hyperlink" Target="https://bibliotecadigital.ccb.org.co/server/api/core/bitstreams/56eea614-11b5-49ad-a103-656fabc70bb7/content" TargetMode="External"/><Relationship Id="rId1" Type="http://schemas.openxmlformats.org/officeDocument/2006/relationships/hyperlink" Target="https://bibliotecadigital.ccb.org.co/bitstream/handle/11520/8346/el%20abc%20de%20esales%202013%20completo.pdf?sequence=1&amp;isAllowed=y" TargetMode="External"/><Relationship Id="rId5" Type="http://schemas.openxmlformats.org/officeDocument/2006/relationships/hyperlink" Target="https://www.colombiacompra.gov.co/archivos/manual/valores-a-partir-de-los-cuales-son-aplicables-los-acuerdos-comerciales-umbrales" TargetMode="External"/><Relationship Id="rId4" Type="http://schemas.openxmlformats.org/officeDocument/2006/relationships/hyperlink" Target="https://www.funcionpublica.gov.co/eva/gestornormativo/norma.php?i=2567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3539A3-D42D-402D-B361-4D7C7ABF8DB3}"/>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28</TotalTime>
  <Pages>23</Pages>
  <Words>7836</Words>
  <Characters>43104</Characters>
  <Application>Microsoft Office Word</Application>
  <DocSecurity>0</DocSecurity>
  <Lines>359</Lines>
  <Paragraphs>101</Paragraphs>
  <ScaleCrop>false</ScaleCrop>
  <Company/>
  <LinksUpToDate>false</LinksUpToDate>
  <CharactersWithSpaces>50839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5</cp:revision>
  <cp:lastPrinted>2023-01-11T00:18:00Z</cp:lastPrinted>
  <dcterms:created xsi:type="dcterms:W3CDTF">2026-09-18T14:20:00Z</dcterms:created>
  <dcterms:modified xsi:type="dcterms:W3CDTF">2026-09-18T21:39:00Z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