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9174" w14:textId="5BF737D7" w:rsidR="005A5E37" w:rsidRPr="00D56F8A" w:rsidRDefault="005A5E37" w:rsidP="005A5E37">
      <w:pPr>
        <w:spacing w:after="0" w:line="240" w:lineRule="auto"/>
        <w:jc w:val="both"/>
        <w:rPr>
          <w:rFonts w:ascii="Verdana" w:hAnsi="Verdana" w:cs="Arial"/>
          <w:b/>
          <w:bCs/>
          <w:lang w:val="es-ES" w:eastAsia="es-ES"/>
        </w:rPr>
      </w:pPr>
      <w:bookmarkStart w:id="0" w:name="_Hlk143780582"/>
      <w:r w:rsidRPr="00D56F8A">
        <w:rPr>
          <w:rFonts w:ascii="Verdana" w:hAnsi="Verdana" w:cs="Arial"/>
          <w:b/>
          <w:bCs/>
          <w:lang w:val="es-ES" w:eastAsia="es-ES"/>
        </w:rPr>
        <w:t>CONTRATO ESTATAL –</w:t>
      </w:r>
      <w:r>
        <w:rPr>
          <w:rFonts w:ascii="Verdana" w:hAnsi="Verdana" w:cs="Arial"/>
          <w:b/>
          <w:bCs/>
          <w:lang w:val="es-ES" w:eastAsia="es-ES"/>
        </w:rPr>
        <w:t xml:space="preserve"> </w:t>
      </w:r>
      <w:r w:rsidRPr="00D56F8A">
        <w:rPr>
          <w:rFonts w:ascii="Verdana" w:hAnsi="Verdana" w:cs="Arial"/>
          <w:b/>
          <w:bCs/>
          <w:lang w:val="es-ES" w:eastAsia="es-ES"/>
        </w:rPr>
        <w:t>Funciones de control y vigilancia</w:t>
      </w:r>
    </w:p>
    <w:p w14:paraId="6B5A07D9" w14:textId="77777777" w:rsidR="005A5E37" w:rsidRPr="0055262A" w:rsidRDefault="005A5E37" w:rsidP="005A5E37">
      <w:pPr>
        <w:spacing w:after="0" w:line="240" w:lineRule="auto"/>
        <w:jc w:val="both"/>
        <w:rPr>
          <w:rFonts w:ascii="Verdana" w:hAnsi="Verdana" w:cs="Arial"/>
          <w:bCs/>
          <w:lang w:val="es-ES" w:eastAsia="es-ES"/>
        </w:rPr>
      </w:pPr>
    </w:p>
    <w:p w14:paraId="77EC0192" w14:textId="77777777" w:rsidR="005A5E37" w:rsidRPr="0055262A" w:rsidRDefault="005A5E37" w:rsidP="005A5E37">
      <w:pPr>
        <w:spacing w:after="0" w:line="240" w:lineRule="auto"/>
        <w:jc w:val="both"/>
        <w:rPr>
          <w:rFonts w:ascii="Verdana" w:hAnsi="Verdana" w:cs="Arial"/>
          <w:bCs/>
          <w:sz w:val="20"/>
          <w:lang w:val="es-ES" w:eastAsia="es-ES"/>
        </w:rPr>
      </w:pPr>
      <w:r w:rsidRPr="0055262A">
        <w:rPr>
          <w:rFonts w:ascii="Verdana" w:hAnsi="Verdana" w:cs="Arial"/>
          <w:bCs/>
          <w:sz w:val="20"/>
          <w:lang w:val="es-ES" w:eastAsia="es-ES"/>
        </w:rPr>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3405340D" w14:textId="77777777" w:rsidR="005A5E37" w:rsidRDefault="005A5E37" w:rsidP="005A5E37">
      <w:pPr>
        <w:spacing w:after="0" w:line="240" w:lineRule="auto"/>
        <w:jc w:val="both"/>
        <w:rPr>
          <w:rFonts w:ascii="Verdana" w:hAnsi="Verdana" w:cs="Arial"/>
          <w:b/>
          <w:bCs/>
          <w:lang w:val="es-ES" w:eastAsia="es-ES"/>
        </w:rPr>
      </w:pPr>
    </w:p>
    <w:p w14:paraId="46AAB3DC" w14:textId="77777777" w:rsidR="005A5E37" w:rsidRPr="00803584" w:rsidRDefault="005A5E37" w:rsidP="005A5E37">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1DC2D04C" w14:textId="77777777" w:rsidR="005A5E37" w:rsidRPr="00D56F8A" w:rsidRDefault="005A5E37" w:rsidP="005A5E37">
      <w:pPr>
        <w:spacing w:after="0" w:line="240" w:lineRule="auto"/>
        <w:jc w:val="both"/>
        <w:rPr>
          <w:rFonts w:ascii="Verdana" w:hAnsi="Verdana" w:cs="Arial"/>
          <w:b/>
          <w:bCs/>
          <w:lang w:val="es-ES" w:eastAsia="es-ES"/>
        </w:rPr>
      </w:pPr>
    </w:p>
    <w:p w14:paraId="55BDB120" w14:textId="076949AE" w:rsidR="005A5E37" w:rsidRPr="00D56F8A" w:rsidRDefault="005A5E37" w:rsidP="005A5E37">
      <w:pPr>
        <w:spacing w:after="0" w:line="240" w:lineRule="auto"/>
        <w:jc w:val="both"/>
        <w:rPr>
          <w:rFonts w:ascii="Verdana" w:hAnsi="Verdana" w:cs="Arial"/>
          <w:b/>
          <w:bCs/>
          <w:lang w:val="es-ES" w:eastAsia="es-ES"/>
        </w:rPr>
      </w:pPr>
      <w:r>
        <w:rPr>
          <w:rFonts w:ascii="Verdana" w:hAnsi="Verdana" w:cs="Arial"/>
          <w:b/>
          <w:bCs/>
          <w:lang w:val="es-ES" w:eastAsia="es-ES"/>
        </w:rPr>
        <w:t xml:space="preserve">SUPERVISIÓN </w:t>
      </w:r>
      <w:r w:rsidRPr="00D56F8A">
        <w:rPr>
          <w:rFonts w:ascii="Verdana" w:hAnsi="Verdana" w:cs="Arial"/>
          <w:b/>
          <w:bCs/>
          <w:lang w:val="es-ES" w:eastAsia="es-ES"/>
        </w:rPr>
        <w:t xml:space="preserve">– </w:t>
      </w:r>
      <w:r>
        <w:rPr>
          <w:rFonts w:ascii="Verdana" w:hAnsi="Verdana" w:cs="Arial"/>
          <w:b/>
          <w:bCs/>
          <w:lang w:val="es-ES" w:eastAsia="es-ES"/>
        </w:rPr>
        <w:t xml:space="preserve">Ejercicio – Contratista </w:t>
      </w:r>
      <w:r w:rsidRPr="00D56F8A">
        <w:rPr>
          <w:rFonts w:ascii="Verdana" w:hAnsi="Verdana" w:cs="Arial"/>
          <w:b/>
          <w:bCs/>
          <w:lang w:val="es-ES" w:eastAsia="es-ES"/>
        </w:rPr>
        <w:t>–</w:t>
      </w:r>
      <w:r>
        <w:rPr>
          <w:rFonts w:ascii="Verdana" w:hAnsi="Verdana" w:cs="Arial"/>
          <w:b/>
          <w:bCs/>
          <w:lang w:val="es-ES" w:eastAsia="es-ES"/>
        </w:rPr>
        <w:t xml:space="preserve"> Apoyo a la supervisión </w:t>
      </w:r>
      <w:r w:rsidRPr="00D56F8A">
        <w:rPr>
          <w:rFonts w:ascii="Verdana" w:hAnsi="Verdana" w:cs="Arial"/>
          <w:b/>
          <w:bCs/>
          <w:lang w:val="es-ES" w:eastAsia="es-ES"/>
        </w:rPr>
        <w:t xml:space="preserve"> </w:t>
      </w:r>
    </w:p>
    <w:p w14:paraId="6940F755" w14:textId="77777777" w:rsidR="005A5E37" w:rsidRPr="00803584" w:rsidRDefault="005A5E37" w:rsidP="005A5E37">
      <w:pPr>
        <w:spacing w:after="0" w:line="240" w:lineRule="auto"/>
        <w:jc w:val="both"/>
        <w:rPr>
          <w:rFonts w:ascii="Verdana" w:hAnsi="Verdana" w:cs="Arial"/>
          <w:bCs/>
          <w:sz w:val="20"/>
          <w:lang w:val="es-ES" w:eastAsia="es-ES"/>
        </w:rPr>
      </w:pPr>
    </w:p>
    <w:p w14:paraId="7C5D687E" w14:textId="77777777" w:rsidR="005A5E37" w:rsidRPr="00803584" w:rsidRDefault="005A5E37" w:rsidP="005A5E37">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por la Entidad Estatal por conducto de la designación de servidores públicos idóneos para cumplir la función; </w:t>
      </w:r>
      <w:proofErr w:type="spellStart"/>
      <w:r w:rsidRPr="00803584">
        <w:rPr>
          <w:rFonts w:ascii="Verdana" w:hAnsi="Verdana" w:cs="Arial"/>
          <w:bCs/>
          <w:sz w:val="20"/>
          <w:lang w:val="es-ES" w:eastAsia="es-ES"/>
        </w:rPr>
        <w:t>iv</w:t>
      </w:r>
      <w:proofErr w:type="spellEnd"/>
      <w:r w:rsidRPr="00803584">
        <w:rPr>
          <w:rFonts w:ascii="Verdana" w:hAnsi="Verdana" w:cs="Arial"/>
          <w:bCs/>
          <w:sz w:val="20"/>
          <w:lang w:val="es-ES" w:eastAsia="es-ES"/>
        </w:rPr>
        <w:t>) puede recibir apoyo de personal contratado para tal fin mediante contratos de prestación de servicios; y v) le es inseparable el seguimiento técnico, administrativo, financiero, contable y jurídico del contrato vigilado.</w:t>
      </w:r>
    </w:p>
    <w:p w14:paraId="267EAA34" w14:textId="77777777" w:rsidR="005A5E37" w:rsidRDefault="005A5E37" w:rsidP="005A5E37">
      <w:pPr>
        <w:spacing w:after="0" w:line="240" w:lineRule="auto"/>
        <w:jc w:val="both"/>
        <w:rPr>
          <w:rFonts w:ascii="Verdana" w:hAnsi="Verdana" w:cs="Arial"/>
          <w:bCs/>
          <w:sz w:val="20"/>
          <w:lang w:val="es-ES" w:eastAsia="es-ES"/>
        </w:rPr>
      </w:pPr>
    </w:p>
    <w:p w14:paraId="64544D41" w14:textId="77777777" w:rsidR="005A5E37" w:rsidRPr="00803584" w:rsidRDefault="005A5E37" w:rsidP="005A5E37">
      <w:pPr>
        <w:spacing w:after="0" w:line="240" w:lineRule="auto"/>
        <w:jc w:val="both"/>
        <w:rPr>
          <w:rFonts w:ascii="Verdana" w:hAnsi="Verdana" w:cs="Arial"/>
          <w:bCs/>
          <w:sz w:val="20"/>
          <w:lang w:eastAsia="es-ES"/>
        </w:rPr>
      </w:pPr>
      <w:r w:rsidRPr="00803584">
        <w:rPr>
          <w:rFonts w:ascii="Verdana" w:hAnsi="Verdana" w:cs="Arial"/>
          <w:bCs/>
          <w:sz w:val="20"/>
          <w:lang w:val="es-ES" w:eastAsia="es-ES"/>
        </w:rPr>
        <w:t xml:space="preserve">Por otro lado, </w:t>
      </w:r>
      <w:r w:rsidRPr="00803584">
        <w:rPr>
          <w:rFonts w:ascii="Verdana" w:hAnsi="Verdana" w:cs="Arial"/>
          <w:bCs/>
          <w:sz w:val="20"/>
          <w:lang w:eastAsia="es-ES"/>
        </w:rPr>
        <w:t xml:space="preserve">la interventoría puede caracterizarse de la siguiente manera: i) es un mecanismo de vigilancia contingente en la medida que solo es obligatorio para el </w:t>
      </w:r>
      <w:r w:rsidRPr="00803584">
        <w:rPr>
          <w:rFonts w:ascii="Verdana" w:hAnsi="Verdana" w:cs="Arial"/>
          <w:bCs/>
          <w:sz w:val="20"/>
          <w:lang w:eastAsia="es-ES"/>
        </w:rPr>
        <w:lastRenderedPageBreak/>
        <w:t xml:space="preserve">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w:t>
      </w:r>
      <w:proofErr w:type="spellStart"/>
      <w:r w:rsidRPr="00803584">
        <w:rPr>
          <w:rFonts w:ascii="Verdana" w:hAnsi="Verdana" w:cs="Arial"/>
          <w:bCs/>
          <w:sz w:val="20"/>
          <w:lang w:eastAsia="es-ES"/>
        </w:rPr>
        <w:t>iv</w:t>
      </w:r>
      <w:proofErr w:type="spellEnd"/>
      <w:r w:rsidRPr="00803584">
        <w:rPr>
          <w:rFonts w:ascii="Verdana" w:hAnsi="Verdana" w:cs="Arial"/>
          <w:bCs/>
          <w:sz w:val="20"/>
          <w:lang w:eastAsia="es-E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11249194" w14:textId="77777777" w:rsidR="005A5E37" w:rsidRPr="00803584" w:rsidRDefault="005A5E37" w:rsidP="005A5E37">
      <w:pPr>
        <w:spacing w:after="0" w:line="240" w:lineRule="auto"/>
        <w:jc w:val="both"/>
        <w:rPr>
          <w:rFonts w:ascii="Verdana" w:hAnsi="Verdana" w:cs="Arial"/>
          <w:b/>
          <w:bCs/>
          <w:lang w:eastAsia="es-ES"/>
        </w:rPr>
      </w:pPr>
    </w:p>
    <w:p w14:paraId="42F1A1DF" w14:textId="07503899" w:rsidR="005A5E37" w:rsidRPr="00D56F8A" w:rsidRDefault="005A5E37" w:rsidP="005A5E37">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SUPERVISIÓN – </w:t>
      </w:r>
      <w:r>
        <w:rPr>
          <w:rFonts w:ascii="Verdana" w:hAnsi="Verdana" w:cs="Arial"/>
          <w:b/>
          <w:bCs/>
          <w:lang w:val="es-ES" w:eastAsia="es-ES"/>
        </w:rPr>
        <w:t>Inexistencia de la figura de supervisión externa</w:t>
      </w:r>
    </w:p>
    <w:p w14:paraId="4ADBD050" w14:textId="77777777" w:rsidR="005A5E37" w:rsidRDefault="005A5E37" w:rsidP="005A5E37">
      <w:pPr>
        <w:spacing w:after="0" w:line="240" w:lineRule="auto"/>
        <w:jc w:val="both"/>
        <w:rPr>
          <w:rFonts w:ascii="Verdana" w:hAnsi="Verdana" w:cs="Arial"/>
          <w:b/>
          <w:bCs/>
          <w:lang w:val="es-ES" w:eastAsia="es-ES"/>
        </w:rPr>
      </w:pPr>
    </w:p>
    <w:p w14:paraId="6DD360E8" w14:textId="77777777" w:rsidR="005A5E37" w:rsidRDefault="005A5E37" w:rsidP="005A5E37">
      <w:pPr>
        <w:spacing w:after="0" w:line="240" w:lineRule="auto"/>
        <w:jc w:val="both"/>
        <w:rPr>
          <w:rFonts w:ascii="Verdana" w:hAnsi="Verdana" w:cs="Arial"/>
          <w:bCs/>
          <w:sz w:val="20"/>
          <w:lang w:eastAsia="es-ES"/>
        </w:rPr>
      </w:pPr>
      <w:r w:rsidRPr="000A1642">
        <w:rPr>
          <w:rFonts w:ascii="Verdana" w:hAnsi="Verdana" w:cs="Arial"/>
          <w:bCs/>
          <w:sz w:val="20"/>
          <w:lang w:val="es-ES" w:eastAsia="es-ES"/>
        </w:rPr>
        <w:t xml:space="preserve">En principio, en la Guía también se expresa que el supervisor no requiere un perfil predeterminado; sin embargo, es recomendable que pueda actuar como par del contratista supervisado. Para designar a un funcionario como supervisor, la entidad estatal debe verificar que el objeto del proceso de contratación guarde relación con las funciones propias de su empleo, ya sea de nivel directivo, profesional, técnico o asistencial. </w:t>
      </w:r>
      <w:r w:rsidRPr="000A1642">
        <w:rPr>
          <w:rFonts w:ascii="Verdana" w:hAnsi="Verdana" w:cs="Arial"/>
          <w:bCs/>
          <w:sz w:val="20"/>
          <w:lang w:eastAsia="es-ES"/>
        </w:rPr>
        <w:t xml:space="preserve">Esto implica que la supervisión debe ser una actividad administrativa compatible con el perfil y el nivel del empleo. A modo de ejemplo, no podría designar como supervisor a un empleo del nivel asistencial de un contrato que implica complejidades técnicas que son propias de un nivel profesional. </w:t>
      </w:r>
    </w:p>
    <w:p w14:paraId="613987EF" w14:textId="77777777" w:rsidR="005A5E37" w:rsidRPr="000A1642" w:rsidRDefault="005A5E37" w:rsidP="005A5E37">
      <w:pPr>
        <w:spacing w:after="0" w:line="240" w:lineRule="auto"/>
        <w:jc w:val="both"/>
        <w:rPr>
          <w:rFonts w:ascii="Verdana" w:hAnsi="Verdana" w:cs="Arial"/>
          <w:bCs/>
          <w:sz w:val="20"/>
          <w:lang w:eastAsia="es-ES"/>
        </w:rPr>
      </w:pPr>
    </w:p>
    <w:p w14:paraId="7720CC24" w14:textId="77777777" w:rsidR="005A5E37" w:rsidRPr="000A1642" w:rsidRDefault="005A5E37" w:rsidP="005A5E37">
      <w:pPr>
        <w:spacing w:after="0" w:line="240" w:lineRule="auto"/>
        <w:jc w:val="both"/>
        <w:rPr>
          <w:rFonts w:ascii="Verdana" w:hAnsi="Verdana" w:cs="Arial"/>
          <w:bCs/>
          <w:sz w:val="20"/>
          <w:lang w:val="es-ES" w:eastAsia="es-ES"/>
        </w:rPr>
      </w:pPr>
      <w:r w:rsidRPr="000A1642">
        <w:rPr>
          <w:rFonts w:ascii="Verdana" w:hAnsi="Verdana" w:cs="Arial"/>
          <w:bCs/>
          <w:sz w:val="20"/>
          <w:lang w:eastAsia="es-ES"/>
        </w:rPr>
        <w:t xml:space="preserve">En este sentido, la entidad debe evaluar la idoneidad del funcionario designado, garantice la capacitación necesaria y formalice la asignación conforme a los lineamientos legales y que sea acorde con el perfil y el nivel del empleo. </w:t>
      </w:r>
      <w:r w:rsidRPr="000A1642">
        <w:rPr>
          <w:rFonts w:ascii="Verdana" w:hAnsi="Verdana" w:cs="Arial"/>
          <w:bCs/>
          <w:sz w:val="20"/>
          <w:lang w:val="es-ES" w:eastAsia="es-ES"/>
        </w:rPr>
        <w:t>En todo caso, no es necesario que el Manual Específico de Funciones y Competencias Laborales consigne expresamente la supervisión de contratos, ya que se entiende como una función inherente al ejercicio ordinario de los servidores públicos. Así mismo, la entidad estatal debe evaluar la carga operativa del funcionario designado, con el fin de evitar los riesgos derivados de una supervisión deficiente por falta de tiempo.</w:t>
      </w:r>
    </w:p>
    <w:p w14:paraId="404465A2" w14:textId="77777777" w:rsidR="005A5E37" w:rsidRPr="00D56F8A" w:rsidRDefault="005A5E37" w:rsidP="005A5E37">
      <w:pPr>
        <w:spacing w:after="0" w:line="240" w:lineRule="auto"/>
        <w:jc w:val="both"/>
        <w:rPr>
          <w:rFonts w:ascii="Verdana" w:hAnsi="Verdana" w:cs="Arial"/>
          <w:b/>
          <w:bCs/>
          <w:lang w:val="es-ES" w:eastAsia="es-ES"/>
        </w:rPr>
      </w:pPr>
    </w:p>
    <w:p w14:paraId="484F547E" w14:textId="4BBC7094" w:rsidR="005A5E37" w:rsidRDefault="005A5E37" w:rsidP="005A5E37">
      <w:pPr>
        <w:spacing w:after="0" w:line="240" w:lineRule="auto"/>
        <w:jc w:val="both"/>
        <w:rPr>
          <w:rFonts w:ascii="Verdana" w:hAnsi="Verdana" w:cs="Arial"/>
          <w:b/>
          <w:bCs/>
          <w:lang w:val="es-ES" w:eastAsia="es-ES"/>
        </w:rPr>
      </w:pPr>
      <w:r>
        <w:rPr>
          <w:rFonts w:ascii="Verdana" w:hAnsi="Verdana" w:cs="Arial"/>
          <w:b/>
          <w:bCs/>
          <w:lang w:val="es-ES" w:eastAsia="es-ES"/>
        </w:rPr>
        <w:t xml:space="preserve">INTERVENTORIADE – Características </w:t>
      </w:r>
    </w:p>
    <w:p w14:paraId="139ADA10" w14:textId="77777777" w:rsidR="005A5E37" w:rsidRPr="00D56F8A" w:rsidRDefault="005A5E37" w:rsidP="005A5E37">
      <w:pPr>
        <w:spacing w:after="0" w:line="240" w:lineRule="auto"/>
        <w:jc w:val="both"/>
        <w:rPr>
          <w:rFonts w:ascii="Verdana" w:hAnsi="Verdana" w:cs="Arial"/>
          <w:b/>
          <w:bCs/>
          <w:lang w:val="es-ES" w:eastAsia="es-ES"/>
        </w:rPr>
      </w:pPr>
    </w:p>
    <w:p w14:paraId="26693AF8" w14:textId="77777777" w:rsidR="005A5E37" w:rsidRPr="000A1642" w:rsidRDefault="005A5E37" w:rsidP="005A5E37">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 xml:space="preserve">Es importante señalar que para desarrollar la supervisión del contrato no se requieren por lo general, conocimientos técnicos especializados, sin embargo, las funciones de seguimiento contractual abarcan varios campos, por ejemplo, aspectos técnicos, administrativos, financieros, contables y jurídicos. 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2E0803BA" w14:textId="77777777" w:rsidR="005A5E37" w:rsidRPr="000A1642" w:rsidRDefault="005A5E37" w:rsidP="005A5E37">
      <w:pPr>
        <w:spacing w:after="0" w:line="240" w:lineRule="auto"/>
        <w:jc w:val="both"/>
        <w:rPr>
          <w:rFonts w:ascii="Verdana" w:hAnsi="Verdana" w:cs="Arial"/>
          <w:bCs/>
          <w:sz w:val="20"/>
          <w:szCs w:val="20"/>
          <w:lang w:val="es-ES" w:eastAsia="es-ES"/>
        </w:rPr>
      </w:pPr>
    </w:p>
    <w:p w14:paraId="0483C2ED" w14:textId="77777777" w:rsidR="005A5E37" w:rsidRPr="000A1642" w:rsidRDefault="005A5E37" w:rsidP="005A5E37">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En efecto, resulta razonable y posible que la entidad contratante, al momento de analizar cómo ejercer las funciones de supervisión del contrato, determine que estas deban realizarse por más de un servidor público. Es decir, es posible que las actividades de seguimiento de ejecución del contrato sean distribuidas, de acuerdo a la especialidad de los servidores, lo que implica una supervisión colegiada. En todo caso, deberá tener en cuenta que las funciones propias de los cargos, y los perfiles, conocimientos y experiencia de los funcionarios designados, guarden relación directa con el objeto del contrato y sus aspectos a supervisar. 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w:t>
      </w:r>
    </w:p>
    <w:p w14:paraId="4DD9B518" w14:textId="77777777" w:rsidR="005A5E37" w:rsidRPr="00D56F8A" w:rsidRDefault="005A5E37" w:rsidP="005A5E37">
      <w:pPr>
        <w:spacing w:after="0" w:line="240" w:lineRule="auto"/>
        <w:jc w:val="both"/>
        <w:rPr>
          <w:rFonts w:ascii="Verdana" w:hAnsi="Verdana" w:cs="Arial"/>
          <w:b/>
          <w:bCs/>
          <w:lang w:val="es-ES" w:eastAsia="es-ES"/>
        </w:rPr>
      </w:pPr>
    </w:p>
    <w:p w14:paraId="34053FFF" w14:textId="33286C57" w:rsidR="005A5E37" w:rsidRPr="00D56F8A" w:rsidRDefault="005A5E37" w:rsidP="005A5E37">
      <w:pPr>
        <w:spacing w:after="0" w:line="240" w:lineRule="auto"/>
        <w:jc w:val="both"/>
        <w:rPr>
          <w:rFonts w:ascii="Verdana" w:hAnsi="Verdana" w:cs="Arial"/>
          <w:b/>
          <w:bCs/>
          <w:lang w:val="es-ES" w:eastAsia="es-ES"/>
        </w:rPr>
      </w:pPr>
      <w:r w:rsidRPr="00D56F8A">
        <w:rPr>
          <w:rFonts w:ascii="Verdana" w:hAnsi="Verdana" w:cs="Arial"/>
          <w:b/>
          <w:bCs/>
          <w:lang w:val="es-ES" w:eastAsia="es-ES"/>
        </w:rPr>
        <w:t>SUPERVISIÓN</w:t>
      </w:r>
      <w:r>
        <w:rPr>
          <w:rFonts w:ascii="Verdana" w:hAnsi="Verdana" w:cs="Arial"/>
          <w:b/>
          <w:bCs/>
          <w:lang w:val="es-ES" w:eastAsia="es-ES"/>
        </w:rPr>
        <w:t xml:space="preserve"> E INTERVENTORÍA – Sugerencias de mejora – Carácter no vinculante </w:t>
      </w:r>
      <w:r w:rsidRPr="00D56F8A">
        <w:rPr>
          <w:rFonts w:ascii="Verdana" w:hAnsi="Verdana" w:cs="Arial"/>
          <w:b/>
          <w:bCs/>
          <w:lang w:val="es-ES" w:eastAsia="es-ES"/>
        </w:rPr>
        <w:t xml:space="preserve"> </w:t>
      </w:r>
    </w:p>
    <w:p w14:paraId="4874F127" w14:textId="77777777" w:rsidR="005A5E37" w:rsidRPr="00D56F8A" w:rsidRDefault="005A5E37" w:rsidP="005A5E37">
      <w:pPr>
        <w:spacing w:after="0" w:line="240" w:lineRule="auto"/>
        <w:jc w:val="both"/>
        <w:rPr>
          <w:rFonts w:ascii="Verdana" w:hAnsi="Verdana" w:cs="Arial"/>
          <w:b/>
          <w:bCs/>
          <w:lang w:val="es-ES" w:eastAsia="es-ES"/>
        </w:rPr>
      </w:pPr>
    </w:p>
    <w:p w14:paraId="49544500" w14:textId="77777777" w:rsidR="005A5E37" w:rsidRPr="000A1642" w:rsidRDefault="005A5E37" w:rsidP="005A5E37">
      <w:pPr>
        <w:spacing w:after="0" w:line="240" w:lineRule="auto"/>
        <w:jc w:val="both"/>
        <w:rPr>
          <w:rFonts w:ascii="Verdana" w:hAnsi="Verdana" w:cs="Arial"/>
          <w:bCs/>
          <w:sz w:val="20"/>
          <w:lang w:val="es-ES" w:eastAsia="es-ES"/>
        </w:rPr>
      </w:pPr>
      <w:r w:rsidRPr="000A1642">
        <w:rPr>
          <w:rFonts w:ascii="Verdana" w:hAnsi="Verdana" w:cs="Arial"/>
          <w:bCs/>
          <w:sz w:val="20"/>
          <w:lang w:val="es-ES" w:eastAsia="es-ES"/>
        </w:rPr>
        <w:t>Lo anterior, considerando que las Entidades Estatales pueden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implique que asuma directamente la supervisión. Así, por ejemplo, el contratista de prestación de servicios se limita a realizar una verificación técnica o administrativa de los entregables, productos o requisitos que se presentan para el pago, con el fin de emitir un concepto que sirva de apoyo al supervisor. Este rol es complementario y no sustituye la responsabilidad –civil, penal, fiscal o disciplinaria-, pues su función es brindar insumos que faciliten la labor de supervisión, sin que implique asumir decisiones definitivas frente a la entidad estatal. En otras palabras, el contratista actúa como un colaborador que contribuye a la transparencia y calidad del proceso, pero no tiene la facultad de comprometer recursos públicos ni de autorizar desembolsos.</w:t>
      </w:r>
    </w:p>
    <w:p w14:paraId="40E7F70D" w14:textId="77777777" w:rsidR="005A5E37" w:rsidRDefault="005A5E37" w:rsidP="005A5E37">
      <w:pPr>
        <w:spacing w:after="0" w:line="240" w:lineRule="auto"/>
        <w:jc w:val="both"/>
        <w:rPr>
          <w:rFonts w:ascii="Verdana" w:hAnsi="Verdana" w:cs="Arial"/>
          <w:b/>
          <w:bCs/>
          <w:lang w:val="es-ES" w:eastAsia="es-ES"/>
        </w:rPr>
      </w:pPr>
    </w:p>
    <w:p w14:paraId="248B16DD" w14:textId="734F2BA1" w:rsidR="005A5E37" w:rsidRDefault="005A5E37" w:rsidP="005A5E37">
      <w:pPr>
        <w:spacing w:after="0" w:line="240" w:lineRule="auto"/>
        <w:jc w:val="both"/>
        <w:rPr>
          <w:rFonts w:ascii="Verdana" w:hAnsi="Verdana" w:cs="Arial"/>
          <w:b/>
          <w:bCs/>
          <w:lang w:val="es-ES" w:eastAsia="es-ES"/>
        </w:rPr>
      </w:pPr>
      <w:r>
        <w:rPr>
          <w:rFonts w:ascii="Verdana" w:hAnsi="Verdana" w:cs="Arial"/>
          <w:b/>
          <w:bCs/>
          <w:lang w:val="es-ES" w:eastAsia="es-ES"/>
        </w:rPr>
        <w:t xml:space="preserve">SUBCONTRATACIÓN – Control y vigilancia – Alcance y límites </w:t>
      </w:r>
    </w:p>
    <w:p w14:paraId="20922CB0" w14:textId="77777777" w:rsidR="005A5E37" w:rsidRPr="000A1642" w:rsidRDefault="005A5E37" w:rsidP="005A5E37">
      <w:pPr>
        <w:spacing w:after="0" w:line="240" w:lineRule="auto"/>
        <w:jc w:val="both"/>
        <w:rPr>
          <w:rFonts w:ascii="Verdana" w:hAnsi="Verdana"/>
          <w:sz w:val="20"/>
          <w:szCs w:val="20"/>
        </w:rPr>
      </w:pPr>
    </w:p>
    <w:p w14:paraId="06F8DADB" w14:textId="77777777" w:rsidR="005A5E37" w:rsidRPr="000A1642" w:rsidRDefault="005A5E37" w:rsidP="005A5E37">
      <w:pPr>
        <w:spacing w:after="0" w:line="240" w:lineRule="auto"/>
        <w:jc w:val="both"/>
        <w:rPr>
          <w:rFonts w:ascii="Verdana" w:hAnsi="Verdana"/>
          <w:bCs/>
          <w:sz w:val="20"/>
          <w:szCs w:val="20"/>
          <w:lang w:val="es-ES"/>
        </w:rPr>
      </w:pPr>
      <w:r w:rsidRPr="000A1642">
        <w:rPr>
          <w:rFonts w:ascii="Verdana" w:hAnsi="Verdana"/>
          <w:bCs/>
          <w:sz w:val="20"/>
          <w:szCs w:val="20"/>
          <w:lang w:val="es-ES"/>
        </w:rPr>
        <w:t>En concordancia, en los conceptos C-344, C-414 de 2020, C-577 del 15 de septiembre de 2022, entre otros, emitidos por esta Agencia, en relación con el tema de la supervisión, se consideró que la entidad estatal únicamente podrá contratar personal, a través de los contratos de prestación de servicios que sean requeridos, en caso de necesitarlo como apoyo a la gestión en la supervisión, sin que resulte en una delegación del ejercicio de función pública que conlleva la responsabilidad intransferible de supervisar los contratos estatales. Esto quiere decir que existe la posibilidad de contratar apoyo para la función de supervisión, pero no para el ejercicio directo de la misma, ya que como se señaló anteriormente, esa función está en cabeza de la entidad estatal y no puede transferirse a un particular contratado para tal fin.</w:t>
      </w:r>
    </w:p>
    <w:p w14:paraId="13F0AA60" w14:textId="77777777" w:rsidR="005A5E37" w:rsidRPr="000A1642" w:rsidRDefault="005A5E37" w:rsidP="005A5E37">
      <w:pPr>
        <w:spacing w:after="0" w:line="240" w:lineRule="auto"/>
        <w:jc w:val="both"/>
        <w:rPr>
          <w:rFonts w:ascii="Verdana" w:hAnsi="Verdana"/>
          <w:sz w:val="20"/>
          <w:szCs w:val="20"/>
          <w:lang w:val="es-ES"/>
        </w:rPr>
      </w:pPr>
    </w:p>
    <w:p w14:paraId="12C4DBCD" w14:textId="77777777" w:rsidR="005A5E37" w:rsidRPr="000A1642" w:rsidRDefault="005A5E37" w:rsidP="005A5E37">
      <w:pPr>
        <w:spacing w:after="0" w:line="240" w:lineRule="auto"/>
        <w:jc w:val="both"/>
        <w:rPr>
          <w:rFonts w:ascii="Verdana" w:hAnsi="Verdana"/>
          <w:sz w:val="20"/>
          <w:szCs w:val="20"/>
          <w:lang w:val="es-ES"/>
        </w:rPr>
      </w:pPr>
      <w:r w:rsidRPr="000A1642">
        <w:rPr>
          <w:rFonts w:ascii="Verdana" w:hAnsi="Verdana"/>
          <w:sz w:val="20"/>
          <w:szCs w:val="20"/>
          <w:lang w:val="es-ES"/>
        </w:rPr>
        <w:t xml:space="preserve">Lo anterior, no significa que el apoyo a la supervisión no responda ante circunstancias o situaciones que evidencien un incumplimiento de sus obligaciones, lo cual puede implicar un adelantamiento del procedimiento administrativo sancionatorio regulado en el artículo 86 de la Ley 1474 de 2011, así como responsabilidades por el incumplimiento de los deberes de la profesión y por último, otro tipo de responsabilidades de orden penal por la participación de la comisión de delitos contra la administración pública.  </w:t>
      </w:r>
    </w:p>
    <w:p w14:paraId="2531006C" w14:textId="77777777" w:rsidR="005A5E37" w:rsidRDefault="005A5E37" w:rsidP="005A5E37">
      <w:pPr>
        <w:spacing w:after="0" w:line="240" w:lineRule="auto"/>
        <w:rPr>
          <w:rFonts w:ascii="Verdana" w:hAnsi="Verdana"/>
          <w:lang w:val="es-ES"/>
        </w:rPr>
      </w:pPr>
    </w:p>
    <w:p w14:paraId="63E9E482" w14:textId="77777777" w:rsidR="005A5E37" w:rsidRDefault="005A5E37" w:rsidP="005A5E37">
      <w:pPr>
        <w:spacing w:after="0" w:line="240" w:lineRule="auto"/>
        <w:rPr>
          <w:rFonts w:ascii="Verdana" w:hAnsi="Verdana"/>
          <w:lang w:val="es-ES"/>
        </w:rPr>
      </w:pPr>
    </w:p>
    <w:p w14:paraId="18C5CAA6" w14:textId="77777777" w:rsidR="00D76D1D" w:rsidRPr="005A5E37" w:rsidRDefault="00D76D1D" w:rsidP="00D76D1D">
      <w:pPr>
        <w:spacing w:after="0" w:line="240" w:lineRule="auto"/>
        <w:jc w:val="both"/>
        <w:rPr>
          <w:rFonts w:ascii="Verdana" w:eastAsia="Times New Roman" w:hAnsi="Verdana" w:cs="Times New Roman"/>
          <w:sz w:val="20"/>
          <w:szCs w:val="20"/>
          <w:lang w:val="es-ES" w:eastAsia="es-ES_tradnl"/>
        </w:rPr>
      </w:pPr>
    </w:p>
    <w:p w14:paraId="76FC0669" w14:textId="77777777" w:rsidR="00D76D1D" w:rsidRDefault="00D76D1D" w:rsidP="00D76D1D">
      <w:pPr>
        <w:spacing w:after="0" w:line="240" w:lineRule="auto"/>
        <w:jc w:val="both"/>
        <w:rPr>
          <w:rFonts w:ascii="Verdana" w:eastAsia="Times New Roman" w:hAnsi="Verdana" w:cs="Times New Roman"/>
          <w:sz w:val="20"/>
          <w:szCs w:val="20"/>
          <w:lang w:val="es-ES_tradnl" w:eastAsia="es-ES_tradnl"/>
        </w:rPr>
      </w:pPr>
    </w:p>
    <w:p w14:paraId="3D8EEE9E" w14:textId="77777777" w:rsidR="00D76D1D" w:rsidRPr="00022771" w:rsidRDefault="00D76D1D" w:rsidP="00D76D1D">
      <w:pPr>
        <w:spacing w:after="0" w:line="240" w:lineRule="auto"/>
        <w:jc w:val="both"/>
        <w:rPr>
          <w:rFonts w:ascii="Verdana" w:hAnsi="Verdana"/>
          <w:lang w:val="es-ES_tradnl"/>
        </w:rPr>
      </w:pPr>
    </w:p>
    <w:p w14:paraId="16D6129F" w14:textId="77777777" w:rsidR="00695301" w:rsidRDefault="00695301">
      <w:pPr>
        <w:rPr>
          <w:rFonts w:ascii="Verdana" w:eastAsia="Verdana" w:hAnsi="Verdana" w:cs="Verdana"/>
        </w:rPr>
      </w:pPr>
      <w:r>
        <w:rPr>
          <w:rFonts w:ascii="Verdana" w:eastAsia="Verdana" w:hAnsi="Verdana" w:cs="Verdana"/>
        </w:rPr>
        <w:br w:type="page"/>
      </w:r>
    </w:p>
    <w:p w14:paraId="1468C46D" w14:textId="5748B0AD" w:rsidR="00C15139" w:rsidRPr="0024624F" w:rsidRDefault="00EF6E40" w:rsidP="30821638">
      <w:pPr>
        <w:spacing w:after="0"/>
        <w:rPr>
          <w:rFonts w:ascii="Verdana" w:eastAsia="Verdana" w:hAnsi="Verdana" w:cs="Verdana"/>
        </w:rPr>
      </w:pPr>
      <w:r w:rsidRPr="00EF6E40">
        <w:rPr>
          <w:rFonts w:ascii="Verdana" w:eastAsia="Verdana" w:hAnsi="Verdana" w:cs="Verdana"/>
          <w:noProof/>
        </w:rPr>
        <w:drawing>
          <wp:anchor distT="0" distB="0" distL="114300" distR="114300" simplePos="0" relativeHeight="251658240" behindDoc="1" locked="0" layoutInCell="1" allowOverlap="1" wp14:anchorId="0B13D317" wp14:editId="5E06C055">
            <wp:simplePos x="0" y="0"/>
            <wp:positionH relativeFrom="column">
              <wp:posOffset>3202435</wp:posOffset>
            </wp:positionH>
            <wp:positionV relativeFrom="paragraph">
              <wp:posOffset>64</wp:posOffset>
            </wp:positionV>
            <wp:extent cx="2252980" cy="932815"/>
            <wp:effectExtent l="0" t="0" r="0" b="635"/>
            <wp:wrapTight wrapText="bothSides">
              <wp:wrapPolygon edited="0">
                <wp:start x="0" y="0"/>
                <wp:lineTo x="0" y="21174"/>
                <wp:lineTo x="21369" y="21174"/>
                <wp:lineTo x="21369" y="0"/>
                <wp:lineTo x="0" y="0"/>
              </wp:wrapPolygon>
            </wp:wrapTight>
            <wp:docPr id="13819552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2980" cy="932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18 septiembre 2026</w:t>
      </w:r>
      <w:r w:rsidRPr="00EF6E40">
        <w:rPr>
          <w:rFonts w:ascii="Verdana" w:eastAsia="Verdana" w:hAnsi="Verdana" w:cs="Verdana"/>
        </w:rPr>
        <w:t xml:space="preserve"> </w:t>
      </w:r>
    </w:p>
    <w:p w14:paraId="4EED72CF" w14:textId="13FBF003" w:rsidR="00C15139" w:rsidRDefault="00C15139" w:rsidP="00E959EC">
      <w:pPr>
        <w:spacing w:after="0"/>
        <w:rPr>
          <w:rFonts w:ascii="Verdana" w:eastAsia="Verdana" w:hAnsi="Verdana" w:cs="Verdana"/>
          <w:lang w:val="es-MX"/>
        </w:rPr>
      </w:pPr>
      <w:r w:rsidRPr="30821638">
        <w:rPr>
          <w:rFonts w:ascii="Verdana" w:eastAsia="Verdana" w:hAnsi="Verdana" w:cs="Verdana"/>
          <w:lang w:val="es-MX"/>
        </w:rPr>
        <w:t>Señor</w:t>
      </w:r>
      <w:r w:rsidR="00E959EC">
        <w:rPr>
          <w:rFonts w:ascii="Verdana" w:eastAsia="Verdana" w:hAnsi="Verdana" w:cs="Verdana"/>
          <w:lang w:val="es-MX"/>
        </w:rPr>
        <w:t xml:space="preserve">a </w:t>
      </w:r>
    </w:p>
    <w:p w14:paraId="0027584B" w14:textId="77777777" w:rsidR="00E959EC" w:rsidRPr="00467EAC" w:rsidRDefault="00E959EC" w:rsidP="00E959EC">
      <w:pPr>
        <w:spacing w:after="0"/>
        <w:rPr>
          <w:rFonts w:ascii="Verdana" w:eastAsia="Verdana" w:hAnsi="Verdana" w:cs="Verdana"/>
          <w:b/>
          <w:bCs/>
          <w:lang w:val="es-MX"/>
        </w:rPr>
      </w:pPr>
      <w:r w:rsidRPr="00467EAC">
        <w:rPr>
          <w:rFonts w:ascii="Verdana" w:eastAsia="Verdana" w:hAnsi="Verdana" w:cs="Verdana"/>
          <w:b/>
          <w:bCs/>
          <w:lang w:val="es-MX"/>
        </w:rPr>
        <w:t xml:space="preserve">María Cristia González </w:t>
      </w:r>
      <w:proofErr w:type="spellStart"/>
      <w:r w:rsidRPr="00467EAC">
        <w:rPr>
          <w:rFonts w:ascii="Verdana" w:eastAsia="Verdana" w:hAnsi="Verdana" w:cs="Verdana"/>
          <w:b/>
          <w:bCs/>
          <w:lang w:val="es-MX"/>
        </w:rPr>
        <w:t>González</w:t>
      </w:r>
      <w:proofErr w:type="spellEnd"/>
    </w:p>
    <w:p w14:paraId="53487387" w14:textId="64B25D52" w:rsidR="00E959EC" w:rsidRDefault="00467EAC" w:rsidP="00E959EC">
      <w:pPr>
        <w:spacing w:after="0"/>
        <w:rPr>
          <w:rFonts w:ascii="Verdana" w:eastAsia="Verdana" w:hAnsi="Verdana" w:cs="Verdana"/>
          <w:lang w:val="es-MX"/>
        </w:rPr>
      </w:pPr>
      <w:hyperlink r:id="rId12" w:history="1">
        <w:r w:rsidRPr="005909F9">
          <w:rPr>
            <w:rStyle w:val="Hipervnculo"/>
            <w:rFonts w:ascii="Verdana" w:eastAsia="Verdana" w:hAnsi="Verdana" w:cs="Verdana"/>
            <w:lang w:val="es-MX"/>
          </w:rPr>
          <w:t>c.g.consultoriajuridica@gmail.com</w:t>
        </w:r>
      </w:hyperlink>
    </w:p>
    <w:p w14:paraId="3572EA9C" w14:textId="2417B91A" w:rsidR="00467EAC" w:rsidRDefault="00467EAC" w:rsidP="00E959EC">
      <w:pPr>
        <w:spacing w:after="0"/>
        <w:rPr>
          <w:rFonts w:ascii="Verdana" w:eastAsia="Verdana" w:hAnsi="Verdana" w:cs="Verdana"/>
          <w:lang w:val="es-MX"/>
        </w:rPr>
      </w:pPr>
      <w:r>
        <w:rPr>
          <w:rFonts w:ascii="Verdana" w:eastAsia="Verdana" w:hAnsi="Verdana" w:cs="Verdana"/>
          <w:lang w:val="es-MX"/>
        </w:rPr>
        <w:t xml:space="preserve">Ciudad </w:t>
      </w:r>
    </w:p>
    <w:p w14:paraId="76559CF0" w14:textId="56A12C24" w:rsidR="00E959EC" w:rsidRPr="000E2B93" w:rsidRDefault="00E959EC" w:rsidP="00E959EC">
      <w:pPr>
        <w:spacing w:after="0"/>
        <w:rPr>
          <w:rFonts w:ascii="Verdana" w:eastAsia="Verdana" w:hAnsi="Verdana" w:cs="Verdana"/>
        </w:rPr>
      </w:pPr>
      <w:r>
        <w:rPr>
          <w:rFonts w:ascii="Verdana" w:eastAsia="Verdana" w:hAnsi="Verdana" w:cs="Verdana"/>
          <w:lang w:val="es-MX"/>
        </w:rPr>
        <w:t xml:space="preserve"> </w:t>
      </w:r>
    </w:p>
    <w:p w14:paraId="2C300D32" w14:textId="77777777" w:rsidR="006078B5" w:rsidRPr="00593A5F" w:rsidRDefault="006078B5" w:rsidP="006078B5">
      <w:pPr>
        <w:spacing w:after="0" w:line="240" w:lineRule="auto"/>
        <w:rPr>
          <w:rFonts w:ascii="Verdana" w:eastAsia="Calibri" w:hAnsi="Verdana" w:cs="Arial"/>
          <w:b/>
          <w:bCs/>
          <w:color w:val="000000"/>
          <w:lang w:val="es-ES_tradnl" w:eastAsia="es-ES_tradnl"/>
        </w:rPr>
      </w:pPr>
    </w:p>
    <w:p w14:paraId="4A76FB46" w14:textId="77777777" w:rsidR="006078B5" w:rsidRPr="00593A5F" w:rsidRDefault="006078B5" w:rsidP="006078B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078B5" w:rsidRPr="00593A5F" w14:paraId="23297DD2" w14:textId="77777777" w:rsidTr="00B5375D">
        <w:trPr>
          <w:trHeight w:val="884"/>
        </w:trPr>
        <w:tc>
          <w:tcPr>
            <w:tcW w:w="2689" w:type="dxa"/>
          </w:tcPr>
          <w:p w14:paraId="51928A8A" w14:textId="77777777" w:rsidR="006078B5" w:rsidRPr="00C00976" w:rsidRDefault="006078B5" w:rsidP="00B5375D">
            <w:pPr>
              <w:jc w:val="both"/>
              <w:rPr>
                <w:rFonts w:ascii="Verdana" w:eastAsia="Calibri" w:hAnsi="Verdana" w:cs="Arial"/>
                <w:b/>
                <w:bCs/>
                <w:color w:val="7030A0"/>
                <w:lang w:val="es-ES_tradnl" w:eastAsia="es-ES_tradnl"/>
              </w:rPr>
            </w:pPr>
          </w:p>
        </w:tc>
        <w:tc>
          <w:tcPr>
            <w:tcW w:w="6100" w:type="dxa"/>
          </w:tcPr>
          <w:p w14:paraId="7DD9AF5D" w14:textId="66DC85DA" w:rsidR="006078B5" w:rsidRPr="00C00976" w:rsidRDefault="006078B5" w:rsidP="00B5375D">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-1</w:t>
            </w:r>
            <w:r w:rsidR="00FD3FA6">
              <w:rPr>
                <w:rFonts w:ascii="Verdana" w:eastAsia="Calibri" w:hAnsi="Verdana" w:cs="Arial"/>
                <w:b/>
                <w:bCs/>
                <w:lang w:val="es-ES" w:eastAsia="es-ES"/>
              </w:rPr>
              <w:t>262</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6078B5" w:rsidRPr="00593A5F" w14:paraId="5C4A9E31" w14:textId="77777777" w:rsidTr="00B5375D">
        <w:trPr>
          <w:trHeight w:val="884"/>
        </w:trPr>
        <w:tc>
          <w:tcPr>
            <w:tcW w:w="2689" w:type="dxa"/>
          </w:tcPr>
          <w:p w14:paraId="09CC9EA9" w14:textId="77777777" w:rsidR="006078B5" w:rsidRPr="00593A5F" w:rsidRDefault="006078B5" w:rsidP="00B5375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9EF63CF" w14:textId="77777777" w:rsidR="006078B5" w:rsidRDefault="006078B5" w:rsidP="00B5375D">
            <w:pPr>
              <w:spacing w:line="276" w:lineRule="auto"/>
              <w:jc w:val="both"/>
              <w:rPr>
                <w:rFonts w:ascii="Verdana" w:eastAsia="Calibri" w:hAnsi="Verdana" w:cs="Arial"/>
                <w:lang w:val="es-ES" w:eastAsia="es-ES"/>
              </w:rPr>
            </w:pPr>
            <w:r>
              <w:rPr>
                <w:rFonts w:ascii="Verdana" w:eastAsia="Calibri" w:hAnsi="Verdana" w:cs="Arial"/>
                <w:lang w:eastAsia="es-ES"/>
              </w:rPr>
              <w:t>C</w:t>
            </w:r>
            <w:r w:rsidRPr="00E3678A">
              <w:rPr>
                <w:rFonts w:ascii="Verdana" w:eastAsia="Calibri" w:hAnsi="Verdana" w:cs="Arial"/>
                <w:lang w:eastAsia="es-ES"/>
              </w:rPr>
              <w:t>ONTRATO ESTATAL – Funciones de control y vigilancia / SUPERVISIÓN – Ejercicio – Contratista – Apoyo a la supervisión / SUPERVISIÓN – Inexistencia de la figura de supervisión externa / INTERVENTORÍA – Características / SUPERVISIÓN E INTERVENTORÍA – Límites – Imposición de obligaciones no pactadas / SUPERVISIÓN E INTERVENTORÍA – Sugerencias de mejora – Carácter no vinculante / SUBCONTRATACIÓN – Control y vigilancia – Alcance y límites</w:t>
            </w:r>
          </w:p>
          <w:p w14:paraId="3FD4A855" w14:textId="77777777" w:rsidR="006078B5" w:rsidRPr="00593A5F" w:rsidRDefault="006078B5" w:rsidP="00B5375D">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078B5" w:rsidRPr="008E6AD9" w14:paraId="4A33E3C6" w14:textId="77777777" w:rsidTr="00B5375D">
        <w:tc>
          <w:tcPr>
            <w:tcW w:w="2689" w:type="dxa"/>
          </w:tcPr>
          <w:p w14:paraId="35A3AB6C" w14:textId="77777777" w:rsidR="006078B5" w:rsidRPr="008E6AD9" w:rsidRDefault="006078B5" w:rsidP="00B5375D">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3F76F35" w14:textId="39364839" w:rsidR="00D3753B" w:rsidRPr="00D3753B" w:rsidRDefault="006078B5" w:rsidP="00D3753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00D3753B">
              <w:rPr>
                <w:rFonts w:ascii="Verdana" w:hAnsi="Verdana" w:cs="Calibri"/>
              </w:rPr>
              <w:t>1_2026_08_11_010614</w:t>
            </w:r>
          </w:p>
          <w:p w14:paraId="62F41E1B" w14:textId="266074D8" w:rsidR="006078B5" w:rsidRPr="00B92340" w:rsidRDefault="006078B5" w:rsidP="00B5375D">
            <w:pPr>
              <w:spacing w:line="276" w:lineRule="auto"/>
              <w:jc w:val="both"/>
              <w:rPr>
                <w:rFonts w:ascii="Verdana" w:eastAsia="Calibri" w:hAnsi="Verdana" w:cs="Arial"/>
                <w:lang w:val="es-ES_tradnl" w:eastAsia="es-ES_tradnl"/>
              </w:rPr>
            </w:pPr>
          </w:p>
        </w:tc>
      </w:tr>
    </w:tbl>
    <w:p w14:paraId="43B60755" w14:textId="77777777" w:rsidR="006078B5" w:rsidRPr="00593A5F" w:rsidRDefault="006078B5" w:rsidP="006078B5">
      <w:pPr>
        <w:spacing w:after="0" w:line="240" w:lineRule="auto"/>
        <w:jc w:val="both"/>
        <w:rPr>
          <w:rFonts w:ascii="Verdana" w:eastAsia="Calibri" w:hAnsi="Verdana" w:cs="Arial"/>
          <w:color w:val="000000"/>
          <w:lang w:val="es-ES_tradnl" w:eastAsia="es-ES_tradnl"/>
        </w:rPr>
      </w:pPr>
    </w:p>
    <w:p w14:paraId="39443101" w14:textId="77777777" w:rsidR="006078B5" w:rsidRPr="00593A5F" w:rsidRDefault="006078B5" w:rsidP="006078B5">
      <w:pPr>
        <w:spacing w:after="0" w:line="240" w:lineRule="auto"/>
        <w:jc w:val="both"/>
        <w:rPr>
          <w:rFonts w:ascii="Verdana" w:eastAsia="Calibri" w:hAnsi="Verdana" w:cs="Arial"/>
          <w:color w:val="000000"/>
          <w:lang w:val="es-ES_tradnl" w:eastAsia="es-ES_tradnl"/>
        </w:rPr>
      </w:pPr>
    </w:p>
    <w:p w14:paraId="0818C723" w14:textId="51B174A1" w:rsidR="006078B5" w:rsidRPr="008E6AD9" w:rsidRDefault="006078B5" w:rsidP="006078B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00D3753B">
        <w:rPr>
          <w:rFonts w:ascii="Verdana" w:eastAsia="Calibri" w:hAnsi="Verdana" w:cs="Arial"/>
          <w:lang w:val="es-ES" w:eastAsia="es-ES"/>
        </w:rPr>
        <w:t>González:</w:t>
      </w:r>
      <w:r w:rsidRPr="008E6AD9">
        <w:rPr>
          <w:rFonts w:ascii="Verdana" w:eastAsia="Calibri" w:hAnsi="Verdana" w:cs="Arial"/>
          <w:lang w:val="es-ES" w:eastAsia="es-ES"/>
        </w:rPr>
        <w:t xml:space="preserve"> </w:t>
      </w:r>
    </w:p>
    <w:p w14:paraId="399C400A" w14:textId="77777777" w:rsidR="006078B5" w:rsidRDefault="006078B5" w:rsidP="006078B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A518D8F" w14:textId="57056148" w:rsidR="006078B5" w:rsidRPr="00593A5F" w:rsidRDefault="006078B5" w:rsidP="006078B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w:t>
      </w:r>
      <w:r w:rsidR="00FD3FA6">
        <w:rPr>
          <w:rFonts w:ascii="Verdana" w:eastAsia="Calibri" w:hAnsi="Verdana" w:cs="Arial"/>
          <w:lang w:val="es-ES" w:eastAsia="es-ES"/>
        </w:rPr>
        <w:t>1</w:t>
      </w:r>
      <w:r>
        <w:rPr>
          <w:rFonts w:ascii="Verdana" w:eastAsia="Calibri" w:hAnsi="Verdana" w:cs="Arial"/>
          <w:lang w:val="es-ES" w:eastAsia="es-ES"/>
        </w:rPr>
        <w:t xml:space="preserve"> de </w:t>
      </w:r>
      <w:r w:rsidR="00FD3FA6">
        <w:rPr>
          <w:rFonts w:ascii="Verdana" w:eastAsia="Calibri" w:hAnsi="Verdana" w:cs="Arial"/>
          <w:lang w:val="es-ES" w:eastAsia="es-ES"/>
        </w:rPr>
        <w:t>agosto</w:t>
      </w:r>
      <w:r>
        <w:rPr>
          <w:rFonts w:ascii="Verdana" w:eastAsia="Calibri" w:hAnsi="Verdana" w:cs="Arial"/>
          <w:lang w:val="es-ES" w:eastAsia="es-ES"/>
        </w:rPr>
        <w:t xml:space="preserve"> de 2026,</w:t>
      </w:r>
      <w:r w:rsidR="00A81D14">
        <w:rPr>
          <w:rFonts w:ascii="Verdana" w:eastAsia="Calibri" w:hAnsi="Verdana" w:cs="Arial"/>
          <w:lang w:val="es-ES" w:eastAsia="es-ES"/>
        </w:rPr>
        <w:t xml:space="preserve"> remitida por el Departamento Administrativo de la Función Pública, mediante oficio remisorio No. </w:t>
      </w:r>
      <w:r w:rsidR="000F4EB9" w:rsidRPr="000F4EB9">
        <w:rPr>
          <w:rFonts w:ascii="Verdana" w:eastAsia="Calibri" w:hAnsi="Verdana" w:cs="Arial"/>
          <w:lang w:val="es-ES" w:eastAsia="es-ES"/>
        </w:rPr>
        <w:t>20262040291951</w:t>
      </w:r>
      <w:r>
        <w:rPr>
          <w:rFonts w:ascii="Verdana" w:eastAsia="Calibri" w:hAnsi="Verdana" w:cs="Arial"/>
          <w:lang w:val="es-ES" w:eastAsia="es-ES"/>
        </w:rPr>
        <w:t xml:space="preserve"> donde pregunta lo siguiente</w:t>
      </w:r>
      <w:r w:rsidRPr="008E6AD9">
        <w:rPr>
          <w:rFonts w:ascii="Verdana" w:eastAsia="Calibri" w:hAnsi="Verdana" w:cs="Arial"/>
          <w:lang w:val="es-ES" w:eastAsia="es-ES"/>
        </w:rPr>
        <w:t xml:space="preserve">: </w:t>
      </w:r>
    </w:p>
    <w:p w14:paraId="65B07D31" w14:textId="77777777" w:rsidR="006078B5" w:rsidRPr="003B4715" w:rsidRDefault="006078B5" w:rsidP="006078B5">
      <w:pPr>
        <w:pStyle w:val="Prrafodelista"/>
        <w:tabs>
          <w:tab w:val="left" w:pos="142"/>
          <w:tab w:val="left" w:pos="284"/>
        </w:tabs>
        <w:spacing w:after="0" w:line="276" w:lineRule="auto"/>
        <w:ind w:left="0"/>
        <w:jc w:val="both"/>
        <w:rPr>
          <w:rFonts w:ascii="Verdana" w:eastAsia="Century Gothic" w:hAnsi="Verdana" w:cs="Century Gothic"/>
          <w:b/>
          <w:bCs/>
          <w:sz w:val="21"/>
          <w:szCs w:val="21"/>
        </w:rPr>
      </w:pPr>
    </w:p>
    <w:p w14:paraId="0CCDBFA1" w14:textId="7B1D481D" w:rsidR="007949D6" w:rsidRPr="003B4715" w:rsidRDefault="006078B5" w:rsidP="007949D6">
      <w:pPr>
        <w:spacing w:after="120" w:line="240" w:lineRule="auto"/>
        <w:ind w:left="709" w:right="709"/>
        <w:jc w:val="both"/>
        <w:rPr>
          <w:rFonts w:ascii="Verdana" w:eastAsia="Century Gothic" w:hAnsi="Verdana" w:cs="Century Gothic"/>
          <w:sz w:val="21"/>
          <w:szCs w:val="21"/>
          <w:lang w:val="es-ES"/>
        </w:rPr>
      </w:pPr>
      <w:bookmarkStart w:id="1" w:name="_Hlk95313578"/>
      <w:r w:rsidRPr="003B4715">
        <w:rPr>
          <w:rFonts w:ascii="Verdana" w:eastAsia="Century Gothic" w:hAnsi="Verdana" w:cs="Century Gothic"/>
          <w:sz w:val="21"/>
          <w:szCs w:val="21"/>
          <w:lang w:val="es-ES"/>
        </w:rPr>
        <w:t>“</w:t>
      </w:r>
      <w:bookmarkEnd w:id="1"/>
      <w:r w:rsidRPr="003B4715">
        <w:rPr>
          <w:rFonts w:ascii="Verdana" w:eastAsia="Century Gothic" w:hAnsi="Verdana" w:cs="Century Gothic"/>
          <w:sz w:val="21"/>
          <w:szCs w:val="21"/>
          <w:lang w:val="es-ES"/>
        </w:rPr>
        <w:t>1. ¿</w:t>
      </w:r>
      <w:r w:rsidR="00CA17FE" w:rsidRPr="003B4715">
        <w:rPr>
          <w:rFonts w:ascii="Verdana" w:eastAsia="Century Gothic" w:hAnsi="Verdana" w:cs="Century Gothic"/>
          <w:sz w:val="21"/>
          <w:szCs w:val="21"/>
          <w:lang w:val="es-ES"/>
        </w:rPr>
        <w:t>Es legalmente viable que un Ordenador del Gasto o Supervisor de un contrato de prestación de servicios profesionales imponga a un contratista</w:t>
      </w:r>
      <w:r w:rsidR="002B5EF9" w:rsidRPr="003B4715">
        <w:rPr>
          <w:rFonts w:ascii="Verdana" w:eastAsia="Century Gothic" w:hAnsi="Verdana" w:cs="Century Gothic"/>
          <w:sz w:val="21"/>
          <w:szCs w:val="21"/>
          <w:lang w:val="es-ES"/>
        </w:rPr>
        <w:t>, mediante memorando unilateral, el rol sustancial de “Apoyo a la Supervisi</w:t>
      </w:r>
      <w:r w:rsidR="007949D6" w:rsidRPr="003B4715">
        <w:rPr>
          <w:rFonts w:ascii="Verdana" w:eastAsia="Century Gothic" w:hAnsi="Verdana" w:cs="Century Gothic"/>
          <w:sz w:val="21"/>
          <w:szCs w:val="21"/>
          <w:lang w:val="es-ES"/>
        </w:rPr>
        <w:t>ón</w:t>
      </w:r>
      <w:r w:rsidR="00100516" w:rsidRPr="003B4715">
        <w:rPr>
          <w:rFonts w:ascii="Verdana" w:eastAsia="Century Gothic" w:hAnsi="Verdana" w:cs="Century Gothic"/>
          <w:sz w:val="21"/>
          <w:szCs w:val="21"/>
          <w:lang w:val="es-ES"/>
        </w:rPr>
        <w:t>” de contratos de tercero, ¿Cuándo dicho rol no fue c</w:t>
      </w:r>
      <w:r w:rsidR="00F44292" w:rsidRPr="003B4715">
        <w:rPr>
          <w:rFonts w:ascii="Verdana" w:eastAsia="Century Gothic" w:hAnsi="Verdana" w:cs="Century Gothic"/>
          <w:sz w:val="21"/>
          <w:szCs w:val="21"/>
          <w:lang w:val="es-ES"/>
        </w:rPr>
        <w:t xml:space="preserve">ontemplado expresamente en el Objeto </w:t>
      </w:r>
      <w:r w:rsidR="00C51F0C" w:rsidRPr="003B4715">
        <w:rPr>
          <w:rFonts w:ascii="Verdana" w:eastAsia="Century Gothic" w:hAnsi="Verdana" w:cs="Century Gothic"/>
          <w:sz w:val="21"/>
          <w:szCs w:val="21"/>
          <w:lang w:val="es-ES"/>
        </w:rPr>
        <w:t>Contractual ni justificado en los Estudios</w:t>
      </w:r>
      <w:r w:rsidR="00291E26" w:rsidRPr="003B4715">
        <w:rPr>
          <w:rFonts w:ascii="Verdana" w:eastAsia="Century Gothic" w:hAnsi="Verdana" w:cs="Century Gothic"/>
          <w:sz w:val="21"/>
          <w:szCs w:val="21"/>
          <w:lang w:val="es-ES"/>
        </w:rPr>
        <w:t xml:space="preserve"> Previos originales?</w:t>
      </w:r>
    </w:p>
    <w:p w14:paraId="7CB91A23" w14:textId="04D10790" w:rsidR="00291E26" w:rsidRPr="003B4715" w:rsidRDefault="00291E26" w:rsidP="007949D6">
      <w:pPr>
        <w:spacing w:after="120" w:line="240" w:lineRule="auto"/>
        <w:ind w:left="709" w:right="709"/>
        <w:jc w:val="both"/>
        <w:rPr>
          <w:rFonts w:ascii="Verdana" w:eastAsia="Century Gothic" w:hAnsi="Verdana" w:cs="Century Gothic"/>
          <w:sz w:val="21"/>
          <w:szCs w:val="21"/>
          <w:lang w:val="es-ES"/>
        </w:rPr>
      </w:pPr>
      <w:r w:rsidRPr="003B4715">
        <w:rPr>
          <w:rFonts w:ascii="Verdana" w:eastAsia="Century Gothic" w:hAnsi="Verdana" w:cs="Century Gothic"/>
          <w:sz w:val="21"/>
          <w:szCs w:val="21"/>
          <w:lang w:val="es-ES"/>
        </w:rPr>
        <w:t>2. ¿Permite el principio</w:t>
      </w:r>
      <w:r w:rsidR="00275563" w:rsidRPr="003B4715">
        <w:rPr>
          <w:rFonts w:ascii="Verdana" w:eastAsia="Century Gothic" w:hAnsi="Verdana" w:cs="Century Gothic"/>
          <w:sz w:val="21"/>
          <w:szCs w:val="21"/>
          <w:lang w:val="es-ES"/>
        </w:rPr>
        <w:t xml:space="preserve"> de planeación contractual y de especialidad del objeto (artículos 25 y 32 de la Ley 80 de 1993)</w:t>
      </w:r>
      <w:r w:rsidR="00C00FEA" w:rsidRPr="003B4715">
        <w:rPr>
          <w:rFonts w:ascii="Verdana" w:eastAsia="Century Gothic" w:hAnsi="Verdana" w:cs="Century Gothic"/>
          <w:sz w:val="21"/>
          <w:szCs w:val="21"/>
          <w:lang w:val="es-ES"/>
        </w:rPr>
        <w:t xml:space="preserve"> que una clausula de obligaciones residuales o genéricas (“y las demás que asigne el supervisor” o “las demás </w:t>
      </w:r>
      <w:r w:rsidR="00A43BEC" w:rsidRPr="003B4715">
        <w:rPr>
          <w:rFonts w:ascii="Verdana" w:eastAsia="Century Gothic" w:hAnsi="Verdana" w:cs="Century Gothic"/>
          <w:sz w:val="21"/>
          <w:szCs w:val="21"/>
          <w:lang w:val="es-ES"/>
        </w:rPr>
        <w:t>inherentes</w:t>
      </w:r>
      <w:r w:rsidR="00C00FEA" w:rsidRPr="003B4715">
        <w:rPr>
          <w:rFonts w:ascii="Verdana" w:eastAsia="Century Gothic" w:hAnsi="Verdana" w:cs="Century Gothic"/>
          <w:sz w:val="21"/>
          <w:szCs w:val="21"/>
          <w:lang w:val="es-ES"/>
        </w:rPr>
        <w:t>”)</w:t>
      </w:r>
      <w:r w:rsidR="00A43BEC" w:rsidRPr="003B4715">
        <w:rPr>
          <w:rFonts w:ascii="Verdana" w:eastAsia="Century Gothic" w:hAnsi="Verdana" w:cs="Century Gothic"/>
          <w:sz w:val="21"/>
          <w:szCs w:val="21"/>
          <w:lang w:val="es-ES"/>
        </w:rPr>
        <w:t xml:space="preserve"> sea </w:t>
      </w:r>
      <w:r w:rsidR="00C22467" w:rsidRPr="003B4715">
        <w:rPr>
          <w:rFonts w:ascii="Verdana" w:eastAsia="Century Gothic" w:hAnsi="Verdana" w:cs="Century Gothic"/>
          <w:sz w:val="21"/>
          <w:szCs w:val="21"/>
          <w:lang w:val="es-ES"/>
        </w:rPr>
        <w:t>utilizada como fuente jurídica para asignar un rol sustancial y autónomo como lo es el apoyo a la supervisión</w:t>
      </w:r>
      <w:r w:rsidR="00F57E29" w:rsidRPr="003B4715">
        <w:rPr>
          <w:rFonts w:ascii="Verdana" w:eastAsia="Century Gothic" w:hAnsi="Verdana" w:cs="Century Gothic"/>
          <w:sz w:val="21"/>
          <w:szCs w:val="21"/>
          <w:lang w:val="es-ES"/>
        </w:rPr>
        <w:t xml:space="preserve"> de contrataos estatales? </w:t>
      </w:r>
    </w:p>
    <w:p w14:paraId="61C591CB" w14:textId="43168B2D" w:rsidR="00F57E29" w:rsidRPr="003B4715" w:rsidRDefault="00F57E29" w:rsidP="007949D6">
      <w:pPr>
        <w:spacing w:after="120" w:line="240" w:lineRule="auto"/>
        <w:ind w:left="709" w:right="709"/>
        <w:jc w:val="both"/>
        <w:rPr>
          <w:rFonts w:ascii="Verdana" w:eastAsia="Century Gothic" w:hAnsi="Verdana" w:cs="Century Gothic"/>
          <w:sz w:val="21"/>
          <w:szCs w:val="21"/>
          <w:lang w:val="es-ES"/>
        </w:rPr>
      </w:pPr>
      <w:r w:rsidRPr="003B4715">
        <w:rPr>
          <w:rFonts w:ascii="Verdana" w:eastAsia="Century Gothic" w:hAnsi="Verdana" w:cs="Century Gothic"/>
          <w:sz w:val="21"/>
          <w:szCs w:val="21"/>
          <w:lang w:val="es-ES"/>
        </w:rPr>
        <w:t>3. ¿Cuál es el alcance y límite que la jurisprudencia y la doctrina de la contratación púbica les otorga</w:t>
      </w:r>
      <w:r w:rsidR="00787C69" w:rsidRPr="003B4715">
        <w:rPr>
          <w:rFonts w:ascii="Verdana" w:eastAsia="Century Gothic" w:hAnsi="Verdana" w:cs="Century Gothic"/>
          <w:sz w:val="21"/>
          <w:szCs w:val="21"/>
          <w:lang w:val="es-ES"/>
        </w:rPr>
        <w:t>n a las expresiones contractuales genéricas o residuales en los contratos de prestación de servicios frente a la prohibición de modificación unilateral del contrato?</w:t>
      </w:r>
    </w:p>
    <w:p w14:paraId="5629ECFD" w14:textId="3EE7023E" w:rsidR="00E821C9" w:rsidRPr="003B4715" w:rsidRDefault="00E821C9" w:rsidP="007949D6">
      <w:pPr>
        <w:spacing w:after="120" w:line="240" w:lineRule="auto"/>
        <w:ind w:left="709" w:right="709"/>
        <w:jc w:val="both"/>
        <w:rPr>
          <w:rFonts w:ascii="Verdana" w:eastAsia="Century Gothic" w:hAnsi="Verdana" w:cs="Century Gothic"/>
          <w:sz w:val="21"/>
          <w:szCs w:val="21"/>
          <w:lang w:val="es-ES"/>
        </w:rPr>
      </w:pPr>
      <w:r w:rsidRPr="003B4715">
        <w:rPr>
          <w:rFonts w:ascii="Verdana" w:eastAsia="Century Gothic" w:hAnsi="Verdana" w:cs="Century Gothic"/>
          <w:sz w:val="21"/>
          <w:szCs w:val="21"/>
          <w:lang w:val="es-ES"/>
        </w:rPr>
        <w:t xml:space="preserve">4. ¿El hecho de que un contratista de prestación de servicios estampe su firma revisando o aprobando la trazabilidad técnica de un memorando donde se le imponen obligaciones ajenas a su objeto, tiene la validez </w:t>
      </w:r>
      <w:r w:rsidR="009059B5" w:rsidRPr="003B4715">
        <w:rPr>
          <w:rFonts w:ascii="Verdana" w:eastAsia="Century Gothic" w:hAnsi="Verdana" w:cs="Century Gothic"/>
          <w:sz w:val="21"/>
          <w:szCs w:val="21"/>
          <w:lang w:val="es-ES"/>
        </w:rPr>
        <w:t xml:space="preserve">jurídica para sustituir las formalidades de in “Otrosí” o una modificación bilateral contractual forma exigida por la Ley 80 de 1993? </w:t>
      </w:r>
      <w:r w:rsidR="00E6764F" w:rsidRPr="003B4715">
        <w:rPr>
          <w:rFonts w:ascii="Verdana" w:eastAsia="Century Gothic" w:hAnsi="Verdana" w:cs="Century Gothic"/>
          <w:sz w:val="21"/>
          <w:szCs w:val="21"/>
          <w:lang w:val="es-ES"/>
        </w:rPr>
        <w:t>¿Esta firma de revisión sanea la irregularidad frente al principio de legalidad o muta la naturaleza de sus obligaciones principales?</w:t>
      </w:r>
    </w:p>
    <w:p w14:paraId="59B4AB6F" w14:textId="4D4DF12B" w:rsidR="00B4782D" w:rsidRPr="003B4715" w:rsidRDefault="00B4782D" w:rsidP="007949D6">
      <w:pPr>
        <w:spacing w:after="120" w:line="240" w:lineRule="auto"/>
        <w:ind w:left="709" w:right="709"/>
        <w:jc w:val="both"/>
        <w:rPr>
          <w:rFonts w:ascii="Verdana" w:eastAsia="Century Gothic" w:hAnsi="Verdana" w:cs="Century Gothic"/>
          <w:sz w:val="21"/>
          <w:szCs w:val="21"/>
          <w:lang w:val="es-ES"/>
        </w:rPr>
      </w:pPr>
      <w:r w:rsidRPr="003B4715">
        <w:rPr>
          <w:rFonts w:ascii="Verdana" w:eastAsia="Century Gothic" w:hAnsi="Verdana" w:cs="Century Gothic"/>
          <w:sz w:val="21"/>
          <w:szCs w:val="21"/>
          <w:lang w:val="es-ES"/>
        </w:rPr>
        <w:t xml:space="preserve">5. Frente a una designación </w:t>
      </w:r>
      <w:r w:rsidR="007F3D6F" w:rsidRPr="003B4715">
        <w:rPr>
          <w:rFonts w:ascii="Verdana" w:eastAsia="Century Gothic" w:hAnsi="Verdana" w:cs="Century Gothic"/>
          <w:sz w:val="21"/>
          <w:szCs w:val="21"/>
          <w:lang w:val="es-ES"/>
        </w:rPr>
        <w:t xml:space="preserve">irregular de supervisión o apoyo a la misma ejercida o sanciones de índole legal, </w:t>
      </w:r>
      <w:r w:rsidR="000622D7" w:rsidRPr="003B4715">
        <w:rPr>
          <w:rFonts w:ascii="Verdana" w:eastAsia="Century Gothic" w:hAnsi="Verdana" w:cs="Century Gothic"/>
          <w:sz w:val="21"/>
          <w:szCs w:val="21"/>
          <w:lang w:val="es-ES"/>
        </w:rPr>
        <w:t>penal, disciplinaria o fiscal se configuran tanto para el servidor público que emite la orden irregular como para el contratista que la ejecuta?</w:t>
      </w:r>
    </w:p>
    <w:p w14:paraId="583A115E" w14:textId="29B3C2FB" w:rsidR="000622D7" w:rsidRPr="003B4715" w:rsidRDefault="000622D7" w:rsidP="007949D6">
      <w:pPr>
        <w:spacing w:after="120" w:line="240" w:lineRule="auto"/>
        <w:ind w:left="709" w:right="709"/>
        <w:jc w:val="both"/>
        <w:rPr>
          <w:rFonts w:ascii="Verdana" w:eastAsia="Century Gothic" w:hAnsi="Verdana" w:cs="Century Gothic"/>
          <w:sz w:val="21"/>
          <w:szCs w:val="21"/>
          <w:lang w:val="es-ES"/>
        </w:rPr>
      </w:pPr>
      <w:r w:rsidRPr="003B4715">
        <w:rPr>
          <w:rFonts w:ascii="Verdana" w:eastAsia="Century Gothic" w:hAnsi="Verdana" w:cs="Century Gothic"/>
          <w:sz w:val="21"/>
          <w:szCs w:val="21"/>
          <w:lang w:val="es-ES"/>
        </w:rPr>
        <w:t xml:space="preserve">6. </w:t>
      </w:r>
      <w:r w:rsidR="00BF7521" w:rsidRPr="003B4715">
        <w:rPr>
          <w:rFonts w:ascii="Verdana" w:eastAsia="Century Gothic" w:hAnsi="Verdana" w:cs="Century Gothic"/>
          <w:sz w:val="21"/>
          <w:szCs w:val="21"/>
          <w:lang w:val="es-ES"/>
        </w:rPr>
        <w:t>¿Qué autoridad u organismo de control del Estado ostenta la competencia preferente para conocer, investigar y sancionar la presunta ilegalidad derivada de la imposición</w:t>
      </w:r>
      <w:r w:rsidR="003C31A1" w:rsidRPr="003B4715">
        <w:rPr>
          <w:rFonts w:ascii="Verdana" w:eastAsia="Century Gothic" w:hAnsi="Verdana" w:cs="Century Gothic"/>
          <w:sz w:val="21"/>
          <w:szCs w:val="21"/>
          <w:lang w:val="es-ES"/>
        </w:rPr>
        <w:t xml:space="preserve"> de roles contractuales no pactados mediante el uso de memorandos institucionales?</w:t>
      </w:r>
      <w:r w:rsidR="001A32D2" w:rsidRPr="003B4715">
        <w:rPr>
          <w:rFonts w:ascii="Verdana" w:eastAsia="Century Gothic" w:hAnsi="Verdana" w:cs="Century Gothic"/>
          <w:sz w:val="21"/>
          <w:szCs w:val="21"/>
          <w:lang w:val="es-ES"/>
        </w:rPr>
        <w:t>”</w:t>
      </w:r>
      <w:r w:rsidR="003B4715" w:rsidRPr="003B4715">
        <w:rPr>
          <w:rFonts w:ascii="Verdana" w:eastAsia="Century Gothic" w:hAnsi="Verdana" w:cs="Century Gothic"/>
          <w:sz w:val="21"/>
          <w:szCs w:val="21"/>
          <w:lang w:val="es-ES"/>
        </w:rPr>
        <w:t xml:space="preserve"> (SIC).</w:t>
      </w:r>
    </w:p>
    <w:p w14:paraId="595657E6" w14:textId="77777777" w:rsidR="006078B5" w:rsidRDefault="006078B5" w:rsidP="006078B5">
      <w:pPr>
        <w:spacing w:after="0" w:line="276" w:lineRule="auto"/>
        <w:ind w:firstLine="709"/>
        <w:jc w:val="both"/>
        <w:rPr>
          <w:rFonts w:ascii="Verdana" w:eastAsia="Calibri" w:hAnsi="Verdana" w:cs="Arial"/>
          <w:color w:val="000000"/>
          <w:lang w:val="es-ES" w:eastAsia="es-ES"/>
        </w:rPr>
      </w:pPr>
    </w:p>
    <w:p w14:paraId="6076FC80" w14:textId="77777777" w:rsidR="006078B5" w:rsidRPr="00A652FF" w:rsidRDefault="006078B5" w:rsidP="006078B5">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FC1B48F" w14:textId="77777777" w:rsidR="006078B5" w:rsidRDefault="006078B5" w:rsidP="006078B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538A7AB" w14:textId="77777777" w:rsidR="006078B5" w:rsidRPr="00593A5F" w:rsidRDefault="006078B5" w:rsidP="006078B5">
      <w:pPr>
        <w:spacing w:after="0" w:line="276" w:lineRule="auto"/>
        <w:ind w:firstLine="709"/>
        <w:jc w:val="both"/>
        <w:rPr>
          <w:rFonts w:ascii="Verdana" w:eastAsia="Calibri" w:hAnsi="Verdana" w:cs="Arial"/>
          <w:color w:val="000000"/>
          <w:lang w:val="es-ES" w:eastAsia="es-ES"/>
        </w:rPr>
      </w:pPr>
    </w:p>
    <w:p w14:paraId="79851D2A" w14:textId="77777777" w:rsidR="006078B5" w:rsidRPr="00593A5F" w:rsidRDefault="006078B5" w:rsidP="006078B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2BCD07E" w14:textId="77777777" w:rsidR="006078B5" w:rsidRPr="00593A5F" w:rsidRDefault="006078B5" w:rsidP="006078B5">
      <w:pPr>
        <w:tabs>
          <w:tab w:val="left" w:pos="426"/>
        </w:tabs>
        <w:spacing w:after="0" w:line="276" w:lineRule="auto"/>
        <w:jc w:val="both"/>
        <w:rPr>
          <w:rFonts w:ascii="Verdana" w:eastAsia="Century Gothic" w:hAnsi="Verdana" w:cs="Century Gothic"/>
          <w:lang w:val="es-ES"/>
        </w:rPr>
      </w:pPr>
    </w:p>
    <w:p w14:paraId="0AB2F82F" w14:textId="28075C3F" w:rsidR="00AC25F0" w:rsidRDefault="006078B5" w:rsidP="00C472F4">
      <w:pPr>
        <w:spacing w:after="0" w:line="276" w:lineRule="auto"/>
        <w:jc w:val="both"/>
        <w:rPr>
          <w:rFonts w:ascii="Verdana" w:eastAsia="Calibri" w:hAnsi="Verdana" w:cs="Arial"/>
          <w:color w:val="000000"/>
          <w:lang w:eastAsia="es-ES"/>
        </w:rPr>
      </w:pPr>
      <w:r w:rsidRPr="00906BE9">
        <w:rPr>
          <w:rFonts w:ascii="Verdana" w:eastAsia="Century Gothic" w:hAnsi="Verdana" w:cs="Century Gothic"/>
        </w:rPr>
        <w:t xml:space="preserve">De acuerdo con el contenido de su solicitud, esta Agencia resolverá </w:t>
      </w:r>
      <w:r w:rsidRPr="00F13A0B">
        <w:rPr>
          <w:rFonts w:ascii="Verdana" w:eastAsia="Century Gothic" w:hAnsi="Verdana" w:cs="Century Gothic"/>
        </w:rPr>
        <w:t xml:space="preserve">los siguientes problemas jurídicos: </w:t>
      </w:r>
      <w:r w:rsidR="00C472F4" w:rsidRPr="00EB745E">
        <w:rPr>
          <w:rFonts w:ascii="Verdana" w:eastAsia="Calibri" w:hAnsi="Verdana" w:cs="Arial"/>
          <w:color w:val="000000"/>
          <w:lang w:eastAsia="es-ES"/>
        </w:rPr>
        <w:t>i)</w:t>
      </w:r>
      <w:r w:rsidR="00EB35B4">
        <w:rPr>
          <w:rFonts w:ascii="Verdana" w:eastAsia="Calibri" w:hAnsi="Verdana" w:cs="Arial"/>
          <w:color w:val="000000"/>
          <w:lang w:eastAsia="es-ES"/>
        </w:rPr>
        <w:t xml:space="preserve"> </w:t>
      </w:r>
      <w:r w:rsidR="00AC25F0" w:rsidRPr="00AC25F0">
        <w:rPr>
          <w:rFonts w:ascii="Verdana" w:eastAsia="Calibri" w:hAnsi="Verdana" w:cs="Arial"/>
          <w:color w:val="000000"/>
          <w:lang w:eastAsia="es-ES"/>
        </w:rPr>
        <w:t>¿Puede una entidad estatal, en desarrollo de un contrato de prestación de servicios profesionales, encomendar al contratista mediante instrucciones o comunicaciones emitidas durante la ejecución contractual actividades de apoyo a la supervisión de otros contratos, cuando tales actividades no fueron incorporadas en el objeto, las obligaciones contractuales ni en los estudios y documentos previos que sustentaron la contratación, sin que ello comporte una modificación del alcance del contrato?</w:t>
      </w:r>
      <w:r w:rsidR="00AC25F0">
        <w:rPr>
          <w:rFonts w:ascii="Verdana" w:eastAsia="Calibri" w:hAnsi="Verdana" w:cs="Arial"/>
          <w:color w:val="000000"/>
          <w:lang w:eastAsia="es-ES"/>
        </w:rPr>
        <w:t xml:space="preserve">; ii) </w:t>
      </w:r>
      <w:r w:rsidR="00AC25F0" w:rsidRPr="00AC25F0">
        <w:rPr>
          <w:rFonts w:ascii="Verdana" w:eastAsia="Calibri" w:hAnsi="Verdana" w:cs="Arial"/>
          <w:color w:val="000000"/>
          <w:lang w:eastAsia="es-ES"/>
        </w:rPr>
        <w:t>¿Cuál es el alcance de las cláusulas generales y puede la firma del contratista validar obligaciones no pactadas o ajenas al objeto contractual?</w:t>
      </w:r>
      <w:r w:rsidR="00AC25F0">
        <w:rPr>
          <w:rFonts w:ascii="Verdana" w:eastAsia="Calibri" w:hAnsi="Verdana" w:cs="Arial"/>
          <w:color w:val="000000"/>
          <w:lang w:eastAsia="es-ES"/>
        </w:rPr>
        <w:t xml:space="preserve"> y iii) </w:t>
      </w:r>
      <w:r w:rsidR="0081672C">
        <w:rPr>
          <w:rFonts w:ascii="Verdana" w:eastAsia="Calibri" w:hAnsi="Verdana" w:cs="Arial"/>
          <w:color w:val="000000"/>
          <w:lang w:eastAsia="es-ES"/>
        </w:rPr>
        <w:t xml:space="preserve">¿Cuál es la autoridad competente para investigar y sancionar la asignación de obligaciones no pactadas mediante memorandos institucionales </w:t>
      </w:r>
    </w:p>
    <w:p w14:paraId="3CDBE1F1" w14:textId="2B641999" w:rsidR="006078B5" w:rsidRDefault="006078B5" w:rsidP="00BC78A6">
      <w:pPr>
        <w:spacing w:after="0" w:line="276" w:lineRule="auto"/>
        <w:jc w:val="both"/>
        <w:rPr>
          <w:rFonts w:ascii="Verdana" w:eastAsia="Calibri" w:hAnsi="Verdana" w:cs="Arial"/>
          <w:color w:val="000000"/>
          <w:lang w:eastAsia="es-ES"/>
        </w:rPr>
      </w:pPr>
    </w:p>
    <w:p w14:paraId="3929CC8A" w14:textId="1C5A21A4" w:rsidR="0081672C" w:rsidRPr="0081672C" w:rsidRDefault="0081672C" w:rsidP="00BC78A6">
      <w:pPr>
        <w:spacing w:after="0" w:line="276" w:lineRule="auto"/>
        <w:jc w:val="both"/>
        <w:rPr>
          <w:rFonts w:ascii="Verdana" w:eastAsia="Century Gothic" w:hAnsi="Verdana" w:cs="Century Gothic"/>
          <w:b/>
          <w:bCs/>
        </w:rPr>
      </w:pPr>
      <w:r w:rsidRPr="0081672C">
        <w:rPr>
          <w:rFonts w:ascii="Verdana" w:eastAsia="Calibri" w:hAnsi="Verdana" w:cs="Arial"/>
          <w:b/>
          <w:bCs/>
          <w:color w:val="000000"/>
          <w:lang w:eastAsia="es-ES"/>
        </w:rPr>
        <w:t>2. Respuesta</w:t>
      </w:r>
    </w:p>
    <w:p w14:paraId="5A77BF2E" w14:textId="77777777" w:rsidR="006078B5" w:rsidRPr="00593A5F" w:rsidRDefault="006078B5" w:rsidP="006078B5">
      <w:pPr>
        <w:tabs>
          <w:tab w:val="left" w:pos="142"/>
          <w:tab w:val="left" w:pos="284"/>
        </w:tabs>
        <w:spacing w:after="0" w:line="276" w:lineRule="auto"/>
        <w:jc w:val="both"/>
        <w:rPr>
          <w:rFonts w:ascii="Verdana" w:eastAsia="Century Gothic" w:hAnsi="Verdana" w:cs="Century Gothic"/>
          <w:b/>
          <w:bCs/>
          <w:lang w:val="es-ES"/>
        </w:rPr>
      </w:pPr>
    </w:p>
    <w:p w14:paraId="5DE4B9FA" w14:textId="77777777" w:rsidR="00593B00" w:rsidRDefault="00593B00" w:rsidP="00593B00">
      <w:pPr>
        <w:pBdr>
          <w:top w:val="single" w:sz="4" w:space="1" w:color="auto"/>
          <w:left w:val="single" w:sz="4" w:space="4" w:color="auto"/>
          <w:bottom w:val="single" w:sz="4" w:space="1" w:color="auto"/>
          <w:right w:val="single" w:sz="4" w:space="4" w:color="auto"/>
        </w:pBdr>
        <w:spacing w:after="120" w:line="276" w:lineRule="auto"/>
        <w:jc w:val="both"/>
        <w:rPr>
          <w:rFonts w:ascii="Verdana" w:eastAsia="Times New Roman" w:hAnsi="Verdana" w:cs="Segoe UI"/>
          <w:color w:val="0D0D0D"/>
          <w:lang w:eastAsia="es-CO"/>
        </w:rPr>
      </w:pPr>
      <w:bookmarkStart w:id="2" w:name="_Hlk171694685"/>
      <w:r w:rsidRPr="00797B38">
        <w:rPr>
          <w:rFonts w:ascii="Verdana" w:hAnsi="Verdana" w:cs="Arial"/>
          <w:b/>
          <w:bCs/>
          <w:color w:val="000000" w:themeColor="text1"/>
        </w:rPr>
        <w:t>i.</w:t>
      </w:r>
      <w:r w:rsidRPr="008F296D">
        <w:rPr>
          <w:rFonts w:ascii="Verdana" w:hAnsi="Verdana" w:cs="Arial"/>
          <w:color w:val="000000" w:themeColor="text1"/>
        </w:rPr>
        <w:t xml:space="preserve"> De conformidad con los artículos 83 y 84 de la Ley 1474 de 2011, el régimen jurídico aplicable a los contratos de apoyo a la supervisión en la contratación estatal colombiana parte de la premisa según la cual la supervisión constituye una función propia de la Entidad Estatal, ejercida por conducto de sus servidores públicos, sin perjuicio de que dicha labor pueda ser asistida mediante contratos de prestación de servicios celebrados para apoyar técnicamente el seguimiento contractual.</w:t>
      </w:r>
      <w:r w:rsidRPr="00797B38">
        <w:rPr>
          <w:rFonts w:ascii="Verdana" w:eastAsia="Times New Roman" w:hAnsi="Verdana" w:cs="Segoe UI"/>
          <w:color w:val="0D0D0D"/>
          <w:lang w:eastAsia="es-CO"/>
        </w:rPr>
        <w:t xml:space="preserve"> </w:t>
      </w:r>
    </w:p>
    <w:p w14:paraId="2ABF94A6" w14:textId="77777777" w:rsidR="00593B00" w:rsidRPr="0027238E"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hAnsi="Verdana" w:cs="Arial"/>
          <w:color w:val="000000" w:themeColor="text1"/>
        </w:rPr>
      </w:pPr>
      <w:r w:rsidRPr="008F296D">
        <w:rPr>
          <w:rFonts w:ascii="Verdana" w:hAnsi="Verdana" w:cs="Arial"/>
          <w:color w:val="000000" w:themeColor="text1"/>
        </w:rPr>
        <w:t>En efecto, el artículo 83 dispone que la supervisión corresponde al seguimiento técnico, administrativo, financiero, contable y jurídico de la ejecución contractual realizado por la entidad estatal, y autoriza expresamente la contratación de personal de apoyo para desarrollar actividades de asistencia a dicha labor. En consecuencia, los contratos de apoyo a la supervisión tienen naturaleza de contratos de prestación de servicios, en los términos del numeral 3 del artículo 32 de la Ley 80 de 1993, y su objeto consiste en brindar apoyo técnico, administrativo, financiero, contable o jurídico al supervisor designado, sin transferirle las competencias propias de la supervisión.</w:t>
      </w:r>
    </w:p>
    <w:p w14:paraId="12B65C34" w14:textId="77777777" w:rsidR="00593B00" w:rsidRPr="00797B38"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Por tanto, la Entidad Estatal no puede asignar, mediante memorandos, instrucciones o comunicaciones internas, actividades de apoyo a la supervisión de otros contratos cuando estas no se encuentren comprendidas en el objeto, las obligaciones contractuales o el alcance definido en los estudios previos, pues ello supondría incorporar nuevas prestaciones al contrato. La facultad de impartir instrucciones permite precisar, coordinar y orientar la ejecución de obligaciones ya pactadas, pero no habilita a la Entidad para ampliar sustancialmente el objeto o modificar unilateralmente las obligaciones del contratista.</w:t>
      </w:r>
    </w:p>
    <w:p w14:paraId="78FBFDB2" w14:textId="77777777" w:rsidR="00593B00" w:rsidRPr="00797B38"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Ahora bien, el EGCAP no contiene una regulación general y expresa sobre todas las posibilidades de modificación de los contratos estatales. En particular, la Ley 80 de 1993 regula la potestad excepcional de modificación unilateral en su artículo 16 y establece, en el artículo 40, que los contratos no pueden adicionarse en más del 50% de su valor inicial, expresado en salarios mínimos legales mensuales vigentes. De esta manera, las modificaciones contractuales pueden realizarse de común acuerdo cuando resulten jurídicamente procedentes, mientras que la modificación unilateral constituye una potestad excepcional sujeta a los presupuestos legales.</w:t>
      </w:r>
    </w:p>
    <w:p w14:paraId="76408874" w14:textId="77777777" w:rsidR="00593B00" w:rsidRPr="00797B38"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En consecuencia, un memorando, instrucción o comunicación interna no constituye por sí mismo un mecanismo jurídico para modificar el objeto o alcance contractual. Si la actividad de apoyo a la supervisión se encuentra comprendida materialmente en las obligaciones pactadas, podrá ser desarrollada mediante instrucciones orientadas a su ejecución. Si, por el contrario, se pretende incorporar una actividad nueva o sustancialmente diferente —como el apoyo a la supervisión de otros contratos que exceda el ámbito inicialmente contratado—, deberá acudirse al mecanismo de modificación contractual que corresponda, respetando los límites legales, incluido el previsto en el artículo 40 de la Ley 80 de 1993.</w:t>
      </w:r>
    </w:p>
    <w:p w14:paraId="24BFAE79" w14:textId="77777777" w:rsidR="00593B00" w:rsidRPr="00FB3596"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Así, el límite para impartir instrucciones está determinado por la correspondencia de estas con el objeto, las obligaciones y el alcance contractual. La instrucción puede concretar la forma de ejecutar lo contratado, pero no puede utilizarse para trasladar al contratista la función de supervisión, conferirle competencias decisorias ni incorporar prestaciones que desborden sustancialmente aquello que fue objeto de contratación.</w:t>
      </w:r>
      <w:r>
        <w:rPr>
          <w:rFonts w:ascii="Verdana" w:eastAsia="Times New Roman" w:hAnsi="Verdana" w:cs="Segoe UI"/>
          <w:color w:val="0D0D0D"/>
          <w:lang w:eastAsia="es-CO"/>
        </w:rPr>
        <w:t xml:space="preserve"> </w:t>
      </w:r>
    </w:p>
    <w:p w14:paraId="689513D3" w14:textId="77777777" w:rsidR="00593B00" w:rsidRPr="00D14454" w:rsidRDefault="00593B00" w:rsidP="00593B00">
      <w:pPr>
        <w:pBdr>
          <w:top w:val="single" w:sz="4" w:space="1" w:color="auto"/>
          <w:left w:val="single" w:sz="4" w:space="4" w:color="auto"/>
          <w:bottom w:val="single" w:sz="4" w:space="1" w:color="auto"/>
          <w:right w:val="single" w:sz="4" w:space="4" w:color="auto"/>
        </w:pBdr>
        <w:spacing w:after="120" w:line="276" w:lineRule="auto"/>
        <w:jc w:val="both"/>
        <w:rPr>
          <w:rFonts w:ascii="Verdana" w:eastAsia="Calibri" w:hAnsi="Verdana" w:cs="Arial"/>
          <w:lang w:eastAsia="es-CO"/>
        </w:rPr>
      </w:pPr>
      <w:r w:rsidRPr="002C263E">
        <w:rPr>
          <w:rFonts w:ascii="Verdana" w:eastAsia="Calibri" w:hAnsi="Verdana" w:cs="Arial"/>
          <w:b/>
          <w:bCs/>
          <w:color w:val="000000"/>
        </w:rPr>
        <w:t>ii.</w:t>
      </w:r>
      <w:r w:rsidRPr="008040A1">
        <w:rPr>
          <w:rFonts w:ascii="Verdana" w:eastAsia="Times New Roman" w:hAnsi="Verdana" w:cs="Segoe UI"/>
          <w:color w:val="0D0D0D"/>
          <w:lang w:eastAsia="es-CO"/>
        </w:rPr>
        <w:t xml:space="preserve"> </w:t>
      </w:r>
      <w:r w:rsidRPr="007F2E96">
        <w:rPr>
          <w:rFonts w:ascii="Verdana" w:eastAsia="Calibri" w:hAnsi="Verdana" w:cs="Arial"/>
          <w:lang w:eastAsia="es-CO"/>
        </w:rPr>
        <w:t>De conformidad con el numeral 3° del artículo 32 de la Ley 80 de 1993, el contrato de prestación de servicios es uno de los tipos contractuales previstos en el Estatuto General de Contratación de la Administración Pública – EGCAP</w:t>
      </w:r>
      <w:r>
        <w:rPr>
          <w:rFonts w:ascii="Verdana" w:eastAsia="Calibri" w:hAnsi="Verdana" w:cs="Arial"/>
          <w:lang w:eastAsia="es-CO"/>
        </w:rPr>
        <w:t xml:space="preserve">, </w:t>
      </w:r>
      <w:r w:rsidRPr="007F2E96">
        <w:rPr>
          <w:rFonts w:ascii="Verdana" w:eastAsia="Calibri" w:hAnsi="Verdana" w:cs="Arial"/>
          <w:lang w:eastAsia="es-CO"/>
        </w:rPr>
        <w:t xml:space="preserve">que puede ser celebrado por las entidades estatales para desarrollar actividades relacionadas con su administración o funcionamiento, </w:t>
      </w:r>
      <w:r w:rsidRPr="00072FBB">
        <w:rPr>
          <w:rFonts w:ascii="Verdana" w:eastAsia="Calibri" w:hAnsi="Verdana" w:cs="Arial"/>
          <w:lang w:eastAsia="es-CO"/>
        </w:rPr>
        <w:t>siempre que, dichas actividades no puedan ser atendidas con personal de planta o requieran conocimientos especializados, en cuyo caso podrán contratarse personas naturales</w:t>
      </w:r>
      <w:r w:rsidRPr="007F2E96">
        <w:rPr>
          <w:rFonts w:ascii="Verdana" w:eastAsia="Calibri" w:hAnsi="Verdana" w:cs="Arial"/>
          <w:lang w:eastAsia="es-CO"/>
        </w:rPr>
        <w:t>, sin que estos contratos generen relación laboral ni prestaciones sociales y debiendo celebrarse únicamente por el término estrictamente indispensable.</w:t>
      </w:r>
    </w:p>
    <w:p w14:paraId="3A266483" w14:textId="77777777" w:rsidR="00593B00" w:rsidRPr="00E400DC" w:rsidRDefault="00593B00" w:rsidP="00593B00">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ind w:firstLine="709"/>
        <w:jc w:val="both"/>
        <w:rPr>
          <w:rFonts w:ascii="Verdana" w:hAnsi="Verdana" w:cs="Arial"/>
          <w:i/>
          <w:iCs/>
        </w:rPr>
      </w:pP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E400DC">
        <w:rPr>
          <w:rFonts w:ascii="Verdana" w:hAnsi="Verdana" w:cs="Arial"/>
          <w:i/>
          <w:iCs/>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6DEACDC7" w14:textId="77777777" w:rsidR="00593B00"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alibri" w:hAnsi="Verdana" w:cs="Arial"/>
          <w:color w:val="000000"/>
        </w:rPr>
      </w:pPr>
      <w:r>
        <w:rPr>
          <w:rFonts w:ascii="Verdana" w:eastAsia="Calibri" w:hAnsi="Verdana" w:cs="Arial"/>
          <w:color w:val="000000"/>
        </w:rPr>
        <w:t>De esta forma,</w:t>
      </w:r>
      <w:r w:rsidRPr="008D2E7A">
        <w:t xml:space="preserve"> </w:t>
      </w:r>
      <w:r>
        <w:rPr>
          <w:rFonts w:ascii="Verdana" w:hAnsi="Verdana"/>
        </w:rPr>
        <w:t>el uso de</w:t>
      </w:r>
      <w:r>
        <w:rPr>
          <w:rFonts w:ascii="Verdana" w:eastAsia="Calibri" w:hAnsi="Verdana" w:cs="Arial"/>
          <w:color w:val="000000"/>
        </w:rPr>
        <w:t xml:space="preserve"> cláusulas amplias o de obligaciones indeterminadas en</w:t>
      </w:r>
      <w:r w:rsidRPr="008D2E7A">
        <w:rPr>
          <w:rFonts w:ascii="Verdana" w:eastAsia="Calibri" w:hAnsi="Verdana" w:cs="Arial"/>
          <w:color w:val="000000"/>
        </w:rPr>
        <w:t xml:space="preserve"> los contratos de prestación de servicios</w:t>
      </w:r>
      <w:r>
        <w:rPr>
          <w:rFonts w:ascii="Verdana" w:eastAsia="Calibri" w:hAnsi="Verdana" w:cs="Arial"/>
          <w:color w:val="000000"/>
        </w:rPr>
        <w:t xml:space="preserve"> debe analizarse</w:t>
      </w:r>
      <w:r w:rsidRPr="008D2E7A">
        <w:rPr>
          <w:rFonts w:ascii="Verdana" w:eastAsia="Calibri" w:hAnsi="Verdana" w:cs="Arial"/>
          <w:color w:val="000000"/>
        </w:rPr>
        <w:t xml:space="preserve"> </w:t>
      </w:r>
      <w:r>
        <w:rPr>
          <w:rFonts w:ascii="Verdana" w:eastAsia="Calibri" w:hAnsi="Verdana" w:cs="Arial"/>
          <w:color w:val="000000"/>
        </w:rPr>
        <w:t xml:space="preserve">de acuerdo con las características que se expondrán en el presente concepto. Así las cosas, los contratos de prestación de servicios solo pueden celebrarse </w:t>
      </w:r>
      <w:r w:rsidRPr="00D14454">
        <w:rPr>
          <w:rFonts w:ascii="Verdana" w:eastAsia="Calibri" w:hAnsi="Verdana" w:cs="Arial"/>
          <w:color w:val="000000"/>
        </w:rPr>
        <w:t>para realizar “actividades relacionadas con la administración o funcionamiento de la entidad”</w:t>
      </w:r>
      <w:r>
        <w:rPr>
          <w:rFonts w:ascii="Verdana" w:eastAsia="Calibri" w:hAnsi="Verdana" w:cs="Arial"/>
          <w:color w:val="000000"/>
        </w:rPr>
        <w:t xml:space="preserve">. En ese sentido, las cláusulas que se incluyan en los contratos deben guardar conexidad con el objeto contractual pactado. </w:t>
      </w:r>
    </w:p>
    <w:p w14:paraId="63E5437A" w14:textId="77777777" w:rsidR="00593B00" w:rsidRPr="00DA1A64"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alibri" w:hAnsi="Verdana" w:cs="Arial"/>
          <w:color w:val="000000"/>
        </w:rPr>
      </w:pPr>
      <w:r w:rsidRPr="009B4DB8">
        <w:rPr>
          <w:rFonts w:ascii="Verdana" w:eastAsia="Calibri" w:hAnsi="Verdana" w:cs="Arial"/>
          <w:color w:val="000000"/>
        </w:rPr>
        <w:t>En consecuencia, las cláusulas</w:t>
      </w:r>
      <w:r w:rsidRPr="00DF64E0">
        <w:rPr>
          <w:rFonts w:ascii="Verdana" w:eastAsia="Calibri" w:hAnsi="Verdana" w:cs="Arial"/>
          <w:color w:val="000000"/>
        </w:rPr>
        <w:t xml:space="preserve"> que se incluyan en el contrato deben interpretarse con</w:t>
      </w:r>
      <w:r w:rsidRPr="00E400DC">
        <w:rPr>
          <w:rFonts w:ascii="Verdana" w:eastAsia="Calibri" w:hAnsi="Verdana" w:cs="Arial"/>
          <w:color w:val="000000"/>
        </w:rPr>
        <w:t>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del mismo deben restringirse al objeto del contrato conforme al principio de planeación y a la autonomía de la voluntad de las partes.</w:t>
      </w:r>
    </w:p>
    <w:p w14:paraId="6D5A86A5" w14:textId="77777777" w:rsidR="00593B00" w:rsidRPr="0037066C" w:rsidRDefault="00593B00" w:rsidP="00593B00">
      <w:pPr>
        <w:pBdr>
          <w:top w:val="single" w:sz="4" w:space="1" w:color="auto"/>
          <w:left w:val="single" w:sz="4" w:space="4" w:color="auto"/>
          <w:bottom w:val="single" w:sz="4" w:space="1" w:color="auto"/>
          <w:right w:val="single" w:sz="4" w:space="4" w:color="auto"/>
        </w:pBdr>
        <w:spacing w:after="120" w:line="276" w:lineRule="auto"/>
        <w:jc w:val="both"/>
        <w:rPr>
          <w:rFonts w:ascii="Verdana" w:eastAsia="Calibri" w:hAnsi="Verdana" w:cs="Arial"/>
          <w:lang w:eastAsia="es-CO"/>
        </w:rPr>
      </w:pPr>
      <w:r>
        <w:rPr>
          <w:rFonts w:ascii="Verdana" w:eastAsia="Calibri" w:hAnsi="Verdana" w:cs="Arial"/>
          <w:lang w:eastAsia="es-CO"/>
        </w:rPr>
        <w:t>Por lo anterior, l</w:t>
      </w:r>
      <w:r w:rsidRPr="00A10995">
        <w:rPr>
          <w:rFonts w:ascii="Verdana" w:eastAsia="Calibri" w:hAnsi="Verdana" w:cs="Arial"/>
          <w:lang w:eastAsia="es-CO"/>
        </w:rPr>
        <w:t>a sola firma, recibido o aceptación de una comunicación impartida durante la ejecución no determina, por sí misma, que una obligación ajena al objeto contractual quede válidamente incorporada al contrato. Para establecer sus efectos deberá analizarse el contenido del negocio jurídico, el alcance de las obligaciones inicialmente pactadas y, cuando corresponda, si existió una modificación contractual válidamente celebrada por las partes competentes. Las cláusulas generales tampoco pueden interpretarse de manera aislada para extender ilimitadamente las prestaciones a cargo del contratista, pues su alcance se encuentra delimitado por el objeto contractual y los estudios previos.</w:t>
      </w:r>
    </w:p>
    <w:p w14:paraId="44EC544A" w14:textId="77777777" w:rsidR="00593B00"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Times New Roman" w:hAnsi="Verdana" w:cs="Segoe UI"/>
          <w:color w:val="0D0D0D"/>
          <w:lang w:eastAsia="es-CO"/>
        </w:rPr>
      </w:pPr>
      <w:r w:rsidRPr="004C4132">
        <w:rPr>
          <w:rFonts w:ascii="Verdana" w:eastAsia="Times New Roman" w:hAnsi="Verdana" w:cs="Segoe UI"/>
          <w:b/>
          <w:bCs/>
          <w:color w:val="0D0D0D"/>
          <w:lang w:eastAsia="es-CO"/>
        </w:rPr>
        <w:t>iii.</w:t>
      </w:r>
      <w:r w:rsidRPr="00653063">
        <w:rPr>
          <w:rFonts w:ascii="Verdana" w:eastAsia="Times New Roman" w:hAnsi="Verdana" w:cs="Segoe UI"/>
          <w:color w:val="0D0D0D"/>
          <w:lang w:eastAsia="es-CO"/>
        </w:rPr>
        <w:t xml:space="preserve"> Respecto de la competencia para investigar y sancionar la imposición de obligaciones contractuales no pactadas mediante memorandos institucionales, debe precisarse que</w:t>
      </w:r>
      <w:r>
        <w:rPr>
          <w:rFonts w:ascii="Verdana" w:eastAsia="Times New Roman" w:hAnsi="Verdana" w:cs="Segoe UI"/>
          <w:color w:val="0D0D0D"/>
          <w:lang w:eastAsia="es-CO"/>
        </w:rPr>
        <w:t xml:space="preserve">, </w:t>
      </w:r>
      <w:r w:rsidRPr="00653063">
        <w:rPr>
          <w:rFonts w:ascii="Verdana" w:eastAsia="Times New Roman" w:hAnsi="Verdana" w:cs="Segoe UI"/>
          <w:color w:val="0D0D0D"/>
          <w:lang w:eastAsia="es-CO"/>
        </w:rPr>
        <w:t xml:space="preserve">la Agencia Nacional de Contratación Pública – Colombia Compra Eficiente no tiene competencia para adelantar investigaciones ni imponer sanciones por actuaciones contractuales particulares de las entidades estatales. De conformidad con el Decreto Ley 4170 de 2011, la Agencia ejerce funciones de rectoría y orientación del Sistema de Compra Pública, incluyendo la expedición de lineamientos y conceptos sobre la aplicación general de las normas de contratación estatal, pero no tiene atribuidas funciones de inspección, vigilancia, control o potestad sancionatoria respecto de las actuaciones concretas de los ordenadores del gasto, supervisores o contratistas. </w:t>
      </w:r>
    </w:p>
    <w:p w14:paraId="396A6789" w14:textId="77777777" w:rsidR="00593B00" w:rsidRDefault="00593B00" w:rsidP="00593B00">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Times New Roman" w:hAnsi="Verdana" w:cs="Segoe UI"/>
          <w:color w:val="0D0D0D"/>
          <w:lang w:eastAsia="es-CO"/>
        </w:rPr>
      </w:pPr>
      <w:r w:rsidRPr="00653063">
        <w:rPr>
          <w:rFonts w:ascii="Verdana" w:eastAsia="Times New Roman" w:hAnsi="Verdana" w:cs="Segoe UI"/>
          <w:color w:val="0D0D0D"/>
          <w:lang w:eastAsia="es-CO"/>
        </w:rPr>
        <w:t>En consecuencia, corresponde a cada entidad estatal, en el marco de sus competencias y de acuerdo con la naturaleza de los hechos y la eventual responsabilidad que pueda derivarse, identificar y remitir el asunto a la autoridad u organismo competente para su conocimiento, sin que resulte jurídicamente procedente atribuir a Colombia Compra Eficiente facultades de investigación o sanción que no le han sido conferidas por el ordenamiento jurídico.</w:t>
      </w:r>
    </w:p>
    <w:p w14:paraId="09B75294" w14:textId="0CB648DF" w:rsidR="00593B00" w:rsidRDefault="00593B00" w:rsidP="00593B00">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bookmarkEnd w:id="2"/>
    </w:p>
    <w:p w14:paraId="5DB757A3" w14:textId="77777777" w:rsidR="00593B00" w:rsidRDefault="00593B00" w:rsidP="00593B00">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jc w:val="both"/>
        <w:rPr>
          <w:rFonts w:ascii="Verdana" w:eastAsia="Calibri" w:hAnsi="Verdana" w:cs="Times New Roman"/>
          <w:lang w:val="es-ES"/>
        </w:rPr>
      </w:pPr>
    </w:p>
    <w:p w14:paraId="594C4504" w14:textId="77777777" w:rsidR="00593B00" w:rsidRPr="00593B00" w:rsidRDefault="00593B00" w:rsidP="00593B00">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jc w:val="both"/>
        <w:rPr>
          <w:rFonts w:ascii="Verdana" w:eastAsia="Century Gothic" w:hAnsi="Verdana" w:cs="Century Gothic"/>
          <w:b/>
          <w:bCs/>
          <w:lang w:val="es-ES"/>
        </w:rPr>
      </w:pPr>
    </w:p>
    <w:p w14:paraId="63CAC812" w14:textId="77777777" w:rsidR="00593B00" w:rsidRDefault="00593B00" w:rsidP="00593B00">
      <w:pPr>
        <w:tabs>
          <w:tab w:val="left" w:pos="142"/>
          <w:tab w:val="left" w:pos="284"/>
        </w:tabs>
        <w:spacing w:after="0" w:line="276" w:lineRule="auto"/>
        <w:ind w:left="708"/>
        <w:jc w:val="both"/>
        <w:rPr>
          <w:rFonts w:ascii="Verdana" w:eastAsia="Century Gothic" w:hAnsi="Verdana" w:cs="Century Gothic"/>
          <w:b/>
          <w:bCs/>
        </w:rPr>
      </w:pPr>
    </w:p>
    <w:p w14:paraId="6F346E5E" w14:textId="5076B090" w:rsidR="006078B5" w:rsidRPr="00593B00" w:rsidRDefault="00593B00" w:rsidP="00593B00">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3. </w:t>
      </w:r>
      <w:r w:rsidR="006078B5" w:rsidRPr="00593B00">
        <w:rPr>
          <w:rFonts w:ascii="Verdana" w:eastAsia="Century Gothic" w:hAnsi="Verdana" w:cs="Century Gothic"/>
          <w:b/>
          <w:bCs/>
        </w:rPr>
        <w:t>Razones de las respuestas:</w:t>
      </w:r>
    </w:p>
    <w:p w14:paraId="497AF379" w14:textId="77777777" w:rsidR="006078B5" w:rsidRPr="00593A5F" w:rsidRDefault="006078B5" w:rsidP="006078B5">
      <w:pPr>
        <w:spacing w:after="0" w:line="276" w:lineRule="auto"/>
        <w:jc w:val="both"/>
        <w:rPr>
          <w:rFonts w:ascii="Verdana" w:eastAsia="Calibri" w:hAnsi="Verdana" w:cs="Arial"/>
          <w:color w:val="7030A0"/>
          <w:lang w:val="es-ES"/>
        </w:rPr>
      </w:pPr>
    </w:p>
    <w:p w14:paraId="0CDB5562" w14:textId="77777777" w:rsidR="006078B5" w:rsidRDefault="006078B5" w:rsidP="006078B5">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5673DB5" w14:textId="77777777" w:rsidR="006078B5" w:rsidRPr="00415608" w:rsidRDefault="006078B5" w:rsidP="006078B5">
      <w:pPr>
        <w:spacing w:after="0" w:line="276" w:lineRule="auto"/>
        <w:jc w:val="both"/>
        <w:rPr>
          <w:rFonts w:ascii="Verdana" w:eastAsia="Calibri" w:hAnsi="Verdana" w:cs="Arial"/>
          <w:lang w:val="es-ES"/>
        </w:rPr>
      </w:pPr>
    </w:p>
    <w:p w14:paraId="723FAEAF" w14:textId="77777777" w:rsidR="00ED4E52" w:rsidRPr="00E77D96" w:rsidRDefault="00ED4E52" w:rsidP="00ED4E52">
      <w:pPr>
        <w:spacing w:after="120" w:line="276" w:lineRule="auto"/>
        <w:jc w:val="both"/>
        <w:rPr>
          <w:rFonts w:ascii="Verdana" w:eastAsia="Calibri" w:hAnsi="Verdana" w:cs="Arial"/>
          <w:color w:val="000000"/>
        </w:rPr>
      </w:pPr>
      <w:bookmarkStart w:id="3" w:name="_Hlk204856061"/>
      <w:bookmarkStart w:id="4" w:name="_Hlk78820161"/>
      <w:bookmarkStart w:id="5" w:name="_Hlk204854194"/>
      <w:r>
        <w:rPr>
          <w:rFonts w:ascii="Verdana" w:eastAsia="Calibri" w:hAnsi="Verdana" w:cs="Arial"/>
          <w:color w:val="000000"/>
        </w:rPr>
        <w:t xml:space="preserve">i. </w:t>
      </w:r>
      <w:r w:rsidRPr="00B60BC4">
        <w:rPr>
          <w:rFonts w:ascii="Verdana" w:eastAsia="Times New Roman" w:hAnsi="Verdana" w:cs="Arial"/>
          <w:shd w:val="clear" w:color="auto" w:fill="FFFFFF"/>
          <w:lang w:val="es-ES"/>
        </w:rPr>
        <w:t xml:space="preserve">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w:t>
      </w:r>
      <w:r w:rsidRPr="00E77D96">
        <w:rPr>
          <w:rFonts w:ascii="Verdana" w:eastAsia="Calibri" w:hAnsi="Verdana" w:cs="Arial"/>
          <w:color w:val="000000"/>
        </w:rPr>
        <w:t>contrato y, de ser el caso, tomar medidas para exigir su adecuado cumplimiento.</w:t>
      </w:r>
    </w:p>
    <w:p w14:paraId="101D6AE9" w14:textId="77777777" w:rsidR="00ED4E52" w:rsidRDefault="00ED4E52" w:rsidP="00ED4E52">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En este marco, los artículos 83 y 84 de la Ley 1474 de 2011 establecen que la supervisión consiste en el seguimiento técnico, administrativo, financiero, contable y jurídico del cumplimiento del objeto contractual y que esta es ejercida por la misma Entidad Estatal, la cual puede contratar personal de apoyo mediante contratos de prestación de servicios. De acuerdo con la línea jurídica de esta Agencia, la supervisión constituye un deber de la Entidad Estatal que se ejerce a través de servidores públicos, mientras que los contratistas pueden prestar apoyo a dicha labor, sin asumir directamente la supervisión ni ser los únicos responsables del seguimiento contractual.</w:t>
      </w:r>
    </w:p>
    <w:p w14:paraId="539B1F85" w14:textId="77777777" w:rsidR="00ED4E52" w:rsidRPr="0054704A" w:rsidRDefault="00ED4E52" w:rsidP="00ED4E52">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En consecuencia, el contratista de apoyo puede desarrollar actividades auxiliares relacionadas con la revisión de entregables, productos y documentos, la verificación de requisitos para el trámite de pagos, el seguimiento de cronogramas y avances, la elaboración de informes y matrices, la recopilación de evidencias y la formulación de observaciones o recomendaciones al supervisor. Sin embargo, dichas actividades deben desarrollarse dentro del objeto y las obligaciones del contrato de prestación de servicios, y no pueden implicar la sustitución del supervisor ni el ejercicio autónomo de las funciones que corresponden a la Entidad Estatal.</w:t>
      </w:r>
    </w:p>
    <w:p w14:paraId="011517F9" w14:textId="77777777" w:rsidR="00ED4E52" w:rsidRPr="0054704A" w:rsidRDefault="00ED4E52" w:rsidP="00ED4E52">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Así, corresponde al supervisor valorar la información recopilada por el contratista, determinar el cumplimiento de las obligaciones del contrato vigilado, impartir las instrucciones que correspondan al contratista vigilado y adelantar o promover las actuaciones administrativas a que haya lugar. De igual manera, aunque el contratista de apoyo pueda revisar los soportes de pago y emitir observaciones, la certificación del cumplimiento y la autorización del pago permanecen a cargo de los funcionarios competentes de la Entidad Estatal.</w:t>
      </w:r>
    </w:p>
    <w:p w14:paraId="21455917" w14:textId="77777777" w:rsidR="00ED4E52" w:rsidRPr="0054704A" w:rsidRDefault="00ED4E52" w:rsidP="00ED4E52">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Por consiguiente, el carácter auxiliar del apoyo constituye un límite a las actividades que pueden asignarse al contratista. Las instrucciones impartidas durante la ejecución deben estar orientadas a desarrollar las obligaciones comprendidas en el objeto contractual y no pueden emplearse para trasladarle la función de supervisión, conferirle competencias decisorias o incorporarle prestaciones sustancialmente diferentes a las inicialmente contratadas. En particular, si mediante memorandos, instrucciones o comunicaciones internas se pretende asignar al contratista actividades de apoyo a la supervisión de otros contratos, deberá verificarse que tales actividades se encuentren comprendidas dentro del objeto y alcance del contrato de prestación de servicios; de lo contrario, la instrucción no constituye por sí misma un mecanismo jurídicamente idóneo para ampliar las obligaciones contractuales.</w:t>
      </w:r>
    </w:p>
    <w:p w14:paraId="7C779295" w14:textId="77777777" w:rsidR="00ED4E52" w:rsidRPr="0054704A" w:rsidRDefault="00ED4E52" w:rsidP="00ED4E52">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En este sentido, la facultad del supervisor de impartir instrucciones y formular recomendaciones se encuentra vinculada al ejercicio de la vigilancia contractual y tiene como finalidad procurar la correcta ejecución del objeto contratado, por lo que no puede entenderse como una facultad para modificar unilateralmente el objeto o alcance del contrato de prestación de servicios.</w:t>
      </w:r>
    </w:p>
    <w:p w14:paraId="123F518F" w14:textId="77777777" w:rsidR="00ED4E52" w:rsidRDefault="00ED4E52" w:rsidP="00ED4E52">
      <w:pPr>
        <w:tabs>
          <w:tab w:val="left" w:pos="284"/>
        </w:tabs>
        <w:jc w:val="both"/>
        <w:rPr>
          <w:rFonts w:ascii="Verdana" w:eastAsia="Calibri" w:hAnsi="Verdana" w:cs="Arial"/>
          <w:color w:val="000000"/>
        </w:rPr>
      </w:pPr>
      <w:r>
        <w:rPr>
          <w:rFonts w:ascii="Verdana" w:eastAsia="Times New Roman" w:hAnsi="Verdana" w:cs="Arial"/>
          <w:lang w:eastAsia="es-MX"/>
        </w:rPr>
        <w:t xml:space="preserve">ii. </w:t>
      </w:r>
      <w:r w:rsidRPr="00B31C7B">
        <w:rPr>
          <w:rFonts w:ascii="Verdana" w:eastAsia="Calibri" w:hAnsi="Verdana" w:cs="Arial"/>
          <w:color w:val="000000"/>
        </w:rPr>
        <w:t xml:space="preserve">El </w:t>
      </w:r>
      <w:r w:rsidRPr="00A106E8">
        <w:rPr>
          <w:rFonts w:ascii="Verdana" w:eastAsia="Calibri" w:hAnsi="Verdana" w:cs="Arial"/>
          <w:color w:val="000000" w:themeColor="text1"/>
        </w:rPr>
        <w:t>Estatuto General de Contratación de la Administración Pública</w:t>
      </w:r>
      <w:r>
        <w:rPr>
          <w:rFonts w:ascii="Verdana" w:eastAsia="Calibri" w:hAnsi="Verdana" w:cs="Arial"/>
          <w:color w:val="000000" w:themeColor="text1"/>
        </w:rPr>
        <w:t xml:space="preserve"> (en adelante EGCAP) </w:t>
      </w:r>
      <w:r w:rsidRPr="00B31C7B">
        <w:rPr>
          <w:rFonts w:ascii="Verdana" w:eastAsia="Calibri" w:hAnsi="Verdana" w:cs="Arial"/>
          <w:color w:val="000000"/>
        </w:rPr>
        <w:t xml:space="preserve">no establece una regulación expresa sobre la posibilidad de modificar los contratos celebrados por las Entidades Estatales, salvo la potestad exorbitante de modificación unilateral y la regulación que fija los porcentajes límite para adicionar los valores inicialmente pactados, como </w:t>
      </w:r>
      <w:r>
        <w:rPr>
          <w:rFonts w:ascii="Verdana" w:eastAsia="Calibri" w:hAnsi="Verdana" w:cs="Arial"/>
          <w:color w:val="000000"/>
        </w:rPr>
        <w:t>es el caso d</w:t>
      </w:r>
      <w:r w:rsidRPr="00B31C7B">
        <w:rPr>
          <w:rFonts w:ascii="Verdana" w:eastAsia="Calibri" w:hAnsi="Verdana" w:cs="Arial"/>
          <w:color w:val="000000"/>
        </w:rPr>
        <w:t>el artículo 40 de la Ley 80 de 1993</w:t>
      </w:r>
      <w:r w:rsidRPr="00B31C7B">
        <w:rPr>
          <w:rFonts w:ascii="Verdana" w:eastAsia="Calibri" w:hAnsi="Verdana" w:cs="Arial"/>
          <w:color w:val="000000"/>
          <w:vertAlign w:val="superscript"/>
          <w:lang w:val="es-MX"/>
        </w:rPr>
        <w:footnoteReference w:id="1"/>
      </w:r>
      <w:r w:rsidRPr="00B31C7B">
        <w:rPr>
          <w:rFonts w:ascii="Verdana" w:eastAsia="Calibri" w:hAnsi="Verdana" w:cs="Arial"/>
          <w:color w:val="000000"/>
        </w:rPr>
        <w:t xml:space="preserve">. </w:t>
      </w:r>
    </w:p>
    <w:p w14:paraId="22289AB7" w14:textId="77777777" w:rsidR="00ED4E52" w:rsidRPr="00B31C7B" w:rsidRDefault="00ED4E52" w:rsidP="00ED4E52">
      <w:pPr>
        <w:tabs>
          <w:tab w:val="left" w:pos="284"/>
        </w:tabs>
        <w:ind w:firstLine="284"/>
        <w:jc w:val="both"/>
        <w:rPr>
          <w:rFonts w:ascii="Verdana" w:eastAsia="Calibri" w:hAnsi="Verdana" w:cs="Arial"/>
          <w:color w:val="000000"/>
        </w:rPr>
      </w:pPr>
      <w:r>
        <w:rPr>
          <w:rFonts w:ascii="Verdana" w:eastAsia="Calibri" w:hAnsi="Verdana" w:cs="Arial"/>
          <w:color w:val="000000"/>
        </w:rPr>
        <w:tab/>
      </w:r>
      <w:r w:rsidRPr="00B31C7B">
        <w:rPr>
          <w:rFonts w:ascii="Verdana" w:eastAsia="Calibri" w:hAnsi="Verdana" w:cs="Arial"/>
          <w:color w:val="00000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w:t>
      </w:r>
      <w:r>
        <w:rPr>
          <w:rFonts w:ascii="Verdana" w:eastAsia="Calibri" w:hAnsi="Verdana" w:cs="Arial"/>
          <w:color w:val="000000"/>
        </w:rPr>
        <w:t xml:space="preserve">planeación, </w:t>
      </w:r>
      <w:r w:rsidRPr="00B31C7B">
        <w:rPr>
          <w:rFonts w:ascii="Verdana" w:eastAsia="Calibri" w:hAnsi="Verdana" w:cs="Arial"/>
          <w:color w:val="000000"/>
        </w:rPr>
        <w:t xml:space="preserve">transparencia, economía y responsabilidad, así como los demás principios de la función administrativa aplicables al proceso de gestión contractual. </w:t>
      </w:r>
    </w:p>
    <w:p w14:paraId="0AC42810" w14:textId="77777777" w:rsidR="00ED4E52" w:rsidRPr="00B31C7B" w:rsidRDefault="00ED4E52" w:rsidP="00ED4E52">
      <w:pPr>
        <w:tabs>
          <w:tab w:val="left" w:pos="284"/>
        </w:tabs>
        <w:jc w:val="both"/>
        <w:rPr>
          <w:rFonts w:ascii="Verdana" w:eastAsia="Calibri" w:hAnsi="Verdana" w:cs="Arial"/>
          <w:color w:val="000000"/>
        </w:rPr>
      </w:pPr>
      <w:r w:rsidRPr="00B31C7B">
        <w:rPr>
          <w:rFonts w:ascii="Verdana" w:eastAsia="Calibri" w:hAnsi="Verdana" w:cs="Arial"/>
          <w:color w:val="000000"/>
        </w:rPr>
        <w:tab/>
      </w:r>
      <w:r w:rsidRPr="00B31C7B">
        <w:rPr>
          <w:rFonts w:ascii="Verdana" w:eastAsia="Calibri" w:hAnsi="Verdana" w:cs="Arial"/>
          <w:color w:val="000000"/>
        </w:rPr>
        <w:tab/>
        <w:t xml:space="preserve">Ahora bien, no existe restricción expresa para modificar los contratos estatales y los principios antes referidos puede </w:t>
      </w:r>
      <w:r>
        <w:rPr>
          <w:rFonts w:ascii="Verdana" w:eastAsia="Calibri" w:hAnsi="Verdana" w:cs="Arial"/>
          <w:color w:val="000000"/>
        </w:rPr>
        <w:t xml:space="preserve">evidenciar </w:t>
      </w:r>
      <w:r w:rsidRPr="00B31C7B">
        <w:rPr>
          <w:rFonts w:ascii="Verdana" w:eastAsia="Calibri" w:hAnsi="Verdana" w:cs="Arial"/>
          <w:color w:val="000000"/>
        </w:rPr>
        <w:t xml:space="preserve">la necesidad de </w:t>
      </w:r>
      <w:r>
        <w:rPr>
          <w:rFonts w:ascii="Verdana" w:eastAsia="Calibri" w:hAnsi="Verdana" w:cs="Arial"/>
          <w:color w:val="000000"/>
        </w:rPr>
        <w:t xml:space="preserve">cambiar </w:t>
      </w:r>
      <w:r w:rsidRPr="00B31C7B">
        <w:rPr>
          <w:rFonts w:ascii="Verdana" w:eastAsia="Calibri" w:hAnsi="Verdana" w:cs="Arial"/>
          <w:color w:val="000000"/>
        </w:rPr>
        <w:t xml:space="preserve">las estipulaciones </w:t>
      </w:r>
      <w:r>
        <w:rPr>
          <w:rFonts w:ascii="Verdana" w:eastAsia="Calibri" w:hAnsi="Verdana" w:cs="Arial"/>
          <w:color w:val="000000"/>
        </w:rPr>
        <w:t xml:space="preserve">establecidas </w:t>
      </w:r>
      <w:r w:rsidRPr="00B31C7B">
        <w:rPr>
          <w:rFonts w:ascii="Verdana" w:eastAsia="Calibri" w:hAnsi="Verdana" w:cs="Arial"/>
          <w:color w:val="000000"/>
        </w:rPr>
        <w:t>en un comienzo. En</w:t>
      </w:r>
      <w:r>
        <w:rPr>
          <w:rFonts w:ascii="Verdana" w:eastAsia="Calibri" w:hAnsi="Verdana" w:cs="Arial"/>
          <w:color w:val="000000"/>
        </w:rPr>
        <w:t xml:space="preserve"> este contexto</w:t>
      </w:r>
      <w:r w:rsidRPr="00B31C7B">
        <w:rPr>
          <w:rFonts w:ascii="Verdana" w:eastAsia="Calibri" w:hAnsi="Verdana" w:cs="Arial"/>
          <w:color w:val="000000"/>
        </w:rPr>
        <w:t>, la jurisprudencia ha fijado pautas generales conforme a las cuales la Administración Pública debe evaluar</w:t>
      </w:r>
      <w:r>
        <w:rPr>
          <w:rFonts w:ascii="Verdana" w:eastAsia="Calibri" w:hAnsi="Verdana" w:cs="Arial"/>
          <w:color w:val="000000"/>
        </w:rPr>
        <w:t xml:space="preserve"> si es procedente modificar</w:t>
      </w:r>
      <w:r w:rsidRPr="00B31C7B">
        <w:rPr>
          <w:rFonts w:ascii="Verdana" w:eastAsia="Calibri" w:hAnsi="Verdana" w:cs="Arial"/>
          <w:color w:val="000000"/>
        </w:rPr>
        <w:t xml:space="preserve"> los contratos que ha celebrado</w:t>
      </w:r>
      <w:r>
        <w:rPr>
          <w:rFonts w:ascii="Verdana" w:eastAsia="Calibri" w:hAnsi="Verdana" w:cs="Arial"/>
          <w:color w:val="000000"/>
        </w:rPr>
        <w:t xml:space="preserve"> según </w:t>
      </w:r>
      <w:r w:rsidRPr="00B31C7B">
        <w:rPr>
          <w:rFonts w:ascii="Verdana" w:eastAsia="Calibri" w:hAnsi="Verdana" w:cs="Arial"/>
          <w:color w:val="000000"/>
        </w:rPr>
        <w:t>las particularidades de cada caso. Al respecto, la Corte Constitucional, mediante sentencia C–300 de 2012</w:t>
      </w:r>
      <w:r w:rsidRPr="00B31C7B">
        <w:rPr>
          <w:rFonts w:ascii="Verdana" w:eastAsia="Calibri" w:hAnsi="Verdana" w:cs="Arial"/>
          <w:color w:val="000000"/>
          <w:vertAlign w:val="superscript"/>
        </w:rPr>
        <w:footnoteReference w:id="2"/>
      </w:r>
      <w:r w:rsidRPr="00B31C7B">
        <w:rPr>
          <w:rFonts w:ascii="Verdana" w:eastAsia="Calibri" w:hAnsi="Verdana" w:cs="Arial"/>
          <w:color w:val="000000"/>
        </w:rPr>
        <w:t xml:space="preserve">, </w:t>
      </w:r>
      <w:r>
        <w:rPr>
          <w:rFonts w:ascii="Verdana" w:eastAsia="Calibri" w:hAnsi="Verdana" w:cs="Arial"/>
          <w:color w:val="000000"/>
        </w:rPr>
        <w:t xml:space="preserve">se refirió a </w:t>
      </w:r>
      <w:r w:rsidRPr="00B31C7B">
        <w:rPr>
          <w:rFonts w:ascii="Verdana" w:eastAsia="Calibri" w:hAnsi="Verdana" w:cs="Arial"/>
          <w:color w:val="000000"/>
        </w:rPr>
        <w:t>la posibilidad de modificar los contratos estatales</w:t>
      </w:r>
      <w:r>
        <w:rPr>
          <w:rFonts w:ascii="Verdana" w:eastAsia="Calibri" w:hAnsi="Verdana" w:cs="Arial"/>
          <w:color w:val="000000"/>
        </w:rPr>
        <w:t xml:space="preserve"> así</w:t>
      </w:r>
      <w:r w:rsidRPr="00B31C7B">
        <w:rPr>
          <w:rFonts w:ascii="Verdana" w:eastAsia="Calibri" w:hAnsi="Verdana" w:cs="Arial"/>
          <w:color w:val="000000"/>
        </w:rPr>
        <w:t>:</w:t>
      </w:r>
    </w:p>
    <w:p w14:paraId="2241AF87" w14:textId="77777777" w:rsidR="00ED4E52" w:rsidRPr="0081672C" w:rsidRDefault="00ED4E52" w:rsidP="0081672C">
      <w:pPr>
        <w:tabs>
          <w:tab w:val="left" w:pos="284"/>
        </w:tabs>
        <w:snapToGrid w:val="0"/>
        <w:spacing w:after="0" w:line="240" w:lineRule="auto"/>
        <w:ind w:left="709" w:right="709"/>
        <w:jc w:val="both"/>
        <w:rPr>
          <w:rFonts w:ascii="Verdana" w:eastAsia="Calibri" w:hAnsi="Verdana" w:cs="Arial"/>
          <w:bCs/>
          <w:color w:val="000000"/>
          <w:sz w:val="21"/>
          <w:szCs w:val="21"/>
          <w:lang w:val="es-ES"/>
        </w:rPr>
      </w:pPr>
      <w:r w:rsidRPr="0081672C">
        <w:rPr>
          <w:rFonts w:ascii="Verdana" w:eastAsia="Calibri" w:hAnsi="Verdana" w:cs="Arial"/>
          <w:color w:val="000000"/>
          <w:sz w:val="21"/>
          <w:szCs w:val="21"/>
        </w:rPr>
        <w:t>“</w:t>
      </w:r>
      <w:r w:rsidRPr="0081672C">
        <w:rPr>
          <w:rFonts w:ascii="Verdana" w:eastAsia="Calibri" w:hAnsi="Verdana" w:cs="Arial"/>
          <w:bCs/>
          <w:color w:val="000000"/>
          <w:sz w:val="21"/>
          <w:szCs w:val="21"/>
          <w:lang w:val="es-ES"/>
        </w:rPr>
        <w:t xml:space="preserve">Por regla general, </w:t>
      </w:r>
      <w:r w:rsidRPr="0081672C">
        <w:rPr>
          <w:rFonts w:ascii="Verdana" w:eastAsia="Calibri" w:hAnsi="Verdana" w:cs="Arial"/>
          <w:b/>
          <w:bCs/>
          <w:color w:val="000000"/>
          <w:sz w:val="21"/>
          <w:szCs w:val="21"/>
          <w:lang w:val="es-ES"/>
        </w:rPr>
        <w:t>los contratos estatales pueden ser modificados cuando sea necesario para lograr su finalidad y en aras de la realización de los fines del Estado</w:t>
      </w:r>
      <w:r w:rsidRPr="0081672C">
        <w:rPr>
          <w:rFonts w:ascii="Verdana" w:eastAsia="Calibri" w:hAnsi="Verdana" w:cs="Arial"/>
          <w:bCs/>
          <w:color w:val="000000"/>
          <w:sz w:val="21"/>
          <w:szCs w:val="21"/>
          <w:lang w:val="es-ES"/>
        </w:rPr>
        <w:t>, a los cuales sirve el contrato.</w:t>
      </w:r>
      <w:r w:rsidRPr="0081672C">
        <w:rPr>
          <w:rFonts w:ascii="Verdana" w:eastAsia="Calibri" w:hAnsi="Verdana" w:cs="Arial"/>
          <w:bCs/>
          <w:color w:val="000000"/>
          <w:sz w:val="21"/>
          <w:szCs w:val="21"/>
          <w:vertAlign w:val="superscript"/>
          <w:lang w:val="es-ES"/>
        </w:rPr>
        <w:footnoteReference w:id="3"/>
      </w:r>
      <w:r w:rsidRPr="0081672C">
        <w:rPr>
          <w:rFonts w:ascii="Verdana" w:eastAsia="Calibri" w:hAnsi="Verdana" w:cs="Arial"/>
          <w:bCs/>
          <w:color w:val="000000"/>
          <w:sz w:val="21"/>
          <w:szCs w:val="21"/>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81672C">
        <w:rPr>
          <w:rFonts w:ascii="Verdana" w:eastAsia="Calibri" w:hAnsi="Verdana" w:cs="Arial"/>
          <w:b/>
          <w:bCs/>
          <w:color w:val="000000"/>
          <w:sz w:val="21"/>
          <w:szCs w:val="21"/>
          <w:lang w:val="es-ES"/>
        </w:rPr>
        <w:t>sentencia C-949 de 2001</w:t>
      </w:r>
      <w:r w:rsidRPr="0081672C">
        <w:rPr>
          <w:rFonts w:ascii="Verdana" w:eastAsia="Calibri" w:hAnsi="Verdana" w:cs="Arial"/>
          <w:bCs/>
          <w:color w:val="000000"/>
          <w:sz w:val="21"/>
          <w:szCs w:val="21"/>
          <w:vertAlign w:val="superscript"/>
          <w:lang w:val="es-ES"/>
        </w:rPr>
        <w:footnoteReference w:id="4"/>
      </w:r>
      <w:r w:rsidRPr="0081672C">
        <w:rPr>
          <w:rFonts w:ascii="Verdana" w:eastAsia="Calibri" w:hAnsi="Verdana" w:cs="Arial"/>
          <w:bCs/>
          <w:color w:val="000000"/>
          <w:sz w:val="21"/>
          <w:szCs w:val="21"/>
          <w:lang w:val="es-ES"/>
        </w:rPr>
        <w:t>, la Corte Constitucional señaló que las prórrogas de los contratos –como especie de modificación- pueden ser un instrumento útil para lograr los fines propios de la contratación estatal</w:t>
      </w:r>
      <w:r w:rsidRPr="0081672C">
        <w:rPr>
          <w:rFonts w:ascii="Verdana" w:eastAsia="Calibri" w:hAnsi="Verdana" w:cs="Arial"/>
          <w:bCs/>
          <w:color w:val="000000"/>
          <w:sz w:val="21"/>
          <w:szCs w:val="21"/>
          <w:vertAlign w:val="superscript"/>
          <w:lang w:val="es-ES"/>
        </w:rPr>
        <w:footnoteReference w:id="5"/>
      </w:r>
      <w:r w:rsidRPr="0081672C">
        <w:rPr>
          <w:rFonts w:ascii="Verdana" w:eastAsia="Calibri" w:hAnsi="Verdana" w:cs="Arial"/>
          <w:bCs/>
          <w:color w:val="000000"/>
          <w:sz w:val="21"/>
          <w:szCs w:val="21"/>
          <w:lang w:val="es-ES"/>
        </w:rPr>
        <w:t xml:space="preserve">. </w:t>
      </w:r>
    </w:p>
    <w:p w14:paraId="4CF78CFB" w14:textId="77777777" w:rsidR="00ED4E52" w:rsidRPr="0081672C" w:rsidRDefault="00ED4E52" w:rsidP="00ED4E52">
      <w:pPr>
        <w:tabs>
          <w:tab w:val="left" w:pos="284"/>
        </w:tabs>
        <w:snapToGrid w:val="0"/>
        <w:spacing w:after="0" w:line="240" w:lineRule="auto"/>
        <w:ind w:left="709" w:right="709"/>
        <w:jc w:val="both"/>
        <w:rPr>
          <w:rFonts w:ascii="Verdana" w:eastAsia="Calibri" w:hAnsi="Verdana" w:cs="Arial"/>
          <w:bCs/>
          <w:color w:val="000000"/>
          <w:sz w:val="21"/>
          <w:szCs w:val="21"/>
          <w:lang w:val="es-ES"/>
        </w:rPr>
      </w:pPr>
    </w:p>
    <w:p w14:paraId="4FE86933" w14:textId="77777777" w:rsidR="00ED4E52" w:rsidRPr="0081672C" w:rsidRDefault="00ED4E52" w:rsidP="00ED4E52">
      <w:pPr>
        <w:tabs>
          <w:tab w:val="left" w:pos="284"/>
        </w:tabs>
        <w:snapToGrid w:val="0"/>
        <w:spacing w:after="0" w:line="240" w:lineRule="auto"/>
        <w:ind w:left="709" w:right="709"/>
        <w:jc w:val="both"/>
        <w:rPr>
          <w:rFonts w:ascii="Verdana" w:eastAsia="Calibri" w:hAnsi="Verdana" w:cs="Arial"/>
          <w:bCs/>
          <w:color w:val="000000"/>
          <w:sz w:val="21"/>
          <w:szCs w:val="21"/>
          <w:lang w:val="es-ES"/>
        </w:rPr>
      </w:pPr>
      <w:r w:rsidRPr="0081672C">
        <w:rPr>
          <w:rFonts w:ascii="Verdana" w:eastAsia="Calibri" w:hAnsi="Verdana" w:cs="Arial"/>
          <w:bCs/>
          <w:color w:val="000000"/>
          <w:sz w:val="21"/>
          <w:szCs w:val="21"/>
          <w:lang w:val="es-ES"/>
        </w:rPr>
        <w:t>(…)</w:t>
      </w:r>
    </w:p>
    <w:p w14:paraId="2218B893" w14:textId="77777777" w:rsidR="00ED4E52" w:rsidRPr="0081672C" w:rsidRDefault="00ED4E52" w:rsidP="00ED4E52">
      <w:pPr>
        <w:tabs>
          <w:tab w:val="left" w:pos="284"/>
        </w:tabs>
        <w:spacing w:after="0" w:line="240" w:lineRule="auto"/>
        <w:ind w:left="709" w:right="709"/>
        <w:jc w:val="both"/>
        <w:rPr>
          <w:rFonts w:ascii="Verdana" w:eastAsia="Calibri" w:hAnsi="Verdana" w:cs="Arial"/>
          <w:bCs/>
          <w:color w:val="000000"/>
          <w:sz w:val="21"/>
          <w:szCs w:val="21"/>
          <w:lang w:val="es-ES"/>
        </w:rPr>
      </w:pPr>
    </w:p>
    <w:p w14:paraId="296D9A39" w14:textId="77777777" w:rsidR="00ED4E52" w:rsidRPr="0081672C" w:rsidRDefault="00ED4E52" w:rsidP="00ED4E52">
      <w:pPr>
        <w:tabs>
          <w:tab w:val="left" w:pos="284"/>
        </w:tabs>
        <w:spacing w:after="0" w:line="240" w:lineRule="auto"/>
        <w:ind w:left="709" w:right="709"/>
        <w:jc w:val="both"/>
        <w:rPr>
          <w:rFonts w:ascii="Verdana" w:eastAsia="Calibri" w:hAnsi="Verdana" w:cs="Arial"/>
          <w:bCs/>
          <w:color w:val="000000"/>
          <w:sz w:val="21"/>
          <w:szCs w:val="21"/>
          <w:lang w:val="es-ES"/>
        </w:rPr>
      </w:pPr>
      <w:r w:rsidRPr="0081672C">
        <w:rPr>
          <w:rFonts w:ascii="Verdana" w:eastAsia="Calibri" w:hAnsi="Verdana" w:cs="Arial"/>
          <w:bCs/>
          <w:color w:val="000000"/>
          <w:sz w:val="21"/>
          <w:szCs w:val="21"/>
          <w:lang w:val="es-ES"/>
        </w:rPr>
        <w:t xml:space="preserve">La modificación de los contratos estatales es especialmente importante en aquellos por naturaleza </w:t>
      </w:r>
      <w:r w:rsidRPr="0081672C">
        <w:rPr>
          <w:rFonts w:ascii="Verdana" w:eastAsia="Calibri" w:hAnsi="Verdana" w:cs="Arial"/>
          <w:b/>
          <w:color w:val="000000"/>
          <w:sz w:val="21"/>
          <w:szCs w:val="21"/>
          <w:lang w:val="es-ES"/>
        </w:rPr>
        <w:t>incompletos</w:t>
      </w:r>
      <w:r w:rsidRPr="0081672C">
        <w:rPr>
          <w:rFonts w:ascii="Verdana" w:eastAsia="Calibri" w:hAnsi="Verdana" w:cs="Arial"/>
          <w:bCs/>
          <w:color w:val="000000"/>
          <w:sz w:val="21"/>
          <w:szCs w:val="21"/>
          <w:lang w:val="es-ES"/>
        </w:rPr>
        <w:t xml:space="preserve">, es decir, </w:t>
      </w:r>
      <w:r w:rsidRPr="0081672C">
        <w:rPr>
          <w:rFonts w:ascii="Verdana" w:eastAsia="Calibri" w:hAnsi="Verdana" w:cs="Arial"/>
          <w:b/>
          <w:color w:val="000000"/>
          <w:sz w:val="21"/>
          <w:szCs w:val="21"/>
          <w:lang w:val="es-ES"/>
        </w:rPr>
        <w:t xml:space="preserve">(i) </w:t>
      </w:r>
      <w:r w:rsidRPr="0081672C">
        <w:rPr>
          <w:rFonts w:ascii="Verdana" w:eastAsia="Calibri" w:hAnsi="Verdana" w:cs="Arial"/>
          <w:bCs/>
          <w:color w:val="000000"/>
          <w:sz w:val="21"/>
          <w:szCs w:val="21"/>
          <w:lang w:val="es-ES"/>
        </w:rPr>
        <w:t xml:space="preserve">los afectados por asimetrías de información que impiden la previsión de todas las contingencias que pueden afectar su ejecución, y </w:t>
      </w:r>
      <w:r w:rsidRPr="0081672C">
        <w:rPr>
          <w:rFonts w:ascii="Verdana" w:eastAsia="Calibri" w:hAnsi="Verdana" w:cs="Arial"/>
          <w:b/>
          <w:color w:val="000000"/>
          <w:sz w:val="21"/>
          <w:szCs w:val="21"/>
          <w:lang w:val="es-ES"/>
        </w:rPr>
        <w:t xml:space="preserve">(ii) </w:t>
      </w:r>
      <w:r w:rsidRPr="0081672C">
        <w:rPr>
          <w:rFonts w:ascii="Verdana" w:eastAsia="Calibri" w:hAnsi="Verdana" w:cs="Arial"/>
          <w:bCs/>
          <w:color w:val="000000"/>
          <w:sz w:val="21"/>
          <w:szCs w:val="21"/>
          <w:lang w:val="es-ES"/>
        </w:rPr>
        <w:t xml:space="preserve">en el marco de los cuales, por esa misma razón, es difícil prever </w:t>
      </w:r>
      <w:r w:rsidRPr="0081672C">
        <w:rPr>
          <w:rFonts w:ascii="Verdana" w:eastAsia="Calibri" w:hAnsi="Verdana" w:cs="Arial"/>
          <w:bCs/>
          <w:i/>
          <w:iCs/>
          <w:color w:val="000000"/>
          <w:sz w:val="21"/>
          <w:szCs w:val="21"/>
          <w:lang w:val="es-ES"/>
        </w:rPr>
        <w:t xml:space="preserve">ex ante </w:t>
      </w:r>
      <w:r w:rsidRPr="0081672C">
        <w:rPr>
          <w:rFonts w:ascii="Verdana" w:eastAsia="Calibri" w:hAnsi="Verdana" w:cs="Arial"/>
          <w:bCs/>
          <w:color w:val="000000"/>
          <w:sz w:val="21"/>
          <w:szCs w:val="21"/>
          <w:lang w:val="es-ES"/>
        </w:rPr>
        <w:t>los remedios necesarios para afrontar tales contingencias, como ocurre por lo general con los contratos de largo plazo.</w:t>
      </w:r>
      <w:r w:rsidRPr="0081672C">
        <w:rPr>
          <w:rFonts w:ascii="Verdana" w:eastAsia="Calibri" w:hAnsi="Verdana" w:cs="Arial"/>
          <w:bCs/>
          <w:color w:val="000000"/>
          <w:sz w:val="21"/>
          <w:szCs w:val="21"/>
          <w:vertAlign w:val="superscript"/>
          <w:lang w:val="es-ES"/>
        </w:rPr>
        <w:footnoteReference w:id="6"/>
      </w:r>
      <w:r w:rsidRPr="0081672C">
        <w:rPr>
          <w:rFonts w:ascii="Verdana" w:eastAsia="Calibri" w:hAnsi="Verdana" w:cs="Arial"/>
          <w:bCs/>
          <w:color w:val="000000"/>
          <w:sz w:val="21"/>
          <w:szCs w:val="21"/>
          <w:lang w:val="es-ES"/>
        </w:rPr>
        <w:t xml:space="preserve">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(énfasis dentro del texto).</w:t>
      </w:r>
    </w:p>
    <w:p w14:paraId="6CC246BC" w14:textId="77777777" w:rsidR="00ED4E52" w:rsidRPr="00E54E87" w:rsidRDefault="00ED4E52" w:rsidP="00ED4E52">
      <w:pPr>
        <w:tabs>
          <w:tab w:val="left" w:pos="284"/>
        </w:tabs>
        <w:spacing w:after="0" w:line="240" w:lineRule="auto"/>
        <w:ind w:left="1049" w:right="709"/>
        <w:jc w:val="both"/>
        <w:rPr>
          <w:rFonts w:ascii="Verdana" w:eastAsia="Arial MT" w:hAnsi="Verdana" w:cs="Arial"/>
          <w:color w:val="000000"/>
        </w:rPr>
      </w:pPr>
    </w:p>
    <w:p w14:paraId="742085D1" w14:textId="77777777" w:rsidR="00ED4E52" w:rsidRPr="00B31C7B" w:rsidRDefault="00ED4E52" w:rsidP="00ED4E52">
      <w:pPr>
        <w:widowControl w:val="0"/>
        <w:autoSpaceDE w:val="0"/>
        <w:autoSpaceDN w:val="0"/>
        <w:spacing w:after="0" w:line="276" w:lineRule="auto"/>
        <w:ind w:right="-2" w:firstLine="709"/>
        <w:jc w:val="both"/>
        <w:rPr>
          <w:rFonts w:ascii="Verdana" w:eastAsia="Calibri" w:hAnsi="Verdana" w:cs="Arial"/>
          <w:color w:val="000000"/>
        </w:rPr>
      </w:pPr>
      <w:r w:rsidRPr="00B31C7B">
        <w:rPr>
          <w:rFonts w:ascii="Verdana" w:eastAsia="Calibri" w:hAnsi="Verdana" w:cs="Arial"/>
          <w:color w:val="000000"/>
        </w:rPr>
        <w:t>A su turno, el Consejo de Estado</w:t>
      </w:r>
      <w:r w:rsidRPr="00B31C7B">
        <w:rPr>
          <w:rFonts w:ascii="Verdana" w:eastAsia="Calibri" w:hAnsi="Verdana" w:cs="Arial"/>
          <w:color w:val="000000"/>
          <w:vertAlign w:val="superscript"/>
        </w:rPr>
        <w:footnoteReference w:id="7"/>
      </w:r>
      <w:r w:rsidRPr="00B31C7B">
        <w:rPr>
          <w:rFonts w:ascii="Verdana" w:eastAsia="Calibri" w:hAnsi="Verdana" w:cs="Arial"/>
          <w:color w:val="000000"/>
        </w:rPr>
        <w:t>, ha</w:t>
      </w:r>
      <w:r>
        <w:rPr>
          <w:rFonts w:ascii="Verdana" w:eastAsia="Calibri" w:hAnsi="Verdana" w:cs="Arial"/>
          <w:color w:val="000000"/>
        </w:rPr>
        <w:t xml:space="preserve"> resaltado que la necesidad de modificar los contratos estatales persigue el cumplimiento de ciertos fines. De esta manera, aunque estos contratos se puedan modificar por acuerdo de la voluntad de las partes, este no puede ser el único fundamento. Señala entonces que las modificaciones deben obedecer a causas reales y ciertas derivadas de la ley y no únicamente de la voluntad de las partes</w:t>
      </w:r>
      <w:r w:rsidRPr="00B31C7B">
        <w:rPr>
          <w:rFonts w:ascii="Verdana" w:eastAsia="Calibri" w:hAnsi="Verdana" w:cs="Arial"/>
          <w:color w:val="000000"/>
        </w:rPr>
        <w:t>:</w:t>
      </w:r>
    </w:p>
    <w:p w14:paraId="1EBA95F1" w14:textId="77777777" w:rsidR="00ED4E52" w:rsidRPr="00B31C7B" w:rsidRDefault="00ED4E52" w:rsidP="00ED4E52">
      <w:pPr>
        <w:widowControl w:val="0"/>
        <w:autoSpaceDE w:val="0"/>
        <w:autoSpaceDN w:val="0"/>
        <w:spacing w:after="0" w:line="240" w:lineRule="auto"/>
        <w:ind w:firstLine="709"/>
        <w:jc w:val="both"/>
        <w:rPr>
          <w:rFonts w:ascii="Verdana" w:eastAsia="Calibri" w:hAnsi="Verdana" w:cs="Arial"/>
          <w:color w:val="000000"/>
        </w:rPr>
      </w:pPr>
    </w:p>
    <w:p w14:paraId="7717117E"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 la posibilidad de modificar los contratos estatales es una especial forma de hacer prevalecer la finalidad del contrato sobre los restantes elementos del mismo.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4B0711E6"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69467999"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w:t>
      </w:r>
    </w:p>
    <w:p w14:paraId="4FB3C2A4"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3E3EE22C"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 Nótese que, sin embargo, en ellas van inmersas las ideas de una causa cierta y unos fines públicos que hay que salvaguardar.</w:t>
      </w:r>
    </w:p>
    <w:p w14:paraId="0D778E99"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3EA64A8A"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 xml:space="preserve">Puede adicionarse una razón a las expuestas para justificar que </w:t>
      </w:r>
      <w:r w:rsidRPr="0081672C">
        <w:rPr>
          <w:rFonts w:ascii="Verdana" w:eastAsia="Calibri" w:hAnsi="Verdana" w:cs="Arial"/>
          <w:i/>
          <w:iCs/>
          <w:color w:val="000000"/>
          <w:sz w:val="21"/>
          <w:szCs w:val="21"/>
          <w:u w:val="single"/>
        </w:rPr>
        <w:t>la simple voluntad de las partes no es causa de modificación de los contratos estatales, la cual consiste en el respeto por el principio de igualdad de los oferentes</w:t>
      </w:r>
      <w:r w:rsidRPr="0081672C">
        <w:rPr>
          <w:rFonts w:ascii="Verdana" w:eastAsia="Calibri" w:hAnsi="Verdana" w:cs="Arial"/>
          <w:color w:val="000000"/>
          <w:sz w:val="21"/>
          <w:szCs w:val="21"/>
        </w:rPr>
        <w:t xml:space="preserve">. Si se acepta que los contratos pueden modificarse por el simple común acuerdo, fácilmente se podría licitar determinado objeto con el fin de adjudicárselo a cierta persona, a sabiendas de que se cambiarán las obligaciones, una vez celebrado. </w:t>
      </w:r>
    </w:p>
    <w:p w14:paraId="0C866A80"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1BB0663A"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 xml:space="preserve">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w:t>
      </w:r>
      <w:r w:rsidRPr="0081672C">
        <w:rPr>
          <w:rFonts w:ascii="Verdana" w:eastAsia="Calibri" w:hAnsi="Verdana" w:cs="Arial"/>
          <w:i/>
          <w:iCs/>
          <w:color w:val="000000"/>
          <w:sz w:val="21"/>
          <w:szCs w:val="21"/>
          <w:u w:val="single"/>
        </w:rPr>
        <w:t>toda modificación debe tener una causa real y cierta, contemplada en la ley, diferente de la mera voluntad de los contratantes</w:t>
      </w:r>
      <w:r w:rsidRPr="0081672C">
        <w:rPr>
          <w:rFonts w:ascii="Verdana" w:eastAsia="Calibri" w:hAnsi="Verdana" w:cs="Arial"/>
          <w:color w:val="000000"/>
          <w:sz w:val="21"/>
          <w:szCs w:val="21"/>
        </w:rPr>
        <w:t>”.</w:t>
      </w:r>
    </w:p>
    <w:p w14:paraId="594E7B9C" w14:textId="77777777" w:rsidR="00ED4E52" w:rsidRPr="0081672C" w:rsidRDefault="00ED4E52" w:rsidP="00ED4E52">
      <w:pPr>
        <w:tabs>
          <w:tab w:val="left" w:pos="284"/>
        </w:tabs>
        <w:spacing w:after="0" w:line="276" w:lineRule="auto"/>
        <w:ind w:left="709" w:right="709"/>
        <w:jc w:val="both"/>
        <w:rPr>
          <w:rFonts w:ascii="Verdana" w:eastAsia="Calibri" w:hAnsi="Verdana" w:cs="Arial"/>
          <w:color w:val="000000"/>
          <w:sz w:val="21"/>
          <w:szCs w:val="21"/>
        </w:rPr>
      </w:pPr>
    </w:p>
    <w:p w14:paraId="32E906E2" w14:textId="77777777" w:rsidR="00ED4E52" w:rsidRPr="000E3F53" w:rsidRDefault="00ED4E52" w:rsidP="00ED4E52">
      <w:pPr>
        <w:widowControl w:val="0"/>
        <w:autoSpaceDE w:val="0"/>
        <w:autoSpaceDN w:val="0"/>
        <w:ind w:firstLine="709"/>
        <w:jc w:val="both"/>
        <w:rPr>
          <w:rFonts w:ascii="Verdana" w:eastAsia="Arial" w:hAnsi="Verdana" w:cs="Arial"/>
          <w:color w:val="000000"/>
          <w:lang w:val="es-MX" w:eastAsia="es-ES" w:bidi="es-ES"/>
        </w:rPr>
      </w:pPr>
      <w:r w:rsidRPr="00B31C7B">
        <w:rPr>
          <w:rFonts w:ascii="Verdana" w:eastAsia="Arial" w:hAnsi="Verdana" w:cs="Arial"/>
          <w:color w:val="000000"/>
          <w:lang w:val="es-ES" w:eastAsia="es-ES" w:bidi="es-ES"/>
        </w:rPr>
        <w:t xml:space="preserve">En el mismo sentido, en el Concepto 2263 del 17 de marzo del 2016, la Sala de Consulta y Servicio Civil del Consejo de Estado precisó que </w:t>
      </w:r>
      <w:r w:rsidRPr="00B31C7B">
        <w:rPr>
          <w:rFonts w:ascii="Verdana" w:eastAsia="Arial" w:hAnsi="Verdana" w:cs="Arial"/>
          <w:color w:val="000000"/>
          <w:lang w:val="es-MX" w:eastAsia="es-ES" w:bidi="es-ES"/>
        </w:rPr>
        <w:t xml:space="preserve">la regla general es la no modificación del contrato, y la vía excepcional su modificación, sometida a </w:t>
      </w:r>
      <w:r>
        <w:rPr>
          <w:rFonts w:ascii="Verdana" w:eastAsia="Arial" w:hAnsi="Verdana" w:cs="Arial"/>
          <w:color w:val="000000"/>
          <w:lang w:val="es-MX" w:eastAsia="es-ES" w:bidi="es-ES"/>
        </w:rPr>
        <w:t xml:space="preserve">los siguientes </w:t>
      </w:r>
      <w:r w:rsidRPr="00B31C7B">
        <w:rPr>
          <w:rFonts w:ascii="Verdana" w:eastAsia="Arial" w:hAnsi="Verdana" w:cs="Arial"/>
          <w:color w:val="000000"/>
          <w:lang w:val="es-MX" w:eastAsia="es-ES" w:bidi="es-ES"/>
        </w:rPr>
        <w:t>límites legales:</w:t>
      </w:r>
    </w:p>
    <w:p w14:paraId="30B9E591"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 xml:space="preserve">“1. La necesidad de preservar los principios de igualdad, transparencia y libertad de concurrencia, durante la fase de ejecución del contrato. </w:t>
      </w:r>
    </w:p>
    <w:p w14:paraId="66A8C0DE"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72FBF2A4"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4698704B"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6118CAAE"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0F246276"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01E1F5E7"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2.Límites de orden temporal, entre los que están comprendidos: i) la vigencia del contrato, pues no podría modificarse un contrato cuyo plazo ha culminado y ii) la prohibición de consagrar prórrogas automáticas, sucesivas o indefinidas, en tanto resultan contrarias al derecho esencial de la libertad de competencia.</w:t>
      </w:r>
    </w:p>
    <w:p w14:paraId="54A358C3"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19911360"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3. Límites de orden formal, que comprenden: i) La solemnidad del contrato de modificación, derivada del carácter solemne del contrato estatal, que exige que la modificación de los contratos conste por escrito</w:t>
      </w:r>
      <w:r w:rsidRPr="0081672C">
        <w:rPr>
          <w:rFonts w:ascii="Verdana" w:eastAsia="Calibri" w:hAnsi="Verdana" w:cs="Arial"/>
          <w:color w:val="000000"/>
          <w:sz w:val="21"/>
          <w:szCs w:val="21"/>
          <w:vertAlign w:val="superscript"/>
        </w:rPr>
        <w:footnoteReference w:id="8"/>
      </w:r>
      <w:r w:rsidRPr="0081672C">
        <w:rPr>
          <w:rFonts w:ascii="Verdana" w:eastAsia="Calibri" w:hAnsi="Verdana" w:cs="Arial"/>
          <w:color w:val="000000"/>
          <w:sz w:val="21"/>
          <w:szCs w:val="21"/>
        </w:rPr>
        <w:t>; ii) la motivación y justificación de la modificación, la cual constituye un elemento esencial que permite determinar la juridicidad y la necesidad de una modificación determinada; así como su racionalidad y la proporcionalidad de su contenido.</w:t>
      </w:r>
    </w:p>
    <w:p w14:paraId="6DA10EE2"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p>
    <w:p w14:paraId="56C4D91B" w14:textId="77777777" w:rsidR="00ED4E52" w:rsidRPr="0081672C" w:rsidRDefault="00ED4E52" w:rsidP="00ED4E52">
      <w:pPr>
        <w:tabs>
          <w:tab w:val="left" w:pos="284"/>
        </w:tabs>
        <w:spacing w:after="0" w:line="240" w:lineRule="auto"/>
        <w:ind w:left="709" w:right="709"/>
        <w:jc w:val="both"/>
        <w:rPr>
          <w:rFonts w:ascii="Verdana" w:eastAsia="Calibri" w:hAnsi="Verdana" w:cs="Arial"/>
          <w:color w:val="000000"/>
          <w:sz w:val="21"/>
          <w:szCs w:val="21"/>
        </w:rPr>
      </w:pPr>
      <w:r w:rsidRPr="0081672C">
        <w:rPr>
          <w:rFonts w:ascii="Verdana" w:eastAsia="Calibri" w:hAnsi="Verdana" w:cs="Arial"/>
          <w:color w:val="000000"/>
          <w:sz w:val="21"/>
          <w:szCs w:val="21"/>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58C9B4F4" w14:textId="77777777" w:rsidR="00ED4E52" w:rsidRPr="00E54E87" w:rsidRDefault="00ED4E52" w:rsidP="00ED4E52">
      <w:pPr>
        <w:tabs>
          <w:tab w:val="left" w:pos="284"/>
        </w:tabs>
        <w:spacing w:after="0" w:line="240" w:lineRule="auto"/>
        <w:ind w:left="709" w:right="709"/>
        <w:jc w:val="both"/>
        <w:rPr>
          <w:rFonts w:ascii="Verdana" w:eastAsia="Calibri" w:hAnsi="Verdana" w:cs="Arial"/>
          <w:color w:val="000000"/>
        </w:rPr>
      </w:pPr>
    </w:p>
    <w:p w14:paraId="4D2FCDCE" w14:textId="77777777" w:rsidR="00ED4E52" w:rsidRPr="00B31C7B" w:rsidRDefault="00ED4E52" w:rsidP="00ED4E52">
      <w:pPr>
        <w:widowControl w:val="0"/>
        <w:autoSpaceDE w:val="0"/>
        <w:autoSpaceDN w:val="0"/>
        <w:ind w:right="102" w:firstLine="709"/>
        <w:jc w:val="both"/>
        <w:rPr>
          <w:rFonts w:ascii="Verdana" w:eastAsia="Arial" w:hAnsi="Verdana" w:cs="Arial"/>
          <w:color w:val="000000"/>
          <w:lang w:val="es-MX" w:eastAsia="es-ES" w:bidi="es-ES"/>
        </w:rPr>
      </w:pPr>
      <w:r w:rsidRPr="00B31C7B">
        <w:rPr>
          <w:rFonts w:ascii="Verdana" w:eastAsia="Arial" w:hAnsi="Verdana" w:cs="Arial"/>
          <w:color w:val="000000"/>
          <w:lang w:val="es-MX" w:eastAsia="es-ES" w:bidi="es-ES"/>
        </w:rPr>
        <w:t>Sobre el alcance de dicha prohibición, la Sala de Consulta y Servicio Civil expresó lo siguiente</w:t>
      </w:r>
      <w:r w:rsidRPr="00B31C7B">
        <w:rPr>
          <w:rFonts w:ascii="Verdana" w:eastAsia="Arial" w:hAnsi="Verdana" w:cs="Arial"/>
          <w:color w:val="000000"/>
          <w:vertAlign w:val="superscript"/>
          <w:lang w:val="es-MX" w:eastAsia="es-ES" w:bidi="es-ES"/>
        </w:rPr>
        <w:footnoteReference w:id="9"/>
      </w:r>
      <w:r w:rsidRPr="00B31C7B">
        <w:rPr>
          <w:rFonts w:ascii="Verdana" w:eastAsia="Arial" w:hAnsi="Verdana" w:cs="Arial"/>
          <w:color w:val="000000"/>
          <w:lang w:val="es-MX" w:eastAsia="es-ES" w:bidi="es-ES"/>
        </w:rPr>
        <w:t>:</w:t>
      </w:r>
    </w:p>
    <w:p w14:paraId="3DF73785"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5019C16E"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071E8A2E"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39A7CBCC"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754216B7"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w:t>
      </w:r>
    </w:p>
    <w:p w14:paraId="036E60DF"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3C86FE30"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21D2539A"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1CDDFE75"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 xml:space="preserve">(…) </w:t>
      </w:r>
    </w:p>
    <w:p w14:paraId="0B779B3C"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068B0047"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1D964F1B"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2A6571D6"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 xml:space="preserve">-El cumplimiento del límite cuantitativo consagrado en la ley para los contratos adicionales. </w:t>
      </w:r>
    </w:p>
    <w:p w14:paraId="10CCECF8"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20ABB1D9"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r w:rsidRPr="0081672C">
        <w:rPr>
          <w:rFonts w:ascii="Verdana" w:eastAsia="Arial" w:hAnsi="Verdana" w:cs="Arial"/>
          <w:bCs/>
          <w:iCs/>
          <w:color w:val="000000"/>
          <w:sz w:val="21"/>
          <w:szCs w:val="21"/>
          <w:lang w:val="es-MX" w:eastAsia="es-ES" w:bidi="es-ES"/>
        </w:rPr>
        <w:t>(…)</w:t>
      </w:r>
    </w:p>
    <w:p w14:paraId="75D29DCE"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MX" w:eastAsia="es-ES" w:bidi="es-ES"/>
        </w:rPr>
      </w:pPr>
    </w:p>
    <w:p w14:paraId="2BFCEF15" w14:textId="77777777" w:rsidR="00ED4E52" w:rsidRPr="0081672C" w:rsidRDefault="00ED4E52" w:rsidP="00ED4E52">
      <w:pPr>
        <w:widowControl w:val="0"/>
        <w:autoSpaceDE w:val="0"/>
        <w:autoSpaceDN w:val="0"/>
        <w:spacing w:after="0" w:line="240" w:lineRule="auto"/>
        <w:ind w:left="709" w:right="709"/>
        <w:jc w:val="both"/>
        <w:rPr>
          <w:rFonts w:ascii="Verdana" w:eastAsia="Arial" w:hAnsi="Verdana" w:cs="Arial"/>
          <w:bCs/>
          <w:iCs/>
          <w:color w:val="000000"/>
          <w:sz w:val="21"/>
          <w:szCs w:val="21"/>
          <w:lang w:val="es-ES_tradnl" w:eastAsia="es-ES" w:bidi="es-ES"/>
        </w:rPr>
      </w:pPr>
      <w:r w:rsidRPr="0081672C">
        <w:rPr>
          <w:rFonts w:ascii="Verdana" w:eastAsia="Arial" w:hAnsi="Verdana" w:cs="Arial"/>
          <w:bCs/>
          <w:iCs/>
          <w:color w:val="000000"/>
          <w:sz w:val="21"/>
          <w:szCs w:val="21"/>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81672C">
        <w:rPr>
          <w:rFonts w:ascii="Verdana" w:eastAsia="Arial" w:hAnsi="Verdana" w:cs="Arial"/>
          <w:bCs/>
          <w:iCs/>
          <w:color w:val="000000"/>
          <w:sz w:val="21"/>
          <w:szCs w:val="21"/>
          <w:lang w:val="es-ES_tradnl" w:eastAsia="es-ES" w:bidi="es-ES"/>
        </w:rPr>
        <w:t>.</w:t>
      </w:r>
    </w:p>
    <w:p w14:paraId="216CCD3A" w14:textId="77777777" w:rsidR="00ED4E52" w:rsidRDefault="00ED4E52" w:rsidP="00ED4E52">
      <w:pPr>
        <w:widowControl w:val="0"/>
        <w:autoSpaceDE w:val="0"/>
        <w:autoSpaceDN w:val="0"/>
        <w:spacing w:after="0" w:line="276" w:lineRule="auto"/>
        <w:ind w:right="49" w:firstLine="708"/>
        <w:jc w:val="both"/>
        <w:rPr>
          <w:rFonts w:ascii="Verdana" w:eastAsia="Arial" w:hAnsi="Verdana" w:cs="Arial"/>
          <w:lang w:val="es-MX" w:eastAsia="es-ES" w:bidi="es-ES"/>
        </w:rPr>
      </w:pPr>
    </w:p>
    <w:p w14:paraId="6609E051" w14:textId="77777777" w:rsidR="00ED4E52" w:rsidRPr="00AD53BB" w:rsidRDefault="00ED4E52" w:rsidP="00ED4E52">
      <w:pPr>
        <w:widowControl w:val="0"/>
        <w:autoSpaceDE w:val="0"/>
        <w:autoSpaceDN w:val="0"/>
        <w:ind w:right="51" w:firstLine="709"/>
        <w:jc w:val="both"/>
        <w:rPr>
          <w:rFonts w:ascii="Verdana" w:eastAsia="Arial" w:hAnsi="Verdana" w:cs="Arial"/>
          <w:lang w:val="es-MX" w:eastAsia="es-ES" w:bidi="es-ES"/>
        </w:rPr>
      </w:pPr>
      <w:r w:rsidRPr="00AD53BB">
        <w:rPr>
          <w:rFonts w:ascii="Verdana" w:eastAsia="Arial" w:hAnsi="Verdana" w:cs="Arial"/>
          <w:lang w:val="es-MX"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 Estos límites deben ser respetados por la entidad contratante para preservar los principios de origen legal, como el de planeación, selección objetiva, libre concurrencia, transparencia, igualdad, entre otros</w:t>
      </w:r>
      <w:r w:rsidRPr="00AD53BB">
        <w:rPr>
          <w:rFonts w:ascii="Verdana" w:eastAsia="Arial" w:hAnsi="Verdana" w:cs="Arial"/>
          <w:vertAlign w:val="superscript"/>
          <w:lang w:val="es-MX" w:eastAsia="es-ES" w:bidi="es-ES"/>
        </w:rPr>
        <w:footnoteReference w:id="10"/>
      </w:r>
      <w:r w:rsidRPr="00AD53BB">
        <w:rPr>
          <w:rFonts w:ascii="Verdana" w:eastAsia="Arial" w:hAnsi="Verdana" w:cs="Arial"/>
          <w:lang w:val="es-MX" w:eastAsia="es-ES" w:bidi="es-ES"/>
        </w:rPr>
        <w:t xml:space="preserve">. </w:t>
      </w:r>
    </w:p>
    <w:p w14:paraId="23EF70C0" w14:textId="77777777" w:rsidR="00ED4E52" w:rsidRDefault="00ED4E52" w:rsidP="00ED4E52">
      <w:pPr>
        <w:widowControl w:val="0"/>
        <w:autoSpaceDE w:val="0"/>
        <w:autoSpaceDN w:val="0"/>
        <w:ind w:firstLine="709"/>
        <w:jc w:val="both"/>
        <w:rPr>
          <w:rFonts w:ascii="Verdana" w:eastAsia="Calibri" w:hAnsi="Verdana" w:cs="Arial"/>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i) la vigencia del contrato, pues no podría modificarse un contrato cuyo plazo ha culminado y; ii) la prohibición de consagrar prórrogas automáticas, sucesivas o indefinidas, en tanto resultan contrarias al derecho esencial de la libertad de competencia.</w:t>
      </w:r>
      <w:r w:rsidRPr="00B31C7B">
        <w:rPr>
          <w:rFonts w:ascii="Verdana" w:eastAsia="Calibri" w:hAnsi="Verdana" w:cs="Arial"/>
        </w:rPr>
        <w:t xml:space="preserve"> </w:t>
      </w:r>
    </w:p>
    <w:p w14:paraId="33C529C0" w14:textId="77777777" w:rsidR="00ED4E52" w:rsidRPr="000E3F53" w:rsidRDefault="00ED4E52" w:rsidP="00ED4E52">
      <w:pPr>
        <w:widowControl w:val="0"/>
        <w:autoSpaceDE w:val="0"/>
        <w:autoSpaceDN w:val="0"/>
        <w:ind w:firstLine="709"/>
        <w:jc w:val="both"/>
        <w:rPr>
          <w:rFonts w:ascii="Verdana" w:eastAsia="Calibri" w:hAnsi="Verdana" w:cs="Arial"/>
        </w:rPr>
      </w:pPr>
      <w:r w:rsidRPr="00B31C7B">
        <w:rPr>
          <w:rFonts w:ascii="Verdana" w:eastAsia="Calibri" w:hAnsi="Verdana" w:cs="Arial"/>
        </w:rPr>
        <w:t xml:space="preserve">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1"/>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2"/>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2DDF86D7" w14:textId="77777777" w:rsidR="00ED4E52" w:rsidRPr="0081672C" w:rsidRDefault="00ED4E52" w:rsidP="00ED4E52">
      <w:pPr>
        <w:spacing w:after="0" w:line="240" w:lineRule="auto"/>
        <w:ind w:left="709" w:right="709"/>
        <w:jc w:val="both"/>
        <w:rPr>
          <w:rFonts w:ascii="Verdana" w:hAnsi="Verdana"/>
          <w:sz w:val="21"/>
          <w:szCs w:val="21"/>
        </w:rPr>
      </w:pPr>
      <w:r w:rsidRPr="0081672C">
        <w:rPr>
          <w:rFonts w:ascii="Verdana" w:hAnsi="Verdana"/>
          <w:sz w:val="21"/>
          <w:szCs w:val="21"/>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7344A2A5" w14:textId="77777777" w:rsidR="00ED4E52" w:rsidRPr="0081672C" w:rsidRDefault="00ED4E52" w:rsidP="00ED4E52">
      <w:pPr>
        <w:spacing w:after="0" w:line="240" w:lineRule="auto"/>
        <w:ind w:left="709" w:right="709"/>
        <w:jc w:val="both"/>
        <w:rPr>
          <w:rFonts w:ascii="Verdana" w:hAnsi="Verdana"/>
          <w:sz w:val="21"/>
          <w:szCs w:val="21"/>
        </w:rPr>
      </w:pPr>
      <w:r w:rsidRPr="0081672C">
        <w:rPr>
          <w:rFonts w:ascii="Verdana" w:hAnsi="Verdana"/>
          <w:sz w:val="21"/>
          <w:szCs w:val="21"/>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2B208B27" w14:textId="77777777" w:rsidR="00ED4E52" w:rsidRPr="0081672C" w:rsidRDefault="00ED4E52" w:rsidP="00ED4E52">
      <w:pPr>
        <w:spacing w:after="0" w:line="240" w:lineRule="auto"/>
        <w:ind w:left="709" w:right="709"/>
        <w:jc w:val="both"/>
        <w:rPr>
          <w:rFonts w:ascii="Verdana" w:hAnsi="Verdana"/>
          <w:sz w:val="21"/>
          <w:szCs w:val="21"/>
        </w:rPr>
      </w:pPr>
    </w:p>
    <w:p w14:paraId="1A8730B6" w14:textId="77777777" w:rsidR="00ED4E52" w:rsidRPr="0081672C" w:rsidRDefault="00ED4E52" w:rsidP="00ED4E52">
      <w:pPr>
        <w:spacing w:after="0" w:line="240" w:lineRule="auto"/>
        <w:ind w:left="709" w:right="709"/>
        <w:jc w:val="both"/>
        <w:rPr>
          <w:rFonts w:ascii="Verdana" w:hAnsi="Verdana"/>
          <w:sz w:val="21"/>
          <w:szCs w:val="21"/>
        </w:rPr>
      </w:pPr>
      <w:r w:rsidRPr="0081672C">
        <w:rPr>
          <w:rFonts w:ascii="Verdana" w:hAnsi="Verdana"/>
          <w:sz w:val="21"/>
          <w:szCs w:val="21"/>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81672C">
        <w:rPr>
          <w:rFonts w:ascii="Verdana" w:hAnsi="Verdana"/>
          <w:sz w:val="21"/>
          <w:szCs w:val="21"/>
          <w:vertAlign w:val="superscript"/>
        </w:rPr>
        <w:footnoteReference w:id="13"/>
      </w:r>
      <w:r w:rsidRPr="0081672C">
        <w:rPr>
          <w:rFonts w:ascii="Verdana" w:hAnsi="Verdana"/>
          <w:sz w:val="21"/>
          <w:szCs w:val="21"/>
        </w:rPr>
        <w:t>.</w:t>
      </w:r>
    </w:p>
    <w:p w14:paraId="4F646BEA" w14:textId="77777777" w:rsidR="00ED4E52" w:rsidRPr="0081672C" w:rsidRDefault="00ED4E52" w:rsidP="00ED4E52">
      <w:pPr>
        <w:widowControl w:val="0"/>
        <w:autoSpaceDE w:val="0"/>
        <w:autoSpaceDN w:val="0"/>
        <w:spacing w:after="0" w:line="240" w:lineRule="auto"/>
        <w:jc w:val="both"/>
        <w:rPr>
          <w:rFonts w:ascii="Verdana" w:eastAsia="Calibri" w:hAnsi="Verdana" w:cs="Arial"/>
          <w:sz w:val="21"/>
          <w:szCs w:val="21"/>
        </w:rPr>
      </w:pPr>
    </w:p>
    <w:p w14:paraId="5A8CD9E1" w14:textId="77777777" w:rsidR="00ED4E52" w:rsidRDefault="00ED4E52" w:rsidP="00ED4E52">
      <w:pPr>
        <w:widowControl w:val="0"/>
        <w:autoSpaceDE w:val="0"/>
        <w:autoSpaceDN w:val="0"/>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14"/>
      </w:r>
      <w:r w:rsidRPr="00B31C7B">
        <w:rPr>
          <w:rFonts w:ascii="Verdana" w:eastAsia="Arial" w:hAnsi="Verdana" w:cs="Arial"/>
          <w:i/>
          <w:lang w:val="es-MX" w:eastAsia="es-ES" w:bidi="es-ES"/>
        </w:rPr>
        <w:t xml:space="preserve">. </w:t>
      </w:r>
    </w:p>
    <w:p w14:paraId="688F7FD3" w14:textId="77777777" w:rsidR="00ED4E52" w:rsidRPr="00B31C7B" w:rsidRDefault="00ED4E52" w:rsidP="00ED4E52">
      <w:pPr>
        <w:widowControl w:val="0"/>
        <w:autoSpaceDE w:val="0"/>
        <w:autoSpaceDN w:val="0"/>
        <w:ind w:firstLine="709"/>
        <w:jc w:val="both"/>
        <w:rPr>
          <w:rFonts w:ascii="Verdana" w:eastAsia="Arial" w:hAnsi="Verdana" w:cs="Arial"/>
          <w:i/>
          <w:lang w:val="es-MX" w:eastAsia="es-ES" w:bidi="es-ES"/>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6427C1DA" w14:textId="77777777" w:rsidR="00ED4E52" w:rsidRPr="00AD53BB" w:rsidRDefault="00ED4E52" w:rsidP="00ED4E52">
      <w:pPr>
        <w:widowControl w:val="0"/>
        <w:autoSpaceDE w:val="0"/>
        <w:autoSpaceDN w:val="0"/>
        <w:ind w:firstLine="709"/>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6444C03B" w14:textId="77777777" w:rsidR="00ED4E52" w:rsidRPr="00B31C7B" w:rsidRDefault="00ED4E52" w:rsidP="00ED4E52">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Es claro, entonces, que </w:t>
      </w:r>
      <w:r>
        <w:rPr>
          <w:rFonts w:ascii="Verdana" w:eastAsia="Arial" w:hAnsi="Verdana" w:cs="Arial"/>
          <w:color w:val="000000"/>
          <w:lang w:val="es-ES" w:eastAsia="es-ES" w:bidi="es-ES"/>
        </w:rPr>
        <w:t xml:space="preserve">según el marco jurídico </w:t>
      </w:r>
      <w:r w:rsidRPr="00B31C7B">
        <w:rPr>
          <w:rFonts w:ascii="Verdana" w:eastAsia="Arial" w:hAnsi="Verdana" w:cs="Arial"/>
          <w:color w:val="000000"/>
          <w:lang w:val="es-ES" w:eastAsia="es-ES" w:bidi="es-ES"/>
        </w:rPr>
        <w:t>y</w:t>
      </w:r>
      <w:r>
        <w:rPr>
          <w:rFonts w:ascii="Verdana" w:eastAsia="Arial" w:hAnsi="Verdana" w:cs="Arial"/>
          <w:color w:val="000000"/>
          <w:lang w:val="es-ES" w:eastAsia="es-ES" w:bidi="es-ES"/>
        </w:rPr>
        <w:t xml:space="preserve"> los parámetros fijados por el </w:t>
      </w:r>
      <w:r w:rsidRPr="00B31C7B">
        <w:rPr>
          <w:rFonts w:ascii="Verdana" w:eastAsia="Arial" w:hAnsi="Verdana" w:cs="Arial"/>
          <w:color w:val="000000"/>
          <w:lang w:val="es-ES" w:eastAsia="es-ES" w:bidi="es-ES"/>
        </w:rPr>
        <w:t>Consejo de Estado y la Corte Constitucional, l</w:t>
      </w:r>
      <w:r>
        <w:rPr>
          <w:rFonts w:ascii="Verdana" w:eastAsia="Arial" w:hAnsi="Verdana" w:cs="Arial"/>
          <w:color w:val="000000"/>
          <w:lang w:val="es-ES" w:eastAsia="es-ES" w:bidi="es-ES"/>
        </w:rPr>
        <w:t>os</w:t>
      </w:r>
      <w:r w:rsidRPr="00B31C7B">
        <w:rPr>
          <w:rFonts w:ascii="Verdana" w:eastAsia="Arial" w:hAnsi="Verdana" w:cs="Arial"/>
          <w:color w:val="000000"/>
          <w:lang w:val="es-ES" w:eastAsia="es-ES" w:bidi="es-ES"/>
        </w:rPr>
        <w:t xml:space="preserve"> cual</w:t>
      </w:r>
      <w:r>
        <w:rPr>
          <w:rFonts w:ascii="Verdana" w:eastAsia="Arial" w:hAnsi="Verdana" w:cs="Arial"/>
          <w:color w:val="000000"/>
          <w:lang w:val="es-ES" w:eastAsia="es-ES" w:bidi="es-ES"/>
        </w:rPr>
        <w:t>es</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comparte </w:t>
      </w:r>
      <w:r w:rsidRPr="00B31C7B">
        <w:rPr>
          <w:rFonts w:ascii="Verdana" w:eastAsia="Arial" w:hAnsi="Verdana" w:cs="Arial"/>
          <w:color w:val="000000"/>
          <w:lang w:val="es-ES" w:eastAsia="es-ES" w:bidi="es-ES"/>
        </w:rPr>
        <w:t xml:space="preserve">esta Agencia, es viable jurídicamente modificar los contratos estatales, pero esta medida tienen </w:t>
      </w:r>
      <w:r w:rsidRPr="002C3F7C">
        <w:rPr>
          <w:rFonts w:ascii="Verdana" w:eastAsia="Arial" w:hAnsi="Verdana" w:cs="Arial"/>
          <w:i/>
          <w:iCs/>
          <w:color w:val="000000"/>
          <w:lang w:val="es-ES" w:eastAsia="es-ES" w:bidi="es-ES"/>
        </w:rPr>
        <w:t>carácter excepcional</w:t>
      </w:r>
      <w:r w:rsidRPr="00B31C7B">
        <w:rPr>
          <w:rFonts w:ascii="Verdana" w:eastAsia="Arial" w:hAnsi="Verdana" w:cs="Arial"/>
          <w:color w:val="000000"/>
          <w:lang w:val="es-ES" w:eastAsia="es-ES" w:bidi="es-ES"/>
        </w:rPr>
        <w:t xml:space="preserve"> y solo procede cuando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 pretenda </w:t>
      </w:r>
      <w:r w:rsidRPr="00B31C7B">
        <w:rPr>
          <w:rFonts w:ascii="Verdana" w:eastAsia="Arial" w:hAnsi="Verdana" w:cs="Arial"/>
          <w:color w:val="000000"/>
          <w:lang w:val="es-ES" w:eastAsia="es-ES" w:bidi="es-ES"/>
        </w:rPr>
        <w:t xml:space="preserve">garantizar el interés público, la entidad haya verificado y </w:t>
      </w:r>
      <w:r>
        <w:rPr>
          <w:rFonts w:ascii="Verdana" w:eastAsia="Arial" w:hAnsi="Verdana" w:cs="Arial"/>
          <w:color w:val="000000"/>
          <w:lang w:val="es-ES" w:eastAsia="es-ES" w:bidi="es-ES"/>
        </w:rPr>
        <w:t xml:space="preserve">cualquiera </w:t>
      </w:r>
      <w:r w:rsidRPr="00B31C7B">
        <w:rPr>
          <w:rFonts w:ascii="Verdana" w:eastAsia="Arial" w:hAnsi="Verdana" w:cs="Arial"/>
          <w:color w:val="000000"/>
          <w:lang w:val="es-ES" w:eastAsia="es-ES" w:bidi="es-ES"/>
        </w:rPr>
        <w:t xml:space="preserve">pueda constatar que la causa de la modificación es real y cierta, y </w:t>
      </w:r>
      <w:r>
        <w:rPr>
          <w:rFonts w:ascii="Verdana" w:eastAsia="Arial" w:hAnsi="Verdana" w:cs="Arial"/>
          <w:color w:val="000000"/>
          <w:lang w:val="es-ES" w:eastAsia="es-ES" w:bidi="es-ES"/>
        </w:rPr>
        <w:t xml:space="preserve">la modificación </w:t>
      </w:r>
      <w:r w:rsidRPr="00B31C7B">
        <w:rPr>
          <w:rFonts w:ascii="Verdana" w:eastAsia="Arial" w:hAnsi="Verdana" w:cs="Arial"/>
          <w:color w:val="000000"/>
          <w:lang w:val="es-ES" w:eastAsia="es-ES" w:bidi="es-ES"/>
        </w:rPr>
        <w:t xml:space="preserve">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3C8F70D3" w14:textId="77777777" w:rsidR="00ED4E52" w:rsidRPr="00B31C7B" w:rsidRDefault="00ED4E52" w:rsidP="00ED4E52">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En esta medida, </w:t>
      </w:r>
      <w:r>
        <w:rPr>
          <w:rFonts w:ascii="Verdana" w:eastAsia="Arial" w:hAnsi="Verdana" w:cs="Arial"/>
          <w:color w:val="000000"/>
          <w:lang w:val="es-ES" w:eastAsia="es-ES" w:bidi="es-ES"/>
        </w:rPr>
        <w:t xml:space="preserve">las </w:t>
      </w:r>
      <w:r w:rsidRPr="00B31C7B">
        <w:rPr>
          <w:rFonts w:ascii="Verdana" w:eastAsia="Arial" w:hAnsi="Verdana" w:cs="Arial"/>
          <w:color w:val="000000"/>
          <w:lang w:val="es-ES" w:eastAsia="es-ES" w:bidi="es-ES"/>
        </w:rPr>
        <w:t>modificacione</w:t>
      </w:r>
      <w:r>
        <w:rPr>
          <w:rFonts w:ascii="Verdana" w:eastAsia="Arial" w:hAnsi="Verdana" w:cs="Arial"/>
          <w:color w:val="000000"/>
          <w:lang w:val="es-ES" w:eastAsia="es-ES" w:bidi="es-ES"/>
        </w:rPr>
        <w:t xml:space="preserve">s </w:t>
      </w:r>
      <w:r w:rsidRPr="00B31C7B">
        <w:rPr>
          <w:rFonts w:ascii="Verdana" w:eastAsia="Arial" w:hAnsi="Verdana" w:cs="Arial"/>
          <w:color w:val="000000"/>
          <w:lang w:val="es-ES" w:eastAsia="es-ES" w:bidi="es-ES"/>
        </w:rPr>
        <w:t>se refieren a alteraciones, variaciones, cambios, correcciones en las condiciones y cláusulas del contrato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Estas </w:t>
      </w:r>
      <w:r w:rsidRPr="00B31C7B">
        <w:rPr>
          <w:rFonts w:ascii="Verdana" w:eastAsia="Arial" w:hAnsi="Verdana" w:cs="Arial"/>
          <w:color w:val="000000"/>
          <w:lang w:val="es-ES" w:eastAsia="es-ES" w:bidi="es-ES"/>
        </w:rPr>
        <w:t xml:space="preserve">deben ser suscritas por las partes, sujetándose a lo previsto en la ley, esto es, que </w:t>
      </w:r>
      <w:r w:rsidRPr="000E6A15">
        <w:rPr>
          <w:rFonts w:ascii="Verdana" w:eastAsia="Arial" w:hAnsi="Verdana" w:cs="Arial"/>
          <w:i/>
          <w:iCs/>
          <w:color w:val="000000"/>
          <w:lang w:val="es-ES" w:eastAsia="es-ES" w:bidi="es-ES"/>
        </w:rPr>
        <w:t>se encuentren debidamente justificadas</w:t>
      </w:r>
      <w:r w:rsidRPr="00B31C7B">
        <w:rPr>
          <w:rFonts w:ascii="Verdana" w:eastAsia="Arial" w:hAnsi="Verdana" w:cs="Arial"/>
          <w:color w:val="000000"/>
          <w:lang w:val="es-ES" w:eastAsia="es-ES" w:bidi="es-ES"/>
        </w:rPr>
        <w:t xml:space="preserve">, que </w:t>
      </w:r>
      <w:r w:rsidRPr="000E6A15">
        <w:rPr>
          <w:rFonts w:ascii="Verdana" w:eastAsia="Arial" w:hAnsi="Verdana" w:cs="Arial"/>
          <w:i/>
          <w:iCs/>
          <w:color w:val="000000"/>
          <w:lang w:val="es-ES" w:eastAsia="es-ES" w:bidi="es-ES"/>
        </w:rPr>
        <w:t>no sean el resultado de una indebida planeación</w:t>
      </w:r>
      <w:r w:rsidRPr="00B31C7B">
        <w:rPr>
          <w:rFonts w:ascii="Verdana" w:eastAsia="Arial" w:hAnsi="Verdana" w:cs="Arial"/>
          <w:color w:val="000000"/>
          <w:lang w:val="es-ES" w:eastAsia="es-ES" w:bidi="es-ES"/>
        </w:rPr>
        <w:t xml:space="preserve"> y que consten por escrito, de tal manera que de las mismas se predique su existencia, validez y eficacia. </w:t>
      </w:r>
    </w:p>
    <w:p w14:paraId="65E81CE0" w14:textId="77777777" w:rsidR="00ED4E52" w:rsidRPr="00B31C7B" w:rsidRDefault="00ED4E52" w:rsidP="00ED4E52">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Según</w:t>
      </w:r>
      <w:r>
        <w:rPr>
          <w:rFonts w:ascii="Verdana" w:eastAsia="Arial" w:hAnsi="Verdana" w:cs="Arial"/>
          <w:color w:val="000000"/>
          <w:lang w:val="es-ES" w:eastAsia="es-ES" w:bidi="es-ES"/>
        </w:rPr>
        <w:t xml:space="preserve"> el artículo </w:t>
      </w:r>
      <w:r w:rsidRPr="00B31C7B">
        <w:rPr>
          <w:rFonts w:ascii="Verdana" w:eastAsia="Arial" w:hAnsi="Verdana" w:cs="Arial"/>
          <w:color w:val="000000"/>
          <w:lang w:val="es-ES" w:eastAsia="es-ES" w:bidi="es-ES"/>
        </w:rPr>
        <w:t>14</w:t>
      </w:r>
      <w:r w:rsidRPr="00B31C7B">
        <w:rPr>
          <w:rFonts w:ascii="Verdana" w:eastAsia="Arial" w:hAnsi="Verdana" w:cs="Arial"/>
          <w:color w:val="000000"/>
          <w:vertAlign w:val="superscript"/>
          <w:lang w:val="es-ES" w:eastAsia="es-ES" w:bidi="es-ES"/>
        </w:rPr>
        <w:footnoteReference w:id="15"/>
      </w:r>
      <w:r>
        <w:rPr>
          <w:rFonts w:ascii="Verdana" w:eastAsia="Arial" w:hAnsi="Verdana" w:cs="Arial"/>
          <w:color w:val="000000"/>
          <w:lang w:val="es-ES" w:eastAsia="es-ES" w:bidi="es-ES"/>
        </w:rPr>
        <w:t xml:space="preserve"> de</w:t>
      </w:r>
      <w:r w:rsidRPr="00B31C7B">
        <w:rPr>
          <w:rFonts w:ascii="Verdana" w:eastAsia="Arial" w:hAnsi="Verdana" w:cs="Arial"/>
          <w:color w:val="000000"/>
          <w:lang w:val="es-ES" w:eastAsia="es-ES" w:bidi="es-ES"/>
        </w:rPr>
        <w:t xml:space="preserve"> la Ley 80 de 1993, otro mecanismo con el que cuentan las entidades estatales es el uso de la facultad excepcional de modificación unilateral del contrato, l</w:t>
      </w:r>
      <w:r>
        <w:rPr>
          <w:rFonts w:ascii="Verdana" w:eastAsia="Arial" w:hAnsi="Verdana" w:cs="Arial"/>
          <w:color w:val="000000"/>
          <w:lang w:val="es-ES" w:eastAsia="es-ES" w:bidi="es-ES"/>
        </w:rPr>
        <w:t>a</w:t>
      </w:r>
      <w:r w:rsidRPr="00B31C7B">
        <w:rPr>
          <w:rFonts w:ascii="Verdana" w:eastAsia="Arial" w:hAnsi="Verdana" w:cs="Arial"/>
          <w:color w:val="000000"/>
          <w:lang w:val="es-ES" w:eastAsia="es-ES" w:bidi="es-ES"/>
        </w:rPr>
        <w:t xml:space="preserve"> cual procede siempre y cuando se trate de un contrato que incorpore es</w:t>
      </w:r>
      <w:r>
        <w:rPr>
          <w:rFonts w:ascii="Verdana" w:eastAsia="Arial" w:hAnsi="Verdana" w:cs="Arial"/>
          <w:color w:val="000000"/>
          <w:lang w:val="es-ES" w:eastAsia="es-ES" w:bidi="es-ES"/>
        </w:rPr>
        <w:t>t</w:t>
      </w:r>
      <w:r w:rsidRPr="00B31C7B">
        <w:rPr>
          <w:rFonts w:ascii="Verdana" w:eastAsia="Arial" w:hAnsi="Verdana" w:cs="Arial"/>
          <w:color w:val="000000"/>
          <w:lang w:val="es-ES" w:eastAsia="es-ES" w:bidi="es-ES"/>
        </w:rPr>
        <w:t>a facultad de manera obligatoria o facultativa. En este sentido, el legislador estableció la posibilidad de pactar esta cláusula excepcional en los contratos que tengan por objeto el ejercicio de una actividad que constituya monopolio estatal, la prestación de servicios públicos o la explotación y concesión de bienes del Estado, en los contratos de obra, así como los contratos relacionados con el programa de alimentación escolar.</w:t>
      </w:r>
    </w:p>
    <w:p w14:paraId="14A8AF7E" w14:textId="77777777" w:rsidR="00ED4E52" w:rsidRPr="00B31C7B" w:rsidRDefault="00ED4E52" w:rsidP="00ED4E52">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Conforme a lo anterior, la modificación unilateral es la facultad que tiene la entidad estatal durante de introducir variaciones al contrato, siempre y cuando no haya acuerdo con el contratista sobre estas. </w:t>
      </w:r>
      <w:r>
        <w:rPr>
          <w:rFonts w:ascii="Verdana" w:eastAsia="Arial" w:hAnsi="Verdana" w:cs="Arial"/>
          <w:color w:val="000000"/>
          <w:lang w:val="es-ES" w:eastAsia="es-ES" w:bidi="es-ES"/>
        </w:rPr>
        <w:t xml:space="preserve">En este caso, </w:t>
      </w:r>
      <w:r w:rsidRPr="00B31C7B">
        <w:rPr>
          <w:rFonts w:ascii="Verdana" w:eastAsia="Arial" w:hAnsi="Verdana" w:cs="Arial"/>
          <w:color w:val="000000"/>
          <w:lang w:val="es-ES" w:eastAsia="es-ES" w:bidi="es-ES"/>
        </w:rPr>
        <w:t xml:space="preserve">la entidad estatal </w:t>
      </w:r>
      <w:r>
        <w:rPr>
          <w:rFonts w:ascii="Verdana" w:eastAsia="Arial" w:hAnsi="Verdana" w:cs="Arial"/>
          <w:color w:val="000000"/>
          <w:lang w:val="es-ES" w:eastAsia="es-ES" w:bidi="es-ES"/>
        </w:rPr>
        <w:t xml:space="preserve">podrá </w:t>
      </w:r>
      <w:r w:rsidRPr="00B31C7B">
        <w:rPr>
          <w:rFonts w:ascii="Verdana" w:eastAsia="Arial" w:hAnsi="Verdana" w:cs="Arial"/>
          <w:color w:val="000000"/>
          <w:lang w:val="es-ES" w:eastAsia="es-ES" w:bidi="es-ES"/>
        </w:rPr>
        <w:t>modificar de manera unilateral el contrato a través de acto administrativo motivado. A su vez, la modificación unilateral sólo procede cuando la entidad estatal evidenci</w:t>
      </w:r>
      <w:r>
        <w:rPr>
          <w:rFonts w:ascii="Verdana" w:eastAsia="Arial" w:hAnsi="Verdana" w:cs="Arial"/>
          <w:color w:val="000000"/>
          <w:lang w:val="es-ES" w:eastAsia="es-ES" w:bidi="es-ES"/>
        </w:rPr>
        <w:t>e</w:t>
      </w:r>
      <w:r w:rsidRPr="00B31C7B">
        <w:rPr>
          <w:rFonts w:ascii="Verdana" w:eastAsia="Arial" w:hAnsi="Verdana" w:cs="Arial"/>
          <w:color w:val="000000"/>
          <w:lang w:val="es-ES" w:eastAsia="es-ES" w:bidi="es-ES"/>
        </w:rPr>
        <w:t xml:space="preserve"> que existe una situación que puede afectar o paralizar de manera grave</w:t>
      </w:r>
      <w:r>
        <w:rPr>
          <w:rFonts w:ascii="Verdana" w:eastAsia="Arial" w:hAnsi="Verdana" w:cs="Arial"/>
          <w:color w:val="000000"/>
          <w:lang w:val="es-ES" w:eastAsia="es-ES" w:bidi="es-ES"/>
        </w:rPr>
        <w:t xml:space="preserve"> la ejecución</w:t>
      </w:r>
      <w:r w:rsidRPr="00B31C7B">
        <w:rPr>
          <w:rFonts w:ascii="Verdana" w:eastAsia="Arial" w:hAnsi="Verdana" w:cs="Arial"/>
          <w:color w:val="000000"/>
          <w:vertAlign w:val="superscript"/>
          <w:lang w:val="es-ES" w:eastAsia="es-ES" w:bidi="es-ES"/>
        </w:rPr>
        <w:footnoteReference w:id="16"/>
      </w:r>
      <w:r w:rsidRPr="00B31C7B">
        <w:rPr>
          <w:rFonts w:ascii="Verdana" w:eastAsia="Arial" w:hAnsi="Verdana" w:cs="Arial"/>
          <w:color w:val="000000"/>
          <w:lang w:val="es-ES" w:eastAsia="es-ES" w:bidi="es-ES"/>
        </w:rPr>
        <w:t>.</w:t>
      </w:r>
    </w:p>
    <w:p w14:paraId="266140C1" w14:textId="77777777" w:rsidR="00ED4E52" w:rsidRPr="00B31C7B" w:rsidRDefault="00ED4E52" w:rsidP="00ED4E52">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Sin perjuicio de lo anterior, las modificaciones no </w:t>
      </w:r>
      <w:r>
        <w:rPr>
          <w:rFonts w:ascii="Verdana" w:eastAsia="Arial" w:hAnsi="Verdana" w:cs="Arial"/>
          <w:color w:val="000000"/>
          <w:lang w:val="es-ES" w:eastAsia="es-ES" w:bidi="es-ES"/>
        </w:rPr>
        <w:t xml:space="preserve">pueden </w:t>
      </w:r>
      <w:r w:rsidRPr="00B31C7B">
        <w:rPr>
          <w:rFonts w:ascii="Verdana" w:eastAsia="Arial" w:hAnsi="Verdana" w:cs="Arial"/>
          <w:color w:val="000000"/>
          <w:lang w:val="es-ES" w:eastAsia="es-ES" w:bidi="es-ES"/>
        </w:rPr>
        <w:t>suponer la variación del objeto d</w:t>
      </w:r>
      <w:r>
        <w:rPr>
          <w:rFonts w:ascii="Verdana" w:eastAsia="Arial" w:hAnsi="Verdana" w:cs="Arial"/>
          <w:color w:val="000000"/>
          <w:lang w:val="es-ES" w:eastAsia="es-ES" w:bidi="es-ES"/>
        </w:rPr>
        <w:t>el</w:t>
      </w:r>
      <w:r w:rsidRPr="00B31C7B">
        <w:rPr>
          <w:rFonts w:ascii="Verdana" w:eastAsia="Arial" w:hAnsi="Verdana" w:cs="Arial"/>
          <w:color w:val="000000"/>
          <w:lang w:val="es-ES" w:eastAsia="es-ES" w:bidi="es-ES"/>
        </w:rPr>
        <w:t xml:space="preserve"> contrato, pues </w:t>
      </w:r>
      <w:r>
        <w:rPr>
          <w:rFonts w:ascii="Verdana" w:eastAsia="Arial" w:hAnsi="Verdana" w:cs="Arial"/>
          <w:color w:val="000000"/>
          <w:lang w:val="es-ES" w:eastAsia="es-ES" w:bidi="es-ES"/>
        </w:rPr>
        <w:t xml:space="preserve">esto </w:t>
      </w:r>
      <w:r w:rsidRPr="00B31C7B">
        <w:rPr>
          <w:rFonts w:ascii="Verdana" w:eastAsia="Arial" w:hAnsi="Verdana" w:cs="Arial"/>
          <w:color w:val="000000"/>
          <w:lang w:val="es-ES" w:eastAsia="es-ES" w:bidi="es-ES"/>
        </w:rPr>
        <w:t xml:space="preserve">implica la alteración de su esencia y lo </w:t>
      </w:r>
      <w:r>
        <w:rPr>
          <w:rFonts w:ascii="Verdana" w:eastAsia="Arial" w:hAnsi="Verdana" w:cs="Arial"/>
          <w:color w:val="000000"/>
          <w:lang w:val="es-ES" w:eastAsia="es-ES" w:bidi="es-ES"/>
        </w:rPr>
        <w:t xml:space="preserve">convierte </w:t>
      </w:r>
      <w:r w:rsidRPr="00B31C7B">
        <w:rPr>
          <w:rFonts w:ascii="Verdana" w:eastAsia="Arial" w:hAnsi="Verdana" w:cs="Arial"/>
          <w:color w:val="000000"/>
          <w:lang w:val="es-ES" w:eastAsia="es-ES" w:bidi="es-ES"/>
        </w:rPr>
        <w:t xml:space="preserve">en otro tipo de negocio jurídico. </w:t>
      </w:r>
      <w:r>
        <w:rPr>
          <w:rFonts w:ascii="Verdana" w:eastAsia="Arial" w:hAnsi="Verdana" w:cs="Arial"/>
          <w:color w:val="000000"/>
          <w:lang w:val="es-ES" w:eastAsia="es-ES" w:bidi="es-ES"/>
        </w:rPr>
        <w:t xml:space="preserve">En estos casos, lo </w:t>
      </w:r>
      <w:r w:rsidRPr="00B31C7B">
        <w:rPr>
          <w:rFonts w:ascii="Verdana" w:eastAsia="Arial" w:hAnsi="Verdana" w:cs="Arial"/>
          <w:color w:val="000000"/>
          <w:lang w:val="es-ES" w:eastAsia="es-ES" w:bidi="es-ES"/>
        </w:rPr>
        <w:t>indicado no sería modificar el contrato sino celebrar uno nuevo. Sobre este último punto, la doctrina</w:t>
      </w:r>
      <w:r w:rsidRPr="00B31C7B">
        <w:rPr>
          <w:rFonts w:ascii="Verdana" w:eastAsia="Arial" w:hAnsi="Verdana" w:cs="Arial"/>
          <w:color w:val="000000"/>
          <w:vertAlign w:val="superscript"/>
          <w:lang w:val="es-ES" w:eastAsia="es-ES" w:bidi="es-ES"/>
        </w:rPr>
        <w:footnoteReference w:id="17"/>
      </w:r>
      <w:r w:rsidRPr="00B31C7B">
        <w:rPr>
          <w:rFonts w:ascii="Verdana" w:eastAsia="Arial" w:hAnsi="Verdana" w:cs="Arial"/>
          <w:color w:val="000000"/>
          <w:lang w:val="es-ES" w:eastAsia="es-ES" w:bidi="es-ES"/>
        </w:rPr>
        <w:t xml:space="preserve"> ha precisado que cuando </w:t>
      </w:r>
      <w:r w:rsidRPr="00B31C7B">
        <w:rPr>
          <w:rFonts w:ascii="Verdana" w:eastAsia="Arial" w:hAnsi="Verdana" w:cs="Arial"/>
          <w:color w:val="000000"/>
          <w:lang w:val="es-MX" w:eastAsia="es-ES" w:bidi="es-ES"/>
        </w:rPr>
        <w:t>“</w:t>
      </w:r>
      <w:r w:rsidRPr="00B31C7B">
        <w:rPr>
          <w:rFonts w:ascii="Verdana" w:eastAsia="Arial" w:hAnsi="Verdana" w:cs="Arial"/>
          <w:i/>
          <w:iCs/>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B31C7B">
        <w:rPr>
          <w:rFonts w:ascii="Verdana" w:eastAsia="Arial" w:hAnsi="Verdana" w:cs="Arial"/>
          <w:i/>
          <w:iCs/>
          <w:color w:val="000000"/>
          <w:lang w:val="es-MX" w:eastAsia="es-ES" w:bidi="es-ES"/>
        </w:rPr>
        <w:t>”</w:t>
      </w:r>
      <w:r w:rsidRPr="00B31C7B">
        <w:rPr>
          <w:rFonts w:ascii="Verdana" w:eastAsia="Arial" w:hAnsi="Verdana" w:cs="Arial"/>
          <w:i/>
          <w:iCs/>
          <w:color w:val="000000"/>
          <w:vertAlign w:val="superscript"/>
          <w:lang w:val="es-MX" w:eastAsia="es-ES" w:bidi="es-ES"/>
        </w:rPr>
        <w:footnoteReference w:id="18"/>
      </w:r>
      <w:r w:rsidRPr="00B31C7B">
        <w:rPr>
          <w:rFonts w:ascii="Verdana" w:eastAsia="Arial" w:hAnsi="Verdana" w:cs="Arial"/>
          <w:color w:val="000000"/>
          <w:lang w:val="es-ES" w:eastAsia="es-ES" w:bidi="es-ES"/>
        </w:rPr>
        <w:t xml:space="preserve">. </w:t>
      </w:r>
    </w:p>
    <w:p w14:paraId="7BFDE6A1" w14:textId="77777777" w:rsidR="00ED4E52" w:rsidRDefault="00ED4E52" w:rsidP="00ED4E52">
      <w:pPr>
        <w:spacing w:after="120" w:line="276" w:lineRule="auto"/>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Para </w:t>
      </w:r>
      <w:r>
        <w:rPr>
          <w:rFonts w:ascii="Verdana" w:eastAsia="Arial" w:hAnsi="Verdana" w:cs="Arial"/>
          <w:color w:val="000000"/>
          <w:lang w:val="es-ES" w:eastAsia="es-ES" w:bidi="es-ES"/>
        </w:rPr>
        <w:t xml:space="preserve">determinar </w:t>
      </w:r>
      <w:r w:rsidRPr="00B31C7B">
        <w:rPr>
          <w:rFonts w:ascii="Verdana" w:eastAsia="Arial" w:hAnsi="Verdana" w:cs="Arial"/>
          <w:color w:val="000000"/>
          <w:lang w:val="es-ES" w:eastAsia="es-ES" w:bidi="es-ES"/>
        </w:rPr>
        <w:t xml:space="preserve">los aspectos que no alteran </w:t>
      </w:r>
      <w:r w:rsidRPr="00305FD0">
        <w:rPr>
          <w:rFonts w:ascii="Verdana" w:eastAsia="Arial" w:hAnsi="Verdana" w:cs="Arial"/>
          <w:i/>
          <w:iCs/>
          <w:color w:val="000000"/>
          <w:lang w:val="es-ES" w:eastAsia="es-ES" w:bidi="es-ES"/>
        </w:rPr>
        <w:t>la esencia</w:t>
      </w:r>
      <w:r w:rsidRPr="00B31C7B">
        <w:rPr>
          <w:rFonts w:ascii="Verdana" w:eastAsia="Arial" w:hAnsi="Verdana" w:cs="Arial"/>
          <w:color w:val="000000"/>
          <w:lang w:val="es-ES" w:eastAsia="es-ES" w:bidi="es-ES"/>
        </w:rPr>
        <w:t xml:space="preserve"> del contrato estatal y </w:t>
      </w:r>
      <w:r>
        <w:rPr>
          <w:rFonts w:ascii="Verdana" w:eastAsia="Arial" w:hAnsi="Verdana" w:cs="Arial"/>
          <w:color w:val="000000"/>
          <w:lang w:val="es-ES" w:eastAsia="es-ES" w:bidi="es-ES"/>
        </w:rPr>
        <w:t xml:space="preserve">cuya modificación no </w:t>
      </w:r>
      <w:r w:rsidRPr="00B31C7B">
        <w:rPr>
          <w:rFonts w:ascii="Verdana" w:eastAsia="Arial" w:hAnsi="Verdana" w:cs="Arial"/>
          <w:color w:val="000000"/>
          <w:lang w:val="es-ES" w:eastAsia="es-ES" w:bidi="es-ES"/>
        </w:rPr>
        <w:t xml:space="preserve">lo convierte en otro contrato, resulta útil remitirse a lo previsto en el artículo 1501 del Código Civil que establece que los contratos tienen elementos de su esencia, de su naturaleza y accidentales. En todo caso, corresponderá a cada entidad estatal </w:t>
      </w:r>
      <w:r>
        <w:rPr>
          <w:rFonts w:ascii="Verdana" w:eastAsia="Arial" w:hAnsi="Verdana" w:cs="Arial"/>
          <w:color w:val="000000"/>
          <w:lang w:val="es-ES" w:eastAsia="es-ES" w:bidi="es-ES"/>
        </w:rPr>
        <w:t xml:space="preserve">analizar si la modificación es procedente </w:t>
      </w:r>
      <w:r w:rsidRPr="00B31C7B">
        <w:rPr>
          <w:rFonts w:ascii="Verdana" w:eastAsia="Arial" w:hAnsi="Verdana" w:cs="Arial"/>
          <w:color w:val="000000"/>
          <w:lang w:val="es-ES" w:eastAsia="es-ES" w:bidi="es-ES"/>
        </w:rPr>
        <w:t>desde la perspectiva jurídica, administrativa, técnica y financiera</w:t>
      </w:r>
      <w:r>
        <w:rPr>
          <w:rFonts w:ascii="Verdana" w:eastAsia="Arial" w:hAnsi="Verdana" w:cs="Arial"/>
          <w:color w:val="000000"/>
          <w:lang w:val="es-ES" w:eastAsia="es-ES" w:bidi="es-ES"/>
        </w:rPr>
        <w:t>, así como constatar que cuente con la documentación que</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la sustente </w:t>
      </w:r>
      <w:r w:rsidRPr="00B31C7B">
        <w:rPr>
          <w:rFonts w:ascii="Verdana" w:eastAsia="Arial" w:hAnsi="Verdana" w:cs="Arial"/>
          <w:color w:val="000000"/>
          <w:lang w:val="es-ES" w:eastAsia="es-ES" w:bidi="es-ES"/>
        </w:rPr>
        <w:t>por parte de los funcionarios que participan dentro del proceso de contratación, como los supervisores y/o interventores</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y comités internos de contratación.  </w:t>
      </w:r>
    </w:p>
    <w:p w14:paraId="5685A95F" w14:textId="77777777" w:rsidR="00ED4E52" w:rsidRPr="00072FBB" w:rsidRDefault="00ED4E52" w:rsidP="00ED4E52">
      <w:pPr>
        <w:autoSpaceDE w:val="0"/>
        <w:autoSpaceDN w:val="0"/>
        <w:adjustRightInd w:val="0"/>
        <w:spacing w:after="120" w:line="276" w:lineRule="auto"/>
        <w:jc w:val="both"/>
        <w:rPr>
          <w:rFonts w:ascii="Verdana" w:hAnsi="Verdana" w:cs="Arial"/>
          <w:i/>
        </w:rPr>
      </w:pPr>
      <w:r>
        <w:rPr>
          <w:rFonts w:ascii="Verdana" w:eastAsia="Times New Roman" w:hAnsi="Verdana" w:cs="Arial"/>
          <w:shd w:val="clear" w:color="auto" w:fill="FFFFFF"/>
          <w:lang w:val="es-ES"/>
        </w:rPr>
        <w:t xml:space="preserve">iii. </w:t>
      </w: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072FBB">
        <w:rPr>
          <w:rFonts w:ascii="Verdana" w:hAnsi="Verdana" w:cs="Arial"/>
          <w:i/>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60BF7727" w14:textId="77777777" w:rsidR="00ED4E52" w:rsidRDefault="00ED4E52" w:rsidP="00ED4E52">
      <w:pPr>
        <w:spacing w:after="120" w:line="276" w:lineRule="auto"/>
        <w:ind w:firstLine="709"/>
        <w:jc w:val="both"/>
        <w:rPr>
          <w:rFonts w:ascii="Verdana" w:eastAsia="Calibri" w:hAnsi="Verdana" w:cs="Arial"/>
          <w:color w:val="000000"/>
        </w:rPr>
      </w:pPr>
      <w:r>
        <w:rPr>
          <w:rFonts w:ascii="Verdana" w:eastAsia="Calibri" w:hAnsi="Verdana" w:cs="Arial"/>
          <w:color w:val="000000"/>
        </w:rPr>
        <w:t>De esta forma,</w:t>
      </w:r>
      <w:r w:rsidRPr="008D2E7A">
        <w:t xml:space="preserve"> </w:t>
      </w:r>
      <w:r>
        <w:rPr>
          <w:rFonts w:ascii="Verdana" w:hAnsi="Verdana"/>
        </w:rPr>
        <w:t>el uso de</w:t>
      </w:r>
      <w:r>
        <w:rPr>
          <w:rFonts w:ascii="Verdana" w:eastAsia="Calibri" w:hAnsi="Verdana" w:cs="Arial"/>
          <w:color w:val="000000"/>
        </w:rPr>
        <w:t xml:space="preserve"> cláusulas amplias o de obligaciones indeterminadas en</w:t>
      </w:r>
      <w:r w:rsidRPr="008D2E7A">
        <w:rPr>
          <w:rFonts w:ascii="Verdana" w:eastAsia="Calibri" w:hAnsi="Verdana" w:cs="Arial"/>
          <w:color w:val="000000"/>
        </w:rPr>
        <w:t xml:space="preserve"> los contratos de prestación de servicios</w:t>
      </w:r>
      <w:r>
        <w:rPr>
          <w:rFonts w:ascii="Verdana" w:eastAsia="Calibri" w:hAnsi="Verdana" w:cs="Arial"/>
          <w:color w:val="000000"/>
        </w:rPr>
        <w:t xml:space="preserve"> debe analizarse</w:t>
      </w:r>
      <w:r w:rsidRPr="008D2E7A">
        <w:rPr>
          <w:rFonts w:ascii="Verdana" w:eastAsia="Calibri" w:hAnsi="Verdana" w:cs="Arial"/>
          <w:color w:val="000000"/>
        </w:rPr>
        <w:t xml:space="preserve"> </w:t>
      </w:r>
      <w:r>
        <w:rPr>
          <w:rFonts w:ascii="Verdana" w:eastAsia="Calibri" w:hAnsi="Verdana" w:cs="Arial"/>
          <w:color w:val="000000"/>
        </w:rPr>
        <w:t xml:space="preserve">de acuerdo con las características enlistadas anteriormente. Así, los contratos de prestación de servicios solo pueden celebrarse </w:t>
      </w:r>
      <w:r w:rsidRPr="00D14454">
        <w:rPr>
          <w:rFonts w:ascii="Verdana" w:eastAsia="Calibri" w:hAnsi="Verdana" w:cs="Arial"/>
          <w:color w:val="000000"/>
        </w:rPr>
        <w:t>para realizar “actividades relacionadas con la administración o funcionamiento de la entidad”</w:t>
      </w:r>
      <w:r>
        <w:rPr>
          <w:rFonts w:ascii="Verdana" w:eastAsia="Calibri" w:hAnsi="Verdana" w:cs="Arial"/>
          <w:color w:val="000000"/>
        </w:rPr>
        <w:t xml:space="preserve">. En ese sentido, las cláusulas que se incluyan en los contratos deben guardar conexidad con el objeto contractual pactado. </w:t>
      </w:r>
    </w:p>
    <w:p w14:paraId="2C4B049C" w14:textId="77777777" w:rsidR="00ED4E52" w:rsidRPr="009B4DB8" w:rsidRDefault="00ED4E52" w:rsidP="00ED4E52">
      <w:pPr>
        <w:spacing w:after="120" w:line="276" w:lineRule="auto"/>
        <w:ind w:firstLine="709"/>
        <w:jc w:val="both"/>
        <w:rPr>
          <w:rFonts w:ascii="Verdana" w:eastAsia="Calibri" w:hAnsi="Verdana" w:cs="Arial"/>
          <w:color w:val="000000"/>
        </w:rPr>
      </w:pPr>
      <w:r w:rsidRPr="009B4DB8">
        <w:rPr>
          <w:rFonts w:ascii="Verdana" w:eastAsia="Calibri" w:hAnsi="Verdana" w:cs="Arial"/>
          <w:color w:val="000000"/>
        </w:rPr>
        <w:t>En consecuencia, las cláusulas</w:t>
      </w:r>
      <w:r w:rsidRPr="00DF64E0">
        <w:rPr>
          <w:rFonts w:ascii="Verdana" w:eastAsia="Calibri" w:hAnsi="Verdana" w:cs="Arial"/>
          <w:color w:val="000000"/>
        </w:rPr>
        <w:t xml:space="preserve"> que</w:t>
      </w:r>
      <w:r>
        <w:rPr>
          <w:rFonts w:ascii="Verdana" w:eastAsia="Calibri" w:hAnsi="Verdana" w:cs="Arial"/>
          <w:color w:val="000000"/>
        </w:rPr>
        <w:t>,</w:t>
      </w:r>
      <w:r w:rsidRPr="00DF64E0">
        <w:rPr>
          <w:rFonts w:ascii="Verdana" w:eastAsia="Calibri" w:hAnsi="Verdana" w:cs="Arial"/>
          <w:color w:val="000000"/>
        </w:rPr>
        <w:t xml:space="preserve"> se incluyan en el contrato deben interpretarse con</w:t>
      </w:r>
      <w:r w:rsidRPr="009B4DB8">
        <w:rPr>
          <w:rFonts w:ascii="Verdana" w:eastAsia="Calibri" w:hAnsi="Verdana" w:cs="Arial"/>
          <w:color w:val="000000"/>
        </w:rPr>
        <w:t>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del mismo deben restringirse al objeto del contrato conforme al principio de planeación y a la autonomía de la voluntad de las partes.</w:t>
      </w:r>
    </w:p>
    <w:p w14:paraId="54FCAEA9" w14:textId="77777777" w:rsidR="00ED4E52" w:rsidRPr="009B4DB8" w:rsidRDefault="00ED4E52" w:rsidP="00ED4E52">
      <w:pPr>
        <w:spacing w:after="120" w:line="276" w:lineRule="auto"/>
        <w:ind w:firstLine="709"/>
        <w:jc w:val="both"/>
        <w:rPr>
          <w:rFonts w:ascii="Verdana" w:eastAsia="Calibri" w:hAnsi="Verdana" w:cs="Arial"/>
          <w:color w:val="000000"/>
        </w:rPr>
      </w:pPr>
      <w:r w:rsidRPr="00072FBB">
        <w:rPr>
          <w:rFonts w:ascii="Verdana" w:eastAsia="Times New Roman" w:hAnsi="Verdana" w:cs="Segoe UI"/>
          <w:lang w:eastAsia="es-ES_tradnl"/>
        </w:rPr>
        <w:t xml:space="preserve">Lo anterior implica que, si bien </w:t>
      </w:r>
      <w:r w:rsidRPr="00072FBB">
        <w:rPr>
          <w:rFonts w:ascii="Verdana" w:eastAsia="Times New Roman" w:hAnsi="Verdana" w:cs="Arial"/>
          <w:color w:val="0A0A0A"/>
          <w:shd w:val="clear" w:color="auto" w:fill="FFFFFF"/>
          <w:lang w:eastAsia="es-ES_tradnl"/>
        </w:rPr>
        <w:t xml:space="preserve">es posible y recomendable pactar cláusulas amplias o indeterminadas, como “otras obligaciones relacionadas con el objeto” o “las demás obligaciones que asigne el supervisor” en los contratos de prestación de servicios, lo cierto es que, </w:t>
      </w:r>
      <w:r>
        <w:rPr>
          <w:rFonts w:ascii="Verdana" w:eastAsia="Times New Roman" w:hAnsi="Verdana" w:cs="Arial"/>
          <w:color w:val="0A0A0A"/>
          <w:shd w:val="clear" w:color="auto" w:fill="FFFFFF"/>
          <w:lang w:eastAsia="es-ES_tradnl"/>
        </w:rPr>
        <w:t xml:space="preserve">el </w:t>
      </w:r>
      <w:r w:rsidRPr="00072FBB">
        <w:rPr>
          <w:rFonts w:ascii="Verdana" w:eastAsia="Times New Roman" w:hAnsi="Verdana" w:cs="Segoe UI"/>
          <w:lang w:eastAsia="es-ES_tradnl"/>
        </w:rPr>
        <w:t xml:space="preserve">supervisor no puede </w:t>
      </w:r>
      <w:r>
        <w:rPr>
          <w:rFonts w:ascii="Verdana" w:eastAsia="Times New Roman" w:hAnsi="Verdana" w:cs="Segoe UI"/>
          <w:lang w:eastAsia="es-ES_tradnl"/>
        </w:rPr>
        <w:t xml:space="preserve">fijar obligaciones que </w:t>
      </w:r>
      <w:r w:rsidRPr="003925DB">
        <w:rPr>
          <w:rFonts w:ascii="Verdana" w:eastAsia="Times New Roman" w:hAnsi="Verdana" w:cs="Segoe UI"/>
          <w:lang w:eastAsia="es-ES_tradnl"/>
        </w:rPr>
        <w:t>amplí</w:t>
      </w:r>
      <w:r>
        <w:rPr>
          <w:rFonts w:ascii="Verdana" w:eastAsia="Times New Roman" w:hAnsi="Verdana" w:cs="Segoe UI"/>
          <w:lang w:eastAsia="es-ES_tradnl"/>
        </w:rPr>
        <w:t>en</w:t>
      </w:r>
      <w:r w:rsidRPr="00072FBB">
        <w:rPr>
          <w:rFonts w:ascii="Verdana" w:eastAsia="Times New Roman" w:hAnsi="Verdana" w:cs="Segoe UI"/>
          <w:lang w:eastAsia="es-ES_tradnl"/>
        </w:rPr>
        <w:t xml:space="preserve"> el objeto del contrato ni imponer tareas que lo desborden</w:t>
      </w:r>
      <w:r>
        <w:rPr>
          <w:rFonts w:ascii="Verdana" w:eastAsia="Times New Roman" w:hAnsi="Verdana" w:cs="Segoe UI"/>
          <w:lang w:eastAsia="es-ES_tradnl"/>
        </w:rPr>
        <w:t xml:space="preserve">. Esto, </w:t>
      </w:r>
      <w:r w:rsidRPr="00072FBB">
        <w:rPr>
          <w:rFonts w:ascii="Verdana" w:eastAsia="Times New Roman" w:hAnsi="Verdana" w:cs="Segoe UI"/>
          <w:lang w:eastAsia="es-ES_tradnl"/>
        </w:rPr>
        <w:t>puesto que tales actuaciones desconocerían la naturaleza jurídica del contrato de prestación de servicios y podrían generar riesgos como la desnaturalización del vínculo contractual.</w:t>
      </w:r>
    </w:p>
    <w:p w14:paraId="7CC56900" w14:textId="77777777" w:rsidR="00ED4E52" w:rsidRPr="004C4132" w:rsidRDefault="00ED4E52" w:rsidP="00ED4E52">
      <w:pPr>
        <w:tabs>
          <w:tab w:val="left" w:pos="709"/>
        </w:tabs>
        <w:spacing w:after="0" w:line="276" w:lineRule="auto"/>
        <w:jc w:val="both"/>
        <w:rPr>
          <w:rFonts w:ascii="Verdana" w:eastAsia="Calibri" w:hAnsi="Verdana" w:cs="Arial"/>
          <w:color w:val="000000" w:themeColor="text1"/>
          <w:lang w:val="es-ES" w:eastAsia="es-ES"/>
        </w:rPr>
      </w:pPr>
      <w:r w:rsidRPr="009F4646">
        <w:rPr>
          <w:rFonts w:ascii="Verdana" w:eastAsia="Calibri" w:hAnsi="Verdana" w:cs="Arial"/>
          <w:color w:val="EE0000"/>
          <w:lang w:eastAsia="es-ES"/>
        </w:rPr>
        <w:tab/>
      </w:r>
      <w:r w:rsidRPr="008A301C">
        <w:rPr>
          <w:rFonts w:ascii="Verdana" w:eastAsia="Calibri" w:hAnsi="Verdana" w:cs="Arial"/>
          <w:bCs/>
          <w:color w:val="000000" w:themeColor="text1"/>
        </w:rPr>
        <w:t xml:space="preserve">Al margen de la explicación precedente debe advertirse que </w:t>
      </w:r>
      <w:r w:rsidRPr="008A301C">
        <w:rPr>
          <w:rStyle w:val="s15"/>
          <w:rFonts w:ascii="Verdana" w:hAnsi="Verdana"/>
          <w:color w:val="000000" w:themeColor="text1"/>
        </w:rPr>
        <w:t>el análisis requerido para resolver problemas específicos en torno a la gestión contractual debe ser realizado por quienes tengan interés en ello, de acuerdo con lo explicado la aclaración preliminar del presente oficio</w:t>
      </w:r>
      <w:r w:rsidRPr="008A301C">
        <w:rPr>
          <w:rFonts w:ascii="Verdana" w:eastAsia="Calibri" w:hAnsi="Verdana" w:cs="Arial"/>
          <w:bCs/>
          <w:color w:val="000000" w:themeColor="text1"/>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C5A1C83" w14:textId="77777777" w:rsidR="00ED4E52" w:rsidRPr="00C54887" w:rsidRDefault="00ED4E52" w:rsidP="00ED4E52">
      <w:pPr>
        <w:widowControl w:val="0"/>
        <w:autoSpaceDE w:val="0"/>
        <w:autoSpaceDN w:val="0"/>
        <w:spacing w:after="0" w:line="276" w:lineRule="auto"/>
        <w:jc w:val="both"/>
        <w:rPr>
          <w:rFonts w:ascii="Verdana" w:hAnsi="Verdana" w:cs="Arial"/>
          <w:lang w:eastAsia="es-ES"/>
        </w:rPr>
      </w:pPr>
    </w:p>
    <w:bookmarkEnd w:id="3"/>
    <w:bookmarkEnd w:id="4"/>
    <w:p w14:paraId="68049CA3" w14:textId="287E6EBE" w:rsidR="00ED4E52" w:rsidRPr="001F283D" w:rsidRDefault="00ED4E52" w:rsidP="00ED4E52">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r w:rsidR="00695301">
        <w:rPr>
          <w:rFonts w:ascii="Verdana" w:eastAsia="Century Gothic" w:hAnsi="Verdana" w:cs="Century Gothic"/>
          <w:b/>
          <w:bCs/>
        </w:rPr>
        <w:t xml:space="preserve">, jurisprudenciales y otras fuentes: </w:t>
      </w:r>
    </w:p>
    <w:bookmarkEnd w:id="5"/>
    <w:p w14:paraId="13FA0B42" w14:textId="77777777" w:rsidR="00ED4E52" w:rsidRPr="00593A5F" w:rsidRDefault="00ED4E52" w:rsidP="00ED4E5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D4E52" w:rsidRPr="002407CE" w14:paraId="29ED0011" w14:textId="77777777" w:rsidTr="009A671D">
        <w:trPr>
          <w:trHeight w:val="870"/>
          <w:jc w:val="center"/>
        </w:trPr>
        <w:tc>
          <w:tcPr>
            <w:tcW w:w="8647" w:type="dxa"/>
          </w:tcPr>
          <w:p w14:paraId="7A8EA7FB" w14:textId="77777777" w:rsidR="00ED4E52" w:rsidRDefault="00ED4E52" w:rsidP="00ED4E52">
            <w:pPr>
              <w:pStyle w:val="Prrafodelista"/>
              <w:numPr>
                <w:ilvl w:val="0"/>
                <w:numId w:val="18"/>
              </w:numPr>
              <w:spacing w:line="276" w:lineRule="auto"/>
              <w:jc w:val="both"/>
              <w:rPr>
                <w:rFonts w:ascii="Verdana" w:eastAsia="Arial MT" w:hAnsi="Verdana" w:cs="Arial"/>
                <w:lang w:eastAsia="es-ES" w:bidi="es-ES"/>
              </w:rPr>
            </w:pPr>
            <w:r w:rsidRPr="009835ED">
              <w:rPr>
                <w:rFonts w:ascii="Verdana" w:eastAsia="Arial MT" w:hAnsi="Verdana" w:cs="Arial"/>
                <w:lang w:eastAsia="es-ES" w:bidi="es-ES"/>
              </w:rPr>
              <w:t>Ley 80 de 1993. Artículo</w:t>
            </w:r>
            <w:r>
              <w:rPr>
                <w:rFonts w:ascii="Verdana" w:eastAsia="Arial MT" w:hAnsi="Verdana" w:cs="Arial"/>
                <w:lang w:eastAsia="es-ES" w:bidi="es-ES"/>
              </w:rPr>
              <w:t>s:</w:t>
            </w:r>
            <w:r w:rsidRPr="009835ED">
              <w:rPr>
                <w:rFonts w:ascii="Verdana" w:eastAsia="Arial MT" w:hAnsi="Verdana" w:cs="Arial"/>
                <w:lang w:eastAsia="es-ES" w:bidi="es-ES"/>
              </w:rPr>
              <w:t xml:space="preserve"> </w:t>
            </w:r>
            <w:r>
              <w:rPr>
                <w:rFonts w:ascii="Verdana" w:eastAsia="Arial MT" w:hAnsi="Verdana" w:cs="Arial"/>
                <w:lang w:eastAsia="es-ES" w:bidi="es-ES"/>
              </w:rPr>
              <w:t xml:space="preserve">11, 12, 14, 16, </w:t>
            </w:r>
            <w:r w:rsidRPr="009835ED">
              <w:rPr>
                <w:rFonts w:ascii="Verdana" w:eastAsia="Arial MT" w:hAnsi="Verdana" w:cs="Arial"/>
                <w:lang w:eastAsia="es-ES" w:bidi="es-ES"/>
              </w:rPr>
              <w:t xml:space="preserve">40. </w:t>
            </w:r>
          </w:p>
          <w:p w14:paraId="4DCF538D" w14:textId="77777777" w:rsidR="00ED4E52" w:rsidRDefault="00ED4E52" w:rsidP="00ED4E52">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Código Civil. Artículo 1501.</w:t>
            </w:r>
          </w:p>
          <w:p w14:paraId="25C51C5E" w14:textId="77777777" w:rsidR="00ED4E52" w:rsidRDefault="00ED4E52" w:rsidP="00ED4E52">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 85.</w:t>
            </w:r>
          </w:p>
          <w:p w14:paraId="15DE1B51" w14:textId="77777777" w:rsidR="00ED4E52" w:rsidRDefault="00ED4E52" w:rsidP="00ED4E52">
            <w:pPr>
              <w:pStyle w:val="Prrafodelista"/>
              <w:numPr>
                <w:ilvl w:val="0"/>
                <w:numId w:val="18"/>
              </w:numPr>
              <w:spacing w:line="276" w:lineRule="auto"/>
              <w:jc w:val="both"/>
              <w:rPr>
                <w:rFonts w:ascii="Verdana" w:eastAsia="Arial MT" w:hAnsi="Verdana" w:cs="Arial"/>
                <w:lang w:eastAsia="es-ES" w:bidi="es-ES"/>
              </w:rPr>
            </w:pPr>
            <w:r w:rsidRPr="005C1F44">
              <w:rPr>
                <w:rFonts w:ascii="Verdana" w:eastAsia="Arial MT" w:hAnsi="Verdana" w:cs="Arial"/>
                <w:lang w:eastAsia="es-ES" w:bidi="es-ES"/>
              </w:rPr>
              <w:t>Consejo de Estado</w:t>
            </w:r>
            <w:r>
              <w:rPr>
                <w:rFonts w:ascii="Verdana" w:eastAsia="Arial MT" w:hAnsi="Verdana" w:cs="Arial"/>
                <w:lang w:eastAsia="es-ES" w:bidi="es-ES"/>
              </w:rPr>
              <w:t>.</w:t>
            </w:r>
            <w:r w:rsidRPr="005C1F44">
              <w:rPr>
                <w:rFonts w:ascii="Verdana" w:eastAsia="Arial MT" w:hAnsi="Verdana" w:cs="Arial"/>
                <w:lang w:eastAsia="es-ES" w:bidi="es-ES"/>
              </w:rPr>
              <w:t xml:space="preserve"> Sala de Consulta y Servicio Civil</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C</w:t>
            </w:r>
            <w:r w:rsidRPr="005C1F44">
              <w:rPr>
                <w:rFonts w:ascii="Verdana" w:eastAsia="Arial MT" w:hAnsi="Verdana" w:cs="Arial"/>
                <w:lang w:eastAsia="es-ES" w:bidi="es-ES"/>
              </w:rPr>
              <w:t>oncepto del 13 de agosto de 2009</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 xml:space="preserve">Radicado: </w:t>
            </w:r>
            <w:r w:rsidRPr="00F61FD8">
              <w:rPr>
                <w:rFonts w:ascii="Verdana" w:eastAsia="Arial MT" w:hAnsi="Verdana" w:cs="Arial"/>
                <w:lang w:eastAsia="es-ES" w:bidi="es-ES"/>
              </w:rPr>
              <w:t>11001-03-06-000-2009-00033-00</w:t>
            </w:r>
            <w:r w:rsidRPr="005C1F44">
              <w:rPr>
                <w:rFonts w:ascii="Verdana" w:eastAsia="Arial MT" w:hAnsi="Verdana" w:cs="Arial"/>
                <w:lang w:eastAsia="es-ES" w:bidi="es-ES"/>
              </w:rPr>
              <w:t xml:space="preserve"> </w:t>
            </w:r>
            <w:r>
              <w:rPr>
                <w:rFonts w:ascii="Verdana" w:eastAsia="Arial MT" w:hAnsi="Verdana" w:cs="Arial"/>
                <w:lang w:eastAsia="es-ES" w:bidi="es-ES"/>
              </w:rPr>
              <w:t>(</w:t>
            </w:r>
            <w:r w:rsidRPr="005C1F44">
              <w:rPr>
                <w:rFonts w:ascii="Verdana" w:eastAsia="Arial MT" w:hAnsi="Verdana" w:cs="Arial"/>
                <w:lang w:eastAsia="es-ES" w:bidi="es-ES"/>
              </w:rPr>
              <w:t>1952</w:t>
            </w:r>
            <w:r>
              <w:rPr>
                <w:rFonts w:ascii="Verdana" w:eastAsia="Arial MT" w:hAnsi="Verdana" w:cs="Arial"/>
                <w:lang w:eastAsia="es-ES" w:bidi="es-ES"/>
              </w:rPr>
              <w:t>).</w:t>
            </w:r>
            <w:r w:rsidRPr="005C1F44">
              <w:rPr>
                <w:rFonts w:ascii="Verdana" w:eastAsia="Arial MT" w:hAnsi="Verdana" w:cs="Arial"/>
                <w:lang w:eastAsia="es-ES" w:bidi="es-ES"/>
              </w:rPr>
              <w:t xml:space="preserve"> C.P</w:t>
            </w:r>
            <w:r>
              <w:rPr>
                <w:rFonts w:ascii="Verdana" w:eastAsia="Arial MT" w:hAnsi="Verdana" w:cs="Arial"/>
                <w:lang w:eastAsia="es-ES" w:bidi="es-ES"/>
              </w:rPr>
              <w:t>:</w:t>
            </w:r>
            <w:r w:rsidRPr="005C1F44">
              <w:rPr>
                <w:rFonts w:ascii="Verdana" w:eastAsia="Arial MT" w:hAnsi="Verdana" w:cs="Arial"/>
                <w:lang w:eastAsia="es-ES" w:bidi="es-ES"/>
              </w:rPr>
              <w:t xml:space="preserve"> Enrique José Arboleda Perdomo</w:t>
            </w:r>
            <w:r>
              <w:rPr>
                <w:rFonts w:ascii="Verdana" w:eastAsia="Arial MT" w:hAnsi="Verdana" w:cs="Arial"/>
                <w:lang w:eastAsia="es-ES" w:bidi="es-ES"/>
              </w:rPr>
              <w:t>.</w:t>
            </w:r>
          </w:p>
          <w:p w14:paraId="04CAABC0" w14:textId="77777777" w:rsidR="00ED4E52" w:rsidRPr="009F17CE" w:rsidRDefault="00ED4E52" w:rsidP="00ED4E52">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w:t>
            </w:r>
            <w:r w:rsidRPr="00B31C7B">
              <w:rPr>
                <w:rFonts w:ascii="Verdana" w:eastAsia="Arial" w:hAnsi="Verdana" w:cs="Arial"/>
                <w:color w:val="000000"/>
                <w:lang w:eastAsia="es-ES" w:bidi="es-ES"/>
              </w:rPr>
              <w:t>Sala de Consulta y Servicio Civil</w:t>
            </w:r>
            <w:r>
              <w:rPr>
                <w:rFonts w:ascii="Verdana" w:eastAsia="Arial" w:hAnsi="Verdana" w:cs="Arial"/>
                <w:color w:val="000000"/>
                <w:lang w:eastAsia="es-ES" w:bidi="es-ES"/>
              </w:rPr>
              <w:t xml:space="preserve">. </w:t>
            </w:r>
            <w:r w:rsidRPr="00B31C7B">
              <w:rPr>
                <w:rFonts w:ascii="Verdana" w:eastAsia="Arial" w:hAnsi="Verdana" w:cs="Arial"/>
                <w:color w:val="000000"/>
                <w:lang w:eastAsia="es-ES" w:bidi="es-ES"/>
              </w:rPr>
              <w:t>Concepto 2263 del 17 de marzo del 2016</w:t>
            </w:r>
            <w:r>
              <w:rPr>
                <w:rFonts w:ascii="Verdana" w:eastAsia="Arial" w:hAnsi="Verdana" w:cs="Arial"/>
                <w:color w:val="000000"/>
                <w:lang w:eastAsia="es-ES" w:bidi="es-ES"/>
              </w:rPr>
              <w:t>.</w:t>
            </w:r>
          </w:p>
          <w:p w14:paraId="6E2B9680" w14:textId="77777777" w:rsidR="00ED4E52" w:rsidRPr="00776858" w:rsidRDefault="00ED4E52" w:rsidP="00ED4E52">
            <w:pPr>
              <w:pStyle w:val="Prrafodelista"/>
              <w:numPr>
                <w:ilvl w:val="0"/>
                <w:numId w:val="18"/>
              </w:numPr>
              <w:spacing w:line="276" w:lineRule="auto"/>
              <w:jc w:val="both"/>
              <w:rPr>
                <w:rFonts w:ascii="Verdana" w:eastAsia="Arial MT" w:hAnsi="Verdana" w:cs="Arial"/>
                <w:lang w:eastAsia="es-ES" w:bidi="es-ES"/>
              </w:rPr>
            </w:pPr>
            <w:r w:rsidRPr="009F17CE">
              <w:rPr>
                <w:rFonts w:ascii="Verdana" w:eastAsia="Arial" w:hAnsi="Verdana" w:cs="Arial"/>
                <w:color w:val="000000"/>
                <w:lang w:eastAsia="es-ES" w:bidi="es-ES"/>
              </w:rPr>
              <w:t>Consejo de Estado. Sala de Consulta y Servicio Civil. Concepto del 06 de junio 2018. Radicado:</w:t>
            </w:r>
            <w:r>
              <w:rPr>
                <w:rFonts w:ascii="Verdana" w:eastAsia="Arial" w:hAnsi="Verdana" w:cs="Arial"/>
                <w:color w:val="000000"/>
                <w:lang w:eastAsia="es-ES" w:bidi="es-ES"/>
              </w:rPr>
              <w:t xml:space="preserve"> </w:t>
            </w:r>
            <w:r w:rsidRPr="00776858">
              <w:rPr>
                <w:rFonts w:ascii="Verdana" w:eastAsia="Arial" w:hAnsi="Verdana" w:cs="Arial"/>
                <w:color w:val="000000"/>
                <w:lang w:eastAsia="es-ES" w:bidi="es-ES"/>
              </w:rPr>
              <w:t>11001-03-06-000-2018-00034-00</w:t>
            </w:r>
            <w:r w:rsidRPr="009F17CE">
              <w:rPr>
                <w:rFonts w:ascii="Verdana" w:eastAsia="Arial" w:hAnsi="Verdana" w:cs="Arial"/>
                <w:color w:val="000000"/>
                <w:lang w:eastAsia="es-ES" w:bidi="es-ES"/>
              </w:rPr>
              <w:t xml:space="preserve"> </w:t>
            </w:r>
            <w:r>
              <w:rPr>
                <w:rFonts w:ascii="Verdana" w:eastAsia="Arial" w:hAnsi="Verdana" w:cs="Arial"/>
                <w:color w:val="000000"/>
                <w:lang w:eastAsia="es-ES" w:bidi="es-ES"/>
              </w:rPr>
              <w:t>(</w:t>
            </w:r>
            <w:r w:rsidRPr="009F17CE">
              <w:rPr>
                <w:rFonts w:ascii="Verdana" w:eastAsia="Arial" w:hAnsi="Verdana" w:cs="Arial"/>
                <w:color w:val="000000"/>
                <w:lang w:eastAsia="es-ES" w:bidi="es-ES"/>
              </w:rPr>
              <w:t>2369</w:t>
            </w:r>
            <w:r>
              <w:rPr>
                <w:rFonts w:ascii="Verdana" w:eastAsia="Arial" w:hAnsi="Verdana" w:cs="Arial"/>
                <w:color w:val="000000"/>
                <w:lang w:eastAsia="es-ES" w:bidi="es-ES"/>
              </w:rPr>
              <w:t>)</w:t>
            </w:r>
            <w:r w:rsidRPr="009F17CE">
              <w:rPr>
                <w:rFonts w:ascii="Verdana" w:eastAsia="Arial" w:hAnsi="Verdana" w:cs="Arial"/>
                <w:color w:val="000000"/>
                <w:lang w:eastAsia="es-ES" w:bidi="es-ES"/>
              </w:rPr>
              <w:t>.</w:t>
            </w:r>
            <w:r>
              <w:rPr>
                <w:rFonts w:ascii="Verdana" w:eastAsia="Arial" w:hAnsi="Verdana" w:cs="Arial"/>
                <w:color w:val="000000"/>
                <w:lang w:eastAsia="es-ES" w:bidi="es-ES"/>
              </w:rPr>
              <w:t xml:space="preserve"> </w:t>
            </w:r>
            <w:r w:rsidRPr="009F17CE">
              <w:rPr>
                <w:rFonts w:ascii="Verdana" w:eastAsia="Arial" w:hAnsi="Verdana" w:cs="Arial"/>
                <w:color w:val="000000"/>
                <w:lang w:eastAsia="es-ES" w:bidi="es-ES"/>
              </w:rPr>
              <w:t>C.P: Óscar Darí</w:t>
            </w:r>
            <w:r>
              <w:rPr>
                <w:rFonts w:ascii="Verdana" w:eastAsia="Arial" w:hAnsi="Verdana" w:cs="Arial"/>
                <w:color w:val="000000"/>
                <w:lang w:eastAsia="es-ES" w:bidi="es-ES"/>
              </w:rPr>
              <w:t>o</w:t>
            </w:r>
            <w:r w:rsidRPr="009F17CE">
              <w:rPr>
                <w:rFonts w:ascii="Verdana" w:eastAsia="Arial" w:hAnsi="Verdana" w:cs="Arial"/>
                <w:color w:val="000000"/>
                <w:lang w:eastAsia="es-ES" w:bidi="es-ES"/>
              </w:rPr>
              <w:t xml:space="preserve"> Amaya Navas.</w:t>
            </w:r>
          </w:p>
          <w:p w14:paraId="19399DB8" w14:textId="77777777" w:rsidR="00ED4E52" w:rsidRPr="00776858" w:rsidRDefault="00ED4E52" w:rsidP="00ED4E52">
            <w:pPr>
              <w:pStyle w:val="Prrafodelista"/>
              <w:numPr>
                <w:ilvl w:val="0"/>
                <w:numId w:val="18"/>
              </w:numPr>
              <w:spacing w:line="276" w:lineRule="auto"/>
              <w:jc w:val="both"/>
              <w:rPr>
                <w:rFonts w:ascii="Verdana" w:eastAsia="Arial MT" w:hAnsi="Verdana" w:cs="Arial"/>
                <w:lang w:eastAsia="es-ES" w:bidi="es-ES"/>
              </w:rPr>
            </w:pPr>
            <w:r w:rsidRPr="00776858">
              <w:rPr>
                <w:rFonts w:ascii="Verdana" w:hAnsi="Verdana"/>
              </w:rPr>
              <w:t>Consejo de Estado. Sala de lo Contencioso Administrativo. Sección Tercera. Subsección A. Sentencia del 22 de agosto de 2023. Exp. No. 58634. C.P: María Adriana Marín.</w:t>
            </w:r>
          </w:p>
          <w:p w14:paraId="52646100" w14:textId="77777777" w:rsidR="00ED4E52" w:rsidRPr="00776858" w:rsidRDefault="00ED4E52" w:rsidP="00ED4E52">
            <w:pPr>
              <w:pStyle w:val="Prrafodelista"/>
              <w:numPr>
                <w:ilvl w:val="0"/>
                <w:numId w:val="18"/>
              </w:numPr>
              <w:spacing w:line="276" w:lineRule="auto"/>
              <w:jc w:val="both"/>
              <w:rPr>
                <w:rFonts w:ascii="Verdana" w:eastAsia="Arial MT" w:hAnsi="Verdana" w:cs="Arial"/>
                <w:lang w:eastAsia="es-ES" w:bidi="es-ES"/>
              </w:rPr>
            </w:pPr>
            <w:r w:rsidRPr="00776858">
              <w:rPr>
                <w:rFonts w:ascii="Verdana" w:hAnsi="Verdana"/>
              </w:rPr>
              <w:t>Consejo de Estado. Sala de lo Contencioso Administrativo. Sección Tercera. Subsección C. Sentencia del 19 de septiembre de 2022. Exp. No. 54714. C.P: Jaime Enrique Rodríguez Navas.</w:t>
            </w:r>
          </w:p>
          <w:p w14:paraId="6FEA2FF0" w14:textId="77777777" w:rsidR="00ED4E52" w:rsidRPr="00776858" w:rsidRDefault="00ED4E52" w:rsidP="00ED4E52">
            <w:pPr>
              <w:pStyle w:val="Prrafodelista"/>
              <w:numPr>
                <w:ilvl w:val="0"/>
                <w:numId w:val="18"/>
              </w:numPr>
              <w:spacing w:line="276" w:lineRule="auto"/>
              <w:jc w:val="both"/>
              <w:rPr>
                <w:rFonts w:ascii="Verdana" w:eastAsia="Arial MT" w:hAnsi="Verdana" w:cs="Arial"/>
                <w:lang w:eastAsia="es-ES" w:bidi="es-ES"/>
              </w:rPr>
            </w:pPr>
            <w:r w:rsidRPr="00776858">
              <w:rPr>
                <w:rFonts w:ascii="Verdana" w:hAnsi="Verdana"/>
              </w:rPr>
              <w:t>Consejo de Estado. Sala de lo Contencioso Administrativo. Sección Tercera. Subsección C. Sentencia del 24 de abril de 2024. Exp. No. 67095. C.P: Nicolás Yepes Corrales.</w:t>
            </w:r>
          </w:p>
          <w:p w14:paraId="063DFC75" w14:textId="77777777" w:rsidR="00ED4E52" w:rsidRPr="009835ED" w:rsidRDefault="00ED4E52" w:rsidP="00ED4E52">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B31C7B">
              <w:rPr>
                <w:rFonts w:ascii="Verdana" w:eastAsia="Calibri" w:hAnsi="Verdana" w:cs="Arial"/>
                <w:color w:val="000000"/>
              </w:rPr>
              <w:t>C–300 de 2012</w:t>
            </w:r>
            <w:r>
              <w:rPr>
                <w:rFonts w:ascii="Verdana" w:eastAsia="Calibri" w:hAnsi="Verdana" w:cs="Arial"/>
                <w:color w:val="000000"/>
              </w:rPr>
              <w:t xml:space="preserve">. M.P: </w:t>
            </w:r>
            <w:r>
              <w:t xml:space="preserve"> </w:t>
            </w:r>
            <w:r w:rsidRPr="009835ED">
              <w:rPr>
                <w:rFonts w:ascii="Verdana" w:eastAsia="Calibri" w:hAnsi="Verdana" w:cs="Arial"/>
                <w:color w:val="000000"/>
              </w:rPr>
              <w:t>Jorge Ignacio Pretelt Chaljub</w:t>
            </w:r>
            <w:r>
              <w:rPr>
                <w:rFonts w:ascii="Verdana" w:eastAsia="Calibri" w:hAnsi="Verdana" w:cs="Arial"/>
                <w:color w:val="000000"/>
              </w:rPr>
              <w:t>.</w:t>
            </w:r>
          </w:p>
          <w:p w14:paraId="130AC822" w14:textId="77777777" w:rsidR="00ED4E52" w:rsidRPr="009835ED" w:rsidRDefault="00ED4E52" w:rsidP="00ED4E52">
            <w:pPr>
              <w:pStyle w:val="Prrafodelista"/>
              <w:numPr>
                <w:ilvl w:val="0"/>
                <w:numId w:val="18"/>
              </w:numPr>
              <w:spacing w:line="276" w:lineRule="auto"/>
              <w:jc w:val="both"/>
              <w:rPr>
                <w:rFonts w:ascii="Verdana" w:eastAsia="Arial MT" w:hAnsi="Verdana" w:cs="Arial"/>
                <w:lang w:eastAsia="es-ES" w:bidi="es-ES"/>
              </w:rPr>
            </w:pPr>
            <w:r w:rsidRPr="009835ED">
              <w:rPr>
                <w:rFonts w:ascii="Verdana" w:eastAsia="Calibri" w:hAnsi="Verdana" w:cs="Arial"/>
                <w:color w:val="000000"/>
              </w:rPr>
              <w:t xml:space="preserve">Corte Constitucional. Sentencia </w:t>
            </w:r>
            <w:r w:rsidRPr="009835ED">
              <w:rPr>
                <w:rFonts w:ascii="Verdana" w:hAnsi="Verdana"/>
              </w:rPr>
              <w:t>C-932 de 2007, M.P. Marco Gerardo Monroy Cabra.</w:t>
            </w:r>
          </w:p>
          <w:p w14:paraId="1FAC7999" w14:textId="77777777" w:rsidR="00ED4E52" w:rsidRPr="00703300" w:rsidRDefault="00ED4E52" w:rsidP="00ED4E52">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C-949 de 2001.</w:t>
            </w:r>
            <w:r w:rsidRPr="00703300">
              <w:rPr>
                <w:rFonts w:ascii="Verdana" w:hAnsi="Verdana"/>
              </w:rPr>
              <w:t xml:space="preserve"> M.P. Clara Inés Vargas Hernández</w:t>
            </w:r>
            <w:r>
              <w:rPr>
                <w:rFonts w:ascii="Verdana" w:hAnsi="Verdana"/>
              </w:rPr>
              <w:t>.</w:t>
            </w:r>
          </w:p>
          <w:p w14:paraId="36C1B3BB" w14:textId="77777777" w:rsidR="00ED4E52" w:rsidRDefault="00ED4E52" w:rsidP="00ED4E52">
            <w:pPr>
              <w:pStyle w:val="Prrafodelista"/>
              <w:numPr>
                <w:ilvl w:val="0"/>
                <w:numId w:val="18"/>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C-068 de 2009, M.P. Mauricio González Cuervo</w:t>
            </w:r>
            <w:r>
              <w:rPr>
                <w:rFonts w:ascii="Verdana" w:eastAsia="Arial MT" w:hAnsi="Verdana" w:cs="Arial"/>
                <w:lang w:eastAsia="es-ES" w:bidi="es-ES"/>
              </w:rPr>
              <w:t>.</w:t>
            </w:r>
          </w:p>
          <w:p w14:paraId="4018DBE9" w14:textId="77777777" w:rsidR="00ED4E52" w:rsidRDefault="00ED4E52" w:rsidP="00ED4E52">
            <w:pPr>
              <w:pStyle w:val="Prrafodelista"/>
              <w:numPr>
                <w:ilvl w:val="0"/>
                <w:numId w:val="18"/>
              </w:numPr>
              <w:spacing w:line="276" w:lineRule="auto"/>
              <w:jc w:val="both"/>
              <w:rPr>
                <w:rFonts w:ascii="Verdana" w:eastAsia="Arial MT" w:hAnsi="Verdana" w:cs="Arial"/>
                <w:lang w:eastAsia="es-ES" w:bidi="es-ES"/>
              </w:rPr>
            </w:pPr>
            <w:r w:rsidRPr="00776858">
              <w:rPr>
                <w:rFonts w:ascii="Verdana" w:eastAsia="Arial MT" w:hAnsi="Verdana" w:cs="Arial"/>
                <w:lang w:eastAsia="es-ES" w:bidi="es-ES"/>
              </w:rPr>
              <w:t>DAVILA VINUEZA Luis Guillermo. Régimen Jurídico de la contratación estatal. Bogotá: Editorial Legis, 2001.</w:t>
            </w:r>
          </w:p>
          <w:p w14:paraId="14B93E5B" w14:textId="77777777" w:rsidR="00ED4E52" w:rsidRDefault="00ED4E52" w:rsidP="00ED4E52">
            <w:pPr>
              <w:pStyle w:val="Prrafodelista"/>
              <w:numPr>
                <w:ilvl w:val="0"/>
                <w:numId w:val="18"/>
              </w:numPr>
              <w:spacing w:line="276" w:lineRule="auto"/>
              <w:jc w:val="both"/>
              <w:rPr>
                <w:rFonts w:ascii="Verdana" w:eastAsia="Arial MT" w:hAnsi="Verdana" w:cs="Arial"/>
                <w:lang w:eastAsia="es-ES" w:bidi="es-ES"/>
              </w:rPr>
            </w:pPr>
            <w:r w:rsidRPr="00E21522">
              <w:rPr>
                <w:rFonts w:ascii="Verdana" w:eastAsia="Arial MT" w:hAnsi="Verdana" w:cs="Arial"/>
                <w:lang w:eastAsia="es-ES" w:bidi="es-ES"/>
              </w:rPr>
              <w:t>SANTOFIMIO GAMBOA, Jaime Orlando. Delitos de celebración indebida de contratos, Bogotá, Universidad Externado de Colombia, 2000</w:t>
            </w:r>
            <w:r>
              <w:rPr>
                <w:rFonts w:ascii="Verdana" w:eastAsia="Arial MT" w:hAnsi="Verdana" w:cs="Arial"/>
                <w:lang w:eastAsia="es-ES" w:bidi="es-ES"/>
              </w:rPr>
              <w:t>.</w:t>
            </w:r>
          </w:p>
          <w:p w14:paraId="2199F231" w14:textId="77777777" w:rsidR="00ED4E52" w:rsidRPr="00A57FA0" w:rsidRDefault="00ED4E52" w:rsidP="00ED4E52">
            <w:pPr>
              <w:pStyle w:val="Prrafodelista"/>
              <w:numPr>
                <w:ilvl w:val="0"/>
                <w:numId w:val="18"/>
              </w:numPr>
              <w:spacing w:after="160" w:line="276" w:lineRule="auto"/>
              <w:rPr>
                <w:rFonts w:ascii="Verdana" w:hAnsi="Verdana" w:cs="Arial"/>
                <w:color w:val="000000" w:themeColor="text1"/>
              </w:rPr>
            </w:pPr>
            <w:r w:rsidRPr="005A4D17">
              <w:rPr>
                <w:rFonts w:ascii="Verdana" w:hAnsi="Verdana"/>
              </w:rPr>
              <w:t xml:space="preserve">Guía para el ejercicio de las funciones de supervisión e interventoría de los contratos suscrito por las entidades estatales. Disponible en </w:t>
            </w:r>
            <w:hyperlink r:id="rId13" w:history="1">
              <w:r w:rsidRPr="005A4D17">
                <w:rPr>
                  <w:rStyle w:val="Hipervnculo"/>
                  <w:rFonts w:ascii="Verdana" w:hAnsi="Verdana"/>
                </w:rPr>
                <w:t>cce_guia_supervision_interventoria.pdf</w:t>
              </w:r>
            </w:hyperlink>
          </w:p>
        </w:tc>
      </w:tr>
    </w:tbl>
    <w:p w14:paraId="042863D9" w14:textId="77777777" w:rsidR="00ED4E52" w:rsidRPr="00277E26" w:rsidRDefault="00ED4E52" w:rsidP="00ED4E52">
      <w:pPr>
        <w:widowControl w:val="0"/>
        <w:autoSpaceDE w:val="0"/>
        <w:autoSpaceDN w:val="0"/>
        <w:spacing w:after="0" w:line="276" w:lineRule="auto"/>
        <w:jc w:val="both"/>
        <w:rPr>
          <w:rFonts w:ascii="Verdana" w:hAnsi="Verdana" w:cs="Arial"/>
        </w:rPr>
      </w:pPr>
    </w:p>
    <w:p w14:paraId="1C8B1CE1" w14:textId="77777777" w:rsidR="00ED4E52" w:rsidRPr="001F283D" w:rsidRDefault="00ED4E52" w:rsidP="00ED4E52">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FDF9B30" w14:textId="77777777" w:rsidR="00ED4E52" w:rsidRDefault="00ED4E52" w:rsidP="00ED4E52">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605143CC" w14:textId="77777777" w:rsidR="00ED4E52" w:rsidRPr="00F6273C" w:rsidRDefault="00ED4E52" w:rsidP="00ED4E52">
      <w:pPr>
        <w:widowControl w:val="0"/>
        <w:autoSpaceDE w:val="0"/>
        <w:autoSpaceDN w:val="0"/>
        <w:spacing w:after="0" w:line="276" w:lineRule="auto"/>
        <w:jc w:val="both"/>
        <w:rPr>
          <w:rFonts w:ascii="Verdana" w:hAnsi="Verdana" w:cs="Arial"/>
          <w:shd w:val="clear" w:color="auto" w:fill="FFFFFF"/>
          <w:lang w:val="es-ES"/>
        </w:rPr>
      </w:pPr>
      <w:r w:rsidRPr="00272372">
        <w:rPr>
          <w:rFonts w:ascii="Verdana" w:eastAsia="Calibri" w:hAnsi="Verdana" w:cs="Arial"/>
          <w:lang w:val="es-ES_tradnl" w:eastAsia="es-ES_tradnl"/>
        </w:rPr>
        <w:t>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2024,C-600 del 7 de octubre de 2024, C-972 de 22 de enero de 2025 y C-091 del 13 de febrero de 2025, entre otros</w:t>
      </w:r>
      <w:r w:rsidRPr="00272372">
        <w:rPr>
          <w:rFonts w:ascii="Verdana" w:hAnsi="Verdana" w:cs="Arial"/>
          <w:shd w:val="clear" w:color="auto" w:fill="FFFFFF"/>
          <w:lang w:val="es-ES"/>
        </w:rPr>
        <w:t>. Es</w:t>
      </w:r>
      <w:r w:rsidRPr="00272372">
        <w:rPr>
          <w:rFonts w:ascii="Verdana" w:hAnsi="Verdana"/>
        </w:rPr>
        <w:t>tos y otros conceptos se encuentran disponibles para consulta en el Sistema de relatoría de la Agencia, al cual se puede acceder a través del siguiente enlace:</w:t>
      </w:r>
      <w:r w:rsidRPr="00272372">
        <w:rPr>
          <w:rFonts w:ascii="Verdana" w:hAnsi="Verdana" w:cs="Arial"/>
          <w:shd w:val="clear" w:color="auto" w:fill="FFFFFF"/>
          <w:lang w:val="es-ES"/>
        </w:rPr>
        <w:t xml:space="preserve"> </w:t>
      </w:r>
      <w:hyperlink r:id="rId14" w:history="1">
        <w:r w:rsidRPr="00272372">
          <w:rPr>
            <w:rFonts w:ascii="Verdana" w:hAnsi="Verdana" w:cs="Arial"/>
            <w:u w:val="single"/>
            <w:shd w:val="clear" w:color="auto" w:fill="FFFFFF"/>
            <w:lang w:val="es-ES"/>
          </w:rPr>
          <w:t>https://relatoria.colombiacompra.gov.co/busqueda/conceptos</w:t>
        </w:r>
      </w:hyperlink>
    </w:p>
    <w:p w14:paraId="491C27B6" w14:textId="77777777" w:rsidR="006078B5" w:rsidRDefault="006078B5" w:rsidP="006078B5">
      <w:pPr>
        <w:shd w:val="clear" w:color="auto" w:fill="FFFFFF"/>
        <w:spacing w:after="0" w:line="276" w:lineRule="auto"/>
        <w:jc w:val="both"/>
        <w:rPr>
          <w:rFonts w:ascii="Verdana" w:hAnsi="Verdana"/>
          <w:color w:val="000000"/>
          <w:u w:val="single"/>
          <w:lang w:val="es-ES"/>
        </w:rPr>
      </w:pPr>
    </w:p>
    <w:p w14:paraId="3AE6942A" w14:textId="77777777" w:rsidR="00C32952" w:rsidRPr="00324CBA" w:rsidRDefault="00C32952" w:rsidP="00C32952">
      <w:pPr>
        <w:jc w:val="both"/>
        <w:rPr>
          <w:rFonts w:ascii="Verdana" w:hAnsi="Verdana"/>
        </w:rPr>
      </w:pPr>
      <w:r w:rsidRPr="00324CBA">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24CBA">
        <w:rPr>
          <w:rFonts w:ascii="Verdana" w:hAnsi="Verdana"/>
          <w:b/>
          <w:bCs/>
        </w:rPr>
        <w:t>Guía para la Exigencia y Constitución de Garantías en los Procesos de Contratación</w:t>
      </w:r>
      <w:r w:rsidRPr="00324CBA">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324CBA">
        <w:rPr>
          <w:rFonts w:ascii="Verdana" w:hAnsi="Verdana"/>
          <w:color w:val="0070C0"/>
        </w:rPr>
        <w:t> </w:t>
      </w:r>
      <w:hyperlink r:id="rId15" w:tgtFrame="_blank" w:tooltip="Dirección URL original: https://www.colombiacompra.gov.co/archivos/manual/guia-de-garantias-en-procesos-de-contratacion. Haga clic o pulse si confía en este vínculo." w:history="1">
        <w:r w:rsidRPr="00324CBA">
          <w:rPr>
            <w:rStyle w:val="Hipervnculo"/>
            <w:rFonts w:ascii="Verdana" w:hAnsi="Verdana"/>
            <w:color w:val="0070C0"/>
          </w:rPr>
          <w:t>https://www.colombiacompra.gov.co/archivos/manual/guia-de-garantias-en-procesos-de-contratacion</w:t>
        </w:r>
      </w:hyperlink>
    </w:p>
    <w:p w14:paraId="3ACEF157" w14:textId="77777777" w:rsidR="00C32952" w:rsidRPr="00324CBA" w:rsidRDefault="00C32952" w:rsidP="00C32952">
      <w:pPr>
        <w:jc w:val="both"/>
        <w:rPr>
          <w:rFonts w:ascii="Verdana" w:hAnsi="Verdana"/>
        </w:rPr>
      </w:pPr>
      <w:r w:rsidRPr="00324CBA">
        <w:rPr>
          <w:rFonts w:ascii="Verdana" w:hAnsi="Verdana"/>
        </w:rPr>
        <w:t>De otro lado, te contamos que el Decreto 287 del 19 de marzo de 2026 sustituyó los artículos 2.2.1.2.4.2.6., 2.2.1.2.4.2.7. y 2.2.1.2.4.2.8. del Decreto 1082 de 2015 y estructuró el </w:t>
      </w:r>
      <w:r w:rsidRPr="00324CBA">
        <w:rPr>
          <w:rFonts w:ascii="Verdana" w:hAnsi="Verdana"/>
          <w:b/>
          <w:bCs/>
        </w:rPr>
        <w:t>Sistema Integral de Preferencias en favor de las personas con discapacidad</w:t>
      </w:r>
      <w:r w:rsidRPr="00324CBA">
        <w:rPr>
          <w:rFonts w:ascii="Verdana" w:hAnsi="Verdana"/>
        </w:rPr>
        <w:t>, en cumplimiento del artículo 13 de la Ley Estatutaria 1618 de 2013. Para orientar su aplicación, esta Agencia expidió la </w:t>
      </w:r>
      <w:r w:rsidRPr="00324CBA">
        <w:rPr>
          <w:rFonts w:ascii="Verdana" w:hAnsi="Verdana"/>
          <w:b/>
          <w:bCs/>
        </w:rPr>
        <w:t>Circular Externa 003 del 12 de mayo de 2026, </w:t>
      </w:r>
      <w:r w:rsidRPr="00324CBA">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324CBA">
          <w:rPr>
            <w:rStyle w:val="Hipervnculo"/>
            <w:rFonts w:ascii="Verdana" w:hAnsi="Verdana"/>
            <w:color w:val="0070C0"/>
          </w:rPr>
          <w:t>https://www.colombiacompra.gov.co/archivos/circular/circular-externa-003-de-2026</w:t>
        </w:r>
      </w:hyperlink>
    </w:p>
    <w:p w14:paraId="300D6788" w14:textId="77777777" w:rsidR="00C32952" w:rsidRPr="00324CBA" w:rsidRDefault="00C32952" w:rsidP="00C32952">
      <w:pPr>
        <w:jc w:val="both"/>
        <w:rPr>
          <w:rFonts w:ascii="Verdana" w:hAnsi="Verdana"/>
        </w:rPr>
      </w:pPr>
      <w:r w:rsidRPr="00324CBA">
        <w:rPr>
          <w:rFonts w:ascii="Verdana" w:hAnsi="Verdana"/>
        </w:rPr>
        <w:t>Recuerda también que la</w:t>
      </w:r>
      <w:r w:rsidRPr="00324CBA">
        <w:rPr>
          <w:rFonts w:ascii="Verdana" w:hAnsi="Verdana"/>
          <w:b/>
          <w:bCs/>
        </w:rPr>
        <w:t> información sobre sanciones e inhabilidades </w:t>
      </w:r>
      <w:r w:rsidRPr="00324CBA">
        <w:rPr>
          <w:rFonts w:ascii="Verdana" w:hAnsi="Verdana"/>
        </w:rPr>
        <w:t>solo cumple su función preventiva si llega oportunamente a los registros públicos. Sobre este deber, esta Agencia expidió la </w:t>
      </w:r>
      <w:r w:rsidRPr="00324CBA">
        <w:rPr>
          <w:rFonts w:ascii="Verdana" w:hAnsi="Verdana"/>
          <w:b/>
          <w:bCs/>
        </w:rPr>
        <w:t>Circular Externa 002 del 5 de mayo de 2026,</w:t>
      </w:r>
      <w:r w:rsidRPr="00324CBA">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324CBA">
          <w:rPr>
            <w:rStyle w:val="Hipervnculo"/>
            <w:rFonts w:ascii="Verdana" w:hAnsi="Verdana"/>
            <w:color w:val="0070C0"/>
          </w:rPr>
          <w:t>https://www.colombiacompra.gov.co/archivos/circular/circular-externa-002-de-2026</w:t>
        </w:r>
      </w:hyperlink>
    </w:p>
    <w:p w14:paraId="0D49867B" w14:textId="77777777" w:rsidR="00C32952" w:rsidRPr="00324CBA" w:rsidRDefault="00C32952" w:rsidP="00C32952">
      <w:pPr>
        <w:jc w:val="both"/>
        <w:rPr>
          <w:rFonts w:ascii="Verdana" w:hAnsi="Verdana"/>
        </w:rPr>
      </w:pPr>
      <w:r w:rsidRPr="00324CBA">
        <w:rPr>
          <w:rFonts w:ascii="Verdana" w:hAnsi="Verdana"/>
        </w:rPr>
        <w:t>Finalmente, si quieres seguir de cerca la actividad de la Agencia, la tercera edición de 2026 del</w:t>
      </w:r>
      <w:r w:rsidRPr="00324CBA">
        <w:rPr>
          <w:rFonts w:ascii="Verdana" w:hAnsi="Verdana"/>
          <w:b/>
          <w:bCs/>
        </w:rPr>
        <w:t> Radar de la Compra Pública</w:t>
      </w:r>
      <w:r w:rsidRPr="00324CBA">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324CBA">
        <w:rPr>
          <w:rFonts w:ascii="Verdana" w:hAnsi="Verdana"/>
          <w:color w:val="0070C0"/>
        </w:rPr>
        <w:t> </w:t>
      </w:r>
      <w:hyperlink r:id="rId18" w:tgtFrame="_blank" w:tooltip="Dirección URL original: https://www.colombiacompra.gov.co/archivos/boletin/boletin-edicion-n-3-de-2026-radar-de-la-compra-publica. Haga clic o pulse si confía en este vínculo." w:history="1">
        <w:r w:rsidRPr="00324CBA">
          <w:rPr>
            <w:rStyle w:val="Hipervnculo"/>
            <w:rFonts w:ascii="Verdana" w:hAnsi="Verdana"/>
            <w:color w:val="0070C0"/>
          </w:rPr>
          <w:t>https://www.colombiacompra.gov.co/archivos/boletin/boletin-edicion-n-3-de-2026-radar-de-la-compra-publica</w:t>
        </w:r>
      </w:hyperlink>
      <w:r w:rsidRPr="00324CBA">
        <w:rPr>
          <w:rFonts w:ascii="Verdana" w:hAnsi="Verdana"/>
        </w:rPr>
        <w:t>"</w:t>
      </w:r>
    </w:p>
    <w:p w14:paraId="320D14E0" w14:textId="77777777" w:rsidR="00C32952" w:rsidRPr="00C32952" w:rsidRDefault="00C32952" w:rsidP="006078B5">
      <w:pPr>
        <w:shd w:val="clear" w:color="auto" w:fill="FFFFFF"/>
        <w:spacing w:after="0" w:line="276" w:lineRule="auto"/>
        <w:jc w:val="both"/>
        <w:rPr>
          <w:rFonts w:ascii="Verdana" w:hAnsi="Verdana"/>
          <w:color w:val="000000"/>
          <w:u w:val="single"/>
        </w:rPr>
      </w:pPr>
    </w:p>
    <w:p w14:paraId="582C43B0" w14:textId="77777777" w:rsidR="006078B5" w:rsidRPr="00116940" w:rsidRDefault="006078B5" w:rsidP="006078B5">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52D9739" w14:textId="77777777" w:rsidR="006078B5" w:rsidRPr="00116940" w:rsidRDefault="006078B5" w:rsidP="006078B5">
      <w:pPr>
        <w:spacing w:after="0"/>
        <w:jc w:val="both"/>
        <w:rPr>
          <w:rFonts w:ascii="Verdana" w:hAnsi="Verdana"/>
        </w:rPr>
      </w:pPr>
    </w:p>
    <w:p w14:paraId="310F28D8" w14:textId="77777777" w:rsidR="006078B5" w:rsidRPr="00116940" w:rsidRDefault="006078B5" w:rsidP="006078B5">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D9EB6B8" w14:textId="77777777" w:rsidR="006078B5" w:rsidRPr="00116940" w:rsidRDefault="006078B5" w:rsidP="006078B5">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CD478ED" w14:textId="77777777" w:rsidR="006078B5" w:rsidRPr="00116940" w:rsidRDefault="006078B5" w:rsidP="006078B5">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3E2FEBE6" w14:textId="77777777" w:rsidR="006078B5" w:rsidRPr="00116940" w:rsidRDefault="006078B5" w:rsidP="006078B5">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4F799B30" w14:textId="77777777" w:rsidR="006078B5" w:rsidRPr="00116940" w:rsidRDefault="006078B5" w:rsidP="006078B5">
      <w:pPr>
        <w:spacing w:after="0" w:line="240" w:lineRule="auto"/>
        <w:ind w:left="720"/>
        <w:jc w:val="both"/>
        <w:rPr>
          <w:rFonts w:ascii="Verdana" w:hAnsi="Verdana"/>
        </w:rPr>
      </w:pPr>
    </w:p>
    <w:p w14:paraId="074368F7" w14:textId="77777777" w:rsidR="006078B5" w:rsidRPr="00116940" w:rsidRDefault="006078B5" w:rsidP="006078B5">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1"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01E8E1E" w14:textId="77777777" w:rsidR="006078B5" w:rsidRPr="00116940" w:rsidRDefault="006078B5" w:rsidP="006078B5">
      <w:pPr>
        <w:spacing w:after="0" w:line="240" w:lineRule="auto"/>
        <w:rPr>
          <w:rFonts w:ascii="Verdana" w:hAnsi="Verdana"/>
        </w:rPr>
      </w:pPr>
    </w:p>
    <w:p w14:paraId="6F3EEC30" w14:textId="77777777" w:rsidR="006078B5" w:rsidRPr="00116940" w:rsidRDefault="006078B5" w:rsidP="006078B5">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BF7DEBA" w14:textId="77777777" w:rsidR="006078B5" w:rsidRPr="00116940" w:rsidRDefault="006078B5" w:rsidP="006078B5">
      <w:pPr>
        <w:spacing w:after="0" w:line="240" w:lineRule="auto"/>
        <w:jc w:val="both"/>
        <w:rPr>
          <w:rFonts w:ascii="Verdana" w:hAnsi="Verdana"/>
        </w:rPr>
      </w:pPr>
    </w:p>
    <w:p w14:paraId="4F2877FC" w14:textId="77777777" w:rsidR="006078B5" w:rsidRPr="00116940" w:rsidRDefault="006078B5" w:rsidP="006078B5">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E8FE665" w14:textId="77777777" w:rsidR="006078B5" w:rsidRPr="00116940" w:rsidRDefault="006078B5" w:rsidP="006078B5">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186A774" w14:textId="77777777" w:rsidR="006078B5" w:rsidRPr="00116940" w:rsidRDefault="006078B5" w:rsidP="006078B5">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5D2E329" w14:textId="77777777" w:rsidR="006078B5" w:rsidRPr="009C4035" w:rsidRDefault="006078B5" w:rsidP="006078B5">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76616373" w14:textId="77777777" w:rsidR="006078B5" w:rsidRPr="00593A5F" w:rsidRDefault="006078B5" w:rsidP="006078B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1311E87" w14:textId="77777777" w:rsidR="006078B5" w:rsidRPr="00593A5F" w:rsidRDefault="006078B5" w:rsidP="006078B5">
      <w:pPr>
        <w:widowControl w:val="0"/>
        <w:autoSpaceDE w:val="0"/>
        <w:autoSpaceDN w:val="0"/>
        <w:spacing w:after="0" w:line="276" w:lineRule="auto"/>
        <w:jc w:val="both"/>
        <w:rPr>
          <w:rFonts w:ascii="Verdana" w:hAnsi="Verdana" w:cs="Arial"/>
        </w:rPr>
      </w:pPr>
    </w:p>
    <w:p w14:paraId="2B656AAF" w14:textId="3F9061B3" w:rsidR="00EB35B4" w:rsidRPr="0024624F" w:rsidRDefault="00EB35B4" w:rsidP="00EB35B4">
      <w:pPr>
        <w:spacing w:after="0" w:line="240" w:lineRule="auto"/>
        <w:jc w:val="both"/>
        <w:textAlignment w:val="baseline"/>
        <w:rPr>
          <w:rFonts w:ascii="Verdana" w:eastAsia="Times New Roman" w:hAnsi="Verdana" w:cs="Segoe UI"/>
          <w:lang w:val="es-MX" w:eastAsia="es-CO"/>
        </w:rPr>
      </w:pPr>
    </w:p>
    <w:p w14:paraId="6CBA7B09" w14:textId="407DCF51" w:rsidR="00EB35B4" w:rsidRDefault="00EB35B4" w:rsidP="00EB35B4">
      <w:pPr>
        <w:spacing w:after="0" w:line="240" w:lineRule="auto"/>
        <w:jc w:val="both"/>
        <w:textAlignment w:val="baseline"/>
        <w:rPr>
          <w:rFonts w:ascii="Verdana" w:eastAsia="Times New Roman" w:hAnsi="Verdana" w:cs="Segoe UI"/>
          <w:lang w:eastAsia="es-CO"/>
        </w:rPr>
      </w:pPr>
      <w:r w:rsidRPr="0024624F">
        <w:rPr>
          <w:rFonts w:ascii="Verdana" w:eastAsia="Times New Roman" w:hAnsi="Verdana" w:cs="Segoe UI"/>
          <w:lang w:val="es-MX" w:eastAsia="es-CO"/>
        </w:rPr>
        <w:t>Cordialmente,</w:t>
      </w:r>
      <w:r w:rsidRPr="0024624F">
        <w:rPr>
          <w:rFonts w:ascii="Verdana" w:eastAsia="Times New Roman" w:hAnsi="Verdana" w:cs="Segoe UI"/>
          <w:lang w:eastAsia="es-CO"/>
        </w:rPr>
        <w:t> </w:t>
      </w:r>
    </w:p>
    <w:p w14:paraId="490F02B4" w14:textId="6F0CE3D7" w:rsidR="00EB35B4" w:rsidRDefault="00EB35B4" w:rsidP="00EB35B4">
      <w:pPr>
        <w:spacing w:after="0" w:line="240" w:lineRule="auto"/>
        <w:jc w:val="both"/>
        <w:textAlignment w:val="baseline"/>
        <w:rPr>
          <w:rFonts w:ascii="Verdana" w:eastAsia="Times New Roman" w:hAnsi="Verdana" w:cs="Segoe UI"/>
          <w:lang w:eastAsia="es-CO"/>
        </w:rPr>
      </w:pPr>
    </w:p>
    <w:p w14:paraId="5FE785BC" w14:textId="29D9F2B0" w:rsidR="00EB35B4" w:rsidRPr="004667F5" w:rsidRDefault="00CB6B8D" w:rsidP="00EB35B4">
      <w:pPr>
        <w:jc w:val="both"/>
        <w:textAlignment w:val="baseline"/>
        <w:rPr>
          <w:rFonts w:ascii="Verdana" w:eastAsia="Times New Roman" w:hAnsi="Verdana"/>
          <w:lang w:eastAsia="es-CO"/>
        </w:rPr>
      </w:pPr>
      <w:r w:rsidRPr="002C3AD6">
        <w:rPr>
          <w:rFonts w:ascii="Century Gothic" w:hAnsi="Century Gothic"/>
          <w:noProof/>
          <w:lang w:val="en-US"/>
        </w:rPr>
        <w:drawing>
          <wp:anchor distT="0" distB="0" distL="114300" distR="114300" simplePos="0" relativeHeight="251659264" behindDoc="1" locked="0" layoutInCell="1" allowOverlap="1" wp14:anchorId="3CB9340C" wp14:editId="2739B917">
            <wp:simplePos x="0" y="0"/>
            <wp:positionH relativeFrom="column">
              <wp:posOffset>1280160</wp:posOffset>
            </wp:positionH>
            <wp:positionV relativeFrom="paragraph">
              <wp:posOffset>185420</wp:posOffset>
            </wp:positionV>
            <wp:extent cx="3545205" cy="1482725"/>
            <wp:effectExtent l="0" t="0" r="0" b="3175"/>
            <wp:wrapTight wrapText="bothSides">
              <wp:wrapPolygon edited="0">
                <wp:start x="0" y="0"/>
                <wp:lineTo x="0" y="21369"/>
                <wp:lineTo x="21472" y="21369"/>
                <wp:lineTo x="21472" y="0"/>
                <wp:lineTo x="0" y="0"/>
              </wp:wrapPolygon>
            </wp:wrapTight>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extLst>
                        <a:ext uri="{28A0092B-C50C-407E-A947-70E740481C1C}">
                          <a14:useLocalDpi xmlns:a14="http://schemas.microsoft.com/office/drawing/2010/main" val="0"/>
                        </a:ext>
                      </a:extLst>
                    </a:blip>
                    <a:stretch>
                      <a:fillRect/>
                    </a:stretch>
                  </pic:blipFill>
                  <pic:spPr>
                    <a:xfrm>
                      <a:off x="0" y="0"/>
                      <a:ext cx="3545205" cy="1482725"/>
                    </a:xfrm>
                    <a:prstGeom prst="rect">
                      <a:avLst/>
                    </a:prstGeom>
                  </pic:spPr>
                </pic:pic>
              </a:graphicData>
            </a:graphic>
            <wp14:sizeRelH relativeFrom="margin">
              <wp14:pctWidth>0</wp14:pctWidth>
            </wp14:sizeRelH>
            <wp14:sizeRelV relativeFrom="margin">
              <wp14:pctHeight>0</wp14:pctHeight>
            </wp14:sizeRelV>
          </wp:anchor>
        </w:drawing>
      </w:r>
    </w:p>
    <w:p w14:paraId="50026F0A" w14:textId="19032CCA" w:rsidR="00EB35B4" w:rsidRPr="00D30247" w:rsidRDefault="00EB35B4" w:rsidP="00EB35B4">
      <w:pPr>
        <w:jc w:val="both"/>
        <w:textAlignment w:val="baseline"/>
        <w:rPr>
          <w:rFonts w:ascii="Verdana" w:eastAsia="Times New Roman" w:hAnsi="Verdana" w:cs="Calibri"/>
          <w:lang w:eastAsia="es-CO"/>
        </w:rPr>
      </w:pPr>
      <w:r w:rsidRPr="004667F5">
        <w:rPr>
          <w:rFonts w:ascii="Verdana" w:eastAsia="Times New Roman" w:hAnsi="Verdana" w:cs="Calibri"/>
          <w:lang w:eastAsia="es-CO"/>
        </w:rPr>
        <w:t> </w:t>
      </w:r>
    </w:p>
    <w:p w14:paraId="086AA223" w14:textId="77777777" w:rsidR="00EB35B4" w:rsidRPr="004667F5" w:rsidRDefault="00EB35B4" w:rsidP="00EB35B4">
      <w:pPr>
        <w:spacing w:after="0" w:line="240" w:lineRule="auto"/>
        <w:jc w:val="both"/>
        <w:textAlignment w:val="baseline"/>
        <w:rPr>
          <w:rFonts w:ascii="Verdana" w:eastAsia="Times New Roman" w:hAnsi="Verdana" w:cs="Segoe UI"/>
          <w:b/>
          <w:bCs/>
          <w:lang w:val="es-MX" w:eastAsia="es-CO"/>
        </w:rPr>
      </w:pPr>
    </w:p>
    <w:p w14:paraId="7DDAC179" w14:textId="77777777" w:rsidR="00EB35B4" w:rsidRDefault="00EB35B4" w:rsidP="00EB35B4">
      <w:pPr>
        <w:spacing w:after="0" w:line="240" w:lineRule="auto"/>
        <w:textAlignment w:val="baseline"/>
        <w:rPr>
          <w:rFonts w:ascii="Verdana" w:eastAsia="Times New Roman" w:hAnsi="Verdana" w:cs="Segoe UI"/>
          <w:lang w:val="es-MX" w:eastAsia="es-CO"/>
        </w:rPr>
      </w:pPr>
      <w:r w:rsidRPr="004667F5">
        <w:rPr>
          <w:rFonts w:ascii="Verdana" w:eastAsia="Times New Roman" w:hAnsi="Verdana" w:cs="Segoe UI"/>
          <w:lang w:val="es-MX" w:eastAsia="es-CO"/>
        </w:rPr>
        <w:t xml:space="preserve">  </w:t>
      </w:r>
    </w:p>
    <w:p w14:paraId="4C3D37F7" w14:textId="77777777" w:rsidR="00EB35B4" w:rsidRDefault="00EB35B4" w:rsidP="00EB35B4">
      <w:pPr>
        <w:spacing w:after="0" w:line="240" w:lineRule="auto"/>
        <w:textAlignment w:val="baseline"/>
        <w:rPr>
          <w:rFonts w:ascii="Verdana" w:eastAsia="Times New Roman" w:hAnsi="Verdana" w:cs="Segoe UI"/>
          <w:lang w:val="es-MX" w:eastAsia="es-CO"/>
        </w:rPr>
      </w:pPr>
    </w:p>
    <w:p w14:paraId="6398E60E" w14:textId="77777777" w:rsidR="00EB35B4" w:rsidRDefault="00EB35B4" w:rsidP="00EB35B4">
      <w:pPr>
        <w:spacing w:after="0" w:line="240" w:lineRule="auto"/>
        <w:textAlignment w:val="baseline"/>
        <w:rPr>
          <w:rFonts w:ascii="Verdana" w:eastAsia="Times New Roman" w:hAnsi="Verdana" w:cs="Segoe UI"/>
          <w:lang w:val="es-MX" w:eastAsia="es-CO"/>
        </w:rPr>
      </w:pPr>
    </w:p>
    <w:p w14:paraId="7BBE936E" w14:textId="77777777" w:rsidR="00EB35B4" w:rsidRDefault="00EB35B4" w:rsidP="00EB35B4">
      <w:pPr>
        <w:spacing w:after="0" w:line="240" w:lineRule="auto"/>
        <w:textAlignment w:val="baseline"/>
        <w:rPr>
          <w:rFonts w:ascii="Verdana" w:eastAsia="Times New Roman" w:hAnsi="Verdana" w:cs="Segoe UI"/>
          <w:lang w:val="es-MX" w:eastAsia="es-CO"/>
        </w:rPr>
      </w:pPr>
    </w:p>
    <w:p w14:paraId="592AD5D3" w14:textId="77777777" w:rsidR="00EB35B4" w:rsidRDefault="00EB35B4" w:rsidP="00EB35B4">
      <w:pPr>
        <w:spacing w:after="0" w:line="240" w:lineRule="auto"/>
        <w:textAlignment w:val="baseline"/>
        <w:rPr>
          <w:rFonts w:ascii="Verdana" w:eastAsia="Times New Roman" w:hAnsi="Verdana" w:cs="Segoe UI"/>
          <w:lang w:val="es-MX"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5427"/>
      </w:tblGrid>
      <w:tr w:rsidR="00EB35B4" w:rsidRPr="004C0111" w14:paraId="6A65BE93" w14:textId="77777777" w:rsidTr="009A671D">
        <w:trPr>
          <w:trHeight w:val="729"/>
        </w:trPr>
        <w:tc>
          <w:tcPr>
            <w:tcW w:w="902" w:type="dxa"/>
            <w:vAlign w:val="center"/>
            <w:hideMark/>
          </w:tcPr>
          <w:p w14:paraId="5B59EB06" w14:textId="77777777" w:rsidR="00EB35B4" w:rsidRPr="004C0111" w:rsidRDefault="00EB35B4" w:rsidP="009A671D">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27" w:type="dxa"/>
            <w:tcBorders>
              <w:top w:val="nil"/>
              <w:left w:val="nil"/>
              <w:bottom w:val="dotted" w:sz="4" w:space="0" w:color="7F7F7F" w:themeColor="text1" w:themeTint="80"/>
              <w:right w:val="nil"/>
            </w:tcBorders>
            <w:vAlign w:val="center"/>
            <w:hideMark/>
          </w:tcPr>
          <w:tbl>
            <w:tblPr>
              <w:tblW w:w="52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9"/>
            </w:tblGrid>
            <w:tr w:rsidR="00EB35B4" w:rsidRPr="004C0111" w14:paraId="7F743A81" w14:textId="77777777" w:rsidTr="009A671D">
              <w:trPr>
                <w:trHeight w:val="52"/>
              </w:trPr>
              <w:tc>
                <w:tcPr>
                  <w:tcW w:w="5209" w:type="dxa"/>
                  <w:tcBorders>
                    <w:top w:val="dotted" w:sz="6" w:space="0" w:color="7F7F7F"/>
                    <w:left w:val="nil"/>
                    <w:bottom w:val="dotted" w:sz="6" w:space="0" w:color="7F7F7F"/>
                    <w:right w:val="nil"/>
                  </w:tcBorders>
                  <w:vAlign w:val="center"/>
                  <w:hideMark/>
                </w:tcPr>
                <w:p w14:paraId="239A2A2F" w14:textId="77777777" w:rsidR="00EB35B4" w:rsidRPr="004C0111" w:rsidRDefault="00EB35B4" w:rsidP="009A671D">
                  <w:pPr>
                    <w:spacing w:after="0"/>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Kelmis Yirama Brugés Alvarado</w:t>
                  </w:r>
                </w:p>
                <w:p w14:paraId="6C512137" w14:textId="77777777" w:rsidR="00EB35B4" w:rsidRPr="004C0111" w:rsidRDefault="00EB35B4" w:rsidP="009A671D">
                  <w:pPr>
                    <w:spacing w:after="0"/>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28F56D10" w14:textId="77777777" w:rsidR="00EB35B4" w:rsidRPr="004C0111" w:rsidRDefault="00EB35B4" w:rsidP="009A671D">
            <w:pPr>
              <w:spacing w:line="276" w:lineRule="auto"/>
              <w:contextualSpacing/>
              <w:rPr>
                <w:rFonts w:ascii="Verdana" w:eastAsia="Calibri" w:hAnsi="Verdana" w:cs="Arial"/>
                <w:sz w:val="16"/>
                <w:szCs w:val="16"/>
                <w:lang w:val="es-MX"/>
              </w:rPr>
            </w:pPr>
          </w:p>
        </w:tc>
      </w:tr>
      <w:tr w:rsidR="00EB35B4" w:rsidRPr="004C0111" w14:paraId="05609BA2" w14:textId="77777777" w:rsidTr="009A671D">
        <w:trPr>
          <w:trHeight w:val="387"/>
        </w:trPr>
        <w:tc>
          <w:tcPr>
            <w:tcW w:w="902" w:type="dxa"/>
            <w:vAlign w:val="center"/>
            <w:hideMark/>
          </w:tcPr>
          <w:p w14:paraId="5C4CFD58" w14:textId="77777777" w:rsidR="00EB35B4" w:rsidRPr="004C0111" w:rsidRDefault="00EB35B4" w:rsidP="009A671D">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27" w:type="dxa"/>
            <w:tcBorders>
              <w:top w:val="dotted" w:sz="4" w:space="0" w:color="7F7F7F" w:themeColor="text1" w:themeTint="80"/>
              <w:left w:val="nil"/>
              <w:bottom w:val="dotted" w:sz="4" w:space="0" w:color="7F7F7F" w:themeColor="text1" w:themeTint="80"/>
              <w:right w:val="nil"/>
            </w:tcBorders>
            <w:vAlign w:val="center"/>
            <w:hideMark/>
          </w:tcPr>
          <w:p w14:paraId="10A0010C" w14:textId="52C69E11" w:rsidR="00EB35B4" w:rsidRPr="004C0111" w:rsidRDefault="00EB35B4" w:rsidP="009A671D">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 Cabeza</w:t>
            </w:r>
          </w:p>
          <w:p w14:paraId="6554E84C" w14:textId="7A2E4E12" w:rsidR="00EB35B4" w:rsidRPr="004C0111" w:rsidRDefault="00EB35B4" w:rsidP="009A671D">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EB35B4" w:rsidRPr="004C0111" w14:paraId="33AB8BCF" w14:textId="77777777" w:rsidTr="009A671D">
        <w:trPr>
          <w:trHeight w:val="333"/>
        </w:trPr>
        <w:tc>
          <w:tcPr>
            <w:tcW w:w="902" w:type="dxa"/>
            <w:vAlign w:val="center"/>
          </w:tcPr>
          <w:p w14:paraId="663F382B" w14:textId="77777777" w:rsidR="00EB35B4" w:rsidRPr="004C0111" w:rsidRDefault="00EB35B4" w:rsidP="009A671D">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27" w:type="dxa"/>
            <w:tcBorders>
              <w:top w:val="dotted" w:sz="4" w:space="0" w:color="7F7F7F" w:themeColor="text1" w:themeTint="80"/>
              <w:left w:val="nil"/>
              <w:bottom w:val="dotted" w:sz="4" w:space="0" w:color="7F7F7F" w:themeColor="text1" w:themeTint="80"/>
              <w:right w:val="nil"/>
            </w:tcBorders>
            <w:vAlign w:val="center"/>
          </w:tcPr>
          <w:p w14:paraId="225AAACE" w14:textId="77777777" w:rsidR="00EB35B4" w:rsidRPr="002F2853" w:rsidRDefault="00EB35B4" w:rsidP="009A671D">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0B576ADE" w14:textId="77777777" w:rsidR="00EB35B4" w:rsidRPr="004C0111" w:rsidRDefault="00EB35B4" w:rsidP="009A671D">
            <w:pPr>
              <w:spacing w:line="276" w:lineRule="auto"/>
              <w:contextualSpacing/>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5348710C" w:rsidR="00C15139" w:rsidRPr="00A94BB0" w:rsidRDefault="00C15139" w:rsidP="30821638">
      <w:pPr>
        <w:spacing w:after="0" w:line="240" w:lineRule="auto"/>
        <w:textAlignment w:val="baseline"/>
        <w:rPr>
          <w:rFonts w:ascii="Verdana" w:eastAsia="Verdana" w:hAnsi="Verdana" w:cs="Verdana"/>
          <w:lang w:val="es-MX" w:eastAsia="es-CO"/>
        </w:rPr>
      </w:pPr>
      <w:r w:rsidRPr="30821638">
        <w:rPr>
          <w:rFonts w:ascii="Verdana" w:eastAsia="Verdana" w:hAnsi="Verdana" w:cs="Verdana"/>
          <w:lang w:eastAsia="es-CO"/>
        </w:rPr>
        <w:t> </w:t>
      </w:r>
      <w:bookmarkEnd w:id="0"/>
    </w:p>
    <w:sectPr w:rsidR="00C15139" w:rsidRPr="00A94BB0"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5DB82" w14:textId="77777777" w:rsidR="00531474" w:rsidRDefault="00531474" w:rsidP="004A1847">
      <w:pPr>
        <w:spacing w:after="0" w:line="240" w:lineRule="auto"/>
      </w:pPr>
      <w:r>
        <w:separator/>
      </w:r>
    </w:p>
  </w:endnote>
  <w:endnote w:type="continuationSeparator" w:id="0">
    <w:p w14:paraId="45AD0D86" w14:textId="77777777" w:rsidR="00531474" w:rsidRDefault="0053147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7C285" w14:textId="77777777" w:rsidR="00531474" w:rsidRDefault="00531474" w:rsidP="004A1847">
      <w:pPr>
        <w:spacing w:after="0" w:line="240" w:lineRule="auto"/>
      </w:pPr>
      <w:r>
        <w:separator/>
      </w:r>
    </w:p>
  </w:footnote>
  <w:footnote w:type="continuationSeparator" w:id="0">
    <w:p w14:paraId="1CADE852" w14:textId="77777777" w:rsidR="00531474" w:rsidRDefault="00531474" w:rsidP="004A1847">
      <w:pPr>
        <w:spacing w:after="0" w:line="240" w:lineRule="auto"/>
      </w:pPr>
      <w:r>
        <w:continuationSeparator/>
      </w:r>
    </w:p>
  </w:footnote>
  <w:footnote w:id="1">
    <w:p w14:paraId="28A2CE44" w14:textId="77777777" w:rsidR="00ED4E52" w:rsidRPr="0081672C" w:rsidRDefault="00ED4E52" w:rsidP="00ED4E52">
      <w:pPr>
        <w:pStyle w:val="Textonotapie"/>
        <w:spacing w:before="120" w:after="120"/>
        <w:ind w:firstLine="708"/>
        <w:contextualSpacing/>
        <w:jc w:val="both"/>
        <w:rPr>
          <w:rFonts w:ascii="Verdana" w:hAnsi="Verdana" w:cs="Arial"/>
          <w:sz w:val="16"/>
          <w:szCs w:val="16"/>
          <w:lang w:val="es-CO"/>
        </w:rPr>
      </w:pPr>
      <w:r w:rsidRPr="0081672C">
        <w:rPr>
          <w:rStyle w:val="Refdenotaalpie"/>
          <w:rFonts w:ascii="Verdana" w:hAnsi="Verdana" w:cs="Arial"/>
          <w:sz w:val="16"/>
          <w:szCs w:val="16"/>
        </w:rPr>
        <w:footnoteRef/>
      </w:r>
      <w:r w:rsidRPr="0081672C">
        <w:rPr>
          <w:rFonts w:ascii="Verdana" w:hAnsi="Verdana" w:cs="Arial"/>
          <w:sz w:val="16"/>
          <w:szCs w:val="16"/>
        </w:rPr>
        <w:t xml:space="preserve"> </w:t>
      </w:r>
      <w:r w:rsidRPr="0081672C">
        <w:rPr>
          <w:rFonts w:ascii="Verdana" w:hAnsi="Verdana" w:cs="Arial"/>
          <w:sz w:val="16"/>
          <w:szCs w:val="16"/>
          <w:lang w:val="es-CO"/>
        </w:rPr>
        <w:t>El artículo 40 de la Ley 80 de 1993 dispone que los contratos no podrán adicionarse en más del 50% de su valor inicial, expresado en SMLMV.</w:t>
      </w:r>
    </w:p>
  </w:footnote>
  <w:footnote w:id="2">
    <w:p w14:paraId="08CFC26D" w14:textId="77777777" w:rsidR="00ED4E52" w:rsidRPr="0081672C" w:rsidRDefault="00ED4E52" w:rsidP="00ED4E52">
      <w:pPr>
        <w:pStyle w:val="Textonotapie"/>
        <w:spacing w:before="120" w:after="120"/>
        <w:ind w:firstLine="708"/>
        <w:contextualSpacing/>
        <w:rPr>
          <w:rFonts w:ascii="Verdana" w:hAnsi="Verdana"/>
          <w:sz w:val="16"/>
          <w:szCs w:val="16"/>
          <w:lang w:val="pt-BR"/>
        </w:rPr>
      </w:pPr>
      <w:r w:rsidRPr="0081672C">
        <w:rPr>
          <w:rStyle w:val="Refdenotaalpie"/>
          <w:rFonts w:ascii="Verdana" w:hAnsi="Verdana"/>
          <w:sz w:val="16"/>
          <w:szCs w:val="16"/>
        </w:rPr>
        <w:footnoteRef/>
      </w:r>
      <w:r w:rsidRPr="0081672C">
        <w:rPr>
          <w:rFonts w:ascii="Verdana" w:hAnsi="Verdana"/>
          <w:sz w:val="16"/>
          <w:szCs w:val="16"/>
          <w:lang w:val="pt-BR"/>
        </w:rPr>
        <w:t xml:space="preserve"> Corte Constitucional. Sentencia C-300 de 2012. M.P: Jorge Ignacio </w:t>
      </w:r>
      <w:proofErr w:type="spellStart"/>
      <w:r w:rsidRPr="0081672C">
        <w:rPr>
          <w:rFonts w:ascii="Verdana" w:hAnsi="Verdana"/>
          <w:sz w:val="16"/>
          <w:szCs w:val="16"/>
          <w:lang w:val="pt-BR"/>
        </w:rPr>
        <w:t>Pretelt</w:t>
      </w:r>
      <w:proofErr w:type="spellEnd"/>
      <w:r w:rsidRPr="0081672C">
        <w:rPr>
          <w:rFonts w:ascii="Verdana" w:hAnsi="Verdana"/>
          <w:sz w:val="16"/>
          <w:szCs w:val="16"/>
          <w:lang w:val="pt-BR"/>
        </w:rPr>
        <w:t xml:space="preserve"> </w:t>
      </w:r>
      <w:proofErr w:type="spellStart"/>
      <w:r w:rsidRPr="0081672C">
        <w:rPr>
          <w:rFonts w:ascii="Verdana" w:hAnsi="Verdana"/>
          <w:sz w:val="16"/>
          <w:szCs w:val="16"/>
          <w:lang w:val="pt-BR"/>
        </w:rPr>
        <w:t>Chaljub</w:t>
      </w:r>
      <w:proofErr w:type="spellEnd"/>
      <w:r w:rsidRPr="0081672C">
        <w:rPr>
          <w:rFonts w:ascii="Verdana" w:hAnsi="Verdana"/>
          <w:sz w:val="16"/>
          <w:szCs w:val="16"/>
          <w:lang w:val="pt-BR"/>
        </w:rPr>
        <w:t xml:space="preserve">. </w:t>
      </w:r>
    </w:p>
    <w:p w14:paraId="25627A29" w14:textId="77777777" w:rsidR="00ED4E52" w:rsidRPr="0081672C" w:rsidRDefault="00ED4E52" w:rsidP="00ED4E52">
      <w:pPr>
        <w:pStyle w:val="Textonotapie"/>
        <w:spacing w:before="120" w:after="120"/>
        <w:ind w:firstLine="708"/>
        <w:contextualSpacing/>
        <w:rPr>
          <w:rFonts w:ascii="Verdana" w:hAnsi="Verdana"/>
          <w:sz w:val="16"/>
          <w:szCs w:val="16"/>
          <w:lang w:val="pt-BR"/>
        </w:rPr>
      </w:pPr>
    </w:p>
  </w:footnote>
  <w:footnote w:id="3">
    <w:p w14:paraId="4DF530F7" w14:textId="77777777" w:rsidR="00ED4E52" w:rsidRPr="0081672C" w:rsidRDefault="00ED4E52" w:rsidP="00ED4E52">
      <w:pPr>
        <w:pStyle w:val="Textonotapie"/>
        <w:spacing w:before="120" w:after="120"/>
        <w:ind w:firstLine="708"/>
        <w:contextualSpacing/>
        <w:jc w:val="both"/>
        <w:rPr>
          <w:rFonts w:ascii="Verdana" w:hAnsi="Verdana"/>
          <w:sz w:val="16"/>
          <w:szCs w:val="16"/>
        </w:rPr>
      </w:pPr>
      <w:r w:rsidRPr="0081672C">
        <w:rPr>
          <w:rStyle w:val="Refdenotaalpie"/>
          <w:rFonts w:ascii="Verdana" w:hAnsi="Verdana"/>
          <w:sz w:val="16"/>
          <w:szCs w:val="16"/>
        </w:rPr>
        <w:footnoteRef/>
      </w:r>
      <w:r w:rsidRPr="0081672C">
        <w:rPr>
          <w:rFonts w:ascii="Verdana" w:hAnsi="Verdana"/>
          <w:sz w:val="16"/>
          <w:szCs w:val="16"/>
        </w:rPr>
        <w:t xml:space="preserve"> Sobre la naturaleza instrumental del contrato para alcanzar los fines propios del estado social de derecho, ver la sentencia C-932 de 2007, M.P: Marco Gerardo Monroy Cabra.</w:t>
      </w:r>
    </w:p>
    <w:p w14:paraId="526444CD" w14:textId="77777777" w:rsidR="00ED4E52" w:rsidRPr="0081672C" w:rsidRDefault="00ED4E52" w:rsidP="00ED4E52">
      <w:pPr>
        <w:pStyle w:val="Textonotapie"/>
        <w:spacing w:before="120" w:after="120"/>
        <w:ind w:firstLine="708"/>
        <w:contextualSpacing/>
        <w:jc w:val="both"/>
        <w:rPr>
          <w:rFonts w:ascii="Verdana" w:hAnsi="Verdana"/>
          <w:sz w:val="16"/>
          <w:szCs w:val="16"/>
        </w:rPr>
      </w:pPr>
    </w:p>
  </w:footnote>
  <w:footnote w:id="4">
    <w:p w14:paraId="6BB05AD7" w14:textId="77777777" w:rsidR="00ED4E52" w:rsidRPr="0081672C" w:rsidRDefault="00ED4E52" w:rsidP="00ED4E52">
      <w:pPr>
        <w:pStyle w:val="Textonotapie"/>
        <w:spacing w:before="120" w:after="120"/>
        <w:ind w:firstLine="708"/>
        <w:contextualSpacing/>
        <w:jc w:val="both"/>
        <w:rPr>
          <w:rFonts w:ascii="Verdana" w:hAnsi="Verdana"/>
          <w:sz w:val="16"/>
          <w:szCs w:val="16"/>
        </w:rPr>
      </w:pPr>
      <w:r w:rsidRPr="0081672C">
        <w:rPr>
          <w:rStyle w:val="Refdenotaalpie"/>
          <w:rFonts w:ascii="Verdana" w:hAnsi="Verdana"/>
          <w:sz w:val="16"/>
          <w:szCs w:val="16"/>
        </w:rPr>
        <w:footnoteRef/>
      </w:r>
      <w:r w:rsidRPr="0081672C">
        <w:rPr>
          <w:rFonts w:ascii="Verdana" w:hAnsi="Verdana"/>
          <w:sz w:val="16"/>
          <w:szCs w:val="16"/>
        </w:rPr>
        <w:t xml:space="preserve"> M.P: Clara Inés Vargas Hernández.</w:t>
      </w:r>
    </w:p>
    <w:p w14:paraId="6799D94C" w14:textId="77777777" w:rsidR="00ED4E52" w:rsidRPr="0081672C" w:rsidRDefault="00ED4E52" w:rsidP="00ED4E52">
      <w:pPr>
        <w:pStyle w:val="Textonotapie"/>
        <w:spacing w:before="120" w:after="120"/>
        <w:ind w:firstLine="708"/>
        <w:contextualSpacing/>
        <w:jc w:val="both"/>
        <w:rPr>
          <w:rFonts w:ascii="Verdana" w:hAnsi="Verdana"/>
          <w:sz w:val="16"/>
          <w:szCs w:val="16"/>
        </w:rPr>
      </w:pPr>
    </w:p>
  </w:footnote>
  <w:footnote w:id="5">
    <w:p w14:paraId="143227BB"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Style w:val="Refdenotaalpie"/>
          <w:rFonts w:ascii="Verdana" w:hAnsi="Verdana"/>
          <w:sz w:val="16"/>
          <w:szCs w:val="16"/>
        </w:rPr>
        <w:footnoteRef/>
      </w:r>
      <w:r w:rsidRPr="0081672C">
        <w:rPr>
          <w:rFonts w:ascii="Verdana" w:hAnsi="Verdana"/>
          <w:sz w:val="16"/>
          <w:szCs w:val="16"/>
        </w:rPr>
        <w:t xml:space="preserve"> Ver también la sentencia C-068 de 2009, M.P: Mauricio González Cuervo</w:t>
      </w:r>
      <w:r w:rsidRPr="0081672C">
        <w:rPr>
          <w:rFonts w:ascii="Verdana" w:hAnsi="Verdana"/>
          <w:b/>
          <w:sz w:val="16"/>
          <w:szCs w:val="16"/>
        </w:rPr>
        <w:t xml:space="preserve">, </w:t>
      </w:r>
      <w:r w:rsidRPr="0081672C">
        <w:rPr>
          <w:rFonts w:ascii="Verdana" w:hAnsi="Verdana"/>
          <w:sz w:val="16"/>
          <w:szCs w:val="16"/>
        </w:rPr>
        <w:t>sobre la constitucional</w:t>
      </w:r>
      <w:r w:rsidRPr="0081672C">
        <w:rPr>
          <w:rFonts w:ascii="Verdana" w:hAnsi="Verdana"/>
          <w:b/>
          <w:sz w:val="16"/>
          <w:szCs w:val="16"/>
        </w:rPr>
        <w:t xml:space="preserve"> </w:t>
      </w:r>
      <w:r w:rsidRPr="0081672C">
        <w:rPr>
          <w:rFonts w:ascii="Verdana" w:hAnsi="Verdana"/>
          <w:sz w:val="16"/>
          <w:szCs w:val="16"/>
          <w:lang w:val="es-CO"/>
        </w:rPr>
        <w:t>de la posibilidad de prorrogar los contratos de concesión portuaria (artículo 8º de la ley 1º de 1991).</w:t>
      </w:r>
    </w:p>
    <w:p w14:paraId="632AF2B8" w14:textId="77777777" w:rsidR="00ED4E52" w:rsidRPr="0081672C" w:rsidRDefault="00ED4E52" w:rsidP="00ED4E52">
      <w:pPr>
        <w:pStyle w:val="Textonotapie"/>
        <w:spacing w:before="120" w:after="120"/>
        <w:ind w:firstLine="708"/>
        <w:contextualSpacing/>
        <w:jc w:val="both"/>
        <w:rPr>
          <w:rFonts w:ascii="Verdana" w:hAnsi="Verdana"/>
          <w:sz w:val="16"/>
          <w:szCs w:val="16"/>
        </w:rPr>
      </w:pPr>
    </w:p>
  </w:footnote>
  <w:footnote w:id="6">
    <w:p w14:paraId="01AE691F" w14:textId="77777777" w:rsidR="00ED4E52" w:rsidRPr="0081672C" w:rsidRDefault="00ED4E52" w:rsidP="00ED4E52">
      <w:pPr>
        <w:pStyle w:val="Textonotapie"/>
        <w:spacing w:before="120" w:after="120"/>
        <w:ind w:firstLine="708"/>
        <w:contextualSpacing/>
        <w:jc w:val="both"/>
        <w:rPr>
          <w:rFonts w:ascii="Verdana" w:hAnsi="Verdana"/>
          <w:sz w:val="16"/>
          <w:szCs w:val="16"/>
        </w:rPr>
      </w:pPr>
      <w:r w:rsidRPr="0081672C">
        <w:rPr>
          <w:rStyle w:val="Refdenotaalpie"/>
          <w:rFonts w:ascii="Verdana" w:hAnsi="Verdana"/>
          <w:sz w:val="16"/>
          <w:szCs w:val="16"/>
        </w:rPr>
        <w:footnoteRef/>
      </w:r>
      <w:r w:rsidRPr="0081672C">
        <w:rPr>
          <w:rFonts w:ascii="Verdana" w:hAnsi="Verdana"/>
          <w:sz w:val="16"/>
          <w:szCs w:val="16"/>
        </w:rPr>
        <w:t xml:space="preserve"> Esta clasificación es tomada de la literatura del análisis económico del derecho. </w:t>
      </w:r>
      <w:r w:rsidRPr="0081672C">
        <w:rPr>
          <w:rFonts w:ascii="Verdana" w:hAnsi="Verdana"/>
          <w:sz w:val="16"/>
          <w:szCs w:val="16"/>
          <w:lang w:val="en-US"/>
        </w:rPr>
        <w:t>Ver WILLIAMSON, Oliver E. “Transaction-Cost Economics: The Governance of Contractual Relations”. En: Journal of Law and Economics, Vol. 22, No. 2 (</w:t>
      </w:r>
      <w:proofErr w:type="gramStart"/>
      <w:r w:rsidRPr="0081672C">
        <w:rPr>
          <w:rFonts w:ascii="Verdana" w:hAnsi="Verdana"/>
          <w:sz w:val="16"/>
          <w:szCs w:val="16"/>
          <w:lang w:val="en-US"/>
        </w:rPr>
        <w:t>Oct,</w:t>
      </w:r>
      <w:proofErr w:type="gramEnd"/>
      <w:r w:rsidRPr="0081672C">
        <w:rPr>
          <w:rFonts w:ascii="Verdana" w:hAnsi="Verdana"/>
          <w:sz w:val="16"/>
          <w:szCs w:val="16"/>
          <w:lang w:val="en-US"/>
        </w:rPr>
        <w:t xml:space="preserve"> 1979), pp. 233-261. SHAVELL, Steven. “Foundations of Economic Analysis of Law”. Harvard University Press, 2004. </w:t>
      </w:r>
      <w:r w:rsidRPr="0081672C">
        <w:rPr>
          <w:rFonts w:ascii="Verdana" w:hAnsi="Verdana"/>
          <w:sz w:val="16"/>
          <w:szCs w:val="16"/>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(ii) Los altos costos de hacer cumplir ciertas cláusulas, y (iii) la dificultad posterior de probar en sede judicial la ocurrencia de ciertas contingencias o variables, entre otras. Vale la pena mencionar que por estas razones la mayoría de los contratos tienden a ser incompletos.</w:t>
      </w:r>
    </w:p>
    <w:p w14:paraId="1B03696F" w14:textId="77777777" w:rsidR="00ED4E52" w:rsidRPr="0081672C" w:rsidRDefault="00ED4E52" w:rsidP="00ED4E52">
      <w:pPr>
        <w:pStyle w:val="Textonotapie"/>
        <w:spacing w:before="120" w:after="120"/>
        <w:ind w:firstLine="708"/>
        <w:contextualSpacing/>
        <w:jc w:val="both"/>
        <w:rPr>
          <w:rFonts w:ascii="Verdana" w:hAnsi="Verdana"/>
          <w:sz w:val="16"/>
          <w:szCs w:val="16"/>
        </w:rPr>
      </w:pPr>
    </w:p>
  </w:footnote>
  <w:footnote w:id="7">
    <w:p w14:paraId="6CF09061" w14:textId="77777777" w:rsidR="00ED4E52" w:rsidRPr="0081672C" w:rsidRDefault="00ED4E52" w:rsidP="00ED4E52">
      <w:pPr>
        <w:pStyle w:val="Textonotapie"/>
        <w:spacing w:before="120" w:after="120"/>
        <w:ind w:firstLine="708"/>
        <w:contextualSpacing/>
        <w:jc w:val="both"/>
        <w:rPr>
          <w:rFonts w:ascii="Verdana" w:hAnsi="Verdana" w:cs="Arial"/>
          <w:sz w:val="16"/>
          <w:szCs w:val="16"/>
        </w:rPr>
      </w:pPr>
      <w:r w:rsidRPr="0081672C">
        <w:rPr>
          <w:rStyle w:val="Refdenotaalpie"/>
          <w:rFonts w:ascii="Verdana" w:hAnsi="Verdana" w:cs="Arial"/>
          <w:sz w:val="16"/>
          <w:szCs w:val="16"/>
        </w:rPr>
        <w:footnoteRef/>
      </w:r>
      <w:r w:rsidRPr="0081672C">
        <w:rPr>
          <w:rFonts w:ascii="Verdana" w:hAnsi="Verdana" w:cs="Arial"/>
          <w:sz w:val="16"/>
          <w:szCs w:val="16"/>
        </w:rPr>
        <w:t xml:space="preserve"> </w:t>
      </w:r>
      <w:r w:rsidRPr="0081672C">
        <w:rPr>
          <w:rFonts w:ascii="Verdana" w:hAnsi="Verdana" w:cs="Arial"/>
          <w:i/>
          <w:sz w:val="16"/>
          <w:szCs w:val="16"/>
        </w:rPr>
        <w:t xml:space="preserve">Cfr. </w:t>
      </w:r>
      <w:r w:rsidRPr="0081672C">
        <w:rPr>
          <w:rFonts w:ascii="Verdana" w:hAnsi="Verdana" w:cs="Arial"/>
          <w:sz w:val="16"/>
          <w:szCs w:val="16"/>
        </w:rPr>
        <w:t>Consejo de Estado. Sala de Consulta y Servicio Civil. Concepto del 13 de agosto de 2009. Radicado: 11001-03-06-000-2009-00033-00 (</w:t>
      </w:r>
      <w:r w:rsidRPr="0081672C">
        <w:rPr>
          <w:rFonts w:ascii="Verdana" w:hAnsi="Verdana" w:cs="Arial"/>
          <w:bCs/>
          <w:sz w:val="16"/>
          <w:szCs w:val="16"/>
        </w:rPr>
        <w:t>1952), C.P. Enrique José Arboleda Perdomo. En este concepto la Sala de Consulta se ocupó, entre otras preguntas, de la siguiente formulada por el Ministerio de Transporte: “</w:t>
      </w:r>
      <w:r w:rsidRPr="0081672C">
        <w:rPr>
          <w:rFonts w:ascii="Verdana" w:hAnsi="Verdana" w:cs="Arial"/>
          <w:bCs/>
          <w:iCs/>
          <w:sz w:val="16"/>
          <w:szCs w:val="16"/>
          <w:lang w:val="es-ES_tradnl"/>
        </w:rPr>
        <w:t>1. ¿Bajo el supuesto lo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8">
    <w:p w14:paraId="63DFCDE6" w14:textId="77777777" w:rsidR="00ED4E52" w:rsidRPr="0081672C" w:rsidRDefault="00ED4E52" w:rsidP="00ED4E52">
      <w:pPr>
        <w:pStyle w:val="Textonotapie"/>
        <w:spacing w:before="120" w:after="120"/>
        <w:ind w:firstLine="708"/>
        <w:contextualSpacing/>
        <w:jc w:val="both"/>
        <w:rPr>
          <w:rFonts w:ascii="Verdana" w:hAnsi="Verdana" w:cs="Arial"/>
          <w:bCs/>
          <w:iCs/>
          <w:sz w:val="16"/>
          <w:szCs w:val="16"/>
          <w:lang w:val="es-ES_tradnl"/>
        </w:rPr>
      </w:pPr>
      <w:r w:rsidRPr="0081672C">
        <w:rPr>
          <w:rStyle w:val="Refdenotaalpie"/>
          <w:rFonts w:ascii="Verdana" w:hAnsi="Verdana" w:cs="Arial"/>
          <w:sz w:val="16"/>
          <w:szCs w:val="16"/>
        </w:rPr>
        <w:footnoteRef/>
      </w:r>
      <w:r w:rsidRPr="0081672C">
        <w:rPr>
          <w:rFonts w:ascii="Verdana" w:hAnsi="Verdana" w:cs="Arial"/>
          <w:sz w:val="16"/>
          <w:szCs w:val="16"/>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81672C">
        <w:rPr>
          <w:rFonts w:ascii="Verdana" w:hAnsi="Verdana" w:cs="Arial"/>
          <w:bCs/>
          <w:iCs/>
          <w:sz w:val="16"/>
          <w:szCs w:val="16"/>
          <w:lang w:val="es-ES_tradnl"/>
        </w:rPr>
        <w:t>”.</w:t>
      </w:r>
    </w:p>
    <w:p w14:paraId="1BEAE9B7" w14:textId="77777777" w:rsidR="00ED4E52" w:rsidRPr="0081672C" w:rsidRDefault="00ED4E52" w:rsidP="00ED4E52">
      <w:pPr>
        <w:pStyle w:val="Textonotapie"/>
        <w:spacing w:before="120" w:after="120"/>
        <w:ind w:firstLine="708"/>
        <w:contextualSpacing/>
        <w:jc w:val="both"/>
        <w:rPr>
          <w:rFonts w:ascii="Verdana" w:hAnsi="Verdana" w:cs="Arial"/>
          <w:sz w:val="16"/>
          <w:szCs w:val="16"/>
          <w:lang w:val="es-CO"/>
        </w:rPr>
      </w:pPr>
    </w:p>
  </w:footnote>
  <w:footnote w:id="9">
    <w:p w14:paraId="1E14E04F" w14:textId="77777777" w:rsidR="00ED4E52" w:rsidRPr="00F42CE1" w:rsidRDefault="00ED4E52" w:rsidP="00ED4E52">
      <w:pPr>
        <w:pStyle w:val="Textonotapie"/>
        <w:spacing w:before="120" w:after="120"/>
        <w:ind w:firstLine="708"/>
        <w:contextualSpacing/>
        <w:jc w:val="both"/>
        <w:rPr>
          <w:rFonts w:ascii="Verdana" w:hAnsi="Verdana" w:cs="Arial"/>
          <w:sz w:val="14"/>
          <w:szCs w:val="14"/>
          <w:lang w:val="es-CO"/>
        </w:rPr>
      </w:pPr>
      <w:r w:rsidRPr="00F42CE1">
        <w:rPr>
          <w:rStyle w:val="Refdenotaalpie"/>
          <w:rFonts w:ascii="Verdana" w:hAnsi="Verdana" w:cs="Arial"/>
          <w:sz w:val="14"/>
          <w:szCs w:val="14"/>
        </w:rPr>
        <w:footnoteRef/>
      </w:r>
      <w:r w:rsidRPr="00F42CE1">
        <w:rPr>
          <w:rFonts w:ascii="Verdana" w:hAnsi="Verdana" w:cs="Arial"/>
          <w:sz w:val="14"/>
          <w:szCs w:val="14"/>
        </w:rPr>
        <w:t xml:space="preserve"> Ibídem.</w:t>
      </w:r>
    </w:p>
  </w:footnote>
  <w:footnote w:id="10">
    <w:p w14:paraId="21EDED79" w14:textId="77777777" w:rsidR="00ED4E52" w:rsidRPr="0081672C" w:rsidRDefault="00ED4E52" w:rsidP="00ED4E52">
      <w:pPr>
        <w:spacing w:before="120" w:after="0" w:line="240" w:lineRule="auto"/>
        <w:ind w:firstLine="708"/>
        <w:contextualSpacing/>
        <w:jc w:val="both"/>
        <w:rPr>
          <w:rFonts w:ascii="Verdana" w:hAnsi="Verdana"/>
          <w:sz w:val="16"/>
          <w:szCs w:val="16"/>
        </w:rPr>
      </w:pPr>
      <w:r w:rsidRPr="0081672C">
        <w:rPr>
          <w:rStyle w:val="Refdenotaalpie"/>
          <w:rFonts w:ascii="Verdana" w:hAnsi="Verdana"/>
          <w:sz w:val="16"/>
          <w:szCs w:val="16"/>
        </w:rPr>
        <w:footnoteRef/>
      </w:r>
      <w:r w:rsidRPr="0081672C">
        <w:rPr>
          <w:rFonts w:ascii="Verdana" w:hAnsi="Verdana"/>
          <w:sz w:val="16"/>
          <w:szCs w:val="16"/>
        </w:rPr>
        <w:t xml:space="preserve"> Consejo de Estado. Sala de Consulta y Servicio Civil.</w:t>
      </w:r>
      <w:r w:rsidRPr="0081672C">
        <w:rPr>
          <w:rFonts w:ascii="Verdana" w:hAnsi="Verdana"/>
          <w:i/>
          <w:iCs/>
          <w:sz w:val="16"/>
          <w:szCs w:val="16"/>
        </w:rPr>
        <w:t xml:space="preserve"> </w:t>
      </w:r>
      <w:r w:rsidRPr="0081672C">
        <w:rPr>
          <w:rFonts w:ascii="Verdana" w:hAnsi="Verdana"/>
          <w:sz w:val="16"/>
          <w:szCs w:val="16"/>
        </w:rPr>
        <w:t>Concepto del 06 de junio 2018. Radicado: 2369. C.P: Óscar Darío Amaya Navas.</w:t>
      </w:r>
    </w:p>
    <w:p w14:paraId="3FBC0C54" w14:textId="77777777" w:rsidR="00ED4E52" w:rsidRPr="0081672C" w:rsidRDefault="00ED4E52" w:rsidP="00ED4E52">
      <w:pPr>
        <w:spacing w:before="120" w:after="0" w:line="240" w:lineRule="auto"/>
        <w:ind w:firstLine="708"/>
        <w:contextualSpacing/>
        <w:jc w:val="both"/>
        <w:rPr>
          <w:rFonts w:ascii="Verdana" w:hAnsi="Verdana"/>
          <w:sz w:val="16"/>
          <w:szCs w:val="16"/>
        </w:rPr>
      </w:pPr>
    </w:p>
  </w:footnote>
  <w:footnote w:id="11">
    <w:p w14:paraId="2C31D666" w14:textId="77777777" w:rsidR="00ED4E52" w:rsidRPr="0081672C" w:rsidRDefault="00ED4E52" w:rsidP="00ED4E52">
      <w:pPr>
        <w:pStyle w:val="Textonotapie"/>
        <w:spacing w:after="120"/>
        <w:ind w:firstLine="709"/>
        <w:contextualSpacing/>
        <w:jc w:val="both"/>
        <w:rPr>
          <w:rFonts w:ascii="Verdana" w:hAnsi="Verdana"/>
          <w:sz w:val="16"/>
          <w:szCs w:val="16"/>
          <w:lang w:val="es-CO"/>
        </w:rPr>
      </w:pPr>
      <w:r w:rsidRPr="0081672C">
        <w:rPr>
          <w:rStyle w:val="Refdenotaalpie"/>
          <w:rFonts w:ascii="Verdana" w:hAnsi="Verdana"/>
          <w:sz w:val="16"/>
          <w:szCs w:val="16"/>
        </w:rPr>
        <w:footnoteRef/>
      </w:r>
      <w:r w:rsidRPr="0081672C">
        <w:rPr>
          <w:rFonts w:ascii="Verdana" w:hAnsi="Verdana"/>
          <w:sz w:val="16"/>
          <w:szCs w:val="16"/>
        </w:rPr>
        <w:t xml:space="preserve"> </w:t>
      </w:r>
      <w:r w:rsidRPr="0081672C">
        <w:rPr>
          <w:rFonts w:ascii="Verdana" w:hAnsi="Verdana"/>
          <w:bCs/>
          <w:sz w:val="16"/>
          <w:szCs w:val="16"/>
          <w:lang w:val="es-CO"/>
        </w:rPr>
        <w:t>ARTICULO 11. DE LA COMPETENCIA PARA DIRIGIR LICITACIONES O CONCURSOS Y PARA CELEBRAR CONTRATOS ESTATALES. </w:t>
      </w:r>
      <w:r w:rsidRPr="0081672C">
        <w:rPr>
          <w:rFonts w:ascii="Verdana" w:hAnsi="Verdana"/>
          <w:sz w:val="16"/>
          <w:szCs w:val="16"/>
          <w:lang w:val="es-CO"/>
        </w:rPr>
        <w:t>En las entidades estatales a que se refiere el artículo 2o.: </w:t>
      </w:r>
    </w:p>
    <w:p w14:paraId="0EFABF67"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448D9CAC"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Fonts w:ascii="Verdana" w:hAnsi="Verdana"/>
          <w:sz w:val="16"/>
          <w:szCs w:val="16"/>
          <w:lang w:val="es-CO"/>
        </w:rPr>
        <w:t>2o. Tiene competencia para celebrar contratos a nombre de la Nación, el Presidente de la República. </w:t>
      </w:r>
    </w:p>
    <w:p w14:paraId="07C04C8D"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Fonts w:ascii="Verdana" w:hAnsi="Verdana"/>
          <w:sz w:val="16"/>
          <w:szCs w:val="16"/>
          <w:lang w:val="es-CO"/>
        </w:rPr>
        <w:t>3o. Tienen competencia para celebrar contratos a nombre de la entidad respectiva: </w:t>
      </w:r>
    </w:p>
    <w:p w14:paraId="77457D6F"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3FE9FEB7"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0EDD81D5"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Fonts w:ascii="Verdana" w:hAnsi="Verdana"/>
          <w:sz w:val="16"/>
          <w:szCs w:val="16"/>
          <w:lang w:val="es-CO"/>
        </w:rPr>
        <w:t>c) Los representantes legales de las entidades descentralizadas en todos los órdenes y niveles. </w:t>
      </w:r>
      <w:bookmarkStart w:id="6" w:name="ver_30161404"/>
      <w:bookmarkStart w:id="7" w:name="ver_1790120"/>
      <w:bookmarkEnd w:id="6"/>
      <w:bookmarkEnd w:id="7"/>
    </w:p>
    <w:p w14:paraId="62CA8991"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p>
  </w:footnote>
  <w:footnote w:id="12">
    <w:p w14:paraId="0F0C5A91"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Style w:val="Refdenotaalpie"/>
          <w:rFonts w:ascii="Verdana" w:hAnsi="Verdana"/>
          <w:sz w:val="16"/>
          <w:szCs w:val="16"/>
        </w:rPr>
        <w:footnoteRef/>
      </w:r>
      <w:r w:rsidRPr="0081672C">
        <w:rPr>
          <w:rFonts w:ascii="Verdana" w:hAnsi="Verdana"/>
          <w:sz w:val="16"/>
          <w:szCs w:val="16"/>
        </w:rPr>
        <w:t xml:space="preserve"> </w:t>
      </w:r>
      <w:r w:rsidRPr="0081672C">
        <w:rPr>
          <w:rFonts w:ascii="Verdana" w:hAnsi="Verdana"/>
          <w:bCs/>
          <w:sz w:val="16"/>
          <w:szCs w:val="16"/>
          <w:lang w:val="es-CO"/>
        </w:rPr>
        <w:t>ARTICULO 12. DE LA DELEGACION PARA CONTRATAR.</w:t>
      </w:r>
      <w:r w:rsidRPr="0081672C">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67FB2CD0" w14:textId="77777777" w:rsidR="00ED4E52" w:rsidRPr="0081672C" w:rsidRDefault="00ED4E52" w:rsidP="00ED4E52">
      <w:pPr>
        <w:pStyle w:val="Textonotapie"/>
        <w:spacing w:before="120" w:after="120"/>
        <w:ind w:firstLine="709"/>
        <w:contextualSpacing/>
        <w:jc w:val="both"/>
        <w:rPr>
          <w:rFonts w:ascii="Verdana" w:hAnsi="Verdana"/>
          <w:sz w:val="16"/>
          <w:szCs w:val="16"/>
          <w:lang w:val="es-CO"/>
        </w:rPr>
      </w:pPr>
      <w:r w:rsidRPr="0081672C">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29F313FC" w14:textId="77777777" w:rsidR="00ED4E52" w:rsidRPr="0081672C" w:rsidRDefault="00ED4E52" w:rsidP="00ED4E52">
      <w:pPr>
        <w:pStyle w:val="Textonotapie"/>
        <w:spacing w:before="120" w:after="120"/>
        <w:ind w:firstLine="708"/>
        <w:contextualSpacing/>
        <w:jc w:val="both"/>
        <w:rPr>
          <w:rFonts w:ascii="Verdana" w:hAnsi="Verdana"/>
          <w:sz w:val="16"/>
          <w:szCs w:val="16"/>
          <w:lang w:val="es-ES"/>
        </w:rPr>
      </w:pPr>
      <w:r w:rsidRPr="0081672C">
        <w:rPr>
          <w:rFonts w:ascii="Verdana" w:hAnsi="Verdana"/>
          <w:bCs/>
          <w:sz w:val="16"/>
          <w:szCs w:val="16"/>
          <w:lang w:val="es-CO"/>
        </w:rPr>
        <w:t>Parágrafo. </w:t>
      </w:r>
      <w:r w:rsidRPr="0081672C">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13">
    <w:p w14:paraId="6D527E04" w14:textId="77777777" w:rsidR="00ED4E52" w:rsidRPr="0081672C" w:rsidRDefault="00ED4E52" w:rsidP="00ED4E52">
      <w:pPr>
        <w:spacing w:before="120" w:after="120" w:line="240" w:lineRule="auto"/>
        <w:ind w:firstLine="708"/>
        <w:contextualSpacing/>
        <w:jc w:val="both"/>
        <w:rPr>
          <w:rFonts w:ascii="Verdana" w:hAnsi="Verdana"/>
          <w:sz w:val="16"/>
          <w:szCs w:val="16"/>
        </w:rPr>
      </w:pPr>
      <w:r w:rsidRPr="0081672C">
        <w:rPr>
          <w:rStyle w:val="Refdenotaalpie"/>
          <w:rFonts w:ascii="Verdana" w:hAnsi="Verdana"/>
          <w:sz w:val="16"/>
          <w:szCs w:val="16"/>
        </w:rPr>
        <w:footnoteRef/>
      </w:r>
      <w:r w:rsidRPr="0081672C">
        <w:rPr>
          <w:rFonts w:ascii="Verdana" w:hAnsi="Verdana"/>
          <w:sz w:val="16"/>
          <w:szCs w:val="16"/>
        </w:rPr>
        <w:t xml:space="preserve"> Consejo de Estado. Sala de Consulta y Servicio Civil. C.P.: Óscar Darío Amaya Navas. Concepto del 6 de junio de 2018. Radicación número: 2369.</w:t>
      </w:r>
    </w:p>
  </w:footnote>
  <w:footnote w:id="14">
    <w:p w14:paraId="10B946A2" w14:textId="77777777" w:rsidR="00ED4E52" w:rsidRPr="0081672C" w:rsidRDefault="00ED4E52" w:rsidP="00ED4E52">
      <w:pPr>
        <w:pStyle w:val="Textonotapie"/>
        <w:spacing w:before="120" w:after="120"/>
        <w:ind w:firstLine="708"/>
        <w:contextualSpacing/>
        <w:jc w:val="both"/>
        <w:rPr>
          <w:rFonts w:ascii="Verdana" w:hAnsi="Verdana"/>
          <w:sz w:val="16"/>
          <w:szCs w:val="16"/>
        </w:rPr>
      </w:pPr>
      <w:r w:rsidRPr="0081672C">
        <w:rPr>
          <w:rStyle w:val="Refdenotaalpie"/>
          <w:rFonts w:ascii="Verdana" w:hAnsi="Verdana"/>
          <w:sz w:val="16"/>
          <w:szCs w:val="16"/>
        </w:rPr>
        <w:footnoteRef/>
      </w:r>
      <w:r w:rsidRPr="0081672C">
        <w:rPr>
          <w:rFonts w:ascii="Verdana" w:hAnsi="Verdana"/>
          <w:sz w:val="16"/>
          <w:szCs w:val="16"/>
        </w:rPr>
        <w:t xml:space="preserve"> Ibidem. </w:t>
      </w:r>
    </w:p>
  </w:footnote>
  <w:footnote w:id="15">
    <w:p w14:paraId="2ED76CF9"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Style w:val="Refdenotaalpie"/>
          <w:rFonts w:ascii="Verdana" w:hAnsi="Verdana"/>
          <w:sz w:val="16"/>
          <w:szCs w:val="16"/>
        </w:rPr>
        <w:footnoteRef/>
      </w:r>
      <w:r w:rsidRPr="0081672C">
        <w:rPr>
          <w:rFonts w:ascii="Verdana" w:hAnsi="Verdana"/>
          <w:sz w:val="16"/>
          <w:szCs w:val="16"/>
        </w:rPr>
        <w:t xml:space="preserve"> </w:t>
      </w:r>
      <w:r w:rsidRPr="0081672C">
        <w:rPr>
          <w:rFonts w:ascii="Verdana" w:hAnsi="Verdana"/>
          <w:bCs/>
          <w:sz w:val="16"/>
          <w:szCs w:val="16"/>
          <w:lang w:val="es-CO"/>
        </w:rPr>
        <w:t>Artículo 14. De los medios que pueden utilizar las entidades estatales para el cumplimiento del objeto contractual.</w:t>
      </w:r>
      <w:r w:rsidRPr="0081672C">
        <w:rPr>
          <w:rFonts w:ascii="Verdana" w:hAnsi="Verdana"/>
          <w:b/>
          <w:bCs/>
          <w:sz w:val="16"/>
          <w:szCs w:val="16"/>
          <w:lang w:val="es-CO"/>
        </w:rPr>
        <w:t> </w:t>
      </w:r>
      <w:r w:rsidRPr="0081672C">
        <w:rPr>
          <w:rFonts w:ascii="Verdana" w:hAnsi="Verdana"/>
          <w:sz w:val="16"/>
          <w:szCs w:val="16"/>
          <w:lang w:val="es-CO"/>
        </w:rPr>
        <w:t>Para el cumplimiento de los fines de la contratación, las entidades estatales al celebrar un contrato: </w:t>
      </w:r>
    </w:p>
    <w:p w14:paraId="197C682C"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sz w:val="16"/>
          <w:szCs w:val="16"/>
          <w:lang w:val="es-CO"/>
        </w:rPr>
        <w:t>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54B5200C"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sz w:val="16"/>
          <w:szCs w:val="16"/>
          <w:lang w:val="es-CO"/>
        </w:rPr>
        <w:t>En los actos en que se ejercite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w:t>
      </w:r>
    </w:p>
    <w:p w14:paraId="439B51D0"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sz w:val="16"/>
          <w:szCs w:val="16"/>
          <w:lang w:val="es-CO"/>
        </w:rPr>
        <w:t>Contra los actos administrativos que ordenen la interpretación, modificación y terminación unilaterales, procederá el recurso de reposición, sin perjuicio de la acción contractual que puede intentar el contratista, según lo previsto en el artículo 77 de esta ley. </w:t>
      </w:r>
    </w:p>
    <w:p w14:paraId="389E7028"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sz w:val="16"/>
          <w:szCs w:val="16"/>
          <w:lang w:val="es-CO"/>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 </w:t>
      </w:r>
    </w:p>
    <w:p w14:paraId="31416EF9"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sz w:val="16"/>
          <w:szCs w:val="16"/>
          <w:lang w:val="es-CO"/>
        </w:rPr>
        <w:t>Las entidades estatales podrán pactar estas cláusulas en los contratos de suministro y de prestación de servicios.  </w:t>
      </w:r>
    </w:p>
    <w:p w14:paraId="364B0207"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sz w:val="16"/>
          <w:szCs w:val="16"/>
          <w:lang w:val="es-CO"/>
        </w:rPr>
        <w:t>En los casos previstos en este numeral, las cláusulas excepcionales se entienden pactadas aun cuando no se consignen expresamente. </w:t>
      </w:r>
    </w:p>
    <w:p w14:paraId="76998987"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bCs/>
          <w:sz w:val="16"/>
          <w:szCs w:val="16"/>
          <w:lang w:val="es-CO"/>
        </w:rPr>
        <w:t>PARAGRAFO.</w:t>
      </w:r>
      <w:r w:rsidRPr="0081672C">
        <w:rPr>
          <w:rFonts w:ascii="Verdana" w:hAnsi="Verdana"/>
          <w:sz w:val="16"/>
          <w:szCs w:val="16"/>
          <w:lang w:val="es-CO"/>
        </w:rPr>
        <w:t>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 </w:t>
      </w:r>
    </w:p>
  </w:footnote>
  <w:footnote w:id="16">
    <w:p w14:paraId="7B3DE8B7"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Style w:val="Refdenotaalpie"/>
          <w:rFonts w:ascii="Verdana" w:hAnsi="Verdana"/>
          <w:sz w:val="16"/>
          <w:szCs w:val="16"/>
        </w:rPr>
        <w:footnoteRef/>
      </w:r>
      <w:r w:rsidRPr="0081672C">
        <w:rPr>
          <w:rFonts w:ascii="Verdana" w:hAnsi="Verdana"/>
          <w:sz w:val="16"/>
          <w:szCs w:val="16"/>
        </w:rPr>
        <w:t xml:space="preserve"> </w:t>
      </w:r>
      <w:r w:rsidRPr="0081672C">
        <w:rPr>
          <w:rFonts w:ascii="Verdana" w:hAnsi="Verdana"/>
          <w:bCs/>
          <w:sz w:val="16"/>
          <w:szCs w:val="16"/>
          <w:lang w:val="es-CO"/>
        </w:rPr>
        <w:t>ARTICULO 16. DE LA MODIFICACION UNILATERAL.</w:t>
      </w:r>
      <w:r w:rsidRPr="0081672C">
        <w:rPr>
          <w:rFonts w:ascii="Verdana" w:hAnsi="Verdana"/>
          <w:sz w:val="16"/>
          <w:szCs w:val="16"/>
          <w:lang w:val="es-CO"/>
        </w:rPr>
        <w:t>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w:t>
      </w:r>
    </w:p>
    <w:p w14:paraId="1115AB3F"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r w:rsidRPr="0081672C">
        <w:rPr>
          <w:rFonts w:ascii="Verdana" w:hAnsi="Verdana"/>
          <w:sz w:val="16"/>
          <w:szCs w:val="16"/>
          <w:lang w:val="es-CO"/>
        </w:rPr>
        <w:t>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p w14:paraId="07573F9F" w14:textId="77777777" w:rsidR="00ED4E52" w:rsidRPr="0081672C" w:rsidRDefault="00ED4E52" w:rsidP="00ED4E52">
      <w:pPr>
        <w:pStyle w:val="Textonotapie"/>
        <w:spacing w:before="120" w:after="120"/>
        <w:ind w:firstLine="708"/>
        <w:contextualSpacing/>
        <w:jc w:val="both"/>
        <w:rPr>
          <w:rFonts w:ascii="Verdana" w:hAnsi="Verdana"/>
          <w:sz w:val="16"/>
          <w:szCs w:val="16"/>
          <w:lang w:val="es-CO"/>
        </w:rPr>
      </w:pPr>
    </w:p>
  </w:footnote>
  <w:footnote w:id="17">
    <w:p w14:paraId="39305EED" w14:textId="77777777" w:rsidR="00ED4E52" w:rsidRPr="0081672C" w:rsidRDefault="00ED4E52" w:rsidP="00ED4E52">
      <w:pPr>
        <w:pStyle w:val="Textonotapie"/>
        <w:spacing w:before="120" w:after="120"/>
        <w:ind w:firstLine="708"/>
        <w:contextualSpacing/>
        <w:jc w:val="both"/>
        <w:rPr>
          <w:rFonts w:ascii="Verdana" w:hAnsi="Verdana" w:cs="Arial"/>
          <w:sz w:val="16"/>
          <w:szCs w:val="16"/>
        </w:rPr>
      </w:pPr>
      <w:r w:rsidRPr="0081672C">
        <w:rPr>
          <w:rStyle w:val="Refdenotaalpie"/>
          <w:rFonts w:ascii="Verdana" w:hAnsi="Verdana" w:cs="Arial"/>
          <w:sz w:val="16"/>
          <w:szCs w:val="16"/>
        </w:rPr>
        <w:footnoteRef/>
      </w:r>
      <w:r w:rsidRPr="0081672C">
        <w:rPr>
          <w:rFonts w:ascii="Verdana" w:hAnsi="Verdana" w:cs="Arial"/>
          <w:sz w:val="16"/>
          <w:szCs w:val="16"/>
        </w:rPr>
        <w:t xml:space="preserve"> </w:t>
      </w:r>
      <w:r w:rsidRPr="0081672C">
        <w:rPr>
          <w:rFonts w:ascii="Verdana" w:hAnsi="Verdana" w:cs="Arial"/>
          <w:bCs/>
          <w:i/>
          <w:sz w:val="16"/>
          <w:szCs w:val="16"/>
        </w:rPr>
        <w:t xml:space="preserve">Cfr. </w:t>
      </w:r>
      <w:r w:rsidRPr="0081672C">
        <w:rPr>
          <w:rFonts w:ascii="Verdana" w:hAnsi="Verdana" w:cs="Arial"/>
          <w:sz w:val="16"/>
          <w:szCs w:val="16"/>
        </w:rPr>
        <w:t>DAVILA VINUEZA Luis Guillermo. Régimen Jurídico de la contratación estatal. Bogotá: Editorial Legis, 2001, p. 387.</w:t>
      </w:r>
    </w:p>
    <w:p w14:paraId="0FB66B5D" w14:textId="77777777" w:rsidR="00ED4E52" w:rsidRPr="0081672C" w:rsidRDefault="00ED4E52" w:rsidP="00ED4E52">
      <w:pPr>
        <w:pStyle w:val="Textonotapie"/>
        <w:spacing w:before="120" w:after="120"/>
        <w:ind w:firstLine="708"/>
        <w:contextualSpacing/>
        <w:jc w:val="both"/>
        <w:rPr>
          <w:rFonts w:ascii="Verdana" w:hAnsi="Verdana" w:cs="Arial"/>
          <w:sz w:val="16"/>
          <w:szCs w:val="16"/>
        </w:rPr>
      </w:pPr>
    </w:p>
  </w:footnote>
  <w:footnote w:id="18">
    <w:p w14:paraId="64418A47" w14:textId="77777777" w:rsidR="00ED4E52" w:rsidRPr="0081672C" w:rsidRDefault="00ED4E52" w:rsidP="00ED4E52">
      <w:pPr>
        <w:pStyle w:val="Textonotapie"/>
        <w:spacing w:before="120" w:after="120"/>
        <w:ind w:firstLine="708"/>
        <w:contextualSpacing/>
        <w:jc w:val="both"/>
        <w:rPr>
          <w:rFonts w:ascii="Verdana" w:eastAsia="Times New Roman" w:hAnsi="Verdana" w:cs="Arial"/>
          <w:bCs/>
          <w:sz w:val="16"/>
          <w:szCs w:val="16"/>
          <w:lang w:val="es-ES" w:eastAsia="es-ES"/>
        </w:rPr>
      </w:pPr>
      <w:r w:rsidRPr="0081672C">
        <w:rPr>
          <w:rStyle w:val="Refdenotaalpie"/>
          <w:rFonts w:ascii="Verdana" w:hAnsi="Verdana" w:cs="Arial"/>
          <w:sz w:val="16"/>
          <w:szCs w:val="16"/>
        </w:rPr>
        <w:footnoteRef/>
      </w:r>
      <w:r w:rsidRPr="0081672C">
        <w:rPr>
          <w:rFonts w:ascii="Verdana" w:hAnsi="Verdana" w:cs="Arial"/>
          <w:sz w:val="16"/>
          <w:szCs w:val="16"/>
        </w:rPr>
        <w:t xml:space="preserve"> </w:t>
      </w:r>
      <w:r w:rsidRPr="0081672C">
        <w:rPr>
          <w:rFonts w:ascii="Verdana" w:hAnsi="Verdana" w:cs="Arial"/>
          <w:sz w:val="16"/>
          <w:szCs w:val="16"/>
          <w:lang w:val="es-CO"/>
        </w:rPr>
        <w:t>Sobre el particular resultan pertinentes las consideraciones efectuadas en el mismo sentido por la</w:t>
      </w:r>
      <w:r w:rsidRPr="0081672C">
        <w:rPr>
          <w:rFonts w:ascii="Verdana" w:eastAsia="Times New Roman" w:hAnsi="Verdana" w:cs="Arial"/>
          <w:sz w:val="16"/>
          <w:szCs w:val="16"/>
          <w:lang w:val="es-ES" w:eastAsia="es-ES"/>
        </w:rPr>
        <w:t xml:space="preserve"> Sala de Consulta y Servicio Civil del Consejo de Estado en el concepto del 13 de agosto de 2009, rad. </w:t>
      </w:r>
      <w:r w:rsidRPr="0081672C">
        <w:rPr>
          <w:rFonts w:ascii="Verdana" w:eastAsia="Times New Roman" w:hAnsi="Verdana" w:cs="Arial"/>
          <w:bCs/>
          <w:sz w:val="16"/>
          <w:szCs w:val="16"/>
          <w:lang w:val="es-ES" w:eastAsia="es-ES"/>
        </w:rPr>
        <w:t xml:space="preserve">1.952, C.P. Enrique José Arboleda Perdomo y por la Corte Constitucional en la sentencia C-300 de 2012. </w:t>
      </w:r>
    </w:p>
    <w:p w14:paraId="4162A82D" w14:textId="77777777" w:rsidR="00ED4E52" w:rsidRPr="0081672C" w:rsidRDefault="00ED4E52" w:rsidP="00ED4E52">
      <w:pPr>
        <w:pStyle w:val="Textonotapie"/>
        <w:spacing w:before="120" w:after="120"/>
        <w:ind w:firstLine="708"/>
        <w:contextualSpacing/>
        <w:jc w:val="both"/>
        <w:rPr>
          <w:rFonts w:ascii="Verdana"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9769522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22D7"/>
    <w:rsid w:val="00082362"/>
    <w:rsid w:val="000A683E"/>
    <w:rsid w:val="000B19B9"/>
    <w:rsid w:val="000B1BE4"/>
    <w:rsid w:val="000D0334"/>
    <w:rsid w:val="000D5DA7"/>
    <w:rsid w:val="000F4EB9"/>
    <w:rsid w:val="000F6486"/>
    <w:rsid w:val="00100516"/>
    <w:rsid w:val="00116940"/>
    <w:rsid w:val="00125105"/>
    <w:rsid w:val="00127233"/>
    <w:rsid w:val="0015699B"/>
    <w:rsid w:val="001A32D2"/>
    <w:rsid w:val="001A33BF"/>
    <w:rsid w:val="001B7113"/>
    <w:rsid w:val="001E4177"/>
    <w:rsid w:val="001F0B24"/>
    <w:rsid w:val="001F7DC6"/>
    <w:rsid w:val="0022400B"/>
    <w:rsid w:val="002421BB"/>
    <w:rsid w:val="0025796E"/>
    <w:rsid w:val="002707A2"/>
    <w:rsid w:val="00275563"/>
    <w:rsid w:val="00291E26"/>
    <w:rsid w:val="002951A0"/>
    <w:rsid w:val="0029543C"/>
    <w:rsid w:val="002962BC"/>
    <w:rsid w:val="002A093D"/>
    <w:rsid w:val="002A0DD0"/>
    <w:rsid w:val="002A49AC"/>
    <w:rsid w:val="002A64FD"/>
    <w:rsid w:val="002B5EF9"/>
    <w:rsid w:val="002C7A84"/>
    <w:rsid w:val="002E0052"/>
    <w:rsid w:val="002E2BF8"/>
    <w:rsid w:val="002E4FD9"/>
    <w:rsid w:val="0030657A"/>
    <w:rsid w:val="00322A85"/>
    <w:rsid w:val="00324168"/>
    <w:rsid w:val="00330834"/>
    <w:rsid w:val="003448F4"/>
    <w:rsid w:val="00357C9B"/>
    <w:rsid w:val="00374F5E"/>
    <w:rsid w:val="00377E3E"/>
    <w:rsid w:val="003A779E"/>
    <w:rsid w:val="003B4715"/>
    <w:rsid w:val="003C31A1"/>
    <w:rsid w:val="003D0F4D"/>
    <w:rsid w:val="003D5B0D"/>
    <w:rsid w:val="003E0499"/>
    <w:rsid w:val="003E4F80"/>
    <w:rsid w:val="003E6439"/>
    <w:rsid w:val="003F3941"/>
    <w:rsid w:val="00406575"/>
    <w:rsid w:val="00414C74"/>
    <w:rsid w:val="0042722E"/>
    <w:rsid w:val="0044528D"/>
    <w:rsid w:val="00466E39"/>
    <w:rsid w:val="00467EAC"/>
    <w:rsid w:val="004A1847"/>
    <w:rsid w:val="004A305D"/>
    <w:rsid w:val="004F21C4"/>
    <w:rsid w:val="004F685F"/>
    <w:rsid w:val="00521CC3"/>
    <w:rsid w:val="00531474"/>
    <w:rsid w:val="005566E8"/>
    <w:rsid w:val="00574867"/>
    <w:rsid w:val="00591460"/>
    <w:rsid w:val="00593B00"/>
    <w:rsid w:val="005A5E37"/>
    <w:rsid w:val="005A65E0"/>
    <w:rsid w:val="005C3777"/>
    <w:rsid w:val="005C5CDC"/>
    <w:rsid w:val="005D476C"/>
    <w:rsid w:val="006078B5"/>
    <w:rsid w:val="006200BF"/>
    <w:rsid w:val="006219F8"/>
    <w:rsid w:val="006302F7"/>
    <w:rsid w:val="00646B9F"/>
    <w:rsid w:val="00665D70"/>
    <w:rsid w:val="006900D9"/>
    <w:rsid w:val="00695301"/>
    <w:rsid w:val="00697C35"/>
    <w:rsid w:val="006C55BD"/>
    <w:rsid w:val="006D516B"/>
    <w:rsid w:val="00706C16"/>
    <w:rsid w:val="00716CD5"/>
    <w:rsid w:val="007267C8"/>
    <w:rsid w:val="007340C3"/>
    <w:rsid w:val="00741593"/>
    <w:rsid w:val="0075235A"/>
    <w:rsid w:val="00756841"/>
    <w:rsid w:val="007649AB"/>
    <w:rsid w:val="00771D0C"/>
    <w:rsid w:val="007833AC"/>
    <w:rsid w:val="00787C69"/>
    <w:rsid w:val="007949D6"/>
    <w:rsid w:val="007B268C"/>
    <w:rsid w:val="007B7171"/>
    <w:rsid w:val="007C0C0F"/>
    <w:rsid w:val="007C3DC2"/>
    <w:rsid w:val="007C6C74"/>
    <w:rsid w:val="007E5497"/>
    <w:rsid w:val="007F3D6F"/>
    <w:rsid w:val="00806F5F"/>
    <w:rsid w:val="0081672C"/>
    <w:rsid w:val="00820278"/>
    <w:rsid w:val="008258C9"/>
    <w:rsid w:val="00844AE9"/>
    <w:rsid w:val="00866266"/>
    <w:rsid w:val="00867F95"/>
    <w:rsid w:val="008843B6"/>
    <w:rsid w:val="00891928"/>
    <w:rsid w:val="008A446D"/>
    <w:rsid w:val="008B25F1"/>
    <w:rsid w:val="008D180B"/>
    <w:rsid w:val="008F0EA7"/>
    <w:rsid w:val="009059B5"/>
    <w:rsid w:val="00923EEF"/>
    <w:rsid w:val="009419F9"/>
    <w:rsid w:val="00950339"/>
    <w:rsid w:val="0095685E"/>
    <w:rsid w:val="00961B09"/>
    <w:rsid w:val="00965334"/>
    <w:rsid w:val="0097093E"/>
    <w:rsid w:val="009A074B"/>
    <w:rsid w:val="009A0DFA"/>
    <w:rsid w:val="009A1C6F"/>
    <w:rsid w:val="009B2D26"/>
    <w:rsid w:val="009B46D7"/>
    <w:rsid w:val="009C71FA"/>
    <w:rsid w:val="009C72E7"/>
    <w:rsid w:val="009C7F7E"/>
    <w:rsid w:val="009D3058"/>
    <w:rsid w:val="009F3A13"/>
    <w:rsid w:val="00A02EA3"/>
    <w:rsid w:val="00A122D3"/>
    <w:rsid w:val="00A14468"/>
    <w:rsid w:val="00A17F13"/>
    <w:rsid w:val="00A20739"/>
    <w:rsid w:val="00A23AF9"/>
    <w:rsid w:val="00A33C78"/>
    <w:rsid w:val="00A43BEC"/>
    <w:rsid w:val="00A47225"/>
    <w:rsid w:val="00A81D14"/>
    <w:rsid w:val="00A94BB0"/>
    <w:rsid w:val="00AA1188"/>
    <w:rsid w:val="00AB0ADB"/>
    <w:rsid w:val="00AC25F0"/>
    <w:rsid w:val="00AC5BA2"/>
    <w:rsid w:val="00AD0BF4"/>
    <w:rsid w:val="00B00C0E"/>
    <w:rsid w:val="00B01B1A"/>
    <w:rsid w:val="00B0381D"/>
    <w:rsid w:val="00B21D9B"/>
    <w:rsid w:val="00B44A47"/>
    <w:rsid w:val="00B4771F"/>
    <w:rsid w:val="00B4782D"/>
    <w:rsid w:val="00B72CD3"/>
    <w:rsid w:val="00B72FFF"/>
    <w:rsid w:val="00BC264B"/>
    <w:rsid w:val="00BC3D36"/>
    <w:rsid w:val="00BC78A6"/>
    <w:rsid w:val="00BD54A6"/>
    <w:rsid w:val="00BD7F72"/>
    <w:rsid w:val="00BF7425"/>
    <w:rsid w:val="00BF7521"/>
    <w:rsid w:val="00C00FEA"/>
    <w:rsid w:val="00C04FB3"/>
    <w:rsid w:val="00C11D8B"/>
    <w:rsid w:val="00C15139"/>
    <w:rsid w:val="00C22467"/>
    <w:rsid w:val="00C32952"/>
    <w:rsid w:val="00C330EB"/>
    <w:rsid w:val="00C472F4"/>
    <w:rsid w:val="00C50D69"/>
    <w:rsid w:val="00C51F0C"/>
    <w:rsid w:val="00C5365C"/>
    <w:rsid w:val="00C754BE"/>
    <w:rsid w:val="00C76B1C"/>
    <w:rsid w:val="00C925AC"/>
    <w:rsid w:val="00CA17FE"/>
    <w:rsid w:val="00CA3853"/>
    <w:rsid w:val="00CB6357"/>
    <w:rsid w:val="00CB6B8D"/>
    <w:rsid w:val="00CC1B26"/>
    <w:rsid w:val="00D361FD"/>
    <w:rsid w:val="00D36C00"/>
    <w:rsid w:val="00D3753B"/>
    <w:rsid w:val="00D423A2"/>
    <w:rsid w:val="00D44E26"/>
    <w:rsid w:val="00D520D8"/>
    <w:rsid w:val="00D63AC2"/>
    <w:rsid w:val="00D7383B"/>
    <w:rsid w:val="00D76D1D"/>
    <w:rsid w:val="00D7788A"/>
    <w:rsid w:val="00DA231B"/>
    <w:rsid w:val="00DC39FC"/>
    <w:rsid w:val="00DF5254"/>
    <w:rsid w:val="00E02524"/>
    <w:rsid w:val="00E16408"/>
    <w:rsid w:val="00E20894"/>
    <w:rsid w:val="00E245AB"/>
    <w:rsid w:val="00E2764C"/>
    <w:rsid w:val="00E27F2E"/>
    <w:rsid w:val="00E50AFE"/>
    <w:rsid w:val="00E64BCF"/>
    <w:rsid w:val="00E6764F"/>
    <w:rsid w:val="00E756DA"/>
    <w:rsid w:val="00E75C92"/>
    <w:rsid w:val="00E771DC"/>
    <w:rsid w:val="00E821C9"/>
    <w:rsid w:val="00E8772A"/>
    <w:rsid w:val="00E90F6B"/>
    <w:rsid w:val="00E92C27"/>
    <w:rsid w:val="00E959EC"/>
    <w:rsid w:val="00EA0E3D"/>
    <w:rsid w:val="00EB35B4"/>
    <w:rsid w:val="00EC38A7"/>
    <w:rsid w:val="00ED4E52"/>
    <w:rsid w:val="00EE1AA8"/>
    <w:rsid w:val="00EF6E40"/>
    <w:rsid w:val="00F1115B"/>
    <w:rsid w:val="00F23FEA"/>
    <w:rsid w:val="00F31EDC"/>
    <w:rsid w:val="00F44292"/>
    <w:rsid w:val="00F462B3"/>
    <w:rsid w:val="00F5664F"/>
    <w:rsid w:val="00F57E29"/>
    <w:rsid w:val="00F666C4"/>
    <w:rsid w:val="00F76AFC"/>
    <w:rsid w:val="00FA47C0"/>
    <w:rsid w:val="00FB5DD1"/>
    <w:rsid w:val="00FC2B5D"/>
    <w:rsid w:val="00FD3FA6"/>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078B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78B5"/>
    <w:rPr>
      <w:rFonts w:ascii="Geomanist Light" w:hAnsi="Geomanist Light"/>
      <w:lang w:val="es-ES"/>
    </w:rPr>
  </w:style>
  <w:style w:type="character" w:customStyle="1" w:styleId="s15">
    <w:name w:val="s15"/>
    <w:basedOn w:val="Fuentedeprrafopredeter"/>
    <w:rsid w:val="006078B5"/>
  </w:style>
  <w:style w:type="paragraph" w:styleId="Sinespaciado">
    <w:name w:val="No Spacing"/>
    <w:aliases w:val="No Indent"/>
    <w:link w:val="SinespaciadoCar"/>
    <w:uiPriority w:val="3"/>
    <w:qFormat/>
    <w:rsid w:val="006078B5"/>
    <w:pPr>
      <w:spacing w:after="0" w:line="240" w:lineRule="auto"/>
    </w:pPr>
    <w:rPr>
      <w:sz w:val="24"/>
      <w:lang w:val="es-MX"/>
    </w:rPr>
  </w:style>
  <w:style w:type="character" w:customStyle="1" w:styleId="SinespaciadoCar">
    <w:name w:val="Sin espaciado Car"/>
    <w:aliases w:val="No Indent Car"/>
    <w:link w:val="Sinespaciado"/>
    <w:uiPriority w:val="3"/>
    <w:rsid w:val="006078B5"/>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859282">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wp-content/uploads/2024/08/cce_guia_supervision_interventoria.pdf" TargetMode="External"/><Relationship Id="rId18" Type="http://schemas.openxmlformats.org/officeDocument/2006/relationships/hyperlink" Target="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c.g.consultoriajuridica@gmail.com" TargetMode="External"/><Relationship Id="rId17" Type="http://schemas.openxmlformats.org/officeDocument/2006/relationships/hyperlink" Target="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D81E174-29EC-440F-B7E2-3FE7D3755F3F}"/>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AAAA1F-7712-46D4-B53D-B2727E79D88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28</Pages>
  <Words>9622</Words>
  <Characters>52926</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6</cp:revision>
  <cp:lastPrinted>2023-01-10T21:18:00Z</cp:lastPrinted>
  <dcterms:created xsi:type="dcterms:W3CDTF">2026-09-18T14:46:00Z</dcterms:created>
  <dcterms:modified xsi:type="dcterms:W3CDTF">2026-09-21T14:46:00Z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