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CA729" w14:textId="77777777" w:rsidR="0076273E" w:rsidRDefault="0076273E" w:rsidP="0076273E">
      <w:pPr>
        <w:jc w:val="both"/>
        <w:rPr>
          <w:rFonts w:ascii="Verdana" w:eastAsia="Times New Roman" w:hAnsi="Verdana" w:cs="Arial"/>
          <w:b/>
          <w:bCs/>
          <w:lang w:eastAsia="es-ES_tradnl"/>
        </w:rPr>
      </w:pPr>
      <w:bookmarkStart w:id="0" w:name="_Hlk143780582"/>
      <w:r w:rsidRPr="00A7378D">
        <w:rPr>
          <w:rFonts w:ascii="Verdana" w:eastAsia="Times New Roman" w:hAnsi="Verdana" w:cs="Arial"/>
          <w:b/>
          <w:bCs/>
          <w:lang w:eastAsia="es-ES_tradnl"/>
        </w:rPr>
        <w:t xml:space="preserve">CONTRATO DE PRESTACIÓN DE SERVICIOS – Naturaleza </w:t>
      </w:r>
    </w:p>
    <w:p w14:paraId="07359AAD" w14:textId="77777777" w:rsidR="0076273E" w:rsidRDefault="0076273E" w:rsidP="0076273E">
      <w:pPr>
        <w:jc w:val="both"/>
        <w:rPr>
          <w:rFonts w:ascii="Verdana" w:eastAsia="Times New Roman" w:hAnsi="Verdana" w:cs="Arial"/>
          <w:b/>
          <w:bCs/>
          <w:sz w:val="20"/>
          <w:szCs w:val="20"/>
          <w:lang w:eastAsia="es-ES_tradnl"/>
        </w:rPr>
      </w:pPr>
      <w:r w:rsidRPr="00D46EE8">
        <w:rPr>
          <w:rFonts w:ascii="Verdana" w:eastAsia="Calibri" w:hAnsi="Verdana" w:cs="Arial"/>
          <w:color w:val="000000"/>
          <w:sz w:val="20"/>
          <w:szCs w:val="20"/>
          <w:lang w:val="es-ES_tradnl"/>
        </w:rPr>
        <w:t>El contrato de prestación de servicios es uno de los tipos contractuales consagrados en el Estatuto General de Contratación de la Administración Pública – en adelante EGCAP</w:t>
      </w:r>
      <w:r>
        <w:rPr>
          <w:rFonts w:ascii="Verdana" w:eastAsia="Calibri" w:hAnsi="Verdana" w:cs="Arial"/>
          <w:color w:val="000000"/>
          <w:sz w:val="20"/>
          <w:szCs w:val="20"/>
          <w:lang w:val="es-ES_tradnl"/>
        </w:rPr>
        <w:t>-</w:t>
      </w:r>
      <w:r w:rsidRPr="00D46EE8">
        <w:rPr>
          <w:rFonts w:ascii="Verdana" w:eastAsia="Calibri" w:hAnsi="Verdana" w:cs="Arial"/>
          <w:color w:val="000000"/>
          <w:sz w:val="20"/>
          <w:szCs w:val="20"/>
          <w:lang w:val="es-ES_tradnl"/>
        </w:rPr>
        <w:t>,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w:t>
      </w:r>
      <w:r>
        <w:rPr>
          <w:rFonts w:ascii="Verdana" w:eastAsia="Calibri" w:hAnsi="Verdana" w:cs="Arial"/>
          <w:color w:val="000000"/>
          <w:sz w:val="20"/>
          <w:szCs w:val="20"/>
          <w:lang w:val="es-ES_tradnl"/>
        </w:rPr>
        <w:t xml:space="preserve">. (…) </w:t>
      </w:r>
      <w:r w:rsidRPr="00D46EE8">
        <w:rPr>
          <w:rFonts w:ascii="Verdana" w:eastAsia="Calibri" w:hAnsi="Verdana" w:cs="Arial"/>
          <w:color w:val="000000"/>
          <w:sz w:val="20"/>
          <w:szCs w:val="20"/>
          <w:lang w:val="es-ES_tradnl"/>
        </w:rPr>
        <w:t>la celebración de dicho contrato se realiza a través de la modalidad de la contratación directa. Así lo prevé el artículo 2, numeral 4º, literal h), de la Ley 1150 de 2007</w:t>
      </w:r>
      <w:r>
        <w:rPr>
          <w:rFonts w:ascii="Verdana" w:eastAsia="Calibri" w:hAnsi="Verdana" w:cs="Arial"/>
          <w:color w:val="000000"/>
          <w:sz w:val="20"/>
          <w:szCs w:val="20"/>
          <w:lang w:val="es-ES_tradnl"/>
        </w:rPr>
        <w:t>.</w:t>
      </w:r>
    </w:p>
    <w:p w14:paraId="2E7B9CF7" w14:textId="77777777" w:rsidR="0076273E" w:rsidRDefault="0076273E" w:rsidP="0076273E">
      <w:pPr>
        <w:jc w:val="both"/>
        <w:rPr>
          <w:rFonts w:ascii="Verdana" w:eastAsia="Times New Roman" w:hAnsi="Verdana" w:cs="Arial"/>
          <w:b/>
          <w:bCs/>
          <w:lang w:eastAsia="es-ES_tradnl"/>
        </w:rPr>
      </w:pPr>
      <w:r w:rsidRPr="00A7378D">
        <w:rPr>
          <w:rFonts w:ascii="Verdana" w:eastAsia="Times New Roman" w:hAnsi="Verdana" w:cs="Arial"/>
          <w:b/>
          <w:bCs/>
          <w:lang w:eastAsia="es-ES_tradnl"/>
        </w:rPr>
        <w:t xml:space="preserve">CONTRATO DE PRESTACIÓN DE SERVICIOS – Elementos característicos </w:t>
      </w:r>
    </w:p>
    <w:p w14:paraId="57417975"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a) Solo puede celebrarse para realizar “actividades relacionadas con la administración o funcionamiento de la entidad”, es decir, que hagan parte de su giro ordinario o quehacer cotidiano.</w:t>
      </w:r>
    </w:p>
    <w:p w14:paraId="05DD7385" w14:textId="77777777" w:rsidR="0076273E" w:rsidRPr="00D46EE8" w:rsidRDefault="0076273E" w:rsidP="0076273E">
      <w:pPr>
        <w:spacing w:after="0" w:line="240" w:lineRule="auto"/>
        <w:jc w:val="both"/>
        <w:rPr>
          <w:rFonts w:ascii="Verdana" w:eastAsia="Calibri" w:hAnsi="Verdana" w:cs="Arial"/>
          <w:color w:val="000000"/>
          <w:sz w:val="20"/>
          <w:szCs w:val="20"/>
          <w:lang w:val="es-ES"/>
        </w:rPr>
      </w:pPr>
      <w:r w:rsidRPr="00D46EE8">
        <w:rPr>
          <w:rFonts w:ascii="Verdana" w:eastAsia="Calibri" w:hAnsi="Verdana" w:cs="Arial"/>
          <w:color w:val="000000"/>
          <w:sz w:val="20"/>
          <w:szCs w:val="20"/>
          <w:lang w:val="es-ES"/>
        </w:rPr>
        <w:t xml:space="preserve">b) Admite que se suscriba tanto con personas naturales como con personas jurídicas. </w:t>
      </w:r>
      <w:r w:rsidRPr="00D46EE8">
        <w:rPr>
          <w:rFonts w:ascii="Verdana" w:eastAsia="Calibri" w:hAnsi="Verdana" w:cs="Arial"/>
          <w:color w:val="000000" w:themeColor="text1"/>
          <w:sz w:val="20"/>
          <w:szCs w:val="20"/>
          <w:lang w:val="es-ES"/>
        </w:rPr>
        <w:t>Tratándose de personas naturales,</w:t>
      </w:r>
      <w:r w:rsidRPr="00D46EE8">
        <w:rPr>
          <w:rFonts w:ascii="Verdana" w:eastAsia="Calibri" w:hAnsi="Verdana" w:cs="Arial"/>
          <w:color w:val="000000"/>
          <w:sz w:val="20"/>
          <w:szCs w:val="20"/>
          <w:lang w:val="es-ES"/>
        </w:rPr>
        <w:t xml:space="preserve"> requiere que la entidad estatal justifique en los estudios previos que las actividades que buscan encomendarse a aquella “no puedan realizarse con personal de planta o requieran conocimientos especializados”.</w:t>
      </w:r>
    </w:p>
    <w:p w14:paraId="1BA56C04"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 xml:space="preserve">c)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D46EE8">
        <w:rPr>
          <w:rFonts w:ascii="Verdana" w:eastAsia="Calibri" w:hAnsi="Verdana" w:cs="Arial"/>
          <w:i/>
          <w:color w:val="000000"/>
          <w:sz w:val="20"/>
          <w:szCs w:val="20"/>
          <w:lang w:val="es-ES_tradnl"/>
        </w:rPr>
        <w:t>subordinación y dependencia</w:t>
      </w:r>
      <w:r w:rsidRPr="00D46EE8">
        <w:rPr>
          <w:rFonts w:ascii="Verdana" w:eastAsia="Calibri" w:hAnsi="Verdana" w:cs="Arial"/>
          <w:iCs/>
          <w:color w:val="000000"/>
          <w:sz w:val="20"/>
          <w:szCs w:val="20"/>
          <w:lang w:val="es-ES_tradnl"/>
        </w:rPr>
        <w:t>,</w:t>
      </w:r>
      <w:r w:rsidRPr="00D46EE8">
        <w:rPr>
          <w:rFonts w:ascii="Verdana" w:eastAsia="Calibri" w:hAnsi="Verdana" w:cs="Arial"/>
          <w:color w:val="000000"/>
          <w:sz w:val="20"/>
          <w:szCs w:val="20"/>
          <w:lang w:val="es-ES_tradnl"/>
        </w:rPr>
        <w:t xml:space="preserve"> que es uno de los elementos constitutivos del vínculo laboral. </w:t>
      </w:r>
    </w:p>
    <w:p w14:paraId="342D9FDC"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 xml:space="preserve">d) Deben ser temporales. </w:t>
      </w:r>
    </w:p>
    <w:p w14:paraId="555A7C8F" w14:textId="77777777" w:rsidR="0076273E" w:rsidRPr="00D46EE8" w:rsidRDefault="0076273E" w:rsidP="0076273E">
      <w:pPr>
        <w:spacing w:after="0" w:line="240" w:lineRule="auto"/>
        <w:jc w:val="both"/>
        <w:rPr>
          <w:rFonts w:ascii="Verdana" w:eastAsia="Calibri" w:hAnsi="Verdana" w:cs="Arial"/>
          <w:color w:val="000000"/>
          <w:sz w:val="20"/>
          <w:szCs w:val="20"/>
          <w:lang w:val="es-ES"/>
        </w:rPr>
      </w:pPr>
      <w:r w:rsidRPr="00D46EE8">
        <w:rPr>
          <w:rFonts w:ascii="Verdana" w:eastAsia="Calibri" w:hAnsi="Verdana" w:cs="Arial"/>
          <w:color w:val="000000"/>
          <w:sz w:val="20"/>
          <w:szCs w:val="20"/>
          <w:lang w:val="es-ES"/>
        </w:rPr>
        <w:t xml:space="preserve">e) Los contratos de prestación de servicios constituyen un </w:t>
      </w:r>
      <w:r w:rsidRPr="00D46EE8">
        <w:rPr>
          <w:rFonts w:ascii="Verdana" w:eastAsia="Calibri" w:hAnsi="Verdana" w:cs="Arial"/>
          <w:i/>
          <w:color w:val="000000"/>
          <w:sz w:val="20"/>
          <w:szCs w:val="20"/>
          <w:lang w:val="es-ES"/>
        </w:rPr>
        <w:t>género</w:t>
      </w:r>
      <w:r w:rsidRPr="00D46EE8">
        <w:rPr>
          <w:rFonts w:ascii="Verdana" w:eastAsia="Calibri" w:hAnsi="Verdana" w:cs="Arial"/>
          <w:color w:val="000000"/>
          <w:sz w:val="20"/>
          <w:szCs w:val="20"/>
          <w:lang w:val="es-ES"/>
        </w:rPr>
        <w:t xml:space="preserve"> que incluye, como </w:t>
      </w:r>
      <w:r w:rsidRPr="00D46EE8">
        <w:rPr>
          <w:rFonts w:ascii="Verdana" w:eastAsia="Calibri" w:hAnsi="Verdana" w:cs="Arial"/>
          <w:i/>
          <w:color w:val="000000"/>
          <w:sz w:val="20"/>
          <w:szCs w:val="20"/>
          <w:lang w:val="es-ES"/>
        </w:rPr>
        <w:t>especies</w:t>
      </w:r>
      <w:r w:rsidRPr="00D46EE8">
        <w:rPr>
          <w:rFonts w:ascii="Verdana" w:eastAsia="Calibri" w:hAnsi="Verdana" w:cs="Arial"/>
          <w:color w:val="000000"/>
          <w:sz w:val="20"/>
          <w:szCs w:val="20"/>
          <w:lang w:val="es-ES"/>
        </w:rPr>
        <w:t xml:space="preserve">, los contratos de prestación de servicios profesionales, los contratos de prestación de servicios de apoyo a la gestión y los contratos de prestación de servicios artísticos que solo pueden encomendarse a determinadas personas naturales. </w:t>
      </w:r>
    </w:p>
    <w:p w14:paraId="0B69584A"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f) Su celebración debe realizarse a través de la modalidad de contratación directa.</w:t>
      </w:r>
    </w:p>
    <w:p w14:paraId="636CB64B"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 xml:space="preserve">g) Para su celebración no se requiere en algunos casos la expedición del acto administrativo de justificación de la contratación directa. </w:t>
      </w:r>
    </w:p>
    <w:p w14:paraId="5C9A49EA"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 xml:space="preserve">h) Admiten el pacto de cláusulas excepcionales. </w:t>
      </w:r>
    </w:p>
    <w:p w14:paraId="26127AB7"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i) En algunos casos no es obligatoria la liquidación, pues así lo estableció el artículo 217 del Decreto 019 de 2012, que modificó el artículo 60 de la Ley 80 de 1993, refiriéndose a los contratos de prestación de servicios profesionales y de apoyo a la gestión.</w:t>
      </w:r>
    </w:p>
    <w:p w14:paraId="2DFA76C1"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j) Para su celebración no se requiere inscripción en el Registro Único de Proponentes (RUP), según lo prevé el artículo 6 de la Ley 1150 de 2007.</w:t>
      </w:r>
    </w:p>
    <w:p w14:paraId="7CAA8D65" w14:textId="77777777" w:rsidR="0076273E" w:rsidRPr="00D46EE8" w:rsidRDefault="0076273E" w:rsidP="0076273E">
      <w:pPr>
        <w:spacing w:after="0" w:line="240" w:lineRule="auto"/>
        <w:jc w:val="both"/>
        <w:rPr>
          <w:rFonts w:ascii="Verdana" w:eastAsia="Calibri" w:hAnsi="Verdana" w:cs="Arial"/>
          <w:color w:val="000000"/>
          <w:sz w:val="20"/>
          <w:szCs w:val="20"/>
          <w:lang w:val="es-ES_tradnl"/>
        </w:rPr>
      </w:pPr>
      <w:r w:rsidRPr="00D46EE8">
        <w:rPr>
          <w:rFonts w:ascii="Verdana" w:eastAsia="Calibri" w:hAnsi="Verdana" w:cs="Arial"/>
          <w:color w:val="000000"/>
          <w:sz w:val="20"/>
          <w:szCs w:val="20"/>
          <w:lang w:val="es-ES_tradnl"/>
        </w:rPr>
        <w:t>k) En ellos no son necesarias las garantías.</w:t>
      </w:r>
    </w:p>
    <w:p w14:paraId="35FF603E" w14:textId="77777777" w:rsidR="0076273E" w:rsidRPr="00D46EE8" w:rsidRDefault="0076273E" w:rsidP="0076273E">
      <w:pPr>
        <w:spacing w:after="0" w:line="240" w:lineRule="auto"/>
        <w:jc w:val="both"/>
        <w:rPr>
          <w:rFonts w:ascii="Verdana" w:eastAsia="Times New Roman" w:hAnsi="Verdana" w:cs="Arial"/>
          <w:b/>
          <w:bCs/>
          <w:sz w:val="20"/>
          <w:szCs w:val="20"/>
          <w:lang w:val="es-ES_tradnl" w:eastAsia="es-ES_tradnl"/>
        </w:rPr>
      </w:pPr>
    </w:p>
    <w:p w14:paraId="211BEA71" w14:textId="77777777" w:rsidR="0076273E" w:rsidRDefault="0076273E" w:rsidP="0076273E">
      <w:pPr>
        <w:jc w:val="both"/>
        <w:rPr>
          <w:rFonts w:ascii="Verdana" w:eastAsia="Times New Roman" w:hAnsi="Verdana" w:cs="Arial"/>
          <w:b/>
          <w:bCs/>
          <w:lang w:eastAsia="es-ES_tradnl"/>
        </w:rPr>
      </w:pPr>
      <w:r w:rsidRPr="00A7378D">
        <w:rPr>
          <w:rFonts w:ascii="Verdana" w:eastAsia="Times New Roman" w:hAnsi="Verdana" w:cs="Arial"/>
          <w:b/>
          <w:bCs/>
          <w:lang w:eastAsia="es-ES_tradnl"/>
        </w:rPr>
        <w:t xml:space="preserve">CONTRATO DE PRESTACIÓN DE SERVICIOS – Acreditación de idoneidad o experiencia - Guía para la incorporación de lineamientos de integridad en la contratación de prestación de servicios </w:t>
      </w:r>
    </w:p>
    <w:p w14:paraId="46FDA234" w14:textId="77777777" w:rsidR="0076273E" w:rsidRDefault="0076273E" w:rsidP="0076273E">
      <w:pPr>
        <w:jc w:val="both"/>
        <w:rPr>
          <w:rFonts w:ascii="Verdana" w:hAnsi="Verdana"/>
          <w:sz w:val="20"/>
          <w:szCs w:val="20"/>
          <w:lang w:eastAsia="es-MX"/>
        </w:rPr>
      </w:pPr>
      <w:r w:rsidRPr="007C7CC4">
        <w:rPr>
          <w:rFonts w:ascii="Verdana" w:eastAsia="Times New Roman" w:hAnsi="Verdana" w:cs="Arial"/>
          <w:sz w:val="20"/>
          <w:szCs w:val="20"/>
          <w:lang w:eastAsia="es-ES_tradnl"/>
        </w:rPr>
        <w:lastRenderedPageBreak/>
        <w:t xml:space="preserve">[…] </w:t>
      </w:r>
      <w:r w:rsidRPr="007C7CC4">
        <w:rPr>
          <w:rFonts w:ascii="Verdana" w:eastAsia="Calibri" w:hAnsi="Verdana" w:cs="Arial"/>
          <w:color w:val="000000"/>
          <w:kern w:val="2"/>
          <w:sz w:val="20"/>
          <w:szCs w:val="20"/>
          <w14:ligatures w14:val="standardContextual"/>
        </w:rPr>
        <w:t xml:space="preserve">de acuerdo con lo establecido en el Decreto 1082 de 2015 artículo </w:t>
      </w:r>
      <w:r w:rsidRPr="007C7CC4">
        <w:rPr>
          <w:rFonts w:ascii="Verdana" w:hAnsi="Verdana"/>
          <w:sz w:val="20"/>
          <w:szCs w:val="20"/>
          <w:lang w:eastAsia="es-MX"/>
        </w:rPr>
        <w:t>2.2.1.2.1.4.9., la entidad estatal deberá verificar la idoneidad o experiencia requerida y relacionada con el área de que se trate. Para tales fines, deberán establecer en los documentos previos cuales son los documentos que solicitarán al futuro contratista para acreditar y verificar los requisitos exigidos.</w:t>
      </w:r>
    </w:p>
    <w:p w14:paraId="0B4484BA" w14:textId="77777777" w:rsidR="0076273E" w:rsidRPr="007C7CC4" w:rsidRDefault="0076273E" w:rsidP="0076273E">
      <w:pPr>
        <w:spacing w:after="0" w:line="240" w:lineRule="auto"/>
        <w:jc w:val="both"/>
        <w:rPr>
          <w:rFonts w:ascii="Verdana" w:hAnsi="Verdana"/>
          <w:sz w:val="20"/>
          <w:szCs w:val="20"/>
          <w:lang w:eastAsia="es-MX"/>
        </w:rPr>
      </w:pPr>
      <w:r w:rsidRPr="007C7CC4">
        <w:rPr>
          <w:rFonts w:ascii="Verdana" w:hAnsi="Verdana"/>
          <w:iCs/>
          <w:sz w:val="20"/>
          <w:szCs w:val="20"/>
          <w:lang w:eastAsia="es-MX"/>
        </w:rPr>
        <w:t>[…] la</w:t>
      </w:r>
      <w:r w:rsidRPr="007C7CC4">
        <w:rPr>
          <w:rFonts w:ascii="Verdana" w:hAnsi="Verdana"/>
          <w:i/>
          <w:sz w:val="20"/>
          <w:szCs w:val="20"/>
          <w:lang w:eastAsia="es-MX"/>
        </w:rPr>
        <w:t xml:space="preserve"> “Guía para la i</w:t>
      </w:r>
      <w:r w:rsidRPr="007C7CC4">
        <w:rPr>
          <w:rFonts w:ascii="Verdana" w:hAnsi="Verdana"/>
          <w:i/>
          <w:iCs/>
          <w:sz w:val="20"/>
          <w:szCs w:val="20"/>
          <w:lang w:eastAsia="es-MX"/>
        </w:rPr>
        <w:t>ncorporación de lineamientos de integridad en la contratación de prestación de servicios”</w:t>
      </w:r>
      <w:r w:rsidRPr="007C7CC4">
        <w:rPr>
          <w:rFonts w:ascii="Verdana" w:hAnsi="Verdana"/>
          <w:sz w:val="20"/>
          <w:szCs w:val="20"/>
          <w:lang w:eastAsia="es-MX"/>
        </w:rPr>
        <w:t xml:space="preserve">, expedida por la Agencia de Contratación Pública – Colombia Compra Eficiente, en su Anexo 2 y 3, relaciona una lista ilustrativa de los documentos que puede solicitar la entidad del estado para suscribir contratos de prestación de servicios bien sea con persona natural o jurídica, como por ejemplo, los certificados de antecedentes judiciales, fiscales, disciplinarios, documentos que acrediten la experiencia profesional, formación académica, matrícula profesional, RIT, RUT, certificado de afiliación al sistema de seguridad social integral, entre otros. </w:t>
      </w:r>
    </w:p>
    <w:p w14:paraId="5EA49342" w14:textId="77777777" w:rsidR="0076273E" w:rsidRDefault="0076273E" w:rsidP="0076273E">
      <w:pPr>
        <w:spacing w:after="0" w:line="240" w:lineRule="auto"/>
        <w:jc w:val="both"/>
        <w:rPr>
          <w:rFonts w:ascii="Verdana" w:hAnsi="Verdana"/>
          <w:sz w:val="20"/>
          <w:szCs w:val="20"/>
          <w:lang w:eastAsia="es-MX"/>
        </w:rPr>
      </w:pPr>
    </w:p>
    <w:p w14:paraId="6AB233F3" w14:textId="77777777" w:rsidR="0076273E" w:rsidRPr="007C7CC4" w:rsidRDefault="0076273E" w:rsidP="0076273E">
      <w:pPr>
        <w:spacing w:after="0" w:line="240" w:lineRule="auto"/>
        <w:jc w:val="both"/>
        <w:rPr>
          <w:rFonts w:ascii="Verdana" w:hAnsi="Verdana"/>
          <w:sz w:val="20"/>
          <w:szCs w:val="20"/>
          <w:lang w:eastAsia="es-MX"/>
        </w:rPr>
      </w:pPr>
      <w:r w:rsidRPr="007C7CC4">
        <w:rPr>
          <w:rFonts w:ascii="Verdana" w:hAnsi="Verdana"/>
          <w:sz w:val="20"/>
          <w:szCs w:val="20"/>
          <w:lang w:eastAsia="es-MX"/>
        </w:rPr>
        <w:t>[…] será la entidad estatal, dentro de su autonomía contractual, la llamada a definir los criterios necesarios para evaluar la idoneidad y experiencia del futuro contratista, así como la ausencia de inhabilidades, incompatibilidades y prohibiciones.</w:t>
      </w:r>
    </w:p>
    <w:p w14:paraId="517FDD79" w14:textId="77777777" w:rsidR="0076273E" w:rsidRDefault="0076273E" w:rsidP="0076273E">
      <w:pPr>
        <w:spacing w:after="0" w:line="276" w:lineRule="auto"/>
        <w:jc w:val="both"/>
        <w:rPr>
          <w:rFonts w:ascii="Verdana" w:eastAsia="Calibri" w:hAnsi="Verdana" w:cs="Arial"/>
          <w:b/>
          <w:bCs/>
          <w:color w:val="000000" w:themeColor="text1"/>
          <w:lang w:val="es-ES" w:eastAsia="es-ES"/>
        </w:rPr>
      </w:pPr>
    </w:p>
    <w:p w14:paraId="31604FE3" w14:textId="77777777" w:rsidR="0076273E" w:rsidRPr="00790F0C" w:rsidRDefault="0076273E" w:rsidP="0076273E">
      <w:pPr>
        <w:spacing w:after="0" w:line="276" w:lineRule="auto"/>
        <w:jc w:val="both"/>
        <w:rPr>
          <w:rFonts w:ascii="Verdana" w:eastAsia="Calibri" w:hAnsi="Verdana" w:cs="Arial"/>
          <w:b/>
          <w:bCs/>
          <w:color w:val="000000" w:themeColor="text1"/>
          <w:sz w:val="21"/>
          <w:szCs w:val="21"/>
          <w:lang w:val="es-ES" w:eastAsia="es-ES"/>
        </w:rPr>
      </w:pPr>
      <w:r w:rsidRPr="00790F0C">
        <w:rPr>
          <w:rFonts w:ascii="Verdana" w:eastAsia="Calibri" w:hAnsi="Verdana" w:cs="Arial"/>
          <w:b/>
          <w:bCs/>
          <w:color w:val="000000" w:themeColor="text1"/>
          <w:lang w:val="es-ES" w:eastAsia="es-ES"/>
        </w:rPr>
        <w:t>PRINCIPIO DE PUBLICIDAD – SECOP</w:t>
      </w:r>
      <w:r w:rsidRPr="00790F0C">
        <w:rPr>
          <w:rFonts w:ascii="Verdana" w:eastAsia="Calibri" w:hAnsi="Verdana" w:cs="Arial"/>
          <w:b/>
          <w:bCs/>
          <w:color w:val="000000" w:themeColor="text1"/>
          <w:sz w:val="21"/>
          <w:szCs w:val="21"/>
          <w:lang w:val="es-ES" w:eastAsia="es-ES"/>
        </w:rPr>
        <w:t xml:space="preserve">  </w:t>
      </w:r>
    </w:p>
    <w:p w14:paraId="56E584A4" w14:textId="77777777" w:rsidR="0076273E" w:rsidRPr="00790F0C" w:rsidRDefault="0076273E" w:rsidP="0076273E">
      <w:pPr>
        <w:spacing w:after="0" w:line="240" w:lineRule="auto"/>
        <w:rPr>
          <w:rFonts w:ascii="Verdana" w:hAnsi="Verdana" w:cs="Arial"/>
          <w:color w:val="000000" w:themeColor="text1"/>
          <w:sz w:val="21"/>
          <w:szCs w:val="21"/>
          <w:shd w:val="clear" w:color="auto" w:fill="FFFFFF"/>
          <w:lang w:val="es-ES"/>
        </w:rPr>
      </w:pPr>
    </w:p>
    <w:p w14:paraId="3E1E64DD" w14:textId="77777777" w:rsidR="0076273E" w:rsidRPr="00790F0C" w:rsidRDefault="0076273E" w:rsidP="0076273E">
      <w:pPr>
        <w:widowControl w:val="0"/>
        <w:tabs>
          <w:tab w:val="left" w:pos="728"/>
        </w:tabs>
        <w:autoSpaceDE w:val="0"/>
        <w:autoSpaceDN w:val="0"/>
        <w:spacing w:after="0" w:line="240" w:lineRule="auto"/>
        <w:jc w:val="both"/>
        <w:rPr>
          <w:rFonts w:ascii="Verdana" w:eastAsia="Arial" w:hAnsi="Verdana" w:cs="Arial"/>
          <w:sz w:val="20"/>
          <w:szCs w:val="20"/>
          <w:lang w:val="es-ES"/>
        </w:rPr>
      </w:pPr>
      <w:r w:rsidRPr="00790F0C">
        <w:rPr>
          <w:rFonts w:ascii="Verdana" w:eastAsia="Calibri" w:hAnsi="Verdana" w:cs="Arial"/>
          <w:sz w:val="20"/>
          <w:szCs w:val="20"/>
        </w:rPr>
        <w:t>E</w:t>
      </w:r>
      <w:r w:rsidRPr="00790F0C">
        <w:rPr>
          <w:rFonts w:ascii="Verdana" w:eastAsia="Arial" w:hAnsi="Verdana" w:cs="Arial"/>
          <w:sz w:val="20"/>
          <w:szCs w:val="20"/>
          <w:lang w:val="es-ES"/>
        </w:rPr>
        <w:t xml:space="preserv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2F105198" w14:textId="77777777" w:rsidR="0076273E" w:rsidRPr="00790F0C" w:rsidRDefault="0076273E" w:rsidP="0076273E">
      <w:pPr>
        <w:spacing w:after="0" w:line="240" w:lineRule="auto"/>
        <w:jc w:val="both"/>
        <w:rPr>
          <w:rFonts w:ascii="Verdana" w:eastAsia="Calibri" w:hAnsi="Verdana" w:cs="Arial"/>
          <w:sz w:val="20"/>
          <w:szCs w:val="20"/>
        </w:rPr>
      </w:pPr>
    </w:p>
    <w:p w14:paraId="20170FDC" w14:textId="77777777" w:rsidR="0076273E" w:rsidRPr="00790F0C" w:rsidRDefault="0076273E" w:rsidP="0076273E">
      <w:pPr>
        <w:spacing w:after="0" w:line="240" w:lineRule="auto"/>
        <w:jc w:val="both"/>
        <w:rPr>
          <w:rFonts w:ascii="Verdana" w:eastAsia="Calibri" w:hAnsi="Verdana" w:cs="Arial"/>
          <w:sz w:val="20"/>
          <w:szCs w:val="20"/>
        </w:rPr>
      </w:pPr>
      <w:r w:rsidRPr="00790F0C">
        <w:rPr>
          <w:rFonts w:ascii="Verdana" w:eastAsia="Calibri" w:hAnsi="Verdana" w:cs="Arial"/>
          <w:sz w:val="20"/>
          <w:szCs w:val="20"/>
        </w:rPr>
        <w:t xml:space="preserve">De otra parte, la Ley 1712 de 2014 –Ley Estatutaria de transparencia y derecho de acceso a la información y a los documentos públicos–, identifica como principios que orientan el derecho de acceso a la información pública, los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w:t>
      </w:r>
    </w:p>
    <w:p w14:paraId="2FC82405" w14:textId="77777777" w:rsidR="0076273E" w:rsidRPr="00790F0C" w:rsidRDefault="0076273E" w:rsidP="0076273E">
      <w:pPr>
        <w:spacing w:after="0" w:line="240" w:lineRule="auto"/>
        <w:jc w:val="both"/>
        <w:rPr>
          <w:rFonts w:ascii="Verdana" w:eastAsia="Calibri" w:hAnsi="Verdana" w:cs="Arial"/>
          <w:sz w:val="21"/>
          <w:szCs w:val="21"/>
        </w:rPr>
      </w:pPr>
    </w:p>
    <w:p w14:paraId="2C1A9707" w14:textId="77777777" w:rsidR="0076273E" w:rsidRPr="00790F0C" w:rsidRDefault="0076273E" w:rsidP="0076273E">
      <w:pPr>
        <w:spacing w:after="0" w:line="276" w:lineRule="auto"/>
        <w:jc w:val="both"/>
        <w:rPr>
          <w:rFonts w:ascii="Verdana" w:eastAsia="Calibri" w:hAnsi="Verdana" w:cs="Arial"/>
          <w:b/>
          <w:bCs/>
          <w:color w:val="000000" w:themeColor="text1"/>
          <w:lang w:val="es-ES" w:eastAsia="es-ES"/>
        </w:rPr>
      </w:pPr>
      <w:r w:rsidRPr="00790F0C">
        <w:rPr>
          <w:rFonts w:ascii="Verdana" w:eastAsia="Calibri" w:hAnsi="Verdana" w:cs="Arial"/>
          <w:b/>
          <w:bCs/>
          <w:color w:val="000000" w:themeColor="text1"/>
          <w:lang w:val="es-ES" w:eastAsia="es-ES"/>
        </w:rPr>
        <w:t>SECOP II – Plataforma transaccional – Diferencias SECOP I</w:t>
      </w:r>
    </w:p>
    <w:p w14:paraId="1320BEC3" w14:textId="77777777" w:rsidR="0076273E" w:rsidRPr="00790F0C" w:rsidRDefault="0076273E" w:rsidP="0076273E">
      <w:pPr>
        <w:spacing w:after="0" w:line="240" w:lineRule="auto"/>
        <w:jc w:val="both"/>
        <w:rPr>
          <w:rFonts w:ascii="Verdana" w:eastAsia="Calibri" w:hAnsi="Verdana" w:cs="Arial"/>
          <w:b/>
          <w:bCs/>
          <w:color w:val="000000" w:themeColor="text1"/>
          <w:lang w:val="es-ES" w:eastAsia="es-ES"/>
        </w:rPr>
      </w:pPr>
    </w:p>
    <w:p w14:paraId="6A4302CC" w14:textId="77777777" w:rsidR="0076273E" w:rsidRPr="00790F0C" w:rsidRDefault="0076273E" w:rsidP="0076273E">
      <w:pPr>
        <w:spacing w:after="0" w:line="240" w:lineRule="auto"/>
        <w:jc w:val="both"/>
        <w:rPr>
          <w:rFonts w:ascii="Verdana" w:eastAsia="Calibri" w:hAnsi="Verdana" w:cs="Arial"/>
          <w:color w:val="000000" w:themeColor="text1"/>
          <w:sz w:val="20"/>
          <w:szCs w:val="20"/>
        </w:rPr>
      </w:pPr>
      <w:r w:rsidRPr="00790F0C">
        <w:rPr>
          <w:rFonts w:ascii="Verdana" w:eastAsia="Calibri" w:hAnsi="Verdana" w:cs="Arial"/>
          <w:color w:val="000000" w:themeColor="text1"/>
          <w:sz w:val="20"/>
          <w:szCs w:val="20"/>
        </w:rPr>
        <w:t xml:space="preserve">El Sistema Electrónico de Contratación Pública – SECOP – es el medio de información oficial de toda la contratación realizada con cargo a recursos públicos. El SECOP es el único punto de ingreso de información y de generación de reportes para las Entidades Estatales, los entes de control y la ciudadanía en general, el cual garantiza que se </w:t>
      </w:r>
      <w:r w:rsidRPr="00790F0C">
        <w:rPr>
          <w:rFonts w:ascii="Verdana" w:eastAsia="Calibri" w:hAnsi="Verdana" w:cs="Arial"/>
          <w:color w:val="000000" w:themeColor="text1"/>
          <w:sz w:val="20"/>
          <w:szCs w:val="20"/>
        </w:rPr>
        <w:lastRenderedPageBreak/>
        <w:t xml:space="preserve">cumplan los principios de publicidad y transparencia en la gestión contractual. Son componentes del Sistema Electrónico de Contratación las siguientes plataformas administradas por Colombia Compra Eficiente: SECOP I, SECOP II y la Tienda Virtual del Estado Colombiano -TVEC. </w:t>
      </w:r>
    </w:p>
    <w:p w14:paraId="27CF42A6" w14:textId="77777777" w:rsidR="0076273E" w:rsidRPr="00790F0C" w:rsidRDefault="0076273E" w:rsidP="0076273E">
      <w:pPr>
        <w:spacing w:after="0" w:line="240" w:lineRule="auto"/>
        <w:jc w:val="both"/>
        <w:rPr>
          <w:rFonts w:ascii="Verdana" w:eastAsia="Calibri" w:hAnsi="Verdana" w:cs="Arial"/>
          <w:color w:val="000000" w:themeColor="text1"/>
          <w:sz w:val="20"/>
          <w:szCs w:val="20"/>
        </w:rPr>
      </w:pPr>
    </w:p>
    <w:p w14:paraId="553C9B6B" w14:textId="77777777" w:rsidR="0076273E" w:rsidRPr="00790F0C" w:rsidRDefault="0076273E" w:rsidP="0076273E">
      <w:pPr>
        <w:spacing w:after="0" w:line="240" w:lineRule="auto"/>
        <w:jc w:val="both"/>
        <w:rPr>
          <w:rFonts w:ascii="Verdana" w:eastAsia="Calibri" w:hAnsi="Verdana" w:cs="Arial"/>
          <w:sz w:val="20"/>
          <w:szCs w:val="20"/>
          <w:lang w:val="es-ES"/>
        </w:rPr>
      </w:pPr>
      <w:r w:rsidRPr="00790F0C">
        <w:rPr>
          <w:rFonts w:ascii="Verdana" w:eastAsia="Calibri" w:hAnsi="Verdana" w:cs="Arial"/>
          <w:color w:val="000000" w:themeColor="text1"/>
          <w:sz w:val="20"/>
          <w:szCs w:val="20"/>
        </w:rPr>
        <w:t xml:space="preserve">El SECOP II es una plataforma transaccional, que permite gestionar en línea todos los procedimientos de contratación, </w:t>
      </w:r>
      <w:r w:rsidRPr="00790F0C">
        <w:rPr>
          <w:rFonts w:ascii="Verdana" w:eastAsia="Calibri" w:hAnsi="Verdana" w:cs="Arial"/>
          <w:sz w:val="20"/>
          <w:szCs w:val="20"/>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1232BCB" w14:textId="77777777" w:rsidR="0076273E" w:rsidRPr="00790F0C" w:rsidRDefault="0076273E" w:rsidP="0076273E">
      <w:pPr>
        <w:spacing w:after="0" w:line="240" w:lineRule="auto"/>
        <w:jc w:val="both"/>
        <w:rPr>
          <w:rFonts w:ascii="Verdana" w:eastAsia="Calibri" w:hAnsi="Verdana" w:cs="Arial"/>
          <w:sz w:val="20"/>
          <w:szCs w:val="20"/>
          <w:lang w:val="es-ES"/>
        </w:rPr>
      </w:pPr>
    </w:p>
    <w:p w14:paraId="0D53CF02" w14:textId="77777777" w:rsidR="0076273E" w:rsidRPr="00790F0C" w:rsidRDefault="0076273E" w:rsidP="0076273E">
      <w:pPr>
        <w:spacing w:after="0" w:line="240" w:lineRule="auto"/>
        <w:jc w:val="both"/>
        <w:rPr>
          <w:rFonts w:ascii="Verdana" w:eastAsia="Calibri" w:hAnsi="Verdana" w:cs="Arial"/>
          <w:sz w:val="20"/>
          <w:szCs w:val="20"/>
          <w:lang w:val="es-ES"/>
        </w:rPr>
      </w:pPr>
      <w:r w:rsidRPr="00790F0C">
        <w:rPr>
          <w:rFonts w:ascii="Verdana" w:eastAsia="Calibri" w:hAnsi="Verdana" w:cs="Arial"/>
          <w:sz w:val="20"/>
          <w:szCs w:val="20"/>
          <w:lang w:val="es-ES"/>
        </w:rPr>
        <w:t xml:space="preserve">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w:t>
      </w:r>
    </w:p>
    <w:p w14:paraId="63394568" w14:textId="77777777" w:rsidR="0076273E" w:rsidRPr="00790F0C" w:rsidRDefault="0076273E" w:rsidP="0076273E">
      <w:pPr>
        <w:spacing w:after="0" w:line="276" w:lineRule="auto"/>
        <w:jc w:val="both"/>
        <w:rPr>
          <w:rFonts w:ascii="Verdana" w:eastAsia="Calibri" w:hAnsi="Verdana" w:cs="Arial"/>
          <w:b/>
          <w:bCs/>
          <w:color w:val="000000" w:themeColor="text1"/>
          <w:sz w:val="21"/>
          <w:szCs w:val="21"/>
          <w:lang w:val="es-ES" w:eastAsia="es-ES"/>
        </w:rPr>
      </w:pPr>
    </w:p>
    <w:p w14:paraId="2728A423" w14:textId="77777777" w:rsidR="0076273E" w:rsidRPr="00790F0C" w:rsidRDefault="0076273E" w:rsidP="0076273E">
      <w:pPr>
        <w:spacing w:after="0" w:line="240" w:lineRule="auto"/>
        <w:rPr>
          <w:rFonts w:ascii="Verdana" w:eastAsia="Geomanist Light" w:hAnsi="Verdana" w:cs="Arial"/>
          <w:b/>
          <w:bCs/>
          <w:color w:val="000000" w:themeColor="text1"/>
        </w:rPr>
      </w:pPr>
      <w:r w:rsidRPr="00790F0C">
        <w:rPr>
          <w:rFonts w:ascii="Verdana" w:eastAsia="Aptos" w:hAnsi="Verdana" w:cs="Times New Roman"/>
          <w:b/>
          <w:bCs/>
          <w:lang w:val="es-ES"/>
        </w:rPr>
        <w:t>CIRCULAR EXTERNA 007 DE 2025 </w:t>
      </w:r>
      <w:r w:rsidRPr="00790F0C">
        <w:rPr>
          <w:rFonts w:ascii="Verdana" w:eastAsia="Aptos" w:hAnsi="Verdana" w:cs="Times New Roman"/>
          <w:b/>
          <w:bCs/>
          <w:lang w:val="es-MX"/>
        </w:rPr>
        <w:t>–</w:t>
      </w:r>
      <w:r w:rsidRPr="00790F0C">
        <w:rPr>
          <w:rFonts w:ascii="Verdana" w:eastAsia="Aptos" w:hAnsi="Verdana" w:cs="Times New Roman"/>
          <w:b/>
          <w:bCs/>
          <w:lang w:val="es-ES"/>
        </w:rPr>
        <w:t xml:space="preserve"> Alcance </w:t>
      </w:r>
      <w:r w:rsidRPr="00790F0C">
        <w:rPr>
          <w:rFonts w:ascii="Verdana" w:eastAsia="Aptos" w:hAnsi="Verdana" w:cs="Times New Roman"/>
          <w:b/>
          <w:bCs/>
          <w:lang w:val="es-MX"/>
        </w:rPr>
        <w:t>–</w:t>
      </w:r>
      <w:r w:rsidRPr="00790F0C">
        <w:rPr>
          <w:rFonts w:ascii="Verdana" w:eastAsia="Aptos" w:hAnsi="Verdana" w:cs="Times New Roman"/>
          <w:b/>
          <w:bCs/>
          <w:lang w:val="es-ES"/>
        </w:rPr>
        <w:t> Gestión documental</w:t>
      </w:r>
    </w:p>
    <w:p w14:paraId="5D2DA822" w14:textId="77777777" w:rsidR="0076273E" w:rsidRPr="00790F0C" w:rsidRDefault="0076273E" w:rsidP="0076273E">
      <w:pPr>
        <w:spacing w:after="0" w:line="240" w:lineRule="auto"/>
        <w:rPr>
          <w:rFonts w:ascii="Verdana" w:eastAsia="Geomanist Light" w:hAnsi="Verdana" w:cs="Arial"/>
          <w:color w:val="000000" w:themeColor="text1"/>
        </w:rPr>
      </w:pPr>
    </w:p>
    <w:p w14:paraId="3B97FCE3" w14:textId="77777777" w:rsidR="0076273E" w:rsidRPr="00790F0C" w:rsidRDefault="0076273E" w:rsidP="0076273E">
      <w:pPr>
        <w:spacing w:after="0" w:line="240" w:lineRule="auto"/>
        <w:jc w:val="both"/>
        <w:rPr>
          <w:rFonts w:ascii="Verdana" w:eastAsia="Calibri" w:hAnsi="Verdana" w:cs="Arial"/>
          <w:sz w:val="20"/>
          <w:szCs w:val="20"/>
          <w:lang w:val="es-ES"/>
        </w:rPr>
      </w:pPr>
      <w:r w:rsidRPr="00790F0C">
        <w:rPr>
          <w:rFonts w:ascii="Verdana" w:eastAsia="Calibri" w:hAnsi="Verdana" w:cs="Arial"/>
          <w:sz w:val="20"/>
          <w:szCs w:val="20"/>
          <w:lang w:val="es-ES"/>
        </w:rPr>
        <w:t>La Circular Externa No. 007 de 2025 modificó el numeral 2 de la Circular Externa Única Versión 03, con el propósito de armonizar la gestión contractual con la gestión documental y delimitar claramente las competencias entre la Agencia Nacional de Contratación Pública – Colombia Compra Eficiente y las Entidades Estatales. De esta forma, la Circular ratifica que SECOP I y SECOP II constituyen las plataformas oficiales mediante las cuales se desarrollan electrónicamente las actuaciones propias del Sistema de Compra Pública y se garantiza el cumplimiento de los principios de publicidad, transparencia, trazabilidad y acceso a la información pública.</w:t>
      </w:r>
    </w:p>
    <w:p w14:paraId="50CD76D1" w14:textId="77777777" w:rsidR="0076273E" w:rsidRPr="00790F0C" w:rsidRDefault="0076273E" w:rsidP="0076273E">
      <w:pPr>
        <w:spacing w:after="0" w:line="240" w:lineRule="auto"/>
        <w:jc w:val="both"/>
        <w:rPr>
          <w:rFonts w:ascii="Verdana" w:eastAsia="Calibri" w:hAnsi="Verdana" w:cs="Arial"/>
          <w:sz w:val="20"/>
          <w:szCs w:val="20"/>
          <w:lang w:val="es-ES"/>
        </w:rPr>
      </w:pPr>
    </w:p>
    <w:p w14:paraId="75540E68" w14:textId="77777777" w:rsidR="0076273E" w:rsidRPr="00790F0C" w:rsidRDefault="0076273E" w:rsidP="0076273E">
      <w:pPr>
        <w:spacing w:after="0" w:line="240" w:lineRule="auto"/>
        <w:jc w:val="both"/>
        <w:rPr>
          <w:rFonts w:ascii="Verdana" w:eastAsia="Calibri" w:hAnsi="Verdana" w:cs="Arial"/>
          <w:sz w:val="20"/>
          <w:szCs w:val="20"/>
          <w:lang w:val="es-ES"/>
        </w:rPr>
      </w:pPr>
      <w:r w:rsidRPr="00790F0C">
        <w:rPr>
          <w:rFonts w:ascii="Verdana" w:eastAsia="Calibri" w:hAnsi="Verdana" w:cs="Arial"/>
          <w:sz w:val="20"/>
          <w:szCs w:val="20"/>
          <w:lang w:val="es-ES"/>
        </w:rPr>
        <w:t>Sin embargo, igualmente precisa que dichas plataformas no fueron concebidas ni operan como Sistemas de Gestión de Documentos Electrónicos de Archivo ni como sistemas de preservación digital a largo plazo. En consecuencia, la responsabilidad de conformar, organizar, administrar, custodiar, preservar y garantizar el valor archivístico y probatorio de los expedientes electrónicos corresponde a cada Entidad Estatal en su condición de productora documental, de conformidad con la normativa archivística vigente.</w:t>
      </w:r>
    </w:p>
    <w:p w14:paraId="34B9ADDC" w14:textId="77777777" w:rsidR="0076273E" w:rsidRPr="00790F0C" w:rsidRDefault="0076273E" w:rsidP="0076273E">
      <w:pPr>
        <w:spacing w:after="0" w:line="240" w:lineRule="auto"/>
        <w:rPr>
          <w:rFonts w:ascii="Verdana" w:eastAsia="Geomanist Light" w:hAnsi="Verdana" w:cs="Arial"/>
          <w:color w:val="000000" w:themeColor="text1"/>
        </w:rPr>
      </w:pPr>
    </w:p>
    <w:p w14:paraId="524F90FC" w14:textId="77777777" w:rsidR="0076273E" w:rsidRDefault="0076273E" w:rsidP="0076273E">
      <w:pPr>
        <w:spacing w:after="0" w:line="240" w:lineRule="auto"/>
        <w:rPr>
          <w:rFonts w:ascii="Verdana" w:eastAsia="Geomanist Light" w:hAnsi="Verdana" w:cs="Arial"/>
          <w:color w:val="000000" w:themeColor="text1"/>
        </w:rPr>
      </w:pPr>
    </w:p>
    <w:p w14:paraId="5179F900" w14:textId="77777777" w:rsidR="0076273E" w:rsidRDefault="0076273E" w:rsidP="0076273E">
      <w:pPr>
        <w:spacing w:after="0" w:line="240" w:lineRule="auto"/>
        <w:rPr>
          <w:rFonts w:ascii="Verdana" w:eastAsia="Geomanist Light" w:hAnsi="Verdana" w:cs="Arial"/>
          <w:color w:val="000000" w:themeColor="text1"/>
          <w:lang w:val="es-MX"/>
        </w:rPr>
      </w:pPr>
    </w:p>
    <w:p w14:paraId="4F524C97" w14:textId="77777777" w:rsidR="0076273E" w:rsidRDefault="0076273E" w:rsidP="0076273E">
      <w:pPr>
        <w:spacing w:after="0" w:line="240" w:lineRule="auto"/>
        <w:rPr>
          <w:rFonts w:ascii="Verdana" w:eastAsia="Geomanist Light" w:hAnsi="Verdana" w:cs="Arial"/>
          <w:color w:val="000000" w:themeColor="text1"/>
          <w:lang w:val="es-MX"/>
        </w:rPr>
      </w:pPr>
    </w:p>
    <w:p w14:paraId="235123A9" w14:textId="3DA44184" w:rsidR="0076273E" w:rsidRPr="0015699B" w:rsidRDefault="0076273E" w:rsidP="0076273E">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Bogotá D.C., </w:t>
      </w:r>
      <w:r w:rsidR="00806C83">
        <w:rPr>
          <w:rFonts w:ascii="Verdana" w:eastAsia="Verdana" w:hAnsi="Verdana" w:cs="Verdana"/>
          <w:color w:val="000000" w:themeColor="text1"/>
          <w:lang w:val="es"/>
        </w:rPr>
        <w:t>21</w:t>
      </w:r>
      <w:r w:rsidRPr="39124533">
        <w:rPr>
          <w:rFonts w:ascii="Verdana" w:eastAsia="Verdana" w:hAnsi="Verdana" w:cs="Verdana"/>
          <w:color w:val="000000" w:themeColor="text1"/>
          <w:lang w:val="es"/>
        </w:rPr>
        <w:t xml:space="preserve"> de </w:t>
      </w:r>
      <w:r>
        <w:rPr>
          <w:rFonts w:ascii="Verdana" w:eastAsia="Verdana" w:hAnsi="Verdana" w:cs="Verdana"/>
          <w:color w:val="000000" w:themeColor="text1"/>
          <w:lang w:val="es"/>
        </w:rPr>
        <w:t>septiembre</w:t>
      </w:r>
      <w:r w:rsidRPr="39124533">
        <w:rPr>
          <w:rFonts w:ascii="Verdana" w:eastAsia="Verdana" w:hAnsi="Verdana" w:cs="Verdana"/>
          <w:color w:val="000000" w:themeColor="text1"/>
          <w:lang w:val="es"/>
        </w:rPr>
        <w:t xml:space="preserve"> de 2026</w:t>
      </w:r>
    </w:p>
    <w:p w14:paraId="7AD1C5F6" w14:textId="28692CBA" w:rsidR="0076273E" w:rsidRDefault="00704E4F" w:rsidP="00704E4F">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7F703640" wp14:editId="14754329">
            <wp:extent cx="2316307" cy="714375"/>
            <wp:effectExtent l="0" t="0" r="8255" b="0"/>
            <wp:docPr id="11565494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8871" cy="715166"/>
                    </a:xfrm>
                    <a:prstGeom prst="rect">
                      <a:avLst/>
                    </a:prstGeom>
                    <a:noFill/>
                    <a:ln>
                      <a:noFill/>
                    </a:ln>
                  </pic:spPr>
                </pic:pic>
              </a:graphicData>
            </a:graphic>
          </wp:inline>
        </w:drawing>
      </w:r>
    </w:p>
    <w:p w14:paraId="5CA457B7" w14:textId="77777777" w:rsidR="0076273E" w:rsidRPr="00156A83" w:rsidRDefault="0076273E" w:rsidP="0076273E">
      <w:pPr>
        <w:spacing w:after="0" w:line="240" w:lineRule="auto"/>
        <w:jc w:val="both"/>
        <w:textAlignment w:val="baseline"/>
        <w:rPr>
          <w:rFonts w:ascii="Verdana" w:eastAsia="Verdana" w:hAnsi="Verdana" w:cs="Verdana"/>
          <w:color w:val="000000" w:themeColor="text1"/>
          <w:lang w:val="es"/>
        </w:rPr>
      </w:pPr>
      <w:r w:rsidRPr="00156A83">
        <w:rPr>
          <w:rFonts w:ascii="Verdana" w:eastAsia="Verdana" w:hAnsi="Verdana" w:cs="Verdana"/>
          <w:color w:val="000000" w:themeColor="text1"/>
          <w:lang w:val="es"/>
        </w:rPr>
        <w:t>Señor</w:t>
      </w:r>
    </w:p>
    <w:p w14:paraId="27C5F04F" w14:textId="77777777" w:rsidR="0076273E" w:rsidRPr="00156A83" w:rsidRDefault="0076273E" w:rsidP="0076273E">
      <w:pPr>
        <w:spacing w:after="0" w:line="240" w:lineRule="auto"/>
        <w:jc w:val="both"/>
        <w:textAlignment w:val="baseline"/>
        <w:rPr>
          <w:rFonts w:ascii="Verdana" w:hAnsi="Verdana"/>
          <w:b/>
          <w:bCs/>
        </w:rPr>
      </w:pPr>
      <w:r w:rsidRPr="00156A83">
        <w:rPr>
          <w:rFonts w:ascii="Verdana" w:hAnsi="Verdana"/>
          <w:b/>
          <w:bCs/>
        </w:rPr>
        <w:t>JAVIER FERNANDO VERA DELGADO</w:t>
      </w:r>
    </w:p>
    <w:p w14:paraId="6FA0BE98" w14:textId="77777777" w:rsidR="0076273E" w:rsidRPr="00156A83" w:rsidRDefault="0076273E" w:rsidP="0076273E">
      <w:pPr>
        <w:spacing w:after="0" w:line="240" w:lineRule="auto"/>
        <w:jc w:val="both"/>
        <w:textAlignment w:val="baseline"/>
        <w:rPr>
          <w:rFonts w:ascii="Verdana" w:hAnsi="Verdana"/>
        </w:rPr>
      </w:pPr>
      <w:hyperlink r:id="rId11" w:history="1">
        <w:r w:rsidRPr="00156A83">
          <w:rPr>
            <w:rStyle w:val="Hipervnculo"/>
            <w:rFonts w:ascii="Verdana" w:hAnsi="Verdana"/>
          </w:rPr>
          <w:t>ja.vera1639@gmail.com</w:t>
        </w:r>
      </w:hyperlink>
      <w:r w:rsidRPr="00156A83">
        <w:rPr>
          <w:rFonts w:ascii="Verdana" w:hAnsi="Verdana"/>
        </w:rPr>
        <w:t xml:space="preserve"> </w:t>
      </w:r>
    </w:p>
    <w:p w14:paraId="04BCBA65" w14:textId="77777777" w:rsidR="0076273E" w:rsidRDefault="0076273E" w:rsidP="0076273E">
      <w:pPr>
        <w:spacing w:after="0" w:line="240" w:lineRule="auto"/>
        <w:jc w:val="both"/>
        <w:textAlignment w:val="baseline"/>
        <w:rPr>
          <w:rFonts w:ascii="Verdana" w:hAnsi="Verdana"/>
        </w:rPr>
      </w:pPr>
      <w:r w:rsidRPr="00156A83">
        <w:rPr>
          <w:rFonts w:ascii="Verdana" w:hAnsi="Verdana"/>
        </w:rPr>
        <w:t>Bucaramanga (Santander)</w:t>
      </w:r>
    </w:p>
    <w:p w14:paraId="57475AD4" w14:textId="77777777" w:rsidR="0076273E" w:rsidRPr="003D5882" w:rsidRDefault="0076273E" w:rsidP="0076273E">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526"/>
      </w:tblGrid>
      <w:tr w:rsidR="0076273E" w14:paraId="68551858" w14:textId="77777777" w:rsidTr="00C23F34">
        <w:trPr>
          <w:trHeight w:val="615"/>
        </w:trPr>
        <w:tc>
          <w:tcPr>
            <w:tcW w:w="2265" w:type="dxa"/>
            <w:shd w:val="clear" w:color="auto" w:fill="FFFFFF" w:themeFill="background1"/>
            <w:tcMar>
              <w:left w:w="108" w:type="dxa"/>
              <w:right w:w="108" w:type="dxa"/>
            </w:tcMar>
          </w:tcPr>
          <w:p w14:paraId="67746250" w14:textId="77777777" w:rsidR="0076273E" w:rsidRDefault="0076273E" w:rsidP="00C23F34">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76EC7518" w14:textId="77777777" w:rsidR="0076273E" w:rsidRDefault="0076273E" w:rsidP="00C23F34">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1265</w:t>
            </w:r>
            <w:r w:rsidRPr="40A87941">
              <w:rPr>
                <w:rFonts w:ascii="Verdana" w:eastAsia="Verdana" w:hAnsi="Verdana" w:cs="Verdana"/>
                <w:b/>
                <w:bCs/>
                <w:color w:val="000000" w:themeColor="text1"/>
                <w:lang w:val="es"/>
              </w:rPr>
              <w:t xml:space="preserve"> de 2026</w:t>
            </w:r>
          </w:p>
        </w:tc>
      </w:tr>
      <w:tr w:rsidR="0076273E" w:rsidRPr="004F242E" w14:paraId="5A23621A" w14:textId="77777777" w:rsidTr="00C23F34">
        <w:trPr>
          <w:trHeight w:val="1065"/>
        </w:trPr>
        <w:tc>
          <w:tcPr>
            <w:tcW w:w="2265" w:type="dxa"/>
            <w:shd w:val="clear" w:color="auto" w:fill="FFFFFF" w:themeFill="background1"/>
            <w:tcMar>
              <w:left w:w="108" w:type="dxa"/>
              <w:right w:w="108" w:type="dxa"/>
            </w:tcMar>
          </w:tcPr>
          <w:p w14:paraId="2393E746" w14:textId="77777777" w:rsidR="0076273E" w:rsidRDefault="0076273E" w:rsidP="00C23F34">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7C1C3334" w14:textId="77777777" w:rsidR="0076273E" w:rsidRPr="00790F0C" w:rsidRDefault="0076273E" w:rsidP="00C23F34">
            <w:pPr>
              <w:spacing w:line="276" w:lineRule="auto"/>
              <w:jc w:val="both"/>
              <w:rPr>
                <w:rFonts w:ascii="Verdana" w:eastAsia="Aptos" w:hAnsi="Verdana" w:cs="Times New Roman"/>
                <w:lang w:val="es-ES"/>
              </w:rPr>
            </w:pPr>
            <w:r>
              <w:rPr>
                <w:rFonts w:ascii="Verdana" w:eastAsia="Times New Roman" w:hAnsi="Verdana" w:cs="Arial"/>
                <w:lang w:eastAsia="es-ES_tradnl"/>
              </w:rPr>
              <w:t xml:space="preserve">CONTRATO DE PRESTACIÓN DE SERVICIOS – Naturaleza / CONTRATO DE PRESTACIÓN DE SERVICIOS – Elementos característicos / CONTRATO DE PRESTACIÓN DE SERVICIOS – Acreditación de idoneidad o experiencia - Guía para la incorporación de lineamientos de integridad en la contratación de prestación de servicios / </w:t>
            </w:r>
            <w:r w:rsidRPr="00790F0C">
              <w:rPr>
                <w:rFonts w:ascii="Verdana" w:eastAsia="Aptos" w:hAnsi="Verdana" w:cs="Times New Roman"/>
                <w:lang w:val="es-ES"/>
              </w:rPr>
              <w:t>Principio de Publicidad – SECOP / SECOP II </w:t>
            </w:r>
            <w:r w:rsidRPr="00790F0C">
              <w:rPr>
                <w:rFonts w:ascii="Verdana" w:eastAsia="Aptos" w:hAnsi="Verdana" w:cs="Times New Roman"/>
                <w:lang w:val="es-MX"/>
              </w:rPr>
              <w:t>–</w:t>
            </w:r>
            <w:r w:rsidRPr="00790F0C">
              <w:rPr>
                <w:rFonts w:ascii="Verdana" w:eastAsia="Aptos" w:hAnsi="Verdana" w:cs="Times New Roman"/>
                <w:lang w:val="es-ES"/>
              </w:rPr>
              <w:t xml:space="preserve"> Plataforma Transaccional </w:t>
            </w:r>
            <w:r w:rsidRPr="00790F0C">
              <w:rPr>
                <w:rFonts w:ascii="Verdana" w:eastAsia="Aptos" w:hAnsi="Verdana" w:cs="Times New Roman"/>
                <w:lang w:val="es-MX"/>
              </w:rPr>
              <w:t xml:space="preserve">– Diferencias SECOP I </w:t>
            </w:r>
            <w:r w:rsidRPr="00790F0C">
              <w:rPr>
                <w:rFonts w:ascii="Verdana" w:eastAsia="Aptos" w:hAnsi="Verdana" w:cs="Times New Roman"/>
                <w:lang w:val="es-ES"/>
              </w:rPr>
              <w:t>/ CIRCULAR EXTERNA 007 DE 2025 </w:t>
            </w:r>
            <w:r w:rsidRPr="00790F0C">
              <w:rPr>
                <w:rFonts w:ascii="Verdana" w:eastAsia="Aptos" w:hAnsi="Verdana" w:cs="Times New Roman"/>
                <w:lang w:val="es-MX"/>
              </w:rPr>
              <w:t>–</w:t>
            </w:r>
            <w:r w:rsidRPr="00790F0C">
              <w:rPr>
                <w:rFonts w:ascii="Verdana" w:eastAsia="Aptos" w:hAnsi="Verdana" w:cs="Times New Roman"/>
                <w:lang w:val="es-ES"/>
              </w:rPr>
              <w:t> Alcance – Gestión documental</w:t>
            </w:r>
          </w:p>
          <w:p w14:paraId="60E55CBB" w14:textId="77777777" w:rsidR="0076273E" w:rsidRPr="00530D81" w:rsidRDefault="0076273E" w:rsidP="00C23F34">
            <w:pPr>
              <w:spacing w:line="276" w:lineRule="auto"/>
              <w:jc w:val="both"/>
            </w:pPr>
          </w:p>
        </w:tc>
      </w:tr>
      <w:tr w:rsidR="0076273E" w14:paraId="3F17C2E4" w14:textId="77777777" w:rsidTr="00C23F34">
        <w:trPr>
          <w:trHeight w:val="660"/>
        </w:trPr>
        <w:tc>
          <w:tcPr>
            <w:tcW w:w="2265" w:type="dxa"/>
            <w:shd w:val="clear" w:color="auto" w:fill="FFFFFF" w:themeFill="background1"/>
            <w:tcMar>
              <w:left w:w="108" w:type="dxa"/>
              <w:right w:w="108" w:type="dxa"/>
            </w:tcMar>
          </w:tcPr>
          <w:p w14:paraId="1A775611" w14:textId="77777777" w:rsidR="0076273E" w:rsidRDefault="0076273E" w:rsidP="00C23F34">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1A45C3D" w14:textId="77777777" w:rsidR="0076273E" w:rsidRDefault="0076273E" w:rsidP="00C23F34">
            <w:pPr>
              <w:ind w:right="1"/>
              <w:jc w:val="both"/>
              <w:rPr>
                <w:rFonts w:ascii="Verdana" w:eastAsia="Verdana" w:hAnsi="Verdana" w:cs="Verdana"/>
                <w:color w:val="000000" w:themeColor="text1"/>
              </w:rPr>
            </w:pPr>
            <w:r w:rsidRPr="39124533">
              <w:rPr>
                <w:rFonts w:ascii="Verdana" w:eastAsia="Verdana" w:hAnsi="Verdana" w:cs="Verdana"/>
                <w:color w:val="000000" w:themeColor="text1"/>
              </w:rPr>
              <w:t xml:space="preserve">Respuesta a consulta con radicado N.º </w:t>
            </w:r>
            <w:r w:rsidRPr="00156A83">
              <w:rPr>
                <w:rFonts w:ascii="Verdana" w:eastAsia="Verdana" w:hAnsi="Verdana" w:cs="Verdana"/>
                <w:color w:val="000000" w:themeColor="text1"/>
              </w:rPr>
              <w:t>1_2026_08_12_010638</w:t>
            </w:r>
            <w:r>
              <w:rPr>
                <w:rFonts w:ascii="Verdana" w:eastAsia="Verdana" w:hAnsi="Verdana" w:cs="Verdana"/>
                <w:color w:val="000000" w:themeColor="text1"/>
              </w:rPr>
              <w:t>.</w:t>
            </w:r>
          </w:p>
          <w:p w14:paraId="2AF8AA98" w14:textId="77777777" w:rsidR="0076273E" w:rsidRDefault="0076273E" w:rsidP="00C23F34">
            <w:pPr>
              <w:ind w:right="1"/>
              <w:jc w:val="both"/>
            </w:pPr>
          </w:p>
          <w:p w14:paraId="6F2D7CC0" w14:textId="0973650F" w:rsidR="0076273E" w:rsidRDefault="0076273E" w:rsidP="00C23F34">
            <w:pPr>
              <w:ind w:right="1"/>
              <w:jc w:val="both"/>
            </w:pPr>
          </w:p>
        </w:tc>
      </w:tr>
    </w:tbl>
    <w:p w14:paraId="0D9C8976" w14:textId="0EAC6218" w:rsidR="0076273E" w:rsidRPr="0076273E" w:rsidRDefault="0076273E" w:rsidP="0076273E">
      <w:pPr>
        <w:spacing w:after="0" w:line="240" w:lineRule="auto"/>
        <w:jc w:val="both"/>
        <w:textAlignment w:val="baseline"/>
        <w:rPr>
          <w:rFonts w:ascii="Verdana" w:eastAsia="Verdana" w:hAnsi="Verdana" w:cs="Verdana"/>
          <w:bCs/>
          <w:color w:val="000000" w:themeColor="text1"/>
          <w:lang w:val="es"/>
        </w:rPr>
      </w:pPr>
      <w:r>
        <w:rPr>
          <w:rFonts w:ascii="Verdana" w:eastAsia="Verdana" w:hAnsi="Verdana" w:cs="Verdana"/>
          <w:bCs/>
          <w:color w:val="000000" w:themeColor="text1"/>
          <w:lang w:val="es"/>
        </w:rPr>
        <w:t xml:space="preserve">Estimado señor </w:t>
      </w:r>
      <w:r w:rsidR="00112B65">
        <w:rPr>
          <w:rFonts w:ascii="Verdana" w:eastAsia="Verdana" w:hAnsi="Verdana" w:cs="Verdana"/>
          <w:bCs/>
          <w:color w:val="000000" w:themeColor="text1"/>
          <w:lang w:val="es"/>
        </w:rPr>
        <w:t>V</w:t>
      </w:r>
      <w:r>
        <w:rPr>
          <w:rFonts w:ascii="Verdana" w:eastAsia="Verdana" w:hAnsi="Verdana" w:cs="Verdana"/>
          <w:bCs/>
          <w:color w:val="000000" w:themeColor="text1"/>
          <w:lang w:val="es"/>
        </w:rPr>
        <w:t>era:</w:t>
      </w:r>
    </w:p>
    <w:p w14:paraId="69610B39" w14:textId="77777777" w:rsidR="0076273E" w:rsidRPr="0015699B" w:rsidRDefault="0076273E" w:rsidP="0076273E">
      <w:pPr>
        <w:spacing w:after="0" w:line="240" w:lineRule="auto"/>
        <w:jc w:val="both"/>
        <w:textAlignment w:val="baseline"/>
        <w:rPr>
          <w:rFonts w:ascii="Verdana" w:eastAsia="Verdana" w:hAnsi="Verdana" w:cs="Verdana"/>
          <w:b/>
          <w:bCs/>
          <w:color w:val="000000" w:themeColor="text1"/>
          <w:lang w:val="es"/>
        </w:rPr>
      </w:pPr>
    </w:p>
    <w:p w14:paraId="4952252B" w14:textId="77777777" w:rsidR="0076273E" w:rsidRDefault="0076273E" w:rsidP="0076273E">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12</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6F68D063" w14:textId="77777777" w:rsidR="0076273E" w:rsidRDefault="0076273E" w:rsidP="0076273E">
      <w:pPr>
        <w:spacing w:after="120" w:line="276" w:lineRule="auto"/>
        <w:ind w:left="567" w:right="1041"/>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t>“</w:t>
      </w:r>
    </w:p>
    <w:p w14:paraId="230F6A24"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lastRenderedPageBreak/>
        <w:t xml:space="preserve">1. Informar cuáles son los requisitos de planeación aplicables a los contratos de prestación de servicios profesionales y apoyo a la gestión celebrados mediante contratación directa. </w:t>
      </w:r>
    </w:p>
    <w:p w14:paraId="2167AA71"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2. Precisar el contenido mínimo que deben contener los estudios y documentos previos respecto de la necesidad contractual. </w:t>
      </w:r>
    </w:p>
    <w:p w14:paraId="21026FD8"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3. Informar cómo debe justificarse que una determinada actividad requiera contratación externa y cuál debe ser el soporte documental de esa decisión. </w:t>
      </w:r>
    </w:p>
    <w:p w14:paraId="75896D2F"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4. Indicar cuáles buenas prácticas recomienda Colombia Compra Eficiente para evitar contrataciones sucesivas de necesidades estructurales sin adecuada evaluación institucional. </w:t>
      </w:r>
    </w:p>
    <w:p w14:paraId="342E9B5C"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5. Informar cuál información contractual debe encontrarse publicada en SECOP respecto de contratos profesionales y de apoyo a la gestión. </w:t>
      </w:r>
    </w:p>
    <w:p w14:paraId="7B0AF8DA"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6. Informar qué herramientas o campos de SECOP permiten identificar contratos sucesivos celebrados por una misma entidad para objetos iguales o semejantes. </w:t>
      </w:r>
    </w:p>
    <w:p w14:paraId="6EF9BAA1"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7. Informar si existen guías, circulares, conceptos o documentos orientadores vigentes sobre prestación de servicios profesionales y apoyo a la gestión, y remitir copia o enlace. </w:t>
      </w:r>
    </w:p>
    <w:p w14:paraId="7D79A101" w14:textId="77777777" w:rsidR="0076273E" w:rsidRPr="006B1D4F" w:rsidRDefault="0076273E" w:rsidP="0076273E">
      <w:pPr>
        <w:spacing w:after="0" w:line="276" w:lineRule="auto"/>
        <w:ind w:left="567" w:right="1043"/>
        <w:jc w:val="both"/>
        <w:textAlignment w:val="baseline"/>
        <w:rPr>
          <w:rFonts w:ascii="Verdana" w:eastAsia="Verdana" w:hAnsi="Verdana" w:cs="Verdana"/>
          <w:color w:val="000000" w:themeColor="text1"/>
        </w:rPr>
      </w:pPr>
      <w:r w:rsidRPr="006B1D4F">
        <w:rPr>
          <w:rFonts w:ascii="Verdana" w:eastAsia="Verdana" w:hAnsi="Verdana" w:cs="Verdana"/>
          <w:color w:val="000000" w:themeColor="text1"/>
        </w:rPr>
        <w:t xml:space="preserve">8. Precisar qué criterios de trazabilidad y publicidad facilitan el control ciudadano sobre estudios previos, objetos, obligaciones, valores, supervisión, adiciones y prórrogas. </w:t>
      </w:r>
    </w:p>
    <w:p w14:paraId="3E22A092" w14:textId="77777777" w:rsidR="0076273E" w:rsidRDefault="0076273E" w:rsidP="0076273E">
      <w:pPr>
        <w:spacing w:after="0" w:line="276" w:lineRule="auto"/>
        <w:ind w:left="567" w:right="1043"/>
        <w:jc w:val="both"/>
        <w:textAlignment w:val="baseline"/>
        <w:rPr>
          <w:rFonts w:ascii="Verdana" w:eastAsia="Verdana" w:hAnsi="Verdana" w:cs="Verdana"/>
          <w:color w:val="000000" w:themeColor="text1"/>
          <w:sz w:val="21"/>
          <w:szCs w:val="21"/>
        </w:rPr>
      </w:pPr>
      <w:r w:rsidRPr="006B1D4F">
        <w:rPr>
          <w:rFonts w:ascii="Verdana" w:eastAsia="Verdana" w:hAnsi="Verdana" w:cs="Verdana"/>
          <w:color w:val="000000" w:themeColor="text1"/>
        </w:rPr>
        <w:t>9. Informar cómo se articula el principio de planeación contractual con la necesidad de evitar que una contratación temporal se convierta de hecho en mecanismo indefinido para atender requerimientos permanentes.</w:t>
      </w:r>
      <w:r>
        <w:rPr>
          <w:rFonts w:ascii="Verdana" w:eastAsia="Verdana" w:hAnsi="Verdana" w:cs="Verdana"/>
          <w:color w:val="000000" w:themeColor="text1"/>
          <w:sz w:val="21"/>
          <w:szCs w:val="21"/>
        </w:rPr>
        <w:t>”</w:t>
      </w:r>
    </w:p>
    <w:p w14:paraId="5176C898" w14:textId="77777777" w:rsidR="0076273E" w:rsidRDefault="0076273E" w:rsidP="0076273E">
      <w:pPr>
        <w:spacing w:after="0" w:line="276" w:lineRule="auto"/>
        <w:ind w:left="567" w:right="1043"/>
        <w:jc w:val="both"/>
        <w:textAlignment w:val="baseline"/>
        <w:rPr>
          <w:rFonts w:ascii="Verdana" w:eastAsia="Verdana" w:hAnsi="Verdana" w:cs="Verdana"/>
          <w:color w:val="000000" w:themeColor="text1"/>
          <w:sz w:val="21"/>
          <w:szCs w:val="21"/>
        </w:rPr>
      </w:pPr>
    </w:p>
    <w:p w14:paraId="54FA5AF7" w14:textId="77777777" w:rsidR="0076273E" w:rsidRPr="0015699B" w:rsidRDefault="0076273E" w:rsidP="0076273E">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w:t>
      </w:r>
      <w:r w:rsidRPr="39124533">
        <w:rPr>
          <w:rFonts w:ascii="Verdana" w:eastAsia="Verdana" w:hAnsi="Verdana" w:cs="Verdana"/>
          <w:color w:val="000000" w:themeColor="text1"/>
          <w:lang w:val="es"/>
        </w:rPr>
        <w:lastRenderedPageBreak/>
        <w:t>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23809737" w14:textId="77777777" w:rsidR="0076273E" w:rsidRPr="0015699B" w:rsidRDefault="0076273E" w:rsidP="0076273E">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735D886" w14:textId="77777777" w:rsidR="0076273E" w:rsidRDefault="0076273E" w:rsidP="0076273E">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7C0415C" w14:textId="77777777" w:rsidR="0076273E" w:rsidRPr="0015699B" w:rsidRDefault="0076273E" w:rsidP="0076273E">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75980E22" w14:textId="77777777" w:rsidR="0076273E" w:rsidRPr="0015699B" w:rsidRDefault="0076273E" w:rsidP="0076273E">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5631287" w14:textId="77777777" w:rsidR="0076273E" w:rsidRDefault="0076273E" w:rsidP="0076273E">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s: </w:t>
      </w:r>
    </w:p>
    <w:p w14:paraId="24CABFB4" w14:textId="77777777" w:rsidR="0076273E" w:rsidRDefault="0076273E" w:rsidP="0076273E">
      <w:pPr>
        <w:spacing w:after="0" w:line="276" w:lineRule="auto"/>
        <w:jc w:val="both"/>
        <w:textAlignment w:val="baseline"/>
        <w:rPr>
          <w:rFonts w:ascii="Verdana" w:eastAsia="Verdana" w:hAnsi="Verdana" w:cs="Verdana"/>
          <w:color w:val="000000" w:themeColor="text1"/>
          <w:lang w:val="es"/>
        </w:rPr>
      </w:pPr>
    </w:p>
    <w:p w14:paraId="11291D22" w14:textId="77777777" w:rsidR="0076273E" w:rsidRDefault="0076273E" w:rsidP="0076273E">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lang w:val="es"/>
        </w:rPr>
        <w:t>i.</w:t>
      </w:r>
      <w:r w:rsidRPr="00EC0247">
        <w:t xml:space="preserve"> </w:t>
      </w:r>
      <w:r w:rsidRPr="00EC0247">
        <w:rPr>
          <w:rFonts w:ascii="Verdana" w:eastAsia="Verdana" w:hAnsi="Verdana" w:cs="Verdana"/>
          <w:color w:val="000000" w:themeColor="text1"/>
        </w:rPr>
        <w:t>¿Cuáles son los requisitos de planeación, justificación y documentación aplicables a los contratos de prestación de servicios profesionales y de apoyo a la gestión, y cómo debe garantizarse su temporalidad, adecuada publicidad y trazabilidad para evitar su utilización sucesiva en necesidades permanentes?</w:t>
      </w:r>
    </w:p>
    <w:p w14:paraId="714F526D" w14:textId="77777777" w:rsidR="0076273E" w:rsidRDefault="0076273E" w:rsidP="0076273E">
      <w:pPr>
        <w:spacing w:after="0" w:line="276" w:lineRule="auto"/>
        <w:jc w:val="both"/>
        <w:textAlignment w:val="baseline"/>
        <w:rPr>
          <w:rFonts w:ascii="Verdana" w:eastAsia="Verdana" w:hAnsi="Verdana" w:cs="Verdana"/>
          <w:color w:val="000000" w:themeColor="text1"/>
          <w:lang w:val="es"/>
        </w:rPr>
      </w:pPr>
    </w:p>
    <w:p w14:paraId="0B1A1ED4" w14:textId="77777777" w:rsidR="0076273E" w:rsidRDefault="0076273E" w:rsidP="0076273E">
      <w:pPr>
        <w:spacing w:after="0" w:line="276"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ii. </w:t>
      </w:r>
      <w:r w:rsidRPr="00EC0247">
        <w:rPr>
          <w:rFonts w:ascii="Verdana" w:eastAsia="Verdana" w:hAnsi="Verdana" w:cs="Verdana"/>
          <w:color w:val="000000" w:themeColor="text1"/>
        </w:rPr>
        <w:t>¿Qué información debe publicarse en el SECOP y qué herramientas permiten identificar y hacer seguimiento a contratos sucesivos, garantizando su trazabilidad y el control ciudadano?</w:t>
      </w:r>
    </w:p>
    <w:p w14:paraId="041D6EFB" w14:textId="77777777" w:rsidR="0076273E" w:rsidRDefault="0076273E" w:rsidP="0076273E">
      <w:pPr>
        <w:spacing w:after="0" w:line="276" w:lineRule="auto"/>
        <w:jc w:val="both"/>
        <w:textAlignment w:val="baseline"/>
        <w:rPr>
          <w:rFonts w:ascii="Verdana" w:eastAsia="Verdana" w:hAnsi="Verdana" w:cs="Verdana"/>
          <w:color w:val="000000" w:themeColor="text1"/>
        </w:rPr>
      </w:pPr>
    </w:p>
    <w:p w14:paraId="78373CFE" w14:textId="77777777" w:rsidR="0076273E" w:rsidRDefault="0076273E" w:rsidP="0076273E">
      <w:pPr>
        <w:spacing w:after="0" w:line="276" w:lineRule="auto"/>
        <w:jc w:val="both"/>
        <w:textAlignment w:val="baseline"/>
        <w:rPr>
          <w:rFonts w:ascii="Verdana" w:eastAsia="Verdana" w:hAnsi="Verdana" w:cs="Verdana"/>
          <w:color w:val="000000" w:themeColor="text1"/>
        </w:rPr>
      </w:pPr>
    </w:p>
    <w:p w14:paraId="7A2BC3BF" w14:textId="77777777" w:rsidR="0076273E" w:rsidRPr="0015699B" w:rsidRDefault="0076273E" w:rsidP="0076273E">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7C0170BE" w14:textId="77777777" w:rsidR="0076273E" w:rsidRPr="0015699B" w:rsidRDefault="0076273E" w:rsidP="0076273E">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769"/>
      </w:tblGrid>
      <w:tr w:rsidR="0076273E" w14:paraId="31A8AC0A" w14:textId="77777777" w:rsidTr="00C23F34">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5E4F1AB0" w14:textId="77777777" w:rsidR="0076273E" w:rsidRDefault="0076273E" w:rsidP="00C23F34">
            <w:pPr>
              <w:spacing w:after="120" w:line="276" w:lineRule="auto"/>
              <w:jc w:val="both"/>
              <w:rPr>
                <w:rFonts w:ascii="Verdana" w:eastAsia="Verdana" w:hAnsi="Verdana" w:cs="Verdana"/>
              </w:rPr>
            </w:pPr>
            <w:r>
              <w:rPr>
                <w:rFonts w:ascii="Verdana" w:eastAsia="Verdana" w:hAnsi="Verdana" w:cs="Verdana"/>
              </w:rPr>
              <w:t xml:space="preserve">         i) </w:t>
            </w:r>
            <w:r w:rsidRPr="00903275">
              <w:rPr>
                <w:rFonts w:ascii="Verdana" w:eastAsia="Verdana" w:hAnsi="Verdana" w:cs="Verdana"/>
              </w:rPr>
              <w:t xml:space="preserve">La contratación directa de servicios profesionales y de apoyo a la gestión exige la observancia de los principios de planeación, economía, responsabilidad y transparencia previstos en el Estatuto General de Contratación de la Administración Pública. Por ello, la entidad estatal debe adelantar las actuaciones de planeación necesarias para identificar la necesidad que pretende satisfacer, justificar la procedencia de la contratación y definir las condiciones bajo las cuales se ejecutará el objeto contractual, </w:t>
            </w:r>
            <w:r w:rsidRPr="00903275">
              <w:rPr>
                <w:rFonts w:ascii="Verdana" w:eastAsia="Verdana" w:hAnsi="Verdana" w:cs="Verdana"/>
              </w:rPr>
              <w:lastRenderedPageBreak/>
              <w:t>aspectos que deben quedar reflejados en los estudios y documentos previos del proceso.</w:t>
            </w:r>
          </w:p>
          <w:p w14:paraId="1BBFC0E9" w14:textId="77777777" w:rsidR="0076273E" w:rsidRPr="00903275"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903275">
              <w:rPr>
                <w:rFonts w:ascii="Verdana" w:eastAsia="Verdana" w:hAnsi="Verdana" w:cs="Verdana"/>
              </w:rPr>
              <w:t>En desarrollo del principio de planeación, la entidad estatal debe realizar los análisis necesarios para definir el objeto contractual, las obligaciones a cargo del contratista, el plazo de ejecución, el valor estimado del contrato y las condiciones requeridas para satisfacer la necesidad identificada. Asimismo, los estudios previos deben contener la justificación de la modalidad de selección y los elementos que permitan evidenciar que la contratación proyectada responde a una necesidad real de la administración.</w:t>
            </w:r>
          </w:p>
          <w:p w14:paraId="26585E7F" w14:textId="77777777" w:rsidR="0076273E" w:rsidRPr="00903275"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903275">
              <w:rPr>
                <w:rFonts w:ascii="Verdana" w:eastAsia="Verdana" w:hAnsi="Verdana" w:cs="Verdana"/>
              </w:rPr>
              <w:t>Tratándose de contratos de prestación de servicios profesionales y de apoyo a la gestión, el artículo 2.2.1.2.1.4.9 del Decreto 1082 de 2015 establece que la entidad estatal debe verificar la idoneidad o experiencia requerida y relacionada con el área de que se trate. En consecuencia, corresponde a la entidad determinar desde la etapa precontractual cuáles son las condiciones académicas, profesionales, técnicas o de experiencia que resultan necesarias para ejecutar el objeto contractual, así como los documentos que permitirán acreditar dichas calidades.</w:t>
            </w:r>
          </w:p>
          <w:p w14:paraId="272DFC4A" w14:textId="77777777" w:rsidR="0076273E" w:rsidRPr="00903275"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903275">
              <w:rPr>
                <w:rFonts w:ascii="Verdana" w:eastAsia="Verdana" w:hAnsi="Verdana" w:cs="Verdana"/>
              </w:rPr>
              <w:t>De igual forma, cuando la contratación se celebre con personas naturales, la entidad debe justificar en los estudios previos las razones por las cuales las actividades requeridas no pueden ser desarrolladas por personal de planta o exigen conocimientos especializados, de conformidad con lo previsto en el numeral 3 del artículo 32 de la Ley 80 de 1993. Para tales efectos, la decisión debe encontrarse soportada en documentos, certificaciones o análisis que permitan evidenciar la inexistencia o insuficiencia de personal disponible o la necesidad de acudir a conocimientos especializados para atender adecuadamente la necesidad institucional.</w:t>
            </w:r>
          </w:p>
          <w:p w14:paraId="2A3467AB" w14:textId="77777777" w:rsidR="0076273E" w:rsidRPr="00903275" w:rsidRDefault="0076273E" w:rsidP="00C23F34">
            <w:pPr>
              <w:spacing w:after="120" w:line="276" w:lineRule="auto"/>
              <w:jc w:val="both"/>
              <w:rPr>
                <w:rFonts w:ascii="Verdana" w:eastAsia="Verdana" w:hAnsi="Verdana" w:cs="Verdana"/>
              </w:rPr>
            </w:pPr>
            <w:r>
              <w:rPr>
                <w:rFonts w:ascii="Verdana" w:eastAsia="Verdana" w:hAnsi="Verdana" w:cs="Verdana"/>
              </w:rPr>
              <w:t xml:space="preserve">       S</w:t>
            </w:r>
            <w:r w:rsidRPr="00903275">
              <w:rPr>
                <w:rFonts w:ascii="Verdana" w:eastAsia="Verdana" w:hAnsi="Verdana" w:cs="Verdana"/>
              </w:rPr>
              <w:t xml:space="preserve">obre este particular, la Agencia Nacional de Contratación Pública – Colombia Compra Eficiente señaló en el Concepto C-134 del 10 de marzo de 2026 que, en los contratos de prestación de servicios profesionales y de apoyo a la gestión, los estudios y documentos previos deben establecer las condiciones mínimas exigidas para satisfacer la necesidad de la entidad y los requisitos que debe acreditar el futuro contratista para el cumplimiento del objeto contractual. Asimismo, precisó que corresponde a la entidad definir los documentos que solicitará para verificar la idoneidad, experiencia y demás </w:t>
            </w:r>
            <w:r w:rsidRPr="00903275">
              <w:rPr>
                <w:rFonts w:ascii="Verdana" w:eastAsia="Verdana" w:hAnsi="Verdana" w:cs="Verdana"/>
              </w:rPr>
              <w:lastRenderedPageBreak/>
              <w:t>condiciones exigidas, dentro del marco de su autonomía contractual y de las disposiciones contenidas en su manual de contratación, cuando exista.</w:t>
            </w:r>
          </w:p>
          <w:p w14:paraId="3779DB38" w14:textId="77777777" w:rsidR="0076273E" w:rsidRPr="00903275" w:rsidRDefault="0076273E" w:rsidP="00C23F34">
            <w:pPr>
              <w:spacing w:after="120" w:line="276" w:lineRule="auto"/>
              <w:jc w:val="both"/>
              <w:rPr>
                <w:rFonts w:ascii="Verdana" w:eastAsia="Verdana" w:hAnsi="Verdana" w:cs="Verdana"/>
              </w:rPr>
            </w:pPr>
            <w:r w:rsidRPr="00903275">
              <w:rPr>
                <w:rFonts w:ascii="Verdana" w:eastAsia="Verdana" w:hAnsi="Verdana" w:cs="Verdana"/>
              </w:rPr>
              <w:t>En el mismo sentido, la Agencia ha indicado que instrumentos como la Guía para la contratación de prestación de servicios profesionales y de apoyo a la gestión</w:t>
            </w:r>
            <w:r>
              <w:rPr>
                <w:rStyle w:val="Refdenotaalpie"/>
                <w:rFonts w:ascii="Verdana" w:eastAsia="Verdana" w:hAnsi="Verdana" w:cs="Verdana"/>
              </w:rPr>
              <w:footnoteReference w:id="1"/>
            </w:r>
            <w:r w:rsidRPr="00903275">
              <w:rPr>
                <w:rFonts w:ascii="Verdana" w:eastAsia="Verdana" w:hAnsi="Verdana" w:cs="Verdana"/>
              </w:rPr>
              <w:t xml:space="preserve"> y la Guía para la incorporación de lineamientos de integridad en la contratación de prestación de servicios</w:t>
            </w:r>
            <w:r>
              <w:rPr>
                <w:rStyle w:val="Refdenotaalpie"/>
                <w:rFonts w:ascii="Verdana" w:eastAsia="Verdana" w:hAnsi="Verdana" w:cs="Verdana"/>
              </w:rPr>
              <w:footnoteReference w:id="2"/>
            </w:r>
            <w:r w:rsidRPr="00903275">
              <w:rPr>
                <w:rFonts w:ascii="Verdana" w:eastAsia="Verdana" w:hAnsi="Verdana" w:cs="Verdana"/>
              </w:rPr>
              <w:t xml:space="preserve"> constituyen referentes orientadores para fortalecer la adecuada estructuración de estos procesos contractuales, particularmente en aspectos relacionados con la acreditación de requisitos, la documentación de la necesidad, la integridad, la transparencia y la trazabilidad de la contratación.</w:t>
            </w:r>
          </w:p>
          <w:p w14:paraId="58DBD3DA" w14:textId="77777777" w:rsidR="0076273E" w:rsidRPr="00903275"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903275">
              <w:rPr>
                <w:rFonts w:ascii="Verdana" w:eastAsia="Verdana" w:hAnsi="Verdana" w:cs="Verdana"/>
              </w:rPr>
              <w:t>Ahora bien, el deber de planeación también implica que la entidad examine la naturaleza de la necesidad que pretende atender y determine si esta conserva un carácter temporal o si, por el contrario, corresponde a una necesidad permanente o estructural. Por ello, resulta necesario analizar la existencia de contrataciones anteriores para actividades semejantes, la duración de la necesidad, la suficiencia de los recursos institucionales disponibles y la conveniencia de continuar acudiendo a la contratación de prestación de servicios, con el propósito de evitar que esta modalidad sea utilizada de manera indefinida para atender requerimientos permanentes de la administración.</w:t>
            </w:r>
          </w:p>
          <w:p w14:paraId="045B2A3D"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ii) </w:t>
            </w:r>
            <w:r w:rsidRPr="00EA711F">
              <w:rPr>
                <w:rFonts w:ascii="Verdana" w:eastAsia="Verdana" w:hAnsi="Verdana" w:cs="Verdana"/>
              </w:rPr>
              <w:t>El fundamento constitucional del deber de publicidad se encuentra en el artículo 209 de la Constitución Política, conforme al cual la función administrativa se desarrolla, entre otros, con fundamento en el principio de publicidad.</w:t>
            </w:r>
          </w:p>
          <w:p w14:paraId="38702A0C"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En desarrollo de este principio, el literal c) del artículo 3 de la Ley 1150 de 2007 establece el SECOP como el mecanismo que contiene la información oficial de la contratación realizada con dineros públicos y dispone su difusión a través de canales electrónicos.</w:t>
            </w:r>
          </w:p>
          <w:p w14:paraId="4209D791"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Ahora bien, esta Agencia</w:t>
            </w:r>
            <w:r w:rsidRPr="00EA711F">
              <w:rPr>
                <w:rFonts w:ascii="Verdana" w:eastAsia="Verdana" w:hAnsi="Verdana" w:cs="Verdana"/>
              </w:rPr>
              <w:t xml:space="preserve"> ha reiterado </w:t>
            </w:r>
            <w:r>
              <w:rPr>
                <w:rFonts w:ascii="Verdana" w:eastAsia="Verdana" w:hAnsi="Verdana" w:cs="Verdana"/>
              </w:rPr>
              <w:t>la r</w:t>
            </w:r>
            <w:r w:rsidRPr="00EA711F">
              <w:rPr>
                <w:rFonts w:ascii="Verdana" w:eastAsia="Verdana" w:hAnsi="Verdana" w:cs="Verdana"/>
              </w:rPr>
              <w:t>elación</w:t>
            </w:r>
            <w:r>
              <w:rPr>
                <w:rFonts w:ascii="Verdana" w:eastAsia="Verdana" w:hAnsi="Verdana" w:cs="Verdana"/>
              </w:rPr>
              <w:t xml:space="preserve"> existente</w:t>
            </w:r>
            <w:r w:rsidRPr="00EA711F">
              <w:rPr>
                <w:rFonts w:ascii="Verdana" w:eastAsia="Verdana" w:hAnsi="Verdana" w:cs="Verdana"/>
              </w:rPr>
              <w:t xml:space="preserve"> entre publicidad, SECOP y control ciudadano</w:t>
            </w:r>
            <w:r>
              <w:rPr>
                <w:rFonts w:ascii="Verdana" w:eastAsia="Verdana" w:hAnsi="Verdana" w:cs="Verdana"/>
              </w:rPr>
              <w:t xml:space="preserve"> así las cosas en </w:t>
            </w:r>
            <w:r w:rsidRPr="00EA711F">
              <w:rPr>
                <w:rFonts w:ascii="Verdana" w:eastAsia="Verdana" w:hAnsi="Verdana" w:cs="Verdana"/>
              </w:rPr>
              <w:t xml:space="preserve">el Concepto C-852 de </w:t>
            </w:r>
            <w:r w:rsidRPr="00EA711F">
              <w:rPr>
                <w:rFonts w:ascii="Verdana" w:eastAsia="Verdana" w:hAnsi="Verdana" w:cs="Verdana"/>
              </w:rPr>
              <w:lastRenderedPageBreak/>
              <w:t xml:space="preserve">2 de julio de 2026, </w:t>
            </w:r>
            <w:r>
              <w:rPr>
                <w:rFonts w:ascii="Verdana" w:eastAsia="Verdana" w:hAnsi="Verdana" w:cs="Verdana"/>
              </w:rPr>
              <w:t>esta Subdirección Contractual</w:t>
            </w:r>
            <w:r w:rsidRPr="00EA711F">
              <w:rPr>
                <w:rFonts w:ascii="Verdana" w:eastAsia="Verdana" w:hAnsi="Verdana" w:cs="Verdana"/>
              </w:rPr>
              <w:t xml:space="preserve"> explicó que el principio de publicidad impone a las autoridades administrativas el deber de dar a conocer sus actos, contratos y decisiones para que puedan ser divulgados y eventualmente controlados. El mismo concepto relaciona este deber con los principios de máxima publicidad y transparencia en la información establecidos en la Ley 1712 de 2014.</w:t>
            </w:r>
          </w:p>
          <w:p w14:paraId="0E9F9AEA"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En igual sentido, el Concepto C-471 de 29 de abril de 2026 señala que el principio de publicidad fundamenta el deber de dar a conocer los actos, contratos y decisiones administrativas y relaciona este deber con el SECOP y con la Ley 1712 de 2014.</w:t>
            </w:r>
          </w:p>
          <w:p w14:paraId="1C06B031"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A su vez, el Concepto C-092 de 13 de marzo de 2026 resulta particularmente pertinente, pues señala que toda la actividad contractual debe ponerse a disposición del público como desarrollo del principio de publicidad y del derecho de acceso a la información. Además, relaciona este deber con la publicación de los datos de adjudicación y de ejecución de los contratos.</w:t>
            </w:r>
          </w:p>
          <w:p w14:paraId="47A20F95"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Tratándose de SECOP II, debe tenerse presente que no se trata únicamente de un repositorio documental. Colombia Compra Eficiente ha señalado en el Concepto C-441 de 2025 que, respecto de los contratos de prestación de servicios, los documentos que deben publicarse corresponden, en términos generales, a los expedidos con ocasión de la gestión contractual, y que SECOP II tiene una naturaleza transaccional, por lo que el proceso contractual avanza mediante los documentos y actuaciones electrónicas generados en la propia plataforma.</w:t>
            </w:r>
          </w:p>
          <w:p w14:paraId="2F3CA16B" w14:textId="77777777" w:rsidR="0076273E"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La trazabilidad exige publicar la información contractual de forma integral y organizada, permitiendo reconstruir la secuencia de la contratación. Para identificar y analizar contratos sucesivos, resulta relevante contrastar la entidad, contratista, objeto, fechas, valor, documentos del proceso, modificaciones y la información de ejecución y supervisión, con el fin de establecer posibles coincidencias, continuidad y justificación de las contrataciones.</w:t>
            </w:r>
          </w:p>
          <w:p w14:paraId="44095AFD" w14:textId="77777777" w:rsidR="0076273E" w:rsidRPr="00EA711F"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 xml:space="preserve">Así, la consulta conjunta de estos elementos permite pasar de una revisión individual de cada contrato a un análisis agregado de la contratación </w:t>
            </w:r>
            <w:r w:rsidRPr="00EA711F">
              <w:rPr>
                <w:rFonts w:ascii="Verdana" w:eastAsia="Verdana" w:hAnsi="Verdana" w:cs="Verdana"/>
              </w:rPr>
              <w:lastRenderedPageBreak/>
              <w:t>de la entidad, particularmente útil para determinar si una necesidad se ha venido atendiendo reiteradamente mediante contratos sucesivos.</w:t>
            </w:r>
          </w:p>
          <w:p w14:paraId="35F482F0" w14:textId="77777777" w:rsidR="0076273E" w:rsidRDefault="0076273E" w:rsidP="00C23F34">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Debe precisarse, sin embargo, que la existencia de contratos sucesivos identificados mediante SECOP no permite por sí sola concluir que exista una irregularidad. La información obtenida debe ser contrastada con los estudios previos, la justificación de cada contratación, la naturaleza de las actividades, los plazos, las necesidades institucionales y las demás circunstancias particulares de cada proceso.</w:t>
            </w:r>
          </w:p>
          <w:p w14:paraId="005001AA" w14:textId="77777777" w:rsidR="0076273E" w:rsidRDefault="0076273E" w:rsidP="00C23F34">
            <w:pPr>
              <w:spacing w:after="120" w:line="276" w:lineRule="auto"/>
              <w:jc w:val="both"/>
              <w:rPr>
                <w:rFonts w:ascii="Verdana" w:eastAsia="Calibri" w:hAnsi="Verdana" w:cs="Times New Roman"/>
                <w:lang w:val="es-ES"/>
              </w:rPr>
            </w:pPr>
            <w:r w:rsidRPr="00B72C9E">
              <w:rPr>
                <w:rFonts w:ascii="Verdana" w:eastAsia="Verdana" w:hAnsi="Verdana" w:cs="Verdana"/>
              </w:rPr>
              <w:t xml:space="preserve"> </w:t>
            </w:r>
            <w:r>
              <w:rPr>
                <w:rFonts w:ascii="Verdana" w:eastAsia="Verdana" w:hAnsi="Verdana" w:cs="Verdana"/>
              </w:rPr>
              <w:t xml:space="preserve">     </w:t>
            </w:r>
            <w:r>
              <w:rPr>
                <w:rFonts w:ascii="Verdana" w:eastAsia="Arial" w:hAnsi="Verdana" w:cs="Arial"/>
              </w:rPr>
              <w:t xml:space="preserve">   F</w:t>
            </w:r>
            <w:r>
              <w:rPr>
                <w:rFonts w:ascii="Verdana" w:eastAsia="Calibri" w:hAnsi="Verdana" w:cs="Arial"/>
                <w:bCs/>
                <w:color w:val="000000" w:themeColor="text1"/>
              </w:rPr>
              <w:t>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85C8D62" w14:textId="77777777" w:rsidR="0076273E" w:rsidRDefault="0076273E" w:rsidP="00C23F34">
            <w:pPr>
              <w:spacing w:after="120" w:line="276" w:lineRule="auto"/>
              <w:jc w:val="both"/>
              <w:rPr>
                <w:rFonts w:ascii="Verdana" w:eastAsia="Verdana" w:hAnsi="Verdana" w:cs="Verdana"/>
              </w:rPr>
            </w:pPr>
            <w:r>
              <w:rPr>
                <w:rFonts w:ascii="Verdana" w:eastAsia="Calibri" w:hAnsi="Verdana" w:cs="Times New Roman"/>
                <w:lang w:val="es-ES"/>
              </w:rPr>
              <w:t xml:space="preserve">         Así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2EDCCFC3" w14:textId="77777777" w:rsidR="0076273E" w:rsidRPr="0015699B" w:rsidRDefault="0076273E" w:rsidP="0076273E">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681B2682" w14:textId="77777777" w:rsidR="0076273E" w:rsidRPr="0015699B" w:rsidRDefault="0076273E" w:rsidP="0076273E">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74A12BAE" w14:textId="77777777" w:rsidR="0076273E" w:rsidRPr="0015699B" w:rsidRDefault="0076273E" w:rsidP="0076273E">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615A5F9" w14:textId="77777777" w:rsidR="0076273E" w:rsidRDefault="0076273E" w:rsidP="0076273E">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678D33B8" w14:textId="77777777" w:rsidR="0076273E" w:rsidRPr="0015699B" w:rsidRDefault="0076273E" w:rsidP="0076273E">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2F061A1F" w14:textId="77777777" w:rsidR="0076273E" w:rsidRDefault="0076273E" w:rsidP="0076273E">
      <w:pPr>
        <w:spacing w:after="120" w:line="276" w:lineRule="auto"/>
        <w:ind w:firstLine="708"/>
        <w:jc w:val="both"/>
        <w:rPr>
          <w:rFonts w:ascii="Verdana" w:eastAsia="Calibri" w:hAnsi="Verdana" w:cs="Arial"/>
          <w:color w:val="000000"/>
          <w:lang w:val="es-ES_tradnl"/>
        </w:rPr>
      </w:pPr>
      <w:bookmarkStart w:id="1" w:name="_Hlk35876968"/>
      <w:bookmarkStart w:id="2" w:name="_Hlk98159514"/>
      <w:r>
        <w:rPr>
          <w:rFonts w:ascii="Verdana" w:eastAsia="Calibri" w:hAnsi="Verdana" w:cs="Arial"/>
          <w:color w:val="000000"/>
          <w:lang w:val="es-ES_tradnl"/>
        </w:rPr>
        <w:t xml:space="preserve">Previo a dar respuesta al primer problema jurídico, resulta necesario presentar algunas consideraciones sobre la naturaleza y características del contrato de prestación de servicios. </w:t>
      </w:r>
    </w:p>
    <w:p w14:paraId="1824EFE8" w14:textId="77777777" w:rsidR="0076273E" w:rsidRDefault="0076273E" w:rsidP="0076273E">
      <w:pPr>
        <w:spacing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El contrato de prestación de servicios es uno de los tipos contractuales consagrados en el Estatuto General de Contratación de la Administración Pública</w:t>
      </w:r>
      <w:r>
        <w:rPr>
          <w:rFonts w:ascii="Verdana" w:eastAsia="Calibri" w:hAnsi="Verdana" w:cs="Arial"/>
          <w:color w:val="000000"/>
          <w:lang w:val="es-ES_tradnl"/>
        </w:rPr>
        <w:t xml:space="preserve"> </w:t>
      </w:r>
      <w:r>
        <w:rPr>
          <w:rFonts w:ascii="Verdana" w:eastAsia="Calibri" w:hAnsi="Verdana" w:cs="Arial"/>
          <w:color w:val="000000"/>
          <w:lang w:val="es-ES_tradnl"/>
        </w:rPr>
        <w:lastRenderedPageBreak/>
        <w:t>– en adelante EGCAP -</w:t>
      </w:r>
      <w:r w:rsidRPr="00884819">
        <w:rPr>
          <w:rFonts w:ascii="Verdana" w:eastAsia="Calibri" w:hAnsi="Verdana" w:cs="Arial"/>
          <w:color w:val="000000"/>
          <w:lang w:val="es-ES_tradnl"/>
        </w:rPr>
        <w:t xml:space="preserve">,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 </w:t>
      </w:r>
    </w:p>
    <w:p w14:paraId="5C14462F" w14:textId="77777777" w:rsidR="0076273E" w:rsidRDefault="0076273E" w:rsidP="0076273E">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Actualmente, el artículo 32, numeral 3º, de la Ley 80 de 1993, establece:</w:t>
      </w:r>
    </w:p>
    <w:p w14:paraId="10D56E0A" w14:textId="77777777" w:rsidR="0076273E" w:rsidRPr="00884819" w:rsidRDefault="0076273E" w:rsidP="0076273E">
      <w:pPr>
        <w:spacing w:after="0" w:line="240" w:lineRule="auto"/>
        <w:ind w:firstLine="709"/>
        <w:jc w:val="both"/>
        <w:rPr>
          <w:rFonts w:ascii="Verdana" w:eastAsia="Calibri" w:hAnsi="Verdana" w:cs="Arial"/>
          <w:color w:val="000000"/>
          <w:lang w:val="es-ES_tradnl"/>
        </w:rPr>
      </w:pPr>
    </w:p>
    <w:p w14:paraId="66EB3DDD"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9B12505" w14:textId="77777777" w:rsidR="0076273E" w:rsidRDefault="0076273E" w:rsidP="0076273E">
      <w:pPr>
        <w:spacing w:after="0" w:line="240" w:lineRule="auto"/>
        <w:ind w:left="709" w:right="709"/>
        <w:jc w:val="both"/>
        <w:rPr>
          <w:rFonts w:ascii="Verdana" w:eastAsia="Calibri" w:hAnsi="Verdana" w:cs="Arial"/>
          <w:color w:val="000000"/>
          <w:sz w:val="20"/>
          <w:szCs w:val="20"/>
          <w:lang w:val="es-ES_tradnl"/>
        </w:rPr>
      </w:pPr>
    </w:p>
    <w:p w14:paraId="4BE61392" w14:textId="77777777" w:rsidR="0076273E" w:rsidRPr="00884819" w:rsidRDefault="0076273E" w:rsidP="0076273E">
      <w:pPr>
        <w:spacing w:after="0" w:line="240" w:lineRule="auto"/>
        <w:ind w:left="709" w:right="709"/>
        <w:jc w:val="both"/>
        <w:rPr>
          <w:rFonts w:ascii="Verdana" w:eastAsia="Calibri" w:hAnsi="Verdana" w:cs="Arial"/>
          <w:color w:val="000000"/>
          <w:sz w:val="21"/>
          <w:szCs w:val="21"/>
          <w:lang w:val="es-ES_tradnl"/>
        </w:rPr>
      </w:pPr>
      <w:r w:rsidRPr="00692C00">
        <w:rPr>
          <w:rFonts w:ascii="Verdana" w:eastAsia="Calibri" w:hAnsi="Verdana" w:cs="Arial"/>
          <w:color w:val="000000"/>
          <w:sz w:val="20"/>
          <w:szCs w:val="20"/>
          <w:lang w:val="es-ES_tradnl"/>
        </w:rPr>
        <w:t>En ningún caso estos contratos generan relación laboral ni prestaciones sociales y se celebrarán por el término estrictamente indispensable”.</w:t>
      </w:r>
    </w:p>
    <w:p w14:paraId="5489B150" w14:textId="77777777" w:rsidR="0076273E" w:rsidRPr="00884819" w:rsidRDefault="0076273E" w:rsidP="0076273E">
      <w:pPr>
        <w:tabs>
          <w:tab w:val="left" w:pos="284"/>
        </w:tabs>
        <w:spacing w:after="0" w:line="276" w:lineRule="auto"/>
        <w:jc w:val="both"/>
        <w:rPr>
          <w:rFonts w:ascii="Verdana" w:eastAsia="Calibri" w:hAnsi="Verdana" w:cs="Arial"/>
          <w:b/>
          <w:color w:val="000000"/>
          <w:lang w:val="es-ES_tradnl"/>
        </w:rPr>
      </w:pPr>
    </w:p>
    <w:p w14:paraId="41642BC5" w14:textId="77777777" w:rsidR="0076273E" w:rsidRDefault="0076273E" w:rsidP="0076273E">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pesar de la derogatoria del literal d) del artículo 24.1 del Estatuto General, la celebración de dicho contrato se realiza a través de la modalidad de la contratación directa. Así lo prevé el artículo 2, numeral 4º, literal h), de la Ley 1150 de 2007, que dispone:</w:t>
      </w:r>
    </w:p>
    <w:p w14:paraId="3AEFF903" w14:textId="77777777" w:rsidR="0076273E" w:rsidRPr="00884819" w:rsidRDefault="0076273E" w:rsidP="0076273E">
      <w:pPr>
        <w:spacing w:after="0" w:line="276" w:lineRule="auto"/>
        <w:ind w:firstLine="709"/>
        <w:jc w:val="both"/>
        <w:rPr>
          <w:rFonts w:ascii="Verdana" w:eastAsia="Calibri" w:hAnsi="Verdana" w:cs="Arial"/>
          <w:color w:val="000000"/>
          <w:lang w:val="es-ES_tradnl"/>
        </w:rPr>
      </w:pPr>
    </w:p>
    <w:p w14:paraId="2330B6C4"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w:t>
      </w:r>
    </w:p>
    <w:p w14:paraId="1EE04C68"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
        </w:rPr>
      </w:pPr>
      <w:r w:rsidRPr="00692C00">
        <w:rPr>
          <w:rFonts w:ascii="Verdana" w:eastAsia="Calibri" w:hAnsi="Verdana" w:cs="Arial"/>
          <w:color w:val="000000" w:themeColor="text1"/>
          <w:sz w:val="20"/>
          <w:szCs w:val="20"/>
          <w:lang w:val="es-ES"/>
        </w:rPr>
        <w:t>Contratación directa. La modalidad de selección de contratación directa solamente procederá en los siguientes casos:</w:t>
      </w:r>
    </w:p>
    <w:p w14:paraId="1DDFE509" w14:textId="77777777" w:rsidR="0076273E" w:rsidRDefault="0076273E" w:rsidP="0076273E">
      <w:pPr>
        <w:spacing w:after="0" w:line="240" w:lineRule="auto"/>
        <w:ind w:left="709" w:right="709"/>
        <w:jc w:val="both"/>
        <w:rPr>
          <w:rFonts w:ascii="Verdana" w:eastAsia="Calibri" w:hAnsi="Verdana" w:cs="Arial"/>
          <w:color w:val="000000"/>
          <w:sz w:val="20"/>
          <w:szCs w:val="20"/>
          <w:lang w:val="es-ES_tradnl"/>
        </w:rPr>
      </w:pPr>
    </w:p>
    <w:p w14:paraId="3162470A"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w:t>
      </w:r>
    </w:p>
    <w:p w14:paraId="224C0A06"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5A295548" w14:textId="77777777" w:rsidR="0076273E" w:rsidRPr="00884819" w:rsidRDefault="0076273E" w:rsidP="0076273E">
      <w:pPr>
        <w:spacing w:after="0"/>
        <w:ind w:right="709"/>
        <w:jc w:val="both"/>
        <w:rPr>
          <w:rFonts w:ascii="Verdana" w:eastAsia="Calibri" w:hAnsi="Verdana" w:cs="Arial"/>
          <w:color w:val="000000"/>
          <w:lang w:val="es-ES_tradnl"/>
        </w:rPr>
      </w:pPr>
    </w:p>
    <w:p w14:paraId="7EB98178"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2DA8E263"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a</w:t>
      </w:r>
      <w:r w:rsidRPr="00884819">
        <w:rPr>
          <w:rFonts w:ascii="Verdana" w:eastAsia="Calibri" w:hAnsi="Verdana" w:cs="Arial"/>
          <w:color w:val="000000"/>
          <w:lang w:val="es-ES_tradnl"/>
        </w:rPr>
        <w:t>) Solo puede celebrarse para realizar “actividades relacionadas con la administración o funcionamiento de la entidad”, es decir, que hagan parte de su giro ordinario o quehacer cotidiano.</w:t>
      </w:r>
    </w:p>
    <w:p w14:paraId="4301CB4D" w14:textId="77777777" w:rsidR="0076273E" w:rsidRPr="00884819" w:rsidRDefault="0076273E" w:rsidP="0076273E">
      <w:pPr>
        <w:spacing w:after="120" w:line="276" w:lineRule="auto"/>
        <w:ind w:firstLine="709"/>
        <w:jc w:val="both"/>
        <w:rPr>
          <w:rFonts w:ascii="Verdana" w:eastAsia="Calibri" w:hAnsi="Verdana" w:cs="Arial"/>
          <w:color w:val="000000"/>
          <w:lang w:val="es-ES"/>
        </w:rPr>
      </w:pPr>
      <w:r w:rsidRPr="6C397CF7">
        <w:rPr>
          <w:rFonts w:ascii="Verdana" w:eastAsia="Calibri" w:hAnsi="Verdana" w:cs="Arial"/>
          <w:color w:val="000000"/>
          <w:lang w:val="es-ES"/>
        </w:rPr>
        <w:lastRenderedPageBreak/>
        <w:t xml:space="preserve">b) Admite que se suscriba tanto con personas naturales como con personas jurídicas. </w:t>
      </w:r>
      <w:r>
        <w:rPr>
          <w:rFonts w:ascii="Verdana" w:eastAsia="Calibri" w:hAnsi="Verdana" w:cs="Arial"/>
          <w:color w:val="000000" w:themeColor="text1"/>
          <w:lang w:val="es-ES"/>
        </w:rPr>
        <w:t>T</w:t>
      </w:r>
      <w:r w:rsidRPr="6C397CF7">
        <w:rPr>
          <w:rFonts w:ascii="Verdana" w:eastAsia="Calibri" w:hAnsi="Verdana" w:cs="Arial"/>
          <w:color w:val="000000" w:themeColor="text1"/>
          <w:lang w:val="es-ES"/>
        </w:rPr>
        <w:t>ratándose de personas naturales,</w:t>
      </w:r>
      <w:r w:rsidRPr="6C397CF7">
        <w:rPr>
          <w:rFonts w:ascii="Verdana" w:eastAsia="Calibri" w:hAnsi="Verdana" w:cs="Arial"/>
          <w:color w:val="000000"/>
          <w:lang w:val="es-ES"/>
        </w:rPr>
        <w:t xml:space="preserve"> requiere que la entidad estatal justifique en los estudios previos que las actividades que buscan encomendarse a aquella “no puedan realizarse con personal de planta o requieran conocimientos especializados”</w:t>
      </w:r>
      <w:r w:rsidRPr="6C397CF7">
        <w:rPr>
          <w:rStyle w:val="Refdenotaalpie"/>
          <w:rFonts w:ascii="Verdana" w:eastAsia="Calibri" w:hAnsi="Verdana" w:cs="Arial"/>
          <w:color w:val="000000"/>
          <w:lang w:val="es-ES"/>
        </w:rPr>
        <w:footnoteReference w:id="3"/>
      </w:r>
      <w:r w:rsidRPr="6C397CF7">
        <w:rPr>
          <w:rFonts w:ascii="Verdana" w:eastAsia="Calibri" w:hAnsi="Verdana" w:cs="Arial"/>
          <w:color w:val="000000"/>
          <w:lang w:val="es-ES"/>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36E132EC"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c</w:t>
      </w:r>
      <w:r w:rsidRPr="00884819">
        <w:rPr>
          <w:rFonts w:ascii="Verdana" w:eastAsia="Calibri" w:hAnsi="Verdana" w:cs="Arial"/>
          <w:color w:val="000000"/>
          <w:lang w:val="es-ES_tradnl"/>
        </w:rPr>
        <w:t>) Si bien se celebran para obtener la prestación personal de un servicio, se diferencian del contrato de trabajo</w:t>
      </w:r>
      <w:r w:rsidRPr="00884819">
        <w:rPr>
          <w:rStyle w:val="Refdenotaalpie"/>
          <w:rFonts w:ascii="Verdana" w:hAnsi="Verdana" w:cs="Arial"/>
        </w:rPr>
        <w:footnoteReference w:id="4"/>
      </w:r>
      <w:r w:rsidRPr="00884819">
        <w:rPr>
          <w:rFonts w:ascii="Verdana" w:eastAsia="Calibri" w:hAnsi="Verdana" w:cs="Arial"/>
          <w:color w:val="000000"/>
          <w:lang w:val="es-ES_tradnl"/>
        </w:rPr>
        <w:t xml:space="preserve"> en que quien celebra el contrato de prestación de servicios debe mantener autonomía e independencia en la ejecución de la labor, lo que significa que no puede existir la </w:t>
      </w:r>
      <w:r w:rsidRPr="00884819">
        <w:rPr>
          <w:rFonts w:ascii="Verdana" w:eastAsia="Calibri" w:hAnsi="Verdana" w:cs="Arial"/>
          <w:i/>
          <w:color w:val="000000"/>
          <w:lang w:val="es-ES_tradnl"/>
        </w:rPr>
        <w:t>subordinación y dependencia</w:t>
      </w:r>
      <w:r w:rsidRPr="00884819">
        <w:rPr>
          <w:rFonts w:ascii="Verdana" w:eastAsia="Calibri" w:hAnsi="Verdana" w:cs="Arial"/>
          <w:iCs/>
          <w:color w:val="000000"/>
          <w:lang w:val="es-ES_tradnl"/>
        </w:rPr>
        <w:t>,</w:t>
      </w:r>
      <w:r w:rsidRPr="00884819">
        <w:rPr>
          <w:rFonts w:ascii="Verdana" w:eastAsia="Calibri" w:hAnsi="Verdana"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884819">
        <w:rPr>
          <w:rFonts w:ascii="Verdana" w:eastAsia="Calibri" w:hAnsi="Verdana" w:cs="Arial"/>
          <w:i/>
          <w:color w:val="000000"/>
          <w:lang w:val="es-ES_tradnl"/>
        </w:rPr>
        <w:t>no pueden</w:t>
      </w:r>
      <w:r w:rsidRPr="00884819">
        <w:rPr>
          <w:rFonts w:ascii="Verdana" w:eastAsia="Calibri" w:hAnsi="Verdana" w:cs="Arial"/>
          <w:color w:val="00000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w:t>
      </w:r>
      <w:r w:rsidRPr="00884819">
        <w:rPr>
          <w:rFonts w:ascii="Verdana" w:eastAsia="Calibri" w:hAnsi="Verdana" w:cs="Arial"/>
          <w:color w:val="000000"/>
          <w:lang w:val="es-ES_tradnl"/>
        </w:rPr>
        <w:lastRenderedPageBreak/>
        <w:t xml:space="preserve">laboral está proscrita y es el contratista quien, como “trabajador independiente” –como lo califican las normas en materia de seguridad social– debe cotizar por su cuenta y riesgo al Sistema de Seguridad Social Integral. </w:t>
      </w:r>
    </w:p>
    <w:p w14:paraId="786B5B6D"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Pero es posible que, a pesar de este mandato deontológico, en la práctica surja la relación laboral, pues, como se sabe, el contrato de trabajo es un </w:t>
      </w:r>
      <w:r w:rsidRPr="00884819">
        <w:rPr>
          <w:rFonts w:ascii="Verdana" w:eastAsia="Calibri" w:hAnsi="Verdana" w:cs="Arial"/>
          <w:i/>
          <w:color w:val="000000"/>
          <w:lang w:val="es-ES_tradnl"/>
        </w:rPr>
        <w:t>contrato realidad</w:t>
      </w:r>
      <w:r w:rsidRPr="00884819">
        <w:rPr>
          <w:rFonts w:ascii="Verdana" w:eastAsia="Calibri" w:hAnsi="Verdana"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884819">
        <w:rPr>
          <w:rStyle w:val="Refdenotaalpie"/>
          <w:rFonts w:ascii="Verdana" w:hAnsi="Verdana" w:cs="Arial"/>
        </w:rPr>
        <w:footnoteReference w:id="5"/>
      </w:r>
      <w:r w:rsidRPr="00884819">
        <w:rPr>
          <w:rFonts w:ascii="Verdana" w:eastAsia="Calibri" w:hAnsi="Verdana" w:cs="Arial"/>
          <w:color w:val="000000"/>
          <w:lang w:val="es-ES_tradnl"/>
        </w:rPr>
        <w:t xml:space="preserve">. </w:t>
      </w:r>
    </w:p>
    <w:p w14:paraId="499F60AE"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En todo caso, conforme al artículo 54.1 de la Ley 1952 de 2019, “Por medio de la cual se expide el código general disciplinario se derogan la ley 734 de 2002 y algunas disposiciones de la ley 1474 de 2011, relacionadas con el derecho disciplinario”, constituye falta gravísima “Celebrar contrato de prestación de servicios cuyo objeto sea el cumplimiento de funciones públicas o administrativas que requieran dedicación de tiempo completo e impliquen subordinación y ausencia de autonomía respecto del contratista </w:t>
      </w:r>
      <w:r>
        <w:rPr>
          <w:rFonts w:ascii="Verdana" w:eastAsia="Calibri" w:hAnsi="Verdana" w:cs="Arial"/>
          <w:color w:val="000000"/>
          <w:lang w:val="es-ES_tradnl"/>
        </w:rPr>
        <w:t>(…)</w:t>
      </w:r>
      <w:r w:rsidRPr="00884819">
        <w:rPr>
          <w:rFonts w:ascii="Verdana" w:eastAsia="Calibri" w:hAnsi="Verdana" w:cs="Arial"/>
          <w:color w:val="000000"/>
          <w:lang w:val="es-ES_tradnl"/>
        </w:rPr>
        <w:t>”</w:t>
      </w:r>
      <w:r w:rsidRPr="00884819">
        <w:rPr>
          <w:rStyle w:val="Refdenotaalpie"/>
          <w:rFonts w:ascii="Verdana" w:eastAsia="Calibri" w:hAnsi="Verdana" w:cs="Arial"/>
          <w:color w:val="000000"/>
          <w:lang w:val="es-ES_tradnl"/>
        </w:rPr>
        <w:footnoteReference w:id="6"/>
      </w:r>
      <w:r w:rsidRPr="00884819">
        <w:rPr>
          <w:rFonts w:ascii="Verdana" w:eastAsia="Calibri" w:hAnsi="Verdana" w:cs="Arial"/>
          <w:color w:val="000000"/>
          <w:lang w:val="es-ES_tradnl"/>
        </w:rPr>
        <w:t>.</w:t>
      </w:r>
    </w:p>
    <w:p w14:paraId="024CC543"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d</w:t>
      </w:r>
      <w:r w:rsidRPr="00884819">
        <w:rPr>
          <w:rFonts w:ascii="Verdana" w:eastAsia="Calibri" w:hAnsi="Verdana" w:cs="Arial"/>
          <w:color w:val="000000"/>
          <w:lang w:val="es-ES_tradnl"/>
        </w:rPr>
        <w:t xml:space="preserve">)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w:t>
      </w:r>
      <w:r w:rsidRPr="00884819">
        <w:rPr>
          <w:rFonts w:ascii="Verdana" w:eastAsia="Calibri" w:hAnsi="Verdana" w:cs="Arial"/>
          <w:color w:val="000000"/>
          <w:lang w:val="es-ES_tradnl"/>
        </w:rPr>
        <w:lastRenderedPageBreak/>
        <w:t>empleo público quede contemplado en la respectiva planta y previstos sus emolumentos en el presupuesto correspondiente”</w:t>
      </w:r>
      <w:r w:rsidRPr="00884819">
        <w:rPr>
          <w:rStyle w:val="Refdenotaalpie"/>
          <w:rFonts w:ascii="Verdana" w:hAnsi="Verdana" w:cs="Arial"/>
        </w:rPr>
        <w:footnoteReference w:id="7"/>
      </w:r>
      <w:r w:rsidRPr="00884819">
        <w:rPr>
          <w:rFonts w:ascii="Verdana" w:eastAsia="Calibri" w:hAnsi="Verdana" w:cs="Arial"/>
          <w:color w:val="000000"/>
          <w:lang w:val="es-ES_tradnl"/>
        </w:rPr>
        <w:t>.</w:t>
      </w:r>
    </w:p>
    <w:p w14:paraId="56384AD8" w14:textId="77777777" w:rsidR="0076273E" w:rsidRDefault="0076273E" w:rsidP="0076273E">
      <w:pPr>
        <w:spacing w:after="0" w:line="276" w:lineRule="auto"/>
        <w:ind w:firstLine="709"/>
        <w:jc w:val="both"/>
        <w:rPr>
          <w:rFonts w:ascii="Verdana" w:eastAsia="Calibri" w:hAnsi="Verdana" w:cs="Arial"/>
          <w:color w:val="000000"/>
          <w:lang w:val="es-ES"/>
        </w:rPr>
      </w:pPr>
      <w:r>
        <w:rPr>
          <w:rFonts w:ascii="Verdana" w:eastAsia="Calibri" w:hAnsi="Verdana" w:cs="Arial"/>
          <w:color w:val="000000"/>
          <w:lang w:val="es-ES"/>
        </w:rPr>
        <w:t>e</w:t>
      </w:r>
      <w:r w:rsidRPr="00884819">
        <w:rPr>
          <w:rFonts w:ascii="Verdana" w:eastAsia="Calibri" w:hAnsi="Verdana" w:cs="Arial"/>
          <w:color w:val="000000"/>
          <w:lang w:val="es-ES"/>
        </w:rPr>
        <w:t xml:space="preserve">) Los contratos de prestación de servicios constituyen un </w:t>
      </w:r>
      <w:r w:rsidRPr="00884819">
        <w:rPr>
          <w:rFonts w:ascii="Verdana" w:eastAsia="Calibri" w:hAnsi="Verdana" w:cs="Arial"/>
          <w:i/>
          <w:color w:val="000000"/>
          <w:lang w:val="es-ES"/>
        </w:rPr>
        <w:t>género</w:t>
      </w:r>
      <w:r w:rsidRPr="00884819">
        <w:rPr>
          <w:rFonts w:ascii="Verdana" w:eastAsia="Calibri" w:hAnsi="Verdana" w:cs="Arial"/>
          <w:color w:val="000000"/>
          <w:lang w:val="es-ES"/>
        </w:rPr>
        <w:t xml:space="preserve"> que incluye, como </w:t>
      </w:r>
      <w:r w:rsidRPr="00884819">
        <w:rPr>
          <w:rFonts w:ascii="Verdana" w:eastAsia="Calibri" w:hAnsi="Verdana" w:cs="Arial"/>
          <w:i/>
          <w:color w:val="000000"/>
          <w:lang w:val="es-ES"/>
        </w:rPr>
        <w:t>especies</w:t>
      </w:r>
      <w:r w:rsidRPr="00884819">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884819">
        <w:rPr>
          <w:rStyle w:val="Refdenotaalpie"/>
          <w:rFonts w:ascii="Verdana" w:hAnsi="Verdana" w:cs="Arial"/>
        </w:rPr>
        <w:footnoteReference w:id="8"/>
      </w:r>
      <w:r w:rsidRPr="00884819">
        <w:rPr>
          <w:rFonts w:ascii="Verdana" w:eastAsia="Calibri" w:hAnsi="Verdana" w:cs="Arial"/>
          <w:color w:val="000000"/>
          <w:lang w:val="es-ES"/>
        </w:rPr>
        <w:t xml:space="preserve">. La diferencia entre el contrato de prestación de servicios </w:t>
      </w:r>
      <w:r w:rsidRPr="00884819">
        <w:rPr>
          <w:rFonts w:ascii="Verdana" w:eastAsia="Calibri" w:hAnsi="Verdana" w:cs="Arial"/>
          <w:i/>
          <w:color w:val="000000"/>
          <w:lang w:val="es-ES"/>
        </w:rPr>
        <w:t>profesionales</w:t>
      </w:r>
      <w:r w:rsidRPr="00884819">
        <w:rPr>
          <w:rFonts w:ascii="Verdana" w:eastAsia="Calibri" w:hAnsi="Verdana"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489C2074" w14:textId="77777777" w:rsidR="0076273E" w:rsidRPr="002D3ED3" w:rsidRDefault="0076273E" w:rsidP="0076273E">
      <w:pPr>
        <w:spacing w:after="0" w:line="276" w:lineRule="auto"/>
        <w:ind w:firstLine="709"/>
        <w:jc w:val="both"/>
        <w:rPr>
          <w:rFonts w:ascii="Verdana" w:eastAsia="Calibri" w:hAnsi="Verdana" w:cs="Arial"/>
          <w:color w:val="000000"/>
          <w:lang w:val="es-ES"/>
        </w:rPr>
      </w:pPr>
    </w:p>
    <w:p w14:paraId="2895E6C5"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692C00">
        <w:rPr>
          <w:rStyle w:val="Refdenotaalpie"/>
          <w:rFonts w:ascii="Verdana" w:hAnsi="Verdana" w:cs="Arial"/>
          <w:sz w:val="20"/>
          <w:szCs w:val="20"/>
        </w:rPr>
        <w:footnoteReference w:id="9"/>
      </w:r>
      <w:r w:rsidRPr="00692C00">
        <w:rPr>
          <w:rFonts w:ascii="Verdana" w:eastAsia="Calibri" w:hAnsi="Verdana" w:cs="Arial"/>
          <w:color w:val="000000"/>
          <w:sz w:val="20"/>
          <w:szCs w:val="20"/>
          <w:lang w:val="es-ES_tradnl"/>
        </w:rPr>
        <w:t>.</w:t>
      </w:r>
    </w:p>
    <w:p w14:paraId="19C2EB3C" w14:textId="77777777" w:rsidR="0076273E" w:rsidRPr="00884819" w:rsidRDefault="0076273E" w:rsidP="0076273E">
      <w:pPr>
        <w:spacing w:after="0" w:line="276" w:lineRule="auto"/>
        <w:ind w:firstLine="709"/>
        <w:jc w:val="both"/>
        <w:rPr>
          <w:rFonts w:ascii="Verdana" w:eastAsia="Calibri" w:hAnsi="Verdana" w:cs="Arial"/>
          <w:color w:val="000000"/>
          <w:lang w:val="es-ES_tradnl"/>
        </w:rPr>
      </w:pPr>
    </w:p>
    <w:p w14:paraId="65C72434" w14:textId="77777777" w:rsidR="0076273E" w:rsidRDefault="0076273E" w:rsidP="0076273E">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Objeto que, según la sentencia que se cita, se diferencia del objeto del contrato de prestación de servicios de apoyo a la gestión, porque en este:</w:t>
      </w:r>
    </w:p>
    <w:p w14:paraId="23C4BCB4" w14:textId="77777777" w:rsidR="0076273E" w:rsidRPr="00884819" w:rsidRDefault="0076273E" w:rsidP="0076273E">
      <w:pPr>
        <w:spacing w:after="0" w:line="276" w:lineRule="auto"/>
        <w:ind w:firstLine="709"/>
        <w:jc w:val="both"/>
        <w:rPr>
          <w:rFonts w:ascii="Verdana" w:eastAsia="Calibri" w:hAnsi="Verdana" w:cs="Arial"/>
          <w:color w:val="000000"/>
          <w:lang w:val="es-ES_tradnl"/>
        </w:rPr>
      </w:pPr>
    </w:p>
    <w:p w14:paraId="4D8808C0" w14:textId="77777777" w:rsidR="0076273E" w:rsidRDefault="0076273E" w:rsidP="0076273E">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lastRenderedPageBreak/>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6C492E6"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p>
    <w:p w14:paraId="6E4489FF"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
        </w:rPr>
      </w:pPr>
      <w:r w:rsidRPr="08E9AED9">
        <w:rPr>
          <w:rFonts w:ascii="Verdana" w:eastAsia="Calibri" w:hAnsi="Verdana" w:cs="Arial"/>
          <w:color w:val="000000" w:themeColor="text1"/>
          <w:sz w:val="20"/>
          <w:szCs w:val="20"/>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66EF2FF" w14:textId="77777777" w:rsidR="0076273E" w:rsidRDefault="0076273E" w:rsidP="0076273E">
      <w:pPr>
        <w:spacing w:after="0" w:line="240" w:lineRule="auto"/>
        <w:ind w:left="709" w:right="709"/>
        <w:jc w:val="both"/>
        <w:rPr>
          <w:rFonts w:ascii="Verdana" w:eastAsia="Calibri" w:hAnsi="Verdana" w:cs="Arial"/>
          <w:color w:val="000000"/>
          <w:sz w:val="20"/>
          <w:szCs w:val="20"/>
          <w:lang w:val="es-ES_tradnl"/>
        </w:rPr>
      </w:pPr>
    </w:p>
    <w:p w14:paraId="796D081C" w14:textId="77777777" w:rsidR="0076273E" w:rsidRPr="001C3E32" w:rsidRDefault="0076273E" w:rsidP="0076273E">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692C00">
        <w:rPr>
          <w:rStyle w:val="Refdenotaalpie"/>
          <w:rFonts w:ascii="Verdana" w:hAnsi="Verdana" w:cs="Arial"/>
          <w:sz w:val="20"/>
          <w:szCs w:val="20"/>
        </w:rPr>
        <w:footnoteReference w:id="10"/>
      </w:r>
      <w:r w:rsidRPr="00692C00">
        <w:rPr>
          <w:rFonts w:ascii="Verdana" w:eastAsia="Calibri" w:hAnsi="Verdana" w:cs="Arial"/>
          <w:color w:val="000000"/>
          <w:sz w:val="20"/>
          <w:szCs w:val="20"/>
          <w:lang w:val="es-ES_tradnl"/>
        </w:rPr>
        <w:t>.</w:t>
      </w:r>
    </w:p>
    <w:p w14:paraId="66DD1474" w14:textId="77777777" w:rsidR="0076273E" w:rsidRDefault="0076273E" w:rsidP="0076273E">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En relación con el contrato de prestación de servicios artísticos que solo pueden encomendarse a determinadas personas naturales, señala el mencionado fallo que:</w:t>
      </w:r>
    </w:p>
    <w:p w14:paraId="4A6690C3" w14:textId="77777777" w:rsidR="0076273E" w:rsidRPr="00884819" w:rsidRDefault="0076273E" w:rsidP="0076273E">
      <w:pPr>
        <w:spacing w:after="0" w:line="276" w:lineRule="auto"/>
        <w:ind w:firstLine="709"/>
        <w:jc w:val="both"/>
        <w:rPr>
          <w:rFonts w:ascii="Verdana" w:eastAsia="Calibri" w:hAnsi="Verdana" w:cs="Arial"/>
          <w:color w:val="000000"/>
          <w:lang w:val="es-ES_tradnl"/>
        </w:rPr>
      </w:pPr>
    </w:p>
    <w:p w14:paraId="5BCC74E3" w14:textId="77777777" w:rsidR="0076273E" w:rsidRPr="00692C00" w:rsidRDefault="0076273E" w:rsidP="0076273E">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692C00">
        <w:rPr>
          <w:rStyle w:val="Refdenotaalpie"/>
          <w:rFonts w:ascii="Verdana" w:hAnsi="Verdana" w:cs="Arial"/>
          <w:sz w:val="20"/>
          <w:szCs w:val="20"/>
        </w:rPr>
        <w:footnoteReference w:id="11"/>
      </w:r>
      <w:r w:rsidRPr="00692C00">
        <w:rPr>
          <w:rFonts w:ascii="Verdana" w:eastAsia="Calibri" w:hAnsi="Verdana" w:cs="Arial"/>
          <w:color w:val="000000"/>
          <w:sz w:val="20"/>
          <w:szCs w:val="20"/>
          <w:lang w:val="es-ES_tradnl"/>
        </w:rPr>
        <w:t>.</w:t>
      </w:r>
    </w:p>
    <w:p w14:paraId="4DACFF75" w14:textId="77777777" w:rsidR="0076273E" w:rsidRPr="00884819" w:rsidRDefault="0076273E" w:rsidP="0076273E">
      <w:pPr>
        <w:spacing w:after="0"/>
        <w:ind w:left="709" w:right="709"/>
        <w:jc w:val="both"/>
        <w:rPr>
          <w:rFonts w:ascii="Verdana" w:eastAsia="Calibri" w:hAnsi="Verdana" w:cs="Arial"/>
          <w:color w:val="000000"/>
          <w:lang w:val="es-ES_tradnl"/>
        </w:rPr>
      </w:pPr>
    </w:p>
    <w:p w14:paraId="00D100ED"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f</w:t>
      </w:r>
      <w:r w:rsidRPr="00884819">
        <w:rPr>
          <w:rFonts w:ascii="Verdana" w:eastAsia="Calibri" w:hAnsi="Verdana" w:cs="Arial"/>
          <w:color w:val="000000"/>
          <w:lang w:val="es-ES_tradnl"/>
        </w:rPr>
        <w:t>)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884819">
        <w:rPr>
          <w:rStyle w:val="Refdenotaalpie"/>
          <w:rFonts w:ascii="Verdana" w:hAnsi="Verdana" w:cs="Arial"/>
        </w:rPr>
        <w:footnoteReference w:id="12"/>
      </w:r>
      <w:r w:rsidRPr="00884819">
        <w:rPr>
          <w:rFonts w:ascii="Verdana" w:eastAsia="Calibri" w:hAnsi="Verdana" w:cs="Arial"/>
          <w:color w:val="000000"/>
          <w:lang w:val="es-ES_tradnl"/>
        </w:rPr>
        <w:t xml:space="preserve">. Pero, tampoco puede </w:t>
      </w:r>
      <w:r w:rsidRPr="00884819">
        <w:rPr>
          <w:rFonts w:ascii="Verdana" w:eastAsia="Calibri" w:hAnsi="Verdana" w:cs="Arial"/>
          <w:color w:val="000000"/>
          <w:lang w:val="es-ES_tradnl"/>
        </w:rPr>
        <w:lastRenderedPageBreak/>
        <w:t>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6D1D3A45"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g</w:t>
      </w:r>
      <w:r w:rsidRPr="00884819">
        <w:rPr>
          <w:rFonts w:ascii="Verdana" w:eastAsia="Calibri" w:hAnsi="Verdana" w:cs="Arial"/>
          <w:color w:val="000000"/>
          <w:lang w:val="es-ES_tradnl"/>
        </w:rPr>
        <w:t>) Para su celebración no se requiere en algunos casos la expedición del acto administrativo de justificación de la contratación directa</w:t>
      </w:r>
      <w:r w:rsidRPr="00884819">
        <w:rPr>
          <w:rStyle w:val="Refdenotaalpie"/>
          <w:rFonts w:ascii="Verdana" w:hAnsi="Verdana" w:cs="Arial"/>
        </w:rPr>
        <w:footnoteReference w:id="13"/>
      </w:r>
      <w:r w:rsidRPr="00884819">
        <w:rPr>
          <w:rFonts w:ascii="Verdana" w:eastAsia="Calibri" w:hAnsi="Verdana" w:cs="Arial"/>
          <w:color w:val="000000"/>
          <w:lang w:val="es-ES_tradnl"/>
        </w:rPr>
        <w:t xml:space="preserve">. </w:t>
      </w:r>
    </w:p>
    <w:p w14:paraId="15514F6C"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h</w:t>
      </w:r>
      <w:r w:rsidRPr="00884819">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884819">
        <w:rPr>
          <w:rStyle w:val="Refdenotaalpie"/>
          <w:rFonts w:ascii="Verdana" w:hAnsi="Verdana" w:cs="Arial"/>
        </w:rPr>
        <w:footnoteReference w:id="14"/>
      </w:r>
      <w:r w:rsidRPr="00884819">
        <w:rPr>
          <w:rFonts w:ascii="Verdana" w:eastAsia="Calibri" w:hAnsi="Verdana" w:cs="Arial"/>
          <w:color w:val="000000"/>
          <w:lang w:val="es-ES_tradnl"/>
        </w:rPr>
        <w:t>.</w:t>
      </w:r>
    </w:p>
    <w:p w14:paraId="6B60A5E4"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i) En algunos casos no es obligatoria la liquidación, pues así lo estableció el artículo 217 del Decreto 019 de 2012, que modificó el artículo 60 de la Ley 80 de 1993</w:t>
      </w:r>
      <w:r w:rsidRPr="00884819">
        <w:rPr>
          <w:rStyle w:val="Refdenotaalpie"/>
          <w:rFonts w:ascii="Verdana" w:hAnsi="Verdana" w:cs="Arial"/>
        </w:rPr>
        <w:footnoteReference w:id="15"/>
      </w:r>
      <w:r w:rsidRPr="00884819">
        <w:rPr>
          <w:rFonts w:ascii="Verdana" w:eastAsia="Calibri" w:hAnsi="Verdana" w:cs="Arial"/>
          <w:color w:val="000000"/>
          <w:lang w:val="es-ES_tradnl"/>
        </w:rPr>
        <w:t>, refiriéndose a los contratos de prestación de servicios profesionales y de apoyo a la gestión.</w:t>
      </w:r>
    </w:p>
    <w:p w14:paraId="75C91CDA" w14:textId="77777777" w:rsidR="0076273E" w:rsidRPr="00884819" w:rsidRDefault="0076273E" w:rsidP="0076273E">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lastRenderedPageBreak/>
        <w:t>j</w:t>
      </w:r>
      <w:r w:rsidRPr="00884819">
        <w:rPr>
          <w:rFonts w:ascii="Verdana" w:eastAsia="Calibri" w:hAnsi="Verdana" w:cs="Arial"/>
          <w:color w:val="000000"/>
          <w:lang w:val="es-ES_tradnl"/>
        </w:rPr>
        <w:t>) Para su celebración no se requiere inscripción en el Registro Único de Proponentes (RUP), según lo prevé el artículo 6 de la Ley 1150 de 2007</w:t>
      </w:r>
      <w:r w:rsidRPr="00884819">
        <w:rPr>
          <w:rStyle w:val="Refdenotaalpie"/>
          <w:rFonts w:ascii="Verdana" w:hAnsi="Verdana" w:cs="Arial"/>
        </w:rPr>
        <w:footnoteReference w:id="16"/>
      </w:r>
      <w:r w:rsidRPr="00884819">
        <w:rPr>
          <w:rFonts w:ascii="Verdana" w:eastAsia="Calibri" w:hAnsi="Verdana" w:cs="Arial"/>
          <w:color w:val="000000"/>
          <w:lang w:val="es-ES_tradnl"/>
        </w:rPr>
        <w:t>.</w:t>
      </w:r>
    </w:p>
    <w:p w14:paraId="3F64CF4E" w14:textId="77777777" w:rsidR="0076273E" w:rsidRDefault="0076273E" w:rsidP="0076273E">
      <w:pPr>
        <w:spacing w:before="120" w:after="0"/>
        <w:ind w:firstLine="709"/>
        <w:jc w:val="both"/>
        <w:rPr>
          <w:rFonts w:ascii="Verdana" w:eastAsia="Calibri" w:hAnsi="Verdana" w:cs="Arial"/>
          <w:color w:val="000000"/>
          <w:lang w:val="es-ES_tradnl"/>
        </w:rPr>
      </w:pPr>
      <w:r>
        <w:rPr>
          <w:rFonts w:ascii="Verdana" w:eastAsia="Calibri" w:hAnsi="Verdana" w:cs="Arial"/>
          <w:color w:val="000000"/>
          <w:lang w:val="es-ES_tradnl"/>
        </w:rPr>
        <w:t>k</w:t>
      </w:r>
      <w:r w:rsidRPr="00884819">
        <w:rPr>
          <w:rFonts w:ascii="Verdana" w:eastAsia="Calibri" w:hAnsi="Verdana" w:cs="Arial"/>
          <w:color w:val="000000"/>
          <w:lang w:val="es-ES_tradnl"/>
        </w:rPr>
        <w:t>) En ellos no son necesarias las garantías</w:t>
      </w:r>
      <w:r w:rsidRPr="00884819">
        <w:rPr>
          <w:rStyle w:val="Refdenotaalpie"/>
          <w:rFonts w:ascii="Verdana" w:hAnsi="Verdana" w:cs="Arial"/>
        </w:rPr>
        <w:footnoteReference w:id="17"/>
      </w:r>
      <w:r w:rsidRPr="00884819">
        <w:rPr>
          <w:rFonts w:ascii="Verdana" w:eastAsia="Calibri" w:hAnsi="Verdana" w:cs="Arial"/>
          <w:color w:val="000000"/>
          <w:lang w:val="es-ES_tradnl"/>
        </w:rPr>
        <w:t>.</w:t>
      </w:r>
    </w:p>
    <w:p w14:paraId="1971C3C5" w14:textId="77777777" w:rsidR="0076273E" w:rsidRDefault="0076273E" w:rsidP="0076273E">
      <w:pPr>
        <w:spacing w:before="120"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Ahora bien, l</w:t>
      </w:r>
      <w:r w:rsidRPr="00F31A35">
        <w:rPr>
          <w:rFonts w:ascii="Verdana" w:eastAsia="Calibri" w:hAnsi="Verdana" w:cs="Arial"/>
          <w:bCs/>
          <w:color w:val="000000"/>
          <w:kern w:val="2"/>
          <w14:ligatures w14:val="standardContextual"/>
        </w:rPr>
        <w:t>os entes estatales</w:t>
      </w:r>
      <w:r>
        <w:rPr>
          <w:rFonts w:ascii="Verdana" w:eastAsia="Calibri" w:hAnsi="Verdana" w:cs="Arial"/>
          <w:bCs/>
          <w:color w:val="000000"/>
          <w:kern w:val="2"/>
          <w14:ligatures w14:val="standardContextual"/>
        </w:rPr>
        <w:t>,</w:t>
      </w:r>
      <w:r w:rsidRPr="00F31A35">
        <w:rPr>
          <w:rFonts w:ascii="Verdana" w:eastAsia="Calibri" w:hAnsi="Verdana" w:cs="Arial"/>
          <w:bCs/>
          <w:color w:val="000000"/>
          <w:kern w:val="2"/>
          <w14:ligatures w14:val="standardContextual"/>
        </w:rPr>
        <w:t xml:space="preserve"> durante la etapa de planeación, tienen el deber de realizar el análisis del sector y justificar la modalidad de contratación en los documentos del proceso, que para el caso de los procesos que impliquen una contratación directa y</w:t>
      </w:r>
      <w:r>
        <w:rPr>
          <w:rFonts w:ascii="Verdana" w:eastAsia="Calibri" w:hAnsi="Verdana" w:cs="Arial"/>
          <w:bCs/>
          <w:color w:val="000000"/>
          <w:kern w:val="2"/>
          <w14:ligatures w14:val="standardContextual"/>
        </w:rPr>
        <w:t>, especialmente,</w:t>
      </w:r>
      <w:r w:rsidRPr="00F31A35">
        <w:rPr>
          <w:rFonts w:ascii="Verdana" w:eastAsia="Calibri" w:hAnsi="Verdana" w:cs="Arial"/>
          <w:bCs/>
          <w:color w:val="000000"/>
          <w:kern w:val="2"/>
          <w14:ligatures w14:val="standardContextual"/>
        </w:rPr>
        <w:t xml:space="preserve"> en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r>
        <w:rPr>
          <w:rFonts w:ascii="Verdana" w:eastAsia="Calibri" w:hAnsi="Verdana" w:cs="Arial"/>
          <w:bCs/>
          <w:color w:val="000000"/>
          <w:kern w:val="2"/>
          <w14:ligatures w14:val="standardContextual"/>
        </w:rPr>
        <w:t xml:space="preserve"> </w:t>
      </w:r>
    </w:p>
    <w:p w14:paraId="3C702DA4" w14:textId="77777777" w:rsidR="0076273E" w:rsidRDefault="0076273E" w:rsidP="0076273E">
      <w:pPr>
        <w:spacing w:before="120" w:after="120" w:line="276" w:lineRule="auto"/>
        <w:ind w:firstLine="709"/>
        <w:jc w:val="both"/>
        <w:rPr>
          <w:rFonts w:ascii="Verdana" w:hAnsi="Verdana"/>
          <w:lang w:eastAsia="es-MX"/>
        </w:rPr>
      </w:pPr>
      <w:r>
        <w:rPr>
          <w:rFonts w:ascii="Verdana" w:eastAsia="Calibri" w:hAnsi="Verdana" w:cs="Arial"/>
          <w:bCs/>
          <w:color w:val="000000"/>
          <w:kern w:val="2"/>
          <w14:ligatures w14:val="standardContextual"/>
        </w:rPr>
        <w:t xml:space="preserve">En este contexto, de acuerdo con lo establecido en el Decreto 1082 de 2015 artículo </w:t>
      </w:r>
      <w:r w:rsidRPr="0059266F">
        <w:rPr>
          <w:rFonts w:ascii="Verdana" w:hAnsi="Verdana"/>
          <w:lang w:eastAsia="es-MX"/>
        </w:rPr>
        <w:t>2.2.1.2.1.4.9.</w:t>
      </w:r>
      <w:r>
        <w:rPr>
          <w:rFonts w:ascii="Verdana" w:hAnsi="Verdana"/>
          <w:lang w:eastAsia="es-MX"/>
        </w:rPr>
        <w:t xml:space="preserve">, la entidad estatal deberá verificar </w:t>
      </w:r>
      <w:r w:rsidRPr="0059266F">
        <w:rPr>
          <w:rFonts w:ascii="Verdana" w:hAnsi="Verdana"/>
          <w:lang w:eastAsia="es-MX"/>
        </w:rPr>
        <w:t>la idoneidad o experiencia requerida y relacionada con el área de que se trate</w:t>
      </w:r>
      <w:r>
        <w:rPr>
          <w:rFonts w:ascii="Verdana" w:hAnsi="Verdana"/>
          <w:lang w:eastAsia="es-MX"/>
        </w:rPr>
        <w:t xml:space="preserve">. Para tales fines, deberán establecer en los documentos previos cuales son los documentos que solicitarán al futuro contratista para acreditar y verificar los requisitos exigidos. </w:t>
      </w:r>
    </w:p>
    <w:p w14:paraId="3693B496" w14:textId="77777777" w:rsidR="0076273E" w:rsidRDefault="0076273E" w:rsidP="0076273E">
      <w:pPr>
        <w:spacing w:before="120" w:after="120" w:line="276" w:lineRule="auto"/>
        <w:ind w:firstLine="709"/>
        <w:jc w:val="both"/>
        <w:rPr>
          <w:rFonts w:ascii="Verdana" w:hAnsi="Verdana"/>
          <w:lang w:eastAsia="es-MX"/>
        </w:rPr>
      </w:pPr>
      <w:r>
        <w:rPr>
          <w:rFonts w:ascii="Verdana" w:eastAsia="Calibri" w:hAnsi="Verdana" w:cs="Arial"/>
          <w:bCs/>
          <w:color w:val="000000"/>
          <w:kern w:val="2"/>
          <w14:ligatures w14:val="standardContextual"/>
        </w:rPr>
        <w:t xml:space="preserve">Ahora bien, resulta importante indicar que en la </w:t>
      </w:r>
      <w:r>
        <w:rPr>
          <w:rFonts w:ascii="Verdana" w:eastAsia="Calibri" w:hAnsi="Verdana" w:cs="Arial"/>
          <w:bCs/>
          <w:i/>
          <w:iCs/>
          <w:color w:val="000000"/>
          <w:kern w:val="2"/>
          <w14:ligatures w14:val="standardContextual"/>
        </w:rPr>
        <w:t>“</w:t>
      </w:r>
      <w:r w:rsidRPr="0059266F">
        <w:rPr>
          <w:rFonts w:ascii="Verdana" w:hAnsi="Verdana"/>
          <w:i/>
          <w:lang w:eastAsia="es-MX"/>
        </w:rPr>
        <w:t xml:space="preserve">Guía para la </w:t>
      </w:r>
      <w:r>
        <w:rPr>
          <w:rFonts w:ascii="Verdana" w:hAnsi="Verdana"/>
          <w:i/>
          <w:lang w:eastAsia="es-MX"/>
        </w:rPr>
        <w:t>i</w:t>
      </w:r>
      <w:r>
        <w:rPr>
          <w:rFonts w:ascii="Verdana" w:hAnsi="Verdana"/>
          <w:i/>
          <w:iCs/>
          <w:lang w:eastAsia="es-MX"/>
        </w:rPr>
        <w:t>ncorporación de lineamientos de integridad en la contratación de prestación de servicios”</w:t>
      </w:r>
      <w:r>
        <w:rPr>
          <w:rStyle w:val="Refdenotaalpie"/>
          <w:rFonts w:ascii="Verdana" w:hAnsi="Verdana"/>
          <w:i/>
          <w:iCs/>
          <w:lang w:eastAsia="es-MX"/>
        </w:rPr>
        <w:footnoteReference w:id="18"/>
      </w:r>
      <w:r w:rsidRPr="0059266F">
        <w:rPr>
          <w:rFonts w:ascii="Verdana" w:hAnsi="Verdana"/>
          <w:lang w:eastAsia="es-MX"/>
        </w:rPr>
        <w:t>,</w:t>
      </w:r>
      <w:r>
        <w:rPr>
          <w:rFonts w:ascii="Verdana" w:hAnsi="Verdana"/>
          <w:lang w:eastAsia="es-MX"/>
        </w:rPr>
        <w:t xml:space="preserve"> expedida por la Agencia de Contratación Pública – Colombia Compra Eficiente, en su Anexo 2 y 3, relaciona una lista ilustrativa de los documentos que puede solicitar la entidad del estado para suscribir contratos de prestación de servicios bien sea con persona natural o jurídica, como por ejemplo, los certificados de antecedentes judiciales, fiscales, disciplinarios, documentos que </w:t>
      </w:r>
      <w:r>
        <w:rPr>
          <w:rFonts w:ascii="Verdana" w:hAnsi="Verdana"/>
          <w:lang w:eastAsia="es-MX"/>
        </w:rPr>
        <w:lastRenderedPageBreak/>
        <w:t xml:space="preserve">acrediten la experiencia profesional, formación académica, matrícula profesional, RIT, RUT, certificado de afiliación al sistema de seguridad social integral, entre otros. </w:t>
      </w:r>
    </w:p>
    <w:p w14:paraId="5B83A752" w14:textId="77777777" w:rsidR="0076273E" w:rsidRDefault="0076273E" w:rsidP="0076273E">
      <w:pPr>
        <w:spacing w:before="120" w:after="120" w:line="276" w:lineRule="auto"/>
        <w:ind w:firstLine="709"/>
        <w:jc w:val="both"/>
        <w:rPr>
          <w:rFonts w:ascii="Verdana" w:hAnsi="Verdana"/>
          <w:lang w:eastAsia="es-MX"/>
        </w:rPr>
      </w:pPr>
      <w:r>
        <w:rPr>
          <w:rFonts w:ascii="Verdana" w:hAnsi="Verdana"/>
          <w:lang w:eastAsia="es-MX"/>
        </w:rPr>
        <w:t xml:space="preserve">En ese sentido, será la entidad estatal, dentro de su autonomía contractual, la llamada a definir los criterios necesarios para evaluar la idoneidad y experiencia del futuro contratista, así como la ausencia de inhabilidades, incompatibilidades y prohibiciones, sin que exista alguna exigencia normativa, salvo algunos casos que se indicarán más adelante. No obstante lo anterior, si la entidad estatal cuenta con algún manual de contratación, adoptará lo allí plasmado e incluso, podrá adoptar los lineamientos establecidos en la guía antes mencionada expedida por esta Agencia. </w:t>
      </w:r>
    </w:p>
    <w:p w14:paraId="64B6E3E8" w14:textId="77777777" w:rsidR="0076273E" w:rsidRDefault="0076273E" w:rsidP="0076273E">
      <w:pPr>
        <w:spacing w:before="120" w:after="0" w:line="276" w:lineRule="auto"/>
        <w:ind w:firstLine="709"/>
        <w:jc w:val="both"/>
        <w:rPr>
          <w:rFonts w:ascii="Verdana" w:hAnsi="Verdana"/>
          <w:lang w:eastAsia="es-MX"/>
        </w:rPr>
      </w:pPr>
      <w:r>
        <w:rPr>
          <w:rFonts w:ascii="Verdana" w:hAnsi="Verdana"/>
          <w:lang w:eastAsia="es-MX"/>
        </w:rPr>
        <w:t xml:space="preserve">Lo que resulta necesario es que la entidad estatal evalúe y se cerciore sobre la idoneidad y experiencia del futuro contratista para ejercer las actividades propias del objeto contractual, definidas en los estudios previos que posteriormente se concretará a través de la celebración del contrato de prestación de servicios, conforme a los requisitos exigidos en el artículo 41 de la Ley 80 </w:t>
      </w:r>
      <w:r w:rsidRPr="005B4FBB">
        <w:rPr>
          <w:rFonts w:ascii="Verdana" w:hAnsi="Verdana"/>
          <w:lang w:eastAsia="es-MX"/>
        </w:rPr>
        <w:t>de 1993.</w:t>
      </w:r>
      <w:r>
        <w:rPr>
          <w:rFonts w:ascii="Verdana" w:hAnsi="Verdana"/>
          <w:lang w:eastAsia="es-MX"/>
        </w:rPr>
        <w:t xml:space="preserve">  </w:t>
      </w:r>
    </w:p>
    <w:p w14:paraId="5752236E" w14:textId="77777777" w:rsidR="0076273E" w:rsidRDefault="0076273E" w:rsidP="0076273E">
      <w:pPr>
        <w:spacing w:before="120" w:after="0" w:line="276" w:lineRule="auto"/>
        <w:ind w:firstLine="709"/>
        <w:jc w:val="both"/>
        <w:rPr>
          <w:rFonts w:ascii="Verdana" w:eastAsia="Verdana" w:hAnsi="Verdana" w:cs="Verdana"/>
        </w:rPr>
      </w:pPr>
      <w:r>
        <w:rPr>
          <w:rFonts w:ascii="Verdana" w:eastAsia="Verdana" w:hAnsi="Verdana" w:cs="Verdana"/>
        </w:rPr>
        <w:t>Ahora bien, en relación al primer problema jurídico planteado l</w:t>
      </w:r>
      <w:r w:rsidRPr="00903275">
        <w:rPr>
          <w:rFonts w:ascii="Verdana" w:eastAsia="Verdana" w:hAnsi="Verdana" w:cs="Verdana"/>
        </w:rPr>
        <w:t>a contratación directa de servicios profesionales y de apoyo a la gestión exige la observancia de los principios de planeación, economía, responsabilidad y transparencia previstos en el Estatuto General de Contratación de la Administración Pública. Por ello, la entidad estatal debe adelantar las actuaciones de planeación necesarias para identificar la necesidad que pretende satisfacer, justificar la procedencia de la contratación y definir las condiciones bajo las cuales se ejecutará el objeto contractual, aspectos que deben quedar reflejados en los estudios y documentos previos del proceso.</w:t>
      </w:r>
    </w:p>
    <w:p w14:paraId="05261F3C" w14:textId="77777777" w:rsidR="0076273E" w:rsidRDefault="0076273E" w:rsidP="0076273E">
      <w:pPr>
        <w:spacing w:before="120" w:after="0" w:line="276" w:lineRule="auto"/>
        <w:ind w:firstLine="709"/>
        <w:jc w:val="both"/>
        <w:rPr>
          <w:rFonts w:ascii="Verdana" w:eastAsia="Verdana" w:hAnsi="Verdana" w:cs="Verdana"/>
        </w:rPr>
      </w:pPr>
      <w:r w:rsidRPr="00903275">
        <w:rPr>
          <w:rFonts w:ascii="Verdana" w:eastAsia="Verdana" w:hAnsi="Verdana" w:cs="Verdana"/>
        </w:rPr>
        <w:t>En desarrollo del principio de planeación, la entidad estatal debe realizar los análisis necesarios para definir el objeto contractual, las obligaciones a cargo del contratista, el plazo de ejecución, el valor estimado del contrato y las condiciones requeridas para satisfacer la necesidad identificada. Asimismo, los estudios previos deben contener la justificación de la modalidad de selección y los elementos que permitan evidenciar que la contratación proyectada responde a una necesidad real de la administración.</w:t>
      </w:r>
    </w:p>
    <w:p w14:paraId="22890655" w14:textId="77777777" w:rsidR="0076273E" w:rsidRDefault="0076273E" w:rsidP="0076273E">
      <w:pPr>
        <w:spacing w:before="120" w:after="0" w:line="276" w:lineRule="auto"/>
        <w:ind w:firstLine="709"/>
        <w:jc w:val="both"/>
        <w:rPr>
          <w:rFonts w:ascii="Verdana" w:eastAsia="Verdana" w:hAnsi="Verdana" w:cs="Verdana"/>
        </w:rPr>
      </w:pPr>
      <w:r w:rsidRPr="00903275">
        <w:rPr>
          <w:rFonts w:ascii="Verdana" w:eastAsia="Verdana" w:hAnsi="Verdana" w:cs="Verdana"/>
        </w:rPr>
        <w:lastRenderedPageBreak/>
        <w:t>Tratándose de contratos de prestación de servicios profesionales y de apoyo a la gestión, el artículo 2.2.1.2.1.4.9 del Decreto 1082 de 2015 establece que la entidad estatal debe verificar la idoneidad o experiencia requerida y relacionada con el área de que se trate. En consecuencia, corresponde a la entidad determinar desde la etapa precontractual cuáles son las condiciones académicas, profesionales, técnicas o de experiencia que resultan necesarias para ejecutar el objeto contractual, así como los documentos que permitirán acreditar dichas calidades.</w:t>
      </w:r>
    </w:p>
    <w:p w14:paraId="7DC4B3EE" w14:textId="77777777" w:rsidR="0076273E" w:rsidRDefault="0076273E" w:rsidP="0076273E">
      <w:pPr>
        <w:spacing w:before="120" w:after="0" w:line="276" w:lineRule="auto"/>
        <w:ind w:firstLine="709"/>
        <w:jc w:val="both"/>
        <w:rPr>
          <w:rFonts w:ascii="Verdana" w:eastAsia="Verdana" w:hAnsi="Verdana" w:cs="Verdana"/>
        </w:rPr>
      </w:pPr>
      <w:r w:rsidRPr="00903275">
        <w:rPr>
          <w:rFonts w:ascii="Verdana" w:eastAsia="Verdana" w:hAnsi="Verdana" w:cs="Verdana"/>
        </w:rPr>
        <w:t>De igual forma, cuando la contratación se celebre con personas naturales, la entidad debe justificar en los estudios previos las razones por las cuales las actividades requeridas no pueden ser desarrolladas por personal de planta o exigen conocimientos especializados, de conformidad con lo previsto en el numeral 3 del artículo 32 de la Ley 80 de 1993. Para tales efectos, la decisión debe encontrarse soportada en documentos, certificaciones o análisis que permitan evidenciar la inexistencia o insuficiencia de personal disponible o la necesidad de acudir a conocimientos especializados para atender adecuadamente la necesidad institucional.</w:t>
      </w:r>
    </w:p>
    <w:p w14:paraId="7E37B57B" w14:textId="77777777" w:rsidR="0076273E" w:rsidRDefault="0076273E" w:rsidP="0076273E">
      <w:pPr>
        <w:spacing w:before="120" w:after="0" w:line="276" w:lineRule="auto"/>
        <w:ind w:firstLine="709"/>
        <w:jc w:val="both"/>
        <w:rPr>
          <w:rFonts w:ascii="Verdana" w:eastAsia="Verdana" w:hAnsi="Verdana" w:cs="Verdana"/>
        </w:rPr>
      </w:pPr>
      <w:r>
        <w:rPr>
          <w:rFonts w:ascii="Verdana" w:eastAsia="Verdana" w:hAnsi="Verdana" w:cs="Verdana"/>
        </w:rPr>
        <w:t>S</w:t>
      </w:r>
      <w:r w:rsidRPr="00903275">
        <w:rPr>
          <w:rFonts w:ascii="Verdana" w:eastAsia="Verdana" w:hAnsi="Verdana" w:cs="Verdana"/>
        </w:rPr>
        <w:t>obre este particular, la Agencia Nacional de Contratación Pública – Colombia Compra Eficiente señaló en el Concepto C-134 del 10 de marzo de 2026 que, en los contratos de prestación de servicios profesionales y de apoyo a la gestión, los estudios y documentos previos deben establecer las condiciones mínimas exigidas para satisfacer la necesidad de la entidad y los requisitos que debe acreditar el futuro contratista para el cumplimiento del objeto contractual. Asimismo, precisó que corresponde a la entidad definir los documentos que solicitará para verificar la idoneidad, experiencia y demás condiciones exigidas, dentro del marco de su autonomía contractual y de las disposiciones contenidas en su manual de contratación, cuando exista.</w:t>
      </w:r>
    </w:p>
    <w:p w14:paraId="3A3A31FC" w14:textId="77777777" w:rsidR="0076273E" w:rsidRDefault="0076273E" w:rsidP="0076273E">
      <w:pPr>
        <w:spacing w:before="120" w:after="0" w:line="276" w:lineRule="auto"/>
        <w:ind w:firstLine="709"/>
        <w:jc w:val="both"/>
        <w:rPr>
          <w:rFonts w:ascii="Verdana" w:eastAsia="Verdana" w:hAnsi="Verdana" w:cs="Verdana"/>
        </w:rPr>
      </w:pPr>
      <w:r w:rsidRPr="00903275">
        <w:rPr>
          <w:rFonts w:ascii="Verdana" w:eastAsia="Verdana" w:hAnsi="Verdana" w:cs="Verdana"/>
        </w:rPr>
        <w:t>En el mismo sentido, la Agencia ha indicado que instrumentos como la Guía para la contratación de prestación de servicios profesionales y de apoyo a la gestión</w:t>
      </w:r>
      <w:r>
        <w:rPr>
          <w:rStyle w:val="Refdenotaalpie"/>
          <w:rFonts w:ascii="Verdana" w:eastAsia="Verdana" w:hAnsi="Verdana" w:cs="Verdana"/>
        </w:rPr>
        <w:footnoteReference w:id="19"/>
      </w:r>
      <w:r w:rsidRPr="00903275">
        <w:rPr>
          <w:rFonts w:ascii="Verdana" w:eastAsia="Verdana" w:hAnsi="Verdana" w:cs="Verdana"/>
        </w:rPr>
        <w:t xml:space="preserve"> y la Guía para la incorporación de lineamientos de integridad en la contratación de prestación de servicios</w:t>
      </w:r>
      <w:r>
        <w:rPr>
          <w:rStyle w:val="Refdenotaalpie"/>
          <w:rFonts w:ascii="Verdana" w:eastAsia="Verdana" w:hAnsi="Verdana" w:cs="Verdana"/>
        </w:rPr>
        <w:footnoteReference w:id="20"/>
      </w:r>
      <w:r w:rsidRPr="00903275">
        <w:rPr>
          <w:rFonts w:ascii="Verdana" w:eastAsia="Verdana" w:hAnsi="Verdana" w:cs="Verdana"/>
        </w:rPr>
        <w:t xml:space="preserve"> constituyen referentes orientadores </w:t>
      </w:r>
      <w:r w:rsidRPr="00903275">
        <w:rPr>
          <w:rFonts w:ascii="Verdana" w:eastAsia="Verdana" w:hAnsi="Verdana" w:cs="Verdana"/>
        </w:rPr>
        <w:lastRenderedPageBreak/>
        <w:t>para fortalecer la adecuada estructuración de estos procesos contractuales, particularmente en aspectos relacionados con la acreditación de requisitos, la documentación de la necesidad, la integridad, la transparencia y la trazabilidad de la contratación.</w:t>
      </w:r>
    </w:p>
    <w:p w14:paraId="659C6597" w14:textId="77777777" w:rsidR="0076273E" w:rsidRDefault="0076273E" w:rsidP="0076273E">
      <w:pPr>
        <w:spacing w:before="120" w:after="0" w:line="276" w:lineRule="auto"/>
        <w:ind w:firstLine="709"/>
        <w:jc w:val="both"/>
        <w:rPr>
          <w:rFonts w:ascii="Verdana" w:eastAsia="Verdana" w:hAnsi="Verdana" w:cs="Verdana"/>
        </w:rPr>
      </w:pPr>
      <w:r w:rsidRPr="00903275">
        <w:rPr>
          <w:rFonts w:ascii="Verdana" w:eastAsia="Verdana" w:hAnsi="Verdana" w:cs="Verdana"/>
        </w:rPr>
        <w:t>Ahora bien, el deber de planeación también implica que la entidad examine la naturaleza de la necesidad que pretende atender y determine si esta conserva un carácter temporal o si, por el contrario, corresponde a una necesidad permanente o estructural. Por ello, resulta necesario analizar la existencia de contrataciones anteriores para actividades semejantes, la duración de la necesidad, la suficiencia de los recursos institucionales disponibles y la conveniencia de continuar acudiendo a la contratación de prestación de servicios, con el propósito de evitar que esta modalidad sea utilizada de manera indefinida para atender requerimientos permanentes de la administración.</w:t>
      </w:r>
    </w:p>
    <w:p w14:paraId="3BF231EA" w14:textId="77777777" w:rsidR="0076273E" w:rsidRPr="00903275" w:rsidRDefault="0076273E" w:rsidP="0076273E">
      <w:pPr>
        <w:spacing w:before="120" w:after="0" w:line="276" w:lineRule="auto"/>
        <w:ind w:firstLine="709"/>
        <w:jc w:val="both"/>
        <w:rPr>
          <w:rFonts w:ascii="Verdana" w:eastAsia="Verdana" w:hAnsi="Verdana" w:cs="Verdana"/>
        </w:rPr>
      </w:pPr>
    </w:p>
    <w:p w14:paraId="5571B29A" w14:textId="77777777" w:rsidR="0076273E" w:rsidRPr="00790F0C" w:rsidRDefault="0076273E" w:rsidP="0076273E">
      <w:pPr>
        <w:widowControl w:val="0"/>
        <w:tabs>
          <w:tab w:val="left" w:pos="728"/>
        </w:tabs>
        <w:autoSpaceDE w:val="0"/>
        <w:autoSpaceDN w:val="0"/>
        <w:spacing w:after="120" w:line="276" w:lineRule="auto"/>
        <w:jc w:val="both"/>
        <w:rPr>
          <w:rFonts w:ascii="Verdana" w:eastAsia="Arial" w:hAnsi="Verdana" w:cs="Arial"/>
          <w:lang w:val="es-ES"/>
        </w:rPr>
      </w:pPr>
      <w:r>
        <w:rPr>
          <w:rFonts w:ascii="Verdana" w:eastAsia="Verdana" w:hAnsi="Verdana" w:cs="Verdana"/>
          <w:lang w:val="es-MX"/>
        </w:rPr>
        <w:tab/>
        <w:t xml:space="preserve">ii) En relación al segundo problema jurídico planteado </w:t>
      </w:r>
      <w:r w:rsidRPr="00790F0C">
        <w:rPr>
          <w:rFonts w:ascii="Verdana" w:eastAsia="Calibri" w:hAnsi="Verdana" w:cs="Times New Roman"/>
          <w:lang w:val="es-ES"/>
        </w:rPr>
        <w:t xml:space="preserve">Como punto de partida, es necesario señalar que </w:t>
      </w:r>
      <w:r w:rsidRPr="00790F0C">
        <w:rPr>
          <w:rFonts w:ascii="Verdana" w:eastAsia="Calibri" w:hAnsi="Verdana" w:cs="Arial"/>
        </w:rPr>
        <w:t>e</w:t>
      </w:r>
      <w:r w:rsidRPr="00790F0C">
        <w:rPr>
          <w:rFonts w:ascii="Verdana" w:eastAsia="Arial" w:hAnsi="Verdana" w:cs="Arial"/>
          <w:lang w:val="es-ES"/>
        </w:rPr>
        <w:t xml:space="preserv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05DD9A90" w14:textId="77777777" w:rsidR="0076273E" w:rsidRPr="00790F0C" w:rsidRDefault="0076273E" w:rsidP="0076273E">
      <w:pPr>
        <w:spacing w:after="120" w:line="276" w:lineRule="auto"/>
        <w:ind w:firstLine="567"/>
        <w:jc w:val="both"/>
        <w:rPr>
          <w:rFonts w:ascii="Verdana" w:eastAsia="Calibri" w:hAnsi="Verdana" w:cs="Arial"/>
        </w:rPr>
      </w:pPr>
      <w:r w:rsidRPr="00790F0C">
        <w:rPr>
          <w:rFonts w:ascii="Verdana" w:eastAsia="Calibri" w:hAnsi="Verdana" w:cs="Arial"/>
        </w:rPr>
        <w:t>De otra parte, la Ley 1712 de 2014 –Ley Estatutaria de transparencia y derecho de acceso a la información y a los documentos públicos–, identifica como principios que orientan el derecho de acceso a la información pública, los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90F0C">
        <w:rPr>
          <w:rFonts w:ascii="Verdana" w:eastAsia="Calibri" w:hAnsi="Verdana" w:cs="Arial"/>
          <w:vertAlign w:val="superscript"/>
        </w:rPr>
        <w:footnoteReference w:id="21"/>
      </w:r>
      <w:r w:rsidRPr="00790F0C">
        <w:rPr>
          <w:rFonts w:ascii="Verdana" w:eastAsia="Calibri" w:hAnsi="Verdana" w:cs="Arial"/>
        </w:rPr>
        <w:t xml:space="preserve">. El principio de transparencia en la información alude al deber de los sujetos de proporcionar y facilitar el acceso a </w:t>
      </w:r>
      <w:r w:rsidRPr="00790F0C">
        <w:rPr>
          <w:rFonts w:ascii="Verdana" w:eastAsia="Calibri" w:hAnsi="Verdana" w:cs="Arial"/>
        </w:rPr>
        <w:lastRenderedPageBreak/>
        <w:t xml:space="preserve">la misma en los términos más amplios posibles, y a través de los medios y procedimientos legales. </w:t>
      </w:r>
    </w:p>
    <w:p w14:paraId="217F26E9" w14:textId="77777777" w:rsidR="0076273E" w:rsidRPr="00790F0C" w:rsidRDefault="0076273E" w:rsidP="0076273E">
      <w:pPr>
        <w:spacing w:after="120" w:line="276" w:lineRule="auto"/>
        <w:ind w:firstLine="567"/>
        <w:jc w:val="both"/>
        <w:rPr>
          <w:rFonts w:ascii="Verdana" w:eastAsia="Calibri" w:hAnsi="Verdana" w:cs="Arial"/>
        </w:rPr>
      </w:pPr>
      <w:r w:rsidRPr="00790F0C">
        <w:rPr>
          <w:rFonts w:ascii="Verdana" w:eastAsia="Calibri" w:hAnsi="Verdana" w:cs="Arial"/>
        </w:rPr>
        <w:t>Adicionalmente, establece que todas las Entidades</w:t>
      </w:r>
      <w:r w:rsidRPr="00790F0C">
        <w:rPr>
          <w:rFonts w:ascii="Verdana" w:eastAsia="Calibri" w:hAnsi="Verdana" w:cs="Arial"/>
          <w:lang w:val="es-ES"/>
        </w:rPr>
        <w:t xml:space="preserve"> Públicas</w:t>
      </w:r>
      <w:r w:rsidRPr="00790F0C">
        <w:rPr>
          <w:rFonts w:ascii="Verdana" w:eastAsia="Calibri" w:hAnsi="Verdana" w:cs="Arial"/>
          <w:vertAlign w:val="superscript"/>
          <w:lang w:val="es-ES_tradnl"/>
        </w:rPr>
        <w:footnoteReference w:id="22"/>
      </w:r>
      <w:r w:rsidRPr="00790F0C">
        <w:rPr>
          <w:rFonts w:ascii="Verdana" w:eastAsia="Calibri" w:hAnsi="Verdana" w:cs="Arial"/>
          <w:lang w:val="es-ES"/>
        </w:rPr>
        <w:t xml:space="preserve"> deben publicar la información relativa a su contratación.</w:t>
      </w:r>
      <w:r w:rsidRPr="00790F0C">
        <w:rPr>
          <w:rFonts w:ascii="Verdana" w:eastAsia="Calibri" w:hAnsi="Verdana" w:cs="Arial"/>
        </w:rPr>
        <w:t xml:space="preserve"> Por su parte, el literal g) del artículo 11 señala que las Entidades deben garantizar la publicidad de “sus procedimientos, lineamientos, políticas en materia de adquisiciones y compras, así como todos los datos de adjudicación y ejecución de contratos, incluidos concursos y licitaciones”. </w:t>
      </w:r>
    </w:p>
    <w:p w14:paraId="26046CA6" w14:textId="77777777" w:rsidR="0076273E" w:rsidRPr="00790F0C" w:rsidRDefault="0076273E" w:rsidP="0076273E">
      <w:pPr>
        <w:spacing w:after="120" w:line="276" w:lineRule="auto"/>
        <w:ind w:firstLine="567"/>
        <w:jc w:val="both"/>
        <w:rPr>
          <w:rFonts w:ascii="Verdana" w:eastAsia="Calibri" w:hAnsi="Verdana" w:cs="Arial"/>
        </w:rPr>
      </w:pPr>
      <w:r w:rsidRPr="00790F0C">
        <w:rPr>
          <w:rFonts w:ascii="Verdana" w:eastAsia="Calibri" w:hAnsi="Verdana" w:cs="Arial"/>
          <w:lang w:val="es-ES"/>
        </w:rPr>
        <w:t>Esta obligación fue desarrollada expresamente en el Decreto Único Reglamentario 1082 de 2015</w:t>
      </w:r>
      <w:r w:rsidRPr="00790F0C">
        <w:rPr>
          <w:rFonts w:ascii="Verdana" w:eastAsia="Calibri" w:hAnsi="Verdana" w:cs="Arial"/>
          <w:vertAlign w:val="superscript"/>
          <w:lang w:val="es-ES_tradnl"/>
        </w:rPr>
        <w:footnoteReference w:id="23"/>
      </w:r>
      <w:r w:rsidRPr="00790F0C">
        <w:rPr>
          <w:rFonts w:ascii="Verdana" w:eastAsia="Calibri" w:hAnsi="Verdana" w:cs="Arial"/>
          <w:lang w:val="es-ES"/>
        </w:rPr>
        <w:t xml:space="preserve">, el cual dispuso que la publicación de la información contractual de los sujetos que contratan con cargo a recursos públicos debe hacerse en el </w:t>
      </w:r>
      <w:r w:rsidRPr="00790F0C">
        <w:rPr>
          <w:rFonts w:ascii="Verdana" w:eastAsia="Calibri" w:hAnsi="Verdana" w:cs="Arial"/>
          <w:color w:val="000000" w:themeColor="text1"/>
        </w:rPr>
        <w:t xml:space="preserve">Sistema Electrónico de Contratación Pública – en adelante </w:t>
      </w:r>
      <w:r w:rsidRPr="00790F0C">
        <w:rPr>
          <w:rFonts w:ascii="Verdana" w:eastAsia="Calibri" w:hAnsi="Verdana" w:cs="Arial"/>
          <w:lang w:val="es-ES"/>
        </w:rPr>
        <w:t>SECOP</w:t>
      </w:r>
      <w:r w:rsidRPr="00790F0C">
        <w:rPr>
          <w:rFonts w:ascii="Verdana" w:eastAsia="Calibri" w:hAnsi="Verdana" w:cs="Arial"/>
          <w:color w:val="000000" w:themeColor="text1"/>
        </w:rPr>
        <w:t>–</w:t>
      </w:r>
      <w:r w:rsidRPr="00790F0C">
        <w:rPr>
          <w:rFonts w:ascii="Verdana" w:eastAsia="Calibri" w:hAnsi="Verdana" w:cs="Arial"/>
          <w:lang w:val="es-ES"/>
        </w:rPr>
        <w:t xml:space="preserve">. Particularmente, </w:t>
      </w:r>
      <w:r w:rsidRPr="00790F0C">
        <w:rPr>
          <w:rFonts w:ascii="Verdana" w:eastAsia="Calibri" w:hAnsi="Verdana" w:cs="Arial"/>
        </w:rPr>
        <w:t>el artículo 2.2.1.1.1.7.1 del Decreto establece que las Entidades Estatales tienen la obligación de publicar “[…] los Documentos del Proceso y los actos administrativos del Proceso de Contratación, dentro de los tres (3) días siguientes a su expedición […]”. A su vez,</w:t>
      </w:r>
      <w:r w:rsidRPr="00790F0C">
        <w:rPr>
          <w:rFonts w:ascii="Verdana" w:eastAsia="Calibri" w:hAnsi="Verdana" w:cs="Arial"/>
          <w:lang w:val="es-ES"/>
        </w:rPr>
        <w:t xml:space="preserve"> </w:t>
      </w:r>
      <w:r w:rsidRPr="00790F0C">
        <w:rPr>
          <w:rFonts w:ascii="Verdana" w:eastAsia="Calibri" w:hAnsi="Verdana" w:cs="Arial"/>
        </w:rPr>
        <w:t xml:space="preserve">la expresión Documentos del Proceso está definida en el artículo 2.2.1.1.1.3.1.,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12C8D208" w14:textId="77777777" w:rsidR="0076273E" w:rsidRPr="00790F0C" w:rsidRDefault="0076273E" w:rsidP="0076273E">
      <w:pPr>
        <w:spacing w:after="120" w:line="276" w:lineRule="auto"/>
        <w:ind w:firstLine="567"/>
        <w:jc w:val="both"/>
        <w:rPr>
          <w:rFonts w:ascii="Verdana" w:eastAsia="Calibri" w:hAnsi="Verdana" w:cs="Arial"/>
        </w:rPr>
      </w:pPr>
      <w:r w:rsidRPr="00790F0C">
        <w:rPr>
          <w:rFonts w:ascii="Verdana" w:eastAsia="Calibri" w:hAnsi="Verdana" w:cs="Arial"/>
        </w:rPr>
        <w:tab/>
        <w:t xml:space="preserve">El anterior no es un listado taxativo, sino enunciativo, puesto que el artículo 2.2.1.1.1.3.1 incluye en la noción de Documentos del Proceso “cualquier otro documento expedido por la Entidad Estatal durante el Proceso de </w:t>
      </w:r>
      <w:r w:rsidRPr="00790F0C">
        <w:rPr>
          <w:rFonts w:ascii="Verdana" w:eastAsia="Calibri" w:hAnsi="Verdana" w:cs="Arial"/>
        </w:rPr>
        <w:lastRenderedPageBreak/>
        <w:t xml:space="preserve">Contratación”. Este mismo artículo define la expresión </w:t>
      </w:r>
      <w:r w:rsidRPr="00790F0C">
        <w:rPr>
          <w:rFonts w:ascii="Verdana" w:eastAsia="Calibri" w:hAnsi="Verdana" w:cs="Arial"/>
          <w:i/>
          <w:iCs/>
        </w:rPr>
        <w:t>proceso de contratación</w:t>
      </w:r>
      <w:r w:rsidRPr="00790F0C">
        <w:rPr>
          <w:rFonts w:ascii="Verdana" w:eastAsia="Calibri" w:hAnsi="Verdana" w:cs="Aria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3D2E3973" w14:textId="77777777" w:rsidR="0076273E" w:rsidRPr="00790F0C" w:rsidRDefault="0076273E" w:rsidP="0076273E">
      <w:pPr>
        <w:spacing w:after="120" w:line="276" w:lineRule="auto"/>
        <w:ind w:firstLine="567"/>
        <w:jc w:val="both"/>
        <w:rPr>
          <w:rFonts w:ascii="Verdana" w:eastAsia="Calibri" w:hAnsi="Verdana" w:cs="Arial"/>
        </w:rPr>
      </w:pPr>
      <w:r w:rsidRPr="00790F0C">
        <w:rPr>
          <w:rFonts w:ascii="Verdana" w:eastAsia="Calibri" w:hAnsi="Verdana" w:cs="Arial"/>
        </w:rPr>
        <w:tab/>
        <w:t xml:space="preserve">En ese sentido, una interpretación sistemática de las disposiciones anteriores del Decreto 1082 de 2015, de acuerdo con el principio de publicidad, indica que las Entidades Estatales tienen la obligación de publicar </w:t>
      </w:r>
      <w:r w:rsidRPr="00790F0C">
        <w:rPr>
          <w:rFonts w:ascii="Verdana" w:eastAsia="Calibri" w:hAnsi="Verdana" w:cs="Arial"/>
          <w:i/>
          <w:iCs/>
        </w:rPr>
        <w:t>todos</w:t>
      </w:r>
      <w:r w:rsidRPr="00790F0C">
        <w:rPr>
          <w:rFonts w:ascii="Verdana" w:eastAsia="Calibri" w:hAnsi="Verdana" w:cs="Arial"/>
        </w:rPr>
        <w:t xml:space="preserve"> los documentos que expidan con ocasión del proceso de contratación. Este mandato implica que todos los documentos de las etapas precontractual, de ejecución y postcontractual deberán ser publicados en SECOP dentro de los tres (3) días siguientes a su expedición para cumplir con lo establecido en el artículo 2.2.1.1.1.7.1. del Decreto 1082 de 2015.</w:t>
      </w:r>
    </w:p>
    <w:p w14:paraId="315EC1A0" w14:textId="77777777" w:rsidR="0076273E" w:rsidRPr="00790F0C" w:rsidRDefault="0076273E" w:rsidP="0076273E">
      <w:pPr>
        <w:spacing w:after="120" w:line="276" w:lineRule="auto"/>
        <w:ind w:firstLine="567"/>
        <w:jc w:val="both"/>
        <w:rPr>
          <w:rFonts w:ascii="Verdana" w:eastAsia="Calibri" w:hAnsi="Verdana" w:cs="Arial"/>
          <w:color w:val="000000" w:themeColor="text1"/>
        </w:rPr>
      </w:pPr>
      <w:r w:rsidRPr="00790F0C">
        <w:rPr>
          <w:rFonts w:ascii="Verdana" w:eastAsia="Calibri" w:hAnsi="Verdana" w:cs="Arial"/>
          <w:color w:val="000000" w:themeColor="text1"/>
        </w:rPr>
        <w:t xml:space="preserve">De acuerdo con lo expuesto, el Sistema Electrónico de Contratación Pública – SECOP – es el medio de información oficial de toda la contratación realizada con cargo a recursos públicos. El SECOP es el único punto de ingreso de información y de generación de reportes para las Entidades Estatales, los entes de control y la ciudadanía en general, el cual garantiza que se cumplan los principios de publicidad y transparencia en la gestión contractual. Son componentes del Sistema Electrónico de Contratación las siguientes plataformas administradas por Colombia Compra Eficiente: SECOP I, SECOP II y la Tienda Virtual del Estado Colombiano -TVEC. </w:t>
      </w:r>
    </w:p>
    <w:p w14:paraId="1B36F098" w14:textId="77777777" w:rsidR="0076273E" w:rsidRPr="00790F0C" w:rsidRDefault="0076273E" w:rsidP="0076273E">
      <w:pPr>
        <w:spacing w:after="120" w:line="276" w:lineRule="auto"/>
        <w:ind w:firstLine="567"/>
        <w:jc w:val="both"/>
        <w:rPr>
          <w:rFonts w:ascii="Verdana" w:eastAsia="Calibri" w:hAnsi="Verdana" w:cs="Arial"/>
          <w:lang w:val="es-ES"/>
        </w:rPr>
      </w:pPr>
      <w:r w:rsidRPr="00790F0C">
        <w:rPr>
          <w:rFonts w:ascii="Verdana" w:eastAsia="Calibri" w:hAnsi="Verdana" w:cs="Arial"/>
          <w:color w:val="000000" w:themeColor="text1"/>
        </w:rPr>
        <w:t xml:space="preserve">El SECOP II es una plataforma transaccional, que permite gestionar en línea todos los procedimientos de contratación, </w:t>
      </w:r>
      <w:r w:rsidRPr="00790F0C">
        <w:rPr>
          <w:rFonts w:ascii="Verdana" w:eastAsia="Calibri" w:hAnsi="Verdana" w:cs="Arial"/>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5B8A60D" w14:textId="77777777" w:rsidR="0076273E" w:rsidRPr="00790F0C" w:rsidRDefault="0076273E" w:rsidP="0076273E">
      <w:pPr>
        <w:spacing w:after="120" w:line="276" w:lineRule="auto"/>
        <w:ind w:firstLine="567"/>
        <w:jc w:val="both"/>
        <w:rPr>
          <w:rFonts w:ascii="Verdana" w:eastAsia="Calibri" w:hAnsi="Verdana" w:cs="Arial"/>
          <w:lang w:val="es-ES"/>
        </w:rPr>
      </w:pPr>
      <w:r w:rsidRPr="00790F0C">
        <w:rPr>
          <w:rFonts w:ascii="Verdana" w:eastAsia="Calibri" w:hAnsi="Verdana" w:cs="Arial"/>
          <w:lang w:val="es-ES"/>
        </w:rPr>
        <w:t xml:space="preserve">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w:t>
      </w:r>
      <w:r w:rsidRPr="00790F0C">
        <w:rPr>
          <w:rFonts w:ascii="Verdana" w:eastAsia="Calibri" w:hAnsi="Verdana" w:cs="Arial"/>
          <w:lang w:val="es-ES"/>
        </w:rPr>
        <w:lastRenderedPageBreak/>
        <w:t xml:space="preserve">de las entidades antes señaladas. Al existir esa diferencia entre las dos versiones del SECOP, no es posible realizar en SECOP II actuaciones por escrito que son propias del SECOP I, sino que los documentos y actuaciones son electrónicas. 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w:t>
      </w:r>
    </w:p>
    <w:p w14:paraId="37C7085B" w14:textId="77777777" w:rsidR="0076273E" w:rsidRPr="00790F0C" w:rsidRDefault="0076273E" w:rsidP="0076273E">
      <w:pPr>
        <w:spacing w:after="120" w:line="276" w:lineRule="auto"/>
        <w:ind w:firstLine="567"/>
        <w:jc w:val="both"/>
        <w:rPr>
          <w:rFonts w:ascii="Verdana" w:eastAsia="Calibri" w:hAnsi="Verdana" w:cs="Arial"/>
        </w:rPr>
      </w:pPr>
      <w:r w:rsidRPr="00790F0C">
        <w:rPr>
          <w:rFonts w:ascii="Verdana" w:eastAsia="Calibri" w:hAnsi="Verdana" w:cs="Arial"/>
        </w:rPr>
        <w:t>De este modo, es preciso indicar que, las entidades son responsables de la completitud y calidad de la información, así como de la administración de los documentos y expedientes electrónicos de los procesos de contratación que se adelanten en el SECOP II. En todo caso, si en el desarrollo de la conformación del proceso de contratación en la plataforma se generan documentos administrativos propios de la entidad para las diferentes etapas del proceso contractual, tales como: estudios previos, matriz de riesgos, informe de evaluación, resolución o acto de adjudicación, acta de inicio, certificaciones de contratos, entre otros, la entidad queda habilitada para cargar estos documentos en la plataforma con el propósito de complementar el expediente electrónico del Proceso de Contratación en el SECOP II.</w:t>
      </w:r>
    </w:p>
    <w:p w14:paraId="69985769" w14:textId="77777777" w:rsidR="0076273E" w:rsidRPr="00EA711F" w:rsidRDefault="0076273E" w:rsidP="0076273E">
      <w:pPr>
        <w:spacing w:after="120" w:line="276" w:lineRule="auto"/>
        <w:jc w:val="both"/>
        <w:rPr>
          <w:rFonts w:ascii="Verdana" w:eastAsia="Verdana" w:hAnsi="Verdana" w:cs="Verdana"/>
        </w:rPr>
      </w:pPr>
      <w:r>
        <w:rPr>
          <w:rFonts w:ascii="Verdana" w:eastAsia="Verdana" w:hAnsi="Verdana" w:cs="Verdana"/>
        </w:rPr>
        <w:t xml:space="preserve">       Ahora bien, esta Agencia</w:t>
      </w:r>
      <w:r w:rsidRPr="00EA711F">
        <w:rPr>
          <w:rFonts w:ascii="Verdana" w:eastAsia="Verdana" w:hAnsi="Verdana" w:cs="Verdana"/>
        </w:rPr>
        <w:t xml:space="preserve"> ha reiterado </w:t>
      </w:r>
      <w:r>
        <w:rPr>
          <w:rFonts w:ascii="Verdana" w:eastAsia="Verdana" w:hAnsi="Verdana" w:cs="Verdana"/>
        </w:rPr>
        <w:t>la r</w:t>
      </w:r>
      <w:r w:rsidRPr="00EA711F">
        <w:rPr>
          <w:rFonts w:ascii="Verdana" w:eastAsia="Verdana" w:hAnsi="Verdana" w:cs="Verdana"/>
        </w:rPr>
        <w:t>elación</w:t>
      </w:r>
      <w:r>
        <w:rPr>
          <w:rFonts w:ascii="Verdana" w:eastAsia="Verdana" w:hAnsi="Verdana" w:cs="Verdana"/>
        </w:rPr>
        <w:t xml:space="preserve"> existente</w:t>
      </w:r>
      <w:r w:rsidRPr="00EA711F">
        <w:rPr>
          <w:rFonts w:ascii="Verdana" w:eastAsia="Verdana" w:hAnsi="Verdana" w:cs="Verdana"/>
        </w:rPr>
        <w:t xml:space="preserve"> entre publicidad, SECOP y control ciudadano</w:t>
      </w:r>
      <w:r>
        <w:rPr>
          <w:rFonts w:ascii="Verdana" w:eastAsia="Verdana" w:hAnsi="Verdana" w:cs="Verdana"/>
        </w:rPr>
        <w:t xml:space="preserve"> así las cosas en </w:t>
      </w:r>
      <w:r w:rsidRPr="00EA711F">
        <w:rPr>
          <w:rFonts w:ascii="Verdana" w:eastAsia="Verdana" w:hAnsi="Verdana" w:cs="Verdana"/>
        </w:rPr>
        <w:t xml:space="preserve">el Concepto C-852 de 2 de julio de 2026, </w:t>
      </w:r>
      <w:r>
        <w:rPr>
          <w:rFonts w:ascii="Verdana" w:eastAsia="Verdana" w:hAnsi="Verdana" w:cs="Verdana"/>
        </w:rPr>
        <w:t>esta Subdirección Contractual</w:t>
      </w:r>
      <w:r w:rsidRPr="00EA711F">
        <w:rPr>
          <w:rFonts w:ascii="Verdana" w:eastAsia="Verdana" w:hAnsi="Verdana" w:cs="Verdana"/>
        </w:rPr>
        <w:t xml:space="preserve"> explicó que el principio de publicidad impone a las autoridades administrativas el deber de dar a conocer sus actos, contratos y decisiones para que puedan ser divulgados y eventualmente controlados. El mismo concepto relaciona este deber con los principios de máxima publicidad y transparencia en la información establecidos en la Ley 1712 de 2014.</w:t>
      </w:r>
    </w:p>
    <w:p w14:paraId="145E3482" w14:textId="77777777" w:rsidR="0076273E" w:rsidRPr="00EA711F" w:rsidRDefault="0076273E" w:rsidP="0076273E">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En igual sentido, el Concepto C-471 de 29 de abril de 2026 señala que el principio de publicidad fundamenta el deber de dar a conocer los actos, contratos y decisiones administrativas y relaciona este deber con el SECOP y con la Ley 1712 de 2014.</w:t>
      </w:r>
    </w:p>
    <w:p w14:paraId="7D111F23" w14:textId="77777777" w:rsidR="0076273E" w:rsidRPr="00EA711F" w:rsidRDefault="0076273E" w:rsidP="0076273E">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A su vez, el Concepto C-092 de 13 de marzo de 2026 resulta particularmente pertinente, pues señala que toda la actividad contractual debe ponerse a disposición del público como desarrollo del principio de publicidad y del derecho de acceso a la información. Además, relaciona este deber con la publicación de los datos de adjudicación y de ejecución de los contratos.</w:t>
      </w:r>
    </w:p>
    <w:p w14:paraId="14E47F99" w14:textId="77777777" w:rsidR="0076273E" w:rsidRPr="00EA711F" w:rsidRDefault="0076273E" w:rsidP="0076273E">
      <w:pPr>
        <w:spacing w:after="120" w:line="276" w:lineRule="auto"/>
        <w:jc w:val="both"/>
        <w:rPr>
          <w:rFonts w:ascii="Verdana" w:eastAsia="Verdana" w:hAnsi="Verdana" w:cs="Verdana"/>
        </w:rPr>
      </w:pPr>
      <w:r>
        <w:rPr>
          <w:rFonts w:ascii="Verdana" w:eastAsia="Verdana" w:hAnsi="Verdana" w:cs="Verdana"/>
        </w:rPr>
        <w:lastRenderedPageBreak/>
        <w:t xml:space="preserve">         </w:t>
      </w:r>
      <w:r w:rsidRPr="00EA711F">
        <w:rPr>
          <w:rFonts w:ascii="Verdana" w:eastAsia="Verdana" w:hAnsi="Verdana" w:cs="Verdana"/>
        </w:rPr>
        <w:t>Tratándose de SECOP II, debe tenerse presente que no se trata únicamente de un repositorio documental. Colombia Compra Eficiente ha señalado en el Concepto C-441 de 2025 que, respecto de los contratos de prestación de servicios, los documentos que deben publicarse corresponden, en términos generales, a los expedidos con ocasión de la gestión contractual, y que SECOP II tiene una naturaleza transaccional, por lo que el proceso contractual avanza mediante los documentos y actuaciones electrónicas generados en la propia plataforma.</w:t>
      </w:r>
    </w:p>
    <w:p w14:paraId="1CFFCA0E" w14:textId="77777777" w:rsidR="0076273E" w:rsidRDefault="0076273E" w:rsidP="0076273E">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La trazabilidad exige publicar la información contractual de forma integral y organizada, permitiendo reconstruir la secuencia de la contratación. Para identificar y analizar contratos sucesivos, resulta relevante contrastar la entidad, contratista, objeto, fechas, valor, documentos del proceso, modificaciones y la información de ejecución y supervisión, con el fin de establecer posibles coincidencias, continuidad y justificación de las contrataciones.</w:t>
      </w:r>
    </w:p>
    <w:p w14:paraId="1BF73AC7" w14:textId="77777777" w:rsidR="0076273E" w:rsidRPr="00EA711F" w:rsidRDefault="0076273E" w:rsidP="0076273E">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Así, la consulta conjunta de estos elementos permite pasar de una revisión individual de cada contrato a un análisis agregado de la contratación de la entidad, particularmente útil para determinar si una necesidad se ha venido atendiendo reiteradamente mediante contratos sucesivos.</w:t>
      </w:r>
    </w:p>
    <w:p w14:paraId="7696A6E7" w14:textId="77777777" w:rsidR="0076273E" w:rsidRDefault="0076273E" w:rsidP="0076273E">
      <w:pPr>
        <w:spacing w:after="120" w:line="276" w:lineRule="auto"/>
        <w:jc w:val="both"/>
        <w:rPr>
          <w:rFonts w:ascii="Verdana" w:eastAsia="Verdana" w:hAnsi="Verdana" w:cs="Verdana"/>
        </w:rPr>
      </w:pPr>
      <w:r>
        <w:rPr>
          <w:rFonts w:ascii="Verdana" w:eastAsia="Verdana" w:hAnsi="Verdana" w:cs="Verdana"/>
        </w:rPr>
        <w:t xml:space="preserve">       </w:t>
      </w:r>
      <w:r w:rsidRPr="00EA711F">
        <w:rPr>
          <w:rFonts w:ascii="Verdana" w:eastAsia="Verdana" w:hAnsi="Verdana" w:cs="Verdana"/>
        </w:rPr>
        <w:t>Debe precisarse, sin embargo, que la existencia de contratos sucesivos identificados mediante SECOP no permite por sí sola concluir que exista una irregularidad. La información obtenida debe ser contrastada con los estudios previos, la justificación de cada contratación, la naturaleza de las actividades, los plazos, las necesidades institucionales y las demás circunstancias particulares de cada proceso.</w:t>
      </w:r>
    </w:p>
    <w:bookmarkEnd w:id="1"/>
    <w:bookmarkEnd w:id="2"/>
    <w:p w14:paraId="0C8DD81E" w14:textId="77777777" w:rsidR="0076273E" w:rsidRDefault="0076273E" w:rsidP="0076273E">
      <w:pPr>
        <w:spacing w:after="0" w:line="276" w:lineRule="auto"/>
        <w:ind w:firstLine="708"/>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38A8B577" w14:textId="77777777" w:rsidR="0076273E" w:rsidRPr="00DC7DA9" w:rsidRDefault="0076273E" w:rsidP="0076273E">
      <w:pPr>
        <w:spacing w:after="0" w:line="276" w:lineRule="auto"/>
        <w:ind w:firstLine="708"/>
        <w:jc w:val="both"/>
        <w:rPr>
          <w:rFonts w:ascii="Verdana" w:hAnsi="Verdana"/>
          <w:lang w:val="es-ES"/>
        </w:rPr>
      </w:pPr>
    </w:p>
    <w:p w14:paraId="3B466368" w14:textId="77777777" w:rsidR="0076273E" w:rsidRPr="00DC7DA9" w:rsidRDefault="0076273E" w:rsidP="0076273E">
      <w:pPr>
        <w:spacing w:line="276" w:lineRule="auto"/>
        <w:ind w:firstLine="708"/>
        <w:contextualSpacing/>
        <w:jc w:val="both"/>
        <w:rPr>
          <w:rFonts w:ascii="Verdana" w:eastAsia="Calibri" w:hAnsi="Verdana" w:cs="Times New Roman"/>
          <w:lang w:val="es-ES"/>
        </w:rPr>
      </w:pPr>
      <w:r w:rsidRPr="00AE7E03">
        <w:rPr>
          <w:rFonts w:ascii="Verdana" w:eastAsia="Calibri" w:hAnsi="Verdana" w:cs="Times New Roman"/>
          <w:lang w:val="es-ES"/>
        </w:rPr>
        <w:lastRenderedPageBreak/>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6606A12" w14:textId="77777777" w:rsidR="0076273E" w:rsidRPr="0015699B" w:rsidRDefault="0076273E" w:rsidP="0076273E">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0BD1ED7D" w14:textId="77777777" w:rsidR="0076273E" w:rsidRPr="0015699B" w:rsidRDefault="0076273E" w:rsidP="0076273E">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0F9089B0" w14:textId="77777777" w:rsidR="0076273E" w:rsidRPr="0015699B" w:rsidRDefault="0076273E" w:rsidP="0076273E">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34"/>
      </w:tblGrid>
      <w:tr w:rsidR="0076273E" w14:paraId="32D4BBEA" w14:textId="77777777" w:rsidTr="00C23F34">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36FEDE09" w14:textId="77777777" w:rsidR="0076273E" w:rsidRPr="00475D47" w:rsidRDefault="0076273E" w:rsidP="0076273E">
            <w:pPr>
              <w:widowControl w:val="0"/>
              <w:numPr>
                <w:ilvl w:val="0"/>
                <w:numId w:val="17"/>
              </w:numPr>
              <w:autoSpaceDE w:val="0"/>
              <w:autoSpaceDN w:val="0"/>
              <w:spacing w:after="120" w:line="276" w:lineRule="auto"/>
              <w:contextualSpacing/>
              <w:jc w:val="both"/>
              <w:rPr>
                <w:rFonts w:ascii="Verdana" w:hAnsi="Verdana" w:cs="Arial"/>
                <w:lang w:val="es-MX"/>
              </w:rPr>
            </w:pPr>
          </w:p>
          <w:p w14:paraId="6A98C27A" w14:textId="77777777" w:rsidR="0076273E" w:rsidRPr="00790F0C" w:rsidRDefault="0076273E" w:rsidP="0076273E">
            <w:pPr>
              <w:widowControl w:val="0"/>
              <w:numPr>
                <w:ilvl w:val="0"/>
                <w:numId w:val="17"/>
              </w:numPr>
              <w:autoSpaceDE w:val="0"/>
              <w:autoSpaceDN w:val="0"/>
              <w:spacing w:after="120" w:line="276" w:lineRule="auto"/>
              <w:contextualSpacing/>
              <w:jc w:val="both"/>
              <w:rPr>
                <w:rFonts w:ascii="Verdana" w:hAnsi="Verdana" w:cs="Arial"/>
                <w:lang w:val="es-MX"/>
              </w:rPr>
            </w:pPr>
            <w:r w:rsidRPr="00790F0C">
              <w:rPr>
                <w:rFonts w:ascii="Verdana" w:hAnsi="Verdana" w:cs="Arial"/>
              </w:rPr>
              <w:t>Ley 1712 de 2014, artículo 2 y 5</w:t>
            </w:r>
          </w:p>
          <w:p w14:paraId="0169BFE7" w14:textId="77777777" w:rsidR="0076273E" w:rsidRPr="00790F0C" w:rsidRDefault="0076273E" w:rsidP="0076273E">
            <w:pPr>
              <w:widowControl w:val="0"/>
              <w:numPr>
                <w:ilvl w:val="0"/>
                <w:numId w:val="17"/>
              </w:numPr>
              <w:autoSpaceDE w:val="0"/>
              <w:autoSpaceDN w:val="0"/>
              <w:spacing w:after="120" w:line="276" w:lineRule="auto"/>
              <w:contextualSpacing/>
              <w:jc w:val="both"/>
              <w:rPr>
                <w:rFonts w:ascii="Verdana" w:hAnsi="Verdana" w:cs="Arial"/>
                <w:lang w:val="es-MX"/>
              </w:rPr>
            </w:pPr>
            <w:r w:rsidRPr="00790F0C">
              <w:rPr>
                <w:rFonts w:ascii="Verdana" w:hAnsi="Verdana" w:cs="Arial"/>
              </w:rPr>
              <w:t>Ley 1150 de 2007, artículo 3</w:t>
            </w:r>
          </w:p>
          <w:p w14:paraId="50F3C4E1" w14:textId="77777777" w:rsidR="0076273E" w:rsidRPr="00A24BA3" w:rsidRDefault="0076273E" w:rsidP="0076273E">
            <w:pPr>
              <w:pStyle w:val="Prrafodelista"/>
              <w:numPr>
                <w:ilvl w:val="0"/>
                <w:numId w:val="17"/>
              </w:numPr>
              <w:spacing w:after="120" w:line="276" w:lineRule="auto"/>
              <w:jc w:val="both"/>
              <w:rPr>
                <w:rFonts w:ascii="Verdana" w:eastAsia="Verdana" w:hAnsi="Verdana" w:cs="Verdana"/>
                <w:lang w:val="es"/>
              </w:rPr>
            </w:pPr>
            <w:r w:rsidRPr="00790F0C">
              <w:rPr>
                <w:rFonts w:ascii="Verdana" w:hAnsi="Verdana" w:cs="Arial"/>
              </w:rPr>
              <w:t>Decreto 1082 de 2015, artículo 2.1.1.2.1.7.</w:t>
            </w:r>
          </w:p>
        </w:tc>
      </w:tr>
    </w:tbl>
    <w:p w14:paraId="2639CC96" w14:textId="77777777" w:rsidR="0076273E" w:rsidRPr="0015699B" w:rsidRDefault="0076273E" w:rsidP="0076273E">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126A6266" w14:textId="77777777" w:rsidR="0076273E" w:rsidRPr="003D5882" w:rsidRDefault="0076273E" w:rsidP="0076273E">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164D969C" w14:textId="77777777" w:rsidR="0076273E" w:rsidRPr="003D5882" w:rsidRDefault="0076273E" w:rsidP="0076273E">
      <w:pPr>
        <w:pStyle w:val="Prrafodelista"/>
        <w:spacing w:before="1" w:after="0" w:line="240" w:lineRule="auto"/>
        <w:jc w:val="both"/>
        <w:textAlignment w:val="baseline"/>
        <w:rPr>
          <w:rFonts w:ascii="Verdana" w:eastAsia="Verdana" w:hAnsi="Verdana" w:cs="Verdana"/>
          <w:b/>
          <w:bCs/>
          <w:lang w:val="es"/>
        </w:rPr>
      </w:pPr>
    </w:p>
    <w:p w14:paraId="399790F3" w14:textId="77777777" w:rsidR="0076273E" w:rsidRDefault="0076273E" w:rsidP="0076273E">
      <w:pPr>
        <w:widowControl w:val="0"/>
        <w:autoSpaceDE w:val="0"/>
        <w:autoSpaceDN w:val="0"/>
        <w:spacing w:after="0" w:line="276" w:lineRule="auto"/>
        <w:jc w:val="both"/>
        <w:rPr>
          <w:rFonts w:ascii="Verdana" w:hAnsi="Verdana" w:cs="Arial"/>
          <w:shd w:val="clear" w:color="auto" w:fill="FFFFFF"/>
          <w:lang w:val="es-ES"/>
        </w:rPr>
      </w:pPr>
      <w:r w:rsidRPr="00611043">
        <w:rPr>
          <w:rFonts w:ascii="Verdana" w:hAnsi="Verdana" w:cs="Arial"/>
          <w:shd w:val="clear" w:color="auto" w:fill="FFFFFF"/>
        </w:rPr>
        <w:t xml:space="preserve">Esta Subdirección se ha pronunciado </w:t>
      </w:r>
      <w:r w:rsidRPr="00611043">
        <w:rPr>
          <w:rFonts w:ascii="Verdana" w:hAnsi="Verdana" w:cs="Arial"/>
          <w:shd w:val="clear" w:color="auto" w:fill="FFFFFF"/>
          <w:lang w:val="es-ES"/>
        </w:rPr>
        <w:t>sobre las generalidades del contrato de prestación de servicios en los conceptos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C-008 del 20 de febrero de 2023, C-009 del 20 de febrero de 2023, C-351 del 30 de agosto de 2024, C-372 del 26 de agosto 2024, C-904 del 9 de diciembre de 2024, C-754 del 4 de diciembre de 2024, C-363 del 15 de abril de 2025</w:t>
      </w:r>
      <w:r w:rsidRPr="00611043">
        <w:rPr>
          <w:rFonts w:ascii="Verdana" w:hAnsi="Verdana" w:cs="Arial"/>
          <w:lang w:val="es-ES"/>
        </w:rPr>
        <w:t xml:space="preserve">, C-441 del 16 de mayo de 2025, C-517 del 27 de mayo de 2025, C- 578 del 24 de junio del 2025, </w:t>
      </w:r>
      <w:r w:rsidRPr="00611043">
        <w:rPr>
          <w:rFonts w:ascii="Verdana" w:hAnsi="Verdana" w:cs="Arial"/>
          <w:shd w:val="clear" w:color="auto" w:fill="FFFFFF"/>
          <w:lang w:val="es-ES"/>
        </w:rPr>
        <w:t xml:space="preserve">C-115 del 6 de febrero de 2026, entre otros. Sobre los documentos necesarios para la celebración del contrato de prestación de servicios se puede consultar el concepto C-1674 del 23 de diciembre de 2025. </w:t>
      </w:r>
    </w:p>
    <w:p w14:paraId="06A08F8D" w14:textId="77777777" w:rsidR="0076273E" w:rsidRDefault="0076273E" w:rsidP="0076273E">
      <w:pPr>
        <w:spacing w:after="0" w:line="276" w:lineRule="auto"/>
        <w:jc w:val="both"/>
        <w:rPr>
          <w:rFonts w:ascii="Verdana" w:hAnsi="Verdana" w:cs="Arial"/>
          <w:bCs/>
          <w:shd w:val="clear" w:color="auto" w:fill="FFFFFF"/>
        </w:rPr>
      </w:pPr>
    </w:p>
    <w:p w14:paraId="58AFBC75" w14:textId="77777777" w:rsidR="0076273E" w:rsidRPr="005510A2" w:rsidRDefault="0076273E" w:rsidP="0076273E">
      <w:pPr>
        <w:spacing w:after="0" w:line="276" w:lineRule="auto"/>
        <w:jc w:val="both"/>
        <w:rPr>
          <w:rStyle w:val="normaltextrun"/>
          <w:rFonts w:ascii="Verdana" w:hAnsi="Verdana" w:cs="Arial"/>
          <w:bCs/>
          <w:shd w:val="clear" w:color="auto" w:fill="FFFFFF"/>
        </w:rPr>
      </w:pPr>
      <w:r>
        <w:rPr>
          <w:rFonts w:ascii="Verdana" w:hAnsi="Verdana" w:cs="Arial"/>
          <w:bCs/>
          <w:shd w:val="clear" w:color="auto" w:fill="FFFFFF"/>
        </w:rPr>
        <w:t>Por su parte esta entidad</w:t>
      </w:r>
      <w:r w:rsidRPr="00790F0C">
        <w:rPr>
          <w:rFonts w:ascii="Verdana" w:hAnsi="Verdana" w:cs="Arial"/>
          <w:bCs/>
          <w:shd w:val="clear" w:color="auto" w:fill="FFFFFF"/>
        </w:rPr>
        <w:t xml:space="preserve"> se pronunció sobre la publicidad y el SECOP en los conceptos CU-367 del 23 de julio de 2020, reiterado en los conceptos: C−433 de 24 de julio de 2020, C−468 del 24 de julio de 2020, C−474 de 24 de julio de </w:t>
      </w:r>
      <w:r w:rsidRPr="00790F0C">
        <w:rPr>
          <w:rFonts w:ascii="Verdana" w:hAnsi="Verdana" w:cs="Arial"/>
          <w:bCs/>
          <w:shd w:val="clear" w:color="auto" w:fill="FFFFFF"/>
        </w:rPr>
        <w:lastRenderedPageBreak/>
        <w:t xml:space="preserve">2020, C−488 del 28 de julio de 2020, C−544 del 21 de agosto de 2020, C−575 del 27 de agosto de 2020, C−643 del 26 de octubre de 2020, C−661 del 17 de noviembre de 2020, C-094 del 13 de abril de 2021, C−068 del 22 de abril de 2021, C-185 del 29 de abril de 2021, C-472 del 6 de septiembre de 2021, C-804 del 12 de diciembre de 2024, C- 185 del 24 de marzo de 2025, C-742 de 2025, </w:t>
      </w:r>
      <w:r>
        <w:rPr>
          <w:rFonts w:ascii="Verdana" w:hAnsi="Verdana" w:cs="Arial"/>
          <w:bCs/>
          <w:shd w:val="clear" w:color="auto" w:fill="FFFFFF"/>
        </w:rPr>
        <w:t xml:space="preserve">C-852 del 01 de julio de 2026, </w:t>
      </w:r>
      <w:r w:rsidRPr="00790F0C">
        <w:rPr>
          <w:rFonts w:ascii="Verdana" w:hAnsi="Verdana" w:cs="Arial"/>
          <w:bCs/>
          <w:shd w:val="clear" w:color="auto" w:fill="FFFFFF"/>
        </w:rPr>
        <w:t xml:space="preserve">entre </w:t>
      </w:r>
      <w:r w:rsidRPr="00475D47">
        <w:rPr>
          <w:rFonts w:ascii="Verdana" w:hAnsi="Verdana" w:cs="Arial"/>
          <w:bCs/>
          <w:shd w:val="clear" w:color="auto" w:fill="FFFFFF"/>
        </w:rPr>
        <w:t>otros</w:t>
      </w:r>
      <w:r w:rsidRPr="00475D47">
        <w:rPr>
          <w:rFonts w:ascii="Verdana" w:eastAsia="Calibri" w:hAnsi="Verdana" w:cs="Arial"/>
        </w:rPr>
        <w:t xml:space="preserve">. </w:t>
      </w:r>
      <w:r w:rsidRPr="00475D47">
        <w:rPr>
          <w:rStyle w:val="normaltextrun"/>
          <w:rFonts w:ascii="Verdana" w:hAnsi="Verdana" w:cs="Arial"/>
          <w:shd w:val="clear" w:color="auto" w:fill="FFFFFF"/>
          <w:lang w:val="es-ES"/>
        </w:rPr>
        <w:t>Es</w:t>
      </w:r>
      <w:r w:rsidRPr="00475D47">
        <w:rPr>
          <w:rFonts w:ascii="Verdana" w:hAnsi="Verdana"/>
        </w:rPr>
        <w:t>tos y otros conceptos se encuentran disponibles para consulta en el Sistema de relatoría de la Agencia, al cual se puede acceder a través del siguiente enlace:</w:t>
      </w:r>
      <w:r w:rsidRPr="00475D47">
        <w:rPr>
          <w:rStyle w:val="normaltextrun"/>
          <w:rFonts w:ascii="Verdana" w:hAnsi="Verdana" w:cs="Arial"/>
          <w:shd w:val="clear" w:color="auto" w:fill="FFFFFF"/>
          <w:lang w:val="es-ES"/>
        </w:rPr>
        <w:t xml:space="preserve"> </w:t>
      </w:r>
      <w:hyperlink r:id="rId12" w:history="1">
        <w:r w:rsidRPr="00475D47">
          <w:rPr>
            <w:rStyle w:val="Hipervnculo"/>
            <w:rFonts w:ascii="Verdana" w:hAnsi="Verdana" w:cs="Arial"/>
            <w:shd w:val="clear" w:color="auto" w:fill="FFFFFF"/>
            <w:lang w:val="es-ES"/>
          </w:rPr>
          <w:t>https://relatoria.colombiacompra.gov.co/busqueda/conceptos</w:t>
        </w:r>
      </w:hyperlink>
      <w:r w:rsidRPr="00475D47">
        <w:rPr>
          <w:rStyle w:val="normaltextrun"/>
          <w:rFonts w:ascii="Verdana" w:hAnsi="Verdana" w:cs="Arial"/>
          <w:color w:val="FF0000"/>
          <w:shd w:val="clear" w:color="auto" w:fill="FFFFFF"/>
          <w:lang w:val="es-ES"/>
        </w:rPr>
        <w:t>.</w:t>
      </w:r>
      <w:r w:rsidRPr="00F766A3">
        <w:rPr>
          <w:rStyle w:val="normaltextrun"/>
          <w:rFonts w:ascii="Verdana" w:hAnsi="Verdana" w:cs="Arial"/>
          <w:color w:val="FF0000"/>
          <w:shd w:val="clear" w:color="auto" w:fill="FFFFFF"/>
          <w:lang w:val="es-ES"/>
        </w:rPr>
        <w:t xml:space="preserve"> </w:t>
      </w:r>
    </w:p>
    <w:p w14:paraId="68DDC319" w14:textId="77777777" w:rsidR="0076273E" w:rsidRDefault="0076273E" w:rsidP="0076273E">
      <w:pPr>
        <w:spacing w:after="0" w:line="276" w:lineRule="auto"/>
        <w:jc w:val="both"/>
        <w:textAlignment w:val="baseline"/>
        <w:rPr>
          <w:rFonts w:ascii="Verdana" w:eastAsia="Verdana" w:hAnsi="Verdana" w:cs="Verdana"/>
        </w:rPr>
      </w:pPr>
    </w:p>
    <w:p w14:paraId="1E9273D2" w14:textId="77777777" w:rsidR="0076273E" w:rsidRPr="00010A5F" w:rsidRDefault="0076273E" w:rsidP="0076273E">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7371FBAE" w14:textId="77777777" w:rsidR="0076273E" w:rsidRDefault="0076273E" w:rsidP="0076273E">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76D12B7B" w14:textId="77777777" w:rsidR="0076273E" w:rsidRDefault="0076273E" w:rsidP="0076273E">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517E15D4" w14:textId="77777777" w:rsidR="0076273E" w:rsidRDefault="0076273E" w:rsidP="0076273E">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6D184180" w14:textId="77777777" w:rsidR="0076273E" w:rsidRDefault="0076273E" w:rsidP="0076273E">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lastRenderedPageBreak/>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5695C362" w14:textId="77777777" w:rsidR="0076273E" w:rsidRDefault="0076273E" w:rsidP="0076273E">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4A75786B" w14:textId="77777777" w:rsidR="0076273E" w:rsidRPr="003D5882" w:rsidRDefault="0076273E" w:rsidP="0076273E">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17997757" w14:textId="77777777" w:rsidR="0076273E" w:rsidRPr="0015699B" w:rsidRDefault="0076273E" w:rsidP="0076273E">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5840F9B" w14:textId="77777777" w:rsidR="0076273E" w:rsidRPr="0015699B" w:rsidRDefault="0076273E" w:rsidP="778689A6">
      <w:pPr>
        <w:spacing w:after="0" w:line="240" w:lineRule="auto"/>
        <w:jc w:val="both"/>
        <w:textAlignment w:val="baseline"/>
        <w:rPr>
          <w:rFonts w:ascii="Verdana" w:eastAsia="Verdana" w:hAnsi="Verdana" w:cs="Verdana"/>
          <w:color w:val="000000" w:themeColor="text1"/>
          <w:lang w:val="es-ES"/>
        </w:rPr>
      </w:pPr>
      <w:r w:rsidRPr="778689A6">
        <w:rPr>
          <w:rFonts w:ascii="Verdana" w:eastAsia="Verdana" w:hAnsi="Verdana" w:cs="Verdana"/>
          <w:color w:val="000000" w:themeColor="text1"/>
          <w:lang w:val="es-ES"/>
        </w:rPr>
        <w:t xml:space="preserve">Twitter: </w:t>
      </w:r>
      <w:r w:rsidRPr="778689A6">
        <w:rPr>
          <w:rFonts w:ascii="Verdana" w:eastAsia="Verdana" w:hAnsi="Verdana" w:cs="Verdana"/>
          <w:color w:val="000000" w:themeColor="text1"/>
          <w:u w:val="single"/>
          <w:lang w:val="es-ES"/>
        </w:rPr>
        <w:t>@colombiacompra</w:t>
      </w:r>
      <w:r w:rsidRPr="778689A6">
        <w:rPr>
          <w:rFonts w:ascii="Verdana" w:eastAsia="Verdana" w:hAnsi="Verdana" w:cs="Verdana"/>
          <w:color w:val="000000" w:themeColor="text1"/>
          <w:lang w:val="es-ES"/>
        </w:rPr>
        <w:t xml:space="preserve"> </w:t>
      </w:r>
    </w:p>
    <w:p w14:paraId="6657A6B1" w14:textId="77777777" w:rsidR="0076273E" w:rsidRPr="0015699B" w:rsidRDefault="0076273E" w:rsidP="0076273E">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4BA2B808" w14:textId="77777777" w:rsidR="0076273E" w:rsidRPr="0015699B" w:rsidRDefault="0076273E" w:rsidP="778689A6">
      <w:pPr>
        <w:spacing w:after="0" w:line="240" w:lineRule="auto"/>
        <w:jc w:val="both"/>
        <w:textAlignment w:val="baseline"/>
        <w:rPr>
          <w:rFonts w:ascii="Verdana" w:eastAsia="Verdana" w:hAnsi="Verdana" w:cs="Verdana"/>
          <w:color w:val="000000" w:themeColor="text1"/>
          <w:u w:val="single"/>
          <w:lang w:val="es-ES"/>
        </w:rPr>
      </w:pPr>
      <w:r w:rsidRPr="778689A6">
        <w:rPr>
          <w:rFonts w:ascii="Verdana" w:eastAsia="Verdana" w:hAnsi="Verdana" w:cs="Verdana"/>
          <w:color w:val="000000" w:themeColor="text1"/>
          <w:lang w:val="es-ES"/>
        </w:rPr>
        <w:t xml:space="preserve">LinkedIn: </w:t>
      </w:r>
      <w:r w:rsidRPr="778689A6">
        <w:rPr>
          <w:rFonts w:ascii="Verdana" w:eastAsia="Verdana" w:hAnsi="Verdana" w:cs="Verdana"/>
          <w:color w:val="000000" w:themeColor="text1"/>
          <w:u w:val="single"/>
          <w:lang w:val="es-ES"/>
        </w:rPr>
        <w:t>Agencia Nacional de Contratación Pública - Colombia Compra Eficiente</w:t>
      </w:r>
      <w:r w:rsidRPr="778689A6">
        <w:rPr>
          <w:rFonts w:ascii="Verdana" w:eastAsia="Verdana" w:hAnsi="Verdana" w:cs="Verdana"/>
          <w:color w:val="000000" w:themeColor="text1"/>
          <w:lang w:val="es-ES"/>
        </w:rPr>
        <w:t xml:space="preserve"> Instagram: </w:t>
      </w:r>
      <w:r w:rsidRPr="778689A6">
        <w:rPr>
          <w:rFonts w:ascii="Verdana" w:eastAsia="Verdana" w:hAnsi="Verdana" w:cs="Verdana"/>
          <w:color w:val="000000" w:themeColor="text1"/>
          <w:u w:val="single"/>
          <w:lang w:val="es-ES"/>
        </w:rPr>
        <w:t>@colombiacompraeficiente_cce</w:t>
      </w:r>
    </w:p>
    <w:p w14:paraId="3C7ADBAE" w14:textId="77777777" w:rsidR="0076273E" w:rsidRPr="0015699B" w:rsidRDefault="0076273E" w:rsidP="0076273E">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04A74B5" w14:textId="77777777" w:rsidR="0076273E" w:rsidRPr="0015699B" w:rsidRDefault="0076273E" w:rsidP="0076273E">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36C1D11" w14:textId="77777777" w:rsidR="0076273E" w:rsidRPr="0015699B" w:rsidRDefault="0076273E" w:rsidP="0076273E">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5A402CB" w14:textId="77777777" w:rsidR="0076273E" w:rsidRPr="0015699B" w:rsidRDefault="0076273E" w:rsidP="0076273E">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300C1BFC" w14:textId="5F749FB0" w:rsidR="0076273E" w:rsidRDefault="0076273E" w:rsidP="0076273E">
      <w:pPr>
        <w:spacing w:after="0" w:line="240" w:lineRule="auto"/>
        <w:ind w:left="2340"/>
        <w:jc w:val="both"/>
        <w:rPr>
          <w:noProof/>
        </w:rPr>
      </w:pPr>
    </w:p>
    <w:p w14:paraId="78CB64D7" w14:textId="77777777" w:rsidR="00704E4F" w:rsidRDefault="00704E4F" w:rsidP="0076273E">
      <w:pPr>
        <w:spacing w:after="0" w:line="240" w:lineRule="auto"/>
        <w:ind w:left="2340"/>
        <w:jc w:val="both"/>
        <w:rPr>
          <w:noProof/>
        </w:rPr>
      </w:pPr>
    </w:p>
    <w:p w14:paraId="657AFB12" w14:textId="07B3D9AE" w:rsidR="00704E4F" w:rsidRDefault="00704E4F" w:rsidP="00704E4F">
      <w:pPr>
        <w:tabs>
          <w:tab w:val="left" w:pos="7797"/>
        </w:tabs>
        <w:spacing w:after="0" w:line="240" w:lineRule="auto"/>
        <w:jc w:val="center"/>
        <w:rPr>
          <w:noProof/>
        </w:rPr>
      </w:pPr>
      <w:r>
        <w:rPr>
          <w:noProof/>
        </w:rPr>
        <w:lastRenderedPageBreak/>
        <w:drawing>
          <wp:inline distT="0" distB="0" distL="0" distR="0" wp14:anchorId="5708B55D" wp14:editId="17ED36FA">
            <wp:extent cx="3954780" cy="1697718"/>
            <wp:effectExtent l="0" t="0" r="7620" b="0"/>
            <wp:docPr id="880521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63615" cy="1701511"/>
                    </a:xfrm>
                    <a:prstGeom prst="rect">
                      <a:avLst/>
                    </a:prstGeom>
                    <a:noFill/>
                    <a:ln>
                      <a:noFill/>
                    </a:ln>
                  </pic:spPr>
                </pic:pic>
              </a:graphicData>
            </a:graphic>
          </wp:inline>
        </w:drawing>
      </w:r>
    </w:p>
    <w:p w14:paraId="7D3C0056" w14:textId="77777777" w:rsidR="00704E4F" w:rsidRDefault="00704E4F" w:rsidP="0076273E">
      <w:pPr>
        <w:spacing w:after="0" w:line="240" w:lineRule="auto"/>
        <w:ind w:left="2340"/>
        <w:jc w:val="both"/>
        <w:rPr>
          <w:noProof/>
        </w:rPr>
      </w:pPr>
    </w:p>
    <w:p w14:paraId="6B8CDB92" w14:textId="77777777" w:rsidR="00704E4F" w:rsidRDefault="00704E4F" w:rsidP="0076273E">
      <w:pPr>
        <w:spacing w:after="0" w:line="240" w:lineRule="auto"/>
        <w:ind w:left="2340"/>
        <w:jc w:val="both"/>
      </w:pPr>
    </w:p>
    <w:p w14:paraId="5B9A5E4C" w14:textId="77777777" w:rsidR="0076273E" w:rsidRDefault="0076273E" w:rsidP="0076273E">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76273E" w14:paraId="32C47727" w14:textId="77777777" w:rsidTr="00C23F34">
        <w:trPr>
          <w:trHeight w:val="307"/>
        </w:trPr>
        <w:tc>
          <w:tcPr>
            <w:tcW w:w="858" w:type="dxa"/>
            <w:tcBorders>
              <w:top w:val="nil"/>
              <w:bottom w:val="nil"/>
              <w:right w:val="nil"/>
            </w:tcBorders>
            <w:tcMar>
              <w:left w:w="108" w:type="dxa"/>
              <w:right w:w="108" w:type="dxa"/>
            </w:tcMar>
            <w:vAlign w:val="center"/>
          </w:tcPr>
          <w:p w14:paraId="4C207BF3" w14:textId="77777777" w:rsidR="0076273E" w:rsidRDefault="0076273E" w:rsidP="00C23F3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153FFA2A" w14:textId="77777777" w:rsidR="0076273E" w:rsidRDefault="0076273E" w:rsidP="00C23F3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526CCB6A" w14:textId="77777777" w:rsidR="0076273E" w:rsidRDefault="0076273E" w:rsidP="00C23F34">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76273E" w14:paraId="1CCEB4B2" w14:textId="77777777" w:rsidTr="00C23F34">
        <w:trPr>
          <w:trHeight w:val="321"/>
        </w:trPr>
        <w:tc>
          <w:tcPr>
            <w:tcW w:w="858" w:type="dxa"/>
            <w:tcBorders>
              <w:top w:val="nil"/>
              <w:bottom w:val="nil"/>
              <w:right w:val="nil"/>
            </w:tcBorders>
            <w:tcMar>
              <w:left w:w="108" w:type="dxa"/>
              <w:right w:w="108" w:type="dxa"/>
            </w:tcMar>
            <w:vAlign w:val="center"/>
          </w:tcPr>
          <w:p w14:paraId="361BDE3F" w14:textId="77777777" w:rsidR="0076273E" w:rsidRDefault="0076273E" w:rsidP="00C23F34">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6629F0E0" w14:textId="77777777" w:rsidR="0076273E" w:rsidRDefault="0076273E" w:rsidP="00C23F3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w:t>
            </w:r>
          </w:p>
          <w:p w14:paraId="720AA0FB" w14:textId="77777777" w:rsidR="0076273E" w:rsidRDefault="0076273E" w:rsidP="00C23F3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76273E" w14:paraId="7B9A7AEB" w14:textId="77777777" w:rsidTr="00C23F34">
        <w:trPr>
          <w:trHeight w:val="292"/>
        </w:trPr>
        <w:tc>
          <w:tcPr>
            <w:tcW w:w="858" w:type="dxa"/>
            <w:tcBorders>
              <w:top w:val="nil"/>
              <w:bottom w:val="nil"/>
              <w:right w:val="nil"/>
            </w:tcBorders>
            <w:tcMar>
              <w:left w:w="108" w:type="dxa"/>
              <w:right w:w="108" w:type="dxa"/>
            </w:tcMar>
            <w:vAlign w:val="center"/>
          </w:tcPr>
          <w:p w14:paraId="40F6DFB7" w14:textId="77777777" w:rsidR="0076273E" w:rsidRDefault="0076273E" w:rsidP="00C23F3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59F13B28" w14:textId="77777777" w:rsidR="0076273E" w:rsidRDefault="0076273E" w:rsidP="00C23F34">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167758E8" w14:textId="77777777" w:rsidR="0076273E" w:rsidRDefault="0076273E" w:rsidP="00C23F34">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706A83E0" w14:textId="77777777" w:rsidR="0076273E" w:rsidRDefault="0076273E" w:rsidP="0076273E">
      <w:pPr>
        <w:spacing w:line="240" w:lineRule="auto"/>
        <w:jc w:val="both"/>
        <w:textAlignment w:val="baseline"/>
        <w:rPr>
          <w:rFonts w:ascii="Verdana" w:eastAsia="Calibri" w:hAnsi="Verdana" w:cs="Calibri"/>
          <w:sz w:val="16"/>
          <w:szCs w:val="16"/>
          <w:lang w:val="es"/>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19E42C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04E4F">
      <w:headerReference w:type="default" r:id="rId19"/>
      <w:footerReference w:type="default" r:id="rId20"/>
      <w:pgSz w:w="12240" w:h="15840" w:code="1"/>
      <w:pgMar w:top="1417" w:right="1750"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7ECAD" w14:textId="77777777" w:rsidR="00FC11CB" w:rsidRDefault="00FC11CB" w:rsidP="004A1847">
      <w:pPr>
        <w:spacing w:after="0" w:line="240" w:lineRule="auto"/>
      </w:pPr>
      <w:r>
        <w:separator/>
      </w:r>
    </w:p>
  </w:endnote>
  <w:endnote w:type="continuationSeparator" w:id="0">
    <w:p w14:paraId="5024A29D" w14:textId="77777777" w:rsidR="00FC11CB" w:rsidRDefault="00FC11C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9775" w14:textId="77777777" w:rsidR="00FC11CB" w:rsidRDefault="00FC11CB" w:rsidP="004A1847">
      <w:pPr>
        <w:spacing w:after="0" w:line="240" w:lineRule="auto"/>
      </w:pPr>
      <w:r>
        <w:separator/>
      </w:r>
    </w:p>
  </w:footnote>
  <w:footnote w:type="continuationSeparator" w:id="0">
    <w:p w14:paraId="637815E4" w14:textId="77777777" w:rsidR="00FC11CB" w:rsidRDefault="00FC11CB" w:rsidP="004A1847">
      <w:pPr>
        <w:spacing w:after="0" w:line="240" w:lineRule="auto"/>
      </w:pPr>
      <w:r>
        <w:continuationSeparator/>
      </w:r>
    </w:p>
  </w:footnote>
  <w:footnote w:id="1">
    <w:p w14:paraId="7F873DD2" w14:textId="77777777" w:rsidR="0076273E" w:rsidRPr="00814A5D" w:rsidRDefault="0076273E" w:rsidP="0076273E">
      <w:pPr>
        <w:pStyle w:val="Textonotapie"/>
        <w:jc w:val="both"/>
        <w:rPr>
          <w:rFonts w:ascii="Verdana" w:hAnsi="Verdana"/>
          <w:sz w:val="16"/>
          <w:szCs w:val="16"/>
          <w:lang w:val="es-ES"/>
        </w:rPr>
      </w:pPr>
      <w:r w:rsidRPr="00814A5D">
        <w:rPr>
          <w:rStyle w:val="Refdenotaalpie"/>
          <w:rFonts w:ascii="Verdana" w:hAnsi="Verdana"/>
          <w:sz w:val="16"/>
          <w:szCs w:val="16"/>
        </w:rPr>
        <w:footnoteRef/>
      </w:r>
      <w:r w:rsidRPr="00814A5D">
        <w:rPr>
          <w:rFonts w:ascii="Verdana" w:hAnsi="Verdana"/>
          <w:sz w:val="16"/>
          <w:szCs w:val="16"/>
        </w:rPr>
        <w:t xml:space="preserve"> </w:t>
      </w:r>
      <w:hyperlink r:id="rId1" w:history="1">
        <w:r w:rsidRPr="00814A5D">
          <w:rPr>
            <w:rStyle w:val="Hipervnculo"/>
            <w:rFonts w:ascii="Verdana" w:hAnsi="Verdana"/>
            <w:sz w:val="16"/>
            <w:szCs w:val="16"/>
          </w:rPr>
          <w:t>https://www.colombiacompra.gov.co/wp-content/uploads/2024/08/cce-eicp-gi-23_guia_contratacion_ prestacion_de_servicios_v1_11-07-2023_def_1_1.pdf</w:t>
        </w:r>
      </w:hyperlink>
      <w:r w:rsidRPr="00814A5D">
        <w:rPr>
          <w:rFonts w:ascii="Verdana" w:hAnsi="Verdana"/>
          <w:sz w:val="16"/>
          <w:szCs w:val="16"/>
        </w:rPr>
        <w:t xml:space="preserve"> </w:t>
      </w:r>
    </w:p>
  </w:footnote>
  <w:footnote w:id="2">
    <w:p w14:paraId="025B8EC3" w14:textId="77777777" w:rsidR="0076273E" w:rsidRPr="00814A5D" w:rsidRDefault="0076273E" w:rsidP="0076273E">
      <w:pPr>
        <w:pStyle w:val="Textonotapie"/>
        <w:rPr>
          <w:lang w:val="es-ES"/>
        </w:rPr>
      </w:pPr>
      <w:r>
        <w:rPr>
          <w:rStyle w:val="Refdenotaalpie"/>
        </w:rPr>
        <w:footnoteRef/>
      </w:r>
      <w:r>
        <w:t xml:space="preserve"> </w:t>
      </w:r>
      <w:r w:rsidRPr="00B264BA">
        <w:t>https://www.colombiacompra.gov.co/archivos/manual/guia-para-la-incorporacion-de-lineamientos-de-integridad-en-la-contratacion-de-prestacion-de-servicios</w:t>
      </w:r>
    </w:p>
  </w:footnote>
  <w:footnote w:id="3">
    <w:p w14:paraId="0D8090DB" w14:textId="77777777" w:rsidR="0076273E" w:rsidRPr="00F71A89" w:rsidRDefault="0076273E" w:rsidP="0076273E">
      <w:pPr>
        <w:pStyle w:val="Textonotapie"/>
        <w:ind w:firstLine="709"/>
        <w:jc w:val="both"/>
        <w:rPr>
          <w:rFonts w:ascii="Verdana" w:hAnsi="Verdana" w:cs="Arial"/>
          <w:color w:val="000000" w:themeColor="text1"/>
          <w:sz w:val="14"/>
          <w:szCs w:val="14"/>
        </w:rPr>
      </w:pPr>
      <w:r w:rsidRPr="00F71A89">
        <w:rPr>
          <w:rStyle w:val="Refdenotaalpie"/>
          <w:rFonts w:ascii="Verdana" w:hAnsi="Verdana" w:cs="Arial"/>
          <w:sz w:val="14"/>
          <w:szCs w:val="14"/>
        </w:rPr>
        <w:footnoteRef/>
      </w:r>
      <w:r w:rsidRPr="00F71A89">
        <w:rPr>
          <w:rFonts w:ascii="Verdana" w:hAnsi="Verdana" w:cs="Arial"/>
          <w:sz w:val="14"/>
          <w:szCs w:val="14"/>
        </w:rPr>
        <w:t xml:space="preserve"> Decreto 1068 de 2015: “</w:t>
      </w:r>
      <w:r w:rsidRPr="00F71A89">
        <w:rPr>
          <w:rFonts w:ascii="Verdana" w:hAnsi="Verdana" w:cs="Arial"/>
          <w:color w:val="000000" w:themeColor="text1"/>
          <w:sz w:val="14"/>
          <w:szCs w:val="14"/>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1841D603" w14:textId="77777777" w:rsidR="0076273E" w:rsidRPr="00F71A89" w:rsidRDefault="0076273E" w:rsidP="0076273E">
      <w:pPr>
        <w:pStyle w:val="Textonotapie"/>
        <w:ind w:firstLine="709"/>
        <w:jc w:val="both"/>
        <w:rPr>
          <w:rFonts w:ascii="Verdana" w:hAnsi="Verdana" w:cs="Arial"/>
          <w:color w:val="000000" w:themeColor="text1"/>
          <w:sz w:val="14"/>
          <w:szCs w:val="14"/>
        </w:rPr>
      </w:pPr>
      <w:r w:rsidRPr="00F71A89">
        <w:rPr>
          <w:rFonts w:ascii="Verdana" w:hAnsi="Verdana" w:cs="Arial"/>
          <w:color w:val="000000" w:themeColor="text1"/>
          <w:sz w:val="14"/>
          <w:szCs w:val="14"/>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30BC0144" w14:textId="77777777" w:rsidR="0076273E" w:rsidRPr="00F71A89" w:rsidRDefault="0076273E" w:rsidP="0076273E">
      <w:pPr>
        <w:pStyle w:val="Textonotapie"/>
        <w:ind w:firstLine="708"/>
        <w:jc w:val="both"/>
        <w:rPr>
          <w:rFonts w:ascii="Verdana" w:hAnsi="Verdana" w:cs="Arial"/>
          <w:color w:val="000000" w:themeColor="text1"/>
          <w:sz w:val="14"/>
          <w:szCs w:val="14"/>
        </w:rPr>
      </w:pPr>
      <w:r w:rsidRPr="00F71A89">
        <w:rPr>
          <w:rFonts w:ascii="Verdana" w:hAnsi="Verdana" w:cs="Arial"/>
          <w:color w:val="000000" w:themeColor="text1"/>
          <w:sz w:val="14"/>
          <w:szCs w:val="14"/>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37894ED1" w14:textId="77777777" w:rsidR="0076273E" w:rsidRPr="00F71A89" w:rsidRDefault="0076273E" w:rsidP="0076273E">
      <w:pPr>
        <w:pStyle w:val="Textonotapie"/>
        <w:ind w:firstLine="708"/>
        <w:jc w:val="both"/>
        <w:rPr>
          <w:rFonts w:ascii="Verdana" w:hAnsi="Verdana" w:cs="Arial"/>
          <w:sz w:val="14"/>
          <w:szCs w:val="14"/>
        </w:rPr>
      </w:pPr>
    </w:p>
  </w:footnote>
  <w:footnote w:id="4">
    <w:p w14:paraId="29A17BD9"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318F818"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p w14:paraId="5FF27667"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2. Quien presta el servicio se denomina trabajador, quien lo recibe y remunera, empleador, y la remuneración, cualquiera que sea su forma, salario”.</w:t>
      </w:r>
    </w:p>
    <w:p w14:paraId="73B52468"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5">
    <w:p w14:paraId="0742A591"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lang w:val="pt-BR"/>
        </w:rPr>
        <w:t xml:space="preserve"> Corte Constitucional. Sentencia C-154 de 1997. </w:t>
      </w:r>
      <w:r w:rsidRPr="00F71A89">
        <w:rPr>
          <w:rFonts w:ascii="Verdana" w:hAnsi="Verdana" w:cs="Arial"/>
          <w:color w:val="000000"/>
          <w:sz w:val="14"/>
          <w:szCs w:val="14"/>
          <w:lang w:val="es-ES"/>
        </w:rPr>
        <w:t>M. P: Hernando Herrera Vergara.</w:t>
      </w:r>
    </w:p>
    <w:p w14:paraId="22D661DA"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6">
    <w:p w14:paraId="1574A830" w14:textId="77777777" w:rsidR="0076273E" w:rsidRPr="00F71A89" w:rsidRDefault="0076273E" w:rsidP="0076273E">
      <w:pPr>
        <w:pStyle w:val="Textonotapie"/>
        <w:ind w:firstLine="708"/>
        <w:jc w:val="both"/>
        <w:rPr>
          <w:rFonts w:ascii="Verdana" w:hAnsi="Verdana" w:cs="Arial"/>
          <w:sz w:val="14"/>
          <w:szCs w:val="14"/>
        </w:rPr>
      </w:pPr>
      <w:r w:rsidRPr="00F71A89">
        <w:rPr>
          <w:rStyle w:val="Refdenotaalpie"/>
          <w:rFonts w:ascii="Verdana" w:hAnsi="Verdana" w:cs="Arial"/>
          <w:sz w:val="14"/>
          <w:szCs w:val="14"/>
        </w:rPr>
        <w:footnoteRef/>
      </w:r>
      <w:r w:rsidRPr="00F71A89">
        <w:rPr>
          <w:rFonts w:ascii="Verdana" w:hAnsi="Verdana" w:cs="Arial"/>
          <w:sz w:val="14"/>
          <w:szCs w:val="14"/>
        </w:rPr>
        <w:t xml:space="preserve"> Para la doctrina, “En el esquema constitucional vigente, la realización de actividades que impliquen el ejercicio permanente de función pública sólo puede estar radicada en servidores públicos y excepcionalmente, en los casos previstos por la ley, en particulares que cuenten con autorización expresa para ello. No es pues un contrato de prestación de servicios el instrumento para tolerar o encausar el desempeño de tales tareas, las cuales, en principio, sólo deben ser desplegadas por personas que estén vinculadas al Estado a través de una relación laboral administrativa […]” (Cfr. RODRÍGUEZ TAMAYO. Mauricio. Derecho disciplinario de la contratación estatal. Bogotá: Legis, 2020. p. 171).  </w:t>
      </w:r>
    </w:p>
    <w:p w14:paraId="3764F18F" w14:textId="77777777" w:rsidR="0076273E" w:rsidRPr="00F71A89" w:rsidRDefault="0076273E" w:rsidP="0076273E">
      <w:pPr>
        <w:pStyle w:val="Textonotapie"/>
        <w:ind w:firstLine="708"/>
        <w:jc w:val="both"/>
        <w:rPr>
          <w:rFonts w:ascii="Verdana" w:hAnsi="Verdana" w:cs="Arial"/>
          <w:sz w:val="14"/>
          <w:szCs w:val="14"/>
        </w:rPr>
      </w:pPr>
    </w:p>
  </w:footnote>
  <w:footnote w:id="7">
    <w:p w14:paraId="3693D6AA"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Corte Constitucional. Sentencia C-154 de 1997. M.P: Hernando Herrera Vergara</w:t>
      </w:r>
      <w:r w:rsidRPr="00F71A89">
        <w:rPr>
          <w:rFonts w:ascii="Verdana" w:hAnsi="Verdana" w:cs="Arial"/>
          <w:color w:val="000000"/>
          <w:sz w:val="14"/>
          <w:szCs w:val="14"/>
          <w:lang w:val="es-ES"/>
        </w:rPr>
        <w:t>.</w:t>
      </w:r>
    </w:p>
    <w:p w14:paraId="609EF7D2"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8">
    <w:p w14:paraId="4D9618BE"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240089E"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D9755D6"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p w14:paraId="71C4D4AC"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9">
    <w:p w14:paraId="271FB3D6"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Consejo de Estado. Sala de lo Contencioso Administrativo. Sección Tercera. Subsección C. Sentencia del 2 de diciembre de 2013. Exp. 41719. C.P: Jaime Orlando Santofimio Gamboa.</w:t>
      </w:r>
    </w:p>
    <w:p w14:paraId="0642DB35"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0">
    <w:p w14:paraId="4DE03826"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Ibíd.</w:t>
      </w:r>
    </w:p>
    <w:p w14:paraId="2DD6F6FA"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1">
    <w:p w14:paraId="2ACDA140"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Ibíd.</w:t>
      </w:r>
    </w:p>
    <w:p w14:paraId="2DAFD238"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2">
    <w:p w14:paraId="4D206A23"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F94989A"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32AF4E9F"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0A67FB36"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3">
    <w:p w14:paraId="521D0B1A"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3F3FBF09"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1. La causal que invoca para contratar directamente.</w:t>
      </w:r>
    </w:p>
    <w:p w14:paraId="0B9086E7"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2. El objeto del contrato.</w:t>
      </w:r>
    </w:p>
    <w:p w14:paraId="4293FC19"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3. El presupuesto para la contratación y las condiciones que exigirá al contratista.</w:t>
      </w:r>
    </w:p>
    <w:p w14:paraId="423B1D0E"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4. El lugar en el cual los interesados pueden consultar los estudios y documentos previos.</w:t>
      </w:r>
    </w:p>
    <w:p w14:paraId="70D670FC"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DB957A6"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4">
    <w:p w14:paraId="7A646EEA"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Esta norma expresa: “</w:t>
      </w:r>
      <w:r w:rsidRPr="00F71A89">
        <w:rPr>
          <w:rFonts w:ascii="Verdana" w:hAnsi="Verdana" w:cs="Arial"/>
          <w:color w:val="000000"/>
          <w:sz w:val="14"/>
          <w:szCs w:val="14"/>
        </w:rPr>
        <w:t>P</w:t>
      </w:r>
      <w:r w:rsidRPr="00F71A89">
        <w:rPr>
          <w:rFonts w:ascii="Verdana" w:hAnsi="Verdana" w:cs="Arial"/>
          <w:color w:val="000000"/>
          <w:sz w:val="14"/>
          <w:szCs w:val="14"/>
          <w:lang w:val="es-ES"/>
        </w:rPr>
        <w:t>ara el cumplimiento de los fines de la contratación, las entidades estatales al celebrar un contrato:</w:t>
      </w:r>
    </w:p>
    <w:p w14:paraId="7A0011B2"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w:t>
      </w:r>
    </w:p>
    <w:p w14:paraId="6FB3E241"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62FBDCE9"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Las entidades estatales podrán pactar estas cláusulas en los contratos de suministro y de prestación de servicios.</w:t>
      </w:r>
    </w:p>
    <w:p w14:paraId="7356B5E0"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Fonts w:ascii="Verdana" w:hAnsi="Verdana" w:cs="Arial"/>
          <w:color w:val="000000"/>
          <w:sz w:val="14"/>
          <w:szCs w:val="14"/>
          <w:lang w:val="es-ES"/>
        </w:rPr>
        <w:t>[…]”.</w:t>
      </w:r>
    </w:p>
    <w:p w14:paraId="608C4D68" w14:textId="77777777" w:rsidR="0076273E" w:rsidRPr="0014714D" w:rsidRDefault="0076273E" w:rsidP="0076273E">
      <w:pPr>
        <w:pStyle w:val="Textonotapie"/>
        <w:snapToGrid w:val="0"/>
        <w:ind w:firstLine="709"/>
        <w:jc w:val="both"/>
        <w:rPr>
          <w:rFonts w:ascii="Verdana" w:hAnsi="Verdana" w:cs="Arial"/>
          <w:color w:val="000000"/>
          <w:sz w:val="14"/>
          <w:szCs w:val="14"/>
          <w:lang w:val="es-ES"/>
        </w:rPr>
      </w:pPr>
    </w:p>
  </w:footnote>
  <w:footnote w:id="15">
    <w:p w14:paraId="01827284"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046FDC5E"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6">
    <w:p w14:paraId="5265AE48" w14:textId="77777777" w:rsidR="0076273E" w:rsidRPr="00F71A89" w:rsidRDefault="0076273E" w:rsidP="0076273E">
      <w:pPr>
        <w:pStyle w:val="Textonotapie"/>
        <w:snapToGrid w:val="0"/>
        <w:ind w:firstLine="709"/>
        <w:jc w:val="both"/>
        <w:rPr>
          <w:rFonts w:ascii="Verdana" w:hAnsi="Verdana" w:cs="Arial"/>
          <w:color w:val="000000"/>
          <w:sz w:val="14"/>
          <w:szCs w:val="14"/>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1DBE4F8" w14:textId="77777777" w:rsidR="0076273E" w:rsidRPr="00F71A89" w:rsidRDefault="0076273E" w:rsidP="0076273E">
      <w:pPr>
        <w:pStyle w:val="Textonotapie"/>
        <w:snapToGrid w:val="0"/>
        <w:ind w:firstLine="709"/>
        <w:jc w:val="both"/>
        <w:rPr>
          <w:rFonts w:ascii="Verdana" w:hAnsi="Verdana" w:cs="Arial"/>
          <w:color w:val="000000"/>
          <w:sz w:val="14"/>
          <w:szCs w:val="14"/>
        </w:rPr>
      </w:pPr>
      <w:r w:rsidRPr="00F71A89">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BEBCC66"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7">
    <w:p w14:paraId="700D1169"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r w:rsidRPr="00F71A89">
        <w:rPr>
          <w:rStyle w:val="Refdenotaalpie"/>
          <w:rFonts w:ascii="Verdana" w:hAnsi="Verdana" w:cs="Arial"/>
          <w:sz w:val="14"/>
          <w:szCs w:val="14"/>
        </w:rPr>
        <w:footnoteRef/>
      </w:r>
      <w:r w:rsidRPr="00F71A89">
        <w:rPr>
          <w:rFonts w:ascii="Verdana" w:hAnsi="Verdana" w:cs="Arial"/>
          <w:color w:val="000000"/>
          <w:sz w:val="14"/>
          <w:szCs w:val="14"/>
        </w:rPr>
        <w:t xml:space="preserve"> </w:t>
      </w:r>
      <w:r w:rsidRPr="00F71A89">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4061D75D" w14:textId="77777777" w:rsidR="0076273E" w:rsidRPr="00F71A89" w:rsidRDefault="0076273E" w:rsidP="0076273E">
      <w:pPr>
        <w:pStyle w:val="Textonotapie"/>
        <w:snapToGrid w:val="0"/>
        <w:ind w:firstLine="709"/>
        <w:jc w:val="both"/>
        <w:rPr>
          <w:rFonts w:ascii="Verdana" w:hAnsi="Verdana" w:cs="Arial"/>
          <w:color w:val="000000"/>
          <w:sz w:val="14"/>
          <w:szCs w:val="14"/>
          <w:lang w:val="es-ES"/>
        </w:rPr>
      </w:pPr>
    </w:p>
  </w:footnote>
  <w:footnote w:id="18">
    <w:p w14:paraId="048FEC1F" w14:textId="77777777" w:rsidR="0076273E" w:rsidRPr="00F71A89" w:rsidRDefault="0076273E" w:rsidP="0076273E">
      <w:pPr>
        <w:pStyle w:val="Textonotapie"/>
        <w:ind w:firstLine="709"/>
        <w:jc w:val="both"/>
        <w:rPr>
          <w:rFonts w:ascii="Verdana" w:hAnsi="Verdana"/>
          <w:sz w:val="14"/>
          <w:szCs w:val="14"/>
          <w:lang w:val="es-ES"/>
        </w:rPr>
      </w:pPr>
      <w:r w:rsidRPr="00F71A89">
        <w:rPr>
          <w:rStyle w:val="Refdenotaalpie"/>
          <w:rFonts w:ascii="Verdana" w:hAnsi="Verdana"/>
          <w:sz w:val="14"/>
          <w:szCs w:val="14"/>
        </w:rPr>
        <w:footnoteRef/>
      </w:r>
      <w:r w:rsidRPr="00F71A89">
        <w:rPr>
          <w:rFonts w:ascii="Verdana" w:hAnsi="Verdana"/>
          <w:sz w:val="14"/>
          <w:szCs w:val="14"/>
        </w:rPr>
        <w:t xml:space="preserve"> </w:t>
      </w:r>
      <w:r w:rsidRPr="00F71A89">
        <w:rPr>
          <w:rFonts w:ascii="Verdana" w:hAnsi="Verdana"/>
          <w:sz w:val="14"/>
          <w:szCs w:val="14"/>
          <w:lang w:val="es-ES"/>
        </w:rPr>
        <w:t xml:space="preserve">Se puede consultar en </w:t>
      </w:r>
      <w:hyperlink r:id="rId2" w:history="1">
        <w:r w:rsidRPr="00F71A89">
          <w:rPr>
            <w:rStyle w:val="Hipervnculo"/>
            <w:rFonts w:ascii="Verdana" w:hAnsi="Verdana"/>
            <w:sz w:val="14"/>
            <w:szCs w:val="14"/>
            <w:lang w:val="es-CO"/>
          </w:rPr>
          <w:t>cce-eicp-gi-23_guia_contratacion_prestacion_de_servicios_v1_11-07-2023_def_1_1.pdf</w:t>
        </w:r>
      </w:hyperlink>
    </w:p>
  </w:footnote>
  <w:footnote w:id="19">
    <w:p w14:paraId="206212DE" w14:textId="77777777" w:rsidR="0076273E" w:rsidRPr="00814A5D" w:rsidRDefault="0076273E" w:rsidP="0076273E">
      <w:pPr>
        <w:pStyle w:val="Textonotapie"/>
        <w:jc w:val="both"/>
        <w:rPr>
          <w:rFonts w:ascii="Verdana" w:hAnsi="Verdana"/>
          <w:sz w:val="16"/>
          <w:szCs w:val="16"/>
          <w:lang w:val="es-ES"/>
        </w:rPr>
      </w:pPr>
      <w:r w:rsidRPr="00814A5D">
        <w:rPr>
          <w:rStyle w:val="Refdenotaalpie"/>
          <w:rFonts w:ascii="Verdana" w:hAnsi="Verdana"/>
          <w:sz w:val="16"/>
          <w:szCs w:val="16"/>
        </w:rPr>
        <w:footnoteRef/>
      </w:r>
      <w:r w:rsidRPr="00814A5D">
        <w:rPr>
          <w:rFonts w:ascii="Verdana" w:hAnsi="Verdana"/>
          <w:sz w:val="16"/>
          <w:szCs w:val="16"/>
        </w:rPr>
        <w:t xml:space="preserve"> </w:t>
      </w:r>
      <w:hyperlink r:id="rId3" w:history="1">
        <w:r w:rsidRPr="00814A5D">
          <w:rPr>
            <w:rStyle w:val="Hipervnculo"/>
            <w:rFonts w:ascii="Verdana" w:hAnsi="Verdana"/>
            <w:sz w:val="16"/>
            <w:szCs w:val="16"/>
          </w:rPr>
          <w:t>https://www.colombiacompra.gov.co/wp-content/uploads/2024/08/cce-eicp-gi-23_guia_contratacion_ prestacion_de_servicios_v1_11-07-2023_def_1_1.pdf</w:t>
        </w:r>
      </w:hyperlink>
      <w:r w:rsidRPr="00814A5D">
        <w:rPr>
          <w:rFonts w:ascii="Verdana" w:hAnsi="Verdana"/>
          <w:sz w:val="16"/>
          <w:szCs w:val="16"/>
        </w:rPr>
        <w:t xml:space="preserve"> </w:t>
      </w:r>
    </w:p>
  </w:footnote>
  <w:footnote w:id="20">
    <w:p w14:paraId="6D7A8B90" w14:textId="77777777" w:rsidR="0076273E" w:rsidRPr="00814A5D" w:rsidRDefault="0076273E" w:rsidP="0076273E">
      <w:pPr>
        <w:pStyle w:val="Textonotapie"/>
        <w:rPr>
          <w:lang w:val="es-ES"/>
        </w:rPr>
      </w:pPr>
      <w:r>
        <w:rPr>
          <w:rStyle w:val="Refdenotaalpie"/>
        </w:rPr>
        <w:footnoteRef/>
      </w:r>
      <w:r>
        <w:t xml:space="preserve"> </w:t>
      </w:r>
      <w:r w:rsidRPr="00B264BA">
        <w:t>https://www.colombiacompra.gov.co/archivos/manual/guia-para-la-incorporacion-de-lineamientos-de-integridad-en-la-contratacion-de-prestacion-de-servicios</w:t>
      </w:r>
    </w:p>
  </w:footnote>
  <w:footnote w:id="21">
    <w:p w14:paraId="11490701" w14:textId="77777777" w:rsidR="0076273E" w:rsidRPr="008F02AF" w:rsidRDefault="0076273E" w:rsidP="0076273E">
      <w:pPr>
        <w:pStyle w:val="Textonotapie"/>
        <w:ind w:firstLine="709"/>
        <w:jc w:val="both"/>
        <w:rPr>
          <w:rFonts w:ascii="Verdana" w:hAnsi="Verdana" w:cs="Arial"/>
          <w:color w:val="000000" w:themeColor="text1"/>
          <w:sz w:val="16"/>
          <w:szCs w:val="16"/>
        </w:rPr>
      </w:pPr>
      <w:r w:rsidRPr="008F02AF">
        <w:rPr>
          <w:rStyle w:val="Refdenotaalpie"/>
          <w:rFonts w:ascii="Verdana" w:hAnsi="Verdana" w:cs="Arial"/>
          <w:color w:val="000000" w:themeColor="text1"/>
          <w:sz w:val="16"/>
          <w:szCs w:val="16"/>
        </w:rPr>
        <w:footnoteRef/>
      </w:r>
      <w:r w:rsidRPr="008F02AF">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99E7639" w14:textId="77777777" w:rsidR="0076273E" w:rsidRPr="008F02AF" w:rsidRDefault="0076273E" w:rsidP="0076273E">
      <w:pPr>
        <w:pStyle w:val="Textonotapie"/>
        <w:ind w:firstLine="709"/>
        <w:jc w:val="both"/>
        <w:rPr>
          <w:rFonts w:ascii="Verdana" w:hAnsi="Verdana" w:cs="Arial"/>
          <w:color w:val="000000" w:themeColor="text1"/>
          <w:sz w:val="16"/>
          <w:szCs w:val="16"/>
          <w:lang w:val="es-CO"/>
        </w:rPr>
      </w:pPr>
    </w:p>
  </w:footnote>
  <w:footnote w:id="22">
    <w:p w14:paraId="0F2A3FC7" w14:textId="77777777" w:rsidR="0076273E" w:rsidRPr="008F02AF" w:rsidRDefault="0076273E" w:rsidP="0076273E">
      <w:pPr>
        <w:pStyle w:val="Textonotapie"/>
        <w:ind w:firstLine="709"/>
        <w:jc w:val="both"/>
        <w:rPr>
          <w:rFonts w:ascii="Verdana" w:hAnsi="Verdana" w:cs="Arial"/>
          <w:color w:val="000000" w:themeColor="text1"/>
          <w:sz w:val="16"/>
          <w:szCs w:val="16"/>
        </w:rPr>
      </w:pPr>
      <w:r w:rsidRPr="008F02AF">
        <w:rPr>
          <w:rStyle w:val="Refdenotaalpie"/>
          <w:rFonts w:ascii="Verdana" w:hAnsi="Verdana" w:cs="Arial"/>
          <w:color w:val="000000" w:themeColor="text1"/>
          <w:sz w:val="16"/>
          <w:szCs w:val="16"/>
        </w:rPr>
        <w:footnoteRef/>
      </w:r>
      <w:r w:rsidRPr="008F02AF">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w:t>
      </w:r>
    </w:p>
    <w:p w14:paraId="62DD6B51" w14:textId="77777777" w:rsidR="0076273E" w:rsidRPr="008F02AF" w:rsidRDefault="0076273E" w:rsidP="0076273E">
      <w:pPr>
        <w:pStyle w:val="Textonotapie"/>
        <w:ind w:firstLine="709"/>
        <w:jc w:val="both"/>
        <w:rPr>
          <w:rFonts w:ascii="Verdana" w:hAnsi="Verdana" w:cs="Arial"/>
          <w:color w:val="000000" w:themeColor="text1"/>
          <w:sz w:val="16"/>
          <w:szCs w:val="16"/>
          <w:lang w:val="es-CO"/>
        </w:rPr>
      </w:pPr>
    </w:p>
  </w:footnote>
  <w:footnote w:id="23">
    <w:p w14:paraId="636ADAD7" w14:textId="77777777" w:rsidR="0076273E" w:rsidRPr="008F02AF" w:rsidRDefault="0076273E" w:rsidP="0076273E">
      <w:pPr>
        <w:pStyle w:val="Textonotapie"/>
        <w:ind w:firstLine="709"/>
        <w:jc w:val="both"/>
        <w:rPr>
          <w:rFonts w:ascii="Verdana" w:hAnsi="Verdana" w:cs="Arial"/>
          <w:color w:val="000000"/>
          <w:sz w:val="16"/>
          <w:szCs w:val="16"/>
        </w:rPr>
      </w:pPr>
      <w:r w:rsidRPr="008F02AF">
        <w:rPr>
          <w:rFonts w:ascii="Verdana" w:eastAsia="Times New Roman" w:hAnsi="Verdana" w:cs="Arial"/>
          <w:color w:val="000000"/>
          <w:sz w:val="16"/>
          <w:szCs w:val="16"/>
          <w:vertAlign w:val="superscript"/>
          <w:lang w:val="es-ES" w:eastAsia="es-ES"/>
        </w:rPr>
        <w:footnoteRef/>
      </w:r>
      <w:r w:rsidRPr="008F02AF">
        <w:rPr>
          <w:rFonts w:ascii="Verdana" w:eastAsia="Times New Roman" w:hAnsi="Verdana" w:cs="Arial"/>
          <w:color w:val="000000"/>
          <w:sz w:val="16"/>
          <w:szCs w:val="16"/>
          <w:vertAlign w:val="superscript"/>
          <w:lang w:val="es-ES" w:eastAsia="es-ES"/>
        </w:rPr>
        <w:t xml:space="preserve"> </w:t>
      </w:r>
      <w:r w:rsidRPr="008F02AF">
        <w:rPr>
          <w:rFonts w:ascii="Verdana" w:eastAsia="Times New Roman" w:hAnsi="Verdana" w:cs="Arial"/>
          <w:color w:val="000000"/>
          <w:sz w:val="16"/>
          <w:szCs w:val="16"/>
          <w:lang w:val="es-ES" w:eastAsia="es-ES"/>
        </w:rPr>
        <w:t>“</w:t>
      </w:r>
      <w:r w:rsidRPr="008F02AF">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55A50D6" w14:textId="77777777" w:rsidR="0076273E" w:rsidRPr="008F02AF" w:rsidRDefault="0076273E" w:rsidP="0076273E">
      <w:pPr>
        <w:pStyle w:val="Textonotapie"/>
        <w:ind w:firstLine="709"/>
        <w:jc w:val="both"/>
        <w:rPr>
          <w:rFonts w:ascii="Verdana" w:eastAsia="Times New Roman" w:hAnsi="Verdana" w:cs="Arial"/>
          <w:color w:val="000000"/>
          <w:sz w:val="16"/>
          <w:szCs w:val="16"/>
          <w:lang w:val="es-ES" w:eastAsia="es-ES"/>
        </w:rPr>
      </w:pPr>
      <w:r w:rsidRPr="008F02AF">
        <w:rPr>
          <w:rFonts w:ascii="Verdana" w:hAnsi="Verdana" w:cs="Arial"/>
          <w:color w:val="000000" w:themeColor="text1"/>
          <w:sz w:val="16"/>
          <w:szCs w:val="16"/>
        </w:rPr>
        <w:t>[…].</w:t>
      </w:r>
    </w:p>
    <w:p w14:paraId="44DBD658" w14:textId="77777777" w:rsidR="0076273E" w:rsidRPr="008F02AF" w:rsidRDefault="0076273E" w:rsidP="0076273E">
      <w:pPr>
        <w:pStyle w:val="Textonotapie"/>
        <w:ind w:firstLine="709"/>
        <w:jc w:val="both"/>
        <w:rPr>
          <w:rFonts w:ascii="Verdana" w:eastAsia="Times New Roman" w:hAnsi="Verdana" w:cs="Arial"/>
          <w:color w:val="000000"/>
          <w:sz w:val="16"/>
          <w:szCs w:val="16"/>
          <w:lang w:val="es-ES" w:eastAsia="es-ES"/>
        </w:rPr>
      </w:pPr>
      <w:r w:rsidRPr="008F02AF">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0BAB513" w14:textId="77777777" w:rsidR="0076273E" w:rsidRPr="008F02AF" w:rsidRDefault="0076273E" w:rsidP="0076273E">
      <w:pPr>
        <w:pStyle w:val="Textonotapie"/>
        <w:ind w:firstLine="709"/>
        <w:jc w:val="both"/>
        <w:rPr>
          <w:rFonts w:ascii="Verdana" w:eastAsia="Times New Roman" w:hAnsi="Verdana" w:cs="Arial"/>
          <w:color w:val="000000"/>
          <w:sz w:val="16"/>
          <w:szCs w:val="16"/>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207509572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204900445" name="Imagen 120490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5381355">
    <w:abstractNumId w:val="5"/>
  </w:num>
  <w:num w:numId="2" w16cid:durableId="886990239">
    <w:abstractNumId w:val="1"/>
  </w:num>
  <w:num w:numId="3" w16cid:durableId="714893368">
    <w:abstractNumId w:val="3"/>
  </w:num>
  <w:num w:numId="4" w16cid:durableId="6677496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8980023">
    <w:abstractNumId w:val="1"/>
  </w:num>
  <w:num w:numId="6" w16cid:durableId="1272131371">
    <w:abstractNumId w:val="13"/>
  </w:num>
  <w:num w:numId="7" w16cid:durableId="103812457">
    <w:abstractNumId w:val="4"/>
  </w:num>
  <w:num w:numId="8" w16cid:durableId="651952206">
    <w:abstractNumId w:val="12"/>
  </w:num>
  <w:num w:numId="9" w16cid:durableId="901908968">
    <w:abstractNumId w:val="6"/>
  </w:num>
  <w:num w:numId="10" w16cid:durableId="767196080">
    <w:abstractNumId w:val="11"/>
  </w:num>
  <w:num w:numId="11" w16cid:durableId="1423376571">
    <w:abstractNumId w:val="7"/>
  </w:num>
  <w:num w:numId="12" w16cid:durableId="932128775">
    <w:abstractNumId w:val="0"/>
  </w:num>
  <w:num w:numId="13" w16cid:durableId="1906721767">
    <w:abstractNumId w:val="2"/>
  </w:num>
  <w:num w:numId="14" w16cid:durableId="1886409241">
    <w:abstractNumId w:val="14"/>
  </w:num>
  <w:num w:numId="15" w16cid:durableId="1546990808">
    <w:abstractNumId w:val="10"/>
  </w:num>
  <w:num w:numId="16" w16cid:durableId="505438746">
    <w:abstractNumId w:val="9"/>
  </w:num>
  <w:num w:numId="17" w16cid:durableId="18207337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2B65"/>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97CD1"/>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4E4F"/>
    <w:rsid w:val="00706C16"/>
    <w:rsid w:val="007340C3"/>
    <w:rsid w:val="0075235A"/>
    <w:rsid w:val="00756841"/>
    <w:rsid w:val="0076273E"/>
    <w:rsid w:val="007649AB"/>
    <w:rsid w:val="00771D0C"/>
    <w:rsid w:val="007833AC"/>
    <w:rsid w:val="00791FC6"/>
    <w:rsid w:val="007B268C"/>
    <w:rsid w:val="007B7171"/>
    <w:rsid w:val="007C0C0F"/>
    <w:rsid w:val="007C3DC2"/>
    <w:rsid w:val="007E5497"/>
    <w:rsid w:val="00806C83"/>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11CB"/>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78689A6"/>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6273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6273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vera163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cce-eicp-gi-23_guia_contratacion_%20prestacion_de_servicios_v1_11-07-2023_def_1_1.pdf" TargetMode="External"/><Relationship Id="rId2" Type="http://schemas.openxmlformats.org/officeDocument/2006/relationships/hyperlink" Target="https://www.colombiacompra.gov.co/wp-content/uploads/2024/08/cce-eicp-gi-23_guia_contratacion_prestacion_de_servicios_v1_11-07-2023_def_1_1.pdf" TargetMode="External"/><Relationship Id="rId1" Type="http://schemas.openxmlformats.org/officeDocument/2006/relationships/hyperlink" Target="https://www.colombiacompra.gov.co/wp-content/uploads/2024/08/cce-eicp-gi-23_guia_contratacion_%20prestacion_de_servicios_v1_11-07-2023_def_1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E7B88E-251B-4E35-9E2F-629974608555}"/>
</file>

<file path=docProps/app.xml><?xml version="1.0" encoding="utf-8"?>
<Properties xmlns="http://schemas.openxmlformats.org/officeDocument/2006/extended-properties" xmlns:vt="http://schemas.openxmlformats.org/officeDocument/2006/docPropsVTypes">
  <Template>Normal</Template>
  <TotalTime>9</TotalTime>
  <Pages>28</Pages>
  <Words>9272</Words>
  <Characters>50998</Characters>
  <Application>Microsoft Office Word</Application>
  <DocSecurity>0</DocSecurity>
  <Lines>424</Lines>
  <Paragraphs>120</Paragraphs>
  <ScaleCrop>false</ScaleCrop>
  <Company/>
  <LinksUpToDate>false</LinksUpToDate>
  <CharactersWithSpaces>60150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5</cp:revision>
  <cp:lastPrinted>2023-01-10T21:18:00Z</cp:lastPrinted>
  <dcterms:created xsi:type="dcterms:W3CDTF">2026-09-22T14:00:00Z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