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E2C55" w14:textId="77777777" w:rsidR="00235DEC" w:rsidRPr="00B774CC" w:rsidRDefault="00235DEC" w:rsidP="00235DEC">
      <w:pPr>
        <w:spacing w:after="0" w:line="276" w:lineRule="auto"/>
        <w:jc w:val="both"/>
        <w:rPr>
          <w:rFonts w:ascii="Verdana" w:eastAsia="Calibri" w:hAnsi="Verdana" w:cs="Arial"/>
          <w:b/>
          <w:bCs/>
          <w:lang w:val="es-ES_tradnl" w:eastAsia="es-MX"/>
        </w:rPr>
      </w:pPr>
      <w:bookmarkStart w:id="0" w:name="_Hlk143780582"/>
      <w:r w:rsidRPr="00B774CC">
        <w:rPr>
          <w:rFonts w:ascii="Verdana" w:eastAsia="Calibri" w:hAnsi="Verdana" w:cs="Arial"/>
          <w:b/>
          <w:bCs/>
          <w:lang w:val="es-ES_tradnl" w:eastAsia="es-MX"/>
        </w:rPr>
        <w:t xml:space="preserve">DOCUMENTOS TIPO – Fundamento normativo – Obligatoriedad </w:t>
      </w:r>
    </w:p>
    <w:p w14:paraId="37D77725" w14:textId="77777777" w:rsidR="00235DEC" w:rsidRPr="00B774CC" w:rsidRDefault="00235DEC" w:rsidP="00235DEC">
      <w:pPr>
        <w:spacing w:after="0" w:line="276" w:lineRule="auto"/>
        <w:jc w:val="both"/>
        <w:rPr>
          <w:rFonts w:ascii="Verdana" w:eastAsia="Calibri" w:hAnsi="Verdana" w:cs="Arial"/>
          <w:b/>
          <w:bCs/>
          <w:sz w:val="20"/>
          <w:szCs w:val="20"/>
          <w:lang w:val="es-ES_tradnl" w:eastAsia="es-MX"/>
        </w:rPr>
      </w:pPr>
    </w:p>
    <w:p w14:paraId="60029E1B" w14:textId="77777777" w:rsidR="00235DEC" w:rsidRPr="00B774CC" w:rsidRDefault="00235DEC" w:rsidP="00235DEC">
      <w:pPr>
        <w:tabs>
          <w:tab w:val="left" w:pos="709"/>
        </w:tabs>
        <w:spacing w:after="0" w:line="240" w:lineRule="auto"/>
        <w:jc w:val="both"/>
        <w:rPr>
          <w:rFonts w:ascii="Verdana" w:eastAsia="Calibri" w:hAnsi="Verdana" w:cs="Arial"/>
          <w:sz w:val="20"/>
          <w:szCs w:val="20"/>
          <w:lang w:val="es-ES" w:eastAsia="es-MX"/>
        </w:rPr>
      </w:pPr>
      <w:r w:rsidRPr="00B774CC">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5F786DF7" w14:textId="77777777" w:rsidR="00235DEC" w:rsidRPr="00B774CC" w:rsidRDefault="00235DEC" w:rsidP="00235DEC">
      <w:pPr>
        <w:spacing w:after="0" w:line="276" w:lineRule="auto"/>
        <w:jc w:val="both"/>
        <w:rPr>
          <w:rFonts w:ascii="Verdana" w:eastAsia="Calibri" w:hAnsi="Verdana" w:cs="Arial"/>
          <w:b/>
          <w:bCs/>
          <w:lang w:val="es-ES_tradnl" w:eastAsia="es-MX"/>
        </w:rPr>
      </w:pPr>
    </w:p>
    <w:p w14:paraId="2A1F75BF" w14:textId="77777777" w:rsidR="00235DEC" w:rsidRPr="00B774CC" w:rsidRDefault="00235DEC" w:rsidP="00235DEC">
      <w:pPr>
        <w:widowControl w:val="0"/>
        <w:autoSpaceDE w:val="0"/>
        <w:autoSpaceDN w:val="0"/>
        <w:spacing w:after="0" w:line="276" w:lineRule="auto"/>
        <w:jc w:val="both"/>
        <w:rPr>
          <w:rFonts w:ascii="Verdana" w:eastAsia="Calibri" w:hAnsi="Verdana" w:cs="Times New Roman"/>
          <w:b/>
          <w:bCs/>
          <w:lang w:val="es-ES" w:eastAsia="es-MX"/>
        </w:rPr>
      </w:pPr>
      <w:r w:rsidRPr="00B774CC">
        <w:rPr>
          <w:rFonts w:ascii="Verdana" w:eastAsia="Calibri" w:hAnsi="Verdana" w:cs="Arial"/>
          <w:b/>
          <w:bCs/>
          <w:lang w:val="es-ES_tradnl" w:eastAsia="es-MX"/>
        </w:rPr>
        <w:t>SECTOR SOCIAL</w:t>
      </w:r>
      <w:r w:rsidRPr="00B774CC">
        <w:rPr>
          <w:rFonts w:ascii="Verdana" w:eastAsia="Calibri" w:hAnsi="Verdana" w:cs="Times New Roman"/>
          <w:lang w:val="es-ES" w:eastAsia="es-MX"/>
        </w:rPr>
        <w:t xml:space="preserve"> </w:t>
      </w:r>
      <w:r w:rsidRPr="00B774CC">
        <w:rPr>
          <w:rFonts w:ascii="Verdana" w:eastAsia="Calibri" w:hAnsi="Verdana" w:cs="Times New Roman"/>
          <w:b/>
          <w:bCs/>
          <w:lang w:val="es-ES" w:eastAsia="es-MX"/>
        </w:rPr>
        <w:t>– Documentos tipo – Vigentes</w:t>
      </w:r>
    </w:p>
    <w:p w14:paraId="13F4F223" w14:textId="77777777" w:rsidR="00235DEC" w:rsidRPr="00B774CC" w:rsidRDefault="00235DEC" w:rsidP="00235DEC">
      <w:pPr>
        <w:widowControl w:val="0"/>
        <w:autoSpaceDE w:val="0"/>
        <w:autoSpaceDN w:val="0"/>
        <w:spacing w:after="0" w:line="276" w:lineRule="auto"/>
        <w:jc w:val="both"/>
        <w:rPr>
          <w:rFonts w:ascii="Verdana" w:eastAsia="Calibri" w:hAnsi="Verdana" w:cs="Times New Roman"/>
          <w:b/>
          <w:bCs/>
          <w:lang w:val="es-ES" w:eastAsia="es-MX"/>
        </w:rPr>
      </w:pPr>
    </w:p>
    <w:p w14:paraId="36F9E2B6" w14:textId="77777777" w:rsidR="00235DEC" w:rsidRPr="00B774CC" w:rsidRDefault="00235DEC" w:rsidP="00235DEC">
      <w:pPr>
        <w:widowControl w:val="0"/>
        <w:autoSpaceDE w:val="0"/>
        <w:autoSpaceDN w:val="0"/>
        <w:spacing w:after="0" w:line="240" w:lineRule="auto"/>
        <w:jc w:val="both"/>
        <w:rPr>
          <w:rFonts w:ascii="Verdana" w:eastAsia="Calibri" w:hAnsi="Verdana" w:cs="Times New Roman"/>
          <w:b/>
          <w:bCs/>
          <w:sz w:val="20"/>
          <w:szCs w:val="20"/>
          <w:lang w:val="es-ES" w:eastAsia="es-MX"/>
        </w:rPr>
      </w:pPr>
      <w:r w:rsidRPr="00B774CC">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2B7B2A39" w14:textId="77777777" w:rsidR="00235DEC" w:rsidRPr="00B774CC" w:rsidRDefault="00235DEC" w:rsidP="00235DEC">
      <w:pPr>
        <w:spacing w:after="0"/>
        <w:rPr>
          <w:rFonts w:ascii="Verdana" w:hAnsi="Verdana"/>
          <w:lang w:val="es-ES"/>
        </w:rPr>
      </w:pPr>
    </w:p>
    <w:p w14:paraId="2F0F98D6" w14:textId="77777777" w:rsidR="00235DEC" w:rsidRPr="00B774CC" w:rsidRDefault="00235DEC" w:rsidP="00235DEC">
      <w:pPr>
        <w:spacing w:after="0" w:line="276" w:lineRule="auto"/>
        <w:jc w:val="both"/>
        <w:rPr>
          <w:rFonts w:ascii="Verdana" w:eastAsia="Calibri" w:hAnsi="Verdana" w:cs="Times New Roman"/>
          <w:sz w:val="20"/>
          <w:szCs w:val="20"/>
          <w:lang w:val="es-ES" w:eastAsia="es-MX"/>
        </w:rPr>
      </w:pPr>
      <w:r w:rsidRPr="00B774CC">
        <w:rPr>
          <w:rFonts w:ascii="Verdana" w:eastAsia="Calibri" w:hAnsi="Verdana" w:cs="Times New Roman"/>
          <w:b/>
          <w:bCs/>
          <w:lang w:val="es-ES" w:eastAsia="es-MX"/>
        </w:rPr>
        <w:t xml:space="preserve">DOCUMENTOS TIPO – Aplicación – Matriz de Experiencia </w:t>
      </w:r>
    </w:p>
    <w:p w14:paraId="04671234" w14:textId="77777777" w:rsidR="00235DEC" w:rsidRPr="00B774CC" w:rsidRDefault="00235DEC" w:rsidP="00235DEC">
      <w:pPr>
        <w:spacing w:after="0" w:line="240" w:lineRule="auto"/>
        <w:rPr>
          <w:rFonts w:ascii="Verdana" w:eastAsia="Geomanist Light" w:hAnsi="Verdana" w:cs="Arial"/>
          <w:lang w:val="es-MX" w:eastAsia="es-MX"/>
        </w:rPr>
      </w:pPr>
    </w:p>
    <w:p w14:paraId="0131FACF" w14:textId="77777777" w:rsidR="00235DEC" w:rsidRPr="00B774CC" w:rsidRDefault="00235DEC" w:rsidP="00235DEC">
      <w:pPr>
        <w:widowControl w:val="0"/>
        <w:autoSpaceDE w:val="0"/>
        <w:autoSpaceDN w:val="0"/>
        <w:spacing w:after="0" w:line="240" w:lineRule="auto"/>
        <w:jc w:val="both"/>
        <w:rPr>
          <w:rFonts w:ascii="Verdana" w:eastAsia="Calibri" w:hAnsi="Verdana" w:cs="Times New Roman"/>
          <w:sz w:val="20"/>
          <w:szCs w:val="20"/>
          <w:lang w:val="es-ES" w:eastAsia="es-MX"/>
        </w:rPr>
      </w:pPr>
      <w:r w:rsidRPr="00B774CC">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56F873A" w14:textId="77777777" w:rsidR="00235DEC" w:rsidRPr="00B774CC" w:rsidRDefault="00235DEC" w:rsidP="00235DEC">
      <w:pPr>
        <w:widowControl w:val="0"/>
        <w:autoSpaceDE w:val="0"/>
        <w:autoSpaceDN w:val="0"/>
        <w:spacing w:after="0" w:line="240" w:lineRule="auto"/>
        <w:jc w:val="both"/>
        <w:rPr>
          <w:rFonts w:ascii="Verdana" w:eastAsia="Calibri" w:hAnsi="Verdana" w:cs="Times New Roman"/>
          <w:sz w:val="20"/>
          <w:szCs w:val="20"/>
          <w:lang w:val="es-ES" w:eastAsia="es-MX"/>
        </w:rPr>
      </w:pPr>
    </w:p>
    <w:p w14:paraId="52A3A678" w14:textId="77777777" w:rsidR="00235DEC" w:rsidRPr="00B774CC" w:rsidRDefault="00235DEC" w:rsidP="00235DEC">
      <w:pPr>
        <w:widowControl w:val="0"/>
        <w:autoSpaceDE w:val="0"/>
        <w:autoSpaceDN w:val="0"/>
        <w:spacing w:after="0" w:line="240" w:lineRule="auto"/>
        <w:jc w:val="both"/>
        <w:rPr>
          <w:rFonts w:ascii="Verdana" w:eastAsia="Calibri" w:hAnsi="Verdana" w:cs="Times New Roman"/>
          <w:sz w:val="20"/>
          <w:szCs w:val="20"/>
          <w:lang w:val="es-ES" w:eastAsia="es-MX"/>
        </w:rPr>
      </w:pPr>
      <w:r w:rsidRPr="00B774CC">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6B362C46" w14:textId="77777777" w:rsidR="00235DEC" w:rsidRPr="00FD7013" w:rsidRDefault="00235DEC" w:rsidP="00235DEC">
      <w:pPr>
        <w:spacing w:after="0"/>
        <w:rPr>
          <w:rFonts w:ascii="Verdana" w:hAnsi="Verdana"/>
          <w:lang w:val="es-ES"/>
        </w:rPr>
      </w:pPr>
    </w:p>
    <w:p w14:paraId="184D5BBD" w14:textId="77777777" w:rsidR="00235DEC" w:rsidRPr="00FD7013" w:rsidRDefault="00235DEC" w:rsidP="00235DEC">
      <w:pPr>
        <w:spacing w:after="0" w:line="276" w:lineRule="auto"/>
        <w:jc w:val="both"/>
        <w:rPr>
          <w:rFonts w:ascii="Verdana" w:eastAsia="Calibri" w:hAnsi="Verdana" w:cs="Times New Roman"/>
          <w:b/>
          <w:bCs/>
          <w:lang w:val="es-ES" w:eastAsia="es-MX"/>
        </w:rPr>
      </w:pPr>
      <w:r w:rsidRPr="00FD7013">
        <w:rPr>
          <w:rFonts w:ascii="Verdana" w:eastAsia="Calibri" w:hAnsi="Verdana" w:cs="Times New Roman"/>
          <w:b/>
          <w:bCs/>
          <w:lang w:val="es-ES" w:eastAsia="es-MX"/>
        </w:rPr>
        <w:t xml:space="preserve">DOCUMENTOS TIPO – Infraestructura social - Aplicación – Matriz de Experiencia </w:t>
      </w:r>
      <w:r>
        <w:rPr>
          <w:rFonts w:ascii="Verdana" w:eastAsia="Calibri" w:hAnsi="Verdana" w:cs="Times New Roman"/>
          <w:b/>
          <w:bCs/>
          <w:lang w:val="es-ES" w:eastAsia="es-MX"/>
        </w:rPr>
        <w:t>– Grupos de ocupación.</w:t>
      </w:r>
    </w:p>
    <w:p w14:paraId="6AC5211F" w14:textId="77777777" w:rsidR="00235DEC" w:rsidRDefault="00235DEC" w:rsidP="00235DEC">
      <w:pPr>
        <w:spacing w:after="0" w:line="240" w:lineRule="auto"/>
        <w:jc w:val="both"/>
        <w:rPr>
          <w:rFonts w:ascii="Verdana" w:eastAsia="Calibri" w:hAnsi="Verdana" w:cs="Times New Roman"/>
          <w:sz w:val="20"/>
          <w:szCs w:val="20"/>
          <w:lang w:eastAsia="es-MX"/>
        </w:rPr>
      </w:pPr>
    </w:p>
    <w:p w14:paraId="27949CB2" w14:textId="77777777" w:rsidR="00235DEC" w:rsidRPr="00EC02EB" w:rsidRDefault="00235DEC" w:rsidP="00235DEC">
      <w:pPr>
        <w:spacing w:after="0" w:line="240" w:lineRule="auto"/>
        <w:jc w:val="both"/>
        <w:rPr>
          <w:rFonts w:ascii="Verdana" w:eastAsia="Calibri" w:hAnsi="Verdana" w:cs="Times New Roman"/>
          <w:sz w:val="20"/>
          <w:szCs w:val="20"/>
          <w:lang w:eastAsia="es-MX"/>
        </w:rPr>
      </w:pPr>
      <w:r w:rsidRPr="00407869">
        <w:rPr>
          <w:rFonts w:ascii="Verdana" w:eastAsia="Calibri" w:hAnsi="Verdana" w:cs="Times New Roman"/>
          <w:sz w:val="20"/>
          <w:szCs w:val="20"/>
          <w:lang w:eastAsia="es-MX"/>
        </w:rPr>
        <w:t xml:space="preserve">Adicionalmente, como se precisa, las actividades señaladas recaerían sobre obras en proyectos de infraestructura institucional. De esta forma, para determinar qué abarca </w:t>
      </w:r>
      <w:r w:rsidRPr="00EC02EB">
        <w:rPr>
          <w:rFonts w:ascii="Verdana" w:eastAsia="Calibri" w:hAnsi="Verdana" w:cs="Times New Roman"/>
          <w:sz w:val="20"/>
          <w:szCs w:val="20"/>
          <w:lang w:eastAsia="es-MX"/>
        </w:rPr>
        <w:lastRenderedPageBreak/>
        <w:t>este tipo de infraestructura, de conformidad con la norma NSR-10 en el Grupo de Ocupación Institucional (I) –K.2.6– “(…) se clasifican las edificaciones o espacios utilizados para la reclusión de personas que adolecen de limitaciones mentales o están sujetas a castigos penales o correccionales; en el tratamiento o cuidado de personas o en su reunión con propósitos educativos o de instrucción. De igual manera se clasifican dentro de este grupo las edificaciones y espacios indispensables en la atención de emergencias, preservación de la seguridad de personas y</w:t>
      </w:r>
      <w:r w:rsidRPr="00EC02EB">
        <w:rPr>
          <w:rFonts w:ascii="Verdana" w:eastAsia="Calibri" w:hAnsi="Verdana" w:cs="Times New Roman"/>
          <w:sz w:val="20"/>
          <w:szCs w:val="20"/>
          <w:u w:val="single"/>
          <w:lang w:eastAsia="es-MX"/>
        </w:rPr>
        <w:t> la prestación de servicios públicos y administrativos necesarios para el buen funcionamiento de las ciudades</w:t>
      </w:r>
      <w:r w:rsidRPr="00EC02EB">
        <w:rPr>
          <w:rFonts w:ascii="Verdana" w:eastAsia="Calibri" w:hAnsi="Verdana" w:cs="Times New Roman"/>
          <w:sz w:val="20"/>
          <w:szCs w:val="20"/>
          <w:lang w:eastAsia="es-MX"/>
        </w:rPr>
        <w:t>”. Este Grupo de Ocupación está constituida “(…) por los Subgrupos de Ocupación Institucional de Reclusión (I-1), Institucional de Salud o Incapacidad (I-2), Institucional de Educación (I-3), Institucional de Seguridad Pública (I-4) e Institucional de Servicio Público (I-5)”.</w:t>
      </w:r>
    </w:p>
    <w:p w14:paraId="0B4C2B04" w14:textId="77777777" w:rsidR="00235DEC" w:rsidRPr="00EC02EB" w:rsidRDefault="00235DEC" w:rsidP="00235DEC">
      <w:pPr>
        <w:spacing w:after="0" w:line="240" w:lineRule="auto"/>
        <w:jc w:val="both"/>
        <w:rPr>
          <w:rFonts w:ascii="Verdana" w:eastAsia="Calibri" w:hAnsi="Verdana" w:cs="Times New Roman"/>
          <w:sz w:val="20"/>
          <w:szCs w:val="20"/>
          <w:lang w:eastAsia="es-MX"/>
        </w:rPr>
      </w:pPr>
    </w:p>
    <w:p w14:paraId="041ADD79" w14:textId="77777777" w:rsidR="00235DEC" w:rsidRPr="00EC02EB" w:rsidRDefault="00235DEC" w:rsidP="00235DEC">
      <w:pPr>
        <w:spacing w:after="0" w:line="240" w:lineRule="auto"/>
        <w:jc w:val="both"/>
        <w:rPr>
          <w:rFonts w:ascii="Verdana" w:eastAsia="Calibri" w:hAnsi="Verdana" w:cs="Times New Roman"/>
          <w:sz w:val="20"/>
          <w:szCs w:val="20"/>
          <w:lang w:eastAsia="es-MX"/>
        </w:rPr>
      </w:pPr>
      <w:r w:rsidRPr="00EC02EB">
        <w:rPr>
          <w:rFonts w:ascii="Verdana" w:eastAsia="Calibri" w:hAnsi="Verdana" w:cs="Times New Roman"/>
          <w:sz w:val="20"/>
          <w:szCs w:val="20"/>
          <w:lang w:eastAsia="es-MX"/>
        </w:rPr>
        <w:t xml:space="preserve">Dentro de los subgrupos que integran el Grupo de Ocupación Institucional, resulta pertinente diferenciar el Subgrupo de Ocupación Institucional de Educación (I-3) del Subgrupo de Ocupación Institucional de Servicio Público (I-5), atendiendo a la destinación y función de las edificaciones o espacios objeto de intervención. </w:t>
      </w:r>
    </w:p>
    <w:p w14:paraId="15AF1418" w14:textId="77777777" w:rsidR="00235DEC" w:rsidRPr="00FD7013" w:rsidRDefault="00235DEC" w:rsidP="00235DEC">
      <w:pPr>
        <w:spacing w:after="0" w:line="240" w:lineRule="auto"/>
        <w:jc w:val="both"/>
        <w:rPr>
          <w:rFonts w:ascii="Verdana" w:eastAsia="Calibri" w:hAnsi="Verdana" w:cs="Times New Roman"/>
          <w:sz w:val="20"/>
          <w:szCs w:val="20"/>
          <w:lang w:eastAsia="es-MX"/>
        </w:rPr>
      </w:pPr>
    </w:p>
    <w:p w14:paraId="78A2ABD7" w14:textId="77777777" w:rsidR="00235DEC" w:rsidRDefault="00235DEC" w:rsidP="00235DEC">
      <w:pPr>
        <w:spacing w:after="0" w:line="240" w:lineRule="auto"/>
        <w:jc w:val="both"/>
        <w:rPr>
          <w:rFonts w:ascii="Verdana" w:eastAsia="Calibri" w:hAnsi="Verdana" w:cs="Times New Roman"/>
          <w:sz w:val="20"/>
          <w:szCs w:val="20"/>
          <w:lang w:eastAsia="es-MX"/>
        </w:rPr>
      </w:pPr>
    </w:p>
    <w:p w14:paraId="13A7501E" w14:textId="77777777" w:rsidR="00235DEC" w:rsidRDefault="00235DEC" w:rsidP="00235DEC">
      <w:pPr>
        <w:spacing w:after="0" w:line="240" w:lineRule="auto"/>
        <w:jc w:val="both"/>
        <w:rPr>
          <w:rFonts w:ascii="Verdana" w:eastAsia="Calibri" w:hAnsi="Verdana" w:cs="Times New Roman"/>
          <w:b/>
          <w:bCs/>
          <w:lang w:eastAsia="es-MX"/>
        </w:rPr>
      </w:pPr>
      <w:r w:rsidRPr="00084F2D">
        <w:rPr>
          <w:rFonts w:ascii="Verdana" w:eastAsia="Calibri" w:hAnsi="Verdana" w:cs="Times New Roman"/>
          <w:b/>
          <w:bCs/>
          <w:lang w:eastAsia="es-MX"/>
        </w:rPr>
        <w:t>PROCESOS DE CONTRATACIÓN DEL SENA</w:t>
      </w:r>
      <w:r>
        <w:rPr>
          <w:rFonts w:ascii="Verdana" w:eastAsia="Calibri" w:hAnsi="Verdana" w:cs="Times New Roman"/>
          <w:b/>
          <w:bCs/>
          <w:lang w:eastAsia="es-MX"/>
        </w:rPr>
        <w:t xml:space="preserve"> – Infraestructura física – Documentos Tipo – Sector Social - </w:t>
      </w:r>
      <w:r w:rsidRPr="000E6114">
        <w:rPr>
          <w:rFonts w:ascii="Verdana" w:eastAsia="Calibri" w:hAnsi="Verdana" w:cs="Times New Roman"/>
          <w:b/>
          <w:bCs/>
          <w:lang w:eastAsia="es-MX"/>
        </w:rPr>
        <w:t xml:space="preserve"> Subgrupo de Ocupación Institucional de Educación (I-3)</w:t>
      </w:r>
      <w:r>
        <w:rPr>
          <w:rFonts w:ascii="Verdana" w:eastAsia="Calibri" w:hAnsi="Verdana" w:cs="Times New Roman"/>
          <w:b/>
          <w:bCs/>
          <w:lang w:eastAsia="es-MX"/>
        </w:rPr>
        <w:t xml:space="preserve"> - </w:t>
      </w:r>
      <w:r w:rsidRPr="000E6114">
        <w:rPr>
          <w:rFonts w:ascii="Verdana" w:eastAsia="Calibri" w:hAnsi="Verdana" w:cs="Times New Roman"/>
          <w:b/>
          <w:bCs/>
          <w:lang w:eastAsia="es-MX"/>
        </w:rPr>
        <w:t>Subgrupo de Ocupación Institucional de Servicio Público (I-5).</w:t>
      </w:r>
    </w:p>
    <w:p w14:paraId="14B94FDD" w14:textId="77777777" w:rsidR="00235DEC" w:rsidRPr="000E6114" w:rsidRDefault="00235DEC" w:rsidP="00235DEC">
      <w:pPr>
        <w:spacing w:after="0" w:line="240" w:lineRule="auto"/>
        <w:jc w:val="both"/>
        <w:rPr>
          <w:rFonts w:ascii="Verdana" w:eastAsia="Calibri" w:hAnsi="Verdana" w:cs="Times New Roman"/>
          <w:b/>
          <w:bCs/>
          <w:lang w:eastAsia="es-MX"/>
        </w:rPr>
      </w:pPr>
    </w:p>
    <w:p w14:paraId="24399745" w14:textId="77777777" w:rsidR="00235DEC" w:rsidRPr="004762A4" w:rsidRDefault="00235DEC" w:rsidP="00235DEC">
      <w:pPr>
        <w:spacing w:after="0" w:line="240" w:lineRule="auto"/>
        <w:jc w:val="both"/>
        <w:rPr>
          <w:rFonts w:ascii="Verdana" w:eastAsia="Calibri" w:hAnsi="Verdana" w:cs="Times New Roman"/>
          <w:sz w:val="18"/>
          <w:szCs w:val="18"/>
          <w:lang w:eastAsia="es-MX"/>
        </w:rPr>
      </w:pPr>
      <w:r w:rsidRPr="004762A4">
        <w:rPr>
          <w:rFonts w:ascii="Verdana" w:eastAsia="Calibri" w:hAnsi="Verdana" w:cs="Times New Roman"/>
          <w:sz w:val="20"/>
          <w:szCs w:val="20"/>
          <w:lang w:eastAsia="es-MX"/>
        </w:rPr>
        <w:t>En particular, cuando la intervención recaiga sobre edificaciones o espacios destinados efectivamente a propósitos educativos y de instrucción, deberá analizarse su correspondencia con las tipologías comprendidas en el grupo de ocupación institucional de educación (I-3). Por el contrario, cuando se trate de espacios destinados a funciones administrativas o a la prestación de servicios públicos, deberá establecerse si estos corresponden al Subgrupo de Ocupación Institucional de Servicio Público (I-5) o a alguna de las demás categorías previstas en la normativa aplicable. Por tanto, la sola circunstancia de que la infraestructura pertenezca al SENA no determina, por sí misma, la aplicación de los Documentos Tipo para infraestructura social, siendo necesario atender a la destinación concreta de la obra y a su correspondencia con el ámbito material del Documento Tipo aplicable.</w:t>
      </w:r>
    </w:p>
    <w:p w14:paraId="506CFE91" w14:textId="77777777" w:rsidR="00235DEC" w:rsidRPr="004762A4" w:rsidRDefault="00235DEC" w:rsidP="00235DEC">
      <w:pPr>
        <w:spacing w:after="0"/>
        <w:jc w:val="both"/>
        <w:rPr>
          <w:rFonts w:ascii="Verdana" w:hAnsi="Verdana"/>
          <w:color w:val="000000" w:themeColor="text1"/>
        </w:rPr>
      </w:pPr>
    </w:p>
    <w:p w14:paraId="006EEBFA" w14:textId="77777777" w:rsidR="00235DEC" w:rsidRDefault="00235DEC" w:rsidP="00235DEC">
      <w:pPr>
        <w:spacing w:after="0"/>
        <w:jc w:val="both"/>
        <w:rPr>
          <w:rFonts w:ascii="Verdana" w:hAnsi="Verdana"/>
          <w:color w:val="000000" w:themeColor="text1"/>
          <w:lang w:val="es-ES"/>
        </w:rPr>
      </w:pPr>
    </w:p>
    <w:p w14:paraId="3A5F8D7E" w14:textId="77777777" w:rsidR="00235DEC" w:rsidRDefault="00235DEC" w:rsidP="00235DEC">
      <w:pPr>
        <w:spacing w:after="0"/>
        <w:jc w:val="both"/>
        <w:rPr>
          <w:rFonts w:ascii="Verdana" w:hAnsi="Verdana"/>
          <w:color w:val="000000" w:themeColor="text1"/>
          <w:lang w:val="es-ES"/>
        </w:rPr>
      </w:pPr>
    </w:p>
    <w:p w14:paraId="7EC3F309" w14:textId="77777777" w:rsidR="00235DEC" w:rsidRDefault="00235DEC" w:rsidP="00235DEC">
      <w:pPr>
        <w:spacing w:after="0"/>
        <w:jc w:val="both"/>
        <w:rPr>
          <w:rFonts w:ascii="Verdana" w:hAnsi="Verdana"/>
          <w:color w:val="000000" w:themeColor="text1"/>
          <w:lang w:val="es-ES"/>
        </w:rPr>
      </w:pPr>
    </w:p>
    <w:p w14:paraId="3E4FAAE3" w14:textId="77777777" w:rsidR="00235DEC" w:rsidRDefault="00235DEC" w:rsidP="00235DEC">
      <w:pPr>
        <w:spacing w:after="0"/>
        <w:jc w:val="both"/>
        <w:rPr>
          <w:rFonts w:ascii="Verdana" w:hAnsi="Verdana"/>
          <w:color w:val="000000" w:themeColor="text1"/>
          <w:lang w:val="es-ES"/>
        </w:rPr>
      </w:pPr>
    </w:p>
    <w:p w14:paraId="115BA1CE" w14:textId="77777777" w:rsidR="00235DEC" w:rsidRDefault="00235DEC" w:rsidP="00235DEC">
      <w:pPr>
        <w:spacing w:after="0"/>
        <w:jc w:val="both"/>
        <w:rPr>
          <w:rFonts w:ascii="Verdana" w:hAnsi="Verdana"/>
          <w:color w:val="000000" w:themeColor="text1"/>
          <w:lang w:val="es-ES"/>
        </w:rPr>
      </w:pPr>
    </w:p>
    <w:p w14:paraId="035B1F6D" w14:textId="77777777" w:rsidR="00235DEC" w:rsidRDefault="00235DEC" w:rsidP="00235DEC">
      <w:pPr>
        <w:spacing w:after="0"/>
        <w:jc w:val="both"/>
        <w:rPr>
          <w:rFonts w:ascii="Verdana" w:hAnsi="Verdana"/>
          <w:color w:val="000000" w:themeColor="text1"/>
          <w:lang w:val="es-ES"/>
        </w:rPr>
      </w:pPr>
    </w:p>
    <w:p w14:paraId="59D145EE" w14:textId="77777777" w:rsidR="00235DEC" w:rsidRDefault="00235DEC" w:rsidP="00235DEC">
      <w:pPr>
        <w:spacing w:after="0"/>
        <w:jc w:val="both"/>
        <w:rPr>
          <w:rFonts w:ascii="Verdana" w:hAnsi="Verdana"/>
          <w:color w:val="000000" w:themeColor="text1"/>
          <w:lang w:val="es-ES"/>
        </w:rPr>
      </w:pPr>
    </w:p>
    <w:p w14:paraId="4C74912E" w14:textId="77777777" w:rsidR="00235DEC" w:rsidRDefault="00235DEC" w:rsidP="00235DEC">
      <w:pPr>
        <w:spacing w:after="0"/>
        <w:jc w:val="both"/>
        <w:rPr>
          <w:rFonts w:ascii="Verdana" w:hAnsi="Verdana"/>
          <w:color w:val="000000" w:themeColor="text1"/>
          <w:lang w:val="es-ES"/>
        </w:rPr>
      </w:pPr>
    </w:p>
    <w:p w14:paraId="2EF263C2" w14:textId="77777777" w:rsidR="00235DEC" w:rsidRPr="00CD7C8A" w:rsidRDefault="00235DEC" w:rsidP="00235DEC">
      <w:pPr>
        <w:spacing w:after="0"/>
        <w:jc w:val="both"/>
        <w:rPr>
          <w:rFonts w:ascii="Verdana" w:hAnsi="Verdana"/>
          <w:color w:val="000000" w:themeColor="text1"/>
          <w:lang w:val="es-ES"/>
        </w:rPr>
      </w:pPr>
    </w:p>
    <w:p w14:paraId="5E2A12F3" w14:textId="3A7C9342" w:rsidR="00235DEC" w:rsidRDefault="009B1F36" w:rsidP="00235DEC">
      <w:pPr>
        <w:spacing w:after="0"/>
        <w:rPr>
          <w:rFonts w:ascii="Verdana" w:hAnsi="Verdana"/>
        </w:rPr>
      </w:pPr>
      <w:r>
        <w:rPr>
          <w:rFonts w:ascii="Verdana" w:hAnsi="Verdana"/>
          <w:noProof/>
        </w:rPr>
        <w:lastRenderedPageBreak/>
        <w:drawing>
          <wp:anchor distT="0" distB="0" distL="114300" distR="114300" simplePos="0" relativeHeight="251659265" behindDoc="0" locked="0" layoutInCell="1" allowOverlap="1" wp14:anchorId="64BBEAC7" wp14:editId="2C0182B6">
            <wp:simplePos x="0" y="0"/>
            <wp:positionH relativeFrom="margin">
              <wp:posOffset>3588385</wp:posOffset>
            </wp:positionH>
            <wp:positionV relativeFrom="margin">
              <wp:posOffset>123825</wp:posOffset>
            </wp:positionV>
            <wp:extent cx="2085975" cy="633730"/>
            <wp:effectExtent l="0" t="0" r="0" b="1270"/>
            <wp:wrapSquare wrapText="bothSides"/>
            <wp:docPr id="11638162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16294" name="Imagen 116381629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5975" cy="633730"/>
                    </a:xfrm>
                    <a:prstGeom prst="rect">
                      <a:avLst/>
                    </a:prstGeom>
                  </pic:spPr>
                </pic:pic>
              </a:graphicData>
            </a:graphic>
            <wp14:sizeRelH relativeFrom="margin">
              <wp14:pctWidth>0</wp14:pctWidth>
            </wp14:sizeRelH>
            <wp14:sizeRelV relativeFrom="margin">
              <wp14:pctHeight>0</wp14:pctHeight>
            </wp14:sizeRelV>
          </wp:anchor>
        </w:drawing>
      </w:r>
      <w:r w:rsidRPr="009B1F36">
        <w:rPr>
          <w:rFonts w:ascii="Verdana" w:hAnsi="Verdana"/>
        </w:rPr>
        <w:t>Bogotá D.C., 20 Septiembre 2026</w:t>
      </w:r>
    </w:p>
    <w:p w14:paraId="4E22C5B9" w14:textId="7477FEF3" w:rsidR="009B1F36" w:rsidRPr="00A11AA2" w:rsidRDefault="009B1F36" w:rsidP="00235DEC">
      <w:pPr>
        <w:spacing w:after="0"/>
        <w:rPr>
          <w:rFonts w:ascii="Verdana" w:hAnsi="Verdana"/>
        </w:rPr>
      </w:pPr>
    </w:p>
    <w:p w14:paraId="0F25E845" w14:textId="77777777" w:rsidR="00235DEC" w:rsidRPr="00D80848" w:rsidRDefault="00235DEC" w:rsidP="00235DEC">
      <w:pPr>
        <w:spacing w:after="0" w:line="276" w:lineRule="auto"/>
        <w:rPr>
          <w:rFonts w:ascii="Verdana" w:eastAsia="Calibri" w:hAnsi="Verdana" w:cs="Arial"/>
          <w:lang w:val="es-ES" w:eastAsia="es-ES"/>
        </w:rPr>
      </w:pPr>
      <w:r w:rsidRPr="00D80848">
        <w:rPr>
          <w:rFonts w:ascii="Verdana" w:eastAsia="Calibri" w:hAnsi="Verdana" w:cs="Arial"/>
          <w:lang w:val="es-ES" w:eastAsia="es-ES"/>
        </w:rPr>
        <w:t xml:space="preserve">Señor </w:t>
      </w:r>
    </w:p>
    <w:p w14:paraId="3C4C5970" w14:textId="77777777" w:rsidR="00235DEC" w:rsidRPr="00D80848" w:rsidRDefault="00235DEC" w:rsidP="00235DEC">
      <w:pPr>
        <w:spacing w:after="0" w:line="276" w:lineRule="auto"/>
        <w:rPr>
          <w:rFonts w:ascii="Verdana" w:eastAsia="Calibri" w:hAnsi="Verdana" w:cs="Arial"/>
          <w:b/>
          <w:bCs/>
          <w:lang w:eastAsia="es-ES"/>
        </w:rPr>
      </w:pPr>
      <w:r w:rsidRPr="00D80848">
        <w:rPr>
          <w:rFonts w:ascii="Verdana" w:eastAsia="Calibri" w:hAnsi="Verdana" w:cs="Arial"/>
          <w:b/>
          <w:bCs/>
          <w:lang w:eastAsia="es-ES"/>
        </w:rPr>
        <w:t>Víctor Eduardo Andrade Achury</w:t>
      </w:r>
    </w:p>
    <w:p w14:paraId="580FE445" w14:textId="77777777" w:rsidR="00235DEC" w:rsidRPr="00D80848" w:rsidRDefault="00235DEC" w:rsidP="00235DEC">
      <w:pPr>
        <w:spacing w:after="0" w:line="276" w:lineRule="auto"/>
        <w:rPr>
          <w:rFonts w:ascii="Verdana" w:hAnsi="Verdana"/>
        </w:rPr>
      </w:pPr>
      <w:hyperlink r:id="rId11" w:history="1">
        <w:r w:rsidRPr="00D80848">
          <w:rPr>
            <w:rStyle w:val="Hipervnculo"/>
            <w:rFonts w:ascii="Verdana" w:hAnsi="Verdana"/>
          </w:rPr>
          <w:t>veandrade@sena.edu.co</w:t>
        </w:r>
      </w:hyperlink>
    </w:p>
    <w:p w14:paraId="74B508F3" w14:textId="77777777" w:rsidR="00235DEC" w:rsidRPr="00D80848" w:rsidRDefault="00235DEC" w:rsidP="00235DEC">
      <w:pPr>
        <w:spacing w:after="0" w:line="276" w:lineRule="auto"/>
        <w:rPr>
          <w:rFonts w:ascii="Verdana" w:eastAsia="Calibri" w:hAnsi="Verdana" w:cs="Arial"/>
          <w:b/>
          <w:bCs/>
          <w:color w:val="66CCFF"/>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114"/>
      </w:tblGrid>
      <w:tr w:rsidR="00235DEC" w:rsidRPr="007E53B7" w14:paraId="26DC7F15" w14:textId="77777777" w:rsidTr="002B23E6">
        <w:trPr>
          <w:trHeight w:val="488"/>
        </w:trPr>
        <w:tc>
          <w:tcPr>
            <w:tcW w:w="3119" w:type="dxa"/>
          </w:tcPr>
          <w:p w14:paraId="602542F8" w14:textId="77777777" w:rsidR="00235DEC" w:rsidRPr="007E53B7" w:rsidRDefault="00235DEC" w:rsidP="002B23E6">
            <w:pPr>
              <w:spacing w:line="276" w:lineRule="auto"/>
              <w:jc w:val="both"/>
              <w:rPr>
                <w:rFonts w:ascii="Verdana" w:eastAsia="Calibri" w:hAnsi="Verdana" w:cs="Arial"/>
                <w:b/>
                <w:bCs/>
                <w:color w:val="66CCFF"/>
                <w:lang w:val="es-ES_tradnl" w:eastAsia="es-ES_tradnl"/>
              </w:rPr>
            </w:pPr>
          </w:p>
        </w:tc>
        <w:tc>
          <w:tcPr>
            <w:tcW w:w="6114" w:type="dxa"/>
            <w:hideMark/>
          </w:tcPr>
          <w:p w14:paraId="10870521" w14:textId="77777777" w:rsidR="00235DEC" w:rsidRPr="00DF2EA7" w:rsidRDefault="00235DEC" w:rsidP="002B23E6">
            <w:pPr>
              <w:spacing w:line="276" w:lineRule="auto"/>
              <w:jc w:val="both"/>
              <w:rPr>
                <w:rFonts w:ascii="Verdana" w:eastAsia="Calibri" w:hAnsi="Verdana" w:cs="Arial"/>
                <w:b/>
                <w:bCs/>
                <w:lang w:val="es-ES" w:eastAsia="es-ES"/>
              </w:rPr>
            </w:pPr>
            <w:r w:rsidRPr="00DF2EA7">
              <w:rPr>
                <w:rFonts w:ascii="Verdana" w:eastAsia="Calibri" w:hAnsi="Verdana" w:cs="Arial"/>
                <w:b/>
                <w:bCs/>
                <w:lang w:val="es-ES" w:eastAsia="es-ES"/>
              </w:rPr>
              <w:t xml:space="preserve">Concepto C – </w:t>
            </w:r>
            <w:r>
              <w:rPr>
                <w:rFonts w:ascii="Verdana" w:eastAsia="Calibri" w:hAnsi="Verdana" w:cs="Arial"/>
                <w:b/>
                <w:bCs/>
                <w:lang w:val="es-ES" w:eastAsia="es-ES"/>
              </w:rPr>
              <w:t xml:space="preserve">1266 </w:t>
            </w:r>
            <w:r w:rsidRPr="00DF2EA7">
              <w:rPr>
                <w:rFonts w:ascii="Verdana" w:eastAsia="Calibri" w:hAnsi="Verdana" w:cs="Arial"/>
                <w:b/>
                <w:bCs/>
                <w:lang w:val="es-ES" w:eastAsia="es-ES"/>
              </w:rPr>
              <w:t>de 2026</w:t>
            </w:r>
          </w:p>
        </w:tc>
      </w:tr>
      <w:tr w:rsidR="00235DEC" w:rsidRPr="006069F8" w14:paraId="3A9BA649" w14:textId="77777777" w:rsidTr="002B23E6">
        <w:trPr>
          <w:trHeight w:val="999"/>
        </w:trPr>
        <w:tc>
          <w:tcPr>
            <w:tcW w:w="3119" w:type="dxa"/>
            <w:hideMark/>
          </w:tcPr>
          <w:p w14:paraId="74041607" w14:textId="77777777" w:rsidR="00235DEC" w:rsidRPr="00A11AA2" w:rsidRDefault="00235DEC" w:rsidP="002B23E6">
            <w:pPr>
              <w:spacing w:line="276" w:lineRule="auto"/>
              <w:jc w:val="both"/>
              <w:rPr>
                <w:rFonts w:ascii="Verdana" w:eastAsia="Calibri" w:hAnsi="Verdana" w:cs="Arial"/>
                <w:color w:val="66CCFF"/>
                <w:lang w:val="es-ES_tradnl" w:eastAsia="es-ES_tradnl"/>
              </w:rPr>
            </w:pPr>
            <w:r w:rsidRPr="00A11AA2">
              <w:rPr>
                <w:rFonts w:ascii="Verdana" w:eastAsia="Calibri" w:hAnsi="Verdana" w:cs="Arial"/>
                <w:b/>
                <w:lang w:val="es-ES_tradnl" w:eastAsia="es-ES_tradnl"/>
              </w:rPr>
              <w:t>Temas:</w:t>
            </w:r>
            <w:r w:rsidRPr="00A11AA2">
              <w:rPr>
                <w:rFonts w:ascii="Verdana" w:eastAsia="Calibri" w:hAnsi="Verdana" w:cs="Arial"/>
                <w:lang w:val="es-ES_tradnl" w:eastAsia="es-ES_tradnl"/>
              </w:rPr>
              <w:t xml:space="preserve">                   </w:t>
            </w:r>
          </w:p>
        </w:tc>
        <w:tc>
          <w:tcPr>
            <w:tcW w:w="6114" w:type="dxa"/>
          </w:tcPr>
          <w:p w14:paraId="5BCDFCBB" w14:textId="77777777" w:rsidR="00235DEC" w:rsidRPr="00FF41DA" w:rsidRDefault="00235DEC" w:rsidP="002B23E6">
            <w:pPr>
              <w:jc w:val="both"/>
              <w:rPr>
                <w:rFonts w:ascii="Verdana" w:eastAsia="Calibri" w:hAnsi="Verdana" w:cs="Times New Roman"/>
                <w:lang w:eastAsia="es-MX"/>
              </w:rPr>
            </w:pPr>
            <w:r w:rsidRPr="00FF41DA">
              <w:rPr>
                <w:rFonts w:ascii="Verdana" w:eastAsia="Calibri" w:hAnsi="Verdana" w:cs="Arial"/>
                <w:lang w:val="es-ES_tradnl" w:eastAsia="es-MX"/>
              </w:rPr>
              <w:t>DOCUMENTOS TIPO – Fundamento normativo – Obligatoriedad / SECTOR SOCIAL</w:t>
            </w:r>
            <w:r w:rsidRPr="00FF41DA">
              <w:rPr>
                <w:rFonts w:ascii="Verdana" w:eastAsia="Calibri" w:hAnsi="Verdana" w:cs="Times New Roman"/>
                <w:lang w:val="es-ES" w:eastAsia="es-MX"/>
              </w:rPr>
              <w:t xml:space="preserve"> – Documentos tipo – Vigentes / DOCUMENTOS TIPO – Aplicación – Matriz de Experiencia / </w:t>
            </w:r>
            <w:r w:rsidRPr="00EC02EB">
              <w:rPr>
                <w:rFonts w:ascii="Verdana" w:eastAsia="Calibri" w:hAnsi="Verdana" w:cs="Times New Roman"/>
                <w:lang w:val="es-ES" w:eastAsia="es-MX"/>
              </w:rPr>
              <w:t>DOCUMENTOS TIPO – Infraestructura social - Aplicación – Matriz de Experiencia – Grupos de ocupación</w:t>
            </w:r>
            <w:r>
              <w:rPr>
                <w:rFonts w:ascii="Verdana" w:eastAsia="Calibri" w:hAnsi="Verdana" w:cs="Times New Roman"/>
                <w:lang w:val="es-ES" w:eastAsia="es-MX"/>
              </w:rPr>
              <w:t xml:space="preserve"> </w:t>
            </w:r>
            <w:r w:rsidRPr="00FF41DA">
              <w:rPr>
                <w:rFonts w:ascii="Verdana" w:eastAsia="Calibri" w:hAnsi="Verdana" w:cs="Times New Roman"/>
                <w:lang w:val="es-ES" w:eastAsia="es-MX"/>
              </w:rPr>
              <w:t xml:space="preserve">/ </w:t>
            </w:r>
            <w:r w:rsidRPr="00FF41DA">
              <w:rPr>
                <w:rFonts w:ascii="Verdana" w:eastAsia="Calibri" w:hAnsi="Verdana" w:cs="Times New Roman"/>
                <w:lang w:eastAsia="es-MX"/>
              </w:rPr>
              <w:t>PROCESOS DE CONTRATACIÓN DEL SENA – Infraestructura física – Documentos Tipo – Sector Social - Subgrupo de Ocupación Institucional de Educación (I-3) - Subgrupo de Ocupación Institucional de Servicio Público (I-5).</w:t>
            </w:r>
          </w:p>
          <w:p w14:paraId="08658B3F" w14:textId="77777777" w:rsidR="00235DEC" w:rsidRPr="00FF41DA" w:rsidRDefault="00235DEC" w:rsidP="002B23E6">
            <w:pPr>
              <w:spacing w:line="276" w:lineRule="auto"/>
              <w:jc w:val="both"/>
              <w:rPr>
                <w:rFonts w:ascii="Verdana" w:hAnsi="Verdana" w:cs="Arial"/>
                <w:lang w:val="es-MX" w:eastAsia="es-ES"/>
              </w:rPr>
            </w:pPr>
          </w:p>
        </w:tc>
      </w:tr>
      <w:tr w:rsidR="00235DEC" w:rsidRPr="00724695" w14:paraId="6CBFF666" w14:textId="77777777" w:rsidTr="002B23E6">
        <w:trPr>
          <w:trHeight w:val="597"/>
        </w:trPr>
        <w:tc>
          <w:tcPr>
            <w:tcW w:w="3119" w:type="dxa"/>
            <w:hideMark/>
          </w:tcPr>
          <w:p w14:paraId="0047136B" w14:textId="77777777" w:rsidR="00235DEC" w:rsidRPr="008C5E3B" w:rsidRDefault="00235DEC" w:rsidP="002B23E6">
            <w:pPr>
              <w:spacing w:line="276" w:lineRule="auto"/>
              <w:jc w:val="both"/>
              <w:rPr>
                <w:rFonts w:ascii="Verdana" w:eastAsia="Calibri" w:hAnsi="Verdana" w:cs="Arial"/>
                <w:b/>
                <w:lang w:val="es-ES_tradnl" w:eastAsia="es-ES_tradnl"/>
              </w:rPr>
            </w:pPr>
            <w:r w:rsidRPr="008C5E3B">
              <w:rPr>
                <w:rFonts w:ascii="Verdana" w:eastAsia="Calibri" w:hAnsi="Verdana" w:cs="Arial"/>
                <w:b/>
                <w:lang w:val="es-ES_tradnl" w:eastAsia="es-ES_tradnl"/>
              </w:rPr>
              <w:t xml:space="preserve">Radicación:               </w:t>
            </w:r>
          </w:p>
        </w:tc>
        <w:tc>
          <w:tcPr>
            <w:tcW w:w="6114" w:type="dxa"/>
          </w:tcPr>
          <w:p w14:paraId="41C09BA1" w14:textId="77777777" w:rsidR="00235DEC" w:rsidRPr="00FE24EB" w:rsidRDefault="00235DEC" w:rsidP="002B23E6">
            <w:pPr>
              <w:spacing w:line="276" w:lineRule="auto"/>
              <w:jc w:val="both"/>
              <w:rPr>
                <w:rFonts w:ascii="Verdana" w:eastAsia="Calibri" w:hAnsi="Verdana" w:cs="Arial"/>
                <w:bCs/>
                <w:lang w:eastAsia="es-ES_tradnl"/>
              </w:rPr>
            </w:pPr>
            <w:r w:rsidRPr="00724695">
              <w:rPr>
                <w:rFonts w:ascii="Verdana" w:eastAsia="Calibri" w:hAnsi="Verdana" w:cs="Arial"/>
                <w:bCs/>
                <w:lang w:val="es-ES_tradnl" w:eastAsia="es-ES_tradnl"/>
              </w:rPr>
              <w:t xml:space="preserve">Respuesta a consulta con radicado </w:t>
            </w:r>
            <w:proofErr w:type="gramStart"/>
            <w:r w:rsidRPr="00724695">
              <w:rPr>
                <w:rFonts w:ascii="Verdana" w:eastAsia="Calibri" w:hAnsi="Verdana" w:cs="Arial"/>
                <w:bCs/>
                <w:lang w:eastAsia="es-ES_tradnl"/>
              </w:rPr>
              <w:t xml:space="preserve">No. </w:t>
            </w:r>
            <w:r w:rsidRPr="00592E01">
              <w:rPr>
                <w:rFonts w:ascii="Verdana" w:eastAsia="Calibri" w:hAnsi="Verdana" w:cs="Arial"/>
                <w:b/>
                <w:bCs/>
                <w:lang w:eastAsia="es-ES_tradnl"/>
              </w:rPr>
              <w:t> </w:t>
            </w:r>
            <w:r>
              <w:rPr>
                <w:rFonts w:ascii="Verdana" w:hAnsi="Verdana" w:cs="Calibri"/>
              </w:rPr>
              <w:t>1</w:t>
            </w:r>
            <w:proofErr w:type="gramEnd"/>
            <w:r>
              <w:rPr>
                <w:rFonts w:ascii="Verdana" w:hAnsi="Verdana" w:cs="Calibri"/>
              </w:rPr>
              <w:t>_2026_08_12_010647</w:t>
            </w:r>
          </w:p>
          <w:p w14:paraId="151F4C54" w14:textId="77777777" w:rsidR="00235DEC" w:rsidRPr="007602A1" w:rsidRDefault="00235DEC" w:rsidP="002B23E6">
            <w:pPr>
              <w:spacing w:line="276" w:lineRule="auto"/>
              <w:jc w:val="both"/>
              <w:rPr>
                <w:rFonts w:ascii="Verdana" w:eastAsia="Calibri" w:hAnsi="Verdana" w:cs="Arial"/>
                <w:bCs/>
                <w:lang w:eastAsia="es-ES_tradnl"/>
              </w:rPr>
            </w:pPr>
          </w:p>
        </w:tc>
      </w:tr>
    </w:tbl>
    <w:p w14:paraId="1B5C96A0" w14:textId="77777777" w:rsidR="00235DEC" w:rsidRPr="00AB5C52" w:rsidRDefault="00235DEC" w:rsidP="00235DEC">
      <w:pPr>
        <w:spacing w:after="0" w:line="276" w:lineRule="auto"/>
        <w:jc w:val="both"/>
        <w:rPr>
          <w:rFonts w:ascii="Verdana" w:eastAsia="Calibri" w:hAnsi="Verdana" w:cs="Arial"/>
          <w:bCs/>
          <w:lang w:val="es-ES_tradnl" w:eastAsia="es-ES_tradnl"/>
        </w:rPr>
      </w:pPr>
    </w:p>
    <w:p w14:paraId="4A0B3D6F" w14:textId="77777777" w:rsidR="00235DEC" w:rsidRPr="00AB5C52" w:rsidRDefault="00235DEC" w:rsidP="00235DEC">
      <w:pPr>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Estimad</w:t>
      </w:r>
      <w:r>
        <w:rPr>
          <w:rFonts w:ascii="Verdana" w:eastAsia="Calibri" w:hAnsi="Verdana" w:cs="Arial"/>
          <w:bCs/>
          <w:lang w:val="es-ES" w:eastAsia="es-ES"/>
        </w:rPr>
        <w:t>o Señor Víctor Eduardo, cordial saludo</w:t>
      </w:r>
      <w:r w:rsidRPr="00AB5C52">
        <w:rPr>
          <w:rFonts w:ascii="Verdana" w:eastAsia="Calibri" w:hAnsi="Verdana" w:cs="Arial"/>
          <w:bCs/>
          <w:lang w:val="es-ES" w:eastAsia="es-ES"/>
        </w:rPr>
        <w:t xml:space="preserve">:  </w:t>
      </w:r>
    </w:p>
    <w:p w14:paraId="2C40A5D7" w14:textId="77777777" w:rsidR="00235DEC" w:rsidRPr="00AB5C52" w:rsidRDefault="00235DEC" w:rsidP="00235DEC">
      <w:pPr>
        <w:tabs>
          <w:tab w:val="left" w:pos="3768"/>
        </w:tabs>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ab/>
      </w:r>
    </w:p>
    <w:p w14:paraId="4726ECC4" w14:textId="77777777" w:rsidR="00235DEC" w:rsidRPr="003125D1" w:rsidRDefault="00235DEC" w:rsidP="00235DEC">
      <w:pPr>
        <w:spacing w:after="0" w:line="276" w:lineRule="auto"/>
        <w:jc w:val="both"/>
        <w:rPr>
          <w:rFonts w:ascii="Verdana" w:eastAsia="Calibri" w:hAnsi="Verdana" w:cs="Arial"/>
          <w:lang w:val="es-ES" w:eastAsia="es-ES"/>
        </w:rPr>
      </w:pPr>
      <w:r w:rsidRPr="003125D1">
        <w:rPr>
          <w:rFonts w:ascii="Verdana" w:eastAsia="Calibri" w:hAnsi="Verdana" w:cs="Arial"/>
          <w:lang w:val="es-ES" w:eastAsia="es-ES"/>
        </w:rPr>
        <w:t>En ejercicio de la competencia otorgada por los artículos 3, numeral 5º, y 11, numeral 8º, del Decreto Ley 4170 de 2011,</w:t>
      </w:r>
      <w:r w:rsidRPr="003125D1">
        <w:rPr>
          <w:rFonts w:ascii="Verdana" w:eastAsia="Arial MT" w:hAnsi="Verdana" w:cs="Arial MT"/>
          <w:lang w:val="es-ES" w:eastAsia="es-ES"/>
        </w:rPr>
        <w:t xml:space="preserve"> </w:t>
      </w:r>
      <w:r w:rsidRPr="003125D1">
        <w:rPr>
          <w:rFonts w:ascii="Verdana" w:eastAsia="Calibri" w:hAnsi="Verdana" w:cs="Arial"/>
        </w:rPr>
        <w:t xml:space="preserve">así como lo establecido en el artículo 4 de la Resolución 1707 de 2018 expedida por esta Entidad, </w:t>
      </w:r>
      <w:r w:rsidRPr="003125D1">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 xml:space="preserve">12 </w:t>
      </w:r>
      <w:r w:rsidRPr="003125D1">
        <w:rPr>
          <w:rFonts w:ascii="Verdana" w:eastAsia="Calibri" w:hAnsi="Verdana" w:cs="Arial"/>
          <w:lang w:val="es-ES" w:eastAsia="es-ES"/>
        </w:rPr>
        <w:t xml:space="preserve">de </w:t>
      </w:r>
      <w:r>
        <w:rPr>
          <w:rFonts w:ascii="Verdana" w:eastAsia="Calibri" w:hAnsi="Verdana" w:cs="Arial"/>
          <w:lang w:val="es-ES" w:eastAsia="es-ES"/>
        </w:rPr>
        <w:t xml:space="preserve">agosto </w:t>
      </w:r>
      <w:r w:rsidRPr="003125D1">
        <w:rPr>
          <w:rFonts w:ascii="Verdana" w:eastAsia="Calibri" w:hAnsi="Verdana" w:cs="Arial"/>
          <w:lang w:val="es-ES" w:eastAsia="es-ES"/>
        </w:rPr>
        <w:t xml:space="preserve">de 2026, en la cual manifiesta lo siguiente: </w:t>
      </w:r>
      <w:bookmarkStart w:id="1" w:name="_Hlk95313578"/>
    </w:p>
    <w:p w14:paraId="3B55F5DE" w14:textId="77777777" w:rsidR="00235DEC" w:rsidRPr="003125D1" w:rsidRDefault="00235DEC" w:rsidP="00235DEC">
      <w:pPr>
        <w:spacing w:after="0" w:line="276" w:lineRule="auto"/>
        <w:jc w:val="both"/>
        <w:rPr>
          <w:rFonts w:ascii="Verdana" w:eastAsia="Calibri" w:hAnsi="Verdana" w:cs="Arial"/>
          <w:bCs/>
          <w:lang w:val="es-ES" w:eastAsia="es-ES"/>
        </w:rPr>
      </w:pPr>
    </w:p>
    <w:bookmarkEnd w:id="1"/>
    <w:p w14:paraId="6BC6173E" w14:textId="77777777" w:rsidR="00235DEC" w:rsidRDefault="00235DEC" w:rsidP="00235DEC">
      <w:pPr>
        <w:spacing w:after="0" w:line="240" w:lineRule="auto"/>
        <w:ind w:left="709" w:right="709"/>
        <w:jc w:val="both"/>
        <w:rPr>
          <w:rFonts w:ascii="Verdana" w:eastAsia="Calibri" w:hAnsi="Verdana" w:cs="Arial"/>
          <w:i/>
          <w:iCs/>
          <w:sz w:val="21"/>
          <w:szCs w:val="21"/>
          <w:lang w:val="es-ES" w:eastAsia="es-ES"/>
        </w:rPr>
      </w:pPr>
      <w:r w:rsidRPr="003125D1">
        <w:rPr>
          <w:rFonts w:ascii="Verdana" w:eastAsia="Calibri" w:hAnsi="Verdana" w:cs="Arial"/>
          <w:i/>
          <w:iCs/>
          <w:sz w:val="21"/>
          <w:szCs w:val="21"/>
          <w:lang w:val="es-ES" w:eastAsia="es-ES"/>
        </w:rPr>
        <w:t>“(…)</w:t>
      </w:r>
    </w:p>
    <w:p w14:paraId="29769E4F" w14:textId="77777777" w:rsidR="00235DEC" w:rsidRDefault="00235DEC" w:rsidP="00235DEC">
      <w:pPr>
        <w:spacing w:after="0" w:line="240" w:lineRule="auto"/>
        <w:ind w:left="709" w:right="709"/>
        <w:jc w:val="both"/>
        <w:rPr>
          <w:rFonts w:ascii="Verdana" w:eastAsia="Calibri" w:hAnsi="Verdana" w:cs="Arial"/>
          <w:i/>
          <w:iCs/>
          <w:sz w:val="21"/>
          <w:szCs w:val="21"/>
          <w:lang w:val="es-ES" w:eastAsia="es-ES"/>
        </w:rPr>
      </w:pPr>
    </w:p>
    <w:p w14:paraId="46A40F0C" w14:textId="77777777" w:rsidR="00235DEC" w:rsidRDefault="00235DEC" w:rsidP="00235DEC">
      <w:pPr>
        <w:spacing w:after="0" w:line="240" w:lineRule="auto"/>
        <w:ind w:left="709" w:right="709"/>
        <w:jc w:val="both"/>
        <w:rPr>
          <w:rFonts w:ascii="Verdana" w:eastAsia="Calibri" w:hAnsi="Verdana" w:cs="Arial"/>
          <w:i/>
          <w:iCs/>
          <w:sz w:val="21"/>
          <w:szCs w:val="21"/>
          <w:lang w:eastAsia="es-ES"/>
        </w:rPr>
      </w:pPr>
      <w:r w:rsidRPr="007E1901">
        <w:rPr>
          <w:rFonts w:ascii="Verdana" w:eastAsia="Calibri" w:hAnsi="Verdana" w:cs="Arial"/>
          <w:i/>
          <w:iCs/>
          <w:sz w:val="21"/>
          <w:szCs w:val="21"/>
          <w:lang w:eastAsia="es-ES"/>
        </w:rPr>
        <w:t>Solicito amablemente se informe si el Servicio Nacional de Aprendizaje –</w:t>
      </w:r>
      <w:r>
        <w:rPr>
          <w:rFonts w:ascii="Verdana" w:eastAsia="Calibri" w:hAnsi="Verdana" w:cs="Arial"/>
          <w:i/>
          <w:iCs/>
          <w:sz w:val="21"/>
          <w:szCs w:val="21"/>
          <w:lang w:eastAsia="es-ES"/>
        </w:rPr>
        <w:t xml:space="preserve"> </w:t>
      </w:r>
      <w:r w:rsidRPr="007E1901">
        <w:rPr>
          <w:rFonts w:ascii="Verdana" w:eastAsia="Calibri" w:hAnsi="Verdana" w:cs="Arial"/>
          <w:i/>
          <w:iCs/>
          <w:sz w:val="21"/>
          <w:szCs w:val="21"/>
          <w:lang w:eastAsia="es-ES"/>
        </w:rPr>
        <w:t>SENA se encuentra obligado a aplicar los Pliegos Tipo establecidos por la</w:t>
      </w:r>
      <w:r>
        <w:rPr>
          <w:rFonts w:ascii="Verdana" w:eastAsia="Calibri" w:hAnsi="Verdana" w:cs="Arial"/>
          <w:i/>
          <w:iCs/>
          <w:sz w:val="21"/>
          <w:szCs w:val="21"/>
          <w:lang w:eastAsia="es-ES"/>
        </w:rPr>
        <w:t xml:space="preserve"> </w:t>
      </w:r>
      <w:r w:rsidRPr="007E1901">
        <w:rPr>
          <w:rFonts w:ascii="Verdana" w:eastAsia="Calibri" w:hAnsi="Verdana" w:cs="Arial"/>
          <w:i/>
          <w:iCs/>
          <w:sz w:val="21"/>
          <w:szCs w:val="21"/>
          <w:lang w:eastAsia="es-ES"/>
        </w:rPr>
        <w:t>Agencia Nacional de Contratación Pública – Colombia Compra Eficiente</w:t>
      </w:r>
      <w:r>
        <w:rPr>
          <w:rFonts w:ascii="Verdana" w:eastAsia="Calibri" w:hAnsi="Verdana" w:cs="Arial"/>
          <w:i/>
          <w:iCs/>
          <w:sz w:val="21"/>
          <w:szCs w:val="21"/>
          <w:lang w:eastAsia="es-ES"/>
        </w:rPr>
        <w:t xml:space="preserve"> </w:t>
      </w:r>
      <w:r w:rsidRPr="007E1901">
        <w:rPr>
          <w:rFonts w:ascii="Verdana" w:eastAsia="Calibri" w:hAnsi="Verdana" w:cs="Arial"/>
          <w:i/>
          <w:iCs/>
          <w:sz w:val="21"/>
          <w:szCs w:val="21"/>
          <w:lang w:eastAsia="es-ES"/>
        </w:rPr>
        <w:t>para la contratación de obras y/o mantenimiento de su infraestructura.</w:t>
      </w:r>
    </w:p>
    <w:p w14:paraId="1EE20ABD" w14:textId="77777777" w:rsidR="00235DEC" w:rsidRDefault="00235DEC" w:rsidP="00235DEC">
      <w:pPr>
        <w:spacing w:after="0" w:line="240" w:lineRule="auto"/>
        <w:ind w:left="709" w:right="709"/>
        <w:jc w:val="both"/>
        <w:rPr>
          <w:rFonts w:ascii="Verdana" w:eastAsia="Calibri" w:hAnsi="Verdana" w:cs="Arial"/>
          <w:i/>
          <w:iCs/>
          <w:sz w:val="21"/>
          <w:szCs w:val="21"/>
          <w:lang w:eastAsia="es-ES"/>
        </w:rPr>
      </w:pPr>
    </w:p>
    <w:p w14:paraId="60C2C428" w14:textId="77777777" w:rsidR="00235DEC" w:rsidRPr="007E1901" w:rsidRDefault="00235DEC" w:rsidP="00235DEC">
      <w:pPr>
        <w:spacing w:after="0" w:line="240" w:lineRule="auto"/>
        <w:ind w:left="709" w:right="709"/>
        <w:jc w:val="both"/>
        <w:rPr>
          <w:rFonts w:ascii="Verdana" w:eastAsia="Calibri" w:hAnsi="Verdana" w:cs="Arial"/>
          <w:i/>
          <w:iCs/>
          <w:sz w:val="21"/>
          <w:szCs w:val="21"/>
          <w:lang w:eastAsia="es-ES"/>
        </w:rPr>
      </w:pPr>
      <w:r w:rsidRPr="007E1901">
        <w:rPr>
          <w:rFonts w:ascii="Verdana" w:eastAsia="Calibri" w:hAnsi="Verdana" w:cs="Arial"/>
          <w:i/>
          <w:iCs/>
          <w:sz w:val="21"/>
          <w:szCs w:val="21"/>
          <w:lang w:eastAsia="es-ES"/>
        </w:rPr>
        <w:lastRenderedPageBreak/>
        <w:t>Lo anterior, teniendo en cuenta que se presenta inquietud respecto de la</w:t>
      </w:r>
      <w:r>
        <w:rPr>
          <w:rFonts w:ascii="Verdana" w:eastAsia="Calibri" w:hAnsi="Verdana" w:cs="Arial"/>
          <w:i/>
          <w:iCs/>
          <w:sz w:val="21"/>
          <w:szCs w:val="21"/>
          <w:lang w:eastAsia="es-ES"/>
        </w:rPr>
        <w:t xml:space="preserve"> </w:t>
      </w:r>
      <w:r w:rsidRPr="007E1901">
        <w:rPr>
          <w:rFonts w:ascii="Verdana" w:eastAsia="Calibri" w:hAnsi="Verdana" w:cs="Arial"/>
          <w:i/>
          <w:iCs/>
          <w:sz w:val="21"/>
          <w:szCs w:val="21"/>
          <w:lang w:eastAsia="es-ES"/>
        </w:rPr>
        <w:t>clasificación del SENA dentro del sector de infraestructura social,</w:t>
      </w:r>
      <w:r>
        <w:rPr>
          <w:rFonts w:ascii="Verdana" w:eastAsia="Calibri" w:hAnsi="Verdana" w:cs="Arial"/>
          <w:i/>
          <w:iCs/>
          <w:sz w:val="21"/>
          <w:szCs w:val="21"/>
          <w:lang w:eastAsia="es-ES"/>
        </w:rPr>
        <w:t xml:space="preserve"> </w:t>
      </w:r>
      <w:r w:rsidRPr="007E1901">
        <w:rPr>
          <w:rFonts w:ascii="Verdana" w:eastAsia="Calibri" w:hAnsi="Verdana" w:cs="Arial"/>
          <w:i/>
          <w:iCs/>
          <w:sz w:val="21"/>
          <w:szCs w:val="21"/>
          <w:lang w:eastAsia="es-ES"/>
        </w:rPr>
        <w:t>específicamente en lo relacionado con infraestructura educativa, toda vez</w:t>
      </w:r>
      <w:r>
        <w:rPr>
          <w:rFonts w:ascii="Verdana" w:eastAsia="Calibri" w:hAnsi="Verdana" w:cs="Arial"/>
          <w:i/>
          <w:iCs/>
          <w:sz w:val="21"/>
          <w:szCs w:val="21"/>
          <w:lang w:eastAsia="es-ES"/>
        </w:rPr>
        <w:t xml:space="preserve"> </w:t>
      </w:r>
      <w:r w:rsidRPr="007E1901">
        <w:rPr>
          <w:rFonts w:ascii="Verdana" w:eastAsia="Calibri" w:hAnsi="Verdana" w:cs="Arial"/>
          <w:i/>
          <w:iCs/>
          <w:sz w:val="21"/>
          <w:szCs w:val="21"/>
          <w:lang w:eastAsia="es-ES"/>
        </w:rPr>
        <w:t>que dicha entidad se encuentra adscrita al Ministerio del Trabajo y no al</w:t>
      </w:r>
      <w:r>
        <w:rPr>
          <w:rFonts w:ascii="Verdana" w:eastAsia="Calibri" w:hAnsi="Verdana" w:cs="Arial"/>
          <w:i/>
          <w:iCs/>
          <w:sz w:val="21"/>
          <w:szCs w:val="21"/>
          <w:lang w:eastAsia="es-ES"/>
        </w:rPr>
        <w:t xml:space="preserve"> </w:t>
      </w:r>
      <w:r w:rsidRPr="007E1901">
        <w:rPr>
          <w:rFonts w:ascii="Verdana" w:eastAsia="Calibri" w:hAnsi="Verdana" w:cs="Arial"/>
          <w:i/>
          <w:iCs/>
          <w:sz w:val="21"/>
          <w:szCs w:val="21"/>
          <w:lang w:eastAsia="es-ES"/>
        </w:rPr>
        <w:t>Ministerio de Educación Nacional.</w:t>
      </w:r>
    </w:p>
    <w:p w14:paraId="2AEC2805" w14:textId="77777777" w:rsidR="00235DEC" w:rsidRPr="00303983" w:rsidRDefault="00235DEC" w:rsidP="00235DEC">
      <w:pPr>
        <w:spacing w:after="0" w:line="240" w:lineRule="auto"/>
        <w:ind w:left="709" w:right="709"/>
        <w:jc w:val="both"/>
        <w:rPr>
          <w:rFonts w:ascii="Verdana" w:eastAsia="Calibri" w:hAnsi="Verdana" w:cs="Arial"/>
          <w:i/>
          <w:iCs/>
          <w:sz w:val="21"/>
          <w:szCs w:val="21"/>
          <w:lang w:eastAsia="es-ES"/>
        </w:rPr>
      </w:pPr>
      <w:r w:rsidRPr="007E1901">
        <w:rPr>
          <w:rFonts w:ascii="Verdana" w:eastAsia="Calibri" w:hAnsi="Verdana" w:cs="Arial"/>
          <w:i/>
          <w:iCs/>
          <w:sz w:val="21"/>
          <w:szCs w:val="21"/>
          <w:lang w:eastAsia="es-ES"/>
        </w:rPr>
        <w:t>En ese sentido, agradezco se precise si, atendiendo a la naturaleza</w:t>
      </w:r>
      <w:r>
        <w:rPr>
          <w:rFonts w:ascii="Verdana" w:eastAsia="Calibri" w:hAnsi="Verdana" w:cs="Arial"/>
          <w:i/>
          <w:iCs/>
          <w:sz w:val="21"/>
          <w:szCs w:val="21"/>
          <w:lang w:eastAsia="es-ES"/>
        </w:rPr>
        <w:t xml:space="preserve"> </w:t>
      </w:r>
      <w:r w:rsidRPr="007E1901">
        <w:rPr>
          <w:rFonts w:ascii="Verdana" w:eastAsia="Calibri" w:hAnsi="Verdana" w:cs="Arial"/>
          <w:i/>
          <w:iCs/>
          <w:sz w:val="21"/>
          <w:szCs w:val="21"/>
          <w:lang w:eastAsia="es-ES"/>
        </w:rPr>
        <w:t>jurídica, objeto, adscripción y funciones del SENA, los procesos de</w:t>
      </w:r>
      <w:r>
        <w:rPr>
          <w:rFonts w:ascii="Verdana" w:eastAsia="Calibri" w:hAnsi="Verdana" w:cs="Arial"/>
          <w:i/>
          <w:iCs/>
          <w:sz w:val="21"/>
          <w:szCs w:val="21"/>
          <w:lang w:eastAsia="es-ES"/>
        </w:rPr>
        <w:t xml:space="preserve"> </w:t>
      </w:r>
      <w:r w:rsidRPr="007E1901">
        <w:rPr>
          <w:rFonts w:ascii="Verdana" w:eastAsia="Calibri" w:hAnsi="Verdana" w:cs="Arial"/>
          <w:i/>
          <w:iCs/>
          <w:sz w:val="21"/>
          <w:szCs w:val="21"/>
          <w:lang w:eastAsia="es-ES"/>
        </w:rPr>
        <w:t>contratación cuyo objeto corresponda a la ejecución de obras,</w:t>
      </w:r>
      <w:r>
        <w:rPr>
          <w:rFonts w:ascii="Verdana" w:eastAsia="Calibri" w:hAnsi="Verdana" w:cs="Arial"/>
          <w:i/>
          <w:iCs/>
          <w:sz w:val="21"/>
          <w:szCs w:val="21"/>
          <w:lang w:eastAsia="es-ES"/>
        </w:rPr>
        <w:t xml:space="preserve"> </w:t>
      </w:r>
      <w:r w:rsidRPr="007E1901">
        <w:rPr>
          <w:rFonts w:ascii="Verdana" w:eastAsia="Calibri" w:hAnsi="Verdana" w:cs="Arial"/>
          <w:i/>
          <w:iCs/>
          <w:sz w:val="21"/>
          <w:szCs w:val="21"/>
          <w:lang w:eastAsia="es-ES"/>
        </w:rPr>
        <w:t xml:space="preserve">adecuaciones, mantenimiento o intervención de su </w:t>
      </w:r>
      <w:r>
        <w:rPr>
          <w:rFonts w:ascii="Verdana" w:eastAsia="Calibri" w:hAnsi="Verdana" w:cs="Arial"/>
          <w:i/>
          <w:iCs/>
          <w:sz w:val="21"/>
          <w:szCs w:val="21"/>
          <w:lang w:eastAsia="es-ES"/>
        </w:rPr>
        <w:t xml:space="preserve">infraestructura </w:t>
      </w:r>
      <w:r w:rsidRPr="007E1901">
        <w:rPr>
          <w:rFonts w:ascii="Verdana" w:eastAsia="Calibri" w:hAnsi="Verdana" w:cs="Arial"/>
          <w:i/>
          <w:iCs/>
          <w:sz w:val="21"/>
          <w:szCs w:val="21"/>
          <w:lang w:eastAsia="es-ES"/>
        </w:rPr>
        <w:t>física</w:t>
      </w:r>
      <w:r>
        <w:rPr>
          <w:rFonts w:ascii="Verdana" w:eastAsia="Calibri" w:hAnsi="Verdana" w:cs="Arial"/>
          <w:i/>
          <w:iCs/>
          <w:sz w:val="21"/>
          <w:szCs w:val="21"/>
          <w:lang w:eastAsia="es-ES"/>
        </w:rPr>
        <w:t xml:space="preserve"> </w:t>
      </w:r>
      <w:r w:rsidRPr="007E1901">
        <w:rPr>
          <w:rFonts w:ascii="Verdana" w:eastAsia="Calibri" w:hAnsi="Verdana" w:cs="Arial"/>
          <w:i/>
          <w:iCs/>
          <w:sz w:val="21"/>
          <w:szCs w:val="21"/>
          <w:lang w:eastAsia="es-ES"/>
        </w:rPr>
        <w:t>deben sujetarse a los Pliegos Tipo aplicables al sector de infraestructura</w:t>
      </w:r>
      <w:r>
        <w:rPr>
          <w:rFonts w:ascii="Verdana" w:eastAsia="Calibri" w:hAnsi="Verdana" w:cs="Arial"/>
          <w:i/>
          <w:iCs/>
          <w:sz w:val="21"/>
          <w:szCs w:val="21"/>
          <w:lang w:eastAsia="es-ES"/>
        </w:rPr>
        <w:t xml:space="preserve"> </w:t>
      </w:r>
      <w:r w:rsidRPr="007E1901">
        <w:rPr>
          <w:rFonts w:ascii="Verdana" w:eastAsia="Calibri" w:hAnsi="Verdana" w:cs="Arial"/>
          <w:i/>
          <w:iCs/>
          <w:sz w:val="21"/>
          <w:szCs w:val="21"/>
          <w:lang w:eastAsia="es-ES"/>
        </w:rPr>
        <w:t>social – infraestructura educativa.</w:t>
      </w:r>
      <w:r>
        <w:rPr>
          <w:rFonts w:ascii="Verdana" w:eastAsia="Calibri" w:hAnsi="Verdana" w:cs="Arial"/>
          <w:i/>
          <w:iCs/>
          <w:sz w:val="21"/>
          <w:szCs w:val="21"/>
          <w:lang w:eastAsia="es-ES"/>
        </w:rPr>
        <w:t xml:space="preserve"> </w:t>
      </w:r>
      <w:r w:rsidRPr="003125D1">
        <w:rPr>
          <w:rFonts w:ascii="Verdana" w:eastAsia="Calibri" w:hAnsi="Verdana" w:cs="Arial"/>
          <w:i/>
          <w:iCs/>
          <w:sz w:val="21"/>
          <w:szCs w:val="21"/>
          <w:lang w:val="es-ES" w:eastAsia="es-ES"/>
        </w:rPr>
        <w:t>(…)</w:t>
      </w:r>
      <w:r w:rsidRPr="003125D1">
        <w:rPr>
          <w:rFonts w:ascii="Verdana" w:eastAsia="Calibri" w:hAnsi="Verdana" w:cs="Arial"/>
          <w:i/>
          <w:iCs/>
          <w:sz w:val="21"/>
          <w:szCs w:val="21"/>
          <w:lang w:eastAsia="es-ES"/>
        </w:rPr>
        <w:t>”</w:t>
      </w:r>
    </w:p>
    <w:p w14:paraId="40C81A76" w14:textId="77777777" w:rsidR="00235DEC" w:rsidRPr="003125D1" w:rsidRDefault="00235DEC" w:rsidP="00235DEC">
      <w:pPr>
        <w:spacing w:after="0" w:line="276" w:lineRule="auto"/>
        <w:ind w:left="709" w:right="709"/>
        <w:jc w:val="both"/>
        <w:rPr>
          <w:rFonts w:ascii="Verdana" w:eastAsia="Times New Roman" w:hAnsi="Verdana" w:cs="Times New Roman"/>
          <w:lang w:eastAsia="es-CO"/>
        </w:rPr>
      </w:pPr>
    </w:p>
    <w:p w14:paraId="57AC081E" w14:textId="77777777" w:rsidR="00235DEC" w:rsidRPr="003125D1" w:rsidRDefault="00235DEC" w:rsidP="00235DEC">
      <w:pPr>
        <w:spacing w:after="120" w:line="276" w:lineRule="auto"/>
        <w:ind w:firstLine="709"/>
        <w:jc w:val="both"/>
        <w:rPr>
          <w:rFonts w:ascii="Verdana" w:eastAsia="Calibri" w:hAnsi="Verdana" w:cs="Arial"/>
          <w:lang w:val="es-ES_tradnl" w:eastAsia="es-ES_tradnl"/>
        </w:rPr>
      </w:pPr>
      <w:r w:rsidRPr="003125D1">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125D1">
        <w:rPr>
          <w:rFonts w:ascii="Verdana" w:eastAsia="Calibri" w:hAnsi="Verdana" w:cs="Arial"/>
          <w:lang w:val="es-ES_tradnl" w:eastAsia="es-ES_tradnl"/>
        </w:rPr>
        <w:tab/>
      </w:r>
    </w:p>
    <w:p w14:paraId="7DC04C46" w14:textId="77777777" w:rsidR="00235DEC" w:rsidRPr="003125D1" w:rsidRDefault="00235DEC" w:rsidP="00235DEC">
      <w:pPr>
        <w:spacing w:after="0" w:line="276" w:lineRule="auto"/>
        <w:ind w:firstLine="708"/>
        <w:jc w:val="both"/>
        <w:rPr>
          <w:rFonts w:ascii="Verdana" w:eastAsia="Calibri" w:hAnsi="Verdana" w:cs="Arial"/>
          <w:lang w:val="es-ES" w:eastAsia="es-ES"/>
        </w:rPr>
      </w:pPr>
      <w:r w:rsidRPr="003125D1">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53B106A" w14:textId="77777777" w:rsidR="00235DEC" w:rsidRPr="003125D1" w:rsidRDefault="00235DEC" w:rsidP="00235DEC">
      <w:pPr>
        <w:spacing w:after="0" w:line="276" w:lineRule="auto"/>
        <w:ind w:firstLine="709"/>
        <w:jc w:val="both"/>
        <w:rPr>
          <w:rFonts w:ascii="Verdana" w:eastAsia="Calibri" w:hAnsi="Verdana" w:cs="Arial"/>
          <w:lang w:val="es-ES" w:eastAsia="es-ES"/>
        </w:rPr>
      </w:pPr>
    </w:p>
    <w:p w14:paraId="55F19D6E" w14:textId="77777777" w:rsidR="00235DEC" w:rsidRPr="003125D1" w:rsidRDefault="00235DEC" w:rsidP="00235DEC">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Problema planteado:</w:t>
      </w:r>
    </w:p>
    <w:p w14:paraId="31316685" w14:textId="77777777" w:rsidR="00235DEC" w:rsidRPr="003125D1" w:rsidRDefault="00235DEC" w:rsidP="00235DEC">
      <w:pPr>
        <w:tabs>
          <w:tab w:val="left" w:pos="426"/>
        </w:tabs>
        <w:spacing w:after="0" w:line="276" w:lineRule="auto"/>
        <w:jc w:val="both"/>
        <w:rPr>
          <w:rFonts w:ascii="Verdana" w:eastAsia="Century Gothic" w:hAnsi="Verdana" w:cs="Century Gothic"/>
          <w:lang w:val="es-ES"/>
        </w:rPr>
      </w:pPr>
    </w:p>
    <w:p w14:paraId="4F36C2D3" w14:textId="77777777" w:rsidR="00235DEC" w:rsidRPr="00C209D9" w:rsidRDefault="00235DEC" w:rsidP="00235DEC">
      <w:pPr>
        <w:spacing w:line="276" w:lineRule="auto"/>
        <w:jc w:val="both"/>
        <w:rPr>
          <w:rFonts w:ascii="Verdana" w:eastAsia="Century Gothic" w:hAnsi="Verdana" w:cs="Century Gothic"/>
        </w:rPr>
      </w:pPr>
      <w:r w:rsidRPr="003125D1">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I). </w:t>
      </w:r>
      <w:r w:rsidRPr="0019080F">
        <w:rPr>
          <w:rFonts w:ascii="Verdana" w:eastAsia="Century Gothic" w:hAnsi="Verdana" w:cs="Century Gothic"/>
        </w:rPr>
        <w:t>¿Resultan aplicables los Documentos Tipo adoptados por la Agencia Nacional de Contratación Pública – Colombia Compra Eficiente a los procesos de contratación adelantados por el Servicio Nacional de Aprendizaje – SENA para la ejecución de obras sobre su infraestructura física?</w:t>
      </w:r>
    </w:p>
    <w:p w14:paraId="02DCEF93" w14:textId="77777777" w:rsidR="00235DEC" w:rsidRPr="003125D1" w:rsidRDefault="00235DEC" w:rsidP="00235DEC">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lastRenderedPageBreak/>
        <w:t>Respuesta:</w:t>
      </w:r>
    </w:p>
    <w:p w14:paraId="70DF827D" w14:textId="77777777" w:rsidR="00235DEC" w:rsidRPr="00AB496C" w:rsidRDefault="00235DEC" w:rsidP="00235DEC">
      <w:pPr>
        <w:tabs>
          <w:tab w:val="left" w:pos="142"/>
          <w:tab w:val="left" w:pos="284"/>
        </w:tabs>
        <w:spacing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35DEC" w:rsidRPr="004048FF" w14:paraId="3A60953B" w14:textId="77777777" w:rsidTr="002B23E6">
        <w:trPr>
          <w:trHeight w:val="1057"/>
        </w:trPr>
        <w:tc>
          <w:tcPr>
            <w:tcW w:w="8828" w:type="dxa"/>
            <w:tcBorders>
              <w:top w:val="dotted" w:sz="4" w:space="0" w:color="auto"/>
              <w:left w:val="dotted" w:sz="4" w:space="0" w:color="auto"/>
              <w:bottom w:val="dotted" w:sz="4" w:space="0" w:color="auto"/>
              <w:right w:val="dotted" w:sz="4" w:space="0" w:color="auto"/>
            </w:tcBorders>
          </w:tcPr>
          <w:p w14:paraId="499DD612" w14:textId="77777777" w:rsidR="00235DEC" w:rsidRDefault="00235DEC" w:rsidP="002B23E6">
            <w:pPr>
              <w:spacing w:before="120" w:after="120" w:line="276" w:lineRule="auto"/>
              <w:jc w:val="both"/>
              <w:textAlignment w:val="baseline"/>
              <w:rPr>
                <w:rFonts w:ascii="Verdana" w:hAnsi="Verdana"/>
              </w:rPr>
            </w:pPr>
            <w:r w:rsidRPr="00814419">
              <w:rPr>
                <w:rFonts w:ascii="Verdana" w:hAnsi="Verdana"/>
              </w:rPr>
              <w:t>Sí. Los Documentos Tipo adoptados por la Agencia Nacional de Contratación Pública – Colombia Compra Eficiente para la contratación de obra pública de infraestructura social resultan aplicables a los procesos de contratación adelantados por el Servicio Nacional de Aprendizaje – SENA, siempre que el objeto contractual, las características de la infraestructura objeto de intervención y la modalidad de selección correspondan al ámbito de aplicación de los respectivos Documentos Tipo vigentes.</w:t>
            </w:r>
          </w:p>
          <w:p w14:paraId="472A473B" w14:textId="77777777" w:rsidR="00235DEC" w:rsidRPr="00AD00D3" w:rsidRDefault="00235DEC" w:rsidP="002B23E6">
            <w:pPr>
              <w:spacing w:before="120" w:after="120" w:line="276" w:lineRule="auto"/>
              <w:ind w:firstLine="709"/>
              <w:jc w:val="both"/>
              <w:textAlignment w:val="baseline"/>
              <w:rPr>
                <w:rFonts w:ascii="Verdana" w:hAnsi="Verdana"/>
              </w:rPr>
            </w:pPr>
            <w:r w:rsidRPr="00AD00D3">
              <w:rPr>
                <w:rFonts w:ascii="Verdana" w:hAnsi="Verdana"/>
              </w:rPr>
              <w:t>Lo anterior, en primer lugar, porque el Servicio Nacional de Aprendizaje – SENA, en su condición de establecimiento público del orden nacional, se encuentra sometido al Estatuto General de Contratación de la Administración Pública, de conformidad con la Ley 80 de 1993. Por consiguiente, se encuentra directamente sujeto a la aplicación obligatoria de los Documentos Tipo expedidos por la Agencia Nacional de Contratación Pública – Colombia Compra Eficiente, cuando el objeto, la modalidad de selección y las demás condiciones del proceso se encuentren comprendidos dentro de su ámbito de aplicación.</w:t>
            </w:r>
          </w:p>
          <w:p w14:paraId="3BFB8258" w14:textId="77777777" w:rsidR="00235DEC" w:rsidRPr="00AD00D3" w:rsidRDefault="00235DEC" w:rsidP="002B23E6">
            <w:pPr>
              <w:spacing w:before="120" w:after="120" w:line="276" w:lineRule="auto"/>
              <w:ind w:firstLine="709"/>
              <w:jc w:val="both"/>
              <w:textAlignment w:val="baseline"/>
              <w:rPr>
                <w:rFonts w:ascii="Verdana" w:hAnsi="Verdana"/>
              </w:rPr>
            </w:pPr>
            <w:r w:rsidRPr="00AD00D3">
              <w:rPr>
                <w:rFonts w:ascii="Verdana" w:hAnsi="Verdana"/>
              </w:rPr>
              <w:t>En segundo lugar, la aplicación de los Documentos Tipo para infraestructura social no está determinada exclusivamente por la naturaleza o finalidad principal de la entidad contratante, sino por las características del proyecto, el tipo de infraestructura objeto de intervención y las actividades que serán ejecutadas. En este sentido, para establecer si un proyecto se encuentra comprendido dentro del ámbito material de los Documentos Tipo, debe acudirse a las definiciones y clasificaciones establecidas en estos instrumentos y, particularmente, a las respectivas matrices de experiencia.</w:t>
            </w:r>
          </w:p>
          <w:p w14:paraId="3AC430A0" w14:textId="77777777" w:rsidR="00235DEC" w:rsidRPr="00036F18" w:rsidRDefault="00235DEC" w:rsidP="002B23E6">
            <w:pPr>
              <w:spacing w:before="120" w:after="120" w:line="276" w:lineRule="auto"/>
              <w:ind w:right="-67" w:firstLine="709"/>
              <w:jc w:val="both"/>
              <w:textAlignment w:val="baseline"/>
              <w:rPr>
                <w:rFonts w:ascii="Verdana" w:hAnsi="Verdana"/>
              </w:rPr>
            </w:pPr>
            <w:r w:rsidRPr="00036F18">
              <w:rPr>
                <w:rFonts w:ascii="Verdana" w:hAnsi="Verdana"/>
              </w:rPr>
              <w:t>Así las cosas, la determinación del Documento Tipo aplicable deberá efectuarse a partir de la concurrencia de los elementos que delimitan su ámbito de aplicación, particularmente la modalidad de selección, el objeto contractual, la tipología de infraestructura y las actividades que serán ejecutadas. Verificados estos elementos, la entidad deberá aplicar el Documento Tipo que corresponda, en los términos y condiciones establecidos por la Agencia Nacional de Contratación Pública – Colombia Compra Eficiente.</w:t>
            </w:r>
          </w:p>
          <w:p w14:paraId="138A4EFB" w14:textId="77777777" w:rsidR="00235DEC" w:rsidRPr="00036F18" w:rsidRDefault="00235DEC" w:rsidP="002B23E6">
            <w:pPr>
              <w:spacing w:before="120" w:line="276" w:lineRule="auto"/>
              <w:ind w:firstLine="709"/>
              <w:jc w:val="both"/>
              <w:rPr>
                <w:rFonts w:ascii="Verdana" w:eastAsia="Calibri" w:hAnsi="Verdana" w:cs="Times New Roman"/>
                <w:lang w:val="es-ES" w:eastAsia="es-MX"/>
              </w:rPr>
            </w:pPr>
            <w:r w:rsidRPr="00036F18">
              <w:rPr>
                <w:rFonts w:ascii="Verdana" w:eastAsia="Calibri" w:hAnsi="Verdana" w:cs="Arial"/>
                <w:bCs/>
                <w:kern w:val="2"/>
                <w14:ligatures w14:val="standardContextual"/>
              </w:rPr>
              <w:t xml:space="preserve">Al margen de la explicación precedente debe advertirse que el análisis requerido para resolver problemas específicos en torno a la gestión contractual </w:t>
            </w:r>
            <w:r w:rsidRPr="00036F18">
              <w:rPr>
                <w:rFonts w:ascii="Verdana" w:eastAsia="Calibri" w:hAnsi="Verdana" w:cs="Arial"/>
                <w:bCs/>
                <w:kern w:val="2"/>
                <w14:ligatures w14:val="standardContextual"/>
              </w:rPr>
              <w:lastRenderedPageBreak/>
              <w:t>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C04B964" w14:textId="77777777" w:rsidR="00235DEC" w:rsidRPr="00036F18" w:rsidRDefault="00235DEC" w:rsidP="002B23E6">
            <w:pPr>
              <w:spacing w:after="120" w:line="276" w:lineRule="auto"/>
              <w:ind w:firstLine="708"/>
              <w:jc w:val="both"/>
              <w:rPr>
                <w:rFonts w:ascii="Verdana" w:eastAsia="Calibri" w:hAnsi="Verdana" w:cs="Arial"/>
                <w:bCs/>
                <w:kern w:val="2"/>
                <w14:ligatures w14:val="standardContextual"/>
              </w:rPr>
            </w:pPr>
            <w:r w:rsidRPr="00036F18">
              <w:rPr>
                <w:rFonts w:ascii="Verdana" w:eastAsia="Calibri" w:hAnsi="Verdana" w:cs="Arial"/>
                <w:bCs/>
                <w:kern w:val="2"/>
                <w14:ligatures w14:val="standardContextual"/>
              </w:rPr>
              <w:t xml:space="preserve">Dentro de este marco, la entidad contratante definirá en cada caso concreto lo relacionado con el tema objeto de la petición.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C4912BD" w14:textId="77777777" w:rsidR="00235DEC" w:rsidRPr="004048FF" w:rsidRDefault="00235DEC" w:rsidP="002B23E6">
            <w:pPr>
              <w:jc w:val="both"/>
              <w:textAlignment w:val="baseline"/>
              <w:rPr>
                <w:rFonts w:ascii="Verdana" w:hAnsi="Verdana"/>
              </w:rPr>
            </w:pPr>
            <w:r w:rsidRPr="00036F18">
              <w:rPr>
                <w:rFonts w:ascii="Verdana" w:hAnsi="Verdana"/>
              </w:rPr>
              <w:t xml:space="preserve"> </w:t>
            </w:r>
          </w:p>
        </w:tc>
      </w:tr>
    </w:tbl>
    <w:p w14:paraId="2649D798" w14:textId="77777777" w:rsidR="00235DEC" w:rsidRPr="0010023F" w:rsidRDefault="00235DEC" w:rsidP="00235DEC">
      <w:pPr>
        <w:tabs>
          <w:tab w:val="left" w:pos="142"/>
          <w:tab w:val="left" w:pos="284"/>
        </w:tabs>
        <w:spacing w:after="0" w:line="276" w:lineRule="auto"/>
        <w:ind w:left="142" w:hanging="142"/>
        <w:jc w:val="both"/>
        <w:rPr>
          <w:rFonts w:ascii="Verdana" w:eastAsia="Century Gothic" w:hAnsi="Verdana" w:cs="Century Gothic"/>
          <w:b/>
          <w:bCs/>
          <w:lang w:val="es-ES"/>
        </w:rPr>
      </w:pPr>
    </w:p>
    <w:p w14:paraId="79E0AFEB" w14:textId="77777777" w:rsidR="00235DEC" w:rsidRPr="0010023F" w:rsidRDefault="00235DEC" w:rsidP="00235DEC">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entury Gothic" w:hAnsi="Verdana" w:cs="Century Gothic"/>
          <w:b/>
          <w:bCs/>
          <w:lang w:val="es-ES"/>
        </w:rPr>
        <w:t>Razones de la respuesta:</w:t>
      </w:r>
    </w:p>
    <w:p w14:paraId="3BC9B213" w14:textId="77777777" w:rsidR="00235DEC" w:rsidRPr="0010023F" w:rsidRDefault="00235DEC" w:rsidP="00235DEC">
      <w:pPr>
        <w:tabs>
          <w:tab w:val="left" w:pos="142"/>
          <w:tab w:val="left" w:pos="284"/>
        </w:tabs>
        <w:spacing w:after="0" w:line="276" w:lineRule="auto"/>
        <w:contextualSpacing/>
        <w:jc w:val="both"/>
        <w:rPr>
          <w:rFonts w:ascii="Verdana" w:eastAsia="Century Gothic" w:hAnsi="Verdana" w:cs="Century Gothic"/>
          <w:b/>
          <w:bCs/>
          <w:lang w:val="es-ES"/>
        </w:rPr>
      </w:pPr>
    </w:p>
    <w:p w14:paraId="43C1455D" w14:textId="77777777" w:rsidR="00235DEC" w:rsidRPr="0010023F" w:rsidRDefault="00235DEC" w:rsidP="00235DEC">
      <w:p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alibri" w:hAnsi="Verdana" w:cs="Arial"/>
          <w:lang w:val="es-ES" w:eastAsia="es-MX"/>
        </w:rPr>
        <w:t xml:space="preserve">Lo anterior se sustenta en las siguientes consideraciones: </w:t>
      </w:r>
    </w:p>
    <w:p w14:paraId="688EDF0B" w14:textId="77777777" w:rsidR="00235DEC" w:rsidRPr="0010023F" w:rsidRDefault="00235DEC" w:rsidP="00235DEC">
      <w:pPr>
        <w:spacing w:after="0" w:line="276" w:lineRule="auto"/>
        <w:jc w:val="both"/>
        <w:rPr>
          <w:rFonts w:ascii="Verdana" w:eastAsia="Calibri" w:hAnsi="Verdana" w:cs="Arial"/>
          <w:lang w:val="es-ES" w:eastAsia="es-MX"/>
        </w:rPr>
      </w:pPr>
    </w:p>
    <w:p w14:paraId="4C0F962B" w14:textId="77777777" w:rsidR="00235DEC" w:rsidRPr="0010023F" w:rsidRDefault="00235DEC" w:rsidP="00235DEC">
      <w:pPr>
        <w:spacing w:after="120" w:line="276" w:lineRule="auto"/>
        <w:jc w:val="both"/>
        <w:rPr>
          <w:rFonts w:ascii="Verdana" w:eastAsia="Aptos" w:hAnsi="Verdana" w:cs="Arial"/>
          <w:lang w:eastAsia="es-MX"/>
        </w:rPr>
      </w:pPr>
      <w:r w:rsidRPr="0010023F">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0D00BC0D" w14:textId="77777777" w:rsidR="00235DEC" w:rsidRPr="0010023F" w:rsidRDefault="00235DEC" w:rsidP="00235DEC">
      <w:pPr>
        <w:spacing w:after="120" w:line="276" w:lineRule="auto"/>
        <w:ind w:firstLine="708"/>
        <w:jc w:val="both"/>
        <w:rPr>
          <w:rFonts w:ascii="Verdana" w:eastAsia="Aptos" w:hAnsi="Verdana" w:cs="Arial"/>
          <w:lang w:eastAsia="es-MX"/>
        </w:rPr>
      </w:pPr>
      <w:r w:rsidRPr="0010023F">
        <w:rPr>
          <w:rFonts w:ascii="Verdana" w:eastAsia="Aptos" w:hAnsi="Verdana" w:cs="Arial"/>
          <w:lang w:val="es-ES" w:eastAsia="es-MX"/>
        </w:rPr>
        <w:t xml:space="preserve">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w:t>
      </w:r>
      <w:r w:rsidRPr="0010023F">
        <w:rPr>
          <w:rFonts w:ascii="Verdana" w:eastAsia="Aptos" w:hAnsi="Verdana" w:cs="Arial"/>
          <w:lang w:val="es-ES" w:eastAsia="es-MX"/>
        </w:rPr>
        <w:lastRenderedPageBreak/>
        <w:t>2007, estos documentos tipo se han expedido para las modalidades de selección de licitación pública, selección abreviada de menor cuantía, mínima cuantía, concurso de méritos y contratación directa.</w:t>
      </w:r>
    </w:p>
    <w:p w14:paraId="703AFCB0" w14:textId="77777777" w:rsidR="00235DEC" w:rsidRPr="0010023F" w:rsidRDefault="00235DEC" w:rsidP="00235DEC">
      <w:pPr>
        <w:spacing w:after="120" w:line="276" w:lineRule="auto"/>
        <w:ind w:firstLine="708"/>
        <w:jc w:val="both"/>
        <w:rPr>
          <w:rFonts w:ascii="Verdana" w:eastAsia="Times New Roman" w:hAnsi="Verdana" w:cs="Times New Roman"/>
          <w:lang w:eastAsia="es-CO"/>
        </w:rPr>
      </w:pPr>
      <w:r w:rsidRPr="0010023F">
        <w:rPr>
          <w:rFonts w:ascii="Verdana" w:eastAsia="Aptos" w:hAnsi="Verdana" w:cs="Arial"/>
          <w:lang w:eastAsia="es-MX"/>
        </w:rPr>
        <w:t xml:space="preserve">En el sector social, </w:t>
      </w:r>
      <w:r w:rsidRPr="0010023F">
        <w:rPr>
          <w:rFonts w:ascii="Verdana" w:eastAsia="Calibri" w:hAnsi="Verdana" w:cs="Arial"/>
          <w:lang w:val="es-MX" w:eastAsia="es-MX"/>
        </w:rPr>
        <w:t xml:space="preserve">la Agencia Nacional de Contratación Pública – Colombia Compra </w:t>
      </w:r>
      <w:r w:rsidRPr="0010023F">
        <w:rPr>
          <w:rFonts w:ascii="Verdana" w:eastAsia="Calibri" w:hAnsi="Verdana" w:cs="Arial"/>
          <w:lang w:eastAsia="es-MX"/>
        </w:rPr>
        <w:t xml:space="preserve">Eficiente </w:t>
      </w:r>
      <w:r w:rsidRPr="0010023F">
        <w:rPr>
          <w:rFonts w:ascii="Verdana" w:eastAsia="Times New Roman" w:hAnsi="Verdana" w:cs="Times New Roman"/>
          <w:lang w:eastAsia="es-CO"/>
        </w:rPr>
        <w:t>en el segundo semestre del año 2025 adoptó las siguientes Resoluciones para contratar obra pública y concurso de méritos:</w:t>
      </w:r>
    </w:p>
    <w:p w14:paraId="21FCCE19" w14:textId="77777777" w:rsidR="00235DEC" w:rsidRPr="0010023F" w:rsidRDefault="00235DEC" w:rsidP="00235DEC">
      <w:pPr>
        <w:spacing w:after="120" w:line="276" w:lineRule="auto"/>
        <w:ind w:firstLine="708"/>
        <w:jc w:val="both"/>
        <w:rPr>
          <w:rFonts w:ascii="Verdana" w:eastAsia="Times New Roman" w:hAnsi="Verdana" w:cs="Times New Roman"/>
          <w:lang w:eastAsia="es-CO"/>
        </w:rPr>
      </w:pPr>
      <w:r w:rsidRPr="0010023F">
        <w:rPr>
          <w:rFonts w:ascii="Verdana" w:eastAsia="Times New Roman" w:hAnsi="Verdana" w:cs="Times New Roman"/>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7A7B46C2" w14:textId="77777777" w:rsidR="00235DEC" w:rsidRPr="0010023F" w:rsidRDefault="00235DEC" w:rsidP="00235DEC">
      <w:pPr>
        <w:spacing w:after="120" w:line="276" w:lineRule="auto"/>
        <w:ind w:firstLine="708"/>
        <w:jc w:val="both"/>
        <w:rPr>
          <w:rFonts w:ascii="Verdana" w:eastAsia="Times New Roman" w:hAnsi="Verdana" w:cs="Times New Roman"/>
          <w:lang w:eastAsia="es-CO"/>
        </w:rPr>
      </w:pPr>
      <w:r w:rsidRPr="0010023F">
        <w:rPr>
          <w:rFonts w:ascii="Verdana" w:eastAsia="Times New Roman" w:hAnsi="Verdana" w:cs="Times New Roman"/>
          <w:lang w:eastAsia="es-CO"/>
        </w:rPr>
        <w:t xml:space="preserve"> </w:t>
      </w:r>
      <w:proofErr w:type="spellStart"/>
      <w:r w:rsidRPr="0010023F">
        <w:rPr>
          <w:rFonts w:ascii="Verdana" w:eastAsia="Times New Roman" w:hAnsi="Verdana" w:cs="Times New Roman"/>
          <w:lang w:eastAsia="es-CO"/>
        </w:rPr>
        <w:t>ii</w:t>
      </w:r>
      <w:proofErr w:type="spellEnd"/>
      <w:r w:rsidRPr="0010023F">
        <w:rPr>
          <w:rFonts w:ascii="Verdana" w:eastAsia="Times New Roman" w:hAnsi="Verdana" w:cs="Times New Roman"/>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66566AB9" w14:textId="77777777" w:rsidR="00235DEC" w:rsidRPr="0010023F" w:rsidRDefault="00235DEC" w:rsidP="00235DEC">
      <w:pPr>
        <w:spacing w:after="120" w:line="276" w:lineRule="auto"/>
        <w:ind w:firstLine="708"/>
        <w:jc w:val="both"/>
        <w:rPr>
          <w:rFonts w:ascii="Verdana" w:eastAsia="Times New Roman" w:hAnsi="Verdana" w:cs="Times New Roman"/>
          <w:lang w:eastAsia="es-CO"/>
        </w:rPr>
      </w:pPr>
      <w:proofErr w:type="spellStart"/>
      <w:r w:rsidRPr="0010023F">
        <w:rPr>
          <w:rFonts w:ascii="Verdana" w:eastAsia="Times New Roman" w:hAnsi="Verdana" w:cs="Times New Roman"/>
          <w:lang w:eastAsia="es-CO"/>
        </w:rPr>
        <w:t>iii</w:t>
      </w:r>
      <w:proofErr w:type="spellEnd"/>
      <w:r w:rsidRPr="0010023F">
        <w:rPr>
          <w:rFonts w:ascii="Verdana" w:eastAsia="Times New Roman" w:hAnsi="Verdana" w:cs="Times New Roman"/>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1C492AED" w14:textId="77777777" w:rsidR="00235DEC" w:rsidRPr="0010023F" w:rsidRDefault="00235DEC" w:rsidP="00235DEC">
      <w:pPr>
        <w:spacing w:after="120" w:line="276" w:lineRule="auto"/>
        <w:ind w:firstLine="708"/>
        <w:jc w:val="both"/>
        <w:rPr>
          <w:rFonts w:ascii="Verdana" w:eastAsia="Times New Roman" w:hAnsi="Verdana" w:cs="Times New Roman"/>
          <w:lang w:eastAsia="es-CO"/>
        </w:rPr>
      </w:pPr>
      <w:proofErr w:type="spellStart"/>
      <w:r w:rsidRPr="0010023F">
        <w:rPr>
          <w:rFonts w:ascii="Verdana" w:eastAsia="Times New Roman" w:hAnsi="Verdana" w:cs="Times New Roman"/>
          <w:lang w:eastAsia="es-CO"/>
        </w:rPr>
        <w:t>iv</w:t>
      </w:r>
      <w:proofErr w:type="spellEnd"/>
      <w:r w:rsidRPr="0010023F">
        <w:rPr>
          <w:rFonts w:ascii="Verdana" w:eastAsia="Times New Roman" w:hAnsi="Verdana" w:cs="Times New Roman"/>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3E009945" w14:textId="77777777" w:rsidR="00235DEC" w:rsidRPr="0010023F" w:rsidRDefault="00235DEC" w:rsidP="00235DEC">
      <w:pPr>
        <w:spacing w:after="120" w:line="276" w:lineRule="auto"/>
        <w:ind w:firstLine="708"/>
        <w:jc w:val="both"/>
        <w:rPr>
          <w:rFonts w:ascii="Verdana" w:eastAsia="Times New Roman" w:hAnsi="Verdana" w:cs="Times New Roman"/>
          <w:lang w:eastAsia="es-CO"/>
        </w:rPr>
      </w:pPr>
      <w:r w:rsidRPr="0010023F">
        <w:rPr>
          <w:rFonts w:ascii="Verdana" w:eastAsia="Times New Roman" w:hAnsi="Verdana" w:cs="Times New Roman"/>
          <w:lang w:eastAsia="es-CO"/>
        </w:rPr>
        <w:t xml:space="preserve">v) Resolución 953 del 15 de diciembre de 2025 “Por la cual se adopta la versión - 2 de los documentos tipo transversales para los procesos de concurso </w:t>
      </w:r>
      <w:r w:rsidRPr="0010023F">
        <w:rPr>
          <w:rFonts w:ascii="Verdana" w:eastAsia="Times New Roman" w:hAnsi="Verdana" w:cs="Times New Roman"/>
          <w:lang w:eastAsia="es-CO"/>
        </w:rPr>
        <w:lastRenderedPageBreak/>
        <w:t>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10023F">
        <w:rPr>
          <w:rFonts w:ascii="Verdana" w:eastAsia="Aptos" w:hAnsi="Verdana" w:cs="Times New Roman"/>
          <w:lang w:eastAsia="es-MX"/>
        </w:rPr>
        <w:t xml:space="preserve"> </w:t>
      </w:r>
    </w:p>
    <w:p w14:paraId="3804B75F" w14:textId="77777777" w:rsidR="00235DEC" w:rsidRPr="0010023F" w:rsidRDefault="00235DEC" w:rsidP="00235DEC">
      <w:pPr>
        <w:spacing w:after="120" w:line="276" w:lineRule="auto"/>
        <w:ind w:firstLine="708"/>
        <w:jc w:val="both"/>
        <w:textAlignment w:val="baseline"/>
        <w:rPr>
          <w:rFonts w:ascii="Verdana" w:eastAsia="Calibri" w:hAnsi="Verdana" w:cs="Arial"/>
          <w:lang w:eastAsia="es-MX"/>
        </w:rPr>
      </w:pPr>
      <w:r w:rsidRPr="0010023F">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10023F">
        <w:rPr>
          <w:rFonts w:ascii="Verdana" w:eastAsia="Calibri" w:hAnsi="Verdana" w:cs="Arial"/>
          <w:vertAlign w:val="superscript"/>
          <w:lang w:eastAsia="es-MX"/>
        </w:rPr>
        <w:footnoteReference w:id="1"/>
      </w:r>
      <w:r w:rsidRPr="0010023F">
        <w:rPr>
          <w:rFonts w:ascii="Verdana" w:eastAsia="Calibri" w:hAnsi="Verdana" w:cs="Arial"/>
          <w:lang w:eastAsia="es-MX"/>
        </w:rPr>
        <w:t>.</w:t>
      </w:r>
    </w:p>
    <w:p w14:paraId="27FB800B" w14:textId="77777777" w:rsidR="00235DEC" w:rsidRPr="0010023F" w:rsidRDefault="00235DEC" w:rsidP="00235DEC">
      <w:pPr>
        <w:widowControl w:val="0"/>
        <w:autoSpaceDE w:val="0"/>
        <w:autoSpaceDN w:val="0"/>
        <w:spacing w:after="120" w:line="276" w:lineRule="auto"/>
        <w:ind w:firstLine="708"/>
        <w:jc w:val="both"/>
        <w:rPr>
          <w:rFonts w:ascii="Verdana" w:eastAsia="Calibri" w:hAnsi="Verdana" w:cs="Arial"/>
          <w:kern w:val="2"/>
          <w14:ligatures w14:val="standardContextual"/>
        </w:rPr>
      </w:pPr>
      <w:r w:rsidRPr="0010023F">
        <w:rPr>
          <w:rFonts w:ascii="Verdana" w:eastAsia="Calibri" w:hAnsi="Verdana" w:cs="Arial"/>
          <w:kern w:val="2"/>
          <w14:ligatures w14:val="standardContextual"/>
        </w:rPr>
        <w:t xml:space="preserve">De acuerdo con el artículo tercero de las Resoluciones 539, 540 y 541 del </w:t>
      </w:r>
      <w:r w:rsidRPr="0010023F">
        <w:rPr>
          <w:rFonts w:ascii="Verdana" w:eastAsia="Calibri" w:hAnsi="Verdana" w:cs="Arial"/>
          <w:kern w:val="2"/>
          <w14:ligatures w14:val="standardContextual"/>
        </w:rPr>
        <w:lastRenderedPageBreak/>
        <w:t xml:space="preserve">21 de agosto de 2025, los Documentos Tipo que estas adoptan son de carácter obligatorio en la actividad contractual de las Entidades Estatales sometidas al Estatuto General de Contratación de la Administración Pública. Asimismo, su aplicación es exigible a los patrimonios autónomos y a las personas naturales o jurídicas de derecho público que, por mandato legal, estén obligadas a su implementación. </w:t>
      </w:r>
    </w:p>
    <w:p w14:paraId="766BF93D"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10023F">
        <w:rPr>
          <w:rFonts w:ascii="Verdana" w:eastAsia="Calibri" w:hAnsi="Verdana" w:cs="Arial"/>
          <w:kern w:val="2"/>
          <w14:ligatures w14:val="standardContextual"/>
        </w:rPr>
        <w:t xml:space="preserve">En consecuencia, los obligados a su aplicación, al adelantar sus procedimientos de selección, solo podrán modificarlos en los aspectos que los Documentos Tipo lo permitan. </w:t>
      </w:r>
      <w:r w:rsidRPr="0010023F">
        <w:rPr>
          <w:rFonts w:ascii="Verdana" w:eastAsia="Calibri" w:hAnsi="Verdana" w:cs="Times New Roman"/>
          <w:kern w:val="2"/>
          <w:lang w:val="es-ES"/>
          <w14:ligatures w14:val="standardContextual"/>
        </w:rPr>
        <w:t xml:space="preserve">Esto corresponde a aquellos aspectos que se encuentran entre corchetes y resaltados en gris </w:t>
      </w:r>
      <w:r w:rsidRPr="0010023F">
        <w:rPr>
          <w:rFonts w:ascii="Verdana" w:eastAsia="Calibri" w:hAnsi="Verdana" w:cs="Times New Roman"/>
          <w:kern w:val="2"/>
          <w:shd w:val="clear" w:color="auto" w:fill="E8E8E8"/>
          <w:lang w:val="es-ES"/>
          <w14:ligatures w14:val="standardContextual"/>
        </w:rPr>
        <w:t>–[texto]–,</w:t>
      </w:r>
      <w:r w:rsidRPr="0010023F">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274591CC" w14:textId="77777777" w:rsidR="00235DEC" w:rsidRPr="004407B3" w:rsidRDefault="00235DEC" w:rsidP="00235DEC">
      <w:pPr>
        <w:widowControl w:val="0"/>
        <w:autoSpaceDE w:val="0"/>
        <w:autoSpaceDN w:val="0"/>
        <w:spacing w:after="120" w:line="276" w:lineRule="auto"/>
        <w:ind w:firstLine="708"/>
        <w:jc w:val="both"/>
        <w:rPr>
          <w:rFonts w:ascii="Verdana" w:eastAsia="Calibri" w:hAnsi="Verdana" w:cs="Arial"/>
          <w:kern w:val="2"/>
          <w14:ligatures w14:val="standardContextual"/>
        </w:rPr>
      </w:pPr>
      <w:r w:rsidRPr="004407B3">
        <w:rPr>
          <w:rFonts w:ascii="Verdana" w:eastAsia="Calibri" w:hAnsi="Verdana" w:cs="Arial"/>
          <w:kern w:val="2"/>
          <w14:ligatures w14:val="standardContextual"/>
        </w:rPr>
        <w:t>Por lo tanto, cuando los Documentos Tipo no contemplen expresamente la posibilidad de modificación, la entidad deberá incorporar su contenido al proceso de contratación sin alteración alguna, de conformidad con el principio de inalterabilidad que rige su aplicación.</w:t>
      </w:r>
    </w:p>
    <w:p w14:paraId="32F703AB" w14:textId="77777777" w:rsidR="00235DEC" w:rsidRPr="004407B3" w:rsidRDefault="00235DEC" w:rsidP="00235DEC">
      <w:pPr>
        <w:widowControl w:val="0"/>
        <w:autoSpaceDE w:val="0"/>
        <w:autoSpaceDN w:val="0"/>
        <w:spacing w:after="120" w:line="276" w:lineRule="auto"/>
        <w:ind w:firstLine="708"/>
        <w:jc w:val="both"/>
        <w:rPr>
          <w:rFonts w:ascii="Verdana" w:eastAsia="Calibri" w:hAnsi="Verdana" w:cs="Arial"/>
          <w:kern w:val="2"/>
          <w14:ligatures w14:val="standardContextual"/>
        </w:rPr>
      </w:pPr>
      <w:r w:rsidRPr="004407B3">
        <w:rPr>
          <w:rFonts w:ascii="Verdana" w:eastAsia="Calibri" w:hAnsi="Verdana" w:cs="Arial"/>
          <w:kern w:val="2"/>
          <w14:ligatures w14:val="standardContextual"/>
        </w:rPr>
        <w:t>Ahora bien, para determinar la aplicación de estos Documentos Tipo</w:t>
      </w:r>
      <w:r>
        <w:rPr>
          <w:rFonts w:ascii="Verdana" w:eastAsia="Calibri" w:hAnsi="Verdana" w:cs="Arial"/>
          <w:kern w:val="2"/>
          <w14:ligatures w14:val="standardContextual"/>
        </w:rPr>
        <w:t xml:space="preserve">, </w:t>
      </w:r>
      <w:r w:rsidRPr="004407B3">
        <w:rPr>
          <w:rFonts w:ascii="Verdana" w:eastAsia="Calibri" w:hAnsi="Verdana" w:cs="Arial"/>
          <w:kern w:val="2"/>
          <w14:ligatures w14:val="standardContextual"/>
        </w:rPr>
        <w:t>resulta necesario establecer, en primer lugar, si la entidad contratante se encuentra sometida al Estatuto General de Contratación de la Administración Pública y, en segundo lugar, si el objeto y la modalidad de selección corresponden al ámbito material definido en el respectivo Documento Tipo.</w:t>
      </w:r>
    </w:p>
    <w:p w14:paraId="495498AD" w14:textId="77777777" w:rsidR="00235DEC" w:rsidRPr="004407B3" w:rsidRDefault="00235DEC" w:rsidP="00235DEC">
      <w:pPr>
        <w:widowControl w:val="0"/>
        <w:autoSpaceDE w:val="0"/>
        <w:autoSpaceDN w:val="0"/>
        <w:spacing w:after="120" w:line="276" w:lineRule="auto"/>
        <w:ind w:firstLine="708"/>
        <w:jc w:val="both"/>
        <w:rPr>
          <w:rFonts w:ascii="Verdana" w:eastAsia="Calibri" w:hAnsi="Verdana" w:cs="Arial"/>
          <w:kern w:val="2"/>
          <w14:ligatures w14:val="standardContextual"/>
        </w:rPr>
      </w:pPr>
      <w:r w:rsidRPr="004407B3">
        <w:rPr>
          <w:rFonts w:ascii="Verdana" w:eastAsia="Calibri" w:hAnsi="Verdana" w:cs="Arial"/>
          <w:kern w:val="2"/>
          <w14:ligatures w14:val="standardContextual"/>
        </w:rPr>
        <w:t>En este sentido, el Servicio Nacional de Aprendizaje – SENA es una entidad estatal sometida al Estatuto General de Contratación de la Administración Pública. De conformidad con el artículo 1 de la Ley 119 de 1994, el SENA es un establecimiento público del orden nacional, con personería jurídica, patrimonio propio e independiente y autonomía administrativa.</w:t>
      </w:r>
    </w:p>
    <w:p w14:paraId="4D7211B8" w14:textId="77777777" w:rsidR="00235DEC" w:rsidRPr="004407B3" w:rsidRDefault="00235DEC" w:rsidP="00235DEC">
      <w:pPr>
        <w:widowControl w:val="0"/>
        <w:autoSpaceDE w:val="0"/>
        <w:autoSpaceDN w:val="0"/>
        <w:spacing w:after="120" w:line="276" w:lineRule="auto"/>
        <w:ind w:firstLine="708"/>
        <w:jc w:val="both"/>
        <w:rPr>
          <w:rFonts w:ascii="Verdana" w:eastAsia="Calibri" w:hAnsi="Verdana" w:cs="Arial"/>
          <w:kern w:val="2"/>
          <w14:ligatures w14:val="standardContextual"/>
        </w:rPr>
      </w:pPr>
      <w:r w:rsidRPr="004407B3">
        <w:rPr>
          <w:rFonts w:ascii="Verdana" w:eastAsia="Calibri" w:hAnsi="Verdana" w:cs="Arial"/>
          <w:kern w:val="2"/>
          <w14:ligatures w14:val="standardContextual"/>
        </w:rPr>
        <w:t>A su vez, el artículo 2 de la Ley 80 de 1993 establece el ámbito subjetivo de aplicación del Estatuto General de Contratación de la Administración Pública e incluye expresamente dentro de la definición de entidades estatales a los establecimientos públicos. En consecuencia, el SENA se encuentra comprendido dentro de las entidades sometidas a dicho Estatuto.</w:t>
      </w:r>
    </w:p>
    <w:p w14:paraId="2C1E96C3" w14:textId="77777777" w:rsidR="00235DEC" w:rsidRPr="004407B3" w:rsidRDefault="00235DEC" w:rsidP="00235DEC">
      <w:pPr>
        <w:widowControl w:val="0"/>
        <w:autoSpaceDE w:val="0"/>
        <w:autoSpaceDN w:val="0"/>
        <w:spacing w:after="120" w:line="276" w:lineRule="auto"/>
        <w:ind w:firstLine="708"/>
        <w:jc w:val="both"/>
        <w:rPr>
          <w:rFonts w:ascii="Verdana" w:eastAsia="Calibri" w:hAnsi="Verdana" w:cs="Arial"/>
          <w:kern w:val="2"/>
          <w14:ligatures w14:val="standardContextual"/>
        </w:rPr>
      </w:pPr>
      <w:r w:rsidRPr="004407B3">
        <w:rPr>
          <w:rFonts w:ascii="Verdana" w:eastAsia="Calibri" w:hAnsi="Verdana" w:cs="Arial"/>
          <w:kern w:val="2"/>
          <w14:ligatures w14:val="standardContextual"/>
        </w:rPr>
        <w:t xml:space="preserve">Por lo anterior, en el caso particular del SENA, la obligatoriedad de los Documentos Tipo expedidos por la Agencia Nacional de Contratación Pública – Colombia Compra Eficiente se deriva directamente de su condición de entidad estatal sometida al Estatuto General de Contratación de la Administración </w:t>
      </w:r>
      <w:r w:rsidRPr="004407B3">
        <w:rPr>
          <w:rFonts w:ascii="Verdana" w:eastAsia="Calibri" w:hAnsi="Verdana" w:cs="Arial"/>
          <w:kern w:val="2"/>
          <w14:ligatures w14:val="standardContextual"/>
        </w:rPr>
        <w:lastRenderedPageBreak/>
        <w:t>Pública, de conformidad con la Ley 80 de 1993 y la Ley 2022 de 2020. En consecuencia, no resulta necesario acudir a las disposiciones que extienden la aplicación de los Documentos Tipo a entidades sometidas a regímenes especiales o exceptuados, toda vez que el SENA se encuentra directamente comprendido dentro del ámbito subjetivo de aplicación del Estatuto General de Contratación de la Administración Pública.</w:t>
      </w:r>
    </w:p>
    <w:p w14:paraId="2C8A854B" w14:textId="77777777" w:rsidR="00235DEC" w:rsidRPr="004407B3" w:rsidRDefault="00235DEC" w:rsidP="00235DEC">
      <w:pPr>
        <w:widowControl w:val="0"/>
        <w:autoSpaceDE w:val="0"/>
        <w:autoSpaceDN w:val="0"/>
        <w:spacing w:after="120" w:line="276" w:lineRule="auto"/>
        <w:ind w:firstLine="708"/>
        <w:jc w:val="both"/>
        <w:rPr>
          <w:rFonts w:ascii="Verdana" w:eastAsia="Calibri" w:hAnsi="Verdana" w:cs="Arial"/>
          <w:kern w:val="2"/>
          <w14:ligatures w14:val="standardContextual"/>
        </w:rPr>
      </w:pPr>
      <w:r w:rsidRPr="004407B3">
        <w:rPr>
          <w:rFonts w:ascii="Verdana" w:eastAsia="Calibri" w:hAnsi="Verdana" w:cs="Arial"/>
          <w:kern w:val="2"/>
          <w14:ligatures w14:val="standardContextual"/>
        </w:rPr>
        <w:t>En consecuencia, siempre que el SENA adelante un proceso de selección cuyo objeto, modalidad y demás condiciones se encuentren comprendidos dentro del ámbito de aplicación de los Documentos Tipo adoptados por esta Agencia, deberá aplicarlos de manera obligatoria, observando las reglas de diligenciamiento y las posibilidades de modificación expresamente previstas en estos.</w:t>
      </w:r>
    </w:p>
    <w:p w14:paraId="5928488A" w14:textId="77777777" w:rsidR="00235DEC" w:rsidRPr="00375041" w:rsidRDefault="00235DEC" w:rsidP="00235DEC">
      <w:pPr>
        <w:widowControl w:val="0"/>
        <w:autoSpaceDE w:val="0"/>
        <w:autoSpaceDN w:val="0"/>
        <w:spacing w:after="120" w:line="276" w:lineRule="auto"/>
        <w:ind w:firstLine="708"/>
        <w:jc w:val="both"/>
        <w:rPr>
          <w:rFonts w:ascii="Verdana" w:eastAsia="Calibri" w:hAnsi="Verdana" w:cs="Arial"/>
          <w:kern w:val="2"/>
          <w14:ligatures w14:val="standardContextual"/>
        </w:rPr>
      </w:pPr>
      <w:r w:rsidRPr="00375041">
        <w:rPr>
          <w:rFonts w:ascii="Verdana" w:eastAsia="Calibri" w:hAnsi="Verdana" w:cs="Arial"/>
          <w:kern w:val="2"/>
          <w14:ligatures w14:val="standardContextual"/>
        </w:rPr>
        <w:t>Ahora bien, resulta pertinente precisar que las resoluciones mediante las cuales se adoptan los Documentos Tipo complementarios para el sector de infraestructura social establecen su ámbito de aplicación de acuerdo con los sectores, modalidades de selección, objetos y actividades definidos en los respectivos documentos. En particular, su aplicación deberá determinarse atendiendo a las condiciones específicas del proceso de contratación y a las actividades previstas en las correspondientes matrices de experiencia.</w:t>
      </w:r>
    </w:p>
    <w:p w14:paraId="7973BC1B" w14:textId="77777777" w:rsidR="00235DEC" w:rsidRDefault="00235DEC" w:rsidP="00235DEC">
      <w:pPr>
        <w:widowControl w:val="0"/>
        <w:autoSpaceDE w:val="0"/>
        <w:autoSpaceDN w:val="0"/>
        <w:spacing w:after="120" w:line="276" w:lineRule="auto"/>
        <w:ind w:firstLine="708"/>
        <w:jc w:val="both"/>
        <w:rPr>
          <w:rFonts w:ascii="Verdana" w:eastAsia="Calibri" w:hAnsi="Verdana" w:cs="Arial"/>
          <w:kern w:val="2"/>
          <w14:ligatures w14:val="standardContextual"/>
        </w:rPr>
      </w:pPr>
      <w:r w:rsidRPr="00375041">
        <w:rPr>
          <w:rFonts w:ascii="Verdana" w:eastAsia="Calibri" w:hAnsi="Verdana" w:cs="Arial"/>
          <w:kern w:val="2"/>
          <w14:ligatures w14:val="standardContextual"/>
        </w:rPr>
        <w:t>En ese sentido, para establecer si el proceso que pretende adelantar el SENA se encuentra sometido a los Documentos Tipo, además de verificar que se trate de una entidad obligada a su aplicación, es necesario determinar si el objeto y las actividades que serán desarrolladas en el marco del proceso de contratación se encuentran comprendidos dentro del ámbito material de los Documentos Tipo correspondientes. Para ello, deberá atenderse a las condiciones particulares del objeto contractual, la modalidad de selección y las actividades previstas en las matrices de experiencia y demás documentos que delimitan el ámbito de aplicación de los respectivos Documentos Tipo.</w:t>
      </w:r>
    </w:p>
    <w:p w14:paraId="6804602D"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r w:rsidRPr="00C76F4E">
        <w:rPr>
          <w:rFonts w:ascii="Verdana" w:eastAsia="Calibri" w:hAnsi="Verdana" w:cs="Times New Roman"/>
          <w:lang w:eastAsia="es-MX"/>
        </w:rPr>
        <w:t xml:space="preserve">Bajo este criterio, resulta pertinente acudir a las definiciones contenidas en el Anexo </w:t>
      </w:r>
      <w:r>
        <w:rPr>
          <w:rFonts w:ascii="Verdana" w:eastAsia="Calibri" w:hAnsi="Verdana" w:cs="Times New Roman"/>
          <w:lang w:eastAsia="es-MX"/>
        </w:rPr>
        <w:t>5</w:t>
      </w:r>
      <w:r w:rsidRPr="00C76F4E">
        <w:rPr>
          <w:rFonts w:ascii="Verdana" w:eastAsia="Calibri" w:hAnsi="Verdana" w:cs="Times New Roman"/>
          <w:lang w:eastAsia="es-MX"/>
        </w:rPr>
        <w:t xml:space="preserve"> – Glosario de los Documentos Tipo</w:t>
      </w:r>
      <w:r>
        <w:rPr>
          <w:rFonts w:ascii="Verdana" w:eastAsia="Calibri" w:hAnsi="Verdana" w:cs="Times New Roman"/>
          <w:lang w:eastAsia="es-MX"/>
        </w:rPr>
        <w:t xml:space="preserve"> </w:t>
      </w:r>
      <w:r>
        <w:rPr>
          <w:rFonts w:ascii="Verdana" w:hAnsi="Verdana" w:cs="Arial"/>
        </w:rPr>
        <w:t>L</w:t>
      </w:r>
      <w:r w:rsidRPr="00D62509">
        <w:rPr>
          <w:rFonts w:ascii="Verdana" w:hAnsi="Verdana" w:cs="Arial"/>
        </w:rPr>
        <w:t xml:space="preserve">icitación de </w:t>
      </w:r>
      <w:r>
        <w:rPr>
          <w:rFonts w:ascii="Verdana" w:hAnsi="Verdana" w:cs="Arial"/>
        </w:rPr>
        <w:t>O</w:t>
      </w:r>
      <w:r w:rsidRPr="00D62509">
        <w:rPr>
          <w:rFonts w:ascii="Verdana" w:hAnsi="Verdana" w:cs="Arial"/>
        </w:rPr>
        <w:t xml:space="preserve">bra </w:t>
      </w:r>
      <w:r>
        <w:rPr>
          <w:rFonts w:ascii="Verdana" w:hAnsi="Verdana" w:cs="Arial"/>
        </w:rPr>
        <w:t>P</w:t>
      </w:r>
      <w:r w:rsidRPr="00D62509">
        <w:rPr>
          <w:rFonts w:ascii="Verdana" w:hAnsi="Verdana" w:cs="Arial"/>
        </w:rPr>
        <w:t xml:space="preserve">ública de </w:t>
      </w:r>
      <w:r>
        <w:rPr>
          <w:rFonts w:ascii="Verdana" w:hAnsi="Verdana" w:cs="Arial"/>
        </w:rPr>
        <w:t>I</w:t>
      </w:r>
      <w:r w:rsidRPr="00D62509">
        <w:rPr>
          <w:rFonts w:ascii="Verdana" w:hAnsi="Verdana" w:cs="Arial"/>
        </w:rPr>
        <w:t xml:space="preserve">nfraestructura del </w:t>
      </w:r>
      <w:r>
        <w:rPr>
          <w:rFonts w:ascii="Verdana" w:hAnsi="Verdana" w:cs="Arial"/>
        </w:rPr>
        <w:t>S</w:t>
      </w:r>
      <w:r w:rsidRPr="00D62509">
        <w:rPr>
          <w:rFonts w:ascii="Verdana" w:hAnsi="Verdana" w:cs="Arial"/>
        </w:rPr>
        <w:t xml:space="preserve">ector </w:t>
      </w:r>
      <w:r>
        <w:rPr>
          <w:rFonts w:ascii="Verdana" w:hAnsi="Verdana" w:cs="Arial"/>
        </w:rPr>
        <w:t>S</w:t>
      </w:r>
      <w:r w:rsidRPr="00D62509">
        <w:rPr>
          <w:rFonts w:ascii="Verdana" w:hAnsi="Verdana" w:cs="Arial"/>
        </w:rPr>
        <w:t>ocial</w:t>
      </w:r>
      <w:r w:rsidRPr="00D62509">
        <w:rPr>
          <w:rFonts w:ascii="Verdana" w:eastAsia="Calibri" w:hAnsi="Verdana" w:cs="Times New Roman"/>
          <w:lang w:eastAsia="es-MX"/>
        </w:rPr>
        <w:t>,</w:t>
      </w:r>
      <w:r w:rsidRPr="00C76F4E">
        <w:rPr>
          <w:rFonts w:ascii="Verdana" w:eastAsia="Calibri" w:hAnsi="Verdana" w:cs="Times New Roman"/>
          <w:lang w:eastAsia="es-MX"/>
        </w:rPr>
        <w:t xml:space="preserve"> particularmente en lo relacionado con los grupos de ocupación de las edificaciones. </w:t>
      </w:r>
    </w:p>
    <w:p w14:paraId="0AEA8EAB" w14:textId="77777777" w:rsidR="00235DEC" w:rsidRPr="002C0CF5" w:rsidRDefault="00235DEC" w:rsidP="00235DEC">
      <w:pPr>
        <w:widowControl w:val="0"/>
        <w:autoSpaceDE w:val="0"/>
        <w:autoSpaceDN w:val="0"/>
        <w:spacing w:after="120" w:line="276" w:lineRule="auto"/>
        <w:ind w:firstLine="708"/>
        <w:jc w:val="both"/>
        <w:rPr>
          <w:rFonts w:ascii="Verdana" w:eastAsia="Calibri" w:hAnsi="Verdana" w:cs="Arial"/>
          <w:kern w:val="2"/>
          <w14:ligatures w14:val="standardContextual"/>
        </w:rPr>
      </w:pPr>
      <w:r w:rsidRPr="002C0CF5">
        <w:rPr>
          <w:rFonts w:ascii="Verdana" w:eastAsia="Calibri" w:hAnsi="Verdana" w:cs="Times New Roman"/>
          <w:lang w:eastAsia="es-MX"/>
        </w:rPr>
        <w:t>Así, el numeral 2.106 establece la definición correspondiente al grupo de ocupación institucional, en los siguientes términos:</w:t>
      </w:r>
    </w:p>
    <w:p w14:paraId="636FF44F" w14:textId="77777777" w:rsidR="00235DEC" w:rsidRPr="002C0CF5" w:rsidRDefault="00235DEC" w:rsidP="00235DEC">
      <w:pPr>
        <w:pStyle w:val="Encabezado"/>
        <w:jc w:val="both"/>
        <w:rPr>
          <w:rFonts w:ascii="Verdana" w:hAnsi="Verdana" w:cs="Arial"/>
        </w:rPr>
      </w:pPr>
    </w:p>
    <w:p w14:paraId="58FC71C2" w14:textId="77777777" w:rsidR="00235DEC" w:rsidRPr="00DB76E6" w:rsidRDefault="00235DEC" w:rsidP="00235DEC">
      <w:pPr>
        <w:widowControl w:val="0"/>
        <w:autoSpaceDE w:val="0"/>
        <w:autoSpaceDN w:val="0"/>
        <w:spacing w:after="120" w:line="240" w:lineRule="auto"/>
        <w:ind w:left="709" w:right="709"/>
        <w:jc w:val="both"/>
        <w:rPr>
          <w:rFonts w:ascii="Verdana" w:eastAsia="Calibri" w:hAnsi="Verdana" w:cs="Times New Roman"/>
          <w:sz w:val="20"/>
          <w:szCs w:val="20"/>
          <w:lang w:eastAsia="es-MX"/>
        </w:rPr>
      </w:pPr>
      <w:r w:rsidRPr="00DB76E6">
        <w:rPr>
          <w:rFonts w:ascii="Verdana" w:eastAsia="Calibri" w:hAnsi="Verdana" w:cs="Times New Roman"/>
          <w:sz w:val="20"/>
          <w:szCs w:val="20"/>
          <w:lang w:eastAsia="es-MX"/>
        </w:rPr>
        <w:t xml:space="preserve">“2.106. Grupo de ocupación de Institucional: En el grupo de ocupación institucional se clasifican las edificaciones o espacios utilizados para la reclusión de personas que adolecen de limitaciones mentales o están sujetas a castigos penales o correccionales; en el tratamiento o cuidado de personas o </w:t>
      </w:r>
      <w:r w:rsidRPr="00DB76E6">
        <w:rPr>
          <w:rFonts w:ascii="Verdana" w:eastAsia="Calibri" w:hAnsi="Verdana" w:cs="Times New Roman"/>
          <w:i/>
          <w:iCs/>
          <w:sz w:val="20"/>
          <w:szCs w:val="20"/>
          <w:u w:val="single"/>
          <w:lang w:eastAsia="es-MX"/>
        </w:rPr>
        <w:t>en su reunión con propósitos educativos o de instrucción</w:t>
      </w:r>
      <w:r w:rsidRPr="00DB76E6">
        <w:rPr>
          <w:rFonts w:ascii="Verdana" w:eastAsia="Calibri" w:hAnsi="Verdana" w:cs="Times New Roman"/>
          <w:sz w:val="20"/>
          <w:szCs w:val="20"/>
          <w:lang w:eastAsia="es-MX"/>
        </w:rPr>
        <w:t xml:space="preserve">. De igual manera se clasifican dentro de este grupo las edificaciones y espacios indispensables en la atención de emergencias, preservación de la seguridad de personas y la prestación de servicios públicos y administrativos necesarios para el buen funcionamiento de las ciudades. Entre otras se contemplan para edificaciones de servicio público, centros de comunicación, centros administrativos, municipales, distritales, oficinas de correo, gubernamentales y nacionales, </w:t>
      </w:r>
      <w:r w:rsidRPr="00DB76E6">
        <w:rPr>
          <w:rFonts w:ascii="Verdana" w:eastAsia="Calibri" w:hAnsi="Verdana" w:cs="Times New Roman"/>
          <w:i/>
          <w:iCs/>
          <w:sz w:val="20"/>
          <w:szCs w:val="20"/>
          <w:u w:val="single"/>
          <w:lang w:eastAsia="es-MX"/>
        </w:rPr>
        <w:t>centros administrativos de servicios públicos,</w:t>
      </w:r>
      <w:r w:rsidRPr="00DB76E6">
        <w:rPr>
          <w:rFonts w:ascii="Verdana" w:eastAsia="Calibri" w:hAnsi="Verdana" w:cs="Times New Roman"/>
          <w:sz w:val="20"/>
          <w:szCs w:val="20"/>
          <w:lang w:eastAsia="es-MX"/>
        </w:rPr>
        <w:t xml:space="preserve"> juzgados, ministerios, reguladores de servicios y de control, centros de investigación, entidades financieras estatales, </w:t>
      </w:r>
      <w:r w:rsidRPr="00DB76E6">
        <w:rPr>
          <w:rFonts w:ascii="Verdana" w:eastAsia="Calibri" w:hAnsi="Verdana" w:cs="Times New Roman"/>
          <w:i/>
          <w:iCs/>
          <w:sz w:val="20"/>
          <w:szCs w:val="20"/>
          <w:u w:val="single"/>
          <w:lang w:eastAsia="es-MX"/>
        </w:rPr>
        <w:t>otros similares</w:t>
      </w:r>
      <w:r w:rsidRPr="00DB76E6">
        <w:rPr>
          <w:rFonts w:ascii="Verdana" w:eastAsia="Calibri" w:hAnsi="Verdana" w:cs="Times New Roman"/>
          <w:sz w:val="20"/>
          <w:szCs w:val="20"/>
          <w:lang w:eastAsia="es-MX"/>
        </w:rPr>
        <w:t>”. (Negrilla y subrayado fuera del texto original).</w:t>
      </w:r>
    </w:p>
    <w:p w14:paraId="67A5115E" w14:textId="77777777" w:rsidR="00235DEC" w:rsidRDefault="00235DEC" w:rsidP="00235DEC">
      <w:pPr>
        <w:widowControl w:val="0"/>
        <w:autoSpaceDE w:val="0"/>
        <w:autoSpaceDN w:val="0"/>
        <w:spacing w:after="120" w:line="240" w:lineRule="auto"/>
        <w:ind w:right="49" w:firstLine="708"/>
        <w:jc w:val="both"/>
        <w:rPr>
          <w:rFonts w:ascii="Verdana" w:eastAsia="Calibri" w:hAnsi="Verdana" w:cs="Times New Roman"/>
          <w:lang w:eastAsia="es-MX"/>
        </w:rPr>
      </w:pPr>
      <w:r w:rsidRPr="002C0CF5">
        <w:rPr>
          <w:rFonts w:ascii="Verdana" w:eastAsia="Calibri" w:hAnsi="Verdana" w:cs="Times New Roman"/>
          <w:lang w:eastAsia="es-MX"/>
        </w:rPr>
        <w:t xml:space="preserve">En línea con lo anterior, el numeral 2.109 </w:t>
      </w:r>
      <w:r>
        <w:rPr>
          <w:rFonts w:ascii="Verdana" w:eastAsia="Calibri" w:hAnsi="Verdana" w:cs="Times New Roman"/>
          <w:lang w:eastAsia="es-MX"/>
        </w:rPr>
        <w:t xml:space="preserve">desarrolla la clasificación </w:t>
      </w:r>
      <w:r w:rsidRPr="002C0CF5">
        <w:rPr>
          <w:rFonts w:ascii="Verdana" w:eastAsia="Calibri" w:hAnsi="Verdana" w:cs="Times New Roman"/>
          <w:lang w:eastAsia="es-MX"/>
        </w:rPr>
        <w:t>correspondiente al grupo de ocupación institucional de educación, en los siguientes términos:</w:t>
      </w:r>
    </w:p>
    <w:p w14:paraId="42982096" w14:textId="77777777" w:rsidR="00235DEC" w:rsidRPr="00DB76E6" w:rsidRDefault="00235DEC" w:rsidP="00235DEC">
      <w:pPr>
        <w:widowControl w:val="0"/>
        <w:autoSpaceDE w:val="0"/>
        <w:autoSpaceDN w:val="0"/>
        <w:spacing w:after="120" w:line="240" w:lineRule="auto"/>
        <w:ind w:left="709" w:right="709"/>
        <w:jc w:val="both"/>
        <w:rPr>
          <w:rFonts w:ascii="Verdana" w:eastAsia="Calibri" w:hAnsi="Verdana" w:cs="Times New Roman"/>
          <w:sz w:val="20"/>
          <w:szCs w:val="20"/>
          <w:lang w:eastAsia="es-MX"/>
        </w:rPr>
      </w:pPr>
      <w:r w:rsidRPr="00DB76E6">
        <w:rPr>
          <w:rFonts w:ascii="Verdana" w:eastAsia="Calibri" w:hAnsi="Verdana" w:cs="Times New Roman"/>
          <w:sz w:val="20"/>
          <w:szCs w:val="20"/>
          <w:lang w:eastAsia="es-MX"/>
        </w:rPr>
        <w:t xml:space="preserve">“2.109. </w:t>
      </w:r>
      <w:r w:rsidRPr="00DB76E6">
        <w:rPr>
          <w:rFonts w:ascii="Verdana" w:eastAsia="Arial" w:hAnsi="Verdana" w:cs="Arial"/>
          <w:sz w:val="20"/>
          <w:szCs w:val="20"/>
          <w:lang w:val="es-ES"/>
        </w:rPr>
        <w:t>Grupo de ocupación de Institucional de educación:</w:t>
      </w:r>
      <w:r w:rsidRPr="00DB76E6">
        <w:rPr>
          <w:rFonts w:ascii="Verdana" w:eastAsia="Arial" w:hAnsi="Verdana" w:cs="Arial"/>
          <w:b/>
          <w:bCs/>
          <w:sz w:val="20"/>
          <w:szCs w:val="20"/>
          <w:lang w:val="es-ES"/>
        </w:rPr>
        <w:t xml:space="preserve"> </w:t>
      </w:r>
      <w:r w:rsidRPr="00DB76E6">
        <w:rPr>
          <w:rFonts w:ascii="Verdana" w:eastAsia="Arial" w:hAnsi="Verdana" w:cs="Arial"/>
          <w:sz w:val="20"/>
          <w:szCs w:val="20"/>
          <w:lang w:val="es-ES"/>
        </w:rPr>
        <w:t>En este grupo se clasifican las edificaciones o espacios empleados para la reunión de personas con propósitos educativos y de instrucción, entre los cuales se encuentran, entre otras universidad, colegio, escuela, centros de educación, jardín infantil, instituciones docentes, academias, educativas, instituciones educativas, centro educativo, escuelas de institución educativa, centros de educación, centros de enseñanza, institución educativa oficial, instituciones educativas oficiales, institución educativa distrital, centros de desarrollo infantil –</w:t>
      </w:r>
      <w:proofErr w:type="spellStart"/>
      <w:r w:rsidRPr="00DB76E6">
        <w:rPr>
          <w:rFonts w:ascii="Verdana" w:eastAsia="Arial" w:hAnsi="Verdana" w:cs="Arial"/>
          <w:sz w:val="20"/>
          <w:szCs w:val="20"/>
          <w:lang w:val="es-ES"/>
        </w:rPr>
        <w:t>CDl</w:t>
      </w:r>
      <w:proofErr w:type="spellEnd"/>
      <w:r w:rsidRPr="00DB76E6">
        <w:rPr>
          <w:rFonts w:ascii="Verdana" w:eastAsia="Arial" w:hAnsi="Verdana" w:cs="Arial"/>
          <w:sz w:val="20"/>
          <w:szCs w:val="20"/>
          <w:lang w:val="es-ES"/>
        </w:rPr>
        <w:t>, centros de atención integral, hogares agrupados, hogares infantiles, centros de convivencia ciudadana, establecimientos de atención y cuidado de la primera edad y otras instituciones docentes”.</w:t>
      </w:r>
    </w:p>
    <w:p w14:paraId="6126E15F"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r w:rsidRPr="00E96E47">
        <w:rPr>
          <w:rFonts w:ascii="Verdana" w:eastAsia="Calibri" w:hAnsi="Verdana" w:cs="Times New Roman"/>
          <w:lang w:eastAsia="es-MX"/>
        </w:rPr>
        <w:t xml:space="preserve">De acuerdo con las definiciones citadas, el grupo de ocupación institucional comprende un ámbito amplio de edificaciones y espacios destinados, entre otros fines, a la prestación de servicios públicos y administrativos, así como a la reunión de personas con propósitos educativos o de instrucción. Dentro de este grupo, el numeral 2.109 contempla de manera específica las edificaciones o espacios destinados a fines educativos y de instrucción, incluyendo, entre otros, universidades, colegios, escuelas, centros de educación e instituciones educativas. En consecuencia, la determinación de la clasificación aplicable debe atender a la </w:t>
      </w:r>
      <w:r>
        <w:rPr>
          <w:rFonts w:ascii="Verdana" w:eastAsia="Calibri" w:hAnsi="Verdana" w:cs="Times New Roman"/>
          <w:lang w:eastAsia="es-MX"/>
        </w:rPr>
        <w:t>“</w:t>
      </w:r>
      <w:r w:rsidRPr="00E96E47">
        <w:rPr>
          <w:rFonts w:ascii="Verdana" w:eastAsia="Calibri" w:hAnsi="Verdana" w:cs="Times New Roman"/>
          <w:lang w:eastAsia="es-MX"/>
        </w:rPr>
        <w:t xml:space="preserve">destinación efectiva de la infraestructura objeto de intervención y a las actividades que se desarrollan en </w:t>
      </w:r>
      <w:r w:rsidRPr="00E96E47">
        <w:rPr>
          <w:rFonts w:ascii="Verdana" w:eastAsia="Calibri" w:hAnsi="Verdana" w:cs="Times New Roman"/>
          <w:lang w:eastAsia="es-MX"/>
        </w:rPr>
        <w:lastRenderedPageBreak/>
        <w:t>ella</w:t>
      </w:r>
      <w:r>
        <w:rPr>
          <w:rFonts w:ascii="Verdana" w:eastAsia="Calibri" w:hAnsi="Verdana" w:cs="Times New Roman"/>
          <w:lang w:eastAsia="es-MX"/>
        </w:rPr>
        <w:t>”</w:t>
      </w:r>
      <w:r w:rsidRPr="00E96E47">
        <w:rPr>
          <w:rFonts w:ascii="Verdana" w:eastAsia="Calibri" w:hAnsi="Verdana" w:cs="Times New Roman"/>
          <w:lang w:eastAsia="es-MX"/>
        </w:rPr>
        <w:t>, y no exclusivamente a la naturaleza jurídica o institucional de la entidad que adelanta el proceso de contratación. Por tanto, para establecer la procedencia de los Documentos Tipo en el caso concreto, deberá verificarse si la infraestructura y las actividades objeto del contrato se encuentran comprendidas dentro de las tipologías y ámbitos materiales previstos en los respectivos Documentos Tipo.</w:t>
      </w:r>
    </w:p>
    <w:p w14:paraId="2BA0F346"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r w:rsidRPr="003A2F1B">
        <w:rPr>
          <w:rFonts w:ascii="Verdana" w:eastAsia="Calibri" w:hAnsi="Verdana" w:cs="Times New Roman"/>
          <w:lang w:eastAsia="es-MX"/>
        </w:rPr>
        <w:t>Adicionalmente, como se precisa, las actividades señaladas recaerían sobre obras en proyectos de infraestructura institucional. De esta forma, para determinar qué abarca este tipo de infraestructura, de conformidad con la norma NSR-10 en el Grupo de Ocupación Institucional (I) –K.2.6– “(…) se clasifican las edificaciones o espacios utilizados para la reclusión de personas que adolecen de limitaciones mentales o están sujetas a castigos penales o correccionales; en el tratamiento o cuidado de personas o en su reunión con propósitos educativos o de instrucción. De igual manera se clasifican dentro de este grupo las edificaciones y espacios indispensables en la atención de emergencias, preservación de la seguridad de personas y</w:t>
      </w:r>
      <w:r w:rsidRPr="003A2F1B">
        <w:rPr>
          <w:rFonts w:ascii="Verdana" w:eastAsia="Calibri" w:hAnsi="Verdana" w:cs="Times New Roman"/>
          <w:b/>
          <w:bCs/>
          <w:u w:val="single"/>
          <w:lang w:eastAsia="es-MX"/>
        </w:rPr>
        <w:t> la prestación de servicios públicos y administrativos necesarios para el buen funcionamiento de las ciudades</w:t>
      </w:r>
      <w:r w:rsidRPr="003A2F1B">
        <w:rPr>
          <w:rFonts w:ascii="Verdana" w:eastAsia="Calibri" w:hAnsi="Verdana" w:cs="Times New Roman"/>
          <w:lang w:eastAsia="es-MX"/>
        </w:rPr>
        <w:t>”. Este Grupo de Ocupación está constituida “(…) por los Subgrupos de Ocupación Institucional de Reclusión (I-1), Institucional de Salud o Incapacidad (I-2), Institucional de Educación (I-3), Institucional de Seguridad Pública (I-4) e Institucional de Servicio Público (I-5)”.</w:t>
      </w:r>
    </w:p>
    <w:p w14:paraId="58A17E46"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r w:rsidRPr="00833172">
        <w:rPr>
          <w:rFonts w:ascii="Verdana" w:eastAsia="Calibri" w:hAnsi="Verdana" w:cs="Times New Roman"/>
          <w:lang w:eastAsia="es-MX"/>
        </w:rPr>
        <w:t xml:space="preserve">Dentro de los subgrupos que integran el Grupo de Ocupación Institucional, resulta pertinente diferenciar el </w:t>
      </w:r>
      <w:r w:rsidRPr="00833172">
        <w:rPr>
          <w:rFonts w:ascii="Verdana" w:eastAsia="Calibri" w:hAnsi="Verdana" w:cs="Times New Roman"/>
          <w:b/>
          <w:bCs/>
          <w:lang w:eastAsia="es-MX"/>
        </w:rPr>
        <w:t>Subgrupo de Ocupación Institucional de Educación (I-3)</w:t>
      </w:r>
      <w:r w:rsidRPr="00833172">
        <w:rPr>
          <w:rFonts w:ascii="Verdana" w:eastAsia="Calibri" w:hAnsi="Verdana" w:cs="Times New Roman"/>
          <w:lang w:eastAsia="es-MX"/>
        </w:rPr>
        <w:t xml:space="preserve"> del </w:t>
      </w:r>
      <w:r w:rsidRPr="00833172">
        <w:rPr>
          <w:rFonts w:ascii="Verdana" w:eastAsia="Calibri" w:hAnsi="Verdana" w:cs="Times New Roman"/>
          <w:b/>
          <w:bCs/>
          <w:lang w:eastAsia="es-MX"/>
        </w:rPr>
        <w:t>Subgrupo de Ocupación Institucional de Servicio Público (I-5)</w:t>
      </w:r>
      <w:r w:rsidRPr="00833172">
        <w:rPr>
          <w:rFonts w:ascii="Verdana" w:eastAsia="Calibri" w:hAnsi="Verdana" w:cs="Times New Roman"/>
          <w:lang w:eastAsia="es-MX"/>
        </w:rPr>
        <w:t xml:space="preserve">, atendiendo a la destinación y función de las edificaciones o espacios objeto de intervención. </w:t>
      </w:r>
    </w:p>
    <w:p w14:paraId="467625F6"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r w:rsidRPr="00833172">
        <w:rPr>
          <w:rFonts w:ascii="Verdana" w:eastAsia="Calibri" w:hAnsi="Verdana" w:cs="Times New Roman"/>
          <w:lang w:eastAsia="es-MX"/>
        </w:rPr>
        <w:t xml:space="preserve">Para estos efectos, la NSR-10 establece listas indicativas de las edificaciones que pueden clasificarse en cada uno de estos subgrupos. En particular, respecto del </w:t>
      </w:r>
      <w:r w:rsidRPr="00833172">
        <w:rPr>
          <w:rFonts w:ascii="Verdana" w:eastAsia="Calibri" w:hAnsi="Verdana" w:cs="Times New Roman"/>
          <w:b/>
          <w:bCs/>
          <w:lang w:eastAsia="es-MX"/>
        </w:rPr>
        <w:t>Subgrupo de Ocupación Institucional de Educación (I-3)</w:t>
      </w:r>
      <w:r w:rsidRPr="00833172">
        <w:rPr>
          <w:rFonts w:ascii="Verdana" w:eastAsia="Calibri" w:hAnsi="Verdana" w:cs="Times New Roman"/>
          <w:lang w:eastAsia="es-MX"/>
        </w:rPr>
        <w:t>, la Tabla K.2.6-3 contempla las siguientes:</w:t>
      </w:r>
    </w:p>
    <w:p w14:paraId="3D9B22BD" w14:textId="77777777" w:rsidR="00235DEC" w:rsidRPr="00833172"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p>
    <w:p w14:paraId="0390745F" w14:textId="77777777" w:rsidR="00235DEC" w:rsidRDefault="00235DEC" w:rsidP="00235DEC">
      <w:pPr>
        <w:widowControl w:val="0"/>
        <w:autoSpaceDE w:val="0"/>
        <w:autoSpaceDN w:val="0"/>
        <w:spacing w:after="120" w:line="276" w:lineRule="auto"/>
        <w:ind w:firstLine="708"/>
        <w:jc w:val="center"/>
        <w:rPr>
          <w:rFonts w:ascii="Verdana" w:eastAsia="Calibri" w:hAnsi="Verdana" w:cs="Times New Roman"/>
          <w:b/>
          <w:bCs/>
          <w:lang w:eastAsia="es-MX"/>
        </w:rPr>
      </w:pPr>
      <w:r w:rsidRPr="00955C75">
        <w:rPr>
          <w:rFonts w:ascii="Verdana" w:eastAsia="Calibri" w:hAnsi="Verdana" w:cs="Times New Roman"/>
          <w:noProof/>
          <w:lang w:eastAsia="es-MX"/>
        </w:rPr>
        <w:lastRenderedPageBreak/>
        <w:drawing>
          <wp:anchor distT="0" distB="0" distL="114300" distR="114300" simplePos="0" relativeHeight="251658241" behindDoc="0" locked="0" layoutInCell="1" allowOverlap="1" wp14:anchorId="4666BE1D" wp14:editId="6E983334">
            <wp:simplePos x="0" y="0"/>
            <wp:positionH relativeFrom="margin">
              <wp:posOffset>990600</wp:posOffset>
            </wp:positionH>
            <wp:positionV relativeFrom="margin">
              <wp:posOffset>430605</wp:posOffset>
            </wp:positionV>
            <wp:extent cx="3752850" cy="1619250"/>
            <wp:effectExtent l="0" t="0" r="0" b="0"/>
            <wp:wrapSquare wrapText="bothSides"/>
            <wp:docPr id="1477151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15173" name=""/>
                    <pic:cNvPicPr/>
                  </pic:nvPicPr>
                  <pic:blipFill>
                    <a:blip r:embed="rId12">
                      <a:extLst>
                        <a:ext uri="{28A0092B-C50C-407E-A947-70E740481C1C}">
                          <a14:useLocalDpi xmlns:a14="http://schemas.microsoft.com/office/drawing/2010/main" val="0"/>
                        </a:ext>
                      </a:extLst>
                    </a:blip>
                    <a:stretch>
                      <a:fillRect/>
                    </a:stretch>
                  </pic:blipFill>
                  <pic:spPr>
                    <a:xfrm>
                      <a:off x="0" y="0"/>
                      <a:ext cx="3752850" cy="1619250"/>
                    </a:xfrm>
                    <a:prstGeom prst="rect">
                      <a:avLst/>
                    </a:prstGeom>
                  </pic:spPr>
                </pic:pic>
              </a:graphicData>
            </a:graphic>
          </wp:anchor>
        </w:drawing>
      </w:r>
      <w:r w:rsidRPr="00833172">
        <w:rPr>
          <w:rFonts w:ascii="Verdana" w:eastAsia="Calibri" w:hAnsi="Verdana" w:cs="Times New Roman"/>
          <w:b/>
          <w:bCs/>
          <w:lang w:eastAsia="es-MX"/>
        </w:rPr>
        <w:t>Tabla K.2.6-3. Subgrupo de Ocupación Institucional de Educación (I-3)</w:t>
      </w:r>
    </w:p>
    <w:p w14:paraId="57CD0D78" w14:textId="77777777" w:rsidR="00235DEC" w:rsidRDefault="00235DEC" w:rsidP="00235DEC">
      <w:pPr>
        <w:widowControl w:val="0"/>
        <w:autoSpaceDE w:val="0"/>
        <w:autoSpaceDN w:val="0"/>
        <w:spacing w:after="120" w:line="276" w:lineRule="auto"/>
        <w:ind w:firstLine="708"/>
        <w:jc w:val="center"/>
        <w:rPr>
          <w:rFonts w:ascii="Verdana" w:eastAsia="Calibri" w:hAnsi="Verdana" w:cs="Times New Roman"/>
          <w:lang w:eastAsia="es-MX"/>
        </w:rPr>
      </w:pPr>
    </w:p>
    <w:p w14:paraId="708A8DD5" w14:textId="77777777" w:rsidR="00235DEC" w:rsidRDefault="00235DEC" w:rsidP="00235DEC">
      <w:pPr>
        <w:widowControl w:val="0"/>
        <w:autoSpaceDE w:val="0"/>
        <w:autoSpaceDN w:val="0"/>
        <w:spacing w:after="120" w:line="276" w:lineRule="auto"/>
        <w:ind w:firstLine="708"/>
        <w:jc w:val="center"/>
        <w:rPr>
          <w:rFonts w:ascii="Verdana" w:eastAsia="Calibri" w:hAnsi="Verdana" w:cs="Times New Roman"/>
          <w:lang w:eastAsia="es-MX"/>
        </w:rPr>
      </w:pPr>
    </w:p>
    <w:p w14:paraId="0E700B09" w14:textId="77777777" w:rsidR="00235DEC" w:rsidRDefault="00235DEC" w:rsidP="00235DEC">
      <w:pPr>
        <w:widowControl w:val="0"/>
        <w:autoSpaceDE w:val="0"/>
        <w:autoSpaceDN w:val="0"/>
        <w:spacing w:after="120" w:line="276" w:lineRule="auto"/>
        <w:ind w:firstLine="708"/>
        <w:jc w:val="center"/>
        <w:rPr>
          <w:rFonts w:ascii="Verdana" w:eastAsia="Calibri" w:hAnsi="Verdana" w:cs="Times New Roman"/>
          <w:lang w:eastAsia="es-MX"/>
        </w:rPr>
      </w:pPr>
    </w:p>
    <w:p w14:paraId="7B64060C" w14:textId="77777777" w:rsidR="00235DEC" w:rsidRDefault="00235DEC" w:rsidP="00235DEC">
      <w:pPr>
        <w:widowControl w:val="0"/>
        <w:autoSpaceDE w:val="0"/>
        <w:autoSpaceDN w:val="0"/>
        <w:spacing w:after="120" w:line="276" w:lineRule="auto"/>
        <w:ind w:firstLine="708"/>
        <w:jc w:val="center"/>
        <w:rPr>
          <w:rFonts w:ascii="Verdana" w:eastAsia="Calibri" w:hAnsi="Verdana" w:cs="Times New Roman"/>
          <w:lang w:eastAsia="es-MX"/>
        </w:rPr>
      </w:pPr>
    </w:p>
    <w:p w14:paraId="4748F9E3" w14:textId="77777777" w:rsidR="00235DEC" w:rsidRDefault="00235DEC" w:rsidP="00235DEC">
      <w:pPr>
        <w:widowControl w:val="0"/>
        <w:autoSpaceDE w:val="0"/>
        <w:autoSpaceDN w:val="0"/>
        <w:spacing w:after="120" w:line="276" w:lineRule="auto"/>
        <w:ind w:firstLine="708"/>
        <w:jc w:val="center"/>
        <w:rPr>
          <w:rFonts w:ascii="Verdana" w:eastAsia="Calibri" w:hAnsi="Verdana" w:cs="Times New Roman"/>
          <w:lang w:eastAsia="es-MX"/>
        </w:rPr>
      </w:pPr>
    </w:p>
    <w:p w14:paraId="55A7594C" w14:textId="77777777" w:rsidR="00235DEC" w:rsidRDefault="00235DEC" w:rsidP="00235DEC">
      <w:pPr>
        <w:widowControl w:val="0"/>
        <w:autoSpaceDE w:val="0"/>
        <w:autoSpaceDN w:val="0"/>
        <w:spacing w:after="120" w:line="276" w:lineRule="auto"/>
        <w:ind w:firstLine="708"/>
        <w:jc w:val="center"/>
        <w:rPr>
          <w:rFonts w:ascii="Verdana" w:eastAsia="Calibri" w:hAnsi="Verdana" w:cs="Times New Roman"/>
          <w:lang w:eastAsia="es-MX"/>
        </w:rPr>
      </w:pPr>
    </w:p>
    <w:p w14:paraId="10199EAA" w14:textId="77777777" w:rsidR="00235DEC" w:rsidRPr="000A62A2" w:rsidRDefault="00235DEC" w:rsidP="00235DEC">
      <w:pPr>
        <w:widowControl w:val="0"/>
        <w:autoSpaceDE w:val="0"/>
        <w:autoSpaceDN w:val="0"/>
        <w:spacing w:after="120" w:line="276" w:lineRule="auto"/>
        <w:ind w:firstLine="708"/>
        <w:jc w:val="center"/>
        <w:rPr>
          <w:rFonts w:ascii="Verdana" w:eastAsia="Calibri" w:hAnsi="Verdana" w:cs="Times New Roman"/>
          <w:sz w:val="16"/>
          <w:szCs w:val="16"/>
          <w:lang w:eastAsia="es-MX"/>
        </w:rPr>
      </w:pPr>
      <w:r w:rsidRPr="000A62A2">
        <w:rPr>
          <w:rFonts w:ascii="Verdana" w:eastAsia="Calibri" w:hAnsi="Verdana" w:cs="Times New Roman"/>
          <w:sz w:val="16"/>
          <w:szCs w:val="16"/>
          <w:lang w:eastAsia="es-MX"/>
        </w:rPr>
        <w:t>Fuente. NSR-10-Capítulo K.2 - Clasificación de las edificaciones por grupos de ocupación.</w:t>
      </w:r>
    </w:p>
    <w:p w14:paraId="41E8A25F"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r w:rsidRPr="000A62A2">
        <w:rPr>
          <w:rFonts w:ascii="Verdana" w:eastAsia="Calibri" w:hAnsi="Verdana" w:cs="Times New Roman"/>
          <w:lang w:eastAsia="es-MX"/>
        </w:rPr>
        <w:t xml:space="preserve">Por su parte, respecto del </w:t>
      </w:r>
      <w:r w:rsidRPr="000A62A2">
        <w:rPr>
          <w:rFonts w:ascii="Verdana" w:eastAsia="Calibri" w:hAnsi="Verdana" w:cs="Times New Roman"/>
          <w:b/>
          <w:bCs/>
          <w:lang w:eastAsia="es-MX"/>
        </w:rPr>
        <w:t>Subgrupo de Ocupación Institucional de Servicio Público (I-5)</w:t>
      </w:r>
      <w:r w:rsidRPr="000A62A2">
        <w:rPr>
          <w:rFonts w:ascii="Verdana" w:eastAsia="Calibri" w:hAnsi="Verdana" w:cs="Times New Roman"/>
          <w:lang w:eastAsia="es-MX"/>
        </w:rPr>
        <w:t>, la NSR-10 señala como edificaciones o espacios pertenecientes a este subgrupo, entre otros, los siguientes:</w:t>
      </w:r>
    </w:p>
    <w:p w14:paraId="14A9DC59"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r w:rsidRPr="00C46661">
        <w:rPr>
          <w:rFonts w:ascii="Verdana" w:eastAsia="Calibri" w:hAnsi="Verdana" w:cs="Times New Roman"/>
          <w:noProof/>
          <w:lang w:eastAsia="es-MX"/>
        </w:rPr>
        <w:drawing>
          <wp:anchor distT="0" distB="0" distL="114300" distR="114300" simplePos="0" relativeHeight="251658240" behindDoc="0" locked="0" layoutInCell="1" allowOverlap="1" wp14:anchorId="5FF13578" wp14:editId="439D25DE">
            <wp:simplePos x="0" y="0"/>
            <wp:positionH relativeFrom="margin">
              <wp:posOffset>1043617</wp:posOffset>
            </wp:positionH>
            <wp:positionV relativeFrom="margin">
              <wp:posOffset>2987441</wp:posOffset>
            </wp:positionV>
            <wp:extent cx="3891280" cy="1619885"/>
            <wp:effectExtent l="0" t="0" r="0" b="0"/>
            <wp:wrapSquare wrapText="bothSides"/>
            <wp:docPr id="12515791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579136" name=""/>
                    <pic:cNvPicPr/>
                  </pic:nvPicPr>
                  <pic:blipFill>
                    <a:blip r:embed="rId13">
                      <a:extLst>
                        <a:ext uri="{28A0092B-C50C-407E-A947-70E740481C1C}">
                          <a14:useLocalDpi xmlns:a14="http://schemas.microsoft.com/office/drawing/2010/main" val="0"/>
                        </a:ext>
                      </a:extLst>
                    </a:blip>
                    <a:stretch>
                      <a:fillRect/>
                    </a:stretch>
                  </pic:blipFill>
                  <pic:spPr>
                    <a:xfrm>
                      <a:off x="0" y="0"/>
                      <a:ext cx="3891280" cy="1619885"/>
                    </a:xfrm>
                    <a:prstGeom prst="rect">
                      <a:avLst/>
                    </a:prstGeom>
                  </pic:spPr>
                </pic:pic>
              </a:graphicData>
            </a:graphic>
          </wp:anchor>
        </w:drawing>
      </w:r>
    </w:p>
    <w:p w14:paraId="537700E5"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p>
    <w:p w14:paraId="176A44BC"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p>
    <w:p w14:paraId="62DB9738"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p>
    <w:p w14:paraId="1D451EA8"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p>
    <w:p w14:paraId="7FB5C84D"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p>
    <w:p w14:paraId="7BD237CB" w14:textId="77777777" w:rsidR="00235DEC"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p>
    <w:p w14:paraId="4AB35078" w14:textId="77777777" w:rsidR="00235DEC" w:rsidRPr="00E119CC" w:rsidRDefault="00235DEC" w:rsidP="00235DEC">
      <w:pPr>
        <w:widowControl w:val="0"/>
        <w:autoSpaceDE w:val="0"/>
        <w:autoSpaceDN w:val="0"/>
        <w:spacing w:after="120" w:line="276" w:lineRule="auto"/>
        <w:ind w:firstLine="708"/>
        <w:jc w:val="center"/>
        <w:rPr>
          <w:rFonts w:ascii="Verdana" w:eastAsia="Calibri" w:hAnsi="Verdana" w:cs="Times New Roman"/>
          <w:sz w:val="16"/>
          <w:szCs w:val="16"/>
          <w:lang w:eastAsia="es-MX"/>
        </w:rPr>
      </w:pPr>
      <w:r w:rsidRPr="000A62A2">
        <w:rPr>
          <w:rFonts w:ascii="Verdana" w:eastAsia="Calibri" w:hAnsi="Verdana" w:cs="Times New Roman"/>
          <w:sz w:val="16"/>
          <w:szCs w:val="16"/>
          <w:lang w:eastAsia="es-MX"/>
        </w:rPr>
        <w:t>Fuente. NSR-10-Capítulo K.2 - Clasificación de las edificaciones por grupos de ocupación.</w:t>
      </w:r>
    </w:p>
    <w:p w14:paraId="5C22F0D2" w14:textId="77777777" w:rsidR="00235DEC" w:rsidRPr="00DB76E6"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r w:rsidRPr="00DB76E6">
        <w:rPr>
          <w:rFonts w:ascii="Verdana" w:eastAsia="Calibri" w:hAnsi="Verdana" w:cs="Times New Roman"/>
          <w:lang w:eastAsia="es-MX"/>
        </w:rPr>
        <w:t>La expresión “otros similares”, empleada en los Subgrupos de Ocupación Institucional, debe interpretarse en cada caso de manera restrictiva y funcional, en el sentido de que comprende aquellas edificaciones o espacios que, aunque no estén expresamente mencionados, comparten las características esenciales de la definición y ejemplos de los respectivos subgrupos. En consecuencia, la expresión "otros similares" no habilita una lectura abierta o indeterminada, sino que exige que el establecimiento respectivo comparta la finalidad material y funcional propia de los ejemplos que la norma enuncia, con independencia de su denominación formal.</w:t>
      </w:r>
    </w:p>
    <w:p w14:paraId="437D9157" w14:textId="77777777" w:rsidR="00235DEC" w:rsidRPr="00DB76E6"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r w:rsidRPr="00DB76E6">
        <w:rPr>
          <w:rFonts w:ascii="Verdana" w:eastAsia="Calibri" w:hAnsi="Verdana" w:cs="Times New Roman"/>
          <w:lang w:eastAsia="es-MX"/>
        </w:rPr>
        <w:t xml:space="preserve">Es importante precisar que, estas listas tienen carácter indicativo y, por </w:t>
      </w:r>
      <w:r w:rsidRPr="00DB76E6">
        <w:rPr>
          <w:rFonts w:ascii="Verdana" w:eastAsia="Calibri" w:hAnsi="Verdana" w:cs="Times New Roman"/>
          <w:lang w:eastAsia="es-MX"/>
        </w:rPr>
        <w:lastRenderedPageBreak/>
        <w:t>tanto, su aplicación debe analizarse en función de la finalidad y características de la edificación o espacio objeto de intervención, así como de las actividades que efectivamente se desarrollan en este.</w:t>
      </w:r>
    </w:p>
    <w:p w14:paraId="433D8368" w14:textId="77777777" w:rsidR="00235DEC" w:rsidRPr="00DB76E6"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r w:rsidRPr="00DB76E6">
        <w:rPr>
          <w:rFonts w:ascii="Verdana" w:eastAsia="Calibri" w:hAnsi="Verdana" w:cs="Times New Roman"/>
          <w:lang w:eastAsia="es-MX"/>
        </w:rPr>
        <w:t>En consecuencia, la aplicación de los Documentos Tipo adoptados por la Agencia Nacional de Contratación Pública – Colombia Compra Eficiente a los procesos adelantados por el Servicio Nacional de Aprendizaje – SENA para la ejecución de obras sobre su infraestructura física no se determina exclusivamente por la naturaleza pública de la entidad contratante ni por el hecho de que las obras se ejecuten en una sede del SENA. Para establecer su procedencia, es necesario verificar la destinación y finalidad de la infraestructura objeto de intervención y determinar si esta corresponde a las tipologías y ámbitos materiales contemplados en los respectivos Documentos Tipo.</w:t>
      </w:r>
    </w:p>
    <w:p w14:paraId="29E70D97" w14:textId="77777777" w:rsidR="00235DEC" w:rsidRPr="00DB76E6" w:rsidRDefault="00235DEC" w:rsidP="00235DEC">
      <w:pPr>
        <w:widowControl w:val="0"/>
        <w:autoSpaceDE w:val="0"/>
        <w:autoSpaceDN w:val="0"/>
        <w:spacing w:after="120" w:line="276" w:lineRule="auto"/>
        <w:ind w:firstLine="708"/>
        <w:jc w:val="both"/>
        <w:rPr>
          <w:rFonts w:ascii="Verdana" w:eastAsia="Calibri" w:hAnsi="Verdana" w:cs="Times New Roman"/>
          <w:lang w:eastAsia="es-MX"/>
        </w:rPr>
      </w:pPr>
      <w:r w:rsidRPr="00DB76E6">
        <w:rPr>
          <w:rFonts w:ascii="Verdana" w:eastAsia="Calibri" w:hAnsi="Verdana" w:cs="Times New Roman"/>
          <w:lang w:eastAsia="es-MX"/>
        </w:rPr>
        <w:t>En particular, cuando la intervención recaiga sobre edificaciones o espacios destinados efectivamente a propósitos educativos y de instrucción, deberá analizarse su correspondencia con las tipologías comprendidas en el grupo de ocupación institucional de educación (I-3). Por el contrario, cuando se trate de espacios destinados a funciones administrativas o a la prestación de servicios públicos, deberá establecerse si estos corresponden al Subgrupo de Ocupación Institucional de Servicio Público (I-5) o a alguna de las demás categorías previstas en la normativa aplicable. Por tanto, la sola circunstancia de que la infraestructura pertenezca al SENA no determina, por sí misma, la aplicación de los Documentos Tipo para infraestructura social, siendo necesario atender a la destinación concreta de la obra y a su correspondencia con el ámbito material del Documento Tipo aplicable.</w:t>
      </w:r>
    </w:p>
    <w:p w14:paraId="20012769" w14:textId="77777777" w:rsidR="00235DEC" w:rsidRPr="00DB76E6" w:rsidRDefault="00235DEC" w:rsidP="00235DEC">
      <w:pPr>
        <w:pStyle w:val="paragraph"/>
        <w:shd w:val="clear" w:color="auto" w:fill="FFFFFF"/>
        <w:spacing w:before="0" w:beforeAutospacing="0" w:after="0" w:afterAutospacing="0" w:line="276" w:lineRule="auto"/>
        <w:jc w:val="both"/>
        <w:textAlignment w:val="baseline"/>
        <w:rPr>
          <w:rFonts w:ascii="Segoe UI" w:hAnsi="Segoe UI" w:cs="Segoe UI"/>
          <w:sz w:val="22"/>
          <w:szCs w:val="22"/>
        </w:rPr>
      </w:pPr>
    </w:p>
    <w:p w14:paraId="67519A8B" w14:textId="77777777" w:rsidR="00235DEC" w:rsidRPr="00DB76E6" w:rsidRDefault="00235DEC" w:rsidP="00235DEC">
      <w:pPr>
        <w:pStyle w:val="paragraph"/>
        <w:spacing w:before="0" w:beforeAutospacing="0" w:after="0" w:afterAutospacing="0" w:line="276" w:lineRule="auto"/>
        <w:jc w:val="both"/>
        <w:textAlignment w:val="baseline"/>
        <w:rPr>
          <w:rFonts w:ascii="Verdana" w:hAnsi="Verdana" w:cs="Segoe UI"/>
          <w:sz w:val="22"/>
          <w:szCs w:val="22"/>
        </w:rPr>
      </w:pPr>
      <w:r w:rsidRPr="00DB76E6">
        <w:rPr>
          <w:rStyle w:val="normaltextrun"/>
          <w:rFonts w:ascii="Verdana" w:hAnsi="Verdana" w:cs="Segoe UI"/>
          <w:sz w:val="22"/>
          <w:szCs w:val="22"/>
          <w:lang w:val="es-ES"/>
        </w:rPr>
        <w:t>III). </w:t>
      </w:r>
      <w:r w:rsidRPr="00DB76E6">
        <w:rPr>
          <w:rStyle w:val="normaltextrun"/>
          <w:rFonts w:ascii="Verdana" w:hAnsi="Verdana" w:cs="Segoe UI"/>
          <w:color w:val="000000"/>
          <w:sz w:val="22"/>
          <w:szCs w:val="22"/>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0A2B790" w14:textId="77777777" w:rsidR="00235DEC" w:rsidRPr="00DB76E6" w:rsidRDefault="00235DEC" w:rsidP="00235DEC">
      <w:pPr>
        <w:pStyle w:val="paragraph"/>
        <w:spacing w:before="0" w:beforeAutospacing="0" w:after="0" w:afterAutospacing="0" w:line="276" w:lineRule="auto"/>
        <w:ind w:firstLine="705"/>
        <w:jc w:val="both"/>
        <w:textAlignment w:val="baseline"/>
        <w:rPr>
          <w:rFonts w:ascii="Verdana" w:hAnsi="Verdana" w:cs="Segoe UI"/>
          <w:sz w:val="22"/>
          <w:szCs w:val="22"/>
        </w:rPr>
      </w:pPr>
      <w:r w:rsidRPr="00DB76E6">
        <w:rPr>
          <w:rStyle w:val="normaltextrun"/>
          <w:rFonts w:ascii="Verdana" w:hAnsi="Verdana" w:cs="Segoe UI"/>
          <w:color w:val="000000"/>
          <w:sz w:val="22"/>
          <w:szCs w:val="22"/>
        </w:rPr>
        <w:lastRenderedPageBreak/>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DB76E6">
        <w:rPr>
          <w:rStyle w:val="eop"/>
          <w:rFonts w:ascii="Verdana" w:hAnsi="Verdana" w:cs="Segoe UI"/>
          <w:color w:val="000000"/>
          <w:sz w:val="22"/>
          <w:szCs w:val="22"/>
        </w:rPr>
        <w:t> </w:t>
      </w:r>
    </w:p>
    <w:p w14:paraId="3D68ECD3" w14:textId="77777777" w:rsidR="00235DEC" w:rsidRPr="00DB76E6" w:rsidRDefault="00235DEC" w:rsidP="00235DEC">
      <w:pPr>
        <w:tabs>
          <w:tab w:val="left" w:pos="142"/>
          <w:tab w:val="left" w:pos="284"/>
        </w:tabs>
        <w:snapToGrid w:val="0"/>
        <w:spacing w:after="0" w:line="276" w:lineRule="auto"/>
        <w:jc w:val="both"/>
        <w:rPr>
          <w:rFonts w:ascii="Verdana" w:eastAsia="Century Gothic" w:hAnsi="Verdana" w:cs="Century Gothic"/>
          <w:b/>
          <w:bCs/>
        </w:rPr>
      </w:pPr>
    </w:p>
    <w:p w14:paraId="7D522880" w14:textId="77777777" w:rsidR="00235DEC" w:rsidRPr="00DB76E6" w:rsidRDefault="00235DEC" w:rsidP="00235DEC">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B76E6">
        <w:rPr>
          <w:rFonts w:ascii="Verdana" w:eastAsia="Century Gothic" w:hAnsi="Verdana" w:cs="Century Gothic"/>
          <w:b/>
          <w:bCs/>
          <w:lang w:val="es-ES_tradnl"/>
        </w:rPr>
        <w:t>Referencias normativas, jurisprudenciales y otras fuentes:</w:t>
      </w:r>
    </w:p>
    <w:p w14:paraId="53E8AC23" w14:textId="77777777" w:rsidR="00235DEC" w:rsidRPr="00DB76E6" w:rsidRDefault="00235DEC" w:rsidP="00235DEC">
      <w:pPr>
        <w:tabs>
          <w:tab w:val="left" w:pos="970"/>
        </w:tabs>
        <w:spacing w:after="0" w:line="276" w:lineRule="auto"/>
        <w:ind w:left="-15840"/>
        <w:jc w:val="both"/>
        <w:rPr>
          <w:rFonts w:ascii="Verdana" w:eastAsia="Calibri" w:hAnsi="Verdana" w:cs="Arial"/>
          <w:b/>
          <w:bCs/>
        </w:rPr>
      </w:pPr>
      <w:r w:rsidRPr="00DB76E6">
        <w:rPr>
          <w:rFonts w:ascii="Verdana" w:eastAsia="Calibri" w:hAnsi="Verdana" w:cs="Arial"/>
          <w:b/>
          <w:bCs/>
        </w:rPr>
        <w:t>4. Referencias normativas, jurisprudenciales y otras fuentes:</w:t>
      </w:r>
      <w:r w:rsidRPr="00DB76E6">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35DEC" w:rsidRPr="00DB76E6" w14:paraId="58EFF853" w14:textId="77777777" w:rsidTr="002B23E6">
        <w:trPr>
          <w:trHeight w:val="242"/>
        </w:trPr>
        <w:tc>
          <w:tcPr>
            <w:tcW w:w="8647" w:type="dxa"/>
            <w:tcBorders>
              <w:top w:val="dotted" w:sz="4" w:space="0" w:color="auto"/>
              <w:left w:val="dotted" w:sz="4" w:space="0" w:color="auto"/>
              <w:bottom w:val="dotted" w:sz="4" w:space="0" w:color="auto"/>
              <w:right w:val="dotted" w:sz="4" w:space="0" w:color="auto"/>
            </w:tcBorders>
          </w:tcPr>
          <w:p w14:paraId="20209B73" w14:textId="77777777" w:rsidR="00235DEC" w:rsidRPr="00DB76E6" w:rsidRDefault="00235DEC" w:rsidP="002B23E6">
            <w:pPr>
              <w:widowControl w:val="0"/>
              <w:autoSpaceDE w:val="0"/>
              <w:autoSpaceDN w:val="0"/>
              <w:snapToGrid w:val="0"/>
              <w:spacing w:after="120" w:line="276" w:lineRule="auto"/>
              <w:ind w:left="714"/>
              <w:jc w:val="both"/>
              <w:rPr>
                <w:rFonts w:ascii="Verdana" w:eastAsia="Calibri" w:hAnsi="Verdana" w:cs="Arial"/>
                <w:color w:val="3399FF"/>
                <w:lang w:val="es-ES_tradnl"/>
              </w:rPr>
            </w:pPr>
          </w:p>
          <w:p w14:paraId="1DF8515D" w14:textId="77777777" w:rsidR="00235DEC" w:rsidRPr="00DB76E6" w:rsidRDefault="00235DEC" w:rsidP="00235DEC">
            <w:pPr>
              <w:widowControl w:val="0"/>
              <w:numPr>
                <w:ilvl w:val="0"/>
                <w:numId w:val="17"/>
              </w:numPr>
              <w:autoSpaceDE w:val="0"/>
              <w:autoSpaceDN w:val="0"/>
              <w:spacing w:after="160" w:line="276" w:lineRule="auto"/>
              <w:ind w:left="714" w:hanging="357"/>
              <w:jc w:val="both"/>
              <w:rPr>
                <w:rFonts w:ascii="Verdana" w:eastAsia="Calibri" w:hAnsi="Verdana" w:cs="Arial"/>
                <w:lang w:val="es-ES_tradnl" w:eastAsia="es-MX"/>
              </w:rPr>
            </w:pPr>
            <w:r w:rsidRPr="00DB76E6">
              <w:rPr>
                <w:rFonts w:ascii="Verdana" w:eastAsia="Calibri" w:hAnsi="Verdana" w:cs="Arial"/>
                <w:lang w:val="es-ES_tradnl" w:eastAsia="es-MX"/>
              </w:rPr>
              <w:t xml:space="preserve">Ley 2022 de 2020, artículo 1. </w:t>
            </w:r>
          </w:p>
          <w:p w14:paraId="5A56144E" w14:textId="77777777" w:rsidR="00235DEC" w:rsidRPr="00DB76E6" w:rsidRDefault="00235DEC" w:rsidP="00235DEC">
            <w:pPr>
              <w:widowControl w:val="0"/>
              <w:numPr>
                <w:ilvl w:val="0"/>
                <w:numId w:val="17"/>
              </w:numPr>
              <w:autoSpaceDE w:val="0"/>
              <w:autoSpaceDN w:val="0"/>
              <w:spacing w:after="160" w:line="276" w:lineRule="auto"/>
              <w:jc w:val="both"/>
              <w:rPr>
                <w:rFonts w:ascii="Verdana" w:eastAsia="Calibri" w:hAnsi="Verdana" w:cs="Arial"/>
                <w:lang w:eastAsia="es-MX"/>
              </w:rPr>
            </w:pPr>
            <w:r w:rsidRPr="00DB76E6">
              <w:rPr>
                <w:rFonts w:ascii="Verdana" w:eastAsia="Calibri" w:hAnsi="Verdana" w:cs="Arial"/>
                <w:lang w:eastAsia="es-MX"/>
              </w:rPr>
              <w:t>Ley 1150 de 2007, artículo 2.</w:t>
            </w:r>
          </w:p>
          <w:p w14:paraId="3355E507" w14:textId="77777777" w:rsidR="00235DEC" w:rsidRPr="00DB76E6" w:rsidRDefault="00235DEC" w:rsidP="00235DEC">
            <w:pPr>
              <w:widowControl w:val="0"/>
              <w:numPr>
                <w:ilvl w:val="0"/>
                <w:numId w:val="17"/>
              </w:numPr>
              <w:autoSpaceDE w:val="0"/>
              <w:autoSpaceDN w:val="0"/>
              <w:spacing w:after="120" w:line="276" w:lineRule="auto"/>
              <w:jc w:val="both"/>
              <w:rPr>
                <w:rFonts w:ascii="Verdana" w:hAnsi="Verdana" w:cs="Arial"/>
                <w:color w:val="3399FF"/>
              </w:rPr>
            </w:pPr>
            <w:r w:rsidRPr="00DB76E6">
              <w:rPr>
                <w:rFonts w:ascii="Verdana" w:eastAsia="Calibri" w:hAnsi="Verdana" w:cs="Arial"/>
                <w:lang w:val="es-ES_tradnl" w:eastAsia="es-MX"/>
              </w:rPr>
              <w:t xml:space="preserve">Documentos Tipo. Disponibles en: </w:t>
            </w:r>
            <w:hyperlink r:id="rId14" w:history="1">
              <w:r w:rsidRPr="00DB76E6">
                <w:rPr>
                  <w:rFonts w:ascii="Verdana" w:eastAsia="Calibri" w:hAnsi="Verdana" w:cs="Arial"/>
                  <w:color w:val="0000FF"/>
                  <w:u w:val="single"/>
                  <w:lang w:val="es-ES_tradnl" w:eastAsia="es-MX"/>
                </w:rPr>
                <w:t>https://www.colombiacompra.gov.co/documentos-tipo/documentos-tipo</w:t>
              </w:r>
            </w:hyperlink>
            <w:r w:rsidRPr="00DB76E6">
              <w:rPr>
                <w:rFonts w:ascii="Verdana" w:eastAsia="Calibri" w:hAnsi="Verdana" w:cs="Arial"/>
                <w:lang w:val="es-ES_tradnl" w:eastAsia="es-MX"/>
              </w:rPr>
              <w:t>.</w:t>
            </w:r>
          </w:p>
          <w:p w14:paraId="01401E94" w14:textId="77777777" w:rsidR="00235DEC" w:rsidRPr="00DB76E6" w:rsidRDefault="00235DEC" w:rsidP="00235DEC">
            <w:pPr>
              <w:widowControl w:val="0"/>
              <w:numPr>
                <w:ilvl w:val="0"/>
                <w:numId w:val="17"/>
              </w:numPr>
              <w:autoSpaceDE w:val="0"/>
              <w:autoSpaceDN w:val="0"/>
              <w:spacing w:after="120" w:line="276" w:lineRule="auto"/>
              <w:jc w:val="both"/>
              <w:rPr>
                <w:rFonts w:ascii="Verdana" w:hAnsi="Verdana" w:cs="Arial"/>
                <w:color w:val="3399FF"/>
              </w:rPr>
            </w:pPr>
            <w:r w:rsidRPr="00DB76E6">
              <w:rPr>
                <w:rFonts w:ascii="Verdana" w:hAnsi="Verdana" w:cs="Arial"/>
              </w:rPr>
              <w:t>Reglamento Colombiano de Construcción Sismo Resistente NSR-10.</w:t>
            </w:r>
          </w:p>
          <w:p w14:paraId="13E1CFDC" w14:textId="77777777" w:rsidR="00235DEC" w:rsidRPr="00DB76E6" w:rsidRDefault="00235DEC" w:rsidP="002B23E6">
            <w:pPr>
              <w:widowControl w:val="0"/>
              <w:autoSpaceDE w:val="0"/>
              <w:autoSpaceDN w:val="0"/>
              <w:spacing w:after="120" w:line="276" w:lineRule="auto"/>
              <w:jc w:val="both"/>
              <w:rPr>
                <w:rFonts w:ascii="Verdana" w:hAnsi="Verdana" w:cs="Arial"/>
                <w:color w:val="3399FF"/>
              </w:rPr>
            </w:pPr>
          </w:p>
        </w:tc>
      </w:tr>
    </w:tbl>
    <w:p w14:paraId="09165F7C" w14:textId="77777777" w:rsidR="00235DEC" w:rsidRPr="00DB76E6" w:rsidRDefault="00235DEC" w:rsidP="00235DEC">
      <w:pPr>
        <w:tabs>
          <w:tab w:val="left" w:pos="142"/>
          <w:tab w:val="left" w:pos="284"/>
        </w:tabs>
        <w:spacing w:after="0" w:line="276" w:lineRule="auto"/>
        <w:jc w:val="both"/>
        <w:rPr>
          <w:rFonts w:ascii="Verdana" w:eastAsia="Calibri" w:hAnsi="Verdana" w:cs="Arial"/>
          <w:color w:val="6699FF"/>
        </w:rPr>
      </w:pPr>
    </w:p>
    <w:p w14:paraId="3A59D33E" w14:textId="77777777" w:rsidR="00235DEC" w:rsidRPr="00DB76E6" w:rsidRDefault="00235DEC" w:rsidP="00235DEC">
      <w:pPr>
        <w:tabs>
          <w:tab w:val="left" w:pos="142"/>
          <w:tab w:val="left" w:pos="284"/>
        </w:tabs>
        <w:spacing w:after="0" w:line="276" w:lineRule="auto"/>
        <w:jc w:val="both"/>
        <w:rPr>
          <w:rFonts w:ascii="Verdana" w:eastAsia="Century Gothic" w:hAnsi="Verdana" w:cs="Century Gothic"/>
          <w:b/>
          <w:bCs/>
          <w:lang w:val="es-ES"/>
        </w:rPr>
      </w:pPr>
      <w:r w:rsidRPr="00DB76E6">
        <w:rPr>
          <w:rFonts w:ascii="Verdana" w:eastAsia="Calibri" w:hAnsi="Verdana" w:cs="Arial"/>
          <w:b/>
          <w:bCs/>
        </w:rPr>
        <w:t>5</w:t>
      </w:r>
      <w:r w:rsidRPr="00DB76E6">
        <w:rPr>
          <w:rFonts w:ascii="Verdana" w:eastAsia="Calibri" w:hAnsi="Verdana" w:cs="Arial"/>
        </w:rPr>
        <w:t>.</w:t>
      </w:r>
      <w:r w:rsidRPr="00DB76E6">
        <w:rPr>
          <w:rFonts w:ascii="Verdana" w:eastAsia="Century Gothic" w:hAnsi="Verdana" w:cs="Century Gothic"/>
          <w:b/>
          <w:bCs/>
          <w:lang w:val="es-ES"/>
        </w:rPr>
        <w:t>Doctrina de la Agencia Nacional de Contratación Pública:</w:t>
      </w:r>
    </w:p>
    <w:p w14:paraId="2309B808" w14:textId="77777777" w:rsidR="00235DEC" w:rsidRPr="00DB76E6" w:rsidRDefault="00235DEC" w:rsidP="00235DEC">
      <w:pPr>
        <w:widowControl w:val="0"/>
        <w:autoSpaceDE w:val="0"/>
        <w:autoSpaceDN w:val="0"/>
        <w:spacing w:after="0" w:line="276" w:lineRule="auto"/>
        <w:jc w:val="both"/>
        <w:rPr>
          <w:rFonts w:ascii="Verdana" w:eastAsia="Calibri" w:hAnsi="Verdana" w:cs="Arial"/>
          <w:lang w:eastAsia="es-MX"/>
        </w:rPr>
      </w:pPr>
    </w:p>
    <w:p w14:paraId="46E5E1D3" w14:textId="77777777" w:rsidR="00235DEC" w:rsidRPr="00DB76E6" w:rsidRDefault="00235DEC" w:rsidP="00235DEC">
      <w:pPr>
        <w:spacing w:after="550"/>
        <w:jc w:val="both"/>
        <w:rPr>
          <w:rFonts w:ascii="Verdana" w:eastAsia="Times New Roman" w:hAnsi="Verdana" w:cs="Segoe UI"/>
          <w:color w:val="2B2B2B"/>
          <w:lang w:val="es-ES" w:eastAsia="es-CO"/>
        </w:rPr>
      </w:pPr>
      <w:r w:rsidRPr="00DB76E6">
        <w:rPr>
          <w:rFonts w:ascii="Verdana" w:eastAsia="Calibri" w:hAnsi="Verdana" w:cs="Arial"/>
          <w:shd w:val="clear" w:color="auto" w:fill="FFFFFF"/>
          <w:lang w:val="es-ES" w:eastAsia="es-MX"/>
        </w:rPr>
        <w:t>La Agencia Nacional de Contratación Pública – Colombia Compra Eficiente se pronunció</w:t>
      </w:r>
      <w:r w:rsidRPr="00DB76E6">
        <w:rPr>
          <w:rFonts w:ascii="Verdana" w:eastAsia="Calibri" w:hAnsi="Verdana" w:cs="Times New Roman"/>
          <w:lang w:eastAsia="es-MX"/>
        </w:rPr>
        <w:t xml:space="preserve"> </w:t>
      </w:r>
      <w:r w:rsidRPr="00DB76E6">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DB76E6">
        <w:rPr>
          <w:rFonts w:ascii="Verdana" w:eastAsia="Calibri" w:hAnsi="Verdana" w:cs="Arial"/>
          <w:shd w:val="clear" w:color="auto" w:fill="FFFFFF"/>
          <w:lang w:val="es-ES" w:eastAsia="es-MX"/>
        </w:rPr>
        <w:tab/>
        <w:t xml:space="preserve">C-636 del 1 de noviembre de 2024, C-777 del 9 de diciembre de 2024, C-971 del 21 de enero de 2025, C-1813 del 31 de diciembre de 2025, C-182 del 19 de marzo de 2026, C-246 del 12 de marzo de 2026, C-258 del 19 de marzo de 2026, C-385 del </w:t>
      </w:r>
      <w:r w:rsidRPr="00DB76E6">
        <w:rPr>
          <w:rFonts w:ascii="Verdana" w:eastAsia="Aptos" w:hAnsi="Verdana" w:cs="Times New Roman"/>
          <w:kern w:val="2"/>
          <w14:ligatures w14:val="standardContextual"/>
        </w:rPr>
        <w:t xml:space="preserve">15 de abril del 2025, </w:t>
      </w:r>
      <w:r w:rsidRPr="00DB76E6">
        <w:rPr>
          <w:rFonts w:ascii="Verdana" w:eastAsia="Aptos" w:hAnsi="Verdana" w:cs="Times New Roman"/>
          <w:kern w:val="2"/>
          <w14:ligatures w14:val="standardContextual"/>
        </w:rPr>
        <w:lastRenderedPageBreak/>
        <w:t>C-453 del 04 de mayo de 2025,</w:t>
      </w:r>
      <w:r w:rsidRPr="00DB76E6">
        <w:rPr>
          <w:rFonts w:ascii="Verdana" w:eastAsia="Calibri" w:hAnsi="Verdana" w:cs="Arial"/>
          <w:shd w:val="clear" w:color="auto" w:fill="FFFFFF"/>
          <w:lang w:val="es-ES" w:eastAsia="es-MX"/>
        </w:rPr>
        <w:t xml:space="preserve"> </w:t>
      </w:r>
      <w:r w:rsidRPr="00DB76E6">
        <w:rPr>
          <w:rFonts w:ascii="Verdana" w:eastAsia="Times New Roman" w:hAnsi="Verdana" w:cs="Segoe UI"/>
          <w:color w:val="2B2B2B"/>
          <w:lang w:eastAsia="es-CO"/>
        </w:rPr>
        <w:t xml:space="preserve">C-1041 del 30 de julio de 2026, C-1041 del 30 de julio de 2026, C-1053 del 13 de agosto de 2026, C-1088 del 20 de agosto de 2026, C-1185 del </w:t>
      </w:r>
      <w:r w:rsidRPr="00DB76E6">
        <w:rPr>
          <w:rFonts w:ascii="Verdana" w:hAnsi="Verdana"/>
        </w:rPr>
        <w:t>08 de Septiembre de 2026</w:t>
      </w:r>
      <w:r w:rsidRPr="00DB76E6">
        <w:rPr>
          <w:rFonts w:ascii="Verdana" w:eastAsia="Times New Roman" w:hAnsi="Verdana" w:cs="Segoe UI"/>
          <w:color w:val="2B2B2B"/>
          <w:lang w:eastAsia="es-CO"/>
        </w:rPr>
        <w:t xml:space="preserve"> </w:t>
      </w:r>
      <w:r w:rsidRPr="00DB76E6">
        <w:rPr>
          <w:rFonts w:ascii="Verdana" w:eastAsia="Calibri" w:hAnsi="Verdana" w:cs="Arial"/>
          <w:shd w:val="clear" w:color="auto" w:fill="FFFFFF"/>
          <w:lang w:val="es-ES" w:eastAsia="es-MX"/>
        </w:rPr>
        <w:t xml:space="preserve">entre otros. </w:t>
      </w:r>
    </w:p>
    <w:p w14:paraId="7C152A19" w14:textId="77777777" w:rsidR="00235DEC" w:rsidRPr="00DB76E6" w:rsidRDefault="00235DEC" w:rsidP="00235DEC">
      <w:pPr>
        <w:spacing w:after="550"/>
        <w:jc w:val="both"/>
        <w:rPr>
          <w:rFonts w:ascii="Verdana" w:eastAsia="Times New Roman" w:hAnsi="Verdana" w:cs="Segoe UI"/>
          <w:color w:val="2B2B2B"/>
          <w:lang w:val="es-ES" w:eastAsia="es-CO"/>
        </w:rPr>
      </w:pPr>
      <w:r w:rsidRPr="00DB76E6">
        <w:rPr>
          <w:rFonts w:ascii="Verdana" w:eastAsia="Calibri" w:hAnsi="Verdana" w:cs="Arial"/>
        </w:rPr>
        <w:t xml:space="preserve">Estos y otros conceptos se encuentran disponibles para consulta en el Sistema de relatoría de la Agencia, al cual se puede acceder a través del siguiente enlace: </w:t>
      </w:r>
      <w:hyperlink r:id="rId15" w:history="1">
        <w:r w:rsidRPr="00DB76E6">
          <w:rPr>
            <w:rStyle w:val="Hipervnculo"/>
            <w:rFonts w:ascii="Verdana" w:eastAsia="Calibri" w:hAnsi="Verdana" w:cs="Arial"/>
          </w:rPr>
          <w:t>https://relatoria.colombiacompra.gov.co/busqueda/conceptos</w:t>
        </w:r>
      </w:hyperlink>
    </w:p>
    <w:p w14:paraId="52FD081A" w14:textId="77777777" w:rsidR="00235DEC" w:rsidRPr="00A71C0F" w:rsidRDefault="00235DEC" w:rsidP="00235DEC">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A71C0F">
        <w:rPr>
          <w:rFonts w:ascii="Verdana" w:eastAsia="Calibri" w:hAnsi="Verdana" w:cs="Arial"/>
          <w:kern w:val="2"/>
          <w:shd w:val="clear" w:color="auto" w:fill="FFFFFF"/>
          <w:lang w:val="es-ES_tradnl"/>
          <w14:ligatures w14:val="standardContextual"/>
        </w:rPr>
        <w:t>La</w:t>
      </w:r>
      <w:r w:rsidRPr="00A71C0F">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A71C0F">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A71C0F">
        <w:rPr>
          <w:rFonts w:ascii="Verdana" w:eastAsia="Calibri" w:hAnsi="Verdana" w:cs="Arial"/>
          <w:b/>
          <w:bCs/>
          <w:kern w:val="2"/>
          <w:shd w:val="clear" w:color="auto" w:fill="FFFFFF"/>
          <w:lang w:val="es-ES_tradnl"/>
          <w14:ligatures w14:val="standardContextual"/>
        </w:rPr>
        <w:t>Documentos Tipo</w:t>
      </w:r>
      <w:r w:rsidRPr="00A71C0F">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A71C0F">
        <w:rPr>
          <w:rFonts w:ascii="Verdana" w:eastAsia="Calibri" w:hAnsi="Verdana" w:cs="Arial"/>
          <w:b/>
          <w:bCs/>
          <w:kern w:val="2"/>
          <w:shd w:val="clear" w:color="auto" w:fill="FFFFFF"/>
          <w:lang w:val="es-ES_tradnl"/>
          <w14:ligatures w14:val="standardContextual"/>
        </w:rPr>
        <w:t>transparencia</w:t>
      </w:r>
      <w:r w:rsidRPr="00A71C0F">
        <w:rPr>
          <w:rFonts w:ascii="Verdana" w:eastAsia="Calibri" w:hAnsi="Verdana" w:cs="Arial"/>
          <w:kern w:val="2"/>
          <w:shd w:val="clear" w:color="auto" w:fill="FFFFFF"/>
          <w:lang w:val="es-ES_tradnl"/>
          <w14:ligatures w14:val="standardContextual"/>
        </w:rPr>
        <w:t> y promover un proceso de </w:t>
      </w:r>
      <w:r w:rsidRPr="00A71C0F">
        <w:rPr>
          <w:rFonts w:ascii="Verdana" w:eastAsia="Calibri" w:hAnsi="Verdana" w:cs="Arial"/>
          <w:b/>
          <w:bCs/>
          <w:kern w:val="2"/>
          <w:shd w:val="clear" w:color="auto" w:fill="FFFFFF"/>
          <w:lang w:val="es-ES_tradnl"/>
          <w14:ligatures w14:val="standardContextual"/>
        </w:rPr>
        <w:t>selección objetiva</w:t>
      </w:r>
      <w:r w:rsidRPr="00A71C0F">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502CB392" w14:textId="77777777" w:rsidR="00235DEC" w:rsidRPr="00A71C0F" w:rsidRDefault="00235DEC" w:rsidP="00235DEC">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DF1D7FB" w14:textId="77777777" w:rsidR="00235DEC" w:rsidRPr="00E071C4" w:rsidRDefault="00235DEC" w:rsidP="00235DEC">
      <w:pPr>
        <w:spacing w:after="0" w:line="276" w:lineRule="auto"/>
        <w:jc w:val="both"/>
        <w:rPr>
          <w:rFonts w:ascii="Verdana" w:eastAsia="Aptos" w:hAnsi="Verdana" w:cs="Times New Roman"/>
          <w:kern w:val="2"/>
          <w:lang w:val="it-IT"/>
          <w14:ligatures w14:val="standardContextual"/>
        </w:rPr>
      </w:pPr>
      <w:r w:rsidRPr="00A71C0F">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A71C0F">
        <w:rPr>
          <w:rFonts w:ascii="Verdana" w:eastAsia="Aptos" w:hAnsi="Verdana" w:cs="Times New Roman"/>
          <w:b/>
          <w:bCs/>
          <w:kern w:val="2"/>
          <w14:ligatures w14:val="standardContextual"/>
        </w:rPr>
        <w:t>Guía para la Exigencia y Constitución de Garantías en los Procesos de Contratación</w:t>
      </w:r>
      <w:r w:rsidRPr="00A71C0F">
        <w:rPr>
          <w:rFonts w:ascii="Verdana" w:eastAsia="Aptos" w:hAnsi="Verdana" w:cs="Times New Roman"/>
          <w:kern w:val="2"/>
          <w14:ligatures w14:val="standardContextual"/>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w:t>
      </w:r>
      <w:proofErr w:type="spellStart"/>
      <w:r w:rsidRPr="00E071C4">
        <w:rPr>
          <w:rFonts w:ascii="Verdana" w:eastAsia="Aptos" w:hAnsi="Verdana" w:cs="Times New Roman"/>
          <w:kern w:val="2"/>
          <w:lang w:val="it-IT"/>
          <w14:ligatures w14:val="standardContextual"/>
        </w:rPr>
        <w:t>Consúltela</w:t>
      </w:r>
      <w:proofErr w:type="spellEnd"/>
      <w:r w:rsidRPr="00E071C4">
        <w:rPr>
          <w:rFonts w:ascii="Verdana" w:eastAsia="Aptos" w:hAnsi="Verdana" w:cs="Times New Roman"/>
          <w:kern w:val="2"/>
          <w:lang w:val="it-IT"/>
          <w14:ligatures w14:val="standardContextual"/>
        </w:rPr>
        <w:t xml:space="preserve"> aquí: </w:t>
      </w:r>
      <w:hyperlink r:id="rId16" w:tgtFrame="_blank" w:tooltip="Original URL: https://www.colombiacompra.gov.co/archivos/manual/guia-de-garantias-en-procesos-de-contratacion. Click or tap if you trust this link." w:history="1">
        <w:r w:rsidRPr="00E071C4">
          <w:rPr>
            <w:rFonts w:ascii="Verdana" w:eastAsia="Aptos" w:hAnsi="Verdana" w:cs="Times New Roman"/>
            <w:color w:val="0000FF"/>
            <w:kern w:val="2"/>
            <w:u w:val="single"/>
            <w:lang w:val="it-IT"/>
            <w14:ligatures w14:val="standardContextual"/>
          </w:rPr>
          <w:t>https://www.colombiacompra.gov.co/archivos/manual/guia-de-garantias-en-procesos-de-contratacion</w:t>
        </w:r>
      </w:hyperlink>
    </w:p>
    <w:p w14:paraId="21F7A043" w14:textId="77777777" w:rsidR="00235DEC" w:rsidRPr="00E071C4" w:rsidRDefault="00235DEC" w:rsidP="00235DEC">
      <w:pPr>
        <w:spacing w:after="0" w:line="276" w:lineRule="auto"/>
        <w:jc w:val="both"/>
        <w:rPr>
          <w:rFonts w:ascii="Verdana" w:eastAsia="Aptos" w:hAnsi="Verdana" w:cs="Times New Roman"/>
          <w:kern w:val="2"/>
          <w:lang w:val="it-IT"/>
          <w14:ligatures w14:val="standardContextual"/>
        </w:rPr>
      </w:pPr>
    </w:p>
    <w:p w14:paraId="33CBE948" w14:textId="77777777" w:rsidR="00235DEC" w:rsidRPr="00E071C4" w:rsidRDefault="00235DEC" w:rsidP="00235DEC">
      <w:pPr>
        <w:spacing w:after="0" w:line="276" w:lineRule="auto"/>
        <w:jc w:val="both"/>
        <w:rPr>
          <w:rFonts w:ascii="Verdana" w:eastAsia="Aptos" w:hAnsi="Verdana" w:cs="Times New Roman"/>
          <w:kern w:val="2"/>
          <w:lang w:val="it-IT"/>
          <w14:ligatures w14:val="standardContextual"/>
        </w:rPr>
      </w:pPr>
      <w:r w:rsidRPr="00A71C0F">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A71C0F">
        <w:rPr>
          <w:rFonts w:ascii="Verdana" w:eastAsia="Aptos" w:hAnsi="Verdana" w:cs="Times New Roman"/>
          <w:b/>
          <w:bCs/>
          <w:kern w:val="2"/>
          <w14:ligatures w14:val="standardContextual"/>
        </w:rPr>
        <w:t>Sistema Integral de Preferencias en favor de las personas con discapacidad</w:t>
      </w:r>
      <w:r w:rsidRPr="00A71C0F">
        <w:rPr>
          <w:rFonts w:ascii="Verdana" w:eastAsia="Aptos" w:hAnsi="Verdana" w:cs="Times New Roman"/>
          <w:kern w:val="2"/>
          <w14:ligatures w14:val="standardContextual"/>
        </w:rPr>
        <w:t xml:space="preserve">, en cumplimiento del artículo 13 de la Ley Estatutaria 1618 de 2013. Para orientar su aplicación, esta Agencia expidió </w:t>
      </w:r>
      <w:r w:rsidRPr="00A71C0F">
        <w:rPr>
          <w:rFonts w:ascii="Verdana" w:eastAsia="Aptos" w:hAnsi="Verdana" w:cs="Times New Roman"/>
          <w:kern w:val="2"/>
          <w14:ligatures w14:val="standardContextual"/>
        </w:rPr>
        <w:lastRenderedPageBreak/>
        <w:t>la </w:t>
      </w:r>
      <w:r w:rsidRPr="00A71C0F">
        <w:rPr>
          <w:rFonts w:ascii="Verdana" w:eastAsia="Aptos" w:hAnsi="Verdana" w:cs="Times New Roman"/>
          <w:b/>
          <w:bCs/>
          <w:kern w:val="2"/>
          <w14:ligatures w14:val="standardContextual"/>
        </w:rPr>
        <w:t>Circular Externa 003 del 12 de mayo de 2026, </w:t>
      </w:r>
      <w:r w:rsidRPr="00A71C0F">
        <w:rPr>
          <w:rFonts w:ascii="Verdana" w:eastAsia="Aptos" w:hAnsi="Verdana" w:cs="Times New Roman"/>
          <w:kern w:val="2"/>
          <w14:ligatures w14:val="standardContextual"/>
        </w:rPr>
        <w:t xml:space="preserve">en la que precisa quiénes son los beneficiarios, las cinco medidas que integran el sistema y su obligatoriedad según la modalidad de selección, y el régimen de transición aplicable a los procesos en curso. </w:t>
      </w:r>
      <w:proofErr w:type="spellStart"/>
      <w:r w:rsidRPr="00E071C4">
        <w:rPr>
          <w:rFonts w:ascii="Verdana" w:eastAsia="Aptos" w:hAnsi="Verdana" w:cs="Times New Roman"/>
          <w:kern w:val="2"/>
          <w:lang w:val="it-IT"/>
          <w14:ligatures w14:val="standardContextual"/>
        </w:rPr>
        <w:t>Consúltela</w:t>
      </w:r>
      <w:proofErr w:type="spellEnd"/>
      <w:r w:rsidRPr="00E071C4">
        <w:rPr>
          <w:rFonts w:ascii="Verdana" w:eastAsia="Aptos" w:hAnsi="Verdana" w:cs="Times New Roman"/>
          <w:kern w:val="2"/>
          <w:lang w:val="it-IT"/>
          <w14:ligatures w14:val="standardContextual"/>
        </w:rPr>
        <w:t xml:space="preserve"> aquí: </w:t>
      </w:r>
      <w:hyperlink r:id="rId17" w:tgtFrame="_blank" w:tooltip="Original URL: https://www.colombiacompra.gov.co/archivos/circular/circular-externa-003-de-2026. Click or tap if you trust this link." w:history="1">
        <w:r w:rsidRPr="00E071C4">
          <w:rPr>
            <w:rFonts w:ascii="Verdana" w:eastAsia="Aptos" w:hAnsi="Verdana" w:cs="Times New Roman"/>
            <w:color w:val="0000FF"/>
            <w:kern w:val="2"/>
            <w:u w:val="single"/>
            <w:lang w:val="it-IT"/>
            <w14:ligatures w14:val="standardContextual"/>
          </w:rPr>
          <w:t>https://www.colombiacompra.gov.co/archivos/circular/circular-externa-003-de-2026</w:t>
        </w:r>
      </w:hyperlink>
    </w:p>
    <w:p w14:paraId="30C138D0" w14:textId="77777777" w:rsidR="00235DEC" w:rsidRPr="00E071C4" w:rsidRDefault="00235DEC" w:rsidP="00235DEC">
      <w:pPr>
        <w:spacing w:after="0" w:line="276" w:lineRule="auto"/>
        <w:jc w:val="both"/>
        <w:rPr>
          <w:rFonts w:ascii="Verdana" w:eastAsia="Aptos" w:hAnsi="Verdana" w:cs="Times New Roman"/>
          <w:kern w:val="2"/>
          <w:lang w:val="it-IT"/>
          <w14:ligatures w14:val="standardContextual"/>
        </w:rPr>
      </w:pPr>
    </w:p>
    <w:p w14:paraId="7FAD4C3D" w14:textId="77777777" w:rsidR="00235DEC" w:rsidRPr="00A71C0F" w:rsidRDefault="00235DEC" w:rsidP="00235DEC">
      <w:pPr>
        <w:spacing w:after="0" w:line="276" w:lineRule="auto"/>
        <w:jc w:val="both"/>
        <w:rPr>
          <w:rFonts w:ascii="Verdana" w:eastAsia="Aptos" w:hAnsi="Verdana" w:cs="Times New Roman"/>
          <w:kern w:val="2"/>
          <w:lang w:val="es-ES_tradnl"/>
          <w14:ligatures w14:val="standardContextual"/>
        </w:rPr>
      </w:pPr>
      <w:r w:rsidRPr="00A71C0F">
        <w:rPr>
          <w:rFonts w:ascii="Verdana" w:eastAsia="Aptos" w:hAnsi="Verdana" w:cs="Times New Roman"/>
          <w:kern w:val="2"/>
          <w14:ligatures w14:val="standardContextual"/>
        </w:rPr>
        <w:t>Recuerde también que la</w:t>
      </w:r>
      <w:r w:rsidRPr="00A71C0F">
        <w:rPr>
          <w:rFonts w:ascii="Verdana" w:eastAsia="Aptos" w:hAnsi="Verdana" w:cs="Times New Roman"/>
          <w:b/>
          <w:bCs/>
          <w:kern w:val="2"/>
          <w14:ligatures w14:val="standardContextual"/>
        </w:rPr>
        <w:t> información sobre sanciones e inhabilidades </w:t>
      </w:r>
      <w:r w:rsidRPr="00A71C0F">
        <w:rPr>
          <w:rFonts w:ascii="Verdana" w:eastAsia="Aptos" w:hAnsi="Verdana" w:cs="Times New Roman"/>
          <w:kern w:val="2"/>
          <w14:ligatures w14:val="standardContextual"/>
        </w:rPr>
        <w:t>solo cumple su función preventiva si llega oportunamente a los registros públicos. Sobre este deber, esta Agencia expidió la </w:t>
      </w:r>
      <w:r w:rsidRPr="00A71C0F">
        <w:rPr>
          <w:rFonts w:ascii="Verdana" w:eastAsia="Aptos" w:hAnsi="Verdana" w:cs="Times New Roman"/>
          <w:b/>
          <w:bCs/>
          <w:kern w:val="2"/>
          <w14:ligatures w14:val="standardContextual"/>
        </w:rPr>
        <w:t>Circular Externa 002 del 5 de mayo de 2026,</w:t>
      </w:r>
      <w:r w:rsidRPr="00A71C0F">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8" w:tgtFrame="_blank" w:tooltip="Original URL: https://www.colombiacompra.gov.co/archivos/circular/circular-externa-002-de-2026. Click or tap if you trust this link." w:history="1">
        <w:r w:rsidRPr="00A71C0F">
          <w:rPr>
            <w:rFonts w:ascii="Verdana" w:eastAsia="Aptos" w:hAnsi="Verdana" w:cs="Times New Roman"/>
            <w:color w:val="0000FF"/>
            <w:kern w:val="2"/>
            <w:u w:val="single"/>
            <w14:ligatures w14:val="standardContextual"/>
          </w:rPr>
          <w:t>https://www.colombiacompra.gov.co/archivos/circular/circular-externa-002-de-2026</w:t>
        </w:r>
      </w:hyperlink>
    </w:p>
    <w:p w14:paraId="3652C7B5" w14:textId="77777777" w:rsidR="00235DEC" w:rsidRPr="00A71C0F" w:rsidRDefault="00235DEC" w:rsidP="00235DEC">
      <w:pPr>
        <w:spacing w:after="0" w:line="276" w:lineRule="auto"/>
        <w:jc w:val="both"/>
        <w:rPr>
          <w:rFonts w:ascii="Verdana" w:eastAsia="Aptos" w:hAnsi="Verdana" w:cs="Times New Roman"/>
          <w:kern w:val="2"/>
          <w14:ligatures w14:val="standardContextual"/>
        </w:rPr>
      </w:pPr>
    </w:p>
    <w:p w14:paraId="20C434DC" w14:textId="77777777" w:rsidR="00235DEC" w:rsidRPr="00A71C0F" w:rsidRDefault="00235DEC" w:rsidP="00235DEC">
      <w:pPr>
        <w:spacing w:after="0" w:line="276" w:lineRule="auto"/>
        <w:jc w:val="both"/>
        <w:rPr>
          <w:rFonts w:ascii="Verdana" w:eastAsia="Aptos" w:hAnsi="Verdana" w:cs="Times New Roman"/>
          <w:kern w:val="2"/>
          <w14:ligatures w14:val="standardContextual"/>
        </w:rPr>
      </w:pPr>
      <w:r w:rsidRPr="00A71C0F">
        <w:rPr>
          <w:rFonts w:ascii="Verdana" w:eastAsia="Aptos" w:hAnsi="Verdana" w:cs="Times New Roman"/>
          <w:kern w:val="2"/>
          <w14:ligatures w14:val="standardContextual"/>
        </w:rPr>
        <w:t>Finalmente, si quiere seguir de cerca la actividad de la Agencia, la tercera edición de 2026 del</w:t>
      </w:r>
      <w:r w:rsidRPr="00A71C0F">
        <w:rPr>
          <w:rFonts w:ascii="Verdana" w:eastAsia="Aptos" w:hAnsi="Verdana" w:cs="Times New Roman"/>
          <w:b/>
          <w:bCs/>
          <w:kern w:val="2"/>
          <w14:ligatures w14:val="standardContextual"/>
        </w:rPr>
        <w:t> Radar de la Compra Pública</w:t>
      </w:r>
      <w:r w:rsidRPr="00A71C0F">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9" w:tgtFrame="_blank" w:tooltip="Original URL: https://www.colombiacompra.gov.co/archivos/boletin/boletin-edicion-n-3-de-2026-radar-de-la-compra-publica. Click or tap if you trust this link." w:history="1">
        <w:r w:rsidRPr="00A71C0F">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2DFF8948" w14:textId="091BC035" w:rsidR="00235DEC" w:rsidRPr="009552C8" w:rsidRDefault="00235DEC" w:rsidP="00235DEC">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3F42646D" w14:textId="77777777" w:rsidR="00235DEC" w:rsidRPr="009552C8" w:rsidRDefault="00235DEC" w:rsidP="00235DEC">
      <w:pPr>
        <w:spacing w:after="0" w:line="240" w:lineRule="auto"/>
        <w:jc w:val="both"/>
        <w:rPr>
          <w:rFonts w:ascii="Verdana" w:eastAsia="Aptos" w:hAnsi="Verdana" w:cs="Times New Roman"/>
          <w:kern w:val="2"/>
          <w14:ligatures w14:val="standardContextual"/>
        </w:rPr>
      </w:pPr>
    </w:p>
    <w:p w14:paraId="71137832" w14:textId="77777777" w:rsidR="00235DEC" w:rsidRPr="009552C8" w:rsidRDefault="00235DEC" w:rsidP="00235DEC">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12F704C3" w14:textId="77777777" w:rsidR="00235DEC" w:rsidRPr="009552C8" w:rsidRDefault="00235DEC" w:rsidP="00235DEC">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r w:rsidRPr="007603CE">
        <w:rPr>
          <w:rFonts w:ascii="Verdana" w:eastAsia="Calibri" w:hAnsi="Verdana" w:cs="Times New Roman"/>
          <w:color w:val="0000FF"/>
          <w:kern w:val="2"/>
          <w:u w:val="single"/>
          <w14:ligatures w14:val="standardContextual"/>
        </w:rPr>
        <w:t>ColombiaCompraEficiente</w:t>
      </w:r>
    </w:p>
    <w:p w14:paraId="297E6437" w14:textId="77777777" w:rsidR="00235DEC" w:rsidRPr="009552C8" w:rsidRDefault="00235DEC" w:rsidP="00235DEC">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70D74E5F" w14:textId="77777777" w:rsidR="00235DEC" w:rsidRPr="005D21BF" w:rsidRDefault="00235DEC" w:rsidP="00235DEC">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2C58DC06" w14:textId="77777777" w:rsidR="00235DEC" w:rsidRDefault="00235DEC" w:rsidP="00235DEC">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 xml:space="preserve">Este concepto tiene el alcance previsto en el artículo 28 del Código de Procedimiento Administrativo y de lo Contencioso Administrativo y las </w:t>
      </w:r>
      <w:r w:rsidRPr="00EF54B1">
        <w:rPr>
          <w:rFonts w:ascii="Verdana" w:eastAsia="Calibri" w:hAnsi="Verdana" w:cs="Arial"/>
          <w:color w:val="000000" w:themeColor="text1"/>
          <w:kern w:val="2"/>
          <w:lang w:val="es-ES_tradnl"/>
          <w14:ligatures w14:val="standardContextual"/>
        </w:rPr>
        <w:lastRenderedPageBreak/>
        <w:t>expresiones aquí utilizadas con mayúscula inicial deben ser entendidas con el significado que les otorga el artículo 2.2.1.1.1.3.1. del Decreto 1082 de 2015.</w:t>
      </w:r>
    </w:p>
    <w:p w14:paraId="67FDA679" w14:textId="77777777" w:rsidR="00235DEC" w:rsidRPr="00EF54B1" w:rsidRDefault="00235DEC" w:rsidP="00235DEC">
      <w:pPr>
        <w:widowControl w:val="0"/>
        <w:autoSpaceDE w:val="0"/>
        <w:autoSpaceDN w:val="0"/>
        <w:spacing w:after="0" w:line="276" w:lineRule="auto"/>
        <w:jc w:val="both"/>
        <w:rPr>
          <w:rFonts w:ascii="Verdana" w:eastAsia="Calibri" w:hAnsi="Verdana" w:cs="Arial"/>
          <w:color w:val="000000" w:themeColor="text1"/>
        </w:rPr>
      </w:pPr>
    </w:p>
    <w:p w14:paraId="08E85710" w14:textId="77777777" w:rsidR="00235DEC" w:rsidRPr="00EF54B1" w:rsidRDefault="00235DEC" w:rsidP="00235DEC">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5460B1E4" w14:textId="77777777" w:rsidR="00235DEC" w:rsidRDefault="00235DEC" w:rsidP="00235DEC">
      <w:pPr>
        <w:tabs>
          <w:tab w:val="left" w:pos="1320"/>
        </w:tabs>
        <w:rPr>
          <w:noProof/>
        </w:rPr>
      </w:pPr>
    </w:p>
    <w:p w14:paraId="62807BB7" w14:textId="19C214ED" w:rsidR="009B1F36" w:rsidRDefault="009B1F36" w:rsidP="009B1F36">
      <w:pPr>
        <w:tabs>
          <w:tab w:val="left" w:pos="1320"/>
        </w:tabs>
        <w:jc w:val="center"/>
        <w:rPr>
          <w:noProof/>
        </w:rPr>
      </w:pPr>
      <w:r>
        <w:rPr>
          <w:noProof/>
        </w:rPr>
        <w:drawing>
          <wp:inline distT="0" distB="0" distL="0" distR="0" wp14:anchorId="785A18F5" wp14:editId="4131421C">
            <wp:extent cx="3637915" cy="1342390"/>
            <wp:effectExtent l="0" t="0" r="0" b="3810"/>
            <wp:docPr id="61977165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37915" cy="1342390"/>
                    </a:xfrm>
                    <a:prstGeom prst="rect">
                      <a:avLst/>
                    </a:prstGeom>
                    <a:noFill/>
                    <a:ln>
                      <a:noFill/>
                    </a:ln>
                  </pic:spPr>
                </pic:pic>
              </a:graphicData>
            </a:graphic>
          </wp:inline>
        </w:drawing>
      </w:r>
    </w:p>
    <w:p w14:paraId="1C9550B2" w14:textId="39A4EA7A" w:rsidR="00235DEC" w:rsidRPr="00102DF6" w:rsidRDefault="00235DEC" w:rsidP="00235DEC">
      <w:pPr>
        <w:tabs>
          <w:tab w:val="left" w:pos="1320"/>
        </w:tabs>
        <w:jc w:val="center"/>
        <w:rPr>
          <w:noProof/>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235DEC" w14:paraId="3A8C2FF0" w14:textId="77777777" w:rsidTr="002B23E6">
        <w:trPr>
          <w:trHeight w:val="315"/>
        </w:trPr>
        <w:tc>
          <w:tcPr>
            <w:tcW w:w="1185" w:type="dxa"/>
            <w:tcBorders>
              <w:top w:val="nil"/>
              <w:left w:val="nil"/>
              <w:bottom w:val="nil"/>
              <w:right w:val="nil"/>
            </w:tcBorders>
            <w:tcMar>
              <w:left w:w="105" w:type="dxa"/>
              <w:right w:w="105" w:type="dxa"/>
            </w:tcMar>
            <w:vAlign w:val="center"/>
          </w:tcPr>
          <w:p w14:paraId="2745807A" w14:textId="77777777" w:rsidR="00235DEC" w:rsidRDefault="00235DEC" w:rsidP="002B23E6">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305E8A8F" w14:textId="77777777" w:rsidR="00235DEC" w:rsidRDefault="00235DEC" w:rsidP="002B23E6">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3B9ABE88" w14:textId="3BC5607A" w:rsidR="00235DEC" w:rsidRDefault="00235DEC" w:rsidP="002B23E6">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235DEC" w14:paraId="0F5395E6" w14:textId="77777777" w:rsidTr="002B23E6">
        <w:trPr>
          <w:trHeight w:val="315"/>
        </w:trPr>
        <w:tc>
          <w:tcPr>
            <w:tcW w:w="1185" w:type="dxa"/>
            <w:tcBorders>
              <w:top w:val="nil"/>
              <w:left w:val="nil"/>
              <w:bottom w:val="nil"/>
              <w:right w:val="nil"/>
            </w:tcBorders>
            <w:tcMar>
              <w:left w:w="105" w:type="dxa"/>
              <w:right w:w="105" w:type="dxa"/>
            </w:tcMar>
            <w:vAlign w:val="center"/>
          </w:tcPr>
          <w:p w14:paraId="2F17DD6F" w14:textId="77777777" w:rsidR="00235DEC" w:rsidRDefault="00235DEC" w:rsidP="002B23E6">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4196BD99" w14:textId="77777777" w:rsidR="00235DEC" w:rsidRDefault="00235DEC" w:rsidP="002B23E6">
            <w:pPr>
              <w:rPr>
                <w:rFonts w:ascii="Verdana" w:eastAsia="Verdana" w:hAnsi="Verdana" w:cs="Verdana"/>
                <w:sz w:val="16"/>
                <w:szCs w:val="16"/>
              </w:rPr>
            </w:pPr>
            <w:r>
              <w:rPr>
                <w:rFonts w:ascii="Verdana" w:eastAsia="Verdana" w:hAnsi="Verdana" w:cs="Verdana"/>
                <w:sz w:val="16"/>
                <w:szCs w:val="16"/>
              </w:rPr>
              <w:t>Martha Alicia Romero Vargas</w:t>
            </w:r>
          </w:p>
          <w:p w14:paraId="4EF45AFE" w14:textId="77777777" w:rsidR="00235DEC" w:rsidRDefault="00235DEC" w:rsidP="002B23E6">
            <w:pPr>
              <w:rPr>
                <w:rFonts w:ascii="Verdana" w:eastAsia="Verdana" w:hAnsi="Verdana" w:cs="Verdana"/>
                <w:sz w:val="16"/>
                <w:szCs w:val="16"/>
              </w:rPr>
            </w:pPr>
            <w:r>
              <w:rPr>
                <w:rFonts w:ascii="Verdana" w:eastAsia="Verdana" w:hAnsi="Verdana" w:cs="Verdana"/>
                <w:sz w:val="16"/>
                <w:szCs w:val="16"/>
              </w:rPr>
              <w:t xml:space="preserve">Gestor T1-15 </w:t>
            </w:r>
            <w:r w:rsidRPr="3F869DD7">
              <w:rPr>
                <w:rFonts w:ascii="Verdana" w:eastAsia="Verdana" w:hAnsi="Verdana" w:cs="Verdana"/>
                <w:sz w:val="16"/>
                <w:szCs w:val="16"/>
              </w:rPr>
              <w:t>de la Subdirección de Gestión Contractual</w:t>
            </w:r>
          </w:p>
        </w:tc>
      </w:tr>
      <w:tr w:rsidR="00235DEC" w14:paraId="6B6099BF" w14:textId="77777777" w:rsidTr="002B23E6">
        <w:trPr>
          <w:trHeight w:val="300"/>
        </w:trPr>
        <w:tc>
          <w:tcPr>
            <w:tcW w:w="1185" w:type="dxa"/>
            <w:tcBorders>
              <w:top w:val="nil"/>
              <w:left w:val="nil"/>
              <w:bottom w:val="nil"/>
              <w:right w:val="nil"/>
            </w:tcBorders>
            <w:tcMar>
              <w:left w:w="105" w:type="dxa"/>
              <w:right w:w="105" w:type="dxa"/>
            </w:tcMar>
            <w:vAlign w:val="center"/>
          </w:tcPr>
          <w:p w14:paraId="14AA40F2" w14:textId="77777777" w:rsidR="00235DEC" w:rsidRDefault="00235DEC" w:rsidP="002B23E6">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628A33B7" w14:textId="77777777" w:rsidR="00235DEC" w:rsidRDefault="00235DEC" w:rsidP="002B23E6">
            <w:pPr>
              <w:rPr>
                <w:rFonts w:ascii="Verdana" w:eastAsia="Verdana" w:hAnsi="Verdana" w:cs="Verdana"/>
                <w:sz w:val="16"/>
                <w:szCs w:val="16"/>
              </w:rPr>
            </w:pPr>
            <w:r w:rsidRPr="3F869DD7">
              <w:rPr>
                <w:rFonts w:ascii="Verdana" w:eastAsia="Verdana" w:hAnsi="Verdana" w:cs="Verdana"/>
                <w:sz w:val="16"/>
                <w:szCs w:val="16"/>
              </w:rPr>
              <w:t xml:space="preserve">Carolina Quintero </w:t>
            </w:r>
            <w:proofErr w:type="spellStart"/>
            <w:r w:rsidRPr="3F869DD7">
              <w:rPr>
                <w:rFonts w:ascii="Verdana" w:eastAsia="Verdana" w:hAnsi="Verdana" w:cs="Verdana"/>
                <w:sz w:val="16"/>
                <w:szCs w:val="16"/>
              </w:rPr>
              <w:t>Gacharná</w:t>
            </w:r>
            <w:proofErr w:type="spellEnd"/>
          </w:p>
          <w:p w14:paraId="6AEEEF56" w14:textId="77777777" w:rsidR="00235DEC" w:rsidRDefault="00235DEC" w:rsidP="002B23E6">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bl>
    <w:p w14:paraId="3B27AFCD"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0F293BF4" w14:textId="06C412C8" w:rsidR="00127233" w:rsidRPr="0015699B" w:rsidRDefault="00C15139" w:rsidP="00235DEC">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127233" w:rsidRPr="0015699B"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27FB8" w14:textId="77777777" w:rsidR="007A6401" w:rsidRDefault="007A6401" w:rsidP="004A1847">
      <w:pPr>
        <w:spacing w:after="0" w:line="240" w:lineRule="auto"/>
      </w:pPr>
      <w:r>
        <w:separator/>
      </w:r>
    </w:p>
  </w:endnote>
  <w:endnote w:type="continuationSeparator" w:id="0">
    <w:p w14:paraId="1305218A" w14:textId="77777777" w:rsidR="007A6401" w:rsidRDefault="007A640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719FF" w14:textId="77777777" w:rsidR="007A6401" w:rsidRDefault="007A6401" w:rsidP="004A1847">
      <w:pPr>
        <w:spacing w:after="0" w:line="240" w:lineRule="auto"/>
      </w:pPr>
      <w:r>
        <w:separator/>
      </w:r>
    </w:p>
  </w:footnote>
  <w:footnote w:type="continuationSeparator" w:id="0">
    <w:p w14:paraId="22123B37" w14:textId="77777777" w:rsidR="007A6401" w:rsidRDefault="007A6401" w:rsidP="004A1847">
      <w:pPr>
        <w:spacing w:after="0" w:line="240" w:lineRule="auto"/>
      </w:pPr>
      <w:r>
        <w:continuationSeparator/>
      </w:r>
    </w:p>
  </w:footnote>
  <w:footnote w:id="1">
    <w:p w14:paraId="71457E62" w14:textId="77777777" w:rsidR="00235DEC" w:rsidRPr="00EB1E25" w:rsidRDefault="00235DEC" w:rsidP="00235DEC">
      <w:pPr>
        <w:pStyle w:val="Textonotapie"/>
        <w:ind w:firstLine="708"/>
        <w:jc w:val="both"/>
        <w:rPr>
          <w:rFonts w:ascii="Verdana" w:hAnsi="Verdana"/>
          <w:sz w:val="18"/>
          <w:szCs w:val="18"/>
        </w:rPr>
      </w:pPr>
      <w:r w:rsidRPr="00EB1E25">
        <w:rPr>
          <w:rStyle w:val="Refdenotaalpie"/>
          <w:rFonts w:ascii="Verdana" w:hAnsi="Verdana"/>
          <w:sz w:val="18"/>
          <w:szCs w:val="18"/>
        </w:rPr>
        <w:footnoteRef/>
      </w:r>
      <w:r w:rsidRPr="00EB1E25">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120E591C" w14:textId="77777777" w:rsidR="00235DEC" w:rsidRPr="00EB1E25" w:rsidRDefault="00235DEC" w:rsidP="00235DEC">
      <w:pPr>
        <w:pStyle w:val="Textonotapie"/>
        <w:ind w:firstLine="708"/>
        <w:jc w:val="both"/>
        <w:rPr>
          <w:rFonts w:ascii="Verdana" w:hAnsi="Verdana"/>
          <w:sz w:val="18"/>
          <w:szCs w:val="18"/>
        </w:rPr>
      </w:pPr>
    </w:p>
    <w:p w14:paraId="4B7D430A" w14:textId="77777777" w:rsidR="00235DEC" w:rsidRPr="00EB1E25" w:rsidRDefault="00235DEC" w:rsidP="00235DEC">
      <w:pPr>
        <w:pStyle w:val="Textonotapie"/>
        <w:ind w:firstLine="708"/>
        <w:jc w:val="both"/>
        <w:rPr>
          <w:rFonts w:ascii="Verdana" w:hAnsi="Verdana"/>
          <w:sz w:val="18"/>
          <w:szCs w:val="18"/>
        </w:rPr>
      </w:pPr>
      <w:r w:rsidRPr="00EB1E25">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1F81B57F" w14:textId="77777777" w:rsidR="00235DEC" w:rsidRPr="00EB1E25" w:rsidRDefault="00235DEC" w:rsidP="00235DEC">
      <w:pPr>
        <w:pStyle w:val="Textonotapie"/>
        <w:ind w:firstLine="708"/>
        <w:jc w:val="both"/>
        <w:rPr>
          <w:rFonts w:ascii="Verdana" w:hAnsi="Verdana"/>
          <w:sz w:val="18"/>
          <w:szCs w:val="18"/>
        </w:rPr>
      </w:pPr>
    </w:p>
    <w:p w14:paraId="4E1C7AF7" w14:textId="77777777" w:rsidR="00235DEC" w:rsidRPr="00EB1E25" w:rsidRDefault="00235DEC" w:rsidP="00235DEC">
      <w:pPr>
        <w:pStyle w:val="Textonotapie"/>
        <w:ind w:firstLine="708"/>
        <w:jc w:val="both"/>
        <w:rPr>
          <w:rFonts w:ascii="Verdana" w:hAnsi="Verdana"/>
          <w:sz w:val="18"/>
          <w:szCs w:val="18"/>
        </w:rPr>
      </w:pPr>
      <w:r w:rsidRPr="00EB1E25">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35A6278E" w14:textId="77777777" w:rsidR="00235DEC" w:rsidRPr="00EB1E25" w:rsidRDefault="00235DEC" w:rsidP="00235DEC">
      <w:pPr>
        <w:pStyle w:val="Textonotapie"/>
        <w:ind w:firstLine="708"/>
        <w:jc w:val="both"/>
        <w:rPr>
          <w:rFonts w:ascii="Verdana" w:hAnsi="Verdana"/>
          <w:sz w:val="18"/>
          <w:szCs w:val="18"/>
        </w:rPr>
      </w:pPr>
    </w:p>
    <w:p w14:paraId="4248338D" w14:textId="77777777" w:rsidR="00235DEC" w:rsidRPr="00EB1E25" w:rsidRDefault="00235DEC" w:rsidP="00235DEC">
      <w:pPr>
        <w:pStyle w:val="Textonotapie"/>
        <w:ind w:firstLine="708"/>
        <w:jc w:val="both"/>
        <w:rPr>
          <w:rFonts w:ascii="Verdana" w:hAnsi="Verdana"/>
          <w:sz w:val="18"/>
          <w:szCs w:val="18"/>
        </w:rPr>
      </w:pPr>
      <w:r w:rsidRPr="00EB1E25">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66EE6E34" w14:textId="77777777" w:rsidR="00235DEC" w:rsidRPr="00EB1E25" w:rsidRDefault="00235DEC" w:rsidP="00235DEC">
      <w:pPr>
        <w:pStyle w:val="Textonotapie"/>
        <w:ind w:firstLine="708"/>
        <w:jc w:val="both"/>
        <w:rPr>
          <w:rFonts w:ascii="Verdana" w:hAnsi="Verdana"/>
          <w:sz w:val="18"/>
          <w:szCs w:val="18"/>
        </w:rPr>
      </w:pPr>
    </w:p>
    <w:p w14:paraId="6406B3C1" w14:textId="77777777" w:rsidR="00235DEC" w:rsidRPr="00EB1E25" w:rsidRDefault="00235DEC" w:rsidP="00235DEC">
      <w:pPr>
        <w:pStyle w:val="Textonotapie"/>
        <w:ind w:firstLine="708"/>
        <w:jc w:val="both"/>
        <w:rPr>
          <w:rFonts w:ascii="Verdana" w:hAnsi="Verdana"/>
          <w:sz w:val="18"/>
          <w:szCs w:val="18"/>
        </w:rPr>
      </w:pPr>
      <w:r w:rsidRPr="00EB1E25">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4" type="#_x0000_t75" style="width:11.5pt;height:11.5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A71CB"/>
    <w:rsid w:val="000B19B9"/>
    <w:rsid w:val="000D0334"/>
    <w:rsid w:val="000D5DA7"/>
    <w:rsid w:val="000F6486"/>
    <w:rsid w:val="00116940"/>
    <w:rsid w:val="00125105"/>
    <w:rsid w:val="00127233"/>
    <w:rsid w:val="0015699B"/>
    <w:rsid w:val="001A095E"/>
    <w:rsid w:val="001A33BF"/>
    <w:rsid w:val="001E4177"/>
    <w:rsid w:val="001F0B24"/>
    <w:rsid w:val="001F7DC6"/>
    <w:rsid w:val="0022400B"/>
    <w:rsid w:val="00235DEC"/>
    <w:rsid w:val="002421BB"/>
    <w:rsid w:val="0025796E"/>
    <w:rsid w:val="002707A2"/>
    <w:rsid w:val="002951A0"/>
    <w:rsid w:val="002962BC"/>
    <w:rsid w:val="002A093D"/>
    <w:rsid w:val="002A0DD0"/>
    <w:rsid w:val="002A49AC"/>
    <w:rsid w:val="002A64FD"/>
    <w:rsid w:val="002B23E6"/>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B1BB0"/>
    <w:rsid w:val="005C3777"/>
    <w:rsid w:val="005C5CDC"/>
    <w:rsid w:val="005D476C"/>
    <w:rsid w:val="006200BF"/>
    <w:rsid w:val="006219F8"/>
    <w:rsid w:val="006302F7"/>
    <w:rsid w:val="00646B9F"/>
    <w:rsid w:val="00665D70"/>
    <w:rsid w:val="006900D9"/>
    <w:rsid w:val="00700B9E"/>
    <w:rsid w:val="00706C16"/>
    <w:rsid w:val="007340C3"/>
    <w:rsid w:val="0075235A"/>
    <w:rsid w:val="00756841"/>
    <w:rsid w:val="007649AB"/>
    <w:rsid w:val="00771D0C"/>
    <w:rsid w:val="007833AC"/>
    <w:rsid w:val="007A6401"/>
    <w:rsid w:val="007B268C"/>
    <w:rsid w:val="007B7171"/>
    <w:rsid w:val="007C0C0F"/>
    <w:rsid w:val="007C3DC2"/>
    <w:rsid w:val="007E5497"/>
    <w:rsid w:val="00806F5F"/>
    <w:rsid w:val="00820278"/>
    <w:rsid w:val="008258C9"/>
    <w:rsid w:val="008343DD"/>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1F36"/>
    <w:rsid w:val="009B2D26"/>
    <w:rsid w:val="009C71FA"/>
    <w:rsid w:val="009C72E7"/>
    <w:rsid w:val="009C7F7E"/>
    <w:rsid w:val="009D1B1D"/>
    <w:rsid w:val="009D3058"/>
    <w:rsid w:val="009F3A13"/>
    <w:rsid w:val="00A122D3"/>
    <w:rsid w:val="00A14468"/>
    <w:rsid w:val="00A17F13"/>
    <w:rsid w:val="00A20739"/>
    <w:rsid w:val="00A23AF9"/>
    <w:rsid w:val="00A33C78"/>
    <w:rsid w:val="00AB0ADB"/>
    <w:rsid w:val="00B00C0E"/>
    <w:rsid w:val="00B01B1A"/>
    <w:rsid w:val="00B0381D"/>
    <w:rsid w:val="00B053AB"/>
    <w:rsid w:val="00B44A47"/>
    <w:rsid w:val="00B50BF4"/>
    <w:rsid w:val="00B72CD3"/>
    <w:rsid w:val="00B72FFF"/>
    <w:rsid w:val="00B80220"/>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926B7"/>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7C0A39D-CD5F-45C5-903A-C3A651D35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aliases w:val="h Car,h8 Car,h9 Car,h10 Car,h18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235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35DE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eandrade@sena.edu.c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documentos-tipo/documentos-tipo"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BD57D6-0C23-4A3B-B8DB-B8C4DFAF1E8F}"/>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6124</Words>
  <Characters>33686</Characters>
  <Application>Microsoft Office Word</Application>
  <DocSecurity>0</DocSecurity>
  <Lines>280</Lines>
  <Paragraphs>79</Paragraphs>
  <ScaleCrop>false</ScaleCrop>
  <Company/>
  <LinksUpToDate>false</LinksUpToDate>
  <CharactersWithSpaces>39731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3</cp:revision>
  <cp:lastPrinted>2023-01-11T00:18:00Z</cp:lastPrinted>
  <dcterms:created xsi:type="dcterms:W3CDTF">2026-09-21T03:57:00Z</dcterms:created>
  <dcterms:modified xsi:type="dcterms:W3CDTF">2026-09-21T04:04:00Z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