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3121E" w14:textId="77777777" w:rsidR="0017479E" w:rsidRPr="0017479E" w:rsidRDefault="0017479E" w:rsidP="0017479E">
      <w:pPr>
        <w:spacing w:after="0"/>
        <w:rPr>
          <w:rFonts w:ascii="Aptos" w:eastAsia="Aptos" w:hAnsi="Aptos" w:cs="Times New Roman"/>
        </w:rPr>
      </w:pPr>
      <w:bookmarkStart w:id="0" w:name="_Hlk143780582"/>
      <w:r w:rsidRPr="0017479E">
        <w:rPr>
          <w:rFonts w:ascii="Verdana" w:eastAsia="Calibri" w:hAnsi="Verdana" w:cs="Arial"/>
          <w:b/>
          <w:bCs/>
          <w:lang w:val="es-ES_tradnl" w:eastAsia="es-MX"/>
        </w:rPr>
        <w:t xml:space="preserve">DOCUMENTOS TIPO – Fundamento normativo – Obligatoriedad </w:t>
      </w:r>
    </w:p>
    <w:p w14:paraId="20DAEEF4" w14:textId="77777777" w:rsidR="0017479E" w:rsidRPr="0017479E" w:rsidRDefault="0017479E" w:rsidP="0017479E">
      <w:pPr>
        <w:spacing w:after="0" w:line="276" w:lineRule="auto"/>
        <w:jc w:val="both"/>
        <w:rPr>
          <w:rFonts w:ascii="Verdana" w:eastAsia="Calibri" w:hAnsi="Verdana" w:cs="Arial"/>
          <w:b/>
          <w:bCs/>
          <w:sz w:val="20"/>
          <w:szCs w:val="20"/>
          <w:lang w:val="es-ES_tradnl" w:eastAsia="es-MX"/>
        </w:rPr>
      </w:pPr>
    </w:p>
    <w:p w14:paraId="0A0DC941" w14:textId="77777777" w:rsidR="0017479E" w:rsidRPr="0017479E" w:rsidRDefault="0017479E" w:rsidP="0017479E">
      <w:pPr>
        <w:tabs>
          <w:tab w:val="left" w:pos="709"/>
        </w:tabs>
        <w:snapToGrid w:val="0"/>
        <w:spacing w:after="0" w:line="240" w:lineRule="auto"/>
        <w:jc w:val="both"/>
        <w:rPr>
          <w:rFonts w:ascii="Verdana" w:eastAsia="Calibri" w:hAnsi="Verdana" w:cs="Arial"/>
          <w:sz w:val="20"/>
          <w:szCs w:val="20"/>
          <w:lang w:val="es-ES" w:eastAsia="es-MX"/>
        </w:rPr>
      </w:pPr>
      <w:r w:rsidRPr="0017479E">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4DEE8872" w14:textId="77777777" w:rsidR="0017479E" w:rsidRPr="0017479E" w:rsidRDefault="0017479E" w:rsidP="0017479E">
      <w:pPr>
        <w:snapToGrid w:val="0"/>
        <w:spacing w:after="0" w:line="240" w:lineRule="auto"/>
        <w:jc w:val="both"/>
        <w:rPr>
          <w:rFonts w:ascii="Verdana" w:eastAsia="Calibri" w:hAnsi="Verdana" w:cs="Arial"/>
          <w:b/>
          <w:bCs/>
          <w:lang w:val="es-ES_tradnl" w:eastAsia="es-MX"/>
        </w:rPr>
      </w:pPr>
    </w:p>
    <w:p w14:paraId="52F56257" w14:textId="77777777" w:rsidR="0017479E" w:rsidRPr="0017479E" w:rsidRDefault="0017479E" w:rsidP="0017479E">
      <w:pPr>
        <w:widowControl w:val="0"/>
        <w:autoSpaceDE w:val="0"/>
        <w:autoSpaceDN w:val="0"/>
        <w:snapToGrid w:val="0"/>
        <w:spacing w:after="0" w:line="240" w:lineRule="auto"/>
        <w:jc w:val="both"/>
        <w:rPr>
          <w:rFonts w:ascii="Verdana" w:eastAsia="Calibri" w:hAnsi="Verdana" w:cs="Times New Roman"/>
          <w:b/>
          <w:bCs/>
          <w:lang w:val="es-ES" w:eastAsia="es-MX"/>
        </w:rPr>
      </w:pPr>
      <w:r w:rsidRPr="0017479E">
        <w:rPr>
          <w:rFonts w:ascii="Verdana" w:eastAsia="Calibri" w:hAnsi="Verdana" w:cs="Arial"/>
          <w:b/>
          <w:bCs/>
          <w:lang w:val="es-ES_tradnl" w:eastAsia="es-MX"/>
        </w:rPr>
        <w:t>SECTOR SOCIAL</w:t>
      </w:r>
      <w:r w:rsidRPr="0017479E">
        <w:rPr>
          <w:rFonts w:ascii="Verdana" w:eastAsia="Calibri" w:hAnsi="Verdana" w:cs="Times New Roman"/>
          <w:lang w:val="es-ES" w:eastAsia="es-MX"/>
        </w:rPr>
        <w:t xml:space="preserve"> </w:t>
      </w:r>
      <w:r w:rsidRPr="0017479E">
        <w:rPr>
          <w:rFonts w:ascii="Verdana" w:eastAsia="Calibri" w:hAnsi="Verdana" w:cs="Times New Roman"/>
          <w:b/>
          <w:bCs/>
          <w:lang w:val="es-ES" w:eastAsia="es-MX"/>
        </w:rPr>
        <w:t>– Documentos tipo – Vigentes</w:t>
      </w:r>
    </w:p>
    <w:p w14:paraId="2ACA9726" w14:textId="77777777" w:rsidR="0017479E" w:rsidRPr="0017479E" w:rsidRDefault="0017479E" w:rsidP="0017479E">
      <w:pPr>
        <w:widowControl w:val="0"/>
        <w:autoSpaceDE w:val="0"/>
        <w:autoSpaceDN w:val="0"/>
        <w:snapToGrid w:val="0"/>
        <w:spacing w:after="0" w:line="240" w:lineRule="auto"/>
        <w:jc w:val="both"/>
        <w:rPr>
          <w:rFonts w:ascii="Verdana" w:eastAsia="Calibri" w:hAnsi="Verdana" w:cs="Times New Roman"/>
          <w:b/>
          <w:bCs/>
          <w:lang w:val="es-ES" w:eastAsia="es-MX"/>
        </w:rPr>
      </w:pPr>
    </w:p>
    <w:p w14:paraId="391543BA" w14:textId="77777777" w:rsidR="0017479E" w:rsidRPr="0017479E" w:rsidRDefault="0017479E" w:rsidP="0017479E">
      <w:pPr>
        <w:widowControl w:val="0"/>
        <w:autoSpaceDE w:val="0"/>
        <w:autoSpaceDN w:val="0"/>
        <w:snapToGrid w:val="0"/>
        <w:spacing w:after="0" w:line="240" w:lineRule="auto"/>
        <w:jc w:val="both"/>
        <w:rPr>
          <w:rFonts w:ascii="Verdana" w:eastAsia="Calibri" w:hAnsi="Verdana" w:cs="Times New Roman"/>
          <w:b/>
          <w:bCs/>
          <w:sz w:val="20"/>
          <w:szCs w:val="20"/>
          <w:lang w:val="es-ES" w:eastAsia="es-MX"/>
        </w:rPr>
      </w:pPr>
      <w:r w:rsidRPr="0017479E">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7FD415E0" w14:textId="77777777" w:rsidR="0017479E" w:rsidRPr="0017479E" w:rsidRDefault="0017479E" w:rsidP="0017479E">
      <w:pPr>
        <w:widowControl w:val="0"/>
        <w:autoSpaceDE w:val="0"/>
        <w:autoSpaceDN w:val="0"/>
        <w:snapToGrid w:val="0"/>
        <w:spacing w:after="0" w:line="240" w:lineRule="auto"/>
        <w:jc w:val="both"/>
        <w:rPr>
          <w:rFonts w:ascii="Verdana" w:eastAsia="Calibri" w:hAnsi="Verdana" w:cs="Times New Roman"/>
          <w:lang w:val="es-ES" w:eastAsia="es-MX"/>
        </w:rPr>
      </w:pPr>
    </w:p>
    <w:p w14:paraId="06583461" w14:textId="77777777" w:rsidR="0017479E" w:rsidRPr="0017479E" w:rsidRDefault="0017479E" w:rsidP="0017479E">
      <w:pPr>
        <w:snapToGrid w:val="0"/>
        <w:spacing w:after="0" w:line="240" w:lineRule="auto"/>
        <w:jc w:val="both"/>
        <w:rPr>
          <w:rFonts w:ascii="Verdana" w:eastAsia="Calibri" w:hAnsi="Verdana" w:cs="Times New Roman"/>
          <w:sz w:val="20"/>
          <w:szCs w:val="20"/>
          <w:lang w:val="es-ES" w:eastAsia="es-MX"/>
        </w:rPr>
      </w:pPr>
      <w:r w:rsidRPr="0017479E">
        <w:rPr>
          <w:rFonts w:ascii="Verdana" w:eastAsia="Calibri" w:hAnsi="Verdana" w:cs="Times New Roman"/>
          <w:b/>
          <w:bCs/>
          <w:lang w:val="es-ES" w:eastAsia="es-MX"/>
        </w:rPr>
        <w:t xml:space="preserve">DOCUMENTOS TIPO – Aplicación – Matriz de Experiencia </w:t>
      </w:r>
    </w:p>
    <w:p w14:paraId="00DE266A" w14:textId="77777777" w:rsidR="0017479E" w:rsidRPr="0017479E" w:rsidRDefault="0017479E" w:rsidP="0017479E">
      <w:pPr>
        <w:snapToGrid w:val="0"/>
        <w:spacing w:after="0" w:line="240" w:lineRule="auto"/>
        <w:rPr>
          <w:rFonts w:ascii="Verdana" w:eastAsia="Geomanist Light" w:hAnsi="Verdana" w:cs="Arial"/>
          <w:lang w:val="es-MX" w:eastAsia="es-MX"/>
        </w:rPr>
      </w:pPr>
    </w:p>
    <w:p w14:paraId="65745452" w14:textId="77777777" w:rsidR="0017479E" w:rsidRPr="0017479E" w:rsidRDefault="0017479E" w:rsidP="0017479E">
      <w:pPr>
        <w:widowControl w:val="0"/>
        <w:autoSpaceDE w:val="0"/>
        <w:autoSpaceDN w:val="0"/>
        <w:snapToGrid w:val="0"/>
        <w:spacing w:after="0" w:line="240" w:lineRule="auto"/>
        <w:jc w:val="both"/>
        <w:rPr>
          <w:rFonts w:ascii="Verdana" w:eastAsia="Calibri" w:hAnsi="Verdana" w:cs="Times New Roman"/>
          <w:sz w:val="20"/>
          <w:szCs w:val="20"/>
          <w:lang w:val="es-ES" w:eastAsia="es-MX"/>
        </w:rPr>
      </w:pPr>
      <w:r w:rsidRPr="0017479E">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3AD3C740"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sz w:val="20"/>
          <w:szCs w:val="20"/>
          <w:lang w:val="es-ES" w:eastAsia="es-MX"/>
        </w:rPr>
      </w:pPr>
    </w:p>
    <w:p w14:paraId="698FB20C"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sz w:val="20"/>
          <w:szCs w:val="20"/>
          <w:lang w:val="es-ES" w:eastAsia="es-MX"/>
        </w:rPr>
      </w:pPr>
      <w:r w:rsidRPr="0017479E">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8AE615B"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sz w:val="20"/>
          <w:szCs w:val="20"/>
          <w:lang w:val="es-ES" w:eastAsia="es-MX"/>
        </w:rPr>
      </w:pPr>
    </w:p>
    <w:p w14:paraId="64D9C895"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b/>
          <w:bCs/>
          <w:lang w:val="es-ES" w:eastAsia="es-MX"/>
        </w:rPr>
      </w:pPr>
      <w:r w:rsidRPr="0017479E">
        <w:rPr>
          <w:rFonts w:ascii="Verdana" w:eastAsia="Calibri" w:hAnsi="Verdana" w:cs="Times New Roman"/>
          <w:b/>
          <w:bCs/>
          <w:lang w:val="es-ES" w:eastAsia="es-MX"/>
        </w:rPr>
        <w:t>SECTOR INSTITUCIONAL – Infraestructura social – Tipos de obras Documentos tipo – Resoluciones</w:t>
      </w:r>
    </w:p>
    <w:p w14:paraId="11F0E4E2"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b/>
          <w:bCs/>
          <w:sz w:val="20"/>
          <w:szCs w:val="20"/>
          <w:lang w:val="es-ES" w:eastAsia="es-MX"/>
        </w:rPr>
      </w:pPr>
    </w:p>
    <w:p w14:paraId="61896307" w14:textId="77777777" w:rsidR="0017479E" w:rsidRPr="0017479E" w:rsidRDefault="0017479E" w:rsidP="0017479E">
      <w:pPr>
        <w:spacing w:after="0" w:line="240" w:lineRule="auto"/>
        <w:jc w:val="both"/>
        <w:rPr>
          <w:rFonts w:ascii="Verdana" w:eastAsia="Calibri" w:hAnsi="Verdana" w:cs="Times New Roman"/>
          <w:sz w:val="20"/>
          <w:szCs w:val="20"/>
          <w:lang w:val="es-ES" w:eastAsia="es-MX"/>
        </w:rPr>
      </w:pPr>
      <w:r w:rsidRPr="0017479E">
        <w:rPr>
          <w:rFonts w:ascii="Verdana" w:eastAsia="Calibri" w:hAnsi="Verdana" w:cs="Times New Roman"/>
          <w:sz w:val="20"/>
          <w:szCs w:val="20"/>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w:t>
      </w:r>
      <w:r w:rsidRPr="0017479E">
        <w:rPr>
          <w:rFonts w:ascii="Verdana" w:eastAsia="Calibri" w:hAnsi="Verdana" w:cs="Times New Roman"/>
          <w:sz w:val="20"/>
          <w:szCs w:val="20"/>
          <w:lang w:val="es-ES" w:eastAsia="es-MX"/>
        </w:rPr>
        <w:lastRenderedPageBreak/>
        <w:t xml:space="preserve">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6EA8F4D5" w14:textId="77777777" w:rsidR="0017479E" w:rsidRPr="0017479E" w:rsidRDefault="0017479E" w:rsidP="0017479E">
      <w:pPr>
        <w:spacing w:after="0" w:line="240" w:lineRule="auto"/>
        <w:jc w:val="both"/>
        <w:rPr>
          <w:rFonts w:ascii="Verdana" w:eastAsia="Calibri" w:hAnsi="Verdana" w:cs="Times New Roman"/>
          <w:sz w:val="20"/>
          <w:szCs w:val="20"/>
          <w:lang w:val="es-ES" w:eastAsia="es-MX"/>
        </w:rPr>
      </w:pPr>
    </w:p>
    <w:p w14:paraId="62C581CB" w14:textId="77777777" w:rsidR="0017479E" w:rsidRPr="0017479E" w:rsidRDefault="0017479E" w:rsidP="0017479E">
      <w:pPr>
        <w:spacing w:after="0" w:line="240" w:lineRule="auto"/>
        <w:jc w:val="both"/>
        <w:rPr>
          <w:rFonts w:ascii="Verdana" w:eastAsia="Calibri" w:hAnsi="Verdana" w:cs="Times New Roman"/>
          <w:sz w:val="20"/>
          <w:szCs w:val="20"/>
          <w:lang w:val="es-ES" w:eastAsia="es-MX"/>
        </w:rPr>
      </w:pPr>
      <w:r w:rsidRPr="0017479E">
        <w:rPr>
          <w:rFonts w:ascii="Verdana" w:eastAsia="Calibri" w:hAnsi="Verdana" w:cs="Times New Roman"/>
          <w:sz w:val="20"/>
          <w:szCs w:val="20"/>
          <w:lang w:val="es-ES" w:eastAsia="es-MX"/>
        </w:rPr>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4E1130AC"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sz w:val="20"/>
          <w:szCs w:val="20"/>
          <w:lang w:val="es-ES" w:eastAsia="es-MX"/>
        </w:rPr>
      </w:pPr>
    </w:p>
    <w:p w14:paraId="04850DDB"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b/>
          <w:bCs/>
          <w:lang w:val="es-ES" w:eastAsia="es-MX"/>
        </w:rPr>
      </w:pPr>
      <w:r w:rsidRPr="0017479E">
        <w:rPr>
          <w:rFonts w:ascii="Verdana" w:eastAsia="Calibri" w:hAnsi="Verdana" w:cs="Times New Roman"/>
          <w:b/>
          <w:bCs/>
          <w:lang w:val="es-ES" w:eastAsia="es-MX"/>
        </w:rPr>
        <w:t>SECTOR INSTITUCIONAL – Documentos tipo – Licitación Pública – Matriz 1 – Experiencia – Actividad 1.2 – Experiencia general – Edificaciones</w:t>
      </w:r>
    </w:p>
    <w:p w14:paraId="7F713617" w14:textId="77777777" w:rsidR="0017479E" w:rsidRPr="0017479E" w:rsidRDefault="0017479E" w:rsidP="0017479E">
      <w:pPr>
        <w:widowControl w:val="0"/>
        <w:autoSpaceDE w:val="0"/>
        <w:autoSpaceDN w:val="0"/>
        <w:spacing w:after="0" w:line="240" w:lineRule="auto"/>
        <w:jc w:val="both"/>
        <w:rPr>
          <w:rFonts w:ascii="Verdana" w:eastAsia="Calibri" w:hAnsi="Verdana" w:cs="Times New Roman"/>
          <w:sz w:val="20"/>
          <w:szCs w:val="20"/>
          <w:lang w:val="es-ES" w:eastAsia="es-MX"/>
        </w:rPr>
      </w:pPr>
    </w:p>
    <w:p w14:paraId="3534FEA7" w14:textId="77777777" w:rsidR="0017479E" w:rsidRPr="0017479E" w:rsidRDefault="0017479E" w:rsidP="0017479E">
      <w:pPr>
        <w:spacing w:after="0" w:line="276" w:lineRule="auto"/>
        <w:jc w:val="both"/>
        <w:rPr>
          <w:rFonts w:ascii="Verdana" w:eastAsia="Times New Roman" w:hAnsi="Verdana" w:cs="Times New Roman"/>
          <w:color w:val="000000"/>
          <w:sz w:val="20"/>
          <w:szCs w:val="20"/>
          <w:lang w:eastAsia="es-CO"/>
        </w:rPr>
      </w:pPr>
      <w:r w:rsidRPr="0017479E">
        <w:rPr>
          <w:rFonts w:ascii="Verdana" w:eastAsia="Aptos" w:hAnsi="Verdana" w:cs="Times New Roman"/>
          <w:sz w:val="20"/>
          <w:szCs w:val="20"/>
        </w:rPr>
        <w:t>Sobre el particular, para dicha actividad se solicita el siguiente requisito de experiencia general:</w:t>
      </w:r>
    </w:p>
    <w:p w14:paraId="4D1A0E88" w14:textId="77777777" w:rsidR="0017479E" w:rsidRPr="0017479E" w:rsidRDefault="0017479E" w:rsidP="0017479E">
      <w:pPr>
        <w:snapToGrid w:val="0"/>
        <w:spacing w:after="0" w:line="240" w:lineRule="auto"/>
        <w:ind w:left="709" w:right="709"/>
        <w:jc w:val="both"/>
        <w:rPr>
          <w:rFonts w:ascii="Verdana" w:eastAsia="Calibri" w:hAnsi="Verdana" w:cs="Arial"/>
          <w:color w:val="0D0D0D"/>
          <w:sz w:val="20"/>
          <w:szCs w:val="20"/>
          <w:lang w:eastAsia="es-MX"/>
        </w:rPr>
      </w:pPr>
    </w:p>
    <w:p w14:paraId="7BAC4448" w14:textId="77777777" w:rsidR="0017479E" w:rsidRPr="0017479E" w:rsidRDefault="0017479E" w:rsidP="0017479E">
      <w:pPr>
        <w:snapToGrid w:val="0"/>
        <w:spacing w:after="0" w:line="240" w:lineRule="auto"/>
        <w:ind w:left="709" w:right="709"/>
        <w:jc w:val="both"/>
        <w:rPr>
          <w:rFonts w:ascii="Verdana" w:eastAsia="Calibri" w:hAnsi="Verdana" w:cs="Arial"/>
          <w:color w:val="0D0D0D"/>
          <w:sz w:val="20"/>
          <w:szCs w:val="20"/>
          <w:lang w:eastAsia="es-MX"/>
        </w:rPr>
      </w:pPr>
      <w:r w:rsidRPr="0017479E">
        <w:rPr>
          <w:rFonts w:ascii="Verdana" w:eastAsia="Calibri" w:hAnsi="Verdana" w:cs="Arial"/>
          <w:color w:val="0D0D0D"/>
          <w:sz w:val="20"/>
          <w:szCs w:val="20"/>
          <w:lang w:eastAsia="es-MX"/>
        </w:rPr>
        <w:t>“General:</w:t>
      </w:r>
    </w:p>
    <w:p w14:paraId="1AC465EF" w14:textId="77777777" w:rsidR="0017479E" w:rsidRPr="0017479E" w:rsidRDefault="0017479E" w:rsidP="0017479E">
      <w:pPr>
        <w:snapToGrid w:val="0"/>
        <w:spacing w:after="0" w:line="240" w:lineRule="auto"/>
        <w:ind w:left="709" w:right="709"/>
        <w:jc w:val="both"/>
        <w:rPr>
          <w:rFonts w:ascii="Verdana" w:eastAsia="Arial" w:hAnsi="Verdana" w:cs="Arial"/>
          <w:sz w:val="20"/>
          <w:szCs w:val="20"/>
          <w:lang w:val="es-ES" w:eastAsia="es-ES_tradnl"/>
        </w:rPr>
      </w:pPr>
      <w:r w:rsidRPr="0017479E">
        <w:rPr>
          <w:rFonts w:ascii="Verdana" w:eastAsia="Arial" w:hAnsi="Verdana" w:cs="Arial"/>
          <w:sz w:val="20"/>
          <w:szCs w:val="20"/>
          <w:lang w:val="es-ES" w:eastAsia="es-ES_tradnl"/>
        </w:rPr>
        <w:t>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EDIFICACIONES”.</w:t>
      </w:r>
    </w:p>
    <w:p w14:paraId="7B874B53" w14:textId="77777777" w:rsidR="0017479E" w:rsidRPr="0017479E" w:rsidRDefault="0017479E" w:rsidP="0017479E">
      <w:pPr>
        <w:snapToGrid w:val="0"/>
        <w:spacing w:after="0" w:line="240" w:lineRule="auto"/>
        <w:ind w:left="709" w:right="709"/>
        <w:jc w:val="both"/>
        <w:rPr>
          <w:rFonts w:ascii="Verdana" w:eastAsia="Arial" w:hAnsi="Verdana" w:cs="Arial"/>
          <w:sz w:val="20"/>
          <w:szCs w:val="20"/>
          <w:lang w:val="es-ES" w:eastAsia="es-ES_tradnl"/>
        </w:rPr>
      </w:pPr>
    </w:p>
    <w:p w14:paraId="1061B6A0" w14:textId="77777777" w:rsidR="0017479E" w:rsidRPr="0017479E" w:rsidRDefault="0017479E" w:rsidP="0017479E">
      <w:pPr>
        <w:spacing w:after="0" w:line="276" w:lineRule="auto"/>
        <w:jc w:val="both"/>
        <w:rPr>
          <w:rFonts w:ascii="Verdana" w:eastAsia="Aptos" w:hAnsi="Verdana" w:cs="Times New Roman"/>
          <w:kern w:val="2"/>
          <w:sz w:val="20"/>
          <w:szCs w:val="20"/>
          <w14:ligatures w14:val="standardContextual"/>
        </w:rPr>
      </w:pPr>
      <w:r w:rsidRPr="0017479E">
        <w:rPr>
          <w:rFonts w:ascii="Verdana" w:eastAsia="Aptos" w:hAnsi="Verdana" w:cs="Times New Roman"/>
          <w:sz w:val="20"/>
          <w:szCs w:val="20"/>
        </w:rPr>
        <w:t xml:space="preserve">Como se aprecia, para la actividad 1.2 contenida en la "Matriz 1 – Experiencia Sector Institucional", se establece que la acreditación de la experiencia general debe darse en </w:t>
      </w:r>
      <w:r w:rsidRPr="0017479E">
        <w:rPr>
          <w:rFonts w:ascii="Verdana" w:eastAsia="Arial" w:hAnsi="Verdana" w:cs="Arial"/>
          <w:sz w:val="20"/>
          <w:szCs w:val="20"/>
          <w:lang w:val="es-ES" w:eastAsia="es-ES_tradnl"/>
        </w:rPr>
        <w:t xml:space="preserve">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w:t>
      </w:r>
      <w:r w:rsidRPr="0017479E">
        <w:rPr>
          <w:rFonts w:ascii="Verdana" w:eastAsia="Aptos" w:hAnsi="Verdana" w:cs="Times New Roman"/>
          <w:b/>
          <w:bCs/>
          <w:sz w:val="20"/>
          <w:szCs w:val="20"/>
        </w:rPr>
        <w:t>“edificaciones”</w:t>
      </w:r>
      <w:r w:rsidRPr="0017479E">
        <w:rPr>
          <w:rFonts w:ascii="Verdana" w:eastAsia="Aptos" w:hAnsi="Verdana" w:cs="Times New Roman"/>
          <w:sz w:val="20"/>
          <w:szCs w:val="20"/>
        </w:rPr>
        <w:t>, sin que se realicen distinciones o se establezcan restricciones específicas respecto de algún tipo de edificación con destinación de uso particular.</w:t>
      </w:r>
    </w:p>
    <w:p w14:paraId="0FA7DB30" w14:textId="77777777" w:rsidR="0017479E" w:rsidRPr="0017479E" w:rsidRDefault="0017479E" w:rsidP="0017479E">
      <w:pPr>
        <w:spacing w:after="0" w:line="276" w:lineRule="auto"/>
        <w:jc w:val="both"/>
        <w:rPr>
          <w:rFonts w:ascii="Verdana" w:eastAsia="Aptos" w:hAnsi="Verdana" w:cs="Times New Roman"/>
          <w:sz w:val="20"/>
          <w:szCs w:val="20"/>
        </w:rPr>
      </w:pPr>
    </w:p>
    <w:p w14:paraId="359089B8" w14:textId="77777777" w:rsidR="0017479E" w:rsidRPr="0017479E" w:rsidRDefault="0017479E" w:rsidP="0017479E">
      <w:pPr>
        <w:spacing w:after="0" w:line="276" w:lineRule="auto"/>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En este sentido, considerando que una edificación, de acuerdo con el artículo 4 de la Ley 400 de 1997, se define como </w:t>
      </w:r>
      <w:r w:rsidRPr="0017479E">
        <w:rPr>
          <w:rFonts w:ascii="Verdana" w:eastAsia="Aptos" w:hAnsi="Verdana" w:cs="Times New Roman"/>
          <w:i/>
          <w:iCs/>
          <w:kern w:val="2"/>
          <w:sz w:val="20"/>
          <w:szCs w:val="20"/>
          <w14:ligatures w14:val="standardContextual"/>
        </w:rPr>
        <w:t>“(…) una construcción cuyo uso primordial es la habitación u ocupación por seres humanos”,</w:t>
      </w:r>
      <w:r w:rsidRPr="0017479E">
        <w:rPr>
          <w:rFonts w:ascii="Verdana" w:eastAsia="Aptos" w:hAnsi="Verdana" w:cs="Times New Roman"/>
          <w:kern w:val="2"/>
          <w:sz w:val="20"/>
          <w:szCs w:val="20"/>
          <w14:ligatures w14:val="standardContextual"/>
        </w:rPr>
        <w:t xml:space="preserve"> y que la edificación convencional es “(…) aquella </w:t>
      </w:r>
      <w:r w:rsidRPr="0017479E">
        <w:rPr>
          <w:rFonts w:ascii="Verdana" w:eastAsia="Aptos" w:hAnsi="Verdana" w:cs="Times New Roman"/>
          <w:kern w:val="2"/>
          <w:sz w:val="20"/>
          <w:szCs w:val="20"/>
          <w14:ligatures w14:val="standardContextual"/>
        </w:rPr>
        <w:lastRenderedPageBreak/>
        <w:t>estructura concebida de tal manera que su geometría, dimensiones generales, dimensiones de sus miembros estructurales, materiales estructurales empleados y procedimientos de dimensionamiento y determinación de la resistencia de sus miembros estructurales ante todas las solicitaciones a las que puedan verse sometidos durante su vida útil estén previstos en la normativa y reglamentación contenida en el Reglamento NSR-10 (…)”, se tiene que la construcción de edificaciones, en términos generales, está determinada por el cumplimiento de las normas técnicas reglamentarias y, en particular, por lo dispuesto en la Norma Sismo Resistente NSR-10 y demás disposiciones aplicables a este tipo de infraestructura.</w:t>
      </w:r>
    </w:p>
    <w:p w14:paraId="0500240D" w14:textId="77777777" w:rsidR="0017479E" w:rsidRPr="0017479E" w:rsidRDefault="0017479E" w:rsidP="0017479E">
      <w:pPr>
        <w:spacing w:after="0" w:line="276" w:lineRule="auto"/>
        <w:jc w:val="both"/>
        <w:rPr>
          <w:rFonts w:ascii="Verdana" w:eastAsia="Aptos" w:hAnsi="Verdana" w:cs="Times New Roman"/>
          <w:kern w:val="2"/>
          <w:sz w:val="20"/>
          <w:szCs w:val="20"/>
          <w14:ligatures w14:val="standardContextual"/>
        </w:rPr>
      </w:pPr>
    </w:p>
    <w:p w14:paraId="7173AFC8" w14:textId="77777777" w:rsidR="0017479E" w:rsidRPr="0017479E" w:rsidRDefault="0017479E" w:rsidP="0017479E">
      <w:pPr>
        <w:spacing w:after="0" w:line="276" w:lineRule="auto"/>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En consecuencia, la experiencia general solicitada en la “Matriz 1 – Experiencia Sector Institucional”, con el fin de no limitar la concurrencia de oferentes, se refiere a experiencia en edificaciones sin distinción de su destinación o uso, tales como cultura, recreación y deporte, salud, educación, vivienda o infraestructura institucional, entre otros.</w:t>
      </w:r>
    </w:p>
    <w:p w14:paraId="7E2B7A2C"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64FAE730"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08840A5C"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4C8E30CE"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05F33052"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D917954"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30E8668E"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EB323A9"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96BEE94"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CAC519F"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9C420E5"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42ECCC1"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2271E09B"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05C261A5"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0D28A76C"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6BABA1B7"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3267CE43"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53609FA7"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3CD9B62A"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072E43B3"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4E7E6B9"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F8AFFA1"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327D94B6"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6BEE010" w14:textId="77777777" w:rsidR="0017479E" w:rsidRDefault="0017479E" w:rsidP="0017479E">
      <w:pPr>
        <w:spacing w:after="0" w:line="240" w:lineRule="auto"/>
        <w:jc w:val="both"/>
        <w:rPr>
          <w:rFonts w:ascii="Verdana" w:eastAsia="Aptos" w:hAnsi="Verdana" w:cs="Times New Roman"/>
          <w:kern w:val="2"/>
          <w:sz w:val="20"/>
          <w:szCs w:val="20"/>
          <w14:ligatures w14:val="standardContextual"/>
        </w:rPr>
      </w:pPr>
    </w:p>
    <w:p w14:paraId="3C16B89C" w14:textId="77777777" w:rsidR="002D28BD" w:rsidRDefault="002D28BD" w:rsidP="0017479E">
      <w:pPr>
        <w:spacing w:after="0" w:line="240" w:lineRule="auto"/>
        <w:jc w:val="both"/>
        <w:rPr>
          <w:rFonts w:ascii="Verdana" w:eastAsia="Aptos" w:hAnsi="Verdana" w:cs="Times New Roman"/>
          <w:kern w:val="2"/>
          <w:sz w:val="20"/>
          <w:szCs w:val="20"/>
          <w14:ligatures w14:val="standardContextual"/>
        </w:rPr>
      </w:pPr>
    </w:p>
    <w:p w14:paraId="1365FF55" w14:textId="77777777" w:rsidR="002D28BD" w:rsidRPr="0017479E" w:rsidRDefault="002D28BD" w:rsidP="0017479E">
      <w:pPr>
        <w:spacing w:after="0" w:line="240" w:lineRule="auto"/>
        <w:jc w:val="both"/>
        <w:rPr>
          <w:rFonts w:ascii="Verdana" w:eastAsia="Aptos" w:hAnsi="Verdana" w:cs="Times New Roman"/>
          <w:kern w:val="2"/>
          <w:sz w:val="20"/>
          <w:szCs w:val="20"/>
          <w14:ligatures w14:val="standardContextual"/>
        </w:rPr>
      </w:pPr>
    </w:p>
    <w:p w14:paraId="33A68667"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67EE6ED"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D6DCCD8" w14:textId="77777777" w:rsidR="0017479E" w:rsidRPr="0017479E" w:rsidRDefault="0017479E" w:rsidP="0017479E">
      <w:pPr>
        <w:spacing w:after="0" w:line="240" w:lineRule="auto"/>
        <w:jc w:val="both"/>
        <w:rPr>
          <w:rFonts w:ascii="Verdana" w:eastAsia="Aptos" w:hAnsi="Verdana" w:cs="Times New Roman"/>
          <w:kern w:val="2"/>
          <w:sz w:val="20"/>
          <w:szCs w:val="20"/>
          <w14:ligatures w14:val="standardContextual"/>
        </w:rPr>
      </w:pPr>
    </w:p>
    <w:p w14:paraId="18583D88" w14:textId="364073B2" w:rsidR="0017479E" w:rsidRDefault="0017479E" w:rsidP="0017479E">
      <w:pPr>
        <w:spacing w:after="0" w:line="240" w:lineRule="auto"/>
        <w:rPr>
          <w:rFonts w:ascii="Verdana" w:eastAsia="Verdana" w:hAnsi="Verdana" w:cs="Verdana"/>
        </w:rPr>
      </w:pPr>
      <w:r w:rsidRPr="0017479E">
        <w:rPr>
          <w:rFonts w:ascii="Verdana" w:eastAsia="Verdana" w:hAnsi="Verdana" w:cs="Verdana"/>
        </w:rPr>
        <w:lastRenderedPageBreak/>
        <w:t xml:space="preserve">Bogotá D.C., </w:t>
      </w:r>
      <w:r w:rsidR="00C8342A">
        <w:rPr>
          <w:rFonts w:ascii="Verdana" w:eastAsia="Verdana" w:hAnsi="Verdana" w:cs="Verdana"/>
        </w:rPr>
        <w:t>15 de septiembre de 2026</w:t>
      </w:r>
    </w:p>
    <w:p w14:paraId="505A059D" w14:textId="76C19236" w:rsidR="00C8342A" w:rsidRDefault="00C8342A" w:rsidP="0017479E">
      <w:pPr>
        <w:spacing w:after="0" w:line="240" w:lineRule="auto"/>
        <w:rPr>
          <w:rFonts w:ascii="Verdana" w:eastAsia="Verdana" w:hAnsi="Verdana" w:cs="Verdana"/>
        </w:rPr>
      </w:pPr>
    </w:p>
    <w:p w14:paraId="636DCA2B" w14:textId="29F670A9" w:rsidR="00761D0B" w:rsidRDefault="00761D0B" w:rsidP="00761D0B">
      <w:pPr>
        <w:spacing w:after="0" w:line="240" w:lineRule="auto"/>
        <w:jc w:val="right"/>
        <w:rPr>
          <w:rFonts w:ascii="Verdana" w:eastAsia="Calibri" w:hAnsi="Verdana" w:cs="Arial"/>
          <w:lang w:val="es-ES" w:eastAsia="es-ES"/>
        </w:rPr>
      </w:pPr>
    </w:p>
    <w:p w14:paraId="27C05324" w14:textId="6E4CD763" w:rsidR="0017479E" w:rsidRPr="00761D0B" w:rsidRDefault="00761D0B" w:rsidP="00761D0B">
      <w:pPr>
        <w:spacing w:after="0" w:line="240" w:lineRule="auto"/>
        <w:rPr>
          <w:rFonts w:ascii="Verdana" w:eastAsia="Calibri" w:hAnsi="Verdana" w:cs="Arial"/>
          <w:lang w:val="es-ES" w:eastAsia="es-ES"/>
        </w:rPr>
      </w:pPr>
      <w:r w:rsidRPr="00C8342A">
        <w:rPr>
          <w:rFonts w:ascii="Verdana" w:eastAsia="Verdana" w:hAnsi="Verdana" w:cs="Verdana"/>
          <w:noProof/>
        </w:rPr>
        <w:drawing>
          <wp:anchor distT="0" distB="0" distL="114300" distR="114300" simplePos="0" relativeHeight="251658240" behindDoc="0" locked="0" layoutInCell="1" allowOverlap="1" wp14:anchorId="745A3075" wp14:editId="635EE35E">
            <wp:simplePos x="0" y="0"/>
            <wp:positionH relativeFrom="margin">
              <wp:align>right</wp:align>
            </wp:positionH>
            <wp:positionV relativeFrom="paragraph">
              <wp:posOffset>8255</wp:posOffset>
            </wp:positionV>
            <wp:extent cx="2272030" cy="951230"/>
            <wp:effectExtent l="0" t="0" r="0" b="1270"/>
            <wp:wrapSquare wrapText="bothSides"/>
            <wp:docPr id="19899037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0378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2030" cy="951230"/>
                    </a:xfrm>
                    <a:prstGeom prst="rect">
                      <a:avLst/>
                    </a:prstGeom>
                  </pic:spPr>
                </pic:pic>
              </a:graphicData>
            </a:graphic>
          </wp:anchor>
        </w:drawing>
      </w:r>
      <w:r w:rsidR="0017479E" w:rsidRPr="0017479E">
        <w:rPr>
          <w:rFonts w:ascii="Verdana" w:eastAsia="Calibri" w:hAnsi="Verdana" w:cs="Arial"/>
          <w:lang w:val="es-ES" w:eastAsia="es-ES"/>
        </w:rPr>
        <w:t>Señor</w:t>
      </w:r>
    </w:p>
    <w:p w14:paraId="18425B81" w14:textId="77777777" w:rsidR="0017479E" w:rsidRPr="0017479E" w:rsidRDefault="0017479E" w:rsidP="0017479E">
      <w:pPr>
        <w:spacing w:after="0" w:line="276" w:lineRule="auto"/>
        <w:rPr>
          <w:rFonts w:ascii="Verdana" w:eastAsia="Calibri" w:hAnsi="Verdana" w:cs="Arial"/>
          <w:b/>
          <w:bCs/>
          <w:lang w:val="es-ES" w:eastAsia="es-ES"/>
        </w:rPr>
      </w:pPr>
      <w:r w:rsidRPr="0017479E">
        <w:rPr>
          <w:rFonts w:ascii="Verdana" w:eastAsia="Calibri" w:hAnsi="Verdana" w:cs="Arial"/>
          <w:b/>
          <w:bCs/>
          <w:lang w:val="es-ES" w:eastAsia="es-ES"/>
        </w:rPr>
        <w:t>Jorge Luis Barreto Rivera</w:t>
      </w:r>
    </w:p>
    <w:p w14:paraId="44BD2C05" w14:textId="77777777" w:rsidR="0017479E" w:rsidRPr="0017479E" w:rsidRDefault="0017479E" w:rsidP="0017479E">
      <w:pPr>
        <w:spacing w:after="0" w:line="276" w:lineRule="auto"/>
        <w:rPr>
          <w:rFonts w:ascii="Verdana" w:eastAsia="Calibri" w:hAnsi="Verdana" w:cs="Arial"/>
          <w:lang w:val="es-ES" w:eastAsia="es-ES"/>
        </w:rPr>
      </w:pPr>
      <w:proofErr w:type="spellStart"/>
      <w:r w:rsidRPr="0017479E">
        <w:rPr>
          <w:rFonts w:ascii="Verdana" w:eastAsia="Calibri" w:hAnsi="Verdana" w:cs="Arial"/>
          <w:lang w:val="es-ES" w:eastAsia="es-ES"/>
        </w:rPr>
        <w:t>Dicoin</w:t>
      </w:r>
      <w:proofErr w:type="spellEnd"/>
      <w:r w:rsidRPr="0017479E">
        <w:rPr>
          <w:rFonts w:ascii="Verdana" w:eastAsia="Calibri" w:hAnsi="Verdana" w:cs="Arial"/>
          <w:lang w:val="es-ES" w:eastAsia="es-ES"/>
        </w:rPr>
        <w:t xml:space="preserve"> Ingenieros</w:t>
      </w:r>
    </w:p>
    <w:p w14:paraId="284E9296" w14:textId="77777777" w:rsidR="0017479E" w:rsidRPr="0017479E" w:rsidRDefault="0017479E" w:rsidP="0017479E">
      <w:pPr>
        <w:spacing w:after="0" w:line="276" w:lineRule="auto"/>
        <w:rPr>
          <w:rFonts w:ascii="Verdana" w:eastAsia="Calibri" w:hAnsi="Verdana" w:cs="Arial"/>
          <w:lang w:eastAsia="es-ES_tradnl"/>
        </w:rPr>
      </w:pPr>
      <w:r w:rsidRPr="0017479E">
        <w:rPr>
          <w:rFonts w:ascii="Verdana" w:eastAsia="Calibri" w:hAnsi="Verdana" w:cs="Arial"/>
          <w:lang w:val="es-ES" w:eastAsia="es-ES"/>
        </w:rPr>
        <w:t>Bogotá D.C</w:t>
      </w:r>
    </w:p>
    <w:p w14:paraId="695A4501" w14:textId="77777777" w:rsidR="0017479E" w:rsidRPr="0017479E" w:rsidRDefault="0017479E" w:rsidP="0017479E">
      <w:pPr>
        <w:spacing w:after="0" w:line="240" w:lineRule="auto"/>
        <w:rPr>
          <w:rFonts w:ascii="Verdana" w:eastAsia="Calibri" w:hAnsi="Verdana" w:cs="Arial"/>
          <w:b/>
          <w:bCs/>
          <w:lang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17479E" w:rsidRPr="0017479E" w14:paraId="2BD32A60" w14:textId="77777777" w:rsidTr="00E75FD1">
        <w:trPr>
          <w:trHeight w:val="229"/>
        </w:trPr>
        <w:tc>
          <w:tcPr>
            <w:tcW w:w="2268" w:type="dxa"/>
          </w:tcPr>
          <w:p w14:paraId="47162043" w14:textId="77777777" w:rsidR="0017479E" w:rsidRPr="0017479E" w:rsidRDefault="0017479E" w:rsidP="0017479E">
            <w:pPr>
              <w:jc w:val="both"/>
              <w:rPr>
                <w:rFonts w:ascii="Verdana" w:eastAsia="Calibri" w:hAnsi="Verdana" w:cs="Arial"/>
                <w:b/>
                <w:bCs/>
                <w:lang w:val="es-ES_tradnl" w:eastAsia="es-ES_tradnl"/>
              </w:rPr>
            </w:pPr>
          </w:p>
        </w:tc>
        <w:tc>
          <w:tcPr>
            <w:tcW w:w="6100" w:type="dxa"/>
          </w:tcPr>
          <w:p w14:paraId="36E08F92" w14:textId="77777777" w:rsidR="0017479E" w:rsidRPr="0017479E" w:rsidRDefault="0017479E" w:rsidP="0017479E">
            <w:pPr>
              <w:jc w:val="both"/>
              <w:rPr>
                <w:rFonts w:ascii="Verdana" w:eastAsia="Calibri" w:hAnsi="Verdana" w:cs="Arial"/>
                <w:b/>
                <w:bCs/>
                <w:lang w:val="es-ES" w:eastAsia="es-ES"/>
              </w:rPr>
            </w:pPr>
            <w:r w:rsidRPr="0017479E">
              <w:rPr>
                <w:rFonts w:ascii="Verdana" w:eastAsia="Calibri" w:hAnsi="Verdana" w:cs="Arial"/>
                <w:b/>
                <w:bCs/>
                <w:lang w:val="es-ES" w:eastAsia="es-ES"/>
              </w:rPr>
              <w:t xml:space="preserve">Concepto </w:t>
            </w:r>
            <w:bookmarkStart w:id="1" w:name="OLE_LINK1"/>
            <w:r w:rsidRPr="0017479E">
              <w:rPr>
                <w:rFonts w:ascii="Verdana" w:eastAsia="Calibri" w:hAnsi="Verdana" w:cs="Arial"/>
                <w:b/>
                <w:bCs/>
                <w:lang w:val="es-ES" w:eastAsia="es-ES"/>
              </w:rPr>
              <w:t>C-1268 de 2026</w:t>
            </w:r>
            <w:bookmarkEnd w:id="1"/>
          </w:p>
          <w:p w14:paraId="5FF096B9" w14:textId="77777777" w:rsidR="0017479E" w:rsidRPr="0017479E" w:rsidRDefault="0017479E" w:rsidP="0017479E">
            <w:pPr>
              <w:jc w:val="both"/>
              <w:rPr>
                <w:rFonts w:ascii="Verdana" w:eastAsia="Calibri" w:hAnsi="Verdana" w:cs="Arial"/>
                <w:b/>
                <w:bCs/>
                <w:lang w:val="es-ES" w:eastAsia="es-ES"/>
              </w:rPr>
            </w:pPr>
          </w:p>
        </w:tc>
      </w:tr>
      <w:tr w:rsidR="0017479E" w:rsidRPr="0017479E" w14:paraId="5B5D6837" w14:textId="77777777" w:rsidTr="00E75FD1">
        <w:trPr>
          <w:trHeight w:val="884"/>
        </w:trPr>
        <w:tc>
          <w:tcPr>
            <w:tcW w:w="2268" w:type="dxa"/>
          </w:tcPr>
          <w:p w14:paraId="5F0D5F51" w14:textId="77777777" w:rsidR="0017479E" w:rsidRPr="0017479E" w:rsidRDefault="0017479E" w:rsidP="0017479E">
            <w:pPr>
              <w:jc w:val="both"/>
              <w:rPr>
                <w:rFonts w:ascii="Verdana" w:eastAsia="Calibri" w:hAnsi="Verdana" w:cs="Arial"/>
                <w:lang w:val="es-ES_tradnl" w:eastAsia="es-ES_tradnl"/>
              </w:rPr>
            </w:pPr>
            <w:r w:rsidRPr="0017479E">
              <w:rPr>
                <w:rFonts w:ascii="Verdana" w:eastAsia="Calibri" w:hAnsi="Verdana" w:cs="Arial"/>
                <w:b/>
                <w:lang w:val="es-ES_tradnl" w:eastAsia="es-ES_tradnl"/>
              </w:rPr>
              <w:t>Temas:</w:t>
            </w:r>
            <w:r w:rsidRPr="0017479E">
              <w:rPr>
                <w:rFonts w:ascii="Verdana" w:eastAsia="Calibri" w:hAnsi="Verdana" w:cs="Arial"/>
                <w:lang w:val="es-ES_tradnl" w:eastAsia="es-ES_tradnl"/>
              </w:rPr>
              <w:t xml:space="preserve">                   </w:t>
            </w:r>
          </w:p>
        </w:tc>
        <w:tc>
          <w:tcPr>
            <w:tcW w:w="6100" w:type="dxa"/>
          </w:tcPr>
          <w:p w14:paraId="1F0E9A58" w14:textId="77777777" w:rsidR="0017479E" w:rsidRPr="0017479E" w:rsidRDefault="0017479E" w:rsidP="0017479E">
            <w:pPr>
              <w:widowControl w:val="0"/>
              <w:autoSpaceDE w:val="0"/>
              <w:autoSpaceDN w:val="0"/>
              <w:jc w:val="both"/>
              <w:rPr>
                <w:rFonts w:ascii="Verdana" w:eastAsia="Calibri" w:hAnsi="Verdana" w:cs="Times New Roman"/>
                <w:lang w:val="es-ES" w:eastAsia="es-MX"/>
              </w:rPr>
            </w:pPr>
            <w:r w:rsidRPr="0017479E">
              <w:rPr>
                <w:rFonts w:ascii="Verdana" w:eastAsia="Calibri" w:hAnsi="Verdana" w:cs="Arial"/>
                <w:lang w:val="es-ES_tradnl" w:eastAsia="es-MX"/>
              </w:rPr>
              <w:t xml:space="preserve">DOCUMENTOS TIPO – Fundamento normativo – Obligatoriedad </w:t>
            </w:r>
            <w:r w:rsidRPr="0017479E">
              <w:rPr>
                <w:rFonts w:ascii="Verdana" w:eastAsia="Aptos" w:hAnsi="Verdana" w:cs="Times New Roman"/>
              </w:rPr>
              <w:t xml:space="preserve">/ </w:t>
            </w:r>
            <w:r w:rsidRPr="0017479E">
              <w:rPr>
                <w:rFonts w:ascii="Verdana" w:eastAsia="Calibri" w:hAnsi="Verdana" w:cs="Arial"/>
                <w:lang w:val="es-ES_tradnl" w:eastAsia="es-MX"/>
              </w:rPr>
              <w:t>SECTOR SOCIAL</w:t>
            </w:r>
            <w:r w:rsidRPr="0017479E">
              <w:rPr>
                <w:rFonts w:ascii="Verdana" w:eastAsia="Calibri" w:hAnsi="Verdana" w:cs="Times New Roman"/>
                <w:lang w:val="es-ES" w:eastAsia="es-MX"/>
              </w:rPr>
              <w:t xml:space="preserve"> – Documentos tipo – Vigentes / DOCUMENTOS TIPO – Aplicación – Matriz de Experiencia / SECTOR INSTITUCIONAL – Infraestructura social – Tipos de obras Documentos tipo – Resoluciones / SECTOR INSTITUCIONAL – Documentos tipo – Licitación Pública – Matriz 1 – Experiencia – Actividad 1.2 – Experiencia general – Edificaciones</w:t>
            </w:r>
          </w:p>
          <w:p w14:paraId="0E43D55F" w14:textId="77777777" w:rsidR="0017479E" w:rsidRPr="0017479E" w:rsidRDefault="0017479E" w:rsidP="0017479E">
            <w:pPr>
              <w:jc w:val="both"/>
              <w:rPr>
                <w:rFonts w:ascii="Verdana" w:eastAsia="Calibri" w:hAnsi="Verdana" w:cs="Arial"/>
                <w:bCs/>
                <w:lang w:val="es-ES_tradnl" w:eastAsia="es-ES"/>
              </w:rPr>
            </w:pPr>
          </w:p>
        </w:tc>
      </w:tr>
      <w:tr w:rsidR="0017479E" w:rsidRPr="0017479E" w14:paraId="21359767" w14:textId="77777777" w:rsidTr="00E75FD1">
        <w:tc>
          <w:tcPr>
            <w:tcW w:w="2268" w:type="dxa"/>
          </w:tcPr>
          <w:p w14:paraId="2973E37E" w14:textId="77777777" w:rsidR="0017479E" w:rsidRPr="0017479E" w:rsidRDefault="0017479E" w:rsidP="0017479E">
            <w:pPr>
              <w:jc w:val="both"/>
              <w:rPr>
                <w:rFonts w:ascii="Verdana" w:eastAsia="Calibri" w:hAnsi="Verdana" w:cs="Arial"/>
                <w:b/>
                <w:lang w:val="es-ES_tradnl" w:eastAsia="es-ES_tradnl"/>
              </w:rPr>
            </w:pPr>
            <w:r w:rsidRPr="0017479E">
              <w:rPr>
                <w:rFonts w:ascii="Verdana" w:eastAsia="Calibri" w:hAnsi="Verdana" w:cs="Arial"/>
                <w:b/>
                <w:lang w:val="es-ES_tradnl" w:eastAsia="es-ES_tradnl"/>
              </w:rPr>
              <w:t>Radicación:</w:t>
            </w:r>
            <w:r w:rsidRPr="0017479E">
              <w:rPr>
                <w:rFonts w:ascii="Verdana" w:eastAsia="Calibri" w:hAnsi="Verdana" w:cs="Arial"/>
                <w:lang w:val="es-ES_tradnl" w:eastAsia="es-ES_tradnl"/>
              </w:rPr>
              <w:t xml:space="preserve">               </w:t>
            </w:r>
          </w:p>
        </w:tc>
        <w:tc>
          <w:tcPr>
            <w:tcW w:w="6100" w:type="dxa"/>
          </w:tcPr>
          <w:p w14:paraId="5DEB269F" w14:textId="77777777" w:rsidR="0017479E" w:rsidRPr="0017479E" w:rsidRDefault="0017479E" w:rsidP="0017479E">
            <w:pPr>
              <w:ind w:left="3" w:hanging="3"/>
              <w:jc w:val="both"/>
              <w:rPr>
                <w:rFonts w:ascii="Verdana" w:eastAsia="Calibri" w:hAnsi="Verdana" w:cs="Arial"/>
                <w:lang w:val="es-ES_tradnl" w:eastAsia="es-ES_tradnl"/>
              </w:rPr>
            </w:pPr>
            <w:r w:rsidRPr="0017479E">
              <w:rPr>
                <w:rFonts w:ascii="Verdana" w:eastAsia="Calibri" w:hAnsi="Verdana" w:cs="Arial"/>
                <w:lang w:val="es-ES_tradnl" w:eastAsia="es-ES_tradnl"/>
              </w:rPr>
              <w:t>Respuesta a consulta con radicado No. 1_2026_08_12_010655</w:t>
            </w:r>
          </w:p>
        </w:tc>
      </w:tr>
    </w:tbl>
    <w:p w14:paraId="1FFE04A4" w14:textId="77777777" w:rsidR="0017479E" w:rsidRPr="0017479E" w:rsidRDefault="0017479E" w:rsidP="0017479E">
      <w:pPr>
        <w:spacing w:after="0" w:line="240" w:lineRule="auto"/>
        <w:jc w:val="both"/>
        <w:rPr>
          <w:rFonts w:ascii="Verdana" w:eastAsia="Calibri" w:hAnsi="Verdana" w:cs="Arial"/>
          <w:lang w:val="es-ES_tradnl" w:eastAsia="es-ES_tradnl"/>
        </w:rPr>
      </w:pPr>
    </w:p>
    <w:p w14:paraId="6F04C039" w14:textId="77777777" w:rsidR="0017479E" w:rsidRPr="0017479E" w:rsidRDefault="0017479E" w:rsidP="0017479E">
      <w:pPr>
        <w:spacing w:after="0" w:line="276" w:lineRule="auto"/>
        <w:jc w:val="both"/>
        <w:rPr>
          <w:rFonts w:ascii="Verdana" w:eastAsia="Calibri" w:hAnsi="Verdana" w:cs="Arial"/>
          <w:lang w:val="es-ES" w:eastAsia="es-ES"/>
        </w:rPr>
      </w:pPr>
      <w:r w:rsidRPr="0017479E">
        <w:rPr>
          <w:rFonts w:ascii="Verdana" w:eastAsia="Calibri" w:hAnsi="Verdana" w:cs="Arial"/>
          <w:lang w:val="es-ES" w:eastAsia="es-ES"/>
        </w:rPr>
        <w:t xml:space="preserve">Estimado señor Barreto Rivera: </w:t>
      </w:r>
    </w:p>
    <w:p w14:paraId="244F30D6" w14:textId="77777777" w:rsidR="0017479E" w:rsidRPr="0017479E" w:rsidRDefault="0017479E" w:rsidP="0017479E">
      <w:pPr>
        <w:tabs>
          <w:tab w:val="left" w:pos="3768"/>
        </w:tabs>
        <w:spacing w:after="0" w:line="276" w:lineRule="auto"/>
        <w:jc w:val="both"/>
        <w:rPr>
          <w:rFonts w:ascii="Verdana" w:eastAsia="Calibri" w:hAnsi="Verdana" w:cs="Arial"/>
          <w:lang w:val="es-ES" w:eastAsia="es-ES"/>
        </w:rPr>
      </w:pPr>
      <w:r w:rsidRPr="0017479E">
        <w:rPr>
          <w:rFonts w:ascii="Verdana" w:eastAsia="Calibri" w:hAnsi="Verdana" w:cs="Arial"/>
          <w:lang w:val="es-ES" w:eastAsia="es-ES"/>
        </w:rPr>
        <w:tab/>
      </w:r>
    </w:p>
    <w:p w14:paraId="0D114B66" w14:textId="77777777" w:rsidR="0017479E" w:rsidRPr="0017479E" w:rsidRDefault="0017479E" w:rsidP="0017479E">
      <w:pPr>
        <w:spacing w:after="0" w:line="276" w:lineRule="auto"/>
        <w:jc w:val="both"/>
        <w:rPr>
          <w:rFonts w:ascii="Verdana" w:eastAsia="Calibri" w:hAnsi="Verdana" w:cs="Arial"/>
          <w:lang w:val="es-ES" w:eastAsia="es-ES"/>
        </w:rPr>
      </w:pPr>
      <w:r w:rsidRPr="0017479E">
        <w:rPr>
          <w:rFonts w:ascii="Verdana" w:eastAsia="Calibri" w:hAnsi="Verdana" w:cs="Arial"/>
          <w:lang w:val="es-ES" w:eastAsia="es-ES"/>
        </w:rPr>
        <w:t>En ejercicio de la competencia otorgada por los artículos 3, numeral 5º, y 11, numeral 8º, del Decreto Ley 4170 de 2011,</w:t>
      </w:r>
      <w:r w:rsidRPr="0017479E">
        <w:rPr>
          <w:rFonts w:ascii="Verdana" w:eastAsia="Arial MT" w:hAnsi="Verdana" w:cs="Arial MT"/>
          <w:lang w:val="es-ES" w:eastAsia="es-ES"/>
        </w:rPr>
        <w:t xml:space="preserve"> </w:t>
      </w:r>
      <w:r w:rsidRPr="0017479E">
        <w:rPr>
          <w:rFonts w:ascii="Verdana" w:eastAsia="Calibri" w:hAnsi="Verdana" w:cs="Arial"/>
          <w:lang w:eastAsia="es-MX"/>
        </w:rPr>
        <w:t xml:space="preserve">así como lo establecido por la </w:t>
      </w:r>
      <w:r w:rsidRPr="0017479E">
        <w:rPr>
          <w:rFonts w:ascii="Verdana" w:eastAsia="Aptos" w:hAnsi="Verdana" w:cs="Arial"/>
          <w:bCs/>
          <w:lang w:eastAsia="es-ES" w:bidi="es-ES"/>
        </w:rPr>
        <w:t>Resolución 469 de 2025 expedida por esta Entidad</w:t>
      </w:r>
      <w:r w:rsidRPr="0017479E">
        <w:rPr>
          <w:rFonts w:ascii="Verdana" w:eastAsia="Calibri" w:hAnsi="Verdana" w:cs="Arial"/>
          <w:lang w:eastAsia="es-MX"/>
        </w:rPr>
        <w:t xml:space="preserve">, </w:t>
      </w:r>
      <w:r w:rsidRPr="0017479E">
        <w:rPr>
          <w:rFonts w:ascii="Verdana" w:eastAsia="Calibri" w:hAnsi="Verdana" w:cs="Arial"/>
          <w:lang w:val="es-ES" w:eastAsia="es-ES"/>
        </w:rPr>
        <w:t xml:space="preserve">la Agencia Nacional de Contratación Pública – Colombia Compra Eficiente responde su solicitud de consulta del 12 de agosto de 2026, en la cual manifiesta lo siguiente: </w:t>
      </w:r>
    </w:p>
    <w:p w14:paraId="6B8650BC" w14:textId="77777777" w:rsidR="0017479E" w:rsidRPr="0017479E" w:rsidRDefault="0017479E" w:rsidP="0017479E">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1AD41D7B"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Century Gothic" w:hAnsi="Verdana" w:cs="Arial"/>
          <w:sz w:val="20"/>
          <w:szCs w:val="20"/>
          <w:lang w:val="es-ES" w:eastAsia="es-MX"/>
        </w:rPr>
        <w:t>“</w:t>
      </w:r>
      <w:r w:rsidRPr="0017479E">
        <w:rPr>
          <w:rFonts w:ascii="Verdana" w:eastAsia="Aptos" w:hAnsi="Verdana" w:cs="Times New Roman"/>
          <w:kern w:val="2"/>
          <w:sz w:val="20"/>
          <w:szCs w:val="20"/>
          <w14:ligatures w14:val="standardContextual"/>
        </w:rPr>
        <w:t xml:space="preserve">La Unidad Administrativa Especial Cuerpo Oficial de Bomberos de Bogotá D.C. adelanta el proceso UAECOB-LP-004-2026, cuyo objeto corresponde a realizar mantenimiento predictivo, preventivo, correctivo y mejoras a las instalaciones de sus dependencias. El Pliego Definitivo establece que los proponentes pueden acreditar experiencia proveniente de contratos celebrados tanto con particulares como con entidades. Para efectos de aplicar la Matriz 1, la UAECOB identificó como ACTIVIDAD A CONTRATAR la actividad 1.2: </w:t>
      </w:r>
    </w:p>
    <w:p w14:paraId="567BC1C9"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lastRenderedPageBreak/>
        <w:t xml:space="preserve">“PROYECTOS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SEGURIDAD PÚBLICA”. </w:t>
      </w:r>
    </w:p>
    <w:p w14:paraId="64C62E82"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Sin embargo, para esa misma actividad, la condición denominada EXPERIENCIA GENERAL fue establecida separadamente en los siguientes términos: “PROYECTOS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EDIFICACIONES”</w:t>
      </w:r>
    </w:p>
    <w:p w14:paraId="21F3200C"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Así consta expresamente en el numeral 3.5.1 del Pliego Definitivo. De la lectura de ambos campos advertimos una diferencia expresa: </w:t>
      </w:r>
    </w:p>
    <w:p w14:paraId="072138A4"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ACTIVIDAD A CONTRATAR </w:t>
      </w:r>
    </w:p>
    <w:p w14:paraId="20869B9C"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Actividades de adecuación, mantenimiento, mejoramiento, remodelación, reparación, etc., de INFRAESTRUCTURA DE SEGURIDAD PÚBLICA. </w:t>
      </w:r>
    </w:p>
    <w:p w14:paraId="670C73B4"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EXPERIENCIA GENERAL Proyectos que correspondan o contemplen las actividades expresamente señaladas de EDIFICACIONES. </w:t>
      </w:r>
    </w:p>
    <w:p w14:paraId="63BFBDE5"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En la segunda condición no aparece la expresión: “EDIFICACIONES DE SEGURIDAD PÚBLICA”</w:t>
      </w:r>
    </w:p>
    <w:p w14:paraId="4DE4DD8C"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3. Experiencia específica </w:t>
      </w:r>
    </w:p>
    <w:p w14:paraId="60141827"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La Matriz y el Pliego también establecen separadamente una condición denominada EXPERIENCIA ESPECÍFICA, consistente en que la sumatoria de dos contratos válidos aportados como experiencia general contemple un área intervenida o construida igual o superior al 70 % del área del proceso, correspondiente en este caso a 9.270,14 m². La UAECOB confirmó expresamente que el área total corresponde a 13.243,06 m² y que 9.270,14 m² constituye el 70 % que debe acreditarse mediante los contratos señalados. </w:t>
      </w:r>
    </w:p>
    <w:p w14:paraId="7DEF7744"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Así, a nuestro entender, la estructura del Documento Tipo diferencia claramente: ACTIVIDAD A CONTRATAR </w:t>
      </w:r>
      <w:r w:rsidRPr="0017479E">
        <w:rPr>
          <w:rFonts w:ascii="Arial" w:eastAsia="Aptos" w:hAnsi="Arial" w:cs="Arial"/>
          <w:kern w:val="2"/>
          <w:sz w:val="20"/>
          <w:szCs w:val="20"/>
          <w14:ligatures w14:val="standardContextual"/>
        </w:rPr>
        <w:t>→</w:t>
      </w:r>
      <w:r w:rsidRPr="0017479E">
        <w:rPr>
          <w:rFonts w:ascii="Verdana" w:eastAsia="Aptos" w:hAnsi="Verdana" w:cs="Times New Roman"/>
          <w:kern w:val="2"/>
          <w:sz w:val="20"/>
          <w:szCs w:val="20"/>
          <w14:ligatures w14:val="standardContextual"/>
        </w:rPr>
        <w:t xml:space="preserve"> EXPERIENCIA GENERAL </w:t>
      </w:r>
      <w:r w:rsidRPr="0017479E">
        <w:rPr>
          <w:rFonts w:ascii="Arial" w:eastAsia="Aptos" w:hAnsi="Arial" w:cs="Arial"/>
          <w:kern w:val="2"/>
          <w:sz w:val="20"/>
          <w:szCs w:val="20"/>
          <w14:ligatures w14:val="standardContextual"/>
        </w:rPr>
        <w:t>→</w:t>
      </w:r>
      <w:r w:rsidRPr="0017479E">
        <w:rPr>
          <w:rFonts w:ascii="Verdana" w:eastAsia="Aptos" w:hAnsi="Verdana" w:cs="Times New Roman"/>
          <w:kern w:val="2"/>
          <w:sz w:val="20"/>
          <w:szCs w:val="20"/>
          <w14:ligatures w14:val="standardContextual"/>
        </w:rPr>
        <w:t xml:space="preserve"> EXPERIENCIA ESPECÍFICA. </w:t>
      </w:r>
    </w:p>
    <w:p w14:paraId="66BF6981"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 xml:space="preserve">La consulta que se formula a Colombia Compra Eficiente consiste precisamente en establecer si esas categorías deben conservar su alcance autónomo conforme a lo escrito en la Matriz o si la denominación de la </w:t>
      </w:r>
      <w:r w:rsidRPr="0017479E">
        <w:rPr>
          <w:rFonts w:ascii="Verdana" w:eastAsia="Aptos" w:hAnsi="Verdana" w:cs="Times New Roman"/>
          <w:kern w:val="2"/>
          <w:sz w:val="20"/>
          <w:szCs w:val="20"/>
          <w14:ligatures w14:val="standardContextual"/>
        </w:rPr>
        <w:lastRenderedPageBreak/>
        <w:t>actividad a contratar puede utilizarse para adicionar una limitación no escrita dentro de la experiencia general.</w:t>
      </w:r>
    </w:p>
    <w:p w14:paraId="583F792A"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2 POSICIÓN ADOPTADA POR LA UAECOB </w:t>
      </w:r>
    </w:p>
    <w:p w14:paraId="16183167"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Durante la etapa de observaciones al Proyecto de Pliego, distintos interesados preguntaron a la UAECOB si la experiencia general podía acreditarse mediante edificaciones de vivienda, comerciales, educativas, de salud u otras tipologías.</w:t>
      </w:r>
    </w:p>
    <w:p w14:paraId="392BFA89"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La UAECOB respondió negativamente. </w:t>
      </w:r>
    </w:p>
    <w:p w14:paraId="6737237F"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En particular, ante la pregunta expresa de si podían considerarse adecuaciones realizadas en edificaciones tipo vivienda o comercial, la Entidad manifestó que dichas edificaciones no se encuentran comprendidas en la experiencia exigida, sustentando su posición en el numeral 2.110 del Anexo 5 – Glosario, correspondiente al Grupo de Ocupación Institucional de Seguridad Pública. </w:t>
      </w:r>
    </w:p>
    <w:p w14:paraId="4959B526"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Posteriormente concluyó que las edificaciones comerciales o de vivienda particular no son susceptibles de consideración y sostuvo que la experiencia debe corresponder a proyectos ejecutados sobre infraestructura de seguridad pública. </w:t>
      </w:r>
    </w:p>
    <w:p w14:paraId="11874FDE"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La discusión fue nuevamente planteada de manera directa por otro interesado, quien preguntó si la expresión “EDIFICACIONES” utilizada por la experiencia general permitía acreditar experiencia en vivienda, infraestructura institucional, educativa, de salud, entre otras. </w:t>
      </w:r>
    </w:p>
    <w:p w14:paraId="0F0FC20E"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Frente a este interrogante, la UAECOB ratificó su interpretación y señaló que la experiencia debía corresponder a proyectos ejecutados en infraestructura de seguridad pública y que no procedería acreditar contratos ejecutados en vivienda, edificaciones comerciales, educativas o de salud, salvo que tales inmuebles pudieran clasificarse dentro del grupo de ocupación de seguridad pública.</w:t>
      </w:r>
    </w:p>
    <w:p w14:paraId="6A9454B9"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3 ASPECTO QUE GENERA LA DUDA INTERPRETATIVA </w:t>
      </w:r>
    </w:p>
    <w:p w14:paraId="57831B8A"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La diferencia puede resumirse de la siguiente manera: </w:t>
      </w:r>
    </w:p>
    <w:p w14:paraId="5BC47145"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TEXTO DE LA EXPERIENCIA GENERAL EN LA MATRIZ / DOCUMENTO TIPO ACTIVIDADES [...] DE EDIFICACIONES. </w:t>
      </w:r>
    </w:p>
    <w:p w14:paraId="1A3A52BD"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ALCANCE QUE LE ESTÁ OTORGANDO LA UAECOB ACTIVIDADES [...] DE EDIFICACIONES DE SEGURIDAD PÚBLICA. </w:t>
      </w:r>
    </w:p>
    <w:p w14:paraId="4A84DB00"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Consideramos que existe una duda jurídica objetiva respecto de si la segunda expresión puede obtenerse mediante interpretación de la primera, particularmente porque la propia Matriz establece que las entidades estatales no pueden incluir, modificar, suprimir o alterar las condiciones de experiencia, salvo autorización expresa. </w:t>
      </w:r>
    </w:p>
    <w:p w14:paraId="65D26DA2"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lastRenderedPageBreak/>
        <w:t xml:space="preserve">La duda resulta aún más relevante porque la UAECOB, dentro del propio documento de respuestas, reconoce expresamente que las condiciones habilitantes de experiencia previstas en los Documentos Tipo son inmodificables y que la Entidad no puede introducir exigencias adicionales o restricciones no contempladas en aquellos. </w:t>
      </w:r>
    </w:p>
    <w:p w14:paraId="54C4C980"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No obstante, en apartados posteriores del mismo documento, la UAECOB interpreta que la experiencia general debe provenir exclusivamente de infraestructura de seguridad pública.</w:t>
      </w:r>
    </w:p>
    <w:p w14:paraId="1C7311B0"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Precisamente por esta diferencia interpretativa acudimos a la autoridad que diseñó, adoptó y publicó la Matriz 1, con el propósito de conocer cuál es su alcance correcto.</w:t>
      </w:r>
    </w:p>
    <w:p w14:paraId="057A4CC8"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4 DIFERENCIA ENTRE “ACTIVIDAD A CONTRATAR” Y “EXPERIENCIA GENERAL” </w:t>
      </w:r>
    </w:p>
    <w:p w14:paraId="3FE03ED7"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A nuestro entender, la expresión “infraestructura de seguridad pública” cumple inicialmente una función de clasificación: permite identificar dentro de la Matriz cuál es la actividad a contratar que corresponde al objeto y necesidad de la entidad estatal. </w:t>
      </w:r>
    </w:p>
    <w:p w14:paraId="18D7A210"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Una vez identificada dicha actividad, la Matriz determina de manera expresa cuáles son las condiciones de experiencia general y experiencia específica que corresponden a esa actividad. Por ello, entendemos que: ACTIVIDAD A CONTRATAR: permite identificar cuál fila o supuesto de la Matriz resulta aplicable. </w:t>
      </w:r>
    </w:p>
    <w:p w14:paraId="2370FF21"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EXPERIENCIA GENERAL: determina cuáles proyectos, actividades o alcances deben acreditar los contratos presentados por el proponente. </w:t>
      </w:r>
    </w:p>
    <w:p w14:paraId="40F85B1F"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EXPERIENCIA ESPECÍFICA: incorpora las condiciones adicionales de magnitud, área, porcentaje, longitud, cantidades u otras variables que la propia Matriz expresamente establece. Si esta interpretación es correcta, la expresión “infraestructura de seguridad pública” contenida en la denominación de la actividad 1.2 no podría adicionarse automáticamente a la experiencia general cuando esta última utiliza expresamente el término “EDIFICACIONES” sin restringirlo a un grupo de ocupación determinado. </w:t>
      </w:r>
    </w:p>
    <w:p w14:paraId="12CC8EB4"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En caso contrario, solicitamos respetuosamente que Colombia Compra Eficiente indique cuál regla, instrucción, nota o disposición de la Matriz produce jurídicamente ese efecto, teniendo en cuenta la prohibición expresa de alterar sus condiciones.</w:t>
      </w:r>
    </w:p>
    <w:p w14:paraId="4C8B4C15"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Times New Roman" w:hAnsi="Verdana" w:cs="Times New Roman"/>
          <w:sz w:val="20"/>
          <w:szCs w:val="20"/>
          <w:lang w:eastAsia="es-MX"/>
        </w:rPr>
        <w:t>(…)</w:t>
      </w:r>
    </w:p>
    <w:p w14:paraId="16F2A06B"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7 CONSULTAS CONCRETAS </w:t>
      </w:r>
    </w:p>
    <w:p w14:paraId="7500D3BA"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Con fundamento en los antecedentes expuestos, respetuosamente solicitamos a la Agencia Nacional de Contratación Pública – Colombia </w:t>
      </w:r>
      <w:r w:rsidRPr="0017479E">
        <w:rPr>
          <w:rFonts w:ascii="Verdana" w:eastAsia="Aptos" w:hAnsi="Verdana" w:cs="Times New Roman"/>
          <w:kern w:val="2"/>
          <w:sz w:val="20"/>
          <w:szCs w:val="20"/>
          <w14:ligatures w14:val="standardContextual"/>
        </w:rPr>
        <w:lastRenderedPageBreak/>
        <w:t xml:space="preserve">Compra Eficiente emitir concepto jurídico, de manera expresa, clara y separada, respecto de los siguientes interrogantes: </w:t>
      </w:r>
    </w:p>
    <w:p w14:paraId="3BC782E0"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PRIMERO. En la Matriz 1 – Experiencia Infraestructura Institucional, cuando una Entidad Estatal identifica como ACTIVIDAD A CONTRATAR la actividad 1.2 correspondiente a proyectos de adecuación, mantenimiento, mejoramiento, remodelación, reparación, etc., de infraestructura de seguridad pública, ¿la experiencia general debe aplicarse exactamente conforme al texto establecido en la celda correspondiente de la Matriz, esto es, respecto de las actividades allí previstas ejecutadas sobre “EDIFICACIONES”?</w:t>
      </w:r>
    </w:p>
    <w:p w14:paraId="6FF4B266"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SEGUNDO. ¿La expresión “INFRAESTRUCTURA DE SEGURIDAD PÚBLICA” contenida en la denominación de la ACTIVIDAD A CONTRATAR puede trasladarse, incorporarse o entenderse implícitamente incluida dentro de la condición autónoma de EXPERIENCIA GENERAL, de forma que la expresión “EDIFICACIONES” pase a entenderse como “EDIFICACIONES DE SEGURIDAD PÚBLICA”?</w:t>
      </w:r>
    </w:p>
    <w:p w14:paraId="196CE9E5"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TERCERO. En caso afirmativo, solicitamos identificar expresamente la celda, nota, regla, instrucción o disposición de la Matriz 1 que autoriza o genera dicho efecto interpretativo.</w:t>
      </w:r>
    </w:p>
    <w:p w14:paraId="0255ACD1"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CUARTO. Teniendo en cuenta que la Matriz dispone que las Entidades Estatales “no podrán incluir, modificar, suprimir y/o alterar las condiciones de experiencia establecidas en esta Matriz, salvo cuando de forma expresa esta lo determine”, ¿puede una entidad contratante, mediante interpretación del pliego o mediante respuesta a observaciones, restringir el término “EDIFICACIONES” a un único grupo de ocupación cuando esa restricción no aparece expresamente en la celda de experiencia general?</w:t>
      </w:r>
    </w:p>
    <w:p w14:paraId="2BD3915D"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QUINTO. ¿La definición del Grupo de Ocupación Institucional de Seguridad Pública contenida en el numeral 2.110 del Anexo 5 – Glosario tiene como finalidad identificar y clasificar el tipo de infraestructura y, consecuentemente, la actividad de la Matriz aplicable al proceso, o tiene además el efecto jurídico de modificar o restringir la experiencia general expresamente establecida en la Matriz?</w:t>
      </w:r>
    </w:p>
    <w:p w14:paraId="6E7C628B"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SEXTO. Si Colombia Compra Eficiente considera que el Glosario sí produce dicho efecto restrictivo, solicitamos explicar cuál disposición de los Documentos Tipo establece la relación normativa mediante la cual la definición del Glosario adiciona una condición de grupo de ocupación a la experiencia general. </w:t>
      </w:r>
    </w:p>
    <w:p w14:paraId="34DD6376"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 xml:space="preserve">SÉPTIMO. Para la actividad 1.2 objeto de esta consulta, ¿resultan susceptibles de acreditarse como experiencia general contratos ejecutados en edificaciones de vivienda, comerciales, educativas, de salud, institucionales u otros usos, siempre que dichos contratos acrediten las </w:t>
      </w:r>
      <w:r w:rsidRPr="0017479E">
        <w:rPr>
          <w:rFonts w:ascii="Verdana" w:eastAsia="Aptos" w:hAnsi="Verdana" w:cs="Times New Roman"/>
          <w:kern w:val="2"/>
          <w:sz w:val="20"/>
          <w:szCs w:val="20"/>
          <w14:ligatures w14:val="standardContextual"/>
        </w:rPr>
        <w:lastRenderedPageBreak/>
        <w:t>actividades expresamente previstas en la celda de experiencia general y cumplan las restantes condiciones de los Documentos Tipo?</w:t>
      </w:r>
    </w:p>
    <w:p w14:paraId="2C3D6E2D"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OCTAVO. ¿Debe diferenciarse jurídicamente entre: a) la actividad a contratar, mediante la cual se selecciona el supuesto aplicable de la Matriz; b) la experiencia general, mediante la cual se establecen las actividades y proyectos que pueden acreditar los contratos; y c) la experiencia específica, mediante la cual se fijan los requisitos adicionales de dimensionamiento o características particulares?</w:t>
      </w:r>
    </w:p>
    <w:p w14:paraId="4BB872B0"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NOVENO. ¿Resulta conforme con la Matriz 1 que una Entidad Estatal utilice elementos contenidos exclusivamente en la denominación de la actividad a contratar para restringir la experiencia general, aun cuando esos mismos elementos no fueron incluidos expresamente por Colombia Compra Eficiente en la celda de experiencia general?</w:t>
      </w:r>
    </w:p>
    <w:p w14:paraId="7E14A892"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DÉCIMO. ¿El criterio interpretativo desarrollado por Colombia Compra Eficiente en el Concepto C-1135 del 30 de julio de 2026, según el cual la experiencia general no puede entenderse limitada a un determinado tipo de infraestructura cuando la respectiva celda de la Matriz no incorpora expresamente dicha limitación, resulta aplicable como criterio de interpretación de la Matriz 1 – Experiencia Infraestructura Institucional?</w:t>
      </w:r>
    </w:p>
    <w:p w14:paraId="7993D2AF" w14:textId="77777777" w:rsidR="0017479E" w:rsidRPr="0017479E" w:rsidRDefault="0017479E" w:rsidP="0017479E">
      <w:pPr>
        <w:spacing w:after="120" w:line="240" w:lineRule="auto"/>
        <w:ind w:left="709" w:right="709"/>
        <w:jc w:val="both"/>
        <w:rPr>
          <w:rFonts w:ascii="Verdana" w:eastAsia="Aptos" w:hAnsi="Verdana" w:cs="Times New Roman"/>
          <w:kern w:val="2"/>
          <w:sz w:val="20"/>
          <w:szCs w:val="20"/>
          <w14:ligatures w14:val="standardContextual"/>
        </w:rPr>
      </w:pPr>
      <w:r w:rsidRPr="0017479E">
        <w:rPr>
          <w:rFonts w:ascii="Verdana" w:eastAsia="Aptos" w:hAnsi="Verdana" w:cs="Times New Roman"/>
          <w:kern w:val="2"/>
          <w:sz w:val="20"/>
          <w:szCs w:val="20"/>
          <w14:ligatures w14:val="standardContextual"/>
        </w:rPr>
        <w:t>DÉCIMO PRIMERO. En caso de que la respuesta a la consulta sea que la experiencia general de la actividad 1.2 sí debe corresponder exclusivamente a edificaciones de seguridad pública, solicitamos indicar de manera expresa en qué disposición de los Documentos Tipo se encuentra establecida dicha condición, teniendo en cuenta que el texto de la experiencia general utiliza la expresión “EDIFICACIONES”.</w:t>
      </w:r>
    </w:p>
    <w:p w14:paraId="37068820" w14:textId="77777777" w:rsidR="0017479E" w:rsidRPr="0017479E" w:rsidRDefault="0017479E" w:rsidP="0017479E">
      <w:pPr>
        <w:spacing w:after="120" w:line="240" w:lineRule="auto"/>
        <w:ind w:left="709" w:right="709"/>
        <w:jc w:val="both"/>
        <w:rPr>
          <w:rFonts w:ascii="Verdana" w:eastAsia="Times New Roman" w:hAnsi="Verdana" w:cs="Times New Roman"/>
          <w:sz w:val="20"/>
          <w:szCs w:val="20"/>
          <w:lang w:eastAsia="es-MX"/>
        </w:rPr>
      </w:pPr>
      <w:r w:rsidRPr="0017479E">
        <w:rPr>
          <w:rFonts w:ascii="Verdana" w:eastAsia="Aptos" w:hAnsi="Verdana" w:cs="Times New Roman"/>
          <w:kern w:val="2"/>
          <w:sz w:val="20"/>
          <w:szCs w:val="20"/>
          <w14:ligatures w14:val="standardContextual"/>
        </w:rPr>
        <w:t>DÉCIMO SEGUNDO. Finalmente, solicitamos precisar cuál debe ser la interpretación correcta que las entidades estatales sometidas a los Documentos Tipo deben aplicar cuando exista una diferencia entre la denominación de la actividad a contratar y el contenido literal de la experiencia general asignada a esa actividad por la Matriz 1.</w:t>
      </w:r>
      <w:r w:rsidRPr="0017479E">
        <w:rPr>
          <w:rFonts w:ascii="Verdana" w:eastAsia="Times New Roman" w:hAnsi="Verdana" w:cs="Times New Roman"/>
          <w:sz w:val="20"/>
          <w:szCs w:val="20"/>
          <w:lang w:eastAsia="es-MX"/>
        </w:rPr>
        <w:t xml:space="preserve">”. </w:t>
      </w:r>
    </w:p>
    <w:p w14:paraId="10A0F38B" w14:textId="77777777" w:rsidR="0017479E" w:rsidRPr="0017479E" w:rsidRDefault="0017479E" w:rsidP="0017479E">
      <w:pPr>
        <w:spacing w:after="0" w:line="240" w:lineRule="auto"/>
        <w:ind w:left="709" w:right="709"/>
        <w:jc w:val="both"/>
        <w:rPr>
          <w:rFonts w:ascii="Arial" w:eastAsia="Aptos" w:hAnsi="Arial" w:cs="Arial"/>
          <w:sz w:val="21"/>
          <w:szCs w:val="21"/>
          <w:lang w:eastAsia="es-MX"/>
        </w:rPr>
      </w:pPr>
    </w:p>
    <w:p w14:paraId="09ABCCA7" w14:textId="77777777" w:rsidR="0017479E" w:rsidRPr="0017479E" w:rsidRDefault="0017479E" w:rsidP="0017479E">
      <w:pPr>
        <w:spacing w:after="120" w:line="276" w:lineRule="auto"/>
        <w:ind w:firstLine="709"/>
        <w:jc w:val="both"/>
        <w:rPr>
          <w:rFonts w:ascii="Verdana" w:eastAsia="Calibri" w:hAnsi="Verdana" w:cs="Arial"/>
          <w:color w:val="000000"/>
          <w:lang w:val="es-ES" w:eastAsia="es-ES"/>
        </w:rPr>
      </w:pPr>
      <w:r w:rsidRPr="0017479E">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w:t>
      </w:r>
      <w:r w:rsidRPr="0017479E">
        <w:rPr>
          <w:rFonts w:ascii="Verdana" w:eastAsia="Calibri" w:hAnsi="Verdana" w:cs="Arial"/>
          <w:color w:val="000000"/>
          <w:lang w:val="es-ES" w:eastAsia="es-ES"/>
        </w:rPr>
        <w:lastRenderedPageBreak/>
        <w:t xml:space="preserve">los demás participantes de la contratación pública. Esta competencia de interpretación de normas generales, por definición, no puede extenderse a la resolución de controversias ni a brindar asesorías sobre casos puntuales. </w:t>
      </w:r>
      <w:r w:rsidRPr="0017479E">
        <w:rPr>
          <w:rFonts w:ascii="Verdana" w:eastAsia="Calibri" w:hAnsi="Verdana" w:cs="Arial"/>
          <w:color w:val="000000"/>
          <w:lang w:val="es-ES_tradnl" w:eastAsia="es-ES_tradnl"/>
        </w:rPr>
        <w:tab/>
      </w:r>
    </w:p>
    <w:p w14:paraId="1ED6DC24" w14:textId="77777777" w:rsidR="0017479E" w:rsidRPr="0017479E" w:rsidRDefault="0017479E" w:rsidP="0017479E">
      <w:pPr>
        <w:spacing w:after="0" w:line="276" w:lineRule="auto"/>
        <w:ind w:firstLine="709"/>
        <w:jc w:val="both"/>
        <w:rPr>
          <w:rFonts w:ascii="Verdana" w:eastAsia="Calibri" w:hAnsi="Verdana" w:cs="Arial"/>
          <w:color w:val="000000"/>
          <w:lang w:val="es-ES" w:eastAsia="es-ES"/>
        </w:rPr>
      </w:pPr>
      <w:r w:rsidRPr="0017479E">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7479E">
        <w:rPr>
          <w:rFonts w:ascii="Verdana" w:eastAsia="Calibri" w:hAnsi="Verdana" w:cs="Arial"/>
          <w:color w:val="7030A0"/>
          <w:lang w:val="es-ES" w:eastAsia="es-ES"/>
        </w:rPr>
        <w:t xml:space="preserve"> </w:t>
      </w:r>
      <w:r w:rsidRPr="0017479E">
        <w:rPr>
          <w:rFonts w:ascii="Verdana" w:eastAsia="Calibri" w:hAnsi="Verdana" w:cs="Arial"/>
          <w:color w:val="000000"/>
          <w:lang w:val="es-ES" w:eastAsia="es-ES"/>
        </w:rPr>
        <w:t>problema</w:t>
      </w:r>
      <w:r w:rsidRPr="0017479E">
        <w:rPr>
          <w:rFonts w:ascii="Verdana" w:eastAsia="Calibri" w:hAnsi="Verdana" w:cs="Arial"/>
          <w:color w:val="7030A0"/>
          <w:lang w:val="es-ES" w:eastAsia="es-ES"/>
        </w:rPr>
        <w:t xml:space="preserve"> </w:t>
      </w:r>
      <w:r w:rsidRPr="0017479E">
        <w:rPr>
          <w:rFonts w:ascii="Verdana" w:eastAsia="Calibri" w:hAnsi="Verdana" w:cs="Arial"/>
          <w:color w:val="000000"/>
          <w:lang w:val="es-ES" w:eastAsia="es-ES"/>
        </w:rPr>
        <w:t>jurídico</w:t>
      </w:r>
      <w:r w:rsidRPr="0017479E">
        <w:rPr>
          <w:rFonts w:ascii="Verdana" w:eastAsia="Calibri" w:hAnsi="Verdana" w:cs="Arial"/>
          <w:color w:val="7030A0"/>
          <w:lang w:val="es-ES" w:eastAsia="es-ES"/>
        </w:rPr>
        <w:t xml:space="preserve"> </w:t>
      </w:r>
      <w:r w:rsidRPr="0017479E">
        <w:rPr>
          <w:rFonts w:ascii="Verdana" w:eastAsia="Calibri" w:hAnsi="Verdana" w:cs="Arial"/>
          <w:color w:val="000000"/>
          <w:lang w:val="es-ES" w:eastAsia="es-ES"/>
        </w:rPr>
        <w:t xml:space="preserve">de su consulta. </w:t>
      </w:r>
    </w:p>
    <w:p w14:paraId="33C810C5" w14:textId="77777777" w:rsidR="0017479E" w:rsidRPr="0017479E" w:rsidRDefault="0017479E" w:rsidP="0017479E">
      <w:pPr>
        <w:spacing w:after="0" w:line="276" w:lineRule="auto"/>
        <w:jc w:val="both"/>
        <w:rPr>
          <w:rFonts w:ascii="Verdana" w:eastAsia="Calibri" w:hAnsi="Verdana" w:cs="Arial"/>
          <w:lang w:val="es-ES" w:eastAsia="es-ES"/>
        </w:rPr>
      </w:pPr>
    </w:p>
    <w:p w14:paraId="1D38182E" w14:textId="77777777" w:rsidR="0017479E" w:rsidRPr="0017479E" w:rsidRDefault="0017479E" w:rsidP="0017479E">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17479E">
        <w:rPr>
          <w:rFonts w:ascii="Verdana" w:eastAsia="Century Gothic" w:hAnsi="Verdana" w:cs="Century Gothic"/>
          <w:b/>
          <w:bCs/>
          <w:lang w:eastAsia="es-MX"/>
        </w:rPr>
        <w:t>Problema planteado:</w:t>
      </w:r>
    </w:p>
    <w:p w14:paraId="0C04628C" w14:textId="77777777" w:rsidR="0017479E" w:rsidRPr="0017479E" w:rsidRDefault="0017479E" w:rsidP="0017479E">
      <w:pPr>
        <w:tabs>
          <w:tab w:val="left" w:pos="426"/>
        </w:tabs>
        <w:spacing w:after="0" w:line="276" w:lineRule="auto"/>
        <w:jc w:val="both"/>
        <w:rPr>
          <w:rFonts w:ascii="Verdana" w:eastAsia="Century Gothic" w:hAnsi="Verdana" w:cs="Century Gothic"/>
          <w:lang w:val="es-ES" w:eastAsia="es-MX"/>
        </w:rPr>
      </w:pPr>
    </w:p>
    <w:p w14:paraId="1F45536D" w14:textId="15A883BA" w:rsidR="0017479E" w:rsidRPr="0017479E" w:rsidRDefault="0017479E" w:rsidP="0017479E">
      <w:pPr>
        <w:spacing w:after="0" w:line="276" w:lineRule="auto"/>
        <w:jc w:val="both"/>
        <w:rPr>
          <w:rFonts w:ascii="Verdana" w:eastAsia="Aptos" w:hAnsi="Verdana" w:cs="Times New Roman"/>
          <w:kern w:val="2"/>
          <w14:ligatures w14:val="standardContextual"/>
        </w:rPr>
      </w:pPr>
      <w:r w:rsidRPr="0017479E">
        <w:rPr>
          <w:rFonts w:ascii="Verdana" w:eastAsia="Aptos" w:hAnsi="Verdana" w:cs="Times New Roman"/>
          <w:kern w:val="2"/>
          <w14:ligatures w14:val="standardContextual"/>
        </w:rPr>
        <w:t>De acuerdo con el contenido de su solicitud y en relación con los documentos tipo del sector de Infraestructura Social, concretamente con los complementarios del sector institucional, esta Agencia resolverá los siguientes problemas jurídicos: i) ¿</w:t>
      </w:r>
      <w:r w:rsidR="00A404C3">
        <w:rPr>
          <w:rFonts w:ascii="Verdana" w:eastAsia="Aptos" w:hAnsi="Verdana" w:cs="Times New Roman"/>
          <w:kern w:val="2"/>
          <w14:ligatures w14:val="standardContextual"/>
        </w:rPr>
        <w:t>C</w:t>
      </w:r>
      <w:r w:rsidRPr="0017479E">
        <w:rPr>
          <w:rFonts w:ascii="Verdana" w:eastAsia="Aptos" w:hAnsi="Verdana" w:cs="Times New Roman"/>
          <w:kern w:val="2"/>
          <w14:ligatures w14:val="standardContextual"/>
        </w:rPr>
        <w:t>uál es el alcance del requisito de experiencia general solicitado para la actividad 1.2 de la Matriz 1 – Experiencia Sector Institucional?; y (</w:t>
      </w:r>
      <w:proofErr w:type="spellStart"/>
      <w:r w:rsidRPr="0017479E">
        <w:rPr>
          <w:rFonts w:ascii="Verdana" w:eastAsia="Aptos" w:hAnsi="Verdana" w:cs="Times New Roman"/>
          <w:kern w:val="2"/>
          <w14:ligatures w14:val="standardContextual"/>
        </w:rPr>
        <w:t>ii</w:t>
      </w:r>
      <w:proofErr w:type="spellEnd"/>
      <w:r w:rsidRPr="0017479E">
        <w:rPr>
          <w:rFonts w:ascii="Verdana" w:eastAsia="Aptos" w:hAnsi="Verdana" w:cs="Times New Roman"/>
          <w:kern w:val="2"/>
          <w14:ligatures w14:val="standardContextual"/>
        </w:rPr>
        <w:t>) ¿</w:t>
      </w:r>
      <w:r w:rsidR="000B21AF">
        <w:rPr>
          <w:rFonts w:ascii="Verdana" w:eastAsia="Aptos" w:hAnsi="Verdana" w:cs="Times New Roman"/>
          <w:kern w:val="2"/>
          <w14:ligatures w14:val="standardContextual"/>
        </w:rPr>
        <w:t>P</w:t>
      </w:r>
      <w:r w:rsidRPr="0017479E">
        <w:rPr>
          <w:rFonts w:ascii="Verdana" w:eastAsia="Aptos" w:hAnsi="Verdana" w:cs="Times New Roman"/>
          <w:kern w:val="2"/>
          <w14:ligatures w14:val="standardContextual"/>
        </w:rPr>
        <w:t xml:space="preserve">uede una </w:t>
      </w:r>
      <w:r w:rsidR="000B21AF">
        <w:rPr>
          <w:rFonts w:ascii="Verdana" w:eastAsia="Aptos" w:hAnsi="Verdana" w:cs="Times New Roman"/>
          <w:kern w:val="2"/>
          <w14:ligatures w14:val="standardContextual"/>
        </w:rPr>
        <w:t>E</w:t>
      </w:r>
      <w:r w:rsidRPr="0017479E">
        <w:rPr>
          <w:rFonts w:ascii="Verdana" w:eastAsia="Aptos" w:hAnsi="Verdana" w:cs="Times New Roman"/>
          <w:kern w:val="2"/>
          <w14:ligatures w14:val="standardContextual"/>
        </w:rPr>
        <w:t xml:space="preserve">ntidad que adelanta un proceso de </w:t>
      </w:r>
      <w:r w:rsidR="000B21AF">
        <w:rPr>
          <w:rFonts w:ascii="Verdana" w:eastAsia="Aptos" w:hAnsi="Verdana" w:cs="Times New Roman"/>
          <w:kern w:val="2"/>
          <w14:ligatures w14:val="standardContextual"/>
        </w:rPr>
        <w:t>selección</w:t>
      </w:r>
      <w:r w:rsidR="000B21AF" w:rsidRPr="0017479E">
        <w:rPr>
          <w:rFonts w:ascii="Verdana" w:eastAsia="Aptos" w:hAnsi="Verdana" w:cs="Times New Roman"/>
          <w:kern w:val="2"/>
          <w14:ligatures w14:val="standardContextual"/>
        </w:rPr>
        <w:t xml:space="preserve"> </w:t>
      </w:r>
      <w:r w:rsidRPr="0017479E">
        <w:rPr>
          <w:rFonts w:ascii="Verdana" w:eastAsia="Aptos" w:hAnsi="Verdana" w:cs="Times New Roman"/>
          <w:kern w:val="2"/>
          <w14:ligatures w14:val="standardContextual"/>
        </w:rPr>
        <w:t>con los documentos tipo señalados incluir una condición adicional para acreditar la experiencia general para la actividad 1.2 de la Matriz 1 – Experiencia Sector Institucional?</w:t>
      </w:r>
    </w:p>
    <w:p w14:paraId="419E49C6" w14:textId="77777777" w:rsidR="0017479E" w:rsidRPr="0017479E" w:rsidRDefault="0017479E" w:rsidP="0017479E">
      <w:pPr>
        <w:spacing w:after="0" w:line="276" w:lineRule="auto"/>
        <w:jc w:val="both"/>
        <w:rPr>
          <w:rFonts w:ascii="Verdana" w:eastAsia="Century Gothic" w:hAnsi="Verdana" w:cs="Century Gothic"/>
          <w:lang w:eastAsia="es-MX"/>
        </w:rPr>
      </w:pPr>
    </w:p>
    <w:p w14:paraId="70810E36" w14:textId="77777777" w:rsidR="0017479E" w:rsidRPr="0017479E" w:rsidRDefault="0017479E" w:rsidP="0017479E">
      <w:pPr>
        <w:tabs>
          <w:tab w:val="left" w:pos="142"/>
          <w:tab w:val="left" w:pos="284"/>
        </w:tabs>
        <w:spacing w:after="0" w:line="276" w:lineRule="auto"/>
        <w:contextualSpacing/>
        <w:jc w:val="both"/>
        <w:rPr>
          <w:rFonts w:ascii="Verdana" w:eastAsia="Century Gothic" w:hAnsi="Verdana" w:cs="Century Gothic"/>
          <w:b/>
          <w:bCs/>
          <w:lang w:val="es-ES" w:eastAsia="es-MX"/>
        </w:rPr>
      </w:pPr>
      <w:r w:rsidRPr="0017479E">
        <w:rPr>
          <w:rFonts w:ascii="Verdana" w:eastAsia="Century Gothic" w:hAnsi="Verdana" w:cs="Century Gothic"/>
          <w:b/>
          <w:bCs/>
          <w:lang w:val="es-ES" w:eastAsia="es-MX"/>
        </w:rPr>
        <w:t>2. Respuestas:</w:t>
      </w:r>
    </w:p>
    <w:p w14:paraId="220B334B" w14:textId="77777777" w:rsidR="0017479E" w:rsidRPr="0017479E" w:rsidRDefault="0017479E" w:rsidP="0017479E">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7479E" w:rsidRPr="0017479E" w14:paraId="0669F26A" w14:textId="77777777" w:rsidTr="00E75FD1">
        <w:trPr>
          <w:trHeight w:val="40"/>
        </w:trPr>
        <w:tc>
          <w:tcPr>
            <w:tcW w:w="8828" w:type="dxa"/>
            <w:tcBorders>
              <w:top w:val="dotted" w:sz="4" w:space="0" w:color="auto"/>
              <w:left w:val="dotted" w:sz="4" w:space="0" w:color="auto"/>
              <w:bottom w:val="dotted" w:sz="4" w:space="0" w:color="auto"/>
              <w:right w:val="dotted" w:sz="4" w:space="0" w:color="auto"/>
            </w:tcBorders>
          </w:tcPr>
          <w:p w14:paraId="22BB7986" w14:textId="77777777" w:rsidR="0017479E" w:rsidRPr="0017479E" w:rsidRDefault="0017479E" w:rsidP="0017479E">
            <w:pPr>
              <w:spacing w:line="276" w:lineRule="auto"/>
              <w:jc w:val="both"/>
              <w:rPr>
                <w:rFonts w:ascii="Verdana" w:eastAsia="Times New Roman" w:hAnsi="Verdana" w:cs="Times New Roman"/>
                <w:color w:val="000000"/>
                <w:lang w:eastAsia="es-CO"/>
              </w:rPr>
            </w:pPr>
            <w:r w:rsidRPr="0017479E">
              <w:rPr>
                <w:rFonts w:ascii="Verdana" w:eastAsia="Times New Roman" w:hAnsi="Verdana" w:cs="Times New Roman"/>
                <w:color w:val="000000"/>
                <w:lang w:eastAsia="es-CO"/>
              </w:rPr>
              <w:t>Por unidad de materia, los problemas jurídicos uno (i) y dos (</w:t>
            </w:r>
            <w:proofErr w:type="spellStart"/>
            <w:r w:rsidRPr="0017479E">
              <w:rPr>
                <w:rFonts w:ascii="Verdana" w:eastAsia="Times New Roman" w:hAnsi="Verdana" w:cs="Times New Roman"/>
                <w:color w:val="000000"/>
                <w:lang w:eastAsia="es-CO"/>
              </w:rPr>
              <w:t>ii</w:t>
            </w:r>
            <w:proofErr w:type="spellEnd"/>
            <w:r w:rsidRPr="0017479E">
              <w:rPr>
                <w:rFonts w:ascii="Verdana" w:eastAsia="Times New Roman" w:hAnsi="Verdana" w:cs="Times New Roman"/>
                <w:color w:val="000000"/>
                <w:lang w:eastAsia="es-CO"/>
              </w:rPr>
              <w:t>) se resolverán de forma conjunta en los siguientes términos:</w:t>
            </w:r>
          </w:p>
          <w:p w14:paraId="0D31C2C7" w14:textId="77777777" w:rsidR="0017479E" w:rsidRPr="0017479E" w:rsidRDefault="0017479E" w:rsidP="0017479E">
            <w:pPr>
              <w:spacing w:line="276" w:lineRule="auto"/>
              <w:jc w:val="both"/>
              <w:rPr>
                <w:rFonts w:ascii="Verdana" w:eastAsia="Times New Roman" w:hAnsi="Verdana" w:cs="Times New Roman"/>
                <w:color w:val="000000"/>
                <w:lang w:eastAsia="es-CO"/>
              </w:rPr>
            </w:pPr>
          </w:p>
          <w:p w14:paraId="490A0F81" w14:textId="77777777" w:rsidR="0017479E" w:rsidRPr="0017479E" w:rsidRDefault="0017479E" w:rsidP="0017479E">
            <w:pPr>
              <w:spacing w:line="276" w:lineRule="auto"/>
              <w:jc w:val="both"/>
              <w:rPr>
                <w:rFonts w:ascii="Verdana" w:eastAsia="Times New Roman" w:hAnsi="Verdana" w:cs="Times New Roman"/>
                <w:color w:val="000000"/>
                <w:lang w:eastAsia="es-CO"/>
              </w:rPr>
            </w:pPr>
            <w:r w:rsidRPr="0017479E">
              <w:rPr>
                <w:rFonts w:ascii="Verdana" w:eastAsia="Times New Roman" w:hAnsi="Verdana" w:cs="Times New Roman"/>
                <w:color w:val="000000"/>
                <w:lang w:eastAsia="es-CO"/>
              </w:rPr>
              <w:t xml:space="preserve">i. y </w:t>
            </w:r>
            <w:proofErr w:type="spellStart"/>
            <w:r w:rsidRPr="0017479E">
              <w:rPr>
                <w:rFonts w:ascii="Verdana" w:eastAsia="Times New Roman" w:hAnsi="Verdana" w:cs="Times New Roman"/>
                <w:color w:val="000000"/>
                <w:lang w:eastAsia="es-CO"/>
              </w:rPr>
              <w:t>ii</w:t>
            </w:r>
            <w:proofErr w:type="spellEnd"/>
            <w:r w:rsidRPr="0017479E">
              <w:rPr>
                <w:rFonts w:ascii="Verdana" w:eastAsia="Times New Roman" w:hAnsi="Verdana" w:cs="Times New Roman"/>
                <w:color w:val="000000"/>
                <w:lang w:eastAsia="es-CO"/>
              </w:rPr>
              <w:t>. C</w:t>
            </w:r>
            <w:r w:rsidRPr="0017479E">
              <w:rPr>
                <w:rFonts w:ascii="Verdana" w:eastAsia="Aptos" w:hAnsi="Verdana" w:cs="Times New Roman"/>
              </w:rPr>
              <w:t xml:space="preserve">oncretamente, en su solicitud usted indaga sobre el alcance de la experiencia general para la actividad “1.2.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SEGURIDAD PÚBLICA” contenida en la “Matriz 1 – Experiencia Sector Institucional”, en la modalidad de selección de licitación </w:t>
            </w:r>
            <w:r w:rsidRPr="0017479E">
              <w:rPr>
                <w:rFonts w:ascii="Verdana" w:eastAsia="Aptos" w:hAnsi="Verdana" w:cs="Times New Roman"/>
              </w:rPr>
              <w:lastRenderedPageBreak/>
              <w:t>pública. Sobre el particular, para dicha actividad se solicita el siguiente requisito de experiencia general:</w:t>
            </w:r>
          </w:p>
          <w:p w14:paraId="22019F15" w14:textId="77777777" w:rsidR="0017479E" w:rsidRPr="0017479E" w:rsidRDefault="0017479E" w:rsidP="005061C5">
            <w:pPr>
              <w:snapToGrid w:val="0"/>
              <w:spacing w:line="276" w:lineRule="auto"/>
              <w:ind w:left="709" w:right="709"/>
              <w:jc w:val="both"/>
              <w:rPr>
                <w:rFonts w:ascii="Verdana" w:eastAsia="Calibri" w:hAnsi="Verdana" w:cs="Arial"/>
                <w:color w:val="0D0D0D"/>
                <w:lang w:eastAsia="es-MX"/>
              </w:rPr>
            </w:pPr>
          </w:p>
          <w:p w14:paraId="3340AC97" w14:textId="77777777" w:rsidR="0017479E" w:rsidRPr="0017479E" w:rsidRDefault="0017479E" w:rsidP="005061C5">
            <w:pPr>
              <w:snapToGrid w:val="0"/>
              <w:spacing w:after="120" w:line="276" w:lineRule="auto"/>
              <w:ind w:left="709" w:right="709"/>
              <w:jc w:val="both"/>
              <w:rPr>
                <w:rFonts w:ascii="Verdana" w:eastAsia="Calibri" w:hAnsi="Verdana" w:cs="Arial"/>
                <w:color w:val="0D0D0D"/>
                <w:sz w:val="21"/>
                <w:szCs w:val="21"/>
                <w:lang w:eastAsia="es-MX"/>
              </w:rPr>
            </w:pPr>
            <w:r w:rsidRPr="0017479E">
              <w:rPr>
                <w:rFonts w:ascii="Verdana" w:eastAsia="Calibri" w:hAnsi="Verdana" w:cs="Arial"/>
                <w:color w:val="0D0D0D"/>
                <w:sz w:val="21"/>
                <w:szCs w:val="21"/>
                <w:lang w:eastAsia="es-MX"/>
              </w:rPr>
              <w:t>“General:</w:t>
            </w:r>
          </w:p>
          <w:p w14:paraId="5329ED07" w14:textId="77777777" w:rsidR="0017479E" w:rsidRPr="0017479E" w:rsidRDefault="0017479E" w:rsidP="005061C5">
            <w:pPr>
              <w:snapToGrid w:val="0"/>
              <w:spacing w:line="276" w:lineRule="auto"/>
              <w:ind w:left="709" w:right="709"/>
              <w:jc w:val="both"/>
              <w:rPr>
                <w:rFonts w:ascii="Verdana" w:eastAsia="Arial" w:hAnsi="Verdana" w:cs="Arial"/>
                <w:sz w:val="21"/>
                <w:szCs w:val="21"/>
                <w:lang w:val="es-ES" w:eastAsia="es-ES_tradnl"/>
              </w:rPr>
            </w:pPr>
            <w:r w:rsidRPr="0017479E">
              <w:rPr>
                <w:rFonts w:ascii="Verdana" w:eastAsia="Arial" w:hAnsi="Verdana" w:cs="Arial"/>
                <w:sz w:val="21"/>
                <w:szCs w:val="21"/>
                <w:lang w:val="es-ES" w:eastAsia="es-ES_tradnl"/>
              </w:rPr>
              <w:t>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EDIFICACIONES”.</w:t>
            </w:r>
          </w:p>
          <w:p w14:paraId="0A770D06" w14:textId="77777777" w:rsidR="0017479E" w:rsidRPr="0017479E" w:rsidRDefault="0017479E" w:rsidP="005061C5">
            <w:pPr>
              <w:snapToGrid w:val="0"/>
              <w:spacing w:line="276" w:lineRule="auto"/>
              <w:ind w:left="709" w:right="709"/>
              <w:jc w:val="both"/>
              <w:rPr>
                <w:rFonts w:ascii="Verdana" w:eastAsia="Arial" w:hAnsi="Verdana" w:cs="Arial"/>
                <w:sz w:val="21"/>
                <w:szCs w:val="21"/>
                <w:lang w:val="es-ES" w:eastAsia="es-ES_tradnl"/>
              </w:rPr>
            </w:pPr>
          </w:p>
          <w:p w14:paraId="143B4CBD" w14:textId="77777777" w:rsidR="0017479E" w:rsidRPr="0017479E" w:rsidRDefault="0017479E" w:rsidP="0017479E">
            <w:pPr>
              <w:spacing w:after="120" w:line="276" w:lineRule="auto"/>
              <w:ind w:firstLine="708"/>
              <w:jc w:val="both"/>
              <w:rPr>
                <w:rFonts w:ascii="Verdana" w:eastAsia="Aptos" w:hAnsi="Verdana" w:cs="Times New Roman"/>
              </w:rPr>
            </w:pPr>
            <w:r w:rsidRPr="0017479E">
              <w:rPr>
                <w:rFonts w:ascii="Verdana" w:eastAsia="Aptos" w:hAnsi="Verdana" w:cs="Times New Roman"/>
              </w:rPr>
              <w:t xml:space="preserve">Como se aprecia, para la actividad 1.2 contenida en la "Matriz 1 – Experiencia Sector Institucional", se establece que la acreditación de la experiencia general debe darse en </w:t>
            </w:r>
            <w:r w:rsidRPr="0017479E">
              <w:rPr>
                <w:rFonts w:ascii="Verdana" w:eastAsia="Arial" w:hAnsi="Verdana" w:cs="Arial"/>
                <w:lang w:val="es-ES" w:eastAsia="es-ES_tradnl"/>
              </w:rPr>
              <w:t xml:space="preserve">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w:t>
            </w:r>
            <w:r w:rsidRPr="0017479E">
              <w:rPr>
                <w:rFonts w:ascii="Verdana" w:eastAsia="Aptos" w:hAnsi="Verdana" w:cs="Times New Roman"/>
                <w:b/>
                <w:bCs/>
              </w:rPr>
              <w:t>“edificaciones”</w:t>
            </w:r>
            <w:r w:rsidRPr="0017479E">
              <w:rPr>
                <w:rFonts w:ascii="Verdana" w:eastAsia="Aptos" w:hAnsi="Verdana" w:cs="Times New Roman"/>
              </w:rPr>
              <w:t>, sin que se realicen distinciones o se establezcan restricciones específicas respecto de algún tipo de edificación con destinación de uso particular.</w:t>
            </w:r>
          </w:p>
          <w:p w14:paraId="41FBB2EC" w14:textId="77777777" w:rsidR="0017479E" w:rsidRPr="0017479E" w:rsidRDefault="0017479E" w:rsidP="0017479E">
            <w:pPr>
              <w:spacing w:after="120" w:line="276" w:lineRule="auto"/>
              <w:ind w:firstLine="708"/>
              <w:jc w:val="both"/>
              <w:rPr>
                <w:rFonts w:ascii="Verdana" w:eastAsia="Aptos" w:hAnsi="Verdana" w:cs="Times New Roman"/>
              </w:rPr>
            </w:pPr>
            <w:r w:rsidRPr="0017479E">
              <w:rPr>
                <w:rFonts w:ascii="Verdana" w:eastAsia="Aptos" w:hAnsi="Verdana" w:cs="Times New Roman"/>
              </w:rPr>
              <w:t xml:space="preserve">En este sentido, considerando que una edificación, de acuerdo con el artículo 4 de la Ley 400 de 1997, se define como </w:t>
            </w:r>
            <w:r w:rsidRPr="0017479E">
              <w:rPr>
                <w:rFonts w:ascii="Verdana" w:eastAsia="Aptos" w:hAnsi="Verdana" w:cs="Times New Roman"/>
                <w:i/>
                <w:iCs/>
              </w:rPr>
              <w:t>“(…) una construcción cuyo uso primordial es la habitación u ocupación por seres humanos”,</w:t>
            </w:r>
            <w:r w:rsidRPr="0017479E">
              <w:rPr>
                <w:rFonts w:ascii="Verdana" w:eastAsia="Aptos" w:hAnsi="Verdana" w:cs="Times New Roman"/>
              </w:rPr>
              <w:t xml:space="preserve"> y que la edificación convencional es “(…) aquella estructura concebida de tal manera que su geometría, dimensiones generales, dimensiones de sus miembros estructurales, materiales estructurales empleados y procedimientos de dimensionamiento y determinación de la resistencia de sus miembros estructurales ante todas las solicitaciones a las que puedan verse sometidos durante su vida útil estén previstos en la normativa y reglamentación </w:t>
            </w:r>
            <w:r w:rsidRPr="0017479E">
              <w:rPr>
                <w:rFonts w:ascii="Verdana" w:eastAsia="Aptos" w:hAnsi="Verdana" w:cs="Times New Roman"/>
              </w:rPr>
              <w:lastRenderedPageBreak/>
              <w:t>contenida en el Reglamento NSR-10 (…)”</w:t>
            </w:r>
            <w:r w:rsidRPr="0017479E">
              <w:rPr>
                <w:rFonts w:ascii="Verdana" w:eastAsia="Aptos" w:hAnsi="Verdana" w:cs="Times New Roman"/>
                <w:vertAlign w:val="superscript"/>
              </w:rPr>
              <w:footnoteReference w:id="2"/>
            </w:r>
            <w:r w:rsidRPr="0017479E">
              <w:rPr>
                <w:rFonts w:ascii="Verdana" w:eastAsia="Aptos" w:hAnsi="Verdana" w:cs="Times New Roman"/>
              </w:rPr>
              <w:t>, se tiene que la construcción de edificaciones, en términos generales, está determinada por el cumplimiento de las normas técnicas reglamentarias y, en particular, por lo dispuesto en la Norma Sismo Resistente NSR-10 y demás disposiciones aplicables a este tipo de infraestructura.</w:t>
            </w:r>
          </w:p>
          <w:p w14:paraId="700BCD6A" w14:textId="77777777" w:rsidR="0017479E" w:rsidRPr="0017479E" w:rsidRDefault="0017479E" w:rsidP="0017479E">
            <w:pPr>
              <w:spacing w:before="120" w:after="120" w:line="276" w:lineRule="auto"/>
              <w:ind w:firstLine="708"/>
              <w:jc w:val="both"/>
              <w:rPr>
                <w:rFonts w:ascii="Verdana" w:eastAsia="Aptos" w:hAnsi="Verdana" w:cs="Times New Roman"/>
              </w:rPr>
            </w:pPr>
            <w:r w:rsidRPr="0017479E">
              <w:rPr>
                <w:rFonts w:ascii="Verdana" w:eastAsia="Aptos" w:hAnsi="Verdana" w:cs="Times New Roman"/>
              </w:rPr>
              <w:t>En consecuencia, la experiencia general solicitada en la “Matriz 1 – Experiencia Sector Institucional”, con el fin de no limitar la concurrencia de oferentes, se refiere a experiencia en edificaciones sin distinción de su destinación o uso, tales como cultura, recreación y deporte, salud, educación, vivienda o infraestructura institucional, entre otros.</w:t>
            </w:r>
          </w:p>
          <w:p w14:paraId="0FD458DE"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En relación con la posibilidad de que una entidad que adelanta un proceso de selección bajo los documentos tipo de licitación de obra pública de infraestructura social –particularmente los del sector institucional– restrinja la acreditación de la experiencia general prevista para la actividad 1.2, exigiendo que esta recaiga exclusivamente sobre edificaciones de seguridad pública y no sobre la generalidad “Edificaciones”, debe indicarse que dicha posibilidad se encuentra restringida para la entidad, comoquiera que este es un aspecto sobre el cual recae la regla de inalterabilidad que se predica de los documentos tipo y, en particular, lo dispuesto en la introducción de la Matriz 1 – Experiencia Sector Institucional, la cual señala que “[Las Entidades Estatales no podrán incluir, modificar, suprimir y/o alterar las condiciones de experiencia establecidas en esta Matriz, salvo cuando de forma expresa esta lo determine]”.</w:t>
            </w:r>
          </w:p>
          <w:p w14:paraId="6061EBC7"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La experiencia general dispuesta para la actividad 1.2 de la Matriz 1 – Experiencia Sector Institucional no corresponde a uno de aquellos apartes de la Matriz respecto de los cuales se permite su modificación, por lo tanto, la entidad no podrá introducir ningún requisito adicional para su acreditación distinto del expresamente señalado.</w:t>
            </w:r>
          </w:p>
          <w:p w14:paraId="279F14CD"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 xml:space="preserve">Si bien la actividad 1.2 “PROYECTOS DE ADECUACIÓN Y/O CONSERVACIÓN Y/O INTERVENCIÓN Y/O INSTALACIÓN Y/O MANTENIMIENTO Y/O MEJORAMIENTO Y/O MODIFICACIÓN U OPTIMIZACIÓN Y/O REHABILITACIÓN Y/O REMODELACIÓN Y/O REPOSICIÓN Y/O REPARACIÓN </w:t>
            </w:r>
            <w:r w:rsidRPr="0017479E">
              <w:rPr>
                <w:rFonts w:ascii="Verdana" w:eastAsia="Times New Roman" w:hAnsi="Verdana" w:cs="Times New Roman"/>
                <w:lang w:eastAsia="es-MX"/>
              </w:rPr>
              <w:lastRenderedPageBreak/>
              <w:t>LOCATIVA Y/O RESTAURACIÓN Y/O RESTITUCIÓN Y/O TERMINACIÓN DE INFRAESTRUCTURA DE SEGURIDAD PÚBLICA”, se encuentra prevista para el tipo de obras en proyectos de infraestructura institucional de seguridad pública, esto no habilita a la entidad que adelanta el proceso, para exigir requisitos de experiencia general distintos de los contenidos en la actividad señalada, toda vez que, como se indicó con anterioridad, la experiencia general se solicita en relación con “edificaciones”, precisamente para no limitar la pluralidad de oferentes.</w:t>
            </w:r>
          </w:p>
          <w:p w14:paraId="1CEDB858" w14:textId="77777777" w:rsidR="0017479E" w:rsidRPr="0017479E" w:rsidRDefault="0017479E" w:rsidP="0017479E">
            <w:pPr>
              <w:spacing w:line="276" w:lineRule="auto"/>
              <w:ind w:firstLine="708"/>
              <w:jc w:val="both"/>
              <w:rPr>
                <w:rFonts w:ascii="Verdana" w:eastAsia="Aptos" w:hAnsi="Verdana" w:cs="Times New Roman"/>
              </w:rPr>
            </w:pPr>
            <w:r w:rsidRPr="0017479E">
              <w:rPr>
                <w:rFonts w:ascii="Verdana" w:eastAsia="Aptos" w:hAnsi="Verdana" w:cs="Times New Roman"/>
              </w:rPr>
              <w:t>Sostener una interpretación distinta, en el sentido de exigir que el contrato que acredite la experiencia general corresponda necesariamente a infraestructura de seguridad pública, implicaría introducir una restricción no contemplada expresamente en la “Matriz 1 – Experiencia Sector Institucional” para la actividad 1.2, que adicionalmente, resultaría contraria a la finalidad enunciada de no limitar la concurrencia de oferentes al proceso de selección. Lo anterior, en tanto se estaría supeditando el cumplimiento del requisito a una condición que no fue prevista para tal efecto, generando con ello una exigencia adicional que desconocería el alcance y la finalidad con que fue concebida la experiencia general para la actividad en mención.</w:t>
            </w:r>
          </w:p>
          <w:p w14:paraId="66C5C076" w14:textId="77777777" w:rsidR="0017479E" w:rsidRPr="0017479E" w:rsidRDefault="0017479E" w:rsidP="0017479E">
            <w:pPr>
              <w:spacing w:line="276" w:lineRule="auto"/>
              <w:jc w:val="both"/>
              <w:rPr>
                <w:rFonts w:ascii="Verdana" w:eastAsia="Times New Roman" w:hAnsi="Verdana" w:cs="Calibri"/>
                <w:lang w:eastAsia="es-MX"/>
              </w:rPr>
            </w:pPr>
          </w:p>
          <w:p w14:paraId="4B756D6C" w14:textId="77777777" w:rsidR="0017479E" w:rsidRPr="0017479E" w:rsidRDefault="0017479E" w:rsidP="0017479E">
            <w:pPr>
              <w:spacing w:after="120" w:line="276" w:lineRule="auto"/>
              <w:jc w:val="both"/>
              <w:rPr>
                <w:rFonts w:ascii="Verdana" w:eastAsia="Aptos" w:hAnsi="Verdana" w:cs="Times New Roman"/>
              </w:rPr>
            </w:pPr>
            <w:r w:rsidRPr="0017479E">
              <w:rPr>
                <w:rFonts w:ascii="Verdana" w:eastAsia="Calibri" w:hAnsi="Verdana" w:cs="Times New Roman"/>
                <w:lang w:val="es-ES"/>
              </w:rPr>
              <w:t>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2F39A0E" w14:textId="77777777" w:rsidR="0017479E" w:rsidRPr="0017479E" w:rsidRDefault="0017479E" w:rsidP="005061C5">
            <w:pPr>
              <w:spacing w:line="276" w:lineRule="auto"/>
              <w:ind w:firstLine="709"/>
              <w:jc w:val="both"/>
              <w:rPr>
                <w:rFonts w:ascii="Verdana" w:eastAsia="Calibri" w:hAnsi="Verdana" w:cs="Times New Roman"/>
                <w:lang w:val="es-ES"/>
              </w:rPr>
            </w:pPr>
            <w:r w:rsidRPr="0017479E">
              <w:rPr>
                <w:rFonts w:ascii="Verdana" w:eastAsia="Calibri" w:hAnsi="Verdana" w:cs="Times New Roman"/>
                <w:lang w:val="es-ES"/>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w:t>
            </w:r>
            <w:r w:rsidRPr="0017479E">
              <w:rPr>
                <w:rFonts w:ascii="Verdana" w:eastAsia="Calibri" w:hAnsi="Verdana" w:cs="Times New Roman"/>
                <w:lang w:val="es-ES"/>
              </w:rPr>
              <w:lastRenderedPageBreak/>
              <w:t>definirá la forma de adelantar su gestión contractual, sin que sea atribución de Colombia Compra Eficiente validar sus actuaciones.</w:t>
            </w:r>
          </w:p>
        </w:tc>
      </w:tr>
    </w:tbl>
    <w:p w14:paraId="29859291" w14:textId="77777777" w:rsidR="0017479E" w:rsidRPr="0017479E" w:rsidRDefault="0017479E" w:rsidP="0017479E">
      <w:pPr>
        <w:tabs>
          <w:tab w:val="left" w:pos="142"/>
          <w:tab w:val="left" w:pos="284"/>
        </w:tabs>
        <w:spacing w:after="0" w:line="276" w:lineRule="auto"/>
        <w:jc w:val="both"/>
        <w:rPr>
          <w:rFonts w:ascii="Verdana" w:eastAsia="Century Gothic" w:hAnsi="Verdana" w:cs="Century Gothic"/>
          <w:b/>
          <w:bCs/>
          <w:lang w:val="es-ES" w:eastAsia="es-MX"/>
        </w:rPr>
      </w:pPr>
    </w:p>
    <w:p w14:paraId="04549826" w14:textId="77777777" w:rsidR="0017479E" w:rsidRPr="0017479E" w:rsidRDefault="0017479E" w:rsidP="0017479E">
      <w:pPr>
        <w:tabs>
          <w:tab w:val="left" w:pos="142"/>
          <w:tab w:val="left" w:pos="284"/>
        </w:tabs>
        <w:spacing w:after="0" w:line="276" w:lineRule="auto"/>
        <w:jc w:val="both"/>
        <w:rPr>
          <w:rFonts w:ascii="Verdana" w:eastAsia="Century Gothic" w:hAnsi="Verdana" w:cs="Century Gothic"/>
          <w:b/>
          <w:bCs/>
          <w:lang w:val="es-ES" w:eastAsia="es-MX"/>
        </w:rPr>
      </w:pPr>
      <w:r w:rsidRPr="0017479E">
        <w:rPr>
          <w:rFonts w:ascii="Verdana" w:eastAsia="Century Gothic" w:hAnsi="Verdana" w:cs="Century Gothic"/>
          <w:b/>
          <w:bCs/>
          <w:lang w:val="es-ES" w:eastAsia="es-MX"/>
        </w:rPr>
        <w:t>3. Razones de la respuesta:</w:t>
      </w:r>
    </w:p>
    <w:p w14:paraId="3C5DAA9E" w14:textId="77777777" w:rsidR="0017479E" w:rsidRPr="0017479E" w:rsidRDefault="0017479E" w:rsidP="0017479E">
      <w:pPr>
        <w:spacing w:after="0" w:line="276" w:lineRule="auto"/>
        <w:jc w:val="both"/>
        <w:rPr>
          <w:rFonts w:ascii="Verdana" w:eastAsia="Calibri" w:hAnsi="Verdana" w:cs="Arial"/>
          <w:lang w:val="es-ES" w:eastAsia="es-MX"/>
        </w:rPr>
      </w:pPr>
    </w:p>
    <w:p w14:paraId="70674DCE" w14:textId="77777777" w:rsidR="0017479E" w:rsidRPr="0017479E" w:rsidRDefault="0017479E" w:rsidP="0017479E">
      <w:pPr>
        <w:spacing w:after="0" w:line="276" w:lineRule="auto"/>
        <w:jc w:val="both"/>
        <w:rPr>
          <w:rFonts w:ascii="Verdana" w:eastAsia="Calibri" w:hAnsi="Verdana" w:cs="Arial"/>
          <w:lang w:val="es-ES" w:eastAsia="es-MX"/>
        </w:rPr>
      </w:pPr>
      <w:r w:rsidRPr="0017479E">
        <w:rPr>
          <w:rFonts w:ascii="Verdana" w:eastAsia="Calibri" w:hAnsi="Verdana" w:cs="Arial"/>
          <w:lang w:val="es-ES" w:eastAsia="es-MX"/>
        </w:rPr>
        <w:t xml:space="preserve">Lo anterior se sustenta en las siguientes consideraciones: </w:t>
      </w:r>
    </w:p>
    <w:p w14:paraId="4620D2F1" w14:textId="77777777" w:rsidR="0017479E" w:rsidRPr="0017479E" w:rsidRDefault="0017479E" w:rsidP="0017479E">
      <w:pPr>
        <w:spacing w:after="0" w:line="276" w:lineRule="auto"/>
        <w:jc w:val="both"/>
        <w:rPr>
          <w:rFonts w:ascii="Verdana" w:eastAsia="Calibri" w:hAnsi="Verdana" w:cs="Arial"/>
          <w:lang w:val="es-ES" w:eastAsia="es-MX"/>
        </w:rPr>
      </w:pPr>
    </w:p>
    <w:p w14:paraId="7449522C" w14:textId="77777777" w:rsidR="0017479E" w:rsidRPr="0017479E" w:rsidRDefault="0017479E" w:rsidP="0017479E">
      <w:pPr>
        <w:spacing w:after="120" w:line="276" w:lineRule="auto"/>
        <w:jc w:val="both"/>
        <w:rPr>
          <w:rFonts w:ascii="Verdana" w:eastAsia="Aptos" w:hAnsi="Verdana" w:cs="Arial"/>
          <w:lang w:eastAsia="es-MX"/>
        </w:rPr>
      </w:pPr>
      <w:r w:rsidRPr="0017479E">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BE24E08" w14:textId="77777777" w:rsidR="0017479E" w:rsidRPr="0017479E" w:rsidRDefault="0017479E" w:rsidP="0017479E">
      <w:pPr>
        <w:spacing w:after="120" w:line="276" w:lineRule="auto"/>
        <w:ind w:firstLine="708"/>
        <w:jc w:val="both"/>
        <w:rPr>
          <w:rFonts w:ascii="Verdana" w:eastAsia="Aptos" w:hAnsi="Verdana" w:cs="Arial"/>
          <w:lang w:eastAsia="es-MX"/>
        </w:rPr>
      </w:pPr>
      <w:r w:rsidRPr="0017479E">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73D85FE5"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r w:rsidRPr="0017479E">
        <w:rPr>
          <w:rFonts w:ascii="Verdana" w:eastAsia="Aptos" w:hAnsi="Verdana" w:cs="Arial"/>
          <w:lang w:eastAsia="es-MX"/>
        </w:rPr>
        <w:t xml:space="preserve">En el sector social, </w:t>
      </w:r>
      <w:r w:rsidRPr="0017479E">
        <w:rPr>
          <w:rFonts w:ascii="Verdana" w:eastAsia="Calibri" w:hAnsi="Verdana" w:cs="Arial"/>
          <w:lang w:val="es-MX" w:eastAsia="es-MX"/>
        </w:rPr>
        <w:t xml:space="preserve">la Agencia Nacional de Contratación Pública – Colombia Compra </w:t>
      </w:r>
      <w:r w:rsidRPr="0017479E">
        <w:rPr>
          <w:rFonts w:ascii="Verdana" w:eastAsia="Calibri" w:hAnsi="Verdana" w:cs="Arial"/>
          <w:lang w:eastAsia="es-MX"/>
        </w:rPr>
        <w:t xml:space="preserve">Eficiente </w:t>
      </w:r>
      <w:r w:rsidRPr="0017479E">
        <w:rPr>
          <w:rFonts w:ascii="Verdana" w:eastAsia="Times New Roman" w:hAnsi="Verdana" w:cs="Times New Roman"/>
          <w:color w:val="000000"/>
          <w:lang w:eastAsia="es-CO"/>
        </w:rPr>
        <w:t>en el segundo semestre del año 2025 adoptó las siguientes Resoluciones para contratar obra pública y concurso de méritos:</w:t>
      </w:r>
    </w:p>
    <w:p w14:paraId="4EE3CFF9"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r w:rsidRPr="0017479E">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14AE5FFF"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r w:rsidRPr="0017479E">
        <w:rPr>
          <w:rFonts w:ascii="Verdana" w:eastAsia="Times New Roman" w:hAnsi="Verdana" w:cs="Times New Roman"/>
          <w:color w:val="000000"/>
          <w:lang w:eastAsia="es-CO"/>
        </w:rPr>
        <w:lastRenderedPageBreak/>
        <w:t xml:space="preserve"> </w:t>
      </w:r>
      <w:proofErr w:type="spellStart"/>
      <w:r w:rsidRPr="0017479E">
        <w:rPr>
          <w:rFonts w:ascii="Verdana" w:eastAsia="Times New Roman" w:hAnsi="Verdana" w:cs="Times New Roman"/>
          <w:color w:val="000000"/>
          <w:lang w:eastAsia="es-CO"/>
        </w:rPr>
        <w:t>ii</w:t>
      </w:r>
      <w:proofErr w:type="spellEnd"/>
      <w:r w:rsidRPr="0017479E">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00A579A1"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proofErr w:type="spellStart"/>
      <w:r w:rsidRPr="0017479E">
        <w:rPr>
          <w:rFonts w:ascii="Verdana" w:eastAsia="Times New Roman" w:hAnsi="Verdana" w:cs="Times New Roman"/>
          <w:color w:val="000000"/>
          <w:lang w:eastAsia="es-CO"/>
        </w:rPr>
        <w:t>iii</w:t>
      </w:r>
      <w:proofErr w:type="spellEnd"/>
      <w:r w:rsidRPr="0017479E">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6737CD9C"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proofErr w:type="spellStart"/>
      <w:r w:rsidRPr="0017479E">
        <w:rPr>
          <w:rFonts w:ascii="Verdana" w:eastAsia="Times New Roman" w:hAnsi="Verdana" w:cs="Times New Roman"/>
          <w:color w:val="000000"/>
          <w:lang w:eastAsia="es-CO"/>
        </w:rPr>
        <w:t>iv</w:t>
      </w:r>
      <w:proofErr w:type="spellEnd"/>
      <w:r w:rsidRPr="0017479E">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62D7B562" w14:textId="77777777" w:rsidR="0017479E" w:rsidRPr="0017479E" w:rsidRDefault="0017479E" w:rsidP="0017479E">
      <w:pPr>
        <w:spacing w:after="120" w:line="276" w:lineRule="auto"/>
        <w:ind w:firstLine="708"/>
        <w:jc w:val="both"/>
        <w:rPr>
          <w:rFonts w:ascii="Verdana" w:eastAsia="Times New Roman" w:hAnsi="Verdana" w:cs="Times New Roman"/>
          <w:color w:val="000000"/>
          <w:lang w:eastAsia="es-CO"/>
        </w:rPr>
      </w:pPr>
      <w:r w:rsidRPr="0017479E">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7479E">
        <w:rPr>
          <w:rFonts w:ascii="Verdana" w:eastAsia="Aptos" w:hAnsi="Verdana" w:cs="Times New Roman"/>
          <w:lang w:eastAsia="es-MX"/>
        </w:rPr>
        <w:t xml:space="preserve"> </w:t>
      </w:r>
    </w:p>
    <w:p w14:paraId="0856627F" w14:textId="77777777" w:rsidR="0017479E" w:rsidRPr="0017479E" w:rsidRDefault="0017479E" w:rsidP="0017479E">
      <w:pPr>
        <w:spacing w:after="120" w:line="276" w:lineRule="auto"/>
        <w:ind w:firstLine="708"/>
        <w:jc w:val="both"/>
        <w:textAlignment w:val="baseline"/>
        <w:rPr>
          <w:rFonts w:ascii="Verdana" w:eastAsia="Calibri" w:hAnsi="Verdana" w:cs="Arial"/>
          <w:lang w:eastAsia="es-MX"/>
        </w:rPr>
      </w:pPr>
      <w:r w:rsidRPr="0017479E">
        <w:rPr>
          <w:rFonts w:ascii="Verdana" w:eastAsia="Aptos" w:hAnsi="Verdana" w:cs="Times New Roman"/>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w:t>
      </w:r>
      <w:r w:rsidRPr="0017479E">
        <w:rPr>
          <w:rFonts w:ascii="Verdana" w:eastAsia="Aptos" w:hAnsi="Verdana" w:cs="Times New Roman"/>
          <w:lang w:eastAsia="es-MX"/>
        </w:rPr>
        <w:lastRenderedPageBreak/>
        <w:t>recreación y deporte, institucional y vivienda, en los procesos de selección cuyo aviso de convocatoria se publique a partir del 16 de febrero de 2026</w:t>
      </w:r>
      <w:r w:rsidRPr="0017479E">
        <w:rPr>
          <w:rFonts w:ascii="Verdana" w:eastAsia="Calibri" w:hAnsi="Verdana" w:cs="Arial"/>
          <w:vertAlign w:val="superscript"/>
          <w:lang w:eastAsia="es-MX"/>
        </w:rPr>
        <w:footnoteReference w:id="3"/>
      </w:r>
      <w:r w:rsidRPr="0017479E">
        <w:rPr>
          <w:rFonts w:ascii="Verdana" w:eastAsia="Calibri" w:hAnsi="Verdana" w:cs="Arial"/>
          <w:lang w:eastAsia="es-MX"/>
        </w:rPr>
        <w:t>.</w:t>
      </w:r>
    </w:p>
    <w:p w14:paraId="750D5935" w14:textId="77777777" w:rsidR="0017479E" w:rsidRPr="0017479E" w:rsidRDefault="0017479E" w:rsidP="0017479E">
      <w:pPr>
        <w:widowControl w:val="0"/>
        <w:autoSpaceDE w:val="0"/>
        <w:autoSpaceDN w:val="0"/>
        <w:spacing w:after="12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17479E">
        <w:rPr>
          <w:rFonts w:ascii="Verdana" w:eastAsia="Calibri" w:hAnsi="Verdana" w:cs="Times New Roman"/>
          <w:shd w:val="clear" w:color="auto" w:fill="E8E8E8"/>
          <w:lang w:val="es-ES" w:eastAsia="es-MX"/>
        </w:rPr>
        <w:t>–[texto]–,</w:t>
      </w:r>
      <w:r w:rsidRPr="0017479E">
        <w:rPr>
          <w:rFonts w:ascii="Verdana" w:eastAsia="Calibri" w:hAnsi="Verdana" w:cs="Times New Roman"/>
          <w:lang w:val="es-ES" w:eastAsia="es-MX"/>
        </w:rPr>
        <w:t xml:space="preserve"> para lo cual deberán observarse las instrucciones contenidas en los mismos para su diligenciamiento.</w:t>
      </w:r>
    </w:p>
    <w:p w14:paraId="1C243380" w14:textId="77777777" w:rsidR="0017479E" w:rsidRPr="0017479E" w:rsidRDefault="0017479E" w:rsidP="0017479E">
      <w:pPr>
        <w:widowControl w:val="0"/>
        <w:autoSpaceDE w:val="0"/>
        <w:autoSpaceDN w:val="0"/>
        <w:spacing w:after="12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3D888E5" w14:textId="77777777" w:rsidR="0017479E" w:rsidRPr="0017479E" w:rsidRDefault="0017479E" w:rsidP="0017479E">
      <w:pPr>
        <w:widowControl w:val="0"/>
        <w:autoSpaceDE w:val="0"/>
        <w:autoSpaceDN w:val="0"/>
        <w:spacing w:after="12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 xml:space="preserve">Para establecer si determinado objeto contractual se encuentra cobijado </w:t>
      </w:r>
      <w:r w:rsidRPr="0017479E">
        <w:rPr>
          <w:rFonts w:ascii="Verdana" w:eastAsia="Calibri" w:hAnsi="Verdana" w:cs="Times New Roman"/>
          <w:lang w:val="es-ES" w:eastAsia="es-MX"/>
        </w:rPr>
        <w:lastRenderedPageBreak/>
        <w:t>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5089967" w14:textId="77777777" w:rsidR="0017479E" w:rsidRPr="0017479E" w:rsidRDefault="0017479E" w:rsidP="0017479E">
      <w:pPr>
        <w:widowControl w:val="0"/>
        <w:autoSpaceDE w:val="0"/>
        <w:autoSpaceDN w:val="0"/>
        <w:spacing w:after="12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5F1C097" w14:textId="77777777" w:rsidR="0017479E" w:rsidRPr="0017479E" w:rsidRDefault="0017479E" w:rsidP="0017479E">
      <w:pPr>
        <w:widowControl w:val="0"/>
        <w:autoSpaceDE w:val="0"/>
        <w:autoSpaceDN w:val="0"/>
        <w:spacing w:after="12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26760EDD" w14:textId="77777777" w:rsidR="0017479E" w:rsidRPr="0017479E" w:rsidRDefault="0017479E" w:rsidP="0017479E">
      <w:pPr>
        <w:widowControl w:val="0"/>
        <w:autoSpaceDE w:val="0"/>
        <w:autoSpaceDN w:val="0"/>
        <w:spacing w:after="0" w:line="276" w:lineRule="auto"/>
        <w:ind w:firstLine="708"/>
        <w:jc w:val="both"/>
        <w:rPr>
          <w:rFonts w:ascii="Verdana" w:eastAsia="Calibri" w:hAnsi="Verdana" w:cs="Times New Roman"/>
          <w:lang w:val="es-ES" w:eastAsia="es-MX"/>
        </w:rPr>
      </w:pPr>
      <w:r w:rsidRPr="0017479E">
        <w:rPr>
          <w:rFonts w:ascii="Verdana" w:eastAsia="Calibri" w:hAnsi="Verdana" w:cs="Times New Roman"/>
          <w:lang w:val="es-ES" w:eastAsia="es-MX"/>
        </w:rPr>
        <w:t>De esta manera, para saber a qué actividades deben aplicarse los documentos tipo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1A24FBFF" w14:textId="77777777" w:rsidR="0017479E" w:rsidRPr="0017479E" w:rsidRDefault="0017479E" w:rsidP="0017479E">
      <w:pPr>
        <w:spacing w:after="0" w:line="276" w:lineRule="auto"/>
        <w:jc w:val="both"/>
        <w:rPr>
          <w:rFonts w:ascii="Verdana" w:eastAsia="Calibri" w:hAnsi="Verdana" w:cs="Times New Roman"/>
          <w:lang w:val="es-ES" w:eastAsia="es-MX"/>
        </w:rPr>
      </w:pPr>
    </w:p>
    <w:p w14:paraId="17E41299" w14:textId="77777777" w:rsidR="0017479E" w:rsidRPr="0017479E" w:rsidRDefault="0017479E" w:rsidP="0017479E">
      <w:pPr>
        <w:spacing w:after="120" w:line="276" w:lineRule="auto"/>
        <w:jc w:val="both"/>
        <w:rPr>
          <w:rFonts w:ascii="Verdana" w:eastAsia="Calibri" w:hAnsi="Verdana" w:cs="Times New Roman"/>
          <w:lang w:val="es-ES" w:eastAsia="es-MX"/>
        </w:rPr>
      </w:pPr>
      <w:proofErr w:type="spellStart"/>
      <w:r w:rsidRPr="0017479E">
        <w:rPr>
          <w:rFonts w:ascii="Verdana" w:eastAsia="Calibri" w:hAnsi="Verdana" w:cs="Times New Roman"/>
          <w:kern w:val="2"/>
          <w:lang w:val="es-ES"/>
          <w14:ligatures w14:val="standardContextual"/>
        </w:rPr>
        <w:t>ii</w:t>
      </w:r>
      <w:proofErr w:type="spellEnd"/>
      <w:r w:rsidRPr="0017479E">
        <w:rPr>
          <w:rFonts w:ascii="Verdana" w:eastAsia="Calibri" w:hAnsi="Verdana" w:cs="Times New Roman"/>
          <w:kern w:val="2"/>
          <w:lang w:val="es-ES"/>
          <w14:ligatures w14:val="standardContextual"/>
        </w:rPr>
        <w:t xml:space="preserve">. </w:t>
      </w:r>
      <w:r w:rsidRPr="0017479E">
        <w:rPr>
          <w:rFonts w:ascii="Verdana" w:eastAsia="Calibri" w:hAnsi="Verdana" w:cs="Times New Roman"/>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w:t>
      </w:r>
      <w:r w:rsidRPr="0017479E">
        <w:rPr>
          <w:rFonts w:ascii="Verdana" w:eastAsia="Calibri" w:hAnsi="Verdana" w:cs="Times New Roman"/>
          <w:lang w:val="es-ES" w:eastAsia="es-MX"/>
        </w:rPr>
        <w:lastRenderedPageBreak/>
        <w:t xml:space="preserve">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23AA2A76" w14:textId="77777777" w:rsidR="0017479E" w:rsidRPr="0017479E" w:rsidRDefault="0017479E" w:rsidP="0017479E">
      <w:pPr>
        <w:spacing w:after="120" w:line="276" w:lineRule="auto"/>
        <w:jc w:val="both"/>
        <w:rPr>
          <w:rFonts w:ascii="Verdana" w:eastAsia="Calibri" w:hAnsi="Verdana" w:cs="Times New Roman"/>
          <w:lang w:val="es-ES" w:eastAsia="es-MX"/>
        </w:rPr>
      </w:pPr>
      <w:r w:rsidRPr="0017479E">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522BB128" w14:textId="77777777" w:rsidR="0017479E" w:rsidRPr="0017479E" w:rsidRDefault="0017479E" w:rsidP="0017479E">
      <w:pPr>
        <w:spacing w:after="120" w:line="276" w:lineRule="auto"/>
        <w:jc w:val="both"/>
        <w:rPr>
          <w:rFonts w:ascii="Verdana" w:eastAsia="Times New Roman" w:hAnsi="Verdana" w:cs="Times New Roman"/>
          <w:color w:val="000000"/>
          <w:lang w:eastAsia="es-CO"/>
        </w:rPr>
      </w:pPr>
      <w:r w:rsidRPr="0017479E">
        <w:rPr>
          <w:rFonts w:ascii="Verdana" w:eastAsia="Calibri" w:hAnsi="Verdana" w:cs="Times New Roman"/>
          <w:lang w:val="es-ES" w:eastAsia="es-MX"/>
        </w:rPr>
        <w:tab/>
        <w:t xml:space="preserve">La Matriz 1 – Experiencia del Sector Institucional, </w:t>
      </w:r>
      <w:r w:rsidRPr="0017479E">
        <w:rPr>
          <w:rFonts w:ascii="Verdana" w:eastAsia="Times New Roman" w:hAnsi="Verdana" w:cs="Times New Roman"/>
          <w:color w:val="000000"/>
          <w:lang w:eastAsia="es-CO"/>
        </w:rPr>
        <w:t xml:space="preserve">en la modalidad de licitación pública, selección abreviada de menor cuantía y mínima cuantía dispone de los siguientes cinco (5) tipos de infraestructura: </w:t>
      </w:r>
      <w:r w:rsidRPr="0017479E">
        <w:rPr>
          <w:rFonts w:ascii="Verdana" w:eastAsia="Arial" w:hAnsi="Verdana" w:cs="Aptos"/>
          <w:kern w:val="2"/>
          <w:lang w:eastAsia="es-ES"/>
          <w14:ligatures w14:val="standardContextual"/>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17479E">
        <w:rPr>
          <w:rFonts w:ascii="Verdana" w:eastAsia="Aptos" w:hAnsi="Verdana" w:cs="Arial"/>
          <w:kern w:val="2"/>
          <w14:ligatures w14:val="standardContextual"/>
        </w:rPr>
        <w:t xml:space="preserve">. </w:t>
      </w:r>
      <w:r w:rsidRPr="0017479E">
        <w:rPr>
          <w:rFonts w:ascii="Verdana" w:eastAsia="Arial" w:hAnsi="Verdana" w:cs="Aptos"/>
          <w:lang w:eastAsia="es-ES"/>
        </w:rPr>
        <w:t xml:space="preserve">Sobre los tipos de obras señaladas, la Matriz 1 – Experiencia contiene una serie de actividades donde la entidad debe encuadrar el objeto del proceso que pretende ejecutar. Estas actividades se relacionan con proyectos de construcción, ampliación, reconstrucción, adecuación, conservación, intervención, remodelación, mantenimiento, mejoramiento, modificación, optimización, rehabilitación, remodelación, reposición, reparación, suministro, entre otras actividades, sobre infraestructura institucional. </w:t>
      </w:r>
    </w:p>
    <w:p w14:paraId="71381F86" w14:textId="77777777" w:rsidR="0017479E" w:rsidRPr="0017479E" w:rsidRDefault="0017479E" w:rsidP="0017479E">
      <w:pPr>
        <w:spacing w:after="0" w:line="276" w:lineRule="auto"/>
        <w:jc w:val="both"/>
        <w:rPr>
          <w:rFonts w:ascii="Verdana" w:eastAsia="Times New Roman" w:hAnsi="Verdana" w:cs="Times New Roman"/>
          <w:color w:val="000000"/>
          <w:lang w:eastAsia="es-CO"/>
        </w:rPr>
      </w:pPr>
      <w:r w:rsidRPr="0017479E">
        <w:rPr>
          <w:rFonts w:ascii="Verdana" w:eastAsia="Times New Roman" w:hAnsi="Verdana" w:cs="Times New Roman"/>
          <w:color w:val="000000"/>
          <w:kern w:val="2"/>
          <w:lang w:eastAsia="es-CO"/>
          <w14:ligatures w14:val="standardContextual"/>
        </w:rPr>
        <w:tab/>
        <w:t>C</w:t>
      </w:r>
      <w:r w:rsidRPr="0017479E">
        <w:rPr>
          <w:rFonts w:ascii="Verdana" w:eastAsia="Aptos" w:hAnsi="Verdana" w:cs="Times New Roman"/>
        </w:rPr>
        <w:t xml:space="preserve">oncretamente, en su solicitud usted indaga sobre el alcance de la experiencia general para la actividad “1.2. PROYECTOS DE ADECUACIÓN Y/O CONSERVACIÓN Y/O INTERVENCIÓN Y/O INSTALACIÓN Y/O MANTENIMIENTO Y/O MEJORAMIENTO Y/O MODIFICACIÓN U OPTIMIZACIÓN Y/O </w:t>
      </w:r>
      <w:r w:rsidRPr="0017479E">
        <w:rPr>
          <w:rFonts w:ascii="Verdana" w:eastAsia="Aptos" w:hAnsi="Verdana" w:cs="Times New Roman"/>
        </w:rPr>
        <w:lastRenderedPageBreak/>
        <w:t>REHABILITACIÓN Y/O REMODELACIÓN Y/O REPOSICIÓN Y/O REPARACIÓN LOCATIVA Y/O RESTAURACIÓN Y/O RESTITUCIÓN Y/O TERMINACIÓN DE INFRAESTRUCTURA DE SEGURIDAD PÚBLICA” contenida en la “Matriz 1 – Experiencia Sector Institucional”, en la modalidad de selección de licitación pública. Sobre el particular, para dicha actividad se solicita el siguiente requisito de experiencia general:</w:t>
      </w:r>
    </w:p>
    <w:p w14:paraId="111E4946" w14:textId="77777777" w:rsidR="0017479E" w:rsidRPr="0017479E" w:rsidRDefault="0017479E" w:rsidP="0017479E">
      <w:pPr>
        <w:snapToGrid w:val="0"/>
        <w:spacing w:after="0" w:line="240" w:lineRule="auto"/>
        <w:ind w:left="709" w:right="709"/>
        <w:jc w:val="both"/>
        <w:rPr>
          <w:rFonts w:ascii="Verdana" w:eastAsia="Calibri" w:hAnsi="Verdana" w:cs="Arial"/>
          <w:color w:val="0D0D0D"/>
          <w:lang w:eastAsia="es-MX"/>
        </w:rPr>
      </w:pPr>
    </w:p>
    <w:p w14:paraId="51EDC3FE" w14:textId="77777777" w:rsidR="0017479E" w:rsidRPr="0017479E" w:rsidRDefault="0017479E" w:rsidP="0017479E">
      <w:pPr>
        <w:snapToGrid w:val="0"/>
        <w:spacing w:after="120" w:line="240" w:lineRule="auto"/>
        <w:ind w:left="709" w:right="709"/>
        <w:jc w:val="both"/>
        <w:rPr>
          <w:rFonts w:ascii="Verdana" w:eastAsia="Calibri" w:hAnsi="Verdana" w:cs="Arial"/>
          <w:color w:val="0D0D0D"/>
          <w:sz w:val="21"/>
          <w:szCs w:val="21"/>
          <w:lang w:eastAsia="es-MX"/>
        </w:rPr>
      </w:pPr>
      <w:r w:rsidRPr="0017479E">
        <w:rPr>
          <w:rFonts w:ascii="Verdana" w:eastAsia="Calibri" w:hAnsi="Verdana" w:cs="Arial"/>
          <w:color w:val="0D0D0D"/>
          <w:sz w:val="21"/>
          <w:szCs w:val="21"/>
          <w:lang w:eastAsia="es-MX"/>
        </w:rPr>
        <w:t>“General:</w:t>
      </w:r>
    </w:p>
    <w:p w14:paraId="2984BEA4" w14:textId="77777777" w:rsidR="0017479E" w:rsidRPr="0017479E" w:rsidRDefault="0017479E" w:rsidP="0017479E">
      <w:pPr>
        <w:snapToGrid w:val="0"/>
        <w:spacing w:after="0" w:line="240" w:lineRule="auto"/>
        <w:ind w:left="709" w:right="709"/>
        <w:jc w:val="both"/>
        <w:rPr>
          <w:rFonts w:ascii="Verdana" w:eastAsia="Arial" w:hAnsi="Verdana" w:cs="Arial"/>
          <w:sz w:val="21"/>
          <w:szCs w:val="21"/>
          <w:lang w:val="es-ES" w:eastAsia="es-ES_tradnl"/>
        </w:rPr>
      </w:pPr>
      <w:r w:rsidRPr="0017479E">
        <w:rPr>
          <w:rFonts w:ascii="Verdana" w:eastAsia="Arial" w:hAnsi="Verdana" w:cs="Arial"/>
          <w:sz w:val="21"/>
          <w:szCs w:val="21"/>
          <w:lang w:val="es-ES" w:eastAsia="es-ES_tradnl"/>
        </w:rPr>
        <w:t>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EDIFICACIONES”.</w:t>
      </w:r>
    </w:p>
    <w:p w14:paraId="64926B79" w14:textId="77777777" w:rsidR="0017479E" w:rsidRPr="0017479E" w:rsidRDefault="0017479E" w:rsidP="0017479E">
      <w:pPr>
        <w:snapToGrid w:val="0"/>
        <w:spacing w:after="0" w:line="240" w:lineRule="auto"/>
        <w:ind w:left="709" w:right="709"/>
        <w:jc w:val="both"/>
        <w:rPr>
          <w:rFonts w:ascii="Verdana" w:eastAsia="Arial" w:hAnsi="Verdana" w:cs="Arial"/>
          <w:sz w:val="21"/>
          <w:szCs w:val="21"/>
          <w:lang w:val="es-ES" w:eastAsia="es-ES_tradnl"/>
        </w:rPr>
      </w:pPr>
    </w:p>
    <w:p w14:paraId="6031EF40" w14:textId="77777777" w:rsidR="0017479E" w:rsidRPr="0017479E" w:rsidRDefault="0017479E" w:rsidP="0017479E">
      <w:pPr>
        <w:spacing w:after="120" w:line="276" w:lineRule="auto"/>
        <w:ind w:firstLine="708"/>
        <w:jc w:val="both"/>
        <w:rPr>
          <w:rFonts w:ascii="Verdana" w:eastAsia="Aptos" w:hAnsi="Verdana" w:cs="Times New Roman"/>
        </w:rPr>
      </w:pPr>
      <w:r w:rsidRPr="0017479E">
        <w:rPr>
          <w:rFonts w:ascii="Verdana" w:eastAsia="Aptos" w:hAnsi="Verdana" w:cs="Times New Roman"/>
        </w:rPr>
        <w:t xml:space="preserve">Como se aprecia, para la actividad 1.2 contenida en la "Matriz 1 – Experiencia Sector Institucional", se establece que la acreditación de la experiencia general debe darse en </w:t>
      </w:r>
      <w:r w:rsidRPr="0017479E">
        <w:rPr>
          <w:rFonts w:ascii="Verdana" w:eastAsia="Arial" w:hAnsi="Verdana" w:cs="Arial"/>
          <w:lang w:val="es-ES" w:eastAsia="es-ES_tradnl"/>
        </w:rPr>
        <w:t xml:space="preserve">proyectos que correspondan y/o contemplen actividades de: construcción y/o ampliación y/o reconstrucción y/o adecuación y/o conservación y/o intervención y/o instalación y/o mantenimiento y/o mejoramiento y/o modificación u optimización y/o reinstalación y/o rehabilitación y/o remodelación y/o reposición y/o reparación locativa y/o restauración y/o restitución y/o sustitución y/o terminación de </w:t>
      </w:r>
      <w:r w:rsidRPr="0017479E">
        <w:rPr>
          <w:rFonts w:ascii="Verdana" w:eastAsia="Aptos" w:hAnsi="Verdana" w:cs="Times New Roman"/>
          <w:b/>
          <w:bCs/>
        </w:rPr>
        <w:t>“edificaciones”</w:t>
      </w:r>
      <w:r w:rsidRPr="0017479E">
        <w:rPr>
          <w:rFonts w:ascii="Verdana" w:eastAsia="Aptos" w:hAnsi="Verdana" w:cs="Times New Roman"/>
        </w:rPr>
        <w:t>, sin que se realicen distinciones o se establezcan restricciones específicas respecto de algún tipo de edificación con destinación de uso particular.</w:t>
      </w:r>
    </w:p>
    <w:p w14:paraId="76B45279" w14:textId="77777777" w:rsidR="0017479E" w:rsidRPr="0017479E" w:rsidRDefault="0017479E" w:rsidP="0017479E">
      <w:pPr>
        <w:spacing w:after="120" w:line="276" w:lineRule="auto"/>
        <w:ind w:firstLine="708"/>
        <w:jc w:val="both"/>
        <w:rPr>
          <w:rFonts w:ascii="Verdana" w:eastAsia="Aptos" w:hAnsi="Verdana" w:cs="Times New Roman"/>
          <w:kern w:val="2"/>
          <w14:ligatures w14:val="standardContextual"/>
        </w:rPr>
      </w:pPr>
      <w:r w:rsidRPr="0017479E">
        <w:rPr>
          <w:rFonts w:ascii="Verdana" w:eastAsia="Aptos" w:hAnsi="Verdana" w:cs="Times New Roman"/>
          <w:kern w:val="2"/>
          <w14:ligatures w14:val="standardContextual"/>
        </w:rPr>
        <w:t xml:space="preserve">En este sentido, considerando que una edificación, de acuerdo con el artículo 4 de la Ley 400 de 1997, se define como </w:t>
      </w:r>
      <w:r w:rsidRPr="0017479E">
        <w:rPr>
          <w:rFonts w:ascii="Verdana" w:eastAsia="Aptos" w:hAnsi="Verdana" w:cs="Times New Roman"/>
          <w:i/>
          <w:iCs/>
          <w:kern w:val="2"/>
          <w14:ligatures w14:val="standardContextual"/>
        </w:rPr>
        <w:t>“(…) una construcción cuyo uso primordial es la habitación u ocupación por seres humanos”,</w:t>
      </w:r>
      <w:r w:rsidRPr="0017479E">
        <w:rPr>
          <w:rFonts w:ascii="Verdana" w:eastAsia="Aptos" w:hAnsi="Verdana" w:cs="Times New Roman"/>
          <w:kern w:val="2"/>
          <w14:ligatures w14:val="standardContextual"/>
        </w:rPr>
        <w:t xml:space="preserve"> y que la edificación convencional es “(…) aquella estructura concebida de tal manera que su geometría, dimensiones generales, dimensiones de sus miembros estructurales, materiales estructurales empleados y procedimientos de dimensionamiento y determinación de la resistencia de sus miembros estructurales ante todas las solicitaciones a las que puedan verse sometidos durante su vida útil estén previstos en la normativa y reglamentación contenida en el Reglamento NSR-10 </w:t>
      </w:r>
      <w:r w:rsidRPr="0017479E">
        <w:rPr>
          <w:rFonts w:ascii="Verdana" w:eastAsia="Aptos" w:hAnsi="Verdana" w:cs="Times New Roman"/>
          <w:kern w:val="2"/>
          <w14:ligatures w14:val="standardContextual"/>
        </w:rPr>
        <w:lastRenderedPageBreak/>
        <w:t>(…)”</w:t>
      </w:r>
      <w:r w:rsidRPr="0017479E">
        <w:rPr>
          <w:rFonts w:ascii="Verdana" w:eastAsia="Aptos" w:hAnsi="Verdana" w:cs="Times New Roman"/>
          <w:kern w:val="2"/>
          <w:vertAlign w:val="superscript"/>
          <w14:ligatures w14:val="standardContextual"/>
        </w:rPr>
        <w:footnoteReference w:id="4"/>
      </w:r>
      <w:r w:rsidRPr="0017479E">
        <w:rPr>
          <w:rFonts w:ascii="Verdana" w:eastAsia="Aptos" w:hAnsi="Verdana" w:cs="Times New Roman"/>
          <w:kern w:val="2"/>
          <w14:ligatures w14:val="standardContextual"/>
        </w:rPr>
        <w:t>, se tiene que la construcción de edificaciones, en términos generales, está determinada por el cumplimiento de las normas técnicas reglamentarias y, en particular, por lo dispuesto en la Norma Sismo Resistente NSR-10 y demás disposiciones aplicables a este tipo de infraestructura.</w:t>
      </w:r>
    </w:p>
    <w:p w14:paraId="7ECCDF31" w14:textId="77777777" w:rsidR="0017479E" w:rsidRPr="0017479E" w:rsidRDefault="0017479E" w:rsidP="0017479E">
      <w:pPr>
        <w:spacing w:before="120" w:after="120" w:line="276" w:lineRule="auto"/>
        <w:ind w:firstLine="708"/>
        <w:jc w:val="both"/>
        <w:rPr>
          <w:rFonts w:ascii="Verdana" w:eastAsia="Aptos" w:hAnsi="Verdana" w:cs="Times New Roman"/>
          <w:kern w:val="2"/>
          <w14:ligatures w14:val="standardContextual"/>
        </w:rPr>
      </w:pPr>
      <w:r w:rsidRPr="0017479E">
        <w:rPr>
          <w:rFonts w:ascii="Verdana" w:eastAsia="Aptos" w:hAnsi="Verdana" w:cs="Times New Roman"/>
          <w:kern w:val="2"/>
          <w14:ligatures w14:val="standardContextual"/>
        </w:rPr>
        <w:t>En consecuencia, la experiencia general solicitada en la “Matriz 1 – Experiencia Sector Institucional”, con el fin de no limitar la concurrencia de oferentes, se refiere a experiencia en edificaciones sin distinción de su destinación o uso, tales como cultura, recreación y deporte, salud, educación, vivienda o infraestructura institucional, entre otros.</w:t>
      </w:r>
    </w:p>
    <w:p w14:paraId="149B68F1"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En relación con la posibilidad de que una entidad que adelanta un proceso de selección bajo los documentos tipo de licitación de obra pública de infraestructura social –particularmente los del sector institucional– restrinja la acreditación de la experiencia general prevista para la actividad 1.2, exigiendo que esta recaiga exclusivamente sobre edificaciones de seguridad pública y no sobre la generalidad “Edificaciones”, debe indicarse que dicha posibilidad se encuentra restringida para la entidad, comoquiera que este es un aspecto sobre el cual recae la regla de inalterabilidad que se predica de los documentos tipo y, en particular, lo dispuesto en la introducción de la Matriz 1 – Experiencia Sector Institucional, la cual señala que “[Las Entidades Estatales no podrán incluir, modificar, suprimir y/o alterar las condiciones de experiencia establecidas en esta Matriz, salvo cuando de forma expresa esta lo determine]”.</w:t>
      </w:r>
    </w:p>
    <w:p w14:paraId="2915AF0F"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La experiencia general dispuesta para la actividad 1.2 de la Matriz 1 – Experiencia Sector Institucional no corresponde a uno de aquellos apartes de la Matriz respecto de los cuales se permite su modificación, por lo tanto, la entidad no podrá introducir ningún requisito adicional para su acreditación distinto del expresamente señalado.</w:t>
      </w:r>
    </w:p>
    <w:p w14:paraId="3FE98D31" w14:textId="77777777" w:rsidR="0017479E" w:rsidRPr="0017479E" w:rsidRDefault="0017479E" w:rsidP="0017479E">
      <w:pPr>
        <w:spacing w:before="120" w:after="120" w:line="276" w:lineRule="auto"/>
        <w:ind w:firstLine="708"/>
        <w:jc w:val="both"/>
        <w:rPr>
          <w:rFonts w:ascii="Verdana" w:eastAsia="Times New Roman" w:hAnsi="Verdana" w:cs="Times New Roman"/>
          <w:lang w:eastAsia="es-MX"/>
        </w:rPr>
      </w:pPr>
      <w:r w:rsidRPr="0017479E">
        <w:rPr>
          <w:rFonts w:ascii="Verdana" w:eastAsia="Times New Roman" w:hAnsi="Verdana" w:cs="Times New Roman"/>
          <w:lang w:eastAsia="es-MX"/>
        </w:rPr>
        <w:t xml:space="preserve">Si bien la actividad 1.2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SEGURIDAD PÚBLICA”, se encuentra prevista para el </w:t>
      </w:r>
      <w:r w:rsidRPr="0017479E">
        <w:rPr>
          <w:rFonts w:ascii="Verdana" w:eastAsia="Times New Roman" w:hAnsi="Verdana" w:cs="Times New Roman"/>
          <w:lang w:eastAsia="es-MX"/>
        </w:rPr>
        <w:lastRenderedPageBreak/>
        <w:t>tipo de obras en proyectos de infraestructura institucional de seguridad pública, esto no habilita a la entidad que adelanta el proceso, para exigir requisitos de experiencia general distintos de los contenidos en la actividad señalada, toda vez que, como se indicó con anterioridad, la experiencia general se solicita en relación con “edificaciones”, precisamente para no limitar la pluralidad de oferentes.</w:t>
      </w:r>
    </w:p>
    <w:p w14:paraId="7DDA7A39" w14:textId="77777777" w:rsidR="0017479E" w:rsidRPr="0017479E" w:rsidRDefault="0017479E" w:rsidP="0017479E">
      <w:pPr>
        <w:spacing w:after="0" w:line="276" w:lineRule="auto"/>
        <w:ind w:firstLine="708"/>
        <w:jc w:val="both"/>
        <w:rPr>
          <w:rFonts w:ascii="Verdana" w:eastAsia="Aptos" w:hAnsi="Verdana" w:cs="Times New Roman"/>
          <w:kern w:val="2"/>
          <w14:ligatures w14:val="standardContextual"/>
        </w:rPr>
      </w:pPr>
      <w:r w:rsidRPr="0017479E">
        <w:rPr>
          <w:rFonts w:ascii="Verdana" w:eastAsia="Aptos" w:hAnsi="Verdana" w:cs="Times New Roman"/>
          <w:kern w:val="2"/>
          <w14:ligatures w14:val="standardContextual"/>
        </w:rPr>
        <w:t>Sostener una interpretación distinta, en el sentido de exigir que el contrato que acredite la experiencia general corresponda necesariamente a infraestructura de seguridad pública, implicaría introducir una restricción no contemplada expresamente en la “Matriz 1 – Experiencia Sector Institucional” para la actividad 1.2, que adicionalmente, resultaría contraria a la finalidad enunciada de no limitar la concurrencia de oferentes al proceso de selección. Lo anterior, en tanto se estaría supeditando el cumplimiento del requisito a una condición que no fue prevista para tal efecto, generando con ello una exigencia adicional que desconocería el alcance y la finalidad con que fue concebida la experiencia general para la actividad en mención.</w:t>
      </w:r>
    </w:p>
    <w:p w14:paraId="418FCC5A" w14:textId="77777777" w:rsidR="0017479E" w:rsidRPr="0017479E" w:rsidRDefault="0017479E" w:rsidP="0017479E">
      <w:pPr>
        <w:spacing w:after="0" w:line="276" w:lineRule="auto"/>
        <w:jc w:val="both"/>
        <w:rPr>
          <w:rFonts w:ascii="Verdana" w:eastAsia="Times New Roman" w:hAnsi="Verdana" w:cs="Calibri"/>
          <w:lang w:eastAsia="es-MX"/>
        </w:rPr>
      </w:pPr>
    </w:p>
    <w:p w14:paraId="449F64E6" w14:textId="77777777" w:rsidR="0017479E" w:rsidRPr="0017479E" w:rsidRDefault="0017479E" w:rsidP="0017479E">
      <w:pPr>
        <w:spacing w:after="120" w:line="276" w:lineRule="auto"/>
        <w:jc w:val="both"/>
        <w:rPr>
          <w:rFonts w:ascii="Verdana" w:eastAsia="Aptos" w:hAnsi="Verdana" w:cs="Times New Roman"/>
        </w:rPr>
      </w:pPr>
      <w:proofErr w:type="spellStart"/>
      <w:r w:rsidRPr="0017479E">
        <w:rPr>
          <w:rFonts w:ascii="Verdana" w:eastAsia="Calibri" w:hAnsi="Verdana" w:cs="Times New Roman"/>
          <w:lang w:val="es-ES"/>
        </w:rPr>
        <w:t>iii</w:t>
      </w:r>
      <w:proofErr w:type="spellEnd"/>
      <w:r w:rsidRPr="0017479E">
        <w:rPr>
          <w:rFonts w:ascii="Verdana" w:eastAsia="Calibri" w:hAnsi="Verdana" w:cs="Times New Roman"/>
          <w:lang w:val="es-ES"/>
        </w:rPr>
        <w:t>. 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1EE9AFB" w14:textId="77777777" w:rsidR="0017479E" w:rsidRPr="0017479E" w:rsidRDefault="0017479E" w:rsidP="0017479E">
      <w:pPr>
        <w:spacing w:after="0" w:line="278" w:lineRule="auto"/>
        <w:ind w:firstLine="709"/>
        <w:jc w:val="both"/>
        <w:rPr>
          <w:rFonts w:ascii="Verdana" w:eastAsia="Calibri" w:hAnsi="Verdana" w:cs="Times New Roman"/>
          <w:lang w:val="es-ES"/>
        </w:rPr>
      </w:pPr>
      <w:r w:rsidRPr="0017479E">
        <w:rPr>
          <w:rFonts w:ascii="Verdana" w:eastAsia="Calibri" w:hAnsi="Verdana" w:cs="Times New Roman"/>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9BC5757" w14:textId="77777777" w:rsidR="0017479E" w:rsidRPr="0017479E" w:rsidRDefault="0017479E" w:rsidP="0017479E">
      <w:pPr>
        <w:spacing w:after="0" w:line="276" w:lineRule="auto"/>
        <w:jc w:val="both"/>
        <w:rPr>
          <w:rFonts w:ascii="Verdana" w:eastAsia="Calibri" w:hAnsi="Verdana" w:cs="Times New Roman"/>
          <w:lang w:eastAsia="es-MX"/>
        </w:rPr>
      </w:pPr>
    </w:p>
    <w:p w14:paraId="396F7B60" w14:textId="77777777" w:rsidR="0017479E" w:rsidRPr="0017479E" w:rsidRDefault="0017479E" w:rsidP="0017479E">
      <w:pPr>
        <w:tabs>
          <w:tab w:val="left" w:pos="142"/>
          <w:tab w:val="left" w:pos="284"/>
        </w:tabs>
        <w:spacing w:after="0" w:line="276" w:lineRule="auto"/>
        <w:jc w:val="both"/>
        <w:rPr>
          <w:rFonts w:ascii="Verdana" w:eastAsia="Century Gothic" w:hAnsi="Verdana" w:cs="Century Gothic"/>
          <w:b/>
          <w:bCs/>
          <w:lang w:val="es-ES_tradnl" w:eastAsia="es-MX"/>
        </w:rPr>
      </w:pPr>
      <w:r w:rsidRPr="0017479E">
        <w:rPr>
          <w:rFonts w:ascii="Verdana" w:eastAsia="Century Gothic" w:hAnsi="Verdana" w:cs="Century Gothic"/>
          <w:b/>
          <w:bCs/>
          <w:lang w:val="es-ES_tradnl" w:eastAsia="es-MX"/>
        </w:rPr>
        <w:t>4. Referencias normativas, jurisprudenciales y otras fuentes:</w:t>
      </w:r>
    </w:p>
    <w:p w14:paraId="04DCD264" w14:textId="77777777" w:rsidR="0017479E" w:rsidRPr="0017479E" w:rsidRDefault="0017479E" w:rsidP="0017479E">
      <w:pPr>
        <w:spacing w:after="0"/>
        <w:ind w:left="-15840"/>
        <w:jc w:val="both"/>
        <w:rPr>
          <w:rFonts w:ascii="Verdana" w:eastAsia="Calibri" w:hAnsi="Verdana" w:cs="Arial"/>
          <w:b/>
          <w:bCs/>
          <w:lang w:eastAsia="es-MX"/>
        </w:rPr>
      </w:pPr>
      <w:r w:rsidRPr="0017479E">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7479E" w:rsidRPr="0017479E" w14:paraId="315A3B0C" w14:textId="77777777" w:rsidTr="00E75FD1">
        <w:trPr>
          <w:trHeight w:val="870"/>
        </w:trPr>
        <w:tc>
          <w:tcPr>
            <w:tcW w:w="8647" w:type="dxa"/>
            <w:tcBorders>
              <w:top w:val="dotted" w:sz="4" w:space="0" w:color="auto"/>
              <w:left w:val="dotted" w:sz="4" w:space="0" w:color="auto"/>
              <w:bottom w:val="dotted" w:sz="4" w:space="0" w:color="auto"/>
              <w:right w:val="dotted" w:sz="4" w:space="0" w:color="auto"/>
            </w:tcBorders>
          </w:tcPr>
          <w:p w14:paraId="268008DE" w14:textId="77777777" w:rsidR="0017479E" w:rsidRPr="0017479E" w:rsidRDefault="0017479E" w:rsidP="0017479E">
            <w:pPr>
              <w:contextualSpacing/>
              <w:jc w:val="both"/>
              <w:rPr>
                <w:rFonts w:ascii="Verdana" w:eastAsia="Calibri" w:hAnsi="Verdana" w:cs="Arial"/>
                <w:bCs/>
                <w:lang w:eastAsia="es-MX"/>
              </w:rPr>
            </w:pPr>
          </w:p>
          <w:p w14:paraId="18E0EB84" w14:textId="77777777" w:rsidR="0017479E" w:rsidRPr="0017479E" w:rsidRDefault="0017479E" w:rsidP="0017479E">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17479E">
              <w:rPr>
                <w:rFonts w:ascii="Verdana" w:eastAsia="Calibri" w:hAnsi="Verdana" w:cs="Arial"/>
                <w:lang w:val="es-ES_tradnl" w:eastAsia="es-MX"/>
              </w:rPr>
              <w:t xml:space="preserve">Ley 2022 de 2020, artículo 1. </w:t>
            </w:r>
          </w:p>
          <w:p w14:paraId="07B7E9A5" w14:textId="77777777" w:rsidR="0017479E" w:rsidRPr="0017479E" w:rsidRDefault="0017479E" w:rsidP="0017479E">
            <w:pPr>
              <w:widowControl w:val="0"/>
              <w:numPr>
                <w:ilvl w:val="0"/>
                <w:numId w:val="16"/>
              </w:numPr>
              <w:autoSpaceDE w:val="0"/>
              <w:autoSpaceDN w:val="0"/>
              <w:spacing w:line="276" w:lineRule="auto"/>
              <w:jc w:val="both"/>
              <w:rPr>
                <w:rFonts w:ascii="Verdana" w:eastAsia="Calibri" w:hAnsi="Verdana" w:cs="Arial"/>
                <w:lang w:eastAsia="es-MX"/>
              </w:rPr>
            </w:pPr>
            <w:r w:rsidRPr="0017479E">
              <w:rPr>
                <w:rFonts w:ascii="Verdana" w:eastAsia="Calibri" w:hAnsi="Verdana" w:cs="Arial"/>
                <w:lang w:eastAsia="es-MX"/>
              </w:rPr>
              <w:t>Ley 1150 de 2007, artículo 2.</w:t>
            </w:r>
          </w:p>
          <w:p w14:paraId="358B0561" w14:textId="77777777" w:rsidR="0017479E" w:rsidRPr="0017479E" w:rsidRDefault="0017479E" w:rsidP="0017479E">
            <w:pPr>
              <w:widowControl w:val="0"/>
              <w:numPr>
                <w:ilvl w:val="0"/>
                <w:numId w:val="16"/>
              </w:numPr>
              <w:autoSpaceDE w:val="0"/>
              <w:autoSpaceDN w:val="0"/>
              <w:spacing w:line="276" w:lineRule="auto"/>
              <w:contextualSpacing/>
              <w:jc w:val="both"/>
              <w:rPr>
                <w:rFonts w:ascii="Verdana" w:eastAsia="Calibri" w:hAnsi="Verdana" w:cs="Arial"/>
                <w:lang w:eastAsia="es-MX"/>
              </w:rPr>
            </w:pPr>
            <w:r w:rsidRPr="0017479E">
              <w:rPr>
                <w:rFonts w:ascii="Verdana" w:eastAsia="Calibri" w:hAnsi="Verdana" w:cs="Arial"/>
                <w:lang w:val="es-ES_tradnl" w:eastAsia="es-MX"/>
              </w:rPr>
              <w:t xml:space="preserve">Documentos Tipo. Disponibles en: </w:t>
            </w:r>
            <w:hyperlink r:id="rId11" w:history="1">
              <w:r w:rsidRPr="0017479E">
                <w:rPr>
                  <w:rFonts w:ascii="Verdana" w:eastAsia="Calibri" w:hAnsi="Verdana" w:cs="Arial"/>
                  <w:color w:val="0000FF"/>
                  <w:u w:val="single"/>
                  <w:lang w:val="es-ES_tradnl" w:eastAsia="es-MX"/>
                </w:rPr>
                <w:t>https://www.colombiacompra.gov.co/documentos-tipo/documentos-tipo</w:t>
              </w:r>
            </w:hyperlink>
            <w:r w:rsidRPr="0017479E">
              <w:rPr>
                <w:rFonts w:ascii="Verdana" w:eastAsia="Calibri" w:hAnsi="Verdana" w:cs="Arial"/>
                <w:lang w:val="es-ES_tradnl" w:eastAsia="es-MX"/>
              </w:rPr>
              <w:t>.</w:t>
            </w:r>
          </w:p>
        </w:tc>
      </w:tr>
    </w:tbl>
    <w:p w14:paraId="6D9808E8" w14:textId="77777777" w:rsidR="0017479E" w:rsidRPr="0017479E" w:rsidRDefault="0017479E" w:rsidP="0017479E">
      <w:pPr>
        <w:tabs>
          <w:tab w:val="left" w:pos="142"/>
          <w:tab w:val="left" w:pos="284"/>
        </w:tabs>
        <w:spacing w:after="0" w:line="276" w:lineRule="auto"/>
        <w:jc w:val="both"/>
        <w:rPr>
          <w:rFonts w:ascii="Verdana" w:eastAsia="Calibri" w:hAnsi="Verdana" w:cs="Arial"/>
          <w:lang w:eastAsia="es-MX"/>
        </w:rPr>
      </w:pPr>
    </w:p>
    <w:p w14:paraId="7C9AAC68" w14:textId="77777777" w:rsidR="0017479E" w:rsidRPr="0017479E" w:rsidRDefault="0017479E" w:rsidP="0017479E">
      <w:pPr>
        <w:tabs>
          <w:tab w:val="left" w:pos="142"/>
          <w:tab w:val="left" w:pos="284"/>
        </w:tabs>
        <w:spacing w:after="0" w:line="276" w:lineRule="auto"/>
        <w:jc w:val="both"/>
        <w:rPr>
          <w:rFonts w:ascii="Verdana" w:eastAsia="Century Gothic" w:hAnsi="Verdana" w:cs="Century Gothic"/>
          <w:b/>
          <w:bCs/>
          <w:lang w:val="es-ES" w:eastAsia="es-MX"/>
        </w:rPr>
      </w:pPr>
      <w:r w:rsidRPr="0017479E">
        <w:rPr>
          <w:rFonts w:ascii="Verdana" w:eastAsia="Calibri" w:hAnsi="Verdana" w:cs="Arial"/>
          <w:b/>
          <w:bCs/>
          <w:lang w:eastAsia="es-MX"/>
        </w:rPr>
        <w:t>5</w:t>
      </w:r>
      <w:r w:rsidRPr="0017479E">
        <w:rPr>
          <w:rFonts w:ascii="Verdana" w:eastAsia="Calibri" w:hAnsi="Verdana" w:cs="Arial"/>
          <w:lang w:eastAsia="es-MX"/>
        </w:rPr>
        <w:t>.</w:t>
      </w:r>
      <w:r w:rsidRPr="0017479E">
        <w:rPr>
          <w:rFonts w:ascii="Verdana" w:eastAsia="Century Gothic" w:hAnsi="Verdana" w:cs="Century Gothic"/>
          <w:b/>
          <w:bCs/>
          <w:lang w:val="es-ES" w:eastAsia="es-MX"/>
        </w:rPr>
        <w:t>Doctrina de la Agencia Nacional de Contratación Pública:</w:t>
      </w:r>
    </w:p>
    <w:p w14:paraId="54D502D9" w14:textId="77777777" w:rsidR="0017479E" w:rsidRPr="0017479E" w:rsidRDefault="0017479E" w:rsidP="0017479E">
      <w:pPr>
        <w:widowControl w:val="0"/>
        <w:autoSpaceDE w:val="0"/>
        <w:autoSpaceDN w:val="0"/>
        <w:spacing w:after="0" w:line="276" w:lineRule="auto"/>
        <w:jc w:val="both"/>
        <w:rPr>
          <w:rFonts w:ascii="Verdana" w:eastAsia="Calibri" w:hAnsi="Verdana" w:cs="Arial"/>
          <w:lang w:eastAsia="es-MX"/>
        </w:rPr>
      </w:pPr>
    </w:p>
    <w:p w14:paraId="0ADB1C6C" w14:textId="77777777" w:rsidR="0017479E" w:rsidRPr="0017479E" w:rsidRDefault="0017479E" w:rsidP="0017479E">
      <w:pPr>
        <w:spacing w:after="0" w:line="276" w:lineRule="auto"/>
        <w:jc w:val="both"/>
        <w:rPr>
          <w:rFonts w:ascii="Verdana" w:eastAsia="Calibri" w:hAnsi="Verdana" w:cs="Arial"/>
          <w:shd w:val="clear" w:color="auto" w:fill="FFFFFF"/>
          <w:lang w:val="es-ES" w:eastAsia="es-MX"/>
        </w:rPr>
      </w:pPr>
      <w:r w:rsidRPr="0017479E">
        <w:rPr>
          <w:rFonts w:ascii="Verdana" w:eastAsia="Calibri" w:hAnsi="Verdana" w:cs="Arial"/>
          <w:shd w:val="clear" w:color="auto" w:fill="FFFFFF"/>
          <w:lang w:val="es-ES" w:eastAsia="es-MX"/>
        </w:rPr>
        <w:t>La Agencia Nacional de Contratación Pública – Colombia Compra Eficiente se pronunció</w:t>
      </w:r>
      <w:r w:rsidRPr="0017479E">
        <w:rPr>
          <w:rFonts w:ascii="Verdana" w:eastAsia="Calibri" w:hAnsi="Verdana" w:cs="Times New Roman"/>
          <w:lang w:eastAsia="es-MX"/>
        </w:rPr>
        <w:t xml:space="preserve"> </w:t>
      </w:r>
      <w:r w:rsidRPr="0017479E">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17479E">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C-1048 del 5 de agosto de 2026 entre otros. </w:t>
      </w:r>
    </w:p>
    <w:p w14:paraId="12DE09B1" w14:textId="77777777" w:rsidR="0017479E" w:rsidRPr="0017479E" w:rsidRDefault="0017479E" w:rsidP="0017479E">
      <w:pPr>
        <w:spacing w:after="0" w:line="276" w:lineRule="auto"/>
        <w:jc w:val="both"/>
        <w:rPr>
          <w:rFonts w:ascii="Verdana" w:eastAsia="Calibri" w:hAnsi="Verdana" w:cs="Arial"/>
          <w:color w:val="000000"/>
          <w:shd w:val="clear" w:color="auto" w:fill="FFFFFF"/>
          <w:lang w:val="es-ES" w:eastAsia="es-MX"/>
        </w:rPr>
      </w:pPr>
    </w:p>
    <w:p w14:paraId="6B269674" w14:textId="77777777" w:rsidR="0017479E" w:rsidRPr="0017479E" w:rsidRDefault="0017479E" w:rsidP="0017479E">
      <w:pPr>
        <w:spacing w:after="0" w:line="276" w:lineRule="auto"/>
        <w:jc w:val="both"/>
        <w:rPr>
          <w:rFonts w:ascii="Verdana" w:eastAsia="Aptos" w:hAnsi="Verdana" w:cs="Times New Roman"/>
          <w:kern w:val="2"/>
          <w14:ligatures w14:val="standardContextual"/>
        </w:rPr>
      </w:pPr>
      <w:r w:rsidRPr="0017479E">
        <w:rPr>
          <w:rFonts w:ascii="Verdana" w:eastAsia="Aptos" w:hAnsi="Verdana" w:cs="Times New Roman"/>
          <w:kern w:val="2"/>
          <w14:ligatures w14:val="standardContextual"/>
        </w:rPr>
        <w:t>Particularmente, sobre la acreditación de la experiencia para las actividades contenidas en la Matriz 1 – Experiencia de los documentos tipo de infraestructura social en "Edificaciones", esta Agencia se pronunció en los conceptos C-790 del 1 de junio de 2026 y C-1169 del 3 de septiembre de 2026.</w:t>
      </w:r>
    </w:p>
    <w:p w14:paraId="4266C119" w14:textId="77777777" w:rsidR="0017479E" w:rsidRPr="0017479E" w:rsidRDefault="0017479E" w:rsidP="0017479E">
      <w:pPr>
        <w:spacing w:after="0" w:line="240" w:lineRule="auto"/>
        <w:jc w:val="both"/>
        <w:rPr>
          <w:rFonts w:ascii="Verdana" w:eastAsia="Calibri" w:hAnsi="Verdana" w:cs="Arial"/>
          <w:color w:val="000000"/>
          <w:shd w:val="clear" w:color="auto" w:fill="FFFFFF"/>
          <w:lang w:val="es-ES" w:eastAsia="es-MX"/>
        </w:rPr>
      </w:pPr>
    </w:p>
    <w:p w14:paraId="7B0AB791" w14:textId="77777777" w:rsidR="0017479E" w:rsidRPr="0017479E" w:rsidRDefault="0017479E" w:rsidP="0017479E">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17479E">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17479E">
          <w:rPr>
            <w:rFonts w:ascii="Verdana" w:eastAsia="Calibri" w:hAnsi="Verdana" w:cs="Arial"/>
            <w:color w:val="0000FF"/>
            <w:u w:val="single"/>
            <w:shd w:val="clear" w:color="auto" w:fill="FFFFFF"/>
            <w:lang w:eastAsia="es-MX"/>
          </w:rPr>
          <w:t>https://relatoria.colombiacompra.gov.co/</w:t>
        </w:r>
      </w:hyperlink>
      <w:r w:rsidRPr="0017479E">
        <w:rPr>
          <w:rFonts w:ascii="Verdana" w:eastAsia="Calibri" w:hAnsi="Verdana" w:cs="Arial"/>
          <w:color w:val="0000FF"/>
          <w:u w:val="single"/>
          <w:shd w:val="clear" w:color="auto" w:fill="FFFFFF"/>
          <w:lang w:eastAsia="es-MX"/>
        </w:rPr>
        <w:t> .</w:t>
      </w:r>
    </w:p>
    <w:p w14:paraId="65312D8F" w14:textId="77777777" w:rsidR="0017479E" w:rsidRPr="0017479E" w:rsidRDefault="0017479E" w:rsidP="0017479E">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2AADB8C4" w14:textId="77777777" w:rsidR="0017479E" w:rsidRPr="0017479E" w:rsidRDefault="0017479E" w:rsidP="0017479E">
      <w:pPr>
        <w:spacing w:after="0" w:line="276" w:lineRule="auto"/>
        <w:jc w:val="both"/>
        <w:rPr>
          <w:rFonts w:ascii="Verdana" w:eastAsia="Aptos" w:hAnsi="Verdana" w:cs="Times New Roman"/>
        </w:rPr>
      </w:pPr>
      <w:r w:rsidRPr="0017479E">
        <w:rPr>
          <w:rFonts w:ascii="Verdana" w:eastAsia="Aptos" w:hAnsi="Verdana" w:cs="Times New Roman"/>
          <w:color w:val="000000"/>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7479E">
        <w:rPr>
          <w:rFonts w:ascii="Verdana" w:eastAsia="Aptos" w:hAnsi="Verdana" w:cs="Times New Roman"/>
          <w:b/>
          <w:bCs/>
          <w:color w:val="000000"/>
        </w:rPr>
        <w:t>Guía para la Exigencia y Constitución de Garantías en los Procesos de Contratación</w:t>
      </w:r>
      <w:r w:rsidRPr="0017479E">
        <w:rPr>
          <w:rFonts w:ascii="Verdana" w:eastAsia="Aptos" w:hAnsi="Verdana" w:cs="Times New Roman"/>
          <w:color w:val="000000"/>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17479E">
          <w:rPr>
            <w:rFonts w:ascii="Verdana" w:eastAsia="Aptos" w:hAnsi="Verdana" w:cs="Times New Roman"/>
            <w:color w:val="0078D7"/>
            <w:u w:val="single"/>
          </w:rPr>
          <w:t>https://www.colombiacompra.gov.co/archivos/manual/guia-de-garantias-en-procesos-de-contratacion</w:t>
        </w:r>
      </w:hyperlink>
    </w:p>
    <w:p w14:paraId="65960DAB" w14:textId="77777777" w:rsidR="0017479E" w:rsidRPr="0017479E" w:rsidRDefault="0017479E" w:rsidP="0017479E">
      <w:pPr>
        <w:spacing w:after="0" w:line="276" w:lineRule="auto"/>
        <w:jc w:val="both"/>
        <w:rPr>
          <w:rFonts w:ascii="Verdana" w:eastAsia="Aptos" w:hAnsi="Verdana" w:cs="Times New Roman"/>
        </w:rPr>
      </w:pPr>
    </w:p>
    <w:p w14:paraId="48974A7D" w14:textId="77777777" w:rsidR="0017479E" w:rsidRPr="0017479E" w:rsidRDefault="0017479E" w:rsidP="0017479E">
      <w:pPr>
        <w:spacing w:after="0" w:line="276" w:lineRule="auto"/>
        <w:jc w:val="both"/>
        <w:rPr>
          <w:rFonts w:ascii="Verdana" w:eastAsia="Aptos" w:hAnsi="Verdana" w:cs="Times New Roman"/>
        </w:rPr>
      </w:pPr>
      <w:r w:rsidRPr="0017479E">
        <w:rPr>
          <w:rFonts w:ascii="Verdana" w:eastAsia="Aptos" w:hAnsi="Verdana" w:cs="Times New Roman"/>
          <w:color w:val="000000"/>
        </w:rPr>
        <w:t>De otro lado, te contamos que el Decreto 287 del 19 de marzo de 2026 sustituyó los artículos 2.2.1.2.4.2.6., 2.2.1.2.4.2.7. y 2.2.1.2.4.2.8. del Decreto 1082 de 2015 y estructuró el </w:t>
      </w:r>
      <w:r w:rsidRPr="0017479E">
        <w:rPr>
          <w:rFonts w:ascii="Verdana" w:eastAsia="Aptos" w:hAnsi="Verdana" w:cs="Times New Roman"/>
          <w:b/>
          <w:bCs/>
          <w:color w:val="000000"/>
        </w:rPr>
        <w:t>Sistema Integral de Preferencias en favor de las personas con discapacidad</w:t>
      </w:r>
      <w:r w:rsidRPr="0017479E">
        <w:rPr>
          <w:rFonts w:ascii="Verdana" w:eastAsia="Aptos" w:hAnsi="Verdana" w:cs="Times New Roman"/>
          <w:color w:val="000000"/>
        </w:rPr>
        <w:t>, en cumplimiento del artículo 13 de la Ley Estatutaria 1618 de 2013. Para orientar su aplicación, esta Agencia expidió la </w:t>
      </w:r>
      <w:r w:rsidRPr="0017479E">
        <w:rPr>
          <w:rFonts w:ascii="Verdana" w:eastAsia="Aptos" w:hAnsi="Verdana" w:cs="Times New Roman"/>
          <w:b/>
          <w:bCs/>
          <w:color w:val="000000"/>
        </w:rPr>
        <w:t>Circular Externa 003 del 12 de mayo de 2026, </w:t>
      </w:r>
      <w:r w:rsidRPr="0017479E">
        <w:rPr>
          <w:rFonts w:ascii="Verdana" w:eastAsia="Aptos" w:hAnsi="Verdana" w:cs="Times New Roman"/>
          <w:color w:val="000000"/>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17479E">
          <w:rPr>
            <w:rFonts w:ascii="Verdana" w:eastAsia="Aptos" w:hAnsi="Verdana" w:cs="Times New Roman"/>
            <w:color w:val="0078D7"/>
            <w:u w:val="single"/>
          </w:rPr>
          <w:t>https://www.colombiacompra.gov.co/archivos/circular/circular-externa-003-de-2026</w:t>
        </w:r>
      </w:hyperlink>
    </w:p>
    <w:p w14:paraId="6F11706E" w14:textId="77777777" w:rsidR="0017479E" w:rsidRPr="0017479E" w:rsidRDefault="0017479E" w:rsidP="0017479E">
      <w:pPr>
        <w:spacing w:after="0" w:line="276" w:lineRule="auto"/>
        <w:jc w:val="both"/>
        <w:rPr>
          <w:rFonts w:ascii="Verdana" w:eastAsia="Aptos" w:hAnsi="Verdana" w:cs="Times New Roman"/>
          <w:color w:val="000000"/>
        </w:rPr>
      </w:pPr>
    </w:p>
    <w:p w14:paraId="0B130FB2" w14:textId="77777777" w:rsidR="0017479E" w:rsidRPr="0017479E" w:rsidRDefault="0017479E" w:rsidP="0017479E">
      <w:pPr>
        <w:spacing w:after="0" w:line="276" w:lineRule="auto"/>
        <w:jc w:val="both"/>
        <w:rPr>
          <w:rFonts w:ascii="Verdana" w:eastAsia="Aptos" w:hAnsi="Verdana" w:cs="Times New Roman"/>
        </w:rPr>
      </w:pPr>
      <w:r w:rsidRPr="0017479E">
        <w:rPr>
          <w:rFonts w:ascii="Verdana" w:eastAsia="Aptos" w:hAnsi="Verdana" w:cs="Times New Roman"/>
          <w:color w:val="000000"/>
        </w:rPr>
        <w:t>Recuerda también que la</w:t>
      </w:r>
      <w:r w:rsidRPr="0017479E">
        <w:rPr>
          <w:rFonts w:ascii="Verdana" w:eastAsia="Aptos" w:hAnsi="Verdana" w:cs="Times New Roman"/>
          <w:b/>
          <w:bCs/>
          <w:color w:val="000000"/>
        </w:rPr>
        <w:t> información sobre sanciones e inhabilidades </w:t>
      </w:r>
      <w:r w:rsidRPr="0017479E">
        <w:rPr>
          <w:rFonts w:ascii="Verdana" w:eastAsia="Aptos" w:hAnsi="Verdana" w:cs="Times New Roman"/>
          <w:color w:val="000000"/>
        </w:rPr>
        <w:t>solo cumple su función preventiva si llega oportunamente a los registros públicos. Sobre este deber, esta Agencia expidió la </w:t>
      </w:r>
      <w:r w:rsidRPr="0017479E">
        <w:rPr>
          <w:rFonts w:ascii="Verdana" w:eastAsia="Aptos" w:hAnsi="Verdana" w:cs="Times New Roman"/>
          <w:b/>
          <w:bCs/>
          <w:color w:val="000000"/>
        </w:rPr>
        <w:t>Circular Externa 002 del 5 de mayo de 2026,</w:t>
      </w:r>
      <w:r w:rsidRPr="0017479E">
        <w:rPr>
          <w:rFonts w:ascii="Verdana" w:eastAsia="Aptos" w:hAnsi="Verdana" w:cs="Times New Roman"/>
          <w:color w:val="000000"/>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17479E">
          <w:rPr>
            <w:rFonts w:ascii="Verdana" w:eastAsia="Aptos" w:hAnsi="Verdana" w:cs="Times New Roman"/>
            <w:color w:val="0078D7"/>
            <w:u w:val="single"/>
          </w:rPr>
          <w:t>https://www.colombiacompra.gov.co/archivos/circular/circular-externa-002-de-2026</w:t>
        </w:r>
      </w:hyperlink>
    </w:p>
    <w:p w14:paraId="754DCA25" w14:textId="77777777" w:rsidR="0017479E" w:rsidRPr="0017479E" w:rsidRDefault="0017479E" w:rsidP="0017479E">
      <w:pPr>
        <w:spacing w:after="0" w:line="276" w:lineRule="auto"/>
        <w:jc w:val="both"/>
        <w:rPr>
          <w:rFonts w:ascii="Verdana" w:eastAsia="Aptos" w:hAnsi="Verdana" w:cs="Times New Roman"/>
          <w:color w:val="000000"/>
        </w:rPr>
      </w:pPr>
    </w:p>
    <w:p w14:paraId="4450ED45" w14:textId="77777777" w:rsidR="0017479E" w:rsidRPr="0017479E" w:rsidRDefault="0017479E" w:rsidP="0017479E">
      <w:pPr>
        <w:spacing w:after="0" w:line="276" w:lineRule="auto"/>
        <w:jc w:val="both"/>
        <w:rPr>
          <w:rFonts w:ascii="Verdana" w:eastAsia="Aptos" w:hAnsi="Verdana" w:cs="Times New Roman"/>
          <w:color w:val="000000"/>
        </w:rPr>
      </w:pPr>
      <w:r w:rsidRPr="0017479E">
        <w:rPr>
          <w:rFonts w:ascii="Verdana" w:eastAsia="Aptos" w:hAnsi="Verdana" w:cs="Times New Roman"/>
          <w:color w:val="000000"/>
        </w:rPr>
        <w:t>Finalmente, si quieres seguir de cerca la actividad de la Agencia, la tercera edición de 2026 del</w:t>
      </w:r>
      <w:r w:rsidRPr="0017479E">
        <w:rPr>
          <w:rFonts w:ascii="Verdana" w:eastAsia="Aptos" w:hAnsi="Verdana" w:cs="Times New Roman"/>
          <w:b/>
          <w:bCs/>
          <w:color w:val="000000"/>
        </w:rPr>
        <w:t> Radar de la Compra Pública</w:t>
      </w:r>
      <w:r w:rsidRPr="0017479E">
        <w:rPr>
          <w:rFonts w:ascii="Verdana" w:eastAsia="Aptos" w:hAnsi="Verdana" w:cs="Times New Roman"/>
          <w:color w:val="000000"/>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17479E">
          <w:rPr>
            <w:rFonts w:ascii="Verdana" w:eastAsia="Aptos" w:hAnsi="Verdana" w:cs="Times New Roman"/>
            <w:color w:val="0078D7"/>
            <w:u w:val="single"/>
          </w:rPr>
          <w:t>https://www.colombiacompra.gov.co/archivos/boletin/boletin-edicion-n-3-de-2026-radar-de-la-compra-publica</w:t>
        </w:r>
      </w:hyperlink>
      <w:r w:rsidRPr="0017479E">
        <w:rPr>
          <w:rFonts w:ascii="Verdana" w:eastAsia="Aptos" w:hAnsi="Verdana" w:cs="Times New Roman"/>
          <w:color w:val="000000"/>
        </w:rPr>
        <w:t>"</w:t>
      </w:r>
    </w:p>
    <w:p w14:paraId="6FAB4542" w14:textId="77777777" w:rsidR="0017479E" w:rsidRPr="0017479E" w:rsidRDefault="0017479E" w:rsidP="0017479E">
      <w:pPr>
        <w:spacing w:after="0" w:line="276" w:lineRule="auto"/>
        <w:jc w:val="both"/>
        <w:rPr>
          <w:rFonts w:ascii="Verdana" w:eastAsia="Aptos" w:hAnsi="Verdana" w:cs="Times New Roman"/>
          <w:color w:val="000000"/>
        </w:rPr>
      </w:pPr>
    </w:p>
    <w:p w14:paraId="188CE2F9" w14:textId="77777777" w:rsidR="0017479E" w:rsidRPr="0017479E" w:rsidRDefault="0017479E" w:rsidP="0017479E">
      <w:pPr>
        <w:spacing w:after="0" w:line="240" w:lineRule="auto"/>
        <w:jc w:val="both"/>
        <w:rPr>
          <w:rFonts w:ascii="Verdana" w:eastAsia="Aptos" w:hAnsi="Verdana" w:cs="Times New Roman"/>
          <w:lang w:eastAsia="es-MX"/>
        </w:rPr>
      </w:pPr>
      <w:r w:rsidRPr="0017479E">
        <w:rPr>
          <w:rFonts w:ascii="Verdana" w:eastAsia="Aptos" w:hAnsi="Verdana" w:cs="Times New Roman"/>
          <w:lang w:eastAsia="es-MX"/>
        </w:rPr>
        <w:t xml:space="preserve">Por último, lo invitamos a seguirnos en las redes sociales en las cuales se difunde información institucional: </w:t>
      </w:r>
    </w:p>
    <w:p w14:paraId="6FEC36CE" w14:textId="77777777" w:rsidR="0017479E" w:rsidRPr="0017479E" w:rsidRDefault="0017479E" w:rsidP="0017479E">
      <w:pPr>
        <w:spacing w:after="0" w:line="240" w:lineRule="auto"/>
        <w:jc w:val="both"/>
        <w:rPr>
          <w:rFonts w:ascii="Verdana" w:eastAsia="Calibri" w:hAnsi="Verdana" w:cs="Times New Roman"/>
          <w:lang w:eastAsia="es-MX"/>
        </w:rPr>
      </w:pPr>
    </w:p>
    <w:p w14:paraId="53FF808F" w14:textId="77777777" w:rsidR="0017479E" w:rsidRPr="0017479E" w:rsidRDefault="0017479E" w:rsidP="0017479E">
      <w:pPr>
        <w:spacing w:after="0" w:line="240" w:lineRule="auto"/>
        <w:jc w:val="both"/>
        <w:rPr>
          <w:rFonts w:ascii="Verdana" w:eastAsia="Aptos" w:hAnsi="Verdana" w:cs="Times New Roman"/>
          <w:lang w:eastAsia="es-MX"/>
        </w:rPr>
      </w:pPr>
      <w:r w:rsidRPr="0017479E">
        <w:rPr>
          <w:rFonts w:ascii="Verdana" w:eastAsia="Aptos" w:hAnsi="Verdana" w:cs="Times New Roman"/>
          <w:lang w:eastAsia="es-MX"/>
        </w:rPr>
        <w:t xml:space="preserve">Twitter: </w:t>
      </w:r>
      <w:r w:rsidRPr="0017479E">
        <w:rPr>
          <w:rFonts w:ascii="Verdana" w:eastAsia="Calibri" w:hAnsi="Verdana" w:cs="Times New Roman"/>
          <w:color w:val="156082"/>
          <w:u w:val="single"/>
          <w:lang w:eastAsia="es-MX"/>
        </w:rPr>
        <w:t>@colombiacompra</w:t>
      </w:r>
      <w:r w:rsidRPr="0017479E">
        <w:rPr>
          <w:rFonts w:ascii="Verdana" w:eastAsia="Calibri" w:hAnsi="Verdana" w:cs="Times New Roman"/>
          <w:color w:val="156082"/>
          <w:lang w:eastAsia="es-MX"/>
        </w:rPr>
        <w:t xml:space="preserve"> </w:t>
      </w:r>
    </w:p>
    <w:p w14:paraId="0BF3D43B" w14:textId="77777777" w:rsidR="0017479E" w:rsidRPr="0017479E" w:rsidRDefault="0017479E" w:rsidP="0017479E">
      <w:pPr>
        <w:spacing w:after="0" w:line="240" w:lineRule="auto"/>
        <w:jc w:val="both"/>
        <w:rPr>
          <w:rFonts w:ascii="Verdana" w:eastAsia="Aptos" w:hAnsi="Verdana" w:cs="Times New Roman"/>
          <w:lang w:eastAsia="es-MX"/>
        </w:rPr>
      </w:pPr>
      <w:r w:rsidRPr="0017479E">
        <w:rPr>
          <w:rFonts w:ascii="Verdana" w:eastAsia="Aptos" w:hAnsi="Verdana" w:cs="Times New Roman"/>
          <w:lang w:eastAsia="es-MX"/>
        </w:rPr>
        <w:t xml:space="preserve">Facebook: </w:t>
      </w:r>
      <w:proofErr w:type="spellStart"/>
      <w:r w:rsidRPr="0017479E">
        <w:rPr>
          <w:rFonts w:ascii="Verdana" w:eastAsia="Calibri" w:hAnsi="Verdana" w:cs="Times New Roman"/>
          <w:color w:val="156082"/>
          <w:u w:val="single"/>
          <w:lang w:eastAsia="es-MX"/>
        </w:rPr>
        <w:t>ColombiaCompraEficiente</w:t>
      </w:r>
      <w:proofErr w:type="spellEnd"/>
    </w:p>
    <w:p w14:paraId="24218C97" w14:textId="77777777" w:rsidR="0017479E" w:rsidRPr="0017479E" w:rsidRDefault="0017479E" w:rsidP="0017479E">
      <w:pPr>
        <w:spacing w:after="0" w:line="240" w:lineRule="auto"/>
        <w:jc w:val="both"/>
        <w:rPr>
          <w:rFonts w:ascii="Verdana" w:eastAsia="Aptos" w:hAnsi="Verdana" w:cs="Times New Roman"/>
          <w:lang w:eastAsia="es-MX"/>
        </w:rPr>
      </w:pPr>
      <w:r w:rsidRPr="0017479E">
        <w:rPr>
          <w:rFonts w:ascii="Verdana" w:eastAsia="Aptos" w:hAnsi="Verdana" w:cs="Times New Roman"/>
          <w:lang w:eastAsia="es-MX"/>
        </w:rPr>
        <w:t xml:space="preserve">LinkedIn: </w:t>
      </w:r>
      <w:r w:rsidRPr="0017479E">
        <w:rPr>
          <w:rFonts w:ascii="Verdana" w:eastAsia="Calibri" w:hAnsi="Verdana" w:cs="Times New Roman"/>
          <w:color w:val="156082"/>
          <w:u w:val="single"/>
          <w:lang w:eastAsia="es-MX"/>
        </w:rPr>
        <w:t>Agencia Nacional de Contratación Pública - Colombia Compra Eficiente</w:t>
      </w:r>
      <w:r w:rsidRPr="0017479E">
        <w:rPr>
          <w:rFonts w:ascii="Verdana" w:eastAsia="Calibri" w:hAnsi="Verdana" w:cs="Times New Roman"/>
          <w:color w:val="156082"/>
          <w:lang w:eastAsia="es-MX"/>
        </w:rPr>
        <w:t xml:space="preserve"> </w:t>
      </w:r>
      <w:r w:rsidRPr="0017479E">
        <w:rPr>
          <w:rFonts w:ascii="Verdana" w:eastAsia="Aptos" w:hAnsi="Verdana" w:cs="Times New Roman"/>
          <w:lang w:eastAsia="es-MX"/>
        </w:rPr>
        <w:t xml:space="preserve">Instagram: </w:t>
      </w:r>
      <w:r w:rsidRPr="0017479E">
        <w:rPr>
          <w:rFonts w:ascii="Verdana" w:eastAsia="Calibri" w:hAnsi="Verdana" w:cs="Times New Roman"/>
          <w:color w:val="156082"/>
          <w:u w:val="single"/>
          <w:lang w:eastAsia="es-MX"/>
        </w:rPr>
        <w:t>@colombiacompraeficiente_cce</w:t>
      </w:r>
    </w:p>
    <w:p w14:paraId="361B3654" w14:textId="77777777" w:rsidR="0017479E" w:rsidRPr="0017479E" w:rsidRDefault="0017479E" w:rsidP="0017479E">
      <w:pPr>
        <w:spacing w:after="0" w:line="276" w:lineRule="auto"/>
        <w:jc w:val="both"/>
        <w:rPr>
          <w:rFonts w:ascii="Verdana" w:eastAsia="Aptos" w:hAnsi="Verdana" w:cs="Times New Roman"/>
          <w:lang w:eastAsia="es-MX"/>
        </w:rPr>
      </w:pPr>
    </w:p>
    <w:p w14:paraId="4CFFF434" w14:textId="77777777" w:rsidR="0017479E" w:rsidRPr="0017479E" w:rsidRDefault="0017479E" w:rsidP="0017479E">
      <w:pPr>
        <w:spacing w:after="0" w:line="276" w:lineRule="auto"/>
        <w:jc w:val="both"/>
        <w:rPr>
          <w:rFonts w:ascii="Verdana" w:eastAsia="Calibri" w:hAnsi="Verdana" w:cs="Times New Roman"/>
          <w:bCs/>
          <w:lang w:val="es-ES_tradnl" w:eastAsia="es-MX"/>
        </w:rPr>
      </w:pPr>
      <w:r w:rsidRPr="0017479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24857DE" w14:textId="77777777" w:rsidR="0017479E" w:rsidRPr="0017479E" w:rsidRDefault="0017479E" w:rsidP="0017479E">
      <w:pPr>
        <w:spacing w:after="0" w:line="276" w:lineRule="auto"/>
        <w:jc w:val="both"/>
        <w:rPr>
          <w:rFonts w:ascii="Verdana" w:eastAsia="Calibri" w:hAnsi="Verdana" w:cs="Times New Roman"/>
          <w:lang w:eastAsia="es-MX"/>
        </w:rPr>
      </w:pPr>
    </w:p>
    <w:p w14:paraId="7C5FA57A" w14:textId="77777777" w:rsidR="0017479E" w:rsidRPr="0017479E" w:rsidRDefault="0017479E" w:rsidP="0017479E">
      <w:pPr>
        <w:spacing w:after="0" w:line="276" w:lineRule="auto"/>
        <w:jc w:val="both"/>
        <w:rPr>
          <w:rFonts w:ascii="Verdana" w:eastAsia="Calibri" w:hAnsi="Verdana" w:cs="Times New Roman"/>
          <w:lang w:eastAsia="es-MX"/>
        </w:rPr>
      </w:pPr>
      <w:r w:rsidRPr="0017479E">
        <w:rPr>
          <w:rFonts w:ascii="Verdana" w:eastAsia="Calibri" w:hAnsi="Verdana" w:cs="Times New Roman"/>
          <w:lang w:eastAsia="es-MX"/>
        </w:rPr>
        <w:t>Atentamente,</w:t>
      </w:r>
    </w:p>
    <w:p w14:paraId="7C5C449C" w14:textId="496A5666" w:rsidR="0017479E" w:rsidRPr="0017479E" w:rsidRDefault="00E850CB" w:rsidP="0017479E">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0F817461" wp14:editId="745A613C">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p w14:paraId="7AC10848" w14:textId="77777777" w:rsidR="0017479E" w:rsidRPr="0017479E" w:rsidRDefault="0017479E" w:rsidP="0017479E">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17479E" w:rsidRPr="0017479E" w14:paraId="648207AB" w14:textId="77777777" w:rsidTr="00E75FD1">
        <w:trPr>
          <w:trHeight w:val="323"/>
        </w:trPr>
        <w:tc>
          <w:tcPr>
            <w:tcW w:w="1041" w:type="dxa"/>
            <w:vAlign w:val="center"/>
            <w:hideMark/>
          </w:tcPr>
          <w:p w14:paraId="5A67BCD9" w14:textId="77777777" w:rsidR="0017479E" w:rsidRPr="0017479E" w:rsidRDefault="0017479E" w:rsidP="0017479E">
            <w:pPr>
              <w:rPr>
                <w:rFonts w:ascii="Verdana" w:eastAsia="Calibri" w:hAnsi="Verdana" w:cs="Arial"/>
                <w:sz w:val="16"/>
                <w:szCs w:val="16"/>
                <w:lang w:val="es-ES_tradnl" w:eastAsia="es-ES"/>
              </w:rPr>
            </w:pPr>
            <w:r w:rsidRPr="0017479E">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58C4B310" w14:textId="77777777" w:rsidR="0017479E" w:rsidRPr="0017479E" w:rsidRDefault="0017479E" w:rsidP="0017479E">
            <w:pPr>
              <w:rPr>
                <w:rFonts w:ascii="Verdana" w:eastAsia="Arial" w:hAnsi="Verdana" w:cs="Arial"/>
                <w:sz w:val="16"/>
                <w:szCs w:val="16"/>
                <w:lang w:val="es-ES" w:eastAsia="es-MX"/>
              </w:rPr>
            </w:pPr>
            <w:r w:rsidRPr="0017479E">
              <w:rPr>
                <w:rFonts w:ascii="Verdana" w:eastAsia="Arial" w:hAnsi="Verdana" w:cs="Arial"/>
                <w:sz w:val="16"/>
                <w:szCs w:val="16"/>
                <w:lang w:val="es-ES" w:eastAsia="es-MX"/>
              </w:rPr>
              <w:t xml:space="preserve">Carlos Mario Castrillón Endo </w:t>
            </w:r>
          </w:p>
          <w:p w14:paraId="0D164BAD" w14:textId="77777777" w:rsidR="0017479E" w:rsidRPr="0017479E" w:rsidRDefault="0017479E" w:rsidP="0017479E">
            <w:pPr>
              <w:rPr>
                <w:rFonts w:ascii="Verdana" w:eastAsia="Arial" w:hAnsi="Verdana" w:cs="Arial"/>
                <w:sz w:val="16"/>
                <w:szCs w:val="16"/>
                <w:lang w:val="es-ES_tradnl" w:eastAsia="es-MX"/>
              </w:rPr>
            </w:pPr>
            <w:r w:rsidRPr="0017479E">
              <w:rPr>
                <w:rFonts w:ascii="Verdana" w:eastAsia="Arial" w:hAnsi="Verdana" w:cs="Arial"/>
                <w:sz w:val="16"/>
                <w:szCs w:val="16"/>
                <w:lang w:val="es-ES_tradnl" w:eastAsia="es-MX"/>
              </w:rPr>
              <w:t>Contratista de la Subdirección de Gestión Contractual</w:t>
            </w:r>
          </w:p>
          <w:p w14:paraId="2B61DDAD" w14:textId="77777777" w:rsidR="0017479E" w:rsidRPr="0017479E" w:rsidRDefault="0017479E" w:rsidP="0017479E">
            <w:pPr>
              <w:rPr>
                <w:rFonts w:ascii="Verdana" w:eastAsia="Arial" w:hAnsi="Verdana" w:cs="Arial"/>
                <w:sz w:val="16"/>
                <w:szCs w:val="16"/>
                <w:lang w:val="es-ES_tradnl" w:eastAsia="es-MX"/>
              </w:rPr>
            </w:pPr>
          </w:p>
        </w:tc>
      </w:tr>
      <w:tr w:rsidR="0017479E" w:rsidRPr="0017479E" w14:paraId="63E58012" w14:textId="77777777" w:rsidTr="00E75FD1">
        <w:trPr>
          <w:trHeight w:val="338"/>
        </w:trPr>
        <w:tc>
          <w:tcPr>
            <w:tcW w:w="1041" w:type="dxa"/>
            <w:vAlign w:val="center"/>
            <w:hideMark/>
          </w:tcPr>
          <w:p w14:paraId="6B6D1272" w14:textId="77777777" w:rsidR="0017479E" w:rsidRPr="0017479E" w:rsidRDefault="0017479E" w:rsidP="0017479E">
            <w:pPr>
              <w:rPr>
                <w:rFonts w:ascii="Verdana" w:eastAsia="Calibri" w:hAnsi="Verdana" w:cs="Arial"/>
                <w:sz w:val="16"/>
                <w:szCs w:val="16"/>
                <w:lang w:val="es-ES_tradnl" w:eastAsia="es-ES"/>
              </w:rPr>
            </w:pPr>
            <w:r w:rsidRPr="0017479E">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52698BC2" w14:textId="77777777" w:rsidR="0017479E" w:rsidRPr="0017479E" w:rsidRDefault="0017479E" w:rsidP="0017479E">
            <w:pPr>
              <w:rPr>
                <w:rFonts w:ascii="Verdana" w:eastAsia="Arial" w:hAnsi="Verdana" w:cs="Arial"/>
                <w:sz w:val="16"/>
                <w:szCs w:val="16"/>
                <w:lang w:val="es-ES_tradnl" w:eastAsia="es-MX"/>
              </w:rPr>
            </w:pPr>
            <w:r w:rsidRPr="0017479E">
              <w:rPr>
                <w:rFonts w:ascii="Verdana" w:eastAsia="Arial" w:hAnsi="Verdana" w:cs="Arial"/>
                <w:sz w:val="16"/>
                <w:szCs w:val="16"/>
                <w:lang w:val="es-ES_tradnl" w:eastAsia="es-MX"/>
              </w:rPr>
              <w:t>Alexandra Rodríguez Motta</w:t>
            </w:r>
          </w:p>
          <w:p w14:paraId="36238458" w14:textId="77777777" w:rsidR="0017479E" w:rsidRPr="0017479E" w:rsidRDefault="0017479E" w:rsidP="0017479E">
            <w:pPr>
              <w:rPr>
                <w:rFonts w:ascii="Verdana" w:eastAsia="Arial" w:hAnsi="Verdana" w:cs="Arial"/>
                <w:sz w:val="16"/>
                <w:szCs w:val="16"/>
                <w:lang w:val="es-ES_tradnl" w:eastAsia="es-MX"/>
              </w:rPr>
            </w:pPr>
            <w:r w:rsidRPr="0017479E">
              <w:rPr>
                <w:rFonts w:ascii="Verdana" w:eastAsia="Arial" w:hAnsi="Verdana" w:cs="Arial"/>
                <w:sz w:val="16"/>
                <w:szCs w:val="16"/>
                <w:lang w:val="es-ES_tradnl" w:eastAsia="es-MX"/>
              </w:rPr>
              <w:t>Contratista de la Subdirección de Gestión Contractual</w:t>
            </w:r>
          </w:p>
          <w:p w14:paraId="0B98E8E8" w14:textId="77777777" w:rsidR="0017479E" w:rsidRPr="0017479E" w:rsidRDefault="0017479E" w:rsidP="0017479E">
            <w:pPr>
              <w:rPr>
                <w:rFonts w:ascii="Verdana" w:eastAsia="Arial" w:hAnsi="Verdana" w:cs="Arial"/>
                <w:sz w:val="16"/>
                <w:szCs w:val="16"/>
                <w:lang w:val="es-ES_tradnl" w:eastAsia="es-MX"/>
              </w:rPr>
            </w:pPr>
            <w:r w:rsidRPr="0017479E">
              <w:rPr>
                <w:rFonts w:ascii="Verdana" w:eastAsia="Arial" w:hAnsi="Verdana" w:cs="Arial"/>
                <w:sz w:val="16"/>
                <w:szCs w:val="16"/>
                <w:lang w:val="es-ES_tradnl" w:eastAsia="es-MX"/>
              </w:rPr>
              <w:t>Martha Alicia Romero Vargas</w:t>
            </w:r>
          </w:p>
          <w:p w14:paraId="042BC3F5" w14:textId="77777777" w:rsidR="0017479E" w:rsidRPr="0017479E" w:rsidRDefault="0017479E" w:rsidP="0017479E">
            <w:pPr>
              <w:rPr>
                <w:rFonts w:ascii="Verdana" w:eastAsia="Arial" w:hAnsi="Verdana" w:cs="Arial"/>
                <w:sz w:val="16"/>
                <w:szCs w:val="16"/>
                <w:lang w:val="es-ES_tradnl" w:eastAsia="es-MX"/>
              </w:rPr>
            </w:pPr>
            <w:r w:rsidRPr="0017479E">
              <w:rPr>
                <w:rFonts w:ascii="Verdana" w:eastAsia="Arial" w:hAnsi="Verdana" w:cs="Arial"/>
                <w:sz w:val="16"/>
                <w:szCs w:val="16"/>
                <w:lang w:val="es-ES_tradnl" w:eastAsia="es-MX"/>
              </w:rPr>
              <w:t>Gestor T1-15 de la Subdirección de Gestión Contractual</w:t>
            </w:r>
          </w:p>
          <w:p w14:paraId="1E093FE9" w14:textId="77777777" w:rsidR="0017479E" w:rsidRPr="0017479E" w:rsidRDefault="0017479E" w:rsidP="0017479E">
            <w:pPr>
              <w:rPr>
                <w:rFonts w:ascii="Verdana" w:eastAsia="Arial" w:hAnsi="Verdana" w:cs="Arial"/>
                <w:sz w:val="16"/>
                <w:szCs w:val="16"/>
                <w:lang w:val="es-ES_tradnl" w:eastAsia="es-MX"/>
              </w:rPr>
            </w:pPr>
          </w:p>
        </w:tc>
      </w:tr>
      <w:tr w:rsidR="0017479E" w:rsidRPr="0017479E" w14:paraId="443D4AB6" w14:textId="77777777" w:rsidTr="00E75FD1">
        <w:trPr>
          <w:trHeight w:val="308"/>
        </w:trPr>
        <w:tc>
          <w:tcPr>
            <w:tcW w:w="1041" w:type="dxa"/>
            <w:vAlign w:val="center"/>
          </w:tcPr>
          <w:p w14:paraId="766F15BE" w14:textId="77777777" w:rsidR="0017479E" w:rsidRPr="0017479E" w:rsidRDefault="0017479E" w:rsidP="0017479E">
            <w:pPr>
              <w:rPr>
                <w:rFonts w:ascii="Verdana" w:eastAsia="Calibri" w:hAnsi="Verdana" w:cs="Arial"/>
                <w:sz w:val="16"/>
                <w:szCs w:val="16"/>
                <w:lang w:val="es-ES_tradnl" w:eastAsia="es-ES"/>
              </w:rPr>
            </w:pPr>
            <w:r w:rsidRPr="0017479E">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1EA206BF" w14:textId="77777777" w:rsidR="0017479E" w:rsidRPr="0017479E" w:rsidRDefault="0017479E" w:rsidP="0017479E">
            <w:pPr>
              <w:rPr>
                <w:rFonts w:ascii="Verdana" w:eastAsia="Calibri" w:hAnsi="Verdana" w:cs="Arial"/>
                <w:sz w:val="16"/>
                <w:szCs w:val="16"/>
                <w:lang w:val="es-ES" w:eastAsia="es-ES"/>
              </w:rPr>
            </w:pPr>
            <w:r w:rsidRPr="0017479E">
              <w:rPr>
                <w:rFonts w:ascii="Verdana" w:eastAsia="Calibri" w:hAnsi="Verdana" w:cs="Arial"/>
                <w:sz w:val="16"/>
                <w:szCs w:val="16"/>
                <w:lang w:val="es-ES" w:eastAsia="es-ES"/>
              </w:rPr>
              <w:t>Carolina Quintero Gacharná</w:t>
            </w:r>
          </w:p>
          <w:p w14:paraId="48E99671" w14:textId="77777777" w:rsidR="0017479E" w:rsidRPr="0017479E" w:rsidRDefault="0017479E" w:rsidP="0017479E">
            <w:pPr>
              <w:rPr>
                <w:rFonts w:ascii="Verdana" w:eastAsia="Calibri" w:hAnsi="Verdana" w:cs="Arial"/>
                <w:sz w:val="16"/>
                <w:szCs w:val="16"/>
                <w:lang w:val="es-ES_tradnl" w:eastAsia="es-ES"/>
              </w:rPr>
            </w:pPr>
            <w:r w:rsidRPr="0017479E">
              <w:rPr>
                <w:rFonts w:ascii="Verdana" w:eastAsia="Calibri" w:hAnsi="Verdana" w:cs="Arial"/>
                <w:sz w:val="16"/>
                <w:szCs w:val="16"/>
                <w:lang w:val="es-ES_tradnl" w:eastAsia="es-ES"/>
              </w:rPr>
              <w:t>Subdirectora de Gestión Contractual ANCP – CCE</w:t>
            </w:r>
          </w:p>
        </w:tc>
      </w:tr>
      <w:bookmarkEnd w:id="0"/>
    </w:tbl>
    <w:p w14:paraId="0F293BF4" w14:textId="629C5729" w:rsidR="00127233" w:rsidRPr="00E850CB" w:rsidRDefault="00127233" w:rsidP="00E850CB">
      <w:pPr>
        <w:spacing w:after="0" w:line="240" w:lineRule="auto"/>
        <w:textAlignment w:val="baseline"/>
        <w:rPr>
          <w:rFonts w:ascii="Verdana" w:eastAsia="Verdana" w:hAnsi="Verdana" w:cs="Verdana"/>
          <w:lang w:eastAsia="es-CO"/>
        </w:rPr>
      </w:pPr>
    </w:p>
    <w:sectPr w:rsidR="00127233" w:rsidRPr="00E850C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73C2" w14:textId="77777777" w:rsidR="00653D9A" w:rsidRDefault="00653D9A" w:rsidP="004A1847">
      <w:pPr>
        <w:spacing w:after="0" w:line="240" w:lineRule="auto"/>
      </w:pPr>
      <w:r>
        <w:separator/>
      </w:r>
    </w:p>
  </w:endnote>
  <w:endnote w:type="continuationSeparator" w:id="0">
    <w:p w14:paraId="4FF2DA08" w14:textId="77777777" w:rsidR="00653D9A" w:rsidRDefault="00653D9A" w:rsidP="004A1847">
      <w:pPr>
        <w:spacing w:after="0" w:line="240" w:lineRule="auto"/>
      </w:pPr>
      <w:r>
        <w:continuationSeparator/>
      </w:r>
    </w:p>
  </w:endnote>
  <w:endnote w:type="continuationNotice" w:id="1">
    <w:p w14:paraId="3A94239B" w14:textId="77777777" w:rsidR="00653D9A" w:rsidRDefault="00653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17479E">
      <w:rPr>
        <w:rFonts w:ascii="Verdana" w:eastAsia="Verdana" w:hAnsi="Verdana" w:cs="Verdana"/>
        <w:b/>
        <w:bCs/>
        <w:color w:val="000000"/>
        <w:sz w:val="18"/>
        <w:szCs w:val="18"/>
        <w:lang w:eastAsia="es-CO"/>
      </w:rPr>
      <w:t xml:space="preserve">Código: </w:t>
    </w:r>
    <w:r w:rsidRPr="0017479E">
      <w:rPr>
        <w:rFonts w:ascii="Verdana" w:eastAsia="Verdana" w:hAnsi="Verdana" w:cs="Verdana"/>
        <w:color w:val="000000"/>
        <w:sz w:val="18"/>
        <w:szCs w:val="18"/>
        <w:lang w:eastAsia="es-CO"/>
      </w:rPr>
      <w:t xml:space="preserve">CCE-REC-FM-17 </w:t>
    </w:r>
    <w:r w:rsidRPr="0017479E">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9838" w14:textId="77777777" w:rsidR="00653D9A" w:rsidRDefault="00653D9A" w:rsidP="004A1847">
      <w:pPr>
        <w:spacing w:after="0" w:line="240" w:lineRule="auto"/>
      </w:pPr>
      <w:r>
        <w:separator/>
      </w:r>
    </w:p>
  </w:footnote>
  <w:footnote w:type="continuationSeparator" w:id="0">
    <w:p w14:paraId="4E743F92" w14:textId="77777777" w:rsidR="00653D9A" w:rsidRDefault="00653D9A" w:rsidP="004A1847">
      <w:pPr>
        <w:spacing w:after="0" w:line="240" w:lineRule="auto"/>
      </w:pPr>
      <w:r>
        <w:continuationSeparator/>
      </w:r>
    </w:p>
  </w:footnote>
  <w:footnote w:type="continuationNotice" w:id="1">
    <w:p w14:paraId="0CAC0158" w14:textId="77777777" w:rsidR="00653D9A" w:rsidRDefault="00653D9A">
      <w:pPr>
        <w:spacing w:after="0" w:line="240" w:lineRule="auto"/>
      </w:pPr>
    </w:p>
  </w:footnote>
  <w:footnote w:id="2">
    <w:p w14:paraId="2ECB58E0" w14:textId="77777777" w:rsidR="0017479E" w:rsidRPr="00357B94" w:rsidRDefault="0017479E" w:rsidP="0017479E">
      <w:pPr>
        <w:pStyle w:val="Textonotapie"/>
        <w:ind w:firstLine="708"/>
        <w:rPr>
          <w:rFonts w:ascii="Verdana" w:hAnsi="Verdana"/>
          <w:sz w:val="18"/>
          <w:szCs w:val="18"/>
          <w:lang w:val="es-ES_tradnl"/>
        </w:rPr>
      </w:pPr>
      <w:r w:rsidRPr="00357B94">
        <w:rPr>
          <w:rStyle w:val="Refdenotaalpie"/>
          <w:rFonts w:ascii="Verdana" w:hAnsi="Verdana"/>
          <w:sz w:val="18"/>
          <w:szCs w:val="18"/>
        </w:rPr>
        <w:footnoteRef/>
      </w:r>
      <w:r w:rsidRPr="00357B94">
        <w:rPr>
          <w:rFonts w:ascii="Verdana" w:hAnsi="Verdana"/>
          <w:sz w:val="18"/>
          <w:szCs w:val="18"/>
        </w:rPr>
        <w:t xml:space="preserve"> Definición tomada de la página web del Ministerio de Vivienda, Ciudad y Territorio en el siguiente enlace: </w:t>
      </w:r>
      <w:hyperlink r:id="rId1" w:history="1">
        <w:r w:rsidRPr="00357B94">
          <w:rPr>
            <w:rStyle w:val="Hipervnculo"/>
            <w:rFonts w:ascii="Verdana" w:hAnsi="Verdana"/>
            <w:sz w:val="18"/>
            <w:szCs w:val="18"/>
          </w:rPr>
          <w:t>https://www.minvivienda.gov.co/node/46738</w:t>
        </w:r>
      </w:hyperlink>
    </w:p>
  </w:footnote>
  <w:footnote w:id="3">
    <w:p w14:paraId="4A1D5128" w14:textId="77777777" w:rsidR="0017479E" w:rsidRPr="00357B94" w:rsidRDefault="0017479E" w:rsidP="0017479E">
      <w:pPr>
        <w:pStyle w:val="Textonotapie"/>
        <w:ind w:firstLine="708"/>
        <w:jc w:val="both"/>
        <w:rPr>
          <w:rFonts w:ascii="Verdana" w:hAnsi="Verdana"/>
          <w:sz w:val="18"/>
          <w:szCs w:val="18"/>
        </w:rPr>
      </w:pPr>
      <w:r w:rsidRPr="00357B94">
        <w:rPr>
          <w:rStyle w:val="Refdenotaalpie"/>
          <w:rFonts w:ascii="Verdana" w:eastAsia="Times New Roman" w:hAnsi="Verdana"/>
          <w:sz w:val="18"/>
          <w:szCs w:val="18"/>
        </w:rPr>
        <w:footnoteRef/>
      </w:r>
      <w:r w:rsidRPr="00357B94">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61BF45D1" w14:textId="77777777" w:rsidR="0017479E" w:rsidRPr="00357B94" w:rsidRDefault="0017479E" w:rsidP="0017479E">
      <w:pPr>
        <w:pStyle w:val="Textonotapie"/>
        <w:ind w:firstLine="708"/>
        <w:jc w:val="both"/>
        <w:rPr>
          <w:rFonts w:ascii="Verdana" w:hAnsi="Verdana"/>
          <w:sz w:val="18"/>
          <w:szCs w:val="18"/>
        </w:rPr>
      </w:pPr>
    </w:p>
    <w:p w14:paraId="01E65E69" w14:textId="77777777" w:rsidR="0017479E" w:rsidRPr="00357B94" w:rsidRDefault="0017479E" w:rsidP="0017479E">
      <w:pPr>
        <w:pStyle w:val="Textonotapie"/>
        <w:ind w:firstLine="708"/>
        <w:jc w:val="both"/>
        <w:rPr>
          <w:rFonts w:ascii="Verdana" w:hAnsi="Verdana"/>
          <w:sz w:val="18"/>
          <w:szCs w:val="18"/>
        </w:rPr>
      </w:pPr>
      <w:r w:rsidRPr="00357B94">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7DC0A2CE" w14:textId="77777777" w:rsidR="0017479E" w:rsidRPr="00357B94" w:rsidRDefault="0017479E" w:rsidP="0017479E">
      <w:pPr>
        <w:pStyle w:val="Textonotapie"/>
        <w:ind w:firstLine="708"/>
        <w:jc w:val="both"/>
        <w:rPr>
          <w:rFonts w:ascii="Verdana" w:hAnsi="Verdana"/>
          <w:sz w:val="18"/>
          <w:szCs w:val="18"/>
        </w:rPr>
      </w:pPr>
    </w:p>
    <w:p w14:paraId="6232AFAC" w14:textId="77777777" w:rsidR="0017479E" w:rsidRPr="00357B94" w:rsidRDefault="0017479E" w:rsidP="0017479E">
      <w:pPr>
        <w:pStyle w:val="Textonotapie"/>
        <w:ind w:firstLine="708"/>
        <w:jc w:val="both"/>
        <w:rPr>
          <w:rFonts w:ascii="Verdana" w:hAnsi="Verdana"/>
          <w:sz w:val="18"/>
          <w:szCs w:val="18"/>
        </w:rPr>
      </w:pPr>
      <w:r w:rsidRPr="00357B94">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4D8A4D66" w14:textId="77777777" w:rsidR="0017479E" w:rsidRPr="00357B94" w:rsidRDefault="0017479E" w:rsidP="0017479E">
      <w:pPr>
        <w:pStyle w:val="Textonotapie"/>
        <w:ind w:firstLine="708"/>
        <w:jc w:val="both"/>
        <w:rPr>
          <w:rFonts w:ascii="Verdana" w:hAnsi="Verdana"/>
          <w:sz w:val="18"/>
          <w:szCs w:val="18"/>
        </w:rPr>
      </w:pPr>
    </w:p>
    <w:p w14:paraId="4DC81BD1" w14:textId="77777777" w:rsidR="0017479E" w:rsidRPr="00357B94" w:rsidRDefault="0017479E" w:rsidP="0017479E">
      <w:pPr>
        <w:pStyle w:val="Textonotapie"/>
        <w:ind w:firstLine="708"/>
        <w:jc w:val="both"/>
        <w:rPr>
          <w:rFonts w:ascii="Verdana" w:hAnsi="Verdana"/>
          <w:sz w:val="18"/>
          <w:szCs w:val="18"/>
        </w:rPr>
      </w:pPr>
      <w:r w:rsidRPr="00357B94">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10E011FF" w14:textId="77777777" w:rsidR="0017479E" w:rsidRPr="00357B94" w:rsidRDefault="0017479E" w:rsidP="0017479E">
      <w:pPr>
        <w:pStyle w:val="Textonotapie"/>
        <w:ind w:firstLine="708"/>
        <w:jc w:val="both"/>
        <w:rPr>
          <w:rFonts w:ascii="Verdana" w:hAnsi="Verdana"/>
          <w:sz w:val="18"/>
          <w:szCs w:val="18"/>
        </w:rPr>
      </w:pPr>
    </w:p>
    <w:p w14:paraId="7F1F1AC8" w14:textId="77777777" w:rsidR="0017479E" w:rsidRPr="00357B94" w:rsidRDefault="0017479E" w:rsidP="0017479E">
      <w:pPr>
        <w:pStyle w:val="Textonotapie"/>
        <w:ind w:firstLine="708"/>
        <w:jc w:val="both"/>
        <w:rPr>
          <w:rFonts w:ascii="Verdana" w:hAnsi="Verdana"/>
          <w:sz w:val="18"/>
          <w:szCs w:val="18"/>
        </w:rPr>
      </w:pPr>
      <w:r w:rsidRPr="00357B94">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4">
    <w:p w14:paraId="67535EDE" w14:textId="77777777" w:rsidR="0017479E" w:rsidRPr="00357B94" w:rsidRDefault="0017479E" w:rsidP="0017479E">
      <w:pPr>
        <w:pStyle w:val="Textonotapie"/>
        <w:ind w:firstLine="708"/>
        <w:rPr>
          <w:rFonts w:ascii="Verdana" w:hAnsi="Verdana"/>
          <w:sz w:val="18"/>
          <w:szCs w:val="18"/>
          <w:lang w:val="es-ES_tradnl"/>
        </w:rPr>
      </w:pPr>
      <w:r w:rsidRPr="00357B94">
        <w:rPr>
          <w:rStyle w:val="Refdenotaalpie"/>
          <w:rFonts w:ascii="Verdana" w:hAnsi="Verdana"/>
          <w:sz w:val="18"/>
          <w:szCs w:val="18"/>
        </w:rPr>
        <w:footnoteRef/>
      </w:r>
      <w:r w:rsidRPr="00357B94">
        <w:rPr>
          <w:rFonts w:ascii="Verdana" w:hAnsi="Verdana"/>
          <w:sz w:val="18"/>
          <w:szCs w:val="18"/>
        </w:rPr>
        <w:t xml:space="preserve"> Definición tomada de la página web del Ministerio de Vivienda, Ciudad y Territorio en el siguiente enlace: </w:t>
      </w:r>
      <w:hyperlink r:id="rId2" w:history="1">
        <w:r w:rsidRPr="00357B94">
          <w:rPr>
            <w:rStyle w:val="Hipervnculo"/>
            <w:rFonts w:ascii="Verdana" w:hAnsi="Verdana"/>
            <w:sz w:val="18"/>
            <w:szCs w:val="18"/>
          </w:rPr>
          <w:t>https://www.minvivienda.gov.co/node/46738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988700460">
    <w:abstractNumId w:val="9"/>
  </w:num>
  <w:num w:numId="17" w16cid:durableId="120744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723A"/>
    <w:rsid w:val="00082362"/>
    <w:rsid w:val="000A4E36"/>
    <w:rsid w:val="000A683E"/>
    <w:rsid w:val="000B19B9"/>
    <w:rsid w:val="000B21AF"/>
    <w:rsid w:val="000D0334"/>
    <w:rsid w:val="000D5DA7"/>
    <w:rsid w:val="000F6486"/>
    <w:rsid w:val="00116940"/>
    <w:rsid w:val="00125105"/>
    <w:rsid w:val="00127233"/>
    <w:rsid w:val="0015699B"/>
    <w:rsid w:val="0017479E"/>
    <w:rsid w:val="00184A9D"/>
    <w:rsid w:val="00197EA6"/>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D28BD"/>
    <w:rsid w:val="002E2BF8"/>
    <w:rsid w:val="002E4FD9"/>
    <w:rsid w:val="0030657A"/>
    <w:rsid w:val="00322A85"/>
    <w:rsid w:val="00324168"/>
    <w:rsid w:val="00330834"/>
    <w:rsid w:val="003448F4"/>
    <w:rsid w:val="00374F5E"/>
    <w:rsid w:val="00377E3E"/>
    <w:rsid w:val="003A779E"/>
    <w:rsid w:val="003D0F4D"/>
    <w:rsid w:val="003D5B0D"/>
    <w:rsid w:val="003E0499"/>
    <w:rsid w:val="003E4671"/>
    <w:rsid w:val="003E4F80"/>
    <w:rsid w:val="003E6439"/>
    <w:rsid w:val="003F3941"/>
    <w:rsid w:val="00406575"/>
    <w:rsid w:val="00414C74"/>
    <w:rsid w:val="0042722E"/>
    <w:rsid w:val="0044528D"/>
    <w:rsid w:val="00466E39"/>
    <w:rsid w:val="0047147C"/>
    <w:rsid w:val="004A1847"/>
    <w:rsid w:val="004A305D"/>
    <w:rsid w:val="004F21C4"/>
    <w:rsid w:val="004F685F"/>
    <w:rsid w:val="005061C5"/>
    <w:rsid w:val="005566E8"/>
    <w:rsid w:val="00557019"/>
    <w:rsid w:val="00574867"/>
    <w:rsid w:val="00591460"/>
    <w:rsid w:val="005A65E0"/>
    <w:rsid w:val="005C12FF"/>
    <w:rsid w:val="005C3777"/>
    <w:rsid w:val="005C5CDC"/>
    <w:rsid w:val="005D476C"/>
    <w:rsid w:val="006200BF"/>
    <w:rsid w:val="006219F8"/>
    <w:rsid w:val="006302F7"/>
    <w:rsid w:val="00646B9F"/>
    <w:rsid w:val="00653D9A"/>
    <w:rsid w:val="00665D70"/>
    <w:rsid w:val="006900D9"/>
    <w:rsid w:val="006A288C"/>
    <w:rsid w:val="006B4F29"/>
    <w:rsid w:val="00706C16"/>
    <w:rsid w:val="007340C3"/>
    <w:rsid w:val="0075235A"/>
    <w:rsid w:val="00756841"/>
    <w:rsid w:val="00761D0B"/>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2A4"/>
    <w:rsid w:val="008B25F1"/>
    <w:rsid w:val="008D180B"/>
    <w:rsid w:val="008F0EA7"/>
    <w:rsid w:val="00923EEF"/>
    <w:rsid w:val="009419F9"/>
    <w:rsid w:val="0095685E"/>
    <w:rsid w:val="00961B09"/>
    <w:rsid w:val="00965334"/>
    <w:rsid w:val="0097093E"/>
    <w:rsid w:val="009A0DFA"/>
    <w:rsid w:val="009A1C6F"/>
    <w:rsid w:val="009B2D26"/>
    <w:rsid w:val="009C2127"/>
    <w:rsid w:val="009C71FA"/>
    <w:rsid w:val="009C72E7"/>
    <w:rsid w:val="009C7F7E"/>
    <w:rsid w:val="009D3058"/>
    <w:rsid w:val="009F3A13"/>
    <w:rsid w:val="00A122D3"/>
    <w:rsid w:val="00A14468"/>
    <w:rsid w:val="00A17F13"/>
    <w:rsid w:val="00A20739"/>
    <w:rsid w:val="00A23AF9"/>
    <w:rsid w:val="00A30261"/>
    <w:rsid w:val="00A33C78"/>
    <w:rsid w:val="00A404C3"/>
    <w:rsid w:val="00A83CD7"/>
    <w:rsid w:val="00AB0ADB"/>
    <w:rsid w:val="00B00C0E"/>
    <w:rsid w:val="00B01B1A"/>
    <w:rsid w:val="00B0381D"/>
    <w:rsid w:val="00B44A47"/>
    <w:rsid w:val="00B72CD3"/>
    <w:rsid w:val="00B72FFF"/>
    <w:rsid w:val="00B864E0"/>
    <w:rsid w:val="00BA6199"/>
    <w:rsid w:val="00BC3D36"/>
    <w:rsid w:val="00BD54A6"/>
    <w:rsid w:val="00BD7F72"/>
    <w:rsid w:val="00BF7425"/>
    <w:rsid w:val="00C04FB3"/>
    <w:rsid w:val="00C07E34"/>
    <w:rsid w:val="00C11D8B"/>
    <w:rsid w:val="00C15139"/>
    <w:rsid w:val="00C330EB"/>
    <w:rsid w:val="00C50D69"/>
    <w:rsid w:val="00C5365C"/>
    <w:rsid w:val="00C754BE"/>
    <w:rsid w:val="00C76B1C"/>
    <w:rsid w:val="00C8342A"/>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50CB"/>
    <w:rsid w:val="00E8772A"/>
    <w:rsid w:val="00E90F6B"/>
    <w:rsid w:val="00E92C27"/>
    <w:rsid w:val="00E97F6E"/>
    <w:rsid w:val="00EA0E3D"/>
    <w:rsid w:val="00EC38A7"/>
    <w:rsid w:val="00EE1AA8"/>
    <w:rsid w:val="00F23FEA"/>
    <w:rsid w:val="00F31EDC"/>
    <w:rsid w:val="00F462B3"/>
    <w:rsid w:val="00F5664F"/>
    <w:rsid w:val="00F666C4"/>
    <w:rsid w:val="00F76AFC"/>
    <w:rsid w:val="00F8466F"/>
    <w:rsid w:val="00FA47C0"/>
    <w:rsid w:val="00FB5DD1"/>
    <w:rsid w:val="00FC1D42"/>
    <w:rsid w:val="00FC2B5D"/>
    <w:rsid w:val="00FE4536"/>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74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7479E"/>
    <w:pPr>
      <w:spacing w:after="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invivienda.gov.co/node/46738" TargetMode="External"/><Relationship Id="rId1" Type="http://schemas.openxmlformats.org/officeDocument/2006/relationships/hyperlink" Target="https://www.minvivienda.gov.co/node/4673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49B7D-9958-46E4-A3DF-E7ED0E4A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8531</Words>
  <Characters>46926</Characters>
  <Application>Microsoft Office Word</Application>
  <DocSecurity>0</DocSecurity>
  <Lines>391</Lines>
  <Paragraphs>110</Paragraphs>
  <ScaleCrop>false</ScaleCrop>
  <Company/>
  <LinksUpToDate>false</LinksUpToDate>
  <CharactersWithSpaces>55347</CharactersWithSpaces>
  <SharedDoc>false</SharedDoc>
  <HLinks>
    <vt:vector size="48" baseType="variant">
      <vt:variant>
        <vt:i4>3604538</vt:i4>
      </vt:variant>
      <vt:variant>
        <vt:i4>15</vt:i4>
      </vt:variant>
      <vt:variant>
        <vt:i4>0</vt:i4>
      </vt:variant>
      <vt:variant>
        <vt:i4>5</vt:i4>
      </vt:variant>
      <vt:variant>
        <vt:lpwstr>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vt:lpwstr>
      </vt:variant>
      <vt:variant>
        <vt:lpwstr/>
      </vt:variant>
      <vt:variant>
        <vt:i4>7929894</vt:i4>
      </vt:variant>
      <vt:variant>
        <vt:i4>12</vt:i4>
      </vt:variant>
      <vt:variant>
        <vt:i4>0</vt:i4>
      </vt:variant>
      <vt:variant>
        <vt:i4>5</vt:i4>
      </vt:variant>
      <vt:variant>
        <vt:lpwstr>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vt:lpwstr>
      </vt:variant>
      <vt:variant>
        <vt:lpwstr/>
      </vt:variant>
      <vt:variant>
        <vt:i4>7864358</vt:i4>
      </vt:variant>
      <vt:variant>
        <vt:i4>9</vt:i4>
      </vt:variant>
      <vt:variant>
        <vt:i4>0</vt:i4>
      </vt:variant>
      <vt:variant>
        <vt:i4>5</vt:i4>
      </vt:variant>
      <vt:variant>
        <vt:lpwstr>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vt:lpwstr>
      </vt:variant>
      <vt:variant>
        <vt:lpwstr/>
      </vt:variant>
      <vt:variant>
        <vt:i4>7340140</vt:i4>
      </vt:variant>
      <vt:variant>
        <vt:i4>6</vt:i4>
      </vt:variant>
      <vt:variant>
        <vt:i4>0</vt:i4>
      </vt:variant>
      <vt:variant>
        <vt:i4>5</vt:i4>
      </vt:variant>
      <vt:variant>
        <vt:lpwstr>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vt:lpwstr>
      </vt:variant>
      <vt:variant>
        <vt:lpwstr/>
      </vt:variant>
      <vt:variant>
        <vt:i4>2162739</vt:i4>
      </vt:variant>
      <vt:variant>
        <vt:i4>3</vt:i4>
      </vt:variant>
      <vt:variant>
        <vt:i4>0</vt:i4>
      </vt:variant>
      <vt:variant>
        <vt:i4>5</vt:i4>
      </vt:variant>
      <vt:variant>
        <vt:lpwstr>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vt:lpwstr>
      </vt:variant>
      <vt:variant>
        <vt:lpwstr/>
      </vt:variant>
      <vt:variant>
        <vt:i4>4653144</vt:i4>
      </vt:variant>
      <vt:variant>
        <vt:i4>0</vt:i4>
      </vt:variant>
      <vt:variant>
        <vt:i4>0</vt:i4>
      </vt:variant>
      <vt:variant>
        <vt:i4>5</vt:i4>
      </vt:variant>
      <vt:variant>
        <vt:lpwstr>https://www.colombiacompra.gov.co/documentos-tipo/documentos-tipo</vt:lpwstr>
      </vt:variant>
      <vt:variant>
        <vt:lpwstr/>
      </vt:variant>
      <vt:variant>
        <vt:i4>24</vt:i4>
      </vt:variant>
      <vt:variant>
        <vt:i4>3</vt:i4>
      </vt:variant>
      <vt:variant>
        <vt:i4>0</vt:i4>
      </vt:variant>
      <vt:variant>
        <vt:i4>5</vt:i4>
      </vt:variant>
      <vt:variant>
        <vt:lpwstr>https://www.minvivienda.gov.co/node/46738</vt:lpwstr>
      </vt:variant>
      <vt:variant>
        <vt:lpwstr/>
      </vt:variant>
      <vt:variant>
        <vt:i4>24</vt:i4>
      </vt:variant>
      <vt:variant>
        <vt:i4>0</vt:i4>
      </vt:variant>
      <vt:variant>
        <vt:i4>0</vt:i4>
      </vt:variant>
      <vt:variant>
        <vt:i4>5</vt:i4>
      </vt:variant>
      <vt:variant>
        <vt:lpwstr>https://www.minvivienda.gov.co/node/46738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2026-09-15T14:43:00Z</dcterms:created>
  <dcterms:modified xsi:type="dcterms:W3CDTF">2026-09-15T17:26:00Z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