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ACBBA" w14:textId="77777777" w:rsidR="000A4569" w:rsidRDefault="000A4569" w:rsidP="30821638">
      <w:pPr>
        <w:spacing w:after="0"/>
        <w:rPr>
          <w:rFonts w:ascii="Verdana" w:eastAsia="Verdana" w:hAnsi="Verdana" w:cs="Verdana"/>
        </w:rPr>
      </w:pPr>
      <w:bookmarkStart w:id="0" w:name="_Hlk143780582"/>
    </w:p>
    <w:p w14:paraId="626D59E7" w14:textId="77777777" w:rsidR="000A4569" w:rsidRPr="00647611" w:rsidRDefault="000A4569" w:rsidP="000A4569">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Finalidad </w:t>
      </w:r>
    </w:p>
    <w:p w14:paraId="181EF12D" w14:textId="77777777" w:rsidR="000A4569" w:rsidRPr="00647611" w:rsidRDefault="000A4569" w:rsidP="000A4569">
      <w:pPr>
        <w:spacing w:after="0" w:line="240" w:lineRule="auto"/>
        <w:jc w:val="both"/>
        <w:rPr>
          <w:rFonts w:ascii="Verdana" w:hAnsi="Verdana" w:cs="Arial"/>
          <w:b/>
          <w:sz w:val="20"/>
          <w:szCs w:val="20"/>
          <w:lang w:val="es-MX" w:eastAsia="es-ES_tradnl"/>
        </w:rPr>
      </w:pPr>
    </w:p>
    <w:p w14:paraId="7617014B" w14:textId="77777777" w:rsidR="000A4569" w:rsidRPr="00647611" w:rsidRDefault="000A4569" w:rsidP="000A4569">
      <w:pPr>
        <w:spacing w:after="0" w:line="240" w:lineRule="auto"/>
        <w:jc w:val="both"/>
        <w:rPr>
          <w:rFonts w:ascii="Verdana" w:eastAsia="Times New Roman" w:hAnsi="Verdana" w:cs="Arial"/>
          <w:sz w:val="20"/>
          <w:szCs w:val="20"/>
          <w:lang w:val="es-MX" w:eastAsia="es-CO"/>
        </w:rPr>
      </w:pPr>
      <w:r w:rsidRPr="00647611">
        <w:rPr>
          <w:rFonts w:ascii="Verdana" w:eastAsia="Times New Roman" w:hAnsi="Verdana" w:cs="Arial"/>
          <w:sz w:val="20"/>
          <w:szCs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6B99920E" w14:textId="77777777" w:rsidR="000A4569" w:rsidRPr="00647611" w:rsidRDefault="000A4569" w:rsidP="000A4569">
      <w:pPr>
        <w:spacing w:after="0" w:line="240" w:lineRule="auto"/>
        <w:jc w:val="both"/>
        <w:rPr>
          <w:rFonts w:ascii="Verdana" w:hAnsi="Verdana" w:cs="Arial"/>
          <w:b/>
          <w:sz w:val="20"/>
          <w:szCs w:val="20"/>
          <w:lang w:val="es-MX" w:eastAsia="es-ES_tradnl"/>
        </w:rPr>
      </w:pPr>
    </w:p>
    <w:p w14:paraId="7D850E01" w14:textId="77777777" w:rsidR="000A4569" w:rsidRPr="00647611" w:rsidRDefault="000A4569" w:rsidP="000A4569">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Tipos de restricciones </w:t>
      </w:r>
      <w:r w:rsidRPr="00647611">
        <w:rPr>
          <w:rFonts w:ascii="Verdana" w:hAnsi="Verdana" w:cs="Arial"/>
          <w:b/>
          <w:bCs/>
          <w:lang w:val="es-MX" w:eastAsia="es-ES_tradnl"/>
        </w:rPr>
        <w:t>‒</w:t>
      </w:r>
      <w:r w:rsidRPr="00647611">
        <w:rPr>
          <w:rFonts w:ascii="Verdana" w:hAnsi="Verdana" w:cs="Arial"/>
          <w:b/>
          <w:lang w:val="es-MX" w:eastAsia="es-ES_tradnl"/>
        </w:rPr>
        <w:t xml:space="preserve"> Ámbito temporal – </w:t>
      </w:r>
      <w:r>
        <w:rPr>
          <w:rFonts w:ascii="Verdana" w:hAnsi="Verdana" w:cs="Arial"/>
          <w:b/>
          <w:lang w:val="es-MX" w:eastAsia="es-ES_tradnl"/>
        </w:rPr>
        <w:t>C</w:t>
      </w:r>
      <w:r w:rsidRPr="00647611">
        <w:rPr>
          <w:rFonts w:ascii="Verdana" w:hAnsi="Verdana" w:cs="Arial"/>
          <w:b/>
          <w:lang w:val="es-MX" w:eastAsia="es-ES_tradnl"/>
        </w:rPr>
        <w:t>elebración</w:t>
      </w:r>
      <w:r>
        <w:rPr>
          <w:rFonts w:ascii="Verdana" w:hAnsi="Verdana" w:cs="Arial"/>
          <w:b/>
          <w:lang w:val="es-MX" w:eastAsia="es-ES_tradnl"/>
        </w:rPr>
        <w:t xml:space="preserve"> –</w:t>
      </w:r>
      <w:r w:rsidRPr="00647611">
        <w:rPr>
          <w:rFonts w:ascii="Verdana" w:hAnsi="Verdana" w:cs="Arial"/>
          <w:b/>
          <w:lang w:val="es-MX" w:eastAsia="es-ES_tradnl"/>
        </w:rPr>
        <w:t xml:space="preserve"> </w:t>
      </w:r>
      <w:r>
        <w:rPr>
          <w:rFonts w:ascii="Verdana" w:hAnsi="Verdana" w:cs="Arial"/>
          <w:b/>
          <w:lang w:val="es-MX" w:eastAsia="es-ES_tradnl"/>
        </w:rPr>
        <w:t>L</w:t>
      </w:r>
      <w:r w:rsidRPr="00647611">
        <w:rPr>
          <w:rFonts w:ascii="Verdana" w:hAnsi="Verdana" w:cs="Arial"/>
          <w:b/>
          <w:lang w:val="es-MX" w:eastAsia="es-ES_tradnl"/>
        </w:rPr>
        <w:t>ímite</w:t>
      </w:r>
    </w:p>
    <w:p w14:paraId="7477445B" w14:textId="77777777" w:rsidR="000A4569" w:rsidRPr="00647611" w:rsidRDefault="000A4569" w:rsidP="000A4569">
      <w:pPr>
        <w:spacing w:after="0" w:line="240" w:lineRule="auto"/>
        <w:jc w:val="both"/>
        <w:rPr>
          <w:rFonts w:ascii="Verdana" w:hAnsi="Verdana" w:cs="Arial"/>
          <w:b/>
          <w:sz w:val="20"/>
          <w:szCs w:val="20"/>
          <w:lang w:val="es-MX" w:eastAsia="es-ES_tradnl"/>
        </w:rPr>
      </w:pPr>
    </w:p>
    <w:p w14:paraId="1E864AFA" w14:textId="77777777" w:rsidR="000A4569" w:rsidRPr="00647611" w:rsidRDefault="000A4569" w:rsidP="000A4569">
      <w:pPr>
        <w:spacing w:after="0" w:line="240" w:lineRule="auto"/>
        <w:jc w:val="both"/>
        <w:rPr>
          <w:rFonts w:ascii="Verdana" w:eastAsia="Calibri" w:hAnsi="Verdana" w:cs="Arial"/>
          <w:sz w:val="20"/>
          <w:szCs w:val="20"/>
        </w:rPr>
      </w:pPr>
      <w:r w:rsidRPr="00647611">
        <w:rPr>
          <w:rFonts w:ascii="Verdana" w:eastAsia="Calibri" w:hAnsi="Verdana" w:cs="Arial"/>
          <w:sz w:val="20"/>
          <w:szCs w:val="20"/>
        </w:rPr>
        <w:t xml:space="preserve">Por un lado, el </w:t>
      </w:r>
      <w:r w:rsidRPr="00647611">
        <w:rPr>
          <w:rFonts w:ascii="Verdana" w:eastAsia="Calibri" w:hAnsi="Verdana" w:cs="Arial"/>
          <w:i/>
          <w:iCs/>
          <w:sz w:val="20"/>
          <w:szCs w:val="20"/>
        </w:rPr>
        <w:t>artículo 33 de la Ley 996 de 2005</w:t>
      </w:r>
      <w:r w:rsidRPr="00647611">
        <w:rPr>
          <w:rFonts w:ascii="Verdana" w:eastAsia="Calibri" w:hAnsi="Verdana"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0F70C4C" w14:textId="77777777" w:rsidR="000A4569" w:rsidRPr="00647611" w:rsidRDefault="000A4569" w:rsidP="000A4569">
      <w:pPr>
        <w:spacing w:after="0" w:line="240" w:lineRule="auto"/>
        <w:jc w:val="both"/>
        <w:rPr>
          <w:rFonts w:ascii="Verdana" w:eastAsia="Calibri" w:hAnsi="Verdana" w:cs="Arial"/>
          <w:sz w:val="20"/>
          <w:szCs w:val="20"/>
        </w:rPr>
      </w:pPr>
    </w:p>
    <w:p w14:paraId="409F9148" w14:textId="77777777" w:rsidR="000A4569" w:rsidRPr="00647611" w:rsidRDefault="000A4569" w:rsidP="000A4569">
      <w:pPr>
        <w:widowControl w:val="0"/>
        <w:autoSpaceDE w:val="0"/>
        <w:autoSpaceDN w:val="0"/>
        <w:spacing w:after="0" w:line="240" w:lineRule="auto"/>
        <w:ind w:right="113"/>
        <w:jc w:val="both"/>
        <w:rPr>
          <w:rFonts w:ascii="Verdana" w:eastAsia="Arial" w:hAnsi="Verdana" w:cs="Arial"/>
          <w:sz w:val="20"/>
          <w:szCs w:val="20"/>
          <w:lang w:val="es-ES" w:eastAsia="es-ES" w:bidi="es-ES"/>
        </w:rPr>
      </w:pPr>
      <w:r w:rsidRPr="00647611">
        <w:rPr>
          <w:rFonts w:ascii="Verdana" w:eastAsia="Calibri" w:hAnsi="Verdana" w:cs="Arial"/>
          <w:sz w:val="20"/>
          <w:szCs w:val="20"/>
        </w:rPr>
        <w:t xml:space="preserve">Por otro lado, </w:t>
      </w:r>
      <w:r w:rsidRPr="00647611">
        <w:rPr>
          <w:rFonts w:ascii="Verdana" w:eastAsia="Calibri" w:hAnsi="Verdana" w:cs="Arial"/>
          <w:i/>
          <w:iCs/>
          <w:sz w:val="20"/>
          <w:szCs w:val="20"/>
        </w:rPr>
        <w:t>el parágrafo del artículo 38 de la Ley 996 de 2005</w:t>
      </w:r>
      <w:r w:rsidRPr="00647611">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647611">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47611">
        <w:rPr>
          <w:rFonts w:ascii="Verdana" w:eastAsia="Calibri" w:hAnsi="Verdana" w:cs="Arial"/>
          <w:sz w:val="20"/>
          <w:szCs w:val="20"/>
        </w:rPr>
        <w:t>”</w:t>
      </w:r>
      <w:r w:rsidRPr="00647611">
        <w:rPr>
          <w:rFonts w:ascii="Verdana" w:eastAsia="Calibri" w:hAnsi="Verdana" w:cs="Arial"/>
          <w:sz w:val="20"/>
          <w:szCs w:val="20"/>
          <w:lang w:val="es-MX"/>
        </w:rPr>
        <w:t>.</w:t>
      </w:r>
      <w:r w:rsidRPr="00647611">
        <w:rPr>
          <w:rFonts w:ascii="Verdana" w:eastAsia="Arial" w:hAnsi="Verdana" w:cs="Arial"/>
          <w:sz w:val="20"/>
          <w:szCs w:val="20"/>
          <w:lang w:val="es-ES" w:eastAsia="es-ES" w:bidi="es-ES"/>
        </w:rPr>
        <w:t xml:space="preserve"> </w:t>
      </w:r>
    </w:p>
    <w:p w14:paraId="4495508C" w14:textId="77777777" w:rsidR="000A4569" w:rsidRPr="00647611" w:rsidRDefault="000A4569" w:rsidP="000A4569">
      <w:pPr>
        <w:widowControl w:val="0"/>
        <w:autoSpaceDE w:val="0"/>
        <w:autoSpaceDN w:val="0"/>
        <w:spacing w:after="0" w:line="240" w:lineRule="auto"/>
        <w:ind w:right="113"/>
        <w:jc w:val="both"/>
        <w:rPr>
          <w:rFonts w:ascii="Verdana" w:eastAsia="Arial" w:hAnsi="Verdana" w:cs="Arial"/>
          <w:sz w:val="20"/>
          <w:szCs w:val="20"/>
          <w:lang w:val="es-ES" w:eastAsia="es-ES" w:bidi="es-ES"/>
        </w:rPr>
      </w:pPr>
    </w:p>
    <w:p w14:paraId="2F3FD916" w14:textId="77777777" w:rsidR="000A4569" w:rsidRPr="00647611" w:rsidRDefault="000A4569" w:rsidP="000A4569">
      <w:pPr>
        <w:spacing w:after="0" w:line="240" w:lineRule="auto"/>
        <w:jc w:val="both"/>
        <w:rPr>
          <w:rFonts w:ascii="Verdana" w:eastAsia="Times New Roman" w:hAnsi="Verdana" w:cs="Arial"/>
          <w:bCs/>
          <w:sz w:val="20"/>
          <w:szCs w:val="20"/>
          <w:lang w:val="es-ES" w:eastAsia="es-CO"/>
        </w:rPr>
      </w:pPr>
      <w:r w:rsidRPr="00647611">
        <w:rPr>
          <w:rFonts w:ascii="Verdana" w:eastAsia="Times New Roman" w:hAnsi="Verdana" w:cs="Arial"/>
          <w:bCs/>
          <w:sz w:val="20"/>
          <w:szCs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647611">
        <w:rPr>
          <w:rFonts w:ascii="Verdana" w:eastAsia="Times New Roman" w:hAnsi="Verdana" w:cs="Arial"/>
          <w:bCs/>
          <w:sz w:val="20"/>
          <w:szCs w:val="20"/>
          <w:lang w:val="es-ES" w:eastAsia="es-CO"/>
        </w:rPr>
        <w:t xml:space="preserve">la existencia de los contratos estatales, es decir, la producción de efectos jurídicos en los términos del artículo 1501 </w:t>
      </w:r>
      <w:r w:rsidRPr="00647611">
        <w:rPr>
          <w:rFonts w:ascii="Verdana" w:eastAsia="Times New Roman" w:hAnsi="Verdana" w:cs="Arial"/>
          <w:bCs/>
          <w:i/>
          <w:sz w:val="20"/>
          <w:szCs w:val="20"/>
          <w:lang w:val="es-ES" w:eastAsia="es-CO"/>
        </w:rPr>
        <w:t>ibídem</w:t>
      </w:r>
      <w:r w:rsidRPr="00647611">
        <w:rPr>
          <w:rFonts w:ascii="Verdana" w:eastAsia="Times New Roman" w:hAnsi="Verdana" w:cs="Arial"/>
          <w:bCs/>
          <w:sz w:val="20"/>
          <w:szCs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3F77ECBF" w14:textId="77777777" w:rsidR="000A4569" w:rsidRPr="00647611" w:rsidRDefault="000A4569" w:rsidP="000A4569">
      <w:pPr>
        <w:spacing w:after="0" w:line="240" w:lineRule="auto"/>
        <w:jc w:val="both"/>
        <w:rPr>
          <w:rFonts w:ascii="Verdana" w:hAnsi="Verdana" w:cs="Arial"/>
          <w:b/>
          <w:sz w:val="20"/>
          <w:szCs w:val="20"/>
          <w:lang w:val="es-MX" w:eastAsia="es-ES_tradnl"/>
        </w:rPr>
      </w:pPr>
    </w:p>
    <w:p w14:paraId="76C2275C" w14:textId="77777777" w:rsidR="000A4569" w:rsidRPr="00647611" w:rsidRDefault="000A4569" w:rsidP="000A4569">
      <w:pPr>
        <w:spacing w:after="0" w:line="240" w:lineRule="auto"/>
        <w:jc w:val="both"/>
        <w:rPr>
          <w:rFonts w:ascii="Verdana" w:hAnsi="Verdana" w:cs="Arial"/>
          <w:b/>
          <w:lang w:val="es-MX" w:eastAsia="es-ES_tradnl"/>
        </w:rPr>
      </w:pPr>
      <w:r w:rsidRPr="00647611">
        <w:rPr>
          <w:rFonts w:ascii="Verdana" w:hAnsi="Verdana" w:cs="Arial"/>
          <w:b/>
          <w:lang w:val="es-MX" w:eastAsia="es-ES_tradnl"/>
        </w:rPr>
        <w:lastRenderedPageBreak/>
        <w:t xml:space="preserve">LEY DE GARANTÍAS ELECTORALES – Prohibición artículo 33 – Contratación directa – Alcance </w:t>
      </w:r>
    </w:p>
    <w:p w14:paraId="116CFBAC" w14:textId="77777777" w:rsidR="000A4569" w:rsidRPr="00647611" w:rsidRDefault="000A4569" w:rsidP="000A4569">
      <w:pPr>
        <w:spacing w:after="0" w:line="240" w:lineRule="auto"/>
        <w:jc w:val="both"/>
        <w:rPr>
          <w:rFonts w:ascii="Verdana" w:hAnsi="Verdana" w:cs="Arial"/>
          <w:b/>
          <w:sz w:val="20"/>
          <w:szCs w:val="20"/>
          <w:lang w:val="es-MX" w:eastAsia="es-ES_tradnl"/>
        </w:rPr>
      </w:pPr>
    </w:p>
    <w:p w14:paraId="1CFFA3B8" w14:textId="77777777" w:rsidR="000A4569" w:rsidRPr="00647611" w:rsidRDefault="000A4569" w:rsidP="000A4569">
      <w:pPr>
        <w:spacing w:after="0" w:line="240" w:lineRule="auto"/>
        <w:jc w:val="both"/>
        <w:rPr>
          <w:rFonts w:ascii="Verdana" w:eastAsia="Times New Roman" w:hAnsi="Verdana" w:cs="Arial"/>
          <w:bCs/>
          <w:sz w:val="20"/>
          <w:szCs w:val="20"/>
          <w:lang w:eastAsia="x-none"/>
        </w:rPr>
      </w:pPr>
      <w:r w:rsidRPr="00647611">
        <w:rPr>
          <w:rFonts w:ascii="Verdana" w:eastAsia="Times New Roman" w:hAnsi="Verdana" w:cs="Arial"/>
          <w:sz w:val="20"/>
          <w:szCs w:val="20"/>
          <w:lang w:eastAsia="x-none"/>
        </w:rPr>
        <w:t xml:space="preserve">De acuerdo con el citado concepto, la prohibición del artículo 33 de la Ley de Garantías Electorales se refiere a </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cualquier sistema que no implique convocatoria pública y posibilidad de pluralidad de oferentes</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 xml:space="preserve">, por lo que excluye las demás modalidades de contratación previstas en la Ley 1150 de 2007, es decir, la licitación pública, la selección abreviada, el concurso de méritos </w:t>
      </w:r>
      <w:r w:rsidRPr="00647611">
        <w:rPr>
          <w:rFonts w:ascii="Verdana" w:eastAsia="Times New Roman" w:hAnsi="Verdana" w:cs="Arial"/>
          <w:sz w:val="20"/>
          <w:szCs w:val="20"/>
          <w:lang w:val="es-ES_tradnl" w:eastAsia="x-none"/>
        </w:rPr>
        <w:t>y la mínima cuantía</w:t>
      </w:r>
      <w:r w:rsidRPr="00647611" w:rsidDel="00A85D9F">
        <w:rPr>
          <w:rFonts w:ascii="Verdana" w:eastAsia="Times New Roman" w:hAnsi="Verdana" w:cs="Arial"/>
          <w:sz w:val="20"/>
          <w:szCs w:val="20"/>
          <w:lang w:eastAsia="x-none"/>
        </w:rPr>
        <w:t xml:space="preserve"> </w:t>
      </w:r>
      <w:r w:rsidRPr="00647611">
        <w:rPr>
          <w:rFonts w:ascii="Verdana" w:eastAsia="Times New Roman" w:hAnsi="Verdana" w:cs="Arial"/>
          <w:sz w:val="20"/>
          <w:szCs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647611">
        <w:rPr>
          <w:rFonts w:ascii="Verdana" w:eastAsia="Calibri" w:hAnsi="Verdana"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16388018" w14:textId="77777777" w:rsidR="000A4569" w:rsidRPr="00647611" w:rsidRDefault="000A4569" w:rsidP="000A4569">
      <w:pPr>
        <w:spacing w:after="0" w:line="240" w:lineRule="auto"/>
        <w:jc w:val="both"/>
        <w:rPr>
          <w:rFonts w:ascii="Verdana" w:hAnsi="Verdana" w:cs="Arial"/>
          <w:b/>
          <w:sz w:val="20"/>
          <w:szCs w:val="20"/>
          <w:lang w:eastAsia="es-ES_tradnl"/>
        </w:rPr>
      </w:pPr>
    </w:p>
    <w:p w14:paraId="1096DFAE" w14:textId="77777777" w:rsidR="000A4569" w:rsidRPr="00647611" w:rsidRDefault="000A4569" w:rsidP="000A4569">
      <w:pPr>
        <w:spacing w:after="0" w:line="240" w:lineRule="auto"/>
        <w:jc w:val="both"/>
        <w:rPr>
          <w:rFonts w:ascii="Verdana" w:hAnsi="Verdana" w:cs="Arial"/>
          <w:b/>
          <w:lang w:val="es-MX" w:eastAsia="es-ES_tradnl"/>
        </w:rPr>
      </w:pPr>
      <w:r w:rsidRPr="00647611">
        <w:rPr>
          <w:rFonts w:ascii="Verdana" w:hAnsi="Verdana" w:cs="Arial"/>
          <w:b/>
          <w:lang w:val="es-MX" w:eastAsia="es-ES_tradnl"/>
        </w:rPr>
        <w:t>LEY DE GARANTÍAS ELECTORALES – Excepciones</w:t>
      </w:r>
    </w:p>
    <w:p w14:paraId="070FCA37" w14:textId="77777777" w:rsidR="000A4569" w:rsidRPr="00647611" w:rsidRDefault="000A4569" w:rsidP="000A4569">
      <w:pPr>
        <w:spacing w:after="0" w:line="240" w:lineRule="auto"/>
        <w:jc w:val="both"/>
        <w:rPr>
          <w:rFonts w:ascii="Verdana" w:hAnsi="Verdana" w:cs="Arial"/>
          <w:b/>
          <w:sz w:val="20"/>
          <w:szCs w:val="20"/>
          <w:lang w:val="es-MX" w:eastAsia="es-ES_tradnl"/>
        </w:rPr>
      </w:pPr>
    </w:p>
    <w:p w14:paraId="03CD55B5" w14:textId="77777777" w:rsidR="000A4569" w:rsidRPr="00647611" w:rsidRDefault="000A4569" w:rsidP="000A4569">
      <w:pPr>
        <w:spacing w:after="0" w:line="240" w:lineRule="auto"/>
        <w:jc w:val="both"/>
        <w:rPr>
          <w:rFonts w:ascii="Verdana" w:eastAsia="Times New Roman" w:hAnsi="Verdana" w:cs="Arial"/>
          <w:bCs/>
          <w:sz w:val="20"/>
          <w:szCs w:val="20"/>
          <w:lang w:val="es-MX" w:eastAsia="es-CO"/>
        </w:rPr>
      </w:pPr>
      <w:r w:rsidRPr="00647611">
        <w:rPr>
          <w:rFonts w:ascii="Verdana" w:eastAsia="Times New Roman" w:hAnsi="Verdana" w:cs="Arial"/>
          <w:bCs/>
          <w:sz w:val="20"/>
          <w:szCs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w:t>
      </w:r>
      <w:proofErr w:type="spellStart"/>
      <w:r w:rsidRPr="00647611">
        <w:rPr>
          <w:rFonts w:ascii="Verdana" w:eastAsia="Times New Roman" w:hAnsi="Verdana" w:cs="Arial"/>
          <w:bCs/>
          <w:sz w:val="20"/>
          <w:szCs w:val="20"/>
          <w:lang w:val="es-MX" w:eastAsia="x-none"/>
        </w:rPr>
        <w:t>iv</w:t>
      </w:r>
      <w:proofErr w:type="spellEnd"/>
      <w:r w:rsidRPr="00647611">
        <w:rPr>
          <w:rFonts w:ascii="Verdana" w:eastAsia="Times New Roman" w:hAnsi="Verdana" w:cs="Arial"/>
          <w:bCs/>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47611">
        <w:rPr>
          <w:rFonts w:ascii="Verdana" w:eastAsia="Times New Roman" w:hAnsi="Verdana"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75DBD4B" w14:textId="77777777" w:rsidR="000A4569" w:rsidRPr="00647611" w:rsidRDefault="000A4569" w:rsidP="000A4569">
      <w:pPr>
        <w:spacing w:after="0" w:line="240" w:lineRule="auto"/>
        <w:jc w:val="both"/>
        <w:rPr>
          <w:rFonts w:ascii="Verdana" w:hAnsi="Verdana" w:cs="Arial"/>
          <w:b/>
          <w:sz w:val="20"/>
          <w:szCs w:val="20"/>
          <w:lang w:val="es-MX" w:eastAsia="es-ES_tradnl"/>
        </w:rPr>
      </w:pPr>
    </w:p>
    <w:p w14:paraId="6233DD75" w14:textId="77777777" w:rsidR="000A4569" w:rsidRPr="00647611" w:rsidRDefault="000A4569" w:rsidP="000A4569">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 Prohibición del artículo 33 – Destinatarios </w:t>
      </w:r>
    </w:p>
    <w:p w14:paraId="7AC3AB0A" w14:textId="77777777" w:rsidR="000A4569" w:rsidRPr="00647611" w:rsidRDefault="000A4569" w:rsidP="000A4569">
      <w:pPr>
        <w:spacing w:after="0" w:line="240" w:lineRule="auto"/>
        <w:rPr>
          <w:rFonts w:ascii="Verdana" w:hAnsi="Verdana" w:cs="Arial"/>
          <w:sz w:val="20"/>
          <w:szCs w:val="20"/>
          <w:lang w:val="es-MX" w:eastAsia="es-ES_tradnl"/>
        </w:rPr>
      </w:pPr>
    </w:p>
    <w:p w14:paraId="3F85A129" w14:textId="77777777" w:rsidR="000A4569" w:rsidRPr="00647611" w:rsidRDefault="000A4569" w:rsidP="000A4569">
      <w:pPr>
        <w:spacing w:after="0" w:line="240" w:lineRule="auto"/>
        <w:jc w:val="both"/>
        <w:rPr>
          <w:rFonts w:ascii="Verdana" w:hAnsi="Verdana" w:cs="Arial"/>
          <w:sz w:val="20"/>
          <w:szCs w:val="20"/>
          <w:lang w:val="es-MX" w:eastAsia="es-ES_tradnl"/>
        </w:rPr>
      </w:pPr>
      <w:r w:rsidRPr="00647611">
        <w:rPr>
          <w:rFonts w:ascii="Verdana" w:eastAsia="Calibri" w:hAnsi="Verdana" w:cs="Arial"/>
          <w:sz w:val="20"/>
          <w:szCs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647611">
        <w:rPr>
          <w:rFonts w:ascii="Verdana" w:eastAsia="Times New Roman" w:hAnsi="Verdana" w:cs="Arial"/>
          <w:bCs/>
          <w:sz w:val="20"/>
          <w:szCs w:val="20"/>
          <w:lang w:val="es-MX" w:eastAsia="x-none"/>
        </w:rPr>
        <w:t>establecimientos de crédito, las sociedades de servicios financieros y las entidades aseguradoras</w:t>
      </w:r>
      <w:r w:rsidRPr="00647611">
        <w:rPr>
          <w:rFonts w:ascii="Verdana" w:eastAsia="Calibri" w:hAnsi="Verdana" w:cs="Arial"/>
          <w:sz w:val="20"/>
          <w:szCs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0484658F" w14:textId="77777777" w:rsidR="000A4569" w:rsidRPr="00647611" w:rsidRDefault="000A4569" w:rsidP="000A4569">
      <w:pPr>
        <w:spacing w:after="0" w:line="240" w:lineRule="auto"/>
        <w:rPr>
          <w:rFonts w:ascii="Verdana" w:hAnsi="Verdana"/>
          <w:sz w:val="20"/>
          <w:szCs w:val="20"/>
        </w:rPr>
      </w:pPr>
    </w:p>
    <w:p w14:paraId="6638D33F" w14:textId="77777777" w:rsidR="000A4569" w:rsidRPr="00647611" w:rsidRDefault="000A4569" w:rsidP="000A4569">
      <w:pPr>
        <w:spacing w:after="0" w:line="240" w:lineRule="auto"/>
        <w:jc w:val="both"/>
        <w:rPr>
          <w:rFonts w:ascii="Verdana" w:hAnsi="Verdana"/>
          <w:b/>
        </w:rPr>
      </w:pPr>
      <w:r w:rsidRPr="00647611">
        <w:rPr>
          <w:rFonts w:ascii="Verdana" w:hAnsi="Verdana" w:cs="Arial"/>
          <w:b/>
          <w:lang w:val="es-MX" w:eastAsia="es-ES_tradnl"/>
        </w:rPr>
        <w:t>LEY DE GARANTÍAS ELECTORALES – Condiciones de igualdad – Contratación directa</w:t>
      </w:r>
    </w:p>
    <w:p w14:paraId="2D0D0FD9" w14:textId="77777777" w:rsidR="000A4569" w:rsidRPr="00647611" w:rsidRDefault="000A4569" w:rsidP="000A4569">
      <w:pPr>
        <w:spacing w:after="0" w:line="240" w:lineRule="auto"/>
        <w:rPr>
          <w:rFonts w:ascii="Verdana" w:hAnsi="Verdana"/>
          <w:sz w:val="20"/>
          <w:szCs w:val="20"/>
        </w:rPr>
      </w:pPr>
    </w:p>
    <w:p w14:paraId="6925CA40" w14:textId="77777777" w:rsidR="000A4569" w:rsidRDefault="000A4569" w:rsidP="000A4569">
      <w:pPr>
        <w:spacing w:after="0" w:line="240" w:lineRule="auto"/>
        <w:jc w:val="both"/>
        <w:rPr>
          <w:rFonts w:ascii="Verdana" w:eastAsia="Times New Roman" w:hAnsi="Verdana" w:cs="Arial"/>
          <w:bCs/>
          <w:sz w:val="20"/>
          <w:szCs w:val="20"/>
          <w:lang w:val="es-MX" w:eastAsia="x-none"/>
        </w:rPr>
      </w:pPr>
      <w:r w:rsidRPr="00647611">
        <w:rPr>
          <w:rFonts w:ascii="Verdana" w:eastAsia="Times New Roman" w:hAnsi="Verdana" w:cs="Arial"/>
          <w:bCs/>
          <w:sz w:val="20"/>
          <w:szCs w:val="20"/>
          <w:lang w:val="es-MX" w:eastAsia="x-none"/>
        </w:rPr>
        <w:t xml:space="preserve">Además, se reitera que la restricción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69CCF1F5" w14:textId="77777777" w:rsidR="000A4569" w:rsidRPr="00647611" w:rsidRDefault="000A4569" w:rsidP="000A4569">
      <w:pPr>
        <w:spacing w:after="0" w:line="240" w:lineRule="auto"/>
        <w:jc w:val="both"/>
        <w:rPr>
          <w:rFonts w:ascii="Verdana" w:eastAsia="Times New Roman" w:hAnsi="Verdana" w:cs="Arial"/>
          <w:bCs/>
          <w:sz w:val="20"/>
          <w:szCs w:val="20"/>
          <w:lang w:eastAsia="x-none"/>
        </w:rPr>
      </w:pPr>
    </w:p>
    <w:p w14:paraId="16735AC1" w14:textId="77777777" w:rsidR="000A4569" w:rsidRDefault="000A4569">
      <w:pPr>
        <w:rPr>
          <w:rFonts w:ascii="Verdana" w:eastAsia="Verdana" w:hAnsi="Verdana" w:cs="Verdana"/>
        </w:rPr>
      </w:pPr>
      <w:r>
        <w:rPr>
          <w:rFonts w:ascii="Verdana" w:eastAsia="Verdana" w:hAnsi="Verdana" w:cs="Verdana"/>
        </w:rPr>
        <w:br w:type="page"/>
      </w:r>
    </w:p>
    <w:p w14:paraId="1468C46D" w14:textId="012589EB" w:rsidR="00C15139" w:rsidRDefault="00735116" w:rsidP="00DE2D83">
      <w:pPr>
        <w:spacing w:after="0" w:line="240" w:lineRule="auto"/>
        <w:rPr>
          <w:rFonts w:ascii="Verdana" w:eastAsia="Verdana" w:hAnsi="Verdana" w:cs="Verdana"/>
        </w:rPr>
      </w:pPr>
      <w:r w:rsidRPr="00735116">
        <w:rPr>
          <w:rFonts w:ascii="Verdana" w:eastAsia="Verdana" w:hAnsi="Verdana" w:cs="Verdana"/>
          <w:noProof/>
        </w:rPr>
        <w:drawing>
          <wp:anchor distT="0" distB="0" distL="114300" distR="114300" simplePos="0" relativeHeight="251659264" behindDoc="1" locked="0" layoutInCell="1" allowOverlap="1" wp14:anchorId="31A025C8" wp14:editId="522D8322">
            <wp:simplePos x="0" y="0"/>
            <wp:positionH relativeFrom="column">
              <wp:posOffset>3239770</wp:posOffset>
            </wp:positionH>
            <wp:positionV relativeFrom="paragraph">
              <wp:posOffset>1905</wp:posOffset>
            </wp:positionV>
            <wp:extent cx="2565400" cy="876935"/>
            <wp:effectExtent l="0" t="0" r="6350" b="0"/>
            <wp:wrapTight wrapText="bothSides">
              <wp:wrapPolygon edited="0">
                <wp:start x="0" y="0"/>
                <wp:lineTo x="0" y="21115"/>
                <wp:lineTo x="21493" y="21115"/>
                <wp:lineTo x="21493" y="0"/>
                <wp:lineTo x="0" y="0"/>
              </wp:wrapPolygon>
            </wp:wrapTight>
            <wp:docPr id="7912361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5400" cy="876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21 septiembre 2026</w:t>
      </w:r>
    </w:p>
    <w:p w14:paraId="4D96EEAA" w14:textId="77777777" w:rsidR="00735116" w:rsidRPr="0024624F" w:rsidRDefault="00735116" w:rsidP="00DE2D83">
      <w:pPr>
        <w:spacing w:after="0" w:line="240" w:lineRule="auto"/>
        <w:rPr>
          <w:rFonts w:ascii="Verdana" w:eastAsia="Verdana" w:hAnsi="Verdana" w:cs="Verdana"/>
        </w:rPr>
      </w:pPr>
    </w:p>
    <w:p w14:paraId="043E1408" w14:textId="11A37C73" w:rsidR="00AE3B29" w:rsidRDefault="00AE3B29" w:rsidP="00BD20FF">
      <w:pPr>
        <w:spacing w:after="0" w:line="240" w:lineRule="auto"/>
        <w:jc w:val="both"/>
        <w:rPr>
          <w:rFonts w:ascii="Verdana" w:eastAsia="Calibri" w:hAnsi="Verdana" w:cs="Arial"/>
          <w:lang w:val="es-ES" w:eastAsia="es-ES"/>
        </w:rPr>
      </w:pPr>
      <w:r w:rsidRPr="00B53AAB">
        <w:rPr>
          <w:rFonts w:ascii="Verdana" w:eastAsia="Calibri" w:hAnsi="Verdana" w:cs="Arial"/>
          <w:lang w:val="es-ES" w:eastAsia="es-ES"/>
        </w:rPr>
        <w:t>Señor</w:t>
      </w:r>
      <w:r w:rsidR="00BD20FF">
        <w:rPr>
          <w:rFonts w:ascii="Verdana" w:eastAsia="Calibri" w:hAnsi="Verdana" w:cs="Arial"/>
          <w:lang w:val="es-ES" w:eastAsia="es-ES"/>
        </w:rPr>
        <w:t>a</w:t>
      </w:r>
    </w:p>
    <w:p w14:paraId="786F663A" w14:textId="753BF511" w:rsidR="00BD20FF" w:rsidRPr="001525E9" w:rsidRDefault="00BD20FF" w:rsidP="00BD20FF">
      <w:pPr>
        <w:spacing w:after="0" w:line="240" w:lineRule="auto"/>
        <w:jc w:val="both"/>
        <w:rPr>
          <w:rFonts w:ascii="Verdana" w:eastAsia="Calibri" w:hAnsi="Verdana" w:cs="Arial"/>
          <w:b/>
          <w:bCs/>
          <w:lang w:val="es-ES" w:eastAsia="es-ES"/>
        </w:rPr>
      </w:pPr>
      <w:r w:rsidRPr="001525E9">
        <w:rPr>
          <w:rFonts w:ascii="Verdana" w:eastAsia="Calibri" w:hAnsi="Verdana" w:cs="Arial"/>
          <w:b/>
          <w:bCs/>
          <w:lang w:val="es-ES" w:eastAsia="es-ES"/>
        </w:rPr>
        <w:t xml:space="preserve">Elayne Liliana León Omaña </w:t>
      </w:r>
    </w:p>
    <w:p w14:paraId="57D14754" w14:textId="7FD06F89" w:rsidR="00BD20FF" w:rsidRDefault="001525E9" w:rsidP="00BD20FF">
      <w:pPr>
        <w:spacing w:after="0" w:line="240" w:lineRule="auto"/>
        <w:jc w:val="both"/>
        <w:rPr>
          <w:rFonts w:ascii="Verdana" w:eastAsia="Calibri" w:hAnsi="Verdana" w:cs="Arial"/>
          <w:lang w:val="es-ES" w:eastAsia="es-ES"/>
        </w:rPr>
      </w:pPr>
      <w:hyperlink r:id="rId11" w:history="1">
        <w:r w:rsidRPr="00E12F47">
          <w:rPr>
            <w:rStyle w:val="Hipervnculo"/>
            <w:rFonts w:ascii="Verdana" w:eastAsia="Calibri" w:hAnsi="Verdana" w:cs="Arial"/>
            <w:lang w:val="es-ES" w:eastAsia="es-ES"/>
          </w:rPr>
          <w:t>jplazas@procuraduria.gov.co</w:t>
        </w:r>
      </w:hyperlink>
      <w:r w:rsidRPr="00E12F47">
        <w:rPr>
          <w:rFonts w:ascii="Verdana" w:eastAsia="Calibri" w:hAnsi="Verdana" w:cs="Arial"/>
          <w:lang w:val="es-ES" w:eastAsia="es-ES"/>
        </w:rPr>
        <w:t xml:space="preserve"> </w:t>
      </w:r>
    </w:p>
    <w:p w14:paraId="377F6AB7" w14:textId="63C806B3" w:rsidR="001525E9" w:rsidRPr="00BD20FF" w:rsidRDefault="001525E9" w:rsidP="00BD20FF">
      <w:pPr>
        <w:spacing w:after="0" w:line="240" w:lineRule="auto"/>
        <w:jc w:val="both"/>
        <w:rPr>
          <w:rFonts w:ascii="Verdana" w:eastAsia="Calibri" w:hAnsi="Verdana" w:cs="Arial"/>
          <w:lang w:val="es-ES" w:eastAsia="es-ES"/>
        </w:rPr>
      </w:pPr>
      <w:r>
        <w:rPr>
          <w:rFonts w:ascii="Verdana" w:eastAsia="Calibri" w:hAnsi="Verdana" w:cs="Arial"/>
          <w:lang w:val="es-ES" w:eastAsia="es-ES"/>
        </w:rPr>
        <w:t>Ciudad</w:t>
      </w:r>
    </w:p>
    <w:p w14:paraId="12BCDB13" w14:textId="77777777" w:rsidR="00AE3B29" w:rsidRPr="00B53AAB" w:rsidRDefault="00AE3B29" w:rsidP="00AE3B29">
      <w:pPr>
        <w:spacing w:after="0" w:line="240" w:lineRule="auto"/>
        <w:rPr>
          <w:rFonts w:ascii="Verdana" w:eastAsia="Calibri" w:hAnsi="Verdana" w:cs="Times New Roman"/>
        </w:rPr>
      </w:pPr>
    </w:p>
    <w:p w14:paraId="722D11EF" w14:textId="77DB7093" w:rsidR="00AE3B29" w:rsidRPr="00B53AAB" w:rsidRDefault="00AE3B29" w:rsidP="00DE2D83">
      <w:pPr>
        <w:spacing w:after="0" w:line="240" w:lineRule="auto"/>
        <w:rPr>
          <w:rFonts w:ascii="Verdana" w:eastAsia="Calibri" w:hAnsi="Verdana" w:cs="Times New Roman"/>
          <w:b/>
          <w:bCs/>
          <w:lang w:val="es-ES"/>
        </w:rPr>
      </w:pPr>
      <w:r w:rsidRPr="00B53AAB">
        <w:rPr>
          <w:rFonts w:ascii="Verdana" w:eastAsia="Calibri" w:hAnsi="Verdana" w:cs="Times New Roman"/>
          <w:b/>
          <w:bCs/>
          <w:lang w:val="es-ES"/>
        </w:rPr>
        <w:t xml:space="preserve">                                    </w:t>
      </w:r>
      <w:r w:rsidR="00AC7F64">
        <w:rPr>
          <w:rFonts w:ascii="Verdana" w:eastAsia="Calibri" w:hAnsi="Verdana" w:cs="Times New Roman"/>
          <w:b/>
          <w:bCs/>
          <w:lang w:val="es-ES"/>
        </w:rPr>
        <w:t xml:space="preserve"> </w:t>
      </w:r>
      <w:r w:rsidRPr="00B53AAB">
        <w:rPr>
          <w:rFonts w:ascii="Verdana" w:eastAsia="Calibri" w:hAnsi="Verdana" w:cs="Times New Roman"/>
          <w:b/>
          <w:bCs/>
          <w:lang w:val="es-ES"/>
        </w:rPr>
        <w:t xml:space="preserve">Concepto C- </w:t>
      </w:r>
      <w:r w:rsidR="00D33EFF">
        <w:rPr>
          <w:rFonts w:ascii="Verdana" w:eastAsia="Calibri" w:hAnsi="Verdana" w:cs="Times New Roman"/>
          <w:b/>
          <w:bCs/>
          <w:lang w:val="es-ES"/>
        </w:rPr>
        <w:t>12</w:t>
      </w:r>
      <w:r w:rsidR="00937C61">
        <w:rPr>
          <w:rFonts w:ascii="Verdana" w:eastAsia="Calibri" w:hAnsi="Verdana" w:cs="Times New Roman"/>
          <w:b/>
          <w:bCs/>
          <w:lang w:val="es-ES"/>
        </w:rPr>
        <w:t>69</w:t>
      </w:r>
      <w:r w:rsidRPr="00B53AAB">
        <w:rPr>
          <w:rFonts w:ascii="Verdana" w:eastAsia="Calibri" w:hAnsi="Verdana" w:cs="Times New Roman"/>
          <w:b/>
          <w:bCs/>
          <w:lang w:val="es-ES"/>
        </w:rPr>
        <w:t xml:space="preserve"> de 2026</w:t>
      </w:r>
    </w:p>
    <w:p w14:paraId="4615FA35" w14:textId="77777777" w:rsidR="00AE3B29" w:rsidRPr="00B53AAB" w:rsidRDefault="00AE3B29" w:rsidP="00DE2D83">
      <w:pPr>
        <w:spacing w:after="0" w:line="240" w:lineRule="auto"/>
        <w:rPr>
          <w:rFonts w:ascii="Verdana" w:eastAsia="Calibri" w:hAnsi="Verdana" w:cs="Times New Roman"/>
          <w:lang w:val="es-ES_tradnl"/>
        </w:rPr>
      </w:pPr>
    </w:p>
    <w:tbl>
      <w:tblPr>
        <w:tblStyle w:val="Tablaconcuadrcula111"/>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529"/>
      </w:tblGrid>
      <w:tr w:rsidR="002C4B63" w:rsidRPr="00B53AAB" w14:paraId="4BD29B98" w14:textId="77777777" w:rsidTr="00015EB7">
        <w:trPr>
          <w:trHeight w:val="3237"/>
        </w:trPr>
        <w:tc>
          <w:tcPr>
            <w:tcW w:w="2685" w:type="dxa"/>
            <w:hideMark/>
          </w:tcPr>
          <w:p w14:paraId="542C8ACF" w14:textId="77777777" w:rsidR="002C4B63" w:rsidRPr="0071670A" w:rsidRDefault="002C4B63" w:rsidP="00DE2D83">
            <w:pPr>
              <w:rPr>
                <w:rFonts w:ascii="Verdana" w:hAnsi="Verdana"/>
                <w:b/>
                <w:bCs/>
                <w:lang w:val="es-ES_tradnl"/>
              </w:rPr>
            </w:pPr>
            <w:r w:rsidRPr="0071670A">
              <w:rPr>
                <w:rFonts w:ascii="Verdana" w:hAnsi="Verdana"/>
                <w:b/>
                <w:bCs/>
                <w:lang w:val="es-ES_tradnl"/>
              </w:rPr>
              <w:t xml:space="preserve">Temas:                   </w:t>
            </w:r>
          </w:p>
        </w:tc>
        <w:tc>
          <w:tcPr>
            <w:tcW w:w="6529" w:type="dxa"/>
            <w:hideMark/>
          </w:tcPr>
          <w:p w14:paraId="4BD612F2" w14:textId="26B6F75A" w:rsidR="002C4B63" w:rsidRPr="0071670A" w:rsidRDefault="002C4B63" w:rsidP="00DE2D83">
            <w:pPr>
              <w:jc w:val="both"/>
              <w:rPr>
                <w:rFonts w:ascii="Verdana" w:hAnsi="Verdana" w:cs="Arial"/>
                <w:lang w:val="es-MX" w:eastAsia="es-ES_tradnl"/>
              </w:rPr>
            </w:pPr>
            <w:r w:rsidRPr="00177E85">
              <w:rPr>
                <w:rFonts w:ascii="Verdana" w:hAnsi="Verdana" w:cs="Arial"/>
                <w:lang w:val="es-ES" w:eastAsia="es-ES"/>
              </w:rPr>
              <w:t xml:space="preserve">LEY DE GARANTÍAS ELECTORALES ‒ Finalidad / LEY DE GARANTÍAS ELECTORALES ‒ Tipos de restricciones / LEY DE GARANTÍAS ELECTORALES – Prohibición artículo 33 – Contratación directa – Alcance / LEY DE GARANTÍAS ELECTORALES – </w:t>
            </w:r>
            <w:r w:rsidR="00EC2B37" w:rsidRPr="005C4499">
              <w:rPr>
                <w:rFonts w:ascii="Verdana" w:hAnsi="Verdana" w:cs="Arial"/>
                <w:lang w:val="es-ES" w:eastAsia="es-ES"/>
              </w:rPr>
              <w:t xml:space="preserve">Prohibición del artículo 33 – Destinatarios </w:t>
            </w:r>
            <w:r w:rsidRPr="00EC2B37">
              <w:rPr>
                <w:rFonts w:ascii="Verdana" w:hAnsi="Verdana" w:cs="Arial"/>
                <w:lang w:val="es-ES" w:eastAsia="es-ES"/>
              </w:rPr>
              <w:t xml:space="preserve">/ LEY DE GARANTÍAS ELECTORALES – </w:t>
            </w:r>
            <w:r w:rsidRPr="00177E85">
              <w:rPr>
                <w:rFonts w:ascii="Verdana" w:hAnsi="Verdana" w:cs="Arial"/>
                <w:lang w:val="es-ES" w:eastAsia="es-ES"/>
              </w:rPr>
              <w:t xml:space="preserve">Excepciones </w:t>
            </w:r>
          </w:p>
        </w:tc>
      </w:tr>
    </w:tbl>
    <w:p w14:paraId="6ADF3F0D" w14:textId="77777777" w:rsidR="00AE3B29" w:rsidRPr="00B53AAB" w:rsidRDefault="00AE3B29" w:rsidP="00AE3B29">
      <w:pPr>
        <w:spacing w:after="0" w:line="240" w:lineRule="auto"/>
        <w:rPr>
          <w:rFonts w:ascii="Verdana" w:eastAsia="Calibri" w:hAnsi="Verdana" w:cs="Arial"/>
          <w:b/>
          <w:bCs/>
          <w:color w:val="000000"/>
          <w:lang w:val="es-ES_tradnl" w:eastAsia="es-ES_tradnl"/>
        </w:rPr>
      </w:pPr>
    </w:p>
    <w:tbl>
      <w:tblPr>
        <w:tblStyle w:val="Tablaconcuadrcula11"/>
        <w:tblW w:w="92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535"/>
      </w:tblGrid>
      <w:tr w:rsidR="00015EB7" w:rsidRPr="00B53AAB" w14:paraId="4F75A9B8" w14:textId="0D637503" w:rsidTr="00D57DCB">
        <w:trPr>
          <w:trHeight w:val="836"/>
        </w:trPr>
        <w:tc>
          <w:tcPr>
            <w:tcW w:w="2694" w:type="dxa"/>
          </w:tcPr>
          <w:p w14:paraId="1182B9E8" w14:textId="77777777" w:rsidR="00015EB7" w:rsidRPr="00B53AAB" w:rsidRDefault="00015EB7" w:rsidP="006F0100">
            <w:pPr>
              <w:jc w:val="both"/>
              <w:rPr>
                <w:rFonts w:ascii="Verdana" w:eastAsia="Calibri" w:hAnsi="Verdana" w:cs="Arial"/>
                <w:b/>
                <w:lang w:val="es-ES_tradnl" w:eastAsia="es-ES_tradnl"/>
              </w:rPr>
            </w:pPr>
            <w:r w:rsidRPr="00B53AAB">
              <w:rPr>
                <w:rFonts w:ascii="Verdana" w:eastAsia="Calibri" w:hAnsi="Verdana" w:cs="Arial"/>
                <w:b/>
                <w:lang w:val="es-ES_tradnl" w:eastAsia="es-ES_tradnl"/>
              </w:rPr>
              <w:t>Radicación:</w:t>
            </w:r>
            <w:r w:rsidRPr="00B53AAB">
              <w:rPr>
                <w:rFonts w:ascii="Verdana" w:eastAsia="Calibri" w:hAnsi="Verdana" w:cs="Arial"/>
                <w:lang w:val="es-ES_tradnl" w:eastAsia="es-ES_tradnl"/>
              </w:rPr>
              <w:t xml:space="preserve">               </w:t>
            </w:r>
          </w:p>
        </w:tc>
        <w:tc>
          <w:tcPr>
            <w:tcW w:w="6535" w:type="dxa"/>
          </w:tcPr>
          <w:p w14:paraId="04DE046C" w14:textId="3A75899C" w:rsidR="00015EB7" w:rsidRPr="00937C61" w:rsidRDefault="00015EB7" w:rsidP="00DE2D83">
            <w:pPr>
              <w:jc w:val="both"/>
              <w:rPr>
                <w:rFonts w:ascii="Verdana" w:eastAsia="Calibri" w:hAnsi="Verdana" w:cs="Arial"/>
                <w:lang w:val="es-ES_tradnl" w:eastAsia="es-ES_tradnl"/>
              </w:rPr>
            </w:pPr>
            <w:r w:rsidRPr="00B53AAB">
              <w:rPr>
                <w:rFonts w:ascii="Verdana" w:eastAsia="Calibri" w:hAnsi="Verdana" w:cs="Arial"/>
                <w:lang w:val="es-ES_tradnl" w:eastAsia="es-ES_tradnl"/>
              </w:rPr>
              <w:t xml:space="preserve">Respuesta a la consulta con radicado No. </w:t>
            </w:r>
            <w:r>
              <w:rPr>
                <w:rFonts w:ascii="Verdana" w:hAnsi="Verdana" w:cs="Calibri"/>
              </w:rPr>
              <w:t>1_2026_08_12_010664</w:t>
            </w:r>
          </w:p>
          <w:p w14:paraId="5F22A736" w14:textId="54497D94" w:rsidR="00015EB7" w:rsidRPr="00B53AAB" w:rsidRDefault="00015EB7" w:rsidP="00DE2D83">
            <w:pPr>
              <w:jc w:val="both"/>
              <w:rPr>
                <w:rFonts w:ascii="Verdana" w:eastAsia="Calibri" w:hAnsi="Verdana" w:cs="Arial"/>
                <w:lang w:val="es-ES_tradnl" w:eastAsia="es-ES_tradnl"/>
              </w:rPr>
            </w:pPr>
          </w:p>
        </w:tc>
      </w:tr>
    </w:tbl>
    <w:p w14:paraId="6FFCCF48" w14:textId="77777777" w:rsidR="00AE3B29" w:rsidRPr="00B53AAB" w:rsidRDefault="00AE3B29" w:rsidP="00AE3B29">
      <w:pPr>
        <w:spacing w:after="0" w:line="240" w:lineRule="auto"/>
        <w:jc w:val="both"/>
        <w:rPr>
          <w:rFonts w:ascii="Verdana" w:eastAsia="Calibri" w:hAnsi="Verdana" w:cs="Arial"/>
          <w:color w:val="000000"/>
          <w:lang w:val="es-ES_tradnl" w:eastAsia="es-ES_tradnl"/>
        </w:rPr>
      </w:pPr>
    </w:p>
    <w:p w14:paraId="50A8FC62" w14:textId="77777777" w:rsidR="00AE3B29" w:rsidRPr="00B53AAB" w:rsidRDefault="00AE3B29" w:rsidP="00AE3B29">
      <w:pPr>
        <w:spacing w:after="0" w:line="240" w:lineRule="auto"/>
        <w:jc w:val="both"/>
        <w:rPr>
          <w:rFonts w:ascii="Verdana" w:eastAsia="Calibri" w:hAnsi="Verdana" w:cs="Arial"/>
          <w:color w:val="000000"/>
          <w:lang w:val="es-ES_tradnl" w:eastAsia="es-ES_tradnl"/>
        </w:rPr>
      </w:pPr>
    </w:p>
    <w:p w14:paraId="7DE725EC" w14:textId="0BA43D5A" w:rsidR="00AE3B29" w:rsidRPr="00B53AAB" w:rsidRDefault="00AE3B29" w:rsidP="00AE3B29">
      <w:pPr>
        <w:spacing w:after="0" w:line="276" w:lineRule="auto"/>
        <w:jc w:val="both"/>
        <w:rPr>
          <w:rFonts w:ascii="Verdana" w:eastAsia="Calibri" w:hAnsi="Verdana" w:cs="Arial"/>
          <w:lang w:val="es-ES" w:eastAsia="es-ES"/>
        </w:rPr>
      </w:pPr>
      <w:r w:rsidRPr="00B53AAB">
        <w:rPr>
          <w:rFonts w:ascii="Verdana" w:eastAsia="Calibri" w:hAnsi="Verdana" w:cs="Arial"/>
          <w:lang w:val="es-ES" w:eastAsia="es-ES"/>
        </w:rPr>
        <w:t xml:space="preserve">Estimada Señora </w:t>
      </w:r>
      <w:r w:rsidR="001525E9">
        <w:rPr>
          <w:rFonts w:ascii="Verdana" w:eastAsia="Calibri" w:hAnsi="Verdana" w:cs="Arial"/>
          <w:lang w:val="es-ES" w:eastAsia="es-ES"/>
        </w:rPr>
        <w:t>León Omaña</w:t>
      </w:r>
      <w:r w:rsidRPr="00B53AAB">
        <w:rPr>
          <w:rFonts w:ascii="Verdana" w:eastAsia="Calibri" w:hAnsi="Verdana" w:cs="Arial"/>
          <w:lang w:val="es-ES" w:eastAsia="es-ES"/>
        </w:rPr>
        <w:t xml:space="preserve">: </w:t>
      </w:r>
    </w:p>
    <w:p w14:paraId="27A6C546" w14:textId="77777777" w:rsidR="00AE3B29" w:rsidRPr="00B53AAB" w:rsidRDefault="00AE3B29" w:rsidP="00AE3B29">
      <w:pPr>
        <w:tabs>
          <w:tab w:val="left" w:pos="3768"/>
        </w:tabs>
        <w:spacing w:after="0" w:line="276" w:lineRule="auto"/>
        <w:jc w:val="both"/>
        <w:rPr>
          <w:rFonts w:ascii="Verdana" w:eastAsia="Calibri" w:hAnsi="Verdana" w:cs="Arial"/>
          <w:color w:val="000000" w:themeColor="text1"/>
          <w:lang w:val="es-ES" w:eastAsia="es-ES"/>
        </w:rPr>
      </w:pPr>
      <w:r w:rsidRPr="00B53AAB">
        <w:rPr>
          <w:rFonts w:ascii="Verdana" w:eastAsia="Calibri" w:hAnsi="Verdana" w:cs="Arial"/>
          <w:color w:val="000000" w:themeColor="text1"/>
          <w:lang w:val="es-ES" w:eastAsia="es-ES"/>
        </w:rPr>
        <w:tab/>
      </w:r>
    </w:p>
    <w:p w14:paraId="43EACFB1" w14:textId="182084B1" w:rsidR="00AE3B29" w:rsidRPr="00B53AAB" w:rsidRDefault="00AE3B29" w:rsidP="00AE3B29">
      <w:pPr>
        <w:spacing w:after="0" w:line="276" w:lineRule="auto"/>
        <w:jc w:val="both"/>
        <w:rPr>
          <w:rFonts w:ascii="Verdana" w:eastAsia="Calibri" w:hAnsi="Verdana" w:cs="Arial"/>
          <w:bCs/>
          <w:color w:val="000000" w:themeColor="text1"/>
          <w:lang w:val="es-ES" w:eastAsia="es-ES" w:bidi="es-ES"/>
        </w:rPr>
      </w:pPr>
      <w:r w:rsidRPr="00B53AAB">
        <w:rPr>
          <w:rFonts w:ascii="Verdana" w:eastAsia="Calibri" w:hAnsi="Verdana" w:cs="Arial"/>
          <w:bCs/>
          <w:color w:val="000000" w:themeColor="text1"/>
          <w:lang w:val="es-ES" w:eastAsia="es-ES" w:bidi="es-ES"/>
        </w:rPr>
        <w:t xml:space="preserve">En ejercicio de la competencia otorgada por los artículos 3, numeral 5º, y 11, numeral 8º, del Decreto Ley 4170 de 2011, </w:t>
      </w:r>
      <w:r w:rsidRPr="00B53AAB">
        <w:rPr>
          <w:rFonts w:ascii="Verdana" w:eastAsia="Calibri" w:hAnsi="Verdana" w:cs="Arial"/>
          <w:bCs/>
          <w:color w:val="000000" w:themeColor="text1"/>
          <w:lang w:eastAsia="es-ES"/>
        </w:rPr>
        <w:t xml:space="preserve">así como lo establecido por la Resolución 469 de 2025 expedida por esta Entidad, </w:t>
      </w:r>
      <w:r w:rsidRPr="00B53AAB">
        <w:rPr>
          <w:rFonts w:ascii="Verdana" w:eastAsia="Calibri" w:hAnsi="Verdana" w:cs="Arial"/>
          <w:bCs/>
          <w:color w:val="000000" w:themeColor="text1"/>
          <w:lang w:val="es-ES" w:eastAsia="es-ES" w:bidi="es-ES"/>
        </w:rPr>
        <w:t>la Agencia Nacional de Contratación Pública – Colombia Compra Eficiente– responde la solicitud de consulta remitida el 1</w:t>
      </w:r>
      <w:r w:rsidR="00B411A3">
        <w:rPr>
          <w:rFonts w:ascii="Verdana" w:eastAsia="Calibri" w:hAnsi="Verdana" w:cs="Arial"/>
          <w:bCs/>
          <w:color w:val="000000" w:themeColor="text1"/>
          <w:lang w:val="es-ES" w:eastAsia="es-ES" w:bidi="es-ES"/>
        </w:rPr>
        <w:t>2</w:t>
      </w:r>
      <w:r w:rsidRPr="00B53AAB">
        <w:rPr>
          <w:rFonts w:ascii="Verdana" w:eastAsia="Calibri" w:hAnsi="Verdana" w:cs="Arial"/>
          <w:bCs/>
          <w:color w:val="000000" w:themeColor="text1"/>
          <w:lang w:val="es-ES" w:eastAsia="es-ES" w:bidi="es-ES"/>
        </w:rPr>
        <w:t xml:space="preserve"> de </w:t>
      </w:r>
      <w:r w:rsidR="00B411A3">
        <w:rPr>
          <w:rFonts w:ascii="Verdana" w:eastAsia="Calibri" w:hAnsi="Verdana" w:cs="Arial"/>
          <w:bCs/>
          <w:color w:val="000000" w:themeColor="text1"/>
          <w:lang w:val="es-ES" w:eastAsia="es-ES" w:bidi="es-ES"/>
        </w:rPr>
        <w:t>agosto</w:t>
      </w:r>
      <w:r w:rsidRPr="00B53AAB">
        <w:rPr>
          <w:rFonts w:ascii="Verdana" w:eastAsia="Calibri" w:hAnsi="Verdana" w:cs="Arial"/>
          <w:bCs/>
          <w:color w:val="000000" w:themeColor="text1"/>
          <w:lang w:val="es-ES" w:eastAsia="es-ES" w:bidi="es-ES"/>
        </w:rPr>
        <w:t xml:space="preserve"> de 2026, en la cual manifiesta: </w:t>
      </w:r>
    </w:p>
    <w:p w14:paraId="43921E11" w14:textId="77777777" w:rsidR="00D57DCB" w:rsidRPr="009F791A" w:rsidRDefault="00D57DCB" w:rsidP="009F791A">
      <w:pPr>
        <w:spacing w:after="0" w:line="240" w:lineRule="auto"/>
        <w:ind w:left="709" w:right="709"/>
        <w:jc w:val="both"/>
        <w:rPr>
          <w:rFonts w:ascii="Verdana" w:eastAsia="Century Gothic" w:hAnsi="Verdana" w:cs="Century Gothic"/>
          <w:i/>
          <w:iCs/>
          <w:sz w:val="21"/>
          <w:szCs w:val="21"/>
          <w:lang w:val="es-ES"/>
        </w:rPr>
      </w:pPr>
    </w:p>
    <w:p w14:paraId="71032FE9" w14:textId="73555919" w:rsidR="00AE3B29" w:rsidRPr="00DE2D83" w:rsidRDefault="00D57DCB" w:rsidP="009F791A">
      <w:pPr>
        <w:spacing w:after="0" w:line="240" w:lineRule="auto"/>
        <w:ind w:left="709" w:right="709"/>
        <w:jc w:val="both"/>
        <w:rPr>
          <w:rFonts w:ascii="Verdana" w:eastAsia="Century Gothic" w:hAnsi="Verdana" w:cs="Century Gothic"/>
          <w:i/>
          <w:sz w:val="20"/>
          <w:szCs w:val="20"/>
        </w:rPr>
      </w:pPr>
      <w:r w:rsidRPr="00DE2D83">
        <w:rPr>
          <w:rFonts w:ascii="Verdana" w:eastAsia="Century Gothic" w:hAnsi="Verdana" w:cs="Century Gothic"/>
          <w:i/>
          <w:sz w:val="20"/>
          <w:szCs w:val="20"/>
        </w:rPr>
        <w:t>“Solicitar concepto a la Agencia Colombia Compra Eficiente para que se pronuncie sobre las restricciones</w:t>
      </w:r>
      <w:r w:rsidR="00EC67AA" w:rsidRPr="00DE2D83">
        <w:rPr>
          <w:rFonts w:ascii="Verdana" w:eastAsia="Century Gothic" w:hAnsi="Verdana" w:cs="Century Gothic"/>
          <w:i/>
          <w:sz w:val="20"/>
          <w:szCs w:val="20"/>
        </w:rPr>
        <w:t xml:space="preserve"> de la </w:t>
      </w:r>
      <w:r w:rsidR="00C35034" w:rsidRPr="00DE2D83">
        <w:rPr>
          <w:rFonts w:ascii="Verdana" w:eastAsia="Century Gothic" w:hAnsi="Verdana" w:cs="Century Gothic"/>
          <w:i/>
          <w:sz w:val="20"/>
          <w:szCs w:val="20"/>
        </w:rPr>
        <w:t>ley</w:t>
      </w:r>
      <w:r w:rsidR="00EC67AA" w:rsidRPr="00DE2D83">
        <w:rPr>
          <w:rFonts w:ascii="Verdana" w:eastAsia="Century Gothic" w:hAnsi="Verdana" w:cs="Century Gothic"/>
          <w:i/>
          <w:sz w:val="20"/>
          <w:szCs w:val="20"/>
        </w:rPr>
        <w:t xml:space="preserve"> de garantías electorales en la vigencia 2026 aplicaba a los contratos de concesión minera celebrados por la Agencia Nacional de Minería</w:t>
      </w:r>
      <w:r w:rsidR="005B1633" w:rsidRPr="00DE2D83">
        <w:rPr>
          <w:rFonts w:ascii="Verdana" w:eastAsia="Century Gothic" w:hAnsi="Verdana" w:cs="Century Gothic"/>
          <w:i/>
          <w:sz w:val="20"/>
          <w:szCs w:val="20"/>
        </w:rPr>
        <w:t xml:space="preserve">. </w:t>
      </w:r>
    </w:p>
    <w:p w14:paraId="652ABBA9" w14:textId="2E506543" w:rsidR="005B1633" w:rsidRPr="00DE2D83" w:rsidRDefault="005B1633" w:rsidP="009F791A">
      <w:pPr>
        <w:spacing w:after="0" w:line="240" w:lineRule="auto"/>
        <w:ind w:left="709" w:right="709"/>
        <w:jc w:val="both"/>
        <w:rPr>
          <w:rFonts w:ascii="Verdana" w:eastAsia="Century Gothic" w:hAnsi="Verdana" w:cs="Century Gothic"/>
          <w:i/>
          <w:sz w:val="20"/>
          <w:szCs w:val="20"/>
        </w:rPr>
      </w:pPr>
      <w:r w:rsidRPr="00DE2D83">
        <w:rPr>
          <w:rFonts w:ascii="Verdana" w:eastAsia="Century Gothic" w:hAnsi="Verdana" w:cs="Century Gothic"/>
          <w:i/>
          <w:sz w:val="20"/>
          <w:szCs w:val="20"/>
        </w:rPr>
        <w:t>[…]”.</w:t>
      </w:r>
    </w:p>
    <w:p w14:paraId="44D2D554" w14:textId="77777777" w:rsidR="00C35034" w:rsidRPr="00B53AAB" w:rsidRDefault="00C35034" w:rsidP="00AE3B29">
      <w:pPr>
        <w:spacing w:after="0" w:line="240" w:lineRule="auto"/>
        <w:ind w:left="709" w:right="709"/>
        <w:jc w:val="both"/>
        <w:rPr>
          <w:rFonts w:ascii="Verdana" w:eastAsia="Century Gothic" w:hAnsi="Verdana" w:cs="Century Gothic"/>
          <w:sz w:val="20"/>
          <w:szCs w:val="20"/>
        </w:rPr>
      </w:pPr>
    </w:p>
    <w:p w14:paraId="2251EA71" w14:textId="77777777" w:rsidR="00AE3B29" w:rsidRPr="00B53AAB" w:rsidRDefault="00AE3B29" w:rsidP="00AE3B29">
      <w:pPr>
        <w:tabs>
          <w:tab w:val="left" w:pos="142"/>
          <w:tab w:val="left" w:pos="284"/>
        </w:tabs>
        <w:spacing w:after="0" w:line="276" w:lineRule="auto"/>
        <w:contextualSpacing/>
        <w:jc w:val="both"/>
        <w:rPr>
          <w:rFonts w:ascii="Verdana" w:eastAsia="Century Gothic" w:hAnsi="Verdana" w:cs="Century Gothic"/>
          <w:b/>
          <w:bCs/>
          <w:lang w:val="es-ES"/>
        </w:rPr>
      </w:pPr>
    </w:p>
    <w:p w14:paraId="3B9BC100" w14:textId="77777777" w:rsidR="00AE3B29" w:rsidRPr="00B53AAB" w:rsidRDefault="00AE3B29" w:rsidP="00AE3B29">
      <w:pPr>
        <w:spacing w:after="120" w:line="276" w:lineRule="auto"/>
        <w:ind w:firstLine="709"/>
        <w:jc w:val="both"/>
        <w:rPr>
          <w:rFonts w:ascii="Verdana" w:eastAsia="Calibri" w:hAnsi="Verdana" w:cs="Arial"/>
          <w:color w:val="000000"/>
          <w:lang w:val="es-ES" w:eastAsia="es-ES"/>
        </w:rPr>
      </w:pPr>
      <w:r w:rsidRPr="00B53AAB">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53AAB">
        <w:rPr>
          <w:rFonts w:ascii="Verdana" w:eastAsia="Calibri" w:hAnsi="Verdana" w:cs="Arial"/>
          <w:color w:val="000000"/>
          <w:szCs w:val="24"/>
          <w:lang w:val="es-ES_tradnl" w:eastAsia="es-ES_tradnl"/>
        </w:rPr>
        <w:tab/>
      </w:r>
    </w:p>
    <w:p w14:paraId="6147EF92" w14:textId="77777777" w:rsidR="00AE3B29" w:rsidRPr="00B53AAB" w:rsidRDefault="00AE3B29" w:rsidP="00AE3B29">
      <w:pPr>
        <w:spacing w:after="0" w:line="276" w:lineRule="auto"/>
        <w:ind w:firstLine="708"/>
        <w:jc w:val="both"/>
        <w:rPr>
          <w:rFonts w:ascii="Verdana" w:eastAsia="Calibri" w:hAnsi="Verdana" w:cs="Arial"/>
          <w:lang w:val="es-ES" w:eastAsia="es-ES"/>
        </w:rPr>
      </w:pPr>
      <w:r w:rsidRPr="00B53AAB">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 problema jurídico de su consulta. </w:t>
      </w:r>
    </w:p>
    <w:p w14:paraId="1FBE9453" w14:textId="77777777" w:rsidR="00AE3B29" w:rsidRPr="00B53AAB" w:rsidRDefault="00AE3B29" w:rsidP="00AE3B29">
      <w:pPr>
        <w:spacing w:after="0" w:line="276" w:lineRule="auto"/>
        <w:ind w:firstLine="709"/>
        <w:jc w:val="both"/>
        <w:rPr>
          <w:rFonts w:ascii="Verdana" w:eastAsia="Calibri" w:hAnsi="Verdana" w:cs="Arial"/>
          <w:color w:val="000000"/>
          <w:lang w:val="es-ES" w:eastAsia="es-ES"/>
        </w:rPr>
      </w:pPr>
    </w:p>
    <w:p w14:paraId="6D4CF749" w14:textId="197E5A58" w:rsidR="00AE3B29" w:rsidRPr="00B53AAB" w:rsidRDefault="00487821" w:rsidP="00B92333">
      <w:p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I</w:t>
      </w:r>
      <w:r w:rsidR="00B92333">
        <w:rPr>
          <w:rFonts w:ascii="Verdana" w:eastAsia="Century Gothic" w:hAnsi="Verdana" w:cs="Century Gothic"/>
          <w:b/>
          <w:bCs/>
          <w:lang w:val="es-ES"/>
        </w:rPr>
        <w:t xml:space="preserve">. </w:t>
      </w:r>
      <w:r w:rsidR="00AE3B29" w:rsidRPr="00B53AAB">
        <w:rPr>
          <w:rFonts w:ascii="Verdana" w:eastAsia="Century Gothic" w:hAnsi="Verdana" w:cs="Century Gothic"/>
          <w:b/>
          <w:bCs/>
          <w:lang w:val="es-ES"/>
        </w:rPr>
        <w:t>Problema planteado:</w:t>
      </w:r>
    </w:p>
    <w:p w14:paraId="3CB7A222" w14:textId="77777777" w:rsidR="00AE3B29" w:rsidRPr="00B53AAB" w:rsidRDefault="00AE3B29" w:rsidP="00AE3B29">
      <w:pPr>
        <w:tabs>
          <w:tab w:val="left" w:pos="426"/>
        </w:tabs>
        <w:spacing w:after="0" w:line="276" w:lineRule="auto"/>
        <w:jc w:val="both"/>
        <w:rPr>
          <w:rFonts w:ascii="Verdana" w:eastAsia="Century Gothic" w:hAnsi="Verdana" w:cs="Century Gothic"/>
          <w:lang w:val="es-ES"/>
        </w:rPr>
      </w:pPr>
    </w:p>
    <w:p w14:paraId="6BD3BA81" w14:textId="78D7A33E" w:rsidR="00AE3B29" w:rsidRPr="00B53AAB" w:rsidRDefault="00AE3B29" w:rsidP="00AE3B29">
      <w:pPr>
        <w:spacing w:after="0" w:line="276" w:lineRule="auto"/>
        <w:jc w:val="both"/>
        <w:rPr>
          <w:rFonts w:ascii="Verdana" w:eastAsia="Century Gothic" w:hAnsi="Verdana" w:cs="Century Gothic"/>
        </w:rPr>
      </w:pPr>
      <w:r w:rsidRPr="00B53AAB">
        <w:rPr>
          <w:rFonts w:ascii="Verdana" w:eastAsia="Century Gothic" w:hAnsi="Verdana" w:cs="Century Gothic"/>
        </w:rPr>
        <w:t xml:space="preserve">De acuerdo con el contenido de su solicitud, esta Agencia resolverá el siguiente problema jurídico: </w:t>
      </w:r>
      <w:r w:rsidR="0072619B">
        <w:rPr>
          <w:rFonts w:ascii="Verdana" w:eastAsia="Century Gothic" w:hAnsi="Verdana" w:cs="Century Gothic"/>
        </w:rPr>
        <w:t>¿</w:t>
      </w:r>
      <w:r w:rsidR="0045148E">
        <w:rPr>
          <w:rFonts w:ascii="Verdana" w:eastAsia="Century Gothic" w:hAnsi="Verdana" w:cs="Century Gothic"/>
        </w:rPr>
        <w:t>Las restricciones previstas en el artículo 33 de la Ley 996 de 2005</w:t>
      </w:r>
      <w:r w:rsidR="00CB2338">
        <w:rPr>
          <w:rFonts w:ascii="Verdana" w:eastAsia="Century Gothic" w:hAnsi="Verdana" w:cs="Century Gothic"/>
        </w:rPr>
        <w:t xml:space="preserve"> son aplicables a la Agencia Nacional de Minería para celebrar contrato de concesión minera?</w:t>
      </w:r>
    </w:p>
    <w:p w14:paraId="34A6E3FF" w14:textId="77777777" w:rsidR="00AE3B29" w:rsidRPr="00B53AAB" w:rsidRDefault="00AE3B29" w:rsidP="00AE3B29">
      <w:pPr>
        <w:spacing w:after="0" w:line="276" w:lineRule="auto"/>
        <w:jc w:val="both"/>
        <w:rPr>
          <w:rFonts w:ascii="Verdana" w:eastAsia="Calibri" w:hAnsi="Verdana" w:cs="Arial"/>
          <w:color w:val="7030A0"/>
        </w:rPr>
      </w:pPr>
    </w:p>
    <w:p w14:paraId="01856E4E" w14:textId="67951C9D" w:rsidR="00AE3B29" w:rsidRDefault="00487821" w:rsidP="00B92333">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II</w:t>
      </w:r>
      <w:r w:rsidR="00B92333">
        <w:rPr>
          <w:rFonts w:ascii="Verdana" w:eastAsia="Century Gothic" w:hAnsi="Verdana" w:cs="Century Gothic"/>
          <w:b/>
          <w:bCs/>
          <w:lang w:val="es-ES"/>
        </w:rPr>
        <w:t xml:space="preserve">. </w:t>
      </w:r>
      <w:r w:rsidR="00AE3B29" w:rsidRPr="00B53AAB">
        <w:rPr>
          <w:rFonts w:ascii="Verdana" w:eastAsia="Century Gothic" w:hAnsi="Verdana" w:cs="Century Gothic"/>
          <w:b/>
          <w:bCs/>
          <w:lang w:val="es-ES"/>
        </w:rPr>
        <w:t>Respuesta:</w:t>
      </w:r>
    </w:p>
    <w:p w14:paraId="1A9B9DFA" w14:textId="77777777" w:rsidR="00A8712F" w:rsidRDefault="00A8712F" w:rsidP="00B92333">
      <w:pPr>
        <w:tabs>
          <w:tab w:val="left" w:pos="142"/>
          <w:tab w:val="left" w:pos="284"/>
        </w:tabs>
        <w:spacing w:after="0" w:line="276" w:lineRule="auto"/>
        <w:jc w:val="both"/>
        <w:rPr>
          <w:rFonts w:ascii="Verdana" w:eastAsia="Century Gothic" w:hAnsi="Verdana" w:cs="Century Gothic"/>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87821" w:rsidRPr="00593A5F" w14:paraId="05AD3616" w14:textId="77777777" w:rsidTr="006F0100">
        <w:trPr>
          <w:jc w:val="center"/>
        </w:trPr>
        <w:tc>
          <w:tcPr>
            <w:tcW w:w="8828" w:type="dxa"/>
          </w:tcPr>
          <w:p w14:paraId="62D55DCC" w14:textId="77777777" w:rsidR="00487821" w:rsidRDefault="00487821" w:rsidP="006F0100">
            <w:pPr>
              <w:spacing w:after="120" w:line="276" w:lineRule="auto"/>
              <w:jc w:val="both"/>
              <w:rPr>
                <w:rFonts w:ascii="Verdana" w:eastAsia="Times New Roman" w:hAnsi="Verdana" w:cs="Arial"/>
                <w:bCs/>
                <w:lang w:val="es-MX" w:eastAsia="x-none"/>
              </w:rPr>
            </w:pPr>
            <w:r w:rsidRPr="00C53E3E">
              <w:rPr>
                <w:rFonts w:ascii="Verdana" w:eastAsia="Calibri" w:hAnsi="Verdana" w:cs="Arial"/>
                <w:lang w:val="es-MX"/>
              </w:rPr>
              <w:t>Conforme a la interpretación general de las normas del sistema de compras públicas, la restricción prevista en el artículo 33 de la Ley 996 de 2005 cobija a cualquier entidad pública independiente del régimen jurídico, que pueda mediante la contratación directa romper el equilibrio entre los candidatos en desarrollo de las elecciones presidenciales.</w:t>
            </w:r>
            <w:r>
              <w:rPr>
                <w:rFonts w:ascii="Verdana" w:eastAsia="Calibri" w:hAnsi="Verdana" w:cs="Arial"/>
                <w:lang w:val="es-MX"/>
              </w:rPr>
              <w:t xml:space="preserve"> </w:t>
            </w:r>
            <w:r>
              <w:rPr>
                <w:rFonts w:ascii="Verdana" w:eastAsia="Times New Roman" w:hAnsi="Verdana" w:cs="Arial"/>
                <w:bCs/>
                <w:lang w:val="es-MX" w:eastAsia="x-none"/>
              </w:rPr>
              <w:t xml:space="preserve">Dicha norma </w:t>
            </w:r>
            <w:r w:rsidRPr="0057193B">
              <w:rPr>
                <w:rFonts w:ascii="Verdana" w:eastAsia="Times New Roman" w:hAnsi="Verdana" w:cs="Arial"/>
                <w:bCs/>
                <w:lang w:val="es-MX" w:eastAsia="x-none"/>
              </w:rPr>
              <w:t xml:space="preserve">aplica frente a la contratación directa, entendida como cualquier sistema de selección o procedimiento de </w:t>
            </w:r>
            <w:r>
              <w:rPr>
                <w:rFonts w:ascii="Verdana" w:eastAsia="Times New Roman" w:hAnsi="Verdana" w:cs="Arial"/>
                <w:bCs/>
                <w:lang w:val="es-MX" w:eastAsia="x-none"/>
              </w:rPr>
              <w:t>contratación utilizada</w:t>
            </w:r>
            <w:r w:rsidRPr="0057193B">
              <w:rPr>
                <w:rFonts w:ascii="Verdana" w:eastAsia="Times New Roman" w:hAnsi="Verdana" w:cs="Arial"/>
                <w:bCs/>
                <w:lang w:val="es-MX" w:eastAsia="x-none"/>
              </w:rPr>
              <w:t xml:space="preserve"> por las entidades estatales que no incluya la convocatoria pública en alguna de sus etapas, ni permita la participación de una pluralidad de oferentes</w:t>
            </w:r>
            <w:r>
              <w:rPr>
                <w:rFonts w:ascii="Verdana" w:eastAsia="Times New Roman" w:hAnsi="Verdana" w:cs="Arial"/>
                <w:bCs/>
                <w:lang w:val="es-MX" w:eastAsia="x-none"/>
              </w:rPr>
              <w:t>, ya sea en aplicación de normas del Estatuto General de Contratación de la Administración Pública, así como de regímenes especiales.</w:t>
            </w:r>
          </w:p>
          <w:p w14:paraId="2E7C3600" w14:textId="77777777" w:rsidR="00487821" w:rsidRDefault="00487821" w:rsidP="006F0100">
            <w:pPr>
              <w:spacing w:after="120" w:line="276" w:lineRule="auto"/>
              <w:ind w:firstLine="737"/>
              <w:jc w:val="both"/>
              <w:rPr>
                <w:rFonts w:ascii="Verdana" w:eastAsia="Times New Roman" w:hAnsi="Verdana" w:cs="Arial"/>
                <w:lang w:val="es-MX"/>
              </w:rPr>
            </w:pPr>
            <w:r w:rsidRPr="576E913B">
              <w:rPr>
                <w:rFonts w:ascii="Verdana" w:eastAsia="Times New Roman" w:hAnsi="Verdana" w:cs="Arial"/>
                <w:lang w:val="es-MX"/>
              </w:rPr>
              <w:t>Asimismo, e</w:t>
            </w:r>
            <w:r>
              <w:rPr>
                <w:rFonts w:ascii="Verdana" w:eastAsia="Times New Roman" w:hAnsi="Verdana" w:cs="Arial"/>
                <w:bCs/>
                <w:lang w:eastAsia="es-CO"/>
              </w:rPr>
              <w:t xml:space="preserve">l concepto de celebración en el marco de la contratación estatal se relaciona con el perfeccionamiento, es decir, con los requisitos para que exista un contrato estatal. </w:t>
            </w:r>
            <w:r>
              <w:rPr>
                <w:rFonts w:ascii="Verdana" w:eastAsia="Times New Roman" w:hAnsi="Verdana" w:cs="Arial"/>
                <w:bCs/>
                <w:lang w:val="es-ES" w:eastAsia="es-CO"/>
              </w:rPr>
              <w:t>Por tanto, no se refiere a los requisitos de ejecución, es decir, aquellas condiciones para iniciar un contrato, como es la aprobación de las garantías o el registro presupuestal, o en algunos casos, la firma del acta de inicio, si así se determinó.</w:t>
            </w:r>
          </w:p>
          <w:p w14:paraId="6E305E23" w14:textId="77777777" w:rsidR="00487821" w:rsidRDefault="00487821" w:rsidP="006F0100">
            <w:pPr>
              <w:spacing w:after="120" w:line="276" w:lineRule="auto"/>
              <w:ind w:firstLine="737"/>
              <w:jc w:val="both"/>
              <w:rPr>
                <w:rFonts w:ascii="Verdana" w:eastAsia="Times New Roman" w:hAnsi="Verdana" w:cs="Arial"/>
                <w:bCs/>
                <w:lang w:val="es-MX" w:eastAsia="x-none"/>
              </w:rPr>
            </w:pPr>
            <w:r>
              <w:rPr>
                <w:rFonts w:ascii="Verdana" w:eastAsia="Times New Roman" w:hAnsi="Verdana" w:cs="Arial"/>
                <w:bCs/>
                <w:lang w:val="es-MX" w:eastAsia="x-none"/>
              </w:rPr>
              <w:t xml:space="preserve">Lo anterior,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w:t>
            </w:r>
            <w:r w:rsidRPr="00C53E3E">
              <w:rPr>
                <w:rFonts w:ascii="Verdana" w:eastAsia="Calibri" w:hAnsi="Verdana" w:cs="Arial"/>
                <w:lang w:val="es-MX"/>
              </w:rPr>
              <w:t>de la Ley 996 de 2005</w:t>
            </w:r>
            <w:r>
              <w:rPr>
                <w:rFonts w:ascii="Verdana" w:eastAsia="Times New Roman" w:hAnsi="Verdana" w:cs="Arial"/>
                <w:bCs/>
                <w:lang w:val="es-MX" w:eastAsia="x-none"/>
              </w:rPr>
              <w:t xml:space="preserve">, como son: </w:t>
            </w:r>
            <w:r w:rsidRPr="00333EDB">
              <w:rPr>
                <w:rFonts w:ascii="Verdana" w:eastAsia="Times New Roman" w:hAnsi="Verdana" w:cs="Arial"/>
                <w:bCs/>
                <w:lang w:val="es-MX" w:eastAsia="x-none"/>
              </w:rPr>
              <w:t xml:space="preserve">i) la defensa y seguridad del Estado; ii) los contratos de crédito público; iii) los requeridos para cubrir las emergencias educativas, sanitarias y desastres; </w:t>
            </w:r>
            <w:proofErr w:type="spellStart"/>
            <w:r w:rsidRPr="00333EDB">
              <w:rPr>
                <w:rFonts w:ascii="Verdana" w:eastAsia="Times New Roman" w:hAnsi="Verdana" w:cs="Arial"/>
                <w:bCs/>
                <w:lang w:val="es-MX" w:eastAsia="x-none"/>
              </w:rPr>
              <w:t>iv</w:t>
            </w:r>
            <w:proofErr w:type="spellEnd"/>
            <w:r w:rsidRPr="00333ED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0985123" w14:textId="77777777" w:rsidR="00487821" w:rsidRDefault="00487821" w:rsidP="006F0100">
            <w:pPr>
              <w:spacing w:after="120" w:line="276" w:lineRule="auto"/>
              <w:ind w:firstLine="708"/>
              <w:jc w:val="both"/>
              <w:rPr>
                <w:rFonts w:ascii="Verdana" w:eastAsia="Times New Roman" w:hAnsi="Verdana" w:cs="Arial"/>
                <w:lang w:val="es-ES" w:eastAsia="es-MX"/>
              </w:rPr>
            </w:pPr>
            <w:r>
              <w:rPr>
                <w:rFonts w:ascii="Verdana" w:eastAsia="Times New Roman" w:hAnsi="Verdana" w:cs="Arial"/>
                <w:bCs/>
                <w:lang w:val="es-MX" w:eastAsia="x-none"/>
              </w:rPr>
              <w:t xml:space="preserve">Por otra parte, es necesario tener en cuenta que </w:t>
            </w:r>
            <w:r>
              <w:rPr>
                <w:rFonts w:ascii="Verdana" w:eastAsia="Times New Roman" w:hAnsi="Verdana" w:cs="Arial"/>
                <w:lang w:val="es-ES" w:eastAsia="es-MX"/>
              </w:rPr>
              <w:t>el artículo 16 del Código de Minas dispone lo siguiente: “</w:t>
            </w:r>
            <w:r>
              <w:rPr>
                <w:rFonts w:ascii="Verdana" w:hAnsi="Verdana"/>
                <w:color w:val="000000"/>
              </w:rPr>
              <w:t xml:space="preserve">La primera solicitud o propuesta de concesión, mientras se halle en trámite, no confiere, por sí sola, frente al Estado, derecho a la celebración del contrato de concesión. </w:t>
            </w:r>
            <w:r w:rsidRPr="00EA7238">
              <w:rPr>
                <w:rFonts w:ascii="Verdana" w:hAnsi="Verdana"/>
                <w:i/>
                <w:iCs/>
                <w:color w:val="000000"/>
              </w:rPr>
              <w:t>Frente a otras solicitudes o frente a terceros, sólo confiere al interesado, un derecho de prelación o preferencia para obtener dicha concesión si reúne para el efecto, los requisitos legales</w:t>
            </w:r>
            <w:r>
              <w:rPr>
                <w:rFonts w:ascii="Verdana" w:hAnsi="Verdana"/>
                <w:color w:val="000000"/>
              </w:rPr>
              <w:t>” (Énfasis fuera de texto).</w:t>
            </w:r>
            <w:r>
              <w:rPr>
                <w:rFonts w:ascii="Verdana" w:eastAsia="Times New Roman" w:hAnsi="Verdana" w:cs="Arial"/>
                <w:lang w:val="es-ES" w:eastAsia="es-MX"/>
              </w:rPr>
              <w:t xml:space="preserve"> Es decir, en concordancia con el artículo 15 de la Ley 962 de 2005, corresponde a</w:t>
            </w:r>
            <w:r w:rsidRPr="005870FA">
              <w:rPr>
                <w:rFonts w:ascii="Verdana" w:eastAsia="Times New Roman" w:hAnsi="Verdana" w:cs="Arial"/>
                <w:lang w:val="es-ES" w:eastAsia="es-MX"/>
              </w:rPr>
              <w:t xml:space="preserve"> la</w:t>
            </w:r>
            <w:r>
              <w:rPr>
                <w:rFonts w:ascii="Verdana" w:eastAsia="Times New Roman" w:hAnsi="Verdana" w:cs="Arial"/>
                <w:lang w:val="es-ES" w:eastAsia="es-MX"/>
              </w:rPr>
              <w:t xml:space="preserve"> </w:t>
            </w:r>
            <w:r w:rsidRPr="005870FA">
              <w:rPr>
                <w:rFonts w:ascii="Verdana" w:eastAsia="Times New Roman" w:hAnsi="Verdana" w:cs="Arial"/>
                <w:lang w:val="es-ES" w:eastAsia="es-MX"/>
              </w:rPr>
              <w:t xml:space="preserve">aplicación del </w:t>
            </w:r>
            <w:r>
              <w:rPr>
                <w:rFonts w:ascii="Verdana" w:eastAsia="Times New Roman" w:hAnsi="Verdana" w:cs="Arial"/>
                <w:lang w:val="es-ES" w:eastAsia="es-MX"/>
              </w:rPr>
              <w:t>principio general según el cual</w:t>
            </w:r>
            <w:r w:rsidRPr="005870FA">
              <w:rPr>
                <w:rFonts w:ascii="Verdana" w:eastAsia="Times New Roman" w:hAnsi="Verdana" w:cs="Arial"/>
                <w:lang w:val="es-ES" w:eastAsia="es-MX"/>
              </w:rPr>
              <w:t xml:space="preserve"> </w:t>
            </w:r>
            <w:r>
              <w:rPr>
                <w:rFonts w:ascii="Verdana" w:eastAsia="Times New Roman" w:hAnsi="Verdana" w:cs="Arial"/>
                <w:lang w:val="es-ES" w:eastAsia="es-MX"/>
              </w:rPr>
              <w:t>“</w:t>
            </w:r>
            <w:r>
              <w:rPr>
                <w:rFonts w:ascii="Verdana" w:eastAsia="Times New Roman" w:hAnsi="Verdana" w:cs="Arial"/>
                <w:i/>
                <w:iCs/>
                <w:lang w:val="es-ES" w:eastAsia="es-MX"/>
              </w:rPr>
              <w:t xml:space="preserve">el </w:t>
            </w:r>
            <w:r w:rsidRPr="005870FA">
              <w:rPr>
                <w:rFonts w:ascii="Verdana" w:eastAsia="Times New Roman" w:hAnsi="Verdana" w:cs="Arial"/>
                <w:i/>
                <w:iCs/>
                <w:lang w:val="es-ES" w:eastAsia="es-MX"/>
              </w:rPr>
              <w:t>primero en el tiempo,</w:t>
            </w:r>
            <w:r>
              <w:rPr>
                <w:rFonts w:ascii="Verdana" w:eastAsia="Times New Roman" w:hAnsi="Verdana" w:cs="Arial"/>
                <w:i/>
                <w:iCs/>
                <w:lang w:val="es-ES" w:eastAsia="es-MX"/>
              </w:rPr>
              <w:t xml:space="preserve"> es el</w:t>
            </w:r>
            <w:r w:rsidRPr="005870FA">
              <w:rPr>
                <w:rFonts w:ascii="Verdana" w:eastAsia="Times New Roman" w:hAnsi="Verdana" w:cs="Arial"/>
                <w:i/>
                <w:iCs/>
                <w:lang w:val="es-ES" w:eastAsia="es-MX"/>
              </w:rPr>
              <w:t xml:space="preserve"> primero en el derecho</w:t>
            </w:r>
            <w:r>
              <w:rPr>
                <w:rFonts w:ascii="Verdana" w:eastAsia="Times New Roman" w:hAnsi="Verdana" w:cs="Arial"/>
                <w:lang w:val="es-ES" w:eastAsia="es-MX"/>
              </w:rPr>
              <w:t xml:space="preserve">”. </w:t>
            </w:r>
          </w:p>
          <w:p w14:paraId="7E6D7F42" w14:textId="77777777" w:rsidR="00487821" w:rsidRDefault="00487821" w:rsidP="006F0100">
            <w:pPr>
              <w:spacing w:after="120" w:line="276" w:lineRule="auto"/>
              <w:ind w:firstLine="709"/>
              <w:jc w:val="both"/>
              <w:rPr>
                <w:rFonts w:ascii="Verdana" w:eastAsia="Times New Roman" w:hAnsi="Verdana" w:cs="Arial"/>
                <w:lang w:val="es-ES" w:eastAsia="es-MX"/>
              </w:rPr>
            </w:pPr>
            <w:r>
              <w:rPr>
                <w:rFonts w:ascii="Verdana" w:eastAsia="Times New Roman" w:hAnsi="Verdana" w:cs="Arial"/>
                <w:lang w:val="es-ES" w:eastAsia="es-MX"/>
              </w:rPr>
              <w:t>Por tanto, la presentación de la propuesta no perfecciona el contrato de concesión de minera, sino que genera un privilegio en su evaluación frente a las demás allegadas con posterioridad. En los términos de la exposición de motivos, “[…] l</w:t>
            </w:r>
            <w:r w:rsidRPr="00905FD9">
              <w:rPr>
                <w:rFonts w:ascii="Verdana" w:eastAsia="Times New Roman" w:hAnsi="Verdana" w:cs="Arial"/>
                <w:lang w:val="es-ES" w:eastAsia="es-MX"/>
              </w:rPr>
              <w:t>a sola propuesta de contrato</w:t>
            </w:r>
            <w:r>
              <w:rPr>
                <w:rFonts w:ascii="Verdana" w:eastAsia="Times New Roman" w:hAnsi="Verdana" w:cs="Arial"/>
                <w:lang w:val="es-ES" w:eastAsia="es-MX"/>
              </w:rPr>
              <w:t xml:space="preserve"> </w:t>
            </w:r>
            <w:r w:rsidRPr="00905FD9">
              <w:rPr>
                <w:rFonts w:ascii="Verdana" w:eastAsia="Times New Roman" w:hAnsi="Verdana" w:cs="Arial"/>
                <w:lang w:val="es-ES" w:eastAsia="es-MX"/>
              </w:rPr>
              <w:t>sí engendra un verdadero derecho en cabeza del</w:t>
            </w:r>
            <w:r>
              <w:rPr>
                <w:rFonts w:ascii="Verdana" w:eastAsia="Times New Roman" w:hAnsi="Verdana" w:cs="Arial"/>
                <w:lang w:val="es-ES" w:eastAsia="es-MX"/>
              </w:rPr>
              <w:t xml:space="preserve"> </w:t>
            </w:r>
            <w:r w:rsidRPr="00905FD9">
              <w:rPr>
                <w:rFonts w:ascii="Verdana" w:eastAsia="Times New Roman" w:hAnsi="Verdana" w:cs="Arial"/>
                <w:lang w:val="es-ES" w:eastAsia="es-MX"/>
              </w:rPr>
              <w:t>proponente, oponible a terceros particulares,</w:t>
            </w:r>
            <w:r>
              <w:rPr>
                <w:rFonts w:ascii="Verdana" w:eastAsia="Times New Roman" w:hAnsi="Verdana" w:cs="Arial"/>
                <w:lang w:val="es-ES" w:eastAsia="es-MX"/>
              </w:rPr>
              <w:t xml:space="preserve"> </w:t>
            </w:r>
            <w:r w:rsidRPr="00905FD9">
              <w:rPr>
                <w:rFonts w:ascii="Verdana" w:eastAsia="Times New Roman" w:hAnsi="Verdana" w:cs="Arial"/>
                <w:lang w:val="es-ES" w:eastAsia="es-MX"/>
              </w:rPr>
              <w:t>pretendientes de la misma área o del mismo</w:t>
            </w:r>
            <w:r>
              <w:rPr>
                <w:rFonts w:ascii="Verdana" w:eastAsia="Times New Roman" w:hAnsi="Verdana" w:cs="Arial"/>
                <w:lang w:val="es-ES" w:eastAsia="es-MX"/>
              </w:rPr>
              <w:t xml:space="preserve"> </w:t>
            </w:r>
            <w:r w:rsidRPr="00905FD9">
              <w:rPr>
                <w:rFonts w:ascii="Verdana" w:eastAsia="Times New Roman" w:hAnsi="Verdana" w:cs="Arial"/>
                <w:lang w:val="es-ES" w:eastAsia="es-MX"/>
              </w:rPr>
              <w:t xml:space="preserve">mineral, cual es el derecho de prelación o preferencia frente otras propuestas. </w:t>
            </w:r>
            <w:r w:rsidRPr="00905FD9">
              <w:rPr>
                <w:rFonts w:ascii="Verdana" w:eastAsia="Times New Roman" w:hAnsi="Verdana" w:cs="Arial"/>
                <w:i/>
                <w:iCs/>
                <w:lang w:val="es-ES" w:eastAsia="es-MX"/>
              </w:rPr>
              <w:t>De allí que, como en la concurrencia de proponentes, la entidad administrativa no tiene un poder discrecional para escoger, sino una facultad reglada, la aludida propuesta del interesado, si llena ciertos requisitos básicos, crea una situación subjetiva para este, que debe ser respetada por los demás interesados mientras no sea desechada por la autoridad concedente</w:t>
            </w:r>
            <w:r>
              <w:rPr>
                <w:rFonts w:ascii="Verdana" w:eastAsia="Times New Roman" w:hAnsi="Verdana" w:cs="Arial"/>
                <w:lang w:val="es-ES" w:eastAsia="es-MX"/>
              </w:rPr>
              <w:t xml:space="preserve"> […]”</w:t>
            </w:r>
            <w:r>
              <w:t xml:space="preserve"> </w:t>
            </w:r>
            <w:r>
              <w:rPr>
                <w:rFonts w:ascii="Verdana" w:eastAsia="Times New Roman" w:hAnsi="Verdana" w:cs="Arial"/>
                <w:lang w:val="es-ES" w:eastAsia="es-MX"/>
              </w:rPr>
              <w:t xml:space="preserve">(Énfasis fuera de texto). </w:t>
            </w:r>
          </w:p>
          <w:p w14:paraId="49B7F51F" w14:textId="77777777" w:rsidR="00487821" w:rsidRPr="00073096" w:rsidRDefault="00487821" w:rsidP="006F0100">
            <w:pPr>
              <w:spacing w:after="120" w:line="276" w:lineRule="auto"/>
              <w:ind w:firstLine="737"/>
              <w:jc w:val="both"/>
              <w:rPr>
                <w:rFonts w:ascii="Verdana" w:eastAsia="Calibri" w:hAnsi="Verdana" w:cs="Arial"/>
                <w:lang w:val="es-MX"/>
              </w:rPr>
            </w:pPr>
            <w:r>
              <w:rPr>
                <w:rFonts w:ascii="Verdana" w:eastAsia="Times New Roman" w:hAnsi="Verdana" w:cs="Arial"/>
                <w:lang w:val="es-ES" w:eastAsia="es-MX"/>
              </w:rPr>
              <w:t xml:space="preserve">En este contexto, el artículo 16 de la Ley 685 de 2001 no obstaculiza la pluralidad de oferentes, pues “[…] </w:t>
            </w:r>
            <w:r w:rsidRPr="00A04506">
              <w:rPr>
                <w:rFonts w:ascii="Verdana" w:eastAsia="Times New Roman" w:hAnsi="Verdana" w:cs="Arial"/>
                <w:lang w:val="es-ES" w:eastAsia="es-MX"/>
              </w:rPr>
              <w:t>si existiese</w:t>
            </w:r>
            <w:r>
              <w:rPr>
                <w:rFonts w:ascii="Verdana" w:eastAsia="Times New Roman" w:hAnsi="Verdana" w:cs="Arial"/>
                <w:lang w:val="es-ES" w:eastAsia="es-MX"/>
              </w:rPr>
              <w:t xml:space="preserve"> </w:t>
            </w:r>
            <w:r w:rsidRPr="00A04506">
              <w:rPr>
                <w:rFonts w:ascii="Verdana" w:eastAsia="Times New Roman" w:hAnsi="Verdana" w:cs="Arial"/>
                <w:lang w:val="es-ES" w:eastAsia="es-MX"/>
              </w:rPr>
              <w:t>una primera propuesta y otras posteriores sobre la misma área o parte del área, sólo confiere</w:t>
            </w:r>
            <w:r>
              <w:rPr>
                <w:rFonts w:ascii="Verdana" w:eastAsia="Times New Roman" w:hAnsi="Verdana" w:cs="Arial"/>
                <w:lang w:val="es-ES" w:eastAsia="es-MX"/>
              </w:rPr>
              <w:t xml:space="preserve"> </w:t>
            </w:r>
            <w:r w:rsidRPr="00A04506">
              <w:rPr>
                <w:rFonts w:ascii="Verdana" w:eastAsia="Times New Roman" w:hAnsi="Verdana" w:cs="Arial"/>
                <w:lang w:val="es-ES" w:eastAsia="es-MX"/>
              </w:rPr>
              <w:t>al interesado un derecho de prelación o preferencia para la obtención de la Concesión</w:t>
            </w:r>
            <w:r>
              <w:rPr>
                <w:rFonts w:ascii="Verdana" w:eastAsia="Times New Roman" w:hAnsi="Verdana" w:cs="Arial"/>
                <w:lang w:val="es-ES" w:eastAsia="es-MX"/>
              </w:rPr>
              <w:t xml:space="preserve">. </w:t>
            </w:r>
            <w:r w:rsidRPr="000615D7">
              <w:rPr>
                <w:rFonts w:ascii="Verdana" w:eastAsia="Times New Roman" w:hAnsi="Verdana" w:cs="Arial"/>
                <w:lang w:val="es-ES" w:eastAsia="es-MX"/>
              </w:rPr>
              <w:t>Esto</w:t>
            </w:r>
            <w:r>
              <w:rPr>
                <w:rFonts w:ascii="Verdana" w:eastAsia="Times New Roman" w:hAnsi="Verdana" w:cs="Arial"/>
                <w:lang w:val="es-ES" w:eastAsia="es-MX"/>
              </w:rPr>
              <w:t xml:space="preserve"> </w:t>
            </w:r>
            <w:r w:rsidRPr="000615D7">
              <w:rPr>
                <w:rFonts w:ascii="Verdana" w:eastAsia="Times New Roman" w:hAnsi="Verdana" w:cs="Arial"/>
                <w:lang w:val="es-ES" w:eastAsia="es-MX"/>
              </w:rPr>
              <w:t>significa que la primera solicitud presentada</w:t>
            </w:r>
            <w:r>
              <w:rPr>
                <w:rFonts w:ascii="Verdana" w:eastAsia="Times New Roman" w:hAnsi="Verdana" w:cs="Arial"/>
                <w:lang w:val="es-ES" w:eastAsia="es-MX"/>
              </w:rPr>
              <w:t xml:space="preserve"> </w:t>
            </w:r>
            <w:r w:rsidRPr="000615D7">
              <w:rPr>
                <w:rFonts w:ascii="Verdana" w:eastAsia="Times New Roman" w:hAnsi="Verdana" w:cs="Arial"/>
                <w:lang w:val="es-ES" w:eastAsia="es-MX"/>
              </w:rPr>
              <w:t>ante la autoridad minera tendrá prioridad,</w:t>
            </w:r>
            <w:r>
              <w:rPr>
                <w:rFonts w:ascii="Verdana" w:eastAsia="Times New Roman" w:hAnsi="Verdana" w:cs="Arial"/>
                <w:lang w:val="es-ES" w:eastAsia="es-MX"/>
              </w:rPr>
              <w:t xml:space="preserve"> </w:t>
            </w:r>
            <w:r w:rsidRPr="000615D7">
              <w:rPr>
                <w:rFonts w:ascii="Verdana" w:eastAsia="Times New Roman" w:hAnsi="Verdana" w:cs="Arial"/>
                <w:lang w:val="es-ES" w:eastAsia="es-MX"/>
              </w:rPr>
              <w:t>primacía y predilección para el otorgamiento</w:t>
            </w:r>
            <w:r>
              <w:rPr>
                <w:rFonts w:ascii="Verdana" w:eastAsia="Times New Roman" w:hAnsi="Verdana" w:cs="Arial"/>
                <w:lang w:val="es-ES" w:eastAsia="es-MX"/>
              </w:rPr>
              <w:t xml:space="preserve"> </w:t>
            </w:r>
            <w:r w:rsidRPr="000615D7">
              <w:rPr>
                <w:rFonts w:ascii="Verdana" w:eastAsia="Times New Roman" w:hAnsi="Verdana" w:cs="Arial"/>
                <w:lang w:val="es-ES" w:eastAsia="es-MX"/>
              </w:rPr>
              <w:t>del Contrato de Concesión, siempre y cuando</w:t>
            </w:r>
            <w:r>
              <w:rPr>
                <w:rFonts w:ascii="Verdana" w:eastAsia="Times New Roman" w:hAnsi="Verdana" w:cs="Arial"/>
                <w:lang w:val="es-ES" w:eastAsia="es-MX"/>
              </w:rPr>
              <w:t xml:space="preserve"> </w:t>
            </w:r>
            <w:r w:rsidRPr="000615D7">
              <w:rPr>
                <w:rFonts w:ascii="Verdana" w:eastAsia="Times New Roman" w:hAnsi="Verdana" w:cs="Arial"/>
                <w:lang w:val="es-ES" w:eastAsia="es-MX"/>
              </w:rPr>
              <w:t>cumpla con los requisitos legales exigidos</w:t>
            </w:r>
            <w:r>
              <w:rPr>
                <w:rFonts w:ascii="Verdana" w:eastAsia="Times New Roman" w:hAnsi="Verdana" w:cs="Arial"/>
                <w:lang w:val="es-ES" w:eastAsia="es-MX"/>
              </w:rPr>
              <w:t>”.</w:t>
            </w:r>
          </w:p>
          <w:p w14:paraId="314380B4" w14:textId="77777777" w:rsidR="00487821" w:rsidRPr="001941FD" w:rsidRDefault="00487821" w:rsidP="006F0100">
            <w:pPr>
              <w:spacing w:line="276" w:lineRule="auto"/>
              <w:ind w:right="51" w:firstLine="737"/>
              <w:jc w:val="both"/>
              <w:rPr>
                <w:rFonts w:ascii="Verdana" w:eastAsia="Calibri" w:hAnsi="Verdana" w:cs="Arial"/>
                <w:bCs/>
                <w:color w:val="000000" w:themeColor="text1"/>
              </w:rPr>
            </w:pPr>
            <w:r w:rsidRPr="00D10E3B">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0004DFF6" w14:textId="77777777" w:rsidR="00AE3B29" w:rsidRPr="00B53AAB" w:rsidRDefault="00AE3B29" w:rsidP="00AE3B29">
      <w:pPr>
        <w:tabs>
          <w:tab w:val="left" w:pos="142"/>
          <w:tab w:val="left" w:pos="284"/>
        </w:tabs>
        <w:spacing w:after="0" w:line="276" w:lineRule="auto"/>
        <w:jc w:val="both"/>
        <w:rPr>
          <w:rFonts w:ascii="Verdana" w:eastAsia="Century Gothic" w:hAnsi="Verdana" w:cs="Century Gothic"/>
          <w:b/>
          <w:bCs/>
          <w:lang w:val="es-ES"/>
        </w:rPr>
      </w:pPr>
      <w:bookmarkStart w:id="1" w:name="_Hlk171694685"/>
    </w:p>
    <w:bookmarkEnd w:id="1"/>
    <w:p w14:paraId="56109903" w14:textId="775E8EB8" w:rsidR="00AE3B29" w:rsidRPr="00B53AAB" w:rsidRDefault="00487821" w:rsidP="00E65C62">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III</w:t>
      </w:r>
      <w:r w:rsidR="00E65C62">
        <w:rPr>
          <w:rFonts w:ascii="Verdana" w:eastAsia="Century Gothic" w:hAnsi="Verdana" w:cs="Century Gothic"/>
          <w:b/>
          <w:bCs/>
          <w:lang w:val="es-ES"/>
        </w:rPr>
        <w:t xml:space="preserve">. </w:t>
      </w:r>
      <w:r w:rsidR="00AE3B29" w:rsidRPr="00B53AAB">
        <w:rPr>
          <w:rFonts w:ascii="Verdana" w:eastAsia="Century Gothic" w:hAnsi="Verdana" w:cs="Century Gothic"/>
          <w:b/>
          <w:bCs/>
          <w:lang w:val="es-ES"/>
        </w:rPr>
        <w:t>Razones de la respuesta:</w:t>
      </w:r>
    </w:p>
    <w:p w14:paraId="55CAEE38" w14:textId="77777777" w:rsidR="00AE3B29" w:rsidRPr="00B53AAB" w:rsidRDefault="00AE3B29" w:rsidP="00AE3B29">
      <w:pPr>
        <w:spacing w:after="0" w:line="276" w:lineRule="auto"/>
        <w:jc w:val="both"/>
        <w:rPr>
          <w:rFonts w:ascii="Verdana" w:eastAsia="Calibri" w:hAnsi="Verdana" w:cs="Arial"/>
          <w:color w:val="7030A0"/>
          <w:lang w:val="es-ES"/>
        </w:rPr>
      </w:pPr>
    </w:p>
    <w:p w14:paraId="6521B1C8" w14:textId="77777777" w:rsidR="00AE3B29" w:rsidRPr="00B53AAB" w:rsidRDefault="00AE3B29" w:rsidP="00AE3B29">
      <w:pPr>
        <w:spacing w:after="0" w:line="276" w:lineRule="auto"/>
        <w:jc w:val="both"/>
        <w:rPr>
          <w:rFonts w:ascii="Verdana" w:eastAsia="Calibri" w:hAnsi="Verdana" w:cs="Arial"/>
          <w:lang w:val="es-ES"/>
        </w:rPr>
      </w:pPr>
      <w:r w:rsidRPr="00B53AAB">
        <w:rPr>
          <w:rFonts w:ascii="Verdana" w:eastAsia="Calibri" w:hAnsi="Verdana" w:cs="Arial"/>
          <w:lang w:val="es-ES"/>
        </w:rPr>
        <w:t>Lo anterior se sustenta en las siguientes consideraciones:</w:t>
      </w:r>
    </w:p>
    <w:p w14:paraId="58AE44E2" w14:textId="77777777" w:rsidR="00AE3B29" w:rsidRPr="00B53AAB" w:rsidRDefault="00AE3B29" w:rsidP="00AE3B29">
      <w:pPr>
        <w:spacing w:after="0" w:line="276" w:lineRule="auto"/>
        <w:jc w:val="both"/>
        <w:rPr>
          <w:rFonts w:ascii="Verdana" w:eastAsia="Calibri" w:hAnsi="Verdana" w:cs="Arial"/>
          <w:lang w:val="es-ES"/>
        </w:rPr>
      </w:pPr>
    </w:p>
    <w:p w14:paraId="30957C47" w14:textId="77777777" w:rsidR="00AE3B29" w:rsidRPr="00B53AAB" w:rsidRDefault="00AE3B29" w:rsidP="00DE2D83">
      <w:pPr>
        <w:tabs>
          <w:tab w:val="left" w:pos="426"/>
        </w:tabs>
        <w:spacing w:after="120" w:line="276" w:lineRule="auto"/>
        <w:jc w:val="both"/>
        <w:rPr>
          <w:rFonts w:ascii="Verdana" w:eastAsia="Times New Roman" w:hAnsi="Verdana" w:cs="Arial"/>
          <w:lang w:eastAsia="es-CO"/>
        </w:rPr>
      </w:pPr>
      <w:r w:rsidRPr="00B53AAB">
        <w:rPr>
          <w:rFonts w:ascii="Verdana" w:eastAsia="Calibri" w:hAnsi="Verdana" w:cs="Arial"/>
        </w:rPr>
        <w:t>i. El ordenamiento jurídico colombiano contempla previsiones claras para evitar la obtención de beneficios personales en asuntos propios de la administración pública</w:t>
      </w:r>
      <w:r w:rsidRPr="00B53AAB">
        <w:rPr>
          <w:rFonts w:ascii="Verdana" w:eastAsia="Calibri" w:hAnsi="Verdana" w:cs="Arial"/>
          <w:i/>
        </w:rPr>
        <w:t xml:space="preserve">. </w:t>
      </w:r>
      <w:r w:rsidRPr="00B53AAB">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B53AAB">
        <w:rPr>
          <w:rFonts w:ascii="Verdana" w:hAnsi="Verdana"/>
          <w:vertAlign w:val="superscript"/>
        </w:rPr>
        <w:footnoteReference w:id="1"/>
      </w:r>
      <w:r w:rsidRPr="00B53AAB">
        <w:rPr>
          <w:rFonts w:ascii="Verdana" w:eastAsia="Calibri" w:hAnsi="Verdana" w:cs="Arial"/>
        </w:rPr>
        <w:t xml:space="preserve">. </w:t>
      </w:r>
    </w:p>
    <w:p w14:paraId="71CD7207" w14:textId="674A997F" w:rsidR="00AE3B29" w:rsidRPr="00B53AAB" w:rsidRDefault="00E12F47" w:rsidP="00DE2D83">
      <w:pPr>
        <w:tabs>
          <w:tab w:val="left" w:pos="426"/>
        </w:tabs>
        <w:spacing w:after="0" w:line="276" w:lineRule="auto"/>
        <w:ind w:firstLine="425"/>
        <w:jc w:val="both"/>
        <w:rPr>
          <w:rFonts w:ascii="Verdana" w:eastAsia="Calibri" w:hAnsi="Verdana" w:cs="Arial"/>
          <w:lang w:val="es-ES_tradnl"/>
        </w:rPr>
      </w:pPr>
      <w:r>
        <w:rPr>
          <w:rFonts w:ascii="Verdana" w:eastAsia="Times New Roman" w:hAnsi="Verdana" w:cs="Arial"/>
          <w:lang w:eastAsia="es-CO"/>
        </w:rPr>
        <w:tab/>
      </w:r>
      <w:r>
        <w:rPr>
          <w:rFonts w:ascii="Verdana" w:eastAsia="Times New Roman" w:hAnsi="Verdana" w:cs="Arial"/>
          <w:lang w:eastAsia="es-CO"/>
        </w:rPr>
        <w:tab/>
      </w:r>
      <w:r w:rsidR="00AE3B29" w:rsidRPr="00B53AAB">
        <w:rPr>
          <w:rFonts w:ascii="Verdana" w:eastAsia="Times New Roman" w:hAnsi="Verdana" w:cs="Arial"/>
          <w:lang w:eastAsia="es-CO"/>
        </w:rPr>
        <w:t>En el mismo sentido</w:t>
      </w:r>
      <w:r w:rsidR="00AE3B29" w:rsidRPr="00B53AAB">
        <w:rPr>
          <w:rFonts w:ascii="Verdana" w:eastAsia="Times New Roman" w:hAnsi="Verdana" w:cs="Arial"/>
          <w:lang w:val="es-MX" w:eastAsia="es-CO"/>
        </w:rPr>
        <w:t xml:space="preserve">, </w:t>
      </w:r>
      <w:bookmarkStart w:id="2" w:name="_Hlk99576829"/>
      <w:r w:rsidR="00AE3B29" w:rsidRPr="00B53AAB">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AE3B29" w:rsidRPr="00B53AAB">
        <w:rPr>
          <w:rFonts w:ascii="Verdana" w:eastAsia="Times New Roman" w:hAnsi="Verdana" w:cs="Arial"/>
          <w:vertAlign w:val="superscript"/>
          <w:lang w:val="es-MX" w:eastAsia="es-CO"/>
        </w:rPr>
        <w:footnoteReference w:id="2"/>
      </w:r>
      <w:r w:rsidR="00AE3B29" w:rsidRPr="00B53AAB">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00AE3B29" w:rsidRPr="00B53AAB">
        <w:rPr>
          <w:rFonts w:ascii="Verdana" w:eastAsia="Calibri" w:hAnsi="Verdana" w:cs="Arial"/>
          <w:lang w:val="es-ES_tradnl"/>
        </w:rPr>
        <w:t xml:space="preserve"> </w:t>
      </w:r>
      <w:bookmarkEnd w:id="2"/>
      <w:r w:rsidR="00AE3B29" w:rsidRPr="00B53AAB">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719C6642" w14:textId="77777777" w:rsidR="00AE3B29" w:rsidRPr="00B53AAB" w:rsidRDefault="00AE3B29" w:rsidP="00AE3B29">
      <w:pPr>
        <w:spacing w:after="0" w:line="276" w:lineRule="auto"/>
        <w:ind w:right="709"/>
        <w:contextualSpacing/>
        <w:jc w:val="both"/>
        <w:rPr>
          <w:rFonts w:ascii="Verdana" w:eastAsia="Times New Roman" w:hAnsi="Verdana" w:cs="Arial"/>
          <w:lang w:val="es-ES" w:eastAsia="es-CO"/>
        </w:rPr>
      </w:pPr>
    </w:p>
    <w:p w14:paraId="180BEB97" w14:textId="77777777" w:rsidR="00AE3B29" w:rsidRPr="00DE2D83" w:rsidRDefault="00AE3B29" w:rsidP="00DE2D83">
      <w:pPr>
        <w:spacing w:after="0" w:line="240" w:lineRule="auto"/>
        <w:ind w:left="709" w:right="709"/>
        <w:jc w:val="both"/>
        <w:rPr>
          <w:rFonts w:ascii="Verdana" w:eastAsia="Times New Roman" w:hAnsi="Verdana" w:cs="Arial"/>
          <w:sz w:val="20"/>
          <w:szCs w:val="20"/>
          <w:lang w:val="es-MX" w:eastAsia="es-CO"/>
        </w:rPr>
      </w:pPr>
      <w:r w:rsidRPr="00DE2D83">
        <w:rPr>
          <w:rFonts w:ascii="Verdana" w:eastAsia="Times New Roman" w:hAnsi="Verdana" w:cs="Arial"/>
          <w:sz w:val="20"/>
          <w:szCs w:val="20"/>
          <w:lang w:val="es-ES" w:eastAsia="es-CO"/>
        </w:rPr>
        <w:t xml:space="preserve">“[…] </w:t>
      </w:r>
      <w:r w:rsidRPr="00DE2D83">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1C59ABD7" w14:textId="77777777" w:rsidR="00AE3B29" w:rsidRPr="00DE2D83" w:rsidRDefault="00AE3B29" w:rsidP="00DE2D83">
      <w:pPr>
        <w:spacing w:after="0" w:line="240" w:lineRule="auto"/>
        <w:ind w:left="709" w:right="709"/>
        <w:jc w:val="both"/>
        <w:rPr>
          <w:rFonts w:ascii="Verdana" w:eastAsia="Times New Roman" w:hAnsi="Verdana" w:cs="Arial"/>
          <w:sz w:val="20"/>
          <w:szCs w:val="20"/>
          <w:lang w:val="es-MX" w:eastAsia="es-CO"/>
        </w:rPr>
      </w:pPr>
      <w:r w:rsidRPr="00DE2D83">
        <w:rPr>
          <w:rFonts w:ascii="Verdana" w:eastAsia="Times New Roman" w:hAnsi="Verdana" w:cs="Arial"/>
          <w:sz w:val="20"/>
          <w:szCs w:val="20"/>
          <w:lang w:val="es-MX" w:eastAsia="es-CO"/>
        </w:rPr>
        <w:t xml:space="preserve">[…] </w:t>
      </w:r>
    </w:p>
    <w:p w14:paraId="3722227C" w14:textId="77777777" w:rsidR="00AE3B29" w:rsidRPr="00DE2D83" w:rsidRDefault="00AE3B29" w:rsidP="00DE2D83">
      <w:pPr>
        <w:spacing w:after="0" w:line="240" w:lineRule="auto"/>
        <w:ind w:left="709" w:right="709"/>
        <w:jc w:val="both"/>
        <w:rPr>
          <w:rFonts w:ascii="Verdana" w:eastAsia="Times New Roman" w:hAnsi="Verdana" w:cs="Arial"/>
          <w:sz w:val="20"/>
          <w:szCs w:val="20"/>
          <w:lang w:val="es-MX" w:eastAsia="es-CO"/>
        </w:rPr>
      </w:pPr>
    </w:p>
    <w:p w14:paraId="3391BE8C" w14:textId="77777777" w:rsidR="00AE3B29" w:rsidRPr="00DE2D83" w:rsidRDefault="00AE3B29" w:rsidP="00DE2D83">
      <w:pPr>
        <w:spacing w:after="0" w:line="240" w:lineRule="auto"/>
        <w:ind w:left="709" w:right="709"/>
        <w:jc w:val="both"/>
        <w:rPr>
          <w:rFonts w:ascii="Verdana" w:eastAsia="Times New Roman" w:hAnsi="Verdana" w:cs="Arial"/>
          <w:sz w:val="20"/>
          <w:szCs w:val="20"/>
          <w:lang w:val="es-MX" w:eastAsia="es-CO"/>
        </w:rPr>
      </w:pPr>
      <w:r w:rsidRPr="00DE2D83">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DE2D83">
        <w:rPr>
          <w:rFonts w:ascii="Verdana" w:eastAsia="Calibri" w:hAnsi="Verdana" w:cs="Arial"/>
          <w:sz w:val="20"/>
          <w:szCs w:val="20"/>
          <w:vertAlign w:val="superscript"/>
          <w:lang w:val="es-MX"/>
        </w:rPr>
        <w:footnoteReference w:id="3"/>
      </w:r>
    </w:p>
    <w:p w14:paraId="7947CFFB" w14:textId="77777777" w:rsidR="00AE3B29" w:rsidRPr="00B53AAB" w:rsidRDefault="00AE3B29" w:rsidP="00DE2D83">
      <w:pPr>
        <w:spacing w:after="0" w:line="276" w:lineRule="auto"/>
        <w:ind w:firstLine="709"/>
        <w:jc w:val="both"/>
        <w:rPr>
          <w:rFonts w:ascii="Verdana" w:eastAsia="Times New Roman" w:hAnsi="Verdana" w:cs="Arial"/>
          <w:lang w:val="es-MX" w:eastAsia="es-CO"/>
        </w:rPr>
      </w:pPr>
      <w:bookmarkStart w:id="3" w:name="_Hlk78818186"/>
    </w:p>
    <w:p w14:paraId="5302C931" w14:textId="77777777" w:rsidR="00AE3B29" w:rsidRPr="00B53AAB" w:rsidRDefault="00AE3B29" w:rsidP="00DE2D83">
      <w:pPr>
        <w:spacing w:after="0" w:line="276" w:lineRule="auto"/>
        <w:ind w:firstLine="709"/>
        <w:jc w:val="both"/>
        <w:rPr>
          <w:rFonts w:ascii="Verdana" w:eastAsia="Times New Roman" w:hAnsi="Verdana" w:cs="Arial"/>
          <w:lang w:val="es-MX" w:eastAsia="es-CO"/>
        </w:rPr>
      </w:pPr>
      <w:r w:rsidRPr="00B53AAB">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w:t>
      </w:r>
      <w:bookmarkEnd w:id="3"/>
      <w:r w:rsidRPr="00B53AAB">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w:t>
      </w:r>
    </w:p>
    <w:p w14:paraId="2CED4421" w14:textId="77777777" w:rsidR="00AE3B29" w:rsidRPr="00B53AAB" w:rsidRDefault="00AE3B29" w:rsidP="00AE3B29">
      <w:pPr>
        <w:spacing w:after="0" w:line="276" w:lineRule="auto"/>
        <w:ind w:firstLine="709"/>
        <w:jc w:val="both"/>
        <w:rPr>
          <w:rFonts w:ascii="Verdana" w:eastAsia="Times New Roman" w:hAnsi="Verdana" w:cs="Arial"/>
          <w:lang w:val="es-MX" w:eastAsia="es-CO"/>
        </w:rPr>
      </w:pPr>
    </w:p>
    <w:p w14:paraId="255B6BF9" w14:textId="77777777" w:rsidR="00AE3B29" w:rsidRPr="00DE2D83" w:rsidRDefault="00AE3B29" w:rsidP="00AE3B29">
      <w:pPr>
        <w:spacing w:after="0" w:line="240" w:lineRule="auto"/>
        <w:ind w:left="709" w:right="709"/>
        <w:contextualSpacing/>
        <w:jc w:val="both"/>
        <w:rPr>
          <w:rFonts w:ascii="Verdana" w:eastAsia="Times New Roman" w:hAnsi="Verdana" w:cs="Arial"/>
          <w:sz w:val="20"/>
          <w:szCs w:val="20"/>
          <w:lang w:val="es-MX" w:eastAsia="es-CO"/>
        </w:rPr>
      </w:pPr>
      <w:r w:rsidRPr="00DE2D83">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F49FBF6" w14:textId="77777777" w:rsidR="00AE3B29" w:rsidRPr="00DE2D83" w:rsidRDefault="00AE3B29" w:rsidP="00AE3B29">
      <w:pPr>
        <w:spacing w:after="0" w:line="240" w:lineRule="auto"/>
        <w:ind w:right="709"/>
        <w:contextualSpacing/>
        <w:jc w:val="both"/>
        <w:rPr>
          <w:rFonts w:ascii="Verdana" w:eastAsia="Times New Roman" w:hAnsi="Verdana" w:cs="Arial"/>
          <w:sz w:val="20"/>
          <w:szCs w:val="20"/>
          <w:lang w:val="es-MX" w:eastAsia="es-CO"/>
        </w:rPr>
      </w:pPr>
    </w:p>
    <w:p w14:paraId="1453D14E" w14:textId="77777777" w:rsidR="00AE3B29" w:rsidRPr="00DE2D83" w:rsidRDefault="00AE3B29" w:rsidP="00AE3B29">
      <w:pPr>
        <w:spacing w:after="0" w:line="240" w:lineRule="auto"/>
        <w:ind w:left="709" w:right="709"/>
        <w:contextualSpacing/>
        <w:jc w:val="both"/>
        <w:rPr>
          <w:rFonts w:ascii="Verdana" w:eastAsia="Times New Roman" w:hAnsi="Verdana" w:cs="Arial"/>
          <w:sz w:val="20"/>
          <w:szCs w:val="20"/>
          <w:lang w:val="es-MX" w:eastAsia="es-CO"/>
        </w:rPr>
      </w:pPr>
      <w:r w:rsidRPr="00DE2D83">
        <w:rPr>
          <w:rFonts w:ascii="Verdana" w:eastAsia="Times New Roman" w:hAnsi="Verdana" w:cs="Arial"/>
          <w:sz w:val="20"/>
          <w:szCs w:val="20"/>
          <w:lang w:val="es-MX" w:eastAsia="es-CO"/>
        </w:rPr>
        <w:t>La jurisprudencia de la Corte Constitucional</w:t>
      </w:r>
      <w:r w:rsidRPr="00DE2D83">
        <w:rPr>
          <w:rFonts w:ascii="Verdana" w:eastAsia="Times New Roman" w:hAnsi="Verdana" w:cs="Arial"/>
          <w:sz w:val="20"/>
          <w:szCs w:val="20"/>
          <w:vertAlign w:val="superscript"/>
          <w:lang w:val="es-MX" w:eastAsia="es-CO"/>
        </w:rPr>
        <w:footnoteReference w:id="4"/>
      </w:r>
      <w:r w:rsidRPr="00DE2D83">
        <w:rPr>
          <w:rFonts w:ascii="Verdana" w:eastAsia="Times New Roman" w:hAnsi="Verdana" w:cs="Arial"/>
          <w:sz w:val="20"/>
          <w:szCs w:val="20"/>
          <w:lang w:val="es-MX" w:eastAsia="es-CO"/>
        </w:rPr>
        <w:t> y del Consejo de Estado</w:t>
      </w:r>
      <w:r w:rsidRPr="00DE2D83">
        <w:rPr>
          <w:rFonts w:ascii="Verdana" w:eastAsia="Times New Roman" w:hAnsi="Verdana" w:cs="Arial"/>
          <w:sz w:val="20"/>
          <w:szCs w:val="20"/>
          <w:vertAlign w:val="superscript"/>
          <w:lang w:val="es-MX" w:eastAsia="es-CO"/>
        </w:rPr>
        <w:footnoteReference w:id="5"/>
      </w:r>
      <w:r w:rsidRPr="00DE2D83">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DE2D83">
        <w:rPr>
          <w:rFonts w:ascii="Verdana" w:eastAsia="Times New Roman" w:hAnsi="Verdana" w:cs="Arial"/>
          <w:sz w:val="20"/>
          <w:szCs w:val="20"/>
          <w:vertAlign w:val="superscript"/>
          <w:lang w:val="es-MX" w:eastAsia="es-CO"/>
        </w:rPr>
        <w:footnoteReference w:id="6"/>
      </w:r>
      <w:r w:rsidRPr="00DE2D83">
        <w:rPr>
          <w:rFonts w:ascii="Verdana" w:eastAsia="Times New Roman" w:hAnsi="Verdana" w:cs="Arial"/>
          <w:sz w:val="20"/>
          <w:szCs w:val="20"/>
          <w:lang w:val="es-MX" w:eastAsia="es-CO"/>
        </w:rPr>
        <w:t>.</w:t>
      </w:r>
    </w:p>
    <w:p w14:paraId="6E915501" w14:textId="77777777" w:rsidR="00AE3B29" w:rsidRPr="00487821" w:rsidRDefault="00AE3B29" w:rsidP="00AE3B29">
      <w:pPr>
        <w:spacing w:after="0" w:line="276" w:lineRule="auto"/>
        <w:jc w:val="both"/>
        <w:rPr>
          <w:rFonts w:ascii="Verdana" w:eastAsia="Calibri" w:hAnsi="Verdana" w:cs="Arial"/>
          <w:bCs/>
          <w:sz w:val="21"/>
          <w:szCs w:val="21"/>
          <w:lang w:val="es-ES_tradnl"/>
        </w:rPr>
      </w:pPr>
    </w:p>
    <w:p w14:paraId="587705FE" w14:textId="77777777" w:rsidR="00AE3B29" w:rsidRPr="00B53AAB" w:rsidRDefault="00AE3B29" w:rsidP="00AE3B29">
      <w:pPr>
        <w:spacing w:after="0" w:line="276" w:lineRule="auto"/>
        <w:ind w:firstLine="709"/>
        <w:jc w:val="both"/>
        <w:rPr>
          <w:rFonts w:ascii="Verdana" w:eastAsia="Arial" w:hAnsi="Verdana" w:cs="Arial"/>
          <w:lang w:val="es-ES" w:eastAsia="es-ES" w:bidi="es-ES"/>
        </w:rPr>
      </w:pPr>
      <w:r w:rsidRPr="00B53AAB">
        <w:rPr>
          <w:rFonts w:ascii="Verdana" w:eastAsia="Times New Roman" w:hAnsi="Verdana" w:cs="Arial"/>
          <w:lang w:val="es-MX" w:eastAsia="es-CO"/>
        </w:rPr>
        <w:t>De</w:t>
      </w:r>
      <w:r w:rsidRPr="00B53AAB">
        <w:rPr>
          <w:rFonts w:ascii="Verdana" w:eastAsia="Arial" w:hAnsi="Verdana" w:cs="Arial"/>
          <w:lang w:val="es-ES" w:eastAsia="es-ES" w:bidi="es-ES"/>
        </w:rPr>
        <w:t xml:space="preserve"> conformidad con lo anterior, </w:t>
      </w:r>
      <w:bookmarkStart w:id="4" w:name="_Hlk77236098"/>
      <w:bookmarkStart w:id="5" w:name="_Hlk100679383"/>
      <w:r w:rsidRPr="00B53AAB">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692DBA36" w14:textId="77777777" w:rsidR="00AE3B29" w:rsidRPr="00B53AAB" w:rsidRDefault="00AE3B29" w:rsidP="00AE3B29">
      <w:pPr>
        <w:spacing w:after="0" w:line="276" w:lineRule="auto"/>
        <w:ind w:firstLine="709"/>
        <w:jc w:val="both"/>
        <w:rPr>
          <w:rFonts w:ascii="Verdana" w:eastAsia="Arial" w:hAnsi="Verdana" w:cs="Arial"/>
          <w:lang w:val="es-ES" w:eastAsia="es-ES" w:bidi="es-ES"/>
        </w:rPr>
      </w:pPr>
    </w:p>
    <w:p w14:paraId="1A4D9AC3" w14:textId="77777777" w:rsidR="00AE3B29" w:rsidRPr="00B53AAB" w:rsidRDefault="00AE3B29" w:rsidP="00AE3B29">
      <w:pPr>
        <w:spacing w:after="120" w:line="276" w:lineRule="auto"/>
        <w:jc w:val="both"/>
        <w:rPr>
          <w:rFonts w:ascii="Verdana" w:eastAsia="Arial" w:hAnsi="Verdana" w:cs="Arial"/>
          <w:lang w:val="es-ES" w:eastAsia="es-ES" w:bidi="es-ES"/>
        </w:rPr>
      </w:pPr>
      <w:r w:rsidRPr="00B53AAB">
        <w:rPr>
          <w:rFonts w:ascii="Verdana" w:eastAsia="Arial" w:hAnsi="Verdana" w:cs="Arial"/>
          <w:lang w:val="es-ES" w:eastAsia="es-ES" w:bidi="es-ES"/>
        </w:rPr>
        <w:t>ii.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4"/>
    </w:p>
    <w:p w14:paraId="2E36E8F5" w14:textId="77777777" w:rsidR="00AE3B29" w:rsidRPr="00B53AAB" w:rsidRDefault="00AE3B29" w:rsidP="00487821">
      <w:pPr>
        <w:spacing w:after="120" w:line="276" w:lineRule="auto"/>
        <w:ind w:firstLine="709"/>
        <w:jc w:val="both"/>
        <w:rPr>
          <w:rFonts w:ascii="Verdana" w:eastAsia="Calibri" w:hAnsi="Verdana" w:cs="Arial"/>
        </w:rPr>
      </w:pPr>
      <w:r w:rsidRPr="00B53AAB">
        <w:rPr>
          <w:rFonts w:ascii="Verdana" w:eastAsia="Calibri" w:hAnsi="Verdana" w:cs="Arial"/>
        </w:rPr>
        <w:t xml:space="preserve">Por un lado, el </w:t>
      </w:r>
      <w:r w:rsidRPr="00B53AAB">
        <w:rPr>
          <w:rFonts w:ascii="Verdana" w:eastAsia="Calibri" w:hAnsi="Verdana" w:cs="Arial"/>
          <w:i/>
          <w:iCs/>
        </w:rPr>
        <w:t>artículo 33 de la Ley 996 de 2005</w:t>
      </w:r>
      <w:r w:rsidRPr="00B53AAB">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53AAB">
        <w:rPr>
          <w:rFonts w:ascii="Verdana" w:eastAsia="Calibri" w:hAnsi="Verdana" w:cs="Arial"/>
          <w:vertAlign w:val="superscript"/>
        </w:rPr>
        <w:footnoteReference w:id="7"/>
      </w:r>
      <w:r w:rsidRPr="00B53AAB">
        <w:rPr>
          <w:rFonts w:ascii="Verdana" w:eastAsia="Calibri" w:hAnsi="Verdana" w:cs="Arial"/>
        </w:rPr>
        <w:t>.</w:t>
      </w:r>
    </w:p>
    <w:p w14:paraId="0B93C8BD" w14:textId="77777777" w:rsidR="00AE3B29" w:rsidRPr="00B53AAB" w:rsidRDefault="00AE3B29" w:rsidP="00487821">
      <w:pPr>
        <w:widowControl w:val="0"/>
        <w:autoSpaceDE w:val="0"/>
        <w:autoSpaceDN w:val="0"/>
        <w:spacing w:after="120" w:line="276" w:lineRule="auto"/>
        <w:ind w:firstLine="709"/>
        <w:jc w:val="both"/>
        <w:rPr>
          <w:rFonts w:ascii="Verdana" w:eastAsia="Arial" w:hAnsi="Verdana" w:cs="Arial"/>
          <w:lang w:val="es-ES" w:eastAsia="es-ES" w:bidi="es-ES"/>
        </w:rPr>
      </w:pPr>
      <w:r w:rsidRPr="00B53AAB">
        <w:rPr>
          <w:rFonts w:ascii="Verdana" w:eastAsia="Calibri" w:hAnsi="Verdana" w:cs="Arial"/>
        </w:rPr>
        <w:t xml:space="preserve">Por otro lado, </w:t>
      </w:r>
      <w:r w:rsidRPr="00B53AAB">
        <w:rPr>
          <w:rFonts w:ascii="Verdana" w:eastAsia="Calibri" w:hAnsi="Verdana" w:cs="Arial"/>
          <w:i/>
          <w:iCs/>
        </w:rPr>
        <w:t>el parágrafo del artículo 38 de la Ley 996 de 2005</w:t>
      </w:r>
      <w:r w:rsidRPr="00B53AAB">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B53AAB">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53AAB">
        <w:rPr>
          <w:rFonts w:ascii="Verdana" w:eastAsia="Calibri" w:hAnsi="Verdana" w:cs="Arial"/>
        </w:rPr>
        <w:t>”</w:t>
      </w:r>
      <w:bookmarkEnd w:id="5"/>
      <w:r w:rsidRPr="00B53AAB">
        <w:rPr>
          <w:rFonts w:ascii="Verdana" w:eastAsia="Calibri" w:hAnsi="Verdana" w:cs="Arial"/>
          <w:vertAlign w:val="superscript"/>
        </w:rPr>
        <w:footnoteReference w:id="8"/>
      </w:r>
      <w:r w:rsidRPr="00B53AAB">
        <w:rPr>
          <w:rFonts w:ascii="Verdana" w:eastAsia="Calibri" w:hAnsi="Verdana" w:cs="Arial"/>
          <w:lang w:val="es-MX"/>
        </w:rPr>
        <w:t>.</w:t>
      </w:r>
      <w:r w:rsidRPr="00B53AAB">
        <w:rPr>
          <w:rFonts w:ascii="Verdana" w:eastAsia="Arial" w:hAnsi="Verdana" w:cs="Arial"/>
          <w:lang w:val="es-ES" w:eastAsia="es-ES" w:bidi="es-ES"/>
        </w:rPr>
        <w:t xml:space="preserve"> </w:t>
      </w:r>
    </w:p>
    <w:p w14:paraId="3F88A3F2" w14:textId="77777777" w:rsidR="00AE3B29" w:rsidRPr="00B53AAB" w:rsidRDefault="00AE3B29" w:rsidP="00487821">
      <w:pPr>
        <w:spacing w:after="120" w:line="276" w:lineRule="auto"/>
        <w:ind w:firstLine="709"/>
        <w:jc w:val="both"/>
        <w:rPr>
          <w:rFonts w:ascii="Verdana" w:eastAsia="Times New Roman" w:hAnsi="Verdana" w:cs="Arial"/>
          <w:bCs/>
          <w:lang w:eastAsia="es-CO"/>
        </w:rPr>
      </w:pPr>
      <w:r w:rsidRPr="00B53AAB">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sidRPr="00B53AAB">
        <w:rPr>
          <w:rFonts w:ascii="Verdana" w:eastAsia="Times New Roman" w:hAnsi="Verdana" w:cs="Arial"/>
          <w:bCs/>
          <w:lang w:eastAsia="es-CO"/>
        </w:rPr>
        <w:t>1. </w:t>
      </w:r>
      <w:r w:rsidRPr="00B53AAB">
        <w:rPr>
          <w:rFonts w:ascii="Verdana" w:eastAsia="Times New Roman" w:hAnsi="Verdana" w:cs="Arial"/>
          <w:bCs/>
          <w:i/>
          <w:iCs/>
          <w:lang w:eastAsia="es-CO"/>
        </w:rPr>
        <w:t>Gral.</w:t>
      </w:r>
      <w:r w:rsidRPr="00B53AAB">
        <w:rPr>
          <w:rFonts w:ascii="Verdana" w:eastAsia="Times New Roman" w:hAnsi="Verdana" w:cs="Arial"/>
          <w:bCs/>
          <w:lang w:eastAsia="es-CO"/>
        </w:rPr>
        <w:t xml:space="preserve"> Otorgar o firmar un contrato. 2. </w:t>
      </w:r>
      <w:proofErr w:type="spellStart"/>
      <w:r w:rsidRPr="00B53AAB">
        <w:rPr>
          <w:rFonts w:ascii="Verdana" w:eastAsia="Times New Roman" w:hAnsi="Verdana" w:cs="Arial"/>
          <w:bCs/>
          <w:i/>
          <w:iCs/>
          <w:lang w:eastAsia="es-CO"/>
        </w:rPr>
        <w:t>Proc</w:t>
      </w:r>
      <w:proofErr w:type="spellEnd"/>
      <w:r w:rsidRPr="00B53AAB">
        <w:rPr>
          <w:rFonts w:ascii="Verdana" w:eastAsia="Times New Roman" w:hAnsi="Verdana" w:cs="Arial"/>
          <w:bCs/>
          <w:i/>
          <w:iCs/>
          <w:lang w:eastAsia="es-CO"/>
        </w:rPr>
        <w:t>.</w:t>
      </w:r>
      <w:r w:rsidRPr="00B53AAB">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780657F9" w14:textId="77777777" w:rsidR="00AE3B29" w:rsidRPr="00B53AAB" w:rsidRDefault="00AE3B29" w:rsidP="00487821">
      <w:pPr>
        <w:spacing w:after="120" w:line="276" w:lineRule="auto"/>
        <w:ind w:firstLine="709"/>
        <w:jc w:val="both"/>
        <w:rPr>
          <w:rFonts w:ascii="Verdana" w:eastAsia="Times New Roman" w:hAnsi="Verdana" w:cs="Arial"/>
          <w:bCs/>
          <w:lang w:val="es-ES" w:eastAsia="es-CO"/>
        </w:rPr>
      </w:pPr>
      <w:r w:rsidRPr="00B53AAB">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B53AAB">
        <w:rPr>
          <w:rFonts w:ascii="Verdana" w:eastAsia="Times New Roman" w:hAnsi="Verdana" w:cs="Arial"/>
          <w:bCs/>
          <w:lang w:val="es-ES" w:eastAsia="es-CO"/>
        </w:rPr>
        <w:t xml:space="preserve">la existencia de los contratos estatales, es decir, la producción de efectos jurídicos en los términos del artículo 1501 </w:t>
      </w:r>
      <w:r w:rsidRPr="00B53AAB">
        <w:rPr>
          <w:rFonts w:ascii="Verdana" w:eastAsia="Times New Roman" w:hAnsi="Verdana" w:cs="Arial"/>
          <w:bCs/>
          <w:i/>
          <w:lang w:val="es-ES" w:eastAsia="es-CO"/>
        </w:rPr>
        <w:t>ibidem</w:t>
      </w:r>
      <w:r w:rsidRPr="00B53AAB">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2669DC3A" w14:textId="77777777" w:rsidR="00AE3B29" w:rsidRPr="00B53AAB" w:rsidRDefault="00AE3B29" w:rsidP="00487821">
      <w:pPr>
        <w:spacing w:after="120" w:line="276" w:lineRule="auto"/>
        <w:ind w:firstLine="709"/>
        <w:jc w:val="both"/>
        <w:rPr>
          <w:rFonts w:ascii="Verdana" w:eastAsia="Times New Roman" w:hAnsi="Verdana" w:cs="Arial"/>
          <w:bCs/>
          <w:lang w:val="es-ES" w:eastAsia="es-CO"/>
        </w:rPr>
      </w:pPr>
      <w:r w:rsidRPr="00B53AAB">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46325EC8" w14:textId="77777777" w:rsidR="00AE3B29" w:rsidRPr="00B53AAB" w:rsidRDefault="00AE3B29" w:rsidP="00487821">
      <w:pPr>
        <w:spacing w:after="120" w:line="276" w:lineRule="auto"/>
        <w:ind w:firstLine="709"/>
        <w:jc w:val="both"/>
        <w:rPr>
          <w:rFonts w:ascii="Verdana" w:eastAsia="Times New Roman" w:hAnsi="Verdana" w:cs="Arial"/>
          <w:bCs/>
          <w:lang w:val="es-ES" w:eastAsia="es-CO"/>
        </w:rPr>
      </w:pPr>
      <w:r w:rsidRPr="00B53AAB">
        <w:rPr>
          <w:rFonts w:ascii="Verdana" w:eastAsia="Times New Roman" w:hAnsi="Verdana" w:cs="Arial"/>
          <w:bCs/>
          <w:lang w:val="es-ES" w:eastAsia="es-CO"/>
        </w:rPr>
        <w:t xml:space="preserve">Asimismo, </w:t>
      </w:r>
      <w:r w:rsidRPr="00B53AAB">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B53AAB">
        <w:rPr>
          <w:rFonts w:ascii="Verdana" w:eastAsia="Times New Roman" w:hAnsi="Verdana" w:cs="Arial"/>
          <w:bCs/>
          <w:vertAlign w:val="superscript"/>
          <w:lang w:val="es-MX" w:eastAsia="es-CO"/>
        </w:rPr>
        <w:footnoteReference w:id="9"/>
      </w:r>
      <w:r w:rsidRPr="00B53AAB">
        <w:rPr>
          <w:rFonts w:ascii="Verdana" w:eastAsia="Times New Roman" w:hAnsi="Verdana" w:cs="Arial"/>
          <w:bCs/>
          <w:lang w:val="es-MX" w:eastAsia="es-CO"/>
        </w:rPr>
        <w:t xml:space="preserve">. </w:t>
      </w:r>
    </w:p>
    <w:p w14:paraId="156B03F6" w14:textId="77777777" w:rsidR="00AE3B29" w:rsidRPr="00B53AAB" w:rsidRDefault="00AE3B29" w:rsidP="00487821">
      <w:pPr>
        <w:widowControl w:val="0"/>
        <w:autoSpaceDE w:val="0"/>
        <w:autoSpaceDN w:val="0"/>
        <w:spacing w:after="120" w:line="276" w:lineRule="auto"/>
        <w:ind w:firstLine="709"/>
        <w:contextualSpacing/>
        <w:jc w:val="both"/>
        <w:rPr>
          <w:rFonts w:ascii="Verdana" w:eastAsia="Arial" w:hAnsi="Verdana" w:cs="Arial"/>
          <w:lang w:val="es-ES" w:eastAsia="es-ES" w:bidi="es-ES"/>
        </w:rPr>
      </w:pPr>
      <w:r w:rsidRPr="00B53AAB">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4583BE06" w14:textId="77777777" w:rsidR="00AE3B29" w:rsidRPr="00B53AAB" w:rsidRDefault="00AE3B29" w:rsidP="00AE3B29">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6A1DB4DC" w14:textId="77777777" w:rsidR="00AE3B29" w:rsidRPr="00DE2D83" w:rsidRDefault="00AE3B29" w:rsidP="00AE3B29">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DE2D83">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8" w:name="_Hlk76109421"/>
      <w:r w:rsidRPr="00DE2D83">
        <w:rPr>
          <w:rFonts w:ascii="Verdana" w:eastAsia="Arial" w:hAnsi="Verdana" w:cs="Arial"/>
          <w:sz w:val="20"/>
          <w:szCs w:val="20"/>
          <w:lang w:eastAsia="es-ES" w:bidi="es-ES"/>
        </w:rPr>
        <w:t>se integran parcialmente</w:t>
      </w:r>
      <w:bookmarkEnd w:id="8"/>
      <w:r w:rsidRPr="00DE2D83">
        <w:rPr>
          <w:rFonts w:ascii="Verdana" w:eastAsia="Arial" w:hAnsi="Verdana" w:cs="Arial"/>
          <w:sz w:val="20"/>
          <w:szCs w:val="20"/>
          <w:lang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DE2D83">
        <w:rPr>
          <w:rFonts w:ascii="Verdana" w:eastAsia="Arial" w:hAnsi="Verdana" w:cs="Arial"/>
          <w:sz w:val="20"/>
          <w:szCs w:val="20"/>
          <w:vertAlign w:val="superscript"/>
          <w:lang w:eastAsia="es-ES" w:bidi="es-ES"/>
        </w:rPr>
        <w:footnoteReference w:id="10"/>
      </w:r>
    </w:p>
    <w:p w14:paraId="10B03D1B" w14:textId="77777777" w:rsidR="00AE3B29" w:rsidRPr="00B53AAB" w:rsidRDefault="00AE3B29" w:rsidP="00AE3B29">
      <w:pPr>
        <w:widowControl w:val="0"/>
        <w:autoSpaceDE w:val="0"/>
        <w:autoSpaceDN w:val="0"/>
        <w:spacing w:after="0" w:line="276" w:lineRule="auto"/>
        <w:contextualSpacing/>
        <w:rPr>
          <w:rFonts w:ascii="Verdana" w:eastAsia="Arial" w:hAnsi="Verdana" w:cs="Arial"/>
          <w:lang w:val="es-ES" w:eastAsia="es-ES" w:bidi="es-ES"/>
        </w:rPr>
      </w:pPr>
    </w:p>
    <w:p w14:paraId="5424FED6" w14:textId="77777777" w:rsidR="00AE3B29" w:rsidRPr="00487821" w:rsidRDefault="00AE3B29" w:rsidP="00487821">
      <w:pPr>
        <w:spacing w:after="120" w:line="276" w:lineRule="auto"/>
        <w:ind w:firstLine="709"/>
        <w:jc w:val="both"/>
        <w:rPr>
          <w:rFonts w:ascii="Verdana" w:eastAsia="Arial" w:hAnsi="Verdana" w:cs="Arial"/>
          <w:lang w:val="es-ES" w:eastAsia="es-ES" w:bidi="es-ES"/>
        </w:rPr>
      </w:pPr>
      <w:r w:rsidRPr="00487821">
        <w:rPr>
          <w:rFonts w:ascii="Verdana" w:eastAsia="Arial" w:hAnsi="Verdana" w:cs="Arial"/>
          <w:lang w:val="es-ES" w:eastAsia="es-ES" w:bidi="es-ES"/>
        </w:rPr>
        <w:t xml:space="preserve">De conformidad con lo anterior, </w:t>
      </w:r>
      <w:bookmarkStart w:id="9" w:name="_Hlk77236420"/>
      <w:bookmarkStart w:id="10" w:name="_Hlk78818435"/>
      <w:bookmarkStart w:id="11" w:name="_Hlk75780333"/>
      <w:r w:rsidRPr="00487821">
        <w:rPr>
          <w:rFonts w:ascii="Verdana" w:eastAsia="Arial" w:hAnsi="Verdana" w:cs="Arial"/>
          <w:lang w:val="es-ES" w:eastAsia="es-ES" w:bidi="es-ES"/>
        </w:rPr>
        <w:t xml:space="preserve">la Ley 996 de 2005 establece dos (2) tipos de restricciones en materia de contratación, las cuales coinciden parcialmente. </w:t>
      </w:r>
      <w:r w:rsidRPr="00487821">
        <w:rPr>
          <w:rFonts w:ascii="Verdana" w:eastAsia="Arial" w:hAnsi="Verdana" w:cs="Arial"/>
          <w:i/>
          <w:lang w:val="es-ES" w:eastAsia="es-ES" w:bidi="es-ES"/>
        </w:rPr>
        <w:t>En primer lugar</w:t>
      </w:r>
      <w:r w:rsidRPr="00487821">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7821">
        <w:rPr>
          <w:rFonts w:ascii="Verdana" w:eastAsia="Arial" w:hAnsi="Verdana" w:cs="Arial"/>
          <w:i/>
          <w:lang w:val="es-ES" w:eastAsia="es-ES" w:bidi="es-ES"/>
        </w:rPr>
        <w:t>En segundo lugar</w:t>
      </w:r>
      <w:r w:rsidRPr="00487821">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9"/>
    </w:p>
    <w:bookmarkEnd w:id="10"/>
    <w:p w14:paraId="2A514344" w14:textId="77777777" w:rsidR="00AE3B29" w:rsidRPr="00487821" w:rsidRDefault="00AE3B29" w:rsidP="00487821">
      <w:pPr>
        <w:spacing w:after="120" w:line="276" w:lineRule="auto"/>
        <w:ind w:firstLine="709"/>
        <w:jc w:val="both"/>
        <w:rPr>
          <w:rFonts w:ascii="Verdana" w:eastAsia="Arial" w:hAnsi="Verdana" w:cs="Arial"/>
          <w:lang w:val="es-ES" w:eastAsia="es-ES" w:bidi="es-ES"/>
        </w:rPr>
      </w:pPr>
      <w:r w:rsidRPr="00487821">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1"/>
    <w:p w14:paraId="0A8E5449" w14:textId="77777777" w:rsidR="00AE3B29" w:rsidRPr="00487821" w:rsidRDefault="00AE3B29" w:rsidP="00DE2D83">
      <w:pPr>
        <w:spacing w:after="0" w:line="276" w:lineRule="auto"/>
        <w:ind w:firstLine="709"/>
        <w:jc w:val="both"/>
        <w:rPr>
          <w:rFonts w:ascii="Verdana" w:eastAsia="Arial" w:hAnsi="Verdana" w:cs="Arial"/>
          <w:lang w:val="es-ES" w:eastAsia="es-ES" w:bidi="es-ES"/>
        </w:rPr>
      </w:pPr>
      <w:r w:rsidRPr="00487821">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11441A10" w14:textId="77777777" w:rsidR="00AE3B29" w:rsidRPr="00487821" w:rsidRDefault="00AE3B29" w:rsidP="00487821">
      <w:pPr>
        <w:spacing w:after="120" w:line="276" w:lineRule="auto"/>
        <w:ind w:firstLine="709"/>
        <w:jc w:val="both"/>
        <w:rPr>
          <w:rFonts w:ascii="Verdana" w:eastAsia="Arial" w:hAnsi="Verdana" w:cs="Arial"/>
          <w:lang w:val="es-ES" w:eastAsia="es-ES" w:bidi="es-ES"/>
        </w:rPr>
      </w:pPr>
      <w:r w:rsidRPr="00487821">
        <w:rPr>
          <w:rFonts w:ascii="Verdana" w:eastAsia="Arial" w:hAnsi="Verdana" w:cs="Arial"/>
          <w:lang w:val="es-ES" w:eastAsia="es-ES" w:bidi="es-ES"/>
        </w:rPr>
        <w:t xml:space="preserve"> </w:t>
      </w:r>
      <w:bookmarkStart w:id="12" w:name="_Hlk78820161"/>
    </w:p>
    <w:p w14:paraId="7CA88B5C" w14:textId="77777777" w:rsidR="00AE3B29" w:rsidRPr="00487821" w:rsidRDefault="00AE3B29" w:rsidP="00DE2D83">
      <w:pPr>
        <w:spacing w:after="120" w:line="276" w:lineRule="auto"/>
        <w:jc w:val="both"/>
        <w:rPr>
          <w:rFonts w:ascii="Verdana" w:eastAsia="Times New Roman" w:hAnsi="Verdana" w:cs="Arial"/>
          <w:bCs/>
          <w:lang w:val="es-MX" w:eastAsia="es-CO"/>
        </w:rPr>
      </w:pPr>
      <w:r w:rsidRPr="00487821">
        <w:rPr>
          <w:rFonts w:ascii="Verdana" w:eastAsia="Arial" w:hAnsi="Verdana" w:cs="Arial"/>
          <w:lang w:val="es-ES" w:eastAsia="es-ES" w:bidi="es-ES"/>
        </w:rPr>
        <w:t xml:space="preserve">iii. </w:t>
      </w:r>
      <w:bookmarkEnd w:id="12"/>
      <w:r w:rsidRPr="00487821">
        <w:rPr>
          <w:rFonts w:ascii="Verdana" w:eastAsia="Times New Roman" w:hAnsi="Verdana" w:cs="Arial"/>
          <w:bCs/>
          <w:lang w:val="es-MX" w:eastAsia="x-none"/>
        </w:rPr>
        <w:t xml:space="preserve">El ámbito material de la prohibición contenida en el artículo 33 de la ley 996 de 2005 está delimitado por la expresión </w:t>
      </w:r>
      <w:r w:rsidRPr="00487821">
        <w:rPr>
          <w:rFonts w:ascii="Verdana" w:eastAsia="Calibri" w:hAnsi="Verdana" w:cs="Arial"/>
          <w:bCs/>
          <w:lang w:val="es-MX"/>
        </w:rPr>
        <w:t>“</w:t>
      </w:r>
      <w:r w:rsidRPr="00487821">
        <w:rPr>
          <w:rFonts w:ascii="Verdana" w:eastAsia="Times New Roman" w:hAnsi="Verdana" w:cs="Arial"/>
          <w:bCs/>
          <w:lang w:val="es-MX" w:eastAsia="x-none"/>
        </w:rPr>
        <w:t>queda prohibida la contratación directa</w:t>
      </w:r>
      <w:r w:rsidRPr="00487821">
        <w:rPr>
          <w:rFonts w:ascii="Verdana" w:eastAsia="Calibri" w:hAnsi="Verdana" w:cs="Arial"/>
          <w:lang w:val="es-MX"/>
        </w:rPr>
        <w:t>”</w:t>
      </w:r>
      <w:r w:rsidRPr="00487821">
        <w:rPr>
          <w:rFonts w:ascii="Verdana" w:eastAsia="Times New Roman" w:hAnsi="Verdana" w:cs="Arial"/>
          <w:bCs/>
          <w:lang w:val="es-MX" w:eastAsia="x-none"/>
        </w:rPr>
        <w:t xml:space="preserve">. </w:t>
      </w:r>
      <w:r w:rsidRPr="00487821">
        <w:rPr>
          <w:rFonts w:ascii="Verdana" w:eastAsia="Times New Roman" w:hAnsi="Verdana" w:cs="Arial"/>
          <w:lang w:val="es-MX" w:eastAsia="es-CO"/>
        </w:rPr>
        <w:t xml:space="preserve"> A propósito de </w:t>
      </w:r>
      <w:r w:rsidRPr="00487821">
        <w:rPr>
          <w:rFonts w:ascii="Verdana" w:eastAsia="Times New Roman" w:hAnsi="Verdana" w:cs="Arial"/>
          <w:lang w:eastAsia="es-CO"/>
        </w:rPr>
        <w:t>esta restricción de la Ley de Garantías Electorales, la Sala de Consulta y Servicio Civil del Consejo de Estado ha considerado que:</w:t>
      </w:r>
    </w:p>
    <w:p w14:paraId="68F7476C" w14:textId="77777777" w:rsidR="00AE3B29" w:rsidRPr="00B53AAB" w:rsidRDefault="00AE3B29" w:rsidP="00AE3B29">
      <w:pPr>
        <w:spacing w:after="0" w:line="240" w:lineRule="auto"/>
        <w:ind w:left="708" w:right="709"/>
        <w:jc w:val="both"/>
        <w:rPr>
          <w:rFonts w:ascii="Verdana" w:eastAsia="Calibri" w:hAnsi="Verdana" w:cs="Arial"/>
          <w:sz w:val="20"/>
          <w:szCs w:val="20"/>
          <w:lang w:val="es-MX"/>
        </w:rPr>
      </w:pPr>
    </w:p>
    <w:p w14:paraId="717BF5F0" w14:textId="151F06E5" w:rsidR="00AE3B29" w:rsidRDefault="00AE3B29" w:rsidP="00106EB7">
      <w:pPr>
        <w:spacing w:after="0" w:line="240" w:lineRule="auto"/>
        <w:ind w:left="709" w:right="709"/>
        <w:jc w:val="both"/>
        <w:rPr>
          <w:rFonts w:ascii="Verdana" w:eastAsia="Calibri" w:hAnsi="Verdana" w:cs="Arial"/>
          <w:sz w:val="20"/>
          <w:szCs w:val="20"/>
          <w:lang w:val="es-MX"/>
        </w:rPr>
      </w:pPr>
      <w:r w:rsidRPr="00DE2D83">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DE2D83">
        <w:rPr>
          <w:rFonts w:ascii="Verdana" w:eastAsia="Times New Roman" w:hAnsi="Verdana" w:cs="Arial"/>
          <w:sz w:val="20"/>
          <w:szCs w:val="20"/>
          <w:vertAlign w:val="superscript"/>
          <w:lang w:eastAsia="es-CO"/>
        </w:rPr>
        <w:footnoteReference w:id="11"/>
      </w:r>
      <w:r w:rsidRPr="00DE2D83">
        <w:rPr>
          <w:rFonts w:ascii="Verdana" w:eastAsia="Calibri" w:hAnsi="Verdana" w:cs="Arial"/>
          <w:sz w:val="20"/>
          <w:szCs w:val="20"/>
          <w:lang w:val="es-MX"/>
        </w:rPr>
        <w:t>.</w:t>
      </w:r>
    </w:p>
    <w:p w14:paraId="62584DDD" w14:textId="77777777" w:rsidR="00106EB7" w:rsidRPr="00DE2D83" w:rsidRDefault="00106EB7" w:rsidP="00DE2D83">
      <w:pPr>
        <w:spacing w:after="0" w:line="240" w:lineRule="auto"/>
        <w:ind w:left="709" w:right="709"/>
        <w:jc w:val="both"/>
        <w:rPr>
          <w:rFonts w:ascii="Verdana" w:eastAsia="Calibri" w:hAnsi="Verdana" w:cs="Arial"/>
          <w:sz w:val="20"/>
          <w:szCs w:val="20"/>
          <w:lang w:val="es-MX"/>
        </w:rPr>
      </w:pPr>
    </w:p>
    <w:p w14:paraId="3B96F41F" w14:textId="7993FEC9" w:rsidR="00AE3B29" w:rsidRPr="00DE2D83" w:rsidRDefault="00AE3B29" w:rsidP="00AE3B29">
      <w:pPr>
        <w:spacing w:after="0" w:line="240" w:lineRule="auto"/>
        <w:ind w:left="708" w:right="709"/>
        <w:jc w:val="both"/>
        <w:rPr>
          <w:rFonts w:ascii="Verdana" w:eastAsia="Calibri" w:hAnsi="Verdana" w:cs="Arial"/>
          <w:sz w:val="20"/>
          <w:szCs w:val="20"/>
          <w:lang w:val="es-MX"/>
        </w:rPr>
      </w:pPr>
      <w:r w:rsidRPr="00DE2D83">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DE2D83">
        <w:rPr>
          <w:rFonts w:ascii="Verdana" w:eastAsia="Times New Roman" w:hAnsi="Verdana" w:cs="Arial"/>
          <w:sz w:val="20"/>
          <w:szCs w:val="20"/>
          <w:vertAlign w:val="superscript"/>
          <w:lang w:val="es-MX"/>
        </w:rPr>
        <w:footnoteReference w:id="12"/>
      </w:r>
      <w:r w:rsidRPr="00DE2D83">
        <w:rPr>
          <w:rFonts w:ascii="Verdana" w:eastAsia="Times New Roman" w:hAnsi="Verdana" w:cs="Arial"/>
          <w:sz w:val="20"/>
          <w:szCs w:val="20"/>
          <w:vertAlign w:val="superscript"/>
          <w:lang w:val="es-MX"/>
        </w:rPr>
        <w:t>.</w:t>
      </w:r>
      <w:r w:rsidRPr="00DE2D83">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106EB7">
        <w:rPr>
          <w:rFonts w:ascii="Verdana" w:eastAsia="Calibri" w:hAnsi="Verdana" w:cs="Arial"/>
          <w:sz w:val="20"/>
          <w:szCs w:val="20"/>
          <w:lang w:val="es-MX"/>
        </w:rPr>
        <w:t>…</w:t>
      </w:r>
      <w:r w:rsidRPr="00DE2D83">
        <w:rPr>
          <w:rFonts w:ascii="Verdana" w:eastAsia="Calibri" w:hAnsi="Verdana" w:cs="Arial"/>
          <w:sz w:val="20"/>
          <w:szCs w:val="20"/>
          <w:lang w:val="es-MX"/>
        </w:rPr>
        <w:t>]</w:t>
      </w:r>
      <w:r w:rsidRPr="00DE2D83">
        <w:rPr>
          <w:rFonts w:ascii="Verdana" w:eastAsia="Times New Roman" w:hAnsi="Verdana" w:cs="Arial"/>
          <w:sz w:val="20"/>
          <w:szCs w:val="20"/>
          <w:vertAlign w:val="superscript"/>
          <w:lang w:eastAsia="es-CO"/>
        </w:rPr>
        <w:footnoteReference w:id="13"/>
      </w:r>
      <w:r w:rsidRPr="00DE2D83">
        <w:rPr>
          <w:rFonts w:ascii="Verdana" w:eastAsia="Calibri" w:hAnsi="Verdana" w:cs="Arial"/>
          <w:sz w:val="20"/>
          <w:szCs w:val="20"/>
          <w:lang w:val="es-MX"/>
        </w:rPr>
        <w:t xml:space="preserve"> .</w:t>
      </w:r>
    </w:p>
    <w:p w14:paraId="29200D86" w14:textId="77777777" w:rsidR="00AE3B29" w:rsidRPr="00B53AAB" w:rsidRDefault="00AE3B29" w:rsidP="00AE3B29">
      <w:pPr>
        <w:shd w:val="clear" w:color="auto" w:fill="FFFFFF"/>
        <w:spacing w:after="0" w:line="276" w:lineRule="auto"/>
        <w:ind w:firstLine="709"/>
        <w:jc w:val="both"/>
        <w:rPr>
          <w:rFonts w:ascii="Verdana" w:eastAsia="Times New Roman" w:hAnsi="Verdana" w:cs="Arial"/>
          <w:lang w:eastAsia="x-none"/>
        </w:rPr>
      </w:pPr>
    </w:p>
    <w:p w14:paraId="4DB3935D" w14:textId="77777777" w:rsidR="00AE3B29" w:rsidRPr="00487821" w:rsidRDefault="00AE3B29" w:rsidP="00487821">
      <w:pPr>
        <w:spacing w:after="120" w:line="276" w:lineRule="auto"/>
        <w:ind w:firstLine="709"/>
        <w:jc w:val="both"/>
        <w:rPr>
          <w:rFonts w:ascii="Verdana" w:eastAsia="Times New Roman" w:hAnsi="Verdana" w:cs="Arial"/>
          <w:bCs/>
          <w:lang w:eastAsia="x-none"/>
        </w:rPr>
      </w:pPr>
      <w:r w:rsidRPr="00487821">
        <w:rPr>
          <w:rFonts w:ascii="Verdana" w:eastAsia="Times New Roman" w:hAnsi="Verdana" w:cs="Arial"/>
          <w:lang w:eastAsia="x-none"/>
        </w:rPr>
        <w:t xml:space="preserve">De acuerdo con el citado concepto, la prohibición del artículo 33 de la Ley de Garantías Electorales se refiere a </w:t>
      </w:r>
      <w:r w:rsidRPr="00487821">
        <w:rPr>
          <w:rFonts w:ascii="Verdana" w:eastAsia="Times New Roman" w:hAnsi="Verdana" w:cs="Arial"/>
          <w:lang w:eastAsia="en-GB"/>
        </w:rPr>
        <w:t>“</w:t>
      </w:r>
      <w:r w:rsidRPr="00487821">
        <w:rPr>
          <w:rFonts w:ascii="Verdana" w:eastAsia="Times New Roman" w:hAnsi="Verdana" w:cs="Arial"/>
          <w:lang w:eastAsia="x-none"/>
        </w:rPr>
        <w:t>cualquier sistema que no implique convocatoria pública y posibilidad de pluralidad de oferentes</w:t>
      </w:r>
      <w:r w:rsidRPr="00487821">
        <w:rPr>
          <w:rFonts w:ascii="Verdana" w:eastAsia="Times New Roman" w:hAnsi="Verdana" w:cs="Arial"/>
          <w:lang w:eastAsia="en-GB"/>
        </w:rPr>
        <w:t>”</w:t>
      </w:r>
      <w:r w:rsidRPr="00487821">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487821">
        <w:rPr>
          <w:rFonts w:ascii="Verdana" w:eastAsia="Times New Roman" w:hAnsi="Verdana" w:cs="Arial"/>
          <w:lang w:val="es-ES_tradnl" w:eastAsia="x-none"/>
        </w:rPr>
        <w:t>y la mínima cuantía</w:t>
      </w:r>
      <w:r w:rsidRPr="00487821" w:rsidDel="00A85D9F">
        <w:rPr>
          <w:rFonts w:ascii="Verdana" w:eastAsia="Times New Roman" w:hAnsi="Verdana" w:cs="Arial"/>
          <w:lang w:eastAsia="x-none"/>
        </w:rPr>
        <w:t xml:space="preserve"> </w:t>
      </w:r>
      <w:r w:rsidRPr="00487821">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487821">
        <w:rPr>
          <w:rFonts w:ascii="Verdana" w:eastAsia="Times New Roman" w:hAnsi="Verdana" w:cs="Arial"/>
          <w:vertAlign w:val="superscript"/>
          <w:lang w:val="en-GB" w:eastAsia="x-none"/>
        </w:rPr>
        <w:footnoteReference w:id="14"/>
      </w:r>
      <w:r w:rsidRPr="00487821">
        <w:rPr>
          <w:rFonts w:ascii="Verdana" w:eastAsia="Times New Roman" w:hAnsi="Verdana" w:cs="Arial"/>
          <w:lang w:eastAsia="x-none"/>
        </w:rPr>
        <w:t xml:space="preserve"> y sistematizó las causales de contratación directa</w:t>
      </w:r>
      <w:r w:rsidRPr="00487821">
        <w:rPr>
          <w:rFonts w:ascii="Verdana" w:eastAsia="Times New Roman" w:hAnsi="Verdana" w:cs="Arial"/>
          <w:vertAlign w:val="superscript"/>
          <w:lang w:val="en-GB" w:eastAsia="x-none"/>
        </w:rPr>
        <w:footnoteReference w:id="15"/>
      </w:r>
      <w:r w:rsidRPr="00487821">
        <w:rPr>
          <w:rFonts w:ascii="Verdana" w:eastAsia="Times New Roman" w:hAnsi="Verdana" w:cs="Arial"/>
          <w:lang w:eastAsia="x-none"/>
        </w:rPr>
        <w:t xml:space="preserve">, </w:t>
      </w:r>
      <w:r w:rsidRPr="00B53AA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7D292DC6" w14:textId="77777777" w:rsidR="00AE3B29" w:rsidRPr="00487821" w:rsidRDefault="00AE3B29" w:rsidP="00487821">
      <w:pPr>
        <w:spacing w:after="120" w:line="276" w:lineRule="auto"/>
        <w:ind w:firstLine="709"/>
        <w:jc w:val="both"/>
        <w:rPr>
          <w:rFonts w:ascii="Verdana" w:eastAsia="Times New Roman" w:hAnsi="Verdana" w:cs="Arial"/>
          <w:lang w:val="es-MX" w:eastAsia="x-none"/>
        </w:rPr>
      </w:pPr>
      <w:r w:rsidRPr="00487821">
        <w:rPr>
          <w:rFonts w:ascii="Verdana" w:eastAsia="Times New Roman" w:hAnsi="Verdana" w:cs="Arial"/>
          <w:lang w:eastAsia="x-none"/>
        </w:rPr>
        <w:t xml:space="preserve">De esta forma, con fundamento en la evolución de la normativa sobre la contratación pública, se ha depurado la noción de </w:t>
      </w:r>
      <w:r w:rsidRPr="00487821">
        <w:rPr>
          <w:rFonts w:ascii="Verdana" w:eastAsia="Times New Roman" w:hAnsi="Verdana" w:cs="Arial"/>
          <w:lang w:eastAsia="en-GB"/>
        </w:rPr>
        <w:t>“</w:t>
      </w:r>
      <w:r w:rsidRPr="00487821">
        <w:rPr>
          <w:rFonts w:ascii="Verdana" w:eastAsia="Times New Roman" w:hAnsi="Verdana" w:cs="Arial"/>
          <w:lang w:eastAsia="x-none"/>
        </w:rPr>
        <w:t>contratación directa</w:t>
      </w:r>
      <w:r w:rsidRPr="00487821">
        <w:rPr>
          <w:rFonts w:ascii="Verdana" w:eastAsia="Times New Roman" w:hAnsi="Verdana" w:cs="Arial"/>
          <w:lang w:eastAsia="en-GB"/>
        </w:rPr>
        <w:t>”</w:t>
      </w:r>
      <w:r w:rsidRPr="00487821">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87821">
        <w:rPr>
          <w:rFonts w:ascii="Verdana" w:eastAsia="Times New Roman" w:hAnsi="Verdana" w:cs="Arial"/>
          <w:vertAlign w:val="superscript"/>
          <w:lang w:val="en-GB" w:eastAsia="x-none"/>
        </w:rPr>
        <w:footnoteReference w:id="16"/>
      </w:r>
      <w:r w:rsidRPr="00487821">
        <w:rPr>
          <w:rFonts w:ascii="Verdana" w:eastAsia="Times New Roman" w:hAnsi="Verdana" w:cs="Arial"/>
          <w:lang w:eastAsia="x-none"/>
        </w:rPr>
        <w:t>, han establecido sistemas de contratación que implican convocatoria pública y participación de varios oferentes</w:t>
      </w:r>
      <w:r w:rsidRPr="00487821">
        <w:rPr>
          <w:rFonts w:ascii="Verdana" w:eastAsia="Times New Roman" w:hAnsi="Verdana" w:cs="Arial"/>
          <w:lang w:eastAsia="en-GB"/>
        </w:rPr>
        <w:t>”</w:t>
      </w:r>
      <w:r w:rsidRPr="00487821">
        <w:rPr>
          <w:rFonts w:ascii="Verdana" w:eastAsia="Times New Roman" w:hAnsi="Verdana" w:cs="Arial"/>
          <w:lang w:eastAsia="x-none"/>
        </w:rPr>
        <w:t xml:space="preserve">. </w:t>
      </w:r>
    </w:p>
    <w:p w14:paraId="2FCE00B6" w14:textId="77777777" w:rsidR="00AE3B29" w:rsidRPr="00487821" w:rsidRDefault="00AE3B29" w:rsidP="00487821">
      <w:pPr>
        <w:spacing w:after="120" w:line="276" w:lineRule="auto"/>
        <w:ind w:firstLine="709"/>
        <w:jc w:val="both"/>
        <w:rPr>
          <w:rFonts w:ascii="Verdana" w:eastAsia="Times New Roman" w:hAnsi="Verdana" w:cs="Arial"/>
          <w:lang w:eastAsia="x-none"/>
        </w:rPr>
      </w:pPr>
      <w:r w:rsidRPr="00487821">
        <w:rPr>
          <w:rFonts w:ascii="Verdana" w:eastAsia="Times New Roman" w:hAnsi="Verdana" w:cs="Arial"/>
          <w:bCs/>
          <w:lang w:val="es-MX" w:eastAsia="x-none"/>
        </w:rPr>
        <w:t>E</w:t>
      </w:r>
      <w:r w:rsidRPr="00487821">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87821">
        <w:rPr>
          <w:rFonts w:ascii="Verdana" w:eastAsia="Times New Roman" w:hAnsi="Verdana" w:cs="Arial"/>
          <w:vertAlign w:val="superscript"/>
          <w:lang w:eastAsia="x-none"/>
        </w:rPr>
        <w:footnoteReference w:id="17"/>
      </w:r>
      <w:r w:rsidRPr="00487821">
        <w:rPr>
          <w:rFonts w:ascii="Verdana" w:eastAsia="Times New Roman" w:hAnsi="Verdana" w:cs="Arial"/>
          <w:lang w:eastAsia="x-none"/>
        </w:rPr>
        <w:t xml:space="preserve">. </w:t>
      </w:r>
    </w:p>
    <w:p w14:paraId="0CFE22A8" w14:textId="77777777" w:rsidR="00AE3B29" w:rsidRPr="00487821" w:rsidRDefault="00AE3B29" w:rsidP="00487821">
      <w:pPr>
        <w:spacing w:after="120" w:line="276" w:lineRule="auto"/>
        <w:ind w:firstLine="709"/>
        <w:jc w:val="both"/>
        <w:rPr>
          <w:rFonts w:ascii="Verdana" w:eastAsia="Times New Roman" w:hAnsi="Verdana" w:cs="Arial"/>
          <w:bCs/>
          <w:lang w:val="es-MX" w:eastAsia="es-CO"/>
        </w:rPr>
      </w:pPr>
      <w:r w:rsidRPr="00487821">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 En esta línea</w:t>
      </w:r>
      <w:r w:rsidRPr="00487821">
        <w:rPr>
          <w:rFonts w:ascii="Verdana" w:eastAsia="Times New Roman" w:hAnsi="Verdana" w:cs="Arial"/>
          <w:bCs/>
          <w:lang w:val="es-MX" w:eastAsia="x-none"/>
        </w:rPr>
        <w:t>,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7821">
        <w:rPr>
          <w:rFonts w:ascii="Verdana" w:eastAsia="Times New Roman" w:hAnsi="Verdana" w:cs="Arial"/>
          <w:vertAlign w:val="superscript"/>
          <w:lang w:eastAsia="x-none"/>
        </w:rPr>
        <w:footnoteReference w:id="18"/>
      </w:r>
      <w:r w:rsidRPr="00487821">
        <w:rPr>
          <w:rFonts w:ascii="Verdana" w:eastAsia="Times New Roman" w:hAnsi="Verdana" w:cs="Arial"/>
          <w:bCs/>
          <w:lang w:val="es-MX" w:eastAsia="x-none"/>
        </w:rPr>
        <w:t>.</w:t>
      </w:r>
      <w:r w:rsidRPr="00487821">
        <w:rPr>
          <w:rFonts w:ascii="Verdana" w:eastAsia="Times New Roman" w:hAnsi="Verdana" w:cs="Arial"/>
          <w:vertAlign w:val="superscript"/>
          <w:lang w:eastAsia="x-none"/>
        </w:rPr>
        <w:t xml:space="preserve"> </w:t>
      </w:r>
    </w:p>
    <w:p w14:paraId="0C844706" w14:textId="4E2A8149" w:rsidR="00AE3B29" w:rsidRPr="00487821" w:rsidRDefault="00AE3B29" w:rsidP="00487821">
      <w:pPr>
        <w:spacing w:after="120" w:line="276" w:lineRule="auto"/>
        <w:ind w:firstLine="709"/>
        <w:jc w:val="both"/>
        <w:rPr>
          <w:rFonts w:ascii="Verdana" w:eastAsia="Times New Roman" w:hAnsi="Verdana" w:cs="Arial"/>
          <w:lang w:eastAsia="x-none"/>
        </w:rPr>
      </w:pPr>
      <w:r w:rsidRPr="00487821">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487821">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7CE6A89B" w14:textId="77777777" w:rsidR="00D23F56" w:rsidRPr="00B53AAB" w:rsidRDefault="00D23F56" w:rsidP="00D23F56">
      <w:pPr>
        <w:spacing w:after="120" w:line="276" w:lineRule="auto"/>
        <w:jc w:val="both"/>
        <w:rPr>
          <w:rFonts w:ascii="Verdana" w:eastAsia="Times New Roman" w:hAnsi="Verdana" w:cs="Arial"/>
          <w:bCs/>
          <w:lang w:val="es-MX" w:eastAsia="x-none"/>
        </w:rPr>
      </w:pPr>
      <w:r>
        <w:rPr>
          <w:rFonts w:ascii="Verdana" w:eastAsia="Calibri" w:hAnsi="Verdana" w:cs="Arial"/>
          <w:bCs/>
          <w:lang w:val="es-ES"/>
        </w:rPr>
        <w:tab/>
      </w:r>
      <w:r w:rsidRPr="00B53AAB">
        <w:rPr>
          <w:rFonts w:ascii="Verdana" w:eastAsia="Times New Roman" w:hAnsi="Verdana" w:cs="Arial"/>
          <w:bCs/>
          <w:lang w:val="es-MX"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sidRPr="00B53AAB">
        <w:rPr>
          <w:rFonts w:ascii="Verdana" w:eastAsia="Calibri" w:hAnsi="Verdana" w:cs="Arial"/>
          <w:sz w:val="24"/>
          <w:lang w:val="es-MX"/>
        </w:rPr>
        <w:t xml:space="preserve"> </w:t>
      </w:r>
      <w:r w:rsidRPr="00B53AAB">
        <w:rPr>
          <w:rFonts w:ascii="Verdana" w:eastAsia="Times New Roman" w:hAnsi="Verdana" w:cs="Arial"/>
          <w:bCs/>
          <w:lang w:val="es-MX" w:eastAsia="x-none"/>
        </w:rPr>
        <w:t>En efecto, tal como lo ha sostenido el Consejo de Estado, el vocablo “todos” utilizado por el legislador comprende</w:t>
      </w:r>
      <w:r w:rsidRPr="00B53AAB">
        <w:rPr>
          <w:rFonts w:ascii="Verdana" w:eastAsia="Calibri" w:hAnsi="Verdana" w:cs="Arial"/>
          <w:sz w:val="24"/>
          <w:lang w:val="es-MX"/>
        </w:rPr>
        <w:t xml:space="preserve"> </w:t>
      </w:r>
      <w:r w:rsidRPr="00B53AA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B53AAB">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37DF2F2E" w14:textId="77777777" w:rsidR="00D23F56" w:rsidRPr="00B53AAB" w:rsidRDefault="00D23F56" w:rsidP="00D23F56">
      <w:pPr>
        <w:spacing w:after="0" w:line="276" w:lineRule="auto"/>
        <w:jc w:val="both"/>
        <w:rPr>
          <w:rFonts w:ascii="Verdana" w:eastAsia="Times New Roman" w:hAnsi="Verdana" w:cs="Arial"/>
          <w:bCs/>
          <w:lang w:val="es-MX" w:eastAsia="x-none"/>
        </w:rPr>
      </w:pPr>
    </w:p>
    <w:p w14:paraId="0821CEB5" w14:textId="77777777" w:rsidR="00D23F56" w:rsidRPr="005C4499" w:rsidRDefault="00D23F56" w:rsidP="00D23F56">
      <w:pPr>
        <w:spacing w:after="0" w:line="240" w:lineRule="auto"/>
        <w:ind w:left="708" w:right="709"/>
        <w:jc w:val="both"/>
        <w:rPr>
          <w:rFonts w:ascii="Verdana" w:eastAsia="Times New Roman" w:hAnsi="Verdana" w:cs="Arial"/>
          <w:bCs/>
          <w:sz w:val="20"/>
          <w:szCs w:val="20"/>
          <w:lang w:val="es-MX" w:eastAsia="es-CO"/>
        </w:rPr>
      </w:pPr>
      <w:r w:rsidRPr="005C4499">
        <w:rPr>
          <w:rFonts w:ascii="Verdana" w:eastAsia="Times New Roman" w:hAnsi="Verdana" w:cs="Arial"/>
          <w:bCs/>
          <w:sz w:val="20"/>
          <w:szCs w:val="20"/>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5C4499">
        <w:rPr>
          <w:rFonts w:ascii="Verdana" w:eastAsia="Times New Roman" w:hAnsi="Verdana" w:cs="Arial"/>
          <w:bCs/>
          <w:sz w:val="20"/>
          <w:szCs w:val="20"/>
          <w:vertAlign w:val="superscript"/>
          <w:lang w:val="es-MX" w:eastAsia="x-none"/>
        </w:rPr>
        <w:footnoteReference w:id="19"/>
      </w:r>
      <w:r w:rsidRPr="005C4499">
        <w:rPr>
          <w:rFonts w:ascii="Verdana" w:eastAsia="Times New Roman" w:hAnsi="Verdana" w:cs="Arial"/>
          <w:bCs/>
          <w:sz w:val="20"/>
          <w:szCs w:val="20"/>
          <w:lang w:val="es-MX" w:eastAsia="x-none"/>
        </w:rPr>
        <w:t>.</w:t>
      </w:r>
      <w:r w:rsidRPr="005C4499">
        <w:rPr>
          <w:rFonts w:ascii="Verdana" w:eastAsia="Times New Roman" w:hAnsi="Verdana" w:cs="Arial"/>
          <w:bCs/>
          <w:sz w:val="20"/>
          <w:szCs w:val="20"/>
          <w:lang w:val="es-MX" w:eastAsia="es-CO"/>
        </w:rPr>
        <w:t xml:space="preserve"> </w:t>
      </w:r>
    </w:p>
    <w:p w14:paraId="1403A4D0" w14:textId="77777777" w:rsidR="00D23F56" w:rsidRPr="00B53AAB" w:rsidRDefault="00D23F56" w:rsidP="00D23F56">
      <w:pPr>
        <w:spacing w:after="0" w:line="276" w:lineRule="auto"/>
        <w:ind w:firstLine="708"/>
        <w:jc w:val="both"/>
        <w:rPr>
          <w:rFonts w:ascii="Verdana" w:eastAsia="Times New Roman" w:hAnsi="Verdana" w:cs="Arial"/>
          <w:bCs/>
          <w:lang w:val="es-MX" w:eastAsia="es-CO"/>
        </w:rPr>
      </w:pPr>
    </w:p>
    <w:p w14:paraId="6AD675BC" w14:textId="77777777" w:rsidR="00D23F56" w:rsidRPr="00B53AAB" w:rsidRDefault="00D23F56" w:rsidP="00D23F56">
      <w:pPr>
        <w:spacing w:after="120" w:line="276" w:lineRule="auto"/>
        <w:ind w:firstLine="709"/>
        <w:jc w:val="both"/>
        <w:rPr>
          <w:rFonts w:ascii="Verdana" w:eastAsia="Calibri" w:hAnsi="Verdana" w:cs="Arial"/>
          <w:lang w:val="es-MX"/>
        </w:rPr>
      </w:pPr>
      <w:r w:rsidRPr="00B53AAB">
        <w:rPr>
          <w:rFonts w:ascii="Verdana" w:eastAsia="Times New Roman" w:hAnsi="Verdana" w:cs="Arial"/>
          <w:bCs/>
          <w:lang w:val="es-MX"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B53AAB">
        <w:rPr>
          <w:rFonts w:ascii="Verdana" w:eastAsia="Calibri" w:hAnsi="Verdana" w:cs="Arial"/>
          <w:sz w:val="24"/>
          <w:vertAlign w:val="superscript"/>
          <w:lang w:val="es-MX"/>
        </w:rPr>
        <w:footnoteReference w:id="20"/>
      </w:r>
      <w:r w:rsidRPr="00B53AAB">
        <w:rPr>
          <w:rFonts w:ascii="Verdana" w:eastAsia="Times New Roman" w:hAnsi="Verdana" w:cs="Arial"/>
          <w:bCs/>
          <w:lang w:val="es-MX" w:eastAsia="x-none"/>
        </w:rPr>
        <w:t>.</w:t>
      </w:r>
      <w:r w:rsidRPr="00B53AAB">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406F93A6" w14:textId="77777777" w:rsidR="00D23F56" w:rsidRPr="00B53AAB" w:rsidRDefault="00D23F56" w:rsidP="00D23F56">
      <w:pPr>
        <w:spacing w:after="0" w:line="276" w:lineRule="auto"/>
        <w:jc w:val="both"/>
        <w:rPr>
          <w:rFonts w:ascii="Verdana" w:eastAsia="Calibri" w:hAnsi="Verdana" w:cs="Arial"/>
          <w:lang w:val="es-MX"/>
        </w:rPr>
      </w:pPr>
    </w:p>
    <w:p w14:paraId="138025F1" w14:textId="77777777" w:rsidR="00D23F56" w:rsidRPr="005C4499" w:rsidRDefault="00D23F56" w:rsidP="00D23F56">
      <w:pPr>
        <w:spacing w:after="0" w:line="240" w:lineRule="auto"/>
        <w:ind w:left="708" w:right="709"/>
        <w:jc w:val="both"/>
        <w:rPr>
          <w:rFonts w:ascii="Verdana" w:eastAsia="Calibri" w:hAnsi="Verdana" w:cs="Arial"/>
          <w:sz w:val="20"/>
          <w:szCs w:val="20"/>
          <w:lang w:val="es-MX"/>
        </w:rPr>
      </w:pPr>
      <w:r w:rsidRPr="005C4499">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363C51D6" w14:textId="77777777" w:rsidR="00D23F56" w:rsidRPr="005C4499" w:rsidRDefault="00D23F56" w:rsidP="00D23F56">
      <w:pPr>
        <w:spacing w:after="0" w:line="240" w:lineRule="auto"/>
        <w:ind w:left="708" w:right="709"/>
        <w:jc w:val="both"/>
        <w:rPr>
          <w:rFonts w:ascii="Verdana" w:eastAsia="Calibri" w:hAnsi="Verdana" w:cs="Arial"/>
          <w:sz w:val="20"/>
          <w:szCs w:val="20"/>
          <w:lang w:val="es-MX"/>
        </w:rPr>
      </w:pPr>
    </w:p>
    <w:p w14:paraId="431C5CED" w14:textId="77777777" w:rsidR="00D23F56" w:rsidRPr="005C4499" w:rsidRDefault="00D23F56" w:rsidP="00D23F56">
      <w:pPr>
        <w:spacing w:after="0" w:line="240" w:lineRule="auto"/>
        <w:ind w:left="708" w:right="709"/>
        <w:jc w:val="both"/>
        <w:rPr>
          <w:rFonts w:ascii="Verdana" w:eastAsia="Calibri" w:hAnsi="Verdana" w:cs="Arial"/>
          <w:sz w:val="20"/>
          <w:szCs w:val="20"/>
          <w:lang w:val="es-MX"/>
        </w:rPr>
      </w:pPr>
      <w:r w:rsidRPr="005C4499">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5C4499">
        <w:rPr>
          <w:rFonts w:ascii="Verdana" w:eastAsia="Calibri" w:hAnsi="Verdana" w:cs="Arial"/>
          <w:sz w:val="20"/>
          <w:szCs w:val="20"/>
          <w:vertAlign w:val="superscript"/>
          <w:lang w:val="es-MX"/>
        </w:rPr>
        <w:footnoteReference w:id="21"/>
      </w:r>
      <w:r w:rsidRPr="005C4499">
        <w:rPr>
          <w:rFonts w:ascii="Verdana" w:eastAsia="Times New Roman" w:hAnsi="Verdana" w:cs="Arial"/>
          <w:bCs/>
          <w:sz w:val="20"/>
          <w:szCs w:val="20"/>
          <w:lang w:val="es-MX" w:eastAsia="x-none"/>
        </w:rPr>
        <w:t>.</w:t>
      </w:r>
    </w:p>
    <w:p w14:paraId="3225D64D" w14:textId="77777777" w:rsidR="00D23F56" w:rsidRPr="00487821" w:rsidRDefault="00D23F56" w:rsidP="00D23F56">
      <w:pPr>
        <w:spacing w:after="0" w:line="276" w:lineRule="auto"/>
        <w:jc w:val="both"/>
        <w:rPr>
          <w:rFonts w:ascii="Verdana" w:eastAsia="Calibri" w:hAnsi="Verdana" w:cs="Arial"/>
          <w:sz w:val="21"/>
          <w:szCs w:val="21"/>
          <w:lang w:val="es-MX"/>
        </w:rPr>
      </w:pPr>
    </w:p>
    <w:p w14:paraId="709B1885" w14:textId="77777777" w:rsidR="00D23F56" w:rsidRPr="00B53AAB" w:rsidRDefault="00D23F56" w:rsidP="00D23F56">
      <w:pPr>
        <w:spacing w:after="120" w:line="276" w:lineRule="auto"/>
        <w:ind w:firstLine="709"/>
        <w:jc w:val="both"/>
        <w:rPr>
          <w:rFonts w:ascii="Verdana" w:eastAsia="Times New Roman" w:hAnsi="Verdana" w:cs="Arial"/>
          <w:lang w:eastAsia="es-CO"/>
        </w:rPr>
      </w:pPr>
      <w:r w:rsidRPr="00B53AA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B53AAB">
        <w:rPr>
          <w:rFonts w:ascii="Verdana" w:eastAsia="Times New Roman" w:hAnsi="Verdana" w:cs="Arial"/>
          <w:bCs/>
          <w:lang w:val="es-MX" w:eastAsia="x-none"/>
        </w:rPr>
        <w:t>establecimientos de crédito, las sociedades de servicios financieros y las entidades aseguradoras</w:t>
      </w:r>
      <w:r w:rsidRPr="00B53AAB">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B53AAB">
        <w:rPr>
          <w:rFonts w:ascii="Verdana" w:eastAsia="Calibri" w:hAnsi="Verdana" w:cs="Arial"/>
          <w:vertAlign w:val="superscript"/>
          <w:lang w:val="es-MX"/>
        </w:rPr>
        <w:footnoteReference w:id="22"/>
      </w:r>
      <w:r w:rsidRPr="00B53AAB">
        <w:rPr>
          <w:rFonts w:ascii="Verdana" w:eastAsia="Calibri" w:hAnsi="Verdana" w:cs="Arial"/>
          <w:lang w:val="es-MX"/>
        </w:rPr>
        <w:t>.</w:t>
      </w:r>
      <w:r w:rsidRPr="00B53AAB">
        <w:rPr>
          <w:rFonts w:ascii="Verdana" w:eastAsia="Times New Roman" w:hAnsi="Verdana" w:cs="Arial"/>
          <w:lang w:eastAsia="es-CO"/>
        </w:rPr>
        <w:t xml:space="preserve"> </w:t>
      </w:r>
    </w:p>
    <w:p w14:paraId="09088A46" w14:textId="77777777" w:rsidR="00D23F56" w:rsidRPr="00B53AAB" w:rsidRDefault="00D23F56" w:rsidP="00D23F56">
      <w:pPr>
        <w:spacing w:after="120" w:line="276" w:lineRule="auto"/>
        <w:ind w:firstLine="709"/>
        <w:jc w:val="both"/>
        <w:rPr>
          <w:rFonts w:ascii="Verdana" w:eastAsia="Times New Roman" w:hAnsi="Verdana" w:cs="Arial"/>
          <w:bCs/>
          <w:lang w:val="es-MX" w:eastAsia="x-none"/>
        </w:rPr>
      </w:pPr>
      <w:r w:rsidRPr="00B53AAB">
        <w:rPr>
          <w:rFonts w:ascii="Verdana" w:eastAsia="Times New Roman" w:hAnsi="Verdana" w:cs="Arial"/>
          <w:lang w:eastAsia="es-CO"/>
        </w:rPr>
        <w:t>Sin perjuicio de estos pronunciamientos de la Sala de Consulta y Servicio Civil</w:t>
      </w:r>
      <w:r w:rsidRPr="00B53AAB">
        <w:rPr>
          <w:rFonts w:ascii="Verdana" w:eastAsia="Calibri" w:hAnsi="Verdana" w:cs="Arial"/>
          <w:lang w:val="es-MX"/>
        </w:rPr>
        <w:t xml:space="preserve">, como la ha señalado esa misma Corporación, la restricción prevista en la Ley 996 de 2005 </w:t>
      </w:r>
      <w:r w:rsidRPr="00B53AAB">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27AD5EE5" w14:textId="77777777" w:rsidR="00D23F56" w:rsidRPr="00B53AAB" w:rsidRDefault="00D23F56" w:rsidP="00D23F56">
      <w:pPr>
        <w:spacing w:after="120" w:line="276" w:lineRule="auto"/>
        <w:ind w:firstLine="709"/>
        <w:jc w:val="both"/>
        <w:rPr>
          <w:rFonts w:ascii="Verdana" w:eastAsia="Times New Roman" w:hAnsi="Verdana" w:cs="Arial"/>
          <w:bCs/>
          <w:lang w:val="es-MX" w:eastAsia="x-none" w:bidi="es-ES"/>
        </w:rPr>
      </w:pPr>
      <w:r w:rsidRPr="00B53AAB">
        <w:rPr>
          <w:rFonts w:ascii="Verdana" w:eastAsia="Times New Roman" w:hAnsi="Verdana" w:cs="Arial"/>
          <w:bCs/>
          <w:lang w:val="es-MX" w:eastAsia="x-none"/>
        </w:rPr>
        <w:t xml:space="preserve">En este sentido, todos los entes del Estado, independiente del régimen jurídico aplicable, están sujetos a la restricción del artículo 33 de la Ley 996 de 2005, es decir, no podrán adelantar sistema que implique contratación directa respecto de </w:t>
      </w:r>
      <w:r w:rsidRPr="00B53AAB">
        <w:rPr>
          <w:rFonts w:ascii="Verdana" w:eastAsia="Times New Roman" w:hAnsi="Verdana" w:cs="Arial"/>
          <w:bCs/>
          <w:lang w:val="es-MX" w:eastAsia="x-none" w:bidi="es-ES"/>
        </w:rPr>
        <w:t xml:space="preserve">las elecciones presidenciales, dentro de los cuatro (4) meses anteriores a la celebración de los comicios, salvo las excepciones dispuestas en esta. </w:t>
      </w:r>
      <w:r w:rsidRPr="00B53AAB">
        <w:rPr>
          <w:rFonts w:ascii="Verdana" w:eastAsia="Times New Roman" w:hAnsi="Verdana" w:cs="Arial"/>
          <w:bCs/>
          <w:lang w:val="es-MX" w:eastAsia="x-none"/>
        </w:rPr>
        <w:t>En efecto, los entes del Estado independiente de su régimen especial no podrán celebrar contratos de forma directa desde el 31 de enero de 2026, teniendo en cuenta que la Resolución 02580 del 5 de marzo de 2025 de la Registraduría Nacional del Estado Civil dispuso que las elecciones presidenciales se celebrarán el 31 de mayo de 2026.</w:t>
      </w:r>
    </w:p>
    <w:p w14:paraId="4FAEB871" w14:textId="21441BC4" w:rsidR="00D23F56" w:rsidRPr="00DE2D83" w:rsidRDefault="00D23F56" w:rsidP="00D23F56">
      <w:pPr>
        <w:spacing w:after="120" w:line="276" w:lineRule="auto"/>
        <w:ind w:firstLine="709"/>
        <w:jc w:val="both"/>
        <w:rPr>
          <w:rFonts w:ascii="Verdana" w:eastAsia="Times New Roman" w:hAnsi="Verdana" w:cs="Arial"/>
          <w:bCs/>
          <w:lang w:val="es-MX" w:eastAsia="x-none"/>
        </w:rPr>
      </w:pPr>
      <w:r w:rsidRPr="00B53AAB">
        <w:rPr>
          <w:rFonts w:ascii="Verdana" w:eastAsia="Times New Roman" w:hAnsi="Verdana" w:cs="Arial"/>
          <w:bCs/>
          <w:lang w:val="es-MX" w:eastAsia="x-none" w:bidi="es-ES"/>
        </w:rPr>
        <w:t>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que, de acuerdo con lo expuesto, se celebraría el 21 de junio de 2026.</w:t>
      </w:r>
    </w:p>
    <w:p w14:paraId="2CE9BA73" w14:textId="77777777" w:rsidR="00106EB7" w:rsidRDefault="00AE3B29" w:rsidP="00487821">
      <w:pPr>
        <w:spacing w:after="120" w:line="276" w:lineRule="auto"/>
        <w:ind w:firstLine="709"/>
        <w:jc w:val="both"/>
        <w:rPr>
          <w:rFonts w:ascii="Verdana" w:eastAsia="Times New Roman" w:hAnsi="Verdana" w:cs="Arial"/>
          <w:bCs/>
          <w:lang w:val="es-MX" w:eastAsia="es-CO"/>
        </w:rPr>
      </w:pPr>
      <w:r w:rsidRPr="00487821">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w:t>
      </w:r>
      <w:proofErr w:type="spellStart"/>
      <w:r w:rsidRPr="00487821">
        <w:rPr>
          <w:rFonts w:ascii="Verdana" w:eastAsia="Times New Roman" w:hAnsi="Verdana" w:cs="Arial"/>
          <w:bCs/>
          <w:lang w:val="es-MX" w:eastAsia="x-none"/>
        </w:rPr>
        <w:t>iv</w:t>
      </w:r>
      <w:proofErr w:type="spellEnd"/>
      <w:r w:rsidRPr="00487821">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87821">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 </w:t>
      </w:r>
    </w:p>
    <w:p w14:paraId="49A5694D" w14:textId="70B00CD8" w:rsidR="00AE3B29" w:rsidRPr="00487821" w:rsidRDefault="00AE3B29" w:rsidP="00487821">
      <w:pPr>
        <w:spacing w:after="120" w:line="276" w:lineRule="auto"/>
        <w:ind w:firstLine="709"/>
        <w:jc w:val="both"/>
        <w:rPr>
          <w:rFonts w:ascii="Verdana" w:eastAsia="Times New Roman" w:hAnsi="Verdana" w:cs="Arial"/>
          <w:bCs/>
          <w:lang w:val="es-MX" w:eastAsia="es-CO"/>
        </w:rPr>
      </w:pPr>
      <w:r w:rsidRPr="00487821">
        <w:rPr>
          <w:rFonts w:ascii="Verdana" w:eastAsia="Times New Roman" w:hAnsi="Verdana" w:cs="Arial"/>
          <w:bCs/>
          <w:lang w:val="es-MX" w:eastAsia="es-CO"/>
        </w:rPr>
        <w:t>Al respecto, l</w:t>
      </w:r>
      <w:r w:rsidRPr="00487821">
        <w:rPr>
          <w:rFonts w:ascii="Verdana" w:hAnsi="Verdana" w:cs="Arial"/>
          <w:bCs/>
          <w:lang w:val="es-ES"/>
        </w:rPr>
        <w:t xml:space="preserve">a Sala de Consulta y Servicio Civil del Consejo de Estado, en concepto del 4 de febrero de 2010, se pronunció frente a las razones por las que el legislador consagró excepciones al artículo 33 de la Ley de Garantías Electorales en los siguientes términos: </w:t>
      </w:r>
      <w:r w:rsidRPr="00487821">
        <w:rPr>
          <w:rFonts w:ascii="Verdana" w:hAnsi="Verdana" w:cs="Arial"/>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487821">
        <w:rPr>
          <w:rFonts w:ascii="Verdana" w:hAnsi="Verdana" w:cs="Arial"/>
          <w:vertAlign w:val="superscript"/>
          <w:lang w:val="es-ES" w:eastAsia="es-CO"/>
        </w:rPr>
        <w:footnoteReference w:id="23"/>
      </w:r>
      <w:r w:rsidRPr="00487821">
        <w:rPr>
          <w:rFonts w:ascii="Verdana" w:hAnsi="Verdana" w:cs="Arial"/>
          <w:lang w:val="es-ES" w:eastAsia="es-CO"/>
        </w:rPr>
        <w:t xml:space="preserve">”. </w:t>
      </w:r>
    </w:p>
    <w:p w14:paraId="69C58AAF" w14:textId="77777777" w:rsidR="00AE3B29" w:rsidRPr="00487821" w:rsidRDefault="00AE3B29" w:rsidP="00487821">
      <w:pPr>
        <w:tabs>
          <w:tab w:val="left" w:pos="426"/>
          <w:tab w:val="left" w:pos="1843"/>
        </w:tabs>
        <w:spacing w:after="120" w:line="276" w:lineRule="auto"/>
        <w:ind w:firstLine="709"/>
        <w:jc w:val="both"/>
        <w:rPr>
          <w:rFonts w:ascii="Verdana" w:hAnsi="Verdana" w:cs="Arial"/>
          <w:shd w:val="clear" w:color="auto" w:fill="FFFFFF"/>
          <w:lang w:val="es-ES"/>
        </w:rPr>
      </w:pPr>
      <w:r w:rsidRPr="00487821">
        <w:rPr>
          <w:rFonts w:ascii="Verdana" w:hAnsi="Verdana" w:cs="Arial"/>
          <w:bCs/>
          <w:lang w:val="es-ES"/>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487821">
        <w:rPr>
          <w:rFonts w:ascii="Verdana" w:hAnsi="Verdana" w:cs="Arial"/>
          <w:lang w:val="es-ES"/>
        </w:rPr>
        <w:t xml:space="preserve">, mencionó las excepciones a la prohibición del artículo 33 de la Ley de Garantías Electorales, resaltando su carácter taxativo, y señalando la independencia de los supuestos, así: “[…] </w:t>
      </w:r>
      <w:r w:rsidRPr="00487821">
        <w:rPr>
          <w:rFonts w:ascii="Verdana" w:hAnsi="Verdana" w:cs="Arial"/>
          <w:i/>
          <w:lang w:val="es-ES"/>
        </w:rPr>
        <w:t xml:space="preserve">Las excepciones aplicables a la restricción de contratación pública. </w:t>
      </w:r>
      <w:r w:rsidRPr="00487821">
        <w:rPr>
          <w:rFonts w:ascii="Verdana" w:hAnsi="Verdana" w:cs="Arial"/>
          <w:shd w:val="clear" w:color="auto" w:fill="FFFFFF"/>
          <w:lang w:val="es-ES"/>
        </w:rPr>
        <w:t>Ahora bien, las únicas excepciones a las disposiciones previstas en la Ley de Garantías se encuentran numeradas taxativamente en el último inciso del artículo 33 de la ley 996 de 2005 […]”</w:t>
      </w:r>
      <w:r w:rsidRPr="00487821">
        <w:rPr>
          <w:rFonts w:ascii="Verdana" w:hAnsi="Verdana" w:cs="Arial"/>
          <w:shd w:val="clear" w:color="auto" w:fill="FFFFFF"/>
          <w:vertAlign w:val="superscript"/>
          <w:lang w:val="es-ES"/>
        </w:rPr>
        <w:footnoteReference w:id="24"/>
      </w:r>
      <w:r w:rsidRPr="00487821">
        <w:rPr>
          <w:rFonts w:ascii="Verdana" w:hAnsi="Verdana" w:cs="Arial"/>
          <w:shd w:val="clear" w:color="auto" w:fill="FFFFFF"/>
          <w:lang w:val="es-ES"/>
        </w:rPr>
        <w:t>.</w:t>
      </w:r>
    </w:p>
    <w:p w14:paraId="5A664200" w14:textId="77777777" w:rsidR="00AE3B29" w:rsidRPr="00487821" w:rsidRDefault="00AE3B29" w:rsidP="00DE2D83">
      <w:pPr>
        <w:tabs>
          <w:tab w:val="left" w:pos="426"/>
          <w:tab w:val="left" w:pos="1843"/>
        </w:tabs>
        <w:spacing w:after="0" w:line="276" w:lineRule="auto"/>
        <w:ind w:firstLine="709"/>
        <w:jc w:val="both"/>
        <w:rPr>
          <w:rFonts w:ascii="Verdana" w:hAnsi="Verdana" w:cs="Arial"/>
          <w:bCs/>
          <w:lang w:val="es-ES"/>
        </w:rPr>
      </w:pPr>
      <w:r w:rsidRPr="00487821">
        <w:rPr>
          <w:rFonts w:ascii="Verdana" w:hAnsi="Verdana" w:cs="Arial"/>
          <w:bCs/>
          <w:lang w:val="es-ES"/>
        </w:rPr>
        <w:t xml:space="preserve">Lo anterior implica que las excepciones al artículo 33 en comento deben interpretarse y aplicarse de manera </w:t>
      </w:r>
      <w:r w:rsidRPr="00487821">
        <w:rPr>
          <w:rFonts w:ascii="Verdana" w:hAnsi="Verdana" w:cs="Arial"/>
          <w:bCs/>
          <w:i/>
          <w:iCs/>
          <w:lang w:val="es-ES"/>
        </w:rPr>
        <w:t>estricta</w:t>
      </w:r>
      <w:r w:rsidRPr="00487821">
        <w:rPr>
          <w:rFonts w:ascii="Verdana" w:hAnsi="Verdana" w:cs="Arial"/>
          <w:bCs/>
          <w:lang w:val="es-ES"/>
        </w:rPr>
        <w:t>. En otros términos, no es factible hacer interpretaciones extensivas</w:t>
      </w:r>
      <w:r w:rsidRPr="00487821">
        <w:rPr>
          <w:rFonts w:ascii="Verdana" w:hAnsi="Verdana" w:cs="Arial"/>
          <w:bCs/>
          <w:i/>
          <w:iCs/>
          <w:lang w:val="es-ES"/>
        </w:rPr>
        <w:t xml:space="preserve"> </w:t>
      </w:r>
      <w:r w:rsidRPr="00487821">
        <w:rPr>
          <w:rFonts w:ascii="Verdana" w:hAnsi="Verdana" w:cs="Arial"/>
          <w:bCs/>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1E2AC36B" w14:textId="77777777" w:rsidR="00AE3B29" w:rsidRPr="00B53AAB" w:rsidRDefault="00AE3B29" w:rsidP="00DE2D83">
      <w:pPr>
        <w:spacing w:after="0" w:line="276" w:lineRule="auto"/>
        <w:jc w:val="both"/>
        <w:rPr>
          <w:rFonts w:ascii="Verdana" w:eastAsia="Arial" w:hAnsi="Verdana" w:cs="Arial"/>
          <w:lang w:val="es-ES" w:eastAsia="es-ES" w:bidi="es-ES"/>
        </w:rPr>
      </w:pPr>
    </w:p>
    <w:p w14:paraId="69979080" w14:textId="77777777" w:rsidR="00AE3B29" w:rsidRPr="00B53AAB" w:rsidRDefault="00AE3B29" w:rsidP="00AE3B29">
      <w:pPr>
        <w:spacing w:after="120" w:line="276" w:lineRule="auto"/>
        <w:jc w:val="both"/>
        <w:rPr>
          <w:rFonts w:ascii="Verdana" w:eastAsia="Arial" w:hAnsi="Verdana" w:cs="Arial"/>
          <w:bCs/>
          <w:color w:val="000000" w:themeColor="text1"/>
        </w:rPr>
      </w:pPr>
      <w:proofErr w:type="spellStart"/>
      <w:r w:rsidRPr="00B53AAB">
        <w:rPr>
          <w:rFonts w:ascii="Verdana" w:eastAsia="Arial" w:hAnsi="Verdana" w:cs="Arial"/>
          <w:lang w:val="es-ES" w:eastAsia="es-ES" w:bidi="es-ES"/>
        </w:rPr>
        <w:t>iv</w:t>
      </w:r>
      <w:proofErr w:type="spellEnd"/>
      <w:r w:rsidRPr="00B53AAB">
        <w:rPr>
          <w:rFonts w:ascii="Verdana" w:eastAsia="Arial" w:hAnsi="Verdana" w:cs="Arial"/>
          <w:lang w:val="es-ES" w:eastAsia="es-ES" w:bidi="es-ES"/>
        </w:rPr>
        <w:t xml:space="preserve">. </w:t>
      </w:r>
      <w:r w:rsidRPr="00B53AAB">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68F6AEB" w14:textId="77777777" w:rsidR="00AE3B29" w:rsidRPr="00B53AAB" w:rsidRDefault="00AE3B29" w:rsidP="00AE3B29">
      <w:pPr>
        <w:spacing w:after="0" w:line="276" w:lineRule="auto"/>
        <w:ind w:firstLine="708"/>
        <w:jc w:val="both"/>
        <w:rPr>
          <w:rFonts w:ascii="Verdana" w:hAnsi="Verdana" w:cs="Arial"/>
          <w:color w:val="000000" w:themeColor="text1"/>
        </w:rPr>
      </w:pPr>
      <w:r w:rsidRPr="00B53AAB">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705B334" w14:textId="77777777" w:rsidR="00AE3B29" w:rsidRPr="00B53AAB" w:rsidRDefault="00AE3B29" w:rsidP="00AE3B29">
      <w:pPr>
        <w:spacing w:after="0" w:line="276" w:lineRule="auto"/>
        <w:jc w:val="both"/>
        <w:rPr>
          <w:rFonts w:ascii="Verdana" w:eastAsia="Calibri" w:hAnsi="Verdana" w:cs="Arial"/>
          <w:bCs/>
          <w:color w:val="000000" w:themeColor="text1"/>
        </w:rPr>
      </w:pPr>
      <w:r w:rsidRPr="00B53AAB">
        <w:rPr>
          <w:rFonts w:ascii="Verdana" w:eastAsia="Calibri" w:hAnsi="Verdana" w:cs="Arial"/>
          <w:bCs/>
          <w:color w:val="000000" w:themeColor="text1"/>
        </w:rPr>
        <w:t xml:space="preserve"> </w:t>
      </w:r>
    </w:p>
    <w:p w14:paraId="30B8B938" w14:textId="77777777" w:rsidR="00AE3B29" w:rsidRPr="00B53AAB" w:rsidRDefault="00AE3B29" w:rsidP="00AE3B29">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B53AAB">
        <w:rPr>
          <w:rFonts w:ascii="Verdana" w:eastAsia="Century Gothic" w:hAnsi="Verdana" w:cs="Century Gothic"/>
          <w:b/>
          <w:bCs/>
          <w:lang w:val="es-ES"/>
        </w:rPr>
        <w:t>Referencias normativas:</w:t>
      </w:r>
    </w:p>
    <w:p w14:paraId="39A65F67" w14:textId="77777777" w:rsidR="00AE3B29" w:rsidRPr="00B53AAB" w:rsidRDefault="00AE3B29" w:rsidP="00AE3B29">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E3B29" w:rsidRPr="00B53AAB" w14:paraId="7B629D1D" w14:textId="77777777" w:rsidTr="006F0100">
        <w:trPr>
          <w:trHeight w:val="311"/>
          <w:jc w:val="center"/>
        </w:trPr>
        <w:tc>
          <w:tcPr>
            <w:tcW w:w="8647" w:type="dxa"/>
          </w:tcPr>
          <w:p w14:paraId="3EA6C5E3" w14:textId="77777777" w:rsidR="00AE3B29" w:rsidRPr="00B53AAB" w:rsidRDefault="00AE3B29" w:rsidP="00AE3B29">
            <w:pPr>
              <w:widowControl w:val="0"/>
              <w:numPr>
                <w:ilvl w:val="0"/>
                <w:numId w:val="17"/>
              </w:numPr>
              <w:autoSpaceDE w:val="0"/>
              <w:autoSpaceDN w:val="0"/>
              <w:spacing w:before="120" w:after="120" w:line="276" w:lineRule="auto"/>
              <w:ind w:left="714" w:hanging="357"/>
              <w:jc w:val="both"/>
              <w:rPr>
                <w:rFonts w:ascii="Verdana" w:hAnsi="Verdana" w:cs="Arial"/>
                <w:lang w:val="es-ES"/>
              </w:rPr>
            </w:pPr>
            <w:r w:rsidRPr="00B53AAB">
              <w:rPr>
                <w:rFonts w:ascii="Verdana" w:hAnsi="Verdana" w:cs="Arial"/>
                <w:lang w:val="es-ES"/>
              </w:rPr>
              <w:t>Constitución Política de 1991, artículos 69, 127, 190, 197 y 286.</w:t>
            </w:r>
          </w:p>
          <w:p w14:paraId="1F027CA5" w14:textId="77777777" w:rsidR="00AE3B29" w:rsidRPr="00B53AAB" w:rsidRDefault="00AE3B29" w:rsidP="00AE3B29">
            <w:pPr>
              <w:widowControl w:val="0"/>
              <w:numPr>
                <w:ilvl w:val="0"/>
                <w:numId w:val="17"/>
              </w:numPr>
              <w:autoSpaceDE w:val="0"/>
              <w:autoSpaceDN w:val="0"/>
              <w:spacing w:before="120" w:after="120" w:line="276" w:lineRule="auto"/>
              <w:ind w:left="714" w:hanging="357"/>
              <w:jc w:val="both"/>
              <w:rPr>
                <w:rFonts w:ascii="Verdana" w:hAnsi="Verdana" w:cs="Arial"/>
                <w:lang w:val="es-ES"/>
              </w:rPr>
            </w:pPr>
            <w:r w:rsidRPr="00B53AAB">
              <w:rPr>
                <w:rFonts w:ascii="Verdana" w:hAnsi="Verdana" w:cs="Arial"/>
                <w:lang w:val="es-ES"/>
              </w:rPr>
              <w:t>Ley 80 de 1993, artículos 2, 39 y 41.</w:t>
            </w:r>
          </w:p>
          <w:p w14:paraId="3D747DFD" w14:textId="77777777" w:rsidR="00AE3B29" w:rsidRPr="00B53AAB" w:rsidRDefault="00AE3B29" w:rsidP="00AE3B29">
            <w:pPr>
              <w:widowControl w:val="0"/>
              <w:numPr>
                <w:ilvl w:val="0"/>
                <w:numId w:val="17"/>
              </w:numPr>
              <w:autoSpaceDE w:val="0"/>
              <w:autoSpaceDN w:val="0"/>
              <w:spacing w:before="120" w:after="120" w:line="276" w:lineRule="auto"/>
              <w:ind w:left="714" w:hanging="357"/>
              <w:jc w:val="both"/>
              <w:rPr>
                <w:rFonts w:ascii="Verdana" w:hAnsi="Verdana" w:cs="Arial"/>
                <w:lang w:val="es-ES"/>
              </w:rPr>
            </w:pPr>
            <w:r w:rsidRPr="00B53AAB">
              <w:rPr>
                <w:rFonts w:ascii="Verdana" w:hAnsi="Verdana" w:cs="Arial"/>
                <w:lang w:val="es-ES"/>
              </w:rPr>
              <w:t>Ley 996 de 2005, artículos 33 y 38.</w:t>
            </w:r>
          </w:p>
          <w:p w14:paraId="391227A8" w14:textId="77777777" w:rsidR="00AE3B29" w:rsidRPr="00B53AAB" w:rsidRDefault="00AE3B29" w:rsidP="00AE3B29">
            <w:pPr>
              <w:widowControl w:val="0"/>
              <w:numPr>
                <w:ilvl w:val="0"/>
                <w:numId w:val="17"/>
              </w:numPr>
              <w:autoSpaceDE w:val="0"/>
              <w:autoSpaceDN w:val="0"/>
              <w:spacing w:before="120" w:after="120" w:line="276" w:lineRule="auto"/>
              <w:ind w:left="714" w:hanging="357"/>
              <w:jc w:val="both"/>
              <w:rPr>
                <w:rFonts w:ascii="Verdana" w:hAnsi="Verdana" w:cs="Arial"/>
                <w:lang w:val="es-ES"/>
              </w:rPr>
            </w:pPr>
            <w:r w:rsidRPr="00B53AAB">
              <w:rPr>
                <w:rFonts w:ascii="Verdana" w:hAnsi="Verdana" w:cs="Arial"/>
                <w:lang w:val="es-ES"/>
              </w:rPr>
              <w:t>Ley 1150 de 2007, artículo 2.</w:t>
            </w:r>
          </w:p>
          <w:p w14:paraId="08881C38" w14:textId="77777777" w:rsidR="00AE3B29" w:rsidRPr="00B53AAB" w:rsidRDefault="00AE3B29" w:rsidP="00AE3B29">
            <w:pPr>
              <w:widowControl w:val="0"/>
              <w:numPr>
                <w:ilvl w:val="0"/>
                <w:numId w:val="17"/>
              </w:numPr>
              <w:autoSpaceDE w:val="0"/>
              <w:autoSpaceDN w:val="0"/>
              <w:spacing w:before="120" w:after="120" w:line="276" w:lineRule="auto"/>
              <w:ind w:left="714" w:hanging="357"/>
              <w:jc w:val="both"/>
              <w:rPr>
                <w:rFonts w:ascii="Verdana" w:hAnsi="Verdana" w:cs="Arial"/>
                <w:lang w:val="es-ES"/>
              </w:rPr>
            </w:pPr>
            <w:r w:rsidRPr="00B53AAB">
              <w:rPr>
                <w:rFonts w:ascii="Verdana" w:hAnsi="Verdana" w:cs="Arial"/>
                <w:lang w:val="es-ES"/>
              </w:rPr>
              <w:t>Código Civil, artículos 31 y 1501.</w:t>
            </w:r>
            <w:r w:rsidRPr="00B53AAB">
              <w:rPr>
                <w:rFonts w:ascii="Verdana" w:eastAsia="Calibri" w:hAnsi="Verdana" w:cs="Arial"/>
                <w:bCs/>
                <w:color w:val="FF0000"/>
                <w:lang w:val="es-ES"/>
              </w:rPr>
              <w:t xml:space="preserve"> </w:t>
            </w:r>
          </w:p>
          <w:p w14:paraId="68AF4F0E" w14:textId="77777777" w:rsidR="00AE3B29" w:rsidRPr="00B53AAB" w:rsidRDefault="00AE3B29" w:rsidP="00AE3B29">
            <w:pPr>
              <w:numPr>
                <w:ilvl w:val="0"/>
                <w:numId w:val="17"/>
              </w:numPr>
              <w:spacing w:after="120" w:line="276" w:lineRule="auto"/>
              <w:rPr>
                <w:rFonts w:ascii="Verdana" w:hAnsi="Verdana" w:cs="Arial"/>
                <w:lang w:val="es-ES"/>
              </w:rPr>
            </w:pPr>
            <w:r w:rsidRPr="00B53AAB">
              <w:rPr>
                <w:rFonts w:ascii="Verdana" w:hAnsi="Verdana" w:cs="Arial"/>
                <w:lang w:val="es-ES"/>
              </w:rPr>
              <w:t>Decreto 1068 de 2015, artículo 2.2.1.1.1.</w:t>
            </w:r>
          </w:p>
          <w:p w14:paraId="2878CD90" w14:textId="77777777" w:rsidR="00AE3B29" w:rsidRPr="00B53AAB" w:rsidRDefault="00AE3B29" w:rsidP="00AE3B29">
            <w:pPr>
              <w:numPr>
                <w:ilvl w:val="0"/>
                <w:numId w:val="17"/>
              </w:numPr>
              <w:spacing w:after="120" w:line="276" w:lineRule="auto"/>
              <w:rPr>
                <w:rFonts w:ascii="Verdana" w:hAnsi="Verdana" w:cs="Arial"/>
                <w:lang w:val="es-ES"/>
              </w:rPr>
            </w:pPr>
            <w:r w:rsidRPr="00B53AAB">
              <w:rPr>
                <w:rFonts w:ascii="Verdana" w:hAnsi="Verdana" w:cs="Arial"/>
                <w:lang w:val="es-ES"/>
              </w:rPr>
              <w:t xml:space="preserve">Decreto 2555 de 2010, </w:t>
            </w:r>
            <w:r w:rsidRPr="00B53AAB">
              <w:rPr>
                <w:rFonts w:ascii="Verdana" w:hAnsi="Verdana" w:cs="Arial"/>
                <w:bCs/>
              </w:rPr>
              <w:t xml:space="preserve">artículos 2.22.1.1.2. y 2.22.1.1.3. </w:t>
            </w:r>
          </w:p>
          <w:p w14:paraId="3D72E25B" w14:textId="77777777" w:rsidR="00AE3B29" w:rsidRPr="00B53AAB" w:rsidRDefault="00AE3B29" w:rsidP="006F0100">
            <w:pPr>
              <w:ind w:left="360"/>
              <w:rPr>
                <w:rFonts w:ascii="Verdana" w:hAnsi="Verdana" w:cs="Arial"/>
              </w:rPr>
            </w:pPr>
          </w:p>
        </w:tc>
      </w:tr>
    </w:tbl>
    <w:p w14:paraId="11325C7F" w14:textId="77777777" w:rsidR="00AE3B29" w:rsidRPr="00B53AAB" w:rsidRDefault="00AE3B29" w:rsidP="00AE3B29">
      <w:pPr>
        <w:widowControl w:val="0"/>
        <w:autoSpaceDE w:val="0"/>
        <w:autoSpaceDN w:val="0"/>
        <w:spacing w:after="0" w:line="276" w:lineRule="auto"/>
        <w:jc w:val="both"/>
        <w:rPr>
          <w:rFonts w:ascii="Verdana" w:hAnsi="Verdana" w:cs="Arial"/>
        </w:rPr>
      </w:pPr>
    </w:p>
    <w:p w14:paraId="54132A75" w14:textId="77777777" w:rsidR="00AE3B29" w:rsidRPr="00B53AAB" w:rsidRDefault="00AE3B29" w:rsidP="00AE3B29">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B53AAB">
        <w:rPr>
          <w:rFonts w:ascii="Verdana" w:eastAsia="Century Gothic" w:hAnsi="Verdana" w:cs="Century Gothic"/>
          <w:b/>
          <w:bCs/>
          <w:lang w:val="es-ES"/>
        </w:rPr>
        <w:t>Doctrina de la Agencia Nacional de Contratación Pública:</w:t>
      </w:r>
    </w:p>
    <w:p w14:paraId="7E50BECA" w14:textId="77777777" w:rsidR="00AE3B29" w:rsidRPr="00B53AAB" w:rsidRDefault="00AE3B29" w:rsidP="00AE3B29">
      <w:pPr>
        <w:widowControl w:val="0"/>
        <w:autoSpaceDE w:val="0"/>
        <w:autoSpaceDN w:val="0"/>
        <w:spacing w:after="0" w:line="276" w:lineRule="auto"/>
        <w:jc w:val="both"/>
        <w:rPr>
          <w:rFonts w:ascii="Verdana" w:hAnsi="Verdana" w:cs="Arial"/>
        </w:rPr>
      </w:pPr>
    </w:p>
    <w:p w14:paraId="7AB447FC" w14:textId="77777777" w:rsidR="00AE3B29" w:rsidRPr="00B53AAB" w:rsidRDefault="00AE3B29" w:rsidP="00AE3B29">
      <w:pPr>
        <w:widowControl w:val="0"/>
        <w:autoSpaceDE w:val="0"/>
        <w:autoSpaceDN w:val="0"/>
        <w:spacing w:after="0" w:line="276" w:lineRule="auto"/>
        <w:jc w:val="both"/>
        <w:rPr>
          <w:rFonts w:ascii="Verdana" w:hAnsi="Verdana" w:cs="Arial"/>
          <w:shd w:val="clear" w:color="auto" w:fill="FFFFFF"/>
        </w:rPr>
      </w:pPr>
      <w:r w:rsidRPr="00B53AAB">
        <w:rPr>
          <w:rFonts w:ascii="Verdana" w:hAnsi="Verdana" w:cs="Arial"/>
          <w:shd w:val="clear" w:color="auto" w:fill="FFFFFF"/>
        </w:rPr>
        <w:t>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C-1343 del 20 de octubre de 2025, C-1350 del 1˚ de octubre de 2025, C-1401 del 22 de octubre de 2025, C-1512 del 27 de octubre de 2025, C-1488 del 30 de octubre de 2025, C-1596 del 6 de noviembre de 2025, C-1509 del 19 de noviembre de 2025, C-1773 del 5 de diciembre de 2025, C-1646 del 17 de diciembre de 2025, C-1703 del 29 de diciembre de 2025, C- 068 del 27 de enero de 2026, entre otros</w:t>
      </w:r>
      <w:r w:rsidRPr="00B53AAB">
        <w:rPr>
          <w:rFonts w:ascii="Verdana" w:hAnsi="Verdana"/>
        </w:rPr>
        <w:t>.</w:t>
      </w:r>
      <w:r w:rsidRPr="00B53AAB">
        <w:rPr>
          <w:rFonts w:ascii="Verdana" w:hAnsi="Verdana" w:cs="Arial"/>
          <w:shd w:val="clear" w:color="auto" w:fill="FFFFFF"/>
        </w:rPr>
        <w:t xml:space="preserve"> </w:t>
      </w:r>
      <w:r w:rsidRPr="00B53AAB">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13A9172" w14:textId="77777777" w:rsidR="00AE3B29" w:rsidRPr="00B53AAB" w:rsidRDefault="00AE3B29" w:rsidP="00DE2D83">
      <w:pPr>
        <w:spacing w:after="0" w:line="276" w:lineRule="auto"/>
        <w:jc w:val="both"/>
        <w:rPr>
          <w:rFonts w:ascii="Verdana" w:eastAsia="Calibri" w:hAnsi="Verdana" w:cs="Times New Roman"/>
        </w:rPr>
      </w:pPr>
      <w:hyperlink r:id="rId12" w:history="1">
        <w:r w:rsidRPr="005F19AE">
          <w:rPr>
            <w:rFonts w:ascii="Verdana" w:eastAsia="Calibri" w:hAnsi="Verdana" w:cs="Times New Roman"/>
            <w:color w:val="0000FF"/>
            <w:u w:val="single"/>
            <w:lang w:val="es-ES"/>
          </w:rPr>
          <w:t>https://relatoria.colombiacompra.gov.co/busqueda/conceptos</w:t>
        </w:r>
      </w:hyperlink>
      <w:r w:rsidRPr="005F19AE">
        <w:rPr>
          <w:rFonts w:ascii="Verdana" w:eastAsia="Calibri" w:hAnsi="Verdana" w:cs="Times New Roman"/>
        </w:rPr>
        <w:t xml:space="preserve">. </w:t>
      </w:r>
    </w:p>
    <w:p w14:paraId="6EEAA8D7" w14:textId="77777777" w:rsidR="00AE3B29" w:rsidRPr="00B53AAB" w:rsidRDefault="00AE3B29" w:rsidP="00AE3B29">
      <w:pPr>
        <w:widowControl w:val="0"/>
        <w:autoSpaceDE w:val="0"/>
        <w:autoSpaceDN w:val="0"/>
        <w:spacing w:after="0" w:line="276" w:lineRule="auto"/>
        <w:jc w:val="both"/>
        <w:rPr>
          <w:rFonts w:ascii="Verdana" w:hAnsi="Verdana" w:cs="Arial"/>
          <w:color w:val="000000" w:themeColor="text1"/>
          <w:shd w:val="clear" w:color="auto" w:fill="FFFFFF"/>
        </w:rPr>
      </w:pPr>
    </w:p>
    <w:p w14:paraId="22147091" w14:textId="77777777" w:rsidR="003E097A" w:rsidRPr="00324CBA" w:rsidRDefault="003E097A" w:rsidP="00DE2D83">
      <w:pPr>
        <w:spacing w:after="0" w:line="276" w:lineRule="auto"/>
        <w:jc w:val="both"/>
        <w:rPr>
          <w:rFonts w:ascii="Verdana" w:hAnsi="Verdana"/>
        </w:rPr>
      </w:pPr>
      <w:r w:rsidRPr="00324CBA">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24CBA">
        <w:rPr>
          <w:rFonts w:ascii="Verdana" w:hAnsi="Verdana"/>
          <w:b/>
          <w:bCs/>
        </w:rPr>
        <w:t>Guía para la Exigencia y Constitución de Garantías en los Procesos de Contratación</w:t>
      </w:r>
      <w:r w:rsidRPr="00324CBA">
        <w:rPr>
          <w:rFonts w:ascii="Verdana" w:hAnsi="Verdana"/>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w:t>
      </w:r>
      <w:r w:rsidRPr="005F19AE">
        <w:rPr>
          <w:rFonts w:ascii="Verdana" w:hAnsi="Verdana"/>
        </w:rPr>
        <w:t>Consúltala aquí:</w:t>
      </w:r>
      <w:r w:rsidRPr="005F19AE">
        <w:rPr>
          <w:rFonts w:ascii="Verdana" w:hAnsi="Verdana"/>
          <w:color w:val="0070C0"/>
        </w:rPr>
        <w:t> </w:t>
      </w:r>
      <w:hyperlink r:id="rId13" w:tgtFrame="_blank" w:tooltip="Dirección URL original: https://www.colombiacompra.gov.co/archivos/manual/guia-de-garantias-en-procesos-de-contratacion. Haga clic o pulse si confía en este vínculo." w:history="1">
        <w:r w:rsidRPr="005F19AE">
          <w:rPr>
            <w:rStyle w:val="Hipervnculo"/>
            <w:rFonts w:ascii="Verdana" w:hAnsi="Verdana"/>
            <w:color w:val="0070C0"/>
          </w:rPr>
          <w:t>https://www.colombiacompra.gov.co/archivos/manual/guia-de-garantias-en-procesos-de-contratacion</w:t>
        </w:r>
      </w:hyperlink>
    </w:p>
    <w:p w14:paraId="052F2B31" w14:textId="77777777" w:rsidR="003E097A" w:rsidRPr="00324CBA" w:rsidRDefault="003E097A" w:rsidP="00DE2D83">
      <w:pPr>
        <w:spacing w:after="0" w:line="276" w:lineRule="auto"/>
        <w:jc w:val="both"/>
        <w:rPr>
          <w:rFonts w:ascii="Verdana" w:hAnsi="Verdana"/>
        </w:rPr>
      </w:pPr>
      <w:r w:rsidRPr="00324CBA">
        <w:rPr>
          <w:rFonts w:ascii="Verdana" w:hAnsi="Verdana"/>
        </w:rPr>
        <w:t>De otro lado, te contamos que el Decreto 287 del 19 de marzo de 2026 sustituyó los artículos 2.2.1.2.4.2.6., 2.2.1.2.4.2.7. y 2.2.1.2.4.2.8. del Decreto 1082 de 2015 y estructuró el </w:t>
      </w:r>
      <w:r w:rsidRPr="00324CBA">
        <w:rPr>
          <w:rFonts w:ascii="Verdana" w:hAnsi="Verdana"/>
          <w:b/>
          <w:bCs/>
        </w:rPr>
        <w:t>Sistema Integral de Preferencias en favor de las personas con discapacidad</w:t>
      </w:r>
      <w:r w:rsidRPr="00324CBA">
        <w:rPr>
          <w:rFonts w:ascii="Verdana" w:hAnsi="Verdana"/>
        </w:rPr>
        <w:t>, en cumplimiento del artículo 13 de la Ley Estatutaria 1618 de 2013. Para orientar su aplicación, esta Agencia expidió la </w:t>
      </w:r>
      <w:r w:rsidRPr="00324CBA">
        <w:rPr>
          <w:rFonts w:ascii="Verdana" w:hAnsi="Verdana"/>
          <w:b/>
          <w:bCs/>
        </w:rPr>
        <w:t>Circular Externa 003 del 12 de mayo de 2026, </w:t>
      </w:r>
      <w:r w:rsidRPr="00324CBA">
        <w:rPr>
          <w:rFonts w:ascii="Verdana" w:hAnsi="Verdana"/>
        </w:rPr>
        <w:t xml:space="preserve">en la que precisa quiénes son los beneficiarios, las cinco medidas que integran el sistema y su obligatoriedad según la modalidad de selección, y el régimen de transición aplicable a los procesos en curso. </w:t>
      </w:r>
      <w:r w:rsidRPr="005F19AE">
        <w:rPr>
          <w:rFonts w:ascii="Verdana" w:hAnsi="Verdana"/>
        </w:rPr>
        <w:t>Consúltala aquí: </w:t>
      </w:r>
      <w:hyperlink r:id="rId14" w:tgtFrame="_blank" w:tooltip="Dirección URL original: https://www.colombiacompra.gov.co/archivos/circular/circular-externa-003-de-2026. Haga clic o pulse si confía en este vínculo." w:history="1">
        <w:r w:rsidRPr="005F19AE">
          <w:rPr>
            <w:rStyle w:val="Hipervnculo"/>
            <w:rFonts w:ascii="Verdana" w:hAnsi="Verdana"/>
            <w:color w:val="0070C0"/>
          </w:rPr>
          <w:t>https://www.colombiacompra.gov.co/archivos/circular/circular-externa-003-de-2026</w:t>
        </w:r>
      </w:hyperlink>
    </w:p>
    <w:p w14:paraId="7D98B955" w14:textId="77777777" w:rsidR="003E097A" w:rsidRPr="00324CBA" w:rsidRDefault="003E097A" w:rsidP="00DE2D83">
      <w:pPr>
        <w:spacing w:after="0" w:line="276" w:lineRule="auto"/>
        <w:jc w:val="both"/>
        <w:rPr>
          <w:rFonts w:ascii="Verdana" w:hAnsi="Verdana"/>
        </w:rPr>
      </w:pPr>
      <w:r w:rsidRPr="00324CBA">
        <w:rPr>
          <w:rFonts w:ascii="Verdana" w:hAnsi="Verdana"/>
        </w:rPr>
        <w:t>Recuerda también que la</w:t>
      </w:r>
      <w:r w:rsidRPr="00324CBA">
        <w:rPr>
          <w:rFonts w:ascii="Verdana" w:hAnsi="Verdana"/>
          <w:b/>
          <w:bCs/>
        </w:rPr>
        <w:t> información sobre sanciones e inhabilidades </w:t>
      </w:r>
      <w:r w:rsidRPr="00324CBA">
        <w:rPr>
          <w:rFonts w:ascii="Verdana" w:hAnsi="Verdana"/>
        </w:rPr>
        <w:t>solo cumple su función preventiva si llega oportunamente a los registros públicos. Sobre este deber, esta Agencia expidió la </w:t>
      </w:r>
      <w:r w:rsidRPr="00324CBA">
        <w:rPr>
          <w:rFonts w:ascii="Verdana" w:hAnsi="Verdana"/>
          <w:b/>
          <w:bCs/>
        </w:rPr>
        <w:t>Circular Externa 002 del 5 de mayo de 2026,</w:t>
      </w:r>
      <w:r w:rsidRPr="00324CBA">
        <w:rPr>
          <w:rFonts w:ascii="Verdana" w:hAnsi="Verdana"/>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5F19AE">
        <w:rPr>
          <w:rFonts w:ascii="Verdana" w:hAnsi="Verdana"/>
        </w:rPr>
        <w:t>Consúltala aquí: </w:t>
      </w:r>
      <w:hyperlink r:id="rId15" w:tgtFrame="_blank" w:tooltip="Dirección URL original: https://www.colombiacompra.gov.co/archivos/circular/circular-externa-002-de-2026. Haga clic o pulse si confía en este vínculo." w:history="1">
        <w:r w:rsidRPr="005F19AE">
          <w:rPr>
            <w:rStyle w:val="Hipervnculo"/>
            <w:rFonts w:ascii="Verdana" w:hAnsi="Verdana"/>
            <w:color w:val="0070C0"/>
          </w:rPr>
          <w:t>https://www.colombiacompra.gov.co/archivos/circular/circular-externa-002-de-2026</w:t>
        </w:r>
      </w:hyperlink>
    </w:p>
    <w:p w14:paraId="670AFD78" w14:textId="77777777" w:rsidR="003E097A" w:rsidRPr="00324CBA" w:rsidRDefault="003E097A" w:rsidP="00DE2D83">
      <w:pPr>
        <w:spacing w:after="0" w:line="276" w:lineRule="auto"/>
        <w:jc w:val="both"/>
        <w:rPr>
          <w:rFonts w:ascii="Verdana" w:hAnsi="Verdana"/>
        </w:rPr>
      </w:pPr>
      <w:r w:rsidRPr="00324CBA">
        <w:rPr>
          <w:rFonts w:ascii="Verdana" w:hAnsi="Verdana"/>
        </w:rPr>
        <w:t>Finalmente, si quieres seguir de cerca la actividad de la Agencia, la tercera edición de 2026 del</w:t>
      </w:r>
      <w:r w:rsidRPr="00324CBA">
        <w:rPr>
          <w:rFonts w:ascii="Verdana" w:hAnsi="Verdana"/>
          <w:b/>
          <w:bCs/>
        </w:rPr>
        <w:t> Radar de la Compra Pública</w:t>
      </w:r>
      <w:r w:rsidRPr="00324CBA">
        <w:rPr>
          <w:rFonts w:ascii="Verdana" w:hAnsi="Verdana"/>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w:t>
      </w:r>
      <w:r w:rsidRPr="005F19AE">
        <w:rPr>
          <w:rFonts w:ascii="Verdana" w:hAnsi="Verdana"/>
        </w:rPr>
        <w:t>Descárgalo aquí:</w:t>
      </w:r>
      <w:r w:rsidRPr="005F19AE">
        <w:rPr>
          <w:rFonts w:ascii="Verdana" w:hAnsi="Verdana"/>
          <w:color w:val="0070C0"/>
        </w:rPr>
        <w:t> </w:t>
      </w:r>
      <w:hyperlink r:id="rId16" w:tgtFrame="_blank" w:tooltip="Dirección URL original: https://www.colombiacompra.gov.co/archivos/boletin/boletin-edicion-n-3-de-2026-radar-de-la-compra-publica. Haga clic o pulse si confía en este vínculo." w:history="1">
        <w:r w:rsidRPr="005F19AE">
          <w:rPr>
            <w:rStyle w:val="Hipervnculo"/>
            <w:rFonts w:ascii="Verdana" w:hAnsi="Verdana"/>
            <w:color w:val="0070C0"/>
          </w:rPr>
          <w:t>https://www.colombiacompra.gov.co/archivos/boletin/boletin-edicion-n-3-de-2026-radar-de-la-compra-publica</w:t>
        </w:r>
      </w:hyperlink>
      <w:r w:rsidRPr="005F19AE">
        <w:rPr>
          <w:rFonts w:ascii="Verdana" w:hAnsi="Verdana"/>
        </w:rPr>
        <w:t>"</w:t>
      </w:r>
    </w:p>
    <w:p w14:paraId="2BAACDB8" w14:textId="77777777" w:rsidR="003E097A" w:rsidRPr="00C32952" w:rsidRDefault="003E097A" w:rsidP="003E097A">
      <w:pPr>
        <w:shd w:val="clear" w:color="auto" w:fill="FFFFFF"/>
        <w:spacing w:after="0" w:line="276" w:lineRule="auto"/>
        <w:jc w:val="both"/>
        <w:rPr>
          <w:rFonts w:ascii="Verdana" w:hAnsi="Verdana"/>
          <w:color w:val="000000"/>
          <w:u w:val="single"/>
        </w:rPr>
      </w:pPr>
    </w:p>
    <w:p w14:paraId="52A2DF9D" w14:textId="77777777" w:rsidR="003E097A" w:rsidRPr="00116940" w:rsidRDefault="003E097A" w:rsidP="00DE2D83">
      <w:pPr>
        <w:spacing w:after="0" w:line="276" w:lineRule="auto"/>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4D6966B9" w14:textId="77777777" w:rsidR="003E097A" w:rsidRPr="00116940" w:rsidRDefault="003E097A" w:rsidP="00DE2D83">
      <w:pPr>
        <w:spacing w:after="0" w:line="276" w:lineRule="auto"/>
        <w:jc w:val="both"/>
        <w:rPr>
          <w:rFonts w:ascii="Verdana" w:hAnsi="Verdana"/>
        </w:rPr>
      </w:pPr>
    </w:p>
    <w:p w14:paraId="5F969521" w14:textId="77777777" w:rsidR="003E097A" w:rsidRPr="00116940" w:rsidRDefault="003E097A" w:rsidP="00DE2D83">
      <w:pPr>
        <w:pStyle w:val="Prrafodelista"/>
        <w:numPr>
          <w:ilvl w:val="0"/>
          <w:numId w:val="15"/>
        </w:numPr>
        <w:spacing w:after="0" w:line="276"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2EE40F98" w14:textId="77777777" w:rsidR="003E097A" w:rsidRPr="00116940" w:rsidRDefault="003E097A" w:rsidP="00DE2D83">
      <w:pPr>
        <w:pStyle w:val="Prrafodelista"/>
        <w:numPr>
          <w:ilvl w:val="0"/>
          <w:numId w:val="15"/>
        </w:numPr>
        <w:spacing w:after="0" w:line="276" w:lineRule="auto"/>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7E3716AD" w14:textId="77777777" w:rsidR="003E097A" w:rsidRPr="00116940" w:rsidRDefault="003E097A" w:rsidP="00DE2D83">
      <w:pPr>
        <w:pStyle w:val="Prrafodelista"/>
        <w:numPr>
          <w:ilvl w:val="0"/>
          <w:numId w:val="15"/>
        </w:numPr>
        <w:spacing w:after="0" w:line="276" w:lineRule="auto"/>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226DF099" w14:textId="77777777" w:rsidR="003E097A" w:rsidRPr="00116940" w:rsidRDefault="003E097A" w:rsidP="00DE2D83">
      <w:pPr>
        <w:pStyle w:val="Prrafodelista"/>
        <w:numPr>
          <w:ilvl w:val="0"/>
          <w:numId w:val="15"/>
        </w:numPr>
        <w:spacing w:after="0" w:line="276" w:lineRule="auto"/>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6EB3D9E6" w14:textId="77777777" w:rsidR="003E097A" w:rsidRPr="00116940" w:rsidRDefault="003E097A" w:rsidP="00DE2D83">
      <w:pPr>
        <w:spacing w:after="0" w:line="276" w:lineRule="auto"/>
        <w:ind w:left="720"/>
        <w:jc w:val="both"/>
        <w:rPr>
          <w:rFonts w:ascii="Verdana" w:hAnsi="Verdana"/>
        </w:rPr>
      </w:pPr>
    </w:p>
    <w:p w14:paraId="04BB2EDD" w14:textId="77777777" w:rsidR="003E097A" w:rsidRPr="00116940" w:rsidRDefault="003E097A" w:rsidP="00DE2D83">
      <w:pPr>
        <w:spacing w:after="0" w:line="276"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9" w:tgtFrame="_blank" w:tooltip="https://forms.office.com/r/pphywvs2sz" w:history="1">
        <w:r w:rsidRPr="005F19AE">
          <w:rPr>
            <w:rStyle w:val="Hipervnculo"/>
            <w:rFonts w:ascii="Verdana" w:hAnsi="Verdana"/>
          </w:rPr>
          <w:t>https://forms.office.com/r/pPHyWVs2SZ</w:t>
        </w:r>
      </w:hyperlink>
      <w:r w:rsidRPr="00116940">
        <w:rPr>
          <w:rFonts w:ascii="Verdana" w:hAnsi="Verdana"/>
        </w:rPr>
        <w:t xml:space="preserve"> .¡Ayúdanos a mejorar porque el compromiso es de todos!</w:t>
      </w:r>
    </w:p>
    <w:p w14:paraId="1C0193C0" w14:textId="77777777" w:rsidR="003E097A" w:rsidRPr="00116940" w:rsidRDefault="003E097A" w:rsidP="00DE2D83">
      <w:pPr>
        <w:spacing w:after="0" w:line="276" w:lineRule="auto"/>
        <w:rPr>
          <w:rFonts w:ascii="Verdana" w:hAnsi="Verdana"/>
        </w:rPr>
      </w:pPr>
    </w:p>
    <w:p w14:paraId="038E00D3" w14:textId="77777777" w:rsidR="003E097A" w:rsidRPr="00116940" w:rsidRDefault="003E097A" w:rsidP="00DE2D83">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9C24A7B" w14:textId="77777777" w:rsidR="003E097A" w:rsidRPr="00116940" w:rsidRDefault="003E097A" w:rsidP="00DE2D83">
      <w:pPr>
        <w:spacing w:after="0" w:line="276" w:lineRule="auto"/>
        <w:jc w:val="both"/>
        <w:rPr>
          <w:rFonts w:ascii="Verdana" w:hAnsi="Verdana"/>
        </w:rPr>
      </w:pPr>
    </w:p>
    <w:p w14:paraId="2DB05ADA" w14:textId="77777777" w:rsidR="003E097A" w:rsidRPr="00116940" w:rsidRDefault="003E097A" w:rsidP="00DE2D83">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619A34EF" w14:textId="77777777" w:rsidR="003E097A" w:rsidRPr="00116940" w:rsidRDefault="003E097A" w:rsidP="00DE2D83">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3EDA98F" w14:textId="77777777" w:rsidR="003E097A" w:rsidRPr="00116940" w:rsidRDefault="003E097A" w:rsidP="00DE2D83">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F8ED300" w14:textId="77777777" w:rsidR="003E097A" w:rsidRPr="009C4035" w:rsidRDefault="003E097A" w:rsidP="00DE2D83">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2541912D" w14:textId="77777777" w:rsidR="003E097A" w:rsidRPr="00593A5F" w:rsidRDefault="003E097A" w:rsidP="003E097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DC37CB8" w14:textId="77777777" w:rsidR="003E097A" w:rsidRPr="0024624F" w:rsidRDefault="003E097A" w:rsidP="00DE2D83">
      <w:pPr>
        <w:spacing w:after="0" w:line="276" w:lineRule="auto"/>
        <w:jc w:val="both"/>
        <w:textAlignment w:val="baseline"/>
        <w:rPr>
          <w:rFonts w:ascii="Verdana" w:eastAsia="Times New Roman" w:hAnsi="Verdana" w:cs="Segoe UI"/>
          <w:lang w:val="es-MX" w:eastAsia="es-CO"/>
        </w:rPr>
      </w:pPr>
    </w:p>
    <w:p w14:paraId="3C48B5DF" w14:textId="7C9C1320" w:rsidR="003E097A" w:rsidRDefault="003E097A" w:rsidP="00DE2D83">
      <w:pPr>
        <w:spacing w:after="0" w:line="276" w:lineRule="auto"/>
        <w:jc w:val="both"/>
        <w:textAlignment w:val="baseline"/>
        <w:rPr>
          <w:rFonts w:ascii="Verdana" w:eastAsia="Times New Roman" w:hAnsi="Verdana" w:cs="Segoe UI"/>
          <w:lang w:eastAsia="es-CO"/>
        </w:rPr>
      </w:pPr>
      <w:r w:rsidRPr="0024624F">
        <w:rPr>
          <w:rFonts w:ascii="Verdana" w:eastAsia="Times New Roman" w:hAnsi="Verdana" w:cs="Segoe UI"/>
          <w:lang w:val="es-MX" w:eastAsia="es-CO"/>
        </w:rPr>
        <w:t>Cordialmente,</w:t>
      </w:r>
      <w:r w:rsidRPr="0024624F">
        <w:rPr>
          <w:rFonts w:ascii="Verdana" w:eastAsia="Times New Roman" w:hAnsi="Verdana" w:cs="Segoe UI"/>
          <w:lang w:eastAsia="es-CO"/>
        </w:rPr>
        <w:t> </w:t>
      </w:r>
    </w:p>
    <w:p w14:paraId="64C6DFBB" w14:textId="253BA7AB" w:rsidR="00735116" w:rsidRDefault="00735116" w:rsidP="00DE2D83">
      <w:pPr>
        <w:spacing w:after="0" w:line="276" w:lineRule="auto"/>
        <w:jc w:val="both"/>
        <w:textAlignment w:val="baseline"/>
        <w:rPr>
          <w:rFonts w:ascii="Verdana" w:eastAsia="Times New Roman" w:hAnsi="Verdana" w:cs="Segoe UI"/>
          <w:lang w:eastAsia="es-CO"/>
        </w:rPr>
      </w:pPr>
      <w:r w:rsidRPr="002C3AD6">
        <w:rPr>
          <w:rFonts w:ascii="Century Gothic" w:hAnsi="Century Gothic"/>
          <w:noProof/>
        </w:rPr>
        <w:drawing>
          <wp:anchor distT="0" distB="0" distL="114300" distR="114300" simplePos="0" relativeHeight="251660288" behindDoc="1" locked="0" layoutInCell="1" allowOverlap="1" wp14:anchorId="6F773D56" wp14:editId="4FCABE0B">
            <wp:simplePos x="0" y="0"/>
            <wp:positionH relativeFrom="column">
              <wp:posOffset>2216</wp:posOffset>
            </wp:positionH>
            <wp:positionV relativeFrom="paragraph">
              <wp:posOffset>-894</wp:posOffset>
            </wp:positionV>
            <wp:extent cx="3772426" cy="1400370"/>
            <wp:effectExtent l="0" t="0" r="0" b="9525"/>
            <wp:wrapTight wrapText="bothSides">
              <wp:wrapPolygon edited="0">
                <wp:start x="0" y="0"/>
                <wp:lineTo x="0" y="21453"/>
                <wp:lineTo x="21491" y="21453"/>
                <wp:lineTo x="21491" y="0"/>
                <wp:lineTo x="0" y="0"/>
              </wp:wrapPolygon>
            </wp:wrapTight>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extLst>
                        <a:ext uri="{28A0092B-C50C-407E-A947-70E740481C1C}">
                          <a14:useLocalDpi xmlns:a14="http://schemas.microsoft.com/office/drawing/2010/main" val="0"/>
                        </a:ext>
                      </a:extLst>
                    </a:blip>
                    <a:stretch>
                      <a:fillRect/>
                    </a:stretch>
                  </pic:blipFill>
                  <pic:spPr>
                    <a:xfrm>
                      <a:off x="0" y="0"/>
                      <a:ext cx="3772426" cy="1400370"/>
                    </a:xfrm>
                    <a:prstGeom prst="rect">
                      <a:avLst/>
                    </a:prstGeom>
                  </pic:spPr>
                </pic:pic>
              </a:graphicData>
            </a:graphic>
          </wp:anchor>
        </w:drawing>
      </w:r>
    </w:p>
    <w:p w14:paraId="4C75F105" w14:textId="5F25504C" w:rsidR="003E097A" w:rsidRPr="004667F5" w:rsidRDefault="003E097A" w:rsidP="003E097A">
      <w:pPr>
        <w:jc w:val="both"/>
        <w:textAlignment w:val="baseline"/>
        <w:rPr>
          <w:rFonts w:ascii="Verdana" w:eastAsia="Times New Roman" w:hAnsi="Verdana"/>
          <w:lang w:eastAsia="es-CO"/>
        </w:rPr>
      </w:pPr>
    </w:p>
    <w:p w14:paraId="63AC31D1" w14:textId="77777777" w:rsidR="003E097A" w:rsidRPr="00D30247" w:rsidRDefault="003E097A" w:rsidP="003E097A">
      <w:pPr>
        <w:jc w:val="both"/>
        <w:textAlignment w:val="baseline"/>
        <w:rPr>
          <w:rFonts w:ascii="Verdana" w:eastAsia="Times New Roman" w:hAnsi="Verdana" w:cs="Calibri"/>
          <w:lang w:eastAsia="es-CO"/>
        </w:rPr>
      </w:pPr>
      <w:r w:rsidRPr="004667F5">
        <w:rPr>
          <w:rFonts w:ascii="Verdana" w:eastAsia="Times New Roman" w:hAnsi="Verdana" w:cs="Calibri"/>
          <w:lang w:eastAsia="es-CO"/>
        </w:rPr>
        <w:t> </w:t>
      </w:r>
    </w:p>
    <w:p w14:paraId="6000196F" w14:textId="77777777" w:rsidR="003E097A" w:rsidRPr="004667F5" w:rsidRDefault="003E097A" w:rsidP="003E097A">
      <w:pPr>
        <w:spacing w:after="0" w:line="240" w:lineRule="auto"/>
        <w:jc w:val="both"/>
        <w:textAlignment w:val="baseline"/>
        <w:rPr>
          <w:rFonts w:ascii="Verdana" w:eastAsia="Times New Roman" w:hAnsi="Verdana" w:cs="Segoe UI"/>
          <w:b/>
          <w:bCs/>
          <w:lang w:val="es-MX" w:eastAsia="es-CO"/>
        </w:rPr>
      </w:pPr>
    </w:p>
    <w:p w14:paraId="7EDC907C" w14:textId="77777777" w:rsidR="003E097A" w:rsidRDefault="003E097A" w:rsidP="003E097A">
      <w:pPr>
        <w:spacing w:after="0" w:line="240" w:lineRule="auto"/>
        <w:textAlignment w:val="baseline"/>
        <w:rPr>
          <w:rFonts w:ascii="Verdana" w:eastAsia="Times New Roman" w:hAnsi="Verdana" w:cs="Segoe UI"/>
          <w:lang w:val="es-MX" w:eastAsia="es-CO"/>
        </w:rPr>
      </w:pPr>
      <w:r w:rsidRPr="004667F5">
        <w:rPr>
          <w:rFonts w:ascii="Verdana" w:eastAsia="Times New Roman" w:hAnsi="Verdana" w:cs="Segoe UI"/>
          <w:lang w:val="es-MX" w:eastAsia="es-CO"/>
        </w:rPr>
        <w:t xml:space="preserve">  </w:t>
      </w:r>
    </w:p>
    <w:p w14:paraId="6E9FEB17" w14:textId="77777777" w:rsidR="003E097A" w:rsidRDefault="003E097A" w:rsidP="003E097A">
      <w:pPr>
        <w:spacing w:after="0" w:line="240" w:lineRule="auto"/>
        <w:textAlignment w:val="baseline"/>
        <w:rPr>
          <w:rFonts w:ascii="Verdana" w:eastAsia="Times New Roman" w:hAnsi="Verdana" w:cs="Segoe UI"/>
          <w:lang w:val="es-MX" w:eastAsia="es-CO"/>
        </w:rPr>
      </w:pPr>
    </w:p>
    <w:p w14:paraId="080ACFEA" w14:textId="77777777" w:rsidR="003E097A" w:rsidRDefault="003E097A" w:rsidP="003E097A">
      <w:pPr>
        <w:spacing w:after="0" w:line="240" w:lineRule="auto"/>
        <w:textAlignment w:val="baseline"/>
        <w:rPr>
          <w:rFonts w:ascii="Verdana" w:eastAsia="Times New Roman" w:hAnsi="Verdana" w:cs="Segoe UI"/>
          <w:lang w:val="es-MX" w:eastAsia="es-CO"/>
        </w:rPr>
      </w:pPr>
    </w:p>
    <w:p w14:paraId="4DB06F6D" w14:textId="77777777" w:rsidR="003E097A" w:rsidRDefault="003E097A" w:rsidP="003E097A">
      <w:pPr>
        <w:spacing w:after="0" w:line="240" w:lineRule="auto"/>
        <w:textAlignment w:val="baseline"/>
        <w:rPr>
          <w:rFonts w:ascii="Verdana" w:eastAsia="Times New Roman" w:hAnsi="Verdana" w:cs="Segoe UI"/>
          <w:lang w:val="es-MX" w:eastAsia="es-CO"/>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
        <w:gridCol w:w="5427"/>
      </w:tblGrid>
      <w:tr w:rsidR="003E097A" w:rsidRPr="004C0111" w14:paraId="7C7424BA" w14:textId="77777777" w:rsidTr="006F0100">
        <w:trPr>
          <w:trHeight w:val="729"/>
        </w:trPr>
        <w:tc>
          <w:tcPr>
            <w:tcW w:w="902" w:type="dxa"/>
            <w:vAlign w:val="center"/>
            <w:hideMark/>
          </w:tcPr>
          <w:p w14:paraId="04AF90D4" w14:textId="77777777" w:rsidR="003E097A" w:rsidRPr="004C0111" w:rsidRDefault="003E097A" w:rsidP="006F0100">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27" w:type="dxa"/>
            <w:tcBorders>
              <w:top w:val="nil"/>
              <w:left w:val="nil"/>
              <w:bottom w:val="dotted" w:sz="4" w:space="0" w:color="7F7F7F" w:themeColor="text1" w:themeTint="80"/>
              <w:right w:val="nil"/>
            </w:tcBorders>
            <w:vAlign w:val="center"/>
            <w:hideMark/>
          </w:tcPr>
          <w:tbl>
            <w:tblPr>
              <w:tblW w:w="52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9"/>
            </w:tblGrid>
            <w:tr w:rsidR="003E097A" w:rsidRPr="004C0111" w14:paraId="470E6EB8" w14:textId="77777777" w:rsidTr="006F0100">
              <w:trPr>
                <w:trHeight w:val="52"/>
              </w:trPr>
              <w:tc>
                <w:tcPr>
                  <w:tcW w:w="5209" w:type="dxa"/>
                  <w:tcBorders>
                    <w:top w:val="dotted" w:sz="6" w:space="0" w:color="7F7F7F"/>
                    <w:left w:val="nil"/>
                    <w:bottom w:val="dotted" w:sz="6" w:space="0" w:color="7F7F7F"/>
                    <w:right w:val="nil"/>
                  </w:tcBorders>
                  <w:vAlign w:val="center"/>
                  <w:hideMark/>
                </w:tcPr>
                <w:p w14:paraId="5E53BB87" w14:textId="77777777" w:rsidR="003E097A" w:rsidRPr="004C0111" w:rsidRDefault="003E097A" w:rsidP="006F0100">
                  <w:pPr>
                    <w:spacing w:after="0"/>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Kelmis Yirama Brugés Alvarado</w:t>
                  </w:r>
                </w:p>
                <w:p w14:paraId="4D4E11D1" w14:textId="77777777" w:rsidR="003E097A" w:rsidRPr="004C0111" w:rsidRDefault="003E097A" w:rsidP="006F0100">
                  <w:pPr>
                    <w:spacing w:after="0"/>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0FBA62FC" w14:textId="77777777" w:rsidR="003E097A" w:rsidRPr="004C0111" w:rsidRDefault="003E097A" w:rsidP="006F0100">
            <w:pPr>
              <w:spacing w:line="276" w:lineRule="auto"/>
              <w:contextualSpacing/>
              <w:rPr>
                <w:rFonts w:ascii="Verdana" w:eastAsia="Calibri" w:hAnsi="Verdana" w:cs="Arial"/>
                <w:sz w:val="16"/>
                <w:szCs w:val="16"/>
                <w:lang w:val="es-MX"/>
              </w:rPr>
            </w:pPr>
          </w:p>
        </w:tc>
      </w:tr>
      <w:tr w:rsidR="003E097A" w:rsidRPr="004C0111" w14:paraId="5F334A88" w14:textId="77777777" w:rsidTr="006F0100">
        <w:trPr>
          <w:trHeight w:val="387"/>
        </w:trPr>
        <w:tc>
          <w:tcPr>
            <w:tcW w:w="902" w:type="dxa"/>
            <w:vAlign w:val="center"/>
            <w:hideMark/>
          </w:tcPr>
          <w:p w14:paraId="0EB1E2D8" w14:textId="77777777" w:rsidR="003E097A" w:rsidRPr="004C0111" w:rsidRDefault="003E097A" w:rsidP="006F0100">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27" w:type="dxa"/>
            <w:tcBorders>
              <w:top w:val="dotted" w:sz="4" w:space="0" w:color="7F7F7F" w:themeColor="text1" w:themeTint="80"/>
              <w:left w:val="nil"/>
              <w:bottom w:val="dotted" w:sz="4" w:space="0" w:color="7F7F7F" w:themeColor="text1" w:themeTint="80"/>
              <w:right w:val="nil"/>
            </w:tcBorders>
            <w:vAlign w:val="center"/>
            <w:hideMark/>
          </w:tcPr>
          <w:p w14:paraId="595821E7" w14:textId="3BCFC09E" w:rsidR="003E097A" w:rsidRPr="004C0111" w:rsidRDefault="003E097A" w:rsidP="006F0100">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Diana Lucía Saasvedra</w:t>
            </w:r>
          </w:p>
          <w:p w14:paraId="251985EB" w14:textId="77777777" w:rsidR="003E097A" w:rsidRPr="004C0111" w:rsidRDefault="003E097A" w:rsidP="006F0100">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3E097A" w:rsidRPr="004C0111" w14:paraId="49015E2E" w14:textId="77777777" w:rsidTr="006F0100">
        <w:trPr>
          <w:trHeight w:val="333"/>
        </w:trPr>
        <w:tc>
          <w:tcPr>
            <w:tcW w:w="902" w:type="dxa"/>
            <w:vAlign w:val="center"/>
          </w:tcPr>
          <w:p w14:paraId="4DBF2C28" w14:textId="77777777" w:rsidR="003E097A" w:rsidRPr="004C0111" w:rsidRDefault="003E097A" w:rsidP="006F0100">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27" w:type="dxa"/>
            <w:tcBorders>
              <w:top w:val="dotted" w:sz="4" w:space="0" w:color="7F7F7F" w:themeColor="text1" w:themeTint="80"/>
              <w:left w:val="nil"/>
              <w:bottom w:val="dotted" w:sz="4" w:space="0" w:color="7F7F7F" w:themeColor="text1" w:themeTint="80"/>
              <w:right w:val="nil"/>
            </w:tcBorders>
            <w:vAlign w:val="center"/>
          </w:tcPr>
          <w:p w14:paraId="3A0DD1D3" w14:textId="77777777" w:rsidR="003E097A" w:rsidRPr="002F2853" w:rsidRDefault="003E097A" w:rsidP="006F0100">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3F375695" w14:textId="77777777" w:rsidR="003E097A" w:rsidRPr="004C0111" w:rsidRDefault="003E097A" w:rsidP="006F0100">
            <w:pPr>
              <w:spacing w:line="276" w:lineRule="auto"/>
              <w:contextualSpacing/>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69BC4D14" w14:textId="50C9D62B"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B94A4" w14:textId="77777777" w:rsidR="007774C5" w:rsidRDefault="007774C5" w:rsidP="004A1847">
      <w:pPr>
        <w:spacing w:after="0" w:line="240" w:lineRule="auto"/>
      </w:pPr>
      <w:r>
        <w:separator/>
      </w:r>
    </w:p>
  </w:endnote>
  <w:endnote w:type="continuationSeparator" w:id="0">
    <w:p w14:paraId="6151729B" w14:textId="77777777" w:rsidR="007774C5" w:rsidRDefault="007774C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3BDB9" w14:textId="77777777" w:rsidR="007774C5" w:rsidRDefault="007774C5" w:rsidP="004A1847">
      <w:pPr>
        <w:spacing w:after="0" w:line="240" w:lineRule="auto"/>
      </w:pPr>
      <w:r>
        <w:separator/>
      </w:r>
    </w:p>
  </w:footnote>
  <w:footnote w:type="continuationSeparator" w:id="0">
    <w:p w14:paraId="24AAFF6E" w14:textId="77777777" w:rsidR="007774C5" w:rsidRDefault="007774C5" w:rsidP="004A1847">
      <w:pPr>
        <w:spacing w:after="0" w:line="240" w:lineRule="auto"/>
      </w:pPr>
      <w:r>
        <w:continuationSeparator/>
      </w:r>
    </w:p>
  </w:footnote>
  <w:footnote w:id="1">
    <w:p w14:paraId="591C967C" w14:textId="77777777" w:rsidR="00AE3B29" w:rsidRPr="004674CF" w:rsidRDefault="00AE3B29" w:rsidP="00AE3B29">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8C5FCB2" w14:textId="77777777" w:rsidR="00AE3B29" w:rsidRPr="004674CF" w:rsidRDefault="00AE3B29" w:rsidP="00AE3B29">
      <w:pPr>
        <w:pStyle w:val="Textonotapie"/>
        <w:ind w:firstLine="709"/>
        <w:jc w:val="both"/>
        <w:rPr>
          <w:rFonts w:ascii="Verdana" w:hAnsi="Verdana" w:cs="Arial"/>
          <w:sz w:val="16"/>
          <w:szCs w:val="16"/>
        </w:rPr>
      </w:pPr>
      <w:r w:rsidRPr="004674CF">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1E7C16DA" w14:textId="77777777" w:rsidR="00AE3B29" w:rsidRPr="004674CF" w:rsidRDefault="00AE3B29" w:rsidP="00AE3B29">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Gaceta del Congreso de la República No. 71 del 2005.</w:t>
      </w:r>
    </w:p>
  </w:footnote>
  <w:footnote w:id="3">
    <w:p w14:paraId="19856909" w14:textId="77777777" w:rsidR="00AE3B29" w:rsidRPr="004674CF" w:rsidRDefault="00AE3B29" w:rsidP="00AE3B29">
      <w:pPr>
        <w:pStyle w:val="Textonotapie"/>
        <w:ind w:firstLine="709"/>
        <w:jc w:val="both"/>
        <w:rPr>
          <w:rFonts w:ascii="Verdana" w:hAnsi="Verdana" w:cs="Arial"/>
          <w:sz w:val="16"/>
          <w:szCs w:val="16"/>
          <w:lang w:val="pt-BR"/>
        </w:rPr>
      </w:pPr>
      <w:r w:rsidRPr="004674CF">
        <w:rPr>
          <w:rStyle w:val="Refdenotaalpie"/>
          <w:rFonts w:ascii="Verdana" w:hAnsi="Verdana" w:cs="Arial"/>
          <w:sz w:val="16"/>
          <w:szCs w:val="16"/>
        </w:rPr>
        <w:footnoteRef/>
      </w:r>
      <w:r w:rsidRPr="004674CF">
        <w:rPr>
          <w:rFonts w:ascii="Verdana" w:hAnsi="Verdana" w:cs="Arial"/>
          <w:sz w:val="16"/>
          <w:szCs w:val="16"/>
          <w:lang w:val="pt-BR"/>
        </w:rPr>
        <w:t xml:space="preserve"> Corte Constitucional, Sentencia C- 1153 de 2005, M.P. Marco Gerardo </w:t>
      </w:r>
      <w:proofErr w:type="spellStart"/>
      <w:r w:rsidRPr="004674CF">
        <w:rPr>
          <w:rFonts w:ascii="Verdana" w:hAnsi="Verdana" w:cs="Arial"/>
          <w:sz w:val="16"/>
          <w:szCs w:val="16"/>
          <w:lang w:val="pt-BR"/>
        </w:rPr>
        <w:t>Monroy</w:t>
      </w:r>
      <w:proofErr w:type="spellEnd"/>
      <w:r w:rsidRPr="004674CF">
        <w:rPr>
          <w:rFonts w:ascii="Verdana" w:hAnsi="Verdana" w:cs="Arial"/>
          <w:sz w:val="16"/>
          <w:szCs w:val="16"/>
          <w:lang w:val="pt-BR"/>
        </w:rPr>
        <w:t xml:space="preserve"> Cabra.</w:t>
      </w:r>
    </w:p>
  </w:footnote>
  <w:footnote w:id="4">
    <w:p w14:paraId="2E1B4ED2" w14:textId="77777777" w:rsidR="00AE3B29" w:rsidRPr="004674CF" w:rsidRDefault="00AE3B29" w:rsidP="00AE3B29">
      <w:pPr>
        <w:pStyle w:val="Textonotapie"/>
        <w:ind w:firstLine="709"/>
        <w:jc w:val="both"/>
        <w:rPr>
          <w:rFonts w:ascii="Verdana" w:hAnsi="Verdana" w:cs="Arial"/>
          <w:sz w:val="16"/>
          <w:szCs w:val="16"/>
          <w:lang w:val="pt-BR"/>
        </w:rPr>
      </w:pPr>
      <w:r w:rsidRPr="004674CF">
        <w:rPr>
          <w:rStyle w:val="Refdenotaalpie"/>
          <w:rFonts w:ascii="Verdana" w:hAnsi="Verdana" w:cs="Arial"/>
          <w:sz w:val="16"/>
          <w:szCs w:val="16"/>
        </w:rPr>
        <w:footnoteRef/>
      </w:r>
      <w:r w:rsidRPr="004674CF">
        <w:rPr>
          <w:rFonts w:ascii="Verdana" w:hAnsi="Verdana" w:cs="Arial"/>
          <w:sz w:val="16"/>
          <w:szCs w:val="16"/>
          <w:lang w:val="pt-BR"/>
        </w:rPr>
        <w:t xml:space="preserve"> Corte Constitucional. Sentencias: C-233 de 4 de abril de 2002, expediente: D-3704; C-551 de 9 de </w:t>
      </w:r>
      <w:proofErr w:type="spellStart"/>
      <w:r w:rsidRPr="004674CF">
        <w:rPr>
          <w:rFonts w:ascii="Verdana" w:hAnsi="Verdana" w:cs="Arial"/>
          <w:sz w:val="16"/>
          <w:szCs w:val="16"/>
          <w:lang w:val="pt-BR"/>
        </w:rPr>
        <w:t>julio</w:t>
      </w:r>
      <w:proofErr w:type="spellEnd"/>
      <w:r w:rsidRPr="004674CF">
        <w:rPr>
          <w:rFonts w:ascii="Verdana" w:hAnsi="Verdana" w:cs="Arial"/>
          <w:sz w:val="16"/>
          <w:szCs w:val="16"/>
          <w:lang w:val="pt-BR"/>
        </w:rPr>
        <w:t xml:space="preserve"> de 2003, expediente: CRF-001 de 9 de </w:t>
      </w:r>
      <w:proofErr w:type="spellStart"/>
      <w:r w:rsidRPr="004674CF">
        <w:rPr>
          <w:rFonts w:ascii="Verdana" w:hAnsi="Verdana" w:cs="Arial"/>
          <w:sz w:val="16"/>
          <w:szCs w:val="16"/>
          <w:lang w:val="pt-BR"/>
        </w:rPr>
        <w:t>julio</w:t>
      </w:r>
      <w:proofErr w:type="spellEnd"/>
      <w:r w:rsidRPr="004674CF">
        <w:rPr>
          <w:rFonts w:ascii="Verdana" w:hAnsi="Verdana" w:cs="Arial"/>
          <w:sz w:val="16"/>
          <w:szCs w:val="16"/>
          <w:lang w:val="pt-BR"/>
        </w:rPr>
        <w:t xml:space="preserve"> de 2003; C-652 de 5 de agosto de 2003, expediente: D-4330; C-353 de 20 de mayo de 2009, expediente: D-7518, C-541 de 30 de junio de 2010, expediente: DD7966; entre otras.</w:t>
      </w:r>
    </w:p>
  </w:footnote>
  <w:footnote w:id="5">
    <w:p w14:paraId="68AB8BE1" w14:textId="77777777" w:rsidR="00AE3B29" w:rsidRPr="004674CF" w:rsidRDefault="00AE3B29" w:rsidP="00AE3B29">
      <w:pPr>
        <w:pStyle w:val="Textonotapie"/>
        <w:ind w:firstLine="709"/>
        <w:jc w:val="both"/>
        <w:rPr>
          <w:rFonts w:ascii="Verdana" w:hAnsi="Verdana" w:cs="Arial"/>
          <w:sz w:val="16"/>
          <w:szCs w:val="16"/>
          <w:lang w:val="es-CO"/>
        </w:rPr>
      </w:pPr>
      <w:r w:rsidRPr="004674CF">
        <w:rPr>
          <w:rStyle w:val="Refdenotaalpie"/>
          <w:rFonts w:ascii="Verdana" w:hAnsi="Verdana" w:cs="Arial"/>
          <w:sz w:val="16"/>
          <w:szCs w:val="16"/>
        </w:rPr>
        <w:footnoteRef/>
      </w:r>
      <w:r w:rsidRPr="004674CF">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18221C6B" w14:textId="77777777" w:rsidR="00AE3B29" w:rsidRPr="004674CF" w:rsidRDefault="00AE3B29" w:rsidP="00AE3B29">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de fecha 24 de julio de 2013, radicado 2166, C. P. Álvaro Namén Vargas.  </w:t>
      </w:r>
    </w:p>
  </w:footnote>
  <w:footnote w:id="7">
    <w:p w14:paraId="6FA8FB00" w14:textId="77777777" w:rsidR="00AE3B29" w:rsidRPr="004674CF" w:rsidRDefault="00AE3B29" w:rsidP="00AE3B29">
      <w:pPr>
        <w:spacing w:after="0" w:line="240" w:lineRule="auto"/>
        <w:ind w:firstLine="709"/>
        <w:jc w:val="both"/>
        <w:rPr>
          <w:rFonts w:ascii="Verdana" w:eastAsia="Times New Roman"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w:t>
      </w:r>
      <w:bookmarkStart w:id="6" w:name="33"/>
      <w:r w:rsidRPr="004674CF">
        <w:rPr>
          <w:rFonts w:ascii="Verdana" w:eastAsia="Calibri" w:hAnsi="Verdana" w:cs="Arial"/>
          <w:color w:val="000000"/>
          <w:sz w:val="16"/>
          <w:szCs w:val="16"/>
        </w:rPr>
        <w:t>“</w:t>
      </w:r>
      <w:r w:rsidRPr="004674CF">
        <w:rPr>
          <w:rFonts w:ascii="Verdana" w:eastAsia="Times New Roman" w:hAnsi="Verdana" w:cs="Arial"/>
          <w:sz w:val="16"/>
          <w:szCs w:val="16"/>
        </w:rPr>
        <w:t>Artículo 33. Restricciones a la contratación pública.</w:t>
      </w:r>
      <w:bookmarkEnd w:id="6"/>
      <w:r w:rsidRPr="004674CF">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40B22FCD" w14:textId="77777777" w:rsidR="00AE3B29" w:rsidRPr="004674CF" w:rsidRDefault="00AE3B29" w:rsidP="00AE3B29">
      <w:pPr>
        <w:spacing w:after="0" w:line="240" w:lineRule="auto"/>
        <w:ind w:firstLine="709"/>
        <w:jc w:val="both"/>
        <w:rPr>
          <w:rFonts w:ascii="Verdana" w:eastAsia="Times New Roman" w:hAnsi="Verdana" w:cs="Arial"/>
          <w:sz w:val="16"/>
          <w:szCs w:val="16"/>
        </w:rPr>
      </w:pPr>
      <w:r w:rsidRPr="004674CF">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674CF">
        <w:rPr>
          <w:rFonts w:ascii="Verdana" w:eastAsia="Calibri" w:hAnsi="Verdana" w:cs="Arial"/>
          <w:color w:val="000000"/>
          <w:sz w:val="16"/>
          <w:szCs w:val="16"/>
        </w:rPr>
        <w:t>”</w:t>
      </w:r>
      <w:r w:rsidRPr="004674CF">
        <w:rPr>
          <w:rFonts w:ascii="Verdana" w:eastAsia="Times New Roman" w:hAnsi="Verdana" w:cs="Arial"/>
          <w:sz w:val="16"/>
          <w:szCs w:val="16"/>
        </w:rPr>
        <w:t>.</w:t>
      </w:r>
    </w:p>
  </w:footnote>
  <w:footnote w:id="8">
    <w:p w14:paraId="0EE0AE9B" w14:textId="77777777" w:rsidR="00AE3B29" w:rsidRPr="004674CF" w:rsidRDefault="00AE3B29" w:rsidP="00AE3B29">
      <w:pPr>
        <w:pStyle w:val="NormalWeb"/>
        <w:spacing w:before="0" w:beforeAutospacing="0" w:after="0" w:afterAutospacing="0"/>
        <w:ind w:firstLine="709"/>
        <w:jc w:val="both"/>
        <w:rPr>
          <w:rFonts w:ascii="Verdana" w:hAnsi="Verdana" w:cs="Arial"/>
          <w:sz w:val="16"/>
          <w:szCs w:val="16"/>
          <w:lang w:val="es-MX"/>
        </w:rPr>
      </w:pPr>
      <w:r w:rsidRPr="004674CF">
        <w:rPr>
          <w:rStyle w:val="Refdenotaalpie"/>
          <w:rFonts w:ascii="Verdana" w:hAnsi="Verdana" w:cs="Arial"/>
          <w:sz w:val="16"/>
          <w:szCs w:val="16"/>
        </w:rPr>
        <w:footnoteRef/>
      </w:r>
      <w:r w:rsidRPr="004674CF">
        <w:rPr>
          <w:rFonts w:ascii="Verdana" w:hAnsi="Verdana" w:cs="Arial"/>
          <w:sz w:val="16"/>
          <w:szCs w:val="16"/>
        </w:rPr>
        <w:t xml:space="preserve"> </w:t>
      </w:r>
      <w:bookmarkStart w:id="7" w:name="38"/>
      <w:r w:rsidRPr="004674CF">
        <w:rPr>
          <w:rFonts w:ascii="Verdana" w:eastAsia="Calibri" w:hAnsi="Verdana" w:cs="Arial"/>
          <w:color w:val="000000"/>
          <w:sz w:val="16"/>
          <w:szCs w:val="16"/>
        </w:rPr>
        <w:t>“</w:t>
      </w:r>
      <w:r w:rsidRPr="004674CF">
        <w:rPr>
          <w:rFonts w:ascii="Verdana" w:hAnsi="Verdana" w:cs="Arial"/>
          <w:sz w:val="16"/>
          <w:szCs w:val="16"/>
          <w:lang w:val="es-MX"/>
        </w:rPr>
        <w:t>Artículo 38. Prohibiciones para los servidores públicos. A los empleados del Estado les está prohibido:</w:t>
      </w:r>
      <w:bookmarkEnd w:id="7"/>
      <w:r w:rsidRPr="004674CF">
        <w:rPr>
          <w:rFonts w:ascii="Verdana" w:hAnsi="Verdana" w:cs="Arial"/>
          <w:sz w:val="16"/>
          <w:szCs w:val="16"/>
          <w:lang w:val="es-MX"/>
        </w:rPr>
        <w:t xml:space="preserve"> […]</w:t>
      </w:r>
    </w:p>
    <w:p w14:paraId="5C972FB2" w14:textId="77777777" w:rsidR="00AE3B29" w:rsidRPr="004674CF" w:rsidRDefault="00AE3B29" w:rsidP="00AE3B29">
      <w:pPr>
        <w:pStyle w:val="NormalWeb"/>
        <w:spacing w:before="0" w:beforeAutospacing="0" w:after="0" w:afterAutospacing="0"/>
        <w:ind w:firstLine="709"/>
        <w:jc w:val="both"/>
        <w:rPr>
          <w:rFonts w:ascii="Verdana" w:hAnsi="Verdana" w:cs="Arial"/>
          <w:sz w:val="16"/>
          <w:szCs w:val="16"/>
          <w:lang w:val="es-MX"/>
        </w:rPr>
      </w:pPr>
      <w:r w:rsidRPr="004674CF">
        <w:rPr>
          <w:rStyle w:val="baj"/>
          <w:rFonts w:ascii="Verdana" w:hAnsi="Verdana" w:cs="Arial"/>
          <w:sz w:val="16"/>
          <w:szCs w:val="16"/>
          <w:lang w:val="es-MX"/>
        </w:rPr>
        <w:t>Parágrafo.</w:t>
      </w:r>
      <w:r w:rsidRPr="004674CF">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674CF">
        <w:rPr>
          <w:rFonts w:ascii="Verdana" w:eastAsia="Calibri" w:hAnsi="Verdana" w:cs="Arial"/>
          <w:color w:val="000000"/>
          <w:sz w:val="16"/>
          <w:szCs w:val="16"/>
        </w:rPr>
        <w:t>”</w:t>
      </w:r>
      <w:r w:rsidRPr="004674CF">
        <w:rPr>
          <w:rFonts w:ascii="Verdana" w:hAnsi="Verdana" w:cs="Arial"/>
          <w:sz w:val="16"/>
          <w:szCs w:val="16"/>
          <w:lang w:val="es-MX"/>
        </w:rPr>
        <w:t>.</w:t>
      </w:r>
    </w:p>
  </w:footnote>
  <w:footnote w:id="9">
    <w:p w14:paraId="2F0DB321" w14:textId="77777777" w:rsidR="00AE3B29" w:rsidRPr="004674CF" w:rsidRDefault="00AE3B29" w:rsidP="00AE3B29">
      <w:pPr>
        <w:pStyle w:val="Textonotapie"/>
        <w:ind w:firstLine="708"/>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Colombia Compra Eficiente. Circular Externa Única. Numeral 16.5. </w:t>
      </w:r>
    </w:p>
  </w:footnote>
  <w:footnote w:id="10">
    <w:p w14:paraId="3B9DCF4E" w14:textId="77777777" w:rsidR="00AE3B29" w:rsidRPr="004674CF" w:rsidRDefault="00AE3B29" w:rsidP="00AE3B29">
      <w:pPr>
        <w:spacing w:after="0" w:line="240" w:lineRule="auto"/>
        <w:ind w:left="100" w:right="244" w:firstLine="608"/>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3026C6C4" w14:textId="77777777" w:rsidR="00AE3B29" w:rsidRPr="004674CF" w:rsidRDefault="00AE3B29" w:rsidP="00AE3B29">
      <w:pPr>
        <w:pStyle w:val="Textonotapie"/>
        <w:ind w:right="51"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w:t>
      </w:r>
      <w:r w:rsidRPr="004674CF">
        <w:rPr>
          <w:rFonts w:ascii="Verdana" w:hAnsi="Verdana" w:cs="Arial"/>
          <w:sz w:val="16"/>
          <w:szCs w:val="16"/>
          <w:lang w:val="es-ES"/>
        </w:rPr>
        <w:t xml:space="preserve">[25] </w:t>
      </w:r>
      <w:r w:rsidRPr="004674CF">
        <w:rPr>
          <w:rFonts w:ascii="Verdana" w:hAnsi="Verdana" w:cs="Arial"/>
          <w:sz w:val="16"/>
          <w:szCs w:val="16"/>
        </w:rPr>
        <w:t>Cfr. Consejo de Estado. Sección Tercera. Sentencia de 3 de diciembre de 2007. Radicados: 24.715, 25.206, 25.409, 24.524, 27.834, 25.410, 26.105, 28.244, 31.447 -acumulados</w:t>
      </w:r>
      <w:proofErr w:type="gramStart"/>
      <w:r w:rsidRPr="004674CF">
        <w:rPr>
          <w:rFonts w:ascii="Verdana" w:hAnsi="Verdana" w:cs="Arial"/>
          <w:sz w:val="16"/>
          <w:szCs w:val="16"/>
        </w:rPr>
        <w:t>-“</w:t>
      </w:r>
      <w:proofErr w:type="gramEnd"/>
      <w:r w:rsidRPr="004674CF">
        <w:rPr>
          <w:rFonts w:ascii="Verdana" w:hAnsi="Verdana" w:cs="Arial"/>
          <w:sz w:val="16"/>
          <w:szCs w:val="16"/>
        </w:rPr>
        <w:t>.</w:t>
      </w:r>
    </w:p>
  </w:footnote>
  <w:footnote w:id="12">
    <w:p w14:paraId="5AA42877" w14:textId="77777777" w:rsidR="00AE3B29" w:rsidRPr="004674CF" w:rsidRDefault="00AE3B29" w:rsidP="00AE3B29">
      <w:pPr>
        <w:pStyle w:val="Textonotapie"/>
        <w:ind w:right="51"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w:t>
      </w:r>
      <w:r w:rsidRPr="004674CF">
        <w:rPr>
          <w:rFonts w:ascii="Verdana" w:hAnsi="Verdana" w:cs="Arial"/>
          <w:sz w:val="16"/>
          <w:szCs w:val="16"/>
          <w:lang w:val="es-ES"/>
        </w:rPr>
        <w:t xml:space="preserve">[26] </w:t>
      </w:r>
      <w:r w:rsidRPr="004674CF">
        <w:rPr>
          <w:rFonts w:ascii="Verdana" w:hAnsi="Verdana" w:cs="Arial"/>
          <w:sz w:val="16"/>
          <w:szCs w:val="16"/>
        </w:rPr>
        <w:t>Al respecto ver el concepto 1712 de 2 de febrero de 2006. Consejo de Estado Sala de Consulta y Servicio Civil”.</w:t>
      </w:r>
    </w:p>
  </w:footnote>
  <w:footnote w:id="13">
    <w:p w14:paraId="66B14035" w14:textId="77777777" w:rsidR="00AE3B29" w:rsidRPr="00E109EE" w:rsidRDefault="00AE3B29" w:rsidP="00E109EE">
      <w:pPr>
        <w:pStyle w:val="Textonotapie"/>
        <w:ind w:firstLine="709"/>
        <w:jc w:val="both"/>
        <w:rPr>
          <w:rFonts w:ascii="Verdana" w:hAnsi="Verdana" w:cs="Arial"/>
          <w:sz w:val="16"/>
          <w:szCs w:val="16"/>
        </w:rPr>
      </w:pPr>
      <w:r w:rsidRPr="00E109EE">
        <w:rPr>
          <w:rStyle w:val="Refdenotaalpie"/>
          <w:rFonts w:ascii="Verdana" w:hAnsi="Verdana" w:cs="Arial"/>
          <w:sz w:val="16"/>
          <w:szCs w:val="16"/>
        </w:rPr>
        <w:footnoteRef/>
      </w:r>
      <w:r w:rsidRPr="00E109EE">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4">
    <w:p w14:paraId="38F92F6F" w14:textId="77777777" w:rsidR="00AE3B29" w:rsidRPr="004674CF" w:rsidRDefault="00AE3B29" w:rsidP="00AE3B29">
      <w:pPr>
        <w:pStyle w:val="Textonotapie"/>
        <w:ind w:firstLine="709"/>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Fonts w:ascii="Verdana" w:hAnsi="Verdana" w:cs="Arial"/>
          <w:sz w:val="16"/>
          <w:szCs w:val="16"/>
        </w:rPr>
        <w:t xml:space="preserve"> </w:t>
      </w:r>
      <w:r w:rsidRPr="004674CF">
        <w:rPr>
          <w:rFonts w:ascii="Verdana" w:hAnsi="Verdana" w:cs="Arial"/>
          <w:sz w:val="16"/>
          <w:szCs w:val="16"/>
          <w:lang w:val="es-ES"/>
        </w:rPr>
        <w:t xml:space="preserve">Artículo 2. </w:t>
      </w:r>
    </w:p>
  </w:footnote>
  <w:footnote w:id="15">
    <w:p w14:paraId="4A9D8AAB" w14:textId="77777777" w:rsidR="00AE3B29" w:rsidRPr="004674CF" w:rsidRDefault="00AE3B29" w:rsidP="00AE3B29">
      <w:pPr>
        <w:pStyle w:val="Textonotapie"/>
        <w:ind w:firstLine="709"/>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Fonts w:ascii="Verdana" w:hAnsi="Verdana" w:cs="Arial"/>
          <w:sz w:val="16"/>
          <w:szCs w:val="16"/>
        </w:rPr>
        <w:t xml:space="preserve"> </w:t>
      </w:r>
      <w:r w:rsidRPr="004674CF">
        <w:rPr>
          <w:rFonts w:ascii="Verdana" w:hAnsi="Verdana" w:cs="Arial"/>
          <w:i/>
          <w:sz w:val="16"/>
          <w:szCs w:val="16"/>
          <w:lang w:val="es-ES"/>
        </w:rPr>
        <w:t>Ídem</w:t>
      </w:r>
      <w:r w:rsidRPr="004674CF">
        <w:rPr>
          <w:rFonts w:ascii="Verdana" w:hAnsi="Verdana" w:cs="Arial"/>
          <w:sz w:val="16"/>
          <w:szCs w:val="16"/>
          <w:lang w:val="es-ES"/>
        </w:rPr>
        <w:t>.</w:t>
      </w:r>
    </w:p>
  </w:footnote>
  <w:footnote w:id="16">
    <w:p w14:paraId="18DD97B1" w14:textId="77777777" w:rsidR="00AE3B29" w:rsidRPr="004674CF" w:rsidRDefault="00AE3B29" w:rsidP="00AE3B29">
      <w:pPr>
        <w:pStyle w:val="Textonotapie"/>
        <w:ind w:firstLine="709"/>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Style w:val="Refdenotaalpie"/>
          <w:rFonts w:ascii="Verdana" w:hAnsi="Verdana" w:cs="Arial"/>
          <w:sz w:val="16"/>
          <w:szCs w:val="16"/>
        </w:rPr>
        <w:t xml:space="preserve"> </w:t>
      </w:r>
      <w:r w:rsidRPr="004674CF">
        <w:rPr>
          <w:rFonts w:ascii="Verdana" w:hAnsi="Verdana" w:cs="Arial"/>
          <w:sz w:val="16"/>
          <w:szCs w:val="16"/>
          <w:lang w:val="es-ES"/>
        </w:rPr>
        <w:t xml:space="preserve">“[…] A este respecto, cabe recordar que el artículo 860 del Código de Comercio regula la licitación en el derecho privado”. </w:t>
      </w:r>
    </w:p>
  </w:footnote>
  <w:footnote w:id="17">
    <w:p w14:paraId="0811256A" w14:textId="77777777" w:rsidR="00AE3B29" w:rsidRPr="004674CF" w:rsidRDefault="00AE3B29" w:rsidP="00AE3B29">
      <w:pPr>
        <w:shd w:val="clear" w:color="auto" w:fill="FFFFFF"/>
        <w:spacing w:after="0" w:line="240" w:lineRule="auto"/>
        <w:ind w:firstLine="709"/>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Style w:val="Refdenotaalpie"/>
          <w:rFonts w:ascii="Verdana" w:hAnsi="Verdana" w:cs="Arial"/>
          <w:sz w:val="16"/>
          <w:szCs w:val="16"/>
        </w:rPr>
        <w:t xml:space="preserve"> </w:t>
      </w:r>
      <w:r w:rsidRPr="004674CF">
        <w:rPr>
          <w:rFonts w:ascii="Verdana" w:hAnsi="Verdana" w:cs="Arial"/>
          <w:sz w:val="16"/>
          <w:szCs w:val="16"/>
          <w:lang w:val="es-ES"/>
        </w:rPr>
        <w:t>Consejo de Estado. Sala de Consulta y Servicio Civil, Concepto de 8 de mayo de 2018. C.P. Álvaro Namén Vargas. Rad. 2382.</w:t>
      </w:r>
    </w:p>
  </w:footnote>
  <w:footnote w:id="18">
    <w:p w14:paraId="14D50B42" w14:textId="77777777" w:rsidR="00AE3B29" w:rsidRPr="004674CF" w:rsidRDefault="00AE3B29" w:rsidP="00AE3B29">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del 08 de mayo de 2018.</w:t>
      </w:r>
      <w:r w:rsidRPr="004674CF">
        <w:rPr>
          <w:rFonts w:ascii="Verdana" w:hAnsi="Verdana" w:cs="Arial"/>
          <w:sz w:val="16"/>
          <w:szCs w:val="16"/>
          <w:lang w:val="es-CO"/>
        </w:rPr>
        <w:t xml:space="preserve"> C.P. Álvaro Namén Vargas.</w:t>
      </w:r>
      <w:r w:rsidRPr="004674CF">
        <w:rPr>
          <w:rFonts w:ascii="Verdana" w:hAnsi="Verdana" w:cs="Arial"/>
          <w:sz w:val="16"/>
          <w:szCs w:val="16"/>
        </w:rPr>
        <w:t xml:space="preserve"> Exp. 2.382.</w:t>
      </w:r>
    </w:p>
  </w:footnote>
  <w:footnote w:id="19">
    <w:p w14:paraId="423A1B89" w14:textId="77777777" w:rsidR="00D23F56" w:rsidRPr="00E109EE" w:rsidRDefault="00D23F56" w:rsidP="00E109EE">
      <w:pPr>
        <w:spacing w:after="0" w:line="240" w:lineRule="auto"/>
        <w:ind w:firstLine="709"/>
        <w:jc w:val="both"/>
        <w:rPr>
          <w:rFonts w:ascii="Verdana" w:hAnsi="Verdana" w:cs="Arial"/>
          <w:sz w:val="16"/>
          <w:szCs w:val="16"/>
        </w:rPr>
      </w:pPr>
      <w:r w:rsidRPr="00E109EE">
        <w:rPr>
          <w:rStyle w:val="Refdenotaalpie"/>
          <w:rFonts w:ascii="Verdana" w:hAnsi="Verdana" w:cs="Arial"/>
          <w:sz w:val="16"/>
          <w:szCs w:val="16"/>
        </w:rPr>
        <w:footnoteRef/>
      </w:r>
      <w:r w:rsidRPr="004243A8">
        <w:rPr>
          <w:rFonts w:ascii="Verdana" w:hAnsi="Verdana" w:cs="Arial"/>
          <w:sz w:val="16"/>
          <w:szCs w:val="16"/>
        </w:rPr>
        <w:t xml:space="preserve"> Consejo de Estado. Sala de Consulta y Servicio Civil. Concepto de 20 de febrero de 2006. C.P. Enrique José Arboleda Perdomo. Rad. 1727. Conceptuó que para las entidades que contratan por el derecho privado, estaba prohibida la contratación diferente de la</w:t>
      </w:r>
      <w:r w:rsidRPr="00E109EE">
        <w:rPr>
          <w:rFonts w:ascii="Verdana" w:hAnsi="Verdana" w:cs="Arial"/>
          <w:sz w:val="16"/>
          <w:szCs w:val="16"/>
        </w:rPr>
        <w:t xml:space="preserve">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14:paraId="4A3F3A93" w14:textId="77777777" w:rsidR="00D23F56" w:rsidRPr="00E109EE" w:rsidRDefault="00D23F56">
      <w:pPr>
        <w:pStyle w:val="Textonotapie"/>
        <w:ind w:right="51" w:firstLine="709"/>
        <w:jc w:val="both"/>
        <w:rPr>
          <w:rFonts w:ascii="Verdana" w:eastAsia="Times New Roman" w:hAnsi="Verdana" w:cs="Arial"/>
          <w:bCs/>
          <w:sz w:val="16"/>
          <w:szCs w:val="16"/>
          <w:lang w:eastAsia="x-none"/>
        </w:rPr>
      </w:pPr>
      <w:r w:rsidRPr="00E109EE">
        <w:rPr>
          <w:rStyle w:val="Refdenotaalpie"/>
          <w:rFonts w:ascii="Verdana" w:hAnsi="Verdana" w:cs="Arial"/>
          <w:sz w:val="16"/>
          <w:szCs w:val="16"/>
        </w:rPr>
        <w:footnoteRef/>
      </w:r>
      <w:r w:rsidRPr="00E109EE">
        <w:rPr>
          <w:rFonts w:ascii="Verdana" w:hAnsi="Verdana" w:cs="Arial"/>
          <w:sz w:val="16"/>
          <w:szCs w:val="16"/>
        </w:rPr>
        <w:t xml:space="preserve"> Consejo de Estado. Sala de Consulta y Servicio Civil. Concepto de 6 de abril de 2006.C.P. Enrique José Arboleda Perdomo. </w:t>
      </w:r>
      <w:r w:rsidRPr="00E109EE">
        <w:rPr>
          <w:rFonts w:ascii="Verdana" w:hAnsi="Verdana" w:cs="Arial"/>
          <w:sz w:val="16"/>
          <w:szCs w:val="16"/>
          <w:lang w:val="es-CO"/>
        </w:rPr>
        <w:t>Rad. 1738</w:t>
      </w:r>
      <w:r w:rsidRPr="00E109EE">
        <w:rPr>
          <w:rFonts w:ascii="Verdana" w:eastAsia="Times New Roman" w:hAnsi="Verdana" w:cs="Arial"/>
          <w:bCs/>
          <w:sz w:val="16"/>
          <w:szCs w:val="16"/>
          <w:lang w:eastAsia="x-none"/>
        </w:rPr>
        <w:t xml:space="preserve"> “</w:t>
      </w:r>
      <w:r w:rsidRPr="00E109EE">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E109EE">
        <w:rPr>
          <w:rFonts w:ascii="Verdana" w:eastAsia="Times New Roman" w:hAnsi="Verdana" w:cs="Arial"/>
          <w:bCs/>
          <w:sz w:val="16"/>
          <w:szCs w:val="16"/>
          <w:lang w:eastAsia="x-none"/>
        </w:rPr>
        <w:t>”.</w:t>
      </w:r>
    </w:p>
  </w:footnote>
  <w:footnote w:id="21">
    <w:p w14:paraId="76B6F124" w14:textId="77777777" w:rsidR="00D23F56" w:rsidRPr="00E109EE" w:rsidRDefault="00D23F56">
      <w:pPr>
        <w:spacing w:after="0" w:line="240" w:lineRule="auto"/>
        <w:ind w:firstLine="708"/>
        <w:jc w:val="both"/>
        <w:rPr>
          <w:rFonts w:ascii="Verdana" w:hAnsi="Verdana" w:cs="Arial"/>
          <w:sz w:val="16"/>
          <w:szCs w:val="16"/>
        </w:rPr>
      </w:pPr>
      <w:r w:rsidRPr="00E109EE">
        <w:rPr>
          <w:rStyle w:val="Refdenotaalpie"/>
          <w:rFonts w:ascii="Verdana" w:hAnsi="Verdana" w:cs="Arial"/>
          <w:sz w:val="16"/>
          <w:szCs w:val="16"/>
        </w:rPr>
        <w:footnoteRef/>
      </w:r>
      <w:r w:rsidRPr="00E109EE">
        <w:rPr>
          <w:rFonts w:ascii="Verdana" w:hAnsi="Verdana" w:cs="Arial"/>
          <w:sz w:val="16"/>
          <w:szCs w:val="16"/>
        </w:rPr>
        <w:t xml:space="preserve"> Consejo de Estado. Sala de Consulta y Servicio Civil. Concepto de 6 de abril de 2006. C.P. Enrique José Arboleda Perdomo. Rad. 1738. </w:t>
      </w:r>
    </w:p>
  </w:footnote>
  <w:footnote w:id="22">
    <w:p w14:paraId="634DE6D1" w14:textId="77777777" w:rsidR="00D23F56" w:rsidRPr="00E109EE" w:rsidRDefault="00D23F56">
      <w:pPr>
        <w:pStyle w:val="Textonotapie"/>
        <w:ind w:right="51" w:firstLine="709"/>
        <w:jc w:val="both"/>
        <w:rPr>
          <w:rFonts w:ascii="Verdana" w:hAnsi="Verdana" w:cs="Arial"/>
          <w:sz w:val="16"/>
          <w:szCs w:val="16"/>
        </w:rPr>
      </w:pPr>
      <w:r w:rsidRPr="00E109EE">
        <w:rPr>
          <w:rStyle w:val="Refdenotaalpie"/>
          <w:rFonts w:ascii="Verdana" w:hAnsi="Verdana" w:cs="Arial"/>
          <w:sz w:val="16"/>
          <w:szCs w:val="16"/>
        </w:rPr>
        <w:footnoteRef/>
      </w:r>
      <w:r w:rsidRPr="00E109EE">
        <w:rPr>
          <w:rFonts w:ascii="Verdana" w:hAnsi="Verdana" w:cs="Arial"/>
          <w:sz w:val="16"/>
          <w:szCs w:val="16"/>
        </w:rPr>
        <w:t xml:space="preserve"> Consejo de Estado. Sala de Consulta y Servicio Civil, ídem.</w:t>
      </w:r>
    </w:p>
  </w:footnote>
  <w:footnote w:id="23">
    <w:p w14:paraId="4C1D9BD9" w14:textId="77777777" w:rsidR="00AE3B29" w:rsidRPr="00E657A2" w:rsidRDefault="00AE3B29" w:rsidP="00AE3B29">
      <w:pPr>
        <w:pStyle w:val="Textonotapie"/>
        <w:ind w:firstLine="708"/>
        <w:contextualSpacing/>
        <w:jc w:val="both"/>
        <w:rPr>
          <w:rFonts w:ascii="Verdana" w:hAnsi="Verdana" w:cs="Arial"/>
          <w:color w:val="000000" w:themeColor="text1"/>
          <w:sz w:val="16"/>
          <w:szCs w:val="16"/>
        </w:rPr>
      </w:pPr>
      <w:r w:rsidRPr="00E657A2">
        <w:rPr>
          <w:rStyle w:val="Refdenotaalpie"/>
          <w:rFonts w:ascii="Verdana" w:hAnsi="Verdana" w:cs="Arial"/>
          <w:color w:val="000000" w:themeColor="text1"/>
          <w:sz w:val="16"/>
          <w:szCs w:val="16"/>
        </w:rPr>
        <w:footnoteRef/>
      </w:r>
      <w:r w:rsidRPr="00E657A2">
        <w:rPr>
          <w:rFonts w:ascii="Verdana" w:hAnsi="Verdana" w:cs="Arial"/>
          <w:color w:val="000000" w:themeColor="text1"/>
          <w:sz w:val="16"/>
          <w:szCs w:val="16"/>
        </w:rPr>
        <w:t xml:space="preserve"> </w:t>
      </w:r>
      <w:r>
        <w:rPr>
          <w:rFonts w:ascii="Verdana" w:hAnsi="Verdana" w:cs="Arial"/>
          <w:color w:val="000000" w:themeColor="text1"/>
          <w:sz w:val="16"/>
          <w:szCs w:val="16"/>
        </w:rPr>
        <w:t>Consejo d</w:t>
      </w:r>
      <w:r w:rsidRPr="00E657A2">
        <w:rPr>
          <w:rFonts w:ascii="Verdana" w:hAnsi="Verdana" w:cs="Arial"/>
          <w:color w:val="000000" w:themeColor="text1"/>
          <w:sz w:val="16"/>
          <w:szCs w:val="16"/>
        </w:rPr>
        <w:t>e Estado. Sala de Consulta y Servicio Civil. Concepto del 18 de febrero 2010. Rad. 11001-03-06-000-2010-00006-00 (1985). C.P. Enrique José Arboleda Perdomo.</w:t>
      </w:r>
    </w:p>
  </w:footnote>
  <w:footnote w:id="24">
    <w:p w14:paraId="26F0A881" w14:textId="77777777" w:rsidR="00AE3B29" w:rsidRPr="00E657A2" w:rsidRDefault="00AE3B29" w:rsidP="00AE3B29">
      <w:pPr>
        <w:pStyle w:val="Textonotapie"/>
        <w:ind w:firstLine="708"/>
        <w:contextualSpacing/>
        <w:jc w:val="both"/>
        <w:rPr>
          <w:rFonts w:ascii="Verdana" w:hAnsi="Verdana" w:cs="Arial"/>
          <w:color w:val="000000" w:themeColor="text1"/>
          <w:sz w:val="16"/>
          <w:szCs w:val="16"/>
        </w:rPr>
      </w:pPr>
      <w:r w:rsidRPr="00E657A2">
        <w:rPr>
          <w:rStyle w:val="Refdenotaalpie"/>
          <w:rFonts w:ascii="Verdana" w:hAnsi="Verdana" w:cs="Arial"/>
          <w:color w:val="000000" w:themeColor="text1"/>
          <w:sz w:val="16"/>
          <w:szCs w:val="16"/>
        </w:rPr>
        <w:footnoteRef/>
      </w:r>
      <w:r w:rsidRPr="00E657A2">
        <w:rPr>
          <w:rFonts w:ascii="Verdana" w:hAnsi="Verdana" w:cs="Arial"/>
          <w:color w:val="000000" w:themeColor="text1"/>
          <w:sz w:val="16"/>
          <w:szCs w:val="16"/>
        </w:rPr>
        <w:t xml:space="preserve"> Consejo de Estado. Sala de Consulta y Servicio Civil. Concepto del 02 de septiembre de 2013. Rad. 11001-03-06-000-2013-00412-00 (2168).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2122334716">
    <w:abstractNumId w:val="0"/>
  </w:num>
  <w:num w:numId="17" w16cid:durableId="6852539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EB7"/>
    <w:rsid w:val="00016F78"/>
    <w:rsid w:val="00030649"/>
    <w:rsid w:val="00036E95"/>
    <w:rsid w:val="00046945"/>
    <w:rsid w:val="00057199"/>
    <w:rsid w:val="00061B2A"/>
    <w:rsid w:val="00064440"/>
    <w:rsid w:val="00080518"/>
    <w:rsid w:val="00082362"/>
    <w:rsid w:val="00094F8D"/>
    <w:rsid w:val="000A4569"/>
    <w:rsid w:val="000A683E"/>
    <w:rsid w:val="000B19B9"/>
    <w:rsid w:val="000D0334"/>
    <w:rsid w:val="000D46AA"/>
    <w:rsid w:val="000D5DA7"/>
    <w:rsid w:val="000D6182"/>
    <w:rsid w:val="000F6486"/>
    <w:rsid w:val="00106EB7"/>
    <w:rsid w:val="00116940"/>
    <w:rsid w:val="00125105"/>
    <w:rsid w:val="00127233"/>
    <w:rsid w:val="00132D96"/>
    <w:rsid w:val="0014141E"/>
    <w:rsid w:val="001525E9"/>
    <w:rsid w:val="0015699B"/>
    <w:rsid w:val="001652E3"/>
    <w:rsid w:val="0018051B"/>
    <w:rsid w:val="001900D8"/>
    <w:rsid w:val="00192BB4"/>
    <w:rsid w:val="001A33BF"/>
    <w:rsid w:val="001B00DD"/>
    <w:rsid w:val="001E4177"/>
    <w:rsid w:val="001F0B24"/>
    <w:rsid w:val="001F51F7"/>
    <w:rsid w:val="001F7DC6"/>
    <w:rsid w:val="00204E80"/>
    <w:rsid w:val="0022400B"/>
    <w:rsid w:val="00224847"/>
    <w:rsid w:val="002421BB"/>
    <w:rsid w:val="00243CC8"/>
    <w:rsid w:val="0025796E"/>
    <w:rsid w:val="002707A2"/>
    <w:rsid w:val="00282F5F"/>
    <w:rsid w:val="00284766"/>
    <w:rsid w:val="002951A0"/>
    <w:rsid w:val="002962BC"/>
    <w:rsid w:val="002A093D"/>
    <w:rsid w:val="002A0DD0"/>
    <w:rsid w:val="002A49AC"/>
    <w:rsid w:val="002A64FD"/>
    <w:rsid w:val="002C4B63"/>
    <w:rsid w:val="002C7A84"/>
    <w:rsid w:val="002E2BF8"/>
    <w:rsid w:val="002E3942"/>
    <w:rsid w:val="002E4FD9"/>
    <w:rsid w:val="002F3617"/>
    <w:rsid w:val="00303388"/>
    <w:rsid w:val="0030657A"/>
    <w:rsid w:val="00322A85"/>
    <w:rsid w:val="00324168"/>
    <w:rsid w:val="00330834"/>
    <w:rsid w:val="0034115D"/>
    <w:rsid w:val="003448F4"/>
    <w:rsid w:val="00351998"/>
    <w:rsid w:val="00374F5E"/>
    <w:rsid w:val="00377E3E"/>
    <w:rsid w:val="003921FE"/>
    <w:rsid w:val="003A779E"/>
    <w:rsid w:val="003D0F4D"/>
    <w:rsid w:val="003D5B0D"/>
    <w:rsid w:val="003E0499"/>
    <w:rsid w:val="003E097A"/>
    <w:rsid w:val="003E377B"/>
    <w:rsid w:val="003E4F80"/>
    <w:rsid w:val="003E6439"/>
    <w:rsid w:val="003F3941"/>
    <w:rsid w:val="00406575"/>
    <w:rsid w:val="00414C74"/>
    <w:rsid w:val="004243A8"/>
    <w:rsid w:val="0042722E"/>
    <w:rsid w:val="00435157"/>
    <w:rsid w:val="00435E4C"/>
    <w:rsid w:val="0044528D"/>
    <w:rsid w:val="0045148E"/>
    <w:rsid w:val="0045528B"/>
    <w:rsid w:val="00466E39"/>
    <w:rsid w:val="00487821"/>
    <w:rsid w:val="004A1847"/>
    <w:rsid w:val="004A305D"/>
    <w:rsid w:val="004F21C4"/>
    <w:rsid w:val="004F685F"/>
    <w:rsid w:val="00556694"/>
    <w:rsid w:val="005566E8"/>
    <w:rsid w:val="00572121"/>
    <w:rsid w:val="00574867"/>
    <w:rsid w:val="00591460"/>
    <w:rsid w:val="005A1D61"/>
    <w:rsid w:val="005A65E0"/>
    <w:rsid w:val="005B1633"/>
    <w:rsid w:val="005C3777"/>
    <w:rsid w:val="005C5CDC"/>
    <w:rsid w:val="005D476C"/>
    <w:rsid w:val="005F19AE"/>
    <w:rsid w:val="006071E3"/>
    <w:rsid w:val="006200BF"/>
    <w:rsid w:val="006219F8"/>
    <w:rsid w:val="006302F7"/>
    <w:rsid w:val="00646B9F"/>
    <w:rsid w:val="0066406D"/>
    <w:rsid w:val="00665D70"/>
    <w:rsid w:val="006900D9"/>
    <w:rsid w:val="006B5F73"/>
    <w:rsid w:val="006F0100"/>
    <w:rsid w:val="00706C16"/>
    <w:rsid w:val="0072619B"/>
    <w:rsid w:val="007267C8"/>
    <w:rsid w:val="007340C3"/>
    <w:rsid w:val="00735116"/>
    <w:rsid w:val="0075235A"/>
    <w:rsid w:val="00756841"/>
    <w:rsid w:val="007649AB"/>
    <w:rsid w:val="00771D0C"/>
    <w:rsid w:val="007774C5"/>
    <w:rsid w:val="0078025E"/>
    <w:rsid w:val="007833AC"/>
    <w:rsid w:val="007946AB"/>
    <w:rsid w:val="00794D2C"/>
    <w:rsid w:val="007A5495"/>
    <w:rsid w:val="007A6646"/>
    <w:rsid w:val="007B268C"/>
    <w:rsid w:val="007B7171"/>
    <w:rsid w:val="007C0C0F"/>
    <w:rsid w:val="007C3DC2"/>
    <w:rsid w:val="007E0038"/>
    <w:rsid w:val="007E5497"/>
    <w:rsid w:val="00806F5F"/>
    <w:rsid w:val="00820278"/>
    <w:rsid w:val="008258C9"/>
    <w:rsid w:val="00835A0C"/>
    <w:rsid w:val="00844AE9"/>
    <w:rsid w:val="00867F95"/>
    <w:rsid w:val="00873E9B"/>
    <w:rsid w:val="008843B6"/>
    <w:rsid w:val="00891928"/>
    <w:rsid w:val="008A446D"/>
    <w:rsid w:val="008B25F1"/>
    <w:rsid w:val="008B7EB5"/>
    <w:rsid w:val="008D180B"/>
    <w:rsid w:val="008F0EA7"/>
    <w:rsid w:val="00923EEF"/>
    <w:rsid w:val="00937C61"/>
    <w:rsid w:val="009419F9"/>
    <w:rsid w:val="0095685E"/>
    <w:rsid w:val="00961B09"/>
    <w:rsid w:val="00965334"/>
    <w:rsid w:val="0097093E"/>
    <w:rsid w:val="009A0DFA"/>
    <w:rsid w:val="009A1C6F"/>
    <w:rsid w:val="009B2D26"/>
    <w:rsid w:val="009C6142"/>
    <w:rsid w:val="009C71FA"/>
    <w:rsid w:val="009C72E7"/>
    <w:rsid w:val="009C7F7E"/>
    <w:rsid w:val="009D3058"/>
    <w:rsid w:val="009F3A13"/>
    <w:rsid w:val="009F791A"/>
    <w:rsid w:val="00A122D3"/>
    <w:rsid w:val="00A14468"/>
    <w:rsid w:val="00A17F13"/>
    <w:rsid w:val="00A20739"/>
    <w:rsid w:val="00A23AF9"/>
    <w:rsid w:val="00A33C78"/>
    <w:rsid w:val="00A43C16"/>
    <w:rsid w:val="00A8712F"/>
    <w:rsid w:val="00AB0ADB"/>
    <w:rsid w:val="00AC7F64"/>
    <w:rsid w:val="00AE3B29"/>
    <w:rsid w:val="00B00C0E"/>
    <w:rsid w:val="00B01B1A"/>
    <w:rsid w:val="00B0381D"/>
    <w:rsid w:val="00B1406E"/>
    <w:rsid w:val="00B411A3"/>
    <w:rsid w:val="00B44A47"/>
    <w:rsid w:val="00B72CD3"/>
    <w:rsid w:val="00B72FFF"/>
    <w:rsid w:val="00B92333"/>
    <w:rsid w:val="00BB7D32"/>
    <w:rsid w:val="00BC3D36"/>
    <w:rsid w:val="00BD0C45"/>
    <w:rsid w:val="00BD20FF"/>
    <w:rsid w:val="00BD54A6"/>
    <w:rsid w:val="00BD7F72"/>
    <w:rsid w:val="00BF7425"/>
    <w:rsid w:val="00C04FB3"/>
    <w:rsid w:val="00C11D8B"/>
    <w:rsid w:val="00C15139"/>
    <w:rsid w:val="00C330EB"/>
    <w:rsid w:val="00C35034"/>
    <w:rsid w:val="00C50D69"/>
    <w:rsid w:val="00C5365C"/>
    <w:rsid w:val="00C64F91"/>
    <w:rsid w:val="00C65B5C"/>
    <w:rsid w:val="00C754BE"/>
    <w:rsid w:val="00C76B1C"/>
    <w:rsid w:val="00C90510"/>
    <w:rsid w:val="00C925AC"/>
    <w:rsid w:val="00C927AE"/>
    <w:rsid w:val="00CA3853"/>
    <w:rsid w:val="00CA3F14"/>
    <w:rsid w:val="00CB015D"/>
    <w:rsid w:val="00CB2338"/>
    <w:rsid w:val="00CB6357"/>
    <w:rsid w:val="00CC1B26"/>
    <w:rsid w:val="00D23F56"/>
    <w:rsid w:val="00D259FC"/>
    <w:rsid w:val="00D279C6"/>
    <w:rsid w:val="00D33EFF"/>
    <w:rsid w:val="00D361FD"/>
    <w:rsid w:val="00D423A2"/>
    <w:rsid w:val="00D44E26"/>
    <w:rsid w:val="00D520D8"/>
    <w:rsid w:val="00D57DCB"/>
    <w:rsid w:val="00D63AC2"/>
    <w:rsid w:val="00D7383B"/>
    <w:rsid w:val="00D7788A"/>
    <w:rsid w:val="00D9366B"/>
    <w:rsid w:val="00DA231B"/>
    <w:rsid w:val="00DC39FC"/>
    <w:rsid w:val="00DC4AE0"/>
    <w:rsid w:val="00DE2D83"/>
    <w:rsid w:val="00DF5254"/>
    <w:rsid w:val="00E02524"/>
    <w:rsid w:val="00E05154"/>
    <w:rsid w:val="00E109EE"/>
    <w:rsid w:val="00E12F47"/>
    <w:rsid w:val="00E16408"/>
    <w:rsid w:val="00E20894"/>
    <w:rsid w:val="00E245AB"/>
    <w:rsid w:val="00E2764C"/>
    <w:rsid w:val="00E27F2E"/>
    <w:rsid w:val="00E50AFE"/>
    <w:rsid w:val="00E65C62"/>
    <w:rsid w:val="00E716C9"/>
    <w:rsid w:val="00E75C92"/>
    <w:rsid w:val="00E771DC"/>
    <w:rsid w:val="00E8772A"/>
    <w:rsid w:val="00E90F6B"/>
    <w:rsid w:val="00E92C27"/>
    <w:rsid w:val="00EA0E3D"/>
    <w:rsid w:val="00EC2B37"/>
    <w:rsid w:val="00EC38A7"/>
    <w:rsid w:val="00EC67AA"/>
    <w:rsid w:val="00EE1AA8"/>
    <w:rsid w:val="00EE5583"/>
    <w:rsid w:val="00F23FEA"/>
    <w:rsid w:val="00F270CA"/>
    <w:rsid w:val="00F31EDC"/>
    <w:rsid w:val="00F462B3"/>
    <w:rsid w:val="00F5664F"/>
    <w:rsid w:val="00F666C4"/>
    <w:rsid w:val="00F76AFC"/>
    <w:rsid w:val="00F772F8"/>
    <w:rsid w:val="00F77958"/>
    <w:rsid w:val="00FA47C0"/>
    <w:rsid w:val="00FB5DD1"/>
    <w:rsid w:val="00FC2B5D"/>
    <w:rsid w:val="00FC4ED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FA493A4-8C14-4685-8622-F15F19A46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E3B29"/>
    <w:pPr>
      <w:spacing w:line="240" w:lineRule="exact"/>
    </w:pPr>
    <w:rPr>
      <w:vertAlign w:val="superscript"/>
    </w:rPr>
  </w:style>
  <w:style w:type="character" w:customStyle="1" w:styleId="NormalWebCar">
    <w:name w:val="Normal (Web) Car"/>
    <w:link w:val="NormalWeb"/>
    <w:uiPriority w:val="99"/>
    <w:locked/>
    <w:rsid w:val="00AE3B29"/>
    <w:rPr>
      <w:rFonts w:ascii="Times New Roman" w:eastAsia="Times New Roman" w:hAnsi="Times New Roman" w:cs="Times New Roman"/>
      <w:sz w:val="24"/>
      <w:szCs w:val="24"/>
      <w:lang w:eastAsia="es-CO"/>
    </w:rPr>
  </w:style>
  <w:style w:type="character" w:customStyle="1" w:styleId="baj">
    <w:name w:val="b_aj"/>
    <w:basedOn w:val="Fuentedeprrafopredeter"/>
    <w:rsid w:val="00AE3B29"/>
  </w:style>
  <w:style w:type="table" w:customStyle="1" w:styleId="Tablaconcuadrcula11">
    <w:name w:val="Tabla con cuadrícula11"/>
    <w:basedOn w:val="Tablanormal"/>
    <w:next w:val="Tablaconcuadrcula"/>
    <w:uiPriority w:val="39"/>
    <w:qFormat/>
    <w:rsid w:val="00AE3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AE3B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5">
    <w:name w:val="s15"/>
    <w:basedOn w:val="Fuentedeprrafopredeter"/>
    <w:rsid w:val="00487821"/>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E097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05464337">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lmis.bruges%40colombiacompra.gov.co%7C7128555136e04fa6887d08dee99e1b50%7C7b09041e245149d08cb179d5e3d8c1be%7C0%7C0%7C639205062448313260%7CUnknown%7CTWFpbGZsb3d8eyJFbXB0eU1hcGkiOnRydWUsIlYiOiIwLjAuMDAwMCIsIlAiOiJXaW4zMiIsIkFOIjoiTWFpbCIsIldUIjoyfQ%3D%3D%7C0%7C%7C%7C&amp;sdata=PWB8ysTfGANaKDXK6eWlLOU%2BBqiJe%2BINY2KXAKdmwC4%3D&amp;reserved=0"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lmis.bruges%40colombiacompra.gov.co%7C7128555136e04fa6887d08dee99e1b50%7C7b09041e245149d08cb179d5e3d8c1be%7C0%7C0%7C639205062448449606%7CUnknown%7CTWFpbGZsb3d8eyJFbXB0eU1hcGkiOnRydWUsIlYiOiIwLjAuMDAwMCIsIlAiOiJXaW4zMiIsIkFOIjoiTWFpbCIsIldUIjoyfQ%3D%3D%7C0%7C%7C%7C&amp;sdata=T3S9FDtEoS67Wx8P%2FeZ4CtytwM37bW%2FCDD1BDi8JhU4%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plazas@procuraduria.gov.c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lmis.bruges%40colombiacompra.gov.co%7C7128555136e04fa6887d08dee99e1b50%7C7b09041e245149d08cb179d5e3d8c1be%7C0%7C0%7C639205062448418483%7CUnknown%7CTWFpbGZsb3d8eyJFbXB0eU1hcGkiOnRydWUsIlYiOiIwLjAuMDAwMCIsIlAiOiJXaW4zMiIsIkFOIjoiTWFpbCIsIldUIjoyfQ%3D%3D%7C0%7C%7C%7C&amp;sdata=Lw88GN50UcFim3kzSl9M8dlsx3kbnb54uQShTOIBvAw%3D&amp;reserved=0"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lmis.bruges%40colombiacompra.gov.co%7C7128555136e04fa6887d08dee99e1b50%7C7b09041e245149d08cb179d5e3d8c1be%7C0%7C0%7C639205062448374558%7CUnknown%7CTWFpbGZsb3d8eyJFbXB0eU1hcGkiOnRydWUsIlYiOiIwLjAuMDAwMCIsIlAiOiJXaW4zMiIsIkFOIjoiTWFpbCIsIldUIjoyfQ%3D%3D%7C0%7C%7C%7C&amp;sdata=r%2FZhRCHF9UzC0eh%2FV6T2oxgPtj8EHPV2B4oylbUVf%2BA%3D&amp;reserved=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0EAFA7-21DD-4808-B6F4-0ABB405E48C4}"/>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24</Pages>
  <Words>8432</Words>
  <Characters>46380</Characters>
  <Application>Microsoft Office Word</Application>
  <DocSecurity>0</DocSecurity>
  <Lines>386</Lines>
  <Paragraphs>109</Paragraphs>
  <ScaleCrop>false</ScaleCrop>
  <Company/>
  <LinksUpToDate>false</LinksUpToDate>
  <CharactersWithSpaces>54703</CharactersWithSpaces>
  <SharedDoc>false</SharedDoc>
  <HLinks>
    <vt:vector size="60"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3604592</vt:i4>
      </vt:variant>
      <vt:variant>
        <vt:i4>15</vt:i4>
      </vt:variant>
      <vt:variant>
        <vt:i4>0</vt:i4>
      </vt:variant>
      <vt:variant>
        <vt:i4>5</vt:i4>
      </vt:variant>
      <vt:variant>
        <vt:lpwstr>https://nam02.safelinks.protection.outlook.com/?url=https%3A%2F%2Fwww.colombiacompra.gov.co%2Farchivos%2Fboletin%2Fboletin-edicion-n-3-de-2026-radar-de-la-compra-publica&amp;data=05%7C02%7Ckelmis.bruges%40colombiacompra.gov.co%7C7128555136e04fa6887d08dee99e1b50%7C7b09041e245149d08cb179d5e3d8c1be%7C0%7C0%7C639205062448449606%7CUnknown%7CTWFpbGZsb3d8eyJFbXB0eU1hcGkiOnRydWUsIlYiOiIwLjAuMDAwMCIsIlAiOiJXaW4zMiIsIkFOIjoiTWFpbCIsIldUIjoyfQ%3D%3D%7C0%7C%7C%7C&amp;sdata=T3S9FDtEoS67Wx8P%2FeZ4CtytwM37bW%2FCDD1BDi8JhU4%3D&amp;reserved=0</vt:lpwstr>
      </vt:variant>
      <vt:variant>
        <vt:lpwstr/>
      </vt:variant>
      <vt:variant>
        <vt:i4>3473533</vt:i4>
      </vt:variant>
      <vt:variant>
        <vt:i4>12</vt:i4>
      </vt:variant>
      <vt:variant>
        <vt:i4>0</vt:i4>
      </vt:variant>
      <vt:variant>
        <vt:i4>5</vt:i4>
      </vt:variant>
      <vt:variant>
        <vt:lpwstr>https://nam02.safelinks.protection.outlook.com/?url=https%3A%2F%2Fwww.colombiacompra.gov.co%2Farchivos%2Fcircular%2Fcircular-externa-002-de-2026&amp;data=05%7C02%7Ckelmis.bruges%40colombiacompra.gov.co%7C7128555136e04fa6887d08dee99e1b50%7C7b09041e245149d08cb179d5e3d8c1be%7C0%7C0%7C639205062448418483%7CUnknown%7CTWFpbGZsb3d8eyJFbXB0eU1hcGkiOnRydWUsIlYiOiIwLjAuMDAwMCIsIlAiOiJXaW4zMiIsIkFOIjoiTWFpbCIsIldUIjoyfQ%3D%3D%7C0%7C%7C%7C&amp;sdata=Lw88GN50UcFim3kzSl9M8dlsx3kbnb54uQShTOIBvAw%3D&amp;reserved=0</vt:lpwstr>
      </vt:variant>
      <vt:variant>
        <vt:lpwstr/>
      </vt:variant>
      <vt:variant>
        <vt:i4>3407997</vt:i4>
      </vt:variant>
      <vt:variant>
        <vt:i4>9</vt:i4>
      </vt:variant>
      <vt:variant>
        <vt:i4>0</vt:i4>
      </vt:variant>
      <vt:variant>
        <vt:i4>5</vt:i4>
      </vt:variant>
      <vt:variant>
        <vt:lpwstr>https://nam02.safelinks.protection.outlook.com/?url=https%3A%2F%2Fwww.colombiacompra.gov.co%2Farchivos%2Fcircular%2Fcircular-externa-003-de-2026&amp;data=05%7C02%7Ckelmis.bruges%40colombiacompra.gov.co%7C7128555136e04fa6887d08dee99e1b50%7C7b09041e245149d08cb179d5e3d8c1be%7C0%7C0%7C639205062448374558%7CUnknown%7CTWFpbGZsb3d8eyJFbXB0eU1hcGkiOnRydWUsIlYiOiIwLjAuMDAwMCIsIlAiOiJXaW4zMiIsIkFOIjoiTWFpbCIsIldUIjoyfQ%3D%3D%7C0%7C%7C%7C&amp;sdata=r%2FZhRCHF9UzC0eh%2FV6T2oxgPtj8EHPV2B4oylbUVf%2BA%3D&amp;reserved=0</vt:lpwstr>
      </vt:variant>
      <vt:variant>
        <vt:lpwstr/>
      </vt:variant>
      <vt:variant>
        <vt:i4>2293885</vt:i4>
      </vt:variant>
      <vt:variant>
        <vt:i4>6</vt:i4>
      </vt:variant>
      <vt:variant>
        <vt:i4>0</vt:i4>
      </vt:variant>
      <vt:variant>
        <vt:i4>5</vt:i4>
      </vt:variant>
      <vt:variant>
        <vt:lpwstr>https://nam02.safelinks.protection.outlook.com/?url=https%3A%2F%2Fwww.colombiacompra.gov.co%2Farchivos%2Fmanual%2Fguia-de-garantias-en-procesos-de-contratacion&amp;data=05%7C02%7Ckelmis.bruges%40colombiacompra.gov.co%7C7128555136e04fa6887d08dee99e1b50%7C7b09041e245149d08cb179d5e3d8c1be%7C0%7C0%7C639205062448313260%7CUnknown%7CTWFpbGZsb3d8eyJFbXB0eU1hcGkiOnRydWUsIlYiOiIwLjAuMDAwMCIsIlAiOiJXaW4zMiIsIkFOIjoiTWFpbCIsIldUIjoyfQ%3D%3D%7C0%7C%7C%7C&amp;sdata=PWB8ysTfGANaKDXK6eWlLOU%2BBqiJe%2BINY2KXAKdmwC4%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7995420</vt:i4>
      </vt:variant>
      <vt:variant>
        <vt:i4>0</vt:i4>
      </vt:variant>
      <vt:variant>
        <vt:i4>0</vt:i4>
      </vt:variant>
      <vt:variant>
        <vt:i4>5</vt:i4>
      </vt:variant>
      <vt:variant>
        <vt:lpwstr>mailto:jplazas@procuraduria.gov.co</vt:lpwstr>
      </vt:variant>
      <vt:variant>
        <vt:lpwstr/>
      </vt:variant>
      <vt:variant>
        <vt:i4>589848</vt:i4>
      </vt:variant>
      <vt:variant>
        <vt:i4>0</vt:i4>
      </vt:variant>
      <vt:variant>
        <vt:i4>0</vt:i4>
      </vt:variant>
      <vt:variant>
        <vt:i4>5</vt:i4>
      </vt:variant>
      <vt:variant>
        <vt:lpwstr>https://www.superfinanciera.gov.co/publicaciones/11188/consumidor-financierohistorico-informacion-generalinformacion-y-educacion-al-consumidor-financieroacerca-del-mercado-de-valoreslo-que-usted-debe-saber-sobrecalificacion-de-riesgo-11188/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2023-01-11T00:18:00Z</cp:lastPrinted>
  <dcterms:created xsi:type="dcterms:W3CDTF">2026-09-22T13:11:00Z</dcterms:created>
  <dcterms:modified xsi:type="dcterms:W3CDTF">2026-09-22T13:11:00Z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