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CB6B8" w14:textId="77777777" w:rsidR="00D54A2C" w:rsidRDefault="00000000">
      <w:pPr>
        <w:spacing w:after="0" w:line="240" w:lineRule="auto"/>
        <w:jc w:val="both"/>
        <w:rPr>
          <w:rFonts w:ascii="Verdana" w:hAnsi="Verdana" w:cs="Arial"/>
          <w:b/>
          <w:bCs/>
          <w:color w:val="000000"/>
          <w:lang w:val="es-ES"/>
        </w:rPr>
      </w:pPr>
      <w:r>
        <w:rPr>
          <w:rFonts w:ascii="Verdana" w:hAnsi="Verdana" w:cs="Arial"/>
          <w:b/>
          <w:bCs/>
          <w:color w:val="000000"/>
          <w:lang w:val="es-ES"/>
        </w:rPr>
        <w:t>MODIFICACIÓN DE LOS CONTRATOS ESTATALES – Mutabilidad – Fundamento – Carácter excepcional</w:t>
      </w:r>
    </w:p>
    <w:p w14:paraId="5B0A8BF5" w14:textId="77777777" w:rsidR="00D54A2C" w:rsidRDefault="00D54A2C">
      <w:pPr>
        <w:spacing w:after="0" w:line="240" w:lineRule="auto"/>
        <w:jc w:val="both"/>
        <w:rPr>
          <w:rFonts w:ascii="Verdana" w:hAnsi="Verdana" w:cs="Arial"/>
          <w:bCs/>
          <w:color w:val="000000"/>
          <w:sz w:val="20"/>
          <w:szCs w:val="20"/>
          <w:lang w:val="es-ES"/>
        </w:rPr>
      </w:pPr>
    </w:p>
    <w:p w14:paraId="3EA80B0C" w14:textId="77777777" w:rsidR="00D54A2C" w:rsidRDefault="00000000">
      <w:pPr>
        <w:spacing w:after="0" w:line="240" w:lineRule="auto"/>
        <w:jc w:val="both"/>
        <w:rPr>
          <w:rFonts w:ascii="Verdana" w:hAnsi="Verdana" w:cs="Arial"/>
          <w:bCs/>
          <w:color w:val="000000"/>
          <w:sz w:val="20"/>
          <w:szCs w:val="20"/>
          <w:lang w:val="es-ES"/>
        </w:rPr>
      </w:pPr>
      <w:r>
        <w:rPr>
          <w:rFonts w:ascii="Verdana" w:hAnsi="Verdana" w:cs="Arial"/>
          <w:bCs/>
          <w:color w:val="000000"/>
          <w:sz w:val="20"/>
          <w:szCs w:val="20"/>
          <w:lang w:val="es-ES"/>
        </w:rPr>
        <w:t>El contrato estatal puede ajustarse durante su ejecución cuando ello sea necesario para cumplir los fines señalados en el artículo 3 de la Ley 80 de 1993 y satisfacer la necesidad que le dio origen. Esta posibilidad es excepcional, en tanto lo pactado obliga a las partes conforme al artículo 1602 del Código Civil. La modificación procede cuando con ella se pretenda garantizar el interés público, la entidad haya verificado que la causa es real y cierta y exista fundamento legal para adoptarla. El simple acuerdo de las partes o la conveniencia sobreviniente de alguna de ellas no son, por sí solos, causa suficiente para modificar el contrato.</w:t>
      </w:r>
    </w:p>
    <w:p w14:paraId="4FBCAB6B" w14:textId="77777777" w:rsidR="00D54A2C" w:rsidRDefault="00D54A2C">
      <w:pPr>
        <w:spacing w:after="0" w:line="240" w:lineRule="auto"/>
        <w:jc w:val="both"/>
        <w:rPr>
          <w:rFonts w:ascii="Verdana" w:hAnsi="Verdana" w:cs="Arial"/>
          <w:bCs/>
          <w:color w:val="000000"/>
          <w:sz w:val="20"/>
          <w:szCs w:val="20"/>
          <w:lang w:val="es-ES"/>
        </w:rPr>
      </w:pPr>
    </w:p>
    <w:p w14:paraId="1408FC78" w14:textId="3630D323" w:rsidR="00D54A2C" w:rsidRDefault="00000000">
      <w:pPr>
        <w:spacing w:after="0" w:line="240" w:lineRule="auto"/>
        <w:jc w:val="both"/>
        <w:rPr>
          <w:rFonts w:ascii="Verdana" w:hAnsi="Verdana" w:cs="Arial"/>
          <w:b/>
          <w:bCs/>
          <w:color w:val="000000"/>
          <w:lang w:val="es-ES"/>
        </w:rPr>
      </w:pPr>
      <w:r>
        <w:rPr>
          <w:rFonts w:ascii="Verdana" w:hAnsi="Verdana" w:cs="Arial"/>
          <w:b/>
          <w:bCs/>
          <w:color w:val="000000"/>
          <w:lang w:val="es-ES"/>
        </w:rPr>
        <w:t xml:space="preserve">MODIFICACIÓN DE LOS CONTRATOS ESTATALES – Modalidades – Modificación bilateral – Modificación unilateral – Ius variandi </w:t>
      </w:r>
    </w:p>
    <w:p w14:paraId="37CA3DD8" w14:textId="77777777" w:rsidR="00D54A2C" w:rsidRDefault="00D54A2C">
      <w:pPr>
        <w:spacing w:after="0" w:line="240" w:lineRule="auto"/>
        <w:jc w:val="both"/>
        <w:rPr>
          <w:rFonts w:ascii="Verdana" w:hAnsi="Verdana" w:cs="Arial"/>
          <w:bCs/>
          <w:color w:val="000000"/>
          <w:sz w:val="20"/>
          <w:szCs w:val="20"/>
          <w:lang w:val="es-ES"/>
        </w:rPr>
      </w:pPr>
    </w:p>
    <w:p w14:paraId="64B34E6D" w14:textId="77777777" w:rsidR="00D54A2C" w:rsidRDefault="00000000">
      <w:pPr>
        <w:spacing w:after="0" w:line="240" w:lineRule="auto"/>
        <w:jc w:val="both"/>
        <w:rPr>
          <w:rFonts w:ascii="Verdana" w:hAnsi="Verdana" w:cs="Arial"/>
          <w:bCs/>
          <w:color w:val="000000"/>
          <w:sz w:val="20"/>
          <w:szCs w:val="20"/>
          <w:lang w:val="es-ES"/>
        </w:rPr>
      </w:pPr>
      <w:r>
        <w:rPr>
          <w:rFonts w:ascii="Verdana" w:hAnsi="Verdana" w:cs="Arial"/>
          <w:bCs/>
          <w:color w:val="000000"/>
          <w:sz w:val="20"/>
          <w:szCs w:val="20"/>
          <w:lang w:val="es-ES"/>
        </w:rPr>
        <w:t>El contrato puede modificarse de común acuerdo, mediante un documento suscrito por las partes con fundamento en el artículo 40 de la Ley 80 de 1993, o de manera unilateral por la entidad, conforme al artículo 16 de la misma ley. La modificación unilateral procede cuando, siendo necesario introducir variaciones para evitar la paralización o la afectación grave del servicio público que se deba satisfacer con el contrato, las partes no llegan previamente a un acuerdo. Se adopta mediante acto administrativo motivado y consiste en la supresión o adición de obras, trabajos, suministros o servicios. Si la modificación altera el valor del contrato en un veinte por ciento (20%) o más del valor inicial, el contratista podrá renunciar a la continuación de la ejecución.</w:t>
      </w:r>
    </w:p>
    <w:p w14:paraId="4DD485F6" w14:textId="77777777" w:rsidR="00D54A2C" w:rsidRDefault="00D54A2C">
      <w:pPr>
        <w:spacing w:after="0" w:line="240" w:lineRule="auto"/>
        <w:jc w:val="both"/>
        <w:rPr>
          <w:rFonts w:ascii="Verdana" w:hAnsi="Verdana" w:cs="Arial"/>
          <w:bCs/>
          <w:color w:val="000000"/>
          <w:sz w:val="20"/>
          <w:szCs w:val="20"/>
          <w:lang w:val="es-ES"/>
        </w:rPr>
      </w:pPr>
    </w:p>
    <w:p w14:paraId="6D240A74" w14:textId="16725902" w:rsidR="00D54A2C" w:rsidRDefault="00000000">
      <w:pPr>
        <w:spacing w:after="0" w:line="240" w:lineRule="auto"/>
        <w:jc w:val="both"/>
        <w:rPr>
          <w:rFonts w:ascii="Verdana" w:hAnsi="Verdana" w:cs="Arial"/>
          <w:b/>
          <w:bCs/>
          <w:color w:val="000000"/>
          <w:lang w:val="es-ES"/>
        </w:rPr>
      </w:pPr>
      <w:r>
        <w:rPr>
          <w:rFonts w:ascii="Verdana" w:hAnsi="Verdana" w:cs="Arial"/>
          <w:b/>
          <w:bCs/>
          <w:color w:val="000000"/>
          <w:lang w:val="es-ES"/>
        </w:rPr>
        <w:t>CLÁUSULAS EXCEPCIONALES – Contrato de prestación de servicios – Carácter facultativo</w:t>
      </w:r>
    </w:p>
    <w:p w14:paraId="1AB1E70C" w14:textId="77777777" w:rsidR="00D54A2C" w:rsidRDefault="00D54A2C">
      <w:pPr>
        <w:spacing w:after="0" w:line="240" w:lineRule="auto"/>
        <w:jc w:val="both"/>
        <w:rPr>
          <w:rFonts w:ascii="Verdana" w:hAnsi="Verdana" w:cs="Arial"/>
          <w:bCs/>
          <w:color w:val="000000"/>
          <w:sz w:val="20"/>
          <w:szCs w:val="20"/>
          <w:lang w:val="es-ES"/>
        </w:rPr>
      </w:pPr>
    </w:p>
    <w:p w14:paraId="35F98835" w14:textId="77777777" w:rsidR="00D54A2C" w:rsidRDefault="00000000">
      <w:pPr>
        <w:spacing w:after="0" w:line="240" w:lineRule="auto"/>
        <w:jc w:val="both"/>
        <w:rPr>
          <w:rFonts w:ascii="Verdana" w:hAnsi="Verdana" w:cs="Arial"/>
          <w:bCs/>
          <w:color w:val="000000"/>
          <w:sz w:val="20"/>
          <w:szCs w:val="20"/>
          <w:lang w:val="es-ES"/>
        </w:rPr>
      </w:pPr>
      <w:r>
        <w:rPr>
          <w:rFonts w:ascii="Verdana" w:hAnsi="Verdana" w:cs="Arial"/>
          <w:bCs/>
          <w:color w:val="000000"/>
          <w:sz w:val="20"/>
          <w:szCs w:val="20"/>
          <w:lang w:val="es-ES"/>
        </w:rPr>
        <w:t>De acuerdo con el numeral 2 del artículo 14 de la Ley 80 de 1993, las cláusulas excepcionales de terminación, interpretación y modificación unilaterales, de sometimiento a las leyes nacionales y de caducidad se pactan en los contratos que tengan por objeto el ejercicio de una actividad que constituya monopolio estatal, la prestación de servicios públicos, los relacionados con el programa de alimentación escolar o la explotación y concesión de bienes del Estado, así como en los contratos de obra. En los contratos de suministro y de prestación de servicios su inclusión es potestativa, por lo que la facultad de modificación unilateral solo puede ejercerse si fue estipulada expresamente. Si no se pactó, la modificación de un contrato de prestación de servicios de apoyo a la gestión requiere el acuerdo de las partes.</w:t>
      </w:r>
    </w:p>
    <w:p w14:paraId="40EB32B8" w14:textId="77777777" w:rsidR="00D54A2C" w:rsidRDefault="00D54A2C">
      <w:pPr>
        <w:spacing w:after="0" w:line="240" w:lineRule="auto"/>
        <w:jc w:val="both"/>
        <w:rPr>
          <w:rFonts w:ascii="Verdana" w:hAnsi="Verdana" w:cs="Arial"/>
          <w:bCs/>
          <w:color w:val="000000"/>
          <w:sz w:val="20"/>
          <w:szCs w:val="20"/>
          <w:lang w:val="es-ES"/>
        </w:rPr>
      </w:pPr>
    </w:p>
    <w:p w14:paraId="1A05920A" w14:textId="77777777" w:rsidR="00D54A2C" w:rsidRDefault="00000000">
      <w:pPr>
        <w:spacing w:after="0" w:line="240" w:lineRule="auto"/>
        <w:jc w:val="both"/>
        <w:rPr>
          <w:rFonts w:ascii="Verdana" w:hAnsi="Verdana" w:cs="Arial"/>
          <w:b/>
          <w:bCs/>
          <w:color w:val="000000"/>
          <w:lang w:val="es-ES"/>
        </w:rPr>
      </w:pPr>
      <w:r>
        <w:rPr>
          <w:rFonts w:ascii="Verdana" w:hAnsi="Verdana" w:cs="Arial"/>
          <w:b/>
          <w:bCs/>
          <w:color w:val="000000"/>
          <w:lang w:val="es-ES"/>
        </w:rPr>
        <w:t>LÍMITES A LA MODIFICACIÓN – Límites temporales – Límites formales – Límites materiales – Límites axiológicos – Adición en más del 50%</w:t>
      </w:r>
    </w:p>
    <w:p w14:paraId="62C05143" w14:textId="77777777" w:rsidR="00D54A2C" w:rsidRDefault="00D54A2C">
      <w:pPr>
        <w:spacing w:after="0" w:line="240" w:lineRule="auto"/>
        <w:jc w:val="both"/>
        <w:rPr>
          <w:rFonts w:ascii="Verdana" w:hAnsi="Verdana" w:cs="Arial"/>
          <w:bCs/>
          <w:color w:val="000000"/>
          <w:sz w:val="20"/>
          <w:szCs w:val="20"/>
          <w:lang w:val="es-ES"/>
        </w:rPr>
      </w:pPr>
    </w:p>
    <w:p w14:paraId="06FA6A0F" w14:textId="77777777" w:rsidR="00D54A2C" w:rsidRDefault="00000000">
      <w:pPr>
        <w:spacing w:after="0" w:line="240" w:lineRule="auto"/>
        <w:jc w:val="both"/>
        <w:rPr>
          <w:rFonts w:ascii="Verdana" w:hAnsi="Verdana" w:cs="Arial"/>
          <w:bCs/>
          <w:color w:val="000000"/>
          <w:sz w:val="20"/>
          <w:szCs w:val="20"/>
          <w:lang w:val="es-ES"/>
        </w:rPr>
      </w:pPr>
      <w:r>
        <w:rPr>
          <w:rFonts w:ascii="Verdana" w:hAnsi="Verdana" w:cs="Arial"/>
          <w:bCs/>
          <w:color w:val="000000"/>
          <w:sz w:val="20"/>
          <w:szCs w:val="20"/>
          <w:lang w:val="es-ES"/>
        </w:rPr>
        <w:t xml:space="preserve">La modificación debe efectuarse durante el plazo de ejecución del contrato, constar por escrito, estar justificada en los documentos del proceso y publicarse en el Sistema </w:t>
      </w:r>
      <w:r>
        <w:rPr>
          <w:rFonts w:ascii="Verdana" w:hAnsi="Verdana" w:cs="Arial"/>
          <w:bCs/>
          <w:color w:val="000000"/>
          <w:sz w:val="20"/>
          <w:szCs w:val="20"/>
          <w:lang w:val="es-ES"/>
        </w:rPr>
        <w:lastRenderedPageBreak/>
        <w:t>Electrónico de Contratación Pública. No puede alterar las condiciones sustanciales que sirvieron de base para la selección del contratista ni superar el límite del parágrafo del artículo 40 de la Ley 80 de 1993, según el cual los contratos no podrán adicionarse en más del cincuenta por ciento (50%) de su valor inicial, expresado en salarios mínimos legales mensuales. Además, debe fundarse en una causa real y cierta y atender los principios de planeación, transparencia, economía, responsabilidad y selección objetiva. Estos límites deben cumplirse de manera concurrente.</w:t>
      </w:r>
    </w:p>
    <w:p w14:paraId="4FC37872" w14:textId="77777777" w:rsidR="00D54A2C" w:rsidRDefault="00D54A2C">
      <w:pPr>
        <w:spacing w:after="0" w:line="240" w:lineRule="auto"/>
        <w:jc w:val="both"/>
        <w:rPr>
          <w:rFonts w:ascii="Verdana" w:hAnsi="Verdana" w:cs="Arial"/>
          <w:bCs/>
          <w:color w:val="000000"/>
          <w:sz w:val="20"/>
          <w:szCs w:val="20"/>
          <w:lang w:val="es-ES"/>
        </w:rPr>
      </w:pPr>
    </w:p>
    <w:p w14:paraId="18F093B2" w14:textId="23A1106F" w:rsidR="00D54A2C" w:rsidRDefault="00000000">
      <w:pPr>
        <w:spacing w:after="0" w:line="240" w:lineRule="auto"/>
        <w:jc w:val="both"/>
        <w:rPr>
          <w:rFonts w:ascii="Verdana" w:hAnsi="Verdana" w:cs="Arial"/>
          <w:b/>
          <w:bCs/>
          <w:color w:val="000000"/>
          <w:lang w:val="es-ES"/>
        </w:rPr>
      </w:pPr>
      <w:r>
        <w:rPr>
          <w:rFonts w:ascii="Verdana" w:hAnsi="Verdana" w:cs="Arial"/>
          <w:b/>
          <w:bCs/>
          <w:color w:val="000000"/>
          <w:lang w:val="es-ES"/>
        </w:rPr>
        <w:t>OBJETO CONTRACTUAL – Elemento esencial –</w:t>
      </w:r>
    </w:p>
    <w:p w14:paraId="605EC4D1" w14:textId="77777777" w:rsidR="00D54A2C" w:rsidRDefault="00D54A2C">
      <w:pPr>
        <w:spacing w:after="0" w:line="240" w:lineRule="auto"/>
        <w:jc w:val="both"/>
        <w:rPr>
          <w:rFonts w:ascii="Verdana" w:hAnsi="Verdana" w:cs="Arial"/>
          <w:bCs/>
          <w:color w:val="000000"/>
          <w:sz w:val="20"/>
          <w:szCs w:val="20"/>
          <w:lang w:val="es-ES"/>
        </w:rPr>
      </w:pPr>
    </w:p>
    <w:p w14:paraId="2EB165C3" w14:textId="77777777" w:rsidR="00D54A2C" w:rsidRDefault="00000000">
      <w:pPr>
        <w:spacing w:after="0" w:line="240" w:lineRule="auto"/>
        <w:jc w:val="both"/>
        <w:rPr>
          <w:rFonts w:ascii="Verdana" w:hAnsi="Verdana" w:cs="Arial"/>
          <w:bCs/>
          <w:color w:val="000000"/>
          <w:sz w:val="20"/>
          <w:szCs w:val="20"/>
          <w:lang w:val="es-ES"/>
        </w:rPr>
      </w:pPr>
      <w:r>
        <w:rPr>
          <w:rFonts w:ascii="Verdana" w:hAnsi="Verdana" w:cs="Arial"/>
          <w:bCs/>
          <w:color w:val="000000"/>
          <w:sz w:val="20"/>
          <w:szCs w:val="20"/>
          <w:lang w:val="es-ES"/>
        </w:rPr>
        <w:t>El artículo 1501 del Código Civil distingue en los contratos los elementos de la esencia, de la naturaleza y accidentales, y define como esenciales aquellos sin los cuales el contrato no produce efecto alguno o degenera en otro contrato diferente. El objeto es un elemento esencial del contrato estatal, porque identifica la prestación a cargo del contratista y determina la tipología contractual, la modalidad de selección y las condiciones de idoneidad exigibles. En concordancia, el inciso primero del artículo 40 de la Ley 80 de 1993 dispone que las estipulaciones de los contratos serán las que correspondan a su esencia y naturaleza.</w:t>
      </w:r>
    </w:p>
    <w:p w14:paraId="6699A987" w14:textId="77777777" w:rsidR="00D54A2C" w:rsidRDefault="00D54A2C">
      <w:pPr>
        <w:spacing w:after="0" w:line="240" w:lineRule="auto"/>
        <w:jc w:val="both"/>
        <w:rPr>
          <w:rFonts w:ascii="Verdana" w:hAnsi="Verdana" w:cs="Arial"/>
          <w:bCs/>
          <w:color w:val="000000"/>
          <w:sz w:val="20"/>
          <w:szCs w:val="20"/>
          <w:lang w:val="es-ES"/>
        </w:rPr>
      </w:pPr>
    </w:p>
    <w:p w14:paraId="30098905" w14:textId="77777777" w:rsidR="00D54A2C" w:rsidRDefault="00000000">
      <w:pPr>
        <w:spacing w:after="0" w:line="240" w:lineRule="auto"/>
        <w:jc w:val="both"/>
        <w:rPr>
          <w:rFonts w:ascii="Verdana" w:hAnsi="Verdana" w:cs="Arial"/>
          <w:b/>
          <w:bCs/>
          <w:color w:val="000000"/>
          <w:lang w:val="es-ES"/>
        </w:rPr>
      </w:pPr>
      <w:r>
        <w:rPr>
          <w:rFonts w:ascii="Verdana" w:hAnsi="Verdana" w:cs="Arial"/>
          <w:b/>
          <w:bCs/>
          <w:color w:val="000000"/>
          <w:lang w:val="es-ES"/>
        </w:rPr>
        <w:t>LÍMITE A LAS MODIFICACIONES – Imposibilidad de modificar el objeto – Celebración de un nuevo contrato – Consecuencias</w:t>
      </w:r>
    </w:p>
    <w:p w14:paraId="78DA4AA5" w14:textId="77777777" w:rsidR="00D54A2C" w:rsidRDefault="00D54A2C">
      <w:pPr>
        <w:spacing w:after="0" w:line="240" w:lineRule="auto"/>
        <w:jc w:val="both"/>
        <w:rPr>
          <w:rFonts w:ascii="Verdana" w:hAnsi="Verdana" w:cs="Arial"/>
          <w:bCs/>
          <w:color w:val="000000"/>
          <w:sz w:val="20"/>
          <w:szCs w:val="20"/>
          <w:lang w:val="es-ES"/>
        </w:rPr>
      </w:pPr>
    </w:p>
    <w:p w14:paraId="696EA73B" w14:textId="77777777" w:rsidR="00D54A2C" w:rsidRDefault="00000000">
      <w:pPr>
        <w:spacing w:after="0" w:line="240" w:lineRule="auto"/>
        <w:jc w:val="both"/>
        <w:rPr>
          <w:rFonts w:ascii="Verdana" w:hAnsi="Verdana" w:cs="Arial"/>
          <w:bCs/>
          <w:color w:val="000000"/>
          <w:sz w:val="20"/>
          <w:szCs w:val="20"/>
          <w:lang w:val="es-ES"/>
        </w:rPr>
      </w:pPr>
      <w:r>
        <w:rPr>
          <w:rFonts w:ascii="Verdana" w:hAnsi="Verdana" w:cs="Arial"/>
          <w:bCs/>
          <w:color w:val="000000"/>
          <w:sz w:val="20"/>
          <w:szCs w:val="20"/>
          <w:lang w:val="es-ES"/>
        </w:rPr>
        <w:t>El objeto del contrato es el límite de las modificaciones contractuales. Las modificaciones no podrían suponer la variación del objeto de un contrato, pues ello supondría la alteración de su esencia; si se presentara esta situación, lo indicado sería celebrar uno nuevo. La Corte Constitucional ha señalado que la modificación del contrato no puede ser de tal entidad que altere su esencia y lo convierta en otro tipo de negocio jurídico. En consecuencia, cuando la necesidad de la entidad exija un objeto distinto, deberá adelantarse el procedimiento de selección que corresponda. La contratación de un nuevo objeto mediante un documento modificatorio, sin agotar dicho procedimiento, puede comprometer la validez del negocio jurídico a la luz del artículo 44 de la Ley 80 de 1993 y la responsabilidad de los servidores públicos que intervengan.</w:t>
      </w:r>
    </w:p>
    <w:p w14:paraId="5512760C" w14:textId="77777777" w:rsidR="00D54A2C" w:rsidRDefault="00D54A2C">
      <w:pPr>
        <w:spacing w:after="0" w:line="240" w:lineRule="auto"/>
        <w:jc w:val="both"/>
        <w:rPr>
          <w:rFonts w:ascii="Verdana" w:hAnsi="Verdana" w:cs="Arial"/>
          <w:bCs/>
          <w:color w:val="000000"/>
          <w:sz w:val="20"/>
          <w:szCs w:val="20"/>
          <w:lang w:val="es-ES"/>
        </w:rPr>
      </w:pPr>
    </w:p>
    <w:p w14:paraId="40478E9D" w14:textId="77777777" w:rsidR="00D54A2C" w:rsidRDefault="00000000">
      <w:pPr>
        <w:spacing w:after="0" w:line="240" w:lineRule="auto"/>
        <w:jc w:val="both"/>
        <w:rPr>
          <w:rFonts w:ascii="Verdana" w:hAnsi="Verdana" w:cs="Arial"/>
          <w:b/>
          <w:bCs/>
          <w:color w:val="000000"/>
          <w:lang w:val="es-ES"/>
        </w:rPr>
      </w:pPr>
      <w:r>
        <w:rPr>
          <w:rFonts w:ascii="Verdana" w:hAnsi="Verdana" w:cs="Arial"/>
          <w:b/>
          <w:bCs/>
          <w:color w:val="000000"/>
          <w:lang w:val="es-ES"/>
        </w:rPr>
        <w:t>OBLIGACIONES Y ACTIVIDADES – Contenido prestacional – Modificación – Relación directa y necesaria con el objeto – Criterios de verificación</w:t>
      </w:r>
    </w:p>
    <w:p w14:paraId="1436F83A" w14:textId="77777777" w:rsidR="00D54A2C" w:rsidRDefault="00D54A2C">
      <w:pPr>
        <w:spacing w:after="0" w:line="240" w:lineRule="auto"/>
        <w:jc w:val="both"/>
        <w:rPr>
          <w:rFonts w:ascii="Verdana" w:hAnsi="Verdana" w:cs="Arial"/>
          <w:bCs/>
          <w:color w:val="000000"/>
          <w:sz w:val="20"/>
          <w:szCs w:val="20"/>
          <w:lang w:val="es-ES"/>
        </w:rPr>
      </w:pPr>
    </w:p>
    <w:p w14:paraId="1BDD7EB9" w14:textId="77777777" w:rsidR="00D54A2C" w:rsidRDefault="00000000">
      <w:pPr>
        <w:spacing w:after="0" w:line="240" w:lineRule="auto"/>
        <w:jc w:val="both"/>
        <w:rPr>
          <w:rFonts w:ascii="Verdana" w:hAnsi="Verdana" w:cs="Arial"/>
          <w:bCs/>
          <w:color w:val="000000"/>
          <w:sz w:val="20"/>
          <w:szCs w:val="20"/>
          <w:lang w:val="es-ES"/>
        </w:rPr>
      </w:pPr>
      <w:r>
        <w:rPr>
          <w:rFonts w:ascii="Verdana" w:hAnsi="Verdana" w:cs="Arial"/>
          <w:bCs/>
          <w:color w:val="000000"/>
          <w:sz w:val="20"/>
          <w:szCs w:val="20"/>
          <w:lang w:val="es-ES"/>
        </w:rPr>
        <w:t xml:space="preserve">Las obligaciones y actividades mediante las cuales se ejecuta el objeto pueden suprimirse, adicionarse o sustituirse, siempre que mantengan una relación directa y necesaria con el objeto pactado y se encuentren comprendidas dentro de su alcance. Para establecer si el ajuste se mantiene dentro del objeto, la entidad puede tener en cuenta, entre otros elementos, la correspondencia de la actividad con la necesidad descrita en los estudios previos, su contribución al cumplimiento del objeto, la posibilidad de contratarla de manera independiente, la conservación de la tipología contractual y de </w:t>
      </w:r>
      <w:r>
        <w:rPr>
          <w:rFonts w:ascii="Verdana" w:hAnsi="Verdana" w:cs="Arial"/>
          <w:bCs/>
          <w:color w:val="000000"/>
          <w:sz w:val="20"/>
          <w:szCs w:val="20"/>
          <w:lang w:val="es-ES"/>
        </w:rPr>
        <w:lastRenderedPageBreak/>
        <w:t>la modalidad de selección aplicable, y la permanencia de las condiciones que justificaron la escogencia del contratista. Estos elementos deben valorarse en conjunto y su análisis debe constar en los documentos del proceso.</w:t>
      </w:r>
    </w:p>
    <w:p w14:paraId="1B5334C9" w14:textId="77777777" w:rsidR="00D54A2C" w:rsidRDefault="00D54A2C">
      <w:pPr>
        <w:spacing w:after="0" w:line="240" w:lineRule="auto"/>
        <w:jc w:val="both"/>
        <w:rPr>
          <w:rFonts w:ascii="Verdana" w:hAnsi="Verdana" w:cs="Arial"/>
          <w:bCs/>
          <w:color w:val="000000"/>
          <w:sz w:val="20"/>
          <w:szCs w:val="20"/>
          <w:lang w:val="es-ES"/>
        </w:rPr>
      </w:pPr>
    </w:p>
    <w:p w14:paraId="621CB1A0" w14:textId="77777777" w:rsidR="00D54A2C" w:rsidRDefault="00000000">
      <w:pPr>
        <w:spacing w:after="0" w:line="240" w:lineRule="auto"/>
        <w:jc w:val="both"/>
        <w:rPr>
          <w:rFonts w:ascii="Verdana" w:hAnsi="Verdana" w:cs="Arial"/>
          <w:b/>
          <w:bCs/>
          <w:color w:val="000000"/>
          <w:lang w:val="es-ES"/>
        </w:rPr>
      </w:pPr>
      <w:r>
        <w:rPr>
          <w:rFonts w:ascii="Verdana" w:hAnsi="Verdana" w:cs="Arial"/>
          <w:b/>
          <w:bCs/>
          <w:color w:val="000000"/>
          <w:lang w:val="es-ES"/>
        </w:rPr>
        <w:t>CONTRATO DE PRESTACIÓN DE SERVICIOS DE APOYO A LA GESTIÓN – Contratación directa – Idoneidad – Incidencia en la modificación</w:t>
      </w:r>
    </w:p>
    <w:p w14:paraId="01D72038" w14:textId="77777777" w:rsidR="00D54A2C" w:rsidRDefault="00D54A2C">
      <w:pPr>
        <w:spacing w:after="0" w:line="240" w:lineRule="auto"/>
        <w:jc w:val="both"/>
        <w:rPr>
          <w:rFonts w:ascii="Verdana" w:hAnsi="Verdana" w:cs="Arial"/>
          <w:bCs/>
          <w:color w:val="000000"/>
          <w:sz w:val="20"/>
          <w:szCs w:val="20"/>
          <w:lang w:val="es-ES"/>
        </w:rPr>
      </w:pPr>
    </w:p>
    <w:p w14:paraId="34FBB6B2" w14:textId="77777777" w:rsidR="00D54A2C" w:rsidRDefault="00000000">
      <w:pPr>
        <w:spacing w:after="0" w:line="240" w:lineRule="auto"/>
        <w:jc w:val="both"/>
        <w:rPr>
          <w:rFonts w:ascii="Verdana" w:hAnsi="Verdana" w:cs="Arial"/>
          <w:bCs/>
          <w:color w:val="000000"/>
          <w:sz w:val="20"/>
          <w:szCs w:val="20"/>
          <w:lang w:val="es-ES"/>
        </w:rPr>
      </w:pPr>
      <w:r>
        <w:rPr>
          <w:rFonts w:ascii="Verdana" w:hAnsi="Verdana" w:cs="Arial"/>
          <w:bCs/>
          <w:color w:val="000000"/>
          <w:sz w:val="20"/>
          <w:szCs w:val="20"/>
          <w:lang w:val="es-ES"/>
        </w:rPr>
        <w:t>Los contratos de prestación de servicios de apoyo a la gestión se celebran mediante contratación directa, conforme al literal h) del numeral 4 del artículo 2 de la Ley 1150 de 2007 y al artículo 2.2.1.2.1.4.9 del Decreto 1082 de 2015, previa verificación de la idoneidad o experiencia requerida y relacionada con el área de que se trate. Cuando la modificación incorpore actividades de un área distinta de aquella para la cual se verificó la idoneidad del contratista, la entidad deberá verificar nuevamente que este cuenta con la idoneidad o experiencia requerida para ejecutarlas y dejar constancia de ello en los documentos del proceso.</w:t>
      </w:r>
    </w:p>
    <w:p w14:paraId="379CA6E7" w14:textId="77777777" w:rsidR="00D54A2C" w:rsidRDefault="00D54A2C">
      <w:pPr>
        <w:spacing w:after="0" w:line="240" w:lineRule="auto"/>
        <w:jc w:val="both"/>
        <w:rPr>
          <w:rFonts w:ascii="Verdana" w:hAnsi="Verdana" w:cs="Arial"/>
          <w:bCs/>
          <w:color w:val="000000"/>
          <w:sz w:val="20"/>
          <w:szCs w:val="20"/>
          <w:lang w:val="es-ES"/>
        </w:rPr>
      </w:pPr>
    </w:p>
    <w:p w14:paraId="0FBBCD67" w14:textId="77777777" w:rsidR="00D54A2C" w:rsidRDefault="00000000">
      <w:pPr>
        <w:spacing w:after="0" w:line="240" w:lineRule="auto"/>
        <w:jc w:val="both"/>
        <w:rPr>
          <w:rFonts w:ascii="Verdana" w:hAnsi="Verdana" w:cs="Arial"/>
          <w:b/>
          <w:bCs/>
          <w:color w:val="000000"/>
          <w:lang w:val="es-ES"/>
        </w:rPr>
      </w:pPr>
      <w:r>
        <w:rPr>
          <w:rFonts w:ascii="Verdana" w:hAnsi="Verdana" w:cs="Arial"/>
          <w:b/>
          <w:bCs/>
          <w:color w:val="000000"/>
          <w:lang w:val="es-ES"/>
        </w:rPr>
        <w:t>PRESTACIÓN DE SERVICIOS – Modificación – Prohibición de encubrir relación laboral – Planeación</w:t>
      </w:r>
    </w:p>
    <w:p w14:paraId="32C3A7F5" w14:textId="77777777" w:rsidR="00D54A2C" w:rsidRDefault="00D54A2C">
      <w:pPr>
        <w:spacing w:after="0" w:line="240" w:lineRule="auto"/>
        <w:jc w:val="both"/>
        <w:rPr>
          <w:rFonts w:ascii="Verdana" w:hAnsi="Verdana" w:cs="Arial"/>
          <w:bCs/>
          <w:color w:val="000000"/>
          <w:sz w:val="20"/>
          <w:szCs w:val="20"/>
          <w:lang w:val="es-ES"/>
        </w:rPr>
      </w:pPr>
    </w:p>
    <w:p w14:paraId="170F3D0B" w14:textId="77777777" w:rsidR="00D54A2C" w:rsidRDefault="00000000">
      <w:pPr>
        <w:spacing w:after="0" w:line="240" w:lineRule="auto"/>
        <w:jc w:val="both"/>
        <w:rPr>
          <w:rFonts w:ascii="Verdana" w:hAnsi="Verdana" w:cs="Arial"/>
          <w:bCs/>
          <w:color w:val="000000"/>
          <w:sz w:val="20"/>
          <w:szCs w:val="20"/>
          <w:lang w:val="es-ES"/>
        </w:rPr>
      </w:pPr>
      <w:r>
        <w:rPr>
          <w:rFonts w:ascii="Verdana" w:hAnsi="Verdana" w:cs="Arial"/>
          <w:bCs/>
          <w:color w:val="000000"/>
          <w:sz w:val="20"/>
          <w:szCs w:val="20"/>
          <w:lang w:val="es-ES"/>
        </w:rPr>
        <w:t>La modificación de las actividades de un contrato de prestación de servicios no puede implicar la asignación de funciones permanentes propias de los empleos de planta ni la subordinación del contratista, ni prolongar el contrato más allá del término estrictamente indispensable exigido por el numeral 3 del artículo 32 de la Ley 80 de 1993. Las actividades deben corresponder a la necesidad identificada en los estudios previos. La modificación procede para atender circunstancias sobrevinientes debidamente justificadas, y las deficiencias de la etapa de planeación no constituyen, por sí mismas, causa suficiente para modificar el contrato.</w:t>
      </w:r>
    </w:p>
    <w:p w14:paraId="3EA59D12" w14:textId="77777777" w:rsidR="00D54A2C" w:rsidRDefault="00D54A2C">
      <w:pPr>
        <w:spacing w:after="0" w:line="240" w:lineRule="auto"/>
        <w:jc w:val="both"/>
        <w:rPr>
          <w:rFonts w:ascii="Verdana" w:hAnsi="Verdana" w:cs="Arial"/>
          <w:bCs/>
          <w:color w:val="000000"/>
          <w:sz w:val="20"/>
          <w:szCs w:val="20"/>
          <w:lang w:val="es-ES"/>
        </w:rPr>
      </w:pPr>
    </w:p>
    <w:p w14:paraId="72879FB7" w14:textId="77777777" w:rsidR="00D54A2C" w:rsidRDefault="00000000">
      <w:pPr>
        <w:spacing w:after="0" w:line="240" w:lineRule="auto"/>
        <w:jc w:val="both"/>
        <w:rPr>
          <w:rFonts w:ascii="Verdana" w:hAnsi="Verdana" w:cs="Arial"/>
          <w:b/>
          <w:bCs/>
          <w:color w:val="000000"/>
          <w:lang w:val="es-ES"/>
        </w:rPr>
      </w:pPr>
      <w:r>
        <w:rPr>
          <w:rFonts w:ascii="Verdana" w:hAnsi="Verdana" w:cs="Arial"/>
          <w:b/>
          <w:bCs/>
          <w:color w:val="000000"/>
          <w:lang w:val="es-ES"/>
        </w:rPr>
        <w:t>ANÁLISIS DEL CASO CONCRETO – Autonomía de la entidad estatal – Competencia de la Agencia</w:t>
      </w:r>
    </w:p>
    <w:p w14:paraId="58072A10" w14:textId="77777777" w:rsidR="00D54A2C" w:rsidRDefault="00D54A2C">
      <w:pPr>
        <w:spacing w:after="0" w:line="240" w:lineRule="auto"/>
        <w:jc w:val="both"/>
        <w:rPr>
          <w:rFonts w:ascii="Verdana" w:hAnsi="Verdana" w:cs="Arial"/>
          <w:bCs/>
          <w:color w:val="000000"/>
          <w:sz w:val="20"/>
          <w:szCs w:val="20"/>
          <w:lang w:val="es-ES"/>
        </w:rPr>
      </w:pPr>
    </w:p>
    <w:p w14:paraId="25E587F3" w14:textId="77777777" w:rsidR="00D54A2C" w:rsidRDefault="00000000">
      <w:pPr>
        <w:spacing w:after="0" w:line="240" w:lineRule="auto"/>
        <w:jc w:val="both"/>
        <w:rPr>
          <w:rFonts w:ascii="Verdana" w:hAnsi="Verdana" w:cs="Arial"/>
          <w:bCs/>
          <w:color w:val="000000"/>
          <w:sz w:val="20"/>
          <w:szCs w:val="20"/>
          <w:lang w:val="es-ES"/>
        </w:rPr>
      </w:pPr>
      <w:r>
        <w:rPr>
          <w:rFonts w:ascii="Verdana" w:hAnsi="Verdana" w:cs="Arial"/>
          <w:bCs/>
          <w:color w:val="000000"/>
          <w:sz w:val="20"/>
          <w:szCs w:val="20"/>
          <w:lang w:val="es-ES"/>
        </w:rPr>
        <w:t>Corresponde a cada entidad estatal analizar, en ejercicio de su autonomía y bajo su responsabilidad, la procedencia jurídica, técnica y financiera de una modificación contractual determinada, verificar el cumplimiento de sus presupuestos y dejar constancia de ello en los documentos del proceso. No es atribución de la Agencia Nacional de Contratación Pública – Colombia Compra Eficiente validar, calificar o revisar esas actuaciones, ni sustituir a los organismos de control en el ejercicio de sus competencias.</w:t>
      </w:r>
    </w:p>
    <w:p w14:paraId="719D2A79" w14:textId="77777777" w:rsidR="00D54A2C" w:rsidRDefault="00D54A2C">
      <w:pPr>
        <w:spacing w:after="0" w:line="240" w:lineRule="auto"/>
        <w:jc w:val="both"/>
        <w:rPr>
          <w:rFonts w:ascii="Verdana" w:hAnsi="Verdana" w:cs="Arial"/>
          <w:bCs/>
          <w:color w:val="000000"/>
          <w:sz w:val="20"/>
          <w:szCs w:val="20"/>
          <w:lang w:val="es-ES"/>
        </w:rPr>
      </w:pPr>
    </w:p>
    <w:p w14:paraId="26A28CF9" w14:textId="77777777" w:rsidR="00317DDE" w:rsidRDefault="00317DDE">
      <w:pPr>
        <w:spacing w:after="0" w:line="240" w:lineRule="auto"/>
        <w:jc w:val="both"/>
        <w:rPr>
          <w:rFonts w:ascii="Verdana" w:eastAsia="Calibri" w:hAnsi="Verdana" w:cs="Times New Roman"/>
          <w:bCs/>
          <w:lang w:val="es-ES"/>
        </w:rPr>
      </w:pPr>
    </w:p>
    <w:p w14:paraId="260109BE" w14:textId="77777777" w:rsidR="007368C6" w:rsidRDefault="007368C6">
      <w:pPr>
        <w:spacing w:after="0" w:line="240" w:lineRule="auto"/>
        <w:jc w:val="both"/>
        <w:rPr>
          <w:rFonts w:ascii="Verdana" w:eastAsia="Calibri" w:hAnsi="Verdana" w:cs="Times New Roman"/>
          <w:bCs/>
          <w:lang w:val="es-ES"/>
        </w:rPr>
      </w:pPr>
    </w:p>
    <w:p w14:paraId="6C8CCE0F" w14:textId="77777777" w:rsidR="007368C6" w:rsidRDefault="007368C6">
      <w:pPr>
        <w:spacing w:after="0" w:line="240" w:lineRule="auto"/>
        <w:jc w:val="both"/>
        <w:rPr>
          <w:rFonts w:ascii="Verdana" w:eastAsia="Calibri" w:hAnsi="Verdana" w:cs="Times New Roman"/>
          <w:bCs/>
          <w:lang w:val="es-ES"/>
        </w:rPr>
      </w:pPr>
    </w:p>
    <w:p w14:paraId="112F5621" w14:textId="77777777" w:rsidR="007368C6" w:rsidRDefault="007368C6">
      <w:pPr>
        <w:spacing w:after="0" w:line="240" w:lineRule="auto"/>
        <w:jc w:val="both"/>
        <w:rPr>
          <w:rFonts w:ascii="Verdana" w:eastAsia="Calibri" w:hAnsi="Verdana" w:cs="Times New Roman"/>
          <w:bCs/>
          <w:lang w:val="es-ES"/>
        </w:rPr>
      </w:pPr>
    </w:p>
    <w:p w14:paraId="29CADC9C" w14:textId="77777777" w:rsidR="007368C6" w:rsidRDefault="007368C6">
      <w:pPr>
        <w:spacing w:after="0" w:line="240" w:lineRule="auto"/>
        <w:jc w:val="both"/>
        <w:rPr>
          <w:rFonts w:ascii="Verdana" w:eastAsia="Calibri" w:hAnsi="Verdana" w:cs="Times New Roman"/>
          <w:bCs/>
          <w:lang w:val="es-ES"/>
        </w:rPr>
      </w:pPr>
    </w:p>
    <w:p w14:paraId="52C92242" w14:textId="3BF68DD9" w:rsidR="002B2DF8" w:rsidRPr="002972D1" w:rsidRDefault="002B2DF8" w:rsidP="002B2DF8">
      <w:pPr>
        <w:spacing w:after="0" w:line="240" w:lineRule="auto"/>
        <w:jc w:val="both"/>
        <w:rPr>
          <w:rFonts w:ascii="Verdana" w:eastAsia="Calibri" w:hAnsi="Verdana" w:cs="Arial"/>
          <w:color w:val="000000"/>
          <w:lang w:val="es-ES"/>
        </w:rPr>
      </w:pPr>
      <w:r w:rsidRPr="00BF7921">
        <w:rPr>
          <w:rFonts w:ascii="Verdana" w:eastAsia="Geomanist Light" w:hAnsi="Verdana" w:cs="Arial"/>
          <w:color w:val="000000" w:themeColor="text1"/>
          <w:lang w:val="es-MX"/>
        </w:rPr>
        <w:lastRenderedPageBreak/>
        <w:t xml:space="preserve">Bogotá D.C., </w:t>
      </w:r>
      <w:r w:rsidR="002972D1">
        <w:rPr>
          <w:rFonts w:ascii="Verdana" w:eastAsia="Geomanist Light" w:hAnsi="Verdana" w:cs="Arial"/>
          <w:color w:val="000000" w:themeColor="text1"/>
          <w:lang w:val="es-MX"/>
        </w:rPr>
        <w:t xml:space="preserve">22 de Septiembre de 2026 </w:t>
      </w:r>
    </w:p>
    <w:p w14:paraId="093412E0" w14:textId="77777777" w:rsidR="002B2DF8" w:rsidRDefault="002B2DF8" w:rsidP="002B2DF8">
      <w:pPr>
        <w:spacing w:after="0" w:line="240" w:lineRule="auto"/>
        <w:jc w:val="both"/>
        <w:rPr>
          <w:rFonts w:ascii="Verdana" w:eastAsia="Calibri" w:hAnsi="Verdana" w:cs="Times New Roman"/>
          <w:bCs/>
          <w:lang w:val="es-ES"/>
        </w:rPr>
      </w:pPr>
    </w:p>
    <w:p w14:paraId="2DC4C722" w14:textId="183BCF0A" w:rsidR="002B2DF8" w:rsidRDefault="002B2DF8" w:rsidP="002972D1">
      <w:pPr>
        <w:spacing w:after="0" w:line="240" w:lineRule="auto"/>
        <w:jc w:val="right"/>
        <w:rPr>
          <w:rFonts w:ascii="Verdana" w:eastAsia="Calibri" w:hAnsi="Verdana" w:cs="Times New Roman"/>
          <w:bCs/>
          <w:lang w:val="es-ES"/>
        </w:rPr>
      </w:pPr>
    </w:p>
    <w:p w14:paraId="7118402F" w14:textId="498263DC" w:rsidR="002B2DF8" w:rsidRDefault="00CB166D" w:rsidP="002B2DF8">
      <w:pPr>
        <w:spacing w:after="0" w:line="240" w:lineRule="auto"/>
        <w:rPr>
          <w:rFonts w:ascii="Verdana" w:eastAsia="Calibri" w:hAnsi="Verdana" w:cs="Times New Roman"/>
          <w:bCs/>
          <w:lang w:val="es-ES"/>
        </w:rPr>
      </w:pPr>
      <w:r w:rsidRPr="002972D1">
        <w:rPr>
          <w:rFonts w:ascii="Verdana" w:eastAsia="Calibri" w:hAnsi="Verdana" w:cs="Times New Roman"/>
          <w:bCs/>
          <w:noProof/>
          <w:lang w:val="es-ES"/>
        </w:rPr>
        <w:drawing>
          <wp:anchor distT="0" distB="0" distL="114300" distR="114300" simplePos="0" relativeHeight="251658240" behindDoc="0" locked="0" layoutInCell="1" allowOverlap="1" wp14:anchorId="404C9049" wp14:editId="6F21FC3C">
            <wp:simplePos x="0" y="0"/>
            <wp:positionH relativeFrom="margin">
              <wp:align>right</wp:align>
            </wp:positionH>
            <wp:positionV relativeFrom="paragraph">
              <wp:posOffset>8890</wp:posOffset>
            </wp:positionV>
            <wp:extent cx="2488565" cy="929640"/>
            <wp:effectExtent l="0" t="0" r="6985" b="3810"/>
            <wp:wrapSquare wrapText="bothSides"/>
            <wp:docPr id="7957352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735233" name=""/>
                    <pic:cNvPicPr/>
                  </pic:nvPicPr>
                  <pic:blipFill>
                    <a:blip r:embed="rId11">
                      <a:extLst>
                        <a:ext uri="{28A0092B-C50C-407E-A947-70E740481C1C}">
                          <a14:useLocalDpi xmlns:a14="http://schemas.microsoft.com/office/drawing/2010/main" val="0"/>
                        </a:ext>
                      </a:extLst>
                    </a:blip>
                    <a:stretch>
                      <a:fillRect/>
                    </a:stretch>
                  </pic:blipFill>
                  <pic:spPr>
                    <a:xfrm>
                      <a:off x="0" y="0"/>
                      <a:ext cx="2488565" cy="929640"/>
                    </a:xfrm>
                    <a:prstGeom prst="rect">
                      <a:avLst/>
                    </a:prstGeom>
                  </pic:spPr>
                </pic:pic>
              </a:graphicData>
            </a:graphic>
            <wp14:sizeRelH relativeFrom="margin">
              <wp14:pctWidth>0</wp14:pctWidth>
            </wp14:sizeRelH>
            <wp14:sizeRelV relativeFrom="margin">
              <wp14:pctHeight>0</wp14:pctHeight>
            </wp14:sizeRelV>
          </wp:anchor>
        </w:drawing>
      </w:r>
      <w:r w:rsidR="002B2DF8">
        <w:rPr>
          <w:rFonts w:ascii="Verdana" w:eastAsia="Calibri" w:hAnsi="Verdana" w:cs="Times New Roman"/>
          <w:bCs/>
          <w:lang w:val="es-ES"/>
        </w:rPr>
        <w:t>Señor</w:t>
      </w:r>
    </w:p>
    <w:p w14:paraId="4A634D4D" w14:textId="4168D129" w:rsidR="002B2DF8" w:rsidRDefault="002B2DF8" w:rsidP="002B2DF8">
      <w:pPr>
        <w:spacing w:after="0" w:line="240" w:lineRule="auto"/>
        <w:rPr>
          <w:rFonts w:ascii="Verdana" w:eastAsia="Calibri" w:hAnsi="Verdana" w:cs="Times New Roman"/>
          <w:b/>
          <w:bCs/>
          <w:lang w:val="es-ES"/>
        </w:rPr>
      </w:pPr>
      <w:r>
        <w:rPr>
          <w:rFonts w:ascii="Verdana" w:eastAsia="Calibri" w:hAnsi="Verdana" w:cs="Times New Roman"/>
          <w:b/>
          <w:bCs/>
          <w:lang w:val="es-ES"/>
        </w:rPr>
        <w:t>ARLEY DE JESÚS RAMÍREZ PATIÑO</w:t>
      </w:r>
    </w:p>
    <w:p w14:paraId="5E9950F9" w14:textId="77777777" w:rsidR="002B2DF8" w:rsidRDefault="002B2DF8" w:rsidP="002B2DF8">
      <w:pPr>
        <w:spacing w:after="0" w:line="240" w:lineRule="auto"/>
        <w:rPr>
          <w:rFonts w:ascii="Verdana" w:eastAsia="Calibri" w:hAnsi="Verdana" w:cs="Times New Roman"/>
          <w:bCs/>
          <w:lang w:val="es-ES"/>
        </w:rPr>
      </w:pPr>
      <w:r>
        <w:rPr>
          <w:rFonts w:ascii="Verdana" w:eastAsia="Calibri" w:hAnsi="Verdana" w:cs="Times New Roman"/>
          <w:bCs/>
          <w:lang w:val="es-ES"/>
        </w:rPr>
        <w:t>Jefe de la Oficina de Control Interno</w:t>
      </w:r>
    </w:p>
    <w:p w14:paraId="3AC43DAB" w14:textId="77777777" w:rsidR="002B2DF8" w:rsidRDefault="002B2DF8" w:rsidP="002B2DF8">
      <w:pPr>
        <w:spacing w:after="0" w:line="240" w:lineRule="auto"/>
        <w:rPr>
          <w:rFonts w:ascii="Verdana" w:eastAsia="Calibri" w:hAnsi="Verdana" w:cs="Times New Roman"/>
          <w:bCs/>
          <w:lang w:val="es-ES"/>
        </w:rPr>
      </w:pPr>
      <w:r>
        <w:rPr>
          <w:rFonts w:ascii="Verdana" w:eastAsia="Calibri" w:hAnsi="Verdana" w:cs="Times New Roman"/>
          <w:bCs/>
          <w:lang w:val="es-ES"/>
        </w:rPr>
        <w:t>Personería Municipal de Itagüí</w:t>
      </w:r>
    </w:p>
    <w:p w14:paraId="157EA177" w14:textId="77777777" w:rsidR="002B2DF8" w:rsidRDefault="002B2DF8" w:rsidP="002B2DF8">
      <w:pPr>
        <w:spacing w:after="0" w:line="240" w:lineRule="auto"/>
        <w:rPr>
          <w:rFonts w:ascii="Verdana" w:eastAsia="Calibri" w:hAnsi="Verdana" w:cs="Times New Roman"/>
          <w:bCs/>
          <w:lang w:val="es-ES"/>
        </w:rPr>
      </w:pPr>
      <w:r>
        <w:rPr>
          <w:rFonts w:ascii="Verdana" w:eastAsia="Calibri" w:hAnsi="Verdana" w:cs="Times New Roman"/>
          <w:bCs/>
          <w:lang w:val="es-ES"/>
        </w:rPr>
        <w:t>controlinterno@personeriaitagui.gov.co</w:t>
      </w:r>
    </w:p>
    <w:p w14:paraId="36050BA0" w14:textId="77777777" w:rsidR="002B2DF8" w:rsidRDefault="002B2DF8" w:rsidP="002B2DF8">
      <w:pPr>
        <w:spacing w:after="0" w:line="240" w:lineRule="auto"/>
        <w:rPr>
          <w:rFonts w:ascii="Verdana" w:eastAsia="Calibri" w:hAnsi="Verdana" w:cs="Times New Roman"/>
          <w:bCs/>
          <w:lang w:val="es-ES"/>
        </w:rPr>
      </w:pPr>
      <w:r>
        <w:rPr>
          <w:rFonts w:ascii="Verdana" w:eastAsia="Calibri" w:hAnsi="Verdana" w:cs="Times New Roman"/>
          <w:bCs/>
          <w:lang w:val="es-ES"/>
        </w:rPr>
        <w:t>Itagüí, Antioquia</w:t>
      </w:r>
    </w:p>
    <w:p w14:paraId="7A9BD835" w14:textId="77777777" w:rsidR="002B2DF8" w:rsidRDefault="002B2DF8" w:rsidP="002B2DF8">
      <w:pPr>
        <w:spacing w:after="0" w:line="240" w:lineRule="auto"/>
        <w:rPr>
          <w:rFonts w:ascii="Verdana" w:eastAsia="Calibri" w:hAnsi="Verdana" w:cs="Times New Roman"/>
          <w:bCs/>
          <w:lang w:val="es-ES"/>
        </w:rPr>
      </w:pPr>
    </w:p>
    <w:p w14:paraId="47C25659" w14:textId="77777777" w:rsidR="002B2DF8" w:rsidRDefault="002B2DF8" w:rsidP="002B2DF8">
      <w:pPr>
        <w:spacing w:after="0" w:line="240" w:lineRule="auto"/>
        <w:jc w:val="both"/>
        <w:rPr>
          <w:rFonts w:ascii="Verdana" w:eastAsia="Calibri" w:hAnsi="Verdana" w:cs="Times New Roman"/>
          <w:bCs/>
          <w:lang w:val="es-ES"/>
        </w:rPr>
      </w:pPr>
    </w:p>
    <w:p w14:paraId="05778028" w14:textId="77777777" w:rsidR="002B2DF8" w:rsidRDefault="002B2DF8" w:rsidP="002B2DF8">
      <w:pPr>
        <w:spacing w:after="0" w:line="240" w:lineRule="auto"/>
        <w:jc w:val="center"/>
        <w:rPr>
          <w:rFonts w:ascii="Verdana" w:eastAsia="Calibri" w:hAnsi="Verdana" w:cs="Times New Roman"/>
          <w:b/>
          <w:bCs/>
          <w:lang w:val="es-ES"/>
        </w:rPr>
      </w:pPr>
      <w:r>
        <w:rPr>
          <w:rFonts w:ascii="Verdana" w:eastAsia="Calibri" w:hAnsi="Verdana" w:cs="Times New Roman"/>
          <w:b/>
          <w:bCs/>
          <w:lang w:val="es-ES"/>
        </w:rPr>
        <w:t xml:space="preserve">Concepto </w:t>
      </w:r>
      <w:r w:rsidRPr="007368C6">
        <w:rPr>
          <w:rFonts w:ascii="Verdana" w:eastAsia="Calibri" w:hAnsi="Verdana" w:cs="Times New Roman"/>
          <w:b/>
          <w:bCs/>
          <w:lang w:val="es-ES"/>
        </w:rPr>
        <w:t>C-1270</w:t>
      </w:r>
      <w:r>
        <w:rPr>
          <w:rFonts w:ascii="Verdana" w:eastAsia="Calibri" w:hAnsi="Verdana" w:cs="Times New Roman"/>
          <w:b/>
          <w:bCs/>
          <w:lang w:val="es-ES"/>
        </w:rPr>
        <w:t xml:space="preserve"> de 2026</w:t>
      </w:r>
    </w:p>
    <w:p w14:paraId="547C409E" w14:textId="77777777" w:rsidR="002B2DF8" w:rsidRDefault="002B2DF8" w:rsidP="002B2DF8">
      <w:pPr>
        <w:spacing w:after="0" w:line="240" w:lineRule="auto"/>
        <w:jc w:val="center"/>
        <w:rPr>
          <w:rFonts w:ascii="Verdana" w:eastAsia="Calibri" w:hAnsi="Verdana" w:cs="Times New Roman"/>
          <w:b/>
          <w:bCs/>
          <w:lang w:val="es-ES"/>
        </w:rPr>
      </w:pPr>
    </w:p>
    <w:p w14:paraId="3DC7CF2E" w14:textId="77777777" w:rsidR="002B2DF8" w:rsidRDefault="002B2DF8" w:rsidP="002B2DF8">
      <w:pPr>
        <w:spacing w:after="0" w:line="240" w:lineRule="auto"/>
        <w:jc w:val="center"/>
        <w:rPr>
          <w:rFonts w:ascii="Verdana" w:eastAsia="Calibri" w:hAnsi="Verdana" w:cs="Times New Roman"/>
          <w:b/>
          <w:bCs/>
          <w:lang w:val="es-ES"/>
        </w:rPr>
      </w:pPr>
    </w:p>
    <w:p w14:paraId="3563F320" w14:textId="77777777" w:rsidR="002B2DF8" w:rsidRDefault="002B2DF8" w:rsidP="002B2DF8">
      <w:pPr>
        <w:spacing w:after="0" w:line="240" w:lineRule="auto"/>
        <w:jc w:val="both"/>
        <w:rPr>
          <w:rFonts w:ascii="Verdana" w:eastAsia="Calibri" w:hAnsi="Verdana" w:cs="Times New Roman"/>
          <w:bCs/>
          <w:lang w:val="es-ES"/>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B2DF8" w:rsidRPr="002B4BE9" w14:paraId="62587FDA" w14:textId="77777777" w:rsidTr="009961C2">
        <w:trPr>
          <w:trHeight w:val="645"/>
        </w:trPr>
        <w:tc>
          <w:tcPr>
            <w:tcW w:w="2685" w:type="dxa"/>
            <w:hideMark/>
          </w:tcPr>
          <w:p w14:paraId="5672DD2D" w14:textId="77777777" w:rsidR="002B2DF8" w:rsidRDefault="002B2DF8" w:rsidP="009961C2">
            <w:pPr>
              <w:rPr>
                <w:rFonts w:ascii="Verdana" w:hAnsi="Verdana"/>
                <w:b/>
                <w:bCs/>
                <w:lang w:val="es-ES"/>
              </w:rPr>
            </w:pPr>
            <w:r>
              <w:rPr>
                <w:rFonts w:ascii="Verdana" w:hAnsi="Verdana"/>
                <w:b/>
                <w:bCs/>
                <w:lang w:val="es-ES"/>
              </w:rPr>
              <w:t>Temas:</w:t>
            </w:r>
          </w:p>
        </w:tc>
        <w:tc>
          <w:tcPr>
            <w:tcW w:w="6241" w:type="dxa"/>
            <w:hideMark/>
          </w:tcPr>
          <w:p w14:paraId="0F9BFD4A" w14:textId="77777777" w:rsidR="002B2DF8" w:rsidRDefault="002B2DF8" w:rsidP="009961C2">
            <w:pPr>
              <w:jc w:val="both"/>
              <w:rPr>
                <w:rFonts w:ascii="Verdana" w:hAnsi="Verdana"/>
                <w:bCs/>
                <w:lang w:val="es-ES"/>
              </w:rPr>
            </w:pPr>
            <w:r>
              <w:rPr>
                <w:rFonts w:ascii="Verdana" w:hAnsi="Verdana"/>
                <w:bCs/>
                <w:lang w:val="es-ES"/>
              </w:rPr>
              <w:t>MODIFICACIÓN DE LOS CONTRATOS ESTATALES – Mutabilidad – Carácter excepcional – Modalidades / MODIFICACIÓN UNILATERAL – Ius variandi – Artículo 16 de la Ley 80 de 1993 / CLÁUSULAS EXCEPCIONALES – Artículo 14, numeral 2 – Carácter facultativo en los contratos de prestación de servicios / LÍMITES A LA MODIFICACIÓN – Temporales – Formales – Materiales – Axiológicos – Adición en más del 50% / LÍMITE A LAS MODIFICACIONES – Objeto contractual – Elemento esencial – Imposibilidad de modificarlo – Celebración de un nuevo contrato / OBLIGACIONES Y ACTIVIDADES – Modificación – Relación directa y necesaria con el objeto / CONTRATO DE PRESTACIÓN DE SERVICIOS DE APOYO A LA GESTIÓN – Contratación directa – Idoneidad y experiencia – Planeación</w:t>
            </w:r>
          </w:p>
          <w:p w14:paraId="6E50AF9C" w14:textId="77777777" w:rsidR="002B2DF8" w:rsidRDefault="002B2DF8" w:rsidP="009961C2">
            <w:pPr>
              <w:jc w:val="both"/>
              <w:rPr>
                <w:rFonts w:ascii="Verdana" w:hAnsi="Verdana"/>
                <w:bCs/>
                <w:lang w:val="es-ES"/>
              </w:rPr>
            </w:pPr>
          </w:p>
          <w:p w14:paraId="286DE890" w14:textId="77777777" w:rsidR="002B2DF8" w:rsidRDefault="002B2DF8" w:rsidP="009961C2">
            <w:pPr>
              <w:jc w:val="both"/>
              <w:rPr>
                <w:rFonts w:ascii="Verdana" w:hAnsi="Verdana"/>
                <w:bCs/>
                <w:lang w:val="es-ES"/>
              </w:rPr>
            </w:pPr>
          </w:p>
          <w:p w14:paraId="1B7F9D94" w14:textId="77777777" w:rsidR="002B2DF8" w:rsidRDefault="002B2DF8" w:rsidP="009961C2">
            <w:pPr>
              <w:jc w:val="both"/>
              <w:rPr>
                <w:rFonts w:ascii="Verdana" w:hAnsi="Verdana"/>
                <w:bCs/>
                <w:lang w:val="es-ES"/>
              </w:rPr>
            </w:pPr>
          </w:p>
          <w:p w14:paraId="09CCF243" w14:textId="77777777" w:rsidR="002B2DF8" w:rsidRDefault="002B2DF8" w:rsidP="009961C2">
            <w:pPr>
              <w:jc w:val="both"/>
              <w:rPr>
                <w:rFonts w:ascii="Verdana" w:hAnsi="Verdana"/>
                <w:bCs/>
                <w:lang w:val="es-ES"/>
              </w:rPr>
            </w:pPr>
          </w:p>
        </w:tc>
        <w:tc>
          <w:tcPr>
            <w:tcW w:w="6237" w:type="dxa"/>
          </w:tcPr>
          <w:p w14:paraId="1676B05C" w14:textId="77777777" w:rsidR="002B2DF8" w:rsidRPr="002B4BE9" w:rsidRDefault="002B2DF8" w:rsidP="009961C2">
            <w:pPr>
              <w:rPr>
                <w:rFonts w:ascii="Verdana" w:hAnsi="Verdana"/>
                <w:lang w:val="es-ES"/>
              </w:rPr>
            </w:pPr>
          </w:p>
        </w:tc>
      </w:tr>
      <w:tr w:rsidR="002B2DF8" w:rsidRPr="002B4BE9" w14:paraId="2B0A98D4" w14:textId="77777777" w:rsidTr="009961C2">
        <w:tc>
          <w:tcPr>
            <w:tcW w:w="2685" w:type="dxa"/>
          </w:tcPr>
          <w:p w14:paraId="782DC481" w14:textId="77777777" w:rsidR="002B2DF8" w:rsidRDefault="002B2DF8" w:rsidP="009961C2">
            <w:pPr>
              <w:rPr>
                <w:rFonts w:ascii="Verdana" w:hAnsi="Verdana"/>
                <w:b/>
                <w:bCs/>
                <w:lang w:val="es-ES"/>
              </w:rPr>
            </w:pPr>
            <w:r>
              <w:rPr>
                <w:rFonts w:ascii="Verdana" w:hAnsi="Verdana"/>
                <w:b/>
                <w:bCs/>
                <w:lang w:val="es-ES"/>
              </w:rPr>
              <w:t>Radicación:</w:t>
            </w:r>
          </w:p>
        </w:tc>
        <w:tc>
          <w:tcPr>
            <w:tcW w:w="6241" w:type="dxa"/>
          </w:tcPr>
          <w:p w14:paraId="0ED881CD" w14:textId="77777777" w:rsidR="002B2DF8" w:rsidRDefault="002B2DF8" w:rsidP="009961C2">
            <w:pPr>
              <w:jc w:val="both"/>
              <w:rPr>
                <w:rFonts w:ascii="Verdana" w:hAnsi="Verdana"/>
                <w:bCs/>
                <w:lang w:val="es-ES"/>
              </w:rPr>
            </w:pPr>
            <w:r>
              <w:rPr>
                <w:rFonts w:ascii="Verdana" w:hAnsi="Verdana"/>
                <w:bCs/>
                <w:lang w:val="es-ES"/>
              </w:rPr>
              <w:t xml:space="preserve">Respuesta a consulta con radicado No. </w:t>
            </w:r>
            <w:r w:rsidRPr="007368C6">
              <w:rPr>
                <w:rFonts w:ascii="Verdana" w:hAnsi="Verdana"/>
                <w:bCs/>
                <w:lang w:val="es-ES"/>
              </w:rPr>
              <w:t>1_2026_08_12_010676</w:t>
            </w:r>
            <w:r>
              <w:rPr>
                <w:rFonts w:ascii="Verdana" w:hAnsi="Verdana"/>
                <w:bCs/>
                <w:lang w:val="es-ES"/>
              </w:rPr>
              <w:t xml:space="preserve"> </w:t>
            </w:r>
          </w:p>
        </w:tc>
        <w:tc>
          <w:tcPr>
            <w:tcW w:w="6237" w:type="dxa"/>
          </w:tcPr>
          <w:p w14:paraId="22F84F65" w14:textId="77777777" w:rsidR="002B2DF8" w:rsidRPr="002B4BE9" w:rsidRDefault="002B2DF8" w:rsidP="009961C2">
            <w:pPr>
              <w:rPr>
                <w:rFonts w:ascii="Verdana" w:hAnsi="Verdana"/>
              </w:rPr>
            </w:pPr>
          </w:p>
        </w:tc>
      </w:tr>
    </w:tbl>
    <w:p w14:paraId="5095CD43" w14:textId="77777777" w:rsidR="002B2DF8" w:rsidRDefault="002B2DF8" w:rsidP="002B2DF8">
      <w:pPr>
        <w:spacing w:after="0" w:line="240" w:lineRule="auto"/>
        <w:jc w:val="both"/>
        <w:rPr>
          <w:rFonts w:ascii="Verdana" w:eastAsia="Calibri" w:hAnsi="Verdana" w:cs="Times New Roman"/>
          <w:bCs/>
          <w:lang w:val="es-ES"/>
        </w:rPr>
      </w:pPr>
    </w:p>
    <w:p w14:paraId="1DF071C9" w14:textId="77777777" w:rsidR="002B2DF8" w:rsidRDefault="002B2DF8" w:rsidP="002B2DF8">
      <w:pPr>
        <w:spacing w:after="0" w:line="240" w:lineRule="auto"/>
        <w:jc w:val="both"/>
        <w:rPr>
          <w:rFonts w:ascii="Verdana" w:eastAsia="Calibri" w:hAnsi="Verdana" w:cs="Times New Roman"/>
          <w:bCs/>
          <w:lang w:val="es-ES"/>
        </w:rPr>
      </w:pPr>
    </w:p>
    <w:p w14:paraId="2C49FBD2" w14:textId="77777777" w:rsidR="002B2DF8" w:rsidRDefault="002B2DF8" w:rsidP="002B2DF8">
      <w:pPr>
        <w:spacing w:after="0" w:line="240" w:lineRule="auto"/>
        <w:rPr>
          <w:rFonts w:ascii="Verdana" w:eastAsia="Calibri" w:hAnsi="Verdana" w:cs="Times New Roman"/>
          <w:bCs/>
          <w:lang w:val="es-ES"/>
        </w:rPr>
      </w:pPr>
      <w:r>
        <w:rPr>
          <w:rFonts w:ascii="Verdana" w:eastAsia="Calibri" w:hAnsi="Verdana" w:cs="Times New Roman"/>
          <w:bCs/>
          <w:lang w:val="es-ES"/>
        </w:rPr>
        <w:t>Estimado señor Ramírez:</w:t>
      </w:r>
    </w:p>
    <w:p w14:paraId="2D4E6BED" w14:textId="77777777" w:rsidR="002B2DF8" w:rsidRDefault="002B2DF8" w:rsidP="002B2DF8">
      <w:pPr>
        <w:spacing w:after="0" w:line="240" w:lineRule="auto"/>
        <w:rPr>
          <w:rFonts w:ascii="Verdana" w:eastAsia="Calibri" w:hAnsi="Verdana" w:cs="Times New Roman"/>
          <w:bCs/>
          <w:lang w:val="es-ES"/>
        </w:rPr>
      </w:pPr>
    </w:p>
    <w:p w14:paraId="348F2543" w14:textId="77777777" w:rsidR="002B2DF8" w:rsidRDefault="002B2DF8" w:rsidP="002B2DF8">
      <w:pPr>
        <w:spacing w:after="0" w:line="276" w:lineRule="auto"/>
        <w:jc w:val="both"/>
        <w:rPr>
          <w:rFonts w:ascii="Verdana" w:hAnsi="Verdana" w:cs="Arial"/>
          <w:bCs/>
          <w:szCs w:val="24"/>
          <w:lang w:val="es-ES_tradnl" w:eastAsia="es-ES_tradnl"/>
        </w:rPr>
      </w:pPr>
    </w:p>
    <w:p w14:paraId="72953DB9"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lastRenderedPageBreak/>
        <w:t>La Agencia Nacional de Contratación Pública – Colombia Compra Eficiente, en ejercicio de las competencias otorgadas por el numeral 5 del artículo 3 y el numeral 8 del artículo 11 del Decreto Ley 4170 de 2011, así como lo establecido en la Resolución 469 de 2025 expedida por esta Entidad, responde su consulta del 28 de julio de 2026, dirigida inicialmente al Departamento Administrativo de la Función Pública – Espacio Virtual de Asesoría EVA y remitida a esta Agencia por razón de la competencia, en la que manifiesta actuar en su calidad de Jefe de la Oficina de Control Interno de la Personería Municipal de Itagüí y formula los siguientes interrogantes:</w:t>
      </w:r>
    </w:p>
    <w:p w14:paraId="626DDFDC" w14:textId="77777777" w:rsidR="002B2DF8" w:rsidRDefault="002B2DF8" w:rsidP="002B2DF8">
      <w:pPr>
        <w:spacing w:after="0" w:line="276" w:lineRule="auto"/>
        <w:jc w:val="both"/>
        <w:rPr>
          <w:rFonts w:ascii="Verdana" w:hAnsi="Verdana" w:cs="Arial"/>
          <w:bCs/>
          <w:szCs w:val="24"/>
          <w:lang w:val="es-ES_tradnl" w:eastAsia="es-ES_tradnl"/>
        </w:rPr>
      </w:pPr>
    </w:p>
    <w:p w14:paraId="2C31EC4A" w14:textId="77777777" w:rsidR="002B2DF8" w:rsidRDefault="002B2DF8" w:rsidP="002B2DF8">
      <w:pPr>
        <w:spacing w:after="0" w:line="240" w:lineRule="auto"/>
        <w:ind w:left="709" w:right="709"/>
        <w:jc w:val="both"/>
        <w:rPr>
          <w:rFonts w:ascii="Verdana" w:hAnsi="Verdana" w:cs="Arial"/>
          <w:sz w:val="20"/>
          <w:szCs w:val="20"/>
          <w:lang w:val="es-ES" w:eastAsia="es-ES"/>
        </w:rPr>
      </w:pPr>
      <w:r>
        <w:rPr>
          <w:rFonts w:ascii="Verdana" w:hAnsi="Verdana" w:cs="Arial"/>
          <w:sz w:val="20"/>
          <w:szCs w:val="20"/>
          <w:lang w:val="es-ES" w:eastAsia="es-ES"/>
        </w:rPr>
        <w:t>“En un contrato estatal celebrado bajo la modalidad de contratación directa para la prestación de servicios de apoyo a la gestión, ¿cuál es el alcance jurídico de las modificaciones que pueden realizarse durante su ejecución?, específicamente:</w:t>
      </w:r>
    </w:p>
    <w:p w14:paraId="1242A5E8" w14:textId="77777777" w:rsidR="002B2DF8" w:rsidRDefault="002B2DF8" w:rsidP="002B2DF8">
      <w:pPr>
        <w:spacing w:after="0" w:line="276" w:lineRule="auto"/>
        <w:jc w:val="both"/>
        <w:rPr>
          <w:rFonts w:ascii="Verdana" w:hAnsi="Verdana" w:cs="Arial"/>
          <w:bCs/>
          <w:szCs w:val="24"/>
          <w:lang w:val="es-ES_tradnl" w:eastAsia="es-ES_tradnl"/>
        </w:rPr>
      </w:pPr>
    </w:p>
    <w:p w14:paraId="21E372A6" w14:textId="77777777" w:rsidR="002B2DF8" w:rsidRDefault="002B2DF8" w:rsidP="002B2DF8">
      <w:pPr>
        <w:spacing w:after="0" w:line="240" w:lineRule="auto"/>
        <w:ind w:left="709" w:right="709"/>
        <w:jc w:val="both"/>
        <w:rPr>
          <w:rFonts w:ascii="Verdana" w:hAnsi="Verdana" w:cs="Arial"/>
          <w:sz w:val="20"/>
          <w:szCs w:val="20"/>
          <w:lang w:val="es-ES" w:eastAsia="es-ES"/>
        </w:rPr>
      </w:pPr>
      <w:r>
        <w:rPr>
          <w:rFonts w:ascii="Verdana" w:hAnsi="Verdana" w:cs="Arial"/>
          <w:sz w:val="20"/>
          <w:szCs w:val="20"/>
          <w:lang w:val="es-ES" w:eastAsia="es-ES"/>
        </w:rPr>
        <w:t>1. ¿Es jurídicamente procedente modificar las actividades inicialmente pactadas, siempre que continúen guardando relación directa con el objeto contractual?</w:t>
      </w:r>
    </w:p>
    <w:p w14:paraId="2DB21B14" w14:textId="77777777" w:rsidR="002B2DF8" w:rsidRDefault="002B2DF8" w:rsidP="002B2DF8">
      <w:pPr>
        <w:spacing w:after="0" w:line="276" w:lineRule="auto"/>
        <w:jc w:val="both"/>
        <w:rPr>
          <w:rFonts w:ascii="Verdana" w:hAnsi="Verdana" w:cs="Arial"/>
          <w:bCs/>
          <w:szCs w:val="24"/>
          <w:lang w:val="es-ES_tradnl" w:eastAsia="es-ES_tradnl"/>
        </w:rPr>
      </w:pPr>
    </w:p>
    <w:p w14:paraId="24C5A0C3" w14:textId="77777777" w:rsidR="002B2DF8" w:rsidRDefault="002B2DF8" w:rsidP="002B2DF8">
      <w:pPr>
        <w:spacing w:after="0" w:line="240" w:lineRule="auto"/>
        <w:ind w:left="709" w:right="709"/>
        <w:jc w:val="both"/>
        <w:rPr>
          <w:rFonts w:ascii="Verdana" w:hAnsi="Verdana" w:cs="Arial"/>
          <w:sz w:val="20"/>
          <w:szCs w:val="20"/>
          <w:lang w:val="es-ES" w:eastAsia="es-ES"/>
        </w:rPr>
      </w:pPr>
      <w:r>
        <w:rPr>
          <w:rFonts w:ascii="Verdana" w:hAnsi="Verdana" w:cs="Arial"/>
          <w:sz w:val="20"/>
          <w:szCs w:val="20"/>
          <w:lang w:val="es-ES" w:eastAsia="es-ES"/>
        </w:rPr>
        <w:t>2. ¿Puede modificarse el objeto contractual durante la ejecución del contrato?</w:t>
      </w:r>
    </w:p>
    <w:p w14:paraId="4CB53227" w14:textId="77777777" w:rsidR="002B2DF8" w:rsidRDefault="002B2DF8" w:rsidP="002B2DF8">
      <w:pPr>
        <w:spacing w:after="0" w:line="276" w:lineRule="auto"/>
        <w:jc w:val="both"/>
        <w:rPr>
          <w:rFonts w:ascii="Verdana" w:hAnsi="Verdana" w:cs="Arial"/>
          <w:bCs/>
          <w:szCs w:val="24"/>
          <w:lang w:val="es-ES_tradnl" w:eastAsia="es-ES_tradnl"/>
        </w:rPr>
      </w:pPr>
    </w:p>
    <w:p w14:paraId="5E51EFC9" w14:textId="77777777" w:rsidR="002B2DF8" w:rsidRDefault="002B2DF8" w:rsidP="002B2DF8">
      <w:pPr>
        <w:spacing w:after="0" w:line="240" w:lineRule="auto"/>
        <w:ind w:left="709" w:right="709"/>
        <w:jc w:val="both"/>
        <w:rPr>
          <w:rFonts w:ascii="Verdana" w:hAnsi="Verdana" w:cs="Arial"/>
          <w:sz w:val="20"/>
          <w:szCs w:val="20"/>
          <w:lang w:val="es-ES" w:eastAsia="es-ES"/>
        </w:rPr>
      </w:pPr>
      <w:r>
        <w:rPr>
          <w:rFonts w:ascii="Verdana" w:hAnsi="Verdana" w:cs="Arial"/>
          <w:sz w:val="20"/>
          <w:szCs w:val="20"/>
          <w:lang w:val="es-ES" w:eastAsia="es-ES"/>
        </w:rPr>
        <w:t>3. ¿Cuál es el elemento del contrato que, conforme a la Constitución, la ley y la jurisprudencia colombiana, constituye un límite infranqueable para las modificaciones contractuales, de tal manera que su alteración implique la celebración de un contrato diferente y no una simple modificación?”.</w:t>
      </w:r>
    </w:p>
    <w:p w14:paraId="0868E843" w14:textId="77777777" w:rsidR="002B2DF8" w:rsidRDefault="002B2DF8" w:rsidP="002B2DF8">
      <w:pPr>
        <w:spacing w:after="0" w:line="276" w:lineRule="auto"/>
        <w:jc w:val="both"/>
        <w:rPr>
          <w:rFonts w:ascii="Verdana" w:hAnsi="Verdana" w:cs="Arial"/>
          <w:bCs/>
          <w:szCs w:val="24"/>
          <w:lang w:val="es-ES_tradnl" w:eastAsia="es-ES_tradnl"/>
        </w:rPr>
      </w:pPr>
    </w:p>
    <w:p w14:paraId="3BA2F794" w14:textId="77777777" w:rsidR="002B2DF8" w:rsidRPr="00312431" w:rsidRDefault="002B2DF8" w:rsidP="002B2DF8">
      <w:pPr>
        <w:spacing w:after="120" w:line="276" w:lineRule="auto"/>
        <w:jc w:val="both"/>
        <w:rPr>
          <w:rFonts w:ascii="Verdana" w:eastAsia="Calibri" w:hAnsi="Verdana" w:cs="Times New Roman"/>
        </w:rPr>
      </w:pPr>
      <w:r w:rsidRPr="00312431">
        <w:rPr>
          <w:rFonts w:ascii="Verdana" w:eastAsia="Calibri" w:hAnsi="Verdana" w:cs="Times New Roman"/>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312431">
        <w:rPr>
          <w:rFonts w:ascii="Verdana" w:eastAsia="Calibri" w:hAnsi="Verdana" w:cs="Times New Roman"/>
        </w:rPr>
        <w:lastRenderedPageBreak/>
        <w:t xml:space="preserve">interpretación de normas generales, por definición, no puede extenderse a la resolución de controversias, ni a brindar asesorías sobre casos puntuales. </w:t>
      </w:r>
    </w:p>
    <w:p w14:paraId="7600CD2B" w14:textId="77777777" w:rsidR="002B2DF8" w:rsidRPr="00312431" w:rsidRDefault="002B2DF8" w:rsidP="002B2DF8">
      <w:pPr>
        <w:spacing w:after="0" w:line="276" w:lineRule="auto"/>
        <w:jc w:val="both"/>
        <w:rPr>
          <w:rFonts w:ascii="Verdana" w:eastAsia="Calibri" w:hAnsi="Verdana" w:cs="Times New Roman"/>
        </w:rPr>
      </w:pPr>
      <w:r w:rsidRPr="00312431">
        <w:rPr>
          <w:rFonts w:ascii="Verdana" w:eastAsia="Calibri" w:hAnsi="Verdana" w:cs="Times New Roman"/>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p>
    <w:p w14:paraId="17CBD3C0" w14:textId="77777777" w:rsidR="002B2DF8" w:rsidRDefault="002B2DF8" w:rsidP="002B2DF8">
      <w:pPr>
        <w:spacing w:after="0" w:line="276" w:lineRule="auto"/>
        <w:ind w:left="720"/>
        <w:rPr>
          <w:rFonts w:ascii="Verdana" w:eastAsia="Calibri" w:hAnsi="Verdana" w:cs="Times New Roman"/>
          <w:b/>
          <w:bCs/>
          <w:lang w:val="es-ES"/>
        </w:rPr>
      </w:pPr>
    </w:p>
    <w:p w14:paraId="01871A3C" w14:textId="77777777" w:rsidR="002B2DF8" w:rsidRDefault="002B2DF8" w:rsidP="002B2DF8">
      <w:pPr>
        <w:spacing w:after="0" w:line="276" w:lineRule="auto"/>
        <w:ind w:left="720"/>
        <w:rPr>
          <w:rFonts w:ascii="Verdana" w:eastAsia="Calibri" w:hAnsi="Verdana" w:cs="Times New Roman"/>
          <w:b/>
          <w:bCs/>
          <w:lang w:val="es-ES"/>
        </w:rPr>
      </w:pPr>
    </w:p>
    <w:p w14:paraId="37062D17" w14:textId="77777777" w:rsidR="002B2DF8" w:rsidRDefault="002B2DF8" w:rsidP="002B2DF8">
      <w:pPr>
        <w:numPr>
          <w:ilvl w:val="0"/>
          <w:numId w:val="16"/>
        </w:numPr>
        <w:spacing w:after="0" w:line="276" w:lineRule="auto"/>
        <w:rPr>
          <w:rFonts w:ascii="Verdana" w:eastAsia="Calibri" w:hAnsi="Verdana" w:cs="Times New Roman"/>
          <w:b/>
          <w:bCs/>
          <w:lang w:val="es-ES"/>
        </w:rPr>
      </w:pPr>
      <w:r>
        <w:rPr>
          <w:rFonts w:ascii="Verdana" w:eastAsia="Calibri" w:hAnsi="Verdana" w:cs="Times New Roman"/>
          <w:b/>
          <w:bCs/>
          <w:lang w:val="es-ES"/>
        </w:rPr>
        <w:t>Problemas planteados:</w:t>
      </w:r>
    </w:p>
    <w:p w14:paraId="02FC952A" w14:textId="77777777" w:rsidR="002B2DF8" w:rsidRDefault="002B2DF8" w:rsidP="002B2DF8">
      <w:pPr>
        <w:spacing w:after="0" w:line="276" w:lineRule="auto"/>
        <w:jc w:val="both"/>
        <w:rPr>
          <w:rFonts w:ascii="Verdana" w:hAnsi="Verdana" w:cs="Arial"/>
          <w:bCs/>
          <w:szCs w:val="24"/>
          <w:lang w:val="es-ES_tradnl" w:eastAsia="es-ES_tradnl"/>
        </w:rPr>
      </w:pPr>
    </w:p>
    <w:p w14:paraId="2EF327FA" w14:textId="77777777" w:rsidR="002B2DF8" w:rsidRDefault="002B2DF8" w:rsidP="002B2DF8">
      <w:pPr>
        <w:spacing w:after="0" w:line="276" w:lineRule="auto"/>
        <w:jc w:val="both"/>
        <w:rPr>
          <w:rFonts w:ascii="Verdana" w:hAnsi="Verdana" w:cs="Arial"/>
          <w:lang w:val="es-ES" w:eastAsia="es-ES"/>
        </w:rPr>
      </w:pPr>
      <w:r w:rsidRPr="75047164">
        <w:rPr>
          <w:rFonts w:ascii="Verdana" w:hAnsi="Verdana" w:cs="Arial"/>
          <w:lang w:val="es-ES" w:eastAsia="es-ES"/>
        </w:rPr>
        <w:t xml:space="preserve">De acuerdo con el contenido de su solicitud, y abstrayendo de ella los problemas jurídicos generales que la comprenden, la Agencia procede a resolver: i) ¿Es jurídicamente procedente modificar durante la ejecución las actividades u obligaciones inicialmente pactadas en un contrato estatal de prestación de servicios de apoyo a la gestión celebrado mediante contratación directa, cuando las nuevas actividades conservan relación directa con el objeto contractual, y a qué condiciones y límites se sujeta esa modificación? </w:t>
      </w:r>
      <w:proofErr w:type="spellStart"/>
      <w:r w:rsidRPr="75047164">
        <w:rPr>
          <w:rFonts w:ascii="Verdana" w:hAnsi="Verdana" w:cs="Arial"/>
          <w:lang w:val="es-ES" w:eastAsia="es-ES"/>
        </w:rPr>
        <w:t>ii</w:t>
      </w:r>
      <w:proofErr w:type="spellEnd"/>
      <w:r w:rsidRPr="75047164">
        <w:rPr>
          <w:rFonts w:ascii="Verdana" w:hAnsi="Verdana" w:cs="Arial"/>
          <w:lang w:val="es-ES" w:eastAsia="es-ES"/>
        </w:rPr>
        <w:t xml:space="preserve">) ¿Puede modificarse el objeto de un contrato estatal durante su ejecución? </w:t>
      </w:r>
      <w:proofErr w:type="spellStart"/>
      <w:r w:rsidRPr="75047164">
        <w:rPr>
          <w:rFonts w:ascii="Verdana" w:hAnsi="Verdana" w:cs="Arial"/>
          <w:lang w:val="es-ES" w:eastAsia="es-ES"/>
        </w:rPr>
        <w:t>iii</w:t>
      </w:r>
      <w:proofErr w:type="spellEnd"/>
      <w:r w:rsidRPr="75047164">
        <w:rPr>
          <w:rFonts w:ascii="Verdana" w:hAnsi="Verdana" w:cs="Arial"/>
          <w:lang w:val="es-ES" w:eastAsia="es-ES"/>
        </w:rPr>
        <w:t>) ¿Cuál es el elemento del contrato estatal que constituye un límite infranqueable a las modificaciones contractuales, de manera que su alteración comporte la celebración de un contrato distinto y no una simple modificación?</w:t>
      </w:r>
    </w:p>
    <w:p w14:paraId="415172BF" w14:textId="77777777" w:rsidR="002B2DF8" w:rsidRDefault="002B2DF8" w:rsidP="002B2DF8">
      <w:pPr>
        <w:spacing w:after="0" w:line="276" w:lineRule="auto"/>
        <w:jc w:val="both"/>
        <w:rPr>
          <w:rFonts w:ascii="Verdana" w:hAnsi="Verdana" w:cs="Arial"/>
          <w:bCs/>
          <w:szCs w:val="24"/>
          <w:lang w:val="es-ES_tradnl" w:eastAsia="es-ES_tradnl"/>
        </w:rPr>
      </w:pPr>
    </w:p>
    <w:p w14:paraId="6CABDA75" w14:textId="77777777" w:rsidR="002B2DF8" w:rsidRDefault="002B2DF8" w:rsidP="002B2DF8">
      <w:pPr>
        <w:spacing w:after="0" w:line="276" w:lineRule="auto"/>
        <w:jc w:val="both"/>
        <w:rPr>
          <w:rFonts w:ascii="Verdana" w:hAnsi="Verdana" w:cs="Arial"/>
          <w:bCs/>
          <w:szCs w:val="24"/>
          <w:lang w:val="es-ES_tradnl" w:eastAsia="es-ES_tradnl"/>
        </w:rPr>
      </w:pPr>
    </w:p>
    <w:p w14:paraId="17E8A8E0" w14:textId="77777777" w:rsidR="002B2DF8" w:rsidRDefault="002B2DF8" w:rsidP="002B2DF8">
      <w:pPr>
        <w:numPr>
          <w:ilvl w:val="0"/>
          <w:numId w:val="16"/>
        </w:numPr>
        <w:spacing w:after="0" w:line="276" w:lineRule="auto"/>
        <w:rPr>
          <w:rFonts w:ascii="Verdana" w:eastAsia="Calibri" w:hAnsi="Verdana" w:cs="Times New Roman"/>
          <w:b/>
          <w:bCs/>
          <w:lang w:val="es-ES"/>
        </w:rPr>
      </w:pPr>
      <w:r>
        <w:rPr>
          <w:rFonts w:ascii="Verdana" w:eastAsia="Calibri" w:hAnsi="Verdana" w:cs="Times New Roman"/>
          <w:b/>
          <w:bCs/>
          <w:lang w:val="es-ES"/>
        </w:rPr>
        <w:t>Respuestas:</w:t>
      </w:r>
    </w:p>
    <w:p w14:paraId="53A36248" w14:textId="77777777" w:rsidR="002B2DF8" w:rsidRDefault="002B2DF8" w:rsidP="002B2DF8">
      <w:pPr>
        <w:spacing w:after="0" w:line="276" w:lineRule="auto"/>
        <w:jc w:val="both"/>
        <w:rPr>
          <w:rFonts w:ascii="Verdana" w:hAnsi="Verdana" w:cs="Arial"/>
          <w:bCs/>
          <w:szCs w:val="24"/>
          <w:lang w:val="es-ES_tradnl" w:eastAsia="es-ES_tradnl"/>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2B2DF8" w:rsidRPr="009037F6" w14:paraId="2C6A2460" w14:textId="77777777" w:rsidTr="009961C2">
        <w:trPr>
          <w:trHeight w:val="345"/>
          <w:jc w:val="center"/>
        </w:trPr>
        <w:tc>
          <w:tcPr>
            <w:tcW w:w="8784" w:type="dxa"/>
            <w:tcBorders>
              <w:bottom w:val="single" w:sz="4" w:space="0" w:color="auto"/>
            </w:tcBorders>
          </w:tcPr>
          <w:p w14:paraId="3DFE33E1" w14:textId="77777777" w:rsidR="002B2DF8" w:rsidRDefault="002B2DF8" w:rsidP="009961C2">
            <w:pPr>
              <w:spacing w:line="276" w:lineRule="auto"/>
              <w:jc w:val="both"/>
              <w:rPr>
                <w:rFonts w:ascii="Verdana" w:hAnsi="Verdana" w:cs="Arial"/>
                <w:bCs/>
                <w:szCs w:val="24"/>
                <w:lang w:val="es-ES_tradnl" w:eastAsia="es-ES_tradnl"/>
              </w:rPr>
            </w:pPr>
            <w:r>
              <w:rPr>
                <w:rFonts w:ascii="Verdana" w:hAnsi="Verdana" w:cs="Arial"/>
                <w:bCs/>
                <w:szCs w:val="24"/>
                <w:lang w:val="es-ES_tradnl" w:eastAsia="es-ES_tradnl"/>
              </w:rPr>
              <w:t>i) Es jurídicamente procedente modificar las actividades u obligaciones inicialmente pactadas en un contrato de prestación de servicios de apoyo a la gestión, siempre que mantengan una relación directa y necesaria con el objeto contractual y se encuentren comprendidas dentro de su alcance. Se trata de una actuación excepcional, que requiere justificación y el cumplimiento de los límites que establece el ordenamiento jurídico.</w:t>
            </w:r>
            <w:r>
              <w:rPr>
                <w:rStyle w:val="Refdenotaalpie"/>
                <w:rFonts w:ascii="Verdana" w:hAnsi="Verdana"/>
              </w:rPr>
              <w:footnoteReference w:id="1"/>
            </w:r>
          </w:p>
          <w:p w14:paraId="5C1922C4" w14:textId="77777777" w:rsidR="002B2DF8" w:rsidRDefault="002B2DF8" w:rsidP="009961C2">
            <w:pPr>
              <w:spacing w:line="276" w:lineRule="auto"/>
              <w:jc w:val="both"/>
              <w:rPr>
                <w:rFonts w:ascii="Verdana" w:hAnsi="Verdana" w:cs="Arial"/>
                <w:bCs/>
                <w:szCs w:val="24"/>
                <w:lang w:val="es-ES_tradnl" w:eastAsia="es-ES_tradnl"/>
              </w:rPr>
            </w:pPr>
          </w:p>
          <w:p w14:paraId="4B57A5D9" w14:textId="77777777" w:rsidR="002B2DF8" w:rsidRDefault="002B2DF8" w:rsidP="009961C2">
            <w:pPr>
              <w:spacing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modificación está sujeta, entre otras, a las siguientes condiciones: a) que obedezca a una causa real y cierta, verificada y documentada por la entidad; b) que persiga el interés público y los fines previstos en el artículo 3 de la Ley 80 de 1993; c) que se efectúe durante el plazo de ejecución del contrato, conste por escrito y se publique en el Sistema Electrónico de Contratación Pública – SECOP; d) que se mantengan las condiciones de idoneidad y experiencia que justificaron la escogencia del contratista; e) que, si implica mayor valor, respete el límite del cincuenta por ciento (50%) del valor inicial, expresado en salarios mínimos legales mensuales, previsto en el parágrafo del artículo 40 de la Ley 80 de 1993, y f) que no se utilice para suplir deficiencias de planeación ni para eludir los principios de transparencia y selección objetiva.</w:t>
            </w:r>
          </w:p>
          <w:p w14:paraId="7C825E34" w14:textId="77777777" w:rsidR="002B2DF8" w:rsidRDefault="002B2DF8" w:rsidP="009961C2">
            <w:pPr>
              <w:spacing w:line="276" w:lineRule="auto"/>
              <w:jc w:val="both"/>
              <w:rPr>
                <w:rFonts w:ascii="Verdana" w:hAnsi="Verdana" w:cs="Arial"/>
                <w:bCs/>
                <w:szCs w:val="24"/>
                <w:lang w:val="es-ES_tradnl" w:eastAsia="es-ES_tradnl"/>
              </w:rPr>
            </w:pPr>
          </w:p>
          <w:p w14:paraId="3064F211" w14:textId="77777777" w:rsidR="002B2DF8" w:rsidRDefault="002B2DF8" w:rsidP="009961C2">
            <w:pPr>
              <w:spacing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En los contratos de prestación de servicios de apoyo a la gestión deben tenerse en cuenta, además, tres aspectos. El primero, que cuando las nuevas actividades correspondan a un área distinta de aquella respecto de la cual se verificó la idoneidad del contratista, la entidad debe verificarla nuevamente y dejar constancia de ello. El segundo, que la modificación no puede implicar la asignación de funciones permanentes propias de los empleos de planta ni la subordinación del contratista. El tercero, que la entidad solo puede modificar unilateralmente el contrato si la cláusula excepcional correspondiente se pactó de manera expresa, pues en los contratos de prestación de servicios su inclusión es potestativa conforme al numeral 2 del artículo 14 de la Ley 80 de 1993. Si no se pactó, la modificación requiere el acuerdo de las partes.</w:t>
            </w:r>
            <w:r>
              <w:rPr>
                <w:rStyle w:val="Refdenotaalpie"/>
                <w:rFonts w:ascii="Verdana" w:hAnsi="Verdana"/>
              </w:rPr>
              <w:footnoteReference w:id="2"/>
            </w:r>
          </w:p>
          <w:p w14:paraId="2BA755B6" w14:textId="77777777" w:rsidR="002B2DF8" w:rsidRDefault="002B2DF8" w:rsidP="009961C2">
            <w:pPr>
              <w:spacing w:line="276" w:lineRule="auto"/>
              <w:jc w:val="both"/>
              <w:rPr>
                <w:rFonts w:ascii="Verdana" w:hAnsi="Verdana" w:cs="Arial"/>
                <w:bCs/>
                <w:szCs w:val="24"/>
                <w:lang w:val="es-ES_tradnl" w:eastAsia="es-ES_tradnl"/>
              </w:rPr>
            </w:pPr>
          </w:p>
          <w:p w14:paraId="4D8FF14C" w14:textId="77777777" w:rsidR="002B2DF8" w:rsidRDefault="002B2DF8" w:rsidP="009961C2">
            <w:pPr>
              <w:spacing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ii</w:t>
            </w:r>
            <w:proofErr w:type="spellEnd"/>
            <w:r>
              <w:rPr>
                <w:rFonts w:ascii="Verdana" w:hAnsi="Verdana" w:cs="Arial"/>
                <w:bCs/>
                <w:szCs w:val="24"/>
                <w:lang w:val="es-ES_tradnl" w:eastAsia="es-ES_tradnl"/>
              </w:rPr>
              <w:t xml:space="preserve">) El objeto contractual no puede modificarse durante la ejecución del contrato. Las modificaciones no pueden suponer la variación del objeto, pues ello implica la alteración de la esencia del negocio jurídico. Si la necesidad de </w:t>
            </w:r>
            <w:r>
              <w:rPr>
                <w:rFonts w:ascii="Verdana" w:hAnsi="Verdana" w:cs="Arial"/>
                <w:bCs/>
                <w:szCs w:val="24"/>
                <w:lang w:val="es-ES_tradnl" w:eastAsia="es-ES_tradnl"/>
              </w:rPr>
              <w:lastRenderedPageBreak/>
              <w:t>la entidad exige un objeto distinto, debe celebrarse un nuevo contrato, previo el procedimiento de selección que corresponda según la modalidad aplicable.</w:t>
            </w:r>
            <w:r>
              <w:rPr>
                <w:rStyle w:val="Refdenotaalpie"/>
                <w:rFonts w:ascii="Verdana" w:hAnsi="Verdana"/>
              </w:rPr>
              <w:footnoteReference w:id="3"/>
            </w:r>
          </w:p>
          <w:p w14:paraId="2628C3B5" w14:textId="77777777" w:rsidR="002B2DF8" w:rsidRDefault="002B2DF8" w:rsidP="009961C2">
            <w:pPr>
              <w:spacing w:line="276" w:lineRule="auto"/>
              <w:jc w:val="both"/>
              <w:rPr>
                <w:rFonts w:ascii="Verdana" w:hAnsi="Verdana" w:cs="Arial"/>
                <w:bCs/>
                <w:szCs w:val="24"/>
                <w:lang w:val="es-ES_tradnl" w:eastAsia="es-ES_tradnl"/>
              </w:rPr>
            </w:pPr>
          </w:p>
          <w:p w14:paraId="04E8BB18" w14:textId="77777777" w:rsidR="002B2DF8" w:rsidRDefault="002B2DF8" w:rsidP="009961C2">
            <w:pPr>
              <w:spacing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iii</w:t>
            </w:r>
            <w:proofErr w:type="spellEnd"/>
            <w:r>
              <w:rPr>
                <w:rFonts w:ascii="Verdana" w:hAnsi="Verdana" w:cs="Arial"/>
                <w:bCs/>
                <w:szCs w:val="24"/>
                <w:lang w:val="es-ES_tradnl" w:eastAsia="es-ES_tradnl"/>
              </w:rPr>
              <w:t>) El objeto del contrato constituye el límite de las modificaciones contractuales. De acuerdo con el artículo 1501 del Código Civil, son de la esencia de un contrato aquellas cosas sin las cuales no produce efecto alguno o degenera en otro contrato diferente, y el inciso primero del artículo 40 de la Ley 80 de 1993 dispone que las estipulaciones de los contratos serán las que correspondan a su esencia y naturaleza. El objeto identifica el negocio jurídico y determina la tipología contractual, la modalidad de selección aplicable y las condiciones de idoneidad exigibles al contratista. La Corte Constitucional ha precisado que la modificación del contrato no puede ser de tal entidad que altere su esencia y lo convierta en otro tipo de negocio jurídico.</w:t>
            </w:r>
            <w:r>
              <w:rPr>
                <w:rStyle w:val="Refdenotaalpie"/>
                <w:rFonts w:ascii="Verdana" w:hAnsi="Verdana"/>
              </w:rPr>
              <w:footnoteReference w:id="4"/>
            </w:r>
          </w:p>
          <w:p w14:paraId="6F5E2E01" w14:textId="77777777" w:rsidR="002B2DF8" w:rsidRDefault="002B2DF8" w:rsidP="009961C2">
            <w:pPr>
              <w:spacing w:line="276" w:lineRule="auto"/>
              <w:jc w:val="both"/>
              <w:rPr>
                <w:rFonts w:ascii="Verdana" w:hAnsi="Verdana" w:cs="Arial"/>
                <w:bCs/>
                <w:szCs w:val="24"/>
                <w:lang w:val="es-ES_tradnl" w:eastAsia="es-ES_tradnl"/>
              </w:rPr>
            </w:pPr>
          </w:p>
          <w:p w14:paraId="0B17D59A" w14:textId="77777777" w:rsidR="002B2DF8" w:rsidRDefault="002B2DF8" w:rsidP="009961C2">
            <w:pPr>
              <w:spacing w:line="276" w:lineRule="auto"/>
              <w:jc w:val="both"/>
              <w:rPr>
                <w:rFonts w:ascii="Verdana" w:hAnsi="Verdana" w:cs="Arial"/>
                <w:bCs/>
                <w:szCs w:val="24"/>
                <w:lang w:val="es-ES_tradnl" w:eastAsia="es-ES_tradnl"/>
              </w:rPr>
            </w:pPr>
            <w:r>
              <w:rPr>
                <w:rFonts w:ascii="Verdana" w:hAnsi="Verdana" w:cs="Arial"/>
                <w:bCs/>
                <w:szCs w:val="24"/>
                <w:lang w:val="es-ES_tradnl" w:eastAsia="es-ES_tradnl"/>
              </w:rPr>
              <w:t>Por consiguiente, la alteración del objeto implica la celebración de un contrato distinto, para lo cual debe agotarse el procedimiento de selección que corresponda, en observancia del artículo 209 de la Constitución Política y de los principios de planeación, transparencia y selección objetiva. Corresponde a la entidad contratante establecer, en cada caso, si una modificación se mantiene dentro del objeto pactado.</w:t>
            </w:r>
          </w:p>
        </w:tc>
      </w:tr>
    </w:tbl>
    <w:p w14:paraId="7F024FE3" w14:textId="77777777" w:rsidR="002B2DF8" w:rsidRDefault="002B2DF8" w:rsidP="002B2DF8">
      <w:pPr>
        <w:spacing w:after="0" w:line="276" w:lineRule="auto"/>
        <w:jc w:val="both"/>
        <w:rPr>
          <w:rFonts w:ascii="Verdana" w:hAnsi="Verdana" w:cs="Arial"/>
          <w:bCs/>
          <w:szCs w:val="24"/>
          <w:lang w:val="es-ES_tradnl" w:eastAsia="es-ES_tradnl"/>
        </w:rPr>
      </w:pPr>
    </w:p>
    <w:p w14:paraId="16BFAF94" w14:textId="77777777" w:rsidR="002B2DF8" w:rsidRDefault="002B2DF8" w:rsidP="002B2DF8">
      <w:pPr>
        <w:spacing w:after="0" w:line="276" w:lineRule="auto"/>
        <w:jc w:val="both"/>
        <w:rPr>
          <w:rFonts w:ascii="Verdana" w:hAnsi="Verdana" w:cs="Arial"/>
          <w:bCs/>
          <w:szCs w:val="24"/>
          <w:lang w:val="es-ES_tradnl" w:eastAsia="es-ES_tradnl"/>
        </w:rPr>
      </w:pPr>
    </w:p>
    <w:p w14:paraId="52BF7AD6" w14:textId="77777777" w:rsidR="002B2DF8" w:rsidRDefault="002B2DF8" w:rsidP="002B2DF8">
      <w:pPr>
        <w:numPr>
          <w:ilvl w:val="0"/>
          <w:numId w:val="16"/>
        </w:numPr>
        <w:spacing w:after="0" w:line="276" w:lineRule="auto"/>
        <w:rPr>
          <w:rFonts w:ascii="Verdana" w:eastAsia="Calibri" w:hAnsi="Verdana" w:cs="Times New Roman"/>
          <w:b/>
          <w:bCs/>
          <w:lang w:val="es-ES"/>
        </w:rPr>
      </w:pPr>
      <w:r>
        <w:rPr>
          <w:rFonts w:ascii="Verdana" w:eastAsia="Calibri" w:hAnsi="Verdana" w:cs="Times New Roman"/>
          <w:b/>
          <w:bCs/>
          <w:lang w:val="es-ES"/>
        </w:rPr>
        <w:t>Razones de las respuestas:</w:t>
      </w:r>
    </w:p>
    <w:p w14:paraId="16D834D1" w14:textId="77777777" w:rsidR="002B2DF8" w:rsidRDefault="002B2DF8" w:rsidP="002B2DF8">
      <w:pPr>
        <w:spacing w:after="0" w:line="276" w:lineRule="auto"/>
        <w:jc w:val="both"/>
        <w:rPr>
          <w:rFonts w:ascii="Verdana" w:hAnsi="Verdana" w:cs="Arial"/>
          <w:bCs/>
          <w:szCs w:val="24"/>
          <w:lang w:val="es-ES_tradnl" w:eastAsia="es-ES_tradnl"/>
        </w:rPr>
      </w:pPr>
    </w:p>
    <w:p w14:paraId="7F6EFDEE"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Lo anterior se sustenta en las siguientes consideraciones:</w:t>
      </w:r>
    </w:p>
    <w:p w14:paraId="601082A7" w14:textId="77777777" w:rsidR="002B2DF8" w:rsidRDefault="002B2DF8" w:rsidP="002B2DF8">
      <w:pPr>
        <w:spacing w:after="0" w:line="276" w:lineRule="auto"/>
        <w:jc w:val="both"/>
        <w:rPr>
          <w:rFonts w:ascii="Verdana" w:hAnsi="Verdana" w:cs="Arial"/>
          <w:bCs/>
          <w:szCs w:val="24"/>
          <w:lang w:val="es-ES_tradnl" w:eastAsia="es-ES_tradnl"/>
        </w:rPr>
      </w:pPr>
    </w:p>
    <w:p w14:paraId="74712FC9" w14:textId="77777777" w:rsidR="002B2DF8" w:rsidRDefault="002B2DF8" w:rsidP="002B2DF8">
      <w:pPr>
        <w:spacing w:after="0" w:line="276" w:lineRule="auto"/>
        <w:jc w:val="both"/>
        <w:rPr>
          <w:rFonts w:ascii="Verdana" w:hAnsi="Verdana" w:cs="Arial"/>
          <w:bCs/>
          <w:szCs w:val="24"/>
          <w:lang w:val="es-ES_tradnl" w:eastAsia="es-ES_tradnl"/>
        </w:rPr>
      </w:pPr>
    </w:p>
    <w:p w14:paraId="35431A2C"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lastRenderedPageBreak/>
        <w:t>i) El contrato estatal es un instrumento para el cumplimiento de los fines del Estado. El artículo 3 de la Ley 80 de 1993 establece que, con la celebración y ejecución de los contratos, las entidades buscan “el cumplimiento de los fines estatales, la continua y eficiente prestación de los servicios públicos y la efectividad de los derechos e intereses de los administrados que colaboran con ellas en la consecución de dichos fines”. Por esta razón, el ordenamiento permite ajustar el contenido del contrato durante su ejecución cuando las circunstancias demuestran que lo pactado resulta insuficiente o inadecuado para alcanzar esos fines.</w:t>
      </w:r>
      <w:r>
        <w:rPr>
          <w:rStyle w:val="Refdenotaalpie"/>
          <w:rFonts w:ascii="Verdana" w:hAnsi="Verdana"/>
        </w:rPr>
        <w:footnoteReference w:id="5"/>
      </w:r>
    </w:p>
    <w:p w14:paraId="6A4FCFE4" w14:textId="77777777" w:rsidR="002B2DF8" w:rsidRDefault="002B2DF8" w:rsidP="002B2DF8">
      <w:pPr>
        <w:spacing w:after="0" w:line="276" w:lineRule="auto"/>
        <w:jc w:val="both"/>
        <w:rPr>
          <w:rFonts w:ascii="Verdana" w:hAnsi="Verdana" w:cs="Arial"/>
          <w:bCs/>
          <w:szCs w:val="24"/>
          <w:lang w:val="es-ES_tradnl" w:eastAsia="es-ES_tradnl"/>
        </w:rPr>
      </w:pPr>
    </w:p>
    <w:p w14:paraId="12E749BA"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Esta posibilidad encuentra fundamento en varias disposiciones de la Ley 80 de 1993: el artículo 4, que impone a las entidades el deber de exigir del contratista la ejecución idónea y oportuna del objeto contratado; el numeral 1 del artículo 14, que les atribuye la dirección general y la responsabilidad de ejercer el control y vigilancia de la ejecución del contrato; el artículo 16, que regula la modificación unilateral, y el artículo 40, que les permite celebrar los contratos y acuerdos que permita la autonomía de la voluntad y requiera el cumplimiento de los fines estatales. A su vez, el numeral 2 del artículo 5 de la misma ley impone al contratista el deber de colaborar con la entidad en lo que sea necesario para que el objeto contratado se cumpla y de obrar con lealtad y buena fe en las distintas etapas contractuales.</w:t>
      </w:r>
    </w:p>
    <w:p w14:paraId="4E042DA0" w14:textId="77777777" w:rsidR="002B2DF8" w:rsidRDefault="002B2DF8" w:rsidP="002B2DF8">
      <w:pPr>
        <w:spacing w:after="0" w:line="276" w:lineRule="auto"/>
        <w:jc w:val="both"/>
        <w:rPr>
          <w:rFonts w:ascii="Verdana" w:hAnsi="Verdana" w:cs="Arial"/>
          <w:bCs/>
          <w:szCs w:val="24"/>
          <w:lang w:val="es-ES_tradnl" w:eastAsia="es-ES_tradnl"/>
        </w:rPr>
      </w:pPr>
    </w:p>
    <w:p w14:paraId="115730CA"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Sin embargo, la modificación del contrato tiene carácter excepcional. El artículo 1602 del Código Civil dispone que todo contrato legalmente celebrado es una ley para los contratantes y no puede ser invalidado sino por su consentimiento mutuo o por causas legales. Esta Subdirección ha señalado que “es viable jurídicamente modificar los contratos estatales, pero esta medida tiene carácter excepcional y solo procede cuando con ella se pretenda garantizar el interés público, cuando la entidad haya verificado que la causa de la modificación es real y cierta y cuando se deriva de previsiones legales”.</w:t>
      </w:r>
      <w:r>
        <w:rPr>
          <w:rStyle w:val="Refdenotaalpie"/>
          <w:rFonts w:ascii="Verdana" w:hAnsi="Verdana"/>
        </w:rPr>
        <w:footnoteReference w:id="6"/>
      </w:r>
      <w:r>
        <w:rPr>
          <w:rFonts w:ascii="Verdana" w:hAnsi="Verdana" w:cs="Arial"/>
          <w:bCs/>
          <w:szCs w:val="24"/>
          <w:lang w:val="es-ES_tradnl" w:eastAsia="es-ES_tradnl"/>
        </w:rPr>
        <w:t xml:space="preserve"> De acuerdo con esta posición, la entidad debe identificar el interés público que se pretende satisfacer, </w:t>
      </w:r>
      <w:r>
        <w:rPr>
          <w:rFonts w:ascii="Verdana" w:hAnsi="Verdana" w:cs="Arial"/>
          <w:bCs/>
          <w:szCs w:val="24"/>
          <w:lang w:val="es-ES_tradnl" w:eastAsia="es-ES_tradnl"/>
        </w:rPr>
        <w:lastRenderedPageBreak/>
        <w:t>constatar y documentar la causa que origina la modificación y verificar que exista fundamento legal para adoptarla. La invocación genérica de las necesidades del servicio, sin soporte en los documentos del proceso, no satisface estas exigencias.</w:t>
      </w:r>
    </w:p>
    <w:p w14:paraId="58F76ACE" w14:textId="77777777" w:rsidR="002B2DF8" w:rsidRDefault="002B2DF8" w:rsidP="002B2DF8">
      <w:pPr>
        <w:spacing w:after="0" w:line="276" w:lineRule="auto"/>
        <w:jc w:val="both"/>
        <w:rPr>
          <w:rFonts w:ascii="Verdana" w:hAnsi="Verdana" w:cs="Arial"/>
          <w:bCs/>
          <w:szCs w:val="24"/>
          <w:lang w:val="es-ES_tradnl" w:eastAsia="es-ES_tradnl"/>
        </w:rPr>
      </w:pPr>
    </w:p>
    <w:p w14:paraId="26C94E3C"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Corte Constitucional, en la sentencia C-300 de 2012, examinó el artículo 28 de la Ley 1150 de 2007, que permitía la prórroga o adición de los contratos de concesión de obra pública y que posteriormente fue derogado por el artículo 39 de la Ley 1508 de 2012. En esa oportunidad, la Corte reiteró que la modificación de los contratos estatales es excepcional y, con apoyo en la doctrina de la Sala de Consulta y Servicio Civil del Consejo de Estado, señaló que “toda modificación debe tener una causa real y cierta, contemplada en la ley, diferente de la mera voluntad de los contratantes”. Con base en ello, declaró exequible el primer inciso de dicha norma en el entendido de que solo autorizaba la prórroga o adición de obras o actividades excepcional y necesariamente requeridas para cumplir el objeto del contrato inicial.</w:t>
      </w:r>
      <w:r>
        <w:rPr>
          <w:rStyle w:val="Refdenotaalpie"/>
          <w:rFonts w:ascii="Verdana" w:hAnsi="Verdana"/>
        </w:rPr>
        <w:footnoteReference w:id="7"/>
      </w:r>
    </w:p>
    <w:p w14:paraId="13CB0EC5" w14:textId="77777777" w:rsidR="002B2DF8" w:rsidRDefault="002B2DF8" w:rsidP="002B2DF8">
      <w:pPr>
        <w:spacing w:after="0" w:line="276" w:lineRule="auto"/>
        <w:jc w:val="both"/>
        <w:rPr>
          <w:rFonts w:ascii="Verdana" w:hAnsi="Verdana" w:cs="Arial"/>
          <w:bCs/>
          <w:szCs w:val="24"/>
          <w:lang w:val="es-ES_tradnl" w:eastAsia="es-ES_tradnl"/>
        </w:rPr>
      </w:pPr>
    </w:p>
    <w:p w14:paraId="70024D2B"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El contrato puede modificarse por acuerdo de las partes o por decisión unilateral de la entidad. La modificación bilateral se instrumenta mediante un documento modificatorio suscrito por las partes, con fundamento en el inciso segundo del artículo 40 de la Ley 80 de 1993, según el cual “las entidades podrán celebrar los contratos y acuerdos que permitan la autonomía de la voluntad y requieran el cumplimiento de los fines estatales”. Estos acuerdos obligan a las partes en los términos pactados.</w:t>
      </w:r>
      <w:r>
        <w:rPr>
          <w:rStyle w:val="Refdenotaalpie"/>
          <w:rFonts w:ascii="Verdana" w:hAnsi="Verdana"/>
        </w:rPr>
        <w:footnoteReference w:id="8"/>
      </w:r>
      <w:r>
        <w:rPr>
          <w:rFonts w:ascii="Verdana" w:hAnsi="Verdana" w:cs="Arial"/>
          <w:bCs/>
          <w:szCs w:val="24"/>
          <w:lang w:val="es-ES_tradnl" w:eastAsia="es-ES_tradnl"/>
        </w:rPr>
        <w:t xml:space="preserve"> La autonomía de la voluntad de la entidad está sujeta a los límites del inciso tercero del mismo artículo, que exige que las estipulaciones no sean contrarias a la Constitución, la ley, el orden público, los principios y finalidades de la Ley 80 de 1993 y los de la buena administración. Por tanto, el acuerdo de las partes no suple la ausencia de una causa que justifique la modificación ni permite desconocer los límites legales.</w:t>
      </w:r>
    </w:p>
    <w:p w14:paraId="23574DE7" w14:textId="77777777" w:rsidR="002B2DF8" w:rsidRDefault="002B2DF8" w:rsidP="002B2DF8">
      <w:pPr>
        <w:spacing w:after="0" w:line="276" w:lineRule="auto"/>
        <w:jc w:val="both"/>
        <w:rPr>
          <w:rFonts w:ascii="Verdana" w:hAnsi="Verdana" w:cs="Arial"/>
          <w:bCs/>
          <w:szCs w:val="24"/>
          <w:lang w:val="es-ES_tradnl" w:eastAsia="es-ES_tradnl"/>
        </w:rPr>
      </w:pPr>
    </w:p>
    <w:p w14:paraId="67546451"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La modificación unilateral, también denominada </w:t>
      </w:r>
      <w:r>
        <w:rPr>
          <w:rFonts w:ascii="Verdana" w:hAnsi="Verdana" w:cs="Arial"/>
          <w:bCs/>
          <w:i/>
          <w:iCs/>
          <w:szCs w:val="24"/>
          <w:lang w:val="es-ES_tradnl" w:eastAsia="es-ES_tradnl"/>
        </w:rPr>
        <w:t>ius variandi</w:t>
      </w:r>
      <w:r>
        <w:rPr>
          <w:rFonts w:ascii="Verdana" w:hAnsi="Verdana" w:cs="Arial"/>
          <w:bCs/>
          <w:szCs w:val="24"/>
          <w:lang w:val="es-ES_tradnl" w:eastAsia="es-ES_tradnl"/>
        </w:rPr>
        <w:t>, se encuentra regulada en el artículo 16 de la Ley 80 de 1993 en los siguientes términos:</w:t>
      </w:r>
    </w:p>
    <w:p w14:paraId="2B99699E" w14:textId="77777777" w:rsidR="002B2DF8" w:rsidRDefault="002B2DF8" w:rsidP="002B2DF8">
      <w:pPr>
        <w:spacing w:after="0" w:line="276" w:lineRule="auto"/>
        <w:jc w:val="both"/>
        <w:rPr>
          <w:rFonts w:ascii="Verdana" w:hAnsi="Verdana" w:cs="Arial"/>
          <w:bCs/>
          <w:szCs w:val="24"/>
          <w:lang w:val="es-ES_tradnl" w:eastAsia="es-ES_tradnl"/>
        </w:rPr>
      </w:pPr>
    </w:p>
    <w:p w14:paraId="3775A558" w14:textId="77777777" w:rsidR="002B2DF8" w:rsidRDefault="002B2DF8" w:rsidP="002B2DF8">
      <w:pPr>
        <w:spacing w:after="0" w:line="240" w:lineRule="auto"/>
        <w:ind w:left="709" w:right="709"/>
        <w:jc w:val="both"/>
        <w:rPr>
          <w:rFonts w:ascii="Verdana" w:hAnsi="Verdana" w:cs="Arial"/>
          <w:sz w:val="20"/>
          <w:szCs w:val="20"/>
          <w:lang w:val="es-ES" w:eastAsia="es-ES"/>
        </w:rPr>
      </w:pPr>
      <w:r>
        <w:rPr>
          <w:rFonts w:ascii="Verdana" w:hAnsi="Verdana" w:cs="Arial"/>
          <w:sz w:val="20"/>
          <w:szCs w:val="20"/>
          <w:lang w:val="es-ES" w:eastAsia="es-ES"/>
        </w:rPr>
        <w:t>“Artículo 16. De la modificación unilateral. Si durante la ejecución del contrato y para evitar la paralización o la afectación grave del servicio público que se deba satisfacer con él, fuere necesario introducir variaciones en el contrato y previamente las partes no llegan al acuerdo respectivo, la entidad en acto administrativo debidamente motivado, lo modificará mediante la supresión o adición de obras, trabajos, suministros o servicios.</w:t>
      </w:r>
    </w:p>
    <w:p w14:paraId="3754FDBB" w14:textId="77777777" w:rsidR="002B2DF8" w:rsidRDefault="002B2DF8" w:rsidP="002B2DF8">
      <w:pPr>
        <w:spacing w:after="0" w:line="276" w:lineRule="auto"/>
        <w:jc w:val="both"/>
        <w:rPr>
          <w:rFonts w:ascii="Verdana" w:hAnsi="Verdana" w:cs="Arial"/>
          <w:bCs/>
          <w:szCs w:val="24"/>
          <w:lang w:val="es-ES_tradnl" w:eastAsia="es-ES_tradnl"/>
        </w:rPr>
      </w:pPr>
    </w:p>
    <w:p w14:paraId="5296C3D4" w14:textId="77777777" w:rsidR="002B2DF8" w:rsidRDefault="002B2DF8" w:rsidP="002B2DF8">
      <w:pPr>
        <w:spacing w:after="0" w:line="240" w:lineRule="auto"/>
        <w:ind w:left="709" w:right="709"/>
        <w:jc w:val="both"/>
        <w:rPr>
          <w:rFonts w:ascii="Verdana" w:hAnsi="Verdana" w:cs="Arial"/>
          <w:sz w:val="20"/>
          <w:szCs w:val="20"/>
          <w:lang w:val="es-ES" w:eastAsia="es-ES"/>
        </w:rPr>
      </w:pPr>
      <w:r>
        <w:rPr>
          <w:rFonts w:ascii="Verdana" w:hAnsi="Verdana" w:cs="Arial"/>
          <w:sz w:val="20"/>
          <w:szCs w:val="20"/>
          <w:lang w:val="es-ES" w:eastAsia="es-ES"/>
        </w:rPr>
        <w:t xml:space="preserve">Si las modificaciones alteran el valor del contrato en un veinte por ciento (20%) o más del valor inicial, el contratista podrá renunciar a la continuación de la ejecución. En este evento, se ordenará la liquidación correspondiente y la entidad adoptará de manera inmediata las medidas que fueren necesarias para garantizar la terminación del objeto </w:t>
      </w:r>
      <w:proofErr w:type="gramStart"/>
      <w:r>
        <w:rPr>
          <w:rFonts w:ascii="Verdana" w:hAnsi="Verdana" w:cs="Arial"/>
          <w:sz w:val="20"/>
          <w:szCs w:val="20"/>
          <w:lang w:val="es-ES" w:eastAsia="es-ES"/>
        </w:rPr>
        <w:t>del mismo</w:t>
      </w:r>
      <w:proofErr w:type="gramEnd"/>
      <w:r>
        <w:rPr>
          <w:rFonts w:ascii="Verdana" w:hAnsi="Verdana" w:cs="Arial"/>
          <w:sz w:val="20"/>
          <w:szCs w:val="20"/>
          <w:lang w:val="es-ES" w:eastAsia="es-ES"/>
        </w:rPr>
        <w:t>”.</w:t>
      </w:r>
    </w:p>
    <w:p w14:paraId="7CE36E22" w14:textId="77777777" w:rsidR="002B2DF8" w:rsidRDefault="002B2DF8" w:rsidP="002B2DF8">
      <w:pPr>
        <w:spacing w:after="0" w:line="276" w:lineRule="auto"/>
        <w:jc w:val="both"/>
        <w:rPr>
          <w:rFonts w:ascii="Verdana" w:hAnsi="Verdana" w:cs="Arial"/>
          <w:bCs/>
          <w:szCs w:val="24"/>
          <w:lang w:val="es-ES_tradnl" w:eastAsia="es-ES_tradnl"/>
        </w:rPr>
      </w:pPr>
    </w:p>
    <w:p w14:paraId="3C05118D"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De acuerdo con esta disposición, la modificación unilateral procede cuando las partes no llegan previamente a un acuerdo sobre las variaciones requeridas y estas son necesarias para evitar la paralización o la afectación grave del servicio público que se deba satisfacer con el contrato. En consecuencia, no procede por razones de simple conveniencia administrativa. La norma circunscribe su contenido a “la supresión o adición de obras, trabajos, suministros o servicios”, es decir, a las prestaciones mediante las cuales se ejecuta el objeto contractual, y no faculta a la entidad para sustituir dicho objeto.</w:t>
      </w:r>
    </w:p>
    <w:p w14:paraId="297F2A29" w14:textId="77777777" w:rsidR="002B2DF8" w:rsidRDefault="002B2DF8" w:rsidP="002B2DF8">
      <w:pPr>
        <w:spacing w:after="0" w:line="276" w:lineRule="auto"/>
        <w:jc w:val="both"/>
        <w:rPr>
          <w:rFonts w:ascii="Verdana" w:hAnsi="Verdana" w:cs="Arial"/>
          <w:bCs/>
          <w:szCs w:val="24"/>
          <w:lang w:val="es-ES_tradnl" w:eastAsia="es-ES_tradnl"/>
        </w:rPr>
      </w:pPr>
    </w:p>
    <w:p w14:paraId="0E813BDE"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El numeral 2 del artículo 14 de la Ley 80 de 1993 establece que las cláusulas excepcionales de terminación, interpretación y modificación unilaterales, de sometimiento a las leyes nacionales y de caducidad se pactan en los contratos que tengan por objeto el ejercicio de una actividad que constituya monopolio estatal, la prestación de servicios públicos, los relacionados con el programa de alimentación escolar o la explotación y concesión de bienes del Estado, así como en los contratos de obra. Respecto de los contratos de suministro y de prestación de servicios, la norma dispone que las entidades “podrán pactar” estas cláusulas. Esta Subdirección ha señalado que en los contratos de prestación de servicios las cláusulas excepcionales son elementos accidentales, de modo que “para que </w:t>
      </w:r>
      <w:r>
        <w:rPr>
          <w:rFonts w:ascii="Verdana" w:hAnsi="Verdana" w:cs="Arial"/>
          <w:bCs/>
          <w:szCs w:val="24"/>
          <w:lang w:val="es-ES_tradnl" w:eastAsia="es-ES_tradnl"/>
        </w:rPr>
        <w:lastRenderedPageBreak/>
        <w:t>puedan ejercerse dichas exorbitancias, han debido quedar incluidas expresamente en el contrato, ya que no se entienden pactadas por naturaleza”.</w:t>
      </w:r>
      <w:r>
        <w:rPr>
          <w:rStyle w:val="Refdenotaalpie"/>
          <w:rFonts w:ascii="Verdana" w:hAnsi="Verdana"/>
        </w:rPr>
        <w:footnoteReference w:id="9"/>
      </w:r>
      <w:r>
        <w:rPr>
          <w:rFonts w:ascii="Verdana" w:hAnsi="Verdana" w:cs="Arial"/>
          <w:bCs/>
          <w:szCs w:val="24"/>
          <w:lang w:val="es-ES_tradnl" w:eastAsia="es-ES_tradnl"/>
        </w:rPr>
        <w:t xml:space="preserve"> En consecuencia, si en un contrato de prestación de servicios de apoyo a la gestión no se pactó la cláusula de modificación unilateral, la entidad no puede modificarlo mediante acto administrativo y cualquier ajuste requerirá el acuerdo de las partes. Cuando la cláusula se haya pactado, su ejercicio está sujeto a los presupuestos del artículo 16 antes citado.</w:t>
      </w:r>
    </w:p>
    <w:p w14:paraId="0EE26661" w14:textId="77777777" w:rsidR="002B2DF8" w:rsidRDefault="002B2DF8" w:rsidP="002B2DF8">
      <w:pPr>
        <w:spacing w:after="0" w:line="276" w:lineRule="auto"/>
        <w:jc w:val="both"/>
        <w:rPr>
          <w:rFonts w:ascii="Verdana" w:hAnsi="Verdana" w:cs="Arial"/>
          <w:bCs/>
          <w:szCs w:val="24"/>
          <w:lang w:val="es-ES_tradnl" w:eastAsia="es-ES_tradnl"/>
        </w:rPr>
      </w:pPr>
    </w:p>
    <w:p w14:paraId="1E7E4998"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Conviene precisar, además, que la modificación, la adición y la prórroga tienen alcances diferentes, aunque con frecuencia se instrumentan en un mismo documento. La modificación altera el contenido de las obligaciones; la adición incrementa el valor del contrato y está sujeta al límite del parágrafo del artículo 40 de la Ley 80 de 1993, y la prórroga amplía el plazo de ejecución, que en los contratos de prestación de servicios debe ser el estrictamente indispensable. Cuando una misma actuación reúna varias de estas figuras, deben cumplirse los requisitos de cada una de ellas.</w:t>
      </w:r>
    </w:p>
    <w:p w14:paraId="6DDA0217" w14:textId="77777777" w:rsidR="002B2DF8" w:rsidRDefault="002B2DF8" w:rsidP="002B2DF8">
      <w:pPr>
        <w:spacing w:after="0" w:line="276" w:lineRule="auto"/>
        <w:jc w:val="both"/>
        <w:rPr>
          <w:rFonts w:ascii="Verdana" w:hAnsi="Verdana" w:cs="Arial"/>
          <w:bCs/>
          <w:szCs w:val="24"/>
          <w:lang w:val="es-ES_tradnl" w:eastAsia="es-ES_tradnl"/>
        </w:rPr>
      </w:pPr>
    </w:p>
    <w:p w14:paraId="5F8F1D32" w14:textId="77777777" w:rsidR="002B2DF8" w:rsidRDefault="002B2DF8" w:rsidP="002B2DF8">
      <w:pPr>
        <w:spacing w:after="0" w:line="276" w:lineRule="auto"/>
        <w:jc w:val="both"/>
        <w:rPr>
          <w:rFonts w:ascii="Verdana" w:hAnsi="Verdana" w:cs="Arial"/>
          <w:bCs/>
          <w:szCs w:val="24"/>
          <w:lang w:val="es-ES_tradnl" w:eastAsia="es-ES_tradnl"/>
        </w:rPr>
      </w:pPr>
    </w:p>
    <w:p w14:paraId="105FF623" w14:textId="77777777" w:rsidR="002B2DF8" w:rsidRDefault="002B2DF8" w:rsidP="002B2DF8">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ii</w:t>
      </w:r>
      <w:proofErr w:type="spellEnd"/>
      <w:r>
        <w:rPr>
          <w:rFonts w:ascii="Verdana" w:hAnsi="Verdana" w:cs="Arial"/>
          <w:bCs/>
          <w:szCs w:val="24"/>
          <w:lang w:val="es-ES_tradnl" w:eastAsia="es-ES_tradnl"/>
        </w:rPr>
        <w:t>) Esta Subdirección, con fundamento en la jurisprudencia del Consejo de Estado, ha agrupado los límites de la modificación contractual en temporales, formales, materiales y axiológicos.</w:t>
      </w:r>
      <w:r>
        <w:rPr>
          <w:rStyle w:val="Refdenotaalpie"/>
          <w:rFonts w:ascii="Verdana" w:hAnsi="Verdana"/>
        </w:rPr>
        <w:footnoteReference w:id="10"/>
      </w:r>
    </w:p>
    <w:p w14:paraId="4C725091" w14:textId="77777777" w:rsidR="002B2DF8" w:rsidRDefault="002B2DF8" w:rsidP="002B2DF8">
      <w:pPr>
        <w:spacing w:after="0" w:line="276" w:lineRule="auto"/>
        <w:jc w:val="both"/>
        <w:rPr>
          <w:rFonts w:ascii="Verdana" w:hAnsi="Verdana" w:cs="Arial"/>
          <w:bCs/>
          <w:szCs w:val="24"/>
          <w:lang w:val="es-ES_tradnl" w:eastAsia="es-ES_tradnl"/>
        </w:rPr>
      </w:pPr>
    </w:p>
    <w:p w14:paraId="588998D3"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i/>
          <w:iCs/>
          <w:szCs w:val="24"/>
          <w:lang w:val="es-ES_tradnl" w:eastAsia="es-ES_tradnl"/>
        </w:rPr>
        <w:t>Límites temporales.</w:t>
      </w:r>
      <w:r>
        <w:rPr>
          <w:rFonts w:ascii="Verdana" w:hAnsi="Verdana" w:cs="Arial"/>
          <w:bCs/>
          <w:szCs w:val="24"/>
          <w:lang w:val="es-ES_tradnl" w:eastAsia="es-ES_tradnl"/>
        </w:rPr>
        <w:t xml:space="preserve"> La modificación debe efectuarse durante el plazo de ejecución del contrato. Una vez vencido este, no es posible modificarlo, sin perjuicio de los acuerdos que las partes suscriban en la etapa de liquidación. Tampoco son admisibles las prórrogas o modificaciones automáticas, pues toda modificación exige la verificación previa de la causa que la justifica.</w:t>
      </w:r>
    </w:p>
    <w:p w14:paraId="31B8C1CD" w14:textId="77777777" w:rsidR="002B2DF8" w:rsidRDefault="002B2DF8" w:rsidP="002B2DF8">
      <w:pPr>
        <w:spacing w:after="0" w:line="276" w:lineRule="auto"/>
        <w:jc w:val="both"/>
        <w:rPr>
          <w:rFonts w:ascii="Verdana" w:hAnsi="Verdana" w:cs="Arial"/>
          <w:bCs/>
          <w:szCs w:val="24"/>
          <w:lang w:val="es-ES_tradnl" w:eastAsia="es-ES_tradnl"/>
        </w:rPr>
      </w:pPr>
    </w:p>
    <w:p w14:paraId="17EFA593"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i/>
          <w:iCs/>
          <w:szCs w:val="24"/>
          <w:lang w:val="es-ES_tradnl" w:eastAsia="es-ES_tradnl"/>
        </w:rPr>
        <w:t>Límites formales.</w:t>
      </w:r>
      <w:r>
        <w:rPr>
          <w:rFonts w:ascii="Verdana" w:hAnsi="Verdana" w:cs="Arial"/>
          <w:bCs/>
          <w:szCs w:val="24"/>
          <w:lang w:val="es-ES_tradnl" w:eastAsia="es-ES_tradnl"/>
        </w:rPr>
        <w:t xml:space="preserve"> La modificación debe constar por escrito y estar precedida de la justificación correspondiente, que debe incorporarse a los documentos del proceso. La modificación bilateral se instrumenta en un documento suscrito por </w:t>
      </w:r>
      <w:r>
        <w:rPr>
          <w:rFonts w:ascii="Verdana" w:hAnsi="Verdana" w:cs="Arial"/>
          <w:bCs/>
          <w:szCs w:val="24"/>
          <w:lang w:val="es-ES_tradnl" w:eastAsia="es-ES_tradnl"/>
        </w:rPr>
        <w:lastRenderedPageBreak/>
        <w:t>quien tenga la competencia contractual, con el soporte del supervisor o interventor, a quienes corresponde el seguimiento técnico, administrativo, financiero, contable y jurídico del contrato conforme a los artículos 83 y 84 de la Ley 1474 de 2011. La modificación unilateral se adopta mediante acto administrativo motivado, conforme al artículo 16 y al numeral 7 del artículo 24 de la Ley 80 de 1993. En ambos casos, el documento debe publicarse en el SECOP, de acuerdo con el artículo 2.2.1.1.1.7.1 del Decreto 1082 de 2015.</w:t>
      </w:r>
      <w:r>
        <w:rPr>
          <w:rStyle w:val="Refdenotaalpie"/>
          <w:rFonts w:ascii="Verdana" w:hAnsi="Verdana"/>
        </w:rPr>
        <w:footnoteReference w:id="11"/>
      </w:r>
    </w:p>
    <w:p w14:paraId="5FAFB28C" w14:textId="77777777" w:rsidR="002B2DF8" w:rsidRDefault="002B2DF8" w:rsidP="002B2DF8">
      <w:pPr>
        <w:spacing w:after="0" w:line="276" w:lineRule="auto"/>
        <w:jc w:val="both"/>
        <w:rPr>
          <w:rFonts w:ascii="Verdana" w:hAnsi="Verdana" w:cs="Arial"/>
          <w:bCs/>
          <w:szCs w:val="24"/>
          <w:lang w:val="es-ES_tradnl" w:eastAsia="es-ES_tradnl"/>
        </w:rPr>
      </w:pPr>
    </w:p>
    <w:p w14:paraId="72617CE6"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Cuando la modificación implique un mayor valor, la entidad debe contar previamente con el certificado de disponibilidad presupuestal y efectuar el registro presupuestal correspondiente, de acuerdo con el artículo 71 del Estatuto Orgánico del Presupuesto, compilado en el Decreto 111 de 1996. Asimismo, si en el contrato se exigieron garantías, cuya exigencia en la contratación directa no es obligatoria conforme al artículo 2.2.1.2.1.4.5 del Decreto 1082 de 2015, el contratista debe ajustarlas a las nuevas condiciones de valor y plazo.</w:t>
      </w:r>
      <w:r>
        <w:rPr>
          <w:rStyle w:val="Refdenotaalpie"/>
          <w:rFonts w:ascii="Verdana" w:hAnsi="Verdana"/>
        </w:rPr>
        <w:footnoteReference w:id="12"/>
      </w:r>
    </w:p>
    <w:p w14:paraId="21016DCE" w14:textId="77777777" w:rsidR="002B2DF8" w:rsidRDefault="002B2DF8" w:rsidP="002B2DF8">
      <w:pPr>
        <w:spacing w:after="0" w:line="276" w:lineRule="auto"/>
        <w:jc w:val="both"/>
        <w:rPr>
          <w:rFonts w:ascii="Verdana" w:hAnsi="Verdana" w:cs="Arial"/>
          <w:bCs/>
          <w:szCs w:val="24"/>
          <w:lang w:val="es-ES_tradnl" w:eastAsia="es-ES_tradnl"/>
        </w:rPr>
      </w:pPr>
    </w:p>
    <w:p w14:paraId="4EDE410A"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i/>
          <w:iCs/>
          <w:szCs w:val="24"/>
          <w:lang w:val="es-ES_tradnl" w:eastAsia="es-ES_tradnl"/>
        </w:rPr>
        <w:t>Límites materiales.</w:t>
      </w:r>
      <w:r>
        <w:rPr>
          <w:rFonts w:ascii="Verdana" w:hAnsi="Verdana" w:cs="Arial"/>
          <w:bCs/>
          <w:szCs w:val="24"/>
          <w:lang w:val="es-ES_tradnl" w:eastAsia="es-ES_tradnl"/>
        </w:rPr>
        <w:t xml:space="preserve"> La modificación no puede alterar las condiciones sustanciales del contrato, esto es, aquellas que, de haberse previsto desde el inicio, habrían permitido la participación de otros interesados o conducido a un resultado distinto en la selección. En la contratación directa, estas condiciones comprenden, entre otras, el perfil de idoneidad y experiencia definido en los estudios previos. Adicionalmente, el parágrafo del artículo 40 de la Ley 80 de 1993 dispone que “los contratos no podrán adicionarse en más del cincuenta por ciento (50%) de su valor inicial, expresado éste en salarios mínimos legales mensuales”.</w:t>
      </w:r>
      <w:r>
        <w:rPr>
          <w:rStyle w:val="Refdenotaalpie"/>
          <w:rFonts w:ascii="Verdana" w:hAnsi="Verdana"/>
        </w:rPr>
        <w:footnoteReference w:id="13"/>
      </w:r>
    </w:p>
    <w:p w14:paraId="3F72083B" w14:textId="77777777" w:rsidR="002B2DF8" w:rsidRDefault="002B2DF8" w:rsidP="002B2DF8">
      <w:pPr>
        <w:spacing w:after="0" w:line="276" w:lineRule="auto"/>
        <w:jc w:val="both"/>
        <w:rPr>
          <w:rFonts w:ascii="Verdana" w:hAnsi="Verdana" w:cs="Arial"/>
          <w:bCs/>
          <w:szCs w:val="24"/>
          <w:lang w:val="es-ES_tradnl" w:eastAsia="es-ES_tradnl"/>
        </w:rPr>
      </w:pPr>
    </w:p>
    <w:p w14:paraId="14B292FB"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i/>
          <w:iCs/>
          <w:szCs w:val="24"/>
          <w:lang w:val="es-ES_tradnl" w:eastAsia="es-ES_tradnl"/>
        </w:rPr>
        <w:t>Límites axiológicos.</w:t>
      </w:r>
      <w:r>
        <w:rPr>
          <w:rFonts w:ascii="Verdana" w:hAnsi="Verdana" w:cs="Arial"/>
          <w:bCs/>
          <w:szCs w:val="24"/>
          <w:lang w:val="es-ES_tradnl" w:eastAsia="es-ES_tradnl"/>
        </w:rPr>
        <w:t xml:space="preserve"> La modificación debe responder a una causa real y cierta, perseguir el interés público y respetar los principios de planeación, economía, responsabilidad, transparencia y selección objetiva, así como los principios de la </w:t>
      </w:r>
      <w:r>
        <w:rPr>
          <w:rFonts w:ascii="Verdana" w:hAnsi="Verdana" w:cs="Arial"/>
          <w:bCs/>
          <w:szCs w:val="24"/>
          <w:lang w:val="es-ES_tradnl" w:eastAsia="es-ES_tradnl"/>
        </w:rPr>
        <w:lastRenderedPageBreak/>
        <w:t>función administrativa previstos en el artículo 209 de la Constitución Política. Estos límites deben cumplirse de manera concurrente, de modo que el cumplimiento de uno de ellos no exime de la observancia de los demás.</w:t>
      </w:r>
    </w:p>
    <w:p w14:paraId="21BD6EF8" w14:textId="77777777" w:rsidR="002B2DF8" w:rsidRDefault="002B2DF8" w:rsidP="002B2DF8">
      <w:pPr>
        <w:spacing w:after="0" w:line="276" w:lineRule="auto"/>
        <w:jc w:val="both"/>
        <w:rPr>
          <w:rFonts w:ascii="Verdana" w:hAnsi="Verdana" w:cs="Arial"/>
          <w:bCs/>
          <w:szCs w:val="24"/>
          <w:lang w:val="es-ES_tradnl" w:eastAsia="es-ES_tradnl"/>
        </w:rPr>
      </w:pPr>
    </w:p>
    <w:p w14:paraId="7B56D404"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Dentro de los límites materiales se encuentra la imposibilidad de modificar el objeto del contrato. Esta Subdirección ha señalado que “las modificaciones no podrían suponer la variación del objeto de un contrato, pues ello supondría la alteración de su esencia. Si se presentara esta situación, lo indicado sería celebrar uno nuevo”.</w:t>
      </w:r>
      <w:r>
        <w:rPr>
          <w:rStyle w:val="Refdenotaalpie"/>
          <w:rFonts w:ascii="Verdana" w:hAnsi="Verdana"/>
        </w:rPr>
        <w:footnoteReference w:id="14"/>
      </w:r>
      <w:r>
        <w:rPr>
          <w:rFonts w:ascii="Verdana" w:hAnsi="Verdana" w:cs="Arial"/>
          <w:bCs/>
          <w:szCs w:val="24"/>
          <w:lang w:val="es-ES_tradnl" w:eastAsia="es-ES_tradnl"/>
        </w:rPr>
        <w:t xml:space="preserve"> Esta regla encuentra fundamento en el artículo 1501 del Código Civil, que dispone:</w:t>
      </w:r>
    </w:p>
    <w:p w14:paraId="4D1098EF" w14:textId="77777777" w:rsidR="002B2DF8" w:rsidRDefault="002B2DF8" w:rsidP="002B2DF8">
      <w:pPr>
        <w:spacing w:after="0" w:line="276" w:lineRule="auto"/>
        <w:jc w:val="both"/>
        <w:rPr>
          <w:rFonts w:ascii="Verdana" w:hAnsi="Verdana" w:cs="Arial"/>
          <w:bCs/>
          <w:szCs w:val="24"/>
          <w:lang w:val="es-ES_tradnl" w:eastAsia="es-ES_tradnl"/>
        </w:rPr>
      </w:pPr>
    </w:p>
    <w:p w14:paraId="10C7EFDB" w14:textId="77777777" w:rsidR="002B2DF8" w:rsidRDefault="002B2DF8" w:rsidP="002B2DF8">
      <w:pPr>
        <w:spacing w:after="0" w:line="240" w:lineRule="auto"/>
        <w:ind w:left="709" w:right="709"/>
        <w:jc w:val="both"/>
        <w:rPr>
          <w:rFonts w:ascii="Verdana" w:hAnsi="Verdana" w:cs="Arial"/>
          <w:sz w:val="20"/>
          <w:szCs w:val="20"/>
          <w:lang w:val="es-ES" w:eastAsia="es-ES"/>
        </w:rPr>
      </w:pPr>
      <w:r>
        <w:rPr>
          <w:rFonts w:ascii="Verdana" w:hAnsi="Verdana" w:cs="Arial"/>
          <w:sz w:val="20"/>
          <w:szCs w:val="20"/>
          <w:lang w:val="es-ES" w:eastAsia="es-ES"/>
        </w:rPr>
        <w:t xml:space="preserve">“Artículo 1501. Se distinguen en cada contrato las cosas que son de su esencia, las que son de su naturaleza, y las puramente accidentales. Son de la esencia de un contrato aquellas cosas sin las cuales, o no produce efecto alguno, o degenera en otro contrato diferente; son de la naturaleza de un contrato las </w:t>
      </w:r>
      <w:proofErr w:type="gramStart"/>
      <w:r>
        <w:rPr>
          <w:rFonts w:ascii="Verdana" w:hAnsi="Verdana" w:cs="Arial"/>
          <w:sz w:val="20"/>
          <w:szCs w:val="20"/>
          <w:lang w:val="es-ES" w:eastAsia="es-ES"/>
        </w:rPr>
        <w:t>que</w:t>
      </w:r>
      <w:proofErr w:type="gramEnd"/>
      <w:r>
        <w:rPr>
          <w:rFonts w:ascii="Verdana" w:hAnsi="Verdana" w:cs="Arial"/>
          <w:sz w:val="20"/>
          <w:szCs w:val="20"/>
          <w:lang w:val="es-ES" w:eastAsia="es-ES"/>
        </w:rPr>
        <w:t xml:space="preserve"> no siendo esenciales en él, se entienden pertenecerle, sin necesidad de una cláusula especial; y son accidentales a un contrato aquellas que ni esencial ni naturalmente le pertenecen, y que se le agregan por medio de cláusulas especiales”.</w:t>
      </w:r>
    </w:p>
    <w:p w14:paraId="61494EAB" w14:textId="77777777" w:rsidR="002B2DF8" w:rsidRDefault="002B2DF8" w:rsidP="002B2DF8">
      <w:pPr>
        <w:spacing w:after="0" w:line="276" w:lineRule="auto"/>
        <w:jc w:val="both"/>
        <w:rPr>
          <w:rFonts w:ascii="Verdana" w:hAnsi="Verdana" w:cs="Arial"/>
          <w:bCs/>
          <w:szCs w:val="24"/>
          <w:lang w:val="es-ES_tradnl" w:eastAsia="es-ES_tradnl"/>
        </w:rPr>
      </w:pPr>
    </w:p>
    <w:p w14:paraId="545BD31B"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De acuerdo con esta norma, la alteración de un elemento esencial hace que el contrato degenere en otro diferente. El objeto es un elemento esencial del contrato, pues corresponde a la prestación que las partes se obligan a ejecutar e identifica el negocio jurídico. De él dependen la tipología contractual, la modalidad de selección, los requisitos de idoneidad y experiencia exigibles al contratista, las garantías, la distribución de riesgos y el valor estimado del contrato.</w:t>
      </w:r>
    </w:p>
    <w:p w14:paraId="61BE9C9B" w14:textId="77777777" w:rsidR="002B2DF8" w:rsidRDefault="002B2DF8" w:rsidP="002B2DF8">
      <w:pPr>
        <w:spacing w:after="0" w:line="276" w:lineRule="auto"/>
        <w:jc w:val="both"/>
        <w:rPr>
          <w:rFonts w:ascii="Verdana" w:hAnsi="Verdana" w:cs="Arial"/>
          <w:bCs/>
          <w:szCs w:val="24"/>
          <w:lang w:val="es-ES_tradnl" w:eastAsia="es-ES_tradnl"/>
        </w:rPr>
      </w:pPr>
    </w:p>
    <w:p w14:paraId="688AD26E" w14:textId="77777777" w:rsidR="002B2DF8" w:rsidRDefault="002B2DF8" w:rsidP="002B2DF8">
      <w:pPr>
        <w:spacing w:after="0" w:line="276" w:lineRule="auto"/>
        <w:jc w:val="both"/>
        <w:rPr>
          <w:rFonts w:ascii="Verdana" w:hAnsi="Verdana" w:cs="Arial"/>
          <w:lang w:val="es-ES" w:eastAsia="es-ES"/>
        </w:rPr>
      </w:pPr>
      <w:r w:rsidRPr="56E39164">
        <w:rPr>
          <w:rFonts w:ascii="Verdana" w:hAnsi="Verdana" w:cs="Arial"/>
          <w:lang w:val="es-ES" w:eastAsia="es-ES"/>
        </w:rPr>
        <w:t xml:space="preserve">En concordancia, el inciso primero del artículo 40 de la Ley 80 de 1993 dispone que “las estipulaciones de los contratos serán las </w:t>
      </w:r>
      <w:proofErr w:type="gramStart"/>
      <w:r w:rsidRPr="56E39164">
        <w:rPr>
          <w:rFonts w:ascii="Verdana" w:hAnsi="Verdana" w:cs="Arial"/>
          <w:lang w:val="es-ES" w:eastAsia="es-ES"/>
        </w:rPr>
        <w:t>que</w:t>
      </w:r>
      <w:proofErr w:type="gramEnd"/>
      <w:r w:rsidRPr="56E39164">
        <w:rPr>
          <w:rFonts w:ascii="Verdana" w:hAnsi="Verdana" w:cs="Arial"/>
          <w:lang w:val="es-ES" w:eastAsia="es-ES"/>
        </w:rPr>
        <w:t xml:space="preserve"> de acuerdo con las normas civiles, comerciales y las previstas en esta ley, correspondan a su esencia y naturaleza”. Por consiguiente, una estipulación que sustituya el objeto del contrato da lugar a un negocio jurídico distinto.</w:t>
      </w:r>
    </w:p>
    <w:p w14:paraId="30B7A3EC" w14:textId="77777777" w:rsidR="002B2DF8" w:rsidRDefault="002B2DF8" w:rsidP="002B2DF8">
      <w:pPr>
        <w:spacing w:after="0" w:line="276" w:lineRule="auto"/>
        <w:jc w:val="both"/>
        <w:rPr>
          <w:rFonts w:ascii="Verdana" w:hAnsi="Verdana" w:cs="Arial"/>
          <w:bCs/>
          <w:szCs w:val="24"/>
          <w:lang w:val="es-ES_tradnl" w:eastAsia="es-ES_tradnl"/>
        </w:rPr>
      </w:pPr>
    </w:p>
    <w:p w14:paraId="10186609"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lastRenderedPageBreak/>
        <w:t>En el mismo sentido, el Consejo de Estado ha señalado que la modificación del objeto del contrato implica la celebración de un nuevo contrato, para lo cual deben cumplirse los requisitos legales, incluida la selección objetiva del contratista.</w:t>
      </w:r>
      <w:r>
        <w:rPr>
          <w:rStyle w:val="Refdenotaalpie"/>
          <w:rFonts w:ascii="Verdana" w:hAnsi="Verdana"/>
        </w:rPr>
        <w:footnoteReference w:id="15"/>
      </w:r>
      <w:r>
        <w:rPr>
          <w:rFonts w:ascii="Verdana" w:hAnsi="Verdana" w:cs="Arial"/>
          <w:bCs/>
          <w:szCs w:val="24"/>
          <w:lang w:val="es-ES_tradnl" w:eastAsia="es-ES_tradnl"/>
        </w:rPr>
        <w:t xml:space="preserve"> La Corte Constitucional, en la sentencia C-300 de 2012 ya citada, precisó que “la modificación del contrato no puede ser de tal entidad que altere su esencia y lo convierta en otro tipo de negocio jurídico”.</w:t>
      </w:r>
    </w:p>
    <w:p w14:paraId="130F1DD2" w14:textId="77777777" w:rsidR="002B2DF8" w:rsidRDefault="002B2DF8" w:rsidP="002B2DF8">
      <w:pPr>
        <w:spacing w:after="0" w:line="276" w:lineRule="auto"/>
        <w:jc w:val="both"/>
        <w:rPr>
          <w:rFonts w:ascii="Verdana" w:hAnsi="Verdana" w:cs="Arial"/>
          <w:bCs/>
          <w:szCs w:val="24"/>
          <w:lang w:val="es-ES_tradnl" w:eastAsia="es-ES_tradnl"/>
        </w:rPr>
      </w:pPr>
    </w:p>
    <w:p w14:paraId="45F7BDC2"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Este límite garantiza la aplicación de los principios de la función administrativa del artículo 209 de la Constitución Política, de los principios de transparencia, economía y responsabilidad previstos en los artículos 24, 25 y 26 de la Ley 80 de 1993 y del deber de selección objetiva del artículo 5 de la Ley 1150 de 2007. Si el objeto pudiera sustituirse mediante un documento modificatorio, la entidad contrataría prestaciones nuevas sin adelantar el procedimiento de selección que la ley prevé para ellas, con afectación de la igualdad y la libre concurrencia de los interesados.</w:t>
      </w:r>
    </w:p>
    <w:p w14:paraId="4C37855B" w14:textId="77777777" w:rsidR="002B2DF8" w:rsidRDefault="002B2DF8" w:rsidP="002B2DF8">
      <w:pPr>
        <w:spacing w:after="0" w:line="276" w:lineRule="auto"/>
        <w:jc w:val="both"/>
        <w:rPr>
          <w:rFonts w:ascii="Verdana" w:hAnsi="Verdana" w:cs="Arial"/>
          <w:bCs/>
          <w:szCs w:val="24"/>
          <w:lang w:val="es-ES_tradnl" w:eastAsia="es-ES_tradnl"/>
        </w:rPr>
      </w:pPr>
    </w:p>
    <w:p w14:paraId="0903D1A6"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contratación de un nuevo objeto mediante un documento modificatorio, sin agotar el procedimiento de selección correspondiente, puede afectar la validez del negocio jurídico a la luz de las causales de nulidad absoluta del artículo 44 de la Ley 80 de 1993, en particular las relativas a la celebración del contrato “contra expresa prohibición constitucional o legal” y “con abuso o desviación de poder”. Igualmente, puede dar lugar a la responsabilidad de los servidores públicos que intervengan, en los términos de los artículos 26 y 51 de la misma ley. La determinación de estas consecuencias en un caso concreto corresponde a las autoridades competentes.</w:t>
      </w:r>
      <w:r>
        <w:rPr>
          <w:rStyle w:val="Refdenotaalpie"/>
          <w:rFonts w:ascii="Verdana" w:hAnsi="Verdana"/>
        </w:rPr>
        <w:footnoteReference w:id="16"/>
      </w:r>
    </w:p>
    <w:p w14:paraId="728E7BC2" w14:textId="77777777" w:rsidR="002B2DF8" w:rsidRDefault="002B2DF8" w:rsidP="002B2DF8">
      <w:pPr>
        <w:spacing w:after="0" w:line="276" w:lineRule="auto"/>
        <w:jc w:val="both"/>
        <w:rPr>
          <w:rFonts w:ascii="Verdana" w:hAnsi="Verdana" w:cs="Arial"/>
          <w:bCs/>
          <w:szCs w:val="24"/>
          <w:lang w:val="es-ES_tradnl" w:eastAsia="es-ES_tradnl"/>
        </w:rPr>
      </w:pPr>
    </w:p>
    <w:p w14:paraId="5F2EB2FE" w14:textId="77777777" w:rsidR="002B2DF8" w:rsidRDefault="002B2DF8" w:rsidP="002B2DF8">
      <w:pPr>
        <w:spacing w:after="0" w:line="276" w:lineRule="auto"/>
        <w:jc w:val="both"/>
        <w:rPr>
          <w:rFonts w:ascii="Verdana" w:hAnsi="Verdana" w:cs="Arial"/>
          <w:bCs/>
          <w:szCs w:val="24"/>
          <w:lang w:val="es-ES_tradnl" w:eastAsia="es-ES_tradnl"/>
        </w:rPr>
      </w:pPr>
    </w:p>
    <w:p w14:paraId="1D959B4F" w14:textId="77777777" w:rsidR="002B2DF8" w:rsidRDefault="002B2DF8" w:rsidP="002B2DF8">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iii</w:t>
      </w:r>
      <w:proofErr w:type="spellEnd"/>
      <w:r>
        <w:rPr>
          <w:rFonts w:ascii="Verdana" w:hAnsi="Verdana" w:cs="Arial"/>
          <w:bCs/>
          <w:szCs w:val="24"/>
          <w:lang w:val="es-ES_tradnl" w:eastAsia="es-ES_tradnl"/>
        </w:rPr>
        <w:t xml:space="preserve">) El contrato de prestación de servicios es un tipo contractual definido en el numeral 3 del artículo 32 de la Ley 80 de 1993, según el cual “Son contratos de prestación de servicios los que celebren las entidades estatales para desarrollar actividades relacionadas con la administración o funcionamiento de la entidad. </w:t>
      </w:r>
      <w:r>
        <w:rPr>
          <w:rFonts w:ascii="Verdana" w:hAnsi="Verdana" w:cs="Arial"/>
          <w:bCs/>
          <w:szCs w:val="24"/>
          <w:lang w:val="es-ES_tradnl" w:eastAsia="es-ES_tradnl"/>
        </w:rPr>
        <w:lastRenderedPageBreak/>
        <w:t>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Style w:val="Refdenotaalpie"/>
          <w:rFonts w:ascii="Verdana" w:hAnsi="Verdana"/>
        </w:rPr>
        <w:footnoteReference w:id="17"/>
      </w:r>
    </w:p>
    <w:p w14:paraId="0F73E1CC" w14:textId="77777777" w:rsidR="002B2DF8" w:rsidRDefault="002B2DF8" w:rsidP="002B2DF8">
      <w:pPr>
        <w:spacing w:after="0" w:line="276" w:lineRule="auto"/>
        <w:jc w:val="both"/>
        <w:rPr>
          <w:rFonts w:ascii="Verdana" w:hAnsi="Verdana" w:cs="Arial"/>
          <w:bCs/>
          <w:szCs w:val="24"/>
          <w:lang w:val="es-ES_tradnl" w:eastAsia="es-ES_tradnl"/>
        </w:rPr>
      </w:pPr>
    </w:p>
    <w:p w14:paraId="6BA9F625"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modalidad de selección aplicable es la contratación directa, conforme al literal h) del numeral 4 del artículo 2 de la Ley 1150 de 2007, reglamentado por el artículo 2.2.1.2.1.4.9 del Decreto 1082 de 2015. Esta última disposición precisa que los servicios profesionales y de apoyo a la gestión corresponden a aquellos de naturaleza intelectual diferentes a los de consultoría que se derivan del cumplimiento de las funciones de la entidad, así como los relacionados con actividades operativas, logísticas o asistenciales, y condiciona la contratación a que la entidad “verifique la idoneidad o experiencia requerida y relacionada con el área de que se trate”.</w:t>
      </w:r>
      <w:r>
        <w:rPr>
          <w:rStyle w:val="Refdenotaalpie"/>
          <w:rFonts w:ascii="Verdana" w:hAnsi="Verdana"/>
        </w:rPr>
        <w:footnoteReference w:id="18"/>
      </w:r>
    </w:p>
    <w:p w14:paraId="7254DBA1" w14:textId="77777777" w:rsidR="002B2DF8" w:rsidRDefault="002B2DF8" w:rsidP="002B2DF8">
      <w:pPr>
        <w:spacing w:after="0" w:line="276" w:lineRule="auto"/>
        <w:jc w:val="both"/>
        <w:rPr>
          <w:rFonts w:ascii="Verdana" w:hAnsi="Verdana" w:cs="Arial"/>
          <w:bCs/>
          <w:szCs w:val="24"/>
          <w:lang w:val="es-ES_tradnl" w:eastAsia="es-ES_tradnl"/>
        </w:rPr>
      </w:pPr>
    </w:p>
    <w:p w14:paraId="3C7AA8CC"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En estos contratos es frecuente que el objeto se enuncie de manera general, por ejemplo, como la prestación de servicios de apoyo a la gestión en determinada dependencia o proceso, y que las obligaciones específicas se detallen en un listado de actividades. El objeto delimita el ámbito de la prestación y las actividades describen la forma en que se ejecuta. Por ello, el ajuste del listado de actividades es admisible cuando las actividades resultantes se encuentran comprendidas dentro del objeto. La redacción general del objeto no amplía por sí misma lo que puede incorporarse mediante una modificación, por lo que su alcance debe determinarse a partir de la necesidad descrita en los estudios previos, del perfil exigido al contratista y del análisis del sector que soportó el valor del contrato.</w:t>
      </w:r>
    </w:p>
    <w:p w14:paraId="48AA76F2" w14:textId="77777777" w:rsidR="002B2DF8" w:rsidRDefault="002B2DF8" w:rsidP="002B2DF8">
      <w:pPr>
        <w:spacing w:after="0" w:line="276" w:lineRule="auto"/>
        <w:jc w:val="both"/>
        <w:rPr>
          <w:rFonts w:ascii="Verdana" w:hAnsi="Verdana" w:cs="Arial"/>
          <w:bCs/>
          <w:szCs w:val="24"/>
          <w:lang w:val="es-ES_tradnl" w:eastAsia="es-ES_tradnl"/>
        </w:rPr>
      </w:pPr>
    </w:p>
    <w:p w14:paraId="4EA1FDC7"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Adicionalmente, en esta tipología contractual deben tenerse en cuenta tres aspectos.</w:t>
      </w:r>
    </w:p>
    <w:p w14:paraId="3791894B" w14:textId="77777777" w:rsidR="002B2DF8" w:rsidRDefault="002B2DF8" w:rsidP="002B2DF8">
      <w:pPr>
        <w:spacing w:after="0" w:line="276" w:lineRule="auto"/>
        <w:jc w:val="both"/>
        <w:rPr>
          <w:rFonts w:ascii="Verdana" w:hAnsi="Verdana" w:cs="Arial"/>
          <w:bCs/>
          <w:szCs w:val="24"/>
          <w:lang w:val="es-ES_tradnl" w:eastAsia="es-ES_tradnl"/>
        </w:rPr>
      </w:pPr>
    </w:p>
    <w:p w14:paraId="654CDF74"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i/>
          <w:iCs/>
          <w:szCs w:val="24"/>
          <w:lang w:val="es-ES_tradnl" w:eastAsia="es-ES_tradnl"/>
        </w:rPr>
        <w:lastRenderedPageBreak/>
        <w:t>El primero se refiere a la idoneidad.</w:t>
      </w:r>
      <w:r>
        <w:rPr>
          <w:rFonts w:ascii="Verdana" w:hAnsi="Verdana" w:cs="Arial"/>
          <w:bCs/>
          <w:szCs w:val="24"/>
          <w:lang w:val="es-ES_tradnl" w:eastAsia="es-ES_tradnl"/>
        </w:rPr>
        <w:t xml:space="preserve"> Como la contratación directa se sustenta en la verificación previa de la idoneidad o experiencia del contratista “relacionada con el área de que se trate”, la incorporación de actividades que correspondan a un área distinta obliga a la entidad a verificar nuevamente la idoneidad o experiencia del contratista frente a esas actividades y a dejar constancia de ello. Esta Subdirección ha señalado que la idoneidad es un concepto jurídicamente indeterminado que debe dotarse de contenido en cada caso concreto, y que su verificación corresponde a la entidad, que debe contrastar la información aportada por el contratista con el perfil definido en los estudios previos.</w:t>
      </w:r>
      <w:r>
        <w:rPr>
          <w:rStyle w:val="Refdenotaalpie"/>
          <w:rFonts w:ascii="Verdana" w:hAnsi="Verdana"/>
        </w:rPr>
        <w:footnoteReference w:id="19"/>
      </w:r>
    </w:p>
    <w:p w14:paraId="512563D8" w14:textId="77777777" w:rsidR="002B2DF8" w:rsidRDefault="002B2DF8" w:rsidP="002B2DF8">
      <w:pPr>
        <w:spacing w:after="0" w:line="276" w:lineRule="auto"/>
        <w:jc w:val="both"/>
        <w:rPr>
          <w:rFonts w:ascii="Verdana" w:hAnsi="Verdana" w:cs="Arial"/>
          <w:bCs/>
          <w:szCs w:val="24"/>
          <w:lang w:val="es-ES_tradnl" w:eastAsia="es-ES_tradnl"/>
        </w:rPr>
      </w:pPr>
    </w:p>
    <w:p w14:paraId="2274353B"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i/>
          <w:iCs/>
          <w:szCs w:val="24"/>
          <w:lang w:val="es-ES_tradnl" w:eastAsia="es-ES_tradnl"/>
        </w:rPr>
        <w:t>El segundo se refiere a la autonomía del contratista.</w:t>
      </w:r>
      <w:r>
        <w:rPr>
          <w:rFonts w:ascii="Verdana" w:hAnsi="Verdana" w:cs="Arial"/>
          <w:bCs/>
          <w:szCs w:val="24"/>
          <w:lang w:val="es-ES_tradnl" w:eastAsia="es-ES_tradnl"/>
        </w:rPr>
        <w:t xml:space="preserve"> La modificación no puede implicar la asignación de funciones permanentes propias de los empleos de planta ni la subordinación o dependencia del contratista, pues ello desconocería los presupuestos del numeral 3 del artículo 32 de la Ley 80 de 1993. Tampoco pueden utilizarse prórrogas sucesivas para mantener indefinidamente una vinculación que la ley exige que sea temporal, dado que estos contratos se celebran por el término estrictamente indispensable. Cuando la necesidad sea permanente y propia de las funciones de la entidad, corresponde a esta adoptar las decisiones de organización administrativa a que haya lugar. Esta Agencia no es competente para determinar la estructura o la planta de personal de las entidades, ni para establecer si en un caso concreto se configura una relación laboral.</w:t>
      </w:r>
    </w:p>
    <w:p w14:paraId="5F2AD127" w14:textId="77777777" w:rsidR="002B2DF8" w:rsidRDefault="002B2DF8" w:rsidP="002B2DF8">
      <w:pPr>
        <w:spacing w:after="0" w:line="276" w:lineRule="auto"/>
        <w:jc w:val="both"/>
        <w:rPr>
          <w:rFonts w:ascii="Verdana" w:hAnsi="Verdana" w:cs="Arial"/>
          <w:bCs/>
          <w:szCs w:val="24"/>
          <w:lang w:val="es-ES_tradnl" w:eastAsia="es-ES_tradnl"/>
        </w:rPr>
      </w:pPr>
    </w:p>
    <w:p w14:paraId="08A6B244"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i/>
          <w:iCs/>
          <w:szCs w:val="24"/>
          <w:lang w:val="es-ES_tradnl" w:eastAsia="es-ES_tradnl"/>
        </w:rPr>
        <w:t>El tercero se refiere al deber de planeación.</w:t>
      </w:r>
      <w:r>
        <w:rPr>
          <w:rFonts w:ascii="Verdana" w:hAnsi="Verdana" w:cs="Arial"/>
          <w:bCs/>
          <w:szCs w:val="24"/>
          <w:lang w:val="es-ES_tradnl" w:eastAsia="es-ES_tradnl"/>
        </w:rPr>
        <w:t xml:space="preserve"> Las actividades del contrato deben corresponder a la necesidad identificada en los estudios previos, elaborados conforme al artículo 2.2.1.1.2.1.1 del Decreto 1082 de 2015 y precedidos del análisis del sector exigido por el artículo 2.2.1.1.1.6.1 del mismo decreto. Estas exigencias son aplicables a la contratación directa, pues el artículo 2.2.1.1.2.1.1 solo exceptúa de manera expresa la contratación de mínima cuantía. La modificación reiterada o sustancial del listado de actividades puede indicar que la necesidad no fue identificada adecuadamente o que se pretende atender una </w:t>
      </w:r>
      <w:r>
        <w:rPr>
          <w:rFonts w:ascii="Verdana" w:hAnsi="Verdana" w:cs="Arial"/>
          <w:bCs/>
          <w:szCs w:val="24"/>
          <w:lang w:val="es-ES_tradnl" w:eastAsia="es-ES_tradnl"/>
        </w:rPr>
        <w:lastRenderedPageBreak/>
        <w:t>necesidad distinta de la contratada, circunstancias que la entidad debe analizar antes de modificar el contrato.</w:t>
      </w:r>
      <w:r>
        <w:rPr>
          <w:rStyle w:val="Refdenotaalpie"/>
          <w:rFonts w:ascii="Verdana" w:hAnsi="Verdana"/>
        </w:rPr>
        <w:footnoteReference w:id="20"/>
      </w:r>
    </w:p>
    <w:p w14:paraId="7E11A028" w14:textId="77777777" w:rsidR="002B2DF8" w:rsidRDefault="002B2DF8" w:rsidP="002B2DF8">
      <w:pPr>
        <w:spacing w:after="0" w:line="276" w:lineRule="auto"/>
        <w:jc w:val="both"/>
        <w:rPr>
          <w:rFonts w:ascii="Verdana" w:hAnsi="Verdana" w:cs="Arial"/>
          <w:bCs/>
          <w:szCs w:val="24"/>
          <w:lang w:val="es-ES_tradnl" w:eastAsia="es-ES_tradnl"/>
        </w:rPr>
      </w:pPr>
    </w:p>
    <w:p w14:paraId="053A2D59"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Dentro de este marco, la entidad pública definirá en cada caso concreto lo relacionado con el tema objeto de consulta, atendiendo las particularidades del contrato, de los estudios previos que lo soportan y de la necesidad que pretende satisfacer, sin que sea atribución de Colombia Compra Eficiente validar sus actuaciones.</w:t>
      </w:r>
    </w:p>
    <w:p w14:paraId="730E2329" w14:textId="77777777" w:rsidR="002B2DF8" w:rsidRDefault="002B2DF8" w:rsidP="002B2DF8">
      <w:pPr>
        <w:spacing w:after="0" w:line="276" w:lineRule="auto"/>
        <w:jc w:val="both"/>
        <w:rPr>
          <w:rFonts w:ascii="Verdana" w:hAnsi="Verdana" w:cs="Arial"/>
          <w:bCs/>
          <w:szCs w:val="24"/>
          <w:lang w:val="es-ES_tradnl" w:eastAsia="es-ES_tradnl"/>
        </w:rPr>
      </w:pPr>
    </w:p>
    <w:p w14:paraId="0067CCD1" w14:textId="77777777" w:rsidR="002B2DF8" w:rsidRPr="001F283D" w:rsidRDefault="002B2DF8" w:rsidP="002B2DF8">
      <w:pPr>
        <w:tabs>
          <w:tab w:val="left" w:pos="142"/>
          <w:tab w:val="left" w:pos="284"/>
        </w:tabs>
        <w:spacing w:after="0" w:line="240"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p w14:paraId="286C4FAE" w14:textId="77777777" w:rsidR="002B2DF8" w:rsidRDefault="002B2DF8" w:rsidP="002B2DF8">
      <w:pPr>
        <w:spacing w:after="0" w:line="276" w:lineRule="auto"/>
        <w:jc w:val="both"/>
        <w:rPr>
          <w:rFonts w:ascii="Verdana" w:hAnsi="Verdana" w:cs="Arial"/>
          <w:bCs/>
          <w:szCs w:val="24"/>
          <w:lang w:val="es-ES_tradnl" w:eastAsia="es-ES_tradn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B2DF8" w:rsidRPr="009037F6" w14:paraId="0A7D045A" w14:textId="77777777" w:rsidTr="009961C2">
        <w:trPr>
          <w:trHeight w:val="487"/>
          <w:jc w:val="center"/>
        </w:trPr>
        <w:tc>
          <w:tcPr>
            <w:tcW w:w="8647" w:type="dxa"/>
          </w:tcPr>
          <w:p w14:paraId="5E399F00" w14:textId="77777777" w:rsidR="002B2DF8" w:rsidRDefault="002B2DF8" w:rsidP="009961C2">
            <w:pPr>
              <w:spacing w:line="276" w:lineRule="auto"/>
              <w:jc w:val="both"/>
              <w:rPr>
                <w:rFonts w:ascii="Verdana" w:hAnsi="Verdana" w:cs="Arial"/>
                <w:bCs/>
                <w:szCs w:val="24"/>
                <w:lang w:val="es-ES_tradnl" w:eastAsia="es-ES_tradnl"/>
              </w:rPr>
            </w:pPr>
            <w:r>
              <w:rPr>
                <w:rFonts w:ascii="Verdana" w:hAnsi="Verdana" w:cs="Arial"/>
                <w:bCs/>
                <w:szCs w:val="24"/>
                <w:lang w:val="es-ES_tradnl" w:eastAsia="es-ES_tradnl"/>
              </w:rPr>
              <w:t>Normativa: Constitución Política, artículo 209. Ley 80 de 1993, artículos 3, 4, 5 —numeral 2—, 14 —numerales 1 y 2—, 16, 23, 24 —numeral 7—, 25 —numerales 7 y 12, este último modificado por el artículo 87 de la Ley 1474 de 2011—, 26, 32 —numeral 3—, 40 —incisos primero, segundo y tercero, y parágrafo—, 44 —numerales 2 y 3— y 51. Ley 1150 de 2007, artículos 2 —numeral 4, literal h)—, 3, 5 y 28, este último derogado por el artículo 39 de la Ley 1508 de 2012. Ley 1474 de 2011, artículos 83 y 84. Ley 1437 de 2011, artículo 28, sustituido por el artículo 1 de la Ley 1755 de 2015. Código Civil, artículos 1501 y 1602. Decreto 111 de 1996, artículo 71. Decreto Ley 4170 de 2011, artículos 3 —numeral 5— y 11 —numeral 8—. Decreto 1082 de 2015, artículos 2.2.1.1.1.3.1; 2.2.1.1.1.6.1; 2.2.1.1.1.7.1; 2.2.1.1.2.1.1, modificado por el artículo 1 del Decreto 399 de 2021; 2.2.1.2.1.4.5 y 2.2.1.2.1.4.9. Resolución 469 de 2025 de la ANCP-CCE.</w:t>
            </w:r>
          </w:p>
          <w:p w14:paraId="6395A634" w14:textId="77777777" w:rsidR="002B2DF8" w:rsidRDefault="002B2DF8" w:rsidP="009961C2">
            <w:pPr>
              <w:spacing w:line="276" w:lineRule="auto"/>
              <w:jc w:val="both"/>
              <w:rPr>
                <w:rFonts w:ascii="Verdana" w:hAnsi="Verdana" w:cs="Arial"/>
                <w:bCs/>
                <w:szCs w:val="24"/>
                <w:lang w:val="es-ES_tradnl" w:eastAsia="es-ES_tradnl"/>
              </w:rPr>
            </w:pPr>
          </w:p>
          <w:p w14:paraId="7F16059C" w14:textId="77777777" w:rsidR="002B2DF8" w:rsidRDefault="002B2DF8" w:rsidP="009961C2">
            <w:pPr>
              <w:spacing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Jurisprudencia: CORTE CONSTITUCIONAL. Sentencia C-300 del 25 de abril de 2012, M.P. Jorge Ignacio Pretelt Chaljub. CONSEJO DE ESTADO. Sala de lo Contencioso Administrativo, Sección Tercera. Sentencia del 7 de septiembre de 2018, expediente 05001-23-31-000-2002-03563-01 (39143), C.P. Stella Conto Díaz del Castillo. CONSEJO DE ESTADO. Sala de lo Contencioso Administrativo, Sección Tercera, Subsección A. Sentencia del </w:t>
            </w:r>
            <w:r>
              <w:rPr>
                <w:rFonts w:ascii="Verdana" w:hAnsi="Verdana" w:cs="Arial"/>
                <w:bCs/>
                <w:szCs w:val="24"/>
                <w:lang w:val="es-ES_tradnl" w:eastAsia="es-ES_tradnl"/>
              </w:rPr>
              <w:lastRenderedPageBreak/>
              <w:t>21 de marzo de 2025, expediente 25000-23-26-000-2011-00549-01 (61.936), C.P. María Adriana Marín.</w:t>
            </w:r>
          </w:p>
          <w:p w14:paraId="0AE22105" w14:textId="77777777" w:rsidR="002B2DF8" w:rsidRDefault="002B2DF8" w:rsidP="009961C2">
            <w:pPr>
              <w:spacing w:line="276" w:lineRule="auto"/>
              <w:jc w:val="both"/>
              <w:rPr>
                <w:rFonts w:ascii="Verdana" w:hAnsi="Verdana" w:cs="Arial"/>
                <w:bCs/>
                <w:szCs w:val="24"/>
                <w:lang w:val="es-ES_tradnl" w:eastAsia="es-ES_tradnl"/>
              </w:rPr>
            </w:pPr>
          </w:p>
          <w:p w14:paraId="20196D26" w14:textId="77777777" w:rsidR="002B2DF8" w:rsidRDefault="002B2DF8" w:rsidP="009961C2">
            <w:pPr>
              <w:spacing w:line="276" w:lineRule="auto"/>
              <w:jc w:val="both"/>
              <w:rPr>
                <w:rFonts w:ascii="Verdana" w:hAnsi="Verdana" w:cs="Arial"/>
                <w:bCs/>
                <w:szCs w:val="24"/>
                <w:lang w:val="es-ES_tradnl" w:eastAsia="es-ES_tradnl"/>
              </w:rPr>
            </w:pPr>
            <w:r>
              <w:rPr>
                <w:rFonts w:ascii="Verdana" w:hAnsi="Verdana" w:cs="Arial"/>
                <w:bCs/>
                <w:szCs w:val="24"/>
                <w:lang w:val="es-ES_tradnl" w:eastAsia="es-ES_tradnl"/>
              </w:rPr>
              <w:t>Conceptos de la ANCP-CCE: Subdirección de Gestión Contractual. Conceptos C-107 del 28 de mayo de 2024, C-329 del 22 de agosto de 2024, C-757 de 2024, C-308 de 2025, C-1212 del 30 de septiembre de 2025, C-1421 del 12 de noviembre de 2025, C-781 de 2026, C-970 del 27 de julio de 2026, C-1254 de 2026 y C-1733 de 2026.</w:t>
            </w:r>
          </w:p>
        </w:tc>
      </w:tr>
    </w:tbl>
    <w:p w14:paraId="791CB759" w14:textId="77777777" w:rsidR="002B2DF8" w:rsidRDefault="002B2DF8" w:rsidP="002B2DF8">
      <w:pPr>
        <w:spacing w:after="0" w:line="276" w:lineRule="auto"/>
        <w:jc w:val="both"/>
        <w:rPr>
          <w:rFonts w:ascii="Verdana" w:hAnsi="Verdana" w:cs="Arial"/>
          <w:bCs/>
          <w:szCs w:val="24"/>
          <w:lang w:val="es-ES_tradnl" w:eastAsia="es-ES_tradnl"/>
        </w:rPr>
      </w:pPr>
    </w:p>
    <w:p w14:paraId="5DB2DC8C" w14:textId="77777777" w:rsidR="002B2DF8" w:rsidRPr="009037F6" w:rsidRDefault="002B2DF8" w:rsidP="002B2DF8">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31C3D36F" w14:textId="77777777" w:rsidR="002B2DF8" w:rsidRPr="009037F6" w:rsidRDefault="002B2DF8" w:rsidP="002B2DF8">
      <w:pPr>
        <w:widowControl w:val="0"/>
        <w:autoSpaceDE w:val="0"/>
        <w:autoSpaceDN w:val="0"/>
        <w:spacing w:after="0" w:line="276" w:lineRule="auto"/>
        <w:jc w:val="both"/>
        <w:rPr>
          <w:rFonts w:ascii="Verdana" w:hAnsi="Verdana" w:cs="Arial"/>
        </w:rPr>
      </w:pPr>
    </w:p>
    <w:p w14:paraId="4093045E" w14:textId="77777777" w:rsidR="002B2DF8" w:rsidRDefault="002B2DF8" w:rsidP="002B2DF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Sobre la procedencia, el carácter excepcional y los límites de la modificación de los contratos estatales, así como sobre la imposibilidad de variar el objeto y el límite de las adiciones, esta Subdirección se ha pronunciado en los Conceptos C-329 del 22 de agosto de 2024, C-308 de 2025, C-1212 del 30 de septiembre de 2025 y C-1733 de 2026. Sobre el carácter potestativo de las cláusulas excepcionales en los contratos de prestación de servicios, en el Concepto C-1421 del 12 de noviembre de 2025. Sobre la noción, los requisitos y el deber de verificación de idoneidad y experiencia en los contratos de prestación de servicios profesionales y de apoyo a la gestión, en los Conceptos C-107 del 28 de mayo de 2024, C-757 de 2024, C-781 de 2026, C-970 del 27 de julio de 2026 y C-1254 de 2026. Como documento orientador puede consultarse la Guía para la contratación de prestación de servicios profesionales y de apoyo a la gestión, CCE-EICP-GI-21, versión 01 del 3 de marzo de 2023, que no tiene carácter vinculante. Las guías y manuales pueden descargarse en https://www.colombiacompra.gov.co/normativa-y-relatoria/guias-y-manuales y los conceptos emitidos por la Agencia en el siguiente enlace:</w:t>
      </w:r>
    </w:p>
    <w:p w14:paraId="631B6915" w14:textId="77777777" w:rsidR="002B2DF8" w:rsidRDefault="002B2DF8" w:rsidP="002B2DF8">
      <w:pPr>
        <w:widowControl w:val="0"/>
        <w:autoSpaceDE w:val="0"/>
        <w:autoSpaceDN w:val="0"/>
        <w:spacing w:after="0" w:line="276" w:lineRule="auto"/>
        <w:jc w:val="both"/>
        <w:rPr>
          <w:rStyle w:val="normaltextrun"/>
          <w:rFonts w:ascii="Verdana" w:hAnsi="Verdana" w:cs="Arial"/>
          <w:shd w:val="clear" w:color="auto" w:fill="FFFFFF"/>
        </w:rPr>
      </w:pPr>
    </w:p>
    <w:p w14:paraId="2D9B29CA" w14:textId="77777777" w:rsidR="002B2DF8" w:rsidRPr="009037F6" w:rsidRDefault="002B2DF8" w:rsidP="002B2DF8">
      <w:pPr>
        <w:spacing w:after="0" w:line="256" w:lineRule="auto"/>
        <w:jc w:val="both"/>
        <w:rPr>
          <w:rFonts w:ascii="Verdana" w:eastAsia="Calibri" w:hAnsi="Verdana" w:cs="Times New Roman"/>
        </w:rPr>
      </w:pPr>
      <w:hyperlink r:id="rId12" w:history="1">
        <w:r w:rsidRPr="009037F6">
          <w:rPr>
            <w:rFonts w:ascii="Verdana" w:eastAsia="Calibri" w:hAnsi="Verdana" w:cs="Times New Roman"/>
            <w:color w:val="0000FF"/>
            <w:u w:val="single"/>
            <w:lang w:val="es-ES"/>
          </w:rPr>
          <w:t>https://relatoria.colombiacompra.gov.co/busqueda/conceptos</w:t>
        </w:r>
      </w:hyperlink>
    </w:p>
    <w:p w14:paraId="349EF816" w14:textId="77777777" w:rsidR="002B2DF8" w:rsidRPr="009037F6" w:rsidRDefault="002B2DF8" w:rsidP="002B2DF8">
      <w:pPr>
        <w:spacing w:after="0"/>
        <w:jc w:val="both"/>
        <w:rPr>
          <w:rFonts w:ascii="Verdana" w:hAnsi="Verdana"/>
        </w:rPr>
      </w:pPr>
    </w:p>
    <w:p w14:paraId="51A02554" w14:textId="77777777" w:rsidR="002B2DF8" w:rsidRDefault="002B2DF8" w:rsidP="002B2DF8">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w:t>
      </w:r>
      <w:r w:rsidRPr="00215B71">
        <w:rPr>
          <w:rFonts w:ascii="Verdana" w:hAnsi="Verdana"/>
        </w:rPr>
        <w:t>Nacional de Contratación Pública –Colombia Compra Eficiente– te invita a realizar el Curso de Contratación Pública Sostenible y Socialmente Responsable, una herramienta clave para fortalecer las capacidades de todos</w:t>
      </w:r>
      <w:r w:rsidRPr="009A385A">
        <w:rPr>
          <w:rFonts w:ascii="Verdana" w:hAnsi="Verdana"/>
        </w:rPr>
        <w:t xml:space="preserve">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w:t>
      </w:r>
      <w:r>
        <w:rPr>
          <w:rFonts w:ascii="Verdana" w:hAnsi="Verdana"/>
        </w:rPr>
        <w:lastRenderedPageBreak/>
        <w:t>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07C4F058" w14:textId="77777777" w:rsidR="002B2DF8" w:rsidRPr="009A385A" w:rsidRDefault="002B2DF8" w:rsidP="002B2DF8">
      <w:pPr>
        <w:spacing w:after="0"/>
        <w:jc w:val="both"/>
        <w:rPr>
          <w:rFonts w:ascii="Verdana" w:hAnsi="Verdana"/>
        </w:rPr>
      </w:pPr>
    </w:p>
    <w:p w14:paraId="294517DE" w14:textId="77777777" w:rsidR="002B2DF8" w:rsidRDefault="002B2DF8" w:rsidP="002B2DF8">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w:t>
      </w:r>
      <w:r w:rsidRPr="00215B71">
        <w:rPr>
          <w:rFonts w:ascii="Verdana" w:hAnsi="Verdana"/>
        </w:rPr>
        <w:t>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w:t>
      </w:r>
      <w:r w:rsidRPr="00635F16">
        <w:rPr>
          <w:rFonts w:ascii="Verdana" w:hAnsi="Verdana"/>
        </w:rPr>
        <w:t xml:space="preserve">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5AB16674" w14:textId="77777777" w:rsidR="002B2DF8" w:rsidRDefault="002B2DF8" w:rsidP="002B2DF8">
      <w:pPr>
        <w:spacing w:after="0"/>
        <w:jc w:val="both"/>
        <w:rPr>
          <w:rFonts w:ascii="Verdana" w:hAnsi="Verdana"/>
        </w:rPr>
      </w:pPr>
    </w:p>
    <w:p w14:paraId="62B462EE" w14:textId="77777777" w:rsidR="002B2DF8" w:rsidRPr="008E1CD7" w:rsidRDefault="002B2DF8" w:rsidP="002B2DF8">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w:t>
      </w:r>
      <w:r w:rsidRPr="00215B71">
        <w:rPr>
          <w:rFonts w:ascii="Verdana" w:hAnsi="Verdana"/>
        </w:rPr>
        <w:t>la última versión de la Guía para la comprensión e implementación de los Documentos Tipo de obra pública de infraestructura de transporte. En</w:t>
      </w:r>
      <w:r w:rsidRPr="00797327">
        <w:rPr>
          <w:rFonts w:ascii="Verdana" w:hAnsi="Verdana"/>
        </w:rPr>
        <w:t xml:space="preserve">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3D4428CA" w14:textId="77777777" w:rsidR="002B2DF8" w:rsidRDefault="002B2DF8" w:rsidP="002B2DF8">
      <w:pPr>
        <w:shd w:val="clear" w:color="auto" w:fill="FFFFFF"/>
        <w:spacing w:after="0" w:line="276" w:lineRule="auto"/>
        <w:jc w:val="both"/>
        <w:rPr>
          <w:rFonts w:ascii="Verdana" w:hAnsi="Verdana"/>
          <w:color w:val="000000"/>
          <w:u w:val="single"/>
        </w:rPr>
      </w:pPr>
    </w:p>
    <w:p w14:paraId="7ADDAF89" w14:textId="77777777" w:rsidR="002B2DF8" w:rsidRPr="0038088D" w:rsidRDefault="002B2DF8" w:rsidP="002B2DF8">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25A41907" w14:textId="77777777" w:rsidR="002B2DF8" w:rsidRPr="0038088D" w:rsidRDefault="002B2DF8" w:rsidP="002B2DF8">
      <w:pPr>
        <w:spacing w:after="0"/>
        <w:jc w:val="both"/>
        <w:rPr>
          <w:rFonts w:ascii="Verdana" w:hAnsi="Verdana"/>
        </w:rPr>
      </w:pPr>
    </w:p>
    <w:p w14:paraId="2360D791" w14:textId="77777777" w:rsidR="002B2DF8" w:rsidRPr="0038088D" w:rsidRDefault="002B2DF8" w:rsidP="002B2DF8">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553AAE17" w14:textId="77777777" w:rsidR="002B2DF8" w:rsidRPr="0038088D" w:rsidRDefault="002B2DF8" w:rsidP="002B2DF8">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47358F15" w14:textId="77777777" w:rsidR="002B2DF8" w:rsidRPr="0038088D" w:rsidRDefault="002B2DF8" w:rsidP="002B2DF8">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lastRenderedPageBreak/>
        <w:t xml:space="preserve">Correo de radicación de correspondencia: </w:t>
      </w:r>
      <w:hyperlink r:id="rId16">
        <w:r w:rsidRPr="0038088D">
          <w:rPr>
            <w:rStyle w:val="Hipervnculo"/>
            <w:rFonts w:ascii="Verdana" w:eastAsia="Verdana" w:hAnsi="Verdana" w:cs="Verdana"/>
          </w:rPr>
          <w:t>ventanilladeradicacion@colombiacompra.gov.co</w:t>
        </w:r>
      </w:hyperlink>
    </w:p>
    <w:p w14:paraId="6CBEF397" w14:textId="77777777" w:rsidR="002B2DF8" w:rsidRPr="0038088D" w:rsidRDefault="002B2DF8" w:rsidP="002B2DF8">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7">
        <w:r w:rsidRPr="0038088D">
          <w:rPr>
            <w:rStyle w:val="Hipervnculo"/>
            <w:rFonts w:ascii="Verdana" w:eastAsia="Verdana" w:hAnsi="Verdana" w:cs="Verdana"/>
          </w:rPr>
          <w:t>https://www.colombiacompra.gov.co/pqrsd/informacion-importante-antes-de-formular-una-pqrsd</w:t>
        </w:r>
      </w:hyperlink>
    </w:p>
    <w:p w14:paraId="7493D553" w14:textId="77777777" w:rsidR="002B2DF8" w:rsidRPr="0038088D" w:rsidRDefault="002B2DF8" w:rsidP="002B2DF8">
      <w:pPr>
        <w:spacing w:after="0" w:line="240" w:lineRule="auto"/>
        <w:ind w:left="720"/>
        <w:jc w:val="both"/>
        <w:rPr>
          <w:rFonts w:ascii="Verdana" w:hAnsi="Verdana"/>
        </w:rPr>
      </w:pPr>
    </w:p>
    <w:p w14:paraId="666BB987" w14:textId="77777777" w:rsidR="002B2DF8" w:rsidRPr="0038088D" w:rsidRDefault="002B2DF8" w:rsidP="002B2DF8">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8"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4DB94AEE" w14:textId="77777777" w:rsidR="002B2DF8" w:rsidRPr="0038088D" w:rsidRDefault="002B2DF8" w:rsidP="002B2DF8">
      <w:pPr>
        <w:spacing w:after="0" w:line="240" w:lineRule="auto"/>
        <w:rPr>
          <w:rFonts w:ascii="Verdana" w:hAnsi="Verdana"/>
        </w:rPr>
      </w:pPr>
    </w:p>
    <w:p w14:paraId="587C72F6" w14:textId="77777777" w:rsidR="002B2DF8" w:rsidRPr="0038088D" w:rsidRDefault="002B2DF8" w:rsidP="002B2DF8">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395333CA" w14:textId="77777777" w:rsidR="002B2DF8" w:rsidRPr="00116940" w:rsidRDefault="002B2DF8" w:rsidP="002B2DF8">
      <w:pPr>
        <w:spacing w:after="0" w:line="240" w:lineRule="auto"/>
        <w:jc w:val="both"/>
        <w:rPr>
          <w:rFonts w:ascii="Verdana" w:hAnsi="Verdana"/>
        </w:rPr>
      </w:pPr>
    </w:p>
    <w:p w14:paraId="47F69FDA" w14:textId="77777777" w:rsidR="002B2DF8" w:rsidRPr="00116940" w:rsidRDefault="002B2DF8" w:rsidP="002B2DF8">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B5F555F" w14:textId="77777777" w:rsidR="002B2DF8" w:rsidRPr="00116940" w:rsidRDefault="002B2DF8" w:rsidP="002B2DF8">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735AFBEB" w14:textId="77777777" w:rsidR="002B2DF8" w:rsidRPr="00E22E6E" w:rsidRDefault="002B2DF8" w:rsidP="002B2DF8">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047F617B" w14:textId="77777777" w:rsidR="002B2DF8" w:rsidRPr="009C4035" w:rsidRDefault="002B2DF8" w:rsidP="002B2DF8">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25CB6FF2" w14:textId="77777777" w:rsidR="002B2DF8" w:rsidRPr="00593A5F" w:rsidRDefault="002B2DF8" w:rsidP="002B2DF8">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08925C9A" w14:textId="77777777" w:rsidR="002B2DF8" w:rsidRDefault="002B2DF8" w:rsidP="002B2DF8">
      <w:pPr>
        <w:widowControl w:val="0"/>
        <w:autoSpaceDE w:val="0"/>
        <w:autoSpaceDN w:val="0"/>
        <w:spacing w:after="0" w:line="276" w:lineRule="auto"/>
        <w:jc w:val="both"/>
        <w:rPr>
          <w:rFonts w:ascii="Verdana" w:hAnsi="Verdana" w:cs="Arial"/>
        </w:rPr>
      </w:pPr>
    </w:p>
    <w:p w14:paraId="330F4CD2" w14:textId="6CC9FBE6" w:rsidR="002B2DF8" w:rsidRPr="002972D1" w:rsidRDefault="002B2DF8" w:rsidP="002972D1">
      <w:pPr>
        <w:spacing w:after="0" w:line="276" w:lineRule="auto"/>
        <w:rPr>
          <w:rFonts w:ascii="Verdana" w:eastAsia="Calibri" w:hAnsi="Verdana" w:cs="Arial"/>
          <w:lang w:val="es-ES" w:eastAsia="es-CO"/>
        </w:rPr>
      </w:pPr>
      <w:r w:rsidRPr="008D539F">
        <w:rPr>
          <w:rFonts w:ascii="Verdana" w:eastAsia="Times New Roman" w:hAnsi="Verdana" w:cs="Arial"/>
          <w:lang w:val="es-ES" w:eastAsia="es-CO"/>
        </w:rPr>
        <w:t>Atentamente,</w:t>
      </w:r>
      <w:r w:rsidRPr="008D539F">
        <w:rPr>
          <w:rFonts w:ascii="Verdana" w:eastAsia="Calibri" w:hAnsi="Verdana" w:cs="Arial"/>
          <w:lang w:val="es-ES" w:eastAsia="es-CO"/>
        </w:rPr>
        <w:t xml:space="preserve"> </w:t>
      </w:r>
    </w:p>
    <w:p w14:paraId="6E362019" w14:textId="77777777" w:rsidR="002972D1" w:rsidRDefault="002972D1" w:rsidP="002B2DF8">
      <w:pPr>
        <w:spacing w:after="0" w:line="254" w:lineRule="auto"/>
        <w:jc w:val="center"/>
        <w:rPr>
          <w:rFonts w:ascii="Verdana" w:eastAsia="Times New Roman" w:hAnsi="Verdana" w:cs="Arial"/>
          <w:lang w:eastAsia="es-ES"/>
        </w:rPr>
      </w:pPr>
    </w:p>
    <w:p w14:paraId="00BCE828" w14:textId="61A53096" w:rsidR="002972D1" w:rsidRPr="008D539F" w:rsidRDefault="002972D1" w:rsidP="002B2DF8">
      <w:pPr>
        <w:spacing w:after="0" w:line="254" w:lineRule="auto"/>
        <w:jc w:val="center"/>
        <w:rPr>
          <w:rFonts w:ascii="Verdana" w:eastAsia="Times New Roman" w:hAnsi="Verdana" w:cs="Arial"/>
          <w:lang w:eastAsia="es-ES"/>
        </w:rPr>
      </w:pPr>
      <w:r w:rsidRPr="002C3AD6">
        <w:rPr>
          <w:rFonts w:ascii="Century Gothic" w:hAnsi="Century Gothic"/>
          <w:noProof/>
        </w:rPr>
        <w:drawing>
          <wp:inline distT="0" distB="0" distL="0" distR="0" wp14:anchorId="1945CCCD" wp14:editId="25CE93F0">
            <wp:extent cx="2000923" cy="742767"/>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2014525" cy="747816"/>
                    </a:xfrm>
                    <a:prstGeom prst="rect">
                      <a:avLst/>
                    </a:prstGeom>
                  </pic:spPr>
                </pic:pic>
              </a:graphicData>
            </a:graphic>
          </wp:inline>
        </w:drawing>
      </w:r>
    </w:p>
    <w:p w14:paraId="6D02F0D3" w14:textId="77777777" w:rsidR="002B2DF8" w:rsidRPr="008D539F" w:rsidRDefault="002B2DF8" w:rsidP="002B2DF8">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2B2DF8" w:rsidRPr="008D539F" w14:paraId="28C647ED" w14:textId="77777777" w:rsidTr="009961C2">
        <w:trPr>
          <w:trHeight w:val="322"/>
        </w:trPr>
        <w:tc>
          <w:tcPr>
            <w:tcW w:w="733" w:type="dxa"/>
            <w:tcBorders>
              <w:top w:val="nil"/>
              <w:left w:val="nil"/>
              <w:bottom w:val="nil"/>
              <w:right w:val="nil"/>
            </w:tcBorders>
            <w:vAlign w:val="center"/>
            <w:hideMark/>
          </w:tcPr>
          <w:p w14:paraId="24DDB502" w14:textId="77777777" w:rsidR="002B2DF8" w:rsidRPr="008D539F" w:rsidRDefault="002B2DF8" w:rsidP="009961C2">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Elaboró:         </w:t>
            </w:r>
            <w:r w:rsidRPr="008D539F">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6875C5D9" w14:textId="77777777" w:rsidR="002B2DF8" w:rsidRPr="008D539F" w:rsidRDefault="002B2DF8" w:rsidP="009961C2">
            <w:pPr>
              <w:spacing w:after="0" w:line="254" w:lineRule="auto"/>
              <w:rPr>
                <w:rFonts w:ascii="Verdana" w:eastAsia="Times New Roman" w:hAnsi="Verdana" w:cs="Arial"/>
                <w:sz w:val="16"/>
                <w:szCs w:val="16"/>
                <w:lang w:val="es-ES" w:eastAsia="es-ES"/>
              </w:rPr>
            </w:pPr>
            <w:r w:rsidRPr="56E39164">
              <w:rPr>
                <w:rFonts w:ascii="Verdana" w:eastAsia="Times New Roman" w:hAnsi="Verdana" w:cs="Arial"/>
                <w:sz w:val="16"/>
                <w:szCs w:val="16"/>
                <w:lang w:val="es-ES" w:eastAsia="es-ES"/>
              </w:rPr>
              <w:t xml:space="preserve">Camilo José Martínez </w:t>
            </w:r>
            <w:proofErr w:type="spellStart"/>
            <w:r w:rsidRPr="56E39164">
              <w:rPr>
                <w:rFonts w:ascii="Verdana" w:eastAsia="Times New Roman" w:hAnsi="Verdana" w:cs="Arial"/>
                <w:sz w:val="16"/>
                <w:szCs w:val="16"/>
                <w:lang w:val="es-ES" w:eastAsia="es-ES"/>
              </w:rPr>
              <w:t>Martínez</w:t>
            </w:r>
            <w:proofErr w:type="spellEnd"/>
          </w:p>
          <w:p w14:paraId="0933F18C" w14:textId="77777777" w:rsidR="002B2DF8" w:rsidRPr="008D539F" w:rsidRDefault="002B2DF8" w:rsidP="009961C2">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2B2DF8" w:rsidRPr="008D539F" w14:paraId="2B57AFE7" w14:textId="77777777" w:rsidTr="009961C2">
        <w:trPr>
          <w:trHeight w:val="322"/>
        </w:trPr>
        <w:tc>
          <w:tcPr>
            <w:tcW w:w="733" w:type="dxa"/>
            <w:tcBorders>
              <w:top w:val="nil"/>
              <w:left w:val="nil"/>
              <w:bottom w:val="nil"/>
              <w:right w:val="nil"/>
            </w:tcBorders>
            <w:vAlign w:val="center"/>
            <w:hideMark/>
          </w:tcPr>
          <w:p w14:paraId="59C20E30" w14:textId="77777777" w:rsidR="002B2DF8" w:rsidRPr="008D539F" w:rsidRDefault="002B2DF8" w:rsidP="009961C2">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Revisó:</w:t>
            </w:r>
            <w:r w:rsidRPr="008D539F">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04A71F08" w14:textId="77777777" w:rsidR="002B2DF8" w:rsidRPr="008D539F" w:rsidRDefault="002B2DF8" w:rsidP="009961C2">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Adriana López</w:t>
            </w:r>
          </w:p>
          <w:p w14:paraId="1A5E3659" w14:textId="77777777" w:rsidR="002B2DF8" w:rsidRPr="008D539F" w:rsidRDefault="002B2DF8" w:rsidP="009961C2">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2B2DF8" w:rsidRPr="008D539F" w14:paraId="5CA3738B" w14:textId="77777777" w:rsidTr="009961C2">
        <w:trPr>
          <w:trHeight w:val="307"/>
        </w:trPr>
        <w:tc>
          <w:tcPr>
            <w:tcW w:w="733" w:type="dxa"/>
            <w:tcBorders>
              <w:top w:val="nil"/>
              <w:left w:val="nil"/>
              <w:bottom w:val="nil"/>
              <w:right w:val="nil"/>
            </w:tcBorders>
            <w:vAlign w:val="center"/>
            <w:hideMark/>
          </w:tcPr>
          <w:p w14:paraId="5E03F3E7" w14:textId="77777777" w:rsidR="002B2DF8" w:rsidRPr="008D539F" w:rsidRDefault="002B2DF8" w:rsidP="009961C2">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Aprobó:</w:t>
            </w:r>
            <w:r w:rsidRPr="008D539F">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58B0CD97" w14:textId="77777777" w:rsidR="002B2DF8" w:rsidRPr="008D539F" w:rsidRDefault="002B2DF8" w:rsidP="009961C2">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Carolina Quintero Gacharná</w:t>
            </w:r>
          </w:p>
          <w:p w14:paraId="11CC108C" w14:textId="77777777" w:rsidR="002B2DF8" w:rsidRPr="008D539F" w:rsidRDefault="002B2DF8" w:rsidP="009961C2">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Subdirectora de Gestión Contractual ANCP – CCE</w:t>
            </w:r>
          </w:p>
        </w:tc>
      </w:tr>
    </w:tbl>
    <w:p w14:paraId="186156EF" w14:textId="77777777" w:rsidR="002B2DF8" w:rsidRDefault="002B2DF8" w:rsidP="002B2DF8">
      <w:pPr>
        <w:autoSpaceDE w:val="0"/>
        <w:autoSpaceDN w:val="0"/>
        <w:adjustRightInd w:val="0"/>
        <w:spacing w:after="0" w:line="276" w:lineRule="auto"/>
        <w:rPr>
          <w:rFonts w:ascii="Verdana" w:hAnsi="Verdana" w:cs="Arial"/>
          <w:bCs/>
          <w:szCs w:val="24"/>
          <w:lang w:val="es-ES_tradnl" w:eastAsia="es-ES_tradnl"/>
        </w:rPr>
      </w:pPr>
    </w:p>
    <w:p w14:paraId="23D7774F" w14:textId="7CAC98CB" w:rsidR="002B2DF8" w:rsidRDefault="002B2DF8" w:rsidP="002B2DF8">
      <w:pPr>
        <w:autoSpaceDE w:val="0"/>
        <w:autoSpaceDN w:val="0"/>
        <w:adjustRightInd w:val="0"/>
        <w:spacing w:after="0" w:line="276" w:lineRule="auto"/>
        <w:rPr>
          <w:rFonts w:ascii="Verdana" w:hAnsi="Verdana" w:cs="Arial"/>
          <w:bCs/>
          <w:szCs w:val="24"/>
          <w:lang w:val="es-ES_tradnl" w:eastAsia="es-ES_tradnl"/>
        </w:rPr>
      </w:pPr>
    </w:p>
    <w:sectPr w:rsidR="002B2DF8"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C9AC3" w14:textId="77777777" w:rsidR="00DE581D" w:rsidRDefault="00DE581D" w:rsidP="004A1847">
      <w:pPr>
        <w:spacing w:after="0" w:line="240" w:lineRule="auto"/>
      </w:pPr>
      <w:r>
        <w:separator/>
      </w:r>
    </w:p>
  </w:endnote>
  <w:endnote w:type="continuationSeparator" w:id="0">
    <w:p w14:paraId="5FCB76C6" w14:textId="77777777" w:rsidR="00DE581D" w:rsidRDefault="00DE581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28591" w14:textId="77777777" w:rsidR="003332A8" w:rsidRDefault="003332A8">
    <w:pPr>
      <w:pStyle w:val="Piedepgina"/>
    </w:pPr>
  </w:p>
  <w:p w14:paraId="340AB76F" w14:textId="77777777"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51DE8" w:rsidRPr="00751DE8">
      <w:rPr>
        <w:rFonts w:ascii="Verdana" w:eastAsiaTheme="minorEastAsia" w:hAnsi="Verdana"/>
        <w:b/>
        <w:bCs/>
        <w:noProof/>
        <w:sz w:val="16"/>
        <w:szCs w:val="16"/>
      </w:rPr>
      <w:t>19</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A2BFA2A"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428D2C2"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4D2A2A7A" w14:textId="77777777"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59DC6" w14:textId="77777777" w:rsidR="00DE581D" w:rsidRDefault="00DE581D" w:rsidP="004A1847">
      <w:pPr>
        <w:spacing w:after="0" w:line="240" w:lineRule="auto"/>
      </w:pPr>
      <w:r>
        <w:separator/>
      </w:r>
    </w:p>
  </w:footnote>
  <w:footnote w:type="continuationSeparator" w:id="0">
    <w:p w14:paraId="378D4D92" w14:textId="77777777" w:rsidR="00DE581D" w:rsidRDefault="00DE581D" w:rsidP="004A1847">
      <w:pPr>
        <w:spacing w:after="0" w:line="240" w:lineRule="auto"/>
      </w:pPr>
      <w:r>
        <w:continuationSeparator/>
      </w:r>
    </w:p>
  </w:footnote>
  <w:footnote w:id="1">
    <w:p w14:paraId="25851036"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3, 14 —numeral 2—, 16 y 40. Código Civil, artículos 1501 y 1602. AGENCIA NACIONAL DE CONTRATACIÓN PÚBLICA – COLOMBIA COMPRA EFICIENTE. Subdirección de Gestión Contractual. Conceptos C-329 del 22 de agosto de 2024, C-308 de 2025, C-1212 del 30 de septiembre de 2025 y C-1733 de 2026.</w:t>
      </w:r>
    </w:p>
  </w:footnote>
  <w:footnote w:id="2">
    <w:p w14:paraId="2CC15A18"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14 —numeral 2— y 32 —numeral 3—. Ley 1150 de 2007, artículo 2, numeral 4, literal h). Decreto 1082 de 2015, artículo 2.2.1.2.1.4.9. AGENCIA NACIONAL DE CONTRATACIÓN PÚBLICA – COLOMBIA COMPRA EFICIENTE. Subdirección de Gestión Contractual. Conceptos C-757 de 2024, C-1421 del 12 de noviembre de 2025, C-970 del 27 de julio de 2026 y C-1254 de 2026.</w:t>
      </w:r>
    </w:p>
  </w:footnote>
  <w:footnote w:id="3">
    <w:p w14:paraId="10AA2443"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C-329 del 22 de agosto de 2024 y C-1212 del 30 de septiembre de 2025. CONSEJO DE ESTADO. Sala de lo Contencioso Administrativo, Sección Tercera. Sentencia del 7 de septiembre de 2018, expediente 05001-23-31-000-2002-03563-01 (39143), C.P. Stella Conto Díaz del Castillo.</w:t>
      </w:r>
    </w:p>
  </w:footnote>
  <w:footnote w:id="4">
    <w:p w14:paraId="6A3DD423"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Código Civil, artículo 1501. Ley 80 de 1993, artículo 40, inciso primero. CORTE CONSTITUCIONAL. Sentencia C-300 del 25 de abril de 2012, M.P. Jorge Ignacio Pretelt Chaljub.</w:t>
      </w:r>
    </w:p>
  </w:footnote>
  <w:footnote w:id="5">
    <w:p w14:paraId="61002C96"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 Constitución Política, artículo 209.</w:t>
      </w:r>
    </w:p>
  </w:footnote>
  <w:footnote w:id="6">
    <w:p w14:paraId="5EBB6995"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C-329 del 22 de agosto de 2024. En el mismo sentido, Conceptos C-308 de 2025, C-1212 del 30 de septiembre de 2025 y C-1733 de 2026.</w:t>
      </w:r>
    </w:p>
  </w:footnote>
  <w:footnote w:id="7">
    <w:p w14:paraId="56CE52F8"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CORTE CONSTITUCIONAL. Sentencia C-300 del 25 de abril de 2012, M.P. Jorge Ignacio Pretelt Chaljub. El artículo 28 de la Ley 1150 de 2007 fue derogado por el artículo 39 de la Ley 1508 de 2012; las consideraciones de la sentencia sobre los límites de la modificación contractual conservan valor interpretativo.</w:t>
      </w:r>
    </w:p>
  </w:footnote>
  <w:footnote w:id="8">
    <w:p w14:paraId="4451C5C4"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CONSEJO DE ESTADO. Sala de lo Contencioso Administrativo, Sección Tercera, Subsección A. Sentencia del 21 de marzo de 2025, expediente 25000-23-26-000-2011-00549-01 (61.936), C.P. María Adriana Marín.</w:t>
      </w:r>
    </w:p>
  </w:footnote>
  <w:footnote w:id="9">
    <w:p w14:paraId="101CC999"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14, numeral 2. AGENCIA NACIONAL DE CONTRATACIÓN PÚBLICA – COLOMBIA COMPRA EFICIENTE. Subdirección de Gestión Contractual. Concepto C-1421 del 12 de noviembre de 2025.</w:t>
      </w:r>
    </w:p>
  </w:footnote>
  <w:footnote w:id="10">
    <w:p w14:paraId="3B6E9A72"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C-308 de 2025 y C-1733 de 2026.</w:t>
      </w:r>
    </w:p>
  </w:footnote>
  <w:footnote w:id="11">
    <w:p w14:paraId="1D27D32B"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16 y 24, numeral 7. Ley 1474 de 2011, artículos 83 y 84. Decreto 1082 de 2015, artículo 2.2.1.1.1.7.1.</w:t>
      </w:r>
    </w:p>
  </w:footnote>
  <w:footnote w:id="12">
    <w:p w14:paraId="1BDCE49A"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111 de 1996, artículo 71. Decreto 1082 de 2015, artículo 2.2.1.2.1.4.5.</w:t>
      </w:r>
    </w:p>
  </w:footnote>
  <w:footnote w:id="13">
    <w:p w14:paraId="043AA278"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40, parágrafo. AGENCIA NACIONAL DE CONTRATACIÓN PÚBLICA – COLOMBIA COMPRA EFICIENTE. Subdirección de Gestión Contractual. Conceptos C-329 del 22 de agosto de 2024, C-308 de 2025 y C-1212 del 30 de septiembre de 2025.</w:t>
      </w:r>
    </w:p>
  </w:footnote>
  <w:footnote w:id="14">
    <w:p w14:paraId="587783C0"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C-329 del 22 de agosto de 2024. En el mismo sentido, Concepto C-1212 del 30 de septiembre de 2025.</w:t>
      </w:r>
    </w:p>
  </w:footnote>
  <w:footnote w:id="15">
    <w:p w14:paraId="7C063264"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CONSEJO DE ESTADO. Sala de lo Contencioso Administrativo, Sección Tercera. Sentencia del 7 de septiembre de 2018, expediente 05001-23-31-000-2002-03563-01 (39143), C.P. Stella Conto Díaz del Castillo.</w:t>
      </w:r>
    </w:p>
  </w:footnote>
  <w:footnote w:id="16">
    <w:p w14:paraId="14C817C6"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26, 44 —numerales 2 y 3— y 51.</w:t>
      </w:r>
    </w:p>
  </w:footnote>
  <w:footnote w:id="17">
    <w:p w14:paraId="5B44BA8E"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numeral 3.</w:t>
      </w:r>
    </w:p>
  </w:footnote>
  <w:footnote w:id="18">
    <w:p w14:paraId="76B5B931"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1150 de 2007, artículo 2, numeral 4, literal h). Decreto 1082 de 2015, artículo 2.2.1.2.1.4.9. AGENCIA NACIONAL DE CONTRATACIÓN PÚBLICA – COLOMBIA COMPRA EFICIENTE. Subdirección de Gestión Contractual. Conceptos C-107 del 28 de mayo de 2024 y C-757 de 2024.</w:t>
      </w:r>
    </w:p>
  </w:footnote>
  <w:footnote w:id="19">
    <w:p w14:paraId="348E8450"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C-757 de 2024, C-781 de 2026, C-970 del 27 de julio de 2026 y C-1254 de 2026.</w:t>
      </w:r>
    </w:p>
  </w:footnote>
  <w:footnote w:id="20">
    <w:p w14:paraId="5A76C01C" w14:textId="77777777" w:rsidR="002B2DF8" w:rsidRDefault="002B2DF8" w:rsidP="002B2DF8">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2.2.1.1.1.6.1 y 2.2.1.1.2.1.1, este último modificado por el artículo 1 del Decreto 399 de 2021. Ley 80 de 1993, artículos 25 —numerales 7 y 12— y 26. AGENCIA NACIONAL DE CONTRATACIÓN PÚBLICA – COLOMBIA COMPRA EFICIENTE. Subdirección de Gestión Contractual. Concepto C-1733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A606" w14:textId="77777777"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0111537" w14:textId="77777777" w:rsidR="003332A8" w:rsidRDefault="003332A8">
    <w:pPr>
      <w:pStyle w:val="Encabezado"/>
    </w:pPr>
  </w:p>
  <w:p w14:paraId="4A679B13" w14:textId="77777777" w:rsidR="003332A8" w:rsidRPr="004A305D" w:rsidRDefault="003332A8" w:rsidP="00B01B1A">
    <w:pPr>
      <w:spacing w:after="0" w:line="120" w:lineRule="auto"/>
      <w:rPr>
        <w:rFonts w:ascii="Century Gothic" w:eastAsia="Geo" w:hAnsi="Century Gothic" w:cs="Geo"/>
        <w:sz w:val="16"/>
        <w:szCs w:val="16"/>
        <w:lang w:eastAsia="es-CO"/>
      </w:rPr>
    </w:pPr>
  </w:p>
  <w:p w14:paraId="03B4F54F" w14:textId="77777777" w:rsidR="003332A8" w:rsidRDefault="003332A8" w:rsidP="00844AE9">
    <w:pPr>
      <w:spacing w:after="0" w:line="240" w:lineRule="auto"/>
      <w:rPr>
        <w:rFonts w:ascii="Verdana" w:hAnsi="Verdana"/>
        <w:sz w:val="24"/>
        <w:szCs w:val="24"/>
      </w:rPr>
    </w:pPr>
  </w:p>
  <w:p w14:paraId="50337D2A" w14:textId="77777777" w:rsidR="003332A8" w:rsidRPr="00C925AC" w:rsidRDefault="003332A8" w:rsidP="00844AE9">
    <w:pPr>
      <w:spacing w:after="0" w:line="240" w:lineRule="auto"/>
      <w:rPr>
        <w:rFonts w:ascii="Verdana" w:hAnsi="Verdana"/>
        <w:sz w:val="24"/>
        <w:szCs w:val="24"/>
      </w:rPr>
    </w:pPr>
  </w:p>
  <w:p w14:paraId="62558734" w14:textId="77777777"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pt;height:7.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28CEAC70"/>
    <w:lvl w:ilvl="0" w:tplc="080A000F">
      <w:start w:val="1"/>
      <w:numFmt w:val="decimal"/>
      <w:lvlText w:val="%1."/>
      <w:lvlJc w:val="left"/>
      <w:pPr>
        <w:ind w:left="720" w:hanging="36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42839426">
    <w:abstractNumId w:val="10"/>
  </w:num>
  <w:num w:numId="2" w16cid:durableId="575671387">
    <w:abstractNumId w:val="2"/>
  </w:num>
  <w:num w:numId="3" w16cid:durableId="478959013">
    <w:abstractNumId w:val="8"/>
  </w:num>
  <w:num w:numId="4" w16cid:durableId="114566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4566880">
    <w:abstractNumId w:val="2"/>
  </w:num>
  <w:num w:numId="6" w16cid:durableId="699085116">
    <w:abstractNumId w:val="18"/>
  </w:num>
  <w:num w:numId="7" w16cid:durableId="1974751856">
    <w:abstractNumId w:val="9"/>
  </w:num>
  <w:num w:numId="8" w16cid:durableId="1524243295">
    <w:abstractNumId w:val="16"/>
  </w:num>
  <w:num w:numId="9" w16cid:durableId="1693993010">
    <w:abstractNumId w:val="11"/>
  </w:num>
  <w:num w:numId="10" w16cid:durableId="756638953">
    <w:abstractNumId w:val="15"/>
  </w:num>
  <w:num w:numId="11" w16cid:durableId="1511916912">
    <w:abstractNumId w:val="12"/>
  </w:num>
  <w:num w:numId="12" w16cid:durableId="1733693583">
    <w:abstractNumId w:val="0"/>
  </w:num>
  <w:num w:numId="13" w16cid:durableId="2044207265">
    <w:abstractNumId w:val="5"/>
  </w:num>
  <w:num w:numId="14" w16cid:durableId="1715882887">
    <w:abstractNumId w:val="19"/>
  </w:num>
  <w:num w:numId="15" w16cid:durableId="368184482">
    <w:abstractNumId w:val="14"/>
  </w:num>
  <w:num w:numId="16" w16cid:durableId="986013926">
    <w:abstractNumId w:val="6"/>
  </w:num>
  <w:num w:numId="17" w16cid:durableId="173233579">
    <w:abstractNumId w:val="13"/>
  </w:num>
  <w:num w:numId="18" w16cid:durableId="1762485312">
    <w:abstractNumId w:val="22"/>
  </w:num>
  <w:num w:numId="19" w16cid:durableId="390540605">
    <w:abstractNumId w:val="21"/>
  </w:num>
  <w:num w:numId="20" w16cid:durableId="1630667266">
    <w:abstractNumId w:val="1"/>
  </w:num>
  <w:num w:numId="21" w16cid:durableId="686448761">
    <w:abstractNumId w:val="4"/>
  </w:num>
  <w:num w:numId="22" w16cid:durableId="1933010044">
    <w:abstractNumId w:val="7"/>
  </w:num>
  <w:num w:numId="23" w16cid:durableId="1621455384">
    <w:abstractNumId w:val="3"/>
  </w:num>
  <w:num w:numId="24" w16cid:durableId="1864779819">
    <w:abstractNumId w:val="20"/>
  </w:num>
  <w:num w:numId="25" w16cid:durableId="11690623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3E1"/>
    <w:rsid w:val="00005660"/>
    <w:rsid w:val="000063E0"/>
    <w:rsid w:val="0001083E"/>
    <w:rsid w:val="000134D5"/>
    <w:rsid w:val="00016F78"/>
    <w:rsid w:val="00030B1D"/>
    <w:rsid w:val="000353BD"/>
    <w:rsid w:val="000401ED"/>
    <w:rsid w:val="000468A1"/>
    <w:rsid w:val="00046945"/>
    <w:rsid w:val="00061B2A"/>
    <w:rsid w:val="000711CF"/>
    <w:rsid w:val="00076D52"/>
    <w:rsid w:val="00080B1D"/>
    <w:rsid w:val="00082362"/>
    <w:rsid w:val="00085031"/>
    <w:rsid w:val="000866ED"/>
    <w:rsid w:val="00087566"/>
    <w:rsid w:val="0009079C"/>
    <w:rsid w:val="000A1514"/>
    <w:rsid w:val="000A1642"/>
    <w:rsid w:val="000A66E5"/>
    <w:rsid w:val="000A683E"/>
    <w:rsid w:val="000B0D04"/>
    <w:rsid w:val="000B0FAA"/>
    <w:rsid w:val="000B19B9"/>
    <w:rsid w:val="000B27F0"/>
    <w:rsid w:val="000C013D"/>
    <w:rsid w:val="000C5A9E"/>
    <w:rsid w:val="000D0334"/>
    <w:rsid w:val="000D1DC8"/>
    <w:rsid w:val="000D4734"/>
    <w:rsid w:val="000D5DA7"/>
    <w:rsid w:val="000E6E2C"/>
    <w:rsid w:val="000F01E9"/>
    <w:rsid w:val="000F078F"/>
    <w:rsid w:val="000F3444"/>
    <w:rsid w:val="000F3E03"/>
    <w:rsid w:val="000F512E"/>
    <w:rsid w:val="000F6486"/>
    <w:rsid w:val="000F7FD4"/>
    <w:rsid w:val="00105C57"/>
    <w:rsid w:val="00105E1D"/>
    <w:rsid w:val="001161CA"/>
    <w:rsid w:val="001168F2"/>
    <w:rsid w:val="00116940"/>
    <w:rsid w:val="001222CA"/>
    <w:rsid w:val="00125105"/>
    <w:rsid w:val="00127233"/>
    <w:rsid w:val="001328F3"/>
    <w:rsid w:val="00134724"/>
    <w:rsid w:val="00134FBA"/>
    <w:rsid w:val="001428DC"/>
    <w:rsid w:val="00151D59"/>
    <w:rsid w:val="001521B3"/>
    <w:rsid w:val="0015699B"/>
    <w:rsid w:val="00165609"/>
    <w:rsid w:val="00171640"/>
    <w:rsid w:val="00174D6E"/>
    <w:rsid w:val="00180954"/>
    <w:rsid w:val="00183D9D"/>
    <w:rsid w:val="0018679F"/>
    <w:rsid w:val="0019045D"/>
    <w:rsid w:val="00192805"/>
    <w:rsid w:val="0019787F"/>
    <w:rsid w:val="001A33BF"/>
    <w:rsid w:val="001A35A7"/>
    <w:rsid w:val="001A5968"/>
    <w:rsid w:val="001B24C7"/>
    <w:rsid w:val="001B49B3"/>
    <w:rsid w:val="001C1EB2"/>
    <w:rsid w:val="001C5AE4"/>
    <w:rsid w:val="001C61B3"/>
    <w:rsid w:val="001D02CC"/>
    <w:rsid w:val="001D16E0"/>
    <w:rsid w:val="001D64AE"/>
    <w:rsid w:val="001E2E05"/>
    <w:rsid w:val="001E4177"/>
    <w:rsid w:val="001F0B24"/>
    <w:rsid w:val="001F5903"/>
    <w:rsid w:val="001F5DD0"/>
    <w:rsid w:val="001F7DC6"/>
    <w:rsid w:val="002022E0"/>
    <w:rsid w:val="00207466"/>
    <w:rsid w:val="00211A12"/>
    <w:rsid w:val="00211E12"/>
    <w:rsid w:val="00212AD1"/>
    <w:rsid w:val="00215B71"/>
    <w:rsid w:val="00216E4C"/>
    <w:rsid w:val="00217FCA"/>
    <w:rsid w:val="002209DE"/>
    <w:rsid w:val="0022400B"/>
    <w:rsid w:val="00231807"/>
    <w:rsid w:val="0023515D"/>
    <w:rsid w:val="002421BB"/>
    <w:rsid w:val="00242F3E"/>
    <w:rsid w:val="00253436"/>
    <w:rsid w:val="002543AD"/>
    <w:rsid w:val="0025796E"/>
    <w:rsid w:val="0026018C"/>
    <w:rsid w:val="00261EDF"/>
    <w:rsid w:val="0026324D"/>
    <w:rsid w:val="00265065"/>
    <w:rsid w:val="0026579C"/>
    <w:rsid w:val="002707A2"/>
    <w:rsid w:val="00275482"/>
    <w:rsid w:val="00277C07"/>
    <w:rsid w:val="0028778F"/>
    <w:rsid w:val="00291AD4"/>
    <w:rsid w:val="00293858"/>
    <w:rsid w:val="00294ADE"/>
    <w:rsid w:val="002951A0"/>
    <w:rsid w:val="002962BC"/>
    <w:rsid w:val="002972D1"/>
    <w:rsid w:val="002975A4"/>
    <w:rsid w:val="002A093D"/>
    <w:rsid w:val="002A0DD0"/>
    <w:rsid w:val="002A49AC"/>
    <w:rsid w:val="002A64FD"/>
    <w:rsid w:val="002B2DF8"/>
    <w:rsid w:val="002B730F"/>
    <w:rsid w:val="002C7A84"/>
    <w:rsid w:val="002E05EF"/>
    <w:rsid w:val="002E2BF8"/>
    <w:rsid w:val="002E4FD9"/>
    <w:rsid w:val="002F0847"/>
    <w:rsid w:val="002F2B42"/>
    <w:rsid w:val="002F7F4D"/>
    <w:rsid w:val="0030657A"/>
    <w:rsid w:val="00311FF5"/>
    <w:rsid w:val="00312431"/>
    <w:rsid w:val="003136DC"/>
    <w:rsid w:val="003156BF"/>
    <w:rsid w:val="00316053"/>
    <w:rsid w:val="00317DDE"/>
    <w:rsid w:val="00322A85"/>
    <w:rsid w:val="00322C00"/>
    <w:rsid w:val="00322D77"/>
    <w:rsid w:val="00324168"/>
    <w:rsid w:val="00330834"/>
    <w:rsid w:val="003332A8"/>
    <w:rsid w:val="003448F4"/>
    <w:rsid w:val="003475FC"/>
    <w:rsid w:val="00351F93"/>
    <w:rsid w:val="0037228E"/>
    <w:rsid w:val="00374F5E"/>
    <w:rsid w:val="003769E1"/>
    <w:rsid w:val="00377E3E"/>
    <w:rsid w:val="00381BAB"/>
    <w:rsid w:val="00384B42"/>
    <w:rsid w:val="003878B3"/>
    <w:rsid w:val="003A26B0"/>
    <w:rsid w:val="003A3CF2"/>
    <w:rsid w:val="003A779E"/>
    <w:rsid w:val="003B0DFC"/>
    <w:rsid w:val="003C0ED7"/>
    <w:rsid w:val="003D0F4D"/>
    <w:rsid w:val="003D3FF4"/>
    <w:rsid w:val="003D494E"/>
    <w:rsid w:val="003D5B0D"/>
    <w:rsid w:val="003E0499"/>
    <w:rsid w:val="003E4915"/>
    <w:rsid w:val="003E4C37"/>
    <w:rsid w:val="003E4F80"/>
    <w:rsid w:val="003E6439"/>
    <w:rsid w:val="003F18C5"/>
    <w:rsid w:val="003F1FD8"/>
    <w:rsid w:val="003F3941"/>
    <w:rsid w:val="00403388"/>
    <w:rsid w:val="00403EFA"/>
    <w:rsid w:val="0040494E"/>
    <w:rsid w:val="00406575"/>
    <w:rsid w:val="004140B3"/>
    <w:rsid w:val="00414C74"/>
    <w:rsid w:val="00416706"/>
    <w:rsid w:val="0042722E"/>
    <w:rsid w:val="00440961"/>
    <w:rsid w:val="0044528D"/>
    <w:rsid w:val="00451137"/>
    <w:rsid w:val="00452650"/>
    <w:rsid w:val="004555EA"/>
    <w:rsid w:val="0045785F"/>
    <w:rsid w:val="00464ACB"/>
    <w:rsid w:val="00466E39"/>
    <w:rsid w:val="004768AE"/>
    <w:rsid w:val="00484E40"/>
    <w:rsid w:val="0048787A"/>
    <w:rsid w:val="00492A06"/>
    <w:rsid w:val="00492C4A"/>
    <w:rsid w:val="00494F04"/>
    <w:rsid w:val="004A0841"/>
    <w:rsid w:val="004A0A0B"/>
    <w:rsid w:val="004A0E5C"/>
    <w:rsid w:val="004A1847"/>
    <w:rsid w:val="004A305D"/>
    <w:rsid w:val="004B3DAC"/>
    <w:rsid w:val="004B5C63"/>
    <w:rsid w:val="004B73B9"/>
    <w:rsid w:val="004C0DBB"/>
    <w:rsid w:val="004D2267"/>
    <w:rsid w:val="004D2B6F"/>
    <w:rsid w:val="004E2B92"/>
    <w:rsid w:val="004F21C4"/>
    <w:rsid w:val="004F685F"/>
    <w:rsid w:val="005000A1"/>
    <w:rsid w:val="00503361"/>
    <w:rsid w:val="005062AF"/>
    <w:rsid w:val="00513BF7"/>
    <w:rsid w:val="00515A4E"/>
    <w:rsid w:val="00515F6A"/>
    <w:rsid w:val="00517955"/>
    <w:rsid w:val="005229DB"/>
    <w:rsid w:val="00524422"/>
    <w:rsid w:val="00534886"/>
    <w:rsid w:val="005365D9"/>
    <w:rsid w:val="00536A0E"/>
    <w:rsid w:val="0055262A"/>
    <w:rsid w:val="00553040"/>
    <w:rsid w:val="005566E8"/>
    <w:rsid w:val="00560892"/>
    <w:rsid w:val="005648EC"/>
    <w:rsid w:val="00570B00"/>
    <w:rsid w:val="00572622"/>
    <w:rsid w:val="00573280"/>
    <w:rsid w:val="005746D5"/>
    <w:rsid w:val="00574867"/>
    <w:rsid w:val="00591460"/>
    <w:rsid w:val="00592C94"/>
    <w:rsid w:val="005A2CAB"/>
    <w:rsid w:val="005A4AF9"/>
    <w:rsid w:val="005A5114"/>
    <w:rsid w:val="005A52A7"/>
    <w:rsid w:val="005A57A5"/>
    <w:rsid w:val="005A65E0"/>
    <w:rsid w:val="005C0881"/>
    <w:rsid w:val="005C3777"/>
    <w:rsid w:val="005C5CDC"/>
    <w:rsid w:val="005D2566"/>
    <w:rsid w:val="005D476C"/>
    <w:rsid w:val="005D7628"/>
    <w:rsid w:val="005F20A4"/>
    <w:rsid w:val="00600D92"/>
    <w:rsid w:val="00603C5B"/>
    <w:rsid w:val="00611CE6"/>
    <w:rsid w:val="006137E1"/>
    <w:rsid w:val="00615105"/>
    <w:rsid w:val="00617200"/>
    <w:rsid w:val="00617E91"/>
    <w:rsid w:val="006200BF"/>
    <w:rsid w:val="0062143E"/>
    <w:rsid w:val="006219F8"/>
    <w:rsid w:val="00622E0A"/>
    <w:rsid w:val="00624A89"/>
    <w:rsid w:val="00624EEC"/>
    <w:rsid w:val="006302F7"/>
    <w:rsid w:val="00640441"/>
    <w:rsid w:val="00646B9F"/>
    <w:rsid w:val="00646F24"/>
    <w:rsid w:val="006547C3"/>
    <w:rsid w:val="00660C46"/>
    <w:rsid w:val="00662087"/>
    <w:rsid w:val="00663A04"/>
    <w:rsid w:val="00665D70"/>
    <w:rsid w:val="00672499"/>
    <w:rsid w:val="006737CE"/>
    <w:rsid w:val="00684F67"/>
    <w:rsid w:val="0068758B"/>
    <w:rsid w:val="006900D9"/>
    <w:rsid w:val="00696960"/>
    <w:rsid w:val="0069741A"/>
    <w:rsid w:val="006A2BE4"/>
    <w:rsid w:val="006A6BF4"/>
    <w:rsid w:val="006B4707"/>
    <w:rsid w:val="006C38A9"/>
    <w:rsid w:val="006D0D7C"/>
    <w:rsid w:val="006D13BA"/>
    <w:rsid w:val="006D1D21"/>
    <w:rsid w:val="006D2B34"/>
    <w:rsid w:val="006D591D"/>
    <w:rsid w:val="006D64EE"/>
    <w:rsid w:val="006E3854"/>
    <w:rsid w:val="006F2238"/>
    <w:rsid w:val="006F4199"/>
    <w:rsid w:val="007009D7"/>
    <w:rsid w:val="007025D7"/>
    <w:rsid w:val="00706C16"/>
    <w:rsid w:val="0071557C"/>
    <w:rsid w:val="00720597"/>
    <w:rsid w:val="00722A5A"/>
    <w:rsid w:val="00723639"/>
    <w:rsid w:val="00731F30"/>
    <w:rsid w:val="00733C96"/>
    <w:rsid w:val="007340C3"/>
    <w:rsid w:val="007344B2"/>
    <w:rsid w:val="007345D5"/>
    <w:rsid w:val="0073510E"/>
    <w:rsid w:val="007368C6"/>
    <w:rsid w:val="00741631"/>
    <w:rsid w:val="007458D3"/>
    <w:rsid w:val="00751DE8"/>
    <w:rsid w:val="0075235A"/>
    <w:rsid w:val="00752CDB"/>
    <w:rsid w:val="0075557D"/>
    <w:rsid w:val="00756841"/>
    <w:rsid w:val="007649AB"/>
    <w:rsid w:val="0076653D"/>
    <w:rsid w:val="00771AEF"/>
    <w:rsid w:val="00771D0C"/>
    <w:rsid w:val="00782ED2"/>
    <w:rsid w:val="007833AC"/>
    <w:rsid w:val="007853FB"/>
    <w:rsid w:val="00792C10"/>
    <w:rsid w:val="00795086"/>
    <w:rsid w:val="007A037B"/>
    <w:rsid w:val="007A1830"/>
    <w:rsid w:val="007A2615"/>
    <w:rsid w:val="007B268C"/>
    <w:rsid w:val="007B7171"/>
    <w:rsid w:val="007C0C0F"/>
    <w:rsid w:val="007C3DC2"/>
    <w:rsid w:val="007C4353"/>
    <w:rsid w:val="007D3058"/>
    <w:rsid w:val="007D4B12"/>
    <w:rsid w:val="007E43AC"/>
    <w:rsid w:val="007E5497"/>
    <w:rsid w:val="00803584"/>
    <w:rsid w:val="00806F5F"/>
    <w:rsid w:val="008103F6"/>
    <w:rsid w:val="00816D63"/>
    <w:rsid w:val="00820278"/>
    <w:rsid w:val="00820488"/>
    <w:rsid w:val="0082071A"/>
    <w:rsid w:val="008258C9"/>
    <w:rsid w:val="00830893"/>
    <w:rsid w:val="00833286"/>
    <w:rsid w:val="00836232"/>
    <w:rsid w:val="00841E29"/>
    <w:rsid w:val="008440A2"/>
    <w:rsid w:val="00844AE9"/>
    <w:rsid w:val="00845EF6"/>
    <w:rsid w:val="0085545E"/>
    <w:rsid w:val="00857CF9"/>
    <w:rsid w:val="00867E8A"/>
    <w:rsid w:val="00867F95"/>
    <w:rsid w:val="00871AAC"/>
    <w:rsid w:val="00875356"/>
    <w:rsid w:val="008753FD"/>
    <w:rsid w:val="00876B28"/>
    <w:rsid w:val="008843B6"/>
    <w:rsid w:val="00886410"/>
    <w:rsid w:val="00891928"/>
    <w:rsid w:val="00891A0E"/>
    <w:rsid w:val="008A2B6F"/>
    <w:rsid w:val="008A3BF4"/>
    <w:rsid w:val="008A446D"/>
    <w:rsid w:val="008B0D0F"/>
    <w:rsid w:val="008B25F1"/>
    <w:rsid w:val="008C11FD"/>
    <w:rsid w:val="008C4DD5"/>
    <w:rsid w:val="008C517A"/>
    <w:rsid w:val="008C6AE5"/>
    <w:rsid w:val="008C7B44"/>
    <w:rsid w:val="008D1660"/>
    <w:rsid w:val="008D180B"/>
    <w:rsid w:val="008D1C25"/>
    <w:rsid w:val="008D475B"/>
    <w:rsid w:val="008D539F"/>
    <w:rsid w:val="008F0EA7"/>
    <w:rsid w:val="008F17DC"/>
    <w:rsid w:val="008F4334"/>
    <w:rsid w:val="008F553F"/>
    <w:rsid w:val="008F5838"/>
    <w:rsid w:val="008F6705"/>
    <w:rsid w:val="00901213"/>
    <w:rsid w:val="009026A9"/>
    <w:rsid w:val="009037F6"/>
    <w:rsid w:val="00904F32"/>
    <w:rsid w:val="0091143C"/>
    <w:rsid w:val="00917048"/>
    <w:rsid w:val="00920817"/>
    <w:rsid w:val="00922205"/>
    <w:rsid w:val="00923EEF"/>
    <w:rsid w:val="00933E3F"/>
    <w:rsid w:val="009378E3"/>
    <w:rsid w:val="009419F9"/>
    <w:rsid w:val="009450F4"/>
    <w:rsid w:val="0094710A"/>
    <w:rsid w:val="0094744A"/>
    <w:rsid w:val="009500D5"/>
    <w:rsid w:val="0095685E"/>
    <w:rsid w:val="00961B09"/>
    <w:rsid w:val="00963E12"/>
    <w:rsid w:val="00964321"/>
    <w:rsid w:val="00965334"/>
    <w:rsid w:val="0097093E"/>
    <w:rsid w:val="00970A19"/>
    <w:rsid w:val="009722DE"/>
    <w:rsid w:val="00982C25"/>
    <w:rsid w:val="00984DB3"/>
    <w:rsid w:val="00992E19"/>
    <w:rsid w:val="00997AFF"/>
    <w:rsid w:val="009A0486"/>
    <w:rsid w:val="009A0DFA"/>
    <w:rsid w:val="009A3A4C"/>
    <w:rsid w:val="009B200B"/>
    <w:rsid w:val="009B28B9"/>
    <w:rsid w:val="009B2D26"/>
    <w:rsid w:val="009B4B7C"/>
    <w:rsid w:val="009C71FA"/>
    <w:rsid w:val="009C72E7"/>
    <w:rsid w:val="009C7F7E"/>
    <w:rsid w:val="009D04F7"/>
    <w:rsid w:val="009D10AE"/>
    <w:rsid w:val="009D23F2"/>
    <w:rsid w:val="009D3058"/>
    <w:rsid w:val="009D55DA"/>
    <w:rsid w:val="009E1B17"/>
    <w:rsid w:val="009E1F28"/>
    <w:rsid w:val="009E6924"/>
    <w:rsid w:val="009E7AED"/>
    <w:rsid w:val="009F3A13"/>
    <w:rsid w:val="009F4B67"/>
    <w:rsid w:val="009F7A6E"/>
    <w:rsid w:val="00A0334B"/>
    <w:rsid w:val="00A0526C"/>
    <w:rsid w:val="00A05BC5"/>
    <w:rsid w:val="00A06E95"/>
    <w:rsid w:val="00A076A6"/>
    <w:rsid w:val="00A122D3"/>
    <w:rsid w:val="00A14468"/>
    <w:rsid w:val="00A17F13"/>
    <w:rsid w:val="00A20739"/>
    <w:rsid w:val="00A23AF9"/>
    <w:rsid w:val="00A315FE"/>
    <w:rsid w:val="00A31A76"/>
    <w:rsid w:val="00A32D67"/>
    <w:rsid w:val="00A32E64"/>
    <w:rsid w:val="00A33C78"/>
    <w:rsid w:val="00A3513E"/>
    <w:rsid w:val="00A42320"/>
    <w:rsid w:val="00A53338"/>
    <w:rsid w:val="00A53EB1"/>
    <w:rsid w:val="00A54DC9"/>
    <w:rsid w:val="00A61436"/>
    <w:rsid w:val="00A73F45"/>
    <w:rsid w:val="00A7609F"/>
    <w:rsid w:val="00A8776C"/>
    <w:rsid w:val="00AA1511"/>
    <w:rsid w:val="00AA1E47"/>
    <w:rsid w:val="00AB0ADB"/>
    <w:rsid w:val="00AB436E"/>
    <w:rsid w:val="00AD0E79"/>
    <w:rsid w:val="00AD173A"/>
    <w:rsid w:val="00AD6FC3"/>
    <w:rsid w:val="00AD7D5F"/>
    <w:rsid w:val="00AE0641"/>
    <w:rsid w:val="00AE1F6E"/>
    <w:rsid w:val="00AE3513"/>
    <w:rsid w:val="00AE5023"/>
    <w:rsid w:val="00AE5DD2"/>
    <w:rsid w:val="00AF5A10"/>
    <w:rsid w:val="00B00C0E"/>
    <w:rsid w:val="00B01B1A"/>
    <w:rsid w:val="00B04DA1"/>
    <w:rsid w:val="00B107DB"/>
    <w:rsid w:val="00B11075"/>
    <w:rsid w:val="00B206B6"/>
    <w:rsid w:val="00B234CF"/>
    <w:rsid w:val="00B35656"/>
    <w:rsid w:val="00B35DDD"/>
    <w:rsid w:val="00B37EB5"/>
    <w:rsid w:val="00B44A47"/>
    <w:rsid w:val="00B54271"/>
    <w:rsid w:val="00B5550F"/>
    <w:rsid w:val="00B6149C"/>
    <w:rsid w:val="00B63FC5"/>
    <w:rsid w:val="00B64484"/>
    <w:rsid w:val="00B71FD5"/>
    <w:rsid w:val="00B72CD3"/>
    <w:rsid w:val="00B72FFF"/>
    <w:rsid w:val="00B74092"/>
    <w:rsid w:val="00B74CF7"/>
    <w:rsid w:val="00B759AB"/>
    <w:rsid w:val="00B95DAC"/>
    <w:rsid w:val="00BA2EB9"/>
    <w:rsid w:val="00BA4084"/>
    <w:rsid w:val="00BA703D"/>
    <w:rsid w:val="00BC330F"/>
    <w:rsid w:val="00BC3D36"/>
    <w:rsid w:val="00BC5D42"/>
    <w:rsid w:val="00BC70CB"/>
    <w:rsid w:val="00BD13AC"/>
    <w:rsid w:val="00BD54A6"/>
    <w:rsid w:val="00BD7F72"/>
    <w:rsid w:val="00BF056C"/>
    <w:rsid w:val="00BF112D"/>
    <w:rsid w:val="00BF3B66"/>
    <w:rsid w:val="00BF4FD2"/>
    <w:rsid w:val="00BF5C08"/>
    <w:rsid w:val="00BF7425"/>
    <w:rsid w:val="00C04FB3"/>
    <w:rsid w:val="00C11D8B"/>
    <w:rsid w:val="00C1215D"/>
    <w:rsid w:val="00C1350D"/>
    <w:rsid w:val="00C22134"/>
    <w:rsid w:val="00C2359C"/>
    <w:rsid w:val="00C251B0"/>
    <w:rsid w:val="00C330EB"/>
    <w:rsid w:val="00C33F4F"/>
    <w:rsid w:val="00C4112A"/>
    <w:rsid w:val="00C419DF"/>
    <w:rsid w:val="00C45A56"/>
    <w:rsid w:val="00C50D69"/>
    <w:rsid w:val="00C5365C"/>
    <w:rsid w:val="00C619D4"/>
    <w:rsid w:val="00C61D93"/>
    <w:rsid w:val="00C738EE"/>
    <w:rsid w:val="00C7520B"/>
    <w:rsid w:val="00C754BE"/>
    <w:rsid w:val="00C76B1C"/>
    <w:rsid w:val="00C82667"/>
    <w:rsid w:val="00C83BA0"/>
    <w:rsid w:val="00C90C96"/>
    <w:rsid w:val="00C925AC"/>
    <w:rsid w:val="00C94828"/>
    <w:rsid w:val="00C963BE"/>
    <w:rsid w:val="00C96B64"/>
    <w:rsid w:val="00CA2858"/>
    <w:rsid w:val="00CB02F1"/>
    <w:rsid w:val="00CB166D"/>
    <w:rsid w:val="00CB4CE6"/>
    <w:rsid w:val="00CB6357"/>
    <w:rsid w:val="00CB6FF3"/>
    <w:rsid w:val="00CC1B26"/>
    <w:rsid w:val="00CC2F6F"/>
    <w:rsid w:val="00CD47CD"/>
    <w:rsid w:val="00CD4C85"/>
    <w:rsid w:val="00CD4D52"/>
    <w:rsid w:val="00CD7FA1"/>
    <w:rsid w:val="00CE3C1C"/>
    <w:rsid w:val="00CE4026"/>
    <w:rsid w:val="00D0159F"/>
    <w:rsid w:val="00D05ED6"/>
    <w:rsid w:val="00D06146"/>
    <w:rsid w:val="00D0673A"/>
    <w:rsid w:val="00D0699E"/>
    <w:rsid w:val="00D1210B"/>
    <w:rsid w:val="00D222C0"/>
    <w:rsid w:val="00D22D2B"/>
    <w:rsid w:val="00D334DD"/>
    <w:rsid w:val="00D34EA3"/>
    <w:rsid w:val="00D361FD"/>
    <w:rsid w:val="00D423A2"/>
    <w:rsid w:val="00D44E26"/>
    <w:rsid w:val="00D51A5D"/>
    <w:rsid w:val="00D520D8"/>
    <w:rsid w:val="00D532D4"/>
    <w:rsid w:val="00D54A2C"/>
    <w:rsid w:val="00D552A0"/>
    <w:rsid w:val="00D56F8A"/>
    <w:rsid w:val="00D62B9C"/>
    <w:rsid w:val="00D63AC2"/>
    <w:rsid w:val="00D64111"/>
    <w:rsid w:val="00D64AFC"/>
    <w:rsid w:val="00D72D0B"/>
    <w:rsid w:val="00D7383B"/>
    <w:rsid w:val="00D73DBD"/>
    <w:rsid w:val="00D7541C"/>
    <w:rsid w:val="00D76E7C"/>
    <w:rsid w:val="00D7788A"/>
    <w:rsid w:val="00D82A30"/>
    <w:rsid w:val="00D85F06"/>
    <w:rsid w:val="00D936A2"/>
    <w:rsid w:val="00DA1F04"/>
    <w:rsid w:val="00DA231B"/>
    <w:rsid w:val="00DA4C7D"/>
    <w:rsid w:val="00DB13F4"/>
    <w:rsid w:val="00DB55DA"/>
    <w:rsid w:val="00DB6DDE"/>
    <w:rsid w:val="00DC1EFB"/>
    <w:rsid w:val="00DC39FC"/>
    <w:rsid w:val="00DC7CCB"/>
    <w:rsid w:val="00DE0870"/>
    <w:rsid w:val="00DE18D0"/>
    <w:rsid w:val="00DE581D"/>
    <w:rsid w:val="00DE6EC3"/>
    <w:rsid w:val="00DE7692"/>
    <w:rsid w:val="00DF5254"/>
    <w:rsid w:val="00E02524"/>
    <w:rsid w:val="00E05E98"/>
    <w:rsid w:val="00E1159D"/>
    <w:rsid w:val="00E1449C"/>
    <w:rsid w:val="00E1451E"/>
    <w:rsid w:val="00E16408"/>
    <w:rsid w:val="00E167EF"/>
    <w:rsid w:val="00E20894"/>
    <w:rsid w:val="00E22DC2"/>
    <w:rsid w:val="00E23233"/>
    <w:rsid w:val="00E245AB"/>
    <w:rsid w:val="00E27341"/>
    <w:rsid w:val="00E2764C"/>
    <w:rsid w:val="00E27EDD"/>
    <w:rsid w:val="00E27F2E"/>
    <w:rsid w:val="00E306D6"/>
    <w:rsid w:val="00E30CCD"/>
    <w:rsid w:val="00E31225"/>
    <w:rsid w:val="00E501E7"/>
    <w:rsid w:val="00E50AFE"/>
    <w:rsid w:val="00E523D5"/>
    <w:rsid w:val="00E57176"/>
    <w:rsid w:val="00E577E2"/>
    <w:rsid w:val="00E615C4"/>
    <w:rsid w:val="00E64F47"/>
    <w:rsid w:val="00E71E1B"/>
    <w:rsid w:val="00E75C92"/>
    <w:rsid w:val="00E771DC"/>
    <w:rsid w:val="00E8772A"/>
    <w:rsid w:val="00E90C80"/>
    <w:rsid w:val="00E90F6B"/>
    <w:rsid w:val="00E91AED"/>
    <w:rsid w:val="00E92C27"/>
    <w:rsid w:val="00E96B5C"/>
    <w:rsid w:val="00EA0E3D"/>
    <w:rsid w:val="00EA0EC9"/>
    <w:rsid w:val="00EA0FBD"/>
    <w:rsid w:val="00EA2DC0"/>
    <w:rsid w:val="00EA426C"/>
    <w:rsid w:val="00EA677F"/>
    <w:rsid w:val="00EB224C"/>
    <w:rsid w:val="00EB7BC0"/>
    <w:rsid w:val="00EC006D"/>
    <w:rsid w:val="00EC0844"/>
    <w:rsid w:val="00EC297F"/>
    <w:rsid w:val="00EC38A7"/>
    <w:rsid w:val="00ED44D6"/>
    <w:rsid w:val="00ED4980"/>
    <w:rsid w:val="00ED5120"/>
    <w:rsid w:val="00EE0E1C"/>
    <w:rsid w:val="00EE1AA8"/>
    <w:rsid w:val="00EE265D"/>
    <w:rsid w:val="00EE3D99"/>
    <w:rsid w:val="00EF1D4F"/>
    <w:rsid w:val="00EF4E4B"/>
    <w:rsid w:val="00EF4E7D"/>
    <w:rsid w:val="00EF5E13"/>
    <w:rsid w:val="00EF647F"/>
    <w:rsid w:val="00F03314"/>
    <w:rsid w:val="00F0580C"/>
    <w:rsid w:val="00F124E5"/>
    <w:rsid w:val="00F2171E"/>
    <w:rsid w:val="00F23FEA"/>
    <w:rsid w:val="00F27B7B"/>
    <w:rsid w:val="00F3172F"/>
    <w:rsid w:val="00F31EDC"/>
    <w:rsid w:val="00F34294"/>
    <w:rsid w:val="00F3642F"/>
    <w:rsid w:val="00F462B3"/>
    <w:rsid w:val="00F5664F"/>
    <w:rsid w:val="00F602E0"/>
    <w:rsid w:val="00F666C4"/>
    <w:rsid w:val="00F76AFC"/>
    <w:rsid w:val="00F81AEC"/>
    <w:rsid w:val="00F81BF0"/>
    <w:rsid w:val="00F825DA"/>
    <w:rsid w:val="00F82E88"/>
    <w:rsid w:val="00F85CEC"/>
    <w:rsid w:val="00F86E11"/>
    <w:rsid w:val="00F86E3E"/>
    <w:rsid w:val="00F95C74"/>
    <w:rsid w:val="00FA1B40"/>
    <w:rsid w:val="00FA47C0"/>
    <w:rsid w:val="00FA5FFD"/>
    <w:rsid w:val="00FB33A2"/>
    <w:rsid w:val="00FB5DD1"/>
    <w:rsid w:val="00FC2B5D"/>
    <w:rsid w:val="00FD1DDC"/>
    <w:rsid w:val="00FD2D1F"/>
    <w:rsid w:val="00FD3AD2"/>
    <w:rsid w:val="00FD4AD8"/>
    <w:rsid w:val="00FD59D3"/>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10FDF"/>
  <w15:chartTrackingRefBased/>
  <w15:docId w15:val="{58568B41-9065-4DE9-BFEA-A2F36601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Mencinsinresolver">
    <w:name w:val="Unresolved Mention"/>
    <w:basedOn w:val="Fuentedeprrafopredeter"/>
    <w:uiPriority w:val="99"/>
    <w:semiHidden/>
    <w:unhideWhenUsed/>
    <w:rsid w:val="00BF112D"/>
    <w:rPr>
      <w:color w:val="605E5C"/>
      <w:shd w:val="clear" w:color="auto" w:fill="E1DFDD"/>
    </w:rPr>
  </w:style>
  <w:style w:type="character" w:customStyle="1" w:styleId="s15">
    <w:name w:val="s15"/>
    <w:basedOn w:val="Fuentedeprrafopredeter"/>
    <w:rsid w:val="00922205"/>
  </w:style>
  <w:style w:type="character" w:customStyle="1" w:styleId="NormalWebCar">
    <w:name w:val="Normal (Web) Car"/>
    <w:link w:val="NormalWeb"/>
    <w:uiPriority w:val="99"/>
    <w:rsid w:val="003D3FF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40">
      <w:bodyDiv w:val="1"/>
      <w:marLeft w:val="0"/>
      <w:marRight w:val="0"/>
      <w:marTop w:val="0"/>
      <w:marBottom w:val="0"/>
      <w:divBdr>
        <w:top w:val="none" w:sz="0" w:space="0" w:color="auto"/>
        <w:left w:val="none" w:sz="0" w:space="0" w:color="auto"/>
        <w:bottom w:val="none" w:sz="0" w:space="0" w:color="auto"/>
        <w:right w:val="none" w:sz="0" w:space="0" w:color="auto"/>
      </w:divBdr>
      <w:divsChild>
        <w:div w:id="258880311">
          <w:marLeft w:val="0"/>
          <w:marRight w:val="0"/>
          <w:marTop w:val="0"/>
          <w:marBottom w:val="0"/>
          <w:divBdr>
            <w:top w:val="none" w:sz="0" w:space="0" w:color="auto"/>
            <w:left w:val="none" w:sz="0" w:space="0" w:color="auto"/>
            <w:bottom w:val="none" w:sz="0" w:space="0" w:color="auto"/>
            <w:right w:val="none" w:sz="0" w:space="0" w:color="auto"/>
          </w:divBdr>
          <w:divsChild>
            <w:div w:id="1294941058">
              <w:marLeft w:val="0"/>
              <w:marRight w:val="0"/>
              <w:marTop w:val="0"/>
              <w:marBottom w:val="0"/>
              <w:divBdr>
                <w:top w:val="none" w:sz="0" w:space="0" w:color="auto"/>
                <w:left w:val="none" w:sz="0" w:space="0" w:color="auto"/>
                <w:bottom w:val="none" w:sz="0" w:space="0" w:color="auto"/>
                <w:right w:val="none" w:sz="0" w:space="0" w:color="auto"/>
              </w:divBdr>
              <w:divsChild>
                <w:div w:id="337932334">
                  <w:marLeft w:val="0"/>
                  <w:marRight w:val="0"/>
                  <w:marTop w:val="0"/>
                  <w:marBottom w:val="0"/>
                  <w:divBdr>
                    <w:top w:val="none" w:sz="0" w:space="0" w:color="auto"/>
                    <w:left w:val="none" w:sz="0" w:space="0" w:color="auto"/>
                    <w:bottom w:val="none" w:sz="0" w:space="0" w:color="auto"/>
                    <w:right w:val="none" w:sz="0" w:space="0" w:color="auto"/>
                  </w:divBdr>
                  <w:divsChild>
                    <w:div w:id="9084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9191">
          <w:marLeft w:val="0"/>
          <w:marRight w:val="0"/>
          <w:marTop w:val="0"/>
          <w:marBottom w:val="0"/>
          <w:divBdr>
            <w:top w:val="none" w:sz="0" w:space="0" w:color="auto"/>
            <w:left w:val="none" w:sz="0" w:space="0" w:color="auto"/>
            <w:bottom w:val="none" w:sz="0" w:space="0" w:color="auto"/>
            <w:right w:val="none" w:sz="0" w:space="0" w:color="auto"/>
          </w:divBdr>
        </w:div>
      </w:divsChild>
    </w:div>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298808619">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42011055">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98738708">
      <w:bodyDiv w:val="1"/>
      <w:marLeft w:val="0"/>
      <w:marRight w:val="0"/>
      <w:marTop w:val="0"/>
      <w:marBottom w:val="0"/>
      <w:divBdr>
        <w:top w:val="none" w:sz="0" w:space="0" w:color="auto"/>
        <w:left w:val="none" w:sz="0" w:space="0" w:color="auto"/>
        <w:bottom w:val="none" w:sz="0" w:space="0" w:color="auto"/>
        <w:right w:val="none" w:sz="0" w:space="0" w:color="auto"/>
      </w:divBdr>
    </w:div>
    <w:div w:id="212796031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17AEECD-F7FA-4C5D-9002-6CF481A0E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C319D1-6F87-4601-A8E9-DF150CBA8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Pages>
  <Words>6684</Words>
  <Characters>36763</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2026-09-21T17:00:00Z</dcterms:created>
  <dcterms:modified xsi:type="dcterms:W3CDTF">2026-09-29T20:12:00Z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